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ascii="仿宋_GB2312" w:hAnsi="Times New Roman" w:eastAsia="仿宋_GB2312"/>
          <w:b/>
          <w:bCs/>
          <w:color w:val="auto"/>
          <w:sz w:val="84"/>
          <w:highlight w:val="none"/>
        </w:rPr>
      </w:pPr>
      <w:r>
        <w:rPr>
          <w:rFonts w:hint="eastAsia" w:ascii="仿宋_GB2312" w:hAnsi="Times New Roman" w:eastAsia="仿宋_GB2312"/>
          <w:b/>
          <w:bCs/>
          <w:color w:val="auto"/>
          <w:sz w:val="84"/>
          <w:highlight w:val="none"/>
        </w:rPr>
      </w:r>
      <w:r/>
    </w:p>
    <w:p>
      <w:pPr>
        <w:pStyle w:val="992"/>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招　标　文　件</w:t>
      </w:r>
      <w:r/>
    </w:p>
    <w:p>
      <w:pPr>
        <w:pStyle w:val="992"/>
        <w:ind w:firstLine="0"/>
        <w:jc w:val="center"/>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pStyle w:val="992"/>
        <w:ind w:firstLine="0"/>
        <w:jc w:val="center"/>
        <w:keepLines w:val="0"/>
        <w:keepNext w:val="0"/>
        <w:pageBreakBefore w:val="0"/>
        <w:spacing w:before="0" w:after="0" w:line="480" w:lineRule="auto"/>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color w:val="auto"/>
          <w:sz w:val="30"/>
          <w:szCs w:val="30"/>
          <w:highlight w:val="none"/>
          <w:lang w:eastAsia="zh-CN"/>
        </w:rPr>
        <w:t xml:space="preserve">宿城区2025-2027年政策性农业保险承保机构遴选项目</w:t>
      </w:r>
      <w:r/>
    </w:p>
    <w:p>
      <w:pPr>
        <w:pStyle w:val="992"/>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JSZC-321302-SQHS-G2024-0033</w:t>
      </w:r>
      <w:r/>
    </w:p>
    <w:p>
      <w:pPr>
        <w:pStyle w:val="992"/>
        <w:ind w:firstLine="0"/>
        <w:jc w:val="center"/>
        <w:keepLines w:val="0"/>
        <w:keepNext w:val="0"/>
        <w:pageBreakBefore w:val="0"/>
        <w:spacing w:before="0" w:after="0"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（服务类项目，</w:t>
      </w:r>
      <w:r>
        <w:rPr>
          <w:rFonts w:hint="eastAsia" w:ascii="仿宋" w:hAnsi="仿宋" w:eastAsia="仿宋" w:cs="仿宋"/>
          <w:b/>
          <w:bCs/>
          <w:color w:val="auto"/>
          <w:sz w:val="32"/>
          <w:highlight w:val="none"/>
          <w:u w:val="single"/>
        </w:rPr>
        <w:t xml:space="preserve"> 不 </w:t>
      </w:r>
      <w:r>
        <w:rPr>
          <w:rFonts w:hint="eastAsia" w:ascii="仿宋" w:hAnsi="仿宋" w:eastAsia="仿宋" w:cs="仿宋"/>
          <w:b/>
          <w:bCs/>
          <w:color w:val="auto"/>
          <w:sz w:val="32"/>
          <w:highlight w:val="none"/>
        </w:rPr>
        <w:t xml:space="preserve">专门面向中小企业）</w:t>
      </w:r>
      <w:r/>
    </w:p>
    <w:p>
      <w:pPr>
        <w:pStyle w:val="992"/>
        <w:ind w:firstLine="0"/>
        <w:jc w:val="center"/>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0"/>
        <w:spacing w:before="0" w:after="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2"/>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采购人：</w:t>
      </w:r>
      <w:r>
        <w:rPr>
          <w:rFonts w:hint="eastAsia" w:ascii="仿宋" w:hAnsi="仿宋" w:eastAsia="仿宋" w:cs="仿宋"/>
          <w:b/>
          <w:bCs/>
          <w:color w:val="auto"/>
          <w:sz w:val="32"/>
          <w:highlight w:val="none"/>
          <w:u w:val="single"/>
        </w:rPr>
        <w:t xml:space="preserve">       </w:t>
      </w:r>
      <w:r>
        <w:rPr>
          <w:rFonts w:hint="eastAsia" w:ascii="仿宋" w:hAnsi="仿宋" w:eastAsia="仿宋" w:cs="仿宋"/>
          <w:b/>
          <w:bCs/>
          <w:color w:val="auto"/>
          <w:sz w:val="32"/>
          <w:highlight w:val="none"/>
          <w:u w:val="single"/>
          <w:lang w:eastAsia="zh-CN"/>
        </w:rPr>
        <w:t xml:space="preserve">宿迁市宿城区财政局</w:t>
      </w:r>
      <w:r>
        <w:rPr>
          <w:rFonts w:hint="eastAsia" w:ascii="仿宋" w:hAnsi="仿宋" w:eastAsia="仿宋" w:cs="仿宋"/>
          <w:b/>
          <w:bCs/>
          <w:color w:val="auto"/>
          <w:sz w:val="32"/>
          <w:highlight w:val="none"/>
          <w:u w:val="single"/>
        </w:rPr>
        <w:t xml:space="preserve">         </w:t>
      </w:r>
      <w:r/>
    </w:p>
    <w:p>
      <w:pPr>
        <w:pStyle w:val="992"/>
        <w:ind w:firstLine="964"/>
        <w:jc w:val="both"/>
        <w:keepLines w:val="0"/>
        <w:keepNext w:val="0"/>
        <w:pageBreakBefore w:val="0"/>
        <w:spacing w:line="480" w:lineRule="auto"/>
        <w:widowControl w:val="off"/>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采购代理机构：</w:t>
      </w:r>
      <w:r>
        <w:rPr>
          <w:rFonts w:hint="eastAsia" w:ascii="仿宋" w:hAnsi="仿宋" w:eastAsia="仿宋" w:cs="仿宋"/>
          <w:b/>
          <w:bCs/>
          <w:color w:val="auto"/>
          <w:sz w:val="32"/>
          <w:highlight w:val="none"/>
          <w:u w:val="single"/>
        </w:rPr>
        <w:t xml:space="preserve"> </w:t>
      </w:r>
      <w:r>
        <w:rPr>
          <w:rFonts w:hint="eastAsia" w:ascii="仿宋" w:hAnsi="仿宋" w:eastAsia="仿宋" w:cs="仿宋"/>
          <w:b/>
          <w:bCs/>
          <w:color w:val="auto"/>
          <w:sz w:val="32"/>
          <w:highlight w:val="none"/>
          <w:u w:val="single"/>
          <w:lang w:eastAsia="zh-CN"/>
        </w:rPr>
        <w:t xml:space="preserve">宿迁市宏晟项目管理有限公司</w:t>
      </w:r>
      <w:r>
        <w:rPr>
          <w:rFonts w:hint="eastAsia" w:ascii="仿宋" w:hAnsi="仿宋" w:eastAsia="仿宋" w:cs="仿宋"/>
          <w:b/>
          <w:bCs/>
          <w:color w:val="auto"/>
          <w:sz w:val="32"/>
          <w:highlight w:val="none"/>
          <w:u w:val="single"/>
        </w:rPr>
        <w:t xml:space="preserve"> </w:t>
      </w:r>
      <w:r/>
    </w:p>
    <w:p>
      <w:pPr>
        <w:pStyle w:val="992"/>
        <w:ind w:left="0" w:firstLine="0"/>
        <w:jc w:val="center"/>
        <w:keepLines w:val="0"/>
        <w:keepNext w:val="0"/>
        <w:pageBreakBefore w:val="0"/>
        <w:spacing w:line="480" w:lineRule="auto"/>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2024年</w:t>
      </w:r>
      <w:r>
        <w:rPr>
          <w:rFonts w:hint="eastAsia" w:ascii="仿宋" w:hAnsi="仿宋" w:eastAsia="仿宋" w:cs="仿宋"/>
          <w:b/>
          <w:bCs/>
          <w:color w:val="auto"/>
          <w:sz w:val="32"/>
          <w:highlight w:val="none"/>
          <w:lang w:val="en-US" w:eastAsia="zh-CN"/>
        </w:rPr>
        <w:t xml:space="preserve">11</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lang w:val="en-US" w:eastAsia="zh-CN"/>
        </w:rPr>
        <w:t xml:space="preserve">06</w:t>
      </w:r>
      <w:r>
        <w:rPr>
          <w:rFonts w:hint="eastAsia" w:ascii="仿宋" w:hAnsi="仿宋" w:eastAsia="仿宋" w:cs="仿宋"/>
          <w:b/>
          <w:bCs/>
          <w:color w:val="auto"/>
          <w:sz w:val="32"/>
          <w:highlight w:val="none"/>
        </w:rPr>
        <w:t xml:space="preserve">日</w:t>
      </w:r>
      <w:r/>
    </w:p>
    <w:p>
      <w:pPr>
        <w:pStyle w:val="992"/>
        <w:ind w:firstLine="0"/>
        <w:rPr>
          <w:rFonts w:hint="eastAsia" w:ascii="仿宋_GB2312" w:hAnsi="Times New Roman" w:eastAsia="仿宋_GB2312"/>
          <w:color w:val="auto"/>
          <w:highlight w:val="none"/>
          <w:u w:val="single"/>
        </w:rPr>
      </w:pPr>
      <w:r>
        <w:rPr>
          <w:rFonts w:hint="eastAsia" w:ascii="仿宋_GB2312" w:hAnsi="Times New Roman" w:eastAsia="仿宋_GB2312"/>
          <w:color w:val="auto"/>
          <w:highlight w:val="none"/>
        </w:rPr>
        <w:t xml:space="preserve">                        </w:t>
      </w:r>
      <w:r/>
    </w:p>
    <w:sdt>
      <w:sdtPr>
        <w15:appearance w15:val="boundingBox"/>
        <w15:color w:val="dbdbdb"/>
        <w:id w:val="147482318"/>
        <w:docPartObj>
          <w:docPartGallery w:val="Table of Contents"/>
          <w:docPartUnique w:val="true"/>
        </w:docPartObj>
        <w:rPr>
          <w:rFonts w:hint="default" w:ascii="宋体" w:hAnsi="宋体" w:eastAsia="宋体" w:cs="Times New Roman"/>
          <w:color w:val="auto"/>
          <w:sz w:val="21"/>
          <w:szCs w:val="21"/>
          <w:highlight w:val="none"/>
          <w:lang w:val="en-US" w:eastAsia="zh-CN" w:bidi="ar-SA"/>
        </w:rPr>
      </w:sdtPr>
      <w:sdtContent>
        <w:p>
          <w:pPr>
            <w:ind w:left="0" w:right="0" w:firstLine="0"/>
            <w:jc w:val="center"/>
            <w:keepLines w:val="0"/>
            <w:keepNext w:val="0"/>
            <w:pageBreakBefore w:val="0"/>
            <w:spacing w:before="0" w:after="0" w:line="480" w:lineRule="auto"/>
            <w:widowControl w:val="off"/>
            <w:rPr>
              <w:rFonts w:hint="eastAsia" w:ascii="仿宋" w:hAnsi="仿宋" w:eastAsia="仿宋" w:cs="仿宋"/>
              <w:color w:val="auto"/>
              <w:sz w:val="36"/>
              <w:szCs w:val="36"/>
              <w:highlight w:val="none"/>
            </w:rPr>
          </w:pPr>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仿宋" w:hAnsi="仿宋" w:eastAsia="仿宋" w:cs="仿宋"/>
              <w:b/>
              <w:bCs/>
              <w:color w:val="auto"/>
              <w:sz w:val="52"/>
              <w:szCs w:val="52"/>
              <w:highlight w:val="none"/>
            </w:rPr>
            <w:t xml:space="preserve">目录</w:t>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_Toc22897 </w:instrText>
          </w:r>
          <w:r>
            <w:rPr>
              <w:rFonts w:hint="eastAsia" w:ascii="仿宋" w:hAnsi="仿宋" w:eastAsia="仿宋" w:cs="仿宋"/>
              <w:bCs/>
              <w:sz w:val="36"/>
              <w:szCs w:val="36"/>
              <w:highlight w:val="none"/>
            </w:rPr>
            <w:fldChar w:fldCharType="separate"/>
          </w:r>
          <w:r>
            <w:rPr>
              <w:rFonts w:hint="eastAsia" w:ascii="仿宋" w:hAnsi="仿宋" w:eastAsia="仿宋" w:cs="仿宋"/>
              <w:bCs/>
              <w:sz w:val="36"/>
              <w:szCs w:val="36"/>
              <w:highlight w:val="none"/>
            </w:rPr>
            <w:t xml:space="preserve">第一章   投标邀请</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_Toc22897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1</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_Toc14806 </w:instrText>
          </w:r>
          <w:r>
            <w:rPr>
              <w:rFonts w:hint="eastAsia" w:ascii="仿宋" w:hAnsi="仿宋" w:eastAsia="仿宋" w:cs="仿宋"/>
              <w:bCs/>
              <w:sz w:val="36"/>
              <w:szCs w:val="36"/>
              <w:highlight w:val="none"/>
            </w:rPr>
            <w:fldChar w:fldCharType="separate"/>
          </w:r>
          <w:r>
            <w:rPr>
              <w:rFonts w:hint="eastAsia" w:ascii="仿宋" w:hAnsi="仿宋" w:eastAsia="仿宋" w:cs="仿宋"/>
              <w:sz w:val="36"/>
              <w:szCs w:val="36"/>
              <w:highlight w:val="none"/>
            </w:rPr>
            <w:t xml:space="preserve">第二章</w:t>
          </w:r>
          <w:r>
            <w:rPr>
              <w:rFonts w:hint="eastAsia" w:ascii="仿宋" w:hAnsi="仿宋" w:eastAsia="仿宋" w:cs="仿宋"/>
              <w:bCs/>
              <w:sz w:val="36"/>
              <w:szCs w:val="36"/>
              <w:highlight w:val="none"/>
            </w:rPr>
            <w:t xml:space="preserve">   </w:t>
          </w:r>
          <w:r>
            <w:rPr>
              <w:rFonts w:hint="eastAsia" w:ascii="仿宋" w:hAnsi="仿宋" w:eastAsia="仿宋" w:cs="仿宋"/>
              <w:sz w:val="36"/>
              <w:szCs w:val="36"/>
              <w:highlight w:val="none"/>
            </w:rPr>
            <w:t xml:space="preserve">投标人须知</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_Toc14806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6</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_Toc10070 </w:instrText>
          </w:r>
          <w:r>
            <w:rPr>
              <w:rFonts w:hint="eastAsia" w:ascii="仿宋" w:hAnsi="仿宋" w:eastAsia="仿宋" w:cs="仿宋"/>
              <w:bCs/>
              <w:sz w:val="36"/>
              <w:szCs w:val="36"/>
              <w:highlight w:val="none"/>
            </w:rPr>
            <w:fldChar w:fldCharType="separate"/>
          </w:r>
          <w:r>
            <w:rPr>
              <w:rFonts w:hint="eastAsia" w:ascii="仿宋" w:hAnsi="仿宋" w:eastAsia="仿宋" w:cs="仿宋"/>
              <w:bCs/>
              <w:sz w:val="36"/>
              <w:szCs w:val="36"/>
              <w:highlight w:val="none"/>
            </w:rPr>
            <w:t xml:space="preserve">第三章   合同文本</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_Toc10070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22</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_Toc15293 </w:instrText>
          </w:r>
          <w:r>
            <w:rPr>
              <w:rFonts w:hint="eastAsia" w:ascii="仿宋" w:hAnsi="仿宋" w:eastAsia="仿宋" w:cs="仿宋"/>
              <w:bCs/>
              <w:sz w:val="36"/>
              <w:szCs w:val="36"/>
              <w:highlight w:val="none"/>
            </w:rPr>
            <w:fldChar w:fldCharType="separate"/>
          </w:r>
          <w:r>
            <w:rPr>
              <w:rFonts w:hint="eastAsia" w:ascii="仿宋" w:hAnsi="仿宋" w:eastAsia="仿宋" w:cs="仿宋"/>
              <w:bCs/>
              <w:sz w:val="36"/>
              <w:szCs w:val="36"/>
              <w:highlight w:val="none"/>
              <w:lang w:val="en-US" w:eastAsia="zh-CN" w:bidi="ar-SA"/>
            </w:rPr>
            <w:t xml:space="preserve">第四章</w:t>
          </w:r>
          <w:r>
            <w:rPr>
              <w:rFonts w:hint="eastAsia" w:ascii="仿宋" w:hAnsi="仿宋" w:eastAsia="仿宋" w:cs="仿宋"/>
              <w:bCs/>
              <w:sz w:val="36"/>
              <w:szCs w:val="36"/>
              <w:highlight w:val="none"/>
            </w:rPr>
            <w:t xml:space="preserve">   </w:t>
          </w:r>
          <w:r>
            <w:rPr>
              <w:rFonts w:hint="eastAsia" w:ascii="仿宋" w:hAnsi="仿宋" w:eastAsia="仿宋" w:cs="仿宋"/>
              <w:bCs/>
              <w:sz w:val="36"/>
              <w:szCs w:val="36"/>
              <w:highlight w:val="none"/>
              <w:lang w:val="en-US" w:eastAsia="zh-CN" w:bidi="ar-SA"/>
            </w:rPr>
            <w:t xml:space="preserve">采购需求</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_Toc15293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32</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_Toc3329 </w:instrText>
          </w:r>
          <w:r>
            <w:rPr>
              <w:rFonts w:hint="eastAsia" w:ascii="仿宋" w:hAnsi="仿宋" w:eastAsia="仿宋" w:cs="仿宋"/>
              <w:bCs/>
              <w:sz w:val="36"/>
              <w:szCs w:val="36"/>
              <w:highlight w:val="none"/>
            </w:rPr>
            <w:fldChar w:fldCharType="separate"/>
          </w:r>
          <w:r>
            <w:rPr>
              <w:rFonts w:hint="eastAsia" w:ascii="仿宋" w:hAnsi="仿宋" w:eastAsia="仿宋" w:cs="仿宋"/>
              <w:bCs/>
              <w:sz w:val="36"/>
              <w:szCs w:val="36"/>
              <w:highlight w:val="none"/>
            </w:rPr>
            <w:t xml:space="preserve">第五章   评标方法与评标标准</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_Toc3329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39</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pStyle w:val="752"/>
            <w:keepLines w:val="0"/>
            <w:keepNext w:val="0"/>
            <w:pageBreakBefore w:val="0"/>
            <w:spacing w:line="480" w:lineRule="auto"/>
            <w:widowControl w:val="off"/>
            <w:tabs>
              <w:tab w:val="clear" w:pos="8720" w:leader="none"/>
              <w:tab w:val="right" w:pos="8953" w:leader="dot"/>
            </w:tabs>
            <w:rPr>
              <w:rFonts w:hint="eastAsia" w:ascii="仿宋" w:hAnsi="仿宋" w:eastAsia="仿宋" w:cs="仿宋"/>
              <w:sz w:val="36"/>
              <w:szCs w:val="36"/>
              <w:highlight w:val="none"/>
            </w:rPr>
          </w:pPr>
          <w:r>
            <w:rPr>
              <w:rFonts w:hint="eastAsia" w:ascii="仿宋" w:hAnsi="仿宋" w:eastAsia="仿宋" w:cs="仿宋"/>
              <w:bCs/>
              <w:color w:val="auto"/>
              <w:sz w:val="36"/>
              <w:szCs w:val="36"/>
              <w:highlight w:val="none"/>
            </w:rPr>
            <w:fldChar w:fldCharType="begin"/>
          </w:r>
          <w:r>
            <w:rPr>
              <w:rFonts w:hint="eastAsia" w:ascii="仿宋" w:hAnsi="仿宋" w:eastAsia="仿宋" w:cs="仿宋"/>
              <w:bCs/>
              <w:sz w:val="36"/>
              <w:szCs w:val="36"/>
              <w:highlight w:val="none"/>
            </w:rPr>
            <w:instrText xml:space="preserve"> HYPERLINK \l _Toc15930 </w:instrText>
          </w:r>
          <w:r>
            <w:rPr>
              <w:rFonts w:hint="eastAsia" w:ascii="仿宋" w:hAnsi="仿宋" w:eastAsia="仿宋" w:cs="仿宋"/>
              <w:bCs/>
              <w:sz w:val="36"/>
              <w:szCs w:val="36"/>
              <w:highlight w:val="none"/>
            </w:rPr>
            <w:fldChar w:fldCharType="separate"/>
          </w:r>
          <w:r>
            <w:rPr>
              <w:rFonts w:hint="eastAsia" w:ascii="仿宋" w:hAnsi="仿宋" w:eastAsia="仿宋" w:cs="仿宋"/>
              <w:bCs/>
              <w:sz w:val="36"/>
              <w:szCs w:val="36"/>
              <w:highlight w:val="none"/>
            </w:rPr>
            <w:t xml:space="preserve">第六章   投标文件格式</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_Toc15930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47</w:t>
          </w:r>
          <w:r>
            <w:rPr>
              <w:rFonts w:hint="eastAsia" w:ascii="仿宋" w:hAnsi="仿宋" w:eastAsia="仿宋" w:cs="仿宋"/>
              <w:sz w:val="36"/>
              <w:szCs w:val="36"/>
              <w:highlight w:val="none"/>
            </w:rPr>
            <w:fldChar w:fldCharType="end"/>
          </w:r>
          <w:r>
            <w:rPr>
              <w:rFonts w:hint="eastAsia" w:ascii="仿宋" w:hAnsi="仿宋" w:eastAsia="仿宋" w:cs="仿宋"/>
              <w:bCs/>
              <w:color w:val="auto"/>
              <w:sz w:val="36"/>
              <w:szCs w:val="36"/>
              <w:highlight w:val="none"/>
            </w:rPr>
            <w:fldChar w:fldCharType="end"/>
          </w:r>
          <w:r/>
        </w:p>
        <w:p>
          <w:pPr>
            <w:numPr>
              <w:ilvl w:val="0"/>
              <w:numId w:val="0"/>
            </w:numPr>
            <w:keepLines w:val="0"/>
            <w:keepNext w:val="0"/>
            <w:pageBreakBefore w:val="0"/>
            <w:spacing w:line="480" w:lineRule="auto"/>
            <w:widowControl w:val="off"/>
            <w:rPr>
              <w:rFonts w:hint="eastAsia" w:ascii="仿宋_GB2312" w:hAnsi="Times New Roman" w:eastAsia="仿宋_GB2312" w:cs="Times New Roman"/>
              <w:color w:val="auto"/>
              <w:sz w:val="21"/>
              <w:szCs w:val="21"/>
              <w:highlight w:val="none"/>
              <w:lang w:val="en-US" w:eastAsia="zh-CN" w:bidi="ar-SA"/>
            </w:rPr>
            <w:outlineLvl w:val="9"/>
          </w:pPr>
          <w:r>
            <w:rPr>
              <w:rFonts w:hint="eastAsia" w:ascii="仿宋" w:hAnsi="仿宋" w:eastAsia="仿宋" w:cs="仿宋"/>
              <w:bCs/>
              <w:color w:val="auto"/>
              <w:sz w:val="36"/>
              <w:szCs w:val="36"/>
              <w:highlight w:val="none"/>
            </w:rPr>
            <w:fldChar w:fldCharType="end"/>
          </w:r>
          <w:r/>
        </w:p>
      </w:sdtContent>
    </w:sdt>
    <w:p>
      <w:pPr>
        <w:numPr>
          <w:ilvl w:val="0"/>
          <w:numId w:val="0"/>
        </w:numPr>
        <w:spacing w:line="480" w:lineRule="auto"/>
        <w:rPr>
          <w:rFonts w:hint="eastAsia" w:ascii="仿宋_GB2312" w:hAnsi="Times New Roman" w:eastAsia="仿宋_GB2312" w:cs="Times New Roman"/>
          <w:color w:val="auto"/>
          <w:sz w:val="21"/>
          <w:szCs w:val="21"/>
          <w:highlight w:val="none"/>
          <w:lang w:val="en-US" w:eastAsia="zh-CN" w:bidi="ar-SA"/>
        </w:rPr>
        <w:outlineLvl w:val="9"/>
      </w:pPr>
      <w:r>
        <w:rPr>
          <w:rFonts w:hint="eastAsia" w:ascii="仿宋_GB2312" w:hAnsi="Times New Roman" w:eastAsia="仿宋_GB2312" w:cs="Times New Roman"/>
          <w:color w:val="auto"/>
          <w:sz w:val="21"/>
          <w:szCs w:val="21"/>
          <w:highlight w:val="none"/>
          <w:lang w:val="en-US" w:eastAsia="zh-CN" w:bidi="ar-SA"/>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pStyle w:val="732"/>
        <w:jc w:val="center"/>
        <w:keepLines/>
        <w:keepNext/>
        <w:pageBreakBefore w:val="0"/>
        <w:spacing w:before="0" w:after="0" w:line="480" w:lineRule="auto"/>
        <w:widowControl w:val="off"/>
        <w:rPr>
          <w:rFonts w:hint="eastAsia"/>
          <w:b/>
          <w:bCs/>
          <w:color w:val="auto"/>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titlePg/>
        </w:sectPr>
      </w:pPr>
      <w:r/>
      <w:bookmarkStart w:id="6" w:name="_Toc22897"/>
      <w:r/>
      <w:r/>
    </w:p>
    <w:p>
      <w:pPr>
        <w:pStyle w:val="732"/>
        <w:jc w:val="center"/>
        <w:keepLines/>
        <w:keepNext/>
        <w:pageBreakBefore w:val="0"/>
        <w:spacing w:before="0" w:after="0" w:line="480" w:lineRule="auto"/>
        <w:widowControl w:val="off"/>
        <w:rPr>
          <w:rFonts w:hint="eastAsia" w:ascii="黑体" w:hAnsi="黑体" w:eastAsia="黑体"/>
          <w:bCs/>
          <w:color w:val="auto"/>
          <w:szCs w:val="44"/>
          <w:highlight w:val="none"/>
        </w:rPr>
      </w:pPr>
      <w:r>
        <w:rPr>
          <w:rFonts w:hint="eastAsia"/>
          <w:b/>
          <w:bCs/>
          <w:color w:val="auto"/>
          <w:highlight w:val="none"/>
        </w:rPr>
        <w:t xml:space="preserve">第一章</w:t>
      </w:r>
      <w:bookmarkEnd w:id="0"/>
      <w:r>
        <w:rPr>
          <w:rStyle w:val="765"/>
          <w:rFonts w:hint="eastAsia"/>
          <w:b/>
          <w:bCs/>
          <w:color w:val="auto"/>
          <w:highlight w:val="none"/>
        </w:rPr>
        <w:t xml:space="preserve">   </w:t>
      </w:r>
      <w:r>
        <w:rPr>
          <w:rFonts w:hint="eastAsia"/>
          <w:b/>
          <w:bCs/>
          <w:color w:val="auto"/>
          <w:highlight w:val="none"/>
        </w:rPr>
        <w:t xml:space="preserve">投标邀请</w:t>
      </w:r>
      <w:bookmarkEnd w:id="6"/>
      <w:r/>
      <w:r/>
    </w:p>
    <w:p>
      <w:pPr>
        <w:ind w:left="0"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宿迁市宿城区财政局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宿城区2025-2027年政策性农业保险承保机构遴选项目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JSZC-321302-SQHS-G2024-0033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项目进行公开招标采购，欢迎符合条件的投标人投标。</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left="0" w:firstLine="480"/>
        <w:pageBreakBefore w:val="0"/>
        <w:spacing w:line="56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（宿城区2025-2027年政策性农业保险承保机构遴选项目）</w:t>
      </w:r>
      <w:r>
        <w:rPr>
          <w:rFonts w:hint="eastAsia" w:ascii="仿宋" w:hAnsi="仿宋" w:eastAsia="仿宋" w:cs="仿宋"/>
          <w:color w:val="auto"/>
          <w:sz w:val="24"/>
          <w:szCs w:val="24"/>
          <w:highlight w:val="none"/>
        </w:rPr>
        <w:t xml:space="preserve">招标项目的潜在投标人可在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招标文件，并于</w:t>
      </w:r>
      <w:r>
        <w:rPr>
          <w:rFonts w:hint="eastAsia" w:ascii="仿宋" w:hAnsi="仿宋" w:eastAsia="仿宋" w:cs="仿宋"/>
          <w:color w:val="auto"/>
          <w:sz w:val="24"/>
          <w:szCs w:val="24"/>
          <w:highlight w:val="none"/>
          <w:u w:val="single"/>
        </w:rPr>
        <w:t xml:space="preserve">2024</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27</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rPr>
        <w:t xml:space="preserve">09点 30分（</w:t>
      </w:r>
      <w:r>
        <w:rPr>
          <w:rFonts w:hint="eastAsia" w:ascii="仿宋" w:hAnsi="仿宋" w:eastAsia="仿宋" w:cs="仿宋"/>
          <w:bCs/>
          <w:color w:val="auto"/>
          <w:sz w:val="24"/>
          <w:szCs w:val="24"/>
          <w:highlight w:val="none"/>
        </w:rPr>
        <w:t xml:space="preserve">北京时间）前递交投标文件</w:t>
      </w:r>
      <w:r>
        <w:rPr>
          <w:rFonts w:hint="eastAsia" w:ascii="仿宋" w:hAnsi="仿宋" w:eastAsia="仿宋" w:cs="仿宋"/>
          <w:color w:val="auto"/>
          <w:sz w:val="24"/>
          <w:szCs w:val="24"/>
          <w:highlight w:val="none"/>
        </w:rPr>
        <w:t xml:space="preserve">。</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bookmarkStart w:id="7" w:name="_Toc28359002"/>
      <w:r/>
      <w:bookmarkStart w:id="8" w:name="_Toc35393790"/>
      <w:r/>
      <w:bookmarkStart w:id="9" w:name="_Toc35393621"/>
      <w:r/>
      <w:bookmarkStart w:id="10" w:name="_Toc28359079"/>
      <w:r/>
      <w:bookmarkStart w:id="11" w:name="_Toc38985263"/>
      <w:r/>
      <w:bookmarkStart w:id="12" w:name="_Hlk24379207"/>
      <w:r>
        <w:rPr>
          <w:rFonts w:hint="eastAsia" w:ascii="仿宋" w:hAnsi="仿宋" w:eastAsia="仿宋" w:cs="仿宋"/>
          <w:color w:val="auto"/>
          <w:sz w:val="24"/>
          <w:szCs w:val="24"/>
          <w:highlight w:val="none"/>
        </w:rPr>
        <w:t xml:space="preserve">一、项目基本情况</w:t>
      </w:r>
      <w:bookmarkEnd w:id="7"/>
      <w:r/>
      <w:bookmarkEnd w:id="8"/>
      <w:r/>
      <w:bookmarkEnd w:id="9"/>
      <w:r/>
      <w:bookmarkEnd w:id="10"/>
      <w:r/>
      <w:bookmarkEnd w:id="11"/>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JSZC-321302-SQHS-G2024-0033</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宿城区2025-2027年政策性农业保险承保机构遴选项目</w:t>
      </w:r>
      <w:bookmarkEnd w:id="12"/>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val="en-US" w:eastAsia="zh-CN"/>
        </w:rPr>
        <w:t xml:space="preserve">60</w:t>
      </w:r>
      <w:r>
        <w:rPr>
          <w:rFonts w:hint="eastAsia" w:ascii="仿宋" w:hAnsi="仿宋" w:eastAsia="仿宋" w:cs="仿宋"/>
          <w:color w:val="auto"/>
          <w:sz w:val="24"/>
          <w:szCs w:val="24"/>
          <w:highlight w:val="none"/>
          <w:lang w:eastAsia="zh-CN"/>
        </w:rPr>
        <w:t xml:space="preserve">万元</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4.本项目</w:t>
      </w:r>
      <w:r>
        <w:rPr>
          <w:rFonts w:hint="eastAsia" w:ascii="仿宋" w:hAnsi="仿宋" w:eastAsia="仿宋" w:cs="仿宋"/>
          <w:color w:val="auto"/>
          <w:sz w:val="24"/>
          <w:szCs w:val="24"/>
          <w:highlight w:val="none"/>
          <w:u w:val="single"/>
        </w:rPr>
        <w:t xml:space="preserve"> 设定 </w:t>
      </w:r>
      <w:r>
        <w:rPr>
          <w:rFonts w:hint="eastAsia" w:ascii="仿宋" w:hAnsi="仿宋" w:eastAsia="仿宋" w:cs="仿宋"/>
          <w:color w:val="auto"/>
          <w:sz w:val="24"/>
          <w:szCs w:val="24"/>
          <w:highlight w:val="none"/>
        </w:rPr>
        <w:t xml:space="preserve">最高限价，最高限价为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lang w:eastAsia="zh-CN"/>
        </w:rPr>
        <w:t xml:space="preserve">。</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本项目价格不作为评审因素，投标人各分包报价按照固定</w:t>
      </w:r>
      <w:r>
        <w:rPr>
          <w:rFonts w:hint="eastAsia" w:ascii="仿宋" w:hAnsi="仿宋" w:eastAsia="仿宋" w:cs="仿宋"/>
          <w:b/>
          <w:bCs/>
          <w:color w:val="auto"/>
          <w:sz w:val="24"/>
          <w:szCs w:val="24"/>
          <w:highlight w:val="none"/>
          <w:u w:val="single"/>
          <w:lang w:val="en-US" w:eastAsia="zh-CN"/>
        </w:rPr>
        <w:t xml:space="preserve"> 30 </w:t>
      </w:r>
      <w:r>
        <w:rPr>
          <w:rFonts w:hint="eastAsia" w:ascii="仿宋" w:hAnsi="仿宋" w:eastAsia="仿宋" w:cs="仿宋"/>
          <w:b/>
          <w:bCs/>
          <w:color w:val="auto"/>
          <w:sz w:val="24"/>
          <w:szCs w:val="24"/>
          <w:highlight w:val="none"/>
        </w:rPr>
        <w:t xml:space="preserve">万元填写，服务区域政策性农业保险规模以最终各级财政补贴金额拨付金额为准。</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为进一步加强政策性农业保险承保机构管理，优化农业保险市场布局，规范农业保险市场秩序，提升农业保险服务质量，提高财政资金使用效益，根据《中央财政农业保险保费补贴管理办法》（财金〔202</w:t>
      </w:r>
      <w:r>
        <w:rPr>
          <w:rFonts w:hint="eastAsia" w:ascii="仿宋" w:hAnsi="仿宋" w:eastAsia="仿宋" w:cs="仿宋"/>
          <w:color w:val="auto"/>
          <w:sz w:val="24"/>
          <w:szCs w:val="24"/>
          <w:highlight w:val="none"/>
        </w:rPr>
        <w:t xml:space="preserve">1〕130号）、《农业保险条例》、《财政部 农业农村部关于加强政策性农业保险承保机构遴选管理工作的通知》（财金〔2020〕128 号）、《江苏省省级财政农业保险保费补贴管理办法》（苏财规〔2022〕6号）、《江苏省财政厅 江苏省农业农村厅关于做好政策性农业保险承保机构遴选工作的通知》（苏财金〔2021〕42 号）、《关于做好新一轮政策性农业保险承保机构遴选工作的通知》（宿财金〔2024〕31号）等文件要求，对宿迁市宿城区范围内主要种植业、主要养殖业、高效农业、农机具等政策性农业保险项目承保机构进行公开遴选。</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本项目按照区域划分为两个分包</w:t>
      </w:r>
      <w:r>
        <w:rPr>
          <w:rFonts w:hint="eastAsia" w:ascii="仿宋" w:hAnsi="仿宋" w:eastAsia="仿宋" w:cs="仿宋"/>
          <w:color w:val="auto"/>
          <w:sz w:val="24"/>
          <w:szCs w:val="24"/>
          <w:highlight w:val="none"/>
        </w:rPr>
        <w:t xml:space="preserve">：</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分包一：陈集镇、中扬镇、屠园镇、龙河镇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共</w:t>
      </w:r>
      <w:r>
        <w:rPr>
          <w:rFonts w:hint="eastAsia" w:ascii="仿宋" w:hAnsi="仿宋" w:eastAsia="仿宋" w:cs="仿宋"/>
          <w:b/>
          <w:bCs/>
          <w:color w:val="auto"/>
          <w:sz w:val="24"/>
          <w:szCs w:val="24"/>
          <w:highlight w:val="none"/>
        </w:rPr>
        <w:t xml:space="preserve">4个镇；</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分包二：埠子镇、王官集镇、蔡集镇、耿车镇、洋北街道、支口街道、项里街道、河滨街道，</w:t>
      </w:r>
      <w:r>
        <w:rPr>
          <w:rFonts w:hint="eastAsia" w:ascii="仿宋" w:hAnsi="仿宋" w:eastAsia="仿宋" w:cs="仿宋"/>
          <w:b/>
          <w:bCs/>
          <w:color w:val="auto"/>
          <w:sz w:val="24"/>
          <w:szCs w:val="24"/>
          <w:highlight w:val="none"/>
          <w:lang w:eastAsia="zh-CN"/>
        </w:rPr>
        <w:t xml:space="preserve">共8个镇（街道）</w:t>
      </w:r>
      <w:r>
        <w:rPr>
          <w:rFonts w:hint="eastAsia" w:ascii="仿宋" w:hAnsi="仿宋" w:eastAsia="仿宋" w:cs="仿宋"/>
          <w:b/>
          <w:bCs/>
          <w:color w:val="auto"/>
          <w:sz w:val="24"/>
          <w:szCs w:val="24"/>
          <w:highlight w:val="none"/>
        </w:rPr>
        <w:t xml:space="preserve">。</w:t>
      </w:r>
      <w:r/>
    </w:p>
    <w:p>
      <w:pPr>
        <w:ind w:firstLine="482"/>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投标分包选择：为保证上述</w:t>
      </w:r>
      <w:r>
        <w:rPr>
          <w:rFonts w:hint="eastAsia" w:ascii="仿宋" w:hAnsi="仿宋" w:eastAsia="仿宋" w:cs="仿宋"/>
          <w:b/>
          <w:bCs/>
          <w:color w:val="auto"/>
          <w:sz w:val="24"/>
          <w:szCs w:val="24"/>
          <w:highlight w:val="none"/>
          <w:lang w:val="en-US" w:eastAsia="zh-CN"/>
        </w:rPr>
        <w:t xml:space="preserve">分包</w:t>
      </w:r>
      <w:r>
        <w:rPr>
          <w:rFonts w:hint="eastAsia" w:ascii="仿宋" w:hAnsi="仿宋" w:eastAsia="仿宋" w:cs="仿宋"/>
          <w:b/>
          <w:bCs/>
          <w:color w:val="auto"/>
          <w:sz w:val="24"/>
          <w:szCs w:val="24"/>
          <w:highlight w:val="none"/>
        </w:rPr>
        <w:t xml:space="preserve">所涉及的乡镇、街道农保工作推进的同步性，参加本项目</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必须同时参加上述</w:t>
      </w:r>
      <w:r>
        <w:rPr>
          <w:rFonts w:hint="eastAsia" w:ascii="仿宋" w:hAnsi="仿宋" w:eastAsia="仿宋" w:cs="仿宋"/>
          <w:b/>
          <w:bCs/>
          <w:color w:val="auto"/>
          <w:sz w:val="24"/>
          <w:szCs w:val="24"/>
          <w:highlight w:val="none"/>
          <w:lang w:val="en-US" w:eastAsia="zh-CN"/>
        </w:rPr>
        <w:t xml:space="preserve">两个分包</w:t>
      </w:r>
      <w:r>
        <w:rPr>
          <w:rFonts w:hint="eastAsia" w:ascii="仿宋" w:hAnsi="仿宋" w:eastAsia="仿宋" w:cs="仿宋"/>
          <w:b/>
          <w:bCs/>
          <w:color w:val="auto"/>
          <w:sz w:val="24"/>
          <w:szCs w:val="24"/>
          <w:highlight w:val="none"/>
        </w:rPr>
        <w:t xml:space="preserve">的投标，不得只选择其中一个</w:t>
      </w:r>
      <w:r>
        <w:rPr>
          <w:rFonts w:hint="eastAsia" w:ascii="仿宋" w:hAnsi="仿宋" w:eastAsia="仿宋" w:cs="仿宋"/>
          <w:b/>
          <w:bCs/>
          <w:color w:val="auto"/>
          <w:sz w:val="24"/>
          <w:szCs w:val="24"/>
          <w:highlight w:val="none"/>
          <w:lang w:eastAsia="zh-CN"/>
        </w:rPr>
        <w:t xml:space="preserve">分包</w:t>
      </w:r>
      <w:r>
        <w:rPr>
          <w:rFonts w:hint="eastAsia" w:ascii="仿宋" w:hAnsi="仿宋" w:eastAsia="仿宋" w:cs="仿宋"/>
          <w:b/>
          <w:bCs/>
          <w:color w:val="auto"/>
          <w:sz w:val="24"/>
          <w:szCs w:val="24"/>
          <w:highlight w:val="none"/>
        </w:rPr>
        <w:t xml:space="preserve">。</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开标顺序：按</w:t>
      </w:r>
      <w:r>
        <w:rPr>
          <w:rFonts w:hint="eastAsia" w:ascii="仿宋" w:hAnsi="仿宋" w:eastAsia="仿宋" w:cs="仿宋"/>
          <w:color w:val="auto"/>
          <w:sz w:val="24"/>
          <w:szCs w:val="24"/>
          <w:highlight w:val="none"/>
          <w:lang w:val="en-US" w:eastAsia="zh-CN"/>
        </w:rPr>
        <w:t xml:space="preserve">分包</w:t>
      </w:r>
      <w:r>
        <w:rPr>
          <w:rFonts w:hint="eastAsia" w:ascii="仿宋" w:hAnsi="仿宋" w:eastAsia="仿宋" w:cs="仿宋"/>
          <w:color w:val="auto"/>
          <w:sz w:val="24"/>
          <w:szCs w:val="24"/>
          <w:highlight w:val="none"/>
        </w:rPr>
        <w:t xml:space="preserve">序号从小到大依次，即先开分包一，后开分包二。评标顺序同开标顺序。</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定标原则：每位</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只能在一个</w:t>
      </w:r>
      <w:r>
        <w:rPr>
          <w:rFonts w:hint="eastAsia" w:ascii="仿宋" w:hAnsi="仿宋" w:eastAsia="仿宋" w:cs="仿宋"/>
          <w:color w:val="auto"/>
          <w:sz w:val="24"/>
          <w:szCs w:val="24"/>
          <w:highlight w:val="none"/>
          <w:lang w:val="en-US" w:eastAsia="zh-CN"/>
        </w:rPr>
        <w:t xml:space="preserve">分包</w:t>
      </w:r>
      <w:r>
        <w:rPr>
          <w:rFonts w:hint="eastAsia" w:ascii="仿宋" w:hAnsi="仿宋" w:eastAsia="仿宋" w:cs="仿宋"/>
          <w:color w:val="auto"/>
          <w:sz w:val="24"/>
          <w:szCs w:val="24"/>
          <w:highlight w:val="none"/>
        </w:rPr>
        <w:t xml:space="preserve">上中标。如某投标人已在分包一被推荐为第一中标候选人的，</w:t>
      </w:r>
      <w:r>
        <w:rPr>
          <w:rFonts w:hint="eastAsia" w:ascii="仿宋" w:hAnsi="仿宋" w:eastAsia="仿宋" w:cs="仿宋"/>
          <w:color w:val="auto"/>
          <w:sz w:val="24"/>
          <w:szCs w:val="24"/>
          <w:highlight w:val="none"/>
          <w:lang w:eastAsia="zh-CN"/>
        </w:rPr>
        <w:t xml:space="preserve">则其参与分包二评标，但在分包二不参与推荐中标候选人的排序</w:t>
      </w:r>
      <w:r>
        <w:rPr>
          <w:rFonts w:hint="eastAsia" w:ascii="仿宋" w:hAnsi="仿宋" w:eastAsia="仿宋" w:cs="仿宋"/>
          <w:color w:val="auto"/>
          <w:sz w:val="24"/>
          <w:szCs w:val="24"/>
          <w:highlight w:val="none"/>
        </w:rPr>
        <w:t xml:space="preserve">。（详细内容见本招标文件第四章）</w:t>
      </w:r>
      <w:r/>
    </w:p>
    <w:p>
      <w:pPr>
        <w:ind w:firstLine="480"/>
        <w:pageBreakBefore w:val="0"/>
        <w:spacing w:line="5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注：评审结束后，若其中一个分包受到质疑投诉等原因，导致本分包评审结果改变，但不影响其他分包的评审结果。</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.合同履行期限：</w:t>
      </w:r>
      <w:r>
        <w:rPr>
          <w:rFonts w:hint="eastAsia" w:ascii="仿宋" w:hAnsi="仿宋" w:eastAsia="仿宋" w:cs="仿宋"/>
          <w:b/>
          <w:bCs/>
          <w:color w:val="auto"/>
          <w:sz w:val="24"/>
          <w:szCs w:val="24"/>
          <w:highlight w:val="none"/>
          <w:lang w:eastAsia="zh-CN"/>
        </w:rPr>
        <w:t xml:space="preserve">2025年1月1日至2027年12月31日</w:t>
      </w:r>
      <w:r>
        <w:rPr>
          <w:rFonts w:hint="eastAsia" w:ascii="仿宋" w:hAnsi="仿宋" w:eastAsia="仿宋" w:cs="仿宋"/>
          <w:b/>
          <w:bCs/>
          <w:color w:val="auto"/>
          <w:sz w:val="24"/>
          <w:szCs w:val="24"/>
          <w:highlight w:val="none"/>
        </w:rPr>
        <w:t xml:space="preserve">。</w:t>
      </w:r>
      <w:r/>
    </w:p>
    <w:p>
      <w:pPr>
        <w:ind w:firstLine="482"/>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两</w:t>
      </w:r>
      <w:r>
        <w:rPr>
          <w:rFonts w:hint="eastAsia" w:ascii="仿宋" w:hAnsi="仿宋" w:eastAsia="仿宋" w:cs="仿宋"/>
          <w:b/>
          <w:bCs/>
          <w:color w:val="auto"/>
          <w:sz w:val="24"/>
          <w:szCs w:val="24"/>
          <w:highlight w:val="none"/>
        </w:rPr>
        <w:t xml:space="preserve">个分包均 </w:t>
      </w:r>
      <w:r>
        <w:rPr>
          <w:rFonts w:hint="eastAsia" w:ascii="仿宋" w:hAnsi="仿宋" w:eastAsia="仿宋" w:cs="仿宋"/>
          <w:b/>
          <w:bCs/>
          <w:color w:val="auto"/>
          <w:sz w:val="24"/>
          <w:szCs w:val="24"/>
          <w:highlight w:val="none"/>
          <w:u w:val="single"/>
        </w:rPr>
        <w:t xml:space="preserve"> 不接受 </w:t>
      </w:r>
      <w:r>
        <w:rPr>
          <w:rFonts w:hint="eastAsia" w:ascii="仿宋" w:hAnsi="仿宋" w:eastAsia="仿宋" w:cs="仿宋"/>
          <w:b/>
          <w:bCs/>
          <w:color w:val="auto"/>
          <w:sz w:val="24"/>
          <w:szCs w:val="24"/>
          <w:highlight w:val="none"/>
        </w:rPr>
        <w:t xml:space="preserve">联合体投标（接受/不接受）。</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bookmarkStart w:id="13" w:name="_Toc28359003"/>
      <w:r/>
      <w:bookmarkStart w:id="14" w:name="_Toc35393622"/>
      <w:r/>
      <w:bookmarkStart w:id="15" w:name="_Toc28359080"/>
      <w:r/>
      <w:bookmarkStart w:id="16" w:name="_Toc38985264"/>
      <w:r/>
      <w:bookmarkStart w:id="17" w:name="_Toc35393791"/>
      <w:r>
        <w:rPr>
          <w:rFonts w:hint="eastAsia" w:ascii="仿宋" w:hAnsi="仿宋" w:eastAsia="仿宋" w:cs="仿宋"/>
          <w:color w:val="auto"/>
          <w:sz w:val="24"/>
          <w:szCs w:val="24"/>
          <w:highlight w:val="none"/>
        </w:rPr>
        <w:t xml:space="preserve">二、申请人的资格要求</w:t>
      </w:r>
      <w:bookmarkEnd w:id="13"/>
      <w:r/>
      <w:bookmarkEnd w:id="14"/>
      <w:r/>
      <w:bookmarkEnd w:id="15"/>
      <w:r/>
      <w:bookmarkEnd w:id="16"/>
      <w:r/>
      <w:bookmarkEnd w:id="17"/>
      <w:r/>
      <w:r/>
    </w:p>
    <w:p>
      <w:pPr>
        <w:ind w:firstLine="482"/>
        <w:pageBreakBefore w:val="0"/>
        <w:spacing w:line="560" w:lineRule="exact"/>
        <w:rPr>
          <w:rFonts w:hint="eastAsia" w:ascii="仿宋" w:hAnsi="仿宋" w:eastAsia="仿宋" w:cs="仿宋"/>
          <w:b/>
          <w:bCs/>
          <w:color w:val="auto"/>
          <w:sz w:val="24"/>
          <w:szCs w:val="24"/>
          <w:highlight w:val="none"/>
        </w:rPr>
      </w:pPr>
      <w:r/>
      <w:bookmarkStart w:id="18" w:name="_Toc35393623"/>
      <w:r/>
      <w:bookmarkStart w:id="19" w:name="_Toc38985265"/>
      <w:r/>
      <w:bookmarkStart w:id="20" w:name="_Toc28359004"/>
      <w:r/>
      <w:bookmarkStart w:id="21" w:name="_Toc28359081"/>
      <w:r/>
      <w:bookmarkStart w:id="22" w:name="_Toc35393792"/>
      <w:r>
        <w:rPr>
          <w:rFonts w:hint="eastAsia" w:ascii="仿宋" w:hAnsi="仿宋" w:eastAsia="仿宋" w:cs="仿宋"/>
          <w:b/>
          <w:bCs/>
          <w:color w:val="auto"/>
          <w:sz w:val="24"/>
          <w:szCs w:val="24"/>
          <w:highlight w:val="none"/>
        </w:rPr>
        <w:t xml:space="preserve">（一）通用资格要求</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2.信用信息。信用信息查询渠道：“信用中国”网（www.creditchina.gov.cn）、“中国政府采购”网（www.ccgp.gov.cn）、江苏政府采购网（www.ccgp-jiangsu.gov.cn）。</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3.落实政府采购政策需满足的资格要求：无</w:t>
      </w:r>
      <w:r>
        <w:rPr>
          <w:rFonts w:hint="eastAsia" w:ascii="仿宋" w:hAnsi="仿宋" w:eastAsia="仿宋" w:cs="仿宋"/>
          <w:color w:val="auto"/>
          <w:sz w:val="24"/>
          <w:szCs w:val="24"/>
          <w:highlight w:val="none"/>
          <w:lang w:eastAsia="zh-CN"/>
        </w:rPr>
        <w:t xml:space="preserve">。</w:t>
      </w:r>
      <w:r/>
    </w:p>
    <w:p>
      <w:pPr>
        <w:ind w:firstLine="482"/>
        <w:pageBreakBefore w:val="0"/>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（二）本项目（分包一至分包</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）的特定资格要求</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（指响应遴选、参与遴选的政策性农业保险承保机构，下同）省级公司具有保险监管部门批准的财产保险及农业保险业务经营资质，且在遴选期内能独立承保各级财政补贴的政策性农业保险业务。</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2.对于《江苏省财政厅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3.单位负责人为同一人或者存在直接控股、管理关系的不同供应商，不得参加同一合同项下的政府采购活动。否则，相关投标均无效。</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三、获取招标文件</w:t>
      </w:r>
      <w:bookmarkEnd w:id="18"/>
      <w:r/>
      <w:bookmarkEnd w:id="19"/>
      <w:r/>
      <w:bookmarkEnd w:id="20"/>
      <w:r/>
      <w:bookmarkEnd w:id="21"/>
      <w:r/>
      <w:bookmarkEnd w:id="22"/>
      <w:r/>
      <w:bookmarkStart w:id="222" w:name="_GoBack"/>
      <w:r/>
      <w:bookmarkEnd w:id="222"/>
      <w:r/>
      <w:r/>
    </w:p>
    <w:p>
      <w:pPr>
        <w:ind w:firstLine="482"/>
        <w:pageBreakBefore w:val="0"/>
        <w:spacing w:line="560" w:lineRule="exact"/>
        <w:rPr>
          <w:rFonts w:hint="eastAsia" w:ascii="仿宋" w:hAnsi="仿宋" w:eastAsia="仿宋" w:cs="仿宋"/>
          <w:b/>
          <w:bCs/>
          <w:color w:val="auto"/>
          <w:sz w:val="24"/>
          <w:szCs w:val="24"/>
          <w:highlight w:val="none"/>
        </w:rPr>
      </w:pPr>
      <w:r/>
      <w:bookmarkStart w:id="23" w:name="_Toc28359005"/>
      <w:r/>
      <w:bookmarkStart w:id="24" w:name="_Toc28359082"/>
      <w:r/>
      <w:bookmarkStart w:id="25" w:name="_Toc35393624"/>
      <w:r/>
      <w:bookmarkStart w:id="26" w:name="_Toc38985266"/>
      <w:r/>
      <w:bookmarkStart w:id="27" w:name="_Toc35393793"/>
      <w:r>
        <w:rPr>
          <w:rFonts w:hint="eastAsia" w:ascii="仿宋" w:hAnsi="仿宋" w:eastAsia="仿宋" w:cs="仿宋"/>
          <w:b/>
          <w:bCs/>
          <w:color w:val="auto"/>
          <w:sz w:val="24"/>
          <w:szCs w:val="24"/>
          <w:highlight w:val="none"/>
        </w:rPr>
        <w:t xml:space="preserve">1.时间：2024年</w:t>
      </w:r>
      <w:r>
        <w:rPr>
          <w:rFonts w:hint="eastAsia" w:ascii="仿宋" w:hAnsi="仿宋" w:eastAsia="仿宋" w:cs="仿宋"/>
          <w:b/>
          <w:bCs/>
          <w:color w:val="auto"/>
          <w:sz w:val="24"/>
          <w:szCs w:val="24"/>
          <w:highlight w:val="none"/>
          <w:lang w:val="en-US" w:eastAsia="zh-CN"/>
        </w:rPr>
        <w:t xml:space="preserve">11</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07</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09:00</w:t>
      </w:r>
      <w:r>
        <w:rPr>
          <w:rFonts w:hint="eastAsia" w:ascii="仿宋" w:hAnsi="仿宋" w:eastAsia="仿宋" w:cs="仿宋"/>
          <w:b/>
          <w:bCs/>
          <w:color w:val="auto"/>
          <w:sz w:val="24"/>
          <w:szCs w:val="24"/>
          <w:highlight w:val="none"/>
        </w:rPr>
        <w:t xml:space="preserve">至2024年</w:t>
      </w:r>
      <w:r>
        <w:rPr>
          <w:rFonts w:hint="eastAsia" w:ascii="仿宋" w:hAnsi="仿宋" w:eastAsia="仿宋" w:cs="仿宋"/>
          <w:b/>
          <w:bCs/>
          <w:color w:val="auto"/>
          <w:sz w:val="24"/>
          <w:szCs w:val="24"/>
          <w:highlight w:val="none"/>
          <w:lang w:val="en-US" w:eastAsia="zh-CN"/>
        </w:rPr>
        <w:t xml:space="preserve">11</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13</w:t>
      </w:r>
      <w:r>
        <w:rPr>
          <w:rFonts w:hint="eastAsia" w:ascii="仿宋" w:hAnsi="仿宋" w:eastAsia="仿宋" w:cs="仿宋"/>
          <w:b/>
          <w:bCs/>
          <w:color w:val="auto"/>
          <w:sz w:val="24"/>
          <w:szCs w:val="24"/>
          <w:highlight w:val="none"/>
        </w:rPr>
        <w:t xml:space="preserve">日17</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30（北京时间）。</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560" w:lineRule="exact"/>
        <w:rPr>
          <w:rFonts w:hint="eastAsia" w:ascii="仿宋" w:hAnsi="仿宋" w:eastAsia="仿宋" w:cs="仿宋"/>
          <w:color w:val="auto"/>
          <w:sz w:val="24"/>
          <w:szCs w:val="24"/>
          <w:highlight w:val="none"/>
        </w:rPr>
      </w:pPr>
      <w:r/>
      <w:bookmarkStart w:id="28" w:name="EB0c44ff4da61f4af989d119fe214be450"/>
      <w:r>
        <w:rPr>
          <w:rFonts w:hint="eastAsia" w:ascii="仿宋" w:hAnsi="仿宋" w:eastAsia="仿宋" w:cs="仿宋"/>
          <w:color w:val="auto"/>
          <w:sz w:val="24"/>
          <w:szCs w:val="24"/>
          <w:highlight w:val="none"/>
        </w:rPr>
        <w:t xml:space="preserve">3.本项目共分</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个包。投标人参与多个包投标的，应按包分别获取招标文件。投标人未按要求获取招标文件导致无法投标的，后果自负（其投标文件不予接受）。</w:t>
      </w:r>
      <w:bookmarkEnd w:id="28"/>
      <w:r/>
      <w:r/>
    </w:p>
    <w:p>
      <w:pPr>
        <w:pStyle w:val="915"/>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四、提交投标文件</w:t>
      </w:r>
      <w:bookmarkEnd w:id="23"/>
      <w:r/>
      <w:bookmarkEnd w:id="24"/>
      <w:r>
        <w:rPr>
          <w:rFonts w:hint="eastAsia" w:ascii="仿宋" w:hAnsi="仿宋" w:eastAsia="仿宋" w:cs="仿宋"/>
          <w:color w:val="auto"/>
          <w:sz w:val="24"/>
          <w:szCs w:val="24"/>
          <w:highlight w:val="none"/>
        </w:rPr>
        <w:t xml:space="preserve">截止时间、开标时间和地点</w:t>
      </w:r>
      <w:bookmarkEnd w:id="25"/>
      <w:r/>
      <w:bookmarkEnd w:id="26"/>
      <w:r/>
      <w:bookmarkEnd w:id="27"/>
      <w:r/>
      <w:r/>
    </w:p>
    <w:p>
      <w:pPr>
        <w:ind w:firstLine="482"/>
        <w:pageBreakBefore w:val="0"/>
        <w:spacing w:line="560" w:lineRule="exact"/>
        <w:rPr>
          <w:rFonts w:hint="eastAsia" w:ascii="仿宋" w:hAnsi="仿宋" w:eastAsia="仿宋" w:cs="仿宋"/>
          <w:b/>
          <w:bCs w:val="0"/>
          <w:color w:val="auto"/>
          <w:sz w:val="24"/>
          <w:szCs w:val="24"/>
          <w:highlight w:val="none"/>
          <w:u w:val="single"/>
        </w:rPr>
      </w:pPr>
      <w:r>
        <w:rPr>
          <w:rFonts w:hint="eastAsia" w:ascii="仿宋" w:hAnsi="仿宋" w:eastAsia="仿宋" w:cs="仿宋"/>
          <w:b/>
          <w:bCs w:val="0"/>
          <w:color w:val="auto"/>
          <w:sz w:val="24"/>
          <w:szCs w:val="24"/>
          <w:highlight w:val="none"/>
        </w:rPr>
        <w:t xml:space="preserve">1.提交投标文件截止时间、开标时间：</w:t>
      </w:r>
      <w:r>
        <w:rPr>
          <w:rFonts w:hint="eastAsia" w:ascii="仿宋" w:hAnsi="仿宋" w:eastAsia="仿宋" w:cs="仿宋"/>
          <w:b/>
          <w:bCs w:val="0"/>
          <w:color w:val="auto"/>
          <w:sz w:val="24"/>
          <w:szCs w:val="24"/>
          <w:highlight w:val="none"/>
          <w:u w:val="single"/>
        </w:rPr>
        <w:t xml:space="preserve">2024年</w:t>
      </w:r>
      <w:r>
        <w:rPr>
          <w:rFonts w:hint="eastAsia" w:ascii="仿宋" w:hAnsi="仿宋" w:eastAsia="仿宋" w:cs="仿宋"/>
          <w:b/>
          <w:bCs w:val="0"/>
          <w:color w:val="auto"/>
          <w:sz w:val="24"/>
          <w:szCs w:val="24"/>
          <w:highlight w:val="none"/>
          <w:u w:val="single"/>
          <w:lang w:val="en-US" w:eastAsia="zh-CN"/>
        </w:rPr>
        <w:t xml:space="preserve">11</w:t>
      </w:r>
      <w:r>
        <w:rPr>
          <w:rFonts w:hint="eastAsia" w:ascii="仿宋" w:hAnsi="仿宋" w:eastAsia="仿宋" w:cs="仿宋"/>
          <w:b/>
          <w:bCs w:val="0"/>
          <w:color w:val="auto"/>
          <w:sz w:val="24"/>
          <w:szCs w:val="24"/>
          <w:highlight w:val="none"/>
          <w:u w:val="single"/>
        </w:rPr>
        <w:t xml:space="preserve">月</w:t>
      </w:r>
      <w:r>
        <w:rPr>
          <w:rFonts w:hint="eastAsia" w:ascii="仿宋" w:hAnsi="仿宋" w:eastAsia="仿宋" w:cs="仿宋"/>
          <w:b/>
          <w:bCs w:val="0"/>
          <w:color w:val="auto"/>
          <w:sz w:val="24"/>
          <w:szCs w:val="24"/>
          <w:highlight w:val="none"/>
          <w:u w:val="single"/>
          <w:lang w:val="en-US" w:eastAsia="zh-CN"/>
        </w:rPr>
        <w:t xml:space="preserve">27</w:t>
      </w:r>
      <w:r>
        <w:rPr>
          <w:rFonts w:hint="eastAsia" w:ascii="仿宋" w:hAnsi="仿宋" w:eastAsia="仿宋" w:cs="仿宋"/>
          <w:b/>
          <w:bCs w:val="0"/>
          <w:color w:val="auto"/>
          <w:sz w:val="24"/>
          <w:szCs w:val="24"/>
          <w:highlight w:val="none"/>
          <w:u w:val="single"/>
        </w:rPr>
        <w:t xml:space="preserve">日</w:t>
      </w:r>
      <w:r>
        <w:rPr>
          <w:rFonts w:hint="eastAsia" w:ascii="仿宋" w:hAnsi="仿宋" w:eastAsia="仿宋" w:cs="仿宋"/>
          <w:b/>
          <w:bCs w:val="0"/>
          <w:color w:val="auto"/>
          <w:sz w:val="24"/>
          <w:szCs w:val="24"/>
          <w:highlight w:val="none"/>
          <w:u w:val="single"/>
        </w:rPr>
        <w:t xml:space="preserve">09点30分</w:t>
      </w:r>
      <w:r>
        <w:rPr>
          <w:rFonts w:hint="eastAsia" w:ascii="仿宋" w:hAnsi="仿宋" w:eastAsia="仿宋" w:cs="仿宋"/>
          <w:b/>
          <w:bCs w:val="0"/>
          <w:color w:val="auto"/>
          <w:sz w:val="24"/>
          <w:szCs w:val="24"/>
          <w:highlight w:val="none"/>
        </w:rPr>
        <w:t xml:space="preserve">（北京时间）</w:t>
      </w:r>
      <w:r/>
    </w:p>
    <w:p>
      <w:pPr>
        <w:ind w:firstLine="482"/>
        <w:pageBreakBefore w:val="0"/>
        <w:spacing w:line="56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2.地点：“苏采云”政府采购交易系统网上开标大厅。</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bookmarkStart w:id="29" w:name="_Toc35393625"/>
      <w:r/>
      <w:bookmarkStart w:id="30" w:name="_Toc35393794"/>
      <w:r/>
      <w:bookmarkStart w:id="31" w:name="_Toc28359084"/>
      <w:r/>
      <w:bookmarkStart w:id="32" w:name="_Toc28359007"/>
      <w:r/>
      <w:bookmarkStart w:id="33" w:name="_Toc38985267"/>
      <w:r>
        <w:rPr>
          <w:rFonts w:hint="eastAsia" w:ascii="仿宋" w:hAnsi="仿宋" w:eastAsia="仿宋" w:cs="仿宋"/>
          <w:color w:val="auto"/>
          <w:sz w:val="24"/>
          <w:szCs w:val="24"/>
          <w:highlight w:val="none"/>
        </w:rPr>
        <w:t xml:space="preserve">五、公告期限</w:t>
      </w:r>
      <w:bookmarkEnd w:id="29"/>
      <w:r/>
      <w:bookmarkEnd w:id="30"/>
      <w:r/>
      <w:bookmarkEnd w:id="31"/>
      <w:r/>
      <w:bookmarkEnd w:id="32"/>
      <w:r/>
      <w:bookmarkEnd w:id="33"/>
      <w:r/>
      <w:r/>
    </w:p>
    <w:p>
      <w:pPr>
        <w:ind w:firstLine="480"/>
        <w:pageBreakBefore w:val="0"/>
        <w:spacing w:line="560" w:lineRule="exact"/>
        <w:rPr>
          <w:rFonts w:hint="eastAsia" w:ascii="仿宋" w:hAnsi="仿宋" w:eastAsia="仿宋" w:cs="仿宋"/>
          <w:color w:val="auto"/>
          <w:sz w:val="24"/>
          <w:szCs w:val="24"/>
          <w:highlight w:val="none"/>
        </w:rPr>
      </w:pPr>
      <w:r/>
      <w:bookmarkStart w:id="34" w:name="_Toc38985268"/>
      <w:r/>
      <w:bookmarkStart w:id="35" w:name="_Toc35393626"/>
      <w:r/>
      <w:bookmarkStart w:id="36" w:name="_Toc35393795"/>
      <w:r>
        <w:rPr>
          <w:rFonts w:hint="eastAsia" w:ascii="仿宋" w:hAnsi="仿宋" w:eastAsia="仿宋" w:cs="仿宋"/>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六、其他补充事宜</w:t>
      </w:r>
      <w:bookmarkEnd w:id="34"/>
      <w:r/>
      <w:bookmarkEnd w:id="35"/>
      <w:r/>
      <w:bookmarkEnd w:id="36"/>
      <w:r/>
      <w:r/>
    </w:p>
    <w:p>
      <w:pPr>
        <w:ind w:firstLine="480"/>
        <w:pageBreakBefore w:val="0"/>
        <w:spacing w:line="560" w:lineRule="exact"/>
        <w:rPr>
          <w:rFonts w:hint="eastAsia" w:ascii="仿宋" w:hAnsi="仿宋" w:eastAsia="仿宋" w:cs="仿宋"/>
          <w:color w:val="auto"/>
          <w:sz w:val="24"/>
          <w:szCs w:val="24"/>
          <w:highlight w:val="none"/>
        </w:rPr>
      </w:pPr>
      <w:r/>
      <w:bookmarkStart w:id="37" w:name="EB64e1f522fd8c43fcb4d3ba471386b3e7"/>
      <w:r/>
      <w:bookmarkStart w:id="38" w:name="_Toc28359008"/>
      <w:r/>
      <w:bookmarkStart w:id="39" w:name="_Toc38985269"/>
      <w:r/>
      <w:bookmarkStart w:id="40" w:name="_Toc28359085"/>
      <w:r/>
      <w:bookmarkStart w:id="41" w:name="_Toc35393796"/>
      <w:r/>
      <w:bookmarkStart w:id="42" w:name="_Toc35393627"/>
      <w:r>
        <w:rPr>
          <w:rFonts w:hint="eastAsia" w:ascii="仿宋" w:hAnsi="仿宋" w:eastAsia="仿宋" w:cs="仿宋"/>
          <w:color w:val="auto"/>
          <w:sz w:val="24"/>
          <w:szCs w:val="24"/>
          <w:highlight w:val="none"/>
        </w:rPr>
        <w:t xml:space="preserve">1.财政部门监督电话：</w:t>
      </w:r>
      <w:r>
        <w:rPr>
          <w:rFonts w:hint="eastAsia" w:ascii="仿宋" w:hAnsi="仿宋" w:eastAsia="仿宋" w:cs="仿宋"/>
          <w:color w:val="auto"/>
          <w:sz w:val="24"/>
          <w:szCs w:val="24"/>
          <w:highlight w:val="none"/>
          <w:lang w:eastAsia="zh-CN"/>
        </w:rPr>
        <w:t xml:space="preserve">0527-82963292</w:t>
      </w:r>
      <w:r>
        <w:rPr>
          <w:rFonts w:hint="eastAsia" w:ascii="仿宋" w:hAnsi="仿宋" w:eastAsia="仿宋" w:cs="仿宋"/>
          <w:color w:val="auto"/>
          <w:sz w:val="24"/>
          <w:szCs w:val="24"/>
          <w:highlight w:val="none"/>
        </w:rPr>
        <w:t xml:space="preserve">。</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3.宿迁地区“苏采云”技术支持客服电话：0527-84225125、0519-86722806。</w:t>
      </w:r>
      <w:r/>
    </w:p>
    <w:p>
      <w:pPr>
        <w:ind w:firstLine="480"/>
        <w:pageBreakBefore w:val="0"/>
        <w:spacing w:line="56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4.如果投标人通过苏采云系统参与政府采购项目，相关操作手册详见链接：http://www.ccgp-jiangsu.gov.cn/jiangsu/zlxz/ee/ee3a4bc5a3454aa2b0d9312230633ce9.html。</w:t>
      </w:r>
      <w:bookmarkEnd w:id="37"/>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5.现场勘察及答疑：本项目不组织集中勘察及答疑，投标人如对采购需求有疑问，请咨询采购单位联系人。</w:t>
      </w:r>
      <w:r/>
    </w:p>
    <w:p>
      <w:pPr>
        <w:pStyle w:val="915"/>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七、本次招标联系方式</w:t>
      </w:r>
      <w:bookmarkEnd w:id="38"/>
      <w:r/>
      <w:bookmarkEnd w:id="39"/>
      <w:r/>
      <w:bookmarkEnd w:id="40"/>
      <w:r/>
      <w:bookmarkEnd w:id="41"/>
      <w:r/>
      <w:bookmarkEnd w:id="42"/>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宿迁市宿城区财政局</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宿迁市宿城区成子湖路1号宿城区行政服务中心2层</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丁伟华</w:t>
      </w:r>
      <w:r>
        <w:rPr>
          <w:rFonts w:hint="eastAsia" w:ascii="仿宋" w:hAnsi="仿宋" w:eastAsia="仿宋" w:cs="仿宋"/>
          <w:color w:val="auto"/>
          <w:sz w:val="24"/>
          <w:szCs w:val="24"/>
          <w:highlight w:val="none"/>
        </w:rPr>
        <w:t xml:space="preserve"> </w:t>
      </w:r>
      <w:r/>
    </w:p>
    <w:p>
      <w:pPr>
        <w:ind w:firstLine="480"/>
        <w:jc w:val="left"/>
        <w:pageBreakBefore w:val="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0527-82962616</w:t>
      </w:r>
      <w:r>
        <w:rPr>
          <w:rFonts w:hint="eastAsia" w:ascii="仿宋" w:hAnsi="仿宋" w:eastAsia="仿宋" w:cs="仿宋"/>
          <w:color w:val="auto"/>
          <w:sz w:val="24"/>
          <w:szCs w:val="24"/>
          <w:highlight w:val="none"/>
        </w:rPr>
        <w:t xml:space="preserve"> </w:t>
      </w:r>
      <w:bookmarkStart w:id="43" w:name="_Toc28359009"/>
      <w:r/>
      <w:bookmarkStart w:id="44" w:name="_Toc28359086"/>
      <w:r/>
      <w:r/>
    </w:p>
    <w:p>
      <w:pPr>
        <w:ind w:firstLine="480"/>
        <w:jc w:val="left"/>
        <w:pageBreakBefore w:val="0"/>
        <w:spacing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43"/>
      <w:r/>
      <w:bookmarkEnd w:id="44"/>
      <w:r>
        <w:rPr>
          <w:rFonts w:hint="eastAsia" w:ascii="仿宋" w:hAnsi="仿宋" w:eastAsia="仿宋" w:cs="仿宋"/>
          <w:color w:val="auto"/>
          <w:sz w:val="24"/>
          <w:szCs w:val="24"/>
          <w:highlight w:val="none"/>
        </w:rPr>
        <w:t xml:space="preserve">采购代理机构信息</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宿迁市宏晟项目管理有限公司</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宿迁市宿城区霸王举鼎广场浙江大厦（开元颐居酒店旁）11楼1113室</w:t>
      </w:r>
      <w:r/>
    </w:p>
    <w:p>
      <w:pPr>
        <w:ind w:firstLine="48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范雯雯</w:t>
      </w:r>
      <w:r>
        <w:rPr>
          <w:rFonts w:hint="eastAsia" w:ascii="仿宋" w:hAnsi="仿宋" w:eastAsia="仿宋" w:cs="仿宋"/>
          <w:color w:val="auto"/>
          <w:sz w:val="24"/>
          <w:szCs w:val="24"/>
          <w:highlight w:val="none"/>
        </w:rPr>
        <w:t xml:space="preserve"> </w:t>
      </w:r>
      <w:r/>
    </w:p>
    <w:p>
      <w:pPr>
        <w:ind w:firstLine="480"/>
        <w:pageBreakBefore w:val="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45" w:name="_Toc28359010"/>
      <w:r/>
      <w:bookmarkStart w:id="46" w:name="_Toc28359087"/>
      <w:r>
        <w:rPr>
          <w:rFonts w:hint="eastAsia" w:ascii="仿宋" w:hAnsi="仿宋" w:eastAsia="仿宋" w:cs="仿宋"/>
          <w:color w:val="auto"/>
          <w:sz w:val="24"/>
          <w:szCs w:val="24"/>
          <w:highlight w:val="none"/>
          <w:lang w:val="en-US" w:eastAsia="zh-CN"/>
        </w:rPr>
        <w:t xml:space="preserve">0527-88818669/</w:t>
      </w:r>
      <w:r>
        <w:rPr>
          <w:rFonts w:hint="eastAsia" w:ascii="仿宋" w:hAnsi="仿宋" w:eastAsia="仿宋" w:cs="仿宋"/>
          <w:color w:val="auto"/>
          <w:sz w:val="24"/>
          <w:szCs w:val="24"/>
          <w:highlight w:val="none"/>
          <w:lang w:eastAsia="zh-CN"/>
        </w:rPr>
        <w:t xml:space="preserve">19905245686</w:t>
      </w:r>
      <w:bookmarkEnd w:id="45"/>
      <w:r/>
      <w:bookmarkEnd w:id="46"/>
      <w:r/>
      <w:r/>
    </w:p>
    <w:p>
      <w:pPr>
        <w:pStyle w:val="915"/>
        <w:ind w:firstLine="482"/>
        <w:pageBreakBefore w:val="0"/>
        <w:spacing w:before="0" w:after="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八、其他</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1、有关本次招标的事项若存在变动或修改，敬请及时关注“宿迁市政府采购网”等平台更正公告。</w:t>
      </w:r>
      <w:r/>
    </w:p>
    <w:p>
      <w:pPr>
        <w:ind w:firstLine="480"/>
        <w:jc w:val="left"/>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2、本次招标不收取投标保证金。</w:t>
      </w:r>
      <w:r/>
    </w:p>
    <w:p>
      <w:pPr>
        <w:ind w:left="0" w:firstLine="480"/>
        <w:jc w:val="left"/>
        <w:pageBreakBefore w:val="0"/>
        <w:spacing w:line="360" w:lineRule="auto"/>
        <w:rPr>
          <w:rFonts w:hint="eastAsia" w:ascii="仿宋_GB2312" w:hAnsi="Times New Roman" w:eastAsia="仿宋_GB2312" w:cs="Times New Roman"/>
          <w:color w:val="auto"/>
          <w:sz w:val="24"/>
          <w:szCs w:val="24"/>
          <w:highlight w:val="none"/>
        </w:rPr>
      </w:pPr>
      <w:r>
        <w:rPr>
          <w:rFonts w:hint="eastAsia" w:ascii="仿宋_GB2312" w:hAnsi="Times New Roman" w:eastAsia="仿宋_GB2312" w:cs="Times New Roman"/>
          <w:color w:val="auto"/>
          <w:sz w:val="24"/>
          <w:szCs w:val="24"/>
          <w:highlight w:val="none"/>
        </w:rPr>
      </w:r>
      <w:r/>
    </w:p>
    <w:p>
      <w:pPr>
        <w:pStyle w:val="914"/>
        <w:ind w:left="0" w:firstLine="0"/>
        <w:jc w:val="center"/>
        <w:keepLines/>
        <w:keepNext/>
        <w:pageBreakBefore w:val="0"/>
        <w:spacing w:before="0" w:after="0" w:line="480" w:lineRule="auto"/>
        <w:widowControl w:val="off"/>
        <w:rPr>
          <w:rFonts w:hint="eastAsia" w:ascii="黑体" w:hAnsi="黑体" w:eastAsia="黑体"/>
          <w:b w:val="0"/>
          <w:bCs w:val="0"/>
          <w:color w:val="auto"/>
          <w:highlight w:val="none"/>
        </w:rPr>
        <w:outlineLvl w:val="0"/>
      </w:pPr>
      <w:r/>
      <w:bookmarkStart w:id="47" w:name="_Toc120614211"/>
      <w:r>
        <w:rPr>
          <w:rFonts w:hint="eastAsia" w:ascii="仿宋_GB2312" w:hAnsi="Times New Roman" w:eastAsia="仿宋_GB2312"/>
          <w:color w:val="auto"/>
          <w:highlight w:val="none"/>
        </w:rPr>
        <w:br w:type="page" w:clear="all"/>
      </w:r>
      <w:bookmarkStart w:id="48" w:name="_Toc14806"/>
      <w:r>
        <w:rPr>
          <w:rStyle w:val="765"/>
          <w:rFonts w:hint="eastAsia"/>
          <w:color w:val="auto"/>
          <w:highlight w:val="none"/>
        </w:rPr>
        <w:t xml:space="preserve">第二章</w:t>
      </w:r>
      <w:bookmarkEnd w:id="1"/>
      <w:r/>
      <w:bookmarkEnd w:id="2"/>
      <w:r/>
      <w:bookmarkEnd w:id="3"/>
      <w:r/>
      <w:bookmarkEnd w:id="4"/>
      <w:r/>
      <w:bookmarkEnd w:id="5"/>
      <w:r/>
      <w:bookmarkEnd w:id="47"/>
      <w:r/>
      <w:bookmarkStart w:id="49" w:name="_Toc20823274"/>
      <w:r/>
      <w:bookmarkStart w:id="50" w:name="_Toc513029202"/>
      <w:r/>
      <w:bookmarkStart w:id="51" w:name="_Toc16938518"/>
      <w:r/>
      <w:bookmarkStart w:id="52" w:name="_Toc120614213"/>
      <w:r>
        <w:rPr>
          <w:rStyle w:val="765"/>
          <w:rFonts w:hint="eastAsia"/>
          <w:b/>
          <w:bCs/>
          <w:color w:val="auto"/>
          <w:highlight w:val="none"/>
        </w:rPr>
        <w:t xml:space="preserve">   </w:t>
      </w:r>
      <w:r>
        <w:rPr>
          <w:rStyle w:val="765"/>
          <w:rFonts w:hint="eastAsia"/>
          <w:color w:val="auto"/>
          <w:highlight w:val="none"/>
        </w:rPr>
        <w:t xml:space="preserve">投标人须知</w:t>
      </w:r>
      <w:bookmarkEnd w:id="48"/>
      <w:r/>
      <w:bookmarkEnd w:id="49"/>
      <w:r/>
      <w:bookmarkEnd w:id="50"/>
      <w:r/>
      <w:bookmarkEnd w:id="51"/>
      <w:r/>
      <w:bookmarkEnd w:id="52"/>
      <w:r/>
      <w:r/>
    </w:p>
    <w:p>
      <w:pPr>
        <w:pStyle w:val="915"/>
        <w:ind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53" w:name="_Toc513029203"/>
      <w:r/>
      <w:bookmarkStart w:id="54" w:name="_Toc120614214"/>
      <w:r/>
      <w:bookmarkStart w:id="55" w:name="_Toc20823275"/>
      <w:r/>
      <w:bookmarkStart w:id="56" w:name="_Toc16938519"/>
      <w:r>
        <w:rPr>
          <w:rFonts w:hint="eastAsia" w:ascii="仿宋" w:hAnsi="仿宋" w:eastAsia="仿宋" w:cs="仿宋"/>
          <w:color w:val="auto"/>
          <w:sz w:val="24"/>
          <w:szCs w:val="24"/>
          <w:highlight w:val="none"/>
        </w:rPr>
        <w:t xml:space="preserve">一、总则</w:t>
      </w:r>
      <w:bookmarkEnd w:id="53"/>
      <w:r/>
      <w:bookmarkEnd w:id="54"/>
      <w:r/>
      <w:bookmarkEnd w:id="55"/>
      <w:r/>
      <w:bookmarkEnd w:id="56"/>
      <w:r/>
      <w:r/>
    </w:p>
    <w:p>
      <w:pPr>
        <w:pStyle w:val="917"/>
        <w:ind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仿宋" w:hAnsi="仿宋" w:eastAsia="仿宋" w:cs="仿宋"/>
          <w:b w:val="0"/>
          <w:bCs w:val="0"/>
          <w:color w:val="auto"/>
          <w:sz w:val="24"/>
          <w:szCs w:val="24"/>
          <w:highlight w:val="none"/>
        </w:rPr>
        <w:t xml:space="preserve">1</w:t>
      </w:r>
      <w:bookmarkEnd w:id="58"/>
      <w:r>
        <w:rPr>
          <w:rFonts w:hint="eastAsia" w:ascii="仿宋" w:hAnsi="仿宋" w:eastAsia="仿宋" w:cs="仿宋"/>
          <w:b w:val="0"/>
          <w:bCs w:val="0"/>
          <w:color w:val="auto"/>
          <w:sz w:val="24"/>
          <w:szCs w:val="24"/>
          <w:highlight w:val="none"/>
        </w:rPr>
        <w:t xml:space="preserve">、招标方式</w:t>
      </w:r>
      <w:bookmarkEnd w:id="59"/>
      <w:r/>
      <w:bookmarkEnd w:id="60"/>
      <w:r/>
      <w:bookmarkEnd w:id="61"/>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pStyle w:val="917"/>
        <w:ind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62" w:name="_Toc20823277"/>
      <w:r/>
      <w:bookmarkStart w:id="63" w:name="_Toc16938521"/>
      <w:r/>
      <w:bookmarkStart w:id="64" w:name="_Toc513029205"/>
      <w:r>
        <w:rPr>
          <w:rFonts w:hint="eastAsia" w:ascii="仿宋" w:hAnsi="仿宋" w:eastAsia="仿宋" w:cs="仿宋"/>
          <w:b w:val="0"/>
          <w:bCs w:val="0"/>
          <w:color w:val="auto"/>
          <w:sz w:val="24"/>
          <w:szCs w:val="24"/>
          <w:highlight w:val="none"/>
        </w:rPr>
        <w:t xml:space="preserve">2、合格的投标人</w:t>
      </w:r>
      <w:bookmarkEnd w:id="62"/>
      <w:r/>
      <w:bookmarkEnd w:id="63"/>
      <w:r/>
      <w:bookmarkEnd w:id="64"/>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满足招标公告中投标人的资格要求的规定。</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pStyle w:val="917"/>
        <w:ind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65" w:name="_Toc16938522"/>
      <w:r/>
      <w:bookmarkStart w:id="66" w:name="_Toc20823278"/>
      <w:r/>
      <w:bookmarkStart w:id="67" w:name="_Toc513029206"/>
      <w:r>
        <w:rPr>
          <w:rFonts w:hint="eastAsia" w:ascii="仿宋" w:hAnsi="仿宋" w:eastAsia="仿宋" w:cs="仿宋"/>
          <w:b w:val="0"/>
          <w:bCs w:val="0"/>
          <w:color w:val="auto"/>
          <w:sz w:val="24"/>
          <w:szCs w:val="24"/>
          <w:highlight w:val="none"/>
        </w:rPr>
        <w:t xml:space="preserve">3、适用法律</w:t>
      </w:r>
      <w:bookmarkEnd w:id="65"/>
      <w:r/>
      <w:bookmarkEnd w:id="66"/>
      <w:r/>
      <w:bookmarkEnd w:id="67"/>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68" w:name="_Toc462564067"/>
      <w:r/>
      <w:bookmarkStart w:id="69" w:name="_Toc513029207"/>
      <w:r/>
      <w:bookmarkStart w:id="70" w:name="_Toc20823279"/>
      <w:r/>
      <w:bookmarkStart w:id="71" w:name="_Toc16938523"/>
      <w:r>
        <w:rPr>
          <w:rFonts w:hint="eastAsia" w:ascii="仿宋" w:hAnsi="仿宋" w:eastAsia="仿宋" w:cs="仿宋"/>
          <w:b w:val="0"/>
          <w:bCs w:val="0"/>
          <w:color w:val="auto"/>
          <w:sz w:val="24"/>
          <w:szCs w:val="24"/>
          <w:highlight w:val="none"/>
        </w:rPr>
        <w:t xml:space="preserve">4、投标费用</w:t>
      </w:r>
      <w:bookmarkEnd w:id="68"/>
      <w:r/>
      <w:bookmarkEnd w:id="69"/>
      <w:r/>
      <w:bookmarkEnd w:id="70"/>
      <w:r/>
      <w:bookmarkEnd w:id="71"/>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（以下简称采购代理机构）在任何情况下均无义务和责任承担这些费用。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代理费用收取方式及标准：按以下第</w:t>
      </w:r>
      <w:r>
        <w:rPr>
          <w:rFonts w:hint="eastAsia" w:ascii="仿宋" w:hAnsi="仿宋" w:eastAsia="仿宋" w:cs="仿宋"/>
          <w:color w:val="auto"/>
          <w:sz w:val="24"/>
          <w:szCs w:val="24"/>
          <w:highlight w:val="none"/>
          <w:u w:val="single"/>
        </w:rPr>
        <w:t xml:space="preserve">4.2.</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种方式执行</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4.2.1 无需支付；</w:t>
      </w:r>
      <w:r/>
    </w:p>
    <w:p>
      <w:pPr>
        <w:pStyle w:val="979"/>
        <w:ind w:left="0" w:firstLine="480"/>
        <w:pageBreakBefore w:val="0"/>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zh-CN"/>
        </w:rPr>
        <w:t xml:space="preserve">4.2.2 采购人支付，具体方式及标准为：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lang w:val="en-US" w:eastAsia="zh-CN"/>
        </w:rPr>
        <w:t xml:space="preserve">；</w:t>
      </w:r>
      <w:r/>
    </w:p>
    <w:p>
      <w:pPr>
        <w:pStyle w:val="979"/>
        <w:ind w:left="0" w:firstLine="480"/>
        <w:pageBreakBefore w:val="0"/>
        <w:widowControl w:val="off"/>
        <w:rPr>
          <w:rFonts w:hint="eastAsia"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lang w:val="zh-CN"/>
        </w:rPr>
        <w:t xml:space="preserve">4.2.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val="zh-CN"/>
        </w:rPr>
        <w:t xml:space="preserve">人支付，具体方式及标准为：</w:t>
      </w:r>
      <w:r>
        <w:rPr>
          <w:rFonts w:hint="eastAsia" w:ascii="仿宋" w:hAnsi="仿宋" w:eastAsia="仿宋" w:cs="仿宋"/>
          <w:color w:val="auto"/>
          <w:sz w:val="24"/>
          <w:szCs w:val="24"/>
          <w:highlight w:val="none"/>
          <w:u w:val="single"/>
          <w:lang w:val="en-US"/>
        </w:rPr>
        <w:t xml:space="preserve">按《江苏省招标代理服务收费的指导意见》</w:t>
      </w:r>
      <w:r>
        <w:rPr>
          <w:rFonts w:hint="eastAsia" w:ascii="仿宋" w:hAnsi="仿宋" w:eastAsia="仿宋" w:cs="仿宋"/>
          <w:color w:val="auto"/>
          <w:sz w:val="24"/>
          <w:szCs w:val="24"/>
          <w:highlight w:val="none"/>
          <w:u w:val="single"/>
        </w:rPr>
        <w:t xml:space="preserve">苏招协[2022]002号文收费标准收取代理费。支付方式可以通过转账或数字人民币等方式。</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5、招标文件的约束力</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投标人一旦参加本项目采购活动，即被认为接受了本招标文件的规定和约束。</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72" w:name="_Toc20823281"/>
      <w:r/>
      <w:bookmarkStart w:id="73" w:name="_Toc513029209"/>
      <w:r/>
      <w:bookmarkStart w:id="74" w:name="_Toc120614215"/>
      <w:r/>
      <w:bookmarkStart w:id="75" w:name="_Toc16938525"/>
      <w:r>
        <w:rPr>
          <w:rFonts w:hint="eastAsia" w:ascii="仿宋" w:hAnsi="仿宋" w:eastAsia="仿宋" w:cs="仿宋"/>
          <w:color w:val="auto"/>
          <w:sz w:val="24"/>
          <w:szCs w:val="24"/>
          <w:highlight w:val="none"/>
        </w:rPr>
        <w:t xml:space="preserve">二、招标文件</w:t>
      </w:r>
      <w:bookmarkEnd w:id="72"/>
      <w:r/>
      <w:bookmarkEnd w:id="73"/>
      <w:r/>
      <w:bookmarkEnd w:id="74"/>
      <w:r/>
      <w:bookmarkEnd w:id="75"/>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76" w:name="_Toc513029210"/>
      <w:r/>
      <w:bookmarkStart w:id="77" w:name="_Toc20823282"/>
      <w:r/>
      <w:bookmarkStart w:id="78" w:name="_Toc16938526"/>
      <w:r>
        <w:rPr>
          <w:rFonts w:hint="eastAsia" w:ascii="仿宋" w:hAnsi="仿宋" w:eastAsia="仿宋" w:cs="仿宋"/>
          <w:b w:val="0"/>
          <w:bCs w:val="0"/>
          <w:color w:val="auto"/>
          <w:sz w:val="24"/>
          <w:szCs w:val="24"/>
          <w:highlight w:val="none"/>
        </w:rPr>
        <w:t xml:space="preserve">6、招标文件构成</w:t>
      </w:r>
      <w:bookmarkEnd w:id="76"/>
      <w:r/>
      <w:bookmarkEnd w:id="77"/>
      <w:r/>
      <w:bookmarkEnd w:id="78"/>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 招标文件由以下部分组成：</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请仔细检查招标文件是否齐全，如有缺漏请立即与采购代理机构联系解决。</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6.2</w:t>
      </w:r>
      <w:r>
        <w:rPr>
          <w:rFonts w:hint="eastAsia" w:ascii="仿宋" w:hAnsi="仿宋" w:eastAsia="仿宋" w:cs="仿宋"/>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79" w:name="_Toc20823283"/>
      <w:r/>
      <w:bookmarkStart w:id="80" w:name="_Toc513029211"/>
      <w:r/>
      <w:bookmarkStart w:id="81" w:name="_Toc16938527"/>
      <w:r/>
      <w:bookmarkStart w:id="82" w:name="_Toc462564070"/>
      <w:r>
        <w:rPr>
          <w:rFonts w:hint="eastAsia" w:ascii="仿宋" w:hAnsi="仿宋" w:eastAsia="仿宋" w:cs="仿宋"/>
          <w:b w:val="0"/>
          <w:bCs w:val="0"/>
          <w:color w:val="auto"/>
          <w:sz w:val="24"/>
          <w:szCs w:val="24"/>
          <w:highlight w:val="none"/>
        </w:rPr>
        <w:t xml:space="preserve">7、招标文件的澄清</w:t>
      </w:r>
      <w:bookmarkEnd w:id="79"/>
      <w:r/>
      <w:bookmarkEnd w:id="80"/>
      <w:r/>
      <w:bookmarkEnd w:id="81"/>
      <w:r/>
      <w:bookmarkEnd w:id="82"/>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7.1</w:t>
      </w:r>
      <w:r>
        <w:rPr>
          <w:rFonts w:hint="eastAsia" w:ascii="仿宋" w:hAnsi="仿宋" w:eastAsia="仿宋" w:cs="仿宋"/>
          <w:color w:val="auto"/>
          <w:sz w:val="24"/>
          <w:szCs w:val="24"/>
          <w:highlight w:val="none"/>
        </w:rPr>
        <w:t xml:space="preserve"> 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前按招标公告中的通讯地址，以书面形式通知采购代理机构。</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83" w:name="_Toc20823284"/>
      <w:r/>
      <w:bookmarkStart w:id="84" w:name="_Toc513029212"/>
      <w:r/>
      <w:bookmarkStart w:id="85" w:name="_Toc16938528"/>
      <w:r/>
      <w:bookmarkStart w:id="86" w:name="_Toc462564071"/>
      <w:r>
        <w:rPr>
          <w:rFonts w:hint="eastAsia" w:ascii="仿宋" w:hAnsi="仿宋" w:eastAsia="仿宋" w:cs="仿宋"/>
          <w:b w:val="0"/>
          <w:bCs w:val="0"/>
          <w:color w:val="auto"/>
          <w:sz w:val="24"/>
          <w:szCs w:val="24"/>
          <w:highlight w:val="none"/>
        </w:rPr>
        <w:t xml:space="preserve">8、招标文件的修改</w:t>
      </w:r>
      <w:bookmarkEnd w:id="83"/>
      <w:r/>
      <w:bookmarkEnd w:id="84"/>
      <w:r/>
      <w:bookmarkEnd w:id="85"/>
      <w:r/>
      <w:bookmarkEnd w:id="86"/>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 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 在投标截止时间前，采购代理机构可以对招标文件进行修改。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 采购代理机构有权按照法定的要求推迟投标截止日期和开标日期。</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8.4 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8.5 投标人应及时登录“苏采云”系统获取澄清答疑文件（修改后招标文件），如因投标人原因未能及时下载澄清和修改后的招标文件，由此造成的相关责任，由投标人承担。</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87" w:name="_Toc20823285"/>
      <w:r/>
      <w:bookmarkStart w:id="88" w:name="_Toc16938529"/>
      <w:r/>
      <w:bookmarkStart w:id="89" w:name="_Toc462564072"/>
      <w:r/>
      <w:bookmarkStart w:id="90" w:name="_Toc120614216"/>
      <w:r/>
      <w:bookmarkStart w:id="91" w:name="_Toc513029213"/>
      <w:r>
        <w:rPr>
          <w:rFonts w:hint="eastAsia" w:ascii="仿宋" w:hAnsi="仿宋" w:eastAsia="仿宋" w:cs="仿宋"/>
          <w:color w:val="auto"/>
          <w:sz w:val="24"/>
          <w:szCs w:val="24"/>
          <w:highlight w:val="none"/>
        </w:rPr>
        <w:t xml:space="preserve">三、投标文件的编制</w:t>
      </w:r>
      <w:bookmarkEnd w:id="87"/>
      <w:r/>
      <w:bookmarkEnd w:id="88"/>
      <w:r/>
      <w:bookmarkEnd w:id="89"/>
      <w:r/>
      <w:bookmarkEnd w:id="90"/>
      <w:r/>
      <w:bookmarkEnd w:id="91"/>
      <w:r/>
      <w:r/>
    </w:p>
    <w:p>
      <w:pPr>
        <w:pStyle w:val="917"/>
        <w:ind w:left="0" w:firstLine="480"/>
        <w:pageBreakBefore w:val="0"/>
        <w:spacing w:before="0" w:after="0" w:line="560" w:lineRule="exact"/>
        <w:widowControl w:val="off"/>
        <w:rPr>
          <w:rFonts w:hint="eastAsia" w:ascii="仿宋" w:hAnsi="仿宋" w:eastAsia="仿宋" w:cs="仿宋"/>
          <w:bCs w:val="0"/>
          <w:color w:val="auto"/>
          <w:sz w:val="24"/>
          <w:szCs w:val="24"/>
          <w:highlight w:val="none"/>
        </w:rPr>
      </w:pPr>
      <w:r/>
      <w:bookmarkStart w:id="92" w:name="_Toc513029214"/>
      <w:r/>
      <w:bookmarkStart w:id="93" w:name="_Toc20823286"/>
      <w:r/>
      <w:bookmarkStart w:id="94" w:name="_Toc462564073"/>
      <w:r/>
      <w:bookmarkStart w:id="95" w:name="_Toc16938530"/>
      <w:r>
        <w:rPr>
          <w:rFonts w:hint="eastAsia" w:ascii="仿宋" w:hAnsi="仿宋" w:eastAsia="仿宋" w:cs="仿宋"/>
          <w:b w:val="0"/>
          <w:bCs w:val="0"/>
          <w:color w:val="auto"/>
          <w:sz w:val="24"/>
          <w:szCs w:val="24"/>
          <w:highlight w:val="none"/>
        </w:rPr>
        <w:t xml:space="preserve">9、投标文件的语言及度量衡单位</w:t>
      </w:r>
      <w:bookmarkEnd w:id="92"/>
      <w:r/>
      <w:bookmarkEnd w:id="93"/>
      <w:r/>
      <w:bookmarkEnd w:id="94"/>
      <w:r/>
      <w:bookmarkEnd w:id="95"/>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9.1</w:t>
      </w:r>
      <w:r>
        <w:rPr>
          <w:rFonts w:hint="eastAsia" w:ascii="仿宋" w:hAnsi="仿宋" w:eastAsia="仿宋" w:cs="仿宋"/>
          <w:color w:val="auto"/>
          <w:sz w:val="24"/>
          <w:szCs w:val="24"/>
          <w:highlight w:val="none"/>
        </w:rPr>
        <w:t xml:space="preserve"> 投标人提交的投标文件以及投标人与采购代理机构就有关投标的所有来往通知、函件和文件均应使用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9.2</w:t>
      </w:r>
      <w:r>
        <w:rPr>
          <w:rFonts w:hint="eastAsia" w:ascii="仿宋" w:hAnsi="仿宋" w:eastAsia="仿宋" w:cs="仿宋"/>
          <w:color w:val="auto"/>
          <w:sz w:val="24"/>
          <w:szCs w:val="24"/>
          <w:highlight w:val="none"/>
        </w:rPr>
        <w:t xml:space="preserve"> 除技术性能另有规定外，投标文件所使用的度量衡单位，均须采用国家法定计量单位。</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96" w:name="_Toc20823287"/>
      <w:r/>
      <w:bookmarkStart w:id="97" w:name="_Toc16938531"/>
      <w:r/>
      <w:bookmarkStart w:id="98" w:name="_Toc513029215"/>
      <w:r/>
      <w:bookmarkStart w:id="99" w:name="_Toc462564074"/>
      <w:r>
        <w:rPr>
          <w:rFonts w:hint="eastAsia" w:ascii="仿宋" w:hAnsi="仿宋" w:eastAsia="仿宋" w:cs="仿宋"/>
          <w:b w:val="0"/>
          <w:bCs w:val="0"/>
          <w:color w:val="auto"/>
          <w:sz w:val="24"/>
          <w:szCs w:val="24"/>
          <w:highlight w:val="none"/>
        </w:rPr>
        <w:t xml:space="preserve">10、投标文件构成</w:t>
      </w:r>
      <w:bookmarkEnd w:id="96"/>
      <w:r/>
      <w:bookmarkEnd w:id="97"/>
      <w:r/>
      <w:bookmarkEnd w:id="98"/>
      <w:r/>
      <w:bookmarkEnd w:id="99"/>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 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各投标人在编制投标文件时请按照招标文件第六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zh-CN"/>
        </w:rPr>
        <w:t xml:space="preserve">规定的格式进行，混乱的编排导致投标文件被误读或评委会查找不到有效文件是投标人的风险。</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投标人编写的投标文件应包括资格证明文件、符合性证明文件、响应及偏离表、其他证明文件、投标函、开标一览表等部分。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 投标文件须加盖电子签章之处，应按要求加盖投标人数字证书的电子签章。其他需要盖章但未明确要求电子签章的，投标人可按要求加盖公章后上传材料电子件或直接加盖电子签章。</w:t>
      </w:r>
      <w:r/>
    </w:p>
    <w:p>
      <w:pPr>
        <w:ind w:left="0" w:firstLine="482"/>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10.4 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因“苏采云”系统导致解密失败的除外</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 中标后按相关要求提供与电子投标文件一致的纸质打印投标文件2份。</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100" w:name="EBc50e2bb832bb43068403b10c1cce6141"/>
      <w:r>
        <w:rPr>
          <w:rFonts w:hint="eastAsia" w:ascii="仿宋" w:hAnsi="仿宋" w:eastAsia="仿宋" w:cs="仿宋"/>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0"/>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01" w:name="_Hlt26954838"/>
      <w:r/>
      <w:bookmarkEnd w:id="101"/>
      <w:r/>
      <w:bookmarkStart w:id="102" w:name="_Hlt26668975"/>
      <w:r/>
      <w:bookmarkEnd w:id="102"/>
      <w:r/>
      <w:bookmarkStart w:id="103" w:name="_Hlt26670360"/>
      <w:r/>
      <w:bookmarkEnd w:id="103"/>
      <w:r/>
      <w:bookmarkStart w:id="104" w:name="_Toc14577357"/>
      <w:r/>
      <w:bookmarkStart w:id="105" w:name="_Toc49090509"/>
      <w:r/>
      <w:bookmarkStart w:id="106" w:name="_Toc513029219"/>
      <w:r/>
      <w:bookmarkStart w:id="107" w:name="_Toc49090507"/>
      <w:r/>
      <w:bookmarkStart w:id="108" w:name="_Toc513029216"/>
      <w:r/>
      <w:bookmarkStart w:id="109" w:name="_Toc14577354"/>
      <w:r>
        <w:rPr>
          <w:rFonts w:hint="eastAsia" w:ascii="仿宋" w:hAnsi="仿宋" w:eastAsia="仿宋" w:cs="仿宋"/>
          <w:b w:val="0"/>
          <w:bCs w:val="0"/>
          <w:color w:val="auto"/>
          <w:sz w:val="24"/>
          <w:szCs w:val="24"/>
          <w:highlight w:val="none"/>
        </w:rPr>
        <w:t xml:space="preserve">11、证明投标人及投标标的符合招标文件规定的文件</w:t>
      </w:r>
      <w:bookmarkEnd w:id="104"/>
      <w:r/>
      <w:bookmarkEnd w:id="105"/>
      <w:r/>
      <w:bookmarkEnd w:id="106"/>
      <w:r/>
      <w:bookmarkEnd w:id="107"/>
      <w:r/>
      <w:bookmarkEnd w:id="108"/>
      <w:r/>
      <w:bookmarkEnd w:id="109"/>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10" w:name="_Toc14577355"/>
      <w:r/>
      <w:bookmarkStart w:id="111" w:name="_Toc49090508"/>
      <w:r>
        <w:rPr>
          <w:rFonts w:hint="eastAsia" w:ascii="仿宋" w:hAnsi="仿宋" w:eastAsia="仿宋" w:cs="仿宋"/>
          <w:color w:val="auto"/>
          <w:sz w:val="24"/>
          <w:szCs w:val="24"/>
          <w:highlight w:val="none"/>
        </w:rPr>
        <w:t xml:space="preserve">11.1 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招标文件对证明文件无明确形式要求的，证明文件可以以文字资料、图纸和数据等形式提交。</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12、投标分项报价</w:t>
      </w:r>
      <w:bookmarkEnd w:id="110"/>
      <w:r/>
      <w:bookmarkStart w:id="112" w:name="_Hlt26670373"/>
      <w:r/>
      <w:bookmarkEnd w:id="112"/>
      <w:r>
        <w:rPr>
          <w:rFonts w:hint="eastAsia" w:ascii="仿宋" w:hAnsi="仿宋" w:eastAsia="仿宋" w:cs="仿宋"/>
          <w:b w:val="0"/>
          <w:bCs w:val="0"/>
          <w:color w:val="auto"/>
          <w:sz w:val="24"/>
          <w:szCs w:val="24"/>
          <w:highlight w:val="none"/>
        </w:rPr>
        <w:t xml:space="preserve">表</w:t>
      </w:r>
      <w:bookmarkEnd w:id="111"/>
      <w:r>
        <w:rPr>
          <w:rFonts w:hint="eastAsia" w:ascii="仿宋" w:hAnsi="仿宋" w:eastAsia="仿宋" w:cs="仿宋"/>
          <w:b w:val="0"/>
          <w:bCs w:val="0"/>
          <w:color w:val="auto"/>
          <w:sz w:val="24"/>
          <w:szCs w:val="24"/>
          <w:highlight w:val="none"/>
        </w:rPr>
        <w:t xml:space="preserve">（本项目不涉及）</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13" w:name="_Hlt26954848"/>
      <w:r/>
      <w:bookmarkEnd w:id="113"/>
      <w:r/>
      <w:bookmarkStart w:id="114" w:name="_Hlt26670425"/>
      <w:r/>
      <w:bookmarkEnd w:id="114"/>
      <w:r/>
      <w:bookmarkStart w:id="115" w:name="_Hlt26954846"/>
      <w:r/>
      <w:bookmarkEnd w:id="115"/>
      <w:r/>
      <w:bookmarkStart w:id="116" w:name="_Hlt26670486"/>
      <w:r/>
      <w:bookmarkEnd w:id="116"/>
      <w:r/>
      <w:bookmarkStart w:id="117" w:name="_Hlt26670482"/>
      <w:r/>
      <w:bookmarkEnd w:id="117"/>
      <w:r/>
      <w:bookmarkStart w:id="118" w:name="_Hlt26954731"/>
      <w:r/>
      <w:bookmarkEnd w:id="118"/>
      <w:r/>
      <w:bookmarkStart w:id="119" w:name="_Hlt26954844"/>
      <w:r/>
      <w:bookmarkEnd w:id="119"/>
      <w:r/>
      <w:bookmarkStart w:id="120" w:name="_Hlt26668983"/>
      <w:r/>
      <w:bookmarkEnd w:id="120"/>
      <w:r/>
      <w:bookmarkStart w:id="121" w:name="_Hlt26670403"/>
      <w:r/>
      <w:bookmarkEnd w:id="121"/>
      <w:r/>
      <w:bookmarkStart w:id="122" w:name="_Hlt26954842"/>
      <w:r/>
      <w:bookmarkEnd w:id="122"/>
      <w:r>
        <w:rPr>
          <w:rFonts w:hint="eastAsia" w:ascii="仿宋" w:hAnsi="仿宋" w:eastAsia="仿宋" w:cs="仿宋"/>
          <w:b w:val="0"/>
          <w:bCs w:val="0"/>
          <w:color w:val="auto"/>
          <w:sz w:val="24"/>
          <w:szCs w:val="24"/>
          <w:highlight w:val="none"/>
        </w:rPr>
        <w:t xml:space="preserve">13、技术要求响应及偏离表、商务要求响应及偏离表</w:t>
      </w:r>
      <w:r/>
    </w:p>
    <w:p>
      <w:pPr>
        <w:ind w:left="0" w:firstLine="480"/>
        <w:pageBreakBefore w:val="0"/>
        <w:spacing w:line="560" w:lineRule="exact"/>
        <w:widowControl w:val="off"/>
        <w:rPr>
          <w:rFonts w:hint="eastAsia" w:ascii="仿宋" w:hAnsi="仿宋" w:eastAsia="仿宋" w:cs="仿宋"/>
          <w:color w:val="auto"/>
          <w:sz w:val="24"/>
          <w:szCs w:val="24"/>
          <w:highlight w:val="none"/>
          <w:lang w:val="zh-CN"/>
        </w:rPr>
      </w:pPr>
      <w:r/>
      <w:bookmarkStart w:id="123" w:name="_Toc14577359"/>
      <w:r/>
      <w:bookmarkStart w:id="124" w:name="_Toc49090510"/>
      <w:r>
        <w:rPr>
          <w:rFonts w:hint="eastAsia" w:ascii="仿宋" w:hAnsi="仿宋" w:eastAsia="仿宋" w:cs="仿宋"/>
          <w:bCs/>
          <w:color w:val="auto"/>
          <w:sz w:val="24"/>
          <w:szCs w:val="24"/>
          <w:highlight w:val="none"/>
          <w:lang w:val="zh-CN"/>
        </w:rPr>
        <w:t xml:space="preserve">13.1</w:t>
      </w:r>
      <w:r>
        <w:rPr>
          <w:rFonts w:hint="eastAsia" w:ascii="仿宋" w:hAnsi="仿宋" w:eastAsia="仿宋" w:cs="仿宋"/>
          <w:color w:val="auto"/>
          <w:sz w:val="24"/>
          <w:szCs w:val="24"/>
          <w:highlight w:val="none"/>
          <w:lang w:val="zh-CN"/>
        </w:rPr>
        <w:t xml:space="preserve"> 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13.2 投标人可在投标文件中提供认为需要的其他技术文件或说明。</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14、投标声明及承诺函和开标一览表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 对于采用货币报价的项目，</w:t>
      </w:r>
      <w:r>
        <w:rPr>
          <w:rFonts w:hint="eastAsia" w:ascii="仿宋" w:hAnsi="仿宋" w:eastAsia="仿宋" w:cs="仿宋"/>
          <w:bCs/>
          <w:color w:val="auto"/>
          <w:sz w:val="24"/>
          <w:szCs w:val="24"/>
          <w:highlight w:val="none"/>
        </w:rPr>
        <w:t xml:space="preserve">开标一览表中的投标总报价应与投标分项报价表中的投标总报价一致，如不一致，</w:t>
      </w:r>
      <w:r>
        <w:rPr>
          <w:rFonts w:hint="eastAsia" w:ascii="仿宋" w:hAnsi="仿宋" w:eastAsia="仿宋" w:cs="仿宋"/>
          <w:color w:val="auto"/>
          <w:sz w:val="24"/>
          <w:szCs w:val="24"/>
          <w:highlight w:val="none"/>
        </w:rPr>
        <w:t xml:space="preserve">不作为无效投标处理</w:t>
      </w:r>
      <w:r>
        <w:rPr>
          <w:rFonts w:hint="eastAsia" w:ascii="仿宋" w:hAnsi="仿宋" w:eastAsia="仿宋" w:cs="仿宋"/>
          <w:bCs/>
          <w:color w:val="auto"/>
          <w:sz w:val="24"/>
          <w:szCs w:val="24"/>
          <w:highlight w:val="none"/>
        </w:rPr>
        <w:t xml:space="preserve">，但评标时按开标一览表中价格为准</w:t>
      </w:r>
      <w:r>
        <w:rPr>
          <w:rFonts w:hint="eastAsia" w:ascii="仿宋" w:hAnsi="仿宋" w:eastAsia="仿宋" w:cs="仿宋"/>
          <w:b/>
          <w:bCs/>
          <w:color w:val="auto"/>
          <w:sz w:val="24"/>
          <w:szCs w:val="24"/>
          <w:highlight w:val="none"/>
        </w:rPr>
        <w:t xml:space="preserve">。</w:t>
      </w:r>
      <w:bookmarkEnd w:id="123"/>
      <w:r/>
      <w:bookmarkEnd w:id="124"/>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仿宋" w:hAnsi="仿宋" w:eastAsia="仿宋" w:cs="仿宋"/>
          <w:b w:val="0"/>
          <w:bCs w:val="0"/>
          <w:color w:val="auto"/>
          <w:sz w:val="24"/>
          <w:szCs w:val="24"/>
          <w:highlight w:val="none"/>
        </w:rPr>
        <w:t xml:space="preserve">15、投标有效期</w:t>
      </w:r>
      <w:bookmarkEnd w:id="128"/>
      <w:r/>
      <w:bookmarkEnd w:id="129"/>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15.1</w:t>
      </w:r>
      <w:r>
        <w:rPr>
          <w:rFonts w:hint="eastAsia" w:ascii="仿宋" w:hAnsi="仿宋" w:eastAsia="仿宋" w:cs="仿宋"/>
          <w:bCs/>
          <w:color w:val="auto"/>
          <w:sz w:val="24"/>
          <w:szCs w:val="24"/>
          <w:highlight w:val="none"/>
        </w:rPr>
        <w:t xml:space="preserve"> 投标有效期为开标之日后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。投标有效期比规定短的将被视为未实质性响应招标文件而予以拒绝。</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16、投标有效期的延长</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同意延长投标有效期的投标人既不能要求也不允许修改其投标文件</w:t>
      </w:r>
      <w:r>
        <w:rPr>
          <w:rFonts w:hint="eastAsia" w:ascii="仿宋" w:hAnsi="仿宋" w:eastAsia="仿宋" w:cs="仿宋"/>
          <w:color w:val="auto"/>
          <w:sz w:val="24"/>
          <w:szCs w:val="24"/>
          <w:highlight w:val="none"/>
        </w:rPr>
        <w:t xml:space="preserve">，同时受投标有效期约束的所有权利与义务均延长至新的有效期</w:t>
      </w:r>
      <w:r>
        <w:rPr>
          <w:rFonts w:hint="eastAsia" w:ascii="仿宋" w:hAnsi="仿宋" w:eastAsia="仿宋" w:cs="仿宋"/>
          <w:bCs/>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16.2中标人的投标文件作为项目服务合同的附件，其有效期至中标人全部合同义务履行完毕为止。</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30" w:name="_Hlt26954739"/>
      <w:r/>
      <w:bookmarkEnd w:id="130"/>
      <w:r/>
      <w:bookmarkStart w:id="131" w:name="_Hlt26954852"/>
      <w:r/>
      <w:bookmarkEnd w:id="131"/>
      <w:r/>
      <w:bookmarkStart w:id="132" w:name="_Toc513029224"/>
      <w:r/>
      <w:bookmarkStart w:id="133" w:name="_Toc120614217"/>
      <w:r/>
      <w:bookmarkStart w:id="134" w:name="_Toc20823296"/>
      <w:r/>
      <w:bookmarkStart w:id="135" w:name="_Toc16938540"/>
      <w:r>
        <w:rPr>
          <w:rFonts w:hint="eastAsia" w:ascii="仿宋" w:hAnsi="仿宋" w:eastAsia="仿宋" w:cs="仿宋"/>
          <w:color w:val="auto"/>
          <w:sz w:val="24"/>
          <w:szCs w:val="24"/>
          <w:highlight w:val="none"/>
        </w:rPr>
        <w:t xml:space="preserve">四、投标文件的递交</w:t>
      </w:r>
      <w:bookmarkEnd w:id="132"/>
      <w:r/>
      <w:bookmarkEnd w:id="133"/>
      <w:r/>
      <w:bookmarkEnd w:id="134"/>
      <w:r/>
      <w:bookmarkEnd w:id="135"/>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36" w:name="_Toc513029225"/>
      <w:r/>
      <w:bookmarkStart w:id="137" w:name="_Toc462564084"/>
      <w:r/>
      <w:bookmarkStart w:id="138" w:name="_Toc16938541"/>
      <w:r/>
      <w:bookmarkStart w:id="139" w:name="_Toc20823297"/>
      <w:r>
        <w:rPr>
          <w:rFonts w:hint="eastAsia" w:ascii="仿宋" w:hAnsi="仿宋" w:eastAsia="仿宋" w:cs="仿宋"/>
          <w:b w:val="0"/>
          <w:bCs w:val="0"/>
          <w:color w:val="auto"/>
          <w:sz w:val="24"/>
          <w:szCs w:val="24"/>
          <w:highlight w:val="none"/>
        </w:rPr>
        <w:t xml:space="preserve">17、投标文件</w:t>
      </w:r>
      <w:bookmarkEnd w:id="136"/>
      <w:r/>
      <w:bookmarkEnd w:id="137"/>
      <w:r/>
      <w:bookmarkEnd w:id="138"/>
      <w:r/>
      <w:bookmarkEnd w:id="139"/>
      <w:r>
        <w:rPr>
          <w:rFonts w:hint="eastAsia" w:ascii="仿宋" w:hAnsi="仿宋" w:eastAsia="仿宋" w:cs="仿宋"/>
          <w:b w:val="0"/>
          <w:bCs w:val="0"/>
          <w:color w:val="auto"/>
          <w:sz w:val="24"/>
          <w:szCs w:val="24"/>
          <w:highlight w:val="none"/>
        </w:rPr>
        <w:t xml:space="preserve">的递交</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17.1投标人应当按照《操作手册》规定，在投标截止时间前制作并上传电子投标文件。</w:t>
      </w:r>
      <w:bookmarkStart w:id="140" w:name="_Toc16938542"/>
      <w:r/>
      <w:bookmarkStart w:id="141" w:name="_Toc513029226"/>
      <w:r/>
      <w:bookmarkStart w:id="142" w:name="_Toc20823298"/>
      <w:r/>
      <w:r/>
    </w:p>
    <w:p>
      <w:pPr>
        <w:ind w:left="0" w:firstLine="482"/>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17.2投标人通过“苏采云”系统不见面开标大厅在线参与开标活动。（具体操作详见《“苏采云”系统投标人操作手册》，网址链接http://www.ccgp-jiangsu.gov.cn//webfile/jiangsu/202311/1699268553318052447.pdf）</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18、投标截止</w:t>
      </w:r>
      <w:bookmarkEnd w:id="140"/>
      <w:r/>
      <w:bookmarkEnd w:id="141"/>
      <w:r/>
      <w:bookmarkEnd w:id="142"/>
      <w:r>
        <w:rPr>
          <w:rFonts w:hint="eastAsia" w:ascii="仿宋" w:hAnsi="仿宋" w:eastAsia="仿宋" w:cs="仿宋"/>
          <w:b w:val="0"/>
          <w:bCs w:val="0"/>
          <w:color w:val="auto"/>
          <w:sz w:val="24"/>
          <w:szCs w:val="24"/>
          <w:highlight w:val="none"/>
        </w:rPr>
        <w:t xml:space="preserve">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iCs/>
          <w:color w:val="auto"/>
          <w:sz w:val="24"/>
          <w:szCs w:val="24"/>
          <w:highlight w:val="none"/>
        </w:rPr>
        <w:t xml:space="preserve">18.1</w:t>
      </w:r>
      <w:r>
        <w:rPr>
          <w:rFonts w:hint="eastAsia" w:ascii="仿宋" w:hAnsi="仿宋" w:eastAsia="仿宋" w:cs="仿宋"/>
          <w:bCs/>
          <w:iCs/>
          <w:color w:val="auto"/>
          <w:sz w:val="24"/>
          <w:szCs w:val="24"/>
          <w:highlight w:val="none"/>
        </w:rPr>
        <w:t xml:space="preserve">投标人上传电子投标文件的时间不得迟于招标公告中规定的投标截止时间。</w:t>
      </w:r>
      <w:r/>
    </w:p>
    <w:p>
      <w:pPr>
        <w:ind w:left="0" w:firstLine="480"/>
        <w:pageBreakBefore w:val="0"/>
        <w:spacing w:line="560" w:lineRule="exact"/>
        <w:widowControl w:val="off"/>
        <w:rPr>
          <w:rFonts w:hint="eastAsia" w:ascii="仿宋" w:hAnsi="仿宋" w:eastAsia="仿宋" w:cs="仿宋"/>
          <w:bCs/>
          <w:i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18.2</w:t>
      </w:r>
      <w:r>
        <w:rPr>
          <w:rFonts w:hint="eastAsia" w:ascii="仿宋" w:hAnsi="仿宋" w:eastAsia="仿宋" w:cs="仿宋"/>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3" w:name="_Toc20823299"/>
      <w:r/>
      <w:bookmarkStart w:id="144" w:name="_Toc16938543"/>
      <w:r/>
      <w:bookmarkStart w:id="145" w:name="_Toc513029227"/>
      <w:r>
        <w:rPr>
          <w:rFonts w:hint="eastAsia" w:ascii="仿宋" w:hAnsi="仿宋" w:eastAsia="仿宋" w:cs="仿宋"/>
          <w:b w:val="0"/>
          <w:bCs w:val="0"/>
          <w:color w:val="auto"/>
          <w:sz w:val="24"/>
          <w:szCs w:val="24"/>
          <w:highlight w:val="none"/>
        </w:rPr>
        <w:t xml:space="preserve">19、投标文件</w:t>
      </w:r>
      <w:bookmarkEnd w:id="143"/>
      <w:r/>
      <w:bookmarkEnd w:id="144"/>
      <w:r/>
      <w:bookmarkEnd w:id="145"/>
      <w:r>
        <w:rPr>
          <w:rFonts w:hint="eastAsia" w:ascii="仿宋" w:hAnsi="仿宋" w:eastAsia="仿宋" w:cs="仿宋"/>
          <w:b w:val="0"/>
          <w:bCs w:val="0"/>
          <w:color w:val="auto"/>
          <w:sz w:val="24"/>
          <w:szCs w:val="24"/>
          <w:highlight w:val="none"/>
        </w:rPr>
        <w:t xml:space="preserve">的拒收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 </w:t>
      </w:r>
      <w:r>
        <w:rPr>
          <w:rFonts w:hint="eastAsia" w:ascii="仿宋" w:hAnsi="仿宋" w:eastAsia="仿宋" w:cs="仿宋"/>
          <w:bCs/>
          <w:color w:val="auto"/>
          <w:sz w:val="24"/>
          <w:szCs w:val="24"/>
          <w:highlight w:val="none"/>
        </w:rPr>
        <w:t xml:space="preserve">采购代理机构拒绝接收在其规定的投标截止时间后上传的任何投标文件。</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46" w:name="_Toc20823300"/>
      <w:r/>
      <w:bookmarkStart w:id="147" w:name="_Toc513029228"/>
      <w:r/>
      <w:bookmarkStart w:id="148" w:name="_Toc16938544"/>
      <w:r>
        <w:rPr>
          <w:rFonts w:hint="eastAsia" w:ascii="仿宋" w:hAnsi="仿宋" w:eastAsia="仿宋" w:cs="仿宋"/>
          <w:b w:val="0"/>
          <w:bCs w:val="0"/>
          <w:color w:val="auto"/>
          <w:sz w:val="24"/>
          <w:szCs w:val="24"/>
          <w:highlight w:val="none"/>
        </w:rPr>
        <w:t xml:space="preserve">20、投标文件的撤回和修改</w:t>
      </w:r>
      <w:bookmarkEnd w:id="146"/>
      <w:r/>
      <w:bookmarkEnd w:id="147"/>
      <w:r/>
      <w:bookmarkEnd w:id="148"/>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 电子投标文件的撤回</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20.1.2 投标人撤回电子投标文件，则认为其不再参与本项目投标活动。</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 投标文件的修改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20.2.1投标人可在投标截止时间前，对其电子投标文件进行修改，具体操作方法见《操作手册》。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20.2.2</w:t>
      </w:r>
      <w:r>
        <w:rPr>
          <w:rFonts w:hint="eastAsia" w:ascii="仿宋" w:hAnsi="仿宋" w:eastAsia="仿宋" w:cs="仿宋"/>
          <w:bCs/>
          <w:color w:val="auto"/>
          <w:sz w:val="24"/>
          <w:szCs w:val="24"/>
          <w:highlight w:val="none"/>
        </w:rPr>
        <w:t xml:space="preserve"> 在投标截止时间之后，投标人不得对其电子投标文件作任何修改。</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20.3</w:t>
      </w:r>
      <w:r>
        <w:rPr>
          <w:rFonts w:hint="eastAsia" w:ascii="仿宋" w:hAnsi="仿宋" w:eastAsia="仿宋" w:cs="仿宋"/>
          <w:bCs/>
          <w:color w:val="auto"/>
          <w:sz w:val="24"/>
          <w:szCs w:val="24"/>
          <w:highlight w:val="none"/>
        </w:rPr>
        <w:t xml:space="preserve">在投标截止时间至招标文件中规定的投标有效期满之间的这段时间内，投标人不得撤回其投标。</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49" w:name="_Toc20823301"/>
      <w:r/>
      <w:bookmarkStart w:id="150" w:name="_Toc513029229"/>
      <w:r/>
      <w:bookmarkStart w:id="151" w:name="_Toc16938545"/>
      <w:r/>
      <w:bookmarkStart w:id="152" w:name="_Toc120614218"/>
      <w:r>
        <w:rPr>
          <w:rFonts w:hint="eastAsia" w:ascii="仿宋" w:hAnsi="仿宋" w:eastAsia="仿宋" w:cs="仿宋"/>
          <w:color w:val="auto"/>
          <w:sz w:val="24"/>
          <w:szCs w:val="24"/>
          <w:highlight w:val="none"/>
        </w:rPr>
        <w:t xml:space="preserve">五、开标与评标</w:t>
      </w:r>
      <w:bookmarkEnd w:id="149"/>
      <w:r/>
      <w:bookmarkEnd w:id="150"/>
      <w:r/>
      <w:bookmarkEnd w:id="151"/>
      <w:r/>
      <w:bookmarkEnd w:id="152"/>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3" w:name="_Toc16938546"/>
      <w:r/>
      <w:bookmarkStart w:id="154" w:name="_Toc513029230"/>
      <w:r/>
      <w:bookmarkStart w:id="155" w:name="_Toc20823302"/>
      <w:r>
        <w:rPr>
          <w:rFonts w:hint="eastAsia" w:ascii="仿宋" w:hAnsi="仿宋" w:eastAsia="仿宋" w:cs="仿宋"/>
          <w:b w:val="0"/>
          <w:bCs w:val="0"/>
          <w:color w:val="auto"/>
          <w:sz w:val="24"/>
          <w:szCs w:val="24"/>
          <w:highlight w:val="none"/>
        </w:rPr>
        <w:t xml:space="preserve">21、开标</w:t>
      </w:r>
      <w:bookmarkEnd w:id="153"/>
      <w:r/>
      <w:bookmarkEnd w:id="154"/>
      <w:r/>
      <w:bookmarkEnd w:id="155"/>
      <w:r/>
      <w:r/>
    </w:p>
    <w:p>
      <w:pPr>
        <w:pStyle w:val="1025"/>
        <w:ind w:left="0" w:firstLine="480"/>
        <w:pageBreakBefore w:val="0"/>
        <w:spacing w:line="560" w:lineRule="exac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21.1</w:t>
      </w:r>
      <w:r>
        <w:rPr>
          <w:rFonts w:hint="eastAsia" w:ascii="仿宋" w:hAnsi="仿宋" w:eastAsia="仿宋" w:cs="仿宋"/>
          <w:bCs/>
          <w:color w:val="auto"/>
          <w:sz w:val="24"/>
          <w:szCs w:val="24"/>
          <w:highlight w:val="none"/>
        </w:rPr>
        <w:t xml:space="preserve">采购代理机构将在招标公告中规定的时间和地点组织公开开标</w:t>
      </w:r>
      <w:r>
        <w:rPr>
          <w:rFonts w:hint="eastAsia" w:ascii="仿宋" w:hAnsi="仿宋" w:eastAsia="仿宋" w:cs="仿宋"/>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025"/>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21.3投标人在开标过程中涉及到的投标文件解密、开标结果确认等工作，应按照《操作手册》规定执行。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6" w:name="_Toc16938547"/>
      <w:r/>
      <w:bookmarkStart w:id="157" w:name="_Toc513029231"/>
      <w:r/>
      <w:bookmarkStart w:id="158" w:name="_Toc20823303"/>
      <w:r>
        <w:rPr>
          <w:rFonts w:hint="eastAsia" w:ascii="仿宋" w:hAnsi="仿宋" w:eastAsia="仿宋" w:cs="仿宋"/>
          <w:b w:val="0"/>
          <w:bCs w:val="0"/>
          <w:color w:val="auto"/>
          <w:sz w:val="24"/>
          <w:szCs w:val="24"/>
          <w:highlight w:val="none"/>
        </w:rPr>
        <w:t xml:space="preserve">22、评委会</w:t>
      </w:r>
      <w:r/>
    </w:p>
    <w:p>
      <w:pPr>
        <w:ind w:left="0" w:firstLine="48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开标后，采购代理机构将立即组织评委会（以下简称评委会）进行评标。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评委会由采购人代表和有关技术、经济等方面的专家组成，且人员构成符合政府采购有关规定。</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 评委会独立工作，负责评审所有投标文件并确定</w:t>
      </w:r>
      <w:r>
        <w:rPr>
          <w:rFonts w:hint="eastAsia" w:ascii="仿宋" w:hAnsi="仿宋" w:eastAsia="仿宋" w:cs="仿宋"/>
          <w:color w:val="auto"/>
          <w:sz w:val="24"/>
          <w:szCs w:val="24"/>
          <w:highlight w:val="none"/>
          <w:lang w:eastAsia="zh-CN"/>
        </w:rPr>
        <w:t xml:space="preserve">中标候选人</w:t>
      </w:r>
      <w:r>
        <w:rPr>
          <w:rFonts w:hint="eastAsia" w:ascii="仿宋" w:hAnsi="仿宋" w:eastAsia="仿宋" w:cs="仿宋"/>
          <w:color w:val="auto"/>
          <w:sz w:val="24"/>
          <w:szCs w:val="24"/>
          <w:highlight w:val="none"/>
        </w:rPr>
        <w:t xml:space="preserve">。</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23、评标过程的保密与公正</w:t>
      </w:r>
      <w:bookmarkEnd w:id="156"/>
      <w:r/>
      <w:bookmarkEnd w:id="157"/>
      <w:r/>
      <w:bookmarkEnd w:id="158"/>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23.2在评标过程中，投标人不得以任何行为影响评标过程，否则其投标文件将被作为无效投标文件。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23.3采购代理机构和评委会不向未中标的投标人解释未中标原因，也不公布评标过程中的相关细节。</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23.4采用综合评分法的项目，未中标的投标人可于中标结果公告期限届满之日起通过“苏采云”系统查看自己的评审得分及排序情况。</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59" w:name="_Toc16938548"/>
      <w:r/>
      <w:bookmarkStart w:id="160" w:name="_Toc513029232"/>
      <w:r/>
      <w:bookmarkStart w:id="161" w:name="_Toc20823304"/>
      <w:r>
        <w:rPr>
          <w:rFonts w:hint="eastAsia" w:ascii="仿宋" w:hAnsi="仿宋" w:eastAsia="仿宋" w:cs="仿宋"/>
          <w:b w:val="0"/>
          <w:bCs w:val="0"/>
          <w:color w:val="auto"/>
          <w:sz w:val="24"/>
          <w:szCs w:val="24"/>
          <w:highlight w:val="none"/>
        </w:rPr>
        <w:t xml:space="preserve">24、投标文件的澄清</w:t>
      </w:r>
      <w:bookmarkEnd w:id="159"/>
      <w:r/>
      <w:bookmarkEnd w:id="160"/>
      <w:r/>
      <w:bookmarkEnd w:id="161"/>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评委会并非对每个投标人都做澄清要求。</w:t>
      </w:r>
      <w:r/>
    </w:p>
    <w:p>
      <w:pPr>
        <w:pStyle w:val="1025"/>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24.2需要投标人进行澄清、说明和补正的，</w:t>
      </w:r>
      <w:r>
        <w:rPr>
          <w:rFonts w:hint="eastAsia" w:ascii="仿宋" w:hAnsi="仿宋" w:eastAsia="仿宋" w:cs="仿宋"/>
          <w:color w:val="auto"/>
          <w:sz w:val="24"/>
          <w:szCs w:val="24"/>
          <w:highlight w:val="none"/>
          <w:lang w:val="en-US"/>
        </w:rPr>
        <w:t xml:space="preserve">本项目投标人的澄清、说明或者补正采用线上澄清，</w:t>
      </w:r>
      <w:r>
        <w:rPr>
          <w:rFonts w:hint="eastAsia" w:ascii="仿宋" w:hAnsi="仿宋" w:eastAsia="仿宋" w:cs="仿宋"/>
          <w:color w:val="auto"/>
          <w:sz w:val="24"/>
          <w:szCs w:val="24"/>
          <w:highlight w:val="none"/>
        </w:rPr>
        <w:t xml:space="preserve">评委会将通过</w:t>
      </w:r>
      <w:r>
        <w:rPr>
          <w:rFonts w:hint="eastAsia" w:ascii="仿宋" w:hAnsi="仿宋" w:eastAsia="仿宋" w:cs="仿宋"/>
          <w:color w:val="auto"/>
          <w:sz w:val="24"/>
          <w:szCs w:val="24"/>
          <w:highlight w:val="none"/>
          <w:lang w:val="en-US"/>
        </w:rPr>
        <w:t xml:space="preserve">“苏采云”系统</w:t>
      </w:r>
      <w:r>
        <w:rPr>
          <w:rFonts w:hint="eastAsia" w:ascii="仿宋" w:hAnsi="仿宋" w:eastAsia="仿宋" w:cs="仿宋"/>
          <w:color w:val="auto"/>
          <w:sz w:val="24"/>
          <w:szCs w:val="24"/>
          <w:highlight w:val="none"/>
        </w:rPr>
        <w:t xml:space="preserve">向投标人发出“澄清要求函”，接到“澄清要求函”的投标人应当按照要求</w:t>
      </w:r>
      <w:r>
        <w:rPr>
          <w:rFonts w:hint="eastAsia" w:ascii="仿宋" w:hAnsi="仿宋" w:eastAsia="仿宋" w:cs="仿宋"/>
          <w:color w:val="auto"/>
          <w:sz w:val="24"/>
          <w:szCs w:val="24"/>
          <w:highlight w:val="none"/>
          <w:lang w:val="en-US"/>
        </w:rPr>
        <w:t xml:space="preserve">在规定时间内通过“苏采云”系统</w:t>
      </w:r>
      <w:r>
        <w:rPr>
          <w:rFonts w:hint="eastAsia" w:ascii="仿宋" w:hAnsi="仿宋" w:eastAsia="仿宋" w:cs="仿宋"/>
          <w:color w:val="auto"/>
          <w:sz w:val="24"/>
          <w:szCs w:val="24"/>
          <w:highlight w:val="none"/>
        </w:rPr>
        <w:t xml:space="preserve">中提交“澄清响应函”并加盖CA电子公章。澄清、说明和补正的内容作为投标文件的补充部分，具体操作方式见《操作手册》。</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24.3接到评委会澄清、说明和补正要求的投标人如未按规定做出澄清、说明和补正，其风险由投标人自行承担。</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bookmarkStart w:id="162" w:name="_Toc513029233"/>
      <w:r/>
      <w:bookmarkStart w:id="163" w:name="_Toc16938549"/>
      <w:r/>
      <w:bookmarkStart w:id="164" w:name="_Toc20823305"/>
      <w:r>
        <w:rPr>
          <w:rFonts w:hint="eastAsia" w:ascii="仿宋" w:hAnsi="仿宋" w:eastAsia="仿宋" w:cs="仿宋"/>
          <w:b w:val="0"/>
          <w:bCs w:val="0"/>
          <w:color w:val="auto"/>
          <w:sz w:val="24"/>
          <w:szCs w:val="24"/>
          <w:highlight w:val="none"/>
        </w:rPr>
        <w:t xml:space="preserve">25、对投标文件的初审</w:t>
      </w:r>
      <w:bookmarkEnd w:id="162"/>
      <w:r/>
      <w:bookmarkEnd w:id="163"/>
      <w:r/>
      <w:bookmarkEnd w:id="164"/>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25.1 </w:t>
      </w:r>
      <w:r>
        <w:rPr>
          <w:rFonts w:hint="eastAsia" w:ascii="仿宋" w:hAnsi="仿宋" w:eastAsia="仿宋" w:cs="仿宋"/>
          <w:bCs/>
          <w:color w:val="auto"/>
          <w:sz w:val="24"/>
          <w:szCs w:val="24"/>
          <w:highlight w:val="none"/>
        </w:rPr>
        <w:t xml:space="preserve">投标文件初审分为资格审查和符合性审查。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25.1.1资格审查：依据法律法规和招标文件的规定，</w:t>
      </w:r>
      <w:r>
        <w:rPr>
          <w:rFonts w:hint="eastAsia" w:ascii="仿宋" w:hAnsi="仿宋" w:eastAsia="仿宋" w:cs="仿宋"/>
          <w:color w:val="auto"/>
          <w:sz w:val="24"/>
          <w:szCs w:val="24"/>
          <w:highlight w:val="none"/>
        </w:rPr>
        <w:t xml:space="preserve">由采购人或其委托的代理机构对投标文件中的资格证明文件进行审查，以确定投标人是否具备投标资格。</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查询结果留存并归档。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25.1.3对各投标人符合性审查过程中，对初步被认定为无效投标者，由评委会组长或采购人代表将集体意见通过</w:t>
      </w:r>
      <w:r>
        <w:rPr>
          <w:rFonts w:hint="eastAsia" w:ascii="仿宋" w:hAnsi="仿宋" w:eastAsia="仿宋" w:cs="仿宋"/>
          <w:color w:val="auto"/>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25.4</w:t>
      </w:r>
      <w:r>
        <w:rPr>
          <w:rFonts w:hint="eastAsia" w:ascii="仿宋" w:hAnsi="仿宋" w:eastAsia="仿宋" w:cs="仿宋"/>
          <w:bCs/>
          <w:color w:val="auto"/>
          <w:sz w:val="24"/>
          <w:szCs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25.5</w:t>
      </w:r>
      <w:r>
        <w:rPr>
          <w:rFonts w:hint="eastAsia" w:ascii="仿宋" w:hAnsi="仿宋" w:eastAsia="仿宋" w:cs="仿宋"/>
          <w:bCs/>
          <w:color w:val="auto"/>
          <w:sz w:val="24"/>
          <w:szCs w:val="24"/>
          <w:highlight w:val="none"/>
        </w:rPr>
        <w:t xml:space="preserve">评委会将按上述修正错误的方法调整投标文件中的投标报价，并通过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65" w:name="_Toc20823306"/>
      <w:r/>
      <w:bookmarkStart w:id="166" w:name="_Toc513029234"/>
      <w:r/>
      <w:bookmarkStart w:id="167" w:name="_Toc16938550"/>
      <w:r>
        <w:rPr>
          <w:rFonts w:hint="eastAsia" w:ascii="仿宋" w:hAnsi="仿宋" w:eastAsia="仿宋" w:cs="仿宋"/>
          <w:color w:val="auto"/>
          <w:sz w:val="24"/>
          <w:szCs w:val="24"/>
          <w:highlight w:val="none"/>
        </w:rPr>
        <w:t xml:space="preserve">25.6 投标人在开、评标全过程中应随时保持系统在线，及时在“苏采云”系统查阅、答复相关信息。</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26、</w:t>
      </w:r>
      <w:bookmarkEnd w:id="165"/>
      <w:r/>
      <w:bookmarkEnd w:id="166"/>
      <w:r/>
      <w:bookmarkEnd w:id="167"/>
      <w:r>
        <w:rPr>
          <w:rFonts w:hint="eastAsia" w:ascii="仿宋" w:hAnsi="仿宋" w:eastAsia="仿宋" w:cs="仿宋"/>
          <w:b w:val="0"/>
          <w:bCs w:val="0"/>
          <w:color w:val="auto"/>
          <w:sz w:val="24"/>
          <w:szCs w:val="24"/>
          <w:highlight w:val="none"/>
        </w:rPr>
        <w:t xml:space="preserve">无效投标条款和废标条款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bookmarkStart w:id="168" w:name="_Toc16938551"/>
      <w:r/>
      <w:bookmarkStart w:id="169" w:name="_Toc20823307"/>
      <w:r/>
      <w:bookmarkStart w:id="170" w:name="_Toc513029235"/>
      <w:r>
        <w:rPr>
          <w:rFonts w:hint="eastAsia" w:ascii="仿宋" w:hAnsi="仿宋" w:eastAsia="仿宋" w:cs="仿宋"/>
          <w:bCs/>
          <w:color w:val="auto"/>
          <w:sz w:val="24"/>
          <w:szCs w:val="24"/>
          <w:highlight w:val="none"/>
        </w:rPr>
        <w:t xml:space="preserve">26.1无效投标条款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 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26.1.2 投标人未按照招标文件要求上传电子投标文件的。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26.1.3 同一投标人提交两个（含两个）以上不同的投标报价的。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26.1.4 投标人不具备招标文件中规定资格要求的。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26.1.5 投标人的报价超过了采购预算或最高限价的。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26.1.6 未通过符合性审查的。</w:t>
      </w:r>
      <w:r/>
    </w:p>
    <w:p>
      <w:pPr>
        <w:ind w:left="0" w:firstLine="480"/>
        <w:pageBreakBefore w:val="0"/>
        <w:spacing w:line="560" w:lineRule="exact"/>
        <w:widowControl w:val="off"/>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 26.1.7 不符合招标文件中规定的实质性要求和条件的。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26.1.9 投标文件含有采购人不能接受的附加条件的。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26.1.10评委会认为投标人的报价明显低于其他通过符合性审查投标人的报价，有可能影响产品质量或者不能诚信履约的，将通过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要求其在合理的时间内提供说明，必要时提交相关证明材料；投标人不能证明其报价合理性的，评委会应当将其作为无效投标处理。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人所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产品不在强制采购范围内的。（所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产品如属于政府强制采购节能产品品目清单范围内，</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26.1.12 投标文件未按照招标文件要求加盖CA电子公章的。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26.1.13 其他法律、法规及本招标文件规定的属无效投标的情形。</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 废标条款</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26.2.1符合专业条件的投标人或者对招标文件作实质响应的投标人不足三家的。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26.2.2 出现影响采购公正的违法、违规行为的。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26.2.3 因重大变故，采购任务取消的。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26.2.4 评委会认定招标文件存在歧义、重大缺陷导致评审工作无法进行。</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26.2.5 因</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lang w:eastAsia="zh-CN"/>
        </w:rPr>
        <w:t xml:space="preserve">系统故障</w:t>
      </w:r>
      <w:r>
        <w:rPr>
          <w:rFonts w:hint="eastAsia" w:ascii="仿宋" w:hAnsi="仿宋" w:eastAsia="仿宋" w:cs="仿宋"/>
          <w:bCs/>
          <w:color w:val="auto"/>
          <w:sz w:val="24"/>
          <w:szCs w:val="24"/>
          <w:highlight w:val="none"/>
        </w:rPr>
        <w:t xml:space="preserve">原因造成开标不成功的。</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 投标截止时间结束后参加投标的投标人不足三家的处理：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26.3.1如出现投标截止时间结束后参加投标的投标人或者在评标期间对招标文件做出实质响应的投标人不足三家情况，按政府采购相关规定执行。</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71" w:name="_Toc120614219"/>
      <w:r>
        <w:rPr>
          <w:rFonts w:hint="eastAsia" w:ascii="仿宋" w:hAnsi="仿宋" w:eastAsia="仿宋" w:cs="仿宋"/>
          <w:color w:val="auto"/>
          <w:sz w:val="24"/>
          <w:szCs w:val="24"/>
          <w:highlight w:val="none"/>
        </w:rPr>
        <w:t xml:space="preserve">六、</w:t>
      </w:r>
      <w:bookmarkEnd w:id="168"/>
      <w:r/>
      <w:bookmarkEnd w:id="169"/>
      <w:r/>
      <w:bookmarkEnd w:id="170"/>
      <w:r>
        <w:rPr>
          <w:rFonts w:hint="eastAsia" w:ascii="仿宋" w:hAnsi="仿宋" w:eastAsia="仿宋" w:cs="仿宋"/>
          <w:color w:val="auto"/>
          <w:sz w:val="24"/>
          <w:szCs w:val="24"/>
          <w:highlight w:val="none"/>
        </w:rPr>
        <w:t xml:space="preserve">定标</w:t>
      </w:r>
      <w:bookmarkEnd w:id="171"/>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72" w:name="_Toc513029238"/>
      <w:r/>
      <w:bookmarkStart w:id="173" w:name="_Toc16938554"/>
      <w:r/>
      <w:bookmarkStart w:id="174" w:name="_Toc20823310"/>
      <w:r>
        <w:rPr>
          <w:rFonts w:hint="eastAsia" w:ascii="仿宋" w:hAnsi="仿宋" w:eastAsia="仿宋" w:cs="仿宋"/>
          <w:b w:val="0"/>
          <w:color w:val="auto"/>
          <w:sz w:val="24"/>
          <w:szCs w:val="24"/>
          <w:highlight w:val="none"/>
        </w:rPr>
        <w:t xml:space="preserve">27、</w:t>
      </w:r>
      <w:bookmarkEnd w:id="172"/>
      <w:r>
        <w:rPr>
          <w:rFonts w:hint="eastAsia" w:ascii="仿宋" w:hAnsi="仿宋" w:eastAsia="仿宋" w:cs="仿宋"/>
          <w:b w:val="0"/>
          <w:color w:val="auto"/>
          <w:sz w:val="24"/>
          <w:szCs w:val="24"/>
          <w:highlight w:val="none"/>
        </w:rPr>
        <w:t xml:space="preserve">确定</w:t>
      </w:r>
      <w:bookmarkEnd w:id="173"/>
      <w:r/>
      <w:bookmarkEnd w:id="174"/>
      <w:r>
        <w:rPr>
          <w:rFonts w:hint="eastAsia" w:ascii="仿宋" w:hAnsi="仿宋" w:eastAsia="仿宋" w:cs="仿宋"/>
          <w:b w:val="0"/>
          <w:color w:val="auto"/>
          <w:sz w:val="24"/>
          <w:szCs w:val="24"/>
          <w:highlight w:val="none"/>
        </w:rPr>
        <w:t xml:space="preserve">中标单位</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 中标候选人的选取原则和数量见招标文件第五章规定。</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27.2 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rPr>
        <w:t xml:space="preserve"> 2 </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lang w:val="zh-CN"/>
        </w:rPr>
        <w:t xml:space="preserve">种方式确定中标人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（1）评委会直接确定排名第一的中标候选人为中标人；</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（2）采购人在评委会推荐的中标候选人中按顺序确定中标人。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按第</w:t>
      </w: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zh-CN"/>
        </w:rPr>
        <w:t xml:space="preserve">种方式确定中标人的，</w:t>
      </w:r>
      <w:r>
        <w:rPr>
          <w:rFonts w:hint="eastAsia" w:ascii="仿宋" w:hAnsi="仿宋" w:eastAsia="仿宋" w:cs="仿宋"/>
          <w:bCs/>
          <w:color w:val="auto"/>
          <w:sz w:val="24"/>
          <w:szCs w:val="24"/>
          <w:highlight w:val="none"/>
        </w:rPr>
        <w:t xml:space="preserve">采购代理机构</w:t>
      </w:r>
      <w:r>
        <w:rPr>
          <w:rFonts w:hint="eastAsia" w:ascii="仿宋" w:hAnsi="仿宋" w:eastAsia="仿宋" w:cs="仿宋"/>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27.3</w:t>
      </w:r>
      <w:r>
        <w:rPr>
          <w:rFonts w:hint="eastAsia" w:ascii="仿宋" w:hAnsi="仿宋" w:eastAsia="仿宋" w:cs="仿宋"/>
          <w:color w:val="auto"/>
          <w:sz w:val="24"/>
          <w:szCs w:val="24"/>
          <w:highlight w:val="none"/>
        </w:rPr>
        <w:t xml:space="preserve">采购代理机构将在“宿迁市政府采购网”发布中标公告，公告期限为1个工作日。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27.4若有充分证据证明，中标人出现下列情况之一的，一经查实，将被取消中标资格：</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 提供虚假材料谋取中标的。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 向采购人、采购代理机构行贿或者提供其他不正当利益的。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 属于本文件规定的无效条件，但在评标过程中又未被评委会发现的。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 与采购人或者其他投标人恶意串通的。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 采取不正当手段诋毁、排挤其他投标人的。</w:t>
      </w:r>
      <w:r/>
    </w:p>
    <w:p>
      <w:pPr>
        <w:ind w:left="0" w:firstLine="480"/>
        <w:pageBreakBefore w:val="0"/>
        <w:spacing w:line="560" w:lineRule="exact"/>
        <w:widowControl w:val="off"/>
        <w:rPr>
          <w:rFonts w:hint="eastAsia" w:ascii="仿宋" w:hAnsi="仿宋" w:eastAsia="仿宋" w:cs="仿宋"/>
          <w:color w:val="auto"/>
          <w:sz w:val="24"/>
          <w:szCs w:val="24"/>
          <w:highlight w:val="none"/>
        </w:rPr>
      </w:pPr>
      <w:r/>
      <w:bookmarkStart w:id="175" w:name="_Toc200451960"/>
      <w:r>
        <w:rPr>
          <w:rFonts w:hint="eastAsia" w:ascii="仿宋" w:hAnsi="仿宋" w:eastAsia="仿宋" w:cs="仿宋"/>
          <w:color w:val="auto"/>
          <w:sz w:val="24"/>
          <w:szCs w:val="24"/>
          <w:highlight w:val="none"/>
        </w:rPr>
        <w:t xml:space="preserve">27.5 有下列情形之一的，视为投标人串通投标，投标无效：</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 不同投标人的投标文件由同一单位或者个人编制。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 不同投标人委托同一单位或者个人办理投标事宜。</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 不同投标人的投标文件载明的项目管理成员或者联系人员为同一人。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 不同投标人的投标文件异常一致或者投标报价呈规律性差异。</w:t>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28、质疑处理</w:t>
      </w:r>
      <w:bookmarkEnd w:id="175"/>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28.1提出质疑的投标人应当是参与所质疑项目采购活动的投标人。潜在投标人依法获取其可质疑的采购文件的，可以对采购文件提出质疑。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 对采购过程提出质疑的，为各采购程序环节结束之日；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28.2.3对中标或者成交结果提出质疑的，为中标或者成交结果公告期限届满之日。</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28.4投标人应以书面形式向采购人或者其委托的采购代理机构提出质疑。质疑超出采购机构代理范围的，投标人应当向采购人提出。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接收质疑函的方式：将质疑函以书面形式由法定代表人或法人授权代表邮寄或现场送达采购人或委托的采购代理机构。</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宿迁市宿城区财政局</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宿迁市宏晟项目管理有限公司</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0527-82962616</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19905245686</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宿迁市宿城区成子湖路1号宿城区行政服务中心2层</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宿迁市宿城区霸王举鼎广场浙江大厦（开元颐居酒店旁）11楼1113室</w:t>
      </w:r>
      <w:r>
        <w:rPr>
          <w:rFonts w:hint="eastAsia" w:ascii="仿宋" w:hAnsi="仿宋" w:eastAsia="仿宋" w:cs="仿宋"/>
          <w:color w:val="auto"/>
          <w:sz w:val="24"/>
          <w:szCs w:val="24"/>
          <w:highlight w:val="none"/>
          <w:u w:val="single"/>
        </w:rPr>
        <w:t xml:space="preserve"> </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 内容不符合《政府采购质疑和投诉办法》第十二条规定的质疑。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 超出政府采购法定期限的质疑。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 以传真、电子邮件等方式递交的非原件形式的质疑。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28.5.4未参加投标活动的投标人或在投标活动中自身权益未受到损害的投标人所提出的质疑。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28.5.5投标人组成联合体参加投标，联合体中任何一方或多方未按要求签字、盖章、加盖公章的质疑。</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29、中标通知书</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29.l中标结果确定后，代理机构将向中标人发出中标通知书。请中标人使用CA数字证书登录“苏采云系统”及时下载中标通知书。</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可自行下载打印《中标通知书》，《中标通知书》将作为授予合同资格的唯一合法依据。</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15"/>
        <w:ind w:left="0" w:firstLine="482"/>
        <w:pageBreakBefore w:val="0"/>
        <w:spacing w:before="0" w:after="0" w:line="560" w:lineRule="exact"/>
        <w:widowControl w:val="off"/>
        <w:rPr>
          <w:rFonts w:hint="eastAsia" w:ascii="仿宋" w:hAnsi="仿宋" w:eastAsia="仿宋" w:cs="仿宋"/>
          <w:color w:val="auto"/>
          <w:sz w:val="24"/>
          <w:szCs w:val="24"/>
          <w:highlight w:val="none"/>
        </w:rPr>
      </w:pPr>
      <w:r/>
      <w:bookmarkStart w:id="176" w:name="_Toc120614220"/>
      <w:r/>
      <w:bookmarkStart w:id="177" w:name="_Toc513029236"/>
      <w:r/>
      <w:bookmarkStart w:id="178" w:name="_Toc20823308"/>
      <w:r/>
      <w:bookmarkStart w:id="179" w:name="_Toc16938552"/>
      <w:r>
        <w:rPr>
          <w:rFonts w:hint="eastAsia" w:ascii="仿宋" w:hAnsi="仿宋" w:eastAsia="仿宋" w:cs="仿宋"/>
          <w:color w:val="auto"/>
          <w:sz w:val="24"/>
          <w:szCs w:val="24"/>
          <w:highlight w:val="none"/>
        </w:rPr>
        <w:t xml:space="preserve">七、授予合同</w:t>
      </w:r>
      <w:bookmarkEnd w:id="176"/>
      <w:r/>
      <w:bookmarkEnd w:id="177"/>
      <w:r/>
      <w:bookmarkEnd w:id="178"/>
      <w:r/>
      <w:bookmarkEnd w:id="179"/>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80" w:name="_Toc513029237"/>
      <w:r/>
      <w:bookmarkStart w:id="181" w:name="_Toc20823309"/>
      <w:r/>
      <w:bookmarkStart w:id="182" w:name="_Toc16938553"/>
      <w:r>
        <w:rPr>
          <w:rFonts w:hint="eastAsia" w:ascii="仿宋" w:hAnsi="仿宋" w:eastAsia="仿宋" w:cs="仿宋"/>
          <w:b w:val="0"/>
          <w:color w:val="auto"/>
          <w:sz w:val="24"/>
          <w:szCs w:val="24"/>
          <w:highlight w:val="none"/>
        </w:rPr>
        <w:t xml:space="preserve">30.签订合同</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30</w:t>
      </w:r>
      <w:r>
        <w:rPr>
          <w:rFonts w:hint="eastAsia" w:ascii="仿宋" w:hAnsi="仿宋" w:eastAsia="仿宋" w:cs="仿宋"/>
          <w:color w:val="auto"/>
          <w:sz w:val="24"/>
          <w:szCs w:val="24"/>
          <w:highlight w:val="none"/>
        </w:rPr>
        <w:t xml:space="preserve">.l中标人应当在中标通知书发出之日起15日内，按照招标文件确定的事项与采购人签订政府采购合同。</w:t>
      </w:r>
      <w:r>
        <w:rPr>
          <w:rFonts w:hint="eastAsia" w:ascii="仿宋" w:hAnsi="仿宋" w:eastAsia="仿宋" w:cs="仿宋"/>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30.2招标文件、中标人的投标文件及招标过程中有关澄清、承诺文件均应作为合同附件。</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30.4本项目的非主体、非关键性工作是否允许分包按以下第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ind w:left="0" w:firstLine="48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2.不允许分包。未经采购人同意，中标人也不得采用分包形式履行合同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否则采购人有权终止合同。转包或分包造成采购人损失的，中标人应承担相应赔偿责任。</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30.5履约保证金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按照以下第</w:t>
      </w:r>
      <w:r>
        <w:rPr>
          <w:rFonts w:hint="eastAsia" w:ascii="仿宋" w:hAnsi="仿宋" w:eastAsia="仿宋" w:cs="仿宋"/>
          <w:bCs/>
          <w:color w:val="auto"/>
          <w:sz w:val="24"/>
          <w:szCs w:val="24"/>
          <w:highlight w:val="none"/>
          <w:u w:val="single"/>
        </w:rPr>
        <w:t xml:space="preserve"> （1） </w:t>
      </w:r>
      <w:r>
        <w:rPr>
          <w:rFonts w:hint="eastAsia" w:ascii="仿宋" w:hAnsi="仿宋" w:eastAsia="仿宋" w:cs="仿宋"/>
          <w:bCs/>
          <w:color w:val="auto"/>
          <w:sz w:val="24"/>
          <w:szCs w:val="24"/>
          <w:highlight w:val="none"/>
          <w:lang w:val="zh-CN"/>
        </w:rPr>
        <w:t xml:space="preserve">方式确定履约保证收取方式。</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（1）不收取履约保证金。</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（2）履约保证金应在采购合同签订前提交，履约保证金的金额：</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按采购合同总价的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lang w:val="zh-CN"/>
        </w:rPr>
        <w:t xml:space="preserve">%计取（</w:t>
      </w:r>
      <w:r>
        <w:rPr>
          <w:rFonts w:hint="eastAsia" w:ascii="仿宋" w:hAnsi="仿宋" w:eastAsia="仿宋" w:cs="仿宋"/>
          <w:bCs/>
          <w:color w:val="auto"/>
          <w:sz w:val="24"/>
          <w:szCs w:val="24"/>
          <w:highlight w:val="none"/>
        </w:rPr>
        <w:t xml:space="preserve">备注：不得超过合同金额的10%，确定后删除</w:t>
      </w:r>
      <w:r>
        <w:rPr>
          <w:rFonts w:hint="eastAsia" w:ascii="仿宋" w:hAnsi="仿宋" w:eastAsia="仿宋" w:cs="仿宋"/>
          <w:bCs/>
          <w:color w:val="auto"/>
          <w:sz w:val="24"/>
          <w:szCs w:val="24"/>
          <w:highlight w:val="none"/>
          <w:lang w:val="zh-CN"/>
        </w:rPr>
        <w:t xml:space="preserve">）。除银行电汇、网上银行、数字人民币外，投标人还可选用银行保函、担保公司的保证担保或保险公司的保证保险等多种形式向采购人缴纳；</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履约保证金退还的条件：按以下方式实行：</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服务类项目，项目履约期满评价合格，出具</w:t>
      </w:r>
      <w:r>
        <w:rPr>
          <w:rFonts w:hint="eastAsia" w:ascii="仿宋" w:hAnsi="仿宋" w:eastAsia="仿宋" w:cs="仿宋"/>
          <w:bCs/>
          <w:color w:val="auto"/>
          <w:sz w:val="24"/>
          <w:szCs w:val="24"/>
          <w:highlight w:val="none"/>
        </w:rPr>
        <w:t xml:space="preserve">验收报告（</w:t>
      </w:r>
      <w:r>
        <w:rPr>
          <w:rFonts w:hint="eastAsia" w:ascii="仿宋" w:hAnsi="仿宋" w:eastAsia="仿宋" w:cs="仿宋"/>
          <w:bCs/>
          <w:color w:val="auto"/>
          <w:sz w:val="24"/>
          <w:szCs w:val="24"/>
          <w:highlight w:val="none"/>
          <w:lang w:val="zh-CN"/>
        </w:rPr>
        <w:t xml:space="preserve">履约评价报告</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zh-CN"/>
        </w:rPr>
        <w:t xml:space="preserve">及履约保证金收据申请退付；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履约保证金退还时间：采购单位收到投标人退付申请后5个工作日内退还；</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保险</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苏财购﹝2023﹞150号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31、服务（包含与服务相关的货物）的追加</w:t>
      </w:r>
      <w:r/>
    </w:p>
    <w:p>
      <w:pPr>
        <w:ind w:left="0"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bookmarkEnd w:id="180"/>
      <w:r/>
      <w:bookmarkEnd w:id="181"/>
      <w:r/>
      <w:bookmarkEnd w:id="182"/>
      <w:r/>
      <w:r/>
    </w:p>
    <w:p>
      <w:pPr>
        <w:pStyle w:val="917"/>
        <w:ind w:left="0" w:firstLine="480"/>
        <w:pageBreakBefore w:val="0"/>
        <w:spacing w:before="0" w:after="0" w:line="560" w:lineRule="exact"/>
        <w:widowControl w:val="off"/>
        <w:rPr>
          <w:rFonts w:hint="eastAsia" w:ascii="仿宋" w:hAnsi="仿宋" w:eastAsia="仿宋" w:cs="仿宋"/>
          <w:b w:val="0"/>
          <w:color w:val="auto"/>
          <w:sz w:val="24"/>
          <w:szCs w:val="24"/>
          <w:highlight w:val="none"/>
        </w:rPr>
      </w:pPr>
      <w:r/>
      <w:bookmarkStart w:id="183" w:name="_Toc20823314"/>
      <w:r/>
      <w:bookmarkStart w:id="184" w:name="_Toc120614221"/>
      <w:r/>
      <w:bookmarkStart w:id="185" w:name="_Toc513029242"/>
      <w:r/>
      <w:bookmarkStart w:id="186" w:name="_Toc16938558"/>
      <w:r/>
      <w:bookmarkStart w:id="187" w:name="_Toc479757207"/>
      <w:r>
        <w:rPr>
          <w:rFonts w:hint="eastAsia" w:ascii="仿宋" w:hAnsi="仿宋" w:eastAsia="仿宋" w:cs="仿宋"/>
          <w:b w:val="0"/>
          <w:color w:val="auto"/>
          <w:sz w:val="24"/>
          <w:szCs w:val="24"/>
          <w:highlight w:val="none"/>
        </w:rPr>
        <w:t xml:space="preserve">32、政府采购履约资金扶持政策</w:t>
      </w:r>
      <w:r/>
    </w:p>
    <w:p>
      <w:pPr>
        <w:ind w:left="0" w:firstLine="48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32.1依</w:t>
      </w:r>
      <w:r>
        <w:rPr>
          <w:rFonts w:hint="eastAsia" w:ascii="仿宋" w:hAnsi="仿宋" w:eastAsia="仿宋" w:cs="仿宋"/>
          <w:bCs/>
          <w:color w:val="auto"/>
          <w:sz w:val="24"/>
          <w:szCs w:val="24"/>
          <w:highlight w:val="none"/>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33、验收及付款</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33.2采购人可以邀请参加本项目的其他投标人或者第三方机构参与验收。参与验收的投标人或者第三方机构的意见作为验收书的参考资料一并存档。</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17"/>
        <w:ind w:left="0" w:firstLine="480"/>
        <w:pageBreakBefore w:val="0"/>
        <w:spacing w:before="0" w:after="0"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34、付款</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预付款：合同金额的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%，合同签订后按规定支付； </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进度款：</w:t>
      </w:r>
      <w:r>
        <w:rPr>
          <w:rFonts w:hint="eastAsia" w:ascii="仿宋" w:hAnsi="仿宋" w:eastAsia="仿宋" w:cs="仿宋"/>
          <w:bCs/>
          <w:color w:val="auto"/>
          <w:sz w:val="24"/>
          <w:szCs w:val="24"/>
          <w:highlight w:val="none"/>
          <w:u w:val="single"/>
        </w:rPr>
        <w:t xml:space="preserve">依据财政部、省财政厅保费补贴资金管理制度，按照“各地财政部门未收到符合要求的</w:t>
      </w:r>
      <w:r>
        <w:rPr>
          <w:rFonts w:hint="eastAsia" w:ascii="仿宋" w:hAnsi="仿宋" w:eastAsia="仿宋" w:cs="仿宋"/>
          <w:bCs/>
          <w:color w:val="auto"/>
          <w:sz w:val="24"/>
          <w:szCs w:val="24"/>
          <w:highlight w:val="none"/>
          <w:u w:val="single"/>
          <w:lang w:eastAsia="zh-CN"/>
        </w:rPr>
        <w:t xml:space="preserve">保单级数据</w:t>
      </w:r>
      <w:r>
        <w:rPr>
          <w:rFonts w:hint="eastAsia" w:ascii="仿宋" w:hAnsi="仿宋" w:eastAsia="仿宋" w:cs="仿宋"/>
          <w:bCs/>
          <w:color w:val="auto"/>
          <w:sz w:val="24"/>
          <w:szCs w:val="24"/>
          <w:highlight w:val="none"/>
          <w:u w:val="single"/>
        </w:rPr>
        <w:t xml:space="preserve">，不得向承保机构拨付保费补贴资金”的规定（扣除预付款）。保险机构须及时提供申请保费补贴报告以及必要的凭证材料，在相关部门审核无误的基础上，财政部门按规定拨付保费补贴资金。</w:t>
      </w:r>
      <w:r/>
    </w:p>
    <w:p>
      <w:pPr>
        <w:ind w:left="0" w:firstLine="480"/>
        <w:jc w:val="left"/>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注：在签订合同时，中标人明确表示无需预付款或者主动要求降低预付款比例的金额，采购人可不适用预付款规定。</w:t>
      </w:r>
      <w:r/>
    </w:p>
    <w:p>
      <w:pPr>
        <w:ind w:firstLine="0"/>
        <w:jc w:val="center"/>
        <w:keepLines w:val="0"/>
        <w:keepNext w:val="0"/>
        <w:pageBreakBefore w:val="0"/>
        <w:spacing w:line="480" w:lineRule="auto"/>
        <w:widowControl w:val="off"/>
        <w:rPr>
          <w:rFonts w:hint="eastAsia" w:ascii="仿宋_GB2312" w:eastAsia="仿宋_GB2312"/>
          <w:color w:val="auto"/>
          <w:sz w:val="24"/>
          <w:szCs w:val="24"/>
          <w:highlight w:val="none"/>
        </w:rPr>
        <w:outlineLvl w:val="0"/>
      </w:pPr>
      <w:r>
        <w:rPr>
          <w:rFonts w:hint="eastAsia" w:ascii="仿宋_GB2312" w:eastAsia="仿宋_GB2312"/>
          <w:bCs/>
          <w:color w:val="auto"/>
          <w:sz w:val="44"/>
          <w:highlight w:val="none"/>
        </w:rPr>
        <w:br w:type="page" w:clear="all"/>
      </w:r>
      <w:bookmarkStart w:id="188" w:name="_Toc10070"/>
      <w:r>
        <w:rPr>
          <w:rStyle w:val="765"/>
          <w:rFonts w:hint="eastAsia"/>
          <w:b/>
          <w:bCs/>
          <w:color w:val="auto"/>
          <w:highlight w:val="none"/>
        </w:rPr>
        <w:t xml:space="preserve">第三章   合同</w:t>
      </w:r>
      <w:bookmarkEnd w:id="183"/>
      <w:r/>
      <w:bookmarkEnd w:id="184"/>
      <w:r/>
      <w:bookmarkEnd w:id="185"/>
      <w:r/>
      <w:bookmarkEnd w:id="186"/>
      <w:r/>
      <w:bookmarkEnd w:id="187"/>
      <w:r>
        <w:rPr>
          <w:rStyle w:val="765"/>
          <w:rFonts w:hint="eastAsia"/>
          <w:b/>
          <w:bCs/>
          <w:color w:val="auto"/>
          <w:highlight w:val="none"/>
        </w:rPr>
        <w:t xml:space="preserve">文本</w:t>
      </w:r>
      <w:bookmarkEnd w:id="188"/>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bookmarkStart w:id="189" w:name="_Toc20823315"/>
      <w:r/>
      <w:bookmarkStart w:id="190" w:name="_Toc513029243"/>
      <w:r/>
      <w:bookmarkStart w:id="191" w:name="_Toc16938559"/>
      <w:r>
        <w:rPr>
          <w:rFonts w:hint="eastAsia" w:ascii="仿宋" w:hAnsi="仿宋" w:eastAsia="仿宋" w:cs="仿宋"/>
          <w:bCs/>
          <w:color w:val="auto"/>
          <w:sz w:val="24"/>
          <w:szCs w:val="24"/>
          <w:highlight w:val="none"/>
        </w:rPr>
        <w:t xml:space="preserve">以下为中标后签定本项目合同的通用条款，中标人不得提出实质性的修改。</w:t>
      </w:r>
      <w:r/>
    </w:p>
    <w:p>
      <w:pPr>
        <w:ind w:left="0" w:firstLine="480"/>
        <w:jc w:val="center"/>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firstLine="482"/>
        <w:jc w:val="center"/>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江苏省政府采购合同（服务）（合同编号）</w:t>
      </w:r>
      <w:r/>
    </w:p>
    <w:p>
      <w:pPr>
        <w:ind w:left="0" w:firstLine="480"/>
        <w:jc w:val="center"/>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宿城区2025-2027年政策性农业保险承保机构遴选项目</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single"/>
          <w:lang w:eastAsia="zh-CN"/>
        </w:rPr>
        <w:t xml:space="preserve">宿迁市宿城区财政局</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7"/>
        <w:ind w:left="0" w:firstLine="480"/>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宿城区2025-2027年政策性农业保险承保机构遴选项目</w:t>
      </w:r>
      <w:r>
        <w:rPr>
          <w:rFonts w:hint="eastAsia" w:ascii="仿宋" w:hAnsi="仿宋" w:eastAsia="仿宋" w:cs="仿宋"/>
          <w:color w:val="auto"/>
          <w:sz w:val="24"/>
          <w:szCs w:val="24"/>
          <w:highlight w:val="none"/>
        </w:rPr>
        <w:t xml:space="preserve">公开招标的结果，签署本合同。</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一、合同内容</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为进一步加强政策性农业保险承保机构管理，优化农业保险市场布局，规范农业保险市场秩序，提升农业保险服务质量，提高财政资金使用效益，根据《中央财政农业保险保费补贴管理办法》（财金〔202</w:t>
      </w:r>
      <w:r>
        <w:rPr>
          <w:rFonts w:hint="eastAsia" w:ascii="仿宋" w:hAnsi="仿宋" w:eastAsia="仿宋" w:cs="仿宋"/>
          <w:color w:val="auto"/>
          <w:sz w:val="24"/>
          <w:szCs w:val="24"/>
          <w:highlight w:val="none"/>
          <w:lang w:eastAsia="zh-CN"/>
        </w:rPr>
        <w:t xml:space="preserve">1〕130号）、《农业保险条例》、《财政部 农业农村部关于加强政策性农业保险承保机构遴选管理工作的通知》（财金〔2020〕128 号）、《江苏省省级财政农业保险保费补贴管理办法》（苏财规〔2022〕6号）、《江苏省财政厅 江苏省农业农村厅关于做好政策性农业保险承保机构遴选工作的通知》（苏财金〔2021〕42 号）、《关于做好新一轮政策性农业保险承保机构遴选工作的通知》（宿财金〔2024〕31号）等文件要求，对宿迁市宿城区范围内主要种植业、主要养殖业、高效农业、农机具等政策性农业保险项目承保机构进行公开遴选。</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以保障农民灾后恢复生产、增强抗御自然风险和市场风险能力、促进农民收入稳定为主要目标，坚持从最有利于促进农业发展和维护农民利益的角度出发，依法依规开展政策性农业保险市场主体招投标工作，营造平稳有序、适度竞争的市场环境，保持政策性农业保险工作的连续性、稳定性。</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lang w:eastAsia="zh-CN"/>
        </w:rPr>
        <w:t xml:space="preserve">宿城区2025-2027年政策性农业保险承保机构遴选项目</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1.2标的质量</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承保险种。政策性农业保险，包括水稻、小麦、玉米等主要种植业保险；能繁母猪、育肥猪、奶牛等主要养殖业保险；设施大棚、露地旱生蔬菜、池塘淡水鱼、羊、鸡、鸭等高效农业保险；农机具保险等。具体以财政部门的规定为准</w:t>
      </w:r>
      <w:r>
        <w:rPr>
          <w:rFonts w:hint="eastAsia" w:ascii="仿宋" w:hAnsi="仿宋" w:eastAsia="仿宋" w:cs="仿宋"/>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1.2.2险种标准。承保政策性险种应严格执行省、市、区下发的关于条款及费率、承保理赔等文件实施项目操作。保险金额或赔偿限额根据省、市、区文件要求</w:t>
      </w:r>
      <w:r>
        <w:rPr>
          <w:rFonts w:hint="eastAsia" w:ascii="仿宋" w:hAnsi="仿宋" w:eastAsia="仿宋" w:cs="仿宋"/>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标的数量（规模）：以最终各级财政补贴金额拨付金额为准。</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1.4 服务</w:t>
      </w:r>
      <w:r>
        <w:rPr>
          <w:rFonts w:hint="eastAsia" w:ascii="仿宋" w:hAnsi="仿宋" w:eastAsia="仿宋" w:cs="仿宋"/>
          <w:color w:val="auto"/>
          <w:sz w:val="24"/>
          <w:szCs w:val="24"/>
          <w:highlight w:val="none"/>
          <w:lang w:val="en-US" w:eastAsia="zh-CN"/>
        </w:rPr>
        <w:t xml:space="preserve">范围</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本项目按照区域划分为两个分包：</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分包一：陈集镇、中扬镇、屠园镇、龙河镇，共4个镇；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分包二：埠子镇、王官集镇、蔡集镇、耿车镇、洋北街道、支口街道、项里街道、河滨街道，</w:t>
      </w:r>
      <w:r>
        <w:rPr>
          <w:rFonts w:hint="eastAsia" w:ascii="仿宋" w:hAnsi="仿宋" w:eastAsia="仿宋" w:cs="仿宋"/>
          <w:color w:val="auto"/>
          <w:sz w:val="24"/>
          <w:szCs w:val="24"/>
          <w:highlight w:val="none"/>
          <w:lang w:eastAsia="zh-CN"/>
        </w:rPr>
        <w:t xml:space="preserve">共8个镇（街道）</w:t>
      </w:r>
      <w:r>
        <w:rPr>
          <w:rFonts w:hint="eastAsia" w:ascii="仿宋" w:hAnsi="仿宋" w:eastAsia="仿宋" w:cs="仿宋"/>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履行时间（期限）：</w:t>
      </w:r>
      <w:r>
        <w:rPr>
          <w:rFonts w:hint="eastAsia" w:ascii="仿宋" w:hAnsi="仿宋" w:eastAsia="仿宋" w:cs="仿宋"/>
          <w:bCs/>
          <w:color w:val="auto"/>
          <w:sz w:val="24"/>
          <w:szCs w:val="24"/>
          <w:highlight w:val="none"/>
          <w:lang w:eastAsia="zh-CN"/>
        </w:rPr>
        <w:t xml:space="preserve">2025年1月1日至2027年12月31日</w:t>
      </w:r>
      <w:r>
        <w:rPr>
          <w:rFonts w:hint="eastAsia" w:ascii="仿宋" w:hAnsi="仿宋" w:eastAsia="仿宋" w:cs="仿宋"/>
          <w:bCs/>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履行地点：</w:t>
      </w:r>
      <w:r>
        <w:rPr>
          <w:rFonts w:hint="eastAsia" w:ascii="仿宋" w:hAnsi="仿宋" w:eastAsia="仿宋" w:cs="仿宋"/>
          <w:color w:val="auto"/>
          <w:sz w:val="24"/>
          <w:szCs w:val="24"/>
          <w:highlight w:val="none"/>
          <w:lang w:eastAsia="zh-CN"/>
        </w:rPr>
        <w:t xml:space="preserve">所属分包中标服务区域</w:t>
      </w:r>
      <w:r>
        <w:rPr>
          <w:rFonts w:hint="eastAsia" w:ascii="仿宋" w:hAnsi="仿宋" w:eastAsia="仿宋" w:cs="仿宋"/>
          <w:color w:val="auto"/>
          <w:sz w:val="24"/>
          <w:szCs w:val="24"/>
          <w:highlight w:val="none"/>
        </w:rPr>
        <w:t xml:space="preserve">。</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二、合同组成</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下列文件应作为本合同的组成部分：</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本合同及附件；</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中标通知书；</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投标文件；</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招标文件；</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与本次招标有关的并经双方确认的其他文件。</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三、双方权利和义务</w:t>
      </w:r>
      <w:r/>
    </w:p>
    <w:p>
      <w:pPr>
        <w:pStyle w:val="947"/>
        <w:ind w:left="0"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甲方职责</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作为农业保险管理工作责任主体，统一领导、组织协调、监督管理本行政区域内的农业保险工作，支持农业保险业务发展。</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负责对乙方监督管理、考核评价等工作。</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协助乙方申请各级财政补贴资金，具体结算工作按照省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区有关规定执行。</w:t>
      </w:r>
      <w:r/>
    </w:p>
    <w:p>
      <w:pPr>
        <w:pStyle w:val="947"/>
        <w:ind w:left="0"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乙方职责</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保险机构具有开展承保、理赔服务所必需的设备和专业</w:t>
      </w:r>
      <w:r>
        <w:rPr>
          <w:rFonts w:hint="eastAsia" w:ascii="仿宋" w:hAnsi="仿宋" w:eastAsia="仿宋" w:cs="仿宋"/>
          <w:color w:val="auto"/>
          <w:sz w:val="24"/>
          <w:szCs w:val="24"/>
          <w:highlight w:val="none"/>
        </w:rPr>
        <w:t xml:space="preserve">技术能力，需要有区级、乡镇（街道）、村（社区）三级服务网络，适用的专业人员和协保员，保证每个乡镇和行政村农业保险服务网点的服务功能，能够深入农村做好农业保险政策宣传、业务培训、承保、勘查定损、无害化处理和理赔等工作；农业保险责任部门具有专业管理团队，能够做好风险管控、风险防范，保证每个工作程序公平、公正、公开，不发生重大承保理赔信访、集访、重访案件。建立健全农业保险投诉及来访接待制度，及时登记处理，做到件件有回复。每月向区财政局报告农业保险经营情况、财务情况；完成省、市、区下达的农业保险高质量发展目标任务。</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组织及业务管理</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乙方设置农险责任部门，配置专门人员，落实宣传、防灾防损、展业、核保、出单、查勘、定损、核赔、财务、统计、档案等工作，且能够利用卫星、网络、移动端开展农业保险线上化精准承保、精准理赔服务，专门人员在业务素质和数量上能够适应服务工作要求。乡镇服务机构（或网点）、</w:t>
      </w:r>
      <w:r>
        <w:rPr>
          <w:rFonts w:hint="eastAsia" w:ascii="仿宋" w:hAnsi="仿宋" w:eastAsia="仿宋" w:cs="仿宋"/>
          <w:color w:val="auto"/>
          <w:sz w:val="24"/>
          <w:szCs w:val="24"/>
          <w:highlight w:val="none"/>
          <w:lang w:eastAsia="zh-CN"/>
        </w:rPr>
        <w:t xml:space="preserve">服务人员（含协保员）应书面报宿城区农险办备案</w:t>
      </w:r>
      <w:r>
        <w:rPr>
          <w:rFonts w:hint="eastAsia" w:ascii="仿宋" w:hAnsi="仿宋" w:eastAsia="仿宋" w:cs="仿宋"/>
          <w:color w:val="auto"/>
          <w:sz w:val="24"/>
          <w:szCs w:val="24"/>
          <w:highlight w:val="none"/>
        </w:rPr>
        <w:t xml:space="preserve">，变更农业保险人员应重新报备。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3.4.2乙方建设乡镇服务机构（或网点），安排专兼职服务人员，能够深入农村高质量做好农业保险服务工作，保证农业保险高质量发展。</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3.4.3乙方</w:t>
      </w:r>
      <w:r>
        <w:rPr>
          <w:rFonts w:hint="eastAsia" w:ascii="仿宋" w:hAnsi="仿宋" w:eastAsia="仿宋" w:cs="仿宋"/>
          <w:color w:val="auto"/>
          <w:sz w:val="24"/>
          <w:szCs w:val="24"/>
          <w:highlight w:val="none"/>
          <w:lang w:eastAsia="zh-CN"/>
        </w:rPr>
        <w:t xml:space="preserve">在每村选聘一名保险协办人员（协保员），签订服务协议</w:t>
      </w:r>
      <w:r>
        <w:rPr>
          <w:rFonts w:hint="eastAsia" w:ascii="仿宋" w:hAnsi="仿宋" w:eastAsia="仿宋" w:cs="仿宋"/>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3.4.4乙方应及时完成相关人员的培训工作，专业技术人员在业务素质和数量上要充分保障本项目相关条件及要求。</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3.4.5乙方应按照财政部门关于农业保险保费补贴资金管理的规定，及时报送承保理赔材料凭证。</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3.4.6乙方每年2月1日前，必须按财政部门的结算要求，向宿城区财政部门提交上年财政年度结算申请报告及附件，同时提交电子文档。</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乙方应按照政策性农业保险承保机构服务评价的规定及时提供材料凭证接受评价。</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3.4.</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乙方应积极开办农业保险新险种，符合省、市、区相关文件要求</w:t>
      </w:r>
      <w:r>
        <w:rPr>
          <w:rFonts w:hint="eastAsia" w:ascii="仿宋" w:hAnsi="仿宋" w:eastAsia="仿宋" w:cs="仿宋"/>
          <w:bCs/>
          <w:color w:val="auto"/>
          <w:sz w:val="24"/>
          <w:szCs w:val="24"/>
          <w:highlight w:val="none"/>
          <w:lang w:val="en-US" w:eastAsia="zh-CN"/>
        </w:rPr>
        <w:t xml:space="preserve">。</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乙方应按时完成宿城区农险办安排的农业保险相关工作。</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 服务规范</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乙方应主动高效服务农户购买农业保险需要，按照农业保险承保理赔管理办法和省、市、区有关规定，规范开展承保理赔工作，并留存承保、理赔档案。</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3.5.1验标承保。</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（1）对单独出单的种养大户、家庭农场、龙头企业或农业生产经营组织，实行全部验标承保；</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（2）对集体投保的种植业保险标的实行抽检，分户清单中投保的土地面积大于50亩的按照单独投保要求做好验标工作。</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3.5.2及时承保。</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在规定的时间节点完成农业保险各险种的承保工作：</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（1）小麦等夏收作物在2月底前；</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（2）春玉米在每年5月底前；</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（3）水稻、玉米等秋收作物在8月底前；</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（4）能繁母猪、育肥猪、农机具、蔬菜大棚等地方特色、高效农业类险种，根据各类主体需求及时承保。</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3.5.3见费出单。在收到投保农户（农民、农业生产经营组织等）应缴保费后，及时出具相应的保险凭证，按照保险合同约定承担赔偿责任。</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3.5.4报案受理。设立24小时保险服务专线，随时接受被保险人的出险报案，报案信息及时准确录入业务系统。</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3.5.5查勘时效。接到报案后需要进行现场查勘的，在24小时内开展现场查勘工作。查勘过程应当完整、规范，能够真实客观反映标的损失情况。</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3.5.7及时理赔。在与被保险人达成赔偿协议后10日内，将应赔偿的保险金支付给被保险人。全部小麦不晚于8月底前，全部水稻、玉米年底前支付到户。</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3.5.8业务真实完整。承保理赔应真实、规范，档案材料符合财政、农业农村、保险监管等部门的规定。</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3.5.9公示要求。按规定在村级或农业生产经营组织公示栏等显著位置或通过政府公共网站、行业信息平台等方式，将组织投保的分户投保清单、分户定损及理赔结果进行公示，公示时间不少于3天。公示</w:t>
      </w:r>
      <w:r>
        <w:rPr>
          <w:rFonts w:hint="eastAsia" w:ascii="仿宋" w:hAnsi="仿宋" w:eastAsia="仿宋" w:cs="仿宋"/>
          <w:color w:val="auto"/>
          <w:sz w:val="24"/>
          <w:szCs w:val="24"/>
          <w:highlight w:val="none"/>
          <w:lang w:eastAsia="zh-CN"/>
        </w:rPr>
        <w:t xml:space="preserve">期间</w:t>
      </w:r>
      <w:r>
        <w:rPr>
          <w:rFonts w:hint="eastAsia" w:ascii="仿宋" w:hAnsi="仿宋" w:eastAsia="仿宋" w:cs="仿宋"/>
          <w:color w:val="auto"/>
          <w:sz w:val="24"/>
          <w:szCs w:val="24"/>
          <w:highlight w:val="none"/>
        </w:rPr>
        <w:t xml:space="preserve">，若接到对公示内容的反馈意见应及时处理。</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服务目标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3.6.1三大粮食作物投保面积覆盖面、育肥猪保险覆盖率等不低于省、市、区下达的年度指标。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3.6.2政策性农业保险保费规模、保障总额不低于上年。</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3.6.3农业保险费用率不高于省有关要求。</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3.6.4年度结案率95％以上，按已决赔款、已决案件数计算的理赔结案率不低于省、市、区下达的年度指标。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3.6.5不得因拒绝承保、拖赔、惜赔等损害农民权益行为被农户投诉、举报、上访，理赔纠纷能够得到及时处理，妥善化解矛盾与争议。</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3.6.6按照要求和承诺建设健全基层服务体系和防灾减损工作机制等。</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7乙方</w:t>
      </w:r>
      <w:r>
        <w:rPr>
          <w:rFonts w:hint="eastAsia" w:ascii="仿宋" w:hAnsi="仿宋" w:eastAsia="仿宋" w:cs="仿宋"/>
          <w:bCs/>
          <w:color w:val="auto"/>
          <w:sz w:val="24"/>
          <w:szCs w:val="24"/>
          <w:highlight w:val="none"/>
        </w:rPr>
        <w:t xml:space="preserve">无正当理由不得放弃中选且不得转包。</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3.8人员配备</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乙方须组建专业的服务团队，人员配置满足本次采购需求，其中包含项目组负责人1名，项目组其他成员不少于3名。</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3.9保险合同</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保险合同（保险单）严格执行省、市、区农业保险管理的规定，明确载明农业保险标的位置、农户、农业生产经营组织、地方财政、中央财政等各方承担的保费比例及金额。否则，不给予保费补贴。</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四、保险条款执行</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4.1条款费率：严格执行经江苏省农业保险工作领导小组审定并报中国银行保险监督管理委员会备案的条款、费率。</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4.2保费补贴：保费补贴政策依照政府相关文件规定执行，在承保前甲方明确各级政府及农户自缴保费比例并告知乙方。</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五、合同金额</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本合同金额以最终各级财政补贴金额拨付金额为准。</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六、技术资料</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6.1任何一方对其获知的本协议涉及的所有有形、无形的信息及资料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包括但不限于甲乙双方的往来书面文字、电子邮件及信息资料等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中另一方的商业秘密负有保密义务。</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6.2除非法律、法规另有规定或得到本协议之另一方许可，任何一方不得向第三方泄露前款规定的商业秘密。保密期限自任何一方获知该商业秘密之日至本协议规定的秘密成为公众信息之日止。</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七、知识产权</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7.1乙方应保证甲方在使用、接受本合同服务（包含与服务相关的货物）或其任何一部分时不受第三方提出侵犯其专利权、版权、商标权和工业设计权等知识产权的起诉。一旦出现侵权，由乙方负全部责任。</w:t>
      </w:r>
      <w:r/>
    </w:p>
    <w:p>
      <w:pPr>
        <w:pStyle w:val="947"/>
        <w:ind w:left="0" w:firstLine="482"/>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八、产权担保</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8.1 乙方保证所交付的服务（包含与服务相关的货物）的所有权完全属于乙方且无任何抵押、查封等产权瑕疵。</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九、履约保证金</w:t>
      </w:r>
      <w:r/>
    </w:p>
    <w:p>
      <w:pPr>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9.1 本项目不收取履约保证金。</w:t>
      </w:r>
      <w:r/>
    </w:p>
    <w:p>
      <w:pPr>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十、合同转包或分包</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10.1乙方不得将合同标的转包给他人履行。</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10.2乙方如有转包或未经甲方同意的分包行为，甲方有权解除合同。</w:t>
      </w:r>
      <w:r/>
    </w:p>
    <w:p>
      <w:pPr>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十一、</w:t>
      </w:r>
      <w:r>
        <w:rPr>
          <w:rFonts w:hint="eastAsia" w:ascii="仿宋" w:hAnsi="仿宋" w:eastAsia="仿宋" w:cs="仿宋"/>
          <w:b/>
          <w:color w:val="auto"/>
          <w:sz w:val="24"/>
          <w:szCs w:val="24"/>
          <w:highlight w:val="none"/>
          <w:lang w:val="en-US" w:eastAsia="zh-CN"/>
        </w:rPr>
        <w:t xml:space="preserve">动态考评</w:t>
      </w:r>
      <w:r/>
    </w:p>
    <w:p>
      <w:pPr>
        <w:pStyle w:val="947"/>
        <w:ind w:left="0"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w:t>
      </w:r>
      <w:r>
        <w:rPr>
          <w:rFonts w:hint="eastAsia" w:ascii="仿宋" w:hAnsi="仿宋" w:eastAsia="仿宋" w:cs="仿宋"/>
          <w:color w:val="auto"/>
          <w:sz w:val="24"/>
          <w:szCs w:val="24"/>
          <w:highlight w:val="none"/>
        </w:rPr>
        <w:t xml:space="preserve">乙方需突出承保机构的服务能力、合规经营能力和风险管控能力。甲方将建立承保机构动态考评退出机制，按相关文件精神，通过评估重要农产品参保率、保险密度、保险深度、综合赔付率、参保农户满意度等绩效指标进行考核，若在合同期内考核不合格予以清退，退出份额由考核合格的中标承保机构按当年考核得分高低依次承接。</w:t>
      </w:r>
      <w:r/>
    </w:p>
    <w:p>
      <w:pPr>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合同变更</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12.1因国家政策和上级政府的规定发生变化，按照调整后政策要求执行。</w:t>
      </w:r>
      <w:r/>
    </w:p>
    <w:p>
      <w:pPr>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、合同款项支付</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付款方式</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.1对于满足合同约定支付条件的，自收到发票后10个工作日内将资金支付到合同约定的供应商账户或供应商数字人民币账户</w:t>
      </w:r>
      <w:r>
        <w:rPr>
          <w:rFonts w:hint="eastAsia" w:ascii="仿宋" w:hAnsi="仿宋" w:eastAsia="仿宋" w:cs="仿宋"/>
          <w:bCs/>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合同签订且在收到供应商发票后10个工作日内，支付合同价款的10%作为预付款；依据财政部、省财政厅保费补贴资金管理制度，按照“各地财政部门未收到符合要求的保单级数据，不得向承保机构拨付保费补贴资金”的规定（扣除预付款）。保险机构须及时提供申请保费补贴报告以及必要的凭证材料，在相关部门审核无误的基础上，财政部门按规定拨付保费补贴资金</w:t>
      </w:r>
      <w:r>
        <w:rPr>
          <w:rFonts w:hint="eastAsia" w:ascii="仿宋" w:hAnsi="仿宋" w:eastAsia="仿宋" w:cs="仿宋"/>
          <w:bCs/>
          <w:color w:val="auto"/>
          <w:sz w:val="24"/>
          <w:szCs w:val="24"/>
          <w:highlight w:val="none"/>
        </w:rPr>
        <w:t xml:space="preserve">。</w:t>
      </w:r>
      <w:r/>
    </w:p>
    <w:p>
      <w:pPr>
        <w:pStyle w:val="947"/>
        <w:ind w:left="0"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注：在签订合同时，中标人明确表示无需预付款或者主动要求降低预付款比例的金额，采购人可不适用预付款规定。</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13.2</w:t>
      </w:r>
      <w:r>
        <w:rPr>
          <w:rFonts w:hint="eastAsia" w:ascii="仿宋" w:hAnsi="仿宋" w:eastAsia="仿宋" w:cs="仿宋"/>
          <w:color w:val="auto"/>
          <w:sz w:val="24"/>
          <w:szCs w:val="24"/>
          <w:highlight w:val="none"/>
        </w:rPr>
        <w:t xml:space="preserve">发票开具方式：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具体由甲方指定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highlight w:val="none"/>
          <w:lang w:val="en-US" w:eastAsia="zh-CN"/>
        </w:rPr>
        <w:t xml:space="preserve">13.3</w:t>
      </w:r>
      <w:r>
        <w:rPr>
          <w:rFonts w:hint="eastAsia" w:ascii="仿宋" w:hAnsi="仿宋" w:eastAsia="仿宋" w:cs="仿宋"/>
          <w:color w:val="auto"/>
          <w:sz w:val="24"/>
          <w:szCs w:val="24"/>
          <w:highlight w:val="none"/>
          <w:lang w:val="en-US" w:eastAsia="zh-CN" w:bidi="ar-SA"/>
        </w:rPr>
        <w:t xml:space="preserve">乙方收款账户信息</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乙方开户银行：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0"/>
        <w:jc w:val="both"/>
        <w:keepLines w:val="0"/>
        <w:keepNext w:val="0"/>
        <w:pageBreakBefore w:val="0"/>
        <w:spacing w:before="0" w:beforeAutospacing="0" w:after="0" w:afterAutospacing="0" w:line="560" w:lineRule="exact"/>
        <w:widowControl w:val="off"/>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乙方开户账号：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、税费</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.1本合同执行中相关的一切税费均由乙方负担。</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、违约责任</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w:t>
      </w:r>
      <w:r/>
      <w:r>
        <w:rPr>
          <w:rFonts w:hint="eastAsia" w:ascii="仿宋" w:hAnsi="仿宋" w:eastAsia="仿宋" w:cs="仿宋"/>
          <w:color w:val="auto"/>
          <w:sz w:val="24"/>
          <w:szCs w:val="24"/>
          <w:highlight w:val="none"/>
        </w:rPr>
        <w:t xml:space="preserve">乙方所提供服务的标准不符合合同规定及招标文件规定标准的，甲方有权拒绝接受服务，并可单方面解除合同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造成的损失依法予以追偿</w:t>
      </w:r>
      <w:r>
        <w:rPr>
          <w:rFonts w:hint="eastAsia" w:ascii="仿宋" w:hAnsi="仿宋" w:eastAsia="仿宋" w:cs="仿宋"/>
          <w:color w:val="auto"/>
          <w:sz w:val="24"/>
          <w:szCs w:val="24"/>
          <w:highlight w:val="none"/>
        </w:rPr>
        <w:t xml:space="preserve">。</w:t>
      </w:r>
      <w:r/>
      <w:r>
        <w:rPr>
          <w:rFonts w:hint="eastAsia" w:ascii="仿宋" w:hAnsi="仿宋" w:eastAsia="仿宋" w:cs="仿宋"/>
          <w:color w:val="auto"/>
          <w:sz w:val="24"/>
          <w:szCs w:val="24"/>
          <w:highlight w:val="none"/>
        </w:rPr>
      </w:r>
    </w:p>
    <w:p>
      <w:pPr>
        <w:pStyle w:val="947"/>
        <w:ind w:left="0"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15.2乙方在协议实施中，因工作不到位造成保费收缴大幅下降，甲方有权终止合同。</w:t>
      </w:r>
      <w:r/>
    </w:p>
    <w:p>
      <w:pPr>
        <w:pStyle w:val="947"/>
        <w:ind w:left="0"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15.3乙方</w:t>
      </w:r>
      <w:r>
        <w:rPr>
          <w:rFonts w:hint="eastAsia" w:ascii="仿宋" w:hAnsi="仿宋" w:eastAsia="仿宋" w:cs="仿宋"/>
          <w:color w:val="auto"/>
          <w:sz w:val="24"/>
          <w:szCs w:val="24"/>
          <w:highlight w:val="none"/>
        </w:rPr>
        <w:t xml:space="preserve">发生群体性事件，造成重大负面影响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甲方有权终止合同。</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、项目验收</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甲方依法组织履约验收工作。</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对于实际使用人和甲方分离的项目，甲方邀请实际使用人参与验收。</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16.4 如有必要，甲方邀请参加本项目的其他投标人或第三方专业机构及专家参与验收，相关意见将作为验收书的参考资料。</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0"/>
        <w:jc w:val="both"/>
        <w:keepLines w:val="0"/>
        <w:keepNext w:val="0"/>
        <w:pageBreakBefore w:val="0"/>
        <w:spacing w:before="0" w:after="0" w:line="56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16.7</w:t>
      </w:r>
      <w:r>
        <w:rPr>
          <w:rFonts w:hint="eastAsia" w:ascii="仿宋" w:hAnsi="仿宋" w:eastAsia="仿宋" w:cs="仿宋"/>
          <w:bCs/>
          <w:color w:val="auto"/>
          <w:sz w:val="24"/>
          <w:szCs w:val="24"/>
          <w:highlight w:val="none"/>
          <w:lang w:val="en-US" w:eastAsia="zh-CN"/>
        </w:rPr>
        <w:t xml:space="preserve">合同履行期满，</w:t>
      </w:r>
      <w:r>
        <w:rPr>
          <w:rFonts w:hint="eastAsia" w:ascii="仿宋" w:hAnsi="仿宋" w:eastAsia="仿宋" w:cs="仿宋"/>
          <w:color w:val="auto"/>
          <w:sz w:val="24"/>
          <w:szCs w:val="24"/>
          <w:highlight w:val="none"/>
          <w:lang w:val="en-US" w:eastAsia="zh-CN" w:bidi="ar-SA"/>
        </w:rPr>
        <w:t xml:space="preserve">乙方</w:t>
      </w:r>
      <w:r>
        <w:rPr>
          <w:rFonts w:hint="eastAsia" w:ascii="仿宋" w:hAnsi="仿宋" w:eastAsia="仿宋" w:cs="仿宋"/>
          <w:bCs/>
          <w:color w:val="auto"/>
          <w:sz w:val="24"/>
          <w:szCs w:val="24"/>
          <w:highlight w:val="none"/>
          <w:lang w:val="en-US" w:eastAsia="zh-CN"/>
        </w:rPr>
        <w:t xml:space="preserve">向甲方提交项目验收资料以及验收申请单，甲方收到申请后3个工作日内组织验收且验收无问题后签署验收单。</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、不可抗力事件处理</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.1在合同有效期内，任何一方因不可抗力事件导致不能履行合同，则合同履行期可延长，其延长期与不可抗力影响期相同。</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.2不可抗力事件发生后，应立即通知对方，并寄送有关权威机构出具的证明。</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.3不可抗力事件延续120天以上，双方应通过友好协商，确定是否继续履行合同。</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、解决争议的方法</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.1双方在签订、履行合同中所发生的一切争议，应通过友好协商解决。如协商不成，由甲方住所地人民法院管辖。</w:t>
      </w:r>
      <w:r/>
    </w:p>
    <w:p>
      <w:pPr>
        <w:pStyle w:val="947"/>
        <w:ind w:left="0"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、合同生效及其它</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.1合同经双方法定代表人或授权委托代表人签字并加盖单位公章后生效。</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.2本合同未尽事宜，遵照《民法典》、《政府采购法》有关条文执行。</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.3 本合同正本一式两份，具有同等法律效力，甲方、乙方各执一份。</w:t>
      </w:r>
      <w:r/>
    </w:p>
    <w:p>
      <w:pPr>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 </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                      联系人：</w:t>
      </w:r>
      <w:r/>
    </w:p>
    <w:p>
      <w:pPr>
        <w:pStyle w:val="947"/>
        <w:ind w:lef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947"/>
        <w:ind w:left="0" w:firstLine="0"/>
        <w:jc w:val="righ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w:t>
      </w:r>
      <w:bookmarkEnd w:id="189"/>
      <w:r/>
      <w:bookmarkEnd w:id="190"/>
      <w:r/>
      <w:bookmarkEnd w:id="191"/>
      <w:r/>
      <w:bookmarkStart w:id="192" w:name="_Hlt16619369"/>
      <w:r/>
      <w:bookmarkEnd w:id="192"/>
      <w:r/>
      <w:bookmarkStart w:id="193" w:name="_Hlt16619350"/>
      <w:r/>
      <w:bookmarkStart w:id="194" w:name="_Toc16938590"/>
      <w:r/>
      <w:bookmarkStart w:id="195" w:name="_Toc120614244"/>
      <w:r/>
      <w:bookmarkStart w:id="196" w:name="_Toc20823346"/>
      <w:r/>
      <w:bookmarkStart w:id="197" w:name="_Toc479757211"/>
      <w:r/>
      <w:bookmarkStart w:id="198" w:name="_Toc462564139"/>
      <w:r/>
      <w:r/>
    </w:p>
    <w:p>
      <w:pPr>
        <w:pStyle w:val="947"/>
        <w:ind w:left="0" w:firstLine="0"/>
        <w:jc w:val="center"/>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left="0" w:firstLine="0"/>
        <w:jc w:val="center"/>
        <w:keepLines w:val="0"/>
        <w:keepNext w:val="0"/>
        <w:pageBreakBefore w:val="0"/>
        <w:spacing w:line="480" w:lineRule="auto"/>
        <w:widowControl w:val="off"/>
        <w:rPr>
          <w:rFonts w:hint="eastAsia" w:ascii="仿宋_GB2312" w:hAnsi="Times New Roman" w:eastAsia="仿宋_GB2312"/>
          <w:color w:val="auto"/>
          <w:sz w:val="24"/>
          <w:szCs w:val="24"/>
          <w:highlight w:val="none"/>
        </w:rPr>
      </w:pPr>
      <w:r>
        <w:rPr>
          <w:rFonts w:hint="eastAsia" w:ascii="仿宋" w:hAnsi="仿宋" w:eastAsia="仿宋" w:cs="仿宋"/>
          <w:bCs/>
          <w:color w:val="auto"/>
          <w:sz w:val="24"/>
          <w:szCs w:val="24"/>
          <w:highlight w:val="none"/>
        </w:rPr>
        <w:br w:type="page" w:clear="all"/>
      </w:r>
      <w:bookmarkStart w:id="199" w:name="_Toc15293"/>
      <w:r>
        <w:rPr>
          <w:rStyle w:val="765"/>
          <w:rFonts w:hint="eastAsia"/>
          <w:b/>
          <w:bCs/>
          <w:color w:val="auto"/>
          <w:highlight w:val="none"/>
          <w:lang w:val="en-US" w:eastAsia="zh-CN" w:bidi="ar-SA"/>
        </w:rPr>
        <w:t xml:space="preserve">第</w:t>
      </w:r>
      <w:bookmarkEnd w:id="193"/>
      <w:r>
        <w:rPr>
          <w:rStyle w:val="765"/>
          <w:rFonts w:hint="eastAsia"/>
          <w:b/>
          <w:bCs/>
          <w:color w:val="auto"/>
          <w:highlight w:val="none"/>
          <w:lang w:val="en-US" w:eastAsia="zh-CN" w:bidi="ar-SA"/>
        </w:rPr>
        <w:t xml:space="preserve">四章</w:t>
      </w:r>
      <w:r>
        <w:rPr>
          <w:rStyle w:val="765"/>
          <w:rFonts w:hint="eastAsia"/>
          <w:b/>
          <w:bCs/>
          <w:color w:val="auto"/>
          <w:highlight w:val="none"/>
        </w:rPr>
        <w:t xml:space="preserve">   </w:t>
      </w:r>
      <w:r>
        <w:rPr>
          <w:rStyle w:val="765"/>
          <w:rFonts w:hint="eastAsia"/>
          <w:b/>
          <w:bCs/>
          <w:color w:val="auto"/>
          <w:highlight w:val="none"/>
          <w:lang w:val="en-US" w:eastAsia="zh-CN" w:bidi="ar-SA"/>
        </w:rPr>
        <w:t xml:space="preserve">采购需求</w:t>
      </w:r>
      <w:bookmarkEnd w:id="194"/>
      <w:r/>
      <w:bookmarkEnd w:id="195"/>
      <w:r/>
      <w:bookmarkEnd w:id="196"/>
      <w:r/>
      <w:bookmarkEnd w:id="199"/>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bookmarkStart w:id="200" w:name="_Toc26554093"/>
      <w:r/>
      <w:bookmarkStart w:id="201" w:name="_Toc49090575"/>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u w:val="single"/>
        </w:rPr>
        <w:t xml:space="preserve"> 其他未列明行业 </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（接受/不接受）进口产品。</w:t>
      </w:r>
      <w:r/>
    </w:p>
    <w:p>
      <w:pPr>
        <w:ind w:firstLine="482"/>
        <w:keepLines w:val="0"/>
        <w:keepNext w:val="0"/>
        <w:pageBreakBefore w:val="0"/>
        <w:spacing w:line="560" w:lineRule="exact"/>
        <w:widowControl w:val="off"/>
        <w:rPr>
          <w:rFonts w:hint="eastAsia" w:ascii="楷体" w:hAnsi="楷体" w:eastAsia="楷体" w:cs="Courier New"/>
          <w:b/>
          <w:bCs w:val="0"/>
          <w:color w:val="auto"/>
          <w:sz w:val="24"/>
          <w:szCs w:val="24"/>
          <w:highlight w:val="none"/>
          <w:lang w:eastAsia="zh-CN"/>
        </w:rPr>
      </w:pPr>
      <w:r/>
      <w:bookmarkStart w:id="202" w:name="_Toc120614281"/>
      <w:r>
        <w:rPr>
          <w:rFonts w:hint="eastAsia" w:ascii="楷体" w:hAnsi="楷体" w:eastAsia="楷体" w:cs="Times New Roman"/>
          <w:b/>
          <w:bCs w:val="0"/>
          <w:color w:val="auto"/>
          <w:sz w:val="24"/>
          <w:szCs w:val="24"/>
          <w:highlight w:val="none"/>
        </w:rPr>
        <w:t xml:space="preserve">一、项</w:t>
      </w:r>
      <w:r>
        <w:rPr>
          <w:rFonts w:hint="eastAsia" w:ascii="楷体" w:hAnsi="楷体" w:eastAsia="楷体" w:cs="Courier New"/>
          <w:b/>
          <w:bCs w:val="0"/>
          <w:color w:val="auto"/>
          <w:sz w:val="24"/>
          <w:szCs w:val="24"/>
          <w:highlight w:val="none"/>
        </w:rPr>
        <w:t xml:space="preserve">目</w:t>
      </w:r>
      <w:r>
        <w:rPr>
          <w:rFonts w:hint="eastAsia" w:ascii="楷体" w:hAnsi="楷体" w:eastAsia="楷体" w:cs="Courier New"/>
          <w:b/>
          <w:bCs w:val="0"/>
          <w:color w:val="auto"/>
          <w:sz w:val="24"/>
          <w:szCs w:val="24"/>
          <w:highlight w:val="none"/>
          <w:lang w:val="en-US" w:eastAsia="zh-CN"/>
        </w:rPr>
        <w:t xml:space="preserve">概况</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rPr>
        <w:t xml:space="preserve">为进一步加强政策性农业保险承保机构管理，优化农业保险市场布局，规范农业保险市场秩序，提升农业保险服务质量，提高财政资金使用效益，根据《中央财政农业保险保费补贴管理办法》（财金〔202</w:t>
      </w:r>
      <w:r>
        <w:rPr>
          <w:rFonts w:hint="eastAsia" w:ascii="仿宋_GB2312" w:hAnsi="Times New Roman" w:eastAsia="仿宋_GB2312" w:cs="Courier New"/>
          <w:color w:val="auto"/>
          <w:sz w:val="24"/>
          <w:szCs w:val="24"/>
          <w:highlight w:val="none"/>
        </w:rPr>
        <w:t xml:space="preserve">1〕130号）、《农业保险条例》、《财政部 农业农村部关于加强政策性农业保险承保机构遴选管理工作的通知》（财金〔2020〕128 号）、《江苏省省级财政农业保险保费补贴管理办法》（苏财规〔2022〕6号）、《江苏省财政厅 江苏省农业农村厅关于做好政策性农业保险承保机构遴选工作的通知》（苏财金〔2021〕42 号）、《关于做好新一轮政策性农业保险承保机构遴选工作的通知》（宿财金〔2024〕31号）等文件要求，对宿迁市宿城区范围内主要种植业、主要养殖业、高效农业、农机具等政策性农业保险项目承保机构进行公开遴选。</w:t>
      </w:r>
      <w:r/>
    </w:p>
    <w:p>
      <w:pPr>
        <w:ind w:firstLine="482"/>
        <w:keepLines w:val="0"/>
        <w:keepNext w:val="0"/>
        <w:pageBreakBefore w:val="0"/>
        <w:spacing w:line="560" w:lineRule="exact"/>
        <w:widowControl w:val="off"/>
        <w:rPr>
          <w:rFonts w:hint="eastAsia" w:ascii="楷体" w:hAnsi="楷体" w:eastAsia="楷体" w:cs="Courier New"/>
          <w:b/>
          <w:bCs/>
          <w:color w:val="auto"/>
          <w:sz w:val="24"/>
          <w:szCs w:val="24"/>
          <w:highlight w:val="none"/>
          <w:lang w:val="en-US" w:eastAsia="zh-CN"/>
        </w:rPr>
      </w:pPr>
      <w:r>
        <w:rPr>
          <w:rFonts w:hint="eastAsia" w:ascii="楷体" w:hAnsi="楷体" w:eastAsia="楷体" w:cs="Courier New"/>
          <w:b/>
          <w:bCs/>
          <w:color w:val="auto"/>
          <w:sz w:val="24"/>
          <w:szCs w:val="24"/>
          <w:highlight w:val="none"/>
        </w:rPr>
        <w:t xml:space="preserve">二、</w:t>
      </w:r>
      <w:r>
        <w:rPr>
          <w:rFonts w:hint="eastAsia" w:ascii="楷体" w:hAnsi="楷体" w:eastAsia="楷体" w:cs="Courier New"/>
          <w:b/>
          <w:bCs/>
          <w:color w:val="auto"/>
          <w:sz w:val="24"/>
          <w:szCs w:val="24"/>
          <w:highlight w:val="none"/>
          <w:lang w:val="en-US" w:eastAsia="zh-CN"/>
        </w:rPr>
        <w:t xml:space="preserve">总体要求</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rPr>
        <w:t xml:space="preserve">以保障农民灾后恢复生产、增强抗御自然风险和市场风险能力、促进农民收入稳定为主要目标，坚持从最有利于促进农业发展和维护农民利益的角度出发，依法依规开展政策性农业保险市场主体招投标工作，营造平稳有序、适度竞争的市场环境，保持政策性农业保险工作的连续性、稳定性。</w:t>
      </w:r>
      <w:r/>
    </w:p>
    <w:p>
      <w:pPr>
        <w:ind w:firstLine="482"/>
        <w:keepLines w:val="0"/>
        <w:keepNext w:val="0"/>
        <w:pageBreakBefore w:val="0"/>
        <w:spacing w:line="560" w:lineRule="exact"/>
        <w:widowControl w:val="off"/>
        <w:rPr>
          <w:rFonts w:hint="eastAsia" w:ascii="楷体" w:hAnsi="楷体" w:eastAsia="楷体" w:cs="Courier New"/>
          <w:b/>
          <w:bCs/>
          <w:color w:val="auto"/>
          <w:sz w:val="24"/>
          <w:szCs w:val="24"/>
          <w:highlight w:val="none"/>
          <w:lang w:val="en-US" w:eastAsia="zh-CN"/>
        </w:rPr>
      </w:pPr>
      <w:r>
        <w:rPr>
          <w:rFonts w:hint="eastAsia" w:ascii="楷体" w:hAnsi="楷体" w:eastAsia="楷体" w:cs="Courier New"/>
          <w:b/>
          <w:bCs/>
          <w:color w:val="auto"/>
          <w:sz w:val="24"/>
          <w:szCs w:val="24"/>
          <w:highlight w:val="none"/>
          <w:lang w:val="en-US" w:eastAsia="zh-CN"/>
        </w:rPr>
        <w:t xml:space="preserve">三、基本原则</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lang w:val="en-US" w:eastAsia="zh-CN"/>
        </w:rPr>
      </w:pPr>
      <w:r>
        <w:rPr>
          <w:rFonts w:hint="eastAsia" w:ascii="仿宋_GB2312" w:hAnsi="Times New Roman" w:eastAsia="仿宋_GB2312" w:cs="Courier New"/>
          <w:color w:val="auto"/>
          <w:sz w:val="24"/>
          <w:szCs w:val="24"/>
          <w:highlight w:val="none"/>
          <w:lang w:val="en-US" w:eastAsia="zh-CN"/>
        </w:rPr>
        <w:t xml:space="preserve">（一）择优汰劣、惠民惠农。以落实惠农政策，维护农民利益为出发点，选择有资质、服务好、网络全、专业精、实力强、信誉优的保险公司参与政策性农业保险工作。</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lang w:val="en-US" w:eastAsia="zh-CN"/>
        </w:rPr>
      </w:pP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lang w:val="en-US" w:eastAsia="zh-CN"/>
        </w:rPr>
        <w:t xml:space="preserve">二</w:t>
      </w: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rPr>
        <w:t xml:space="preserve">公开透明</w:t>
      </w: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lang w:val="en-US" w:eastAsia="zh-CN"/>
        </w:rPr>
        <w:t xml:space="preserve">公平公正</w:t>
      </w:r>
      <w:r>
        <w:rPr>
          <w:rFonts w:hint="eastAsia" w:ascii="仿宋_GB2312" w:hAnsi="Times New Roman" w:eastAsia="仿宋_GB2312" w:cs="Courier New"/>
          <w:color w:val="auto"/>
          <w:sz w:val="24"/>
          <w:szCs w:val="24"/>
          <w:highlight w:val="none"/>
        </w:rPr>
        <w:t xml:space="preserve">。</w:t>
      </w:r>
      <w:r>
        <w:rPr>
          <w:rFonts w:hint="eastAsia" w:ascii="仿宋_GB2312" w:hAnsi="Times New Roman" w:eastAsia="仿宋_GB2312" w:cs="Courier New"/>
          <w:color w:val="auto"/>
          <w:sz w:val="24"/>
          <w:szCs w:val="24"/>
          <w:highlight w:val="none"/>
          <w:lang w:val="en-US" w:eastAsia="zh-CN"/>
        </w:rPr>
        <w:t xml:space="preserve">本次招标将在宿迁市政府采购网站上发布招标公告，做到招标信息公开，评审标准依法合规、公平公正，营造良好的市场竞争秩序。</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lang w:val="en-US" w:eastAsia="zh-CN"/>
        </w:rPr>
      </w:pP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lang w:val="en-US" w:eastAsia="zh-CN"/>
        </w:rPr>
        <w:t xml:space="preserve">三</w:t>
      </w: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lang w:val="en-US" w:eastAsia="zh-CN"/>
        </w:rPr>
        <w:t xml:space="preserve">稳妥推进、平稳过渡。招标工作结束后，在原农业保险承保保险期，原经办保险机构要按照合同约定，认真履行权利义务，不得擅自拒保或变相拒保，不得违规拒赔、惜赔、拖赔等，确保承保机构更替期间政策性农业保险工作稳妥推进、平稳过渡。</w:t>
      </w:r>
      <w:r/>
    </w:p>
    <w:p>
      <w:pPr>
        <w:ind w:firstLine="420"/>
        <w:keepLines w:val="0"/>
        <w:keepNext w:val="0"/>
        <w:pageBreakBefore w:val="0"/>
        <w:spacing w:line="560" w:lineRule="exact"/>
        <w:widowControl w:val="off"/>
        <w:rPr>
          <w:rFonts w:hint="default" w:ascii="楷体" w:hAnsi="楷体" w:eastAsia="楷体" w:cs="Courier New"/>
          <w:b/>
          <w:bCs/>
          <w:color w:val="auto"/>
          <w:sz w:val="24"/>
          <w:szCs w:val="24"/>
          <w:highlight w:val="none"/>
          <w:lang w:val="en-US" w:eastAsia="zh-CN"/>
        </w:rPr>
      </w:pPr>
      <w:r>
        <w:rPr>
          <w:rFonts w:hint="eastAsia" w:ascii="仿宋_GB2312" w:hAnsi="Segoe UI Symbol" w:eastAsia="仿宋_GB2312" w:cs="Segoe UI Symbol"/>
          <w:color w:val="auto"/>
          <w:szCs w:val="21"/>
          <w:highlight w:val="none"/>
        </w:rPr>
        <w:t xml:space="preserve">★</w:t>
      </w:r>
      <w:r>
        <w:rPr>
          <w:rFonts w:hint="eastAsia" w:ascii="楷体" w:hAnsi="楷体" w:eastAsia="楷体" w:cs="Courier New"/>
          <w:b/>
          <w:bCs/>
          <w:color w:val="auto"/>
          <w:sz w:val="24"/>
          <w:szCs w:val="24"/>
          <w:highlight w:val="none"/>
          <w:lang w:val="en-US" w:eastAsia="zh-CN"/>
        </w:rPr>
        <w:t xml:space="preserve">四、</w:t>
      </w:r>
      <w:r>
        <w:rPr>
          <w:rFonts w:hint="eastAsia" w:ascii="楷体" w:hAnsi="楷体" w:eastAsia="楷体" w:cs="Courier New"/>
          <w:b/>
          <w:bCs/>
          <w:color w:val="auto"/>
          <w:sz w:val="24"/>
          <w:szCs w:val="24"/>
          <w:highlight w:val="none"/>
        </w:rPr>
        <w:t xml:space="preserve">服务</w:t>
      </w:r>
      <w:r>
        <w:rPr>
          <w:rFonts w:hint="eastAsia" w:ascii="楷体" w:hAnsi="楷体" w:eastAsia="楷体" w:cs="Courier New"/>
          <w:b/>
          <w:bCs/>
          <w:color w:val="auto"/>
          <w:sz w:val="24"/>
          <w:szCs w:val="24"/>
          <w:highlight w:val="none"/>
          <w:lang w:val="en-US" w:eastAsia="zh-CN"/>
        </w:rPr>
        <w:t xml:space="preserve">内容及要求</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lang w:val="en-US" w:eastAsia="zh-CN"/>
        </w:rPr>
        <w:t xml:space="preserve">宿迁市宿城区</w:t>
      </w:r>
      <w:r>
        <w:rPr>
          <w:rFonts w:hint="eastAsia" w:ascii="仿宋_GB2312" w:hAnsi="Times New Roman" w:eastAsia="仿宋_GB2312" w:cs="Courier New"/>
          <w:color w:val="auto"/>
          <w:sz w:val="24"/>
          <w:szCs w:val="24"/>
          <w:highlight w:val="none"/>
        </w:rPr>
        <w:t xml:space="preserve">划分</w:t>
      </w:r>
      <w:r>
        <w:rPr>
          <w:rFonts w:hint="eastAsia" w:ascii="仿宋_GB2312" w:hAnsi="Times New Roman" w:eastAsia="仿宋_GB2312" w:cs="Courier New"/>
          <w:color w:val="auto"/>
          <w:sz w:val="24"/>
          <w:szCs w:val="24"/>
          <w:highlight w:val="none"/>
          <w:lang w:val="en-US" w:eastAsia="zh-CN"/>
        </w:rPr>
        <w:t xml:space="preserve">2</w:t>
      </w:r>
      <w:r>
        <w:rPr>
          <w:rFonts w:hint="eastAsia" w:ascii="仿宋_GB2312" w:hAnsi="Times New Roman" w:eastAsia="仿宋_GB2312" w:cs="Courier New"/>
          <w:color w:val="auto"/>
          <w:sz w:val="24"/>
          <w:szCs w:val="24"/>
          <w:highlight w:val="none"/>
        </w:rPr>
        <w:t xml:space="preserve">个区域，遴选</w:t>
      </w:r>
      <w:r>
        <w:rPr>
          <w:rFonts w:hint="eastAsia" w:ascii="仿宋_GB2312" w:hAnsi="Times New Roman" w:eastAsia="仿宋_GB2312" w:cs="Courier New"/>
          <w:color w:val="auto"/>
          <w:sz w:val="24"/>
          <w:szCs w:val="24"/>
          <w:highlight w:val="none"/>
          <w:lang w:val="en-US" w:eastAsia="zh-CN"/>
        </w:rPr>
        <w:t xml:space="preserve">2</w:t>
      </w:r>
      <w:r>
        <w:rPr>
          <w:rFonts w:hint="eastAsia" w:ascii="仿宋_GB2312" w:hAnsi="Times New Roman" w:eastAsia="仿宋_GB2312" w:cs="Courier New"/>
          <w:color w:val="auto"/>
          <w:sz w:val="24"/>
          <w:szCs w:val="24"/>
          <w:highlight w:val="none"/>
        </w:rPr>
        <w:t xml:space="preserve">家承保机构，按照《农业保险条例》</w:t>
      </w:r>
      <w:r>
        <w:rPr>
          <w:rFonts w:hint="eastAsia" w:ascii="仿宋_GB2312" w:hAnsi="Times New Roman" w:eastAsia="仿宋_GB2312" w:cs="Courier New"/>
          <w:color w:val="auto"/>
          <w:sz w:val="24"/>
          <w:szCs w:val="24"/>
          <w:highlight w:val="none"/>
          <w:lang w:eastAsia="zh-CN"/>
        </w:rPr>
        <w:t xml:space="preserve">、</w:t>
      </w:r>
      <w:r>
        <w:rPr>
          <w:rFonts w:hint="eastAsia" w:ascii="仿宋_GB2312" w:hAnsi="Times New Roman" w:eastAsia="仿宋_GB2312" w:cs="Courier New"/>
          <w:color w:val="auto"/>
          <w:sz w:val="24"/>
          <w:szCs w:val="24"/>
          <w:highlight w:val="none"/>
        </w:rPr>
        <w:t xml:space="preserve">《中央财政农业保险保费补贴管理办法》、《农业保险承保理赔管理办法》、《江苏省省级财政农业保险</w:t>
      </w:r>
      <w:r>
        <w:rPr>
          <w:rFonts w:hint="eastAsia" w:ascii="仿宋_GB2312" w:hAnsi="Times New Roman" w:eastAsia="仿宋_GB2312" w:cs="Courier New"/>
          <w:color w:val="auto"/>
          <w:sz w:val="24"/>
          <w:szCs w:val="24"/>
          <w:highlight w:val="none"/>
          <w:lang w:val="en-US" w:eastAsia="zh-CN"/>
        </w:rPr>
        <w:t xml:space="preserve">保</w:t>
      </w:r>
      <w:r>
        <w:rPr>
          <w:rFonts w:hint="eastAsia" w:ascii="仿宋_GB2312" w:hAnsi="Times New Roman" w:eastAsia="仿宋_GB2312" w:cs="Courier New"/>
          <w:color w:val="auto"/>
          <w:sz w:val="24"/>
          <w:szCs w:val="24"/>
          <w:highlight w:val="none"/>
        </w:rPr>
        <w:t xml:space="preserve">费补贴管理办法》、《江苏省财政厅关于进一步加强和改进农业保险保费补贴资金管理的通知》等政策制度的规定，做好政策性农业保险承保理赔等服务工作。</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rPr>
        <w:t xml:space="preserve">（一）服务内容</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lang w:val="en-US" w:eastAsia="zh-CN"/>
        </w:rPr>
        <w:t xml:space="preserve">1.承保险种。政策性农业保险，包括水稻、小麦、玉米等主要种植业保险；能繁母猪、育肥猪、奶牛等主要养殖业保险；设施大棚、露地旱生蔬菜、池塘淡水鱼、羊、鸡、鸭等高效农业保险；农机具保险等。具体以财政部门的规定为准</w:t>
      </w:r>
      <w:r>
        <w:rPr>
          <w:rFonts w:hint="eastAsia" w:ascii="仿宋_GB2312" w:hAnsi="Times New Roman" w:eastAsia="仿宋_GB2312" w:cs="Courier New"/>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仿宋_GB2312" w:hAnsi="Times New Roman" w:eastAsia="仿宋_GB2312" w:cs="Courier New"/>
          <w:color w:val="auto"/>
          <w:sz w:val="24"/>
          <w:szCs w:val="24"/>
          <w:highlight w:val="none"/>
          <w:lang w:val="en-US" w:eastAsia="zh-CN"/>
        </w:rPr>
        <w:t xml:space="preserve">2.险种标准。承保政策性险种应严格执行省、市、区下发的关于条款及费率、承保理赔等文件实施项目操作。保险金额或赔偿限额根据省、市、区文件要求</w:t>
      </w:r>
      <w:r>
        <w:rPr>
          <w:rFonts w:hint="eastAsia" w:ascii="仿宋_GB2312" w:hAnsi="Times New Roman" w:eastAsia="仿宋_GB2312" w:cs="Courier New"/>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val="en-US" w:eastAsia="zh-CN"/>
        </w:rPr>
        <w:t xml:space="preserve">3.</w:t>
      </w:r>
      <w:r>
        <w:rPr>
          <w:rFonts w:hint="eastAsia" w:ascii="仿宋_GB2312" w:hAnsi="Times New Roman" w:eastAsia="仿宋_GB2312" w:cs="Times New Roman"/>
          <w:bCs/>
          <w:color w:val="auto"/>
          <w:sz w:val="24"/>
          <w:szCs w:val="24"/>
          <w:highlight w:val="none"/>
        </w:rPr>
        <w:t xml:space="preserve">服务期限：</w:t>
      </w:r>
      <w:r>
        <w:rPr>
          <w:rFonts w:hint="eastAsia" w:ascii="仿宋_GB2312" w:hAnsi="Times New Roman" w:eastAsia="仿宋_GB2312" w:cs="Times New Roman"/>
          <w:bCs/>
          <w:color w:val="auto"/>
          <w:sz w:val="24"/>
          <w:szCs w:val="24"/>
          <w:highlight w:val="none"/>
          <w:lang w:eastAsia="zh-CN"/>
        </w:rPr>
        <w:t xml:space="preserve">2025年1月1日至2027年12月31日</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default" w:ascii="仿宋_GB2312" w:hAnsi="Times New Roman" w:eastAsia="仿宋_GB2312" w:cs="Courier New"/>
          <w:color w:val="auto"/>
          <w:sz w:val="24"/>
          <w:szCs w:val="24"/>
          <w:highlight w:val="none"/>
          <w:lang w:val="en-US" w:eastAsia="zh-CN"/>
        </w:rPr>
      </w:pPr>
      <w:r>
        <w:rPr>
          <w:rFonts w:hint="eastAsia" w:ascii="仿宋_GB2312" w:hAnsi="Times New Roman" w:eastAsia="仿宋_GB2312" w:cs="Courier New"/>
          <w:color w:val="auto"/>
          <w:sz w:val="24"/>
          <w:szCs w:val="24"/>
          <w:highlight w:val="none"/>
        </w:rPr>
        <w:t xml:space="preserve">（二）服务</w:t>
      </w:r>
      <w:r>
        <w:rPr>
          <w:rFonts w:hint="eastAsia" w:ascii="仿宋_GB2312" w:hAnsi="Times New Roman" w:eastAsia="仿宋_GB2312" w:cs="Courier New"/>
          <w:color w:val="auto"/>
          <w:sz w:val="24"/>
          <w:szCs w:val="24"/>
          <w:highlight w:val="none"/>
          <w:lang w:val="en-US" w:eastAsia="zh-CN"/>
        </w:rPr>
        <w:t xml:space="preserve">范围、</w:t>
      </w:r>
      <w:r>
        <w:rPr>
          <w:rFonts w:hint="eastAsia" w:ascii="仿宋_GB2312" w:hAnsi="Times New Roman" w:eastAsia="仿宋_GB2312" w:cs="Courier New"/>
          <w:color w:val="auto"/>
          <w:sz w:val="24"/>
          <w:szCs w:val="24"/>
          <w:highlight w:val="none"/>
        </w:rPr>
        <w:t xml:space="preserve">要求</w:t>
      </w:r>
      <w:r>
        <w:rPr>
          <w:rFonts w:hint="eastAsia" w:ascii="仿宋_GB2312" w:hAnsi="Times New Roman" w:eastAsia="仿宋_GB2312" w:cs="Courier New"/>
          <w:color w:val="auto"/>
          <w:sz w:val="24"/>
          <w:szCs w:val="24"/>
          <w:highlight w:val="none"/>
          <w:lang w:val="en-US" w:eastAsia="zh-CN"/>
        </w:rPr>
        <w:t xml:space="preserve">及标准</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1、服务范围：中选服务区域内，不得跨区域承保。</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本项目按照区域划分为两个分包</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分包一：陈集镇、中扬镇、屠园镇、龙河镇，共4个镇；</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分包二：埠子镇、王官集镇、蔡集镇、耿车镇、洋北街道、支口街道、项里街道、河滨街道，共8个镇(街道)。</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投标分包选择：为保证上述分包所涉及的乡镇、街道农保工作推进的同步性，参加本项目投标人必须同时参加上述两个分包的投标，不得只选择其中一个</w:t>
      </w:r>
      <w:r>
        <w:rPr>
          <w:rFonts w:hint="eastAsia" w:ascii="仿宋_GB2312" w:hAnsi="Times New Roman" w:eastAsia="仿宋_GB2312" w:cs="Times New Roman"/>
          <w:bCs/>
          <w:color w:val="auto"/>
          <w:sz w:val="24"/>
          <w:szCs w:val="24"/>
          <w:highlight w:val="none"/>
          <w:lang w:eastAsia="zh-CN"/>
        </w:rPr>
        <w:t xml:space="preserve">分包</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开标顺序：按分包序号从小到大依次，即先开分包一，后开分包二。评标顺序同开标顺序。</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定标原则：每位投标人只能在一个分包上中标。如某投标人已在分包一被推荐为第一中标候选人的，</w:t>
      </w:r>
      <w:r>
        <w:rPr>
          <w:rFonts w:hint="eastAsia" w:ascii="仿宋_GB2312" w:eastAsia="仿宋_GB2312" w:cs="Times New Roman"/>
          <w:bCs/>
          <w:color w:val="auto"/>
          <w:sz w:val="24"/>
          <w:szCs w:val="24"/>
          <w:highlight w:val="none"/>
          <w:lang w:eastAsia="zh-CN"/>
        </w:rPr>
        <w:t xml:space="preserve">则其参与分包二评标，但在分包二不参与推荐中标候选人的排序</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注：评审结束后，若其中一个分包受到质疑投诉等原因，导致本分包评审结果改变，但不影响其他分包的评审结果。</w:t>
      </w:r>
      <w:r/>
    </w:p>
    <w:p>
      <w:pPr>
        <w:numPr>
          <w:ilvl w:val="0"/>
          <w:numId w:val="0"/>
        </w:num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val="en-US" w:eastAsia="zh-CN" w:bidi="ar-SA"/>
        </w:rPr>
        <w:t xml:space="preserve">2、</w:t>
      </w:r>
      <w:r>
        <w:rPr>
          <w:rFonts w:hint="eastAsia" w:ascii="仿宋_GB2312" w:hAnsi="Times New Roman" w:eastAsia="仿宋_GB2312" w:cs="Times New Roman"/>
          <w:bCs/>
          <w:color w:val="auto"/>
          <w:sz w:val="24"/>
          <w:szCs w:val="24"/>
          <w:highlight w:val="none"/>
        </w:rPr>
        <w:t xml:space="preserve">服务要求</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保险机构具有开展承保、理赔服务所必需的设备和专业技术能力，需要有区级、乡镇（街道）、村（社区）三级服务网络，适用的专业人员和协保员，保证每个乡镇和行政村农业保险服务网点的服务功能，能够深入农村做好农业保险政策宣传、业务培训、承保、勘查定损、无害化处理和理赔等工作；农业保险责任部门具有专业管理团队，能够做好风险管控、风险防范，保证每个工作程序公平、公正、公开，不发生重大承保理赔信访、集访、重访案件。建立健全农业保险投诉及来访接待制度，及时登记处理，做到件件有回复。</w:t>
      </w:r>
      <w:r>
        <w:rPr>
          <w:rFonts w:hint="eastAsia" w:ascii="仿宋_GB2312" w:hAnsi="Times New Roman" w:eastAsia="仿宋_GB2312" w:cs="Times New Roman"/>
          <w:bCs/>
          <w:color w:val="auto"/>
          <w:sz w:val="24"/>
          <w:szCs w:val="24"/>
          <w:highlight w:val="none"/>
          <w:lang w:eastAsia="zh-CN"/>
        </w:rPr>
        <w:t xml:space="preserve">每月向区财政局报告农业保险经营情况、财务情况</w:t>
      </w:r>
      <w:r>
        <w:rPr>
          <w:rFonts w:hint="eastAsia" w:ascii="仿宋_GB2312" w:hAnsi="Times New Roman" w:eastAsia="仿宋_GB2312" w:cs="Times New Roman"/>
          <w:bCs/>
          <w:color w:val="auto"/>
          <w:sz w:val="24"/>
          <w:szCs w:val="24"/>
          <w:highlight w:val="none"/>
        </w:rPr>
        <w:t xml:space="preserve">；完成省、市、区下达的农业保险高质量发展目标任务。</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3、服务标准</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3.1组织及业务管理。</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3.1.1中标人设置农险责任部门，配置专门人员，落实宣传、防灾防损、展业、核保、出单、查勘、定损、核赔、财务、统计、档案等工作，且能够利用卫星、网络、移动端开展农业保险线上化精准承保、精准理赔服务，专门人员在业务素质和数量上能够适应服务工作要求。乡镇服务机构（或网点）、</w:t>
      </w:r>
      <w:r>
        <w:rPr>
          <w:rFonts w:hint="eastAsia" w:ascii="仿宋_GB2312" w:eastAsia="仿宋_GB2312" w:cs="Times New Roman"/>
          <w:bCs/>
          <w:color w:val="auto"/>
          <w:sz w:val="24"/>
          <w:szCs w:val="24"/>
          <w:highlight w:val="none"/>
          <w:lang w:eastAsia="zh-CN"/>
        </w:rPr>
        <w:t xml:space="preserve">服务人员（含协保员）应书面报宿城区农险办备案</w:t>
      </w:r>
      <w:r>
        <w:rPr>
          <w:rFonts w:hint="eastAsia" w:ascii="仿宋_GB2312" w:hAnsi="Times New Roman" w:eastAsia="仿宋_GB2312" w:cs="Times New Roman"/>
          <w:bCs/>
          <w:color w:val="auto"/>
          <w:sz w:val="24"/>
          <w:szCs w:val="24"/>
          <w:highlight w:val="none"/>
        </w:rPr>
        <w:t xml:space="preserve">，变更农业保险人员应重新报备。</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3.1.2中标人建设乡镇服务机构（或网点），安排专兼职服务人员，能够深入农村高质量做好农业保险服务工作，保证农业保险高质量发展。</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3.1.3中标人</w:t>
      </w:r>
      <w:r>
        <w:rPr>
          <w:rFonts w:hint="eastAsia" w:ascii="仿宋_GB2312" w:hAnsi="Times New Roman" w:eastAsia="仿宋_GB2312" w:cs="Times New Roman"/>
          <w:bCs/>
          <w:color w:val="auto"/>
          <w:sz w:val="24"/>
          <w:szCs w:val="24"/>
          <w:highlight w:val="none"/>
          <w:lang w:eastAsia="zh-CN"/>
        </w:rPr>
        <w:t xml:space="preserve">在每村选聘一名保险协办人员（协保员），签订服务协议</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3.1.4中标人应及时完成相关人员的培训工作，专业技术人员在业务素质和数量上要充分保障本项目相关条件及要求。</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3.1.5中标人应按照财政部门关于农业保险保费补贴资金管理的规定，及时报送承保理赔材料凭证。</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3.1.6中标人每年2月1日前，必须按财政部门的结算要求，向宿城区财政部门提交上年财政年度结算申请报告及附件，同时提交电子文档。</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3.1.7中标人应按照政策性农业保险承保机构服务评价的规定及时提供材料凭证接受评价。</w:t>
      </w:r>
      <w:r/>
    </w:p>
    <w:p>
      <w:pPr>
        <w:ind w:firstLine="480"/>
        <w:keepLines w:val="0"/>
        <w:keepNext w:val="0"/>
        <w:pageBreakBefore w:val="0"/>
        <w:spacing w:line="560" w:lineRule="exact"/>
        <w:widowControl w:val="off"/>
        <w:rPr>
          <w:rFonts w:hint="default" w:ascii="仿宋_GB2312" w:hAnsi="Times New Roman" w:eastAsia="仿宋_GB2312" w:cs="Times New Roman"/>
          <w:bCs/>
          <w:color w:val="auto"/>
          <w:sz w:val="24"/>
          <w:szCs w:val="24"/>
          <w:highlight w:val="none"/>
          <w:lang w:val="en-US" w:eastAsia="zh-CN"/>
        </w:rPr>
      </w:pPr>
      <w:r>
        <w:rPr>
          <w:rFonts w:hint="eastAsia" w:ascii="仿宋_GB2312" w:hAnsi="Times New Roman" w:eastAsia="仿宋_GB2312" w:cs="Times New Roman"/>
          <w:bCs/>
          <w:color w:val="auto"/>
          <w:sz w:val="24"/>
          <w:szCs w:val="24"/>
          <w:highlight w:val="none"/>
        </w:rPr>
        <w:t xml:space="preserve">3.1.8中标人应积极开办农业保险新险种，符合省、市、区相关文件要求</w:t>
      </w:r>
      <w:r>
        <w:rPr>
          <w:rFonts w:hint="eastAsia" w:ascii="仿宋_GB2312" w:hAnsi="Times New Roman" w:eastAsia="仿宋_GB2312" w:cs="Times New Roman"/>
          <w:bCs/>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3.1.</w:t>
      </w:r>
      <w:r>
        <w:rPr>
          <w:rFonts w:hint="eastAsia" w:ascii="仿宋_GB2312" w:hAnsi="Times New Roman" w:eastAsia="仿宋_GB2312" w:cs="Times New Roman"/>
          <w:bCs/>
          <w:color w:val="auto"/>
          <w:sz w:val="24"/>
          <w:szCs w:val="24"/>
          <w:highlight w:val="none"/>
          <w:lang w:val="en-US" w:eastAsia="zh-CN"/>
        </w:rPr>
        <w:t xml:space="preserve">9</w:t>
      </w:r>
      <w:r>
        <w:rPr>
          <w:rFonts w:hint="eastAsia" w:ascii="仿宋_GB2312" w:hAnsi="Times New Roman" w:eastAsia="仿宋_GB2312" w:cs="Times New Roman"/>
          <w:bCs/>
          <w:color w:val="auto"/>
          <w:sz w:val="24"/>
          <w:szCs w:val="24"/>
          <w:highlight w:val="none"/>
        </w:rPr>
        <w:t xml:space="preserve">中标人应按时完成宿城区农险办安排的农业保险相关工作。</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3.2服务规范</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中标人应主动高效服务农户购买农业保险需要，按照农业保险承保理赔管理办法和省、市、区有关规定，规范开展承保理赔工作，并留存承保、理赔档案。</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3.2.1验标承保。 </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1</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对单独出单的种养大户、家庭农场、龙头企业或农业生产经营组织，实行全部验标承保；</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2</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对集体投保的种植业保险标的实行抽检，分户清单中投保的土地面积大于50亩的按照单独投保要求做好验标工作。</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3.2.2及时承保。</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在规定的时间节点完成农业保险各险种的承保工作：</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1</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小麦等夏收作物在2月底前；</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2</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春玉米在每年5月底前；</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3</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水稻、玉米等秋收作物在8月底前；</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4</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能繁母猪、育肥猪、农机具、蔬菜大棚等地方特色、高效农业类险种，根据各类主体需求及时承保。</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3.2.3见费出单。在收到投保农户（农民、农业生产经营组织等）应缴保费后，及时出具相应的保险凭证，按照保险合同约定承担赔偿责任。</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3.2.4报案受理。设立24小时保险服务专线，随时接受被保险人的出险报案，报案信息及时准确录入业务系统。</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3.2.5查勘时效。接到报案后需要进行现场查勘的，在24小时内开展现场查勘工作。查勘过程应当完整、规范，能够真实客观反映标的损失情况。</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3.2.7及时理赔。在与被保险人达成赔偿协议后10日内，将应赔偿的保险金支付给被保险人。全部小麦不晚于8月底前，全部水稻、玉米年底前支付到户。</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3.2.8业务真实完整。承保理赔应真实、规范，档案材料符合财政、农业农村、保险监管等部门的规定。</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3.2.9公示要求。按规定在村级或农业生产经营组织公示栏等显著位置或通过政府公共网站、行业信息平台等方式，将组织投保的分户投保清单、分户定损及理赔结果进行公示，公示时间不少于3天。公示</w:t>
      </w:r>
      <w:r>
        <w:rPr>
          <w:rFonts w:hint="eastAsia" w:ascii="仿宋_GB2312" w:eastAsia="仿宋_GB2312" w:cs="Times New Roman"/>
          <w:bCs/>
          <w:color w:val="auto"/>
          <w:sz w:val="24"/>
          <w:szCs w:val="24"/>
          <w:highlight w:val="none"/>
          <w:lang w:eastAsia="zh-CN"/>
        </w:rPr>
        <w:t xml:space="preserve">期间</w:t>
      </w:r>
      <w:r>
        <w:rPr>
          <w:rFonts w:hint="eastAsia" w:ascii="仿宋_GB2312" w:hAnsi="Times New Roman" w:eastAsia="仿宋_GB2312" w:cs="Times New Roman"/>
          <w:bCs/>
          <w:color w:val="auto"/>
          <w:sz w:val="24"/>
          <w:szCs w:val="24"/>
          <w:highlight w:val="none"/>
        </w:rPr>
        <w:t xml:space="preserve">，若接到对公示内容的反馈意见应及时处理。</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3.3服务目标</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3.3.1</w:t>
      </w:r>
      <w:r>
        <w:rPr>
          <w:rFonts w:hint="eastAsia" w:ascii="仿宋_GB2312" w:hAnsi="Times New Roman" w:eastAsia="仿宋_GB2312" w:cs="Times New Roman"/>
          <w:bCs/>
          <w:color w:val="auto"/>
          <w:sz w:val="24"/>
          <w:szCs w:val="24"/>
          <w:highlight w:val="none"/>
          <w:lang w:eastAsia="zh-CN"/>
        </w:rPr>
        <w:t xml:space="preserve">三大粮食作物投保面积覆盖面、育肥猪保险覆盖率等不低于省、市、区下达的年度指标</w:t>
      </w:r>
      <w:r>
        <w:rPr>
          <w:rFonts w:hint="eastAsia" w:ascii="仿宋_GB2312" w:hAnsi="Times New Roman" w:eastAsia="仿宋_GB2312" w:cs="Times New Roman"/>
          <w:bCs/>
          <w:color w:val="auto"/>
          <w:sz w:val="24"/>
          <w:szCs w:val="24"/>
          <w:highlight w:val="none"/>
        </w:rPr>
        <w:t xml:space="preserve">。</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3.3.2政策性农业保险保费规模、保障总额不低于上年。</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3.3.3农业保险费用率不高于省有关要求。</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3.3.4年度结案率95％以上，按</w:t>
      </w:r>
      <w:r>
        <w:rPr>
          <w:rFonts w:hint="eastAsia" w:ascii="仿宋_GB2312" w:hAnsi="Times New Roman" w:eastAsia="仿宋_GB2312" w:cs="Times New Roman"/>
          <w:bCs/>
          <w:color w:val="auto"/>
          <w:sz w:val="24"/>
          <w:szCs w:val="24"/>
          <w:highlight w:val="none"/>
          <w:lang w:eastAsia="zh-CN"/>
        </w:rPr>
        <w:t xml:space="preserve">已</w:t>
      </w:r>
      <w:r>
        <w:rPr>
          <w:rFonts w:hint="eastAsia" w:ascii="仿宋_GB2312" w:hAnsi="Times New Roman" w:eastAsia="仿宋_GB2312" w:cs="Times New Roman"/>
          <w:bCs/>
          <w:color w:val="auto"/>
          <w:sz w:val="24"/>
          <w:szCs w:val="24"/>
          <w:highlight w:val="none"/>
        </w:rPr>
        <w:t xml:space="preserve">决赔款、</w:t>
      </w:r>
      <w:r>
        <w:rPr>
          <w:rFonts w:hint="eastAsia" w:ascii="仿宋_GB2312" w:hAnsi="Times New Roman" w:eastAsia="仿宋_GB2312" w:cs="Times New Roman"/>
          <w:bCs/>
          <w:color w:val="auto"/>
          <w:sz w:val="24"/>
          <w:szCs w:val="24"/>
          <w:highlight w:val="none"/>
          <w:lang w:eastAsia="zh-CN"/>
        </w:rPr>
        <w:t xml:space="preserve">已</w:t>
      </w:r>
      <w:r>
        <w:rPr>
          <w:rFonts w:hint="eastAsia" w:ascii="仿宋_GB2312" w:hAnsi="Times New Roman" w:eastAsia="仿宋_GB2312" w:cs="Times New Roman"/>
          <w:bCs/>
          <w:color w:val="auto"/>
          <w:sz w:val="24"/>
          <w:szCs w:val="24"/>
          <w:highlight w:val="none"/>
        </w:rPr>
        <w:t xml:space="preserve">决案件数计算的理赔结案率不低于省、市、区下达的年度指标。</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3.3.5不得因拒绝承保、拖赔、惜赔等损害农民权益行为被农户投诉、举报、上访，理赔纠纷能够得到及时处理，妥善化解矛盾与争议。</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3.3.6按照要求和承诺建设健全基层服务体系和防灾减损工作机制等。</w:t>
      </w:r>
      <w:r/>
    </w:p>
    <w:p>
      <w:pPr>
        <w:ind w:firstLine="480"/>
        <w:keepLines w:val="0"/>
        <w:keepNext w:val="0"/>
        <w:pageBreakBefore w:val="0"/>
        <w:spacing w:line="560" w:lineRule="exact"/>
        <w:widowControl w:val="off"/>
        <w:rPr>
          <w:rFonts w:hint="default"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3.4中选承保机构无正当理由不得放弃中选且不得转包。</w:t>
      </w:r>
      <w:r/>
    </w:p>
    <w:p>
      <w:pPr>
        <w:ind w:firstLine="482"/>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楷体" w:hAnsi="楷体" w:eastAsia="楷体" w:cs="Courier New"/>
          <w:b/>
          <w:bCs/>
          <w:color w:val="auto"/>
          <w:sz w:val="24"/>
          <w:szCs w:val="24"/>
          <w:highlight w:val="none"/>
          <w:lang w:val="en-US" w:eastAsia="zh-CN"/>
        </w:rPr>
        <w:t xml:space="preserve">五、</w:t>
      </w:r>
      <w:r>
        <w:rPr>
          <w:rFonts w:hint="eastAsia" w:ascii="楷体" w:hAnsi="楷体" w:eastAsia="楷体" w:cs="Courier New"/>
          <w:b/>
          <w:bCs/>
          <w:color w:val="auto"/>
          <w:sz w:val="24"/>
          <w:szCs w:val="24"/>
          <w:highlight w:val="none"/>
        </w:rPr>
        <w:t xml:space="preserve">服务创新方案</w:t>
      </w:r>
      <w:r/>
    </w:p>
    <w:p>
      <w:pPr>
        <w:ind w:firstLine="480"/>
        <w:keepLines w:val="0"/>
        <w:keepNext w:val="0"/>
        <w:pageBreakBefore w:val="0"/>
        <w:spacing w:line="560" w:lineRule="exact"/>
        <w:widowControl w:val="off"/>
        <w:rPr>
          <w:rFonts w:hint="default"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1.保障措施创新方案，投标人需结合遴选区域实际，从管理制度、机构设立、服务人员队伍建设、科技赋能、宣传培训等制定满足保障措施内容实施的创新方案。</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2.风险管控创新方案，投标人需结合遴选区域实际，从管理制度、纠纷化解等制定满足风险管控内容实施的创新方案。</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3.规范操作创新方案，投标人需结合遴选区域实际，从验标承保、及时承保、见费出单、查勘时效、及时赔付、业务材料真实完整、公示要求等制定满足规范操作内容实施的创新方案。</w:t>
      </w:r>
      <w:r/>
    </w:p>
    <w:p>
      <w:pPr>
        <w:ind w:firstLine="480"/>
        <w:keepLines w:val="0"/>
        <w:keepNext w:val="0"/>
        <w:pageBreakBefore w:val="0"/>
        <w:spacing w:line="560" w:lineRule="exact"/>
        <w:widowControl w:val="off"/>
        <w:rPr>
          <w:rFonts w:hint="default"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4.绩效评价创新方案，</w:t>
      </w:r>
      <w:r>
        <w:rPr>
          <w:rFonts w:hint="eastAsia" w:ascii="仿宋_GB2312" w:hAnsi="Times New Roman" w:eastAsia="仿宋_GB2312" w:cs="Times New Roman"/>
          <w:bCs/>
          <w:color w:val="auto"/>
          <w:sz w:val="24"/>
          <w:szCs w:val="24"/>
          <w:highlight w:val="none"/>
          <w:lang w:eastAsia="zh-CN"/>
        </w:rPr>
        <w:t xml:space="preserve">投标人需结合遴选区域实际，从三大粮食作物投保面积</w:t>
      </w:r>
      <w:r>
        <w:rPr>
          <w:rFonts w:hint="eastAsia" w:ascii="仿宋_GB2312" w:hAnsi="Times New Roman" w:eastAsia="仿宋_GB2312" w:cs="Times New Roman"/>
          <w:color w:val="auto"/>
          <w:sz w:val="24"/>
          <w:szCs w:val="24"/>
          <w:highlight w:val="none"/>
          <w:lang w:val="en-US" w:eastAsia="zh-CN"/>
        </w:rPr>
        <w:t xml:space="preserve">覆盖面</w:t>
      </w:r>
      <w:r>
        <w:rPr>
          <w:rFonts w:hint="eastAsia" w:ascii="仿宋_GB2312" w:hAnsi="Times New Roman" w:eastAsia="仿宋_GB2312" w:cs="Times New Roman"/>
          <w:color w:val="auto"/>
          <w:sz w:val="24"/>
          <w:szCs w:val="24"/>
          <w:highlight w:val="none"/>
        </w:rPr>
        <w:t xml:space="preserve">、育肥猪保险</w:t>
      </w:r>
      <w:r>
        <w:rPr>
          <w:rFonts w:hint="eastAsia" w:ascii="仿宋_GB2312" w:hAnsi="Times New Roman" w:eastAsia="仿宋_GB2312" w:cs="Times New Roman"/>
          <w:color w:val="auto"/>
          <w:sz w:val="24"/>
          <w:szCs w:val="24"/>
          <w:highlight w:val="none"/>
          <w:lang w:val="en-US" w:eastAsia="zh-CN"/>
        </w:rPr>
        <w:t xml:space="preserve">覆盖率</w:t>
      </w:r>
      <w:r>
        <w:rPr>
          <w:rFonts w:hint="eastAsia" w:ascii="仿宋_GB2312" w:hAnsi="Times New Roman" w:eastAsia="仿宋_GB2312" w:cs="Times New Roman"/>
          <w:bCs/>
          <w:color w:val="auto"/>
          <w:sz w:val="24"/>
          <w:szCs w:val="24"/>
          <w:highlight w:val="none"/>
        </w:rPr>
        <w:t xml:space="preserve">指标不低于省、市、</w:t>
      </w:r>
      <w:r>
        <w:rPr>
          <w:rFonts w:hint="eastAsia" w:ascii="仿宋_GB2312" w:hAnsi="Times New Roman" w:eastAsia="仿宋_GB2312" w:cs="Times New Roman"/>
          <w:bCs/>
          <w:color w:val="auto"/>
          <w:sz w:val="24"/>
          <w:szCs w:val="24"/>
          <w:highlight w:val="none"/>
          <w:lang w:val="en-US" w:eastAsia="zh-CN"/>
        </w:rPr>
        <w:t xml:space="preserve">区</w:t>
      </w:r>
      <w:r>
        <w:rPr>
          <w:rFonts w:hint="eastAsia" w:ascii="仿宋_GB2312" w:hAnsi="Times New Roman" w:eastAsia="仿宋_GB2312" w:cs="Times New Roman"/>
          <w:bCs/>
          <w:color w:val="auto"/>
          <w:sz w:val="24"/>
          <w:szCs w:val="24"/>
          <w:highlight w:val="none"/>
        </w:rPr>
        <w:t xml:space="preserve">下达的年度指标、政策性农险保费规模</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lang w:val="en-US" w:eastAsia="zh-CN"/>
        </w:rPr>
        <w:t xml:space="preserve">风险保障</w:t>
      </w:r>
      <w:r>
        <w:rPr>
          <w:rFonts w:hint="eastAsia" w:ascii="仿宋_GB2312" w:hAnsi="Times New Roman" w:eastAsia="仿宋_GB2312" w:cs="Times New Roman"/>
          <w:bCs/>
          <w:color w:val="auto"/>
          <w:sz w:val="24"/>
          <w:szCs w:val="24"/>
          <w:highlight w:val="none"/>
        </w:rPr>
        <w:t xml:space="preserve">不低于上年、农业保险费用率不高于省有关要求、年度结案率95%以上、理赔纠纷化解、建设健全基层服务体系和防灾减损工作机制等制定满足绩效评价内容实施的创新方案。</w:t>
      </w:r>
      <w:r/>
    </w:p>
    <w:p>
      <w:pPr>
        <w:ind w:firstLine="482"/>
        <w:keepLines w:val="0"/>
        <w:keepNext w:val="0"/>
        <w:pageBreakBefore w:val="0"/>
        <w:spacing w:line="560" w:lineRule="exact"/>
        <w:widowControl w:val="off"/>
        <w:rPr>
          <w:rFonts w:hint="eastAsia" w:ascii="仿宋_GB2312" w:hAnsi="Times New Roman" w:eastAsia="仿宋_GB2312" w:cs="Courier New"/>
          <w:color w:val="auto"/>
          <w:sz w:val="24"/>
          <w:szCs w:val="24"/>
          <w:highlight w:val="none"/>
        </w:rPr>
      </w:pPr>
      <w:r>
        <w:rPr>
          <w:rFonts w:hint="eastAsia" w:ascii="楷体" w:hAnsi="楷体" w:eastAsia="楷体" w:cs="Courier New"/>
          <w:b/>
          <w:bCs/>
          <w:color w:val="auto"/>
          <w:sz w:val="24"/>
          <w:szCs w:val="24"/>
          <w:highlight w:val="none"/>
          <w:lang w:val="en-US" w:eastAsia="zh-CN"/>
        </w:rPr>
        <w:t xml:space="preserve">六、付款方式与履约保证金</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1、付款方式</w:t>
      </w:r>
      <w:r/>
    </w:p>
    <w:p>
      <w:pPr>
        <w:ind w:firstLine="480"/>
        <w:keepLines w:val="0"/>
        <w:keepNext w:val="0"/>
        <w:pageBreakBefore w:val="0"/>
        <w:spacing w:line="560" w:lineRule="exact"/>
        <w:widowControl w:val="off"/>
        <w:rPr>
          <w:rFonts w:hint="eastAsia" w:ascii="仿宋_GB2312" w:hAnsi="Courier New" w:eastAsia="仿宋_GB2312" w:cs="Courier New"/>
          <w:bCs/>
          <w:color w:val="auto"/>
          <w:sz w:val="24"/>
          <w:szCs w:val="21"/>
          <w:highlight w:val="none"/>
          <w:lang w:val="zh-CN" w:eastAsia="zh-CN" w:bidi="ar-SA"/>
        </w:rPr>
      </w:pPr>
      <w:r>
        <w:rPr>
          <w:rFonts w:hint="eastAsia" w:ascii="仿宋_GB2312" w:hAnsi="Courier New" w:eastAsia="仿宋_GB2312" w:cs="Courier New"/>
          <w:bCs/>
          <w:color w:val="auto"/>
          <w:sz w:val="24"/>
          <w:szCs w:val="21"/>
          <w:highlight w:val="none"/>
          <w:lang w:val="en-US" w:eastAsia="zh-CN" w:bidi="ar-SA"/>
        </w:rPr>
        <w:t xml:space="preserve">1.1</w:t>
      </w:r>
      <w:r>
        <w:rPr>
          <w:rFonts w:hint="eastAsia" w:ascii="仿宋_GB2312" w:hAnsi="Courier New" w:eastAsia="仿宋_GB2312" w:cs="Courier New"/>
          <w:bCs/>
          <w:color w:val="auto"/>
          <w:sz w:val="24"/>
          <w:szCs w:val="21"/>
          <w:highlight w:val="none"/>
          <w:lang w:val="zh-CN" w:eastAsia="zh-CN" w:bidi="ar-SA"/>
        </w:rPr>
        <w:t xml:space="preserve">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widowControl w:val="off"/>
        <w:rPr>
          <w:rFonts w:hint="eastAsia" w:ascii="仿宋_GB2312" w:hAnsi="Courier New" w:eastAsia="仿宋_GB2312" w:cs="Courier New"/>
          <w:bCs/>
          <w:color w:val="auto"/>
          <w:sz w:val="24"/>
          <w:szCs w:val="21"/>
          <w:highlight w:val="none"/>
          <w:lang w:val="zh-CN" w:eastAsia="zh-CN" w:bidi="ar-SA"/>
        </w:rPr>
      </w:pPr>
      <w:r>
        <w:rPr>
          <w:rFonts w:hint="eastAsia" w:ascii="仿宋_GB2312" w:hAnsi="Courier New" w:eastAsia="仿宋_GB2312" w:cs="Courier New"/>
          <w:bCs/>
          <w:color w:val="auto"/>
          <w:sz w:val="24"/>
          <w:szCs w:val="21"/>
          <w:highlight w:val="none"/>
          <w:lang w:val="en-US" w:eastAsia="zh-CN" w:bidi="ar-SA"/>
        </w:rPr>
        <w:t xml:space="preserve">1.2</w:t>
      </w:r>
      <w:r>
        <w:rPr>
          <w:rFonts w:hint="eastAsia" w:ascii="仿宋_GB2312" w:hAnsi="Courier New" w:eastAsia="仿宋_GB2312" w:cs="Courier New"/>
          <w:bCs/>
          <w:color w:val="auto"/>
          <w:sz w:val="24"/>
          <w:szCs w:val="21"/>
          <w:highlight w:val="none"/>
          <w:lang w:val="zh-CN" w:eastAsia="zh-CN" w:bidi="ar-SA"/>
        </w:rPr>
        <w:t xml:space="preserve">合同签订且在收到供应商发票后10个工作日内，支付合同价款的10%作为预付款；依据财政部、省财政厅保费补贴资金管理制度，按照“各地财政部门未收到符合要求的保单级数据，不得向承保机构拨付保费补贴资金”的规定（扣除预付款）。保险机构须及时提供申请保费补贴报告以及必要的凭证材料，在相关部门审核无误的基础上，财政部门按规定拨付保费补贴资金。</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Courier New" w:eastAsia="仿宋_GB2312" w:cs="Courier New"/>
          <w:bCs/>
          <w:color w:val="auto"/>
          <w:sz w:val="24"/>
          <w:szCs w:val="21"/>
          <w:highlight w:val="none"/>
          <w:lang w:val="zh-CN" w:eastAsia="zh-CN" w:bidi="ar-SA"/>
        </w:rPr>
        <w:t xml:space="preserve">注：在签订合同时，中标人明确表示无需预付款或者主动要求降低预付款比例的金额，采购人可不适用预付款规定。</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rPr>
        <w:t xml:space="preserve">2、履约保证金</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rPr>
      </w:pPr>
      <w:r>
        <w:rPr>
          <w:rFonts w:hint="eastAsia" w:ascii="仿宋_GB2312" w:hAnsi="Times New Roman" w:eastAsia="仿宋_GB2312" w:cs="Times New Roman"/>
          <w:bCs/>
          <w:color w:val="auto"/>
          <w:sz w:val="24"/>
          <w:szCs w:val="24"/>
          <w:highlight w:val="none"/>
          <w:lang w:val="en-US" w:eastAsia="zh-CN"/>
        </w:rPr>
        <w:t xml:space="preserve">2.1</w:t>
      </w:r>
      <w:r>
        <w:rPr>
          <w:rFonts w:hint="eastAsia" w:ascii="仿宋_GB2312" w:hAnsi="Times New Roman" w:eastAsia="仿宋_GB2312" w:cs="Times New Roman"/>
          <w:bCs/>
          <w:color w:val="auto"/>
          <w:sz w:val="24"/>
          <w:szCs w:val="24"/>
          <w:highlight w:val="none"/>
        </w:rPr>
        <w:t xml:space="preserve">本项目不收取履约保证金。</w:t>
      </w:r>
      <w:r/>
    </w:p>
    <w:p>
      <w:pPr>
        <w:ind w:firstLine="482"/>
        <w:keepLines w:val="0"/>
        <w:keepNext w:val="0"/>
        <w:pageBreakBefore w:val="0"/>
        <w:spacing w:line="560" w:lineRule="exact"/>
        <w:widowControl w:val="off"/>
        <w:rPr>
          <w:rFonts w:hint="eastAsia" w:ascii="楷体" w:hAnsi="楷体" w:eastAsia="楷体" w:cs="Courier New"/>
          <w:b/>
          <w:bCs/>
          <w:color w:val="auto"/>
          <w:sz w:val="24"/>
          <w:szCs w:val="24"/>
          <w:highlight w:val="none"/>
        </w:rPr>
      </w:pPr>
      <w:r>
        <w:rPr>
          <w:rFonts w:hint="eastAsia" w:ascii="楷体" w:hAnsi="楷体" w:eastAsia="楷体" w:cs="Courier New"/>
          <w:b/>
          <w:bCs/>
          <w:color w:val="auto"/>
          <w:sz w:val="24"/>
          <w:szCs w:val="24"/>
          <w:highlight w:val="none"/>
          <w:lang w:val="en-US" w:eastAsia="zh-CN"/>
        </w:rPr>
        <w:t xml:space="preserve">七</w:t>
      </w:r>
      <w:r>
        <w:rPr>
          <w:rFonts w:hint="eastAsia" w:ascii="楷体" w:hAnsi="楷体" w:eastAsia="楷体" w:cs="Courier New"/>
          <w:b/>
          <w:bCs/>
          <w:color w:val="auto"/>
          <w:sz w:val="24"/>
          <w:szCs w:val="24"/>
          <w:highlight w:val="none"/>
        </w:rPr>
        <w:t xml:space="preserve">、保险合同</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lang w:eastAsia="zh-CN"/>
        </w:rPr>
      </w:pPr>
      <w:r>
        <w:rPr>
          <w:rFonts w:hint="eastAsia" w:ascii="仿宋_GB2312" w:hAnsi="Times New Roman" w:eastAsia="仿宋_GB2312" w:cs="Times New Roman"/>
          <w:bCs/>
          <w:color w:val="auto"/>
          <w:sz w:val="24"/>
          <w:szCs w:val="24"/>
          <w:highlight w:val="none"/>
        </w:rPr>
        <w:t xml:space="preserve">保险合同（保险单）严格执行省、市、</w:t>
      </w:r>
      <w:r>
        <w:rPr>
          <w:rFonts w:hint="eastAsia" w:ascii="仿宋_GB2312" w:hAnsi="Times New Roman" w:eastAsia="仿宋_GB2312" w:cs="Times New Roman"/>
          <w:bCs/>
          <w:color w:val="auto"/>
          <w:sz w:val="24"/>
          <w:szCs w:val="24"/>
          <w:highlight w:val="none"/>
          <w:lang w:val="en-US" w:eastAsia="zh-CN"/>
        </w:rPr>
        <w:t xml:space="preserve">区</w:t>
      </w:r>
      <w:r>
        <w:rPr>
          <w:rFonts w:hint="eastAsia" w:ascii="仿宋_GB2312" w:hAnsi="Times New Roman" w:eastAsia="仿宋_GB2312" w:cs="Times New Roman"/>
          <w:bCs/>
          <w:color w:val="auto"/>
          <w:sz w:val="24"/>
          <w:szCs w:val="24"/>
          <w:highlight w:val="none"/>
        </w:rPr>
        <w:t xml:space="preserve">农业保险管理的规定，明确载明农业保险标的位置</w:t>
      </w:r>
      <w:r>
        <w:rPr>
          <w:rFonts w:hint="eastAsia" w:ascii="仿宋_GB2312" w:hAnsi="Times New Roman" w:eastAsia="仿宋_GB2312" w:cs="Times New Roman"/>
          <w:bCs/>
          <w:color w:val="auto"/>
          <w:sz w:val="24"/>
          <w:szCs w:val="24"/>
          <w:highlight w:val="none"/>
          <w:lang w:eastAsia="zh-CN"/>
        </w:rPr>
        <w:t xml:space="preserve">、</w:t>
      </w:r>
      <w:r>
        <w:rPr>
          <w:rFonts w:hint="eastAsia" w:ascii="仿宋_GB2312" w:hAnsi="Times New Roman" w:eastAsia="仿宋_GB2312" w:cs="Times New Roman"/>
          <w:bCs/>
          <w:color w:val="auto"/>
          <w:sz w:val="24"/>
          <w:szCs w:val="24"/>
          <w:highlight w:val="none"/>
        </w:rPr>
        <w:t xml:space="preserve">农户、农业生产经营组织、地方财政、中央财政等各方承担的保费比例及金额。否则，不给予保费补贴</w:t>
      </w:r>
      <w:r>
        <w:rPr>
          <w:rFonts w:hint="eastAsia" w:ascii="仿宋_GB2312" w:hAnsi="Times New Roman" w:eastAsia="仿宋_GB2312" w:cs="Times New Roman"/>
          <w:bCs/>
          <w:color w:val="auto"/>
          <w:sz w:val="24"/>
          <w:szCs w:val="24"/>
          <w:highlight w:val="none"/>
          <w:lang w:eastAsia="zh-CN"/>
        </w:rPr>
        <w:t xml:space="preserve">。</w:t>
      </w:r>
      <w:r/>
    </w:p>
    <w:p>
      <w:pPr>
        <w:ind w:firstLine="482"/>
        <w:keepLines w:val="0"/>
        <w:keepNext w:val="0"/>
        <w:pageBreakBefore w:val="0"/>
        <w:spacing w:line="560" w:lineRule="exact"/>
        <w:widowControl w:val="off"/>
        <w:rPr>
          <w:rFonts w:hint="default" w:ascii="楷体" w:hAnsi="楷体" w:eastAsia="楷体" w:cs="Courier New"/>
          <w:b/>
          <w:bCs/>
          <w:color w:val="auto"/>
          <w:sz w:val="24"/>
          <w:szCs w:val="24"/>
          <w:highlight w:val="none"/>
          <w:lang w:val="en-US" w:eastAsia="zh-CN"/>
        </w:rPr>
      </w:pPr>
      <w:r>
        <w:rPr>
          <w:rFonts w:hint="eastAsia" w:ascii="楷体" w:hAnsi="楷体" w:eastAsia="楷体" w:cs="Courier New"/>
          <w:b/>
          <w:bCs/>
          <w:color w:val="auto"/>
          <w:sz w:val="24"/>
          <w:szCs w:val="24"/>
          <w:highlight w:val="none"/>
          <w:lang w:val="en-US" w:eastAsia="zh-CN"/>
        </w:rPr>
        <w:t xml:space="preserve">八、人员配备</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lang w:val="en-US" w:eastAsia="zh-CN"/>
        </w:rPr>
      </w:pPr>
      <w:r>
        <w:rPr>
          <w:rFonts w:hint="eastAsia" w:ascii="仿宋_GB2312" w:hAnsi="Times New Roman" w:eastAsia="仿宋_GB2312" w:cs="Times New Roman"/>
          <w:bCs/>
          <w:color w:val="auto"/>
          <w:sz w:val="24"/>
          <w:szCs w:val="24"/>
          <w:highlight w:val="none"/>
          <w:lang w:val="en-US" w:eastAsia="zh-CN"/>
        </w:rPr>
        <w:t xml:space="preserve">投标人须组建专业的服务团队，人员配置满足本次采购需求，其中包含项目组负责人1名，项目组其他成员不少于3名。</w:t>
      </w:r>
      <w:r/>
    </w:p>
    <w:p>
      <w:pPr>
        <w:ind w:firstLine="480"/>
        <w:keepLines w:val="0"/>
        <w:keepNext w:val="0"/>
        <w:pageBreakBefore w:val="0"/>
        <w:spacing w:line="560" w:lineRule="exact"/>
        <w:widowControl w:val="off"/>
        <w:rPr>
          <w:rFonts w:hint="default" w:ascii="仿宋_GB2312" w:hAnsi="Times New Roman" w:eastAsia="仿宋_GB2312" w:cs="Times New Roman"/>
          <w:bCs/>
          <w:color w:val="0000ff"/>
          <w:sz w:val="24"/>
          <w:szCs w:val="24"/>
          <w:highlight w:val="none"/>
          <w:lang w:val="en-US" w:eastAsia="zh-CN"/>
        </w:rPr>
      </w:pPr>
      <w:r>
        <w:rPr>
          <w:rFonts w:hint="eastAsia" w:ascii="仿宋_GB2312" w:hAnsi="Times New Roman" w:eastAsia="仿宋_GB2312" w:cs="Times New Roman"/>
          <w:bCs/>
          <w:color w:val="0000ff"/>
          <w:sz w:val="24"/>
          <w:szCs w:val="24"/>
          <w:highlight w:val="none"/>
          <w:lang w:val="en-US" w:eastAsia="zh-CN"/>
        </w:rPr>
        <w:t xml:space="preserve">★注：投标人须针对服务团队</w:t>
      </w:r>
      <w:r>
        <w:rPr>
          <w:rFonts w:hint="eastAsia" w:ascii="仿宋_GB2312" w:eastAsia="仿宋_GB2312" w:cs="Times New Roman"/>
          <w:bCs/>
          <w:color w:val="0000ff"/>
          <w:sz w:val="24"/>
          <w:szCs w:val="24"/>
          <w:highlight w:val="none"/>
          <w:lang w:val="en-US" w:eastAsia="zh-CN"/>
        </w:rPr>
        <w:t xml:space="preserve">基层服务网点覆盖</w:t>
      </w:r>
      <w:r>
        <w:rPr>
          <w:rFonts w:hint="eastAsia" w:ascii="仿宋_GB2312" w:hAnsi="Times New Roman" w:eastAsia="仿宋_GB2312" w:cs="Times New Roman"/>
          <w:bCs/>
          <w:color w:val="0000ff"/>
          <w:sz w:val="24"/>
          <w:szCs w:val="24"/>
          <w:highlight w:val="none"/>
          <w:lang w:val="en-US" w:eastAsia="zh-CN"/>
        </w:rPr>
        <w:t xml:space="preserve">、</w:t>
      </w:r>
      <w:r>
        <w:rPr>
          <w:rFonts w:hint="eastAsia" w:ascii="仿宋_GB2312" w:eastAsia="仿宋_GB2312" w:cs="Times New Roman"/>
          <w:bCs/>
          <w:color w:val="0000ff"/>
          <w:sz w:val="24"/>
          <w:szCs w:val="24"/>
          <w:highlight w:val="none"/>
          <w:lang w:val="en-US" w:eastAsia="zh-CN"/>
        </w:rPr>
        <w:t xml:space="preserve">镇（街）级农险服务人员配备</w:t>
      </w:r>
      <w:r>
        <w:rPr>
          <w:rFonts w:hint="eastAsia" w:ascii="仿宋_GB2312" w:hAnsi="Times New Roman" w:eastAsia="仿宋_GB2312" w:cs="Times New Roman"/>
          <w:bCs/>
          <w:color w:val="0000ff"/>
          <w:sz w:val="24"/>
          <w:szCs w:val="24"/>
          <w:highlight w:val="none"/>
          <w:lang w:val="en-US" w:eastAsia="zh-CN"/>
        </w:rPr>
        <w:t xml:space="preserve">、</w:t>
      </w:r>
      <w:r>
        <w:rPr>
          <w:rFonts w:hint="eastAsia" w:ascii="仿宋_GB2312" w:eastAsia="仿宋_GB2312" w:cs="Times New Roman"/>
          <w:bCs/>
          <w:color w:val="0000ff"/>
          <w:sz w:val="24"/>
          <w:szCs w:val="24"/>
          <w:highlight w:val="none"/>
          <w:lang w:val="en-US" w:eastAsia="zh-CN"/>
        </w:rPr>
        <w:t xml:space="preserve">村级农险协保员配备</w:t>
      </w:r>
      <w:r>
        <w:rPr>
          <w:rFonts w:hint="eastAsia" w:ascii="仿宋_GB2312" w:hAnsi="Times New Roman" w:eastAsia="仿宋_GB2312" w:cs="Times New Roman"/>
          <w:bCs/>
          <w:color w:val="0000ff"/>
          <w:sz w:val="24"/>
          <w:szCs w:val="24"/>
          <w:highlight w:val="none"/>
          <w:lang w:val="en-US" w:eastAsia="zh-CN"/>
        </w:rPr>
        <w:t xml:space="preserve">、农业保险责任部门、责任人员提供承诺书（承诺书格式自拟）</w:t>
      </w:r>
      <w:r>
        <w:rPr>
          <w:rFonts w:hint="eastAsia" w:ascii="仿宋_GB2312" w:eastAsia="仿宋_GB2312" w:cs="Times New Roman"/>
          <w:bCs/>
          <w:color w:val="0000ff"/>
          <w:sz w:val="24"/>
          <w:szCs w:val="24"/>
          <w:highlight w:val="none"/>
          <w:lang w:val="en-US" w:eastAsia="zh-CN"/>
        </w:rPr>
        <w:t xml:space="preserve">，并加盖投标人公章</w:t>
      </w:r>
      <w:r>
        <w:rPr>
          <w:rFonts w:hint="eastAsia" w:ascii="仿宋_GB2312" w:hAnsi="Times New Roman" w:eastAsia="仿宋_GB2312" w:cs="Times New Roman"/>
          <w:bCs/>
          <w:color w:val="0000ff"/>
          <w:sz w:val="24"/>
          <w:szCs w:val="24"/>
          <w:highlight w:val="none"/>
          <w:lang w:val="en-US" w:eastAsia="zh-CN"/>
        </w:rPr>
        <w:t xml:space="preserve">。</w:t>
      </w:r>
      <w:r/>
    </w:p>
    <w:p>
      <w:pPr>
        <w:ind w:firstLine="482"/>
        <w:keepLines w:val="0"/>
        <w:keepNext w:val="0"/>
        <w:pageBreakBefore w:val="0"/>
        <w:spacing w:line="560" w:lineRule="exact"/>
        <w:widowControl w:val="off"/>
        <w:rPr>
          <w:rFonts w:hint="default" w:ascii="楷体" w:hAnsi="楷体" w:eastAsia="楷体" w:cs="Courier New"/>
          <w:b/>
          <w:bCs/>
          <w:color w:val="auto"/>
          <w:sz w:val="24"/>
          <w:szCs w:val="24"/>
          <w:highlight w:val="none"/>
          <w:lang w:val="en-US" w:eastAsia="zh-CN"/>
        </w:rPr>
      </w:pPr>
      <w:r>
        <w:rPr>
          <w:rFonts w:hint="eastAsia" w:ascii="楷体" w:hAnsi="楷体" w:eastAsia="楷体" w:cs="Courier New"/>
          <w:b/>
          <w:bCs/>
          <w:color w:val="auto"/>
          <w:sz w:val="24"/>
          <w:szCs w:val="24"/>
          <w:highlight w:val="none"/>
          <w:lang w:val="en-US" w:eastAsia="zh-CN"/>
        </w:rPr>
        <w:t xml:space="preserve">九、验收要求</w:t>
      </w:r>
      <w:r/>
    </w:p>
    <w:p>
      <w:pPr>
        <w:ind w:firstLine="480"/>
        <w:keepLines w:val="0"/>
        <w:keepNext w:val="0"/>
        <w:pageBreakBefore w:val="0"/>
        <w:spacing w:line="560" w:lineRule="exact"/>
        <w:widowControl w:val="off"/>
        <w:rPr>
          <w:rFonts w:hint="eastAsia" w:ascii="楷体" w:hAnsi="楷体" w:eastAsia="楷体" w:cs="Courier New"/>
          <w:b/>
          <w:bCs/>
          <w:color w:val="auto"/>
          <w:sz w:val="24"/>
          <w:szCs w:val="24"/>
          <w:highlight w:val="none"/>
          <w:lang w:val="en-US" w:eastAsia="zh-CN"/>
        </w:rPr>
      </w:pPr>
      <w:r>
        <w:rPr>
          <w:rFonts w:hint="eastAsia" w:ascii="仿宋_GB2312" w:hAnsi="Times New Roman" w:eastAsia="仿宋_GB2312" w:cs="Times New Roman"/>
          <w:bCs/>
          <w:color w:val="auto"/>
          <w:sz w:val="24"/>
          <w:szCs w:val="24"/>
          <w:highlight w:val="none"/>
          <w:lang w:val="en-US" w:eastAsia="zh-CN"/>
        </w:rPr>
        <w:t xml:space="preserve">合同履行期满，中标人向采购人提交项目验收资料以及验收申请单，采购人收到申请后3个工作日内组织验收且验收无问题后签署验收单。</w:t>
      </w:r>
      <w:r/>
    </w:p>
    <w:p>
      <w:pPr>
        <w:ind w:firstLine="482"/>
        <w:keepLines w:val="0"/>
        <w:keepNext w:val="0"/>
        <w:pageBreakBefore w:val="0"/>
        <w:spacing w:line="560" w:lineRule="exact"/>
        <w:widowControl w:val="off"/>
        <w:rPr>
          <w:rFonts w:hint="eastAsia" w:ascii="楷体" w:hAnsi="楷体" w:eastAsia="楷体" w:cs="Courier New"/>
          <w:b/>
          <w:bCs/>
          <w:color w:val="auto"/>
          <w:sz w:val="24"/>
          <w:szCs w:val="24"/>
          <w:highlight w:val="none"/>
          <w:lang w:val="en-US" w:eastAsia="zh-CN"/>
        </w:rPr>
      </w:pPr>
      <w:r>
        <w:rPr>
          <w:rFonts w:hint="eastAsia" w:ascii="楷体" w:hAnsi="楷体" w:eastAsia="楷体" w:cs="Courier New"/>
          <w:b/>
          <w:bCs/>
          <w:color w:val="auto"/>
          <w:sz w:val="24"/>
          <w:szCs w:val="24"/>
          <w:highlight w:val="none"/>
          <w:lang w:val="en-US" w:eastAsia="zh-CN"/>
        </w:rPr>
        <w:t xml:space="preserve">十、采购本国货物、工程和服务</w:t>
      </w:r>
      <w:r/>
    </w:p>
    <w:p>
      <w:pPr>
        <w:ind w:firstLine="480"/>
        <w:keepLines w:val="0"/>
        <w:keepNext w:val="0"/>
        <w:pageBreakBefore w:val="0"/>
        <w:spacing w:line="560" w:lineRule="exact"/>
        <w:widowControl w:val="off"/>
        <w:rPr>
          <w:rFonts w:hint="eastAsia" w:ascii="仿宋_GB2312" w:hAnsi="Times New Roman" w:eastAsia="仿宋_GB2312" w:cs="Times New Roman"/>
          <w:bCs/>
          <w:color w:val="auto"/>
          <w:sz w:val="24"/>
          <w:szCs w:val="24"/>
          <w:highlight w:val="none"/>
          <w:lang w:val="en-US" w:eastAsia="zh-CN"/>
        </w:rPr>
      </w:pPr>
      <w:r>
        <w:rPr>
          <w:rFonts w:hint="eastAsia" w:ascii="仿宋_GB2312" w:hAnsi="Times New Roman" w:eastAsia="仿宋_GB2312" w:cs="Times New Roman"/>
          <w:bCs/>
          <w:color w:val="auto"/>
          <w:sz w:val="24"/>
          <w:szCs w:val="24"/>
          <w:highlight w:val="none"/>
          <w:lang w:val="en-US" w:eastAsia="zh-CN"/>
        </w:rPr>
        <w:t xml:space="preserve">政府采购应当采购本国货物、工程和服务，但有《中华人民共和国政府采购法》第十条规定情形的除外。</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pPr>
      <w:r>
        <w:rPr>
          <w:rFonts w:hint="eastAsia" w:ascii="仿宋_GB2312" w:hAnsi="Times New Roman" w:eastAsia="仿宋_GB2312" w:cs="Times New Roman"/>
          <w:bCs/>
          <w:color w:val="auto"/>
          <w:sz w:val="24"/>
          <w:szCs w:val="24"/>
          <w:highlight w:val="none"/>
          <w:lang w:val="en-US" w:eastAsia="zh-CN"/>
        </w:rPr>
        <w:t xml:space="preserve">注：★部分为实质性要求，不接受负偏离。否则，作为无效标处理</w:t>
      </w:r>
      <w:r>
        <w:rPr>
          <w:rFonts w:hint="eastAsia" w:ascii="仿宋_GB2312" w:hAnsi="Times New Roman" w:eastAsia="仿宋_GB2312" w:cs="Times New Roman"/>
          <w:bCs/>
          <w:color w:val="auto"/>
          <w:sz w:val="24"/>
          <w:szCs w:val="24"/>
          <w:highlight w:val="none"/>
        </w:rPr>
        <w:t xml:space="preserve">。</w:t>
      </w:r>
      <w:r/>
    </w:p>
    <w:p>
      <w:pPr>
        <w:jc w:val="center"/>
        <w:keepLines w:val="0"/>
        <w:keepNext w:val="0"/>
        <w:pageBreakBefore w:val="0"/>
        <w:spacing w:line="480" w:lineRule="auto"/>
        <w:widowControl w:val="off"/>
        <w:rPr>
          <w:rFonts w:hint="eastAsia" w:ascii="黑体" w:hAnsi="黑体" w:eastAsia="黑体"/>
          <w:bCs/>
          <w:color w:val="auto"/>
          <w:sz w:val="44"/>
          <w:highlight w:val="none"/>
        </w:rPr>
        <w:outlineLvl w:val="0"/>
      </w:pPr>
      <w:r>
        <w:rPr>
          <w:rFonts w:hint="eastAsia" w:ascii="仿宋_GB2312" w:eastAsia="仿宋_GB2312"/>
          <w:bCs/>
          <w:color w:val="auto"/>
          <w:sz w:val="44"/>
          <w:highlight w:val="none"/>
        </w:rPr>
        <w:br w:type="page" w:clear="all"/>
      </w:r>
      <w:r>
        <w:rPr>
          <w:rFonts w:hint="eastAsia" w:ascii="仿宋_GB2312" w:eastAsia="仿宋_GB2312"/>
          <w:bCs/>
          <w:color w:val="000000" w:themeColor="text1"/>
          <w:sz w:val="44"/>
          <w:highlight w:val="none"/>
        </w:rPr>
      </w:r>
      <w:bookmarkStart w:id="203" w:name="_Toc3329"/>
      <w:r>
        <w:rPr>
          <w:rStyle w:val="765"/>
          <w:rFonts w:hint="eastAsia"/>
          <w:b/>
          <w:bCs/>
          <w:color w:val="auto"/>
          <w:highlight w:val="none"/>
        </w:rPr>
        <w:t xml:space="preserve">第五章   评标方法与评标标准</w:t>
      </w:r>
      <w:bookmarkEnd w:id="203"/>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一、资格审查。</w:t>
      </w:r>
      <w:r>
        <w:rPr>
          <w:rFonts w:hint="eastAsia" w:ascii="仿宋" w:hAnsi="仿宋" w:eastAsia="仿宋" w:cs="仿宋"/>
          <w:color w:val="auto"/>
          <w:sz w:val="24"/>
          <w:szCs w:val="24"/>
          <w:highlight w:val="none"/>
        </w:rPr>
        <w:t xml:space="preserve">资格审查人员按照下列指标对各投标人的资格进行审查，未通过审查的为无效标，不参与评标。</w:t>
      </w:r>
      <w:r/>
    </w:p>
    <w:tbl>
      <w:tblPr>
        <w:tblStyle w:val="742"/>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不接受联合体投标</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二、符合性审查。</w:t>
      </w:r>
      <w:r>
        <w:rPr>
          <w:rFonts w:hint="eastAsia" w:ascii="仿宋" w:hAnsi="仿宋" w:eastAsia="仿宋" w:cs="仿宋"/>
          <w:color w:val="auto"/>
          <w:sz w:val="24"/>
          <w:szCs w:val="24"/>
          <w:highlight w:val="none"/>
        </w:rPr>
        <w:t xml:space="preserve">评标委员会首先按照下列指标对各投标人的投标文件进行符合性审查，未通过审查的为无效标，不再参与评审。</w:t>
      </w:r>
      <w:r/>
    </w:p>
    <w:tbl>
      <w:tblPr>
        <w:tblStyle w:val="742"/>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符合招标文件要求</w:t>
            </w:r>
            <w:r/>
          </w:p>
        </w:tc>
      </w:tr>
    </w:tbl>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三、评分办法—综合评分法</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（一）评标办法：</w:t>
      </w:r>
      <w:r>
        <w:rPr>
          <w:rFonts w:hint="eastAsia" w:ascii="仿宋" w:hAnsi="仿宋" w:eastAsia="仿宋" w:cs="仿宋"/>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本项目采用综合评分办法，评标委员会严格按照招标文件规定的评分标准和要求，对各投标文件进行综合评审，按评审后得分由高到低顺序对投标人进行排序。得分相同的，按服务能力指标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即为</w:t>
      </w:r>
      <w:r>
        <w:rPr>
          <w:rFonts w:hint="eastAsia" w:ascii="仿宋" w:hAnsi="仿宋" w:eastAsia="仿宋" w:cs="仿宋"/>
          <w:color w:val="auto"/>
          <w:sz w:val="24"/>
          <w:szCs w:val="24"/>
          <w:highlight w:val="none"/>
          <w:lang w:eastAsia="zh-CN"/>
        </w:rPr>
        <w:t xml:space="preserve">基层服务网点覆盖、镇（街）级农险服务人员配备、村级农险协保员配备、</w:t>
      </w:r>
      <w:r>
        <w:rPr>
          <w:rFonts w:hint="eastAsia" w:ascii="仿宋" w:hAnsi="仿宋" w:eastAsia="仿宋" w:cs="仿宋"/>
          <w:color w:val="auto"/>
          <w:sz w:val="24"/>
          <w:szCs w:val="24"/>
          <w:highlight w:val="none"/>
        </w:rPr>
        <w:t xml:space="preserve">公司偿付能力充足率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科技赋能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理赔结案率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商业性保险发展能力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服务创新方案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的得分顺序排名。评标委员会根据评审后投标人排序推荐中标候选人。投标文件满足招标文件全部实质性要求，且评审后排序第一的投标人为第一中标候选人，依次类推。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每位投标人只能在一个分包上中标。如某投标人已在分包一被推荐为第一中标候选人的，</w:t>
      </w:r>
      <w:r>
        <w:rPr>
          <w:rFonts w:hint="eastAsia" w:ascii="仿宋" w:hAnsi="仿宋" w:eastAsia="仿宋" w:cs="仿宋"/>
          <w:color w:val="auto"/>
          <w:sz w:val="24"/>
          <w:szCs w:val="24"/>
          <w:highlight w:val="none"/>
          <w:lang w:eastAsia="zh-CN"/>
        </w:rPr>
        <w:t xml:space="preserve">则其参与分包二评标，但在分包二不参与推荐中标候选人的排序</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（二）详细评审。</w:t>
      </w:r>
      <w:r>
        <w:rPr>
          <w:rFonts w:hint="eastAsia" w:ascii="仿宋" w:hAnsi="仿宋" w:eastAsia="仿宋" w:cs="仿宋"/>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2"/>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7"/>
        <w:gridCol w:w="5963"/>
        <w:gridCol w:w="1220"/>
      </w:tblGrid>
      <w:tr>
        <w:trPr>
          <w:jc w:val="center"/>
          <w:trHeight w:val="697"/>
        </w:trPr>
        <w:tc>
          <w:tcPr>
            <w:tcW w:w="1877" w:type="dxa"/>
            <w:vAlign w:val="center"/>
            <w:textDirection w:val="lrTb"/>
            <w:noWrap w:val="false"/>
          </w:tcPr>
          <w:p>
            <w:pPr>
              <w:jc w:val="cente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评审指标</w:t>
            </w:r>
            <w:r/>
          </w:p>
        </w:tc>
        <w:tc>
          <w:tcPr>
            <w:tcW w:w="5963" w:type="dxa"/>
            <w:vAlign w:val="center"/>
            <w:textDirection w:val="lrTb"/>
            <w:noWrap w:val="false"/>
          </w:tcPr>
          <w:p>
            <w:pPr>
              <w:jc w:val="cente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c>
          <w:tcPr>
            <w:tcW w:w="1220" w:type="dxa"/>
            <w:vAlign w:val="center"/>
            <w:textDirection w:val="lrTb"/>
            <w:noWrap w:val="false"/>
          </w:tcPr>
          <w:p>
            <w:pPr>
              <w:jc w:val="cente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r>
      <w:tr>
        <w:trPr>
          <w:jc w:val="center"/>
          <w:trHeight w:val="584"/>
        </w:trPr>
        <w:tc>
          <w:tcPr>
            <w:shd w:val="clear" w:color="auto" w:fill="auto"/>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 xml:space="preserve">基层服务网点覆盖</w:t>
            </w:r>
            <w:r/>
          </w:p>
        </w:tc>
        <w:tc>
          <w:tcPr>
            <w:shd w:val="clear" w:color="auto" w:fill="auto"/>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以投标人在宿城区域内区级分支机构和镇（街）农险服务网点覆盖情况计算得分，区级分支机构得2分，镇（街）农险服务网点有1个得2分，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最高得10分。</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没有基层服务网点的投标人，承诺中选后在3个月内设立必要的基层服务网点的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rPr>
              <w:t xml:space="preserve">。</w:t>
            </w:r>
            <w:r/>
          </w:p>
          <w:p>
            <w:pPr>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注：须提供（1）保险分支机构（不含市级）的保险许可证电子件；（2）镇（街）三农保险服务站站点照片等相关证明材料电子件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承诺书（格式自拟）</w:t>
            </w:r>
            <w:r>
              <w:rPr>
                <w:rFonts w:hint="eastAsia" w:ascii="仿宋" w:hAnsi="仿宋" w:eastAsia="仿宋" w:cs="仿宋"/>
                <w:color w:val="auto"/>
                <w:sz w:val="24"/>
                <w:szCs w:val="24"/>
                <w:highlight w:val="none"/>
              </w:rPr>
              <w:t xml:space="preserve">。</w:t>
            </w:r>
            <w:r/>
          </w:p>
        </w:tc>
        <w:tc>
          <w:tcPr>
            <w:shd w:val="clear" w:color="auto" w:fill="auto"/>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10</w:t>
            </w:r>
            <w:r/>
          </w:p>
        </w:tc>
      </w:tr>
      <w:tr>
        <w:trPr>
          <w:jc w:val="center"/>
          <w:trHeight w:val="569"/>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镇（街）级农险服务人员配备</w:t>
            </w:r>
            <w:r/>
          </w:p>
        </w:tc>
        <w:tc>
          <w:tcPr>
            <w:tcW w:w="5963" w:type="dxa"/>
            <w:vAlign w:val="center"/>
            <w:textDirection w:val="lrTb"/>
            <w:noWrap w:val="false"/>
          </w:tcPr>
          <w:p>
            <w:pPr>
              <w:jc w:val="left"/>
              <w:spacing w:line="500" w:lineRule="exact"/>
              <w:tabs>
                <w:tab w:val="left" w:pos="1366" w:leader="none"/>
              </w:tabs>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以投标人在宿城区域内镇（街）农险服务网点配备政策性农业保险服务人员情况计算得分，镇（街）配备农险服务人员有1个得2分，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b w:val="0"/>
                <w:bCs w:val="0"/>
                <w:color w:val="auto"/>
                <w:sz w:val="24"/>
                <w:szCs w:val="24"/>
                <w:highlight w:val="none"/>
                <w:lang w:eastAsia="zh-CN"/>
              </w:rPr>
              <w:t xml:space="preserve">最高得10分。</w:t>
            </w:r>
            <w:r/>
          </w:p>
          <w:p>
            <w:pPr>
              <w:jc w:val="left"/>
              <w:spacing w:line="500" w:lineRule="exact"/>
              <w:tabs>
                <w:tab w:val="left" w:pos="1366" w:leader="none"/>
              </w:tabs>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没有配备镇（街）级农险服务人员的</w:t>
            </w:r>
            <w:r>
              <w:rPr>
                <w:rFonts w:hint="eastAsia" w:ascii="仿宋" w:hAnsi="仿宋" w:eastAsia="仿宋" w:cs="仿宋"/>
                <w:color w:val="auto"/>
                <w:sz w:val="24"/>
                <w:szCs w:val="24"/>
                <w:highlight w:val="none"/>
              </w:rPr>
              <w:t xml:space="preserve">投标人</w:t>
            </w:r>
            <w:r>
              <w:rPr>
                <w:rFonts w:hint="eastAsia" w:ascii="仿宋" w:hAnsi="仿宋" w:eastAsia="仿宋" w:cs="仿宋"/>
                <w:b w:val="0"/>
                <w:bCs w:val="0"/>
                <w:color w:val="auto"/>
                <w:sz w:val="24"/>
                <w:szCs w:val="24"/>
                <w:highlight w:val="none"/>
                <w:lang w:eastAsia="zh-CN"/>
              </w:rPr>
              <w:t xml:space="preserve">，承诺中选后在3个月内配齐服务人员</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b w:val="0"/>
                <w:bCs w:val="0"/>
                <w:color w:val="auto"/>
                <w:sz w:val="24"/>
                <w:szCs w:val="24"/>
                <w:highlight w:val="none"/>
                <w:lang w:eastAsia="zh-CN"/>
              </w:rPr>
              <w:t xml:space="preserve">。</w:t>
            </w:r>
            <w:r/>
          </w:p>
          <w:p>
            <w:pPr>
              <w:jc w:val="left"/>
              <w:spacing w:line="500" w:lineRule="exact"/>
              <w:tabs>
                <w:tab w:val="left" w:pos="1366" w:leader="none"/>
              </w:tabs>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注：须提供（1）服务人员名单、合同协议、公告之日前6个月内任意一个月份工资发放</w:t>
            </w:r>
            <w:r>
              <w:rPr>
                <w:rFonts w:hint="eastAsia" w:ascii="仿宋" w:hAnsi="仿宋" w:eastAsia="仿宋" w:cs="仿宋"/>
                <w:b w:val="0"/>
                <w:bCs w:val="0"/>
                <w:color w:val="auto"/>
                <w:sz w:val="24"/>
                <w:szCs w:val="24"/>
                <w:highlight w:val="none"/>
                <w:lang w:val="en-US" w:eastAsia="zh-CN"/>
              </w:rPr>
              <w:t xml:space="preserve">材料电子件</w:t>
            </w:r>
            <w:r>
              <w:rPr>
                <w:rFonts w:hint="eastAsia" w:ascii="仿宋" w:hAnsi="仿宋" w:eastAsia="仿宋" w:cs="仿宋"/>
                <w:b w:val="0"/>
                <w:bCs w:val="0"/>
                <w:color w:val="auto"/>
                <w:sz w:val="24"/>
                <w:szCs w:val="24"/>
                <w:highlight w:val="none"/>
                <w:lang w:eastAsia="zh-CN"/>
              </w:rPr>
              <w:t xml:space="preserve">及支付薪资的银行转账凭证电子件；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承诺书（格式自拟）</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1659"/>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村级农险协保员配备</w:t>
            </w:r>
            <w:r/>
          </w:p>
        </w:tc>
        <w:tc>
          <w:tcPr>
            <w:tcW w:w="5963" w:type="dxa"/>
            <w:vAlign w:val="center"/>
            <w:textDirection w:val="lrTb"/>
            <w:noWrap w:val="false"/>
          </w:tcPr>
          <w:p>
            <w:pPr>
              <w:jc w:val="left"/>
              <w:spacing w:line="500" w:lineRule="exact"/>
              <w:tabs>
                <w:tab w:val="left" w:pos="220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以投标人在宿城区域内村级协保员覆盖行政村（涉农社区）的情况计算得分，村级配备农险协保员有1个得0.5分，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lang w:eastAsia="zh-CN"/>
              </w:rPr>
              <w:t xml:space="preserve">最高得10分。</w:t>
            </w:r>
            <w:r/>
          </w:p>
          <w:p>
            <w:pPr>
              <w:jc w:val="left"/>
              <w:spacing w:line="500" w:lineRule="exact"/>
              <w:tabs>
                <w:tab w:val="left" w:pos="220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没有配备村级农险协保员的</w:t>
            </w: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eastAsia="zh-CN"/>
              </w:rPr>
              <w:t xml:space="preserve">，承诺中选后在3个月内配齐服务人员</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lang w:eastAsia="zh-CN"/>
              </w:rPr>
              <w:t xml:space="preserve">。</w:t>
            </w:r>
            <w:r/>
          </w:p>
          <w:p>
            <w:pPr>
              <w:jc w:val="left"/>
              <w:spacing w:line="500" w:lineRule="exact"/>
              <w:tabs>
                <w:tab w:val="left" w:pos="220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注：须提供</w:t>
            </w:r>
            <w:r>
              <w:rPr>
                <w:rFonts w:hint="eastAsia" w:ascii="仿宋" w:hAnsi="仿宋" w:eastAsia="仿宋" w:cs="仿宋"/>
                <w:b w:val="0"/>
                <w:bCs w:val="0"/>
                <w:color w:val="auto"/>
                <w:sz w:val="24"/>
                <w:szCs w:val="24"/>
                <w:highlight w:val="none"/>
                <w:lang w:eastAsia="zh-CN"/>
              </w:rPr>
              <w:t xml:space="preserve">（1）</w:t>
            </w:r>
            <w:r>
              <w:rPr>
                <w:rFonts w:hint="eastAsia" w:ascii="仿宋" w:hAnsi="仿宋" w:eastAsia="仿宋" w:cs="仿宋"/>
                <w:color w:val="auto"/>
                <w:sz w:val="24"/>
                <w:szCs w:val="24"/>
                <w:highlight w:val="none"/>
                <w:lang w:eastAsia="zh-CN"/>
              </w:rPr>
              <w:t xml:space="preserve">村级农业保险协保员名单</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公告之日前6个月内任意一个月份工资发放</w:t>
            </w:r>
            <w:r>
              <w:rPr>
                <w:rFonts w:hint="eastAsia" w:ascii="仿宋" w:hAnsi="仿宋" w:eastAsia="仿宋" w:cs="仿宋"/>
                <w:b w:val="0"/>
                <w:bCs w:val="0"/>
                <w:color w:val="auto"/>
                <w:sz w:val="24"/>
                <w:szCs w:val="24"/>
                <w:highlight w:val="none"/>
                <w:lang w:val="en-US" w:eastAsia="zh-CN"/>
              </w:rPr>
              <w:t xml:space="preserve">材料电子件</w:t>
            </w:r>
            <w:r>
              <w:rPr>
                <w:rFonts w:hint="eastAsia" w:ascii="仿宋" w:hAnsi="仿宋" w:eastAsia="仿宋" w:cs="仿宋"/>
                <w:color w:val="auto"/>
                <w:sz w:val="24"/>
                <w:szCs w:val="24"/>
                <w:highlight w:val="none"/>
                <w:lang w:eastAsia="zh-CN"/>
              </w:rPr>
              <w:t xml:space="preserve">及支付薪资的银行转账凭证电子件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承诺书（格式自拟）</w:t>
            </w:r>
            <w:r>
              <w:rPr>
                <w:rFonts w:hint="eastAsia" w:ascii="仿宋" w:hAnsi="仿宋" w:eastAsia="仿宋" w:cs="仿宋"/>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r>
      <w:tr>
        <w:trPr>
          <w:jc w:val="center"/>
          <w:trHeight w:val="1620"/>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公司偿付能力充足率</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隶属法人机构</w:t>
            </w:r>
            <w:r>
              <w:rPr>
                <w:rFonts w:hint="eastAsia" w:ascii="仿宋" w:hAnsi="仿宋" w:eastAsia="仿宋" w:cs="仿宋"/>
                <w:color w:val="auto"/>
                <w:sz w:val="24"/>
                <w:szCs w:val="24"/>
                <w:highlight w:val="none"/>
                <w:lang w:val="en-US" w:eastAsia="zh-CN"/>
              </w:rPr>
              <w:t xml:space="preserve">2023</w:t>
            </w:r>
            <w:r>
              <w:rPr>
                <w:rFonts w:hint="eastAsia" w:ascii="仿宋" w:hAnsi="仿宋" w:eastAsia="仿宋" w:cs="仿宋"/>
                <w:color w:val="auto"/>
                <w:sz w:val="24"/>
                <w:szCs w:val="24"/>
                <w:highlight w:val="none"/>
              </w:rPr>
              <w:t xml:space="preserve">年度</w:t>
            </w:r>
            <w:r>
              <w:rPr>
                <w:rFonts w:hint="eastAsia" w:ascii="仿宋" w:hAnsi="仿宋" w:eastAsia="仿宋" w:cs="仿宋"/>
                <w:color w:val="auto"/>
                <w:sz w:val="24"/>
                <w:szCs w:val="24"/>
                <w:highlight w:val="none"/>
                <w:lang w:val="en-US" w:eastAsia="zh-CN"/>
              </w:rPr>
              <w:t xml:space="preserve">末</w:t>
            </w:r>
            <w:r>
              <w:rPr>
                <w:rFonts w:hint="eastAsia" w:ascii="仿宋" w:hAnsi="仿宋" w:eastAsia="仿宋" w:cs="仿宋"/>
                <w:color w:val="auto"/>
                <w:sz w:val="24"/>
                <w:szCs w:val="24"/>
                <w:highlight w:val="none"/>
              </w:rPr>
              <w:t xml:space="preserve">的综合偿付能力充足率在 180%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以下不得分，180%（不含）-210%（含）得1.5分，210%（不含）-240%（含）得3分，2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0%（不含）-2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0%（含）得</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分，依此类推，</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rPr>
              <w:t xml:space="preserve">须提供2023年度偿付能力审计报告</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或保险监督管理机构偿付能力监管信息系统截图（包含网站页面）</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r>
      <w:tr>
        <w:trPr>
          <w:jc w:val="center"/>
          <w:trHeight w:val="1260"/>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农业保险业务信息管理水平</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具备相对独立、功能完善的农业保险信息管理系统，具备数据管理和统计分析功能，能够直接导出承保数据得1分、理赔数据得1分、批改数据得1分、汇总数据得1分，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最高得4分。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提供投标人农业保险信息系统有关功能截图</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801"/>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创新能力</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投标人或其省公司（含其分支机构）近三年每</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1个创新保护产品</w:t>
            </w:r>
            <w:r>
              <w:rPr>
                <w:rFonts w:hint="eastAsia" w:ascii="仿宋" w:hAnsi="仿宋" w:eastAsia="仿宋" w:cs="仿宋"/>
                <w:color w:val="auto"/>
                <w:sz w:val="24"/>
                <w:szCs w:val="24"/>
                <w:highlight w:val="none"/>
                <w:lang w:val="en-US" w:eastAsia="zh-CN"/>
              </w:rPr>
              <w:t xml:space="preserve">得</w:t>
            </w:r>
            <w:r>
              <w:rPr>
                <w:rFonts w:hint="eastAsia" w:ascii="仿宋" w:hAnsi="仿宋" w:eastAsia="仿宋" w:cs="仿宋"/>
                <w:color w:val="auto"/>
                <w:sz w:val="24"/>
                <w:szCs w:val="24"/>
                <w:highlight w:val="none"/>
              </w:rPr>
              <w:t xml:space="preserve">1分，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注：须</w:t>
            </w:r>
            <w:r>
              <w:rPr>
                <w:rFonts w:hint="eastAsia" w:ascii="仿宋" w:hAnsi="仿宋" w:eastAsia="仿宋" w:cs="仿宋"/>
                <w:b w:val="0"/>
                <w:bCs w:val="0"/>
                <w:color w:val="auto"/>
                <w:sz w:val="24"/>
                <w:szCs w:val="24"/>
                <w:highlight w:val="none"/>
              </w:rPr>
              <w:t xml:space="preserve">提供江苏省农业保险工作小组创新产品保护认定文件</w:t>
            </w:r>
            <w:r>
              <w:rPr>
                <w:rFonts w:hint="eastAsia" w:ascii="仿宋" w:hAnsi="仿宋" w:eastAsia="仿宋" w:cs="仿宋"/>
                <w:b w:val="0"/>
                <w:bCs w:val="0"/>
                <w:color w:val="auto"/>
                <w:sz w:val="24"/>
                <w:szCs w:val="24"/>
                <w:highlight w:val="none"/>
                <w:lang w:val="en-US" w:eastAsia="zh-CN"/>
              </w:rPr>
              <w:t xml:space="preserve">电子件。</w:t>
            </w:r>
            <w:r/>
          </w:p>
        </w:tc>
        <w:tc>
          <w:tcPr>
            <w:tcW w:w="1220" w:type="dxa"/>
            <w:vAlign w:val="center"/>
            <w:textDirection w:val="lrTb"/>
            <w:noWrap w:val="false"/>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r>
      <w:tr>
        <w:trPr>
          <w:jc w:val="center"/>
          <w:trHeight w:val="557"/>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科技赋能</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能够利用卫星、网络、移动端开展农业保险线上化精准承保理赔服务，具有保险标的定位功能得1分、保险标的数量识别功能得1分、理赔处理功能得1分、保单查询功能得1分，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最高得4分。</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提供相关工具照片和能够显示保险标的位置、保险标的数量、查勘理赔处理、保单查询结果的证明材料等</w:t>
            </w:r>
            <w:r>
              <w:rPr>
                <w:rFonts w:hint="eastAsia" w:ascii="仿宋" w:hAnsi="仿宋" w:eastAsia="仿宋" w:cs="仿宋"/>
                <w:b w:val="0"/>
                <w:bCs w:val="0"/>
                <w:color w:val="auto"/>
                <w:sz w:val="24"/>
                <w:szCs w:val="24"/>
                <w:highlight w:val="none"/>
                <w:lang w:val="en-US" w:eastAsia="zh-CN"/>
              </w:rPr>
              <w:t xml:space="preserve">电子件。</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1299"/>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理赔结案率</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本遴选区域内机构或省级机构2023年度政策性农业保险理赔结案率（赔案数/立案数）60%以上的，得分=理赔结案率×8分。理赔结案率60%以下</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不得分。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提供保险监督管理机构统计数据或投标保险机构业务信息系统截图</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r>
      <w:tr>
        <w:trPr>
          <w:jc w:val="center"/>
          <w:trHeight w:val="1161"/>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商业性保险发展能力</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根据投标人2021-2023年在本遴选区域内新开办商业性农业保险险种及承保数量，有一个得1分，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注：须</w:t>
            </w:r>
            <w:r>
              <w:rPr>
                <w:rFonts w:hint="eastAsia" w:ascii="仿宋" w:hAnsi="仿宋" w:eastAsia="仿宋" w:cs="仿宋"/>
                <w:b w:val="0"/>
                <w:bCs w:val="0"/>
                <w:color w:val="auto"/>
                <w:sz w:val="24"/>
                <w:szCs w:val="24"/>
                <w:highlight w:val="none"/>
              </w:rPr>
              <w:t xml:space="preserve">提供保险单</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投标人业务信息系统统计截图及承保明细</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r>
      <w:tr>
        <w:trPr>
          <w:jc w:val="center"/>
          <w:trHeight w:val="1045"/>
        </w:trPr>
        <w:tc>
          <w:tcPr>
            <w:tcBorders>
              <w:bottom w:val="single" w:color="auto" w:sz="4" w:space="0"/>
            </w:tcBorders>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服务创新方案</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根据投标人提供的服务创新方案</w:t>
            </w:r>
            <w:r>
              <w:rPr>
                <w:rFonts w:hint="eastAsia" w:ascii="仿宋" w:hAnsi="仿宋" w:eastAsia="仿宋" w:cs="仿宋"/>
                <w:color w:val="auto"/>
                <w:sz w:val="24"/>
                <w:szCs w:val="24"/>
                <w:highlight w:val="none"/>
                <w:lang w:eastAsia="zh-CN"/>
              </w:rPr>
              <w:t xml:space="preserve">（方案包括但不限于在保障措施、风险管控、规范操作、绩效评价方面的创新内容）。</w:t>
            </w:r>
            <w:r>
              <w:rPr>
                <w:rFonts w:hint="eastAsia" w:ascii="仿宋" w:hAnsi="仿宋" w:eastAsia="仿宋" w:cs="仿宋"/>
                <w:color w:val="auto"/>
                <w:sz w:val="24"/>
                <w:szCs w:val="24"/>
                <w:highlight w:val="none"/>
              </w:rPr>
              <w:t xml:space="preserve">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分；满足采购需求得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分；方案有欠缺，但经过后期优化能满足采购需求，得1分；没有内容不得分。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注：须提供投标人有关方案</w:t>
            </w:r>
            <w:r>
              <w:rPr>
                <w:rFonts w:hint="eastAsia" w:ascii="仿宋" w:hAnsi="仿宋" w:eastAsia="仿宋" w:cs="仿宋"/>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r>
      <w:tr>
        <w:trPr>
          <w:jc w:val="center"/>
          <w:trHeight w:val="515"/>
        </w:trPr>
        <w:tc>
          <w:tcPr>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农业保险责任部门、责任人员</w:t>
            </w:r>
            <w:r/>
          </w:p>
        </w:tc>
        <w:tc>
          <w:tcPr>
            <w:tcBorders>
              <w:left w:val="single" w:color="auto" w:sz="4" w:space="0"/>
            </w:tcBorders>
            <w:tcW w:w="5963" w:type="dxa"/>
            <w:vAlign w:val="center"/>
            <w:textDirection w:val="lrTb"/>
            <w:noWrap w:val="false"/>
          </w:tcPr>
          <w:p>
            <w:p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省、市区分支机构根据职责分工，分别设置农业保险责任部门得2分、安排责任人员得2分，满足核保、核赔、回访、稽核等内控制度的得2分，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p>
          <w:p>
            <w:p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没有农业保险责任部门及责任人员的</w:t>
            </w:r>
            <w:r>
              <w:rPr>
                <w:rFonts w:hint="eastAsia" w:ascii="仿宋" w:hAnsi="仿宋" w:eastAsia="仿宋" w:cs="仿宋"/>
                <w:color w:val="auto"/>
                <w:sz w:val="24"/>
                <w:szCs w:val="24"/>
                <w:highlight w:val="none"/>
              </w:rPr>
              <w:t xml:space="preserve">投标人</w:t>
            </w:r>
            <w:r>
              <w:rPr>
                <w:rFonts w:hint="eastAsia" w:ascii="仿宋" w:hAnsi="仿宋" w:eastAsia="仿宋" w:cs="仿宋"/>
                <w:b w:val="0"/>
                <w:bCs w:val="0"/>
                <w:color w:val="auto"/>
                <w:sz w:val="24"/>
                <w:szCs w:val="24"/>
                <w:highlight w:val="none"/>
              </w:rPr>
              <w:t xml:space="preserve">，承诺中选后在3个月内设置责任部门和安排责任人员</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b w:val="0"/>
                <w:bCs w:val="0"/>
                <w:color w:val="auto"/>
                <w:sz w:val="24"/>
                <w:szCs w:val="24"/>
                <w:highlight w:val="none"/>
              </w:rPr>
              <w:t xml:space="preserve">。</w:t>
            </w:r>
            <w:r/>
          </w:p>
          <w:p>
            <w:pPr>
              <w:jc w:val="left"/>
              <w:spacing w:line="50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rPr>
              <w:t xml:space="preserve">须提供</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设置农业保险责任部门的相关证明材料</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能显示农险相关岗位的专职人员证明材料</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专职人员名单</w:t>
            </w:r>
            <w:r>
              <w:rPr>
                <w:rFonts w:hint="eastAsia" w:ascii="仿宋" w:hAnsi="仿宋" w:eastAsia="仿宋" w:cs="仿宋"/>
                <w:b w:val="0"/>
                <w:bCs w:val="0"/>
                <w:color w:val="auto"/>
                <w:sz w:val="24"/>
                <w:szCs w:val="24"/>
                <w:highlight w:val="none"/>
                <w:lang w:val="en-US" w:eastAsia="zh-CN"/>
              </w:rPr>
              <w:t xml:space="preserve">和</w:t>
            </w:r>
            <w:r>
              <w:rPr>
                <w:rFonts w:hint="eastAsia" w:ascii="仿宋" w:hAnsi="仿宋" w:eastAsia="仿宋" w:cs="仿宋"/>
                <w:b w:val="0"/>
                <w:bCs w:val="0"/>
                <w:color w:val="auto"/>
                <w:sz w:val="24"/>
                <w:szCs w:val="24"/>
                <w:highlight w:val="none"/>
              </w:rPr>
              <w:t xml:space="preserve">劳动合同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承诺书（格式自拟）</w:t>
            </w:r>
            <w:r>
              <w:rPr>
                <w:rFonts w:hint="eastAsia" w:ascii="仿宋" w:hAnsi="仿宋" w:eastAsia="仿宋" w:cs="仿宋"/>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r>
      <w:tr>
        <w:trPr>
          <w:jc w:val="center"/>
          <w:trHeight w:val="780"/>
        </w:trPr>
        <w:tc>
          <w:tcPr>
            <w:tcBorders>
              <w:top w:val="single" w:color="auto" w:sz="4" w:space="0"/>
            </w:tcBorders>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管理制度</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具有完善的农业保险管理制度，包括不限于承保、理赔、费用管理、客户回访、投诉管理、内控合规、档案管理、重大灾害事故应急管理办法。每提供一个管理制度得0.5分，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提供投标人有关制度文件</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p>
        </w:tc>
      </w:tr>
      <w:tr>
        <w:trPr>
          <w:jc w:val="center"/>
          <w:trHeight w:val="780"/>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大灾风险分散（再保险）</w:t>
            </w:r>
            <w:r/>
          </w:p>
        </w:tc>
        <w:tc>
          <w:tcPr>
            <w:tcW w:w="5963" w:type="dxa"/>
            <w:vAlign w:val="center"/>
            <w:textDirection w:val="lrTb"/>
            <w:noWrap w:val="false"/>
          </w:tcPr>
          <w:p>
            <w:p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按照规定，总公司与中国农业再保险股份有限公司签署《政策性农业保险再保险标准协议》得4分，其他不得分。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注：须</w:t>
            </w:r>
            <w:r>
              <w:rPr>
                <w:rFonts w:hint="eastAsia" w:ascii="仿宋" w:hAnsi="仿宋" w:eastAsia="仿宋" w:cs="仿宋"/>
                <w:b w:val="0"/>
                <w:bCs w:val="0"/>
                <w:color w:val="auto"/>
                <w:sz w:val="24"/>
                <w:szCs w:val="24"/>
                <w:highlight w:val="none"/>
              </w:rPr>
              <w:t xml:space="preserve">提供当期有效的《政策性农业保险再保险标准协议》</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1239"/>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大灾风险分散（准备金）</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按照财政部《农业保险大灾风险准备金管理办法》规定，计提使用、管理农业保险大灾风险准备金的，分别得2分，</w:t>
            </w:r>
            <w:r>
              <w:rPr>
                <w:rFonts w:hint="eastAsia" w:ascii="仿宋" w:hAnsi="仿宋" w:eastAsia="仿宋" w:cs="仿宋"/>
                <w:color w:val="auto"/>
                <w:sz w:val="24"/>
                <w:szCs w:val="24"/>
                <w:highlight w:val="none"/>
                <w:lang w:val="en-US" w:eastAsia="zh-CN"/>
              </w:rPr>
              <w:t xml:space="preserve">此指标</w:t>
            </w:r>
            <w:r>
              <w:rPr>
                <w:rFonts w:hint="eastAsia" w:ascii="仿宋" w:hAnsi="仿宋" w:eastAsia="仿宋" w:cs="仿宋"/>
                <w:color w:val="auto"/>
                <w:sz w:val="24"/>
                <w:szCs w:val="24"/>
                <w:highlight w:val="none"/>
              </w:rPr>
              <w:t xml:space="preserve">最高得4分。</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提供向省财政部门报送的大灾风险准备金的计提使用、管理等情况报告</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494"/>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省级机构服务合规水平</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2023年度</w:t>
            </w:r>
            <w:r>
              <w:rPr>
                <w:rFonts w:hint="eastAsia" w:ascii="仿宋" w:hAnsi="仿宋" w:eastAsia="仿宋" w:cs="仿宋"/>
                <w:color w:val="auto"/>
                <w:sz w:val="24"/>
                <w:szCs w:val="24"/>
                <w:highlight w:val="none"/>
              </w:rPr>
              <w:t xml:space="preserve">省级机构达到“优”等级的得满分；“良”等级得70%的分值；其他等级不得分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因没有承保政策性农险而没有参与评价的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对应“良”等级分值。</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olor w:val="auto"/>
                <w:sz w:val="24"/>
                <w:szCs w:val="24"/>
                <w:highlight w:val="none"/>
              </w:rPr>
              <w:t xml:space="preserve">须提供（1）省农业保险工作小组公布的省级公司的</w:t>
            </w:r>
            <w:r>
              <w:rPr>
                <w:rFonts w:hint="eastAsia" w:ascii="仿宋" w:hAnsi="仿宋" w:eastAsia="仿宋" w:cs="仿宋"/>
                <w:b w:val="0"/>
                <w:bCs w:val="0"/>
                <w:color w:val="auto"/>
                <w:sz w:val="24"/>
                <w:szCs w:val="24"/>
                <w:highlight w:val="none"/>
                <w:lang w:val="en-US" w:eastAsia="zh-CN"/>
              </w:rPr>
              <w:t xml:space="preserve">2023</w:t>
            </w:r>
            <w:r>
              <w:rPr>
                <w:rFonts w:hint="eastAsia" w:ascii="仿宋" w:hAnsi="仿宋" w:eastAsia="仿宋" w:cs="仿宋"/>
                <w:b w:val="0"/>
                <w:bCs w:val="0"/>
                <w:color w:val="auto"/>
                <w:sz w:val="24"/>
                <w:szCs w:val="24"/>
                <w:highlight w:val="none"/>
              </w:rPr>
              <w:t xml:space="preserve">年度评价结果</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；（2）提供没有开展服务的说明</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r>
      <w:tr>
        <w:trPr>
          <w:jc w:val="center"/>
          <w:trHeight w:val="560"/>
        </w:trPr>
        <w:tc>
          <w:tcPr>
            <w:tcW w:w="1877"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属地机构服务合规水平</w:t>
            </w:r>
            <w:r/>
          </w:p>
        </w:tc>
        <w:tc>
          <w:tcPr>
            <w:tcW w:w="5963" w:type="dxa"/>
            <w:vAlign w:val="center"/>
            <w:textDirection w:val="lrTb"/>
            <w:noWrap w:val="false"/>
          </w:tcPr>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2023年度</w:t>
            </w:r>
            <w:r>
              <w:rPr>
                <w:rFonts w:hint="eastAsia" w:ascii="仿宋" w:hAnsi="仿宋" w:eastAsia="仿宋" w:cs="仿宋"/>
                <w:color w:val="auto"/>
                <w:sz w:val="24"/>
                <w:szCs w:val="24"/>
                <w:highlight w:val="none"/>
              </w:rPr>
              <w:t xml:space="preserve">属地分支机构达到“优”等级的得满分；“良”等级得70%的分值；其他等级不得分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因没有承保政策性农险而没有参与评价的</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对应“良”等级分值。</w:t>
            </w:r>
            <w:r/>
          </w:p>
          <w:p>
            <w:pPr>
              <w:jc w:val="left"/>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注：须</w:t>
            </w:r>
            <w:r>
              <w:rPr>
                <w:rFonts w:hint="eastAsia" w:ascii="仿宋" w:hAnsi="仿宋" w:eastAsia="仿宋" w:cs="仿宋"/>
                <w:b w:val="0"/>
                <w:bCs w:val="0"/>
                <w:color w:val="auto"/>
                <w:sz w:val="24"/>
                <w:szCs w:val="24"/>
                <w:highlight w:val="none"/>
              </w:rPr>
              <w:t xml:space="preserve">提供（1）遴选区域农险办对服务机构</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color w:val="auto"/>
                <w:sz w:val="24"/>
                <w:szCs w:val="24"/>
                <w:highlight w:val="none"/>
                <w:lang w:val="en-US" w:eastAsia="zh-CN"/>
              </w:rPr>
              <w:t xml:space="preserve">2023年度</w:t>
            </w:r>
            <w:r>
              <w:rPr>
                <w:rFonts w:hint="eastAsia" w:ascii="仿宋" w:hAnsi="仿宋" w:eastAsia="仿宋" w:cs="仿宋"/>
                <w:b w:val="0"/>
                <w:bCs w:val="0"/>
                <w:color w:val="auto"/>
                <w:sz w:val="24"/>
                <w:szCs w:val="24"/>
                <w:highlight w:val="none"/>
              </w:rPr>
              <w:t xml:space="preserve">评价结果电子件；（2）提供没有开展服务的说明</w:t>
            </w:r>
            <w:r>
              <w:rPr>
                <w:rFonts w:hint="eastAsia" w:ascii="仿宋" w:hAnsi="仿宋" w:eastAsia="仿宋" w:cs="仿宋"/>
                <w:b w:val="0"/>
                <w:bCs w:val="0"/>
                <w:color w:val="auto"/>
                <w:sz w:val="24"/>
                <w:szCs w:val="24"/>
                <w:highlight w:val="none"/>
                <w:lang w:eastAsia="zh-CN"/>
              </w:rPr>
              <w:t xml:space="preserve">。</w:t>
            </w:r>
            <w:r/>
          </w:p>
        </w:tc>
        <w:tc>
          <w:tcPr>
            <w:tcW w:w="1220"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r>
      <w:tr>
        <w:trPr>
          <w:jc w:val="center"/>
          <w:trHeight w:val="639"/>
        </w:trPr>
        <w:tc>
          <w:tcPr>
            <w:gridSpan w:val="2"/>
            <w:tcW w:w="7840"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 计</w:t>
            </w:r>
            <w:r/>
          </w:p>
        </w:tc>
        <w:tc>
          <w:tcPr>
            <w:tcW w:w="1220"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bl>
    <w:p>
      <w:pPr>
        <w:ind w:firstLine="482"/>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（三）评标结果。</w:t>
      </w:r>
      <w:r>
        <w:rPr>
          <w:rFonts w:hint="eastAsia" w:ascii="仿宋" w:hAnsi="仿宋" w:eastAsia="仿宋" w:cs="仿宋"/>
          <w:color w:val="auto"/>
          <w:sz w:val="24"/>
          <w:szCs w:val="24"/>
          <w:highlight w:val="none"/>
        </w:rPr>
        <w:t xml:space="preserve">评标委员会按照本办法规定推荐中标候选人，并形成评标报告。</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（四）政府采购政策功能落实</w:t>
      </w:r>
      <w:r/>
    </w:p>
    <w:p>
      <w:pPr>
        <w:ind w:firstLine="482"/>
        <w:keepLines w:val="0"/>
        <w:keepNext w:val="0"/>
        <w:pageBreakBefore w:val="0"/>
        <w:spacing w:line="56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本项目落实的政府采购政策对应以下序号为</w:t>
      </w:r>
      <w:r>
        <w:rPr>
          <w:rFonts w:hint="eastAsia" w:ascii="仿宋" w:hAnsi="仿宋" w:eastAsia="仿宋" w:cs="仿宋"/>
          <w:b/>
          <w:bCs/>
          <w:color w:val="auto"/>
          <w:sz w:val="24"/>
          <w:szCs w:val="24"/>
          <w:highlight w:val="none"/>
          <w:u w:val="single"/>
        </w:rPr>
        <w:t xml:space="preserve"> 1  </w:t>
      </w:r>
      <w:r/>
    </w:p>
    <w:p>
      <w:pPr>
        <w:numPr>
          <w:ilvl w:val="0"/>
          <w:numId w:val="0"/>
        </w:num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采购本国货物、工程和服务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种政策确定本项目落实的中小企业政策：</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（1）本项目专门面向中小企业（含监狱企业、残疾人福利企业）采购。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（2）投标人提供的服务符合下列情形的，对小微企业报价给予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的扣除，用扣除后的价格参加评审。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含新疆生产建设兵团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出具的属于监狱企业的证明文件（投标文件中上传加盖出具单位公章的电子件）。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3、政府采购节能产品、环境标志产品</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（3）采购人拟采购的产品属于优先采购的节能环保品目清单范围的，按以下条件优先采购：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采用综合评分法的项目，对提供有效节能环保证书的投标人加分。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采用最低评标价法的项目，同等条件下优先推荐提供有效节能环保证书多的投标人为中标人。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4、商品包装、快递包装政府采购需求标准（试行）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5、绿色数据中心政府采购需求标准（试行）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highlight w:val="none"/>
        </w:rPr>
      </w:pPr>
      <w:r>
        <w:rPr>
          <w:rFonts w:hint="eastAsia" w:ascii="仿宋_GB2312" w:eastAsia="仿宋_GB2312"/>
          <w:color w:val="auto"/>
          <w:highlight w:val="none"/>
        </w:rPr>
      </w:r>
      <w:r/>
    </w:p>
    <w:p>
      <w:pPr>
        <w:pStyle w:val="981"/>
        <w:rPr>
          <w:rFonts w:hint="eastAsia" w:ascii="仿宋_GB2312" w:hAnsi="Times New Roman" w:eastAsia="仿宋_GB2312"/>
          <w:color w:val="auto"/>
          <w:highlight w:val="none"/>
        </w:rPr>
      </w:pPr>
      <w:r>
        <w:rPr>
          <w:rFonts w:hint="eastAsia" w:ascii="仿宋_GB2312" w:hAnsi="Times New Roman" w:eastAsia="仿宋_GB2312"/>
          <w:color w:val="auto"/>
          <w:highlight w:val="none"/>
        </w:rPr>
      </w:r>
      <w:r/>
    </w:p>
    <w:p>
      <w:pPr>
        <w:rPr>
          <w:rFonts w:hint="eastAsia" w:ascii="黑体" w:hAnsi="黑体" w:eastAsia="黑体"/>
          <w:bCs/>
          <w:color w:val="auto"/>
          <w:sz w:val="44"/>
          <w:highlight w:val="none"/>
        </w:rPr>
      </w:pPr>
      <w:r>
        <w:rPr>
          <w:rFonts w:hint="eastAsia" w:ascii="黑体" w:hAnsi="黑体" w:eastAsia="黑体"/>
          <w:bCs/>
          <w:color w:val="auto"/>
          <w:sz w:val="44"/>
          <w:highlight w:val="none"/>
        </w:rPr>
        <w:br w:type="page" w:clear="all"/>
      </w:r>
      <w:r/>
    </w:p>
    <w:p>
      <w:pPr>
        <w:pStyle w:val="913"/>
        <w:keepLines w:val="0"/>
        <w:keepNext/>
        <w:pageBreakBefore w:val="0"/>
        <w:spacing w:line="480" w:lineRule="auto"/>
        <w:widowControl w:val="off"/>
        <w:rPr>
          <w:rFonts w:hint="eastAsia" w:ascii="黑体" w:hAnsi="黑体" w:eastAsia="黑体"/>
          <w:bCs/>
          <w:color w:val="auto"/>
          <w:sz w:val="44"/>
          <w:highlight w:val="none"/>
        </w:rPr>
      </w:pPr>
      <w:r/>
      <w:bookmarkStart w:id="204" w:name="_Toc15930"/>
      <w:r>
        <w:rPr>
          <w:rStyle w:val="765"/>
          <w:rFonts w:hint="eastAsia"/>
          <w:b/>
          <w:bCs/>
          <w:color w:val="auto"/>
          <w:highlight w:val="none"/>
        </w:rPr>
        <w:t xml:space="preserve">第六章   投标</w:t>
      </w:r>
      <w:bookmarkEnd w:id="200"/>
      <w:r/>
      <w:bookmarkEnd w:id="201"/>
      <w:r/>
      <w:bookmarkEnd w:id="202"/>
      <w:r>
        <w:rPr>
          <w:rStyle w:val="765"/>
          <w:rFonts w:hint="eastAsia"/>
          <w:b/>
          <w:bCs/>
          <w:color w:val="auto"/>
          <w:highlight w:val="none"/>
        </w:rPr>
        <w:t xml:space="preserve">文件格式</w:t>
      </w:r>
      <w:bookmarkEnd w:id="204"/>
      <w:r>
        <w:rPr>
          <w:rFonts w:hint="eastAsia" w:ascii="黑体" w:hAnsi="黑体" w:eastAsia="黑体"/>
          <w:bCs/>
          <w:color w:val="auto"/>
          <w:sz w:val="44"/>
          <w:highlight w:val="none"/>
        </w:rPr>
        <w:t xml:space="preserve"> </w:t>
      </w:r>
      <w:r/>
    </w:p>
    <w:p>
      <w:pPr>
        <w:jc w:val="center"/>
        <w:rPr>
          <w:rFonts w:hint="eastAsia" w:ascii="仿宋_GB2312" w:eastAsia="仿宋_GB2312"/>
          <w:b/>
          <w:color w:val="auto"/>
          <w:sz w:val="72"/>
          <w:highlight w:val="none"/>
        </w:rPr>
      </w:pPr>
      <w:r/>
      <w:bookmarkStart w:id="205" w:name="_Hlt26955039"/>
      <w:r/>
      <w:bookmarkEnd w:id="205"/>
      <w:r/>
      <w:bookmarkStart w:id="206" w:name="_Hlt26671244"/>
      <w:r/>
      <w:bookmarkEnd w:id="206"/>
      <w:r/>
      <w:bookmarkStart w:id="207" w:name="_Toc26554094"/>
      <w:r/>
      <w:bookmarkStart w:id="208" w:name="_Toc120614282"/>
      <w:r/>
      <w:bookmarkStart w:id="209" w:name="_Toc49090576"/>
      <w:r/>
      <w:r/>
    </w:p>
    <w:p>
      <w:pPr>
        <w:jc w:val="center"/>
        <w:rPr>
          <w:rFonts w:hint="eastAsia" w:ascii="仿宋_GB2312" w:eastAsia="仿宋_GB2312"/>
          <w:b/>
          <w:color w:val="auto"/>
          <w:sz w:val="72"/>
          <w:highlight w:val="none"/>
        </w:rPr>
      </w:pPr>
      <w:r>
        <w:rPr>
          <w:rFonts w:hint="eastAsia" w:ascii="仿宋_GB2312" w:eastAsia="仿宋_GB2312"/>
          <w:b/>
          <w:color w:val="auto"/>
          <w:sz w:val="72"/>
          <w:highlight w:val="none"/>
        </w:rPr>
        <w:t xml:space="preserve">投  标  文  件</w:t>
      </w:r>
      <w:r/>
    </w:p>
    <w:p>
      <w:pPr>
        <w:jc w:val="center"/>
        <w:rPr>
          <w:rFonts w:hint="eastAsia" w:ascii="仿宋_GB2312" w:eastAsia="仿宋_GB2312"/>
          <w:b/>
          <w:color w:val="auto"/>
          <w:sz w:val="72"/>
          <w:highlight w:val="none"/>
        </w:rPr>
      </w:pPr>
      <w:r>
        <w:rPr>
          <w:rFonts w:hint="eastAsia" w:ascii="仿宋_GB2312" w:eastAsia="仿宋_GB2312"/>
          <w:b/>
          <w:color w:val="auto"/>
          <w:sz w:val="72"/>
          <w:highlight w:val="none"/>
        </w:rPr>
      </w:r>
      <w:r/>
    </w:p>
    <w:p>
      <w:pPr>
        <w:jc w:val="center"/>
        <w:rPr>
          <w:rFonts w:hint="eastAsia" w:ascii="仿宋_GB2312" w:eastAsia="仿宋_GB2312"/>
          <w:b/>
          <w:color w:val="auto"/>
          <w:sz w:val="72"/>
          <w:highlight w:val="none"/>
        </w:rPr>
      </w:pPr>
      <w:r>
        <w:rPr>
          <w:rFonts w:hint="eastAsia" w:ascii="仿宋_GB2312" w:eastAsia="仿宋_GB2312"/>
          <w:b/>
          <w:color w:val="auto"/>
          <w:sz w:val="72"/>
          <w:highlight w:val="none"/>
        </w:rPr>
      </w:r>
      <w:r/>
    </w:p>
    <w:p>
      <w:pPr>
        <w:jc w:val="center"/>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rPr>
          <w:rFonts w:hint="eastAsia" w:ascii="仿宋_GB2312" w:eastAsia="仿宋_GB2312"/>
          <w:b/>
          <w:color w:val="auto"/>
          <w:sz w:val="36"/>
          <w:highlight w:val="none"/>
        </w:rPr>
      </w:pPr>
      <w:r>
        <w:rPr>
          <w:rFonts w:hint="eastAsia" w:ascii="仿宋_GB2312" w:eastAsia="仿宋_GB2312"/>
          <w:b/>
          <w:color w:val="auto"/>
          <w:sz w:val="36"/>
          <w:highlight w:val="none"/>
        </w:rPr>
      </w:r>
      <w:r/>
    </w:p>
    <w:p>
      <w:pPr>
        <w:ind w:firstLine="1084"/>
        <w:rPr>
          <w:rFonts w:hint="eastAsia" w:ascii="仿宋_GB2312" w:eastAsia="仿宋_GB2312"/>
          <w:b/>
          <w:color w:val="auto"/>
          <w:sz w:val="36"/>
          <w:highlight w:val="none"/>
        </w:rPr>
      </w:pPr>
      <w:r>
        <w:rPr>
          <w:rFonts w:hint="eastAsia" w:ascii="仿宋_GB2312" w:eastAsia="仿宋_GB2312"/>
          <w:b/>
          <w:color w:val="auto"/>
          <w:sz w:val="36"/>
          <w:highlight w:val="none"/>
        </w:rPr>
        <w:t xml:space="preserve">项 目 名 称：</w:t>
      </w:r>
      <w:r>
        <w:rPr>
          <w:rFonts w:hint="eastAsia" w:ascii="仿宋_GB2312" w:eastAsia="仿宋_GB2312"/>
          <w:b/>
          <w:color w:val="auto"/>
          <w:sz w:val="36"/>
          <w:highlight w:val="none"/>
          <w:u w:val="single"/>
        </w:rPr>
        <w:t xml:space="preserve">               </w:t>
      </w:r>
      <w:r/>
    </w:p>
    <w:p>
      <w:pPr>
        <w:ind w:firstLine="1084"/>
        <w:rPr>
          <w:rFonts w:hint="eastAsia" w:ascii="仿宋_GB2312" w:eastAsia="仿宋_GB2312"/>
          <w:b/>
          <w:color w:val="auto"/>
          <w:sz w:val="36"/>
          <w:highlight w:val="none"/>
          <w:u w:val="single"/>
        </w:rPr>
      </w:pPr>
      <w:r>
        <w:rPr>
          <w:rFonts w:hint="eastAsia" w:ascii="仿宋_GB2312" w:eastAsia="仿宋_GB2312"/>
          <w:b/>
          <w:color w:val="auto"/>
          <w:sz w:val="36"/>
          <w:highlight w:val="none"/>
        </w:rPr>
        <w:t xml:space="preserve">项 目 编 号：</w:t>
      </w:r>
      <w:r>
        <w:rPr>
          <w:rFonts w:hint="eastAsia" w:ascii="仿宋_GB2312" w:eastAsia="仿宋_GB2312"/>
          <w:b/>
          <w:color w:val="auto"/>
          <w:sz w:val="36"/>
          <w:highlight w:val="none"/>
          <w:u w:val="single"/>
        </w:rPr>
        <w:t xml:space="preserve">               </w:t>
      </w:r>
      <w:r/>
    </w:p>
    <w:p>
      <w:pPr>
        <w:rPr>
          <w:rFonts w:hint="eastAsia" w:ascii="仿宋_GB2312" w:eastAsia="仿宋_GB2312"/>
          <w:b/>
          <w:color w:val="auto"/>
          <w:sz w:val="36"/>
          <w:highlight w:val="none"/>
          <w:u w:val="single"/>
        </w:rPr>
      </w:pPr>
      <w:r>
        <w:rPr>
          <w:rFonts w:hint="eastAsia" w:ascii="仿宋_GB2312" w:eastAsia="仿宋_GB2312"/>
          <w:b/>
          <w:color w:val="auto"/>
          <w:sz w:val="36"/>
          <w:highlight w:val="none"/>
        </w:rPr>
        <w:t xml:space="preserve">      投标人名称 ：</w:t>
      </w:r>
      <w:r>
        <w:rPr>
          <w:rFonts w:hint="eastAsia" w:ascii="仿宋_GB2312" w:eastAsia="仿宋_GB2312"/>
          <w:b/>
          <w:color w:val="auto"/>
          <w:sz w:val="36"/>
          <w:highlight w:val="none"/>
          <w:u w:val="single"/>
        </w:rPr>
        <w:t xml:space="preserve">（加盖CA电子公章）</w:t>
      </w:r>
      <w:r/>
    </w:p>
    <w:p>
      <w:pPr>
        <w:rPr>
          <w:rFonts w:hint="eastAsia" w:ascii="仿宋_GB2312" w:eastAsia="仿宋_GB2312"/>
          <w:b/>
          <w:color w:val="auto"/>
          <w:sz w:val="36"/>
          <w:highlight w:val="none"/>
          <w:u w:val="single"/>
        </w:rPr>
      </w:pPr>
      <w:r>
        <w:rPr>
          <w:rFonts w:hint="eastAsia" w:ascii="仿宋_GB2312" w:eastAsia="仿宋_GB2312"/>
          <w:b/>
          <w:color w:val="auto"/>
          <w:sz w:val="36"/>
          <w:highlight w:val="none"/>
        </w:rPr>
        <w:t xml:space="preserve">      日      期 ：</w:t>
      </w:r>
      <w:r>
        <w:rPr>
          <w:rFonts w:hint="eastAsia" w:ascii="仿宋_GB2312" w:eastAsia="仿宋_GB2312"/>
          <w:b/>
          <w:color w:val="auto"/>
          <w:sz w:val="36"/>
          <w:highlight w:val="none"/>
          <w:u w:val="single"/>
        </w:rPr>
        <w:t xml:space="preserve">               </w:t>
      </w:r>
      <w:r/>
    </w:p>
    <w:p>
      <w:pPr>
        <w:jc w:val="center"/>
        <w:spacing w:line="440" w:lineRule="exact"/>
        <w:rPr>
          <w:rFonts w:hint="eastAsia" w:ascii="仿宋_GB2312" w:eastAsia="仿宋_GB2312"/>
          <w:b/>
          <w:bCs/>
          <w:color w:val="auto"/>
          <w:sz w:val="32"/>
          <w:szCs w:val="32"/>
          <w:highlight w:val="none"/>
        </w:rPr>
      </w:pPr>
      <w:r>
        <w:rPr>
          <w:rFonts w:hint="eastAsia" w:ascii="仿宋_GB2312" w:eastAsia="仿宋_GB2312"/>
          <w:b/>
          <w:bCs/>
          <w:color w:val="auto"/>
          <w:sz w:val="32"/>
          <w:szCs w:val="32"/>
          <w:highlight w:val="none"/>
        </w:rPr>
      </w:r>
      <w:r/>
    </w:p>
    <w:p>
      <w:pPr>
        <w:spacing w:line="440" w:lineRule="exact"/>
        <w:rPr>
          <w:rFonts w:hint="eastAsia" w:ascii="仿宋_GB2312" w:eastAsia="仿宋_GB2312"/>
          <w:color w:val="auto"/>
          <w:highlight w:val="none"/>
        </w:rPr>
      </w:pPr>
      <w:r>
        <w:rPr>
          <w:rFonts w:hint="eastAsia" w:ascii="仿宋_GB2312" w:eastAsia="仿宋_GB2312"/>
          <w:color w:val="auto"/>
          <w:highlight w:val="none"/>
        </w:rPr>
      </w:r>
      <w:r/>
    </w:p>
    <w:p>
      <w:pPr>
        <w:ind w:firstLine="1084"/>
        <w:rPr>
          <w:rFonts w:hint="eastAsia" w:ascii="仿宋_GB2312" w:eastAsia="仿宋_GB2312"/>
          <w:b/>
          <w:bCs/>
          <w:color w:val="auto"/>
          <w:sz w:val="32"/>
          <w:szCs w:val="32"/>
          <w:highlight w:val="none"/>
        </w:rPr>
      </w:pPr>
      <w:r>
        <w:rPr>
          <w:rFonts w:hint="eastAsia" w:ascii="仿宋_GB2312" w:eastAsia="仿宋_GB2312"/>
          <w:b/>
          <w:color w:val="auto"/>
          <w:sz w:val="36"/>
          <w:highlight w:val="none"/>
          <w:u w:val="single"/>
        </w:rPr>
        <w:br w:type="page" w:clear="all"/>
      </w:r>
      <w:r/>
    </w:p>
    <w:p>
      <w:pPr>
        <w:jc w:val="center"/>
        <w:keepLines w:val="0"/>
        <w:keepNext w:val="0"/>
        <w:pageBreakBefore w:val="0"/>
        <w:spacing w:line="480" w:lineRule="auto"/>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投标文件目录</w:t>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一、投标声明及承诺函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二、投标人基本情况</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三、满足特定资格要求的证明文件</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四、法人（负责人）授权书</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五、开标一览表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六、中小企业声明函</w:t>
      </w:r>
      <w:r>
        <w:rPr>
          <w:rFonts w:hint="eastAsia" w:ascii="仿宋" w:hAnsi="仿宋" w:eastAsia="仿宋" w:cs="仿宋"/>
          <w:color w:val="auto"/>
          <w:sz w:val="28"/>
          <w:szCs w:val="28"/>
          <w:highlight w:val="none"/>
          <w:lang w:val="en-US" w:eastAsia="zh-CN"/>
        </w:rPr>
        <w:t xml:space="preserve">或</w:t>
      </w:r>
      <w:r>
        <w:rPr>
          <w:rFonts w:hint="eastAsia" w:ascii="仿宋" w:hAnsi="仿宋" w:eastAsia="仿宋" w:cs="仿宋"/>
          <w:color w:val="auto"/>
          <w:sz w:val="28"/>
          <w:szCs w:val="28"/>
          <w:highlight w:val="none"/>
        </w:rPr>
        <w:t xml:space="preserve">残疾人福利性单位声明函</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、技术要求响应及偏离表</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、项目组人员</w:t>
      </w:r>
      <w:r/>
    </w:p>
    <w:p>
      <w:pPr>
        <w:ind w:firstLine="56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、投标所需其他材料</w:t>
      </w:r>
      <w:r/>
    </w:p>
    <w:p>
      <w:pPr>
        <w:pStyle w:val="752"/>
        <w:rPr>
          <w:rFonts w:hint="eastAsia" w:ascii="仿宋_GB2312" w:hAnsi="Times New Roman" w:eastAsia="仿宋_GB2312"/>
          <w:caps w:val="0"/>
          <w:color w:val="auto"/>
          <w:highlight w:val="none"/>
          <w:lang w:val="en-US" w:eastAsia="zh-CN"/>
        </w:rPr>
      </w:pPr>
      <w:r>
        <w:rPr>
          <w:rFonts w:hint="eastAsia" w:ascii="仿宋_GB2312" w:hAnsi="Times New Roman" w:eastAsia="仿宋_GB2312"/>
          <w:caps w:val="0"/>
          <w:color w:val="auto"/>
          <w:highlight w:val="none"/>
          <w:lang w:val="en-US" w:eastAsia="zh-CN"/>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021"/>
        <w:rPr>
          <w:rFonts w:hint="eastAsia" w:ascii="仿宋_GB2312" w:eastAsia="仿宋_GB2312"/>
          <w:color w:val="auto"/>
          <w:highlight w:val="none"/>
        </w:rPr>
      </w:pPr>
      <w:r/>
      <w:bookmarkStart w:id="210" w:name="_Toc23838"/>
      <w:r/>
      <w:r/>
    </w:p>
    <w:p>
      <w:pPr>
        <w:pStyle w:val="1021"/>
        <w:rPr>
          <w:rFonts w:hint="eastAsia" w:ascii="仿宋_GB2312" w:eastAsia="仿宋_GB2312"/>
          <w:color w:val="auto"/>
          <w:highlight w:val="none"/>
        </w:rPr>
      </w:pPr>
      <w:r>
        <w:rPr>
          <w:rFonts w:hint="eastAsia" w:ascii="仿宋_GB2312" w:eastAsia="仿宋_GB2312"/>
          <w:color w:val="auto"/>
          <w:highlight w:val="none"/>
        </w:rPr>
      </w:r>
      <w:r/>
    </w:p>
    <w:p>
      <w:pPr>
        <w:pStyle w:val="1021"/>
        <w:rPr>
          <w:rFonts w:hint="eastAsia" w:ascii="仿宋_GB2312" w:eastAsia="仿宋_GB2312"/>
          <w:color w:val="auto"/>
          <w:highlight w:val="none"/>
        </w:rPr>
      </w:pPr>
      <w:r>
        <w:rPr>
          <w:rFonts w:hint="eastAsia" w:ascii="仿宋_GB2312" w:eastAsia="仿宋_GB2312"/>
          <w:color w:val="auto"/>
          <w:highlight w:val="none"/>
        </w:rPr>
      </w:r>
      <w:r/>
    </w:p>
    <w:p>
      <w:pPr>
        <w:pStyle w:val="1021"/>
        <w:rPr>
          <w:rFonts w:hint="eastAsia" w:ascii="仿宋_GB2312" w:eastAsia="仿宋_GB2312"/>
          <w:color w:val="auto"/>
          <w:highlight w:val="none"/>
        </w:rPr>
      </w:pPr>
      <w:r>
        <w:rPr>
          <w:rFonts w:hint="eastAsia" w:ascii="仿宋_GB2312" w:eastAsia="仿宋_GB2312"/>
          <w:color w:val="auto"/>
          <w:highlight w:val="none"/>
        </w:rPr>
        <w:br w:type="page" w:clear="all"/>
      </w:r>
      <w:bookmarkEnd w:id="210"/>
      <w:r/>
      <w:r/>
    </w:p>
    <w:p>
      <w:pPr>
        <w:pStyle w:val="1019"/>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w:t>
      </w:r>
      <w:bookmarkEnd w:id="207"/>
      <w:r/>
      <w:bookmarkEnd w:id="208"/>
      <w:r/>
      <w:bookmarkEnd w:id="209"/>
      <w:r/>
      <w:bookmarkStart w:id="211" w:name="_Toc120614284"/>
      <w:r>
        <w:rPr>
          <w:rFonts w:hint="eastAsia" w:ascii="仿宋" w:hAnsi="仿宋" w:eastAsia="仿宋" w:cs="仿宋"/>
          <w:b/>
          <w:color w:val="auto"/>
          <w:sz w:val="32"/>
          <w:szCs w:val="32"/>
          <w:highlight w:val="none"/>
        </w:rPr>
        <w:t xml:space="preserve">投标声明及承诺函</w:t>
      </w:r>
      <w:r/>
    </w:p>
    <w:p>
      <w:pPr>
        <w:pStyle w:val="1019"/>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19"/>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宿迁市宿城区财政局</w:t>
      </w:r>
      <w:r>
        <w:rPr>
          <w:rFonts w:hint="eastAsia" w:ascii="仿宋" w:hAnsi="仿宋" w:eastAsia="仿宋" w:cs="仿宋"/>
          <w:color w:val="auto"/>
          <w:sz w:val="24"/>
          <w:szCs w:val="24"/>
          <w:highlight w:val="none"/>
          <w:u w:val="single"/>
        </w:rPr>
        <w:t xml:space="preserve">：</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JSZC-321302-SQHS-G2024-0033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宿城区2025-2027年政策性农业保险承保机构遴选项目</w:t>
      </w:r>
      <w:r>
        <w:rPr>
          <w:rFonts w:hint="eastAsia" w:ascii="仿宋" w:hAnsi="仿宋" w:eastAsia="仿宋" w:cs="仿宋"/>
          <w:color w:val="auto"/>
          <w:sz w:val="24"/>
          <w:szCs w:val="24"/>
          <w:highlight w:val="none"/>
        </w:rPr>
        <w:t xml:space="preserve">的招标文件，我方在参加本项目招投标活动中，特做出如下承诺：</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一、我方具备《中华人民共和国政府采购法》第二十二条第一款规定的6项条件；</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五、我方投标文件中提供的任何材料资料和技术、服务、商务等响应承诺情况都是真实的、有效的、合法的；</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六、我方若违背本声明及承诺约定，经查实，自愿接受采购人及相关主管部门相应的规定处理，并依法承担相应的法律责任。</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七、我方同意采购人、采购代理机构将本声明及承诺函上网公开。</w:t>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19"/>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pStyle w:val="1019"/>
        <w:ind w:firstLine="48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pStyle w:val="1021"/>
        <w:jc w:val="lef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二、投标人基本情况</w:t>
      </w:r>
      <w:r/>
    </w:p>
    <w:p>
      <w:pPr>
        <w:pStyle w:val="1022"/>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通讯地址</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法人单位注册资本（万元）</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22"/>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1022"/>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top"/>
            <w:textDirection w:val="lrTb"/>
            <w:noWrap w:val="false"/>
          </w:tcPr>
          <w:p>
            <w:pPr>
              <w:pStyle w:val="1022"/>
              <w:ind w:firstLine="1432"/>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134"/>
        </w:trPr>
        <w:tc>
          <w:tcPr>
            <w:tcW w:w="1526" w:type="dxa"/>
            <w:vAlign w:val="center"/>
            <w:textDirection w:val="lrTb"/>
            <w:noWrap w:val="false"/>
          </w:tcPr>
          <w:p>
            <w:pPr>
              <w:pStyle w:val="1022"/>
              <w:jc w:val="center"/>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highlight w:val="none"/>
              </w:rPr>
              <w:t xml:space="preserve">投标人在</w:t>
            </w:r>
            <w:r>
              <w:rPr>
                <w:rFonts w:hint="eastAsia" w:ascii="仿宋" w:hAnsi="仿宋" w:eastAsia="仿宋" w:cs="仿宋"/>
                <w:b/>
                <w:bCs/>
                <w:color w:val="auto"/>
                <w:sz w:val="24"/>
                <w:highlight w:val="none"/>
                <w:lang w:eastAsia="zh-CN"/>
              </w:rPr>
              <w:t xml:space="preserve">本遴选区域内</w:t>
            </w:r>
            <w:r>
              <w:rPr>
                <w:rFonts w:hint="eastAsia" w:ascii="仿宋" w:hAnsi="仿宋" w:eastAsia="仿宋" w:cs="仿宋"/>
                <w:b/>
                <w:bCs/>
                <w:color w:val="auto"/>
                <w:sz w:val="24"/>
                <w:highlight w:val="none"/>
                <w:lang w:val="en-US" w:eastAsia="zh-CN"/>
              </w:rPr>
              <w:t xml:space="preserve">区级</w:t>
            </w:r>
            <w:r>
              <w:rPr>
                <w:rFonts w:hint="eastAsia" w:ascii="仿宋" w:hAnsi="仿宋" w:eastAsia="仿宋" w:cs="仿宋"/>
                <w:b/>
                <w:bCs/>
                <w:color w:val="auto"/>
                <w:sz w:val="24"/>
                <w:highlight w:val="none"/>
              </w:rPr>
              <w:t xml:space="preserve">、乡（镇）两级分支机构覆盖数量</w:t>
            </w:r>
            <w:r/>
          </w:p>
        </w:tc>
        <w:tc>
          <w:tcPr>
            <w:gridSpan w:val="3"/>
            <w:tcW w:w="6998" w:type="dxa"/>
            <w:vAlign w:val="center"/>
            <w:textDirection w:val="lrTb"/>
            <w:noWrap w:val="false"/>
          </w:tcPr>
          <w:p>
            <w:pPr>
              <w:ind w:left="2182"/>
              <w:jc w:val="left"/>
              <w:spacing w:before="78" w:line="219"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b/>
                <w:bCs/>
                <w:color w:val="auto"/>
                <w:spacing w:val="-2"/>
                <w:sz w:val="24"/>
                <w:szCs w:val="24"/>
                <w:highlight w:val="none"/>
                <w:lang w:val="en-US" w:eastAsia="zh-CN" w:bidi="ar-SA"/>
              </w:rPr>
              <w:t xml:space="preserve">区</w:t>
            </w:r>
            <w:r>
              <w:rPr>
                <w:rFonts w:hint="eastAsia" w:ascii="仿宋" w:hAnsi="仿宋" w:eastAsia="仿宋" w:cs="仿宋"/>
                <w:b/>
                <w:bCs/>
                <w:color w:val="auto"/>
                <w:spacing w:val="-2"/>
                <w:sz w:val="24"/>
                <w:szCs w:val="24"/>
                <w:highlight w:val="none"/>
                <w:lang w:val="en-US" w:eastAsia="en-US" w:bidi="ar-SA"/>
              </w:rPr>
              <w:t xml:space="preserve">级分支机构：</w:t>
            </w:r>
            <w:r>
              <w:rPr>
                <w:rFonts w:hint="eastAsia" w:ascii="仿宋" w:hAnsi="仿宋" w:eastAsia="仿宋" w:cs="仿宋"/>
                <w:color w:val="auto"/>
                <w:spacing w:val="-2"/>
                <w:sz w:val="24"/>
                <w:szCs w:val="24"/>
                <w:highlight w:val="none"/>
                <w:u w:val="single"/>
                <w:lang w:val="en-US" w:eastAsia="en-US" w:bidi="ar-SA"/>
              </w:rPr>
              <w:t xml:space="preserve">      </w:t>
            </w:r>
            <w:r>
              <w:rPr>
                <w:rFonts w:hint="eastAsia" w:ascii="仿宋" w:hAnsi="仿宋" w:eastAsia="仿宋" w:cs="仿宋"/>
                <w:color w:val="auto"/>
                <w:spacing w:val="-105"/>
                <w:sz w:val="24"/>
                <w:szCs w:val="24"/>
                <w:highlight w:val="none"/>
                <w:lang w:val="en-US" w:eastAsia="en-US" w:bidi="ar-SA"/>
              </w:rPr>
              <w:t xml:space="preserve"> </w:t>
            </w:r>
            <w:r>
              <w:rPr>
                <w:rFonts w:hint="eastAsia" w:ascii="仿宋" w:hAnsi="仿宋" w:eastAsia="仿宋" w:cs="仿宋"/>
                <w:b/>
                <w:bCs/>
                <w:color w:val="auto"/>
                <w:spacing w:val="-2"/>
                <w:sz w:val="24"/>
                <w:szCs w:val="24"/>
                <w:highlight w:val="none"/>
                <w:lang w:val="en-US" w:eastAsia="en-US" w:bidi="ar-SA"/>
              </w:rPr>
              <w:t xml:space="preserve">个</w:t>
            </w:r>
            <w:r/>
          </w:p>
          <w:p>
            <w:pPr>
              <w:pStyle w:val="1022"/>
              <w:jc w:val="cente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pacing w:val="-4"/>
                <w:sz w:val="24"/>
                <w:szCs w:val="24"/>
                <w:highlight w:val="none"/>
                <w:lang w:val="en-US" w:eastAsia="en-US" w:bidi="ar-SA"/>
              </w:rPr>
              <w:t xml:space="preserve">乡（镇）分支机构：</w:t>
            </w:r>
            <w:r>
              <w:rPr>
                <w:rFonts w:hint="eastAsia" w:ascii="仿宋" w:hAnsi="仿宋" w:eastAsia="仿宋" w:cs="仿宋"/>
                <w:color w:val="auto"/>
                <w:spacing w:val="-4"/>
                <w:sz w:val="24"/>
                <w:szCs w:val="24"/>
                <w:highlight w:val="none"/>
                <w:u w:val="single"/>
                <w:lang w:val="en-US" w:eastAsia="en-US" w:bidi="ar-SA"/>
              </w:rPr>
              <w:t xml:space="preserve">      </w:t>
            </w:r>
            <w:r>
              <w:rPr>
                <w:rFonts w:hint="eastAsia" w:ascii="仿宋" w:hAnsi="仿宋" w:eastAsia="仿宋" w:cs="仿宋"/>
                <w:color w:val="auto"/>
                <w:spacing w:val="-103"/>
                <w:sz w:val="24"/>
                <w:szCs w:val="24"/>
                <w:highlight w:val="none"/>
                <w:lang w:val="en-US" w:eastAsia="en-US" w:bidi="ar-SA"/>
              </w:rPr>
              <w:t xml:space="preserve"> </w:t>
            </w:r>
            <w:r>
              <w:rPr>
                <w:rFonts w:hint="eastAsia" w:ascii="仿宋" w:hAnsi="仿宋" w:eastAsia="仿宋" w:cs="仿宋"/>
                <w:b/>
                <w:bCs/>
                <w:color w:val="auto"/>
                <w:spacing w:val="-4"/>
                <w:sz w:val="24"/>
                <w:szCs w:val="24"/>
                <w:highlight w:val="none"/>
                <w:lang w:val="en-US" w:eastAsia="en-US" w:bidi="ar-SA"/>
              </w:rPr>
              <w:t xml:space="preserve">个</w:t>
            </w:r>
            <w:r/>
          </w:p>
        </w:tc>
      </w:tr>
    </w:tbl>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44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jc w:val="left"/>
        <w:rPr>
          <w:rFonts w:hint="eastAsia" w:ascii="仿宋" w:hAnsi="仿宋" w:eastAsia="仿宋" w:cs="仿宋"/>
          <w:i/>
          <w:color w:val="auto"/>
          <w:sz w:val="32"/>
          <w:szCs w:val="32"/>
          <w:highlight w:val="none"/>
          <w:u w:val="single"/>
        </w:rPr>
      </w:pPr>
      <w:r>
        <w:rPr>
          <w:rFonts w:hint="eastAsia" w:ascii="仿宋" w:hAnsi="仿宋" w:eastAsia="仿宋" w:cs="仿宋"/>
          <w:b/>
          <w:color w:val="auto"/>
          <w:sz w:val="32"/>
          <w:szCs w:val="32"/>
          <w:highlight w:val="none"/>
        </w:rPr>
        <w:t xml:space="preserve">三、满足特定资格要求的证明文件</w:t>
      </w:r>
      <w:r/>
    </w:p>
    <w:p>
      <w:pPr>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keepLines w:val="0"/>
        <w:keepNext w:val="0"/>
        <w:pageBreakBefore w:val="0"/>
        <w:spacing w:line="560"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如果本项目申请人的特定资格要求中要求提供的，必须提供。</w:t>
      </w:r>
      <w:r/>
    </w:p>
    <w:p>
      <w:pPr>
        <w:spacing w:line="460" w:lineRule="exact"/>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jc w:val="center"/>
        <w:rPr>
          <w:rFonts w:hint="eastAsia" w:ascii="仿宋_GB2312" w:eastAsia="仿宋_GB2312"/>
          <w:i/>
          <w:color w:val="auto"/>
          <w:sz w:val="32"/>
          <w:szCs w:val="32"/>
          <w:highlight w:val="none"/>
          <w:u w:val="single"/>
        </w:rPr>
      </w:pPr>
      <w:r>
        <w:rPr>
          <w:rFonts w:hint="eastAsia" w:ascii="仿宋_GB2312" w:eastAsia="仿宋_GB2312"/>
          <w:i/>
          <w:color w:val="auto"/>
          <w:sz w:val="32"/>
          <w:szCs w:val="32"/>
          <w:highlight w:val="none"/>
          <w:u w:val="single"/>
        </w:rPr>
      </w:r>
      <w:r/>
    </w:p>
    <w:p>
      <w:pPr>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br w:type="page" w:clear="all"/>
      </w:r>
      <w:r/>
    </w:p>
    <w:p>
      <w:pPr>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四、法人（负责人）授权书</w:t>
      </w:r>
      <w:r/>
    </w:p>
    <w:p>
      <w:pPr>
        <w:pStyle w:val="990"/>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0"/>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日起生效，特此声明。</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法定代表人/负责人（签字或盖章）：</w:t>
      </w:r>
      <w:r>
        <w:rPr>
          <w:rFonts w:hint="eastAsia" w:ascii="仿宋" w:hAnsi="仿宋" w:eastAsia="仿宋" w:cs="仿宋"/>
          <w:color w:val="auto"/>
          <w:sz w:val="24"/>
          <w:szCs w:val="24"/>
          <w:highlight w:val="none"/>
          <w:u w:val="single"/>
        </w:rPr>
        <w:t xml:space="preserve">              </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被授权人身份证号码：</w:t>
      </w:r>
      <w:r>
        <w:rPr>
          <w:rFonts w:hint="eastAsia" w:ascii="仿宋" w:hAnsi="仿宋" w:eastAsia="仿宋" w:cs="仿宋"/>
          <w:color w:val="auto"/>
          <w:sz w:val="24"/>
          <w:szCs w:val="24"/>
          <w:highlight w:val="none"/>
          <w:u w:val="single"/>
        </w:rPr>
        <w:t xml:space="preserve">                           </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授权人联系电话：（手机）</w:t>
      </w:r>
      <w:r>
        <w:rPr>
          <w:rFonts w:hint="eastAsia" w:ascii="仿宋" w:hAnsi="仿宋" w:eastAsia="仿宋" w:cs="仿宋"/>
          <w:color w:val="auto"/>
          <w:sz w:val="24"/>
          <w:szCs w:val="24"/>
          <w:highlight w:val="none"/>
          <w:u w:val="single"/>
        </w:rPr>
        <w:t xml:space="preserve">                       </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990"/>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Start w:id="212" w:name="_格式3__银行出具的资信证明"/>
      <w:r/>
      <w:bookmarkEnd w:id="212"/>
      <w:r/>
      <w:bookmarkStart w:id="213" w:name="_Hlt26671380"/>
      <w:r/>
      <w:bookmarkEnd w:id="213"/>
      <w:r/>
      <w:bookmarkStart w:id="214" w:name="_Hlt26955070"/>
      <w:r/>
      <w:bookmarkEnd w:id="214"/>
      <w:r>
        <w:rPr>
          <w:rFonts w:hint="eastAsia" w:ascii="仿宋" w:hAnsi="仿宋" w:eastAsia="仿宋" w:cs="仿宋"/>
          <w:color w:val="auto"/>
          <w:sz w:val="24"/>
          <w:szCs w:val="24"/>
          <w:highlight w:val="none"/>
          <w:u w:val="single"/>
        </w:rPr>
        <w:t xml:space="preserve">                                         </w:t>
      </w:r>
      <w:r/>
    </w:p>
    <w:p>
      <w:pPr>
        <w:pStyle w:val="916"/>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（授权委托书电子件可由授权代理人签字后扫描上传或直接加盖电子签章，并</w:t>
      </w:r>
      <w:r/>
    </w:p>
    <w:p>
      <w:pPr>
        <w:pStyle w:val="916"/>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加盖单位及法定代表人电子签章。）</w:t>
      </w:r>
      <w:r/>
    </w:p>
    <w:p>
      <w:pPr>
        <w:pStyle w:val="916"/>
        <w:ind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left"/>
        <w:rPr>
          <w:rFonts w:hint="eastAsia" w:ascii="仿宋" w:hAnsi="仿宋" w:eastAsia="仿宋" w:cs="仿宋"/>
          <w:color w:val="auto"/>
          <w:sz w:val="24"/>
          <w:szCs w:val="20"/>
          <w:highlight w:val="none"/>
          <w:lang w:val="en-US" w:eastAsia="zh-CN"/>
        </w:rPr>
      </w:pPr>
      <w:r>
        <w:rPr>
          <w:rFonts w:hint="eastAsia" w:ascii="仿宋" w:hAnsi="仿宋" w:eastAsia="仿宋" w:cs="仿宋"/>
          <w:bCs/>
          <w:color w:val="auto"/>
          <w:sz w:val="24"/>
          <w:highlight w:val="none"/>
        </w:rPr>
        <w:br w:type="page" w:clear="all"/>
      </w:r>
      <w:r>
        <w:rPr>
          <w:rFonts w:hint="eastAsia" w:ascii="仿宋" w:hAnsi="仿宋" w:eastAsia="仿宋" w:cs="仿宋"/>
          <w:b/>
          <w:color w:val="auto"/>
          <w:sz w:val="32"/>
          <w:szCs w:val="32"/>
          <w:highlight w:val="none"/>
        </w:rPr>
        <w:t xml:space="preserve">五、开标一览表</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43"/>
        <w:jc w:val="cente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rPr>
        <w:t xml:space="preserve">开标一览表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投标人全称（加盖CA电子签章）：</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宿城区2025-2027年政策性农业保险承保机构遴选项目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招标编号：</w:t>
      </w:r>
      <w:r>
        <w:rPr>
          <w:rFonts w:hint="eastAsia" w:ascii="仿宋" w:hAnsi="仿宋" w:eastAsia="仿宋" w:cs="仿宋"/>
          <w:color w:val="auto"/>
          <w:sz w:val="24"/>
          <w:szCs w:val="24"/>
          <w:highlight w:val="none"/>
          <w:lang w:eastAsia="zh-CN"/>
        </w:rPr>
        <w:t xml:space="preserve">JSZC-321302-SQHS-G2024-0033</w:t>
      </w:r>
      <w:r>
        <w:rPr>
          <w:rFonts w:hint="eastAsia" w:ascii="仿宋" w:hAnsi="仿宋" w:eastAsia="仿宋" w:cs="仿宋"/>
          <w:color w:val="auto"/>
          <w:sz w:val="24"/>
          <w:szCs w:val="24"/>
          <w:highlight w:val="none"/>
        </w:rPr>
        <w:t xml:space="preserve">                分包号：</w:t>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投标总报价</w:t>
            </w:r>
            <w:r/>
          </w:p>
        </w:tc>
      </w:tr>
      <w:tr>
        <w:trPr>
          <w:cantSplit/>
          <w:trHeight w:val="612"/>
        </w:trPr>
        <w:tc>
          <w:tcPr>
            <w:tcW w:w="8206" w:type="dxa"/>
            <w:vAlign w:val="center"/>
            <w:textDirection w:val="lrTb"/>
            <w:noWrap w:val="false"/>
          </w:tcPr>
          <w:p>
            <w:pPr>
              <w:pStyle w:val="992"/>
              <w:ind w:firstLine="0"/>
              <w:keepLines w:val="0"/>
              <w:keepNext w:val="0"/>
              <w:pageBreakBefore w:val="0"/>
              <w:spacing w:before="0" w:after="0" w:line="560" w:lineRule="exact"/>
              <w:widowControl w:val="off"/>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小写：                             （人民币：元）</w:t>
            </w:r>
            <w:r/>
          </w:p>
        </w:tc>
      </w:tr>
    </w:tbl>
    <w:p>
      <w:pPr>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Cs/>
          <w:color w:val="auto"/>
          <w:sz w:val="24"/>
          <w:highlight w:val="none"/>
        </w:rPr>
      </w:pPr>
      <w:r>
        <w:rPr>
          <w:rFonts w:hint="eastAsia" w:ascii="仿宋" w:hAnsi="仿宋" w:eastAsia="仿宋" w:cs="仿宋"/>
          <w:b/>
          <w:color w:val="auto"/>
          <w:sz w:val="32"/>
          <w:szCs w:val="32"/>
          <w:highlight w:val="none"/>
        </w:rPr>
        <w:br w:type="page" w:clear="all"/>
      </w:r>
      <w:r/>
    </w:p>
    <w:p>
      <w:pPr>
        <w:pStyle w:val="914"/>
        <w:jc w:val="left"/>
        <w:keepNext w:val="0"/>
        <w:spacing w:before="120" w:after="1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六、中小企业声明函</w:t>
      </w:r>
      <w:r>
        <w:rPr>
          <w:rFonts w:hint="eastAsia" w:ascii="仿宋" w:hAnsi="仿宋" w:eastAsia="仿宋" w:cs="仿宋"/>
          <w:color w:val="auto"/>
          <w:sz w:val="32"/>
          <w:szCs w:val="32"/>
          <w:highlight w:val="none"/>
          <w:lang w:val="en-US" w:eastAsia="zh-CN"/>
        </w:rPr>
        <w:t xml:space="preserve">或</w:t>
      </w:r>
      <w:r>
        <w:rPr>
          <w:rFonts w:hint="eastAsia" w:ascii="仿宋" w:hAnsi="仿宋" w:eastAsia="仿宋" w:cs="仿宋"/>
          <w:b/>
          <w:color w:val="auto"/>
          <w:sz w:val="32"/>
          <w:szCs w:val="32"/>
          <w:highlight w:val="none"/>
        </w:rPr>
        <w:t xml:space="preserve">残疾人福利性单位声明函</w:t>
      </w:r>
      <w:r>
        <w:rPr>
          <w:rFonts w:hint="eastAsia" w:ascii="仿宋" w:hAnsi="仿宋" w:eastAsia="仿宋" w:cs="仿宋"/>
          <w:color w:val="auto"/>
          <w:sz w:val="32"/>
          <w:szCs w:val="32"/>
          <w:highlight w:val="none"/>
        </w:rPr>
        <w:t xml:space="preserve">（分包号：**）</w:t>
      </w:r>
      <w:r/>
    </w:p>
    <w:p>
      <w:pPr>
        <w:ind w:right="0"/>
        <w:jc w:val="center"/>
        <w:keepLines w:val="0"/>
        <w:keepNext w:val="0"/>
        <w:pageBreakBefore w:val="0"/>
        <w:spacing w:line="48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中小企业声明函</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财库[2020]46号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的规定，本公司参加江苏省政府采购代理机构组织的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宿迁市宿城区财政局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eastAsia="zh-CN"/>
        </w:rPr>
        <w:t xml:space="preserve">JSZC-321302-SQHS-G2024-0033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宿城区2025-2027年政策性农业保险承保机构遴选项目</w:t>
      </w:r>
      <w:r>
        <w:rPr>
          <w:rFonts w:hint="eastAsia" w:ascii="仿宋" w:hAnsi="仿宋" w:eastAsia="仿宋" w:cs="仿宋"/>
          <w:color w:val="auto"/>
          <w:sz w:val="24"/>
          <w:szCs w:val="24"/>
          <w:highlight w:val="none"/>
          <w:u w:val="single"/>
        </w:rPr>
        <w:t xml:space="preserve">）（分包号：**）</w:t>
      </w:r>
      <w:r>
        <w:rPr>
          <w:rFonts w:hint="eastAsia" w:ascii="仿宋" w:hAnsi="仿宋" w:eastAsia="仿宋" w:cs="仿宋"/>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的规定，相关企业（含联合体中的小微企业、签订分包意向协议的小微企业）的具体情况如下：</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0"/>
        <w:jc w:val="right"/>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hint="eastAsia" w:ascii="仿宋" w:hAnsi="仿宋" w:eastAsia="仿宋" w:cs="仿宋"/>
          <w:b/>
          <w:color w:val="auto"/>
          <w:sz w:val="32"/>
          <w:szCs w:val="32"/>
          <w:highlight w:val="none"/>
        </w:rPr>
      </w:pPr>
      <w:r/>
      <w:bookmarkStart w:id="215" w:name="_Hlk172201893"/>
      <w:r>
        <w:rPr>
          <w:rFonts w:hint="eastAsia" w:ascii="仿宋" w:hAnsi="仿宋" w:eastAsia="仿宋" w:cs="仿宋"/>
          <w:b/>
          <w:color w:val="auto"/>
          <w:sz w:val="32"/>
          <w:szCs w:val="32"/>
          <w:highlight w:val="none"/>
        </w:rPr>
        <w:br w:type="page" w:clear="all"/>
      </w:r>
      <w:r/>
    </w:p>
    <w:p>
      <w:pPr>
        <w:ind w:left="0" w:right="0" w:firstLine="643"/>
        <w:jc w:val="center"/>
        <w:keepLines w:val="0"/>
        <w:keepNext w:val="0"/>
        <w:pageBreakBefore w:val="0"/>
        <w:spacing w:line="48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bookmarkEnd w:id="215"/>
      <w:r/>
      <w:r/>
    </w:p>
    <w:p>
      <w:pPr>
        <w:ind w:left="0" w:right="0" w:firstLine="480"/>
        <w:keepLines w:val="0"/>
        <w:keepNext w:val="0"/>
        <w:pageBreakBefore w:val="0"/>
        <w:spacing w:line="48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lang w:eastAsia="zh-CN"/>
        </w:rPr>
        <w:t xml:space="preserve">〔2017〕141号</w:t>
      </w:r>
      <w:r>
        <w:rPr>
          <w:rFonts w:hint="eastAsia" w:ascii="仿宋" w:hAnsi="仿宋" w:eastAsia="仿宋" w:cs="仿宋"/>
          <w:color w:val="auto"/>
          <w:sz w:val="24"/>
          <w:highlight w:val="none"/>
        </w:rPr>
        <w:t xml:space="preserve">）的规定，本单位为符合条件的残疾人福利性单位，且本单位参加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单位的采购文件编号为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（备注：1、投标人如不提供此声明函，价格将不做相应扣除。2、中标人为残疾人福利单位的，此声明函将随中标结果同时公告，接受社会监督。）</w:t>
      </w:r>
      <w:r/>
    </w:p>
    <w:p>
      <w:pPr>
        <w:ind w:left="0" w:right="0" w:firstLine="624"/>
        <w:keepLines w:val="0"/>
        <w:keepNext w:val="0"/>
        <w:pageBreakBefore w:val="0"/>
        <w:spacing w:line="560" w:lineRule="exact"/>
        <w:widowControl w:val="off"/>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1023"/>
        <w:ind w:left="0" w:right="0" w:firstLine="420"/>
        <w:keepLines w:val="0"/>
        <w:keepNext w:val="0"/>
        <w:pageBreakBefore w:val="0"/>
        <w:spacing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jc w:val="righ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left="0" w:right="0"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技术要求响应及偏离表（分包号：**）</w:t>
      </w:r>
      <w:r/>
    </w:p>
    <w:p>
      <w:pPr>
        <w:numPr>
          <w:ilvl w:val="0"/>
          <w:numId w:val="0"/>
        </w:numPr>
        <w:jc w:val="left"/>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291" w:type="dxa"/>
            <w:vAlign w:val="center"/>
            <w:textDirection w:val="lrTb"/>
            <w:noWrap w:val="false"/>
          </w:tcPr>
          <w:p>
            <w:pPr>
              <w:pStyle w:val="965"/>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招标文件“第四</w:t>
            </w:r>
            <w:r>
              <w:rPr>
                <w:rFonts w:hint="eastAsia" w:ascii="仿宋" w:hAnsi="仿宋" w:eastAsia="仿宋" w:cs="仿宋"/>
                <w:color w:val="auto"/>
                <w:highlight w:val="none"/>
                <w:lang w:val="en-US" w:eastAsia="zh-CN"/>
              </w:rPr>
              <w:t xml:space="preserve">章 </w:t>
            </w:r>
            <w:r>
              <w:rPr>
                <w:rFonts w:hint="eastAsia" w:ascii="仿宋" w:hAnsi="仿宋" w:eastAsia="仿宋" w:cs="仿宋"/>
                <w:color w:val="auto"/>
                <w:highlight w:val="none"/>
              </w:rPr>
              <w:t xml:space="preserve">采购需求”中所列内容</w:t>
            </w:r>
            <w:r/>
          </w:p>
        </w:tc>
        <w:tc>
          <w:tcPr>
            <w:tcW w:w="2852" w:type="dxa"/>
            <w:vAlign w:val="center"/>
            <w:textDirection w:val="lrTb"/>
            <w:noWrap w:val="false"/>
          </w:tcPr>
          <w:p>
            <w:pPr>
              <w:pStyle w:val="965"/>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响应情况（填报“响应或完全响应”）</w:t>
            </w:r>
            <w:r/>
          </w:p>
        </w:tc>
        <w:tc>
          <w:tcPr>
            <w:tcW w:w="1308" w:type="dxa"/>
            <w:vAlign w:val="center"/>
            <w:textDirection w:val="lrTb"/>
            <w:noWrap w:val="false"/>
          </w:tcPr>
          <w:p>
            <w:pPr>
              <w:pStyle w:val="965"/>
              <w:jc w:val="center"/>
              <w:keepLines w:val="0"/>
              <w:keepNext w:val="0"/>
              <w:pageBreakBefore w:val="0"/>
              <w:spacing w:before="0" w:beforeAutospacing="0" w:after="0" w:afterAutospacing="0"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偏离（填报“正偏离、符合或负偏离”）</w:t>
            </w:r>
            <w:r/>
          </w:p>
        </w:tc>
        <w:tc>
          <w:tcPr>
            <w:tcW w:w="1173" w:type="dxa"/>
            <w:vAlign w:val="center"/>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545"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291"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08"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3" w:type="dxa"/>
            <w:vAlign w:val="top"/>
            <w:textDirection w:val="lrTb"/>
            <w:noWrap w:val="false"/>
          </w:tcPr>
          <w:p>
            <w:pPr>
              <w:jc w:val="center"/>
              <w:keepLines w:val="0"/>
              <w:keepNext w:val="0"/>
              <w:pageBreakBefore w:val="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1.投标人必须对招标文件“第四章 采购需求”中所列内容做出明确响应，否则作无效响应处理。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2.如果采购文件要求提供证明材料，投标人必须将证明材料列于该表之下。</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3.投标人未对实质性要求作出明确响应的，或未按采购文件要求提供证明材料的，该分包作无效响应处理。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4.行数不够，可自行添加。</w:t>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26"/>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26"/>
        <w:rPr>
          <w:rFonts w:hint="eastAsia" w:ascii="仿宋_GB2312" w:hAnsi="Times New Roman" w:eastAsia="仿宋_GB2312"/>
          <w:color w:val="auto"/>
          <w:highlight w:val="none"/>
        </w:rPr>
        <w:outlineLvl w:val="9"/>
      </w:pPr>
      <w:r>
        <w:rPr>
          <w:rFonts w:hint="eastAsia" w:ascii="仿宋_GB2312" w:hAnsi="Times New Roman" w:eastAsia="仿宋_GB2312"/>
          <w:color w:val="auto"/>
          <w:highlight w:val="none"/>
        </w:rPr>
      </w:r>
      <w:r/>
    </w:p>
    <w:p>
      <w:pPr>
        <w:pStyle w:val="1026"/>
        <w:jc w:val="left"/>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八</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项目组人员</w:t>
      </w:r>
      <w:r/>
    </w:p>
    <w:tbl>
      <w:tblPr>
        <w:tblStyle w:val="74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985"/>
        <w:gridCol w:w="850"/>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280"/>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隶属分支机构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5"/>
              <w:jc w:val="center"/>
              <w:keepLines w:val="0"/>
              <w:keepNext w:val="0"/>
              <w:pageBreakBefore w:val="0"/>
              <w:spacing w:before="0" w:beforeAutospacing="0" w:after="0" w:afterAutospacing="0" w:line="560" w:lineRule="exact"/>
              <w:widowControl/>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5"/>
              <w:jc w:val="center"/>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5"/>
              <w:ind w:firstLine="420"/>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5"/>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5"/>
              <w:keepLines w:val="0"/>
              <w:keepNext w:val="0"/>
              <w:pageBreakBefore w:val="0"/>
              <w:spacing w:before="0" w:beforeAutospacing="0" w:after="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27"/>
              <w:ind w:firstLine="560"/>
              <w:jc w:val="center"/>
              <w:keepLines w:val="0"/>
              <w:keepNext w:val="0"/>
              <w:pageBreakBefore w:val="0"/>
              <w:spacing w:beforeAutospacing="0" w:afterAutospacing="0"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65"/>
        <w:ind w:firstLine="482"/>
        <w:keepLines w:val="0"/>
        <w:keepNext w:val="0"/>
        <w:pageBreakBefore w:val="0"/>
        <w:spacing w:before="0" w:beforeAutospacing="0" w:after="0" w:afterAutospacing="0" w:line="560" w:lineRule="exact"/>
        <w:widowControl/>
        <w:rPr>
          <w:rFonts w:hint="eastAsia" w:ascii="仿宋" w:hAnsi="仿宋" w:eastAsia="仿宋" w:cs="仿宋"/>
          <w:b/>
          <w:color w:val="auto"/>
          <w:highlight w:val="none"/>
          <w:lang w:bidi="ar"/>
        </w:rPr>
      </w:pPr>
      <w:r>
        <w:rPr>
          <w:rFonts w:hint="eastAsia" w:ascii="仿宋" w:hAnsi="仿宋" w:eastAsia="仿宋" w:cs="仿宋"/>
          <w:b/>
          <w:color w:val="auto"/>
          <w:highlight w:val="none"/>
          <w:lang w:bidi="ar"/>
        </w:rPr>
        <w:t xml:space="preserve">注：</w:t>
      </w:r>
      <w:r/>
    </w:p>
    <w:p>
      <w:pPr>
        <w:pStyle w:val="965"/>
        <w:ind w:firstLine="482"/>
        <w:keepLines w:val="0"/>
        <w:keepNext w:val="0"/>
        <w:pageBreakBefore w:val="0"/>
        <w:spacing w:before="0" w:beforeAutospacing="0" w:after="0" w:afterAutospacing="0" w:line="560" w:lineRule="exact"/>
        <w:widowControl/>
        <w:rPr>
          <w:rFonts w:hint="eastAsia" w:ascii="仿宋" w:hAnsi="仿宋" w:eastAsia="仿宋" w:cs="仿宋"/>
          <w:b/>
          <w:bCs/>
          <w:color w:val="auto"/>
          <w:highlight w:val="none"/>
        </w:rPr>
      </w:pPr>
      <w:r>
        <w:rPr>
          <w:rFonts w:hint="eastAsia" w:ascii="仿宋" w:hAnsi="仿宋" w:eastAsia="仿宋" w:cs="仿宋"/>
          <w:b/>
          <w:color w:val="auto"/>
          <w:highlight w:val="none"/>
          <w:lang w:eastAsia="zh-CN" w:bidi="ar"/>
        </w:rPr>
        <w:t xml:space="preserve">（</w:t>
      </w:r>
      <w:r>
        <w:rPr>
          <w:rFonts w:hint="eastAsia" w:ascii="仿宋" w:hAnsi="仿宋" w:eastAsia="仿宋" w:cs="仿宋"/>
          <w:b/>
          <w:color w:val="auto"/>
          <w:highlight w:val="none"/>
          <w:lang w:val="en-US" w:eastAsia="zh-CN" w:bidi="ar"/>
        </w:rPr>
        <w:t xml:space="preserve">1</w:t>
      </w:r>
      <w:r>
        <w:rPr>
          <w:rFonts w:hint="eastAsia" w:ascii="仿宋" w:hAnsi="仿宋" w:eastAsia="仿宋" w:cs="仿宋"/>
          <w:b/>
          <w:color w:val="auto"/>
          <w:highlight w:val="none"/>
          <w:lang w:eastAsia="zh-CN" w:bidi="ar"/>
        </w:rPr>
        <w:t xml:space="preserve">）</w:t>
      </w:r>
      <w:r>
        <w:rPr>
          <w:rFonts w:hint="eastAsia" w:ascii="仿宋" w:hAnsi="仿宋" w:eastAsia="仿宋" w:cs="仿宋"/>
          <w:b/>
          <w:bCs/>
          <w:color w:val="auto"/>
          <w:highlight w:val="none"/>
        </w:rPr>
        <w:t xml:space="preserve">镇（街）级农险服务人员</w:t>
      </w:r>
      <w:r/>
    </w:p>
    <w:p>
      <w:pPr>
        <w:pStyle w:val="965"/>
        <w:ind w:firstLine="482"/>
        <w:keepLines w:val="0"/>
        <w:keepNext w:val="0"/>
        <w:pageBreakBefore w:val="0"/>
        <w:spacing w:before="0" w:beforeAutospacing="0" w:after="0" w:afterAutospacing="0" w:line="56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须</w:t>
      </w:r>
      <w:r>
        <w:rPr>
          <w:rFonts w:hint="eastAsia" w:ascii="仿宋" w:hAnsi="仿宋" w:eastAsia="仿宋" w:cs="仿宋"/>
          <w:b/>
          <w:bCs/>
          <w:color w:val="auto"/>
          <w:highlight w:val="none"/>
        </w:rPr>
        <w:t xml:space="preserve">提供投标人或其上级单位与镇（街）级农险服务人员签署的劳动合同</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公告之日前6个月内任意一个月份工资发放材料电子件及支付薪资的银行转账凭证电子件</w:t>
      </w:r>
      <w:r>
        <w:rPr>
          <w:rFonts w:hint="eastAsia" w:ascii="仿宋" w:hAnsi="仿宋" w:eastAsia="仿宋" w:cs="仿宋"/>
          <w:b/>
          <w:bCs/>
          <w:color w:val="auto"/>
          <w:highlight w:val="none"/>
          <w:lang w:val="en-US" w:eastAsia="zh-CN"/>
        </w:rPr>
        <w:t xml:space="preserve">以及</w:t>
      </w:r>
      <w:r>
        <w:rPr>
          <w:rFonts w:hint="eastAsia" w:ascii="仿宋" w:hAnsi="仿宋" w:eastAsia="仿宋" w:cs="仿宋"/>
          <w:b/>
          <w:bCs/>
          <w:color w:val="auto"/>
          <w:highlight w:val="none"/>
        </w:rPr>
        <w:t xml:space="preserve">提供承诺书（承诺书格式自拟）。</w:t>
      </w:r>
      <w:r/>
    </w:p>
    <w:p>
      <w:pPr>
        <w:pStyle w:val="965"/>
        <w:ind w:firstLine="482"/>
        <w:keepLines w:val="0"/>
        <w:keepNext w:val="0"/>
        <w:pageBreakBefore w:val="0"/>
        <w:spacing w:before="0" w:beforeAutospacing="0" w:after="0" w:afterAutospacing="0" w:line="560" w:lineRule="exact"/>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lang w:val="en-US" w:eastAsia="zh-CN"/>
        </w:rPr>
        <w:t xml:space="preserve">2</w:t>
      </w:r>
      <w:r>
        <w:rPr>
          <w:rFonts w:hint="eastAsia" w:ascii="仿宋" w:hAnsi="仿宋" w:eastAsia="仿宋" w:cs="仿宋"/>
          <w:b/>
          <w:bCs/>
          <w:color w:val="auto"/>
          <w:highlight w:val="none"/>
          <w:lang w:eastAsia="zh-CN"/>
        </w:rPr>
        <w:t xml:space="preserve">）村级农险协保员</w:t>
      </w:r>
      <w:r/>
    </w:p>
    <w:p>
      <w:pPr>
        <w:pStyle w:val="965"/>
        <w:ind w:firstLine="482"/>
        <w:keepLines w:val="0"/>
        <w:keepNext w:val="0"/>
        <w:pageBreakBefore w:val="0"/>
        <w:spacing w:before="0" w:beforeAutospacing="0" w:after="0" w:afterAutospacing="0" w:line="560" w:lineRule="exact"/>
        <w:widowControl/>
        <w:rPr>
          <w:rFonts w:hint="eastAsia" w:ascii="仿宋" w:hAnsi="仿宋" w:eastAsia="仿宋" w:cs="仿宋"/>
          <w:color w:val="auto"/>
          <w:highlight w:val="none"/>
          <w:lang w:eastAsia="zh-CN"/>
        </w:rPr>
      </w:pPr>
      <w:r>
        <w:rPr>
          <w:rFonts w:hint="eastAsia" w:ascii="仿宋" w:hAnsi="仿宋" w:eastAsia="仿宋" w:cs="仿宋"/>
          <w:b/>
          <w:bCs/>
          <w:color w:val="auto"/>
          <w:highlight w:val="none"/>
          <w:lang w:val="en-US" w:eastAsia="zh-CN"/>
        </w:rPr>
        <w:t xml:space="preserve">须</w:t>
      </w:r>
      <w:r>
        <w:rPr>
          <w:rFonts w:hint="eastAsia" w:ascii="仿宋" w:hAnsi="仿宋" w:eastAsia="仿宋" w:cs="仿宋"/>
          <w:b/>
          <w:bCs/>
          <w:color w:val="auto"/>
          <w:highlight w:val="none"/>
        </w:rPr>
        <w:t xml:space="preserve">提供投标人或其上级单位</w:t>
      </w:r>
      <w:r>
        <w:rPr>
          <w:rFonts w:hint="eastAsia" w:ascii="仿宋" w:hAnsi="仿宋" w:eastAsia="仿宋" w:cs="仿宋"/>
          <w:b/>
          <w:bCs/>
          <w:color w:val="auto"/>
          <w:highlight w:val="none"/>
          <w:lang w:val="en-US" w:eastAsia="zh-CN"/>
        </w:rPr>
        <w:t xml:space="preserve">为</w:t>
      </w:r>
      <w:r>
        <w:rPr>
          <w:rFonts w:hint="eastAsia" w:ascii="仿宋" w:hAnsi="仿宋" w:eastAsia="仿宋" w:cs="仿宋"/>
          <w:b/>
          <w:bCs/>
          <w:color w:val="auto"/>
          <w:highlight w:val="none"/>
          <w:lang w:eastAsia="zh-CN"/>
        </w:rPr>
        <w:t xml:space="preserve">村级农险协保员</w:t>
      </w:r>
      <w:r>
        <w:rPr>
          <w:rFonts w:hint="eastAsia" w:ascii="仿宋" w:hAnsi="仿宋" w:eastAsia="仿宋" w:cs="仿宋"/>
          <w:b/>
          <w:bCs/>
          <w:color w:val="auto"/>
          <w:highlight w:val="none"/>
          <w:lang w:val="en-US" w:eastAsia="zh-CN"/>
        </w:rPr>
        <w:t xml:space="preserve">在</w:t>
      </w:r>
      <w:r>
        <w:rPr>
          <w:rFonts w:hint="eastAsia" w:ascii="仿宋" w:hAnsi="仿宋" w:eastAsia="仿宋" w:cs="仿宋"/>
          <w:b/>
          <w:bCs/>
          <w:color w:val="auto"/>
          <w:highlight w:val="none"/>
        </w:rPr>
        <w:t xml:space="preserve">公告之日前6个月内任意一个月份工资发放材料电子件及支付薪资的银行转账凭证电子件、提供承诺书（承诺书格式自拟）</w:t>
      </w:r>
      <w:r>
        <w:rPr>
          <w:rFonts w:hint="eastAsia" w:ascii="仿宋" w:hAnsi="仿宋" w:eastAsia="仿宋" w:cs="仿宋"/>
          <w:b/>
          <w:bCs/>
          <w:color w:val="auto"/>
          <w:highlight w:val="none"/>
          <w:lang w:eastAsia="zh-CN"/>
        </w:rPr>
        <w:t xml:space="preserve">。</w:t>
      </w:r>
      <w:r/>
    </w:p>
    <w:p>
      <w:pPr>
        <w:pStyle w:val="1031"/>
        <w:jc w:val="left"/>
        <w:rPr>
          <w:rFonts w:hint="eastAsia" w:ascii="仿宋" w:hAnsi="仿宋" w:eastAsia="仿宋" w:cs="仿宋"/>
          <w:color w:val="auto"/>
          <w:highlight w:val="none"/>
        </w:rPr>
        <w:outlineLvl w:val="1"/>
      </w:pPr>
      <w:r/>
      <w:bookmarkStart w:id="216" w:name="_Toc28140"/>
      <w:r>
        <w:rPr>
          <w:rFonts w:hint="eastAsia" w:ascii="仿宋" w:hAnsi="仿宋" w:eastAsia="仿宋" w:cs="仿宋"/>
          <w:color w:val="auto"/>
          <w:highlight w:val="none"/>
          <w:lang w:val="en-US" w:eastAsia="zh-CN"/>
        </w:rPr>
        <w:t xml:space="preserve">九</w:t>
      </w:r>
      <w:r>
        <w:rPr>
          <w:rFonts w:hint="eastAsia" w:ascii="仿宋" w:hAnsi="仿宋" w:eastAsia="仿宋" w:cs="仿宋"/>
          <w:color w:val="auto"/>
          <w:highlight w:val="none"/>
        </w:rPr>
        <w:t xml:space="preserve">、投标所需其他材料</w:t>
      </w:r>
      <w:bookmarkEnd w:id="216"/>
      <w:r/>
      <w:r/>
    </w:p>
    <w:p>
      <w:pPr>
        <w:pStyle w:val="1032"/>
        <w:ind w:firstLine="560"/>
        <w:keepLines w:val="0"/>
        <w:keepNext w:val="0"/>
        <w:pageBreakBefore w:val="0"/>
        <w:spacing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_GB2312" w:eastAsia="仿宋_GB2312"/>
          <w:color w:val="auto"/>
          <w:sz w:val="20"/>
          <w:highlight w:val="none"/>
        </w:rPr>
      </w:pPr>
      <w:r>
        <w:rPr>
          <w:rFonts w:hint="eastAsia" w:ascii="仿宋_GB2312" w:eastAsia="仿宋_GB2312"/>
          <w:color w:val="auto"/>
          <w:sz w:val="20"/>
          <w:highlight w:val="none"/>
        </w:rPr>
        <w:t xml:space="preserve"> </w:t>
      </w:r>
      <w:r/>
    </w:p>
    <w:p>
      <w:pPr>
        <w:rPr>
          <w:rFonts w:hint="eastAsia" w:ascii="仿宋_GB2312" w:eastAsia="仿宋_GB2312"/>
          <w:color w:val="auto"/>
          <w:highlight w:val="none"/>
        </w:rPr>
      </w:pPr>
      <w:r>
        <w:rPr>
          <w:rFonts w:hint="eastAsia" w:ascii="仿宋_GB2312" w:eastAsia="仿宋_GB2312"/>
          <w:color w:val="auto"/>
          <w:highlight w:val="none"/>
        </w:rPr>
      </w:r>
      <w:r/>
    </w:p>
    <w:p>
      <w:pPr>
        <w:rPr>
          <w:rFonts w:hint="eastAsia" w:ascii="仿宋_GB2312" w:eastAsia="仿宋_GB2312"/>
          <w:color w:val="auto"/>
          <w:sz w:val="32"/>
          <w:highlight w:val="none"/>
        </w:rPr>
      </w:pPr>
      <w:r>
        <w:rPr>
          <w:rFonts w:hint="eastAsia" w:ascii="仿宋_GB2312" w:eastAsia="仿宋_GB2312"/>
          <w:color w:val="auto"/>
          <w:sz w:val="32"/>
          <w:highlight w:val="none"/>
        </w:rPr>
      </w:r>
      <w:r/>
    </w:p>
    <w:p>
      <w:pPr>
        <w:rPr>
          <w:rFonts w:hint="eastAsia" w:ascii="仿宋_GB2312" w:eastAsia="仿宋_GB2312"/>
          <w:color w:val="auto"/>
          <w:sz w:val="32"/>
          <w:highlight w:val="none"/>
        </w:rPr>
      </w:pPr>
      <w:r>
        <w:rPr>
          <w:rFonts w:hint="eastAsia" w:ascii="仿宋_GB2312" w:eastAsia="仿宋_GB2312"/>
          <w:color w:val="auto"/>
          <w:sz w:val="32"/>
          <w:highlight w:val="none"/>
        </w:rPr>
      </w:r>
      <w:r/>
    </w:p>
    <w:p>
      <w:pPr>
        <w:rPr>
          <w:rFonts w:hint="eastAsia" w:ascii="仿宋_GB2312" w:eastAsia="仿宋_GB2312"/>
          <w:color w:val="auto"/>
          <w:sz w:val="32"/>
          <w:highlight w:val="none"/>
        </w:rPr>
      </w:pPr>
      <w:r>
        <w:rPr>
          <w:rFonts w:hint="eastAsia" w:ascii="仿宋_GB2312" w:eastAsia="仿宋_GB2312"/>
          <w:color w:val="auto"/>
          <w:sz w:val="32"/>
          <w:highlight w:val="none"/>
        </w:rPr>
      </w:r>
      <w:r/>
    </w:p>
    <w:p>
      <w:pPr>
        <w:rPr>
          <w:rFonts w:hint="eastAsia" w:ascii="仿宋_GB2312" w:eastAsia="仿宋_GB2312"/>
          <w:color w:val="auto"/>
          <w:sz w:val="32"/>
          <w:highlight w:val="none"/>
        </w:rPr>
      </w:pPr>
      <w:r>
        <w:rPr>
          <w:rFonts w:hint="eastAsia" w:ascii="仿宋_GB2312" w:eastAsia="仿宋_GB2312"/>
          <w:color w:val="auto"/>
          <w:sz w:val="32"/>
          <w:highlight w:val="none"/>
        </w:rPr>
      </w:r>
      <w:bookmarkEnd w:id="211"/>
      <w:r/>
      <w:r/>
    </w:p>
    <w:p>
      <w:pPr>
        <w:spacing w:line="48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spacing w:line="480" w:lineRule="auto"/>
        <w:rPr>
          <w:rFonts w:hint="eastAsia" w:ascii="仿宋_GB2312" w:eastAsia="仿宋_GB2312"/>
          <w:color w:val="auto"/>
          <w:sz w:val="30"/>
          <w:highlight w:val="none"/>
        </w:rPr>
      </w:pPr>
      <w:r>
        <w:rPr>
          <w:rFonts w:hint="eastAsia" w:ascii="仿宋_GB2312" w:eastAsia="仿宋_GB2312"/>
          <w:color w:val="auto"/>
          <w:sz w:val="30"/>
          <w:highlight w:val="none"/>
        </w:rPr>
      </w:r>
      <w:r/>
    </w:p>
    <w:p>
      <w:pPr>
        <w:pStyle w:val="916"/>
        <w:ind w:firstLine="0"/>
        <w:rPr>
          <w:rFonts w:hint="eastAsia" w:ascii="仿宋_GB2312" w:eastAsia="仿宋_GB2312"/>
          <w:color w:val="auto"/>
          <w:sz w:val="24"/>
          <w:highlight w:val="none"/>
        </w:rPr>
      </w:pPr>
      <w:r/>
      <w:bookmarkStart w:id="217" w:name="_Hlt26955066"/>
      <w:r/>
      <w:bookmarkEnd w:id="217"/>
      <w:r/>
      <w:bookmarkStart w:id="218" w:name="_Hlt26671374"/>
      <w:r/>
      <w:bookmarkEnd w:id="218"/>
      <w:r/>
      <w:bookmarkStart w:id="219" w:name="_Hlt26609389"/>
      <w:r/>
      <w:bookmarkEnd w:id="219"/>
      <w:r/>
      <w:bookmarkStart w:id="220" w:name="_Toc462564146"/>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r/>
    </w:p>
    <w:p>
      <w:pPr>
        <w:pStyle w:val="979"/>
        <w:ind w:firstLine="480"/>
        <w:rPr>
          <w:rFonts w:hint="eastAsia" w:hAnsi="Times New Roman"/>
          <w:color w:val="auto"/>
          <w:sz w:val="24"/>
          <w:highlight w:val="none"/>
        </w:rPr>
      </w:pPr>
      <w:r>
        <w:rPr>
          <w:rFonts w:hint="eastAsia" w:hAnsi="Times New Roman"/>
          <w:color w:val="auto"/>
          <w:sz w:val="24"/>
          <w:highlight w:val="none"/>
        </w:rPr>
      </w:r>
      <w:bookmarkEnd w:id="197"/>
      <w:r/>
      <w:bookmarkEnd w:id="198"/>
      <w:r/>
      <w:bookmarkEnd w:id="220"/>
      <w:r/>
      <w:r/>
    </w:p>
    <w:p>
      <w:pPr>
        <w:jc w:val="center"/>
        <w:rPr>
          <w:rFonts w:hint="eastAsia" w:ascii="仿宋_GB2312" w:eastAsia="仿宋_GB2312"/>
          <w:b/>
          <w:color w:val="auto"/>
          <w:sz w:val="32"/>
          <w:szCs w:val="32"/>
          <w:highlight w:val="none"/>
        </w:rPr>
      </w:pPr>
      <w:r/>
      <w:bookmarkStart w:id="221" w:name="_格式2__法定代表人授权书"/>
      <w:r/>
      <w:bookmarkEnd w:id="221"/>
      <w:r/>
      <w:r/>
    </w:p>
    <w:p>
      <w:pPr>
        <w:jc w:val="center"/>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r>
      <w:r/>
    </w:p>
    <w:p>
      <w:pPr>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r>
      <w:r/>
    </w:p>
    <w:p>
      <w:pPr>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r>
      <w:r/>
    </w:p>
    <w:p>
      <w:pPr>
        <w:jc w:val="center"/>
        <w:rPr>
          <w:rFonts w:hint="eastAsia" w:ascii="仿宋_GB2312" w:eastAsia="仿宋_GB2312" w:cs="仿宋"/>
          <w:b/>
          <w:bCs/>
          <w:color w:val="auto"/>
          <w:sz w:val="32"/>
          <w:szCs w:val="32"/>
          <w:highlight w:val="none"/>
        </w:rPr>
      </w:pPr>
      <w:r>
        <w:rPr>
          <w:rFonts w:hint="eastAsia" w:ascii="仿宋_GB2312" w:eastAsia="仿宋_GB2312" w:cs="仿宋"/>
          <w:b/>
          <w:bCs/>
          <w:color w:val="auto"/>
          <w:sz w:val="32"/>
          <w:szCs w:val="32"/>
          <w:highlight w:val="none"/>
        </w:rPr>
        <w:br w:type="page" w:clear="all"/>
      </w:r>
      <w:r>
        <w:rPr>
          <w:rFonts w:hint="eastAsia" w:ascii="仿宋_GB2312" w:eastAsia="仿宋_GB2312" w:cs="仿宋"/>
          <w:b/>
          <w:bCs/>
          <w:color w:val="auto"/>
          <w:sz w:val="32"/>
          <w:szCs w:val="32"/>
          <w:highlight w:val="none"/>
        </w:rPr>
        <w:t xml:space="preserve">质疑函范本</w:t>
      </w:r>
      <w:r/>
    </w:p>
    <w:p>
      <w:pPr>
        <w:ind w:firstLine="480"/>
        <w:keepLines w:val="0"/>
        <w:keepNext w:val="0"/>
        <w:pageBreakBefore w:val="0"/>
        <w:spacing w:before="290" w:line="560" w:lineRule="exact"/>
        <w:rPr>
          <w:rFonts w:hint="eastAsia" w:ascii="仿宋_GB2312" w:eastAsia="仿宋_GB2312" w:cs="仿宋"/>
          <w:bCs/>
          <w:color w:val="auto"/>
          <w:sz w:val="24"/>
          <w:szCs w:val="24"/>
          <w:highlight w:val="none"/>
        </w:rPr>
      </w:pPr>
      <w:r>
        <w:rPr>
          <w:rFonts w:hint="eastAsia" w:ascii="仿宋_GB2312" w:eastAsia="仿宋_GB2312" w:cs="仿宋"/>
          <w:bCs/>
          <w:color w:val="auto"/>
          <w:sz w:val="24"/>
          <w:szCs w:val="24"/>
          <w:highlight w:val="none"/>
        </w:rPr>
        <w:t xml:space="preserve">一、质疑投标人基本信息</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质疑投标人：</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地址：</w:t>
      </w:r>
      <w:r>
        <w:rPr>
          <w:rFonts w:hint="eastAsia" w:ascii="仿宋_GB2312" w:eastAsia="仿宋_GB2312" w:cs="仿宋"/>
          <w:color w:val="auto"/>
          <w:sz w:val="24"/>
          <w:szCs w:val="24"/>
          <w:highlight w:val="none"/>
          <w:u w:val="single"/>
        </w:rPr>
        <w:t xml:space="preserve">                             </w:t>
      </w:r>
      <w:r>
        <w:rPr>
          <w:rFonts w:hint="eastAsia" w:ascii="仿宋_GB2312" w:eastAsia="仿宋_GB2312" w:cs="仿宋"/>
          <w:color w:val="auto"/>
          <w:sz w:val="24"/>
          <w:szCs w:val="24"/>
          <w:highlight w:val="none"/>
        </w:rPr>
        <w:t xml:space="preserve">邮编：</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联系人：</w:t>
      </w:r>
      <w:r>
        <w:rPr>
          <w:rFonts w:hint="eastAsia" w:ascii="仿宋_GB2312" w:eastAsia="仿宋_GB2312" w:cs="仿宋"/>
          <w:color w:val="auto"/>
          <w:sz w:val="24"/>
          <w:szCs w:val="24"/>
          <w:highlight w:val="none"/>
          <w:u w:val="single"/>
        </w:rPr>
        <w:t xml:space="preserve">                      </w:t>
      </w:r>
      <w:r>
        <w:rPr>
          <w:rFonts w:hint="eastAsia" w:ascii="仿宋_GB2312" w:eastAsia="仿宋_GB2312" w:cs="仿宋"/>
          <w:color w:val="auto"/>
          <w:sz w:val="24"/>
          <w:szCs w:val="24"/>
          <w:highlight w:val="none"/>
        </w:rPr>
        <w:t xml:space="preserve">联系电话：</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授权代表：</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联系电话：</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地址： </w:t>
      </w:r>
      <w:r>
        <w:rPr>
          <w:rFonts w:hint="eastAsia" w:ascii="仿宋_GB2312" w:eastAsia="仿宋_GB2312" w:cs="仿宋"/>
          <w:color w:val="auto"/>
          <w:sz w:val="24"/>
          <w:szCs w:val="24"/>
          <w:highlight w:val="none"/>
          <w:u w:val="single"/>
        </w:rPr>
        <w:t xml:space="preserve">                        </w:t>
      </w:r>
      <w:r>
        <w:rPr>
          <w:rFonts w:hint="eastAsia" w:ascii="仿宋_GB2312" w:eastAsia="仿宋_GB2312" w:cs="仿宋"/>
          <w:color w:val="auto"/>
          <w:sz w:val="24"/>
          <w:szCs w:val="24"/>
          <w:highlight w:val="none"/>
        </w:rPr>
        <w:t xml:space="preserve">邮编：</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bCs/>
          <w:color w:val="auto"/>
          <w:sz w:val="24"/>
          <w:szCs w:val="24"/>
          <w:highlight w:val="none"/>
        </w:rPr>
      </w:pPr>
      <w:r>
        <w:rPr>
          <w:rFonts w:hint="eastAsia" w:ascii="仿宋_GB2312" w:eastAsia="仿宋_GB2312" w:cs="仿宋"/>
          <w:bCs/>
          <w:color w:val="auto"/>
          <w:sz w:val="24"/>
          <w:szCs w:val="24"/>
          <w:highlight w:val="none"/>
        </w:rPr>
        <w:t xml:space="preserve">二、质疑项目基本情况</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质疑项目的名称：</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质疑项目的编号：</w:t>
      </w:r>
      <w:r>
        <w:rPr>
          <w:rFonts w:hint="eastAsia" w:ascii="仿宋_GB2312" w:eastAsia="仿宋_GB2312" w:cs="仿宋"/>
          <w:color w:val="auto"/>
          <w:sz w:val="24"/>
          <w:szCs w:val="24"/>
          <w:highlight w:val="none"/>
          <w:u w:val="single"/>
        </w:rPr>
        <w:t xml:space="preserve">                         </w:t>
      </w:r>
      <w:r>
        <w:rPr>
          <w:rFonts w:hint="eastAsia" w:ascii="仿宋_GB2312" w:eastAsia="仿宋_GB2312" w:cs="仿宋"/>
          <w:color w:val="auto"/>
          <w:sz w:val="24"/>
          <w:szCs w:val="24"/>
          <w:highlight w:val="none"/>
        </w:rPr>
        <w:t xml:space="preserve">包号：</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采购人名称：</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采购文件获取日期：</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bCs/>
          <w:color w:val="auto"/>
          <w:sz w:val="24"/>
          <w:szCs w:val="24"/>
          <w:highlight w:val="none"/>
        </w:rPr>
      </w:pPr>
      <w:r>
        <w:rPr>
          <w:rFonts w:hint="eastAsia" w:ascii="仿宋_GB2312" w:eastAsia="仿宋_GB2312" w:cs="仿宋"/>
          <w:bCs/>
          <w:color w:val="auto"/>
          <w:sz w:val="24"/>
          <w:szCs w:val="24"/>
          <w:highlight w:val="none"/>
        </w:rPr>
        <w:t xml:space="preserve">三、质疑事项具体内容</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质疑事项1：</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事实依据：</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法律依据：</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质疑事项2</w:t>
      </w:r>
      <w:r/>
    </w:p>
    <w:p>
      <w:pPr>
        <w:ind w:firstLine="480"/>
        <w:keepLines w:val="0"/>
        <w:keepNext w:val="0"/>
        <w:pageBreakBefore w:val="0"/>
        <w:spacing w:line="560" w:lineRule="exact"/>
        <w:rPr>
          <w:rFonts w:hint="eastAsia" w:ascii="仿宋_GB2312" w:eastAsia="仿宋_GB2312" w:cs="仿宋"/>
          <w:color w:val="auto"/>
          <w:sz w:val="24"/>
          <w:szCs w:val="24"/>
          <w:highlight w:val="none"/>
        </w:rPr>
      </w:pPr>
      <w:r>
        <w:rPr>
          <w:rFonts w:hint="eastAsia" w:ascii="仿宋_GB2312" w:eastAsia="仿宋_GB2312" w:cs="仿宋"/>
          <w:color w:val="auto"/>
          <w:sz w:val="24"/>
          <w:szCs w:val="24"/>
          <w:highlight w:val="none"/>
        </w:rPr>
        <w:t xml:space="preserve">……</w:t>
      </w:r>
      <w:r/>
    </w:p>
    <w:p>
      <w:pPr>
        <w:ind w:firstLine="480"/>
        <w:keepLines w:val="0"/>
        <w:keepNext w:val="0"/>
        <w:pageBreakBefore w:val="0"/>
        <w:spacing w:line="560" w:lineRule="exact"/>
        <w:rPr>
          <w:rFonts w:hint="eastAsia" w:ascii="仿宋_GB2312" w:eastAsia="仿宋_GB2312" w:cs="仿宋"/>
          <w:bCs/>
          <w:color w:val="auto"/>
          <w:sz w:val="24"/>
          <w:szCs w:val="24"/>
          <w:highlight w:val="none"/>
        </w:rPr>
      </w:pPr>
      <w:r>
        <w:rPr>
          <w:rFonts w:hint="eastAsia" w:ascii="仿宋_GB2312" w:eastAsia="仿宋_GB2312" w:cs="仿宋"/>
          <w:bCs/>
          <w:color w:val="auto"/>
          <w:sz w:val="24"/>
          <w:szCs w:val="24"/>
          <w:highlight w:val="none"/>
        </w:rPr>
        <w:t xml:space="preserve">四、与质疑事项相关的质疑请求</w:t>
      </w:r>
      <w:r/>
    </w:p>
    <w:p>
      <w:pPr>
        <w:ind w:firstLine="480"/>
        <w:keepLines w:val="0"/>
        <w:keepNext w:val="0"/>
        <w:pageBreakBefore w:val="0"/>
        <w:spacing w:line="560" w:lineRule="exact"/>
        <w:rPr>
          <w:rFonts w:hint="eastAsia" w:ascii="仿宋_GB2312" w:eastAsia="仿宋_GB2312" w:cs="仿宋"/>
          <w:color w:val="auto"/>
          <w:sz w:val="24"/>
          <w:szCs w:val="24"/>
          <w:highlight w:val="none"/>
          <w:u w:val="single"/>
        </w:rPr>
      </w:pPr>
      <w:r>
        <w:rPr>
          <w:rFonts w:hint="eastAsia" w:ascii="仿宋_GB2312" w:eastAsia="仿宋_GB2312" w:cs="仿宋"/>
          <w:color w:val="auto"/>
          <w:sz w:val="24"/>
          <w:szCs w:val="24"/>
          <w:highlight w:val="none"/>
        </w:rPr>
        <w:t xml:space="preserve">请求：</w:t>
      </w:r>
      <w:r>
        <w:rPr>
          <w:rFonts w:hint="eastAsia" w:ascii="仿宋_GB2312" w:eastAsia="仿宋_GB2312" w:cs="仿宋"/>
          <w:color w:val="auto"/>
          <w:sz w:val="24"/>
          <w:szCs w:val="24"/>
          <w:highlight w:val="none"/>
          <w:u w:val="single"/>
        </w:rPr>
        <w:t xml:space="preserve">                                                                     </w:t>
      </w:r>
      <w:r/>
    </w:p>
    <w:p>
      <w:pPr>
        <w:ind w:firstLine="480"/>
        <w:keepLines w:val="0"/>
        <w:keepNext w:val="0"/>
        <w:pageBreakBefore w:val="0"/>
        <w:spacing w:line="560" w:lineRule="exac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签字</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签章</w:t>
      </w:r>
      <w:r>
        <w:rPr>
          <w:rFonts w:hint="eastAsia" w:ascii="仿宋_GB2312" w:eastAsia="仿宋_GB2312"/>
          <w:color w:val="auto"/>
          <w:sz w:val="24"/>
          <w:szCs w:val="24"/>
          <w:highlight w:val="none"/>
          <w:lang w:eastAsia="zh-CN"/>
        </w:rPr>
        <w:t xml:space="preserve">）</w:t>
      </w:r>
      <w:r>
        <w:rPr>
          <w:rFonts w:hint="eastAsia" w:ascii="仿宋_GB2312" w:eastAsia="仿宋_GB2312"/>
          <w:color w:val="auto"/>
          <w:sz w:val="24"/>
          <w:szCs w:val="24"/>
          <w:highlight w:val="none"/>
        </w:rPr>
        <w:t xml:space="preserve">：                   公章：                      </w:t>
      </w:r>
      <w:r/>
    </w:p>
    <w:p>
      <w:pPr>
        <w:ind w:firstLine="480"/>
        <w:keepLines w:val="0"/>
        <w:keepNext w:val="0"/>
        <w:pageBreakBefore w:val="0"/>
        <w:spacing w:line="560" w:lineRule="exac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日期：    </w:t>
      </w:r>
      <w:r/>
    </w:p>
    <w:p>
      <w:pPr>
        <w:ind w:firstLine="482"/>
        <w:keepLines w:val="0"/>
        <w:keepNext w:val="0"/>
        <w:pageBreakBefore w:val="0"/>
        <w:spacing w:line="560" w:lineRule="exact"/>
        <w:rPr>
          <w:rFonts w:hint="eastAsia" w:ascii="仿宋_GB2312" w:eastAsia="仿宋_GB2312"/>
          <w:b/>
          <w:color w:val="auto"/>
          <w:sz w:val="24"/>
          <w:szCs w:val="24"/>
          <w:highlight w:val="none"/>
        </w:rPr>
      </w:pPr>
      <w:r>
        <w:rPr>
          <w:rFonts w:hint="eastAsia" w:ascii="仿宋_GB2312" w:eastAsia="仿宋_GB2312"/>
          <w:b/>
          <w:color w:val="auto"/>
          <w:sz w:val="24"/>
          <w:szCs w:val="24"/>
          <w:highlight w:val="none"/>
        </w:rPr>
        <w:t xml:space="preserve">质疑函制作说明：</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1.投标人提出质疑时，应提交质疑函和必要的证明材料。</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2.质疑投标人若委托代理人进行质疑的，质疑函应按要求列明“授权代表”的有关内容，并在附件中提交由质疑</w:t>
      </w:r>
      <w:r>
        <w:rPr>
          <w:rFonts w:hint="eastAsia" w:ascii="仿宋_GB2312" w:eastAsia="仿宋_GB2312"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3.质疑投标人若对项目的某一分包进行质疑，质疑函中应列明具体分包号。</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5.质疑函的质疑请求应与质疑事项相关。</w:t>
      </w:r>
      <w:r/>
    </w:p>
    <w:p>
      <w:pPr>
        <w:ind w:firstLine="480"/>
        <w:jc w:val="left"/>
        <w:keepLines w:val="0"/>
        <w:keepNext w:val="0"/>
        <w:pageBreakBefore w:val="0"/>
        <w:spacing w:line="560" w:lineRule="exact"/>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16"/>
        <w:ind w:firstLine="480"/>
        <w:keepLines w:val="0"/>
        <w:keepNext w:val="0"/>
        <w:pageBreakBefore w:val="0"/>
        <w:spacing w:line="560" w:lineRule="exac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p>
      <w:pPr>
        <w:pStyle w:val="916"/>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ascii="宋体" w:hAnsi="宋体"/>
        <w:b/>
        <w:i/>
        <w:sz w:val="24"/>
        <w:szCs w:val="24"/>
      </w:rPr>
    </w:pPr>
    <w:r>
      <w:rPr>
        <w:rFonts w:ascii="宋体" w:hAnsi="宋体"/>
        <w:b/>
        <w:i/>
        <w:sz w:val="28"/>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ascii="宋体" w:hAnsi="宋体"/>
        <w:b/>
        <w:i/>
        <w:sz w:val="24"/>
        <w:szCs w:val="24"/>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宋体" w:hAnsi="宋体"/>
        <w:b/>
        <w:i/>
        <w:sz w:val="28"/>
        <w:szCs w:val="24"/>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2">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03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2">
    <w:name w:val="Heading 1"/>
    <w:basedOn w:val="731"/>
    <w:next w:val="731"/>
    <w:link w:val="765"/>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66"/>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67"/>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68"/>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69"/>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0"/>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2"/>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73"/>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toc 7"/>
    <w:basedOn w:val="731"/>
    <w:next w:val="731"/>
    <w:uiPriority w:val="0"/>
    <w:semiHidden/>
    <w:qFormat/>
    <w:pPr>
      <w:ind w:left="1260"/>
      <w:jc w:val="left"/>
    </w:pPr>
  </w:style>
  <w:style w:type="paragraph" w:styleId="744">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toc 5"/>
    <w:basedOn w:val="731"/>
    <w:next w:val="731"/>
    <w:uiPriority w:val="0"/>
    <w:semiHidden/>
    <w:qFormat/>
    <w:pPr>
      <w:ind w:left="840"/>
      <w:jc w:val="left"/>
    </w:pPr>
  </w:style>
  <w:style w:type="paragraph" w:styleId="746">
    <w:name w:val="toc 3"/>
    <w:basedOn w:val="731"/>
    <w:next w:val="731"/>
    <w:uiPriority w:val="0"/>
    <w:semiHidden/>
    <w:qFormat/>
    <w:pPr>
      <w:ind w:left="420"/>
      <w:jc w:val="left"/>
    </w:pPr>
    <w:rPr>
      <w:i/>
      <w:iCs/>
      <w:szCs w:val="24"/>
    </w:rPr>
  </w:style>
  <w:style w:type="paragraph" w:styleId="747">
    <w:name w:val="Plain Text"/>
    <w:uiPriority w:val="0"/>
    <w:qFormat/>
    <w:pPr>
      <w:jc w:val="both"/>
      <w:widowControl w:val="off"/>
    </w:pPr>
    <w:rPr>
      <w:rFonts w:ascii="宋体" w:hAnsi="Courier New" w:eastAsia="宋体" w:cs="Courier New"/>
      <w:sz w:val="21"/>
      <w:szCs w:val="21"/>
      <w:lang w:val="en-US" w:eastAsia="zh-CN" w:bidi="ar-SA"/>
    </w:rPr>
  </w:style>
  <w:style w:type="paragraph" w:styleId="748">
    <w:name w:val="toc 8"/>
    <w:basedOn w:val="731"/>
    <w:next w:val="731"/>
    <w:uiPriority w:val="0"/>
    <w:semiHidden/>
    <w:qFormat/>
    <w:pPr>
      <w:ind w:left="1470"/>
      <w:jc w:val="left"/>
    </w:pPr>
  </w:style>
  <w:style w:type="paragraph" w:styleId="749">
    <w:name w:val="endnote text"/>
    <w:basedOn w:val="731"/>
    <w:link w:val="911"/>
    <w:uiPriority w:val="99"/>
    <w:semiHidden/>
    <w:unhideWhenUsed/>
    <w:qFormat/>
    <w:pPr>
      <w:spacing w:after="0" w:line="240" w:lineRule="auto"/>
    </w:pPr>
    <w:rPr>
      <w:sz w:val="20"/>
    </w:rPr>
  </w:style>
  <w:style w:type="paragraph" w:styleId="750">
    <w:name w:val="Footer"/>
    <w:basedOn w:val="731"/>
    <w:link w:val="784"/>
    <w:uiPriority w:val="99"/>
    <w:unhideWhenUsed/>
    <w:qFormat/>
    <w:pPr>
      <w:spacing w:after="0" w:line="240" w:lineRule="auto"/>
      <w:tabs>
        <w:tab w:val="center" w:pos="7143" w:leader="none"/>
        <w:tab w:val="right" w:pos="14287" w:leader="none"/>
      </w:tabs>
    </w:pPr>
  </w:style>
  <w:style w:type="paragraph" w:styleId="751">
    <w:name w:val="Header"/>
    <w:basedOn w:val="731"/>
    <w:link w:val="782"/>
    <w:uiPriority w:val="99"/>
    <w:unhideWhenUsed/>
    <w:qFormat/>
    <w:pPr>
      <w:spacing w:after="0" w:line="240" w:lineRule="auto"/>
      <w:tabs>
        <w:tab w:val="center" w:pos="7143" w:leader="none"/>
        <w:tab w:val="right" w:pos="14287" w:leader="none"/>
      </w:tabs>
    </w:pPr>
  </w:style>
  <w:style w:type="paragraph" w:styleId="752">
    <w:name w:val="toc 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1"/>
    <w:next w:val="731"/>
    <w:uiPriority w:val="0"/>
    <w:semiHidden/>
    <w:qFormat/>
    <w:pPr>
      <w:ind w:left="630"/>
      <w:jc w:val="left"/>
    </w:pPr>
  </w:style>
  <w:style w:type="paragraph" w:styleId="754">
    <w:name w:val="Subtitle"/>
    <w:basedOn w:val="731"/>
    <w:next w:val="731"/>
    <w:link w:val="777"/>
    <w:uiPriority w:val="11"/>
    <w:qFormat/>
    <w:pPr>
      <w:spacing w:before="200" w:after="200"/>
    </w:pPr>
    <w:rPr>
      <w:sz w:val="24"/>
      <w:szCs w:val="24"/>
    </w:rPr>
  </w:style>
  <w:style w:type="paragraph" w:styleId="755">
    <w:name w:val="footnote text"/>
    <w:basedOn w:val="731"/>
    <w:link w:val="910"/>
    <w:uiPriority w:val="99"/>
    <w:semiHidden/>
    <w:unhideWhenUsed/>
    <w:qFormat/>
    <w:pPr>
      <w:spacing w:after="40" w:line="240" w:lineRule="auto"/>
    </w:pPr>
    <w:rPr>
      <w:sz w:val="18"/>
    </w:rPr>
  </w:style>
  <w:style w:type="paragraph" w:styleId="756">
    <w:name w:val="toc 6"/>
    <w:basedOn w:val="731"/>
    <w:next w:val="731"/>
    <w:uiPriority w:val="0"/>
    <w:semiHidden/>
    <w:qFormat/>
    <w:pPr>
      <w:ind w:left="1050"/>
      <w:jc w:val="left"/>
    </w:pPr>
  </w:style>
  <w:style w:type="paragraph" w:styleId="757">
    <w:name w:val="table of figures"/>
    <w:basedOn w:val="731"/>
    <w:next w:val="731"/>
    <w:uiPriority w:val="99"/>
    <w:unhideWhenUsed/>
    <w:qFormat/>
    <w:pPr>
      <w:spacing w:after="0" w:afterAutospacing="0"/>
    </w:pPr>
  </w:style>
  <w:style w:type="paragraph" w:styleId="758">
    <w:name w:val="toc 2"/>
    <w:basedOn w:val="731"/>
    <w:next w:val="731"/>
    <w:uiPriority w:val="0"/>
    <w:semiHidden/>
    <w:qFormat/>
    <w:pPr>
      <w:ind w:left="210"/>
      <w:jc w:val="left"/>
    </w:pPr>
    <w:rPr>
      <w:smallCaps/>
      <w:szCs w:val="24"/>
    </w:rPr>
  </w:style>
  <w:style w:type="paragraph" w:styleId="759">
    <w:name w:val="toc 9"/>
    <w:basedOn w:val="731"/>
    <w:next w:val="731"/>
    <w:uiPriority w:val="0"/>
    <w:semiHidden/>
    <w:qFormat/>
    <w:pPr>
      <w:ind w:left="1680"/>
      <w:jc w:val="left"/>
    </w:pPr>
  </w:style>
  <w:style w:type="paragraph" w:styleId="760">
    <w:name w:val="Title"/>
    <w:basedOn w:val="731"/>
    <w:next w:val="731"/>
    <w:link w:val="776"/>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Heading 1 Char"/>
    <w:link w:val="732"/>
    <w:uiPriority w:val="9"/>
    <w:qFormat/>
    <w:rPr>
      <w:rFonts w:ascii="Arial" w:hAnsi="Arial" w:eastAsia="Arial" w:cs="Arial"/>
      <w:sz w:val="40"/>
      <w:szCs w:val="40"/>
    </w:rPr>
  </w:style>
  <w:style w:type="character" w:styleId="766" w:customStyle="1">
    <w:name w:val="Heading 2 Char"/>
    <w:link w:val="733"/>
    <w:uiPriority w:val="9"/>
    <w:qFormat/>
    <w:rPr>
      <w:rFonts w:ascii="Arial" w:hAnsi="Arial" w:eastAsia="Arial" w:cs="Arial"/>
      <w:sz w:val="34"/>
    </w:rPr>
  </w:style>
  <w:style w:type="character" w:styleId="767" w:customStyle="1">
    <w:name w:val="Heading 3 Char"/>
    <w:link w:val="734"/>
    <w:uiPriority w:val="9"/>
    <w:qFormat/>
    <w:rPr>
      <w:rFonts w:ascii="Arial" w:hAnsi="Arial" w:eastAsia="Arial" w:cs="Arial"/>
      <w:sz w:val="30"/>
      <w:szCs w:val="30"/>
    </w:rPr>
  </w:style>
  <w:style w:type="character" w:styleId="768" w:customStyle="1">
    <w:name w:val="Heading 4 Char"/>
    <w:link w:val="735"/>
    <w:uiPriority w:val="9"/>
    <w:qFormat/>
    <w:rPr>
      <w:rFonts w:ascii="Arial" w:hAnsi="Arial" w:eastAsia="Arial" w:cs="Arial"/>
      <w:b/>
      <w:bCs/>
      <w:sz w:val="26"/>
      <w:szCs w:val="26"/>
    </w:rPr>
  </w:style>
  <w:style w:type="character" w:styleId="769" w:customStyle="1">
    <w:name w:val="Heading 5 Char"/>
    <w:link w:val="736"/>
    <w:uiPriority w:val="9"/>
    <w:qFormat/>
    <w:rPr>
      <w:rFonts w:ascii="Arial" w:hAnsi="Arial" w:eastAsia="Arial" w:cs="Arial"/>
      <w:b/>
      <w:bCs/>
      <w:sz w:val="24"/>
      <w:szCs w:val="24"/>
    </w:rPr>
  </w:style>
  <w:style w:type="character" w:styleId="770" w:customStyle="1">
    <w:name w:val="Heading 6 Char"/>
    <w:link w:val="737"/>
    <w:uiPriority w:val="9"/>
    <w:qFormat/>
    <w:rPr>
      <w:rFonts w:ascii="Arial" w:hAnsi="Arial" w:eastAsia="Arial" w:cs="Arial"/>
      <w:b/>
      <w:bCs/>
      <w:sz w:val="22"/>
      <w:szCs w:val="22"/>
    </w:rPr>
  </w:style>
  <w:style w:type="character" w:styleId="771" w:customStyle="1">
    <w:name w:val="Heading 7 Char"/>
    <w:link w:val="738"/>
    <w:uiPriority w:val="9"/>
    <w:qFormat/>
    <w:rPr>
      <w:rFonts w:ascii="Arial" w:hAnsi="Arial" w:eastAsia="Arial" w:cs="Arial"/>
      <w:b/>
      <w:bCs/>
      <w:i/>
      <w:iCs/>
      <w:sz w:val="22"/>
      <w:szCs w:val="22"/>
    </w:rPr>
  </w:style>
  <w:style w:type="character" w:styleId="772" w:customStyle="1">
    <w:name w:val="Heading 8 Char"/>
    <w:link w:val="739"/>
    <w:uiPriority w:val="9"/>
    <w:qFormat/>
    <w:rPr>
      <w:rFonts w:ascii="Arial" w:hAnsi="Arial" w:eastAsia="Arial" w:cs="Arial"/>
      <w:i/>
      <w:iCs/>
      <w:sz w:val="22"/>
      <w:szCs w:val="22"/>
    </w:rPr>
  </w:style>
  <w:style w:type="character" w:styleId="773" w:customStyle="1">
    <w:name w:val="Heading 9 Char"/>
    <w:link w:val="740"/>
    <w:uiPriority w:val="9"/>
    <w:qFormat/>
    <w:rPr>
      <w:rFonts w:ascii="Arial" w:hAnsi="Arial" w:eastAsia="Arial" w:cs="Arial"/>
      <w:i/>
      <w:iCs/>
      <w:sz w:val="21"/>
      <w:szCs w:val="21"/>
    </w:rPr>
  </w:style>
  <w:style w:type="paragraph" w:styleId="774">
    <w:name w:val="List Paragraph"/>
    <w:basedOn w:val="731"/>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60"/>
    <w:uiPriority w:val="10"/>
    <w:qFormat/>
    <w:rPr>
      <w:sz w:val="48"/>
      <w:szCs w:val="48"/>
    </w:rPr>
  </w:style>
  <w:style w:type="character" w:styleId="777" w:customStyle="1">
    <w:name w:val="Subtitle Char"/>
    <w:link w:val="754"/>
    <w:uiPriority w:val="11"/>
    <w:qFormat/>
    <w:rPr>
      <w:sz w:val="24"/>
      <w:szCs w:val="24"/>
    </w:rPr>
  </w:style>
  <w:style w:type="paragraph" w:styleId="778">
    <w:name w:val="Quote"/>
    <w:basedOn w:val="731"/>
    <w:next w:val="731"/>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31"/>
    <w:next w:val="731"/>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51"/>
    <w:uiPriority w:val="99"/>
    <w:qFormat/>
  </w:style>
  <w:style w:type="character" w:styleId="783" w:customStyle="1">
    <w:name w:val="Footer Char"/>
    <w:link w:val="750"/>
    <w:uiPriority w:val="99"/>
    <w:qFormat/>
  </w:style>
  <w:style w:type="character" w:styleId="784" w:customStyle="1">
    <w:name w:val="Caption Char"/>
    <w:link w:val="750"/>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5"/>
    <w:uiPriority w:val="99"/>
    <w:qFormat/>
    <w:rPr>
      <w:sz w:val="18"/>
    </w:rPr>
  </w:style>
  <w:style w:type="character" w:styleId="911" w:customStyle="1">
    <w:name w:val="Endnote Text Char"/>
    <w:link w:val="749"/>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31"/>
    <w:next w:val="731"/>
    <w:link w:val="925"/>
    <w:uiPriority w:val="0"/>
    <w:qFormat/>
    <w:pPr>
      <w:jc w:val="center"/>
      <w:keepNext/>
      <w:outlineLvl w:val="0"/>
    </w:pPr>
    <w:rPr>
      <w:rFonts w:ascii="楷体_GB2312" w:eastAsia="楷体_GB2312"/>
      <w:sz w:val="28"/>
      <w:szCs w:val="28"/>
    </w:rPr>
  </w:style>
  <w:style w:type="paragraph" w:styleId="914" w:customStyle="1">
    <w:name w:val="标题 21"/>
    <w:basedOn w:val="731"/>
    <w:next w:val="731"/>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标题 31"/>
    <w:basedOn w:val="731"/>
    <w:next w:val="916"/>
    <w:link w:val="927"/>
    <w:uiPriority w:val="0"/>
    <w:qFormat/>
    <w:pPr>
      <w:keepLines/>
      <w:keepNext/>
      <w:spacing w:before="260" w:after="260" w:line="416" w:lineRule="auto"/>
      <w:outlineLvl w:val="2"/>
    </w:pPr>
    <w:rPr>
      <w:b/>
      <w:bCs/>
      <w:sz w:val="32"/>
      <w:szCs w:val="32"/>
    </w:rPr>
  </w:style>
  <w:style w:type="paragraph" w:styleId="916" w:customStyle="1">
    <w:name w:val="正文缩进1"/>
    <w:basedOn w:val="731"/>
    <w:next w:val="731"/>
    <w:link w:val="928"/>
    <w:uiPriority w:val="0"/>
    <w:qFormat/>
    <w:pPr>
      <w:ind w:firstLine="420"/>
    </w:pPr>
  </w:style>
  <w:style w:type="paragraph" w:styleId="917" w:customStyle="1">
    <w:name w:val="标题 41"/>
    <w:basedOn w:val="731"/>
    <w:next w:val="916"/>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31"/>
    <w:next w:val="916"/>
    <w:link w:val="930"/>
    <w:uiPriority w:val="0"/>
    <w:qFormat/>
    <w:pPr>
      <w:keepNext/>
      <w:outlineLvl w:val="4"/>
    </w:pPr>
    <w:rPr>
      <w:rFonts w:ascii="宋体"/>
      <w:color w:val="000000"/>
      <w:sz w:val="28"/>
      <w:szCs w:val="28"/>
    </w:rPr>
  </w:style>
  <w:style w:type="paragraph" w:styleId="919" w:customStyle="1">
    <w:name w:val="标题 61"/>
    <w:basedOn w:val="731"/>
    <w:next w:val="731"/>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customStyle="1">
    <w:name w:val="标题 71"/>
    <w:basedOn w:val="731"/>
    <w:next w:val="731"/>
    <w:link w:val="932"/>
    <w:uiPriority w:val="0"/>
    <w:qFormat/>
    <w:pPr>
      <w:numPr>
        <w:ilvl w:val="6"/>
        <w:numId w:val="1"/>
      </w:numPr>
      <w:keepLines/>
      <w:keepNext/>
      <w:spacing w:before="240" w:after="64" w:line="320" w:lineRule="auto"/>
      <w:outlineLvl w:val="6"/>
    </w:pPr>
    <w:rPr>
      <w:b/>
      <w:bCs/>
      <w:sz w:val="24"/>
      <w:szCs w:val="24"/>
    </w:rPr>
  </w:style>
  <w:style w:type="paragraph" w:styleId="921" w:customStyle="1">
    <w:name w:val="标题 81"/>
    <w:basedOn w:val="731"/>
    <w:next w:val="731"/>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2" w:customStyle="1">
    <w:name w:val="标题 91"/>
    <w:basedOn w:val="731"/>
    <w:next w:val="731"/>
    <w:link w:val="934"/>
    <w:uiPriority w:val="0"/>
    <w:qFormat/>
    <w:pPr>
      <w:numPr>
        <w:ilvl w:val="8"/>
        <w:numId w:val="1"/>
      </w:numPr>
      <w:keepLines/>
      <w:keepNext/>
      <w:spacing w:before="240" w:after="64" w:line="320" w:lineRule="auto"/>
      <w:outlineLvl w:val="8"/>
    </w:pPr>
    <w:rPr>
      <w:rFonts w:ascii="Arial" w:hAnsi="Arial" w:eastAsia="黑体"/>
    </w:rPr>
  </w:style>
  <w:style w:type="character" w:styleId="923" w:customStyle="1">
    <w:name w:val="默认段落字体1"/>
    <w:link w:val="731"/>
    <w:uiPriority w:val="1"/>
    <w:unhideWhenUsed/>
    <w:qFormat/>
  </w:style>
  <w:style w:type="table" w:styleId="924" w:customStyle="1">
    <w:name w:val="普通表格1"/>
    <w:uiPriority w:val="99"/>
    <w:unhideWhenUsed/>
    <w:qFormat/>
    <w:tblPr/>
  </w:style>
  <w:style w:type="character" w:styleId="925" w:customStyle="1">
    <w:name w:val="标题 1 字符"/>
    <w:link w:val="913"/>
    <w:uiPriority w:val="0"/>
    <w:qFormat/>
    <w:rPr>
      <w:rFonts w:ascii="楷体_GB2312" w:hAnsi="Times New Roman" w:eastAsia="楷体_GB2312" w:cs="Times New Roman"/>
      <w:sz w:val="28"/>
      <w:szCs w:val="28"/>
    </w:rPr>
  </w:style>
  <w:style w:type="character" w:styleId="926" w:customStyle="1">
    <w:name w:val="标题 2 字符"/>
    <w:link w:val="914"/>
    <w:uiPriority w:val="0"/>
    <w:qFormat/>
    <w:rPr>
      <w:rFonts w:ascii="Arial" w:hAnsi="Arial" w:eastAsia="幼圆" w:cs="Arial"/>
      <w:b/>
      <w:bCs/>
      <w:sz w:val="44"/>
      <w:szCs w:val="44"/>
    </w:rPr>
  </w:style>
  <w:style w:type="character" w:styleId="927" w:customStyle="1">
    <w:name w:val="标题 3 字符"/>
    <w:link w:val="915"/>
    <w:uiPriority w:val="0"/>
    <w:qFormat/>
    <w:rPr>
      <w:rFonts w:ascii="Times New Roman" w:hAnsi="Times New Roman" w:eastAsia="宋体" w:cs="Times New Roman"/>
      <w:b/>
      <w:bCs/>
      <w:sz w:val="32"/>
      <w:szCs w:val="32"/>
    </w:rPr>
  </w:style>
  <w:style w:type="character" w:styleId="928" w:customStyle="1">
    <w:name w:val="正文缩进 字符"/>
    <w:link w:val="916"/>
    <w:uiPriority w:val="0"/>
    <w:qFormat/>
    <w:rPr>
      <w:rFonts w:ascii="Times New Roman" w:hAnsi="Times New Roman" w:eastAsia="宋体" w:cs="Times New Roman"/>
      <w:szCs w:val="21"/>
    </w:rPr>
  </w:style>
  <w:style w:type="character" w:styleId="929" w:customStyle="1">
    <w:name w:val="标题 4 字符"/>
    <w:link w:val="917"/>
    <w:uiPriority w:val="0"/>
    <w:qFormat/>
    <w:rPr>
      <w:rFonts w:ascii="Arial" w:hAnsi="Arial" w:eastAsia="黑体" w:cs="Arial"/>
      <w:b/>
      <w:bCs/>
      <w:sz w:val="28"/>
      <w:szCs w:val="28"/>
    </w:rPr>
  </w:style>
  <w:style w:type="character" w:styleId="930" w:customStyle="1">
    <w:name w:val="标题 5 字符"/>
    <w:link w:val="918"/>
    <w:uiPriority w:val="0"/>
    <w:qFormat/>
    <w:rPr>
      <w:rFonts w:ascii="宋体" w:hAnsi="Times New Roman" w:eastAsia="宋体" w:cs="Times New Roman"/>
      <w:color w:val="000000"/>
      <w:sz w:val="28"/>
      <w:szCs w:val="28"/>
    </w:rPr>
  </w:style>
  <w:style w:type="character" w:styleId="931" w:customStyle="1">
    <w:name w:val="标题 6 字符"/>
    <w:link w:val="919"/>
    <w:uiPriority w:val="0"/>
    <w:qFormat/>
    <w:rPr>
      <w:rFonts w:ascii="Arial" w:hAnsi="Arial" w:eastAsia="黑体" w:cs="Times New Roman"/>
      <w:b/>
      <w:bCs/>
      <w:sz w:val="24"/>
      <w:szCs w:val="24"/>
    </w:rPr>
  </w:style>
  <w:style w:type="character" w:styleId="932" w:customStyle="1">
    <w:name w:val="标题 7 字符"/>
    <w:link w:val="920"/>
    <w:uiPriority w:val="0"/>
    <w:qFormat/>
    <w:rPr>
      <w:rFonts w:ascii="Times New Roman" w:hAnsi="Times New Roman" w:eastAsia="宋体" w:cs="Times New Roman"/>
      <w:b/>
      <w:bCs/>
      <w:sz w:val="24"/>
      <w:szCs w:val="24"/>
    </w:rPr>
  </w:style>
  <w:style w:type="character" w:styleId="933" w:customStyle="1">
    <w:name w:val="标题 8 字符"/>
    <w:link w:val="921"/>
    <w:uiPriority w:val="0"/>
    <w:qFormat/>
    <w:rPr>
      <w:rFonts w:ascii="Arial" w:hAnsi="Arial" w:eastAsia="黑体" w:cs="Times New Roman"/>
      <w:sz w:val="24"/>
      <w:szCs w:val="24"/>
    </w:rPr>
  </w:style>
  <w:style w:type="character" w:styleId="934" w:customStyle="1">
    <w:name w:val="标题 9 字符"/>
    <w:link w:val="922"/>
    <w:uiPriority w:val="0"/>
    <w:qFormat/>
    <w:rPr>
      <w:rFonts w:ascii="Arial" w:hAnsi="Arial" w:eastAsia="黑体" w:cs="Times New Roman"/>
      <w:szCs w:val="21"/>
    </w:rPr>
  </w:style>
  <w:style w:type="paragraph" w:styleId="935" w:customStyle="1">
    <w:name w:val="列表 31"/>
    <w:basedOn w:val="731"/>
    <w:uiPriority w:val="0"/>
    <w:qFormat/>
    <w:pPr>
      <w:ind w:left="100" w:hanging="200"/>
    </w:pPr>
  </w:style>
  <w:style w:type="paragraph" w:styleId="936" w:customStyle="1">
    <w:name w:val="文档结构图1"/>
    <w:basedOn w:val="731"/>
    <w:link w:val="937"/>
    <w:uiPriority w:val="0"/>
    <w:semiHidden/>
    <w:qFormat/>
    <w:pPr>
      <w:shd w:val="clear" w:color="auto" w:fill="000080"/>
    </w:pPr>
  </w:style>
  <w:style w:type="character" w:styleId="937" w:customStyle="1">
    <w:name w:val="文档结构图 字符"/>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731"/>
    <w:link w:val="939"/>
    <w:uiPriority w:val="0"/>
    <w:semiHidden/>
    <w:qFormat/>
    <w:pPr>
      <w:jc w:val="left"/>
    </w:pPr>
  </w:style>
  <w:style w:type="character" w:styleId="939" w:customStyle="1">
    <w:name w:val="批注文字 字符"/>
    <w:link w:val="938"/>
    <w:uiPriority w:val="0"/>
    <w:semiHidden/>
    <w:qFormat/>
    <w:rPr>
      <w:rFonts w:ascii="Times New Roman" w:hAnsi="Times New Roman" w:eastAsia="宋体" w:cs="Times New Roman"/>
      <w:szCs w:val="21"/>
    </w:rPr>
  </w:style>
  <w:style w:type="paragraph" w:styleId="940" w:customStyle="1">
    <w:name w:val="正文文本 31"/>
    <w:basedOn w:val="731"/>
    <w:link w:val="941"/>
    <w:uiPriority w:val="0"/>
    <w:qFormat/>
    <w:rPr>
      <w:rFonts w:ascii="仿宋_GB2312" w:hAnsi="Arial" w:eastAsia="仿宋_GB2312"/>
      <w:sz w:val="32"/>
      <w:szCs w:val="32"/>
    </w:rPr>
  </w:style>
  <w:style w:type="character" w:styleId="941" w:customStyle="1">
    <w:name w:val="正文文本 3 字符"/>
    <w:link w:val="940"/>
    <w:uiPriority w:val="0"/>
    <w:qFormat/>
    <w:rPr>
      <w:rFonts w:ascii="仿宋_GB2312" w:hAnsi="Arial" w:eastAsia="仿宋_GB2312" w:cs="Times New Roman"/>
      <w:sz w:val="32"/>
      <w:szCs w:val="32"/>
    </w:rPr>
  </w:style>
  <w:style w:type="paragraph" w:styleId="942" w:customStyle="1">
    <w:name w:val="正文文本1"/>
    <w:basedOn w:val="731"/>
    <w:link w:val="943"/>
    <w:uiPriority w:val="0"/>
    <w:qFormat/>
    <w:rPr>
      <w:rFonts w:ascii="楷体_GB2312" w:hAnsi="Arial" w:eastAsia="楷体_GB2312"/>
      <w:sz w:val="28"/>
      <w:szCs w:val="28"/>
    </w:rPr>
  </w:style>
  <w:style w:type="character" w:styleId="943" w:customStyle="1">
    <w:name w:val="正文文本 字符"/>
    <w:link w:val="942"/>
    <w:uiPriority w:val="0"/>
    <w:qFormat/>
    <w:rPr>
      <w:rFonts w:ascii="楷体_GB2312" w:hAnsi="Arial" w:eastAsia="楷体_GB2312" w:cs="Times New Roman"/>
      <w:sz w:val="28"/>
      <w:szCs w:val="28"/>
    </w:rPr>
  </w:style>
  <w:style w:type="paragraph" w:styleId="944" w:customStyle="1">
    <w:name w:val="正文文本缩进1"/>
    <w:basedOn w:val="731"/>
    <w:next w:val="731"/>
    <w:link w:val="945"/>
    <w:uiPriority w:val="0"/>
    <w:qFormat/>
    <w:pPr>
      <w:ind w:firstLine="645"/>
    </w:pPr>
    <w:rPr>
      <w:rFonts w:ascii="楷体_GB2312" w:eastAsia="楷体_GB2312"/>
      <w:sz w:val="32"/>
      <w:szCs w:val="32"/>
    </w:rPr>
  </w:style>
  <w:style w:type="character" w:styleId="945" w:customStyle="1">
    <w:name w:val="正文文本缩进 字符"/>
    <w:link w:val="944"/>
    <w:uiPriority w:val="0"/>
    <w:qFormat/>
    <w:rPr>
      <w:rFonts w:ascii="楷体_GB2312" w:hAnsi="Times New Roman" w:eastAsia="楷体_GB2312" w:cs="Times New Roman"/>
      <w:sz w:val="32"/>
      <w:szCs w:val="32"/>
    </w:rPr>
  </w:style>
  <w:style w:type="paragraph" w:styleId="946" w:customStyle="1">
    <w:name w:val="列表 21"/>
    <w:basedOn w:val="731"/>
    <w:uiPriority w:val="0"/>
    <w:qFormat/>
    <w:pPr>
      <w:ind w:left="100" w:hanging="200"/>
    </w:pPr>
  </w:style>
  <w:style w:type="paragraph" w:styleId="947" w:customStyle="1">
    <w:name w:val="纯文本1"/>
    <w:basedOn w:val="731"/>
    <w:link w:val="948"/>
    <w:uiPriority w:val="0"/>
    <w:qFormat/>
    <w:rPr>
      <w:rFonts w:ascii="宋体" w:hAnsi="Courier New" w:cs="Courier New"/>
    </w:rPr>
  </w:style>
  <w:style w:type="character" w:styleId="948" w:customStyle="1">
    <w:name w:val="纯文本 字符"/>
    <w:link w:val="947"/>
    <w:uiPriority w:val="0"/>
    <w:qFormat/>
    <w:rPr>
      <w:rFonts w:ascii="宋体" w:hAnsi="Courier New" w:eastAsia="宋体" w:cs="Courier New"/>
      <w:szCs w:val="21"/>
    </w:rPr>
  </w:style>
  <w:style w:type="paragraph" w:styleId="949" w:customStyle="1">
    <w:name w:val="日期1"/>
    <w:basedOn w:val="731"/>
    <w:next w:val="731"/>
    <w:link w:val="950"/>
    <w:uiPriority w:val="0"/>
    <w:qFormat/>
    <w:rPr>
      <w:sz w:val="24"/>
      <w:szCs w:val="24"/>
    </w:rPr>
  </w:style>
  <w:style w:type="character" w:styleId="950" w:customStyle="1">
    <w:name w:val="日期 字符"/>
    <w:link w:val="949"/>
    <w:uiPriority w:val="0"/>
    <w:qFormat/>
    <w:rPr>
      <w:rFonts w:ascii="Times New Roman" w:hAnsi="Times New Roman" w:eastAsia="宋体" w:cs="Times New Roman"/>
      <w:sz w:val="24"/>
      <w:szCs w:val="24"/>
    </w:rPr>
  </w:style>
  <w:style w:type="paragraph" w:styleId="951" w:customStyle="1">
    <w:name w:val="正文文本缩进 21"/>
    <w:basedOn w:val="731"/>
    <w:link w:val="952"/>
    <w:uiPriority w:val="0"/>
    <w:qFormat/>
    <w:pPr>
      <w:ind w:left="630" w:firstLine="645"/>
    </w:pPr>
    <w:rPr>
      <w:rFonts w:ascii="Arial" w:hAnsi="Arial" w:eastAsia="仿宋_GB2312" w:cs="Arial"/>
      <w:sz w:val="32"/>
      <w:szCs w:val="32"/>
    </w:rPr>
  </w:style>
  <w:style w:type="character" w:styleId="952" w:customStyle="1">
    <w:name w:val="正文文本缩进 2 字符"/>
    <w:link w:val="951"/>
    <w:uiPriority w:val="0"/>
    <w:qFormat/>
    <w:rPr>
      <w:rFonts w:ascii="Arial" w:hAnsi="Arial" w:eastAsia="仿宋_GB2312" w:cs="Arial"/>
      <w:sz w:val="32"/>
      <w:szCs w:val="32"/>
    </w:rPr>
  </w:style>
  <w:style w:type="paragraph" w:styleId="953" w:customStyle="1">
    <w:name w:val="批注框文本1"/>
    <w:basedOn w:val="731"/>
    <w:link w:val="954"/>
    <w:uiPriority w:val="0"/>
    <w:semiHidden/>
    <w:qFormat/>
    <w:rPr>
      <w:sz w:val="18"/>
      <w:szCs w:val="18"/>
    </w:rPr>
  </w:style>
  <w:style w:type="character" w:styleId="954" w:customStyle="1">
    <w:name w:val="批注框文本 字符"/>
    <w:link w:val="953"/>
    <w:uiPriority w:val="0"/>
    <w:semiHidden/>
    <w:qFormat/>
    <w:rPr>
      <w:rFonts w:ascii="Times New Roman" w:hAnsi="Times New Roman" w:eastAsia="宋体" w:cs="Times New Roman"/>
      <w:sz w:val="18"/>
      <w:szCs w:val="18"/>
    </w:rPr>
  </w:style>
  <w:style w:type="paragraph" w:styleId="955" w:customStyle="1">
    <w:name w:val="页脚1"/>
    <w:basedOn w:val="731"/>
    <w:link w:val="956"/>
    <w:uiPriority w:val="0"/>
    <w:qFormat/>
    <w:pPr>
      <w:jc w:val="left"/>
      <w:tabs>
        <w:tab w:val="center" w:pos="4153" w:leader="none"/>
        <w:tab w:val="right" w:pos="8306" w:leader="none"/>
      </w:tabs>
    </w:pPr>
    <w:rPr>
      <w:sz w:val="18"/>
      <w:szCs w:val="18"/>
    </w:rPr>
  </w:style>
  <w:style w:type="character" w:styleId="956" w:customStyle="1">
    <w:name w:val="页脚 字符"/>
    <w:link w:val="955"/>
    <w:uiPriority w:val="0"/>
    <w:qFormat/>
    <w:rPr>
      <w:rFonts w:ascii="Times New Roman" w:hAnsi="Times New Roman" w:eastAsia="宋体" w:cs="Times New Roman"/>
      <w:sz w:val="18"/>
      <w:szCs w:val="18"/>
    </w:rPr>
  </w:style>
  <w:style w:type="paragraph" w:styleId="957" w:customStyle="1">
    <w:name w:val="页眉1"/>
    <w:basedOn w:val="731"/>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字符"/>
    <w:link w:val="957"/>
    <w:uiPriority w:val="0"/>
    <w:qFormat/>
    <w:rPr>
      <w:rFonts w:ascii="Times New Roman" w:hAnsi="Times New Roman" w:eastAsia="宋体" w:cs="Times New Roman"/>
      <w:sz w:val="18"/>
      <w:szCs w:val="18"/>
    </w:rPr>
  </w:style>
  <w:style w:type="paragraph" w:styleId="959" w:customStyle="1">
    <w:name w:val="列表1"/>
    <w:basedOn w:val="731"/>
    <w:uiPriority w:val="0"/>
    <w:qFormat/>
    <w:pPr>
      <w:ind w:left="200" w:hanging="200"/>
    </w:pPr>
  </w:style>
  <w:style w:type="paragraph" w:styleId="960" w:customStyle="1">
    <w:name w:val="正文文本缩进 31"/>
    <w:basedOn w:val="731"/>
    <w:link w:val="961"/>
    <w:uiPriority w:val="0"/>
    <w:qFormat/>
    <w:pPr>
      <w:ind w:left="645" w:firstLine="645"/>
    </w:pPr>
    <w:rPr>
      <w:rFonts w:ascii="Arial" w:hAnsi="Arial" w:eastAsia="仿宋_GB2312" w:cs="Arial"/>
      <w:color w:val="ffff00"/>
      <w:sz w:val="32"/>
      <w:szCs w:val="32"/>
    </w:rPr>
  </w:style>
  <w:style w:type="character" w:styleId="961" w:customStyle="1">
    <w:name w:val="正文文本缩进 3 字符"/>
    <w:link w:val="960"/>
    <w:uiPriority w:val="0"/>
    <w:qFormat/>
    <w:rPr>
      <w:rFonts w:ascii="Arial" w:hAnsi="Arial" w:eastAsia="仿宋_GB2312" w:cs="Arial"/>
      <w:color w:val="ffff00"/>
      <w:sz w:val="32"/>
      <w:szCs w:val="32"/>
    </w:rPr>
  </w:style>
  <w:style w:type="paragraph" w:styleId="962" w:customStyle="1">
    <w:name w:val="图表目录1"/>
    <w:basedOn w:val="731"/>
    <w:next w:val="731"/>
    <w:uiPriority w:val="0"/>
    <w:semiHidden/>
    <w:qFormat/>
    <w:pPr>
      <w:ind w:left="840" w:hanging="420"/>
    </w:pPr>
  </w:style>
  <w:style w:type="paragraph" w:styleId="963" w:customStyle="1">
    <w:name w:val="正文文本 21"/>
    <w:basedOn w:val="731"/>
    <w:link w:val="964"/>
    <w:uiPriority w:val="0"/>
    <w:qFormat/>
    <w:pPr>
      <w:jc w:val="center"/>
      <w:widowControl/>
    </w:pPr>
    <w:rPr>
      <w:rFonts w:ascii="楷体_GB2312" w:eastAsia="楷体_GB2312"/>
      <w:sz w:val="28"/>
      <w:szCs w:val="28"/>
    </w:rPr>
  </w:style>
  <w:style w:type="character" w:styleId="964" w:customStyle="1">
    <w:name w:val="正文文本 2 字符"/>
    <w:link w:val="963"/>
    <w:uiPriority w:val="0"/>
    <w:qFormat/>
    <w:rPr>
      <w:rFonts w:ascii="楷体_GB2312" w:hAnsi="Times New Roman" w:eastAsia="楷体_GB2312" w:cs="Times New Roman"/>
      <w:sz w:val="28"/>
      <w:szCs w:val="28"/>
    </w:rPr>
  </w:style>
  <w:style w:type="paragraph" w:styleId="965"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966" w:customStyle="1">
    <w:name w:val="索引 11"/>
    <w:basedOn w:val="731"/>
    <w:next w:val="731"/>
    <w:uiPriority w:val="0"/>
    <w:semiHidden/>
    <w:qFormat/>
    <w:pPr>
      <w:spacing w:line="240" w:lineRule="atLeast"/>
    </w:pPr>
    <w:rPr>
      <w:b/>
      <w:bCs/>
    </w:rPr>
  </w:style>
  <w:style w:type="paragraph" w:styleId="967" w:customStyle="1">
    <w:name w:val="批注主题1"/>
    <w:basedOn w:val="938"/>
    <w:next w:val="938"/>
    <w:link w:val="968"/>
    <w:uiPriority w:val="0"/>
    <w:semiHidden/>
    <w:qFormat/>
    <w:rPr>
      <w:b/>
      <w:bCs/>
    </w:rPr>
  </w:style>
  <w:style w:type="character" w:styleId="968" w:customStyle="1">
    <w:name w:val="批注主题 字符"/>
    <w:link w:val="967"/>
    <w:uiPriority w:val="0"/>
    <w:semiHidden/>
    <w:qFormat/>
    <w:rPr>
      <w:rFonts w:ascii="Times New Roman" w:hAnsi="Times New Roman" w:eastAsia="宋体" w:cs="Times New Roman"/>
      <w:b/>
      <w:bCs/>
      <w:szCs w:val="21"/>
    </w:rPr>
  </w:style>
  <w:style w:type="paragraph" w:styleId="969" w:customStyle="1">
    <w:name w:val="正文文本首行缩进"/>
    <w:basedOn w:val="731"/>
    <w:link w:val="970"/>
    <w:uiPriority w:val="0"/>
    <w:qFormat/>
    <w:pPr>
      <w:ind w:firstLine="200"/>
      <w:spacing w:line="360" w:lineRule="auto"/>
    </w:pPr>
    <w:rPr>
      <w:rFonts w:ascii="仿宋_GB2312" w:eastAsia="仿宋_GB2312"/>
      <w:sz w:val="30"/>
      <w:szCs w:val="30"/>
    </w:rPr>
  </w:style>
  <w:style w:type="character" w:styleId="970" w:customStyle="1">
    <w:name w:val="正文文本首行缩进 字符"/>
    <w:link w:val="969"/>
    <w:uiPriority w:val="0"/>
    <w:qFormat/>
    <w:rPr>
      <w:rFonts w:ascii="仿宋_GB2312" w:hAnsi="Times New Roman" w:eastAsia="仿宋_GB2312" w:cs="Times New Roman"/>
      <w:sz w:val="30"/>
      <w:szCs w:val="30"/>
    </w:rPr>
  </w:style>
  <w:style w:type="paragraph" w:styleId="971" w:customStyle="1">
    <w:name w:val="正文文本首行缩进 2"/>
    <w:basedOn w:val="944"/>
    <w:link w:val="972"/>
    <w:uiPriority w:val="0"/>
    <w:qFormat/>
    <w:pPr>
      <w:ind w:firstLine="420"/>
      <w:spacing w:line="360" w:lineRule="auto"/>
    </w:pPr>
    <w:rPr>
      <w:rFonts w:ascii="宋体" w:hAnsi="宋体" w:eastAsia="宋体"/>
      <w:sz w:val="21"/>
      <w:szCs w:val="20"/>
    </w:rPr>
  </w:style>
  <w:style w:type="character" w:styleId="972" w:customStyle="1">
    <w:name w:val="正文文本首行缩进 2 字符"/>
    <w:link w:val="971"/>
    <w:uiPriority w:val="0"/>
    <w:qFormat/>
    <w:rPr>
      <w:rFonts w:ascii="宋体" w:hAnsi="宋体" w:eastAsia="宋体" w:cs="Times New Roman"/>
      <w:sz w:val="32"/>
      <w:szCs w:val="20"/>
    </w:rPr>
  </w:style>
  <w:style w:type="table" w:styleId="973" w:customStyle="1">
    <w:name w:val="网格型1"/>
    <w:basedOn w:val="924"/>
    <w:uiPriority w:val="0"/>
    <w:qFormat/>
    <w:pPr>
      <w:jc w:val="both"/>
      <w:widowControl w:val="off"/>
    </w:pPr>
    <w:rPr>
      <w:rFonts w:ascii="Times New Roman" w:hAnsi="Times New Roman" w:eastAsia="宋体" w:cs="Times New Roman"/>
      <w:sz w:val="20"/>
      <w:szCs w:val="20"/>
    </w:rPr>
    <w:tblPr/>
  </w:style>
  <w:style w:type="character" w:styleId="974" w:customStyle="1">
    <w:name w:val="要点1"/>
    <w:link w:val="731"/>
    <w:uiPriority w:val="0"/>
    <w:qFormat/>
    <w:rPr>
      <w:b/>
      <w:bCs/>
    </w:rPr>
  </w:style>
  <w:style w:type="character" w:styleId="975" w:customStyle="1">
    <w:name w:val="页码1"/>
    <w:link w:val="731"/>
    <w:uiPriority w:val="0"/>
    <w:qFormat/>
  </w:style>
  <w:style w:type="character" w:styleId="976" w:customStyle="1">
    <w:name w:val="访问过的超链接"/>
    <w:link w:val="731"/>
    <w:uiPriority w:val="0"/>
    <w:qFormat/>
    <w:rPr>
      <w:color w:val="800080"/>
      <w:u w:val="single"/>
    </w:rPr>
  </w:style>
  <w:style w:type="character" w:styleId="977" w:customStyle="1">
    <w:name w:val="超链接1"/>
    <w:link w:val="731"/>
    <w:uiPriority w:val="0"/>
    <w:qFormat/>
    <w:rPr>
      <w:color w:val="0000ff"/>
      <w:u w:val="single"/>
    </w:rPr>
  </w:style>
  <w:style w:type="character" w:styleId="978" w:customStyle="1">
    <w:name w:val="批注引用1"/>
    <w:link w:val="731"/>
    <w:uiPriority w:val="0"/>
    <w:semiHidden/>
    <w:qFormat/>
    <w:rPr>
      <w:sz w:val="21"/>
      <w:szCs w:val="21"/>
    </w:rPr>
  </w:style>
  <w:style w:type="paragraph" w:styleId="979" w:customStyle="1">
    <w:name w:val="正文空2字"/>
    <w:basedOn w:val="980"/>
    <w:uiPriority w:val="99"/>
    <w:qFormat/>
    <w:pPr>
      <w:ind w:firstLine="640"/>
      <w:spacing w:line="560" w:lineRule="exact"/>
      <w:widowControl w:val="off"/>
    </w:pPr>
    <w:rPr>
      <w:rFonts w:ascii="仿宋_GB2312" w:hAnsi="仿宋_GB2312" w:cs="仿宋_GB2312"/>
      <w:lang w:val="zh-TW"/>
    </w:rPr>
  </w:style>
  <w:style w:type="paragraph" w:styleId="980" w:customStyle="1">
    <w:name w:val="左对齐正文"/>
    <w:uiPriority w:val="99"/>
    <w:qFormat/>
    <w:rPr>
      <w:rFonts w:hint="default" w:ascii="Calibri" w:hAnsi="Calibri" w:eastAsia="仿宋_GB2312" w:cs="Calibri"/>
      <w:sz w:val="32"/>
      <w:szCs w:val="32"/>
      <w:lang w:val="en-US" w:eastAsia="zh-CN" w:bidi="ar-SA"/>
    </w:rPr>
  </w:style>
  <w:style w:type="paragraph" w:styleId="981" w:customStyle="1">
    <w:name w:val="索引 41"/>
    <w:basedOn w:val="731"/>
    <w:next w:val="731"/>
    <w:uiPriority w:val="0"/>
    <w:semiHidden/>
    <w:qFormat/>
    <w:pPr>
      <w:ind w:left="1260"/>
    </w:pPr>
    <w:rPr>
      <w:rFonts w:ascii="Calibri" w:hAnsi="Calibri" w:eastAsia="Calibri" w:cs="宋体"/>
      <w:sz w:val="20"/>
      <w:lang w:val="zh-CN"/>
    </w:rPr>
  </w:style>
  <w:style w:type="character" w:styleId="982" w:customStyle="1">
    <w:name w:val="font5 Char"/>
    <w:link w:val="731"/>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31"/>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31"/>
    <w:link w:val="985"/>
    <w:uiPriority w:val="0"/>
    <w:qFormat/>
    <w:pPr>
      <w:contextualSpacing/>
      <w:ind w:left="720"/>
      <w:jc w:val="left"/>
      <w:widowControl/>
    </w:pPr>
    <w:rPr>
      <w:rFonts w:ascii="Calibri" w:hAnsi="Calibri" w:eastAsia="宋体" w:cs="Times New Roman"/>
      <w:sz w:val="24"/>
      <w:szCs w:val="24"/>
      <w:lang w:eastAsia="en-US" w:bidi="en-US"/>
    </w:rPr>
  </w:style>
  <w:style w:type="paragraph" w:styleId="987" w:customStyle="1">
    <w:name w:val="Body Text(ch)"/>
    <w:basedOn w:val="731"/>
    <w:next w:val="942"/>
    <w:uiPriority w:val="0"/>
    <w:qFormat/>
    <w:pPr>
      <w:spacing w:after="120"/>
    </w:pPr>
    <w:rPr>
      <w:rFonts w:ascii="宋体" w:hAnsi="Arial"/>
      <w:bCs/>
      <w:iCs/>
      <w:szCs w:val="24"/>
    </w:rPr>
  </w:style>
  <w:style w:type="paragraph" w:styleId="988" w:customStyle="1">
    <w:name w:val="xl2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31"/>
    <w:uiPriority w:val="0"/>
    <w:qFormat/>
    <w:pPr>
      <w:ind w:firstLine="200"/>
      <w:tabs>
        <w:tab w:val="left" w:pos="360" w:leader="none"/>
      </w:tabs>
    </w:pPr>
    <w:rPr>
      <w:sz w:val="28"/>
      <w:szCs w:val="30"/>
    </w:rPr>
  </w:style>
  <w:style w:type="paragraph" w:styleId="991" w:customStyle="1">
    <w:name w:val=" Char"/>
    <w:basedOn w:val="936"/>
    <w:uiPriority w:val="0"/>
    <w:qFormat/>
    <w:rPr>
      <w:rFonts w:ascii="Tahoma" w:hAnsi="Tahoma"/>
      <w:sz w:val="24"/>
      <w:szCs w:val="24"/>
    </w:rPr>
  </w:style>
  <w:style w:type="paragraph" w:styleId="992"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31"/>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 Char Char Char Char"/>
    <w:basedOn w:val="936"/>
    <w:uiPriority w:val="0"/>
    <w:qFormat/>
    <w:pPr>
      <w:spacing w:line="360" w:lineRule="auto"/>
    </w:pPr>
    <w:rPr>
      <w:rFonts w:ascii="Tahoma" w:hAnsi="Tahoma"/>
      <w:sz w:val="24"/>
      <w:szCs w:val="24"/>
    </w:rPr>
  </w:style>
  <w:style w:type="paragraph" w:styleId="997" w:customStyle="1">
    <w:name w:val="列表段落"/>
    <w:basedOn w:val="731"/>
    <w:uiPriority w:val="99"/>
    <w:qFormat/>
    <w:pPr>
      <w:contextualSpacing/>
      <w:ind w:left="720"/>
      <w:jc w:val="left"/>
      <w:widowControl/>
    </w:pPr>
    <w:rPr>
      <w:rFonts w:ascii="Calibri" w:hAnsi="Calibri"/>
      <w:sz w:val="24"/>
      <w:szCs w:val="24"/>
      <w:lang w:eastAsia="en-US" w:bidi="en-US"/>
    </w:rPr>
  </w:style>
  <w:style w:type="paragraph" w:styleId="998" w:customStyle="1">
    <w:name w:val="4"/>
    <w:basedOn w:val="731"/>
    <w:next w:val="960"/>
    <w:uiPriority w:val="0"/>
    <w:qFormat/>
    <w:pPr>
      <w:ind w:firstLine="420"/>
      <w:spacing w:line="360" w:lineRule="auto"/>
    </w:pPr>
    <w:rPr>
      <w:color w:val="ff0000"/>
      <w:sz w:val="24"/>
      <w:szCs w:val="24"/>
    </w:rPr>
  </w:style>
  <w:style w:type="paragraph" w:styleId="999"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1000" w:customStyle="1">
    <w:name w:val=" Char Char Char Char Char Char Char Char Char Char"/>
    <w:basedOn w:val="731"/>
    <w:uiPriority w:val="0"/>
    <w:qFormat/>
    <w:pPr>
      <w:spacing w:line="360" w:lineRule="auto"/>
    </w:pPr>
    <w:rPr>
      <w:sz w:val="24"/>
      <w:szCs w:val="20"/>
    </w:rPr>
  </w:style>
  <w:style w:type="paragraph" w:styleId="1001" w:customStyle="1">
    <w:name w:val="样式1"/>
    <w:basedOn w:val="731"/>
    <w:uiPriority w:val="0"/>
    <w:qFormat/>
    <w:pPr>
      <w:numPr>
        <w:ilvl w:val="0"/>
        <w:numId w:val="3"/>
      </w:numPr>
    </w:pPr>
    <w:rPr>
      <w:rFonts w:ascii="宋体" w:hAnsi="宋体"/>
    </w:rPr>
  </w:style>
  <w:style w:type="paragraph" w:styleId="1002"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1006" w:customStyle="1">
    <w:name w:val="xl24"/>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
    <w:basedOn w:val="936"/>
    <w:uiPriority w:val="0"/>
    <w:qFormat/>
    <w:pPr>
      <w:spacing w:line="360" w:lineRule="auto"/>
    </w:pPr>
    <w:rPr>
      <w:rFonts w:ascii="Tahoma" w:hAnsi="Tahoma"/>
      <w:sz w:val="24"/>
      <w:szCs w:val="24"/>
    </w:rPr>
  </w:style>
  <w:style w:type="paragraph" w:styleId="1013" w:customStyle="1">
    <w:name w:val="table_1stline"/>
    <w:basedOn w:val="731"/>
    <w:uiPriority w:val="0"/>
    <w:qFormat/>
    <w:pPr>
      <w:jc w:val="left"/>
      <w:spacing w:before="120"/>
      <w:widowControl/>
    </w:pPr>
    <w:rPr>
      <w:bCs/>
      <w:sz w:val="20"/>
      <w:szCs w:val="20"/>
      <w:lang w:val="de-DE" w:eastAsia="de-DE"/>
    </w:rPr>
  </w:style>
  <w:style w:type="paragraph" w:styleId="1014"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8" w:customStyle="1">
    <w:name w:val="Table Normal"/>
    <w:uiPriority w:val="0"/>
    <w:qFormat/>
    <w:rPr>
      <w:lang w:val="en-US" w:eastAsia="zh-CN" w:bidi="ar-SA"/>
    </w:rPr>
    <w:tbl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6_0"/>
    <w:uiPriority w:val="0"/>
    <w:qFormat/>
    <w:rPr>
      <w:rFonts w:hint="default" w:ascii="黑体" w:hAnsi="黑体" w:eastAsia="黑体" w:cs="黑体"/>
      <w:b/>
      <w:sz w:val="32"/>
      <w:szCs w:val="24"/>
      <w:lang w:val="en-US" w:eastAsia="zh-CN" w:bidi="ar-SA"/>
    </w:rPr>
  </w:style>
  <w:style w:type="paragraph" w:styleId="102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文本12"/>
    <w:basedOn w:val="731"/>
    <w:uiPriority w:val="1"/>
    <w:qFormat/>
    <w:pPr>
      <w:ind w:left="120"/>
    </w:pPr>
    <w:rPr>
      <w:rFonts w:ascii="宋体" w:hAnsi="宋体" w:eastAsia="宋体" w:cs="宋体"/>
      <w:sz w:val="21"/>
      <w:szCs w:val="21"/>
      <w:lang w:val="zh-CN" w:eastAsia="zh-CN" w:bidi="zh-CN"/>
    </w:rPr>
  </w:style>
  <w:style w:type="paragraph" w:styleId="1024" w:customStyle="1">
    <w:name w:val="正文2"/>
    <w:basedOn w:val="731"/>
    <w:uiPriority w:val="0"/>
    <w:qFormat/>
    <w:pPr>
      <w:ind w:firstLine="510"/>
      <w:spacing w:before="156" w:line="360" w:lineRule="auto"/>
    </w:pPr>
    <w:rPr>
      <w:sz w:val="24"/>
      <w:szCs w:val="20"/>
    </w:rPr>
  </w:style>
  <w:style w:type="paragraph" w:styleId="1025" w:customStyle="1">
    <w:name w:val="首行缩进"/>
    <w:basedOn w:val="731"/>
    <w:uiPriority w:val="0"/>
    <w:qFormat/>
    <w:pPr>
      <w:ind w:firstLine="480"/>
    </w:pPr>
    <w:rPr>
      <w:rFonts w:ascii="Times New Roman" w:hAnsi="Times New Roman" w:cs="Times New Roman"/>
      <w:lang w:val="zh-CN"/>
    </w:rPr>
  </w:style>
  <w:style w:type="paragraph" w:styleId="1026" w:customStyle="1">
    <w:name w:val="Normal_18_0"/>
    <w:uiPriority w:val="0"/>
    <w:qFormat/>
    <w:rPr>
      <w:rFonts w:hint="default" w:ascii="黑体" w:hAnsi="黑体" w:eastAsia="黑体" w:cs="黑体"/>
      <w:b/>
      <w:sz w:val="32"/>
      <w:szCs w:val="24"/>
      <w:lang w:val="en-US" w:eastAsia="zh-CN" w:bidi="ar-SA"/>
    </w:rPr>
  </w:style>
  <w:style w:type="paragraph" w:styleId="1027" w:customStyle="1">
    <w:name w:val="正文_12_0_0_0_0"/>
    <w:basedOn w:val="731"/>
    <w:uiPriority w:val="0"/>
    <w:qFormat/>
    <w:rPr>
      <w:rFonts w:ascii="Times New Roman" w:hAnsi="Times New Roman"/>
      <w:szCs w:val="24"/>
    </w:rPr>
  </w:style>
  <w:style w:type="paragraph" w:styleId="10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Normal_20"/>
    <w:uiPriority w:val="0"/>
    <w:qFormat/>
    <w:rPr>
      <w:rFonts w:hint="default" w:ascii="黑体" w:hAnsi="黑体" w:eastAsia="黑体" w:cs="黑体"/>
      <w:b/>
      <w:sz w:val="32"/>
      <w:szCs w:val="24"/>
      <w:lang w:val="en-US" w:eastAsia="zh-CN" w:bidi="ar-SA"/>
    </w:rPr>
  </w:style>
  <w:style w:type="paragraph" w:styleId="103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0"/>
    <w:uiPriority w:val="0"/>
    <w:qFormat/>
    <w:rPr>
      <w:rFonts w:hint="default" w:ascii="黑体" w:hAnsi="黑体" w:eastAsia="黑体" w:cs="Times New Roman"/>
      <w:b/>
      <w:sz w:val="32"/>
      <w:szCs w:val="24"/>
      <w:lang w:val="en-US" w:eastAsia="zh-CN" w:bidi="ar-SA"/>
    </w:rPr>
  </w:style>
  <w:style w:type="paragraph" w:styleId="1034" w:customStyle="1">
    <w:name w:val="部分1"/>
    <w:basedOn w:val="731"/>
    <w:uiPriority w:val="0"/>
    <w:qFormat/>
    <w:pPr>
      <w:jc w:val="center"/>
      <w:keepNext/>
      <w:pageBreakBefore/>
      <w:spacing w:line="360" w:lineRule="auto"/>
      <w:tabs>
        <w:tab w:val="left" w:pos="720" w:leader="none"/>
      </w:tabs>
      <w:outlineLvl w:val="0"/>
    </w:pPr>
    <w:rPr>
      <w:rFonts w:eastAsia="黑体"/>
      <w:b/>
      <w:sz w:val="36"/>
      <w:szCs w:val="20"/>
    </w:rPr>
  </w:style>
  <w:style w:type="paragraph" w:styleId="1035" w:customStyle="1">
    <w:name w:val="正文-公1"/>
    <w:next w:val="965"/>
    <w:uiPriority w:val="0"/>
    <w:qFormat/>
    <w:pPr>
      <w:ind w:firstLine="200"/>
      <w:jc w:val="both"/>
      <w:widowControl w:val="off"/>
    </w:pPr>
    <w:rPr>
      <w:rFonts w:hint="default" w:ascii="Calibri" w:hAnsi="Calibri" w:eastAsia="Arial" w:cs="黑体"/>
      <w:sz w:val="21"/>
      <w:szCs w:val="24"/>
      <w:lang w:val="en-US" w:eastAsia="zh-CN" w:bidi="ar-SA"/>
    </w:rPr>
  </w:style>
  <w:style w:type="paragraph" w:styleId="1036" w:customStyle="1">
    <w:name w:val="正文_3"/>
    <w:next w:val="731"/>
    <w:uiPriority w:val="0"/>
    <w:qFormat/>
    <w:pPr>
      <w:jc w:val="both"/>
      <w:widowControl w:val="off"/>
    </w:pPr>
    <w:rPr>
      <w:rFonts w:hint="default" w:ascii="Calibri" w:hAnsi="Calibri" w:eastAsia="宋体" w:cs="Times New Roman"/>
      <w:sz w:val="21"/>
      <w:szCs w:val="22"/>
      <w:lang w:val="en-US" w:eastAsia="zh-CN" w:bidi="ar-SA"/>
    </w:rPr>
  </w:style>
  <w:style w:type="character" w:styleId="1037" w:customStyle="1">
    <w:name w:val="10_0"/>
    <w:link w:val="731"/>
    <w:uiPriority w:val="0"/>
    <w:qFormat/>
    <w:rPr>
      <w:rFonts w:ascii="Times New Roman" w:hAnsi="Times New Roman" w:cs="Times New Roman"/>
    </w:rPr>
  </w:style>
  <w:style w:type="paragraph" w:styleId="1038" w:customStyle="1">
    <w:name w:val="WPSOffice手动目录 1"/>
    <w:uiPriority w:val="0"/>
    <w:qFormat/>
    <w:rPr>
      <w:rFonts w:ascii="Times New Roman" w:hAnsi="Times New Roman" w:eastAsia="宋体" w:cs="Times New Roman"/>
      <w:sz w:val="20"/>
      <w:szCs w:val="20"/>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沈晨</cp:lastModifiedBy>
  <cp:revision>506</cp:revision>
  <dcterms:created xsi:type="dcterms:W3CDTF">2024-07-16T01:02:00Z</dcterms:created>
  <dcterms:modified xsi:type="dcterms:W3CDTF">2024-11-06T04:27:09Z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780D5C97594A48DD96B19C3D013C627C_13</vt:lpwstr>
  </property>
</Properties>
</file>