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0"/>
        <w:rPr>
          <w:rFonts w:ascii="Times New Roman" w:hAnsi="Times New Roman" w:eastAsia="黑体"/>
          <w:b/>
          <w:bCs/>
          <w:sz w:val="84"/>
        </w:rPr>
      </w:pPr>
      <w:r>
        <w:rPr>
          <w:rFonts w:ascii="Times New Roman" w:hAnsi="Times New Roman" w:eastAsia="黑体"/>
          <w:b/>
          <w:bCs/>
          <w:sz w:val="84"/>
        </w:rPr>
      </w:r>
      <w:r/>
    </w:p>
    <w:p>
      <w:pPr>
        <w:jc w:val="center"/>
        <w:spacing w:before="120" w:after="120" w:line="360" w:lineRule="auto"/>
        <w:rPr>
          <w:rFonts w:eastAsia="黑体"/>
          <w:b/>
          <w:bCs/>
          <w:sz w:val="84"/>
          <w:szCs w:val="24"/>
        </w:rPr>
      </w:pPr>
      <w:r>
        <w:rPr>
          <w:rFonts w:hint="eastAsia" w:eastAsia="黑体"/>
          <w:b/>
          <w:bCs/>
          <w:sz w:val="84"/>
          <w:szCs w:val="24"/>
        </w:rPr>
        <w:t xml:space="preserve">招　标　文　件</w:t>
      </w:r>
      <w:r/>
    </w:p>
    <w:p>
      <w:pPr>
        <w:pStyle w:val="985"/>
        <w:ind w:firstLine="0"/>
        <w:rPr>
          <w:rFonts w:ascii="Times New Roman" w:hAnsi="Times New Roman"/>
          <w:b/>
          <w:bCs/>
          <w:sz w:val="32"/>
        </w:rPr>
      </w:pPr>
      <w:r>
        <w:rPr>
          <w:rFonts w:ascii="Times New Roman" w:hAnsi="Times New Roman"/>
          <w:b/>
          <w:bCs/>
          <w:sz w:val="32"/>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项目名称：苏宿园区2024年-2026年公共绿化养护项目</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项目编号：</w:t>
      </w:r>
      <w:r>
        <w:rPr>
          <w:rFonts w:hint="eastAsia" w:ascii="黑体" w:hAnsi="黑体" w:eastAsia="黑体"/>
          <w:b/>
          <w:bCs/>
          <w:sz w:val="32"/>
          <w:szCs w:val="32"/>
        </w:rPr>
        <w:t xml:space="preserve">JSZC-321395-XDDL-G2024-0008</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（服务类项目</w:t>
      </w:r>
      <w:r>
        <w:rPr>
          <w:rFonts w:ascii="黑体" w:hAnsi="黑体" w:eastAsia="黑体"/>
          <w:b/>
          <w:bCs/>
          <w:sz w:val="32"/>
          <w:szCs w:val="32"/>
        </w:rPr>
        <w:t xml:space="preserve">，</w:t>
      </w:r>
      <w:r>
        <w:rPr>
          <w:rFonts w:hint="eastAsia" w:ascii="黑体" w:hAnsi="黑体" w:eastAsia="黑体"/>
          <w:b/>
          <w:bCs/>
          <w:sz w:val="32"/>
          <w:szCs w:val="32"/>
          <w:u w:val="single"/>
        </w:rPr>
        <w:t xml:space="preserve">不</w:t>
      </w:r>
      <w:r>
        <w:rPr>
          <w:rFonts w:hint="eastAsia" w:ascii="黑体" w:hAnsi="黑体" w:eastAsia="黑体"/>
          <w:b/>
          <w:bCs/>
          <w:sz w:val="32"/>
          <w:szCs w:val="32"/>
        </w:rPr>
        <w:t xml:space="preserve">专门面向中小企业）</w:t>
      </w:r>
      <w:r/>
    </w:p>
    <w:p>
      <w:pPr>
        <w:jc w:val="center"/>
        <w:spacing w:before="120" w:after="120" w:line="360" w:lineRule="auto"/>
        <w:rPr>
          <w:rFonts w:ascii="黑体" w:hAnsi="黑体" w:eastAsia="黑体"/>
          <w:b/>
          <w:bCs/>
          <w:sz w:val="32"/>
          <w:szCs w:val="32"/>
        </w:rPr>
      </w:pPr>
      <w:r>
        <w:rPr>
          <w:rFonts w:ascii="黑体" w:hAnsi="黑体" w:eastAsia="黑体"/>
          <w:b/>
          <w:bCs/>
          <w:sz w:val="32"/>
          <w:szCs w:val="32"/>
        </w:rPr>
      </w:r>
      <w:r/>
    </w:p>
    <w:p>
      <w:pPr>
        <w:pStyle w:val="985"/>
        <w:ind w:firstLine="0"/>
        <w:spacing w:before="0" w:after="0"/>
        <w:rPr>
          <w:rFonts w:ascii="Times New Roman" w:hAnsi="Times New Roman"/>
        </w:rPr>
      </w:pPr>
      <w:r>
        <w:rPr>
          <w:rFonts w:ascii="Times New Roman" w:hAnsi="Times New Roman"/>
        </w:rPr>
      </w:r>
      <w:r/>
    </w:p>
    <w:p>
      <w:pPr>
        <w:pStyle w:val="985"/>
        <w:ind w:firstLine="0"/>
        <w:spacing w:before="0" w:after="0"/>
        <w:rPr>
          <w:rFonts w:ascii="Times New Roman" w:hAnsi="Times New Roman"/>
        </w:rPr>
      </w:pPr>
      <w:r>
        <w:rPr>
          <w:rFonts w:ascii="Times New Roman" w:hAnsi="Times New Roman"/>
        </w:rPr>
      </w:r>
      <w:r/>
    </w:p>
    <w:p>
      <w:pPr>
        <w:pStyle w:val="985"/>
        <w:ind w:firstLine="0"/>
        <w:spacing w:before="0" w:after="0"/>
        <w:rPr>
          <w:rFonts w:ascii="Times New Roman" w:hAnsi="Times New Roman"/>
        </w:rPr>
      </w:pPr>
      <w:r>
        <w:rPr>
          <w:rFonts w:ascii="Times New Roman" w:hAnsi="Times New Roman"/>
        </w:rPr>
      </w:r>
      <w:r/>
    </w:p>
    <w:p>
      <w:pPr>
        <w:pStyle w:val="985"/>
        <w:ind w:firstLine="0"/>
        <w:spacing w:before="0" w:after="0"/>
        <w:rPr>
          <w:rFonts w:ascii="Times New Roman" w:hAnsi="Times New Roman"/>
        </w:rPr>
      </w:pPr>
      <w:r>
        <w:rPr>
          <w:rFonts w:ascii="Times New Roman" w:hAnsi="Times New Roman"/>
        </w:rPr>
      </w:r>
      <w:r/>
    </w:p>
    <w:p>
      <w:pPr>
        <w:pStyle w:val="985"/>
        <w:ind w:firstLine="0"/>
        <w:spacing w:before="0" w:after="0"/>
        <w:rPr>
          <w:rFonts w:ascii="Times New Roman" w:hAnsi="Times New Roman"/>
        </w:rPr>
      </w:pPr>
      <w:r>
        <w:rPr>
          <w:rFonts w:ascii="Times New Roman" w:hAnsi="Times New Roman"/>
        </w:rPr>
      </w:r>
      <w:r/>
    </w:p>
    <w:p>
      <w:pPr>
        <w:pStyle w:val="985"/>
        <w:ind w:firstLine="0"/>
        <w:jc w:val="center"/>
        <w:rPr>
          <w:rFonts w:ascii="黑体" w:hAnsi="黑体" w:eastAsia="黑体"/>
          <w:b/>
          <w:bCs/>
          <w:sz w:val="32"/>
        </w:rPr>
      </w:pPr>
      <w:r>
        <w:rPr>
          <w:rFonts w:hint="eastAsia" w:ascii="黑体" w:hAnsi="黑体" w:eastAsia="黑体"/>
          <w:b/>
          <w:bCs/>
          <w:sz w:val="32"/>
        </w:rPr>
        <w:t xml:space="preserve">采购人：</w:t>
      </w:r>
      <w:r>
        <w:rPr>
          <w:rFonts w:hint="eastAsia" w:ascii="黑体" w:hAnsi="黑体" w:eastAsia="黑体"/>
          <w:b/>
          <w:bCs/>
          <w:sz w:val="32"/>
          <w:u w:val="single"/>
        </w:rPr>
        <w:t xml:space="preserve">苏州宿迁工业园区城市管理局</w:t>
      </w:r>
      <w:r/>
    </w:p>
    <w:p>
      <w:pPr>
        <w:pStyle w:val="985"/>
        <w:ind w:firstLine="0"/>
        <w:jc w:val="center"/>
        <w:rPr>
          <w:rFonts w:ascii="黑体" w:hAnsi="黑体" w:eastAsia="黑体"/>
          <w:b/>
          <w:bCs/>
          <w:sz w:val="32"/>
        </w:rPr>
      </w:pPr>
      <w:r>
        <w:rPr>
          <w:rFonts w:hint="eastAsia" w:ascii="黑体" w:hAnsi="黑体" w:eastAsia="黑体"/>
          <w:b/>
          <w:bCs/>
          <w:sz w:val="32"/>
        </w:rPr>
        <w:t xml:space="preserve">采购代理机构：</w:t>
      </w:r>
      <w:bookmarkStart w:id="0" w:name="EB467128df5f344d64af2c93ecdb42da19"/>
      <w:r>
        <w:rPr>
          <w:rFonts w:hint="eastAsia" w:ascii="黑体" w:hAnsi="黑体" w:eastAsia="黑体"/>
          <w:b/>
          <w:bCs/>
          <w:sz w:val="32"/>
          <w:u w:val="single"/>
        </w:rPr>
        <w:t xml:space="preserve">江苏信德工程管理咨询有限公司</w:t>
      </w:r>
      <w:bookmarkEnd w:id="0"/>
      <w:r/>
      <w:r/>
    </w:p>
    <w:p>
      <w:pPr>
        <w:pStyle w:val="985"/>
        <w:ind w:firstLine="0"/>
        <w:jc w:val="center"/>
        <w:rPr>
          <w:rFonts w:ascii="黑体" w:hAnsi="黑体" w:eastAsia="黑体"/>
          <w:b/>
          <w:bCs/>
          <w:sz w:val="32"/>
        </w:rPr>
      </w:pPr>
      <w:r>
        <w:rPr>
          <w:rFonts w:ascii="黑体" w:hAnsi="黑体" w:eastAsia="黑体"/>
          <w:b/>
          <w:bCs/>
          <w:sz w:val="32"/>
          <w:u w:val="single"/>
        </w:rPr>
        <w:t xml:space="preserve">2024</w:t>
      </w:r>
      <w:r>
        <w:rPr>
          <w:rFonts w:hint="eastAsia" w:ascii="黑体" w:hAnsi="黑体" w:eastAsia="黑体"/>
          <w:b/>
          <w:bCs/>
          <w:sz w:val="32"/>
        </w:rPr>
        <w:t xml:space="preserve">年</w:t>
      </w:r>
      <w:r>
        <w:rPr>
          <w:rFonts w:ascii="黑体" w:hAnsi="黑体" w:eastAsia="黑体"/>
          <w:b/>
          <w:bCs/>
          <w:sz w:val="32"/>
          <w:u w:val="single"/>
        </w:rPr>
        <w:t xml:space="preserve">4</w:t>
      </w:r>
      <w:r>
        <w:rPr>
          <w:rFonts w:hint="eastAsia" w:ascii="黑体" w:hAnsi="黑体" w:eastAsia="黑体"/>
          <w:b/>
          <w:bCs/>
          <w:sz w:val="32"/>
        </w:rPr>
        <w:t xml:space="preserve">月</w:t>
      </w:r>
      <w:r>
        <w:rPr>
          <w:rFonts w:ascii="黑体" w:hAnsi="黑体" w:eastAsia="黑体"/>
          <w:b/>
          <w:bCs/>
          <w:sz w:val="32"/>
          <w:u w:val="single"/>
        </w:rPr>
        <w:t xml:space="preserve">2</w:t>
      </w:r>
      <w:r>
        <w:rPr>
          <w:rFonts w:ascii="黑体" w:hAnsi="黑体" w:eastAsia="黑体"/>
          <w:b/>
          <w:bCs/>
          <w:sz w:val="32"/>
          <w:u w:val="single"/>
        </w:rPr>
        <w:t xml:space="preserve">5</w:t>
      </w:r>
      <w:r>
        <w:rPr>
          <w:rFonts w:hint="eastAsia" w:ascii="黑体" w:hAnsi="黑体" w:eastAsia="黑体"/>
          <w:b/>
          <w:bCs/>
          <w:sz w:val="32"/>
        </w:rPr>
        <w:t xml:space="preserve">日</w:t>
      </w:r>
      <w:r/>
    </w:p>
    <w:p>
      <w:pPr>
        <w:pStyle w:val="985"/>
        <w:ind w:firstLine="0"/>
        <w:rPr>
          <w:rFonts w:ascii="Times New Roman" w:hAnsi="Times New Roman"/>
          <w:u w:val="single"/>
        </w:rPr>
      </w:pPr>
      <w:r>
        <w:rPr>
          <w:rFonts w:hint="eastAsia" w:ascii="Times New Roman" w:hAnsi="Times New Roman"/>
        </w:rPr>
        <w:t xml:space="preserve">                        </w:t>
      </w:r>
      <w:r/>
    </w:p>
    <w:p>
      <w:pPr>
        <w:pStyle w:val="985"/>
        <w:ind w:firstLine="0"/>
        <w:jc w:val="center"/>
        <w:rPr>
          <w:rFonts w:ascii="Times New Roman" w:hAnsi="Times New Roman"/>
        </w:rPr>
      </w:pPr>
      <w:r>
        <w:rPr>
          <w:rFonts w:ascii="Times New Roman" w:hAnsi="Times New Roman"/>
        </w:rPr>
      </w:r>
      <w:r/>
    </w:p>
    <w:p>
      <w:pPr>
        <w:jc w:val="center"/>
        <w:rPr>
          <w:rFonts w:ascii="仿宋" w:hAnsi="仿宋" w:eastAsia="仿宋"/>
          <w:sz w:val="24"/>
          <w:szCs w:val="24"/>
        </w:rPr>
        <w:outlineLvl w:val="0"/>
      </w:pPr>
      <w:r>
        <w:br w:type="page" w:clear="all"/>
      </w:r>
      <w:bookmarkStart w:id="1" w:name="_Toc158112916"/>
      <w:r/>
      <w:bookmarkStart w:id="2" w:name="_Toc162865653"/>
      <w:r/>
      <w:bookmarkStart w:id="3" w:name="_Toc120614210"/>
      <w:r/>
      <w:bookmarkStart w:id="4" w:name="_Toc513029200"/>
      <w:r/>
      <w:bookmarkStart w:id="5" w:name="_Toc523127445"/>
      <w:r/>
      <w:bookmarkStart w:id="6" w:name="_Toc20823272"/>
      <w:r/>
      <w:bookmarkStart w:id="7" w:name="_Toc479757206"/>
      <w:r/>
      <w:bookmarkStart w:id="8" w:name="_Toc16938516"/>
      <w:r>
        <w:rPr>
          <w:rFonts w:ascii="仿宋" w:hAnsi="仿宋" w:eastAsia="仿宋"/>
          <w:sz w:val="24"/>
          <w:szCs w:val="24"/>
        </w:rPr>
        <w:t xml:space="preserve">目</w:t>
      </w:r>
      <w:r>
        <w:rPr>
          <w:rFonts w:hint="eastAsia" w:ascii="仿宋" w:hAnsi="仿宋" w:eastAsia="仿宋"/>
          <w:sz w:val="24"/>
          <w:szCs w:val="24"/>
        </w:rPr>
        <w:t xml:space="preserve"> </w:t>
      </w:r>
      <w:r>
        <w:rPr>
          <w:rFonts w:ascii="仿宋" w:hAnsi="仿宋" w:eastAsia="仿宋"/>
          <w:sz w:val="24"/>
          <w:szCs w:val="24"/>
        </w:rPr>
        <w:t xml:space="preserve">   录</w:t>
      </w:r>
      <w:bookmarkStart w:id="9" w:name="_GoBack"/>
      <w:r/>
      <w:bookmarkEnd w:id="1"/>
      <w:r/>
      <w:bookmarkEnd w:id="2"/>
      <w:r/>
      <w:bookmarkEnd w:id="9"/>
      <w:r>
        <w:rPr>
          <w:rFonts w:ascii="仿宋" w:hAnsi="仿宋" w:eastAsia="仿宋"/>
          <w:sz w:val="24"/>
          <w:szCs w:val="24"/>
        </w:rPr>
        <w:fldChar w:fldCharType="begin"/>
      </w:r>
      <w:r>
        <w:rPr>
          <w:rFonts w:ascii="仿宋" w:hAnsi="仿宋" w:eastAsia="仿宋"/>
          <w:sz w:val="24"/>
          <w:szCs w:val="24"/>
        </w:rPr>
        <w:instrText xml:space="preserve"> TOC \o "1-3" \h \z \u </w:instrText>
      </w:r>
      <w:r>
        <w:rPr>
          <w:rFonts w:ascii="仿宋" w:hAnsi="仿宋" w:eastAsia="仿宋"/>
          <w:sz w:val="24"/>
          <w:szCs w:val="24"/>
        </w:rPr>
        <w:fldChar w:fldCharType="separate"/>
      </w:r>
      <w:r/>
    </w:p>
    <w:p>
      <w:pPr>
        <w:pStyle w:val="911"/>
        <w:spacing w:line="240" w:lineRule="auto"/>
        <w:rPr>
          <w:rFonts w:ascii="仿宋" w:hAnsi="仿宋" w:eastAsia="仿宋"/>
          <w:caps w:val="0"/>
        </w:rPr>
      </w:pPr>
      <w:r/>
      <w:hyperlink w:tooltip="#_Toc162865653" w:anchor="_Toc162865653" w:history="1">
        <w:r>
          <w:rPr>
            <w:rStyle w:val="904"/>
            <w:rFonts w:hint="eastAsia" w:ascii="仿宋" w:hAnsi="仿宋" w:eastAsia="仿宋"/>
          </w:rPr>
          <w:t xml:space="preserve">目</w:t>
        </w:r>
        <w:r>
          <w:rPr>
            <w:rStyle w:val="904"/>
            <w:rFonts w:ascii="仿宋" w:hAnsi="仿宋" w:eastAsia="仿宋"/>
          </w:rPr>
          <w:t xml:space="preserve">    </w:t>
        </w:r>
        <w:r>
          <w:rPr>
            <w:rStyle w:val="904"/>
            <w:rFonts w:hint="eastAsia" w:ascii="仿宋" w:hAnsi="仿宋" w:eastAsia="仿宋"/>
          </w:rPr>
          <w:t xml:space="preserve">录</w:t>
        </w:r>
        <w:r>
          <w:rPr>
            <w:rFonts w:ascii="仿宋" w:hAnsi="仿宋" w:eastAsia="仿宋"/>
          </w:rPr>
          <w:tab/>
        </w:r>
        <w:r>
          <w:rPr>
            <w:rFonts w:ascii="仿宋" w:hAnsi="仿宋" w:eastAsia="仿宋"/>
          </w:rPr>
          <w:fldChar w:fldCharType="begin"/>
        </w:r>
        <w:r>
          <w:rPr>
            <w:rFonts w:ascii="仿宋" w:hAnsi="仿宋" w:eastAsia="仿宋"/>
          </w:rPr>
          <w:instrText xml:space="preserve"> PAGEREF _Toc162865653 \h </w:instrText>
        </w:r>
        <w:r>
          <w:rPr>
            <w:rFonts w:ascii="仿宋" w:hAnsi="仿宋" w:eastAsia="仿宋"/>
          </w:rPr>
        </w:r>
        <w:r>
          <w:rPr>
            <w:rFonts w:ascii="仿宋" w:hAnsi="仿宋" w:eastAsia="仿宋"/>
          </w:rPr>
          <w:fldChar w:fldCharType="separate"/>
        </w:r>
        <w:r>
          <w:rPr>
            <w:rFonts w:ascii="仿宋" w:hAnsi="仿宋" w:eastAsia="仿宋"/>
          </w:rPr>
          <w:t xml:space="preserve">2</w:t>
        </w:r>
        <w:r>
          <w:rPr>
            <w:rFonts w:ascii="仿宋" w:hAnsi="仿宋" w:eastAsia="仿宋"/>
          </w:rPr>
          <w:fldChar w:fldCharType="end"/>
        </w:r>
      </w:hyperlink>
      <w:r/>
      <w:r/>
    </w:p>
    <w:p>
      <w:pPr>
        <w:pStyle w:val="911"/>
        <w:spacing w:line="240" w:lineRule="auto"/>
        <w:rPr>
          <w:rFonts w:ascii="仿宋" w:hAnsi="仿宋" w:eastAsia="仿宋"/>
          <w:caps w:val="0"/>
        </w:rPr>
      </w:pPr>
      <w:r/>
      <w:hyperlink w:tooltip="#_Toc162865654" w:anchor="_Toc162865654" w:history="1">
        <w:r>
          <w:rPr>
            <w:rStyle w:val="904"/>
            <w:rFonts w:hint="eastAsia" w:ascii="仿宋" w:hAnsi="仿宋" w:eastAsia="仿宋"/>
          </w:rPr>
          <w:t xml:space="preserve">第一章</w:t>
        </w:r>
        <w:r>
          <w:rPr>
            <w:rStyle w:val="904"/>
            <w:rFonts w:ascii="仿宋" w:hAnsi="仿宋" w:eastAsia="仿宋"/>
          </w:rPr>
          <w:t xml:space="preserve">  </w:t>
        </w:r>
        <w:r>
          <w:rPr>
            <w:rStyle w:val="904"/>
            <w:rFonts w:hint="eastAsia" w:ascii="仿宋" w:hAnsi="仿宋" w:eastAsia="仿宋"/>
          </w:rPr>
          <w:t xml:space="preserve">投标邀请</w:t>
        </w:r>
        <w:r>
          <w:rPr>
            <w:rFonts w:ascii="仿宋" w:hAnsi="仿宋" w:eastAsia="仿宋"/>
          </w:rPr>
          <w:tab/>
        </w:r>
        <w:r>
          <w:rPr>
            <w:rFonts w:ascii="仿宋" w:hAnsi="仿宋" w:eastAsia="仿宋"/>
          </w:rPr>
          <w:fldChar w:fldCharType="begin"/>
        </w:r>
        <w:r>
          <w:rPr>
            <w:rFonts w:ascii="仿宋" w:hAnsi="仿宋" w:eastAsia="仿宋"/>
          </w:rPr>
          <w:instrText xml:space="preserve"> PAGEREF _Toc162865654 \h </w:instrText>
        </w:r>
        <w:r>
          <w:rPr>
            <w:rFonts w:ascii="仿宋" w:hAnsi="仿宋" w:eastAsia="仿宋"/>
          </w:rPr>
        </w:r>
        <w:r>
          <w:rPr>
            <w:rFonts w:ascii="仿宋" w:hAnsi="仿宋" w:eastAsia="仿宋"/>
          </w:rPr>
          <w:fldChar w:fldCharType="separate"/>
        </w:r>
        <w:r>
          <w:rPr>
            <w:rFonts w:ascii="仿宋" w:hAnsi="仿宋" w:eastAsia="仿宋"/>
          </w:rPr>
          <w:t xml:space="preserve">3</w:t>
        </w:r>
        <w:r>
          <w:rPr>
            <w:rFonts w:ascii="仿宋" w:hAnsi="仿宋" w:eastAsia="仿宋"/>
          </w:rPr>
          <w:fldChar w:fldCharType="end"/>
        </w:r>
      </w:hyperlink>
      <w:r/>
      <w:r/>
    </w:p>
    <w:p>
      <w:pPr>
        <w:pStyle w:val="912"/>
        <w:tabs>
          <w:tab w:val="right" w:pos="9736" w:leader="dot"/>
        </w:tabs>
        <w:rPr>
          <w:rFonts w:ascii="仿宋" w:hAnsi="仿宋" w:eastAsia="仿宋"/>
          <w:smallCaps w:val="0"/>
          <w:sz w:val="24"/>
        </w:rPr>
      </w:pPr>
      <w:r/>
      <w:hyperlink w:tooltip="#_Toc162865655" w:anchor="_Toc162865655" w:history="1">
        <w:r>
          <w:rPr>
            <w:rStyle w:val="904"/>
            <w:rFonts w:hint="eastAsia" w:ascii="仿宋" w:hAnsi="仿宋" w:eastAsia="仿宋"/>
            <w:sz w:val="24"/>
          </w:rPr>
          <w:t xml:space="preserve">一、项目基本情况</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_Toc162865655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56" w:anchor="_Toc162865656" w:history="1">
        <w:r>
          <w:rPr>
            <w:rStyle w:val="904"/>
            <w:rFonts w:hint="eastAsia" w:ascii="仿宋" w:hAnsi="仿宋" w:eastAsia="仿宋"/>
            <w:sz w:val="24"/>
          </w:rPr>
          <w:t xml:space="preserve">二、申请人的资格要求：</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_Toc162865656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57" w:anchor="_Toc162865657" w:history="1">
        <w:r>
          <w:rPr>
            <w:rStyle w:val="904"/>
            <w:rFonts w:hint="eastAsia" w:ascii="仿宋" w:hAnsi="仿宋" w:eastAsia="仿宋"/>
            <w:sz w:val="24"/>
          </w:rPr>
          <w:t xml:space="preserve">三、获取招标文件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_Toc162865657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58" w:anchor="_Toc162865658" w:history="1">
        <w:r>
          <w:rPr>
            <w:rStyle w:val="904"/>
            <w:rFonts w:hint="eastAsia" w:ascii="仿宋" w:hAnsi="仿宋" w:eastAsia="仿宋"/>
            <w:sz w:val="24"/>
          </w:rPr>
          <w:t xml:space="preserve">四、提交投标文件截止时间、开标时间和地点</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_Toc162865658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59" w:anchor="_Toc162865659" w:history="1">
        <w:r>
          <w:rPr>
            <w:rStyle w:val="904"/>
            <w:rFonts w:hint="eastAsia" w:ascii="仿宋" w:hAnsi="仿宋" w:eastAsia="仿宋"/>
            <w:sz w:val="24"/>
          </w:rPr>
          <w:t xml:space="preserve">五、公告期限</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_Toc162865659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0" w:anchor="_Toc162865660" w:history="1">
        <w:r>
          <w:rPr>
            <w:rStyle w:val="904"/>
            <w:rFonts w:hint="eastAsia" w:ascii="仿宋" w:hAnsi="仿宋" w:eastAsia="仿宋"/>
            <w:sz w:val="24"/>
          </w:rPr>
          <w:t xml:space="preserve">六、其他补充事宜</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1" w:anchor="_Toc162865661" w:history="1">
        <w:r>
          <w:rPr>
            <w:rStyle w:val="904"/>
            <w:rFonts w:hint="eastAsia" w:ascii="仿宋" w:hAnsi="仿宋" w:eastAsia="仿宋"/>
            <w:sz w:val="24"/>
          </w:rPr>
          <w:t xml:space="preserve">七、本次招标联系方式</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_Toc162865661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5</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2" w:anchor="_Toc162865662" w:history="1">
        <w:r>
          <w:rPr>
            <w:rStyle w:val="904"/>
            <w:rFonts w:hint="eastAsia" w:ascii="仿宋" w:hAnsi="仿宋" w:eastAsia="仿宋"/>
            <w:sz w:val="24"/>
          </w:rPr>
          <w:t xml:space="preserve">八、其他</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_Toc162865662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5</w:t>
        </w:r>
        <w:r>
          <w:rPr>
            <w:rFonts w:ascii="仿宋" w:hAnsi="仿宋" w:eastAsia="仿宋"/>
            <w:sz w:val="24"/>
          </w:rPr>
          <w:fldChar w:fldCharType="end"/>
        </w:r>
      </w:hyperlink>
      <w:r/>
      <w:r/>
    </w:p>
    <w:p>
      <w:pPr>
        <w:pStyle w:val="911"/>
        <w:spacing w:line="240" w:lineRule="auto"/>
        <w:rPr>
          <w:rFonts w:ascii="仿宋" w:hAnsi="仿宋" w:eastAsia="仿宋"/>
          <w:caps w:val="0"/>
        </w:rPr>
      </w:pPr>
      <w:r/>
      <w:hyperlink w:tooltip="#_Toc162865663" w:anchor="_Toc162865663" w:history="1">
        <w:r>
          <w:rPr>
            <w:rStyle w:val="904"/>
            <w:rFonts w:hint="eastAsia" w:ascii="仿宋" w:hAnsi="仿宋" w:eastAsia="仿宋"/>
          </w:rPr>
          <w:t xml:space="preserve">第二章</w:t>
        </w:r>
        <w:r>
          <w:rPr>
            <w:rStyle w:val="904"/>
            <w:rFonts w:ascii="仿宋" w:hAnsi="仿宋" w:eastAsia="仿宋"/>
          </w:rPr>
          <w:t xml:space="preserve">  </w:t>
        </w:r>
        <w:r>
          <w:rPr>
            <w:rStyle w:val="904"/>
            <w:rFonts w:hint="eastAsia" w:ascii="仿宋" w:hAnsi="仿宋" w:eastAsia="仿宋"/>
          </w:rPr>
          <w:t xml:space="preserve">投标人须知</w:t>
        </w:r>
        <w:r>
          <w:rPr>
            <w:rFonts w:ascii="仿宋" w:hAnsi="仿宋" w:eastAsia="仿宋"/>
          </w:rPr>
          <w:tab/>
        </w:r>
        <w:r>
          <w:rPr>
            <w:rFonts w:ascii="仿宋" w:hAnsi="仿宋" w:eastAsia="仿宋"/>
          </w:rPr>
          <w:fldChar w:fldCharType="begin"/>
        </w:r>
        <w:r>
          <w:rPr>
            <w:rFonts w:ascii="仿宋" w:hAnsi="仿宋" w:eastAsia="仿宋"/>
          </w:rPr>
          <w:instrText xml:space="preserve"> PAGEREF _Toc162865663 \h </w:instrText>
        </w:r>
        <w:r>
          <w:rPr>
            <w:rFonts w:ascii="仿宋" w:hAnsi="仿宋" w:eastAsia="仿宋"/>
          </w:rPr>
        </w:r>
        <w:r>
          <w:rPr>
            <w:rFonts w:ascii="仿宋" w:hAnsi="仿宋" w:eastAsia="仿宋"/>
          </w:rPr>
          <w:fldChar w:fldCharType="separate"/>
        </w:r>
        <w:r>
          <w:rPr>
            <w:rFonts w:ascii="仿宋" w:hAnsi="仿宋" w:eastAsia="仿宋"/>
          </w:rPr>
          <w:t xml:space="preserve">6</w:t>
        </w:r>
        <w:r>
          <w:rPr>
            <w:rFonts w:ascii="仿宋" w:hAnsi="仿宋" w:eastAsia="仿宋"/>
          </w:rPr>
          <w:fldChar w:fldCharType="end"/>
        </w:r>
      </w:hyperlink>
      <w:r/>
      <w:r/>
    </w:p>
    <w:p>
      <w:pPr>
        <w:pStyle w:val="912"/>
        <w:tabs>
          <w:tab w:val="right" w:pos="9736" w:leader="dot"/>
        </w:tabs>
        <w:rPr>
          <w:rFonts w:ascii="仿宋" w:hAnsi="仿宋" w:eastAsia="仿宋"/>
          <w:smallCaps w:val="0"/>
          <w:sz w:val="24"/>
        </w:rPr>
      </w:pPr>
      <w:r/>
      <w:hyperlink w:tooltip="#_Toc162865664" w:anchor="_Toc162865664" w:history="1">
        <w:r>
          <w:rPr>
            <w:rStyle w:val="904"/>
            <w:rFonts w:hint="eastAsia" w:ascii="仿宋" w:hAnsi="仿宋" w:eastAsia="仿宋"/>
            <w:sz w:val="24"/>
          </w:rPr>
          <w:t xml:space="preserve">一、总则</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6</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5" w:anchor="_Toc162865665" w:history="1">
        <w:r>
          <w:rPr>
            <w:rStyle w:val="904"/>
            <w:rFonts w:hint="eastAsia" w:ascii="仿宋" w:hAnsi="仿宋" w:eastAsia="仿宋"/>
            <w:sz w:val="24"/>
          </w:rPr>
          <w:t xml:space="preserve">二、招标文件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6</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6" w:anchor="_Toc162865666" w:history="1">
        <w:r>
          <w:rPr>
            <w:rStyle w:val="904"/>
            <w:rFonts w:hint="eastAsia" w:ascii="仿宋" w:hAnsi="仿宋" w:eastAsia="仿宋"/>
            <w:sz w:val="24"/>
          </w:rPr>
          <w:t xml:space="preserve">三、投标文件的编制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7</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7" w:anchor="_Toc162865667" w:history="1">
        <w:r>
          <w:rPr>
            <w:rStyle w:val="904"/>
            <w:rFonts w:hint="eastAsia" w:ascii="仿宋" w:hAnsi="仿宋" w:eastAsia="仿宋"/>
            <w:sz w:val="24"/>
          </w:rPr>
          <w:t xml:space="preserve">四、投标文件的递交</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8" w:anchor="_Toc162865668" w:history="1">
        <w:r>
          <w:rPr>
            <w:rStyle w:val="904"/>
            <w:rFonts w:hint="eastAsia" w:ascii="仿宋" w:hAnsi="仿宋" w:eastAsia="仿宋"/>
            <w:sz w:val="24"/>
          </w:rPr>
          <w:t xml:space="preserve">五、开标与评标</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69" w:anchor="_Toc162865669" w:history="1">
        <w:r>
          <w:rPr>
            <w:rStyle w:val="904"/>
            <w:rFonts w:hint="eastAsia" w:ascii="仿宋" w:hAnsi="仿宋" w:eastAsia="仿宋"/>
            <w:sz w:val="24"/>
          </w:rPr>
          <w:t xml:space="preserve">六、定标</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_Toc162865669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12</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70" w:anchor="_Toc162865670" w:history="1">
        <w:r>
          <w:rPr>
            <w:rStyle w:val="904"/>
            <w:rFonts w:hint="eastAsia" w:ascii="仿宋" w:hAnsi="仿宋" w:eastAsia="仿宋"/>
            <w:sz w:val="24"/>
          </w:rPr>
          <w:t xml:space="preserve">七、授予合同</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_Toc162865670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14</w:t>
        </w:r>
        <w:r>
          <w:rPr>
            <w:rFonts w:ascii="仿宋" w:hAnsi="仿宋" w:eastAsia="仿宋"/>
            <w:sz w:val="24"/>
          </w:rPr>
          <w:fldChar w:fldCharType="end"/>
        </w:r>
      </w:hyperlink>
      <w:r/>
      <w:r/>
    </w:p>
    <w:p>
      <w:pPr>
        <w:pStyle w:val="911"/>
        <w:spacing w:line="240" w:lineRule="auto"/>
        <w:rPr>
          <w:rFonts w:ascii="仿宋" w:hAnsi="仿宋" w:eastAsia="仿宋"/>
          <w:caps w:val="0"/>
        </w:rPr>
      </w:pPr>
      <w:r/>
      <w:hyperlink w:tooltip="#_Toc162865671" w:anchor="_Toc162865671" w:history="1">
        <w:r>
          <w:rPr>
            <w:rStyle w:val="904"/>
            <w:rFonts w:hint="eastAsia" w:ascii="仿宋" w:hAnsi="仿宋" w:eastAsia="仿宋"/>
          </w:rPr>
          <w:t xml:space="preserve">第三章</w:t>
        </w:r>
        <w:r>
          <w:rPr>
            <w:rStyle w:val="904"/>
            <w:rFonts w:ascii="仿宋" w:hAnsi="仿宋" w:eastAsia="仿宋"/>
          </w:rPr>
          <w:t xml:space="preserve">  </w:t>
        </w:r>
        <w:r>
          <w:rPr>
            <w:rStyle w:val="904"/>
            <w:rFonts w:hint="eastAsia" w:ascii="仿宋" w:hAnsi="仿宋" w:eastAsia="仿宋"/>
          </w:rPr>
          <w:t xml:space="preserve">合同文本</w:t>
        </w:r>
        <w:r>
          <w:rPr>
            <w:rFonts w:ascii="仿宋" w:hAnsi="仿宋" w:eastAsia="仿宋"/>
          </w:rPr>
          <w:tab/>
        </w:r>
        <w:r>
          <w:rPr>
            <w:rFonts w:ascii="仿宋" w:hAnsi="仿宋" w:eastAsia="仿宋"/>
          </w:rPr>
          <w:fldChar w:fldCharType="begin"/>
        </w:r>
        <w:r>
          <w:rPr>
            <w:rFonts w:ascii="仿宋" w:hAnsi="仿宋" w:eastAsia="仿宋"/>
          </w:rPr>
          <w:instrText xml:space="preserve"> PAGEREF _Toc162865671 \h </w:instrText>
        </w:r>
        <w:r>
          <w:rPr>
            <w:rFonts w:ascii="仿宋" w:hAnsi="仿宋" w:eastAsia="仿宋"/>
          </w:rPr>
        </w:r>
        <w:r>
          <w:rPr>
            <w:rFonts w:ascii="仿宋" w:hAnsi="仿宋" w:eastAsia="仿宋"/>
          </w:rPr>
          <w:fldChar w:fldCharType="separate"/>
        </w:r>
        <w:r>
          <w:rPr>
            <w:rFonts w:ascii="仿宋" w:hAnsi="仿宋" w:eastAsia="仿宋"/>
          </w:rPr>
          <w:t xml:space="preserve">17</w:t>
        </w:r>
        <w:r>
          <w:rPr>
            <w:rFonts w:ascii="仿宋" w:hAnsi="仿宋" w:eastAsia="仿宋"/>
          </w:rPr>
          <w:fldChar w:fldCharType="end"/>
        </w:r>
      </w:hyperlink>
      <w:r/>
      <w:r/>
    </w:p>
    <w:p>
      <w:pPr>
        <w:pStyle w:val="911"/>
        <w:spacing w:line="240" w:lineRule="auto"/>
        <w:rPr>
          <w:rFonts w:ascii="仿宋" w:hAnsi="仿宋" w:eastAsia="仿宋"/>
          <w:caps w:val="0"/>
        </w:rPr>
      </w:pPr>
      <w:r/>
      <w:hyperlink w:tooltip="#_Toc162865672" w:anchor="_Toc162865672" w:history="1">
        <w:r>
          <w:rPr>
            <w:rStyle w:val="904"/>
            <w:rFonts w:hint="eastAsia" w:ascii="仿宋" w:hAnsi="仿宋" w:eastAsia="仿宋"/>
          </w:rPr>
          <w:t xml:space="preserve">第四章</w:t>
        </w:r>
        <w:r>
          <w:rPr>
            <w:rStyle w:val="904"/>
            <w:rFonts w:ascii="仿宋" w:hAnsi="仿宋" w:eastAsia="仿宋"/>
          </w:rPr>
          <w:t xml:space="preserve">  </w:t>
        </w:r>
        <w:r>
          <w:rPr>
            <w:rStyle w:val="904"/>
            <w:rFonts w:hint="eastAsia" w:ascii="仿宋" w:hAnsi="仿宋" w:eastAsia="仿宋"/>
          </w:rPr>
          <w:t xml:space="preserve">采购需求</w:t>
        </w:r>
        <w:r>
          <w:rPr>
            <w:rFonts w:ascii="仿宋" w:hAnsi="仿宋" w:eastAsia="仿宋"/>
          </w:rPr>
          <w:tab/>
        </w:r>
        <w:r>
          <w:rPr>
            <w:rFonts w:ascii="仿宋" w:hAnsi="仿宋" w:eastAsia="仿宋"/>
          </w:rPr>
          <w:fldChar w:fldCharType="begin"/>
        </w:r>
        <w:r>
          <w:rPr>
            <w:rFonts w:ascii="仿宋" w:hAnsi="仿宋" w:eastAsia="仿宋"/>
          </w:rPr>
          <w:instrText xml:space="preserve"> PAGEREF _Toc162865672 \h </w:instrText>
        </w:r>
        <w:r>
          <w:rPr>
            <w:rFonts w:ascii="仿宋" w:hAnsi="仿宋" w:eastAsia="仿宋"/>
          </w:rPr>
        </w:r>
        <w:r>
          <w:rPr>
            <w:rFonts w:ascii="仿宋" w:hAnsi="仿宋" w:eastAsia="仿宋"/>
          </w:rPr>
          <w:fldChar w:fldCharType="separate"/>
        </w:r>
        <w:r>
          <w:rPr>
            <w:rFonts w:ascii="仿宋" w:hAnsi="仿宋" w:eastAsia="仿宋"/>
          </w:rPr>
          <w:t xml:space="preserve">35</w:t>
        </w:r>
        <w:r>
          <w:rPr>
            <w:rFonts w:ascii="仿宋" w:hAnsi="仿宋" w:eastAsia="仿宋"/>
          </w:rPr>
          <w:fldChar w:fldCharType="end"/>
        </w:r>
      </w:hyperlink>
      <w:r/>
      <w:r/>
    </w:p>
    <w:p>
      <w:pPr>
        <w:pStyle w:val="911"/>
        <w:spacing w:line="240" w:lineRule="auto"/>
        <w:rPr>
          <w:rFonts w:ascii="仿宋" w:hAnsi="仿宋" w:eastAsia="仿宋"/>
          <w:caps w:val="0"/>
        </w:rPr>
      </w:pPr>
      <w:r/>
      <w:hyperlink w:tooltip="#_Toc162865673" w:anchor="_Toc162865673" w:history="1">
        <w:r>
          <w:rPr>
            <w:rStyle w:val="904"/>
            <w:rFonts w:hint="eastAsia" w:ascii="仿宋" w:hAnsi="仿宋" w:eastAsia="仿宋"/>
          </w:rPr>
          <w:t xml:space="preserve">第五章</w:t>
        </w:r>
        <w:r>
          <w:rPr>
            <w:rStyle w:val="904"/>
            <w:rFonts w:ascii="仿宋" w:hAnsi="仿宋" w:eastAsia="仿宋"/>
          </w:rPr>
          <w:t xml:space="preserve">  </w:t>
        </w:r>
        <w:r>
          <w:rPr>
            <w:rStyle w:val="904"/>
            <w:rFonts w:hint="eastAsia" w:ascii="仿宋" w:hAnsi="仿宋" w:eastAsia="仿宋"/>
          </w:rPr>
          <w:t xml:space="preserve">评标方法与评标标准</w:t>
        </w:r>
        <w:r>
          <w:rPr>
            <w:rFonts w:ascii="仿宋" w:hAnsi="仿宋" w:eastAsia="仿宋"/>
          </w:rPr>
          <w:tab/>
        </w:r>
        <w:r>
          <w:rPr>
            <w:rFonts w:ascii="仿宋" w:hAnsi="仿宋" w:eastAsia="仿宋"/>
          </w:rPr>
          <w:fldChar w:fldCharType="begin"/>
        </w:r>
        <w:r>
          <w:rPr>
            <w:rFonts w:ascii="仿宋" w:hAnsi="仿宋" w:eastAsia="仿宋"/>
          </w:rPr>
          <w:instrText xml:space="preserve"> PAGEREF _Toc162865673 \h </w:instrText>
        </w:r>
        <w:r>
          <w:rPr>
            <w:rFonts w:ascii="仿宋" w:hAnsi="仿宋" w:eastAsia="仿宋"/>
          </w:rPr>
        </w:r>
        <w:r>
          <w:rPr>
            <w:rFonts w:ascii="仿宋" w:hAnsi="仿宋" w:eastAsia="仿宋"/>
          </w:rPr>
          <w:fldChar w:fldCharType="separate"/>
        </w:r>
        <w:r>
          <w:rPr>
            <w:rFonts w:ascii="仿宋" w:hAnsi="仿宋" w:eastAsia="仿宋"/>
          </w:rPr>
          <w:t xml:space="preserve">80</w:t>
        </w:r>
        <w:r>
          <w:rPr>
            <w:rFonts w:ascii="仿宋" w:hAnsi="仿宋" w:eastAsia="仿宋"/>
          </w:rPr>
          <w:fldChar w:fldCharType="end"/>
        </w:r>
      </w:hyperlink>
      <w:r/>
      <w:r/>
    </w:p>
    <w:p>
      <w:pPr>
        <w:pStyle w:val="911"/>
        <w:spacing w:line="240" w:lineRule="auto"/>
        <w:rPr>
          <w:rFonts w:ascii="仿宋" w:hAnsi="仿宋" w:eastAsia="仿宋"/>
          <w:caps w:val="0"/>
        </w:rPr>
      </w:pPr>
      <w:r/>
      <w:hyperlink w:tooltip="#_Toc162865674" w:anchor="_Toc162865674" w:history="1">
        <w:r>
          <w:rPr>
            <w:rStyle w:val="904"/>
            <w:rFonts w:hint="eastAsia" w:ascii="仿宋" w:hAnsi="仿宋" w:eastAsia="仿宋"/>
          </w:rPr>
          <w:t xml:space="preserve">第六章</w:t>
        </w:r>
        <w:r>
          <w:rPr>
            <w:rStyle w:val="904"/>
            <w:rFonts w:ascii="仿宋" w:hAnsi="仿宋" w:eastAsia="仿宋"/>
          </w:rPr>
          <w:t xml:space="preserve">  </w:t>
        </w:r>
        <w:r>
          <w:rPr>
            <w:rStyle w:val="904"/>
            <w:rFonts w:hint="eastAsia" w:ascii="仿宋" w:hAnsi="仿宋" w:eastAsia="仿宋"/>
          </w:rPr>
          <w:t xml:space="preserve">投标文件格式</w:t>
        </w:r>
        <w:r>
          <w:rPr>
            <w:rFonts w:ascii="仿宋" w:hAnsi="仿宋" w:eastAsia="仿宋"/>
          </w:rPr>
          <w:tab/>
        </w:r>
        <w:r>
          <w:rPr>
            <w:rFonts w:ascii="仿宋" w:hAnsi="仿宋" w:eastAsia="仿宋"/>
          </w:rPr>
          <w:fldChar w:fldCharType="begin"/>
        </w:r>
        <w:r>
          <w:rPr>
            <w:rFonts w:ascii="仿宋" w:hAnsi="仿宋" w:eastAsia="仿宋"/>
          </w:rPr>
          <w:instrText xml:space="preserve"> PAGEREF _Toc162865674 \h </w:instrText>
        </w:r>
        <w:r>
          <w:rPr>
            <w:rFonts w:ascii="仿宋" w:hAnsi="仿宋" w:eastAsia="仿宋"/>
          </w:rPr>
        </w:r>
        <w:r>
          <w:rPr>
            <w:rFonts w:ascii="仿宋" w:hAnsi="仿宋" w:eastAsia="仿宋"/>
          </w:rPr>
          <w:fldChar w:fldCharType="separate"/>
        </w:r>
        <w:r>
          <w:rPr>
            <w:rFonts w:ascii="仿宋" w:hAnsi="仿宋" w:eastAsia="仿宋"/>
          </w:rPr>
          <w:t xml:space="preserve">86</w:t>
        </w:r>
        <w:r>
          <w:rPr>
            <w:rFonts w:ascii="仿宋" w:hAnsi="仿宋" w:eastAsia="仿宋"/>
          </w:rPr>
          <w:fldChar w:fldCharType="end"/>
        </w:r>
      </w:hyperlink>
      <w:r/>
      <w:r/>
    </w:p>
    <w:p>
      <w:pPr>
        <w:pStyle w:val="912"/>
        <w:tabs>
          <w:tab w:val="right" w:pos="9736" w:leader="dot"/>
        </w:tabs>
        <w:rPr>
          <w:rFonts w:ascii="仿宋" w:hAnsi="仿宋" w:eastAsia="仿宋"/>
          <w:smallCaps w:val="0"/>
          <w:sz w:val="24"/>
        </w:rPr>
      </w:pPr>
      <w:r/>
      <w:hyperlink w:tooltip="#_Toc162865675" w:anchor="_Toc162865675" w:history="1">
        <w:r>
          <w:rPr>
            <w:rStyle w:val="904"/>
            <w:rFonts w:hint="eastAsia" w:ascii="仿宋" w:hAnsi="仿宋" w:eastAsia="仿宋"/>
            <w:sz w:val="24"/>
          </w:rPr>
          <w:t xml:space="preserve">一、投标声明及承诺函</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_Toc162865675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88</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76" w:anchor="_Toc162865676" w:history="1">
        <w:r>
          <w:rPr>
            <w:rStyle w:val="904"/>
            <w:rFonts w:hint="eastAsia" w:ascii="仿宋" w:hAnsi="仿宋" w:eastAsia="仿宋"/>
            <w:sz w:val="24"/>
          </w:rPr>
          <w:t xml:space="preserve">二、投标人基本情况</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_Toc162865676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89</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77" w:anchor="_Toc162865677" w:history="1">
        <w:r>
          <w:rPr>
            <w:rStyle w:val="904"/>
            <w:rFonts w:hint="eastAsia" w:ascii="仿宋" w:hAnsi="仿宋" w:eastAsia="仿宋"/>
            <w:sz w:val="24"/>
          </w:rPr>
          <w:t xml:space="preserve">三、法人授权书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_Toc162865677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90</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78" w:anchor="_Toc162865678" w:history="1">
        <w:r>
          <w:rPr>
            <w:rStyle w:val="904"/>
            <w:rFonts w:hint="eastAsia" w:ascii="仿宋" w:hAnsi="仿宋" w:eastAsia="仿宋"/>
            <w:sz w:val="24"/>
          </w:rPr>
          <w:t xml:space="preserve">四、开标一览表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_Toc162865678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91</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79" w:anchor="_Toc162865679" w:history="1">
        <w:r>
          <w:rPr>
            <w:rStyle w:val="904"/>
            <w:rFonts w:hint="eastAsia" w:ascii="仿宋" w:hAnsi="仿宋" w:eastAsia="仿宋"/>
            <w:sz w:val="24"/>
          </w:rPr>
          <w:t xml:space="preserve">五、投标报价明细表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_Toc162865679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92</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0" w:anchor="_Toc162865680" w:history="1">
        <w:r>
          <w:rPr>
            <w:rStyle w:val="904"/>
            <w:rFonts w:hint="eastAsia" w:ascii="仿宋" w:hAnsi="仿宋" w:eastAsia="仿宋"/>
            <w:sz w:val="24"/>
          </w:rPr>
          <w:t xml:space="preserve">六、中小企业声明函（服务）</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93</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1" w:anchor="_Toc162865681" w:history="1">
        <w:r>
          <w:rPr>
            <w:rStyle w:val="904"/>
            <w:rFonts w:hint="eastAsia" w:ascii="仿宋" w:hAnsi="仿宋" w:eastAsia="仿宋"/>
            <w:sz w:val="24"/>
          </w:rPr>
          <w:t xml:space="preserve">七、技术要求响应及偏离表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_Toc162865681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95</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2" w:anchor="_Toc162865682" w:history="1">
        <w:r>
          <w:rPr>
            <w:rStyle w:val="904"/>
            <w:rFonts w:hint="eastAsia" w:ascii="仿宋" w:hAnsi="仿宋" w:eastAsia="仿宋"/>
            <w:sz w:val="24"/>
          </w:rPr>
          <w:t xml:space="preserve">八、项目实施方案</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_Toc162865682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96</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3" w:anchor="_Toc162865683" w:history="1">
        <w:r>
          <w:rPr>
            <w:rStyle w:val="904"/>
            <w:rFonts w:hint="eastAsia" w:ascii="仿宋" w:hAnsi="仿宋" w:eastAsia="仿宋"/>
            <w:sz w:val="24"/>
          </w:rPr>
          <w:t xml:space="preserve">九、项目组人员</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97</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4" w:anchor="_Toc162865684" w:history="1">
        <w:r>
          <w:rPr>
            <w:rStyle w:val="904"/>
            <w:rFonts w:hint="eastAsia" w:ascii="仿宋" w:hAnsi="仿宋" w:eastAsia="仿宋"/>
            <w:sz w:val="24"/>
          </w:rPr>
          <w:t xml:space="preserve">十、企业业绩</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101</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5" w:anchor="_Toc162865685" w:history="1">
        <w:r>
          <w:rPr>
            <w:rStyle w:val="904"/>
            <w:rFonts w:hint="eastAsia" w:ascii="仿宋" w:hAnsi="仿宋" w:eastAsia="仿宋"/>
            <w:sz w:val="24"/>
          </w:rPr>
          <w:t xml:space="preserve">十一、用工承诺书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102</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6" w:anchor="_Toc162865686" w:history="1">
        <w:r>
          <w:rPr>
            <w:rStyle w:val="904"/>
            <w:rFonts w:hint="eastAsia" w:ascii="仿宋" w:hAnsi="仿宋" w:eastAsia="仿宋"/>
            <w:sz w:val="24"/>
          </w:rPr>
          <w:t xml:space="preserve">十二、办公场所承诺书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103</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7" w:anchor="_Toc162865687" w:history="1">
        <w:r>
          <w:rPr>
            <w:rStyle w:val="904"/>
            <w:rFonts w:hint="eastAsia" w:ascii="仿宋" w:hAnsi="仿宋" w:eastAsia="仿宋" w:cs="宋体"/>
            <w:sz w:val="24"/>
          </w:rPr>
          <w:t xml:space="preserve">十三、车辆常驻苏宿园区承诺书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104</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8" w:anchor="_Toc162865688" w:history="1">
        <w:r>
          <w:rPr>
            <w:rStyle w:val="904"/>
            <w:rFonts w:hint="eastAsia" w:ascii="仿宋" w:hAnsi="仿宋" w:eastAsia="仿宋" w:cs="宋体"/>
            <w:sz w:val="24"/>
          </w:rPr>
          <w:t xml:space="preserve">十四、工程投标及施工管理承诺书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105</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89" w:anchor="_Toc162865689" w:history="1">
        <w:r>
          <w:rPr>
            <w:rStyle w:val="904"/>
            <w:rFonts w:hint="eastAsia" w:ascii="仿宋" w:hAnsi="仿宋" w:eastAsia="仿宋" w:cs="宋体"/>
            <w:sz w:val="24"/>
          </w:rPr>
          <w:t xml:space="preserve">十五、拟投入设备配置表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_Toc162865689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106</w:t>
        </w:r>
        <w:r>
          <w:rPr>
            <w:rFonts w:ascii="仿宋" w:hAnsi="仿宋" w:eastAsia="仿宋"/>
            <w:sz w:val="24"/>
          </w:rPr>
          <w:fldChar w:fldCharType="end"/>
        </w:r>
      </w:hyperlink>
      <w:r/>
      <w:r/>
    </w:p>
    <w:p>
      <w:pPr>
        <w:pStyle w:val="912"/>
        <w:tabs>
          <w:tab w:val="right" w:pos="9736" w:leader="dot"/>
        </w:tabs>
        <w:rPr>
          <w:rFonts w:ascii="仿宋" w:hAnsi="仿宋" w:eastAsia="仿宋"/>
          <w:smallCaps w:val="0"/>
          <w:sz w:val="24"/>
        </w:rPr>
      </w:pPr>
      <w:r/>
      <w:hyperlink w:tooltip="#_Toc162865690" w:anchor="_Toc162865690" w:history="1">
        <w:r>
          <w:rPr>
            <w:rStyle w:val="904"/>
            <w:rFonts w:hint="eastAsia" w:ascii="仿宋" w:hAnsi="仿宋" w:eastAsia="仿宋"/>
            <w:sz w:val="24"/>
          </w:rPr>
          <w:t xml:space="preserve">十六、投标所需其他材料</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_Toc162865690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108</w:t>
        </w:r>
        <w:r>
          <w:rPr>
            <w:rFonts w:ascii="仿宋" w:hAnsi="仿宋" w:eastAsia="仿宋"/>
            <w:sz w:val="24"/>
          </w:rPr>
          <w:fldChar w:fldCharType="end"/>
        </w:r>
      </w:hyperlink>
      <w:r/>
      <w:r/>
    </w:p>
    <w:p>
      <w:r>
        <w:rPr>
          <w:rFonts w:ascii="仿宋" w:hAnsi="仿宋" w:eastAsia="仿宋"/>
          <w:bCs/>
          <w:sz w:val="24"/>
          <w:szCs w:val="24"/>
          <w:lang w:val="zh-CN"/>
        </w:rPr>
        <w:fldChar w:fldCharType="end"/>
      </w:r>
      <w:r/>
    </w:p>
    <w:p>
      <w:r/>
      <w:r/>
    </w:p>
    <w:p>
      <w:pPr>
        <w:pStyle w:val="747"/>
        <w:spacing w:line="360" w:lineRule="auto"/>
        <w:rPr>
          <w:rFonts w:ascii="黑体" w:hAnsi="黑体" w:eastAsia="黑体"/>
          <w:bCs/>
          <w:sz w:val="44"/>
          <w:szCs w:val="44"/>
        </w:rPr>
      </w:pPr>
      <w:r/>
      <w:bookmarkStart w:id="10" w:name="_Toc162865654"/>
      <w:r>
        <w:rPr>
          <w:rFonts w:hint="eastAsia" w:ascii="黑体" w:hAnsi="黑体" w:eastAsia="黑体"/>
          <w:sz w:val="44"/>
          <w:szCs w:val="44"/>
        </w:rPr>
        <w:t xml:space="preserve">第一章  </w:t>
      </w:r>
      <w:bookmarkEnd w:id="3"/>
      <w:r>
        <w:rPr>
          <w:rFonts w:hint="eastAsia" w:ascii="黑体" w:hAnsi="黑体" w:eastAsia="黑体"/>
          <w:sz w:val="44"/>
          <w:szCs w:val="44"/>
        </w:rPr>
        <w:t xml:space="preserve">投标邀请</w:t>
      </w:r>
      <w:bookmarkEnd w:id="10"/>
      <w:r/>
      <w:r/>
    </w:p>
    <w:p>
      <w:pPr>
        <w:ind w:firstLine="480"/>
        <w:spacing w:line="360" w:lineRule="auto"/>
        <w:rPr>
          <w:rFonts w:ascii="仿宋" w:hAnsi="仿宋" w:eastAsia="仿宋"/>
          <w:sz w:val="24"/>
          <w:szCs w:val="24"/>
        </w:rPr>
      </w:pPr>
      <w:r>
        <w:rPr>
          <w:rFonts w:hint="eastAsia" w:ascii="仿宋" w:hAnsi="仿宋" w:eastAsia="仿宋"/>
          <w:sz w:val="24"/>
          <w:szCs w:val="24"/>
        </w:rPr>
        <w:t xml:space="preserve">受</w:t>
      </w:r>
      <w:r>
        <w:rPr>
          <w:rFonts w:hint="eastAsia" w:ascii="仿宋" w:hAnsi="仿宋" w:eastAsia="仿宋"/>
          <w:sz w:val="24"/>
          <w:szCs w:val="24"/>
          <w:u w:val="single"/>
        </w:rPr>
        <w:t xml:space="preserve">[苏州宿迁工业园区城市管理局]</w:t>
      </w:r>
      <w:r>
        <w:rPr>
          <w:rFonts w:hint="eastAsia" w:ascii="仿宋" w:hAnsi="仿宋" w:eastAsia="仿宋"/>
          <w:sz w:val="24"/>
          <w:szCs w:val="24"/>
        </w:rPr>
        <w:t xml:space="preserve">的委托，</w:t>
      </w:r>
      <w:r>
        <w:rPr>
          <w:rFonts w:hint="eastAsia" w:ascii="仿宋" w:hAnsi="仿宋" w:eastAsia="仿宋"/>
          <w:sz w:val="24"/>
          <w:szCs w:val="24"/>
          <w:u w:val="single"/>
        </w:rPr>
        <w:t xml:space="preserve">[江苏信德工程管理咨询有限公司]</w:t>
      </w:r>
      <w:r>
        <w:rPr>
          <w:rFonts w:hint="eastAsia" w:ascii="仿宋" w:hAnsi="仿宋" w:eastAsia="仿宋"/>
          <w:sz w:val="24"/>
          <w:szCs w:val="24"/>
        </w:rPr>
        <w:t xml:space="preserve">就</w:t>
      </w:r>
      <w:r>
        <w:rPr>
          <w:rFonts w:hint="eastAsia" w:ascii="仿宋" w:hAnsi="仿宋" w:eastAsia="仿宋"/>
          <w:sz w:val="24"/>
          <w:szCs w:val="24"/>
          <w:u w:val="single"/>
        </w:rPr>
        <w:t xml:space="preserve">[苏宿园区2024年-2026年公共绿化养护项目]([</w:t>
      </w:r>
      <w:r>
        <w:rPr>
          <w:rFonts w:ascii="仿宋" w:hAnsi="仿宋" w:eastAsia="仿宋"/>
          <w:sz w:val="24"/>
          <w:szCs w:val="24"/>
          <w:u w:val="single"/>
        </w:rPr>
        <w:t xml:space="preserve">JSZC-321395-XDDL-G2024-0008</w:t>
      </w:r>
      <w:r>
        <w:rPr>
          <w:rFonts w:hint="eastAsia" w:ascii="仿宋" w:hAnsi="仿宋" w:eastAsia="仿宋"/>
          <w:sz w:val="24"/>
          <w:szCs w:val="24"/>
          <w:u w:val="single"/>
        </w:rPr>
        <w:t xml:space="preserve">])</w:t>
      </w:r>
      <w:r>
        <w:rPr>
          <w:rFonts w:hint="eastAsia" w:ascii="仿宋" w:hAnsi="仿宋" w:eastAsia="仿宋"/>
          <w:sz w:val="24"/>
          <w:szCs w:val="24"/>
        </w:rPr>
        <w:t xml:space="preserve">项目进行公开招标采购，欢迎符合条件的投标人投标。</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(苏宿园区2024年-2026年公共绿化养护项目</w:t>
      </w:r>
      <w:r>
        <w:rPr>
          <w:rFonts w:ascii="仿宋" w:hAnsi="仿宋" w:eastAsia="仿宋"/>
          <w:sz w:val="24"/>
          <w:szCs w:val="24"/>
          <w:u w:val="single"/>
        </w:rPr>
        <w:t xml:space="preserve">)</w:t>
      </w:r>
      <w:r>
        <w:rPr>
          <w:rFonts w:hint="eastAsia" w:ascii="仿宋" w:hAnsi="仿宋" w:eastAsia="仿宋"/>
          <w:sz w:val="24"/>
          <w:szCs w:val="24"/>
        </w:rPr>
        <w:t xml:space="preserve"> 招标项目的潜在投标人可在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招标文件，并于</w:t>
      </w:r>
      <w:r>
        <w:rPr>
          <w:rFonts w:ascii="仿宋" w:hAnsi="仿宋" w:eastAsia="仿宋"/>
          <w:sz w:val="24"/>
          <w:szCs w:val="24"/>
          <w:u w:val="single"/>
        </w:rPr>
        <w:t xml:space="preserve">2024</w:t>
      </w:r>
      <w:r>
        <w:rPr>
          <w:rFonts w:hint="eastAsia" w:ascii="仿宋" w:hAnsi="仿宋" w:eastAsia="仿宋"/>
          <w:bCs/>
          <w:sz w:val="24"/>
          <w:szCs w:val="24"/>
          <w:u w:val="single"/>
        </w:rPr>
        <w:t xml:space="preserve">年</w:t>
      </w:r>
      <w:r>
        <w:rPr>
          <w:rFonts w:ascii="仿宋" w:hAnsi="仿宋" w:eastAsia="仿宋"/>
          <w:bCs/>
          <w:sz w:val="24"/>
          <w:szCs w:val="24"/>
          <w:u w:val="single"/>
        </w:rPr>
        <w:t xml:space="preserve">5</w:t>
      </w:r>
      <w:r>
        <w:rPr>
          <w:rFonts w:hint="eastAsia" w:ascii="仿宋" w:hAnsi="仿宋" w:eastAsia="仿宋"/>
          <w:bCs/>
          <w:sz w:val="24"/>
          <w:szCs w:val="24"/>
          <w:u w:val="single"/>
        </w:rPr>
        <w:t xml:space="preserve">月</w:t>
      </w:r>
      <w:r>
        <w:rPr>
          <w:rFonts w:ascii="仿宋" w:hAnsi="仿宋" w:eastAsia="仿宋"/>
          <w:bCs/>
          <w:sz w:val="24"/>
          <w:szCs w:val="24"/>
          <w:u w:val="single"/>
        </w:rPr>
        <w:t xml:space="preserve">1</w:t>
      </w:r>
      <w:r>
        <w:rPr>
          <w:rFonts w:ascii="仿宋" w:hAnsi="仿宋" w:eastAsia="仿宋"/>
          <w:bCs/>
          <w:sz w:val="24"/>
          <w:szCs w:val="24"/>
          <w:u w:val="single"/>
        </w:rPr>
        <w:t xml:space="preserve">6</w:t>
      </w:r>
      <w:r>
        <w:rPr>
          <w:rFonts w:hint="eastAsia" w:ascii="仿宋" w:hAnsi="仿宋" w:eastAsia="仿宋"/>
          <w:bCs/>
          <w:sz w:val="24"/>
          <w:szCs w:val="24"/>
          <w:u w:val="single"/>
        </w:rPr>
        <w:t xml:space="preserve">日</w:t>
      </w:r>
      <w:r>
        <w:rPr>
          <w:rFonts w:ascii="仿宋" w:hAnsi="仿宋" w:eastAsia="仿宋"/>
          <w:bCs/>
          <w:sz w:val="24"/>
          <w:szCs w:val="24"/>
          <w:u w:val="single"/>
        </w:rPr>
        <w:t xml:space="preserve">9</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北京时间）前递交投标</w:t>
      </w:r>
      <w:r>
        <w:rPr>
          <w:rFonts w:ascii="仿宋" w:hAnsi="仿宋" w:eastAsia="仿宋"/>
          <w:bCs/>
          <w:sz w:val="24"/>
          <w:szCs w:val="24"/>
        </w:rPr>
        <w:t xml:space="preserve">文件</w:t>
      </w:r>
      <w:r>
        <w:rPr>
          <w:rFonts w:hint="eastAsia" w:ascii="仿宋" w:hAnsi="仿宋" w:eastAsia="仿宋"/>
          <w:sz w:val="24"/>
          <w:szCs w:val="24"/>
        </w:rPr>
        <w:t xml:space="preserve">。</w:t>
      </w:r>
      <w:r/>
    </w:p>
    <w:p>
      <w:pPr>
        <w:pStyle w:val="748"/>
        <w:jc w:val="both"/>
        <w:spacing w:before="160" w:after="160" w:line="400" w:lineRule="exact"/>
        <w:rPr>
          <w:rFonts w:ascii="黑体" w:hAnsi="黑体" w:eastAsia="黑体"/>
          <w:b w:val="0"/>
          <w:bCs w:val="0"/>
          <w:sz w:val="32"/>
          <w:szCs w:val="32"/>
        </w:rPr>
      </w:pPr>
      <w:r/>
      <w:bookmarkStart w:id="11" w:name="_Toc28359079"/>
      <w:r/>
      <w:bookmarkStart w:id="12" w:name="_Toc38985263"/>
      <w:r/>
      <w:bookmarkStart w:id="13" w:name="_Toc28359002"/>
      <w:r/>
      <w:bookmarkStart w:id="14" w:name="_Toc35393621"/>
      <w:r/>
      <w:bookmarkStart w:id="15" w:name="_Toc35393790"/>
      <w:r/>
      <w:bookmarkStart w:id="16" w:name="_Toc162865655"/>
      <w:r/>
      <w:bookmarkStart w:id="17" w:name="_Hlk24379207"/>
      <w:r>
        <w:rPr>
          <w:rFonts w:hint="eastAsia" w:ascii="黑体" w:hAnsi="黑体" w:eastAsia="黑体"/>
          <w:b w:val="0"/>
          <w:bCs w:val="0"/>
          <w:sz w:val="32"/>
          <w:szCs w:val="32"/>
        </w:rPr>
        <w:t xml:space="preserve">一、项目基本情况</w:t>
      </w:r>
      <w:bookmarkEnd w:id="11"/>
      <w:r/>
      <w:bookmarkEnd w:id="12"/>
      <w:r/>
      <w:bookmarkEnd w:id="13"/>
      <w:r/>
      <w:bookmarkEnd w:id="14"/>
      <w:r/>
      <w:bookmarkEnd w:id="15"/>
      <w:r/>
      <w:bookmarkEnd w:id="16"/>
      <w:r/>
      <w:r/>
    </w:p>
    <w:p>
      <w:pPr>
        <w:ind w:firstLine="480"/>
        <w:spacing w:line="360" w:lineRule="auto"/>
        <w:rPr>
          <w:rFonts w:ascii="仿宋" w:hAnsi="仿宋" w:eastAsia="仿宋"/>
          <w:sz w:val="24"/>
          <w:szCs w:val="24"/>
        </w:rPr>
      </w:pPr>
      <w:r>
        <w:rPr>
          <w:rFonts w:hint="eastAsia" w:ascii="仿宋" w:hAnsi="仿宋" w:eastAsia="仿宋"/>
          <w:sz w:val="24"/>
          <w:szCs w:val="24"/>
        </w:rPr>
        <w:t xml:space="preserve">1.项目编号：</w:t>
      </w:r>
      <w:r>
        <w:rPr>
          <w:rFonts w:ascii="仿宋" w:hAnsi="仿宋" w:eastAsia="仿宋"/>
          <w:sz w:val="24"/>
          <w:szCs w:val="24"/>
        </w:rPr>
        <w:t xml:space="preserve">JSZC-321395-XDDL-G2024-0008</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2.项目名称：苏宿园区2024年-2026年公共绿化养护项目</w:t>
      </w:r>
      <w:bookmarkEnd w:id="17"/>
      <w:r/>
      <w:r/>
    </w:p>
    <w:p>
      <w:pPr>
        <w:ind w:firstLine="480"/>
        <w:spacing w:line="360" w:lineRule="auto"/>
        <w:rPr>
          <w:rFonts w:ascii="仿宋" w:hAnsi="仿宋" w:eastAsia="仿宋"/>
          <w:sz w:val="24"/>
          <w:szCs w:val="24"/>
        </w:rPr>
      </w:pPr>
      <w:r>
        <w:rPr>
          <w:rFonts w:hint="eastAsia" w:ascii="仿宋" w:hAnsi="仿宋" w:eastAsia="仿宋"/>
          <w:sz w:val="24"/>
          <w:szCs w:val="24"/>
        </w:rPr>
        <w:t xml:space="preserve">3.预算金额：</w:t>
      </w:r>
      <w:r>
        <w:rPr>
          <w:rFonts w:ascii="仿宋" w:hAnsi="仿宋" w:eastAsia="仿宋"/>
          <w:sz w:val="24"/>
          <w:szCs w:val="24"/>
        </w:rPr>
        <w:t xml:space="preserve">13037671.28元</w:t>
      </w:r>
      <w:r/>
    </w:p>
    <w:p>
      <w:pPr>
        <w:ind w:firstLine="480"/>
        <w:spacing w:line="360" w:lineRule="auto"/>
        <w:rPr>
          <w:rFonts w:ascii="仿宋" w:hAnsi="仿宋" w:eastAsia="仿宋" w:cs="宋体"/>
          <w:sz w:val="24"/>
          <w:szCs w:val="24"/>
        </w:rPr>
      </w:pPr>
      <w:r>
        <w:rPr>
          <w:rFonts w:hint="eastAsia" w:ascii="仿宋" w:hAnsi="仿宋" w:eastAsia="仿宋"/>
          <w:sz w:val="24"/>
          <w:szCs w:val="24"/>
        </w:rPr>
        <w:t xml:space="preserve">4.本项目</w:t>
      </w:r>
      <w:r>
        <w:rPr>
          <w:rFonts w:hint="eastAsia" w:ascii="仿宋" w:hAnsi="仿宋" w:eastAsia="仿宋"/>
          <w:sz w:val="24"/>
          <w:szCs w:val="24"/>
          <w:u w:val="single"/>
        </w:rPr>
        <w:t xml:space="preserve">设定</w:t>
      </w:r>
      <w:r>
        <w:rPr>
          <w:rFonts w:hint="eastAsia" w:ascii="仿宋" w:hAnsi="仿宋" w:eastAsia="仿宋"/>
          <w:sz w:val="24"/>
          <w:szCs w:val="24"/>
        </w:rPr>
        <w:t xml:space="preserve">最高限价，分包一最高限价为</w:t>
      </w:r>
      <w:r>
        <w:rPr>
          <w:rFonts w:ascii="仿宋" w:hAnsi="仿宋" w:eastAsia="仿宋"/>
          <w:sz w:val="24"/>
          <w:szCs w:val="24"/>
          <w:u w:val="single"/>
        </w:rPr>
        <w:t xml:space="preserve">6248882.00</w:t>
      </w:r>
      <w:r>
        <w:rPr>
          <w:rFonts w:hint="eastAsia" w:ascii="仿宋" w:hAnsi="仿宋" w:eastAsia="仿宋"/>
          <w:sz w:val="24"/>
          <w:szCs w:val="24"/>
        </w:rPr>
        <w:t xml:space="preserve">元；分包二最高限价为</w:t>
      </w:r>
      <w:r>
        <w:rPr>
          <w:rFonts w:ascii="仿宋" w:hAnsi="仿宋" w:eastAsia="仿宋"/>
          <w:sz w:val="24"/>
          <w:szCs w:val="24"/>
          <w:u w:val="single"/>
        </w:rPr>
        <w:t xml:space="preserve">6788789.28</w:t>
      </w:r>
      <w:r>
        <w:rPr>
          <w:rFonts w:hint="eastAsia" w:ascii="仿宋" w:hAnsi="仿宋" w:eastAsia="仿宋"/>
          <w:sz w:val="24"/>
          <w:szCs w:val="24"/>
        </w:rPr>
        <w:t xml:space="preserve">元</w:t>
      </w:r>
      <w:r/>
    </w:p>
    <w:p>
      <w:pPr>
        <w:ind w:firstLine="480"/>
        <w:spacing w:line="360" w:lineRule="auto"/>
        <w:rPr>
          <w:rFonts w:ascii="仿宋" w:hAnsi="仿宋" w:eastAsia="仿宋"/>
          <w:sz w:val="24"/>
          <w:szCs w:val="24"/>
          <w:u w:val="single"/>
        </w:rPr>
      </w:pPr>
      <w:r>
        <w:rPr>
          <w:rFonts w:hint="eastAsia" w:ascii="仿宋" w:hAnsi="仿宋" w:eastAsia="仿宋"/>
          <w:sz w:val="24"/>
          <w:szCs w:val="24"/>
        </w:rPr>
        <w:t xml:space="preserve">5.采购需求（简介）：苏宿园区2024年</w:t>
      </w:r>
      <w:r>
        <w:rPr>
          <w:rFonts w:ascii="仿宋" w:hAnsi="仿宋" w:eastAsia="仿宋"/>
          <w:sz w:val="24"/>
          <w:szCs w:val="24"/>
        </w:rPr>
        <w:t xml:space="preserve">-</w:t>
      </w:r>
      <w:r>
        <w:rPr>
          <w:rFonts w:hint="eastAsia" w:ascii="仿宋" w:hAnsi="仿宋" w:eastAsia="仿宋"/>
          <w:sz w:val="24"/>
          <w:szCs w:val="24"/>
        </w:rPr>
        <w:t xml:space="preserve">2026年公共绿化养护，</w:t>
      </w:r>
      <w:r>
        <w:rPr>
          <w:rFonts w:hint="eastAsia" w:ascii="仿宋" w:hAnsi="仿宋" w:eastAsia="仿宋"/>
          <w:bCs/>
          <w:sz w:val="24"/>
          <w:szCs w:val="24"/>
        </w:rPr>
        <w:t xml:space="preserve">主要分为分包</w:t>
      </w:r>
      <w:r>
        <w:rPr>
          <w:rFonts w:ascii="仿宋" w:hAnsi="仿宋" w:eastAsia="仿宋"/>
          <w:bCs/>
          <w:sz w:val="24"/>
          <w:szCs w:val="24"/>
        </w:rPr>
        <w:t xml:space="preserve">一：</w:t>
      </w:r>
      <w:r>
        <w:rPr>
          <w:rFonts w:hint="eastAsia" w:ascii="仿宋" w:hAnsi="仿宋" w:eastAsia="仿宋"/>
          <w:bCs/>
          <w:sz w:val="24"/>
          <w:szCs w:val="24"/>
        </w:rPr>
        <w:t xml:space="preserve">商住区绿化和分包</w:t>
      </w:r>
      <w:r>
        <w:rPr>
          <w:rFonts w:ascii="仿宋" w:hAnsi="仿宋" w:eastAsia="仿宋"/>
          <w:bCs/>
          <w:sz w:val="24"/>
          <w:szCs w:val="24"/>
        </w:rPr>
        <w:t xml:space="preserve">二：</w:t>
      </w:r>
      <w:r>
        <w:rPr>
          <w:rFonts w:hint="eastAsia" w:ascii="仿宋" w:hAnsi="仿宋" w:eastAsia="仿宋"/>
          <w:bCs/>
          <w:sz w:val="24"/>
          <w:szCs w:val="24"/>
        </w:rPr>
        <w:t xml:space="preserve">工业区绿化。</w:t>
      </w:r>
      <w:r>
        <w:rPr>
          <w:rFonts w:hint="eastAsia" w:ascii="仿宋" w:hAnsi="仿宋" w:eastAsia="仿宋"/>
          <w:bCs/>
          <w:sz w:val="24"/>
          <w:szCs w:val="24"/>
        </w:rPr>
        <w:t xml:space="preserve">各投标人可就上述分包中2个分包投标，但每位投标人只能在1个分包上中标。如某投标人在多个分包上均排名第一时,按</w:t>
      </w:r>
      <w:r>
        <w:rPr>
          <w:rFonts w:hint="eastAsia" w:ascii="仿宋" w:hAnsi="仿宋" w:eastAsia="仿宋"/>
          <w:bCs/>
          <w:sz w:val="24"/>
          <w:szCs w:val="24"/>
        </w:rPr>
        <w:t xml:space="preserve">分包</w:t>
      </w:r>
      <w:r>
        <w:rPr>
          <w:rFonts w:hint="eastAsia" w:ascii="仿宋" w:hAnsi="仿宋" w:eastAsia="仿宋"/>
          <w:bCs/>
          <w:sz w:val="24"/>
          <w:szCs w:val="24"/>
        </w:rPr>
        <w:t xml:space="preserve">一、分包二</w:t>
      </w:r>
      <w:r>
        <w:rPr>
          <w:rFonts w:hint="eastAsia" w:ascii="仿宋" w:hAnsi="仿宋" w:eastAsia="仿宋"/>
          <w:bCs/>
          <w:sz w:val="24"/>
          <w:szCs w:val="24"/>
        </w:rPr>
        <w:t xml:space="preserve">顺序定标。</w:t>
      </w:r>
      <w:r>
        <w:rPr>
          <w:rFonts w:hint="eastAsia" w:ascii="仿宋" w:hAnsi="仿宋" w:eastAsia="仿宋" w:cs="宋体"/>
          <w:sz w:val="24"/>
          <w:szCs w:val="24"/>
        </w:rPr>
        <w:t xml:space="preserve">（详细内容见本招标文件第四章）</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6.合同履行期限：养护期24个月，实际管养时间以项目工程移交后，通知中标人进场为准，费用按实结算。</w:t>
      </w:r>
      <w:r/>
    </w:p>
    <w:p>
      <w:pPr>
        <w:ind w:firstLine="480"/>
        <w:spacing w:line="360" w:lineRule="auto"/>
        <w:rPr>
          <w:rFonts w:ascii="仿宋" w:hAnsi="仿宋" w:eastAsia="仿宋"/>
          <w:sz w:val="24"/>
          <w:szCs w:val="24"/>
          <w:highlight w:val="yellow"/>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联合体投标。</w:t>
      </w:r>
      <w:r/>
    </w:p>
    <w:p>
      <w:pPr>
        <w:pStyle w:val="748"/>
        <w:jc w:val="both"/>
        <w:spacing w:before="160" w:after="160" w:line="400" w:lineRule="exact"/>
        <w:rPr>
          <w:rFonts w:ascii="黑体" w:hAnsi="黑体" w:eastAsia="黑体"/>
          <w:b w:val="0"/>
          <w:bCs w:val="0"/>
          <w:sz w:val="32"/>
          <w:szCs w:val="32"/>
        </w:rPr>
      </w:pPr>
      <w:r/>
      <w:bookmarkStart w:id="18" w:name="_Toc38985264"/>
      <w:r/>
      <w:bookmarkStart w:id="19" w:name="_Toc28359080"/>
      <w:r/>
      <w:bookmarkStart w:id="20" w:name="_Toc35393791"/>
      <w:r/>
      <w:bookmarkStart w:id="21" w:name="_Toc35393622"/>
      <w:r/>
      <w:bookmarkStart w:id="22" w:name="_Toc28359003"/>
      <w:r/>
      <w:bookmarkStart w:id="23" w:name="_Toc162865656"/>
      <w:r>
        <w:rPr>
          <w:rFonts w:hint="eastAsia" w:ascii="黑体" w:hAnsi="黑体" w:eastAsia="黑体"/>
          <w:b w:val="0"/>
          <w:bCs w:val="0"/>
          <w:sz w:val="32"/>
          <w:szCs w:val="32"/>
        </w:rPr>
        <w:t xml:space="preserve">二、申请人的资格要求：</w:t>
      </w:r>
      <w:bookmarkEnd w:id="18"/>
      <w:r/>
      <w:bookmarkEnd w:id="19"/>
      <w:r/>
      <w:bookmarkEnd w:id="20"/>
      <w:r/>
      <w:bookmarkEnd w:id="21"/>
      <w:r/>
      <w:bookmarkEnd w:id="22"/>
      <w:r/>
      <w:bookmarkEnd w:id="23"/>
      <w:r/>
      <w:r/>
    </w:p>
    <w:p>
      <w:pPr>
        <w:ind w:firstLine="480"/>
        <w:spacing w:line="360" w:lineRule="auto"/>
        <w:rPr>
          <w:rFonts w:ascii="仿宋" w:hAnsi="仿宋" w:eastAsia="仿宋"/>
          <w:sz w:val="24"/>
          <w:szCs w:val="24"/>
        </w:rPr>
      </w:pPr>
      <w:r/>
      <w:bookmarkStart w:id="24" w:name="_Toc38985265"/>
      <w:r/>
      <w:bookmarkStart w:id="25" w:name="_Toc35393792"/>
      <w:r/>
      <w:bookmarkStart w:id="26" w:name="_Toc28359081"/>
      <w:r/>
      <w:bookmarkStart w:id="27" w:name="_Toc35393623"/>
      <w:r/>
      <w:bookmarkStart w:id="28" w:name="_Toc28359004"/>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1.具备《中华人民共和国政府采购法》第二十二条第一款规定的6项条件（按要求提供投标声明及承诺函）。</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    </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信用信息的使用规则：供应商被列入失信被执行人、重大税收违法失信主体、政府采购</w:t>
      </w:r>
      <w:r>
        <w:rPr>
          <w:rFonts w:hint="eastAsia" w:ascii="仿宋" w:hAnsi="仿宋" w:eastAsia="仿宋"/>
          <w:sz w:val="24"/>
          <w:szCs w:val="24"/>
        </w:rPr>
        <w:t xml:space="preserve">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仿宋" w:hAnsi="仿宋" w:eastAsia="仿宋" w:cs="宋体"/>
          <w:sz w:val="24"/>
          <w:szCs w:val="24"/>
        </w:rPr>
      </w:pPr>
      <w:r>
        <w:rPr>
          <w:rFonts w:hint="eastAsia" w:ascii="仿宋" w:hAnsi="仿宋" w:eastAsia="仿宋"/>
          <w:sz w:val="24"/>
          <w:szCs w:val="24"/>
        </w:rPr>
        <w:t xml:space="preserve">3.落实政府采购政策需满足的资格要求：无。</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（二）本项目的特定资格要求：无。</w:t>
      </w:r>
      <w:r/>
    </w:p>
    <w:p>
      <w:pPr>
        <w:pStyle w:val="748"/>
        <w:jc w:val="both"/>
        <w:spacing w:before="160" w:after="160" w:line="400" w:lineRule="exact"/>
        <w:rPr>
          <w:rFonts w:ascii="黑体" w:hAnsi="黑体" w:eastAsia="黑体"/>
          <w:b w:val="0"/>
          <w:bCs w:val="0"/>
          <w:sz w:val="32"/>
          <w:szCs w:val="32"/>
        </w:rPr>
      </w:pPr>
      <w:r/>
      <w:bookmarkStart w:id="29" w:name="_Toc162865657"/>
      <w:r>
        <w:rPr>
          <w:rFonts w:hint="eastAsia" w:ascii="黑体" w:hAnsi="黑体" w:eastAsia="黑体"/>
          <w:b w:val="0"/>
          <w:bCs w:val="0"/>
          <w:sz w:val="32"/>
          <w:szCs w:val="32"/>
        </w:rPr>
        <w:t xml:space="preserve">三、获取招标文件</w:t>
      </w:r>
      <w:bookmarkEnd w:id="24"/>
      <w:r/>
      <w:bookmarkEnd w:id="25"/>
      <w:r/>
      <w:bookmarkEnd w:id="26"/>
      <w:r/>
      <w:bookmarkEnd w:id="27"/>
      <w:r/>
      <w:bookmarkEnd w:id="28"/>
      <w:r/>
      <w:bookmarkEnd w:id="29"/>
      <w:r/>
      <w:r/>
    </w:p>
    <w:p>
      <w:pPr>
        <w:ind w:firstLine="480"/>
        <w:spacing w:line="360" w:lineRule="auto"/>
        <w:rPr>
          <w:rFonts w:ascii="仿宋" w:hAnsi="仿宋" w:eastAsia="仿宋" w:cs="宋体"/>
          <w:sz w:val="24"/>
          <w:szCs w:val="24"/>
        </w:rPr>
      </w:pPr>
      <w:r/>
      <w:bookmarkStart w:id="30" w:name="_Toc28359082"/>
      <w:r/>
      <w:bookmarkStart w:id="31" w:name="_Toc28359005"/>
      <w:r/>
      <w:bookmarkStart w:id="32" w:name="_Toc35393624"/>
      <w:r/>
      <w:bookmarkStart w:id="33" w:name="_Toc35393793"/>
      <w:r/>
      <w:bookmarkStart w:id="34" w:name="_Toc38985266"/>
      <w:r>
        <w:rPr>
          <w:rFonts w:hint="eastAsia" w:ascii="仿宋" w:hAnsi="仿宋" w:eastAsia="仿宋" w:cs="宋体"/>
          <w:sz w:val="24"/>
          <w:szCs w:val="24"/>
        </w:rPr>
        <w:t xml:space="preserve">1.时间：</w:t>
      </w:r>
      <w:r>
        <w:rPr>
          <w:rFonts w:ascii="仿宋" w:hAnsi="仿宋" w:eastAsia="仿宋" w:cs="宋体"/>
          <w:sz w:val="24"/>
          <w:szCs w:val="24"/>
        </w:rPr>
        <w:t xml:space="preserve">2024</w:t>
      </w:r>
      <w:r>
        <w:rPr>
          <w:rFonts w:hint="eastAsia" w:ascii="仿宋" w:hAnsi="仿宋" w:eastAsia="仿宋" w:cs="宋体"/>
          <w:sz w:val="24"/>
          <w:szCs w:val="24"/>
        </w:rPr>
        <w:t xml:space="preserve">年</w:t>
      </w:r>
      <w:r>
        <w:rPr>
          <w:rFonts w:ascii="仿宋" w:hAnsi="仿宋" w:eastAsia="仿宋" w:cs="宋体"/>
          <w:sz w:val="24"/>
          <w:szCs w:val="24"/>
        </w:rPr>
        <w:t xml:space="preserve">4</w:t>
      </w:r>
      <w:r>
        <w:rPr>
          <w:rFonts w:hint="eastAsia" w:ascii="仿宋" w:hAnsi="仿宋" w:eastAsia="仿宋" w:cs="宋体"/>
          <w:sz w:val="24"/>
          <w:szCs w:val="24"/>
        </w:rPr>
        <w:t xml:space="preserve">月</w:t>
      </w:r>
      <w:r>
        <w:rPr>
          <w:rFonts w:ascii="仿宋" w:hAnsi="仿宋" w:eastAsia="仿宋" w:cs="宋体"/>
          <w:sz w:val="24"/>
          <w:szCs w:val="24"/>
        </w:rPr>
        <w:t xml:space="preserve">2</w:t>
      </w:r>
      <w:r>
        <w:rPr>
          <w:rFonts w:ascii="仿宋" w:hAnsi="仿宋" w:eastAsia="仿宋" w:cs="宋体"/>
          <w:sz w:val="24"/>
          <w:szCs w:val="24"/>
        </w:rPr>
        <w:t xml:space="preserve">6</w:t>
      </w:r>
      <w:r>
        <w:rPr>
          <w:rFonts w:hint="eastAsia" w:ascii="仿宋" w:hAnsi="仿宋" w:eastAsia="仿宋" w:cs="宋体"/>
          <w:sz w:val="24"/>
          <w:szCs w:val="24"/>
        </w:rPr>
        <w:t xml:space="preserve">日至</w:t>
      </w:r>
      <w:r>
        <w:rPr>
          <w:rFonts w:ascii="仿宋" w:hAnsi="仿宋" w:eastAsia="仿宋" w:cs="宋体"/>
          <w:sz w:val="24"/>
          <w:szCs w:val="24"/>
        </w:rPr>
        <w:t xml:space="preserve">2024</w:t>
      </w:r>
      <w:r>
        <w:rPr>
          <w:rFonts w:hint="eastAsia" w:ascii="仿宋" w:hAnsi="仿宋" w:eastAsia="仿宋" w:cs="宋体"/>
          <w:sz w:val="24"/>
          <w:szCs w:val="24"/>
        </w:rPr>
        <w:t xml:space="preserve">年</w:t>
      </w:r>
      <w:r>
        <w:rPr>
          <w:rFonts w:ascii="仿宋" w:hAnsi="仿宋" w:eastAsia="仿宋" w:cs="宋体"/>
          <w:sz w:val="24"/>
          <w:szCs w:val="24"/>
        </w:rPr>
        <w:t xml:space="preserve">5</w:t>
      </w:r>
      <w:r>
        <w:rPr>
          <w:rFonts w:hint="eastAsia" w:ascii="仿宋" w:hAnsi="仿宋" w:eastAsia="仿宋" w:cs="宋体"/>
          <w:sz w:val="24"/>
          <w:szCs w:val="24"/>
        </w:rPr>
        <w:t xml:space="preserve">月</w:t>
      </w:r>
      <w:r>
        <w:rPr>
          <w:rFonts w:ascii="仿宋" w:hAnsi="仿宋" w:eastAsia="仿宋" w:cs="宋体"/>
          <w:sz w:val="24"/>
          <w:szCs w:val="24"/>
        </w:rPr>
        <w:t xml:space="preserve">6</w:t>
      </w:r>
      <w:r>
        <w:rPr>
          <w:rFonts w:hint="eastAsia" w:ascii="仿宋" w:hAnsi="仿宋" w:eastAsia="仿宋" w:cs="宋体"/>
          <w:sz w:val="24"/>
          <w:szCs w:val="24"/>
        </w:rPr>
        <w:t xml:space="preserve">日17：30。</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ascii="仿宋" w:hAnsi="仿宋" w:eastAsia="仿宋" w:cs="宋体"/>
          <w:sz w:val="24"/>
          <w:szCs w:val="24"/>
        </w:rPr>
      </w:pPr>
      <w:r/>
      <w:bookmarkStart w:id="35" w:name="EB0c44ff4da61f4af989d119fe214be450"/>
      <w:r>
        <w:rPr>
          <w:rFonts w:hint="eastAsia" w:ascii="仿宋" w:hAnsi="仿宋" w:eastAsia="仿宋" w:cs="宋体"/>
          <w:sz w:val="24"/>
          <w:szCs w:val="24"/>
        </w:rPr>
        <w:t xml:space="preserve">3.本项目共分两个包。投标人参与多个包投标的，应按包分别获取招标文件。投标人未按要求获取招标文件导致无法投标的，后果自负（其投标文件不予接受）。</w:t>
      </w:r>
      <w:bookmarkEnd w:id="35"/>
      <w:r/>
      <w:r/>
    </w:p>
    <w:p>
      <w:pPr>
        <w:pStyle w:val="748"/>
        <w:jc w:val="both"/>
        <w:spacing w:before="160" w:after="160" w:line="400" w:lineRule="exact"/>
        <w:rPr>
          <w:rFonts w:ascii="黑体" w:hAnsi="黑体" w:eastAsia="黑体"/>
          <w:b w:val="0"/>
          <w:bCs w:val="0"/>
          <w:sz w:val="32"/>
          <w:szCs w:val="32"/>
        </w:rPr>
      </w:pPr>
      <w:r/>
      <w:bookmarkStart w:id="36" w:name="_Toc162865658"/>
      <w:r>
        <w:rPr>
          <w:rFonts w:hint="eastAsia" w:ascii="黑体" w:hAnsi="黑体" w:eastAsia="黑体"/>
          <w:b w:val="0"/>
          <w:bCs w:val="0"/>
          <w:sz w:val="32"/>
          <w:szCs w:val="32"/>
        </w:rPr>
        <w:t xml:space="preserve">四、提交投标文件</w:t>
      </w:r>
      <w:bookmarkEnd w:id="30"/>
      <w:r/>
      <w:bookmarkEnd w:id="31"/>
      <w:r>
        <w:rPr>
          <w:rFonts w:hint="eastAsia" w:ascii="黑体" w:hAnsi="黑体" w:eastAsia="黑体"/>
          <w:b w:val="0"/>
          <w:bCs w:val="0"/>
          <w:sz w:val="32"/>
          <w:szCs w:val="32"/>
        </w:rPr>
        <w:t xml:space="preserve">截止时间、开标时间和地点</w:t>
      </w:r>
      <w:bookmarkEnd w:id="32"/>
      <w:r/>
      <w:bookmarkEnd w:id="33"/>
      <w:r/>
      <w:bookmarkEnd w:id="34"/>
      <w:r/>
      <w:bookmarkEnd w:id="36"/>
      <w:r/>
      <w:r/>
    </w:p>
    <w:p>
      <w:pPr>
        <w:ind w:firstLine="480"/>
        <w:spacing w:line="360" w:lineRule="auto"/>
        <w:rPr>
          <w:rFonts w:ascii="仿宋" w:hAnsi="仿宋" w:eastAsia="仿宋"/>
          <w:bCs/>
          <w:sz w:val="24"/>
          <w:szCs w:val="24"/>
          <w:u w:val="single"/>
        </w:rPr>
      </w:pPr>
      <w:r>
        <w:rPr>
          <w:rFonts w:hint="eastAsia" w:ascii="仿宋" w:hAnsi="仿宋" w:eastAsia="仿宋"/>
          <w:bCs/>
          <w:sz w:val="24"/>
          <w:szCs w:val="24"/>
        </w:rPr>
        <w:t xml:space="preserve">1.</w:t>
      </w:r>
      <w:r>
        <w:rPr>
          <w:rFonts w:hint="eastAsia" w:ascii="仿宋" w:hAnsi="仿宋" w:eastAsia="仿宋" w:cs="宋体"/>
          <w:sz w:val="24"/>
          <w:szCs w:val="24"/>
        </w:rPr>
        <w:t xml:space="preserve">提交投标文件截止时间、开标时间：</w:t>
      </w:r>
      <w:r>
        <w:rPr>
          <w:rFonts w:ascii="仿宋" w:hAnsi="仿宋" w:eastAsia="仿宋"/>
          <w:bCs/>
          <w:sz w:val="24"/>
          <w:szCs w:val="24"/>
          <w:u w:val="single"/>
        </w:rPr>
        <w:t xml:space="preserve">2024</w:t>
      </w:r>
      <w:r>
        <w:rPr>
          <w:rFonts w:hint="eastAsia" w:ascii="仿宋" w:hAnsi="仿宋" w:eastAsia="仿宋"/>
          <w:bCs/>
          <w:sz w:val="24"/>
          <w:szCs w:val="24"/>
          <w:u w:val="single"/>
        </w:rPr>
        <w:t xml:space="preserve"> 年</w:t>
      </w:r>
      <w:r>
        <w:rPr>
          <w:rFonts w:ascii="仿宋" w:hAnsi="仿宋" w:eastAsia="仿宋"/>
          <w:bCs/>
          <w:sz w:val="24"/>
          <w:szCs w:val="24"/>
          <w:u w:val="single"/>
        </w:rPr>
        <w:t xml:space="preserve">5</w:t>
      </w:r>
      <w:r>
        <w:rPr>
          <w:rFonts w:hint="eastAsia" w:ascii="仿宋" w:hAnsi="仿宋" w:eastAsia="仿宋"/>
          <w:bCs/>
          <w:sz w:val="24"/>
          <w:szCs w:val="24"/>
          <w:u w:val="single"/>
        </w:rPr>
        <w:t xml:space="preserve">月</w:t>
      </w:r>
      <w:r>
        <w:rPr>
          <w:rFonts w:ascii="仿宋" w:hAnsi="仿宋" w:eastAsia="仿宋"/>
          <w:bCs/>
          <w:sz w:val="24"/>
          <w:szCs w:val="24"/>
          <w:u w:val="single"/>
        </w:rPr>
        <w:t xml:space="preserve">1</w:t>
      </w:r>
      <w:r>
        <w:rPr>
          <w:rFonts w:ascii="仿宋" w:hAnsi="仿宋" w:eastAsia="仿宋"/>
          <w:bCs/>
          <w:sz w:val="24"/>
          <w:szCs w:val="24"/>
          <w:u w:val="single"/>
        </w:rPr>
        <w:t xml:space="preserve">6</w:t>
      </w:r>
      <w:r>
        <w:rPr>
          <w:rFonts w:hint="eastAsia" w:ascii="仿宋" w:hAnsi="仿宋" w:eastAsia="仿宋"/>
          <w:bCs/>
          <w:sz w:val="24"/>
          <w:szCs w:val="24"/>
          <w:u w:val="single"/>
        </w:rPr>
        <w:t xml:space="preserve">日</w:t>
      </w:r>
      <w:r>
        <w:rPr>
          <w:rFonts w:ascii="仿宋" w:hAnsi="仿宋" w:eastAsia="仿宋"/>
          <w:bCs/>
          <w:sz w:val="24"/>
          <w:szCs w:val="24"/>
          <w:u w:val="single"/>
        </w:rPr>
        <w:t xml:space="preserve">9</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2.地点：“苏采云”政府采购交易系统网上开标大厅。</w:t>
      </w:r>
      <w:r/>
    </w:p>
    <w:p>
      <w:pPr>
        <w:pStyle w:val="748"/>
        <w:jc w:val="both"/>
        <w:spacing w:before="160" w:after="160" w:line="400" w:lineRule="exact"/>
        <w:rPr>
          <w:rFonts w:ascii="黑体" w:hAnsi="黑体" w:eastAsia="黑体"/>
          <w:b w:val="0"/>
          <w:bCs w:val="0"/>
          <w:sz w:val="32"/>
          <w:szCs w:val="32"/>
        </w:rPr>
      </w:pPr>
      <w:r/>
      <w:bookmarkStart w:id="37" w:name="_Toc35393794"/>
      <w:r/>
      <w:bookmarkStart w:id="38" w:name="_Toc28359084"/>
      <w:r/>
      <w:bookmarkStart w:id="39" w:name="_Toc28359007"/>
      <w:r/>
      <w:bookmarkStart w:id="40" w:name="_Toc35393625"/>
      <w:r/>
      <w:bookmarkStart w:id="41" w:name="_Toc38985267"/>
      <w:r/>
      <w:bookmarkStart w:id="42" w:name="_Toc162865659"/>
      <w:r>
        <w:rPr>
          <w:rFonts w:hint="eastAsia" w:ascii="黑体" w:hAnsi="黑体" w:eastAsia="黑体"/>
          <w:b w:val="0"/>
          <w:bCs w:val="0"/>
          <w:sz w:val="32"/>
          <w:szCs w:val="32"/>
        </w:rPr>
        <w:t xml:space="preserve">五、公告期限</w:t>
      </w:r>
      <w:bookmarkEnd w:id="37"/>
      <w:r/>
      <w:bookmarkEnd w:id="38"/>
      <w:r/>
      <w:bookmarkEnd w:id="39"/>
      <w:r/>
      <w:bookmarkEnd w:id="40"/>
      <w:r/>
      <w:bookmarkEnd w:id="41"/>
      <w:r/>
      <w:bookmarkEnd w:id="42"/>
      <w:r/>
      <w:r/>
    </w:p>
    <w:p>
      <w:pPr>
        <w:ind w:firstLine="480"/>
        <w:spacing w:line="360" w:lineRule="auto"/>
        <w:rPr>
          <w:rFonts w:ascii="仿宋" w:hAnsi="仿宋" w:eastAsia="仿宋" w:cs="宋体"/>
          <w:sz w:val="24"/>
          <w:szCs w:val="24"/>
        </w:rPr>
      </w:pPr>
      <w:r/>
      <w:bookmarkStart w:id="43" w:name="_Toc35393795"/>
      <w:r/>
      <w:bookmarkStart w:id="44" w:name="_Toc35393626"/>
      <w:r/>
      <w:bookmarkStart w:id="45" w:name="_Toc38985268"/>
      <w:r>
        <w:rPr>
          <w:rFonts w:hint="eastAsia" w:ascii="仿宋" w:hAnsi="仿宋" w:eastAsia="仿宋" w:cs="宋体"/>
          <w:sz w:val="24"/>
          <w:szCs w:val="24"/>
        </w:rPr>
        <w:t xml:space="preserve">招标公告及招标文件公告期限为自本公告发布之日起5个工作日。</w:t>
      </w:r>
      <w:r>
        <w:rPr>
          <w:rFonts w:hint="eastAsia" w:ascii="仿宋" w:hAnsi="仿宋" w:eastAsia="仿宋"/>
          <w:sz w:val="24"/>
          <w:szCs w:val="24"/>
          <w:highlight w:val="white"/>
        </w:rPr>
        <w:t xml:space="preserve">招标公告发布媒体：宿迁市政府采购网</w:t>
      </w:r>
      <w:r>
        <w:rPr>
          <w:rFonts w:hint="eastAsia" w:ascii="仿宋" w:hAnsi="仿宋" w:eastAsia="仿宋" w:cs="仿宋_GB2312"/>
          <w:sz w:val="24"/>
          <w:szCs w:val="24"/>
          <w:highlight w:val="white"/>
        </w:rPr>
        <w:t xml:space="preserve">、宿迁市公共资源交易平台</w:t>
      </w:r>
      <w:r>
        <w:rPr>
          <w:rFonts w:hint="eastAsia" w:ascii="仿宋" w:hAnsi="仿宋" w:eastAsia="仿宋"/>
          <w:sz w:val="24"/>
          <w:szCs w:val="24"/>
          <w:highlight w:val="white"/>
        </w:rPr>
        <w:t xml:space="preserve">、江苏省财政部门指定的媒体</w:t>
      </w:r>
      <w:r>
        <w:rPr>
          <w:rFonts w:hint="eastAsia" w:ascii="仿宋" w:hAnsi="仿宋" w:eastAsia="仿宋" w:cs="宋体"/>
          <w:sz w:val="24"/>
          <w:szCs w:val="24"/>
          <w:highlight w:val="white"/>
        </w:rPr>
        <w:t xml:space="preserve">。</w:t>
      </w:r>
      <w:r/>
    </w:p>
    <w:p>
      <w:pPr>
        <w:pStyle w:val="748"/>
        <w:jc w:val="both"/>
        <w:spacing w:before="160" w:after="160" w:line="400" w:lineRule="exact"/>
        <w:rPr>
          <w:rFonts w:ascii="黑体" w:hAnsi="黑体" w:eastAsia="黑体"/>
          <w:b w:val="0"/>
          <w:bCs w:val="0"/>
          <w:sz w:val="32"/>
          <w:szCs w:val="32"/>
        </w:rPr>
      </w:pPr>
      <w:r/>
      <w:bookmarkStart w:id="46" w:name="_Toc162865660"/>
      <w:r>
        <w:rPr>
          <w:rFonts w:hint="eastAsia" w:ascii="黑体" w:hAnsi="黑体" w:eastAsia="黑体"/>
          <w:b w:val="0"/>
          <w:bCs w:val="0"/>
          <w:sz w:val="32"/>
          <w:szCs w:val="32"/>
        </w:rPr>
        <w:t xml:space="preserve">六、其他补充事宜</w:t>
      </w:r>
      <w:bookmarkEnd w:id="43"/>
      <w:r/>
      <w:bookmarkEnd w:id="44"/>
      <w:r/>
      <w:bookmarkEnd w:id="45"/>
      <w:r/>
      <w:bookmarkEnd w:id="46"/>
      <w:r/>
      <w:r/>
    </w:p>
    <w:p>
      <w:pPr>
        <w:ind w:firstLine="480"/>
        <w:spacing w:line="360" w:lineRule="auto"/>
        <w:rPr>
          <w:rFonts w:ascii="仿宋" w:hAnsi="仿宋" w:eastAsia="仿宋"/>
          <w:bCs/>
          <w:iCs/>
          <w:sz w:val="24"/>
          <w:szCs w:val="24"/>
        </w:rPr>
      </w:pPr>
      <w:r/>
      <w:bookmarkStart w:id="47" w:name="EB64e1f522fd8c43fcb4d3ba471386b3e7"/>
      <w:r/>
      <w:bookmarkStart w:id="48" w:name="_Toc28359085"/>
      <w:r/>
      <w:bookmarkStart w:id="49" w:name="_Toc35393796"/>
      <w:r/>
      <w:bookmarkStart w:id="50" w:name="_Toc28359008"/>
      <w:r/>
      <w:bookmarkStart w:id="51" w:name="_Toc35393627"/>
      <w:r/>
      <w:bookmarkStart w:id="52" w:name="_Toc38985269"/>
      <w:r>
        <w:rPr>
          <w:rFonts w:hint="eastAsia" w:ascii="仿宋" w:hAnsi="仿宋" w:eastAsia="仿宋"/>
          <w:sz w:val="24"/>
          <w:szCs w:val="24"/>
        </w:rPr>
        <w:t xml:space="preserve">1.财政部门监督电话：</w:t>
      </w:r>
      <w:r>
        <w:rPr>
          <w:rFonts w:ascii="仿宋" w:hAnsi="仿宋" w:eastAsia="仿宋"/>
          <w:bCs/>
          <w:iCs/>
          <w:sz w:val="24"/>
          <w:szCs w:val="24"/>
        </w:rPr>
        <w:t xml:space="preserve">0527-82868318</w:t>
      </w:r>
      <w:r>
        <w:rPr>
          <w:rFonts w:hint="eastAsia" w:ascii="仿宋" w:hAnsi="仿宋" w:eastAsia="仿宋"/>
          <w:sz w:val="24"/>
          <w:szCs w:val="24"/>
        </w:rPr>
        <w:t xml:space="preserve">。</w:t>
      </w:r>
      <w:r/>
    </w:p>
    <w:p>
      <w:pPr>
        <w:ind w:firstLine="480"/>
        <w:spacing w:line="360" w:lineRule="auto"/>
        <w:rPr>
          <w:rFonts w:ascii="仿宋" w:hAnsi="仿宋" w:eastAsia="仿宋"/>
          <w:sz w:val="24"/>
          <w:szCs w:val="24"/>
          <w:highlight w:val="white"/>
        </w:rPr>
      </w:pPr>
      <w:r>
        <w:rPr>
          <w:rFonts w:hint="eastAsia" w:ascii="仿宋" w:hAnsi="仿宋" w:eastAsia="仿宋"/>
          <w:sz w:val="24"/>
          <w:szCs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972"/>
        <w:ind w:firstLine="480"/>
        <w:spacing w:line="360" w:lineRule="auto"/>
        <w:rPr>
          <w:rFonts w:ascii="仿宋" w:hAnsi="仿宋" w:eastAsia="仿宋" w:cs="Times New Roman"/>
          <w:sz w:val="24"/>
          <w:szCs w:val="24"/>
          <w:highlight w:val="white"/>
          <w:lang w:val="en-US"/>
        </w:rPr>
      </w:pPr>
      <w:r>
        <w:rPr>
          <w:rFonts w:hint="eastAsia" w:ascii="仿宋" w:hAnsi="仿宋" w:eastAsia="仿宋" w:cs="Times New Roman"/>
          <w:sz w:val="24"/>
          <w:szCs w:val="24"/>
          <w:highlight w:val="white"/>
          <w:lang w:val="en-US"/>
        </w:rPr>
        <w:t xml:space="preserve">3.宿迁地区“苏采云”技术支持客服电话：0527-84225125、0519-86722806。</w:t>
      </w:r>
      <w:r/>
    </w:p>
    <w:p>
      <w:pPr>
        <w:pStyle w:val="972"/>
        <w:ind w:firstLine="480"/>
        <w:spacing w:line="360" w:lineRule="auto"/>
        <w:rPr>
          <w:rFonts w:ascii="仿宋" w:hAnsi="仿宋" w:eastAsia="仿宋" w:cs="Times New Roman"/>
          <w:sz w:val="24"/>
          <w:szCs w:val="24"/>
          <w:highlight w:val="white"/>
          <w:lang w:val="en-US"/>
        </w:rPr>
      </w:pPr>
      <w:r>
        <w:rPr>
          <w:rFonts w:hint="eastAsia" w:ascii="仿宋" w:hAnsi="仿宋" w:eastAsia="仿宋" w:cs="Times New Roman"/>
          <w:sz w:val="24"/>
          <w:szCs w:val="24"/>
          <w:highlight w:val="white"/>
          <w:lang w:val="en-US"/>
        </w:rPr>
        <w:t xml:space="preserve">4.如果投标人通过苏采云系统参与政府采购项目，相关操作手册详见链接：</w:t>
      </w:r>
      <w:r>
        <w:rPr>
          <w:rFonts w:hint="eastAsia" w:ascii="仿宋" w:hAnsi="仿宋" w:eastAsia="仿宋" w:cs="Times New Roman"/>
          <w:spacing w:val="-6"/>
          <w:sz w:val="24"/>
          <w:szCs w:val="24"/>
          <w:highlight w:val="white"/>
          <w:lang w:val="en-US"/>
        </w:rPr>
        <w:t xml:space="preserve">http://www.ccgp-jiangsu.gov.cn/jiangsu/zlxz/ee/ee3a4bc5a3454aa2b0d9312230633ce9.html。</w:t>
      </w:r>
      <w:bookmarkEnd w:id="47"/>
      <w:r/>
      <w:r/>
    </w:p>
    <w:p>
      <w:pPr>
        <w:ind w:firstLine="480"/>
        <w:spacing w:line="360" w:lineRule="auto"/>
        <w:rPr>
          <w:rFonts w:ascii="仿宋" w:hAnsi="仿宋" w:eastAsia="仿宋" w:cs="仿宋_GB2312"/>
          <w:b/>
          <w:bCs/>
          <w:iCs/>
          <w:sz w:val="24"/>
          <w:szCs w:val="24"/>
          <w:highlight w:val="white"/>
        </w:rPr>
      </w:pPr>
      <w:r>
        <w:rPr>
          <w:rFonts w:hint="eastAsia" w:ascii="仿宋" w:hAnsi="仿宋" w:eastAsia="仿宋"/>
          <w:sz w:val="24"/>
          <w:szCs w:val="24"/>
          <w:highlight w:val="white"/>
        </w:rPr>
        <w:t xml:space="preserve">5.现场勘察及答疑：本项目不组织集中勘察及答疑，投标人如对采购需求有疑问，请咨询采购单位联系人。 </w:t>
      </w:r>
      <w:r/>
    </w:p>
    <w:p>
      <w:pPr>
        <w:pStyle w:val="748"/>
        <w:jc w:val="both"/>
        <w:spacing w:before="160" w:after="160" w:line="400" w:lineRule="exact"/>
        <w:rPr>
          <w:rFonts w:ascii="黑体" w:hAnsi="黑体" w:eastAsia="黑体"/>
          <w:b w:val="0"/>
          <w:bCs w:val="0"/>
          <w:sz w:val="32"/>
          <w:szCs w:val="32"/>
        </w:rPr>
      </w:pPr>
      <w:r/>
      <w:bookmarkStart w:id="53" w:name="_Toc162865661"/>
      <w:r>
        <w:rPr>
          <w:rFonts w:hint="eastAsia" w:ascii="黑体" w:hAnsi="黑体" w:eastAsia="黑体"/>
          <w:b w:val="0"/>
          <w:bCs w:val="0"/>
          <w:sz w:val="32"/>
          <w:szCs w:val="32"/>
        </w:rPr>
        <w:t xml:space="preserve">七、本次招标联系方式</w:t>
      </w:r>
      <w:bookmarkEnd w:id="48"/>
      <w:r/>
      <w:bookmarkEnd w:id="49"/>
      <w:r/>
      <w:bookmarkEnd w:id="50"/>
      <w:r/>
      <w:bookmarkEnd w:id="51"/>
      <w:r/>
      <w:bookmarkEnd w:id="52"/>
      <w:r/>
      <w:bookmarkEnd w:id="53"/>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1.采购人信息</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名 称：</w:t>
      </w:r>
      <w:r>
        <w:rPr>
          <w:rFonts w:hint="eastAsia" w:ascii="仿宋" w:hAnsi="仿宋" w:eastAsia="仿宋"/>
          <w:sz w:val="24"/>
          <w:szCs w:val="24"/>
          <w:u w:val="single"/>
        </w:rPr>
        <w:t xml:space="preserve">苏州宿迁工业园区城市管理局</w:t>
      </w:r>
      <w:r/>
    </w:p>
    <w:p>
      <w:pPr>
        <w:ind w:firstLine="480"/>
        <w:jc w:val="left"/>
        <w:spacing w:line="360" w:lineRule="auto"/>
        <w:rPr>
          <w:rFonts w:ascii="仿宋" w:hAnsi="仿宋" w:eastAsia="仿宋"/>
          <w:sz w:val="24"/>
          <w:szCs w:val="24"/>
          <w:u w:val="single"/>
        </w:rPr>
      </w:pPr>
      <w:r>
        <w:rPr>
          <w:rFonts w:hint="eastAsia" w:ascii="仿宋" w:hAnsi="仿宋" w:eastAsia="仿宋"/>
          <w:sz w:val="24"/>
          <w:szCs w:val="24"/>
        </w:rPr>
        <w:t xml:space="preserve">地址：</w:t>
      </w:r>
      <w:bookmarkStart w:id="54" w:name="EBc47d332cd3474bc88437be5d658b65c2"/>
      <w:r>
        <w:rPr>
          <w:rFonts w:hint="eastAsia" w:ascii="仿宋" w:hAnsi="仿宋" w:eastAsia="仿宋"/>
          <w:sz w:val="24"/>
          <w:szCs w:val="24"/>
          <w:u w:val="single"/>
        </w:rPr>
        <w:t xml:space="preserve">苏宿工业园区苏宿工业坊管理楼</w:t>
      </w:r>
      <w:bookmarkEnd w:id="54"/>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孙建</w:t>
      </w:r>
      <w:r/>
    </w:p>
    <w:p>
      <w:pPr>
        <w:ind w:firstLine="480"/>
        <w:jc w:val="left"/>
        <w:spacing w:line="360" w:lineRule="auto"/>
        <w:rPr>
          <w:rFonts w:ascii="仿宋" w:hAnsi="仿宋" w:eastAsia="仿宋"/>
          <w:sz w:val="24"/>
          <w:szCs w:val="24"/>
          <w:u w:val="single"/>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0</w:t>
      </w:r>
      <w:r>
        <w:rPr>
          <w:rFonts w:ascii="仿宋" w:hAnsi="仿宋" w:eastAsia="仿宋"/>
          <w:sz w:val="24"/>
          <w:szCs w:val="24"/>
          <w:u w:val="single"/>
        </w:rPr>
        <w:t xml:space="preserve">527-82868332</w:t>
      </w:r>
      <w:bookmarkStart w:id="55" w:name="_Toc28359086"/>
      <w:r/>
      <w:bookmarkStart w:id="56" w:name="_Toc28359009"/>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2.</w:t>
      </w:r>
      <w:bookmarkEnd w:id="55"/>
      <w:r/>
      <w:bookmarkEnd w:id="56"/>
      <w:r>
        <w:rPr>
          <w:rFonts w:hint="eastAsia" w:ascii="仿宋" w:hAnsi="仿宋" w:eastAsia="仿宋" w:cs="宋体"/>
          <w:sz w:val="24"/>
          <w:szCs w:val="24"/>
        </w:rPr>
        <w:t xml:space="preserve">采购代理机构信息</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名 称：</w:t>
      </w:r>
      <w:bookmarkStart w:id="57" w:name="EBb18571cd95ca42908327a6a33216ffeb"/>
      <w:r>
        <w:rPr>
          <w:rFonts w:hint="eastAsia" w:ascii="仿宋" w:hAnsi="仿宋" w:eastAsia="仿宋"/>
          <w:sz w:val="24"/>
          <w:szCs w:val="24"/>
          <w:u w:val="single"/>
        </w:rPr>
        <w:t xml:space="preserve">江苏信德工程管理咨询有限公司</w:t>
      </w:r>
      <w:bookmarkEnd w:id="57"/>
      <w:r/>
      <w:r/>
    </w:p>
    <w:p>
      <w:pPr>
        <w:ind w:firstLine="480"/>
        <w:spacing w:line="360" w:lineRule="auto"/>
        <w:rPr>
          <w:rFonts w:ascii="仿宋" w:hAnsi="仿宋" w:eastAsia="仿宋"/>
          <w:sz w:val="24"/>
          <w:szCs w:val="24"/>
        </w:rPr>
      </w:pPr>
      <w:r>
        <w:rPr>
          <w:rFonts w:hint="eastAsia" w:ascii="仿宋" w:hAnsi="仿宋" w:eastAsia="仿宋"/>
          <w:sz w:val="24"/>
          <w:szCs w:val="24"/>
        </w:rPr>
        <w:t xml:space="preserve">地　址：</w:t>
      </w:r>
      <w:r>
        <w:rPr>
          <w:rFonts w:hint="eastAsia" w:ascii="仿宋" w:hAnsi="仿宋" w:eastAsia="仿宋"/>
          <w:sz w:val="24"/>
          <w:szCs w:val="24"/>
          <w:u w:val="single"/>
        </w:rPr>
        <w:t xml:space="preserve">宿迁市洪泽湖路府苑小区B座19号5楼</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彭翰麟</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联系方式：</w:t>
      </w:r>
      <w:bookmarkStart w:id="58" w:name="_Toc28359087"/>
      <w:r/>
      <w:bookmarkStart w:id="59" w:name="_Toc28359010"/>
      <w:r>
        <w:rPr>
          <w:rFonts w:hint="eastAsia" w:ascii="仿宋" w:hAnsi="仿宋" w:eastAsia="仿宋"/>
          <w:sz w:val="24"/>
          <w:szCs w:val="24"/>
          <w:u w:val="single"/>
        </w:rPr>
        <w:t xml:space="preserve">0527-84355519</w:t>
      </w:r>
      <w:r/>
    </w:p>
    <w:p>
      <w:pPr>
        <w:pStyle w:val="748"/>
        <w:jc w:val="both"/>
        <w:spacing w:before="160" w:after="160" w:line="400" w:lineRule="exact"/>
        <w:rPr>
          <w:rFonts w:ascii="黑体" w:hAnsi="黑体" w:eastAsia="黑体"/>
          <w:b w:val="0"/>
          <w:bCs w:val="0"/>
          <w:sz w:val="32"/>
          <w:szCs w:val="32"/>
        </w:rPr>
      </w:pPr>
      <w:r/>
      <w:bookmarkStart w:id="60" w:name="_Toc162865662"/>
      <w:r/>
      <w:bookmarkEnd w:id="58"/>
      <w:r/>
      <w:bookmarkEnd w:id="59"/>
      <w:r>
        <w:rPr>
          <w:rFonts w:hint="eastAsia" w:ascii="黑体" w:hAnsi="黑体" w:eastAsia="黑体"/>
          <w:b w:val="0"/>
          <w:bCs w:val="0"/>
          <w:sz w:val="32"/>
          <w:szCs w:val="32"/>
        </w:rPr>
        <w:t xml:space="preserve">八、其他</w:t>
      </w:r>
      <w:bookmarkEnd w:id="60"/>
      <w:r/>
      <w:r/>
    </w:p>
    <w:p>
      <w:pPr>
        <w:ind w:firstLine="480"/>
        <w:spacing w:line="360" w:lineRule="auto"/>
        <w:rPr>
          <w:rFonts w:ascii="仿宋" w:hAnsi="仿宋" w:eastAsia="仿宋" w:cs="仿宋_GB2312"/>
          <w:iCs/>
          <w:sz w:val="24"/>
          <w:szCs w:val="24"/>
          <w:highlight w:val="white"/>
        </w:rPr>
      </w:pPr>
      <w:r>
        <w:rPr>
          <w:rFonts w:hint="eastAsia" w:ascii="仿宋" w:hAnsi="仿宋" w:eastAsia="仿宋" w:cs="仿宋_GB2312"/>
          <w:iCs/>
          <w:sz w:val="24"/>
          <w:szCs w:val="24"/>
          <w:highlight w:val="white"/>
        </w:rPr>
        <w:t xml:space="preserve">1、有关本次招标的事项若存在变动或修改，敬请及时关注“宿迁市政府采购网”等平台更正公告。</w:t>
      </w:r>
      <w:r/>
    </w:p>
    <w:p>
      <w:pPr>
        <w:ind w:firstLine="480"/>
        <w:spacing w:line="360" w:lineRule="auto"/>
        <w:tabs>
          <w:tab w:val="left" w:pos="900" w:leader="none"/>
        </w:tabs>
        <w:rPr>
          <w:rFonts w:ascii="仿宋" w:hAnsi="仿宋" w:eastAsia="仿宋"/>
          <w:bCs/>
          <w:sz w:val="24"/>
          <w:szCs w:val="24"/>
        </w:rPr>
      </w:pPr>
      <w:r>
        <w:rPr>
          <w:rFonts w:hint="eastAsia" w:ascii="仿宋" w:hAnsi="仿宋" w:eastAsia="仿宋" w:cs="仿宋_GB2312"/>
          <w:bCs/>
          <w:iCs/>
          <w:sz w:val="24"/>
          <w:szCs w:val="24"/>
          <w:highlight w:val="white"/>
        </w:rPr>
        <w:t xml:space="preserve">2、</w:t>
      </w:r>
      <w:r>
        <w:rPr>
          <w:rFonts w:hint="eastAsia" w:ascii="仿宋" w:hAnsi="仿宋" w:eastAsia="仿宋"/>
          <w:bCs/>
          <w:sz w:val="24"/>
          <w:szCs w:val="24"/>
        </w:rPr>
        <w:t xml:space="preserve">本次招标不收取投标保证金。</w:t>
      </w:r>
      <w:r/>
    </w:p>
    <w:p>
      <w:pPr>
        <w:pStyle w:val="747"/>
        <w:spacing w:line="360" w:lineRule="auto"/>
        <w:rPr>
          <w:rFonts w:ascii="黑体" w:hAnsi="黑体" w:eastAsia="黑体"/>
          <w:sz w:val="44"/>
          <w:szCs w:val="44"/>
        </w:rPr>
      </w:pPr>
      <w:r/>
      <w:bookmarkStart w:id="61" w:name="_Toc120614211"/>
      <w:r>
        <w:rPr>
          <w:rFonts w:hint="eastAsia" w:ascii="仿宋" w:hAnsi="仿宋" w:eastAsia="仿宋"/>
          <w:sz w:val="24"/>
          <w:szCs w:val="24"/>
        </w:rPr>
        <w:br w:type="page" w:clear="all"/>
      </w:r>
      <w:bookmarkStart w:id="62" w:name="_Toc162865663"/>
      <w:r>
        <w:rPr>
          <w:rFonts w:hint="eastAsia" w:ascii="黑体" w:hAnsi="黑体" w:eastAsia="黑体"/>
          <w:sz w:val="44"/>
          <w:szCs w:val="44"/>
        </w:rPr>
        <w:t xml:space="preserve">第二章  </w:t>
      </w:r>
      <w:bookmarkStart w:id="63" w:name="_Toc513029202"/>
      <w:r/>
      <w:bookmarkStart w:id="64" w:name="_Toc20823274"/>
      <w:r/>
      <w:bookmarkStart w:id="65" w:name="_Toc16938518"/>
      <w:r/>
      <w:bookmarkStart w:id="66" w:name="_Toc120614213"/>
      <w:r/>
      <w:bookmarkEnd w:id="4"/>
      <w:r/>
      <w:bookmarkEnd w:id="5"/>
      <w:r/>
      <w:bookmarkEnd w:id="6"/>
      <w:r/>
      <w:bookmarkEnd w:id="7"/>
      <w:r/>
      <w:bookmarkEnd w:id="8"/>
      <w:r/>
      <w:bookmarkEnd w:id="61"/>
      <w:r>
        <w:rPr>
          <w:rFonts w:hint="eastAsia" w:ascii="黑体" w:hAnsi="黑体" w:eastAsia="黑体"/>
          <w:sz w:val="44"/>
          <w:szCs w:val="44"/>
        </w:rPr>
        <w:t xml:space="preserve">投标人须知</w:t>
      </w:r>
      <w:bookmarkEnd w:id="62"/>
      <w:r/>
      <w:bookmarkEnd w:id="63"/>
      <w:r/>
      <w:bookmarkEnd w:id="64"/>
      <w:r/>
      <w:bookmarkEnd w:id="65"/>
      <w:r/>
      <w:bookmarkEnd w:id="66"/>
      <w:r/>
      <w:r/>
    </w:p>
    <w:p>
      <w:pPr>
        <w:pStyle w:val="748"/>
        <w:jc w:val="both"/>
        <w:spacing w:before="160" w:after="160" w:line="400" w:lineRule="exact"/>
        <w:rPr>
          <w:rFonts w:ascii="黑体" w:hAnsi="黑体" w:eastAsia="黑体"/>
          <w:b w:val="0"/>
          <w:bCs w:val="0"/>
          <w:sz w:val="32"/>
          <w:szCs w:val="32"/>
        </w:rPr>
      </w:pPr>
      <w:r/>
      <w:bookmarkStart w:id="67" w:name="_Toc20823275"/>
      <w:r/>
      <w:bookmarkStart w:id="68" w:name="_Toc513029203"/>
      <w:r/>
      <w:bookmarkStart w:id="69" w:name="_Toc16938519"/>
      <w:r/>
      <w:bookmarkStart w:id="70" w:name="_Toc120614214"/>
      <w:r/>
      <w:bookmarkStart w:id="71" w:name="_Toc162865664"/>
      <w:r>
        <w:rPr>
          <w:rFonts w:hint="eastAsia" w:ascii="黑体" w:hAnsi="黑体" w:eastAsia="黑体"/>
          <w:b w:val="0"/>
          <w:bCs w:val="0"/>
          <w:sz w:val="32"/>
          <w:szCs w:val="32"/>
        </w:rPr>
        <w:t xml:space="preserve">一、总则</w:t>
      </w:r>
      <w:bookmarkEnd w:id="67"/>
      <w:r/>
      <w:bookmarkEnd w:id="68"/>
      <w:r/>
      <w:bookmarkEnd w:id="69"/>
      <w:r/>
      <w:bookmarkEnd w:id="70"/>
      <w:r/>
      <w:bookmarkEnd w:id="71"/>
      <w:r/>
      <w:r/>
    </w:p>
    <w:p>
      <w:pPr>
        <w:pStyle w:val="750"/>
        <w:ind w:firstLine="482"/>
        <w:spacing w:before="0" w:after="0" w:line="276" w:lineRule="auto"/>
        <w:rPr>
          <w:rFonts w:ascii="仿宋" w:hAnsi="仿宋" w:eastAsia="仿宋"/>
          <w:bCs w:val="0"/>
          <w:sz w:val="24"/>
          <w:szCs w:val="24"/>
        </w:rPr>
      </w:pPr>
      <w:r/>
      <w:bookmarkStart w:id="72" w:name="_Hlt16619475"/>
      <w:r/>
      <w:bookmarkStart w:id="73" w:name="_Toc458694821"/>
      <w:r/>
      <w:bookmarkStart w:id="74" w:name="_Toc513029204"/>
      <w:r/>
      <w:bookmarkStart w:id="75" w:name="_Toc16938520"/>
      <w:r/>
      <w:bookmarkStart w:id="76" w:name="_Toc20823276"/>
      <w:r/>
      <w:bookmarkEnd w:id="72"/>
      <w:r>
        <w:rPr>
          <w:rFonts w:hint="eastAsia" w:ascii="仿宋" w:hAnsi="仿宋" w:eastAsia="仿宋"/>
          <w:bCs w:val="0"/>
          <w:sz w:val="24"/>
          <w:szCs w:val="24"/>
        </w:rPr>
        <w:t xml:space="preserve">1</w:t>
      </w:r>
      <w:bookmarkEnd w:id="73"/>
      <w:r>
        <w:rPr>
          <w:rFonts w:hint="eastAsia" w:ascii="仿宋" w:hAnsi="仿宋" w:eastAsia="仿宋"/>
          <w:bCs w:val="0"/>
          <w:sz w:val="24"/>
          <w:szCs w:val="24"/>
        </w:rPr>
        <w:t xml:space="preserve">、招标方式</w:t>
      </w:r>
      <w:bookmarkEnd w:id="74"/>
      <w:r/>
      <w:bookmarkEnd w:id="75"/>
      <w:r/>
      <w:bookmarkEnd w:id="76"/>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 本次招标采取公开招标方式，本招标文件仅适用于招标公告中所述项目。</w:t>
      </w:r>
      <w:r/>
    </w:p>
    <w:p>
      <w:pPr>
        <w:pStyle w:val="750"/>
        <w:ind w:firstLine="482"/>
        <w:spacing w:before="0" w:after="0" w:line="276" w:lineRule="auto"/>
        <w:rPr>
          <w:rFonts w:ascii="仿宋" w:hAnsi="仿宋" w:eastAsia="仿宋"/>
          <w:bCs w:val="0"/>
          <w:sz w:val="24"/>
          <w:szCs w:val="24"/>
        </w:rPr>
      </w:pPr>
      <w:r/>
      <w:bookmarkStart w:id="77" w:name="_Toc513029205"/>
      <w:r/>
      <w:bookmarkStart w:id="78" w:name="_Toc16938521"/>
      <w:r/>
      <w:bookmarkStart w:id="79" w:name="_Toc20823277"/>
      <w:r>
        <w:rPr>
          <w:rFonts w:hint="eastAsia" w:ascii="仿宋" w:hAnsi="仿宋" w:eastAsia="仿宋"/>
          <w:bCs w:val="0"/>
          <w:sz w:val="24"/>
          <w:szCs w:val="24"/>
        </w:rPr>
        <w:t xml:space="preserve">2、合格的投标人</w:t>
      </w:r>
      <w:bookmarkEnd w:id="77"/>
      <w:r/>
      <w:bookmarkEnd w:id="78"/>
      <w:r/>
      <w:bookmarkEnd w:id="79"/>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2.1满足招标公告中投标人的资格要求的规定。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 满足本文件实质性要求和条件的规定。</w:t>
      </w:r>
      <w:r/>
    </w:p>
    <w:p>
      <w:pPr>
        <w:pStyle w:val="750"/>
        <w:ind w:firstLine="482"/>
        <w:spacing w:before="0" w:after="0" w:line="276" w:lineRule="auto"/>
        <w:rPr>
          <w:rFonts w:ascii="仿宋" w:hAnsi="仿宋" w:eastAsia="仿宋"/>
          <w:bCs w:val="0"/>
          <w:sz w:val="24"/>
          <w:szCs w:val="24"/>
        </w:rPr>
      </w:pPr>
      <w:r/>
      <w:bookmarkStart w:id="80" w:name="_Toc16938522"/>
      <w:r/>
      <w:bookmarkStart w:id="81" w:name="_Toc513029206"/>
      <w:r/>
      <w:bookmarkStart w:id="82" w:name="_Toc20823278"/>
      <w:r>
        <w:rPr>
          <w:rFonts w:hint="eastAsia" w:ascii="仿宋" w:hAnsi="仿宋" w:eastAsia="仿宋"/>
          <w:bCs w:val="0"/>
          <w:sz w:val="24"/>
          <w:szCs w:val="24"/>
        </w:rPr>
        <w:t xml:space="preserve">3、适用法律</w:t>
      </w:r>
      <w:bookmarkEnd w:id="80"/>
      <w:r/>
      <w:bookmarkEnd w:id="81"/>
      <w:r/>
      <w:bookmarkEnd w:id="82"/>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 本次招标及由此产生的合同受中华人民共和国有关的法律法规制约和保护。</w:t>
      </w:r>
      <w:r/>
    </w:p>
    <w:p>
      <w:pPr>
        <w:pStyle w:val="750"/>
        <w:ind w:firstLine="482"/>
        <w:spacing w:before="0" w:after="0" w:line="276" w:lineRule="auto"/>
        <w:rPr>
          <w:rFonts w:ascii="仿宋" w:hAnsi="仿宋" w:eastAsia="仿宋"/>
          <w:bCs w:val="0"/>
          <w:sz w:val="24"/>
          <w:szCs w:val="24"/>
        </w:rPr>
      </w:pPr>
      <w:r/>
      <w:bookmarkStart w:id="83" w:name="_Toc16938523"/>
      <w:r/>
      <w:bookmarkStart w:id="84" w:name="_Toc462564067"/>
      <w:r/>
      <w:bookmarkStart w:id="85" w:name="_Toc20823279"/>
      <w:r/>
      <w:bookmarkStart w:id="86" w:name="_Toc513029207"/>
      <w:r>
        <w:rPr>
          <w:rFonts w:hint="eastAsia" w:ascii="仿宋" w:hAnsi="仿宋" w:eastAsia="仿宋"/>
          <w:bCs w:val="0"/>
          <w:sz w:val="24"/>
          <w:szCs w:val="24"/>
        </w:rPr>
        <w:t xml:space="preserve">4、投标费用</w:t>
      </w:r>
      <w:bookmarkEnd w:id="83"/>
      <w:r/>
      <w:bookmarkEnd w:id="84"/>
      <w:r/>
      <w:bookmarkEnd w:id="85"/>
      <w:r/>
      <w:bookmarkEnd w:id="86"/>
      <w:r/>
      <w:r/>
    </w:p>
    <w:p>
      <w:pPr>
        <w:ind w:firstLine="480"/>
        <w:spacing w:line="276" w:lineRule="auto"/>
        <w:rPr>
          <w:rFonts w:ascii="仿宋" w:hAnsi="仿宋" w:eastAsia="仿宋"/>
          <w:sz w:val="24"/>
          <w:szCs w:val="24"/>
        </w:rPr>
      </w:pPr>
      <w:r>
        <w:rPr>
          <w:rFonts w:hint="eastAsia" w:ascii="仿宋" w:hAnsi="仿宋" w:eastAsia="仿宋"/>
          <w:sz w:val="24"/>
          <w:szCs w:val="24"/>
        </w:rPr>
        <w:t xml:space="preserve">4.1 投标人应自行承担所有与参加投标有关的费用，无论投标过程中的做法和结果如何，</w:t>
      </w:r>
      <w:r>
        <w:rPr>
          <w:rFonts w:hint="eastAsia" w:ascii="仿宋" w:hAnsi="仿宋" w:eastAsia="仿宋"/>
          <w:sz w:val="24"/>
          <w:szCs w:val="24"/>
          <w:u w:val="single"/>
        </w:rPr>
        <w:t xml:space="preserve">江苏信德工程管理咨询有限公司</w:t>
      </w:r>
      <w:r>
        <w:rPr>
          <w:rFonts w:hint="eastAsia" w:ascii="仿宋" w:hAnsi="仿宋" w:eastAsia="仿宋"/>
          <w:sz w:val="24"/>
          <w:szCs w:val="24"/>
        </w:rPr>
        <w:t xml:space="preserve">（以下简称采购代理机构）在任何情况下均无义务和责任承担这些费用。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hint="eastAsia" w:ascii="仿宋" w:hAnsi="仿宋" w:eastAsia="仿宋"/>
          <w:sz w:val="24"/>
          <w:szCs w:val="24"/>
          <w:u w:val="single"/>
        </w:rPr>
        <w:t xml:space="preserve"> </w:t>
      </w:r>
      <w:r>
        <w:rPr>
          <w:rFonts w:ascii="仿宋" w:hAnsi="仿宋" w:eastAsia="仿宋"/>
          <w:sz w:val="24"/>
          <w:szCs w:val="24"/>
          <w:u w:val="single"/>
        </w:rPr>
        <w:t xml:space="preserve"> 2  </w:t>
      </w:r>
      <w:r>
        <w:rPr>
          <w:rFonts w:hint="eastAsia" w:ascii="仿宋" w:hAnsi="仿宋" w:eastAsia="仿宋"/>
          <w:sz w:val="24"/>
          <w:szCs w:val="24"/>
        </w:rPr>
        <w:t xml:space="preserve">种方式执行</w:t>
      </w:r>
      <w:r/>
    </w:p>
    <w:p>
      <w:pPr>
        <w:ind w:firstLine="480"/>
        <w:spacing w:line="276" w:lineRule="auto"/>
        <w:rPr>
          <w:rFonts w:ascii="仿宋" w:hAnsi="仿宋" w:eastAsia="仿宋"/>
          <w:sz w:val="24"/>
          <w:szCs w:val="24"/>
          <w:lang w:val="zh-CN"/>
        </w:rPr>
      </w:pPr>
      <w:r>
        <w:rPr>
          <w:rFonts w:hint="eastAsia" w:ascii="仿宋" w:hAnsi="仿宋" w:eastAsia="仿宋"/>
          <w:sz w:val="24"/>
          <w:szCs w:val="24"/>
          <w:lang w:val="zh-CN"/>
        </w:rPr>
        <w:t xml:space="preserve">4.2.1无需支付；</w:t>
      </w:r>
      <w:r/>
    </w:p>
    <w:p>
      <w:pPr>
        <w:pStyle w:val="972"/>
        <w:ind w:firstLine="480"/>
        <w:spacing w:line="276" w:lineRule="auto"/>
        <w:rPr>
          <w:rFonts w:ascii="仿宋" w:hAnsi="仿宋" w:eastAsia="仿宋" w:cs="Times New Roman"/>
          <w:sz w:val="24"/>
          <w:szCs w:val="24"/>
          <w:lang w:val="en-US"/>
        </w:rPr>
      </w:pPr>
      <w:r>
        <w:rPr>
          <w:rFonts w:hint="eastAsia" w:ascii="仿宋" w:hAnsi="仿宋" w:eastAsia="仿宋" w:cs="Times New Roman"/>
          <w:sz w:val="24"/>
          <w:szCs w:val="24"/>
          <w:lang w:val="zh-CN"/>
        </w:rPr>
        <w:t xml:space="preserve">4.2.2采购人支付，具体方式及标准为：</w:t>
      </w:r>
      <w:r>
        <w:rPr>
          <w:rFonts w:ascii="仿宋" w:hAnsi="仿宋" w:eastAsia="仿宋" w:cs="Times New Roman"/>
          <w:sz w:val="24"/>
          <w:szCs w:val="24"/>
          <w:u w:val="single"/>
          <w:lang w:val="en-US"/>
        </w:rPr>
        <w:t xml:space="preserve">苏招协[2022]002招标代理服务收费指导意见标准*60%</w:t>
      </w:r>
      <w:r>
        <w:rPr>
          <w:rFonts w:hint="eastAsia" w:ascii="仿宋" w:hAnsi="仿宋" w:eastAsia="仿宋" w:cs="Times New Roman"/>
          <w:sz w:val="24"/>
          <w:szCs w:val="24"/>
          <w:u w:val="single"/>
          <w:lang w:val="en-US"/>
        </w:rPr>
        <w:t xml:space="preserve">支付代理费</w:t>
      </w:r>
      <w:r>
        <w:rPr>
          <w:rFonts w:hint="eastAsia" w:ascii="仿宋" w:hAnsi="仿宋" w:eastAsia="仿宋" w:cs="Times New Roman"/>
          <w:sz w:val="24"/>
          <w:szCs w:val="24"/>
          <w:lang w:val="en-US"/>
        </w:rPr>
        <w:t xml:space="preserve">。</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5、招标文件的约束力</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 投标人一旦参加本项目采购活动，即被认为接受了本招标文件的规定和约束。</w:t>
      </w:r>
      <w:r/>
    </w:p>
    <w:p>
      <w:pPr>
        <w:pStyle w:val="748"/>
        <w:jc w:val="both"/>
        <w:spacing w:before="160" w:after="160" w:line="400" w:lineRule="exact"/>
        <w:rPr>
          <w:rFonts w:ascii="黑体" w:hAnsi="黑体" w:eastAsia="黑体"/>
          <w:b w:val="0"/>
          <w:bCs w:val="0"/>
          <w:sz w:val="32"/>
          <w:szCs w:val="32"/>
        </w:rPr>
      </w:pPr>
      <w:r/>
      <w:bookmarkStart w:id="87" w:name="_Toc513029209"/>
      <w:r/>
      <w:bookmarkStart w:id="88" w:name="_Toc120614215"/>
      <w:r/>
      <w:bookmarkStart w:id="89" w:name="_Toc20823281"/>
      <w:r/>
      <w:bookmarkStart w:id="90" w:name="_Toc16938525"/>
      <w:r/>
      <w:bookmarkStart w:id="91" w:name="_Toc162865665"/>
      <w:r>
        <w:rPr>
          <w:rFonts w:hint="eastAsia" w:ascii="黑体" w:hAnsi="黑体" w:eastAsia="黑体"/>
          <w:b w:val="0"/>
          <w:bCs w:val="0"/>
          <w:sz w:val="32"/>
          <w:szCs w:val="32"/>
        </w:rPr>
        <w:t xml:space="preserve">二、招标文件</w:t>
      </w:r>
      <w:bookmarkEnd w:id="87"/>
      <w:r/>
      <w:bookmarkEnd w:id="88"/>
      <w:r/>
      <w:bookmarkEnd w:id="89"/>
      <w:r/>
      <w:bookmarkEnd w:id="90"/>
      <w:r/>
      <w:bookmarkEnd w:id="91"/>
      <w:r/>
      <w:r/>
    </w:p>
    <w:p>
      <w:pPr>
        <w:pStyle w:val="750"/>
        <w:ind w:firstLine="482"/>
        <w:spacing w:before="0" w:after="0" w:line="276" w:lineRule="auto"/>
        <w:rPr>
          <w:rFonts w:ascii="仿宋" w:hAnsi="仿宋" w:eastAsia="仿宋"/>
          <w:bCs w:val="0"/>
          <w:sz w:val="24"/>
          <w:szCs w:val="24"/>
        </w:rPr>
      </w:pPr>
      <w:r/>
      <w:bookmarkStart w:id="92" w:name="_Toc16938526"/>
      <w:r/>
      <w:bookmarkStart w:id="93" w:name="_Toc20823282"/>
      <w:r/>
      <w:bookmarkStart w:id="94" w:name="_Toc513029210"/>
      <w:r>
        <w:rPr>
          <w:rFonts w:hint="eastAsia" w:ascii="仿宋" w:hAnsi="仿宋" w:eastAsia="仿宋"/>
          <w:bCs w:val="0"/>
          <w:sz w:val="24"/>
          <w:szCs w:val="24"/>
        </w:rPr>
        <w:t xml:space="preserve">6、招标文件构成</w:t>
      </w:r>
      <w:bookmarkEnd w:id="92"/>
      <w:r/>
      <w:bookmarkEnd w:id="93"/>
      <w:r/>
      <w:bookmarkEnd w:id="94"/>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6.1</w:t>
      </w:r>
      <w:r>
        <w:rPr>
          <w:rFonts w:hint="eastAsia" w:ascii="仿宋" w:hAnsi="仿宋" w:eastAsia="仿宋"/>
          <w:sz w:val="24"/>
          <w:szCs w:val="24"/>
        </w:rPr>
        <w:t xml:space="preserve"> 招标文件由以下部分组成：</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（1）投标</w:t>
      </w:r>
      <w:r>
        <w:rPr>
          <w:rFonts w:ascii="仿宋" w:hAnsi="仿宋" w:eastAsia="仿宋"/>
          <w:sz w:val="24"/>
          <w:szCs w:val="24"/>
        </w:rPr>
        <w:t xml:space="preserve">邀请</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（2）投标人须知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（3）合同文本</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（4）采购需求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（5）评标方法与评标标准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（6）投标文件格式</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请仔细检查招标文件是否齐全，如有缺漏请立即与采购代理机构联系解决。</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0"/>
        <w:ind w:firstLine="482"/>
        <w:spacing w:before="0" w:after="0" w:line="276" w:lineRule="auto"/>
        <w:rPr>
          <w:rFonts w:ascii="仿宋" w:hAnsi="仿宋" w:eastAsia="仿宋"/>
          <w:bCs w:val="0"/>
          <w:sz w:val="24"/>
          <w:szCs w:val="24"/>
        </w:rPr>
      </w:pPr>
      <w:r/>
      <w:bookmarkStart w:id="95" w:name="_Toc513029211"/>
      <w:r/>
      <w:bookmarkStart w:id="96" w:name="_Toc16938527"/>
      <w:r/>
      <w:bookmarkStart w:id="97" w:name="_Toc462564070"/>
      <w:r/>
      <w:bookmarkStart w:id="98" w:name="_Toc20823283"/>
      <w:r>
        <w:rPr>
          <w:rFonts w:hint="eastAsia" w:ascii="仿宋" w:hAnsi="仿宋" w:eastAsia="仿宋"/>
          <w:bCs w:val="0"/>
          <w:sz w:val="24"/>
          <w:szCs w:val="24"/>
        </w:rPr>
        <w:t xml:space="preserve">7、招标文件的澄清</w:t>
      </w:r>
      <w:bookmarkEnd w:id="95"/>
      <w:r/>
      <w:bookmarkEnd w:id="96"/>
      <w:r/>
      <w:bookmarkEnd w:id="97"/>
      <w:r/>
      <w:bookmarkEnd w:id="98"/>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 任何要求对招标文件进行澄清的投标人，应在投标截止期</w:t>
      </w:r>
      <w:r>
        <w:rPr>
          <w:rFonts w:hint="eastAsia" w:ascii="仿宋" w:hAnsi="仿宋" w:eastAsia="仿宋"/>
          <w:b/>
          <w:sz w:val="24"/>
          <w:szCs w:val="24"/>
        </w:rPr>
        <w:t xml:space="preserve">十日</w:t>
      </w:r>
      <w:r>
        <w:rPr>
          <w:rFonts w:hint="eastAsia" w:ascii="仿宋" w:hAnsi="仿宋" w:eastAsia="仿宋"/>
          <w:sz w:val="24"/>
          <w:szCs w:val="24"/>
        </w:rPr>
        <w:t xml:space="preserve">前按招标公告中的通讯地址，以书面形式通知采购代理机构。</w:t>
      </w:r>
      <w:r/>
    </w:p>
    <w:p>
      <w:pPr>
        <w:pStyle w:val="750"/>
        <w:ind w:firstLine="482"/>
        <w:spacing w:before="0" w:after="0" w:line="276" w:lineRule="auto"/>
        <w:rPr>
          <w:rFonts w:ascii="仿宋" w:hAnsi="仿宋" w:eastAsia="仿宋"/>
          <w:bCs w:val="0"/>
          <w:sz w:val="24"/>
          <w:szCs w:val="24"/>
        </w:rPr>
      </w:pPr>
      <w:r/>
      <w:bookmarkStart w:id="99" w:name="_Toc16938528"/>
      <w:r/>
      <w:bookmarkStart w:id="100" w:name="_Toc513029212"/>
      <w:r/>
      <w:bookmarkStart w:id="101" w:name="_Toc20823284"/>
      <w:r/>
      <w:bookmarkStart w:id="102" w:name="_Toc462564071"/>
      <w:r>
        <w:rPr>
          <w:rFonts w:hint="eastAsia" w:ascii="仿宋" w:hAnsi="仿宋" w:eastAsia="仿宋"/>
          <w:bCs w:val="0"/>
          <w:sz w:val="24"/>
          <w:szCs w:val="24"/>
        </w:rPr>
        <w:t xml:space="preserve">8、招标文件的修改</w:t>
      </w:r>
      <w:bookmarkEnd w:id="99"/>
      <w:r/>
      <w:bookmarkEnd w:id="100"/>
      <w:r/>
      <w:bookmarkEnd w:id="101"/>
      <w:r/>
      <w:bookmarkEnd w:id="102"/>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8.2 在投标截止时间前，采购代理机构可以对招标文件进行修改。</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8.3 采购代理机构有权按照法定的要求推迟投标截止日期和开标日期。</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8.4招标文件的修改将在原公告媒体上发布更正公告，补充文件将作为招标文件的组成部分，并对投标人具有约束力。</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8.5投标人应及时登录“苏采云”系统获取澄清答疑文件（修改后招标文件），如因投标人原因未能及时下载澄清和修改后的招标文件，由此造成的相关责任，由投标人承担。 </w:t>
      </w:r>
      <w:r/>
    </w:p>
    <w:p>
      <w:pPr>
        <w:pStyle w:val="748"/>
        <w:jc w:val="both"/>
        <w:spacing w:before="160" w:after="160" w:line="400" w:lineRule="exact"/>
        <w:rPr>
          <w:rFonts w:ascii="黑体" w:hAnsi="黑体" w:eastAsia="黑体"/>
          <w:b w:val="0"/>
          <w:bCs w:val="0"/>
          <w:sz w:val="32"/>
          <w:szCs w:val="32"/>
        </w:rPr>
      </w:pPr>
      <w:r/>
      <w:bookmarkStart w:id="103" w:name="_Toc462564072"/>
      <w:r/>
      <w:bookmarkStart w:id="104" w:name="_Toc20823285"/>
      <w:r/>
      <w:bookmarkStart w:id="105" w:name="_Toc513029213"/>
      <w:r/>
      <w:bookmarkStart w:id="106" w:name="_Toc120614216"/>
      <w:r/>
      <w:bookmarkStart w:id="107" w:name="_Toc16938529"/>
      <w:r/>
      <w:bookmarkStart w:id="108" w:name="_Toc162865666"/>
      <w:r>
        <w:rPr>
          <w:rFonts w:hint="eastAsia" w:ascii="黑体" w:hAnsi="黑体" w:eastAsia="黑体"/>
          <w:b w:val="0"/>
          <w:bCs w:val="0"/>
          <w:sz w:val="32"/>
          <w:szCs w:val="32"/>
        </w:rPr>
        <w:t xml:space="preserve">三、投标文件的编制</w:t>
      </w:r>
      <w:bookmarkEnd w:id="103"/>
      <w:r/>
      <w:bookmarkEnd w:id="104"/>
      <w:r/>
      <w:bookmarkEnd w:id="105"/>
      <w:r/>
      <w:bookmarkEnd w:id="106"/>
      <w:r/>
      <w:bookmarkEnd w:id="107"/>
      <w:r/>
      <w:bookmarkEnd w:id="108"/>
      <w:r/>
      <w:r/>
    </w:p>
    <w:p>
      <w:pPr>
        <w:pStyle w:val="750"/>
        <w:ind w:firstLine="482"/>
        <w:spacing w:before="0" w:after="0" w:line="276" w:lineRule="auto"/>
        <w:rPr>
          <w:rFonts w:ascii="仿宋" w:hAnsi="仿宋" w:eastAsia="仿宋"/>
          <w:bCs w:val="0"/>
          <w:sz w:val="24"/>
          <w:szCs w:val="24"/>
        </w:rPr>
      </w:pPr>
      <w:r/>
      <w:bookmarkStart w:id="109" w:name="_Toc462564073"/>
      <w:r/>
      <w:bookmarkStart w:id="110" w:name="_Toc513029214"/>
      <w:r/>
      <w:bookmarkStart w:id="111" w:name="_Toc20823286"/>
      <w:r/>
      <w:bookmarkStart w:id="112" w:name="_Toc16938530"/>
      <w:r>
        <w:rPr>
          <w:rFonts w:hint="eastAsia" w:ascii="仿宋" w:hAnsi="仿宋" w:eastAsia="仿宋"/>
          <w:bCs w:val="0"/>
          <w:sz w:val="24"/>
          <w:szCs w:val="24"/>
        </w:rPr>
        <w:t xml:space="preserve">9、投标文件的语言及度量衡单位</w:t>
      </w:r>
      <w:bookmarkEnd w:id="109"/>
      <w:r/>
      <w:bookmarkEnd w:id="110"/>
      <w:r/>
      <w:bookmarkEnd w:id="111"/>
      <w:r/>
      <w:bookmarkEnd w:id="112"/>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 投标人提交的投标文件以及投标人与采购代理机构就有关投标的所有来往通知、函件和文件均应使用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 除技术性能另有规定外，投标文件所使用的度量衡单位，均须采用国家法定计量单位。</w:t>
      </w:r>
      <w:r/>
    </w:p>
    <w:p>
      <w:pPr>
        <w:pStyle w:val="750"/>
        <w:ind w:firstLine="482"/>
        <w:spacing w:before="0" w:after="0" w:line="276" w:lineRule="auto"/>
        <w:rPr>
          <w:rFonts w:ascii="仿宋" w:hAnsi="仿宋" w:eastAsia="仿宋"/>
          <w:bCs w:val="0"/>
          <w:sz w:val="24"/>
          <w:szCs w:val="24"/>
        </w:rPr>
      </w:pPr>
      <w:r/>
      <w:bookmarkStart w:id="113" w:name="_Toc513029215"/>
      <w:r/>
      <w:bookmarkStart w:id="114" w:name="_Toc462564074"/>
      <w:r/>
      <w:bookmarkStart w:id="115" w:name="_Toc20823287"/>
      <w:r/>
      <w:bookmarkStart w:id="116" w:name="_Toc16938531"/>
      <w:r>
        <w:rPr>
          <w:rFonts w:hint="eastAsia" w:ascii="仿宋" w:hAnsi="仿宋" w:eastAsia="仿宋"/>
          <w:bCs w:val="0"/>
          <w:sz w:val="24"/>
          <w:szCs w:val="24"/>
        </w:rPr>
        <w:t xml:space="preserve">10、投标文件构成</w:t>
      </w:r>
      <w:bookmarkEnd w:id="113"/>
      <w:r/>
      <w:bookmarkEnd w:id="114"/>
      <w:r/>
      <w:bookmarkEnd w:id="115"/>
      <w:r/>
      <w:bookmarkEnd w:id="116"/>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276" w:lineRule="auto"/>
        <w:rPr>
          <w:rFonts w:ascii="仿宋" w:hAnsi="仿宋" w:eastAsia="仿宋"/>
          <w:bCs/>
          <w:sz w:val="24"/>
          <w:szCs w:val="24"/>
        </w:rPr>
      </w:pPr>
      <w:r>
        <w:rPr>
          <w:rFonts w:hint="eastAsia" w:ascii="仿宋" w:hAnsi="仿宋" w:eastAsia="仿宋"/>
          <w:bCs/>
          <w:sz w:val="24"/>
          <w:szCs w:val="24"/>
          <w:lang w:val="zh-CN"/>
        </w:rPr>
        <w:t xml:space="preserve">各投标人在编制投标文件时请按照招标文件第六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规定的格式进行，混乱的编排导致投标文件被误读或评委会查找不到有效文件是投标人的风险。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10.2 投标人编写的投标文件应包括资格证明文件、符合性证明文件、投标分项报价表、响应及偏离表、其他证明文件、投标函、开标一览表等部分。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w:t>
      </w:r>
      <w:r>
        <w:rPr>
          <w:rFonts w:ascii="仿宋" w:hAnsi="仿宋" w:eastAsia="仿宋"/>
          <w:bCs/>
          <w:sz w:val="24"/>
          <w:szCs w:val="24"/>
        </w:rPr>
        <w:t xml:space="preserve">5</w:t>
      </w:r>
      <w:r>
        <w:rPr>
          <w:rFonts w:hint="eastAsia" w:ascii="仿宋" w:hAnsi="仿宋" w:eastAsia="仿宋"/>
          <w:bCs/>
          <w:sz w:val="24"/>
          <w:szCs w:val="24"/>
        </w:rPr>
        <w:t xml:space="preserve"> 如标书制作工具中格式和内容与“宿迁市政府采购网”发布的招标文件不一致，请以“宿迁市政府采购网”发布的招标文件为准。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10.6中标后按相关要求提供与电子投标文件一致的纸质打印投标文件2份。 </w:t>
      </w:r>
      <w:r/>
    </w:p>
    <w:p>
      <w:pPr>
        <w:ind w:firstLine="480"/>
        <w:spacing w:line="276" w:lineRule="auto"/>
        <w:rPr>
          <w:rFonts w:ascii="仿宋" w:hAnsi="仿宋" w:eastAsia="仿宋"/>
          <w:bCs/>
          <w:sz w:val="24"/>
          <w:szCs w:val="24"/>
        </w:rPr>
      </w:pPr>
      <w:r/>
      <w:bookmarkStart w:id="117" w:name="EBc50e2bb832bb43068403b10c1cce6141"/>
      <w:r>
        <w:rPr>
          <w:rFonts w:hint="eastAsia" w:ascii="仿宋" w:hAnsi="仿宋" w:eastAsia="仿宋"/>
          <w:bCs/>
          <w:sz w:val="24"/>
          <w:szCs w:val="24"/>
        </w:rPr>
        <w:t xml:space="preserve">注：（1）投标文件构成资料为非中文时应提供中文译版；（2）招标文件要求提供证书证件等原件电子件的，投标人提供的电子件应是对证书证件等原件通过扫描、拍照等方式进</w:t>
      </w:r>
      <w:r>
        <w:rPr>
          <w:rFonts w:hint="eastAsia" w:ascii="仿宋" w:hAnsi="仿宋" w:eastAsia="仿宋"/>
          <w:bCs/>
          <w:sz w:val="24"/>
          <w:szCs w:val="24"/>
        </w:rPr>
        <w:t xml:space="preserve">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7"/>
      <w:r/>
      <w:r/>
    </w:p>
    <w:p>
      <w:pPr>
        <w:pStyle w:val="750"/>
        <w:ind w:firstLine="482"/>
        <w:spacing w:before="0" w:after="0" w:line="276" w:lineRule="auto"/>
        <w:rPr>
          <w:rFonts w:ascii="仿宋" w:hAnsi="仿宋" w:eastAsia="仿宋"/>
          <w:bCs w:val="0"/>
          <w:sz w:val="24"/>
          <w:szCs w:val="24"/>
        </w:rPr>
      </w:pPr>
      <w:r/>
      <w:bookmarkStart w:id="118" w:name="_Hlt26670360"/>
      <w:r/>
      <w:bookmarkStart w:id="119" w:name="_Hlt26954838"/>
      <w:r/>
      <w:bookmarkStart w:id="120" w:name="_Hlt26668975"/>
      <w:r/>
      <w:bookmarkStart w:id="121" w:name="_Toc513029219"/>
      <w:r/>
      <w:bookmarkStart w:id="122" w:name="_Toc49090509"/>
      <w:r/>
      <w:bookmarkStart w:id="123" w:name="_Toc14577357"/>
      <w:r/>
      <w:bookmarkStart w:id="124" w:name="_Toc14577354"/>
      <w:r/>
      <w:bookmarkStart w:id="125" w:name="_Toc513029216"/>
      <w:r/>
      <w:bookmarkStart w:id="126" w:name="_Toc49090507"/>
      <w:r/>
      <w:bookmarkEnd w:id="118"/>
      <w:r/>
      <w:bookmarkEnd w:id="119"/>
      <w:r/>
      <w:bookmarkEnd w:id="120"/>
      <w:r>
        <w:rPr>
          <w:rFonts w:hint="eastAsia" w:ascii="仿宋" w:hAnsi="仿宋" w:eastAsia="仿宋"/>
          <w:bCs w:val="0"/>
          <w:sz w:val="24"/>
          <w:szCs w:val="24"/>
        </w:rPr>
        <w:t xml:space="preserve">11、证明投标人及投标标的符合招标文件规定的文件</w:t>
      </w:r>
      <w:bookmarkEnd w:id="121"/>
      <w:r/>
      <w:bookmarkEnd w:id="122"/>
      <w:r/>
      <w:bookmarkEnd w:id="123"/>
      <w:r/>
      <w:r/>
    </w:p>
    <w:p>
      <w:pPr>
        <w:ind w:firstLine="480"/>
        <w:spacing w:line="276" w:lineRule="auto"/>
        <w:rPr>
          <w:rFonts w:ascii="仿宋" w:hAnsi="仿宋" w:eastAsia="仿宋"/>
          <w:sz w:val="24"/>
          <w:szCs w:val="24"/>
        </w:rPr>
      </w:pPr>
      <w:r/>
      <w:bookmarkStart w:id="127" w:name="_Toc14577355"/>
      <w:r/>
      <w:bookmarkStart w:id="128" w:name="_Toc49090508"/>
      <w:r/>
      <w:bookmarkEnd w:id="124"/>
      <w:r/>
      <w:bookmarkEnd w:id="125"/>
      <w:r/>
      <w:bookmarkEnd w:id="126"/>
      <w:r>
        <w:rPr>
          <w:rFonts w:hint="eastAsia" w:ascii="仿宋" w:hAnsi="仿宋" w:eastAsia="仿宋"/>
          <w:sz w:val="24"/>
          <w:szCs w:val="24"/>
        </w:rPr>
        <w:t xml:space="preserve">11.1 投标人应按照法律、法规、规章和规范性文件以及招标文件要求提交证明文件，证明其及投标标的符合招标文件规定。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11.2招标文件对证明文件无明确形式要求的，证明文件可以以文字资料、图纸和数据等形式提交。</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12、投标分项报价</w:t>
      </w:r>
      <w:bookmarkStart w:id="129" w:name="_Hlt26670373"/>
      <w:r/>
      <w:bookmarkEnd w:id="127"/>
      <w:r/>
      <w:bookmarkEnd w:id="129"/>
      <w:r>
        <w:rPr>
          <w:rFonts w:hint="eastAsia" w:ascii="仿宋" w:hAnsi="仿宋" w:eastAsia="仿宋"/>
          <w:bCs w:val="0"/>
          <w:sz w:val="24"/>
          <w:szCs w:val="24"/>
        </w:rPr>
        <w:t xml:space="preserve">表</w:t>
      </w:r>
      <w:bookmarkEnd w:id="128"/>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12.1</w:t>
      </w:r>
      <w:r>
        <w:rPr>
          <w:rFonts w:hint="eastAsia" w:ascii="仿宋" w:hAnsi="仿宋" w:eastAsia="仿宋"/>
          <w:sz w:val="24"/>
          <w:szCs w:val="24"/>
        </w:rPr>
        <w:t xml:space="preserve"> 投</w:t>
      </w:r>
      <w:bookmarkStart w:id="130" w:name="_Hlt26954840"/>
      <w:r/>
      <w:bookmarkEnd w:id="130"/>
      <w:r>
        <w:rPr>
          <w:rFonts w:hint="eastAsia" w:ascii="仿宋" w:hAnsi="仿宋" w:eastAsia="仿宋"/>
          <w:sz w:val="24"/>
          <w:szCs w:val="24"/>
        </w:rPr>
        <w:t xml:space="preserve">标人应按照招标文件规定格式填报投标分项报价表</w:t>
      </w:r>
      <w:bookmarkStart w:id="131" w:name="_Hlt26670399"/>
      <w:r/>
      <w:bookmarkEnd w:id="131"/>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投标货币。投标文件中的单价和总价无特殊规定的采用人民币报价，以元为单位标注。</w:t>
      </w:r>
      <w:r>
        <w:rPr>
          <w:rFonts w:hint="eastAsia" w:ascii="仿宋" w:hAnsi="仿宋" w:eastAsia="仿宋"/>
          <w:sz w:val="24"/>
          <w:szCs w:val="24"/>
        </w:rPr>
        <w:t xml:space="preserve">招标文件中另有规定的按规定执行。</w:t>
      </w:r>
      <w:r/>
    </w:p>
    <w:p>
      <w:pPr>
        <w:ind w:firstLine="480"/>
        <w:spacing w:line="276" w:lineRule="auto"/>
        <w:rPr>
          <w:rFonts w:ascii="仿宋" w:hAnsi="仿宋" w:eastAsia="仿宋" w:cs="宋体"/>
          <w:sz w:val="24"/>
          <w:szCs w:val="24"/>
        </w:rPr>
      </w:pPr>
      <w:r>
        <w:rPr>
          <w:rFonts w:hint="eastAsia" w:ascii="仿宋" w:hAnsi="仿宋" w:eastAsia="仿宋"/>
          <w:bCs/>
          <w:sz w:val="24"/>
          <w:szCs w:val="24"/>
        </w:rPr>
        <w:t xml:space="preserve">12.3本项目不接受备选的投标方案或有选择的报价，只允许有一个报价。投标报价内容包括：</w:t>
      </w:r>
      <w:r>
        <w:rPr>
          <w:rFonts w:hint="eastAsia" w:ascii="仿宋" w:hAnsi="仿宋" w:eastAsia="仿宋" w:cs="宋体"/>
          <w:sz w:val="24"/>
          <w:szCs w:val="24"/>
        </w:rPr>
        <w:t xml:space="preserve">完成该标段所有服务管理内容所需的人工、机械设备、工具器具、垃圾清运、耗材、通讯、服装、胸卡、办公设备、保险、劳保、防疫、春节慰问金、高温费、防暑降温物品费用、维护、</w:t>
      </w:r>
      <w:r>
        <w:rPr>
          <w:rFonts w:hint="eastAsia" w:ascii="仿宋" w:hAnsi="仿宋" w:eastAsia="仿宋" w:cs="宋体"/>
          <w:bCs/>
          <w:sz w:val="24"/>
          <w:szCs w:val="24"/>
        </w:rPr>
        <w:t xml:space="preserve">草花、草坪复播、苗木补植、清单报价</w:t>
      </w:r>
      <w:r>
        <w:rPr>
          <w:rFonts w:hint="eastAsia" w:ascii="仿宋" w:hAnsi="仿宋" w:eastAsia="仿宋" w:cs="宋体"/>
          <w:sz w:val="24"/>
          <w:szCs w:val="24"/>
        </w:rPr>
        <w:t xml:space="preserve">等全部费用以及投标人企业管理费、利润、各种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750"/>
        <w:ind w:firstLine="482"/>
        <w:spacing w:before="0" w:after="0" w:line="276" w:lineRule="auto"/>
        <w:rPr>
          <w:rFonts w:ascii="仿宋" w:hAnsi="仿宋" w:eastAsia="仿宋"/>
          <w:bCs w:val="0"/>
          <w:sz w:val="24"/>
          <w:szCs w:val="24"/>
        </w:rPr>
      </w:pPr>
      <w:r/>
      <w:bookmarkStart w:id="132" w:name="_Hlt26670486"/>
      <w:r/>
      <w:bookmarkStart w:id="133" w:name="_Hlt26670425"/>
      <w:r/>
      <w:bookmarkStart w:id="134" w:name="_Hlt26954731"/>
      <w:r/>
      <w:bookmarkStart w:id="135" w:name="_Hlt26670403"/>
      <w:r/>
      <w:bookmarkStart w:id="136" w:name="_Hlt26670482"/>
      <w:r/>
      <w:bookmarkStart w:id="137" w:name="_Hlt26954842"/>
      <w:r/>
      <w:bookmarkStart w:id="138" w:name="_Hlt26954844"/>
      <w:r/>
      <w:bookmarkStart w:id="139" w:name="_Hlt26668983"/>
      <w:r/>
      <w:bookmarkStart w:id="140" w:name="_Hlt26954848"/>
      <w:r/>
      <w:bookmarkStart w:id="141" w:name="_Hlt26954846"/>
      <w:r/>
      <w:bookmarkEnd w:id="132"/>
      <w:r/>
      <w:bookmarkEnd w:id="133"/>
      <w:r/>
      <w:bookmarkEnd w:id="134"/>
      <w:r/>
      <w:bookmarkEnd w:id="135"/>
      <w:r/>
      <w:bookmarkEnd w:id="136"/>
      <w:r/>
      <w:bookmarkEnd w:id="137"/>
      <w:r/>
      <w:bookmarkEnd w:id="138"/>
      <w:r/>
      <w:bookmarkEnd w:id="139"/>
      <w:r/>
      <w:bookmarkEnd w:id="140"/>
      <w:r/>
      <w:bookmarkEnd w:id="141"/>
      <w:r>
        <w:rPr>
          <w:rFonts w:hint="eastAsia" w:ascii="仿宋" w:hAnsi="仿宋" w:eastAsia="仿宋"/>
          <w:bCs w:val="0"/>
          <w:sz w:val="24"/>
          <w:szCs w:val="24"/>
        </w:rPr>
        <w:t xml:space="preserve">13、技术要求响应及偏离表、商务要求响应及偏离表</w:t>
      </w:r>
      <w:r/>
    </w:p>
    <w:p>
      <w:pPr>
        <w:ind w:firstLine="480"/>
        <w:spacing w:line="276" w:lineRule="auto"/>
        <w:rPr>
          <w:rFonts w:ascii="仿宋" w:hAnsi="仿宋" w:eastAsia="仿宋" w:cs="宋体"/>
          <w:sz w:val="24"/>
          <w:szCs w:val="24"/>
          <w:lang w:val="zh-CN"/>
        </w:rPr>
      </w:pPr>
      <w:r/>
      <w:bookmarkStart w:id="142" w:name="_Toc14577359"/>
      <w:r/>
      <w:bookmarkStart w:id="143" w:name="_Toc49090510"/>
      <w:r>
        <w:rPr>
          <w:rFonts w:ascii="仿宋" w:hAnsi="仿宋" w:eastAsia="仿宋" w:cs="宋体"/>
          <w:bCs/>
          <w:sz w:val="24"/>
          <w:szCs w:val="24"/>
          <w:lang w:val="zh-CN"/>
        </w:rPr>
        <w:t xml:space="preserve">1</w:t>
      </w:r>
      <w:r>
        <w:rPr>
          <w:rFonts w:hint="eastAsia" w:ascii="仿宋" w:hAnsi="仿宋" w:eastAsia="仿宋" w:cs="宋体"/>
          <w:bCs/>
          <w:sz w:val="24"/>
          <w:szCs w:val="24"/>
          <w:lang w:val="zh-CN"/>
        </w:rPr>
        <w:t xml:space="preserve">3</w:t>
      </w:r>
      <w:r>
        <w:rPr>
          <w:rFonts w:ascii="仿宋" w:hAnsi="仿宋" w:eastAsia="仿宋" w:cs="宋体"/>
          <w:bCs/>
          <w:sz w:val="24"/>
          <w:szCs w:val="24"/>
          <w:lang w:val="zh-CN"/>
        </w:rPr>
        <w:t xml:space="preserve">.1</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投标人需对招标文件中的技术要求与商务要求逐项作出响应或偏离，并说明原因。</w:t>
      </w:r>
      <w:r/>
    </w:p>
    <w:p>
      <w:pPr>
        <w:ind w:firstLine="480"/>
        <w:spacing w:line="276" w:lineRule="auto"/>
        <w:tabs>
          <w:tab w:val="left" w:pos="1035" w:leader="none"/>
        </w:tabs>
        <w:rPr>
          <w:rFonts w:ascii="仿宋" w:hAnsi="仿宋" w:eastAsia="仿宋" w:cs="宋体"/>
          <w:sz w:val="24"/>
          <w:szCs w:val="24"/>
          <w:lang w:val="zh-CN"/>
        </w:rPr>
      </w:pPr>
      <w:r>
        <w:rPr>
          <w:rFonts w:hint="eastAsia" w:ascii="仿宋" w:hAnsi="仿宋" w:eastAsia="仿宋" w:cs="宋体"/>
          <w:sz w:val="24"/>
          <w:szCs w:val="24"/>
          <w:lang w:val="zh-CN"/>
        </w:rPr>
        <w:t xml:space="preserve">13.2 投标人可在投标文件中提供认为需要的其他技术文件或说明。</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14、投标声明及承诺函和开标一览表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14.1</w:t>
      </w:r>
      <w:r>
        <w:rPr>
          <w:rFonts w:hint="eastAsia" w:ascii="仿宋" w:hAnsi="仿宋" w:eastAsia="仿宋"/>
          <w:sz w:val="24"/>
          <w:szCs w:val="24"/>
        </w:rPr>
        <w:t xml:space="preserve"> 投标人应按照招标文件中提供的格式完整、正确填写投标声明及承诺函、开标一览表。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14.2</w:t>
      </w:r>
      <w:r>
        <w:rPr>
          <w:rFonts w:hint="eastAsia" w:ascii="仿宋" w:hAnsi="仿宋" w:eastAsia="仿宋"/>
          <w:sz w:val="24"/>
          <w:szCs w:val="24"/>
        </w:rPr>
        <w:t xml:space="preserve"> 对于采用货币报价的项目，</w:t>
      </w:r>
      <w:r>
        <w:rPr>
          <w:rFonts w:hint="eastAsia" w:ascii="仿宋" w:hAnsi="仿宋" w:eastAsia="仿宋"/>
          <w:bCs/>
          <w:sz w:val="24"/>
          <w:szCs w:val="24"/>
        </w:rPr>
        <w:t xml:space="preserve">开标一览表中的投标总报价应与投标分项报价表中的投标总报价一致，如不一致，</w:t>
      </w:r>
      <w:r>
        <w:rPr>
          <w:rFonts w:hint="eastAsia" w:ascii="仿宋" w:hAnsi="仿宋" w:eastAsia="仿宋"/>
          <w:sz w:val="24"/>
          <w:szCs w:val="24"/>
        </w:rPr>
        <w:t xml:space="preserve">不作为无效投标处理</w:t>
      </w:r>
      <w:r>
        <w:rPr>
          <w:rFonts w:hint="eastAsia" w:ascii="仿宋" w:hAnsi="仿宋" w:eastAsia="仿宋"/>
          <w:bCs/>
          <w:sz w:val="24"/>
          <w:szCs w:val="24"/>
        </w:rPr>
        <w:t xml:space="preserve">，但评标时按开标一览表中价格为准</w:t>
      </w:r>
      <w:r>
        <w:rPr>
          <w:rFonts w:hint="eastAsia" w:ascii="仿宋" w:hAnsi="仿宋" w:eastAsia="仿宋"/>
          <w:b/>
          <w:bCs/>
          <w:sz w:val="24"/>
          <w:szCs w:val="24"/>
        </w:rPr>
        <w:t xml:space="preserve">。</w:t>
      </w:r>
      <w:r/>
    </w:p>
    <w:p>
      <w:pPr>
        <w:pStyle w:val="750"/>
        <w:ind w:firstLine="482"/>
        <w:spacing w:before="0" w:after="0" w:line="276" w:lineRule="auto"/>
        <w:rPr>
          <w:rFonts w:ascii="仿宋" w:hAnsi="仿宋" w:eastAsia="仿宋"/>
          <w:bCs w:val="0"/>
          <w:sz w:val="24"/>
          <w:szCs w:val="24"/>
        </w:rPr>
      </w:pPr>
      <w:r/>
      <w:bookmarkStart w:id="144" w:name="_Hlt26954850"/>
      <w:r/>
      <w:bookmarkStart w:id="145" w:name="_Hlt26670489"/>
      <w:r/>
      <w:bookmarkStart w:id="146" w:name="_Hlt26954734"/>
      <w:r/>
      <w:bookmarkStart w:id="147" w:name="_Toc49090511"/>
      <w:r/>
      <w:bookmarkStart w:id="148" w:name="_Toc14577360"/>
      <w:r/>
      <w:bookmarkEnd w:id="142"/>
      <w:r/>
      <w:bookmarkEnd w:id="143"/>
      <w:r/>
      <w:bookmarkEnd w:id="144"/>
      <w:r/>
      <w:bookmarkEnd w:id="145"/>
      <w:r/>
      <w:bookmarkEnd w:id="146"/>
      <w:r>
        <w:rPr>
          <w:rFonts w:hint="eastAsia" w:ascii="仿宋" w:hAnsi="仿宋" w:eastAsia="仿宋"/>
          <w:bCs w:val="0"/>
          <w:sz w:val="24"/>
          <w:szCs w:val="24"/>
        </w:rPr>
        <w:t xml:space="preserve">15、投标有效期</w:t>
      </w:r>
      <w:bookmarkEnd w:id="147"/>
      <w:r/>
      <w:bookmarkEnd w:id="148"/>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15.1</w:t>
      </w:r>
      <w:r>
        <w:rPr>
          <w:rFonts w:hint="eastAsia" w:ascii="仿宋" w:hAnsi="仿宋" w:eastAsia="仿宋"/>
          <w:bCs/>
          <w:sz w:val="24"/>
          <w:szCs w:val="24"/>
        </w:rPr>
        <w:t xml:space="preserve"> 投标有效期为开标之日后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。投标有效期比规定短的将被视为未实质性响应招标</w:t>
      </w:r>
      <w:r>
        <w:rPr>
          <w:rFonts w:ascii="仿宋" w:hAnsi="仿宋" w:eastAsia="仿宋"/>
          <w:bCs/>
          <w:sz w:val="24"/>
          <w:szCs w:val="24"/>
        </w:rPr>
        <w:t xml:space="preserve">文件</w:t>
      </w:r>
      <w:r>
        <w:rPr>
          <w:rFonts w:hint="eastAsia" w:ascii="仿宋" w:hAnsi="仿宋" w:eastAsia="仿宋"/>
          <w:bCs/>
          <w:sz w:val="24"/>
          <w:szCs w:val="24"/>
        </w:rPr>
        <w:t xml:space="preserve">而予以拒绝。</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16、投标有效期的延长</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16.1</w:t>
      </w:r>
      <w:r>
        <w:rPr>
          <w:rFonts w:hint="eastAsia" w:ascii="仿宋" w:hAnsi="仿宋" w:eastAsia="仿宋"/>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sz w:val="24"/>
          <w:szCs w:val="24"/>
        </w:rPr>
        <w:t xml:space="preserve">。</w:t>
      </w:r>
      <w:r>
        <w:rPr>
          <w:rFonts w:hint="eastAsia" w:ascii="仿宋" w:hAnsi="仿宋" w:eastAsia="仿宋"/>
          <w:bCs/>
          <w:sz w:val="24"/>
          <w:szCs w:val="24"/>
        </w:rPr>
        <w:t xml:space="preserve">同意延长投标有效期的投标人既不能要求也不允许修改其投标文件</w:t>
      </w:r>
      <w:r>
        <w:rPr>
          <w:rFonts w:hint="eastAsia" w:ascii="仿宋" w:hAnsi="仿宋" w:eastAsia="仿宋"/>
          <w:sz w:val="24"/>
          <w:szCs w:val="24"/>
        </w:rPr>
        <w:t xml:space="preserve">，同时受投标有效期约束的所有权利与义务均延长至新的有效期</w:t>
      </w:r>
      <w:r>
        <w:rPr>
          <w:rFonts w:hint="eastAsia" w:ascii="仿宋" w:hAnsi="仿宋" w:eastAsia="仿宋"/>
          <w:bCs/>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16.2中标人的投标文件作为项目服务合同的附件，其有效期至中标人全部合同义务履行完毕为止。</w:t>
      </w:r>
      <w:r/>
    </w:p>
    <w:p>
      <w:pPr>
        <w:pStyle w:val="748"/>
        <w:jc w:val="both"/>
        <w:spacing w:before="160" w:after="160" w:line="400" w:lineRule="exact"/>
        <w:rPr>
          <w:rFonts w:ascii="黑体" w:hAnsi="黑体" w:eastAsia="黑体"/>
          <w:b w:val="0"/>
          <w:bCs w:val="0"/>
          <w:sz w:val="32"/>
          <w:szCs w:val="32"/>
        </w:rPr>
      </w:pPr>
      <w:r/>
      <w:bookmarkStart w:id="149" w:name="_Hlt26954739"/>
      <w:r/>
      <w:bookmarkStart w:id="150" w:name="_Hlt26954852"/>
      <w:r/>
      <w:bookmarkStart w:id="151" w:name="_Toc513029224"/>
      <w:r/>
      <w:bookmarkStart w:id="152" w:name="_Toc16938540"/>
      <w:r/>
      <w:bookmarkStart w:id="153" w:name="_Toc120614217"/>
      <w:r/>
      <w:bookmarkStart w:id="154" w:name="_Toc20823296"/>
      <w:r/>
      <w:bookmarkStart w:id="155" w:name="_Toc162865667"/>
      <w:r/>
      <w:bookmarkEnd w:id="149"/>
      <w:r/>
      <w:bookmarkEnd w:id="150"/>
      <w:r>
        <w:rPr>
          <w:rFonts w:hint="eastAsia" w:ascii="黑体" w:hAnsi="黑体" w:eastAsia="黑体"/>
          <w:b w:val="0"/>
          <w:bCs w:val="0"/>
          <w:sz w:val="32"/>
          <w:szCs w:val="32"/>
        </w:rPr>
        <w:t xml:space="preserve">四、投标文件的递交</w:t>
      </w:r>
      <w:bookmarkEnd w:id="151"/>
      <w:r/>
      <w:bookmarkEnd w:id="152"/>
      <w:r/>
      <w:bookmarkEnd w:id="153"/>
      <w:r/>
      <w:bookmarkEnd w:id="154"/>
      <w:r/>
      <w:bookmarkEnd w:id="155"/>
      <w:r/>
      <w:r/>
    </w:p>
    <w:p>
      <w:pPr>
        <w:pStyle w:val="750"/>
        <w:ind w:firstLine="482"/>
        <w:spacing w:before="0" w:after="0" w:line="276" w:lineRule="auto"/>
        <w:rPr>
          <w:rFonts w:ascii="仿宋" w:hAnsi="仿宋" w:eastAsia="仿宋"/>
          <w:bCs w:val="0"/>
          <w:sz w:val="24"/>
          <w:szCs w:val="24"/>
        </w:rPr>
      </w:pPr>
      <w:r/>
      <w:bookmarkStart w:id="156" w:name="_Toc462564084"/>
      <w:r/>
      <w:bookmarkStart w:id="157" w:name="_Toc20823297"/>
      <w:r/>
      <w:bookmarkStart w:id="158" w:name="_Toc16938541"/>
      <w:r/>
      <w:bookmarkStart w:id="159" w:name="_Toc513029225"/>
      <w:r>
        <w:rPr>
          <w:rFonts w:hint="eastAsia" w:ascii="仿宋" w:hAnsi="仿宋" w:eastAsia="仿宋"/>
          <w:bCs w:val="0"/>
          <w:sz w:val="24"/>
          <w:szCs w:val="24"/>
        </w:rPr>
        <w:t xml:space="preserve">17、投标文件</w:t>
      </w:r>
      <w:bookmarkEnd w:id="156"/>
      <w:r/>
      <w:bookmarkEnd w:id="157"/>
      <w:r/>
      <w:bookmarkEnd w:id="158"/>
      <w:r/>
      <w:bookmarkEnd w:id="159"/>
      <w:r>
        <w:rPr>
          <w:rFonts w:hint="eastAsia" w:ascii="仿宋" w:hAnsi="仿宋" w:eastAsia="仿宋"/>
          <w:bCs w:val="0"/>
          <w:sz w:val="24"/>
          <w:szCs w:val="24"/>
        </w:rPr>
        <w:t xml:space="preserve">的递交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17.1投标人应当按照《操作手册》规定，在投标截止时间前制作并上传电子投标文件。</w:t>
      </w:r>
      <w:bookmarkStart w:id="160" w:name="_Toc513029226"/>
      <w:r/>
      <w:bookmarkStart w:id="161" w:name="_Toc16938542"/>
      <w:r/>
      <w:bookmarkStart w:id="162" w:name="_Toc20823298"/>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17.2投标人通过“苏采云”系统不见面开标大厅在线参与开标活动。（具体操作详见《“苏采云”系统投标人操作手册》，网址链接http://www.ccgp-jiangsu.gov.cn//webfile/jiangsu/202311/1699268553318052447.pdf）</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18、投标截止</w:t>
      </w:r>
      <w:bookmarkEnd w:id="160"/>
      <w:r/>
      <w:bookmarkEnd w:id="161"/>
      <w:r/>
      <w:bookmarkEnd w:id="162"/>
      <w:r>
        <w:rPr>
          <w:rFonts w:hint="eastAsia" w:ascii="仿宋" w:hAnsi="仿宋" w:eastAsia="仿宋"/>
          <w:bCs w:val="0"/>
          <w:sz w:val="24"/>
          <w:szCs w:val="24"/>
        </w:rPr>
        <w:t xml:space="preserve">时间</w:t>
      </w:r>
      <w:r/>
    </w:p>
    <w:p>
      <w:pPr>
        <w:ind w:firstLine="480"/>
        <w:spacing w:line="276" w:lineRule="auto"/>
        <w:rPr>
          <w:rFonts w:ascii="仿宋" w:hAnsi="仿宋" w:eastAsia="仿宋"/>
          <w:bCs/>
          <w:iCs/>
          <w:sz w:val="24"/>
          <w:szCs w:val="24"/>
        </w:rPr>
      </w:pPr>
      <w:r>
        <w:rPr>
          <w:rFonts w:hint="eastAsia" w:ascii="仿宋" w:hAnsi="仿宋" w:eastAsia="仿宋"/>
          <w:iCs/>
          <w:sz w:val="24"/>
          <w:szCs w:val="24"/>
        </w:rPr>
        <w:t xml:space="preserve">18.1</w:t>
      </w:r>
      <w:r>
        <w:rPr>
          <w:rFonts w:hint="eastAsia" w:ascii="仿宋" w:hAnsi="仿宋" w:eastAsia="仿宋"/>
          <w:bCs/>
          <w:iCs/>
          <w:sz w:val="24"/>
          <w:szCs w:val="24"/>
        </w:rPr>
        <w:t xml:space="preserve"> 投标人上传电子投标文件的时间不得迟于招标公告中规定的投标截止时间。</w:t>
      </w:r>
      <w:r/>
    </w:p>
    <w:p>
      <w:pPr>
        <w:ind w:firstLine="480"/>
        <w:spacing w:line="276" w:lineRule="auto"/>
        <w:rPr>
          <w:rFonts w:ascii="仿宋" w:hAnsi="仿宋" w:eastAsia="仿宋"/>
          <w:bCs/>
          <w:iCs/>
          <w:sz w:val="24"/>
          <w:szCs w:val="24"/>
        </w:rPr>
      </w:pPr>
      <w:r>
        <w:rPr>
          <w:rFonts w:hint="eastAsia" w:ascii="仿宋" w:hAnsi="仿宋" w:eastAsia="仿宋"/>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18.2</w:t>
      </w:r>
      <w:r>
        <w:rPr>
          <w:rFonts w:hint="eastAsia" w:ascii="仿宋" w:hAnsi="仿宋" w:eastAsia="仿宋"/>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50"/>
        <w:ind w:firstLine="482"/>
        <w:spacing w:before="0" w:after="0" w:line="276" w:lineRule="auto"/>
        <w:rPr>
          <w:rFonts w:ascii="仿宋" w:hAnsi="仿宋" w:eastAsia="仿宋"/>
          <w:bCs w:val="0"/>
          <w:sz w:val="24"/>
          <w:szCs w:val="24"/>
        </w:rPr>
      </w:pPr>
      <w:r/>
      <w:bookmarkStart w:id="163" w:name="_Toc16938543"/>
      <w:r/>
      <w:bookmarkStart w:id="164" w:name="_Toc513029227"/>
      <w:r/>
      <w:bookmarkStart w:id="165" w:name="_Toc20823299"/>
      <w:r>
        <w:rPr>
          <w:rFonts w:hint="eastAsia" w:ascii="仿宋" w:hAnsi="仿宋" w:eastAsia="仿宋"/>
          <w:bCs w:val="0"/>
          <w:sz w:val="24"/>
          <w:szCs w:val="24"/>
        </w:rPr>
        <w:t xml:space="preserve">19、投标文件</w:t>
      </w:r>
      <w:bookmarkEnd w:id="163"/>
      <w:r/>
      <w:bookmarkEnd w:id="164"/>
      <w:r/>
      <w:bookmarkEnd w:id="165"/>
      <w:r>
        <w:rPr>
          <w:rFonts w:hint="eastAsia" w:ascii="仿宋" w:hAnsi="仿宋" w:eastAsia="仿宋"/>
          <w:bCs w:val="0"/>
          <w:sz w:val="24"/>
          <w:szCs w:val="24"/>
        </w:rPr>
        <w:t xml:space="preserve">的拒收</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19.1</w:t>
      </w:r>
      <w:r>
        <w:rPr>
          <w:rFonts w:hint="eastAsia" w:ascii="仿宋" w:hAnsi="仿宋" w:eastAsia="仿宋"/>
          <w:bCs/>
          <w:sz w:val="24"/>
          <w:szCs w:val="24"/>
        </w:rPr>
        <w:t xml:space="preserve">采购代理机构拒绝接收在其规定的投标截止时间后上传的任何投标文件。</w:t>
      </w:r>
      <w:r/>
    </w:p>
    <w:p>
      <w:pPr>
        <w:pStyle w:val="750"/>
        <w:ind w:firstLine="482"/>
        <w:spacing w:before="0" w:after="0" w:line="276" w:lineRule="auto"/>
        <w:rPr>
          <w:rFonts w:ascii="仿宋" w:hAnsi="仿宋" w:eastAsia="仿宋"/>
          <w:bCs w:val="0"/>
          <w:sz w:val="24"/>
          <w:szCs w:val="24"/>
        </w:rPr>
      </w:pPr>
      <w:r/>
      <w:bookmarkStart w:id="166" w:name="_Toc20823300"/>
      <w:r/>
      <w:bookmarkStart w:id="167" w:name="_Toc513029228"/>
      <w:r/>
      <w:bookmarkStart w:id="168" w:name="_Toc16938544"/>
      <w:r>
        <w:rPr>
          <w:rFonts w:hint="eastAsia" w:ascii="仿宋" w:hAnsi="仿宋" w:eastAsia="仿宋"/>
          <w:bCs w:val="0"/>
          <w:sz w:val="24"/>
          <w:szCs w:val="24"/>
        </w:rPr>
        <w:t xml:space="preserve">20、投标文件的撤回和修改</w:t>
      </w:r>
      <w:bookmarkEnd w:id="166"/>
      <w:r/>
      <w:bookmarkEnd w:id="167"/>
      <w:r/>
      <w:bookmarkEnd w:id="168"/>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 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20.1.1 电子投标文件的撤回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投标人可在投标截止时间前，撤回其电子投标文件，具体操作方法见《操作手册》。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w:t>
      </w:r>
      <w:r>
        <w:rPr>
          <w:rFonts w:ascii="仿宋" w:hAnsi="仿宋" w:eastAsia="仿宋"/>
          <w:sz w:val="24"/>
          <w:szCs w:val="24"/>
        </w:rPr>
        <w:t xml:space="preserve">2</w:t>
      </w:r>
      <w:r>
        <w:rPr>
          <w:rFonts w:hint="eastAsia" w:ascii="仿宋" w:hAnsi="仿宋" w:eastAsia="仿宋"/>
          <w:sz w:val="24"/>
          <w:szCs w:val="24"/>
        </w:rPr>
        <w:t xml:space="preserve"> 投标人撤回电子投标文件，则认为其不再参与本项目投标活动。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20.2 投标文件的修改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20.2.1投标人可在投标截止时间前，对其电子投标文件进行修改，具体操作方法见《操作手册》。</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20.2.2</w:t>
      </w:r>
      <w:r>
        <w:rPr>
          <w:rFonts w:hint="eastAsia" w:ascii="仿宋" w:hAnsi="仿宋" w:eastAsia="仿宋"/>
          <w:bCs/>
          <w:sz w:val="24"/>
          <w:szCs w:val="24"/>
        </w:rPr>
        <w:t xml:space="preserve"> 在投标截止时间之后，投标人不得对其电子投标文件作任何修改。</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20.3</w:t>
      </w:r>
      <w:r>
        <w:rPr>
          <w:rFonts w:hint="eastAsia" w:ascii="仿宋" w:hAnsi="仿宋" w:eastAsia="仿宋"/>
          <w:bCs/>
          <w:sz w:val="24"/>
          <w:szCs w:val="24"/>
        </w:rPr>
        <w:t xml:space="preserve"> 在投标截止时间至招标文件中规定的投标有效期满之间的这段时间内，投标人不得撤回其投标。</w:t>
      </w:r>
      <w:r/>
    </w:p>
    <w:p>
      <w:pPr>
        <w:pStyle w:val="748"/>
        <w:jc w:val="both"/>
        <w:spacing w:before="160" w:after="160" w:line="400" w:lineRule="exact"/>
        <w:rPr>
          <w:rFonts w:ascii="黑体" w:hAnsi="黑体" w:eastAsia="黑体"/>
          <w:b w:val="0"/>
          <w:bCs w:val="0"/>
          <w:sz w:val="32"/>
          <w:szCs w:val="32"/>
        </w:rPr>
      </w:pPr>
      <w:r/>
      <w:bookmarkStart w:id="169" w:name="_Toc20823301"/>
      <w:r/>
      <w:bookmarkStart w:id="170" w:name="_Toc16938545"/>
      <w:r/>
      <w:bookmarkStart w:id="171" w:name="_Toc120614218"/>
      <w:r/>
      <w:bookmarkStart w:id="172" w:name="_Toc513029229"/>
      <w:r/>
      <w:bookmarkStart w:id="173" w:name="_Toc162865668"/>
      <w:r>
        <w:rPr>
          <w:rFonts w:hint="eastAsia" w:ascii="黑体" w:hAnsi="黑体" w:eastAsia="黑体"/>
          <w:b w:val="0"/>
          <w:bCs w:val="0"/>
          <w:sz w:val="32"/>
          <w:szCs w:val="32"/>
        </w:rPr>
        <w:t xml:space="preserve">五、开标与评标</w:t>
      </w:r>
      <w:bookmarkEnd w:id="169"/>
      <w:r/>
      <w:bookmarkEnd w:id="170"/>
      <w:r/>
      <w:bookmarkEnd w:id="171"/>
      <w:r/>
      <w:bookmarkEnd w:id="172"/>
      <w:r/>
      <w:bookmarkEnd w:id="173"/>
      <w:r/>
      <w:r/>
    </w:p>
    <w:p>
      <w:pPr>
        <w:pStyle w:val="750"/>
        <w:ind w:firstLine="482"/>
        <w:spacing w:before="0" w:after="0" w:line="276" w:lineRule="auto"/>
        <w:rPr>
          <w:rFonts w:ascii="仿宋" w:hAnsi="仿宋" w:eastAsia="仿宋"/>
          <w:bCs w:val="0"/>
          <w:sz w:val="24"/>
          <w:szCs w:val="24"/>
        </w:rPr>
      </w:pPr>
      <w:r/>
      <w:bookmarkStart w:id="174" w:name="_Toc513029230"/>
      <w:r/>
      <w:bookmarkStart w:id="175" w:name="_Toc20823302"/>
      <w:r/>
      <w:bookmarkStart w:id="176" w:name="_Toc16938546"/>
      <w:r>
        <w:rPr>
          <w:rFonts w:hint="eastAsia" w:ascii="仿宋" w:hAnsi="仿宋" w:eastAsia="仿宋"/>
          <w:bCs w:val="0"/>
          <w:sz w:val="24"/>
          <w:szCs w:val="24"/>
        </w:rPr>
        <w:t xml:space="preserve">21、开标</w:t>
      </w:r>
      <w:bookmarkEnd w:id="174"/>
      <w:r/>
      <w:bookmarkEnd w:id="175"/>
      <w:r/>
      <w:bookmarkEnd w:id="176"/>
      <w:r/>
      <w:r/>
    </w:p>
    <w:p>
      <w:pPr>
        <w:pStyle w:val="1017"/>
        <w:spacing w:line="276" w:lineRule="auto"/>
        <w:rPr>
          <w:rFonts w:ascii="仿宋" w:hAnsi="仿宋" w:eastAsia="仿宋"/>
          <w:sz w:val="24"/>
          <w:szCs w:val="24"/>
          <w:lang w:val="en-US"/>
        </w:rPr>
      </w:pPr>
      <w:r>
        <w:rPr>
          <w:rFonts w:hint="eastAsia" w:ascii="仿宋" w:hAnsi="仿宋" w:eastAsia="仿宋"/>
          <w:sz w:val="24"/>
          <w:szCs w:val="24"/>
        </w:rPr>
        <w:t xml:space="preserve">21.1</w:t>
      </w:r>
      <w:r>
        <w:rPr>
          <w:rFonts w:hint="eastAsia" w:ascii="仿宋" w:hAnsi="仿宋" w:eastAsia="仿宋"/>
          <w:bCs/>
          <w:sz w:val="24"/>
          <w:szCs w:val="24"/>
        </w:rPr>
        <w:t xml:space="preserve"> 采购代理机构将在招标公告中规定的时间和地点组织公开开标</w:t>
      </w:r>
      <w:r>
        <w:rPr>
          <w:rFonts w:hint="eastAsia" w:ascii="仿宋" w:hAnsi="仿宋" w:eastAsia="仿宋"/>
          <w:sz w:val="24"/>
          <w:szCs w:val="24"/>
          <w:lang w:val="en-US"/>
        </w:rPr>
        <w:t xml:space="preserve">。投标人应当按照《“苏采云”系统供应商操作手册》规定，参加开标活动和在“苏采云”系统规定的时间内对投标文件进行解密。</w:t>
      </w:r>
      <w:r/>
    </w:p>
    <w:p>
      <w:pPr>
        <w:pStyle w:val="1017"/>
        <w:spacing w:line="276" w:lineRule="auto"/>
        <w:rPr>
          <w:rFonts w:ascii="仿宋" w:hAnsi="仿宋" w:eastAsia="仿宋"/>
          <w:sz w:val="24"/>
          <w:szCs w:val="24"/>
        </w:rPr>
      </w:pPr>
      <w:r>
        <w:rPr>
          <w:rFonts w:hint="eastAsia" w:ascii="仿宋" w:hAnsi="仿宋" w:eastAsia="仿宋"/>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21.3投标人在开标过程中涉及到的投标文件解密、开标结果确认等工作，应按照《操作手册》规定执行。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21.4投标人如果对开标过程和开标记录有疑义，应当根据《操作手册》规定提出，如 “苏采云”系统中《开标记录表》宣布后5分钟内未提出的，视同认可开标结果。</w:t>
      </w:r>
      <w:r/>
    </w:p>
    <w:p>
      <w:pPr>
        <w:pStyle w:val="750"/>
        <w:ind w:firstLine="482"/>
        <w:spacing w:before="0" w:after="0" w:line="276" w:lineRule="auto"/>
        <w:rPr>
          <w:rFonts w:ascii="仿宋" w:hAnsi="仿宋" w:eastAsia="仿宋"/>
          <w:bCs w:val="0"/>
          <w:sz w:val="24"/>
          <w:szCs w:val="24"/>
        </w:rPr>
      </w:pPr>
      <w:r/>
      <w:bookmarkStart w:id="177" w:name="_Toc16938547"/>
      <w:r/>
      <w:bookmarkStart w:id="178" w:name="_Toc513029231"/>
      <w:r/>
      <w:bookmarkStart w:id="179" w:name="_Toc20823303"/>
      <w:r>
        <w:rPr>
          <w:rFonts w:hint="eastAsia" w:ascii="仿宋" w:hAnsi="仿宋" w:eastAsia="仿宋"/>
          <w:bCs w:val="0"/>
          <w:sz w:val="24"/>
          <w:szCs w:val="24"/>
        </w:rPr>
        <w:t xml:space="preserve">22、评委会</w:t>
      </w:r>
      <w:r/>
    </w:p>
    <w:p>
      <w:pPr>
        <w:ind w:firstLine="480"/>
        <w:spacing w:line="276" w:lineRule="auto"/>
        <w:rPr>
          <w:rFonts w:ascii="仿宋" w:hAnsi="仿宋" w:eastAsia="仿宋"/>
          <w:b/>
          <w:sz w:val="24"/>
          <w:szCs w:val="24"/>
        </w:rPr>
      </w:pPr>
      <w:r>
        <w:rPr>
          <w:rFonts w:hint="eastAsia" w:ascii="仿宋" w:hAnsi="仿宋" w:eastAsia="仿宋"/>
          <w:sz w:val="24"/>
          <w:szCs w:val="24"/>
        </w:rPr>
        <w:t xml:space="preserve">22.1</w:t>
      </w:r>
      <w:r>
        <w:rPr>
          <w:rFonts w:hint="eastAsia" w:ascii="仿宋" w:hAnsi="仿宋" w:eastAsia="仿宋"/>
          <w:b/>
          <w:sz w:val="24"/>
          <w:szCs w:val="24"/>
        </w:rPr>
        <w:t xml:space="preserve"> </w:t>
      </w:r>
      <w:r>
        <w:rPr>
          <w:rFonts w:hint="eastAsia" w:ascii="仿宋" w:hAnsi="仿宋" w:eastAsia="仿宋"/>
          <w:sz w:val="24"/>
          <w:szCs w:val="24"/>
        </w:rPr>
        <w:t xml:space="preserve">开标后，采购代理机构将立即组织评委会（以下简称评委会）进行评标。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22.2 评委会由采购人代表和有关技术、经济等方面的专家组成，且人员构成符合政府采购有关规定。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22.3评委会独立工作，负责评审所有投标文件并确定中标侯选人。</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23、评标过程的保密与公正</w:t>
      </w:r>
      <w:bookmarkEnd w:id="177"/>
      <w:r/>
      <w:bookmarkEnd w:id="178"/>
      <w:r/>
      <w:bookmarkEnd w:id="179"/>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23.1</w:t>
      </w:r>
      <w:r>
        <w:rPr>
          <w:rFonts w:hint="eastAsia" w:ascii="仿宋" w:hAnsi="仿宋" w:eastAsia="仿宋"/>
          <w:bCs/>
          <w:sz w:val="24"/>
          <w:szCs w:val="24"/>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23.2在评标过程中，投标人不得以任何行为影响评标过程，否则其投标文件将被作为无效投标文件。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w:t>
      </w:r>
      <w:r>
        <w:rPr>
          <w:rFonts w:ascii="仿宋" w:hAnsi="仿宋" w:eastAsia="仿宋"/>
          <w:sz w:val="24"/>
          <w:szCs w:val="24"/>
        </w:rPr>
        <w:t xml:space="preserve">3</w:t>
      </w:r>
      <w:r>
        <w:rPr>
          <w:rFonts w:hint="eastAsia" w:ascii="仿宋" w:hAnsi="仿宋" w:eastAsia="仿宋"/>
          <w:sz w:val="24"/>
          <w:szCs w:val="24"/>
        </w:rPr>
        <w:t xml:space="preserve"> 采购代理机构和评委会不向未中标的投标人解释未中标原因，也不公布评标过程中的相关细节。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23.4 采用综合评分法的项目，未中标的投标人可于中标结果公告期限届满之日起通过“苏采云”系统查看自己的评审得分及排序情况。</w:t>
      </w:r>
      <w:r/>
    </w:p>
    <w:p>
      <w:pPr>
        <w:pStyle w:val="750"/>
        <w:ind w:firstLine="482"/>
        <w:spacing w:before="0" w:after="0" w:line="276" w:lineRule="auto"/>
        <w:rPr>
          <w:rFonts w:ascii="仿宋" w:hAnsi="仿宋" w:eastAsia="仿宋"/>
          <w:bCs w:val="0"/>
          <w:sz w:val="24"/>
          <w:szCs w:val="24"/>
        </w:rPr>
      </w:pPr>
      <w:r/>
      <w:bookmarkStart w:id="180" w:name="_Toc16938548"/>
      <w:r/>
      <w:bookmarkStart w:id="181" w:name="_Toc20823304"/>
      <w:r/>
      <w:bookmarkStart w:id="182" w:name="_Toc513029232"/>
      <w:r>
        <w:rPr>
          <w:rFonts w:hint="eastAsia" w:ascii="仿宋" w:hAnsi="仿宋" w:eastAsia="仿宋"/>
          <w:bCs w:val="0"/>
          <w:sz w:val="24"/>
          <w:szCs w:val="24"/>
        </w:rPr>
        <w:t xml:space="preserve">24、投标文件的澄清</w:t>
      </w:r>
      <w:bookmarkEnd w:id="180"/>
      <w:r/>
      <w:bookmarkEnd w:id="181"/>
      <w:r/>
      <w:bookmarkEnd w:id="182"/>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4.</w:t>
      </w:r>
      <w:r>
        <w:rPr>
          <w:rFonts w:ascii="仿宋" w:hAnsi="仿宋" w:eastAsia="仿宋"/>
          <w:sz w:val="24"/>
          <w:szCs w:val="24"/>
        </w:rPr>
        <w:t xml:space="preserve">1</w:t>
      </w:r>
      <w:r>
        <w:rPr>
          <w:rFonts w:hint="eastAsia" w:ascii="仿宋" w:hAnsi="仿宋" w:eastAsia="仿宋"/>
          <w:sz w:val="24"/>
          <w:szCs w:val="24"/>
        </w:rPr>
        <w:t xml:space="preserve">评标期间，评委会对投标文件中含义不明确、同类问题表述不一致或者有明显文字和计算错误的内容</w:t>
      </w:r>
      <w:r>
        <w:rPr>
          <w:rFonts w:ascii="仿宋" w:hAnsi="仿宋" w:eastAsia="仿宋"/>
          <w:sz w:val="24"/>
          <w:szCs w:val="24"/>
        </w:rPr>
        <w:t xml:space="preserve"> </w:t>
      </w:r>
      <w:r>
        <w:rPr>
          <w:rFonts w:hint="eastAsia" w:ascii="仿宋" w:hAnsi="仿宋" w:eastAsia="仿宋"/>
          <w:sz w:val="24"/>
          <w:szCs w:val="24"/>
        </w:rPr>
        <w:t xml:space="preserve">，有权要求投标人作出必要的澄清、说明或者补正。</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投标人的澄清、说明或者补正不得超出投标文件的范围或者改变投标文件的实质性内容。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评委会</w:t>
      </w:r>
      <w:r>
        <w:rPr>
          <w:rFonts w:ascii="仿宋" w:hAnsi="仿宋" w:eastAsia="仿宋"/>
          <w:sz w:val="24"/>
          <w:szCs w:val="24"/>
        </w:rPr>
        <w:t xml:space="preserve">并非对每个投标人都做澄清要求</w:t>
      </w:r>
      <w:r>
        <w:rPr>
          <w:rFonts w:hint="eastAsia" w:ascii="仿宋" w:hAnsi="仿宋" w:eastAsia="仿宋"/>
          <w:sz w:val="24"/>
          <w:szCs w:val="24"/>
        </w:rPr>
        <w:t xml:space="preserve">。</w:t>
      </w:r>
      <w:r/>
    </w:p>
    <w:p>
      <w:pPr>
        <w:pStyle w:val="1017"/>
        <w:spacing w:line="276" w:lineRule="auto"/>
        <w:rPr>
          <w:rFonts w:ascii="仿宋" w:hAnsi="仿宋" w:eastAsia="仿宋"/>
          <w:sz w:val="24"/>
          <w:szCs w:val="24"/>
        </w:rPr>
      </w:pPr>
      <w:r>
        <w:rPr>
          <w:rFonts w:hint="eastAsia" w:ascii="仿宋" w:hAnsi="仿宋" w:eastAsia="仿宋"/>
          <w:sz w:val="24"/>
          <w:szCs w:val="24"/>
        </w:rPr>
        <w:t xml:space="preserve">24.2需要投标人进行澄清、说明和补正的，</w:t>
      </w:r>
      <w:r>
        <w:rPr>
          <w:rFonts w:hint="eastAsia" w:ascii="仿宋" w:hAnsi="仿宋" w:eastAsia="仿宋"/>
          <w:sz w:val="24"/>
          <w:szCs w:val="24"/>
          <w:lang w:val="en-US"/>
        </w:rPr>
        <w:t xml:space="preserve">本项目投标人的澄清、说明或者补正采用线上澄清，</w:t>
      </w:r>
      <w:r>
        <w:rPr>
          <w:rFonts w:hint="eastAsia" w:ascii="仿宋" w:hAnsi="仿宋" w:eastAsia="仿宋"/>
          <w:sz w:val="24"/>
          <w:szCs w:val="24"/>
        </w:rPr>
        <w:t xml:space="preserve">评委会将通过</w:t>
      </w:r>
      <w:r>
        <w:rPr>
          <w:rFonts w:hint="eastAsia" w:ascii="仿宋" w:hAnsi="仿宋" w:eastAsia="仿宋"/>
          <w:sz w:val="24"/>
          <w:szCs w:val="24"/>
          <w:lang w:val="en-US"/>
        </w:rPr>
        <w:t xml:space="preserve">“苏采云”系统</w:t>
      </w:r>
      <w:r>
        <w:rPr>
          <w:rFonts w:hint="eastAsia" w:ascii="仿宋" w:hAnsi="仿宋" w:eastAsia="仿宋"/>
          <w:sz w:val="24"/>
          <w:szCs w:val="24"/>
        </w:rPr>
        <w:t xml:space="preserve">向投标人发出“澄清要求函”，接到“澄清要求函”的投标人应当按照要求</w:t>
      </w:r>
      <w:r>
        <w:rPr>
          <w:rFonts w:hint="eastAsia" w:ascii="仿宋" w:hAnsi="仿宋" w:eastAsia="仿宋"/>
          <w:sz w:val="24"/>
          <w:szCs w:val="24"/>
          <w:lang w:val="en-US"/>
        </w:rPr>
        <w:t xml:space="preserve">在规定时间内通过“苏采云”系统</w:t>
      </w:r>
      <w:r>
        <w:rPr>
          <w:rFonts w:hint="eastAsia" w:ascii="仿宋" w:hAnsi="仿宋" w:eastAsia="仿宋"/>
          <w:sz w:val="24"/>
          <w:szCs w:val="24"/>
        </w:rPr>
        <w:t xml:space="preserve">中提交“澄清响应函”并加盖CA电子公章。澄清、说明和补正的内容作为投标文件的补充部分，具体操作方式见《操作手册》。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24.3 接到评委会澄清、说明和补正要求的投标人如未按规定做出澄清、说明和补正，其风险由投标人自行承担。</w:t>
      </w:r>
      <w:r/>
    </w:p>
    <w:p>
      <w:pPr>
        <w:pStyle w:val="750"/>
        <w:ind w:firstLine="482"/>
        <w:spacing w:before="0" w:after="0" w:line="276" w:lineRule="auto"/>
        <w:rPr>
          <w:rFonts w:ascii="仿宋" w:hAnsi="仿宋" w:eastAsia="仿宋"/>
          <w:bCs w:val="0"/>
          <w:sz w:val="24"/>
          <w:szCs w:val="24"/>
        </w:rPr>
      </w:pPr>
      <w:r/>
      <w:bookmarkStart w:id="183" w:name="_Toc20823305"/>
      <w:r/>
      <w:bookmarkStart w:id="184" w:name="_Toc16938549"/>
      <w:r/>
      <w:bookmarkStart w:id="185" w:name="_Toc513029233"/>
      <w:r>
        <w:rPr>
          <w:rFonts w:hint="eastAsia" w:ascii="仿宋" w:hAnsi="仿宋" w:eastAsia="仿宋"/>
          <w:bCs w:val="0"/>
          <w:sz w:val="24"/>
          <w:szCs w:val="24"/>
        </w:rPr>
        <w:t xml:space="preserve">25、对投标文件的初审</w:t>
      </w:r>
      <w:bookmarkEnd w:id="183"/>
      <w:r/>
      <w:bookmarkEnd w:id="184"/>
      <w:r/>
      <w:bookmarkEnd w:id="185"/>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25.1</w:t>
      </w:r>
      <w:r>
        <w:rPr>
          <w:rFonts w:hint="eastAsia" w:ascii="仿宋" w:hAnsi="仿宋" w:eastAsia="仿宋"/>
          <w:bCs/>
          <w:sz w:val="24"/>
          <w:szCs w:val="24"/>
        </w:rPr>
        <w:t xml:space="preserve">投标文件初审分为资格审查和符合性审查。</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25.1.1 资格审查：依据法律法规和招标文件的规定，</w:t>
      </w:r>
      <w:r>
        <w:rPr>
          <w:rFonts w:hint="eastAsia" w:ascii="仿宋" w:hAnsi="仿宋" w:eastAsia="仿宋"/>
          <w:sz w:val="24"/>
          <w:szCs w:val="24"/>
        </w:rPr>
        <w:t xml:space="preserve">由采购人或其委托的代理机构对投标文件中的资格证明文件进行审查，以确定投标人是否具备投标资格。</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25.1.3对各投标人符合性审查过程中，对初步被认定为无效投标者，由评委会组长或采购人代表将集体意见通过</w:t>
      </w:r>
      <w:r>
        <w:rPr>
          <w:rFonts w:hint="eastAsia" w:ascii="仿宋" w:hAnsi="仿宋" w:eastAsia="仿宋"/>
          <w:sz w:val="24"/>
          <w:szCs w:val="24"/>
          <w:lang w:val="zh-CN"/>
        </w:rPr>
        <w:t xml:space="preserve">“苏采云”系统中告知未通过符合性审查的原因，评标结束后，将</w:t>
      </w:r>
      <w:r>
        <w:rPr>
          <w:rFonts w:hint="eastAsia" w:ascii="仿宋" w:hAnsi="仿宋" w:eastAsia="仿宋"/>
          <w:sz w:val="24"/>
          <w:szCs w:val="24"/>
          <w:lang w:val="zh-CN"/>
        </w:rPr>
        <w:t xml:space="preserve">不再告知未通过符合性审查的原因</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w:t>
      </w:r>
      <w:r>
        <w:rPr>
          <w:rFonts w:ascii="仿宋" w:hAnsi="仿宋" w:eastAsia="仿宋"/>
          <w:sz w:val="24"/>
          <w:szCs w:val="24"/>
        </w:rPr>
        <w:t xml:space="preserve">4</w:t>
      </w:r>
      <w:r>
        <w:rPr>
          <w:rFonts w:hint="eastAsia" w:ascii="仿宋" w:hAnsi="仿宋" w:eastAsia="仿宋"/>
          <w:bCs/>
          <w:sz w:val="24"/>
          <w:szCs w:val="24"/>
        </w:rPr>
        <w:t xml:space="preserve">评委会将对确定为实质性响应的投标进行进一步审核，确定其是否有计算上或累加上的算术错误，修正错误的原则如下：</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（1）投标文件中开标一览表内容与投标文件中相应内容不一致的，以开标一览表为准。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（2）大写金额和小写金额不一致的，以大写金额为准。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（3）单价金额小数点或者百分比有明显错位的，以开标一览表的总价为准，并修改单价。</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（4）总价金额与按单价汇总金额不一致的，以单价金额计算结果为准。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同时出现两种以上错误的，按照前款规定的顺序修正。</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w:t>
      </w:r>
      <w:r>
        <w:rPr>
          <w:rFonts w:ascii="仿宋" w:hAnsi="仿宋" w:eastAsia="仿宋"/>
          <w:sz w:val="24"/>
          <w:szCs w:val="24"/>
        </w:rPr>
        <w:t xml:space="preserve">5</w:t>
      </w:r>
      <w:r>
        <w:rPr>
          <w:rFonts w:hint="eastAsia" w:ascii="仿宋" w:hAnsi="仿宋" w:eastAsia="仿宋"/>
          <w:sz w:val="24"/>
          <w:szCs w:val="24"/>
        </w:rPr>
        <w:t xml:space="preserve"> </w:t>
      </w:r>
      <w:r>
        <w:rPr>
          <w:rFonts w:hint="eastAsia" w:ascii="仿宋" w:hAnsi="仿宋" w:eastAsia="仿宋"/>
          <w:bCs/>
          <w:sz w:val="24"/>
          <w:szCs w:val="24"/>
        </w:rPr>
        <w:t xml:space="preserve">评委会将按上述修正错误的方法调整投标文件中的投标报价，并</w:t>
      </w:r>
      <w:r>
        <w:rPr>
          <w:rFonts w:ascii="仿宋" w:hAnsi="仿宋" w:eastAsia="仿宋"/>
          <w:bCs/>
          <w:sz w:val="24"/>
          <w:szCs w:val="24"/>
        </w:rPr>
        <w:t xml:space="preserve">通过</w:t>
      </w:r>
      <w:r>
        <w:rPr>
          <w:rFonts w:hint="eastAsia" w:ascii="仿宋" w:hAnsi="仿宋" w:eastAsia="仿宋"/>
          <w:sz w:val="24"/>
          <w:szCs w:val="24"/>
        </w:rPr>
        <w:t xml:space="preserve">“苏采云”系统</w:t>
      </w:r>
      <w:r>
        <w:rPr>
          <w:rFonts w:hint="eastAsia" w:ascii="仿宋" w:hAnsi="仿宋" w:eastAsia="仿宋"/>
          <w:bCs/>
          <w:sz w:val="24"/>
          <w:szCs w:val="24"/>
        </w:rPr>
        <w:t xml:space="preserve">告知</w:t>
      </w:r>
      <w:r>
        <w:rPr>
          <w:rFonts w:ascii="仿宋" w:hAnsi="仿宋" w:eastAsia="仿宋"/>
          <w:bCs/>
          <w:sz w:val="24"/>
          <w:szCs w:val="24"/>
        </w:rPr>
        <w:t xml:space="preserve">投标人，</w:t>
      </w:r>
      <w:r>
        <w:rPr>
          <w:rFonts w:hint="eastAsia" w:ascii="仿宋" w:hAnsi="仿宋" w:eastAsia="仿宋"/>
          <w:bCs/>
          <w:sz w:val="24"/>
          <w:szCs w:val="24"/>
        </w:rPr>
        <w:t xml:space="preserve">调整后的价格应对投标人具有约束力。如果投标人不接受修正后的价格，则其投标将被拒绝。</w:t>
      </w:r>
      <w:r/>
    </w:p>
    <w:p>
      <w:pPr>
        <w:ind w:firstLine="480"/>
        <w:spacing w:line="276" w:lineRule="auto"/>
        <w:rPr>
          <w:rFonts w:ascii="仿宋" w:hAnsi="仿宋" w:eastAsia="仿宋"/>
          <w:sz w:val="24"/>
          <w:szCs w:val="24"/>
        </w:rPr>
      </w:pPr>
      <w:r/>
      <w:bookmarkStart w:id="186" w:name="_Toc16938550"/>
      <w:r/>
      <w:bookmarkStart w:id="187" w:name="_Toc513029234"/>
      <w:r/>
      <w:bookmarkStart w:id="188" w:name="_Toc20823306"/>
      <w:r>
        <w:rPr>
          <w:rFonts w:hint="eastAsia" w:ascii="仿宋" w:hAnsi="仿宋" w:eastAsia="仿宋"/>
          <w:sz w:val="24"/>
          <w:szCs w:val="24"/>
        </w:rPr>
        <w:t xml:space="preserve">25.6投标人在开、评标全过程中应应随时保持系统在线，及时在“苏采云”系统查阅</w:t>
      </w:r>
      <w:r>
        <w:rPr>
          <w:rFonts w:ascii="仿宋" w:hAnsi="仿宋" w:eastAsia="仿宋"/>
          <w:sz w:val="24"/>
          <w:szCs w:val="24"/>
        </w:rPr>
        <w:t xml:space="preserve">、答复相关</w:t>
      </w:r>
      <w:r>
        <w:rPr>
          <w:rFonts w:hint="eastAsia" w:ascii="仿宋" w:hAnsi="仿宋" w:eastAsia="仿宋"/>
          <w:sz w:val="24"/>
          <w:szCs w:val="24"/>
        </w:rPr>
        <w:t xml:space="preserve">信息。</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26、</w:t>
      </w:r>
      <w:bookmarkEnd w:id="186"/>
      <w:r/>
      <w:bookmarkEnd w:id="187"/>
      <w:r/>
      <w:bookmarkEnd w:id="188"/>
      <w:r>
        <w:rPr>
          <w:rFonts w:hint="eastAsia" w:ascii="仿宋" w:hAnsi="仿宋" w:eastAsia="仿宋"/>
          <w:bCs w:val="0"/>
          <w:sz w:val="24"/>
          <w:szCs w:val="24"/>
        </w:rPr>
        <w:t xml:space="preserve">无效投标条款和废标条款</w:t>
      </w:r>
      <w:r/>
    </w:p>
    <w:p>
      <w:pPr>
        <w:ind w:firstLine="480"/>
        <w:spacing w:line="276" w:lineRule="auto"/>
        <w:rPr>
          <w:rFonts w:ascii="仿宋" w:hAnsi="仿宋" w:eastAsia="仿宋"/>
          <w:bCs/>
          <w:sz w:val="24"/>
          <w:szCs w:val="24"/>
        </w:rPr>
      </w:pPr>
      <w:r/>
      <w:bookmarkStart w:id="189" w:name="_Toc20823307"/>
      <w:r/>
      <w:bookmarkStart w:id="190" w:name="_Toc513029235"/>
      <w:r/>
      <w:bookmarkStart w:id="191" w:name="_Toc16938551"/>
      <w:r>
        <w:rPr>
          <w:rFonts w:hint="eastAsia" w:ascii="仿宋" w:hAnsi="仿宋" w:eastAsia="仿宋"/>
          <w:bCs/>
          <w:sz w:val="24"/>
          <w:szCs w:val="24"/>
        </w:rPr>
        <w:t xml:space="preserve">26.1无效投标条款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 投标人在</w:t>
      </w:r>
      <w:r>
        <w:rPr>
          <w:rFonts w:hint="eastAsia" w:ascii="仿宋" w:hAnsi="仿宋" w:eastAsia="仿宋"/>
          <w:sz w:val="24"/>
          <w:szCs w:val="24"/>
        </w:rPr>
        <w:t xml:space="preserve">“苏采云”系统</w:t>
      </w:r>
      <w:r>
        <w:rPr>
          <w:rFonts w:hint="eastAsia" w:ascii="仿宋" w:hAnsi="仿宋" w:eastAsia="仿宋"/>
          <w:bCs/>
          <w:sz w:val="24"/>
          <w:szCs w:val="24"/>
        </w:rPr>
        <w:t xml:space="preserve">规定的时间内未成功解密电子投标文件的。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26.1.2 投标人未按照招标文件要求上传电子投标文件的。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26.1.3同一投标人提交两个（含两个）以上不同的投标报价的。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26.1.4投标人不具备招标文件中规定资格要求的。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26.1.5投标人的报价超过了采购预算或最高限价的。</w:t>
      </w:r>
      <w:r/>
    </w:p>
    <w:p>
      <w:pPr>
        <w:ind w:firstLine="480"/>
        <w:spacing w:line="276" w:lineRule="auto"/>
        <w:rPr>
          <w:rFonts w:ascii="仿宋" w:hAnsi="仿宋" w:eastAsia="仿宋"/>
          <w:bCs/>
          <w:i/>
          <w:sz w:val="24"/>
          <w:szCs w:val="24"/>
          <w:u w:val="single"/>
        </w:rPr>
      </w:pPr>
      <w:r>
        <w:rPr>
          <w:rFonts w:hint="eastAsia" w:ascii="仿宋" w:hAnsi="仿宋" w:eastAsia="仿宋"/>
          <w:bCs/>
          <w:sz w:val="24"/>
          <w:szCs w:val="24"/>
        </w:rPr>
        <w:t xml:space="preserve">26.1.6未通过符合性审查的。</w:t>
      </w:r>
      <w:r/>
    </w:p>
    <w:p>
      <w:pPr>
        <w:ind w:firstLine="480"/>
        <w:spacing w:line="276" w:lineRule="auto"/>
        <w:rPr>
          <w:rFonts w:ascii="仿宋" w:hAnsi="仿宋" w:eastAsia="仿宋"/>
          <w:bCs/>
          <w:i/>
          <w:sz w:val="24"/>
          <w:szCs w:val="24"/>
          <w:u w:val="single"/>
        </w:rPr>
      </w:pPr>
      <w:r>
        <w:rPr>
          <w:rFonts w:hint="eastAsia" w:ascii="仿宋" w:hAnsi="仿宋" w:eastAsia="仿宋"/>
          <w:bCs/>
          <w:sz w:val="24"/>
          <w:szCs w:val="24"/>
        </w:rPr>
        <w:t xml:space="preserve">26.1.7不符合招标文件中规定的实质性要求和条件的（</w:t>
      </w:r>
      <w:r>
        <w:rPr>
          <w:rFonts w:hint="eastAsia" w:ascii="仿宋" w:hAnsi="仿宋" w:eastAsia="仿宋"/>
          <w:bCs/>
          <w:sz w:val="24"/>
          <w:szCs w:val="24"/>
          <w:u w:val="single"/>
        </w:rPr>
        <w:t xml:space="preserve">打“★”内容为实质性要求和条件）。</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26.1.9 投标文件含有采购人不能接受的附加条件的。</w:t>
      </w:r>
      <w:r/>
    </w:p>
    <w:p>
      <w:pPr>
        <w:ind w:firstLine="480"/>
        <w:spacing w:line="276" w:lineRule="auto"/>
        <w:rPr>
          <w:rFonts w:ascii="仿宋" w:hAnsi="仿宋" w:eastAsia="仿宋"/>
          <w:bCs/>
          <w:sz w:val="24"/>
          <w:szCs w:val="24"/>
          <w:highlight w:val="yellow"/>
        </w:rPr>
      </w:pPr>
      <w:r>
        <w:rPr>
          <w:rFonts w:hint="eastAsia" w:ascii="仿宋" w:hAnsi="仿宋" w:eastAsia="仿宋"/>
          <w:bCs/>
          <w:sz w:val="24"/>
          <w:szCs w:val="24"/>
        </w:rPr>
        <w:t xml:space="preserve">26.1.10评委会认为投标人的报价明显低于其他通过符合性审查投标人的报价，有可能影响产品质量或者不能诚信履约的，将通过</w:t>
      </w:r>
      <w:r>
        <w:rPr>
          <w:rFonts w:hint="eastAsia" w:ascii="仿宋" w:hAnsi="仿宋" w:eastAsia="仿宋"/>
          <w:sz w:val="24"/>
          <w:szCs w:val="24"/>
        </w:rPr>
        <w:t xml:space="preserve">“苏采云”系统</w:t>
      </w:r>
      <w:r>
        <w:rPr>
          <w:rFonts w:hint="eastAsia" w:ascii="仿宋" w:hAnsi="仿宋" w:eastAsia="仿宋"/>
          <w:bCs/>
          <w:sz w:val="24"/>
          <w:szCs w:val="24"/>
        </w:rPr>
        <w:t xml:space="preserve">要求其在合理的时间内提供说明，必要时提交相关证明材料；投标人不能证明其报价合理性的，评委会应当将其作为无效投标处理。</w:t>
      </w:r>
      <w:r/>
    </w:p>
    <w:p>
      <w:pPr>
        <w:ind w:firstLine="480"/>
        <w:spacing w:line="276" w:lineRule="auto"/>
        <w:rPr>
          <w:rFonts w:ascii="仿宋" w:hAnsi="仿宋" w:eastAsia="仿宋"/>
          <w:sz w:val="24"/>
          <w:szCs w:val="24"/>
        </w:rPr>
      </w:pPr>
      <w:r>
        <w:rPr>
          <w:rFonts w:hint="eastAsia" w:ascii="仿宋" w:hAnsi="仿宋" w:eastAsia="仿宋"/>
          <w:sz w:val="24"/>
          <w:szCs w:val="24"/>
          <w:lang w:val="zh-CN"/>
        </w:rPr>
        <w:t xml:space="preserve">26.1.11本项目采购产品被财政部、国家发改委、生态环境部等列入“节能产品品目清单”、“环境标志产品品目清单”强制采购范围，而</w:t>
      </w:r>
      <w:r>
        <w:rPr>
          <w:rFonts w:hint="eastAsia" w:ascii="仿宋" w:hAnsi="仿宋" w:eastAsia="仿宋"/>
          <w:sz w:val="24"/>
          <w:szCs w:val="24"/>
        </w:rPr>
        <w:t xml:space="preserve">投标</w:t>
      </w:r>
      <w:r>
        <w:rPr>
          <w:rFonts w:hint="eastAsia" w:ascii="仿宋" w:hAnsi="仿宋" w:eastAsia="仿宋"/>
          <w:sz w:val="24"/>
          <w:szCs w:val="24"/>
          <w:lang w:val="zh-CN"/>
        </w:rPr>
        <w:t xml:space="preserve">人所</w:t>
      </w:r>
      <w:r>
        <w:rPr>
          <w:rFonts w:hint="eastAsia" w:ascii="仿宋" w:hAnsi="仿宋" w:eastAsia="仿宋"/>
          <w:sz w:val="24"/>
          <w:szCs w:val="24"/>
        </w:rPr>
        <w:t xml:space="preserve">投</w:t>
      </w:r>
      <w:r>
        <w:rPr>
          <w:rFonts w:hint="eastAsia" w:ascii="仿宋" w:hAnsi="仿宋" w:eastAsia="仿宋"/>
          <w:sz w:val="24"/>
          <w:szCs w:val="24"/>
          <w:lang w:val="zh-CN"/>
        </w:rPr>
        <w:t xml:space="preserve">产品不在强制采购范围内的。（所</w:t>
      </w:r>
      <w:r>
        <w:rPr>
          <w:rFonts w:hint="eastAsia" w:ascii="仿宋" w:hAnsi="仿宋" w:eastAsia="仿宋"/>
          <w:sz w:val="24"/>
          <w:szCs w:val="24"/>
        </w:rPr>
        <w:t xml:space="preserve">投</w:t>
      </w:r>
      <w:r>
        <w:rPr>
          <w:rFonts w:hint="eastAsia" w:ascii="仿宋" w:hAnsi="仿宋" w:eastAsia="仿宋"/>
          <w:sz w:val="24"/>
          <w:szCs w:val="24"/>
          <w:lang w:val="zh-CN"/>
        </w:rPr>
        <w:t xml:space="preserve">产品如属于政府强制采购节能产品品目清单范围内，</w:t>
      </w:r>
      <w:r>
        <w:rPr>
          <w:rFonts w:hint="eastAsia" w:ascii="仿宋" w:hAnsi="仿宋" w:eastAsia="仿宋"/>
          <w:sz w:val="24"/>
          <w:szCs w:val="24"/>
        </w:rPr>
        <w:t xml:space="preserve">投标</w:t>
      </w:r>
      <w:r>
        <w:rPr>
          <w:rFonts w:hint="eastAsia" w:ascii="仿宋" w:hAnsi="仿宋" w:eastAsia="仿宋"/>
          <w:sz w:val="24"/>
          <w:szCs w:val="24"/>
          <w:lang w:val="zh-CN"/>
        </w:rPr>
        <w:t xml:space="preserve">文件中必须提供国家确定的认证机构出具的、处于有效期之内的该节能产品认证证书图片）。</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26.1.12 投标文件未按照招标文件要求加盖CA</w:t>
      </w:r>
      <w:r>
        <w:rPr>
          <w:rFonts w:ascii="仿宋" w:hAnsi="仿宋" w:eastAsia="仿宋"/>
          <w:bCs/>
          <w:sz w:val="24"/>
          <w:szCs w:val="24"/>
        </w:rPr>
        <w:t xml:space="preserve">电子公章的</w:t>
      </w:r>
      <w:r>
        <w:rPr>
          <w:rFonts w:hint="eastAsia"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26.1.13其他法律、法规及本招标文件规定的属无效投标的情形。</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26.2废标条款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26.2.1符合专业条件的投标人或者对招标文件作实质响应的投标人不足三家的。26.2.2出现影响采购公正的违法、违规行为的。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26.2.3因重大变故，采购任务取消的。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26.2.4评委会认定招标文件存在歧义、重大缺陷导致评审工作无法进行。</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26.2.5 因</w:t>
      </w:r>
      <w:r>
        <w:rPr>
          <w:rFonts w:hint="eastAsia" w:ascii="仿宋" w:hAnsi="仿宋" w:eastAsia="仿宋"/>
          <w:sz w:val="24"/>
          <w:szCs w:val="24"/>
        </w:rPr>
        <w:t xml:space="preserve">“苏采云”系统</w:t>
      </w:r>
      <w:r>
        <w:rPr>
          <w:rFonts w:ascii="仿宋" w:hAnsi="仿宋" w:eastAsia="仿宋"/>
          <w:bCs/>
          <w:sz w:val="24"/>
          <w:szCs w:val="24"/>
        </w:rPr>
        <w:t xml:space="preserve">系统故障原因造成开标不成功</w:t>
      </w:r>
      <w:r>
        <w:rPr>
          <w:rFonts w:hint="eastAsia" w:ascii="仿宋" w:hAnsi="仿宋" w:eastAsia="仿宋"/>
          <w:bCs/>
          <w:sz w:val="24"/>
          <w:szCs w:val="24"/>
        </w:rPr>
        <w:t xml:space="preserve">的</w:t>
      </w:r>
      <w:r>
        <w:rPr>
          <w:rFonts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26.3 投标截止时间结束后参加投标的投标人不足三家的处理：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26.3.1如出现投标截止时间结束后参加投标的投标人或者在评标期间对招标文件做出实质响应的投标人不足三家情况，按政府采购相关规定执行。</w:t>
      </w:r>
      <w:r/>
    </w:p>
    <w:p>
      <w:pPr>
        <w:pStyle w:val="748"/>
        <w:jc w:val="both"/>
        <w:spacing w:before="160" w:after="160" w:line="400" w:lineRule="exact"/>
        <w:rPr>
          <w:rFonts w:ascii="黑体" w:hAnsi="黑体" w:eastAsia="黑体"/>
          <w:b w:val="0"/>
          <w:bCs w:val="0"/>
          <w:sz w:val="32"/>
          <w:szCs w:val="32"/>
        </w:rPr>
      </w:pPr>
      <w:r/>
      <w:bookmarkStart w:id="192" w:name="_Toc120614219"/>
      <w:r/>
      <w:bookmarkStart w:id="193" w:name="_Toc162865669"/>
      <w:r>
        <w:rPr>
          <w:rFonts w:hint="eastAsia" w:ascii="黑体" w:hAnsi="黑体" w:eastAsia="黑体"/>
          <w:b w:val="0"/>
          <w:bCs w:val="0"/>
          <w:sz w:val="32"/>
          <w:szCs w:val="32"/>
        </w:rPr>
        <w:t xml:space="preserve">六、</w:t>
      </w:r>
      <w:bookmarkEnd w:id="189"/>
      <w:r/>
      <w:bookmarkEnd w:id="190"/>
      <w:r/>
      <w:bookmarkEnd w:id="191"/>
      <w:r>
        <w:rPr>
          <w:rFonts w:hint="eastAsia" w:ascii="黑体" w:hAnsi="黑体" w:eastAsia="黑体"/>
          <w:b w:val="0"/>
          <w:bCs w:val="0"/>
          <w:sz w:val="32"/>
          <w:szCs w:val="32"/>
        </w:rPr>
        <w:t xml:space="preserve">定标</w:t>
      </w:r>
      <w:bookmarkEnd w:id="192"/>
      <w:r/>
      <w:bookmarkEnd w:id="193"/>
      <w:r/>
      <w:r/>
    </w:p>
    <w:p>
      <w:pPr>
        <w:pStyle w:val="750"/>
        <w:ind w:firstLine="482"/>
        <w:spacing w:before="0" w:after="0" w:line="276" w:lineRule="auto"/>
        <w:rPr>
          <w:rFonts w:ascii="仿宋" w:hAnsi="仿宋" w:eastAsia="仿宋"/>
          <w:bCs w:val="0"/>
          <w:sz w:val="24"/>
          <w:szCs w:val="24"/>
        </w:rPr>
      </w:pPr>
      <w:r/>
      <w:bookmarkStart w:id="194" w:name="_Toc513029238"/>
      <w:r/>
      <w:bookmarkStart w:id="195" w:name="_Toc16938554"/>
      <w:r/>
      <w:bookmarkStart w:id="196" w:name="_Toc20823310"/>
      <w:r>
        <w:rPr>
          <w:rFonts w:hint="eastAsia" w:ascii="仿宋" w:hAnsi="仿宋" w:eastAsia="仿宋"/>
          <w:bCs w:val="0"/>
          <w:sz w:val="24"/>
          <w:szCs w:val="24"/>
        </w:rPr>
        <w:t xml:space="preserve">27、</w:t>
      </w:r>
      <w:bookmarkEnd w:id="194"/>
      <w:r>
        <w:rPr>
          <w:rFonts w:hint="eastAsia" w:ascii="仿宋" w:hAnsi="仿宋" w:eastAsia="仿宋"/>
          <w:bCs w:val="0"/>
          <w:sz w:val="24"/>
          <w:szCs w:val="24"/>
        </w:rPr>
        <w:t xml:space="preserve">确定</w:t>
      </w:r>
      <w:bookmarkEnd w:id="195"/>
      <w:r/>
      <w:bookmarkEnd w:id="196"/>
      <w:r>
        <w:rPr>
          <w:rFonts w:hint="eastAsia" w:ascii="仿宋" w:hAnsi="仿宋" w:eastAsia="仿宋"/>
          <w:bCs w:val="0"/>
          <w:sz w:val="24"/>
          <w:szCs w:val="24"/>
        </w:rPr>
        <w:t xml:space="preserve">中标单位</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27.1中标候选人的选取原则和数量见招标文件第五章规定。 </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27.2 按以下第</w:t>
      </w:r>
      <w:r>
        <w:rPr>
          <w:rFonts w:hint="eastAsia" w:ascii="仿宋" w:hAnsi="仿宋" w:eastAsia="仿宋"/>
          <w:bCs/>
          <w:sz w:val="24"/>
          <w:szCs w:val="24"/>
          <w:u w:val="single"/>
          <w:lang w:val="zh-CN"/>
        </w:rPr>
        <w:t xml:space="preserve">（2）</w:t>
      </w:r>
      <w:r>
        <w:rPr>
          <w:rFonts w:hint="eastAsia" w:ascii="仿宋" w:hAnsi="仿宋" w:eastAsia="仿宋"/>
          <w:bCs/>
          <w:sz w:val="24"/>
          <w:szCs w:val="24"/>
          <w:lang w:val="zh-CN"/>
        </w:rPr>
        <w:t xml:space="preserve">种方式确定中标人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（1）评委会直接确定排名第一的中标候选人为中标人；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（2）采购人在评委会推荐的中标候选人中按顺序确定中标人。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种方式确定中标人的，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27.3 </w:t>
      </w:r>
      <w:r>
        <w:rPr>
          <w:rFonts w:hint="eastAsia" w:ascii="仿宋" w:hAnsi="仿宋" w:eastAsia="仿宋"/>
          <w:sz w:val="24"/>
          <w:szCs w:val="24"/>
        </w:rPr>
        <w:t xml:space="preserve">采购代理机构将在“宿迁市政府采购网”发布中标公告，公告期限为1个工作日。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  若有充分证据证明，中标人出现下列情况之一的，一经查实，将被取消中标资格：</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27.4.1提供虚假材料谋取中标的。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27.4.2向采购人、采购代理机构行贿或者提供其他不正当利益的。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27.4.3属于本文件规定的无效条件，但在评标过程中又未被评委会发现的。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27.4.4与采购人或者其他投标人恶意串通的。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27.4.5采取不正当手段诋毁、排挤其他投标人的。</w:t>
      </w:r>
      <w:r/>
    </w:p>
    <w:p>
      <w:pPr>
        <w:ind w:firstLine="480"/>
        <w:spacing w:line="276" w:lineRule="auto"/>
        <w:rPr>
          <w:rFonts w:ascii="仿宋" w:hAnsi="仿宋" w:eastAsia="仿宋"/>
          <w:sz w:val="24"/>
          <w:szCs w:val="24"/>
        </w:rPr>
      </w:pPr>
      <w:r/>
      <w:bookmarkStart w:id="197" w:name="_Toc200451960"/>
      <w:r>
        <w:rPr>
          <w:rFonts w:hint="eastAsia" w:ascii="仿宋" w:hAnsi="仿宋" w:eastAsia="仿宋"/>
          <w:sz w:val="24"/>
          <w:szCs w:val="24"/>
        </w:rPr>
        <w:t xml:space="preserve">27.5 </w:t>
      </w:r>
      <w:r>
        <w:rPr>
          <w:rFonts w:ascii="仿宋" w:hAnsi="仿宋" w:eastAsia="仿宋" w:cs="宋体"/>
          <w:sz w:val="24"/>
          <w:szCs w:val="24"/>
        </w:rPr>
        <w:t xml:space="preserve">有下列情形之一的，</w:t>
      </w:r>
      <w:r>
        <w:rPr>
          <w:rFonts w:hint="eastAsia" w:ascii="仿宋" w:hAnsi="仿宋" w:eastAsia="仿宋" w:cs="宋体"/>
          <w:sz w:val="24"/>
          <w:szCs w:val="24"/>
        </w:rPr>
        <w:t xml:space="preserve">视为投标人</w:t>
      </w:r>
      <w:r>
        <w:rPr>
          <w:rFonts w:ascii="仿宋" w:hAnsi="仿宋" w:eastAsia="仿宋" w:cs="宋体"/>
          <w:sz w:val="24"/>
          <w:szCs w:val="24"/>
        </w:rPr>
        <w:t xml:space="preserve">串通</w:t>
      </w:r>
      <w:r>
        <w:rPr>
          <w:rFonts w:hint="eastAsia" w:ascii="仿宋" w:hAnsi="仿宋" w:eastAsia="仿宋" w:cs="宋体"/>
          <w:sz w:val="24"/>
          <w:szCs w:val="24"/>
        </w:rPr>
        <w:t xml:space="preserve">投标，投标无效：</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27.5.1不同投标人的投标文件由同一单位或者个人编制。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27.5.2不同投标人委托同一单位或者个人办理投标事宜。</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27.5.3 不同投标人的投标文件载明的项目管理成员或者联系人员为同一人。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27.5.4不同投标人的投标文件异常一致或者投标报价呈规律性差异。</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28、质疑处理</w:t>
      </w:r>
      <w:bookmarkEnd w:id="197"/>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28.1 提出质疑的投标人应当是参与所质疑项目采购活动的投标人。潜在投标人依法获取其可质疑的采购文件的，可以对采购文件提出质疑。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28.2.1</w:t>
      </w:r>
      <w:r>
        <w:rPr>
          <w:rFonts w:ascii="仿宋" w:hAnsi="仿宋" w:eastAsia="仿宋" w:cs="宋体"/>
          <w:sz w:val="24"/>
          <w:szCs w:val="24"/>
        </w:rPr>
        <w:t xml:space="preserve">对可以质疑的采购文件提出质疑的，为收到采购文件之日或者采购文件公告期限届满之日；</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28.2.2</w:t>
      </w:r>
      <w:r>
        <w:rPr>
          <w:rFonts w:ascii="仿宋" w:hAnsi="仿宋" w:eastAsia="仿宋" w:cs="宋体"/>
          <w:sz w:val="24"/>
          <w:szCs w:val="24"/>
        </w:rPr>
        <w:t xml:space="preserve">对采购过程提出质疑的，为各采购程序环节结束之日；</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28.2.3</w:t>
      </w:r>
      <w:r>
        <w:rPr>
          <w:rFonts w:ascii="仿宋" w:hAnsi="仿宋" w:eastAsia="仿宋" w:cs="宋体"/>
          <w:sz w:val="24"/>
          <w:szCs w:val="24"/>
        </w:rPr>
        <w:t xml:space="preserve">对中标或者成交结果提出质疑的，为中标或者成交结果公告期限届满之日。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投标人应当在法定质疑期内一次性提出针对同一采购程序环节的质疑。投标人如在法定期限内对同一采购程序环节提出多次质疑的，采购代理机构、</w:t>
      </w:r>
      <w:r>
        <w:rPr>
          <w:rFonts w:ascii="仿宋" w:hAnsi="仿宋" w:eastAsia="仿宋" w:cs="宋体"/>
          <w:sz w:val="24"/>
          <w:szCs w:val="24"/>
        </w:rPr>
        <w:t xml:space="preserve">采购人</w:t>
      </w:r>
      <w:r>
        <w:rPr>
          <w:rFonts w:hint="eastAsia" w:ascii="仿宋" w:hAnsi="仿宋" w:eastAsia="仿宋" w:cs="宋体"/>
          <w:sz w:val="24"/>
          <w:szCs w:val="24"/>
        </w:rPr>
        <w:t xml:space="preserve">将只对投标人第一次质疑作出答复。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8.4 投标人应以书面形式向采购人或者其委托的采购代理机构提出质疑。质疑超出采购机构代理范围的，投标人应当向采购人提出。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联系部门：</w:t>
      </w:r>
      <w:bookmarkStart w:id="198" w:name="EB587bd491a3fd493c8e729d1eaa56203a"/>
      <w:r>
        <w:rPr>
          <w:rFonts w:hint="eastAsia" w:ascii="仿宋" w:hAnsi="仿宋" w:eastAsia="仿宋"/>
          <w:sz w:val="24"/>
          <w:szCs w:val="24"/>
          <w:u w:val="single"/>
        </w:rPr>
        <w:t xml:space="preserve">采购人或其委托的采购代理机构</w:t>
      </w:r>
      <w:bookmarkEnd w:id="198"/>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联系电话：</w:t>
      </w:r>
      <w:r>
        <w:rPr>
          <w:rFonts w:hint="eastAsia" w:ascii="仿宋" w:hAnsi="仿宋" w:eastAsia="仿宋"/>
          <w:sz w:val="24"/>
          <w:szCs w:val="24"/>
          <w:u w:val="single"/>
        </w:rPr>
        <w:t xml:space="preserve">0</w:t>
      </w:r>
      <w:r>
        <w:rPr>
          <w:rFonts w:ascii="仿宋" w:hAnsi="仿宋" w:eastAsia="仿宋"/>
          <w:sz w:val="24"/>
          <w:szCs w:val="24"/>
          <w:u w:val="single"/>
        </w:rPr>
        <w:t xml:space="preserve">527-82868332</w:t>
      </w:r>
      <w:r>
        <w:rPr>
          <w:rFonts w:hint="eastAsia" w:ascii="仿宋" w:hAnsi="仿宋" w:eastAsia="仿宋"/>
          <w:sz w:val="24"/>
          <w:szCs w:val="24"/>
          <w:u w:val="single"/>
        </w:rPr>
        <w:t xml:space="preserve">、0527-84355519</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通讯地址：</w:t>
      </w:r>
      <w:r>
        <w:rPr>
          <w:rFonts w:hint="eastAsia" w:ascii="仿宋" w:hAnsi="仿宋" w:eastAsia="仿宋"/>
          <w:sz w:val="24"/>
          <w:szCs w:val="24"/>
          <w:u w:val="single"/>
        </w:rPr>
        <w:t xml:space="preserve">苏宿工业园区苏宿工业坊管理楼、宿迁市洪泽湖路府苑小区B座19号5楼</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 以下情形的质疑不予受理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28.5.1 内容不符合《政府采购质疑和投诉办法》第十二条规定的质疑。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28.5.2 超出政府采购法定期限的质疑。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28.5.3 以传真、电子邮件等方式递交的非原件形式的质疑。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28.5.4 未参加投标活动的投标人或在投标活动中自身权益未受到损害的投标人所提出的质疑。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28.5.5投标人组成联合体参加投标，联合体中任何一方或多方未按要求签字、盖章、加盖公章的质疑。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8</w:t>
      </w:r>
      <w:r>
        <w:rPr>
          <w:rFonts w:ascii="仿宋" w:hAnsi="仿宋" w:eastAsia="仿宋"/>
          <w:sz w:val="24"/>
          <w:szCs w:val="24"/>
        </w:rPr>
        <w:t xml:space="preserve">.7</w:t>
      </w:r>
      <w:r>
        <w:rPr>
          <w:rFonts w:hint="eastAsia" w:ascii="仿宋" w:hAnsi="仿宋" w:eastAsia="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29、中标通知书</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29.l</w:t>
      </w:r>
      <w:r>
        <w:rPr>
          <w:rFonts w:hint="eastAsia" w:ascii="仿宋" w:hAnsi="仿宋" w:eastAsia="仿宋"/>
          <w:b/>
          <w:sz w:val="24"/>
          <w:szCs w:val="24"/>
        </w:rPr>
        <w:t xml:space="preserve"> </w:t>
      </w:r>
      <w:r>
        <w:rPr>
          <w:rFonts w:hint="eastAsia" w:ascii="仿宋" w:hAnsi="仿宋" w:eastAsia="仿宋"/>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w:t>
      </w:r>
      <w:r>
        <w:rPr>
          <w:rFonts w:ascii="仿宋" w:hAnsi="仿宋" w:eastAsia="仿宋"/>
          <w:sz w:val="24"/>
          <w:szCs w:val="24"/>
        </w:rPr>
        <w:t xml:space="preserve">2</w:t>
      </w:r>
      <w:r>
        <w:rPr>
          <w:rFonts w:hint="eastAsia" w:ascii="仿宋" w:hAnsi="仿宋" w:eastAsia="仿宋"/>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8"/>
        <w:jc w:val="both"/>
        <w:spacing w:before="160" w:after="160" w:line="400" w:lineRule="exact"/>
        <w:rPr>
          <w:rFonts w:ascii="黑体" w:hAnsi="黑体" w:eastAsia="黑体"/>
          <w:b w:val="0"/>
          <w:bCs w:val="0"/>
          <w:sz w:val="32"/>
          <w:szCs w:val="32"/>
        </w:rPr>
      </w:pPr>
      <w:r/>
      <w:bookmarkStart w:id="199" w:name="_Toc120614220"/>
      <w:r/>
      <w:bookmarkStart w:id="200" w:name="_Toc162865670"/>
      <w:r/>
      <w:bookmarkStart w:id="201" w:name="_Toc513029236"/>
      <w:r/>
      <w:bookmarkStart w:id="202" w:name="_Toc16938552"/>
      <w:r/>
      <w:bookmarkStart w:id="203" w:name="_Toc20823308"/>
      <w:r>
        <w:rPr>
          <w:rFonts w:hint="eastAsia" w:ascii="黑体" w:hAnsi="黑体" w:eastAsia="黑体"/>
          <w:b w:val="0"/>
          <w:bCs w:val="0"/>
          <w:sz w:val="32"/>
          <w:szCs w:val="32"/>
        </w:rPr>
        <w:t xml:space="preserve">七、授予合同</w:t>
      </w:r>
      <w:bookmarkEnd w:id="199"/>
      <w:r/>
      <w:bookmarkEnd w:id="200"/>
      <w:r/>
      <w:r/>
    </w:p>
    <w:p>
      <w:pPr>
        <w:pStyle w:val="750"/>
        <w:ind w:firstLine="482"/>
        <w:spacing w:before="0" w:after="0" w:line="276" w:lineRule="auto"/>
        <w:rPr>
          <w:rFonts w:ascii="仿宋" w:hAnsi="仿宋" w:eastAsia="仿宋"/>
          <w:bCs w:val="0"/>
          <w:sz w:val="24"/>
          <w:szCs w:val="24"/>
        </w:rPr>
      </w:pPr>
      <w:r/>
      <w:bookmarkStart w:id="204" w:name="_Toc20823309"/>
      <w:r/>
      <w:bookmarkStart w:id="205" w:name="_Toc513029237"/>
      <w:r/>
      <w:bookmarkStart w:id="206" w:name="_Toc16938553"/>
      <w:r/>
      <w:bookmarkEnd w:id="201"/>
      <w:r/>
      <w:bookmarkEnd w:id="202"/>
      <w:r/>
      <w:bookmarkEnd w:id="203"/>
      <w:r>
        <w:rPr>
          <w:rFonts w:hint="eastAsia" w:ascii="仿宋" w:hAnsi="仿宋" w:eastAsia="仿宋"/>
          <w:bCs w:val="0"/>
          <w:sz w:val="24"/>
          <w:szCs w:val="24"/>
        </w:rPr>
        <w:t xml:space="preserve">30. 签订合同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30</w:t>
      </w:r>
      <w:r>
        <w:rPr>
          <w:rFonts w:hint="eastAsia" w:ascii="仿宋" w:hAnsi="仿宋" w:eastAsia="仿宋"/>
          <w:sz w:val="24"/>
          <w:szCs w:val="24"/>
        </w:rPr>
        <w:t xml:space="preserve">.l中标人应当在中标通知书发出之日起</w:t>
      </w:r>
      <w:r>
        <w:rPr>
          <w:rFonts w:ascii="仿宋" w:hAnsi="仿宋" w:eastAsia="仿宋"/>
          <w:sz w:val="24"/>
          <w:szCs w:val="24"/>
        </w:rPr>
        <w:t xml:space="preserve">15</w:t>
      </w:r>
      <w:r>
        <w:rPr>
          <w:rFonts w:hint="eastAsia" w:ascii="仿宋" w:hAnsi="仿宋" w:eastAsia="仿宋"/>
          <w:sz w:val="24"/>
          <w:szCs w:val="24"/>
        </w:rPr>
        <w:t xml:space="preserve">日内，按照招标文件确定的事项与采购人签订政府采购合同。</w:t>
      </w:r>
      <w:r>
        <w:rPr>
          <w:rFonts w:hint="eastAsia" w:ascii="仿宋" w:hAnsi="仿宋" w:eastAsia="仿宋"/>
          <w:bCs/>
          <w:sz w:val="24"/>
          <w:szCs w:val="24"/>
          <w:lang w:val="zh-CN"/>
        </w:rPr>
        <w:t xml:space="preserve">并在签订之日起2个工作日内将政府采购合同在指定的媒体上公告，但政府采购合同中涉及国家秘密、商业秘密的内容除外。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30.2</w:t>
      </w:r>
      <w:r>
        <w:rPr>
          <w:rFonts w:hint="eastAsia" w:ascii="仿宋" w:hAnsi="仿宋" w:eastAsia="仿宋"/>
          <w:b/>
          <w:sz w:val="24"/>
          <w:szCs w:val="24"/>
        </w:rPr>
        <w:t xml:space="preserve"> </w:t>
      </w:r>
      <w:r>
        <w:rPr>
          <w:rFonts w:hint="eastAsia" w:ascii="仿宋" w:hAnsi="仿宋" w:eastAsia="仿宋"/>
          <w:sz w:val="24"/>
          <w:szCs w:val="24"/>
        </w:rPr>
        <w:t xml:space="preserve">招标文件、中标人的投标文件及招标过程中有关澄清、承诺文件均应作为合同附件。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30.4本项目的非主体、非关键性工作是否允许分包按以下第</w:t>
      </w:r>
      <w:r>
        <w:rPr>
          <w:rFonts w:ascii="仿宋" w:hAnsi="仿宋" w:eastAsia="仿宋"/>
          <w:sz w:val="24"/>
          <w:szCs w:val="24"/>
          <w:u w:val="single"/>
        </w:rPr>
        <w:t xml:space="preserve">  2  </w:t>
      </w:r>
      <w:r>
        <w:rPr>
          <w:rFonts w:hint="eastAsia" w:ascii="仿宋" w:hAnsi="仿宋" w:eastAsia="仿宋"/>
          <w:sz w:val="24"/>
          <w:szCs w:val="24"/>
        </w:rPr>
        <w:t xml:space="preserve">种方式确定：</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1.允许分包，允许大中型企业向一家或者多家小微企业分包，分包具体内容、金额或比例：</w:t>
      </w:r>
      <w:r>
        <w:rPr>
          <w:rFonts w:ascii="仿宋" w:hAnsi="仿宋" w:eastAsia="仿宋"/>
          <w:sz w:val="24"/>
          <w:szCs w:val="24"/>
          <w:u w:val="single"/>
        </w:rPr>
        <w:t xml:space="preserve">       /       </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30.4履约保证金</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按照以下第</w:t>
      </w:r>
      <w:r>
        <w:rPr>
          <w:rFonts w:hint="eastAsia" w:ascii="仿宋" w:hAnsi="仿宋" w:eastAsia="仿宋"/>
          <w:bCs/>
          <w:sz w:val="24"/>
          <w:szCs w:val="24"/>
          <w:u w:val="single"/>
          <w:lang w:val="zh-CN"/>
        </w:rPr>
        <w:t xml:space="preserve"> </w:t>
      </w:r>
      <w:r>
        <w:rPr>
          <w:rFonts w:ascii="仿宋" w:hAnsi="仿宋" w:eastAsia="仿宋"/>
          <w:bCs/>
          <w:sz w:val="24"/>
          <w:szCs w:val="24"/>
          <w:u w:val="single"/>
          <w:lang w:val="zh-CN"/>
        </w:rPr>
        <w:t xml:space="preserve"> </w:t>
      </w:r>
      <w:r>
        <w:rPr>
          <w:rFonts w:ascii="仿宋" w:hAnsi="仿宋" w:eastAsia="仿宋"/>
          <w:bCs/>
          <w:sz w:val="24"/>
          <w:szCs w:val="24"/>
          <w:u w:val="single"/>
        </w:rPr>
        <w:t xml:space="preserve">2  </w:t>
      </w:r>
      <w:r>
        <w:rPr>
          <w:rFonts w:hint="eastAsia" w:ascii="仿宋" w:hAnsi="仿宋" w:eastAsia="仿宋"/>
          <w:bCs/>
          <w:sz w:val="24"/>
          <w:szCs w:val="24"/>
          <w:lang w:val="zh-CN"/>
        </w:rPr>
        <w:t xml:space="preserve">方式确定履约保证收取方式。</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（2）履约保证金应在采购合同签订前提交，按采购合同总价的</w:t>
      </w:r>
      <w:r>
        <w:rPr>
          <w:rFonts w:ascii="仿宋" w:hAnsi="仿宋" w:eastAsia="仿宋"/>
          <w:bCs/>
          <w:sz w:val="24"/>
          <w:szCs w:val="24"/>
          <w:u w:val="single"/>
        </w:rPr>
        <w:t xml:space="preserve">5</w:t>
      </w:r>
      <w:r>
        <w:rPr>
          <w:rFonts w:hint="eastAsia" w:ascii="仿宋" w:hAnsi="仿宋" w:eastAsia="仿宋"/>
          <w:bCs/>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履约保证金退还的条件：按以下方式实行：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服务类项目，项目履约期满评价合格，出具</w:t>
      </w:r>
      <w:r>
        <w:rPr>
          <w:rFonts w:hint="eastAsia" w:ascii="仿宋" w:hAnsi="仿宋" w:eastAsia="仿宋"/>
          <w:bCs/>
          <w:sz w:val="24"/>
          <w:szCs w:val="24"/>
        </w:rPr>
        <w:t xml:space="preserve">验收报告（</w:t>
      </w:r>
      <w:r>
        <w:rPr>
          <w:rFonts w:hint="eastAsia" w:ascii="仿宋" w:hAnsi="仿宋" w:eastAsia="仿宋"/>
          <w:bCs/>
          <w:sz w:val="24"/>
          <w:szCs w:val="24"/>
          <w:lang w:val="zh-CN"/>
        </w:rPr>
        <w:t xml:space="preserve">履约评价报告</w:t>
      </w:r>
      <w:r>
        <w:rPr>
          <w:rFonts w:hint="eastAsia" w:ascii="仿宋" w:hAnsi="仿宋" w:eastAsia="仿宋"/>
          <w:bCs/>
          <w:sz w:val="24"/>
          <w:szCs w:val="24"/>
        </w:rPr>
        <w:t xml:space="preserve">）</w:t>
      </w:r>
      <w:r>
        <w:rPr>
          <w:rFonts w:hint="eastAsia" w:ascii="仿宋" w:hAnsi="仿宋" w:eastAsia="仿宋"/>
          <w:bCs/>
          <w:sz w:val="24"/>
          <w:szCs w:val="24"/>
          <w:lang w:val="zh-CN"/>
        </w:rPr>
        <w:t xml:space="preserve">及履约保证金收据申请退付；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履约保证金退还时间：采购单位收到投标人退付申请后5个工作日内退还；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逾期退还履约保证金的违约责任：除应当退还履约保证金外，还应当按中国人民银行同</w:t>
      </w:r>
      <w:r>
        <w:rPr>
          <w:rFonts w:hint="eastAsia" w:ascii="仿宋" w:hAnsi="仿宋" w:eastAsia="仿宋"/>
          <w:bCs/>
          <w:sz w:val="24"/>
          <w:szCs w:val="24"/>
          <w:lang w:val="zh-CN"/>
        </w:rPr>
        <w:t xml:space="preserve">期贷款基准利率上浮 20％后的利率支付超期资金占用费，但因投标人自身原因导致无法及时退还的除外。</w:t>
      </w:r>
      <w:r/>
    </w:p>
    <w:p>
      <w:pPr>
        <w:ind w:firstLine="480"/>
        <w:spacing w:line="276" w:lineRule="auto"/>
        <w:rPr>
          <w:rFonts w:ascii="仿宋" w:hAnsi="仿宋" w:eastAsia="仿宋"/>
          <w:bCs/>
          <w:sz w:val="24"/>
          <w:szCs w:val="24"/>
        </w:rPr>
      </w:pPr>
      <w:r>
        <w:rPr>
          <w:rFonts w:ascii="仿宋" w:hAnsi="仿宋" w:eastAsia="仿宋"/>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31、服务（包含与服务相关的货物）的追加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0"/>
        <w:ind w:firstLine="482"/>
        <w:spacing w:before="0" w:after="0" w:line="276" w:lineRule="auto"/>
        <w:rPr>
          <w:rFonts w:ascii="仿宋" w:hAnsi="仿宋" w:eastAsia="仿宋"/>
          <w:bCs w:val="0"/>
          <w:sz w:val="24"/>
          <w:szCs w:val="24"/>
        </w:rPr>
      </w:pPr>
      <w:r/>
      <w:bookmarkStart w:id="207" w:name="_Toc120614221"/>
      <w:r/>
      <w:bookmarkStart w:id="208" w:name="_Toc16938558"/>
      <w:r/>
      <w:bookmarkStart w:id="209" w:name="_Toc513029242"/>
      <w:r/>
      <w:bookmarkStart w:id="210" w:name="_Toc479757207"/>
      <w:r/>
      <w:bookmarkStart w:id="211" w:name="_Toc20823314"/>
      <w:r/>
      <w:bookmarkEnd w:id="204"/>
      <w:r/>
      <w:bookmarkEnd w:id="205"/>
      <w:r/>
      <w:bookmarkEnd w:id="206"/>
      <w:r>
        <w:rPr>
          <w:rFonts w:hint="eastAsia" w:ascii="仿宋" w:hAnsi="仿宋" w:eastAsia="仿宋"/>
          <w:bCs w:val="0"/>
          <w:sz w:val="24"/>
          <w:szCs w:val="24"/>
        </w:rPr>
        <w:t xml:space="preserve">32、政府采购履约资金扶持政策</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32.1依</w:t>
      </w:r>
      <w:r>
        <w:rPr>
          <w:rFonts w:hint="eastAsia" w:ascii="仿宋" w:hAnsi="仿宋" w:eastAsia="仿宋"/>
          <w:bCs/>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33、验收及付款</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33.2采购人可以邀请参加本项目的其他投标人或者第三方机构参与验收。参与验收的投标人或者第三方机构的意见作为验收书的参考资料一并存档。</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276" w:lineRule="auto"/>
        <w:rPr>
          <w:rFonts w:ascii="仿宋" w:hAnsi="仿宋" w:eastAsia="仿宋" w:cs="宋体"/>
          <w:sz w:val="24"/>
          <w:szCs w:val="24"/>
        </w:rPr>
      </w:pPr>
      <w:r>
        <w:rPr>
          <w:rFonts w:hint="eastAsia" w:ascii="仿宋" w:hAnsi="仿宋" w:eastAsia="仿宋"/>
          <w:bCs/>
          <w:sz w:val="24"/>
          <w:szCs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5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34、付款</w:t>
      </w:r>
      <w:r/>
    </w:p>
    <w:p>
      <w:pPr>
        <w:ind w:firstLine="480"/>
        <w:spacing w:line="276" w:lineRule="auto"/>
        <w:rPr>
          <w:rFonts w:ascii="仿宋" w:hAnsi="仿宋" w:eastAsia="仿宋"/>
          <w:bCs/>
          <w:sz w:val="24"/>
          <w:szCs w:val="24"/>
          <w:highlight w:val="white"/>
        </w:rPr>
      </w:pPr>
      <w:r/>
      <w:bookmarkStart w:id="212" w:name="EBec7f529f50594afd871ea9378869e456"/>
      <w:r>
        <w:rPr>
          <w:rFonts w:hint="eastAsia" w:ascii="仿宋" w:hAnsi="仿宋" w:eastAsia="仿宋"/>
          <w:bCs/>
          <w:sz w:val="24"/>
          <w:szCs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12"/>
      <w:r/>
      <w:r/>
    </w:p>
    <w:p>
      <w:pPr>
        <w:ind w:firstLine="480"/>
        <w:spacing w:line="276" w:lineRule="auto"/>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213" w:name="EBe373fd05aa034cc3a1a41aadf8509e01"/>
      <w:r>
        <w:rPr>
          <w:rFonts w:ascii="仿宋" w:hAnsi="仿宋" w:eastAsia="仿宋"/>
          <w:bCs/>
          <w:sz w:val="24"/>
          <w:szCs w:val="24"/>
          <w:u w:val="single"/>
        </w:rPr>
        <w:t xml:space="preserve">  10  </w:t>
      </w:r>
      <w:r>
        <w:rPr>
          <w:rFonts w:hint="eastAsia" w:ascii="仿宋" w:hAnsi="仿宋" w:eastAsia="仿宋"/>
          <w:bCs/>
          <w:sz w:val="24"/>
          <w:szCs w:val="24"/>
        </w:rPr>
        <w:t xml:space="preserve">%</w:t>
      </w:r>
      <w:bookmarkEnd w:id="213"/>
      <w:r>
        <w:rPr>
          <w:rFonts w:hint="eastAsia" w:ascii="仿宋" w:hAnsi="仿宋" w:eastAsia="仿宋"/>
          <w:bCs/>
          <w:sz w:val="24"/>
          <w:szCs w:val="24"/>
        </w:rPr>
        <w:t xml:space="preserve">，合同签订后按规定支付；</w:t>
      </w:r>
      <w:r/>
    </w:p>
    <w:p>
      <w:pPr>
        <w:ind w:firstLine="480"/>
        <w:spacing w:line="276" w:lineRule="auto"/>
        <w:rPr>
          <w:rFonts w:ascii="仿宋" w:hAnsi="仿宋" w:eastAsia="仿宋"/>
          <w:bCs/>
          <w:sz w:val="24"/>
          <w:szCs w:val="24"/>
          <w:u w:val="single"/>
        </w:rPr>
      </w:pPr>
      <w:r>
        <w:rPr>
          <w:rFonts w:hint="eastAsia" w:ascii="仿宋" w:hAnsi="仿宋" w:eastAsia="仿宋"/>
          <w:bCs/>
          <w:sz w:val="24"/>
          <w:szCs w:val="24"/>
        </w:rPr>
        <w:t xml:space="preserve">进度款：</w:t>
      </w:r>
      <w:bookmarkStart w:id="214" w:name="EB5e42c1c1be704ecfa15d9f8f317e8f12"/>
      <w:r/>
      <w:bookmarkEnd w:id="214"/>
      <w:r>
        <w:rPr>
          <w:rFonts w:hint="eastAsia" w:ascii="仿宋" w:hAnsi="仿宋" w:eastAsia="仿宋"/>
          <w:bCs/>
          <w:sz w:val="24"/>
          <w:szCs w:val="24"/>
          <w:u w:val="single"/>
        </w:rPr>
        <w:t xml:space="preserve">采购人依据约定的考核办法进行每月考核后，根据考核情况核定月度养护费用，于过月拨付核定的月度养护费用的90%，余款在本项目结算审计后3个月内付清。中标人须根</w:t>
      </w:r>
      <w:r>
        <w:rPr>
          <w:rFonts w:hint="eastAsia" w:ascii="仿宋" w:hAnsi="仿宋" w:eastAsia="仿宋"/>
          <w:bCs/>
          <w:sz w:val="24"/>
          <w:szCs w:val="24"/>
          <w:u w:val="single"/>
        </w:rPr>
        <w:t xml:space="preserve">据采购人要求完成相关资料报送，中标人同意并认可由采购人委托任意一家第三方审计机构进行审计，结算价以最终审计为准。每次付款前，中标人需提供合法有效的发票。</w:t>
      </w:r>
      <w:r/>
    </w:p>
    <w:p>
      <w:pPr>
        <w:ind w:firstLine="480"/>
        <w:spacing w:line="276" w:lineRule="auto"/>
        <w:rPr>
          <w:rFonts w:ascii="仿宋" w:hAnsi="仿宋" w:eastAsia="仿宋"/>
          <w:bCs/>
          <w:sz w:val="24"/>
          <w:szCs w:val="24"/>
          <w:highlight w:val="white"/>
        </w:rPr>
      </w:pPr>
      <w:r/>
      <w:bookmarkStart w:id="215" w:name="EB11398ec6946f4019bc4c35221e27b04f"/>
      <w:r>
        <w:rPr>
          <w:rFonts w:hint="eastAsia" w:ascii="仿宋" w:hAnsi="仿宋" w:eastAsia="仿宋"/>
          <w:bCs/>
          <w:sz w:val="24"/>
          <w:szCs w:val="24"/>
          <w:highlight w:val="white"/>
        </w:rPr>
        <w:t xml:space="preserve">注：在签订合同时，中标人明确表示无需预付款或者主动要求降低预付款比例的金额，采购人可不适用预付款规定。</w:t>
      </w:r>
      <w:bookmarkEnd w:id="215"/>
      <w:r/>
      <w:r/>
    </w:p>
    <w:p>
      <w:pPr>
        <w:pStyle w:val="747"/>
        <w:spacing w:line="360" w:lineRule="auto"/>
        <w:rPr>
          <w:rFonts w:ascii="黑体" w:hAnsi="黑体" w:eastAsia="黑体"/>
          <w:sz w:val="44"/>
          <w:szCs w:val="44"/>
        </w:rPr>
      </w:pPr>
      <w:r>
        <w:rPr>
          <w:rFonts w:hint="eastAsia" w:ascii="仿宋" w:hAnsi="仿宋" w:eastAsia="仿宋"/>
          <w:bCs/>
          <w:sz w:val="24"/>
          <w:szCs w:val="24"/>
        </w:rPr>
        <w:br w:type="page" w:clear="all"/>
      </w:r>
      <w:bookmarkStart w:id="216" w:name="_Toc162865671"/>
      <w:r>
        <w:rPr>
          <w:rFonts w:hint="eastAsia" w:ascii="黑体" w:hAnsi="黑体" w:eastAsia="黑体"/>
          <w:sz w:val="44"/>
          <w:szCs w:val="44"/>
        </w:rPr>
        <w:t xml:space="preserve">第三章</w:t>
      </w:r>
      <w:r>
        <w:rPr>
          <w:rFonts w:ascii="黑体" w:hAnsi="黑体" w:eastAsia="黑体"/>
          <w:sz w:val="44"/>
          <w:szCs w:val="44"/>
        </w:rPr>
        <w:t xml:space="preserve">  </w:t>
      </w:r>
      <w:r>
        <w:rPr>
          <w:rFonts w:hint="eastAsia" w:ascii="黑体" w:hAnsi="黑体" w:eastAsia="黑体"/>
          <w:sz w:val="44"/>
          <w:szCs w:val="44"/>
        </w:rPr>
        <w:t xml:space="preserve">合同</w:t>
      </w:r>
      <w:bookmarkEnd w:id="207"/>
      <w:r/>
      <w:bookmarkEnd w:id="208"/>
      <w:r/>
      <w:bookmarkEnd w:id="209"/>
      <w:r/>
      <w:bookmarkEnd w:id="210"/>
      <w:r/>
      <w:bookmarkEnd w:id="211"/>
      <w:r>
        <w:rPr>
          <w:rFonts w:hint="eastAsia" w:ascii="黑体" w:hAnsi="黑体" w:eastAsia="黑体"/>
          <w:sz w:val="44"/>
          <w:szCs w:val="44"/>
        </w:rPr>
        <w:t xml:space="preserve">文本</w:t>
      </w:r>
      <w:bookmarkEnd w:id="216"/>
      <w:r/>
      <w:r/>
    </w:p>
    <w:p>
      <w:pPr>
        <w:spacing w:line="276" w:lineRule="auto"/>
        <w:rPr>
          <w:rFonts w:ascii="仿宋" w:hAnsi="仿宋" w:eastAsia="仿宋" w:cs="宋体"/>
          <w:b/>
          <w:sz w:val="24"/>
          <w:szCs w:val="24"/>
          <w:u w:val="single"/>
        </w:rPr>
      </w:pPr>
      <w:r/>
      <w:bookmarkStart w:id="217" w:name="_Hlt16619350"/>
      <w:r/>
      <w:bookmarkStart w:id="218" w:name="_Toc16938590"/>
      <w:r/>
      <w:bookmarkStart w:id="219" w:name="_Toc120614244"/>
      <w:r/>
      <w:bookmarkStart w:id="220" w:name="_Toc20823346"/>
      <w:r/>
      <w:r/>
    </w:p>
    <w:p>
      <w:pPr>
        <w:jc w:val="center"/>
        <w:spacing w:line="276" w:lineRule="auto"/>
        <w:rPr>
          <w:rFonts w:ascii="仿宋" w:hAnsi="仿宋" w:eastAsia="仿宋" w:cs="宋体"/>
          <w:b/>
          <w:sz w:val="24"/>
          <w:szCs w:val="24"/>
        </w:rPr>
      </w:pPr>
      <w:r>
        <w:rPr>
          <w:rFonts w:hint="eastAsia" w:ascii="仿宋" w:hAnsi="仿宋" w:eastAsia="仿宋" w:cs="宋体"/>
          <w:b/>
          <w:sz w:val="24"/>
          <w:szCs w:val="24"/>
          <w:u w:val="single"/>
        </w:rPr>
        <w:t xml:space="preserve">苏宿园区2024年-2026年公共绿化养护项目（）</w:t>
      </w:r>
      <w:r>
        <w:rPr>
          <w:rFonts w:hint="eastAsia" w:ascii="仿宋" w:hAnsi="仿宋" w:eastAsia="仿宋" w:cs="宋体"/>
          <w:b/>
          <w:sz w:val="24"/>
          <w:szCs w:val="24"/>
        </w:rPr>
        <w:t xml:space="preserve">分包承包合同</w:t>
      </w:r>
      <w:r/>
    </w:p>
    <w:p>
      <w:pPr>
        <w:spacing w:line="276" w:lineRule="auto"/>
        <w:rPr>
          <w:rFonts w:ascii="仿宋" w:hAnsi="仿宋" w:eastAsia="仿宋" w:cs="宋体"/>
          <w:b/>
          <w:sz w:val="24"/>
          <w:szCs w:val="24"/>
        </w:rPr>
      </w:pPr>
      <w:r>
        <w:rPr>
          <w:rFonts w:ascii="仿宋" w:hAnsi="仿宋" w:eastAsia="仿宋" w:cs="宋体"/>
          <w:b/>
          <w:sz w:val="24"/>
          <w:szCs w:val="24"/>
        </w:rPr>
      </w:r>
      <w:r/>
    </w:p>
    <w:p>
      <w:pPr>
        <w:ind w:firstLine="482"/>
        <w:spacing w:line="276" w:lineRule="auto"/>
        <w:rPr>
          <w:rFonts w:ascii="仿宋" w:hAnsi="仿宋" w:eastAsia="仿宋" w:cs="宋体"/>
          <w:b/>
          <w:spacing w:val="2"/>
          <w:sz w:val="24"/>
          <w:szCs w:val="24"/>
          <w:u w:val="single"/>
        </w:rPr>
      </w:pPr>
      <w:r>
        <w:rPr>
          <w:rFonts w:hint="eastAsia" w:ascii="仿宋" w:hAnsi="仿宋" w:eastAsia="仿宋" w:cs="宋体"/>
          <w:b/>
          <w:sz w:val="24"/>
          <w:szCs w:val="24"/>
        </w:rPr>
        <w:t xml:space="preserve">合同编号：</w:t>
      </w:r>
      <w:r>
        <w:rPr>
          <w:rFonts w:hint="eastAsia" w:ascii="仿宋" w:hAnsi="仿宋" w:eastAsia="仿宋" w:cs="宋体"/>
          <w:b/>
          <w:sz w:val="24"/>
          <w:szCs w:val="24"/>
          <w:u w:val="single"/>
        </w:rPr>
        <w:t xml:space="preserve">                 </w:t>
      </w:r>
      <w:r>
        <w:rPr>
          <w:rFonts w:ascii="仿宋" w:hAnsi="仿宋" w:eastAsia="仿宋" w:cs="宋体"/>
          <w:b/>
          <w:sz w:val="24"/>
          <w:szCs w:val="24"/>
          <w:u w:val="single"/>
        </w:rPr>
        <w:t xml:space="preserve">          </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甲方：</w:t>
      </w:r>
      <w:r>
        <w:rPr>
          <w:rFonts w:hint="eastAsia" w:ascii="仿宋" w:hAnsi="仿宋" w:eastAsia="仿宋" w:cs="宋体"/>
          <w:b/>
          <w:spacing w:val="2"/>
          <w:sz w:val="24"/>
          <w:szCs w:val="24"/>
          <w:u w:val="single"/>
        </w:rPr>
        <w:t xml:space="preserve"> </w:t>
      </w:r>
      <w:r>
        <w:rPr>
          <w:rFonts w:ascii="仿宋" w:hAnsi="仿宋" w:eastAsia="仿宋" w:cs="宋体"/>
          <w:b/>
          <w:spacing w:val="2"/>
          <w:sz w:val="24"/>
          <w:szCs w:val="24"/>
          <w:u w:val="single"/>
        </w:rPr>
        <w:t xml:space="preserve">                             </w:t>
      </w:r>
      <w:r/>
    </w:p>
    <w:p>
      <w:pPr>
        <w:ind w:firstLine="490"/>
        <w:spacing w:line="276" w:lineRule="auto"/>
        <w:rPr>
          <w:rFonts w:ascii="仿宋" w:hAnsi="仿宋" w:eastAsia="仿宋" w:cs="宋体"/>
          <w:b/>
          <w:spacing w:val="2"/>
          <w:sz w:val="24"/>
          <w:szCs w:val="24"/>
          <w:u w:val="single"/>
        </w:rPr>
      </w:pPr>
      <w:r>
        <w:rPr>
          <w:rFonts w:hint="eastAsia" w:ascii="仿宋" w:hAnsi="仿宋" w:eastAsia="仿宋" w:cs="宋体"/>
          <w:b/>
          <w:spacing w:val="2"/>
          <w:sz w:val="24"/>
          <w:szCs w:val="24"/>
        </w:rPr>
        <w:t xml:space="preserve">乙方：</w:t>
      </w:r>
      <w:r>
        <w:rPr>
          <w:rFonts w:hint="eastAsia" w:ascii="仿宋" w:hAnsi="仿宋" w:eastAsia="仿宋" w:cs="宋体"/>
          <w:b/>
          <w:spacing w:val="2"/>
          <w:sz w:val="24"/>
          <w:szCs w:val="24"/>
          <w:u w:val="single"/>
        </w:rPr>
        <w:t xml:space="preserve">                              </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根据中标通知书，甲方将</w:t>
      </w:r>
      <w:r>
        <w:rPr>
          <w:rFonts w:hint="eastAsia" w:ascii="仿宋" w:hAnsi="仿宋" w:eastAsia="仿宋" w:cs="宋体"/>
          <w:sz w:val="24"/>
          <w:szCs w:val="24"/>
          <w:u w:val="single"/>
        </w:rPr>
        <w:t xml:space="preserve">苏宿园区2024年-2026年公共绿化养护项目</w:t>
      </w:r>
      <w:r>
        <w:rPr>
          <w:rFonts w:hint="eastAsia" w:ascii="仿宋" w:hAnsi="仿宋" w:eastAsia="仿宋" w:cs="宋体"/>
          <w:sz w:val="24"/>
          <w:szCs w:val="24"/>
        </w:rPr>
        <w:t xml:space="preserve">第</w:t>
      </w:r>
      <w:r>
        <w:rPr>
          <w:rFonts w:hint="eastAsia" w:ascii="仿宋" w:hAnsi="仿宋" w:eastAsia="仿宋" w:cs="宋体"/>
          <w:sz w:val="24"/>
          <w:szCs w:val="24"/>
          <w:u w:val="single"/>
        </w:rPr>
        <w:t xml:space="preserve">（   ）分包</w:t>
      </w:r>
      <w:r>
        <w:rPr>
          <w:rFonts w:hint="eastAsia" w:ascii="仿宋" w:hAnsi="仿宋" w:eastAsia="仿宋" w:cs="宋体"/>
          <w:sz w:val="24"/>
          <w:szCs w:val="24"/>
        </w:rPr>
        <w:t xml:space="preserve">发包给乙方，为了明确甲乙双方权利和义务，履行各自的职责，根据《中华人民共和国民法典》和相关法律、法规的有关规定，经甲、乙双方在平等、自愿、协商一致基础上，签订本养护合同。</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第一条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合同期限与服务费。</w:t>
      </w:r>
      <w:r/>
    </w:p>
    <w:p>
      <w:pPr>
        <w:ind w:firstLine="488"/>
        <w:jc w:val="left"/>
        <w:spacing w:line="276" w:lineRule="auto"/>
        <w:rPr>
          <w:rFonts w:ascii="仿宋" w:hAnsi="仿宋" w:eastAsia="仿宋" w:cs="宋体"/>
          <w:spacing w:val="2"/>
          <w:sz w:val="24"/>
          <w:szCs w:val="24"/>
          <w:u w:val="single"/>
        </w:rPr>
      </w:pPr>
      <w:r>
        <w:rPr>
          <w:rFonts w:hint="eastAsia" w:ascii="仿宋" w:hAnsi="仿宋" w:eastAsia="仿宋" w:cs="宋体"/>
          <w:spacing w:val="2"/>
          <w:sz w:val="24"/>
          <w:szCs w:val="24"/>
        </w:rPr>
        <w:t xml:space="preserve">1、合同期限为</w:t>
      </w:r>
      <w:r>
        <w:rPr>
          <w:rFonts w:hint="eastAsia" w:ascii="仿宋" w:hAnsi="仿宋" w:eastAsia="仿宋" w:cs="宋体"/>
          <w:spacing w:val="2"/>
          <w:sz w:val="24"/>
          <w:szCs w:val="24"/>
        </w:rPr>
        <w:t xml:space="preserve">：</w:t>
      </w:r>
      <w:r>
        <w:rPr>
          <w:rFonts w:hint="eastAsia" w:ascii="仿宋" w:hAnsi="仿宋" w:eastAsia="仿宋" w:cs="宋体"/>
          <w:sz w:val="24"/>
          <w:szCs w:val="24"/>
        </w:rPr>
        <w:t xml:space="preserve">养护期24个月，实际管养时间以项目工程移交后，通知中标人进场为准，费用按实结算。</w:t>
      </w:r>
      <w:r/>
    </w:p>
    <w:p>
      <w:pPr>
        <w:ind w:firstLine="488"/>
        <w:spacing w:line="276" w:lineRule="auto"/>
        <w:rPr>
          <w:rFonts w:ascii="仿宋" w:hAnsi="仿宋" w:eastAsia="仿宋" w:cs="宋体"/>
          <w:sz w:val="24"/>
          <w:szCs w:val="24"/>
        </w:rPr>
      </w:pPr>
      <w:r>
        <w:rPr>
          <w:rFonts w:hint="eastAsia" w:ascii="仿宋" w:hAnsi="仿宋" w:eastAsia="仿宋" w:cs="宋体"/>
          <w:spacing w:val="2"/>
          <w:sz w:val="24"/>
          <w:szCs w:val="24"/>
        </w:rPr>
        <w:t xml:space="preserve">2、养护费用为人民币大写：</w:t>
      </w:r>
      <w:r>
        <w:rPr>
          <w:rFonts w:ascii="仿宋" w:hAnsi="仿宋" w:eastAsia="仿宋" w:cs="宋体"/>
          <w:spacing w:val="2"/>
          <w:sz w:val="24"/>
          <w:szCs w:val="24"/>
          <w:u w:val="single"/>
        </w:rPr>
        <w:t xml:space="preserve">       </w:t>
      </w:r>
      <w:r>
        <w:rPr>
          <w:rFonts w:hint="eastAsia" w:ascii="仿宋" w:hAnsi="仿宋" w:eastAsia="仿宋" w:cs="宋体"/>
          <w:spacing w:val="2"/>
          <w:sz w:val="24"/>
          <w:szCs w:val="24"/>
        </w:rPr>
        <w:t xml:space="preserve">元；小写</w:t>
      </w:r>
      <w:r>
        <w:rPr>
          <w:rFonts w:ascii="仿宋" w:hAnsi="仿宋" w:eastAsia="仿宋" w:cs="宋体"/>
          <w:spacing w:val="2"/>
          <w:sz w:val="24"/>
          <w:szCs w:val="24"/>
          <w:u w:val="single"/>
        </w:rPr>
        <w:t xml:space="preserve">       </w:t>
      </w:r>
      <w:r>
        <w:rPr>
          <w:rFonts w:hint="eastAsia" w:ascii="仿宋" w:hAnsi="仿宋" w:eastAsia="仿宋" w:cs="宋体"/>
          <w:spacing w:val="2"/>
          <w:sz w:val="24"/>
          <w:szCs w:val="24"/>
        </w:rPr>
        <w:t xml:space="preserve">元，包含</w:t>
      </w:r>
      <w:r>
        <w:rPr>
          <w:rFonts w:hint="eastAsia" w:ascii="仿宋" w:hAnsi="仿宋" w:eastAsia="仿宋" w:cs="宋体"/>
          <w:sz w:val="24"/>
          <w:szCs w:val="24"/>
        </w:rPr>
        <w:t xml:space="preserve">完成该标段所有服务管理内容所需的人工、机械设备、工具器具、垃圾清运、耗材、通讯、服装、胸卡、办公设备、保险、劳保、防疫、春节慰问金、高温费、防暑降温物品费用、维护、</w:t>
      </w:r>
      <w:r>
        <w:rPr>
          <w:rFonts w:hint="eastAsia" w:ascii="仿宋" w:hAnsi="仿宋" w:eastAsia="仿宋" w:cs="宋体"/>
          <w:bCs/>
          <w:sz w:val="24"/>
          <w:szCs w:val="24"/>
        </w:rPr>
        <w:t xml:space="preserve">草花、草坪复播、苗木补植、清单报价</w:t>
      </w:r>
      <w:r>
        <w:rPr>
          <w:rFonts w:hint="eastAsia" w:ascii="仿宋" w:hAnsi="仿宋" w:eastAsia="仿宋" w:cs="宋体"/>
          <w:sz w:val="24"/>
          <w:szCs w:val="24"/>
        </w:rPr>
        <w:t xml:space="preserve">等全部费用以及投标人企业管理费、利润、各种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90"/>
        <w:spacing w:line="276" w:lineRule="auto"/>
        <w:rPr>
          <w:rFonts w:ascii="仿宋" w:hAnsi="仿宋" w:eastAsia="仿宋" w:cs="宋体"/>
          <w:b/>
          <w:sz w:val="24"/>
          <w:szCs w:val="24"/>
        </w:rPr>
      </w:pPr>
      <w:r>
        <w:rPr>
          <w:rFonts w:hint="eastAsia" w:ascii="仿宋" w:hAnsi="仿宋" w:eastAsia="仿宋" w:cs="宋体"/>
          <w:b/>
          <w:spacing w:val="2"/>
          <w:sz w:val="24"/>
          <w:szCs w:val="24"/>
        </w:rPr>
        <w:t xml:space="preserve">第二条</w:t>
      </w:r>
      <w:r>
        <w:rPr>
          <w:rFonts w:ascii="仿宋" w:hAnsi="仿宋" w:eastAsia="仿宋" w:cs="宋体"/>
          <w:b/>
          <w:spacing w:val="2"/>
          <w:sz w:val="24"/>
          <w:szCs w:val="24"/>
        </w:rPr>
        <w:t xml:space="preserve">  </w:t>
      </w:r>
      <w:r>
        <w:rPr>
          <w:rFonts w:hint="eastAsia" w:ascii="仿宋" w:hAnsi="仿宋" w:eastAsia="仿宋" w:cs="宋体"/>
          <w:b/>
          <w:bCs/>
          <w:sz w:val="24"/>
          <w:szCs w:val="24"/>
        </w:rPr>
        <w:t xml:space="preserve">工程范围及内容</w:t>
      </w:r>
      <w:r>
        <w:rPr>
          <w:rFonts w:hint="eastAsia" w:ascii="仿宋" w:hAnsi="仿宋" w:eastAsia="仿宋" w:cs="宋体"/>
          <w:b/>
          <w:sz w:val="24"/>
          <w:szCs w:val="24"/>
        </w:rPr>
        <w:t xml:space="preserve">：详见招标文件“第四部分 采购需求”。</w:t>
      </w:r>
      <w:r/>
    </w:p>
    <w:p>
      <w:pPr>
        <w:ind w:firstLine="482"/>
        <w:spacing w:line="276" w:lineRule="auto"/>
        <w:widowControl/>
        <w:rPr>
          <w:rFonts w:ascii="仿宋" w:hAnsi="仿宋" w:eastAsia="仿宋" w:cs="宋体"/>
          <w:b/>
          <w:bCs/>
          <w:sz w:val="24"/>
          <w:szCs w:val="24"/>
        </w:rPr>
      </w:pPr>
      <w:r>
        <w:rPr>
          <w:rFonts w:hint="eastAsia" w:ascii="仿宋" w:hAnsi="仿宋" w:eastAsia="仿宋" w:cs="宋体"/>
          <w:b/>
          <w:sz w:val="24"/>
          <w:szCs w:val="24"/>
        </w:rPr>
        <w:t xml:space="preserve">第三条</w:t>
      </w:r>
      <w:r>
        <w:rPr>
          <w:rFonts w:ascii="仿宋" w:hAnsi="仿宋" w:eastAsia="仿宋" w:cs="宋体"/>
          <w:b/>
          <w:sz w:val="24"/>
          <w:szCs w:val="24"/>
        </w:rPr>
        <w:t xml:space="preserve">  </w:t>
      </w:r>
      <w:r>
        <w:rPr>
          <w:rFonts w:hint="eastAsia" w:ascii="仿宋" w:hAnsi="仿宋" w:eastAsia="仿宋" w:cs="宋体"/>
          <w:b/>
          <w:bCs/>
          <w:sz w:val="24"/>
          <w:szCs w:val="24"/>
        </w:rPr>
        <w:t xml:space="preserve">绿化养护质量标准及技术要求</w:t>
      </w:r>
      <w:r>
        <w:rPr>
          <w:rFonts w:hint="eastAsia" w:ascii="仿宋" w:hAnsi="仿宋" w:eastAsia="仿宋" w:cs="宋体"/>
          <w:b/>
          <w:sz w:val="24"/>
          <w:szCs w:val="24"/>
        </w:rPr>
        <w:t xml:space="preserve">：详见招标文件“第四部分 采购需求”。</w:t>
      </w:r>
      <w:r/>
    </w:p>
    <w:p>
      <w:pPr>
        <w:ind w:firstLine="490"/>
        <w:spacing w:line="276" w:lineRule="auto"/>
        <w:rPr>
          <w:rFonts w:ascii="仿宋" w:hAnsi="仿宋" w:eastAsia="仿宋" w:cs="宋体"/>
          <w:b/>
          <w:sz w:val="24"/>
          <w:szCs w:val="24"/>
        </w:rPr>
      </w:pPr>
      <w:r>
        <w:rPr>
          <w:rFonts w:hint="eastAsia" w:ascii="仿宋" w:hAnsi="仿宋" w:eastAsia="仿宋" w:cs="宋体"/>
          <w:b/>
          <w:spacing w:val="2"/>
          <w:sz w:val="24"/>
          <w:szCs w:val="24"/>
        </w:rPr>
        <w:t xml:space="preserve">第四条</w:t>
      </w:r>
      <w:r>
        <w:rPr>
          <w:rFonts w:ascii="仿宋" w:hAnsi="仿宋" w:eastAsia="仿宋" w:cs="宋体"/>
          <w:b/>
          <w:spacing w:val="2"/>
          <w:sz w:val="24"/>
          <w:szCs w:val="24"/>
        </w:rPr>
        <w:t xml:space="preserve">  </w:t>
      </w:r>
      <w:r>
        <w:rPr>
          <w:rFonts w:hint="eastAsia" w:ascii="仿宋" w:hAnsi="仿宋" w:eastAsia="仿宋" w:cs="宋体"/>
          <w:b/>
          <w:bCs/>
          <w:sz w:val="24"/>
          <w:szCs w:val="24"/>
        </w:rPr>
        <w:t xml:space="preserve">绿化养护作业要求：</w:t>
      </w:r>
      <w:r>
        <w:rPr>
          <w:rFonts w:hint="eastAsia" w:ascii="仿宋" w:hAnsi="仿宋" w:eastAsia="仿宋" w:cs="宋体"/>
          <w:b/>
          <w:sz w:val="24"/>
          <w:szCs w:val="24"/>
        </w:rPr>
        <w:t xml:space="preserve">详见招标文件“第四部分 采购需求”。</w:t>
      </w:r>
      <w:r/>
    </w:p>
    <w:p>
      <w:pPr>
        <w:ind w:firstLine="490"/>
        <w:jc w:val="left"/>
        <w:spacing w:line="276" w:lineRule="auto"/>
        <w:rPr>
          <w:rFonts w:ascii="仿宋" w:hAnsi="仿宋" w:eastAsia="仿宋" w:cs="宋体"/>
          <w:b/>
          <w:sz w:val="24"/>
          <w:szCs w:val="24"/>
        </w:rPr>
      </w:pPr>
      <w:r>
        <w:rPr>
          <w:rFonts w:hint="eastAsia" w:ascii="仿宋" w:hAnsi="仿宋" w:eastAsia="仿宋" w:cs="宋体"/>
          <w:b/>
          <w:bCs/>
          <w:spacing w:val="2"/>
          <w:sz w:val="24"/>
          <w:szCs w:val="24"/>
        </w:rPr>
        <w:t xml:space="preserve">第五条</w:t>
      </w:r>
      <w:r>
        <w:rPr>
          <w:rFonts w:ascii="仿宋" w:hAnsi="仿宋" w:eastAsia="仿宋" w:cs="宋体"/>
          <w:b/>
          <w:bCs/>
          <w:spacing w:val="2"/>
          <w:sz w:val="24"/>
          <w:szCs w:val="24"/>
        </w:rPr>
        <w:t xml:space="preserve">  </w:t>
      </w:r>
      <w:r>
        <w:rPr>
          <w:rFonts w:hint="eastAsia" w:ascii="仿宋" w:hAnsi="仿宋" w:eastAsia="仿宋" w:cs="宋体"/>
          <w:b/>
          <w:sz w:val="24"/>
          <w:szCs w:val="24"/>
        </w:rPr>
        <w:t xml:space="preserve">日常管理要求及项目经理及养护技术人员管理要求：</w:t>
      </w:r>
      <w:r/>
    </w:p>
    <w:p>
      <w:pPr>
        <w:ind w:firstLine="482"/>
        <w:jc w:val="left"/>
        <w:spacing w:line="276" w:lineRule="auto"/>
        <w:rPr>
          <w:rFonts w:ascii="仿宋" w:hAnsi="仿宋" w:eastAsia="仿宋" w:cs="宋体"/>
          <w:b/>
          <w:sz w:val="24"/>
          <w:szCs w:val="24"/>
        </w:rPr>
      </w:pPr>
      <w:r>
        <w:rPr>
          <w:rFonts w:hint="eastAsia" w:ascii="仿宋" w:hAnsi="仿宋" w:eastAsia="仿宋" w:cs="宋体"/>
          <w:b/>
          <w:sz w:val="24"/>
          <w:szCs w:val="24"/>
        </w:rPr>
        <w:t xml:space="preserve">1、项目经理1名：</w:t>
      </w:r>
      <w:r>
        <w:rPr>
          <w:rFonts w:hint="eastAsia" w:ascii="仿宋" w:hAnsi="仿宋" w:eastAsia="仿宋" w:cs="宋体"/>
          <w:bCs/>
          <w:sz w:val="24"/>
          <w:szCs w:val="24"/>
        </w:rPr>
        <w:t xml:space="preserve">为投标企业的正式员工，具有大专及以上学历，持有园林相关专业中级及以上技术职称，并常驻现场。项目经理负责本项目相关所有工作，建立本项目完整的档案台帐资料及内部考核机制。中标后项目经理，不得随意调整，有特殊情况确需调整的须征得采购人书面同意。</w:t>
      </w:r>
      <w:r/>
    </w:p>
    <w:p>
      <w:pPr>
        <w:ind w:firstLine="482"/>
        <w:jc w:val="left"/>
        <w:spacing w:line="276" w:lineRule="auto"/>
        <w:rPr>
          <w:rFonts w:ascii="仿宋" w:hAnsi="仿宋" w:eastAsia="仿宋" w:cs="宋体"/>
          <w:bCs/>
          <w:sz w:val="24"/>
          <w:szCs w:val="24"/>
        </w:rPr>
      </w:pPr>
      <w:r>
        <w:rPr>
          <w:rFonts w:hint="eastAsia" w:ascii="仿宋" w:hAnsi="仿宋" w:eastAsia="仿宋" w:cs="宋体"/>
          <w:b/>
          <w:sz w:val="24"/>
          <w:szCs w:val="24"/>
        </w:rPr>
        <w:t xml:space="preserve">2、绿化主管1名</w:t>
      </w:r>
      <w:r>
        <w:rPr>
          <w:rFonts w:hint="eastAsia" w:ascii="仿宋" w:hAnsi="仿宋" w:eastAsia="仿宋" w:cs="宋体"/>
          <w:bCs/>
          <w:sz w:val="24"/>
          <w:szCs w:val="24"/>
        </w:rPr>
        <w:t xml:space="preserve">：试用期1个月，合格后方可上岗。</w:t>
      </w:r>
      <w:r/>
    </w:p>
    <w:p>
      <w:pPr>
        <w:ind w:firstLine="482"/>
        <w:jc w:val="left"/>
        <w:spacing w:line="276" w:lineRule="auto"/>
        <w:rPr>
          <w:rFonts w:ascii="仿宋" w:hAnsi="仿宋" w:eastAsia="仿宋" w:cs="宋体"/>
          <w:bCs/>
          <w:sz w:val="24"/>
          <w:szCs w:val="24"/>
        </w:rPr>
      </w:pPr>
      <w:r>
        <w:rPr>
          <w:rFonts w:hint="eastAsia" w:ascii="仿宋" w:hAnsi="仿宋" w:eastAsia="仿宋" w:cs="宋体"/>
          <w:b/>
          <w:sz w:val="24"/>
          <w:szCs w:val="24"/>
        </w:rPr>
        <w:t xml:space="preserve">3、安全员1名</w:t>
      </w:r>
      <w:r>
        <w:rPr>
          <w:rFonts w:hint="eastAsia" w:ascii="仿宋" w:hAnsi="仿宋" w:eastAsia="仿宋" w:cs="宋体"/>
          <w:bCs/>
          <w:sz w:val="24"/>
          <w:szCs w:val="24"/>
        </w:rPr>
        <w:t xml:space="preserve">：</w:t>
      </w:r>
      <w:r>
        <w:rPr>
          <w:rFonts w:hint="eastAsia" w:ascii="仿宋" w:hAnsi="仿宋" w:eastAsia="仿宋" w:cs="宋体"/>
          <w:bCs/>
          <w:sz w:val="24"/>
          <w:szCs w:val="24"/>
        </w:rPr>
        <w:t xml:space="preserve">具有安全员相关证书。</w:t>
      </w:r>
      <w:r/>
    </w:p>
    <w:p>
      <w:pPr>
        <w:ind w:firstLine="482"/>
        <w:jc w:val="left"/>
        <w:spacing w:line="276" w:lineRule="auto"/>
        <w:rPr>
          <w:rFonts w:ascii="仿宋" w:hAnsi="仿宋" w:eastAsia="仿宋" w:cs="宋体"/>
          <w:bCs/>
          <w:sz w:val="24"/>
          <w:szCs w:val="24"/>
        </w:rPr>
      </w:pPr>
      <w:r>
        <w:rPr>
          <w:rFonts w:hint="eastAsia" w:ascii="仿宋" w:hAnsi="仿宋" w:eastAsia="仿宋" w:cs="宋体"/>
          <w:b/>
          <w:sz w:val="24"/>
          <w:szCs w:val="24"/>
        </w:rPr>
        <w:t xml:space="preserve">4、资料员1名</w:t>
      </w:r>
      <w:r>
        <w:rPr>
          <w:rFonts w:hint="eastAsia" w:ascii="仿宋" w:hAnsi="仿宋" w:eastAsia="仿宋" w:cs="宋体"/>
          <w:bCs/>
          <w:sz w:val="24"/>
          <w:szCs w:val="24"/>
        </w:rPr>
        <w:t xml:space="preserve">:大专及以上学历，试用期1个月，合格后方可上岗。</w:t>
      </w:r>
      <w:r/>
    </w:p>
    <w:p>
      <w:pPr>
        <w:ind w:firstLine="482"/>
        <w:jc w:val="left"/>
        <w:spacing w:line="276" w:lineRule="auto"/>
        <w:rPr>
          <w:rFonts w:ascii="仿宋" w:hAnsi="仿宋" w:eastAsia="仿宋" w:cs="宋体"/>
          <w:bCs/>
          <w:sz w:val="24"/>
          <w:szCs w:val="24"/>
        </w:rPr>
      </w:pPr>
      <w:r>
        <w:rPr>
          <w:rFonts w:ascii="仿宋" w:hAnsi="仿宋" w:eastAsia="仿宋" w:cs="宋体"/>
          <w:b/>
          <w:sz w:val="24"/>
          <w:szCs w:val="24"/>
        </w:rPr>
        <w:t xml:space="preserve">5</w:t>
      </w:r>
      <w:r>
        <w:rPr>
          <w:rFonts w:hint="eastAsia" w:ascii="仿宋" w:hAnsi="仿宋" w:eastAsia="仿宋" w:cs="宋体"/>
          <w:b/>
          <w:sz w:val="24"/>
          <w:szCs w:val="24"/>
        </w:rPr>
        <w:t xml:space="preserve">、</w:t>
      </w:r>
      <w:r>
        <w:rPr>
          <w:rFonts w:hint="eastAsia" w:ascii="仿宋" w:hAnsi="仿宋" w:eastAsia="仿宋" w:cs="宋体"/>
          <w:b/>
          <w:sz w:val="24"/>
          <w:szCs w:val="24"/>
        </w:rPr>
        <w:t xml:space="preserve">绿化工或花卉园艺工</w:t>
      </w:r>
      <w:r>
        <w:rPr>
          <w:rFonts w:hint="eastAsia" w:ascii="仿宋" w:hAnsi="仿宋" w:eastAsia="仿宋" w:cs="宋体"/>
          <w:b/>
          <w:sz w:val="24"/>
          <w:szCs w:val="24"/>
        </w:rPr>
        <w:t xml:space="preserve">4名</w:t>
      </w:r>
      <w:r>
        <w:rPr>
          <w:rFonts w:hint="eastAsia" w:ascii="仿宋" w:hAnsi="仿宋" w:eastAsia="仿宋" w:cs="宋体"/>
          <w:bCs/>
          <w:sz w:val="24"/>
          <w:szCs w:val="24"/>
        </w:rPr>
        <w:t xml:space="preserve">：</w:t>
      </w:r>
      <w:r>
        <w:rPr>
          <w:rFonts w:hint="eastAsia" w:ascii="仿宋" w:hAnsi="仿宋" w:eastAsia="仿宋" w:cs="宋体"/>
          <w:bCs/>
          <w:sz w:val="24"/>
          <w:szCs w:val="24"/>
        </w:rPr>
        <w:t xml:space="preserve">具有绿化工中级（四级）及以上证书或花卉园艺工中级（四级）及以上证书</w:t>
      </w:r>
      <w:r>
        <w:rPr>
          <w:rFonts w:hint="eastAsia" w:ascii="仿宋" w:hAnsi="仿宋" w:eastAsia="仿宋" w:cs="宋体"/>
          <w:bCs/>
          <w:sz w:val="24"/>
          <w:szCs w:val="24"/>
        </w:rPr>
        <w:t xml:space="preserve">，试用期1个月，合格后方可上岗。</w:t>
      </w:r>
      <w:r/>
    </w:p>
    <w:p>
      <w:pPr>
        <w:ind w:firstLine="482"/>
        <w:jc w:val="left"/>
        <w:spacing w:line="276" w:lineRule="auto"/>
        <w:rPr>
          <w:rFonts w:ascii="仿宋" w:hAnsi="仿宋" w:eastAsia="仿宋" w:cs="宋体"/>
          <w:bCs/>
          <w:sz w:val="24"/>
          <w:szCs w:val="24"/>
        </w:rPr>
      </w:pPr>
      <w:r>
        <w:rPr>
          <w:rFonts w:hint="eastAsia" w:ascii="仿宋" w:hAnsi="仿宋" w:eastAsia="仿宋" w:cs="宋体"/>
          <w:b/>
          <w:sz w:val="24"/>
          <w:szCs w:val="24"/>
        </w:rPr>
        <w:t xml:space="preserve">6、养护人员（中标</w:t>
      </w:r>
      <w:r>
        <w:rPr>
          <w:rFonts w:ascii="仿宋" w:hAnsi="仿宋" w:eastAsia="仿宋" w:cs="宋体"/>
          <w:b/>
          <w:sz w:val="24"/>
          <w:szCs w:val="24"/>
        </w:rPr>
        <w:t xml:space="preserve">后按要求配备</w:t>
      </w:r>
      <w:r>
        <w:rPr>
          <w:rFonts w:hint="eastAsia" w:ascii="仿宋" w:hAnsi="仿宋" w:eastAsia="仿宋" w:cs="宋体"/>
          <w:b/>
          <w:sz w:val="24"/>
          <w:szCs w:val="24"/>
        </w:rPr>
        <w:t xml:space="preserve">）：</w:t>
      </w:r>
      <w:r>
        <w:rPr>
          <w:rFonts w:hint="eastAsia" w:ascii="仿宋" w:hAnsi="仿宋" w:eastAsia="仿宋" w:cs="宋体"/>
          <w:bCs/>
          <w:sz w:val="24"/>
          <w:szCs w:val="24"/>
        </w:rPr>
        <w:t xml:space="preserve">根据招标范围及养护标准要求：绿化养护一、二分包（商住区、工业区）日常养护人员，根据养护季节需要进行配置，养护人员进行日常考勤打卡，无正当理由未按打卡的养护人员，计入日常考核（具体人员配置见采购需求附件</w:t>
      </w:r>
      <w:r>
        <w:rPr>
          <w:rFonts w:hint="eastAsia" w:ascii="仿宋" w:hAnsi="仿宋" w:eastAsia="仿宋" w:cs="宋体"/>
          <w:bCs/>
          <w:sz w:val="24"/>
          <w:szCs w:val="24"/>
        </w:rPr>
        <w:t xml:space="preserve">二）。</w:t>
      </w:r>
      <w:r/>
    </w:p>
    <w:p>
      <w:pPr>
        <w:ind w:firstLine="490"/>
        <w:spacing w:line="276" w:lineRule="auto"/>
        <w:rPr>
          <w:rFonts w:ascii="仿宋" w:hAnsi="仿宋" w:eastAsia="仿宋" w:cs="宋体"/>
          <w:b/>
          <w:sz w:val="24"/>
          <w:szCs w:val="24"/>
        </w:rPr>
      </w:pPr>
      <w:r>
        <w:rPr>
          <w:rFonts w:hint="eastAsia" w:ascii="仿宋" w:hAnsi="仿宋" w:eastAsia="仿宋" w:cs="宋体"/>
          <w:b/>
          <w:bCs/>
          <w:spacing w:val="2"/>
          <w:sz w:val="24"/>
          <w:szCs w:val="24"/>
        </w:rPr>
        <w:t xml:space="preserve">第六条</w:t>
      </w:r>
      <w:r>
        <w:rPr>
          <w:rFonts w:ascii="仿宋" w:hAnsi="仿宋" w:eastAsia="仿宋" w:cs="宋体"/>
          <w:b/>
          <w:bCs/>
          <w:spacing w:val="2"/>
          <w:sz w:val="24"/>
          <w:szCs w:val="24"/>
        </w:rPr>
        <w:t xml:space="preserve">  </w:t>
      </w:r>
      <w:r>
        <w:rPr>
          <w:rFonts w:hint="eastAsia" w:ascii="仿宋" w:hAnsi="仿宋" w:eastAsia="仿宋" w:cs="宋体"/>
          <w:b/>
          <w:sz w:val="24"/>
          <w:szCs w:val="24"/>
        </w:rPr>
        <w:t xml:space="preserve">考核办法：</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对乙方的考核采取固定检查考核与日常检查考核相结合的原则；考核标准和考核项目以《苏州宿迁工业园区绿化养护管理考核评分表》为标准（详见附件）。如行业主管部门出台新的规范或文件，则按新的规范或文件执行，承包单位不得因此提出任何形式的索赔。</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考核方式:</w:t>
      </w:r>
      <w:r>
        <w:rPr>
          <w:rFonts w:hint="eastAsia" w:ascii="仿宋" w:hAnsi="仿宋" w:eastAsia="仿宋"/>
          <w:sz w:val="24"/>
          <w:szCs w:val="24"/>
        </w:rPr>
        <w:t xml:space="preserve"> </w:t>
      </w:r>
      <w:r>
        <w:rPr>
          <w:rFonts w:hint="eastAsia" w:ascii="仿宋" w:hAnsi="仿宋" w:eastAsia="仿宋" w:cs="宋体"/>
          <w:b/>
          <w:sz w:val="24"/>
          <w:szCs w:val="24"/>
        </w:rPr>
        <w:t xml:space="preserve">对中标单位的考核采取甲方日常检查、月度综合检查相结合的考核原则。</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甲方现场代表对乙方工作进行检查考核，每月不少于4次。乙方现场管理人员应在考核表上签字确认，如若乙方管理人员不及时签字确认，甲方一律视为乙方默认甲方的考核评分。</w:t>
      </w:r>
      <w:r/>
    </w:p>
    <w:p>
      <w:pPr>
        <w:ind w:firstLine="490"/>
        <w:spacing w:line="276" w:lineRule="auto"/>
        <w:rPr>
          <w:rFonts w:ascii="仿宋" w:hAnsi="仿宋" w:eastAsia="仿宋" w:cs="宋体"/>
          <w:b/>
          <w:sz w:val="24"/>
          <w:szCs w:val="24"/>
        </w:rPr>
      </w:pPr>
      <w:r>
        <w:rPr>
          <w:rFonts w:hint="eastAsia" w:ascii="仿宋" w:hAnsi="仿宋" w:eastAsia="仿宋" w:cs="宋体"/>
          <w:b/>
          <w:spacing w:val="2"/>
          <w:sz w:val="24"/>
          <w:szCs w:val="24"/>
        </w:rPr>
        <w:t xml:space="preserve">第七条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养护</w:t>
      </w:r>
      <w:r>
        <w:rPr>
          <w:rFonts w:hint="eastAsia" w:ascii="仿宋" w:hAnsi="仿宋" w:eastAsia="仿宋" w:cs="宋体"/>
          <w:b/>
          <w:sz w:val="24"/>
          <w:szCs w:val="24"/>
        </w:rPr>
        <w:t xml:space="preserve">工程进度款：</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支付时间、方式：</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预付款：合同金额的10%，合同签订后按规定支付；</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进度款：甲方依据约定的考核办法进行每月考核后，根据考核情况核定月度养护费用，于过月拨付核定的月度养护费用的90%，余款在本项目结算审计后3个月内付清。乙方须根据甲方要求完成相关资料报送，乙方同意并认可由甲方委托任意一家第三方审计机构进行审计，结算价以最终审计为准。每次付款前，乙方需提供合法有效的发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对于满足合同约定支付条件的，自收到发票后10个工作日内将资金支付到合同约定的乙方账户或乙方数字人民币账户。</w:t>
      </w:r>
      <w:r/>
    </w:p>
    <w:p>
      <w:pPr>
        <w:ind w:firstLine="482"/>
        <w:spacing w:line="276" w:lineRule="auto"/>
        <w:rPr>
          <w:rFonts w:ascii="仿宋" w:hAnsi="仿宋" w:eastAsia="仿宋" w:cs="宋体"/>
          <w:b/>
          <w:sz w:val="24"/>
          <w:szCs w:val="24"/>
          <w:u w:val="single"/>
        </w:rPr>
      </w:pPr>
      <w:r>
        <w:rPr>
          <w:rFonts w:hint="eastAsia" w:ascii="仿宋" w:hAnsi="仿宋" w:eastAsia="仿宋" w:cs="宋体"/>
          <w:b/>
          <w:color w:val="ff0000"/>
          <w:sz w:val="24"/>
          <w:szCs w:val="24"/>
          <w:u w:val="single"/>
        </w:rPr>
        <w:t xml:space="preserve">注：在签订合同时，中标人明确表示无需预付款或者主动要求降低预付款比例的金额，采购人可不适用前述规定。</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（1）月度养护成绩与当月养护经费挂钩</w:t>
      </w:r>
      <w:r/>
    </w:p>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考核扣款方式</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93"/>
        <w:gridCol w:w="5529"/>
        <w:gridCol w:w="1275"/>
      </w:tblGrid>
      <w:tr>
        <w:trPr>
          <w:jc w:val="center"/>
          <w:trHeight w:val="94"/>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考核得分</w:t>
            </w:r>
            <w:r/>
          </w:p>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（满分100分）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维护费用扣款方式</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141"/>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95分（含）以上</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全额支付当月维护费用</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90（含）-95分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扣款额=（100-当月考核得分）* 0.5%*当月完成额</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Height w:val="70"/>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80（含）-90分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扣款额=（100-当月考核得分）* 1%*当月完成额</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Height w:val="70"/>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70（含）-80分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支付50%当月维护费用</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70分以下</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支付40%当月维护费用；连续2月考核得分低于70分的，甲方有权解除合同，履约保证金全额扣除</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bl>
    <w:p>
      <w:pPr>
        <w:ind w:firstLine="480"/>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责任单位对于合同约定的任务不积极配合或完成不及时的，公司有权安排其它有资质的单位完成，其产生的费用从当月养护费用中扣除，不足的从该责任单位合同履约保证金中扣除。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养护合同期间，如出现养护缺陷，乙方应及时予以更正,甲方有权扣留缺陷出现之日起的养护费，直至缺陷更正。甲方通知后乙方仍未按要求更正的，乙方除应承担违约责任外，甲方有权自行或委托其他人进行更正，由此而产生的费用，由乙方承担。不足的从该单位合同履约保证金中扣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（3）本工程养护过程中若有面积变动，据实调整养护面积，养护面积的调整以甲方发出的书面通知为准。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乙方须认真保护所承担养护区域的绿地及绿化材料，加强日常巡视如遇第三方开挖，应主动检查其开挖证明，并跟踪其开挖活动，避免绿化材料缺损；如开挖方无法出具其有效的开挖证明，乙方应及时制止其开挖行为并通知地方执法部门和甲方，否则由乙方不作为而造成的苗木缺损、死亡等一切后果由乙方承担。并纳入考核，所造成的损失由乙方承担。其风险费用应全部包含在养护费用报价中。</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合同分包内的乔灌木及地被植物，在履行日常维护中需确保100%成活（投标时履约责任期内死亡苗木风险需考虑在投标报价内），因各种原因苗木死亡的做好日常统计记录，经申请甲方签字确认后方可清除，并及时补植，补植季节应在每年春季、秋季集中补植，如不及时补植或赔偿的，甲方有权安排第三方进行补植，费用从养护款中按审定的苗木综合单价3倍扣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（6）养护期内任何缺失、损坏或生长不良的苗木须按合同规定的同种类、同规格进行更换、补种；未进行补植或更换的按审定的苗木综合单价3倍扣除费用。</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（7）养护期间如遇因改造等原因交由其它部门管理的绿地，其工程量从养护分包内核减，养护费用也相应扣减。</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w:t>
      </w:r>
      <w:r>
        <w:rPr>
          <w:rFonts w:hint="eastAsia" w:ascii="仿宋" w:hAnsi="仿宋" w:eastAsia="仿宋" w:cs="宋体"/>
          <w:bCs/>
          <w:color w:val="5b9bd5"/>
          <w:sz w:val="24"/>
          <w:szCs w:val="24"/>
        </w:rPr>
        <w:t xml:space="preserve">项目经理</w:t>
      </w:r>
      <w:r>
        <w:rPr>
          <w:rFonts w:hint="eastAsia" w:ascii="仿宋" w:hAnsi="仿宋" w:eastAsia="仿宋" w:cs="宋体"/>
          <w:bCs/>
          <w:sz w:val="24"/>
          <w:szCs w:val="24"/>
        </w:rPr>
        <w:t xml:space="preserve">每天实行签到打卡制度，现场设置考勤机，费用投保人计入相关报价，1小时内未联系不上并未及时回复的算无故缺勤，无故缺勤纳入日常考核。</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w:t>
      </w:r>
      <w:r>
        <w:rPr>
          <w:rFonts w:hint="eastAsia" w:ascii="仿宋" w:hAnsi="仿宋" w:eastAsia="仿宋" w:cs="宋体"/>
          <w:bCs/>
          <w:color w:val="5b9bd5"/>
          <w:sz w:val="24"/>
          <w:szCs w:val="24"/>
        </w:rPr>
        <w:t xml:space="preserve">项目经理</w:t>
      </w:r>
      <w:r>
        <w:rPr>
          <w:rFonts w:hint="eastAsia" w:ascii="仿宋" w:hAnsi="仿宋" w:eastAsia="仿宋" w:cs="宋体"/>
          <w:bCs/>
          <w:sz w:val="24"/>
          <w:szCs w:val="24"/>
        </w:rPr>
        <w:t xml:space="preserve">应按时参加由甲方召开的月度养护考核、未请假或请假未经同意擅自缺席的纳入日常考核。</w:t>
      </w:r>
      <w:r/>
    </w:p>
    <w:p>
      <w:pPr>
        <w:ind w:firstLine="480"/>
        <w:spacing w:line="276" w:lineRule="auto"/>
        <w:rPr>
          <w:rFonts w:ascii="仿宋" w:hAnsi="仿宋" w:eastAsia="仿宋"/>
          <w:sz w:val="24"/>
          <w:szCs w:val="24"/>
        </w:rPr>
      </w:pPr>
      <w:r>
        <w:rPr>
          <w:rFonts w:hint="eastAsia" w:ascii="仿宋" w:hAnsi="仿宋" w:eastAsia="仿宋" w:cs="宋体"/>
          <w:bCs/>
          <w:sz w:val="24"/>
          <w:szCs w:val="24"/>
        </w:rPr>
        <w:t xml:space="preserve">（10）入场后应迅速对项目绿地、园林植物外貌进行修整，3 个月内达到绿地养护等级标准的要求，期间因修整绿地发生的补植、整地、清理碴土垃圾等一切工作，其费用包含在本标的报价内，不再追加计算。</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2、乙方指定的户主名称、开户银行、银行帐号如下：</w:t>
      </w:r>
      <w:r/>
    </w:p>
    <w:p>
      <w:pPr>
        <w:ind w:firstLine="488"/>
        <w:spacing w:line="276" w:lineRule="auto"/>
        <w:rPr>
          <w:rFonts w:ascii="仿宋" w:hAnsi="仿宋" w:eastAsia="仿宋" w:cs="宋体"/>
          <w:spacing w:val="2"/>
          <w:sz w:val="24"/>
          <w:szCs w:val="24"/>
          <w:u w:val="single"/>
        </w:rPr>
      </w:pPr>
      <w:r>
        <w:rPr>
          <w:rFonts w:hint="eastAsia" w:ascii="仿宋" w:hAnsi="仿宋" w:eastAsia="仿宋" w:cs="宋体"/>
          <w:spacing w:val="2"/>
          <w:sz w:val="24"/>
          <w:szCs w:val="24"/>
        </w:rPr>
        <w:t xml:space="preserve">户主名称：</w:t>
      </w:r>
      <w:r/>
    </w:p>
    <w:p>
      <w:pPr>
        <w:ind w:firstLine="488"/>
        <w:spacing w:line="276" w:lineRule="auto"/>
        <w:rPr>
          <w:rFonts w:ascii="仿宋" w:hAnsi="仿宋" w:eastAsia="仿宋" w:cs="宋体"/>
          <w:spacing w:val="2"/>
          <w:sz w:val="24"/>
          <w:szCs w:val="24"/>
          <w:u w:val="single"/>
        </w:rPr>
      </w:pPr>
      <w:r>
        <w:rPr>
          <w:rFonts w:hint="eastAsia" w:ascii="仿宋" w:hAnsi="仿宋" w:eastAsia="仿宋" w:cs="宋体"/>
          <w:spacing w:val="2"/>
          <w:sz w:val="24"/>
          <w:szCs w:val="24"/>
        </w:rPr>
        <w:t xml:space="preserve">开户银行：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银行帐号：</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3、乙方指定的户主名称、开户银行、银行帐号发生变更、撤销等事宜，应当及时以书面形式通知甲方，并以乙方重新确认的户主名称、开户银行、银行帐号为准。</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4、甲方将服务费汇入乙方指定的银行帐户之日即为甲方己履行付款义务，由于银行或乙方过错，造成服务费无法支取、承兑、或支取迟延，甲方不承担责任。</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第八条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甲方有以下权利和义务。</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1、拥有对乙方的养护行为进行监督指导、要求乙方提高养护标准、制止乙方危害的行为、审定乙方重大养护作业措施等权利。</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2、甲方有权对乙方养护情况进行检查。如发现有不符合标准之处，有权要求乙方即时进行整改。乙方未按要求及时进行整改的，甲方有权委托第三方进行养护，因此产生的的费用由乙方承担。</w:t>
      </w:r>
      <w:r/>
    </w:p>
    <w:p>
      <w:pPr>
        <w:ind w:firstLine="488"/>
        <w:spacing w:line="276" w:lineRule="auto"/>
        <w:rPr>
          <w:rFonts w:ascii="仿宋" w:hAnsi="仿宋" w:eastAsia="仿宋" w:cs="宋体"/>
          <w:color w:val="ff0000"/>
          <w:sz w:val="24"/>
          <w:szCs w:val="24"/>
        </w:rPr>
      </w:pPr>
      <w:r>
        <w:rPr>
          <w:rFonts w:hint="eastAsia" w:ascii="仿宋" w:hAnsi="仿宋" w:eastAsia="仿宋" w:cs="宋体"/>
          <w:spacing w:val="2"/>
          <w:sz w:val="24"/>
          <w:szCs w:val="24"/>
        </w:rPr>
        <w:t xml:space="preserve">3、根据本合同规定的养护服务费用标准，按时支付乙方费用。如因特殊情况承包费未能按时拨付到位，乙方不得以此为由而不履行本合同规定义务，否则，甲方将按规定处罚；</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第九条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乙方的权利和义务。</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1、乙方拥有依法取得报酬，就养护工作向甲方提出建议和意见等权利。对甲方管理检查人员不按标准检查，假公于私的可越级反映，对合同业务内工作争议进行正常途径申诉；</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2、教育员工文明服务，礼貌待客，并严格遵守甲方各项规章制度，如因乙方员工原因给甲方造成经济或名誉上的损失，乙方应负责赔偿甲方因此造成的损失。</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3、中标后须迅速做好准备工作，确保能按公司合同要求进场养护，中标后要在一个月内对现场苗木清点，与清单不符的要以书面形式上报，否则一律按清单执行。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4、乙方与工人签订劳动合同并按照劳动法规定缴纳相应的社保，所有工人劳动合同和相关证明（如社保等）必须报甲方备案，如不能及时提供合法用工的相关证明，甲方有权与乙方终止合同。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5、乙方雇佣员工应具备应变突发事件的能力，并提供花名册由甲方备案。</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6、养护作业人员务必穿着统一工作制服并持证上岗，甲方有权视工作需要要求乙方临时性增加养护人员，若养护人员长期不到位导致养护工作不能有效开展，造成苗木缺损、景观被破坏等严重事故，甲方有权终止其养护合同，所造成的损失由养护单位承担。</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7、在日常养护中，养护人员工作时须穿戴印有明显公司标识的统一服装，涉及到道路绿地养护的人员须穿反光背心，不按要求设置警示标志，存在一定安全隐的，纳入日常考核。因中标单位养护作业中未做安全安全措施，导致人身伤害财产损失的，一律由中标单位自行承担，并纳入考核（乙方须每年给养护人员购买意外伤害保险并提供有效证明）</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8、承包单位应在苏宿工业园区内按甲方要求具有固定的办公场所。</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9、负责对绿化管养人员进行教育、培训、考核和管理，组织做好绿地植物及绿化管养设备的安全防范工作，如因人员工作上疏忽或失职直接造成绿化植物及绿地管养设施设备被盗、毁坏、火灾、水电等重大安全事故，投标单位承担一切赔偿责任。履约期间，如若发生工作人员工伤或遇工作人员人身伤亡事故，均由乙方负责，与甲方无关。加强安全意识防范，中标单位工作人员发生安全事故、人身伤亡、疾病意外等，由乙方承担一切经济和法律责任。</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10、制定和建立绿化管理相关制度（需甲方认可）和台帐，建立每月自查制度，如实填写自查报表，自查与台帐按时报甲方。</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11、养护范围之外的突发性工作，乙方必须配合甲方协调安排，不得以各种理拖延，如乙方拖延或未执行甲方指令的，甲方将按规定扣除一定养护费用。</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12、乙方应详细做好每月的养护台账，建立养护档案，按照甲方要求做好每月阶段性苗木清点、绿化日常养护资料汇总、影像资料收集等工作，未在甲方规定时间内完成纳入日常考核。</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13、承包单位在履行合同期间，需积极参加省、市各类工程争先创优工作（相关费用纳入报价）。</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w:t>
      </w:r>
      <w:r>
        <w:rPr>
          <w:rFonts w:ascii="仿宋" w:hAnsi="仿宋" w:eastAsia="仿宋" w:cs="宋体"/>
          <w:spacing w:val="2"/>
          <w:sz w:val="24"/>
          <w:szCs w:val="24"/>
        </w:rPr>
        <w:t xml:space="preserve">4</w:t>
      </w:r>
      <w:r>
        <w:rPr>
          <w:rFonts w:hint="eastAsia" w:ascii="仿宋" w:hAnsi="仿宋" w:eastAsia="仿宋" w:cs="宋体"/>
          <w:spacing w:val="2"/>
          <w:sz w:val="24"/>
          <w:szCs w:val="24"/>
        </w:rPr>
        <w:t xml:space="preserve">、肥料管理：按招标需求执行。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w:t>
      </w:r>
      <w:r>
        <w:rPr>
          <w:rFonts w:ascii="仿宋" w:hAnsi="仿宋" w:eastAsia="仿宋" w:cs="宋体"/>
          <w:spacing w:val="2"/>
          <w:sz w:val="24"/>
          <w:szCs w:val="24"/>
        </w:rPr>
        <w:t xml:space="preserve">5</w:t>
      </w:r>
      <w:r>
        <w:rPr>
          <w:rFonts w:hint="eastAsia" w:ascii="仿宋" w:hAnsi="仿宋" w:eastAsia="仿宋" w:cs="宋体"/>
          <w:spacing w:val="2"/>
          <w:sz w:val="24"/>
          <w:szCs w:val="24"/>
        </w:rPr>
        <w:t xml:space="preserve">、防汛、防风、抗旱 、防寒等抗灾抢险应急保障工作要求：</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（1）前期准备工作：中标人要建立完善园林绿化抗灾抢险应急预案机制，成立抗灾抢险应急专项工作小组，通过微信、QQ 建立通讯工作网络，落实抢险队伍，添置必须的抗灾抢险机械设备、材料工具等，做到召之即来，全面做好抗灾抢险各项应急保障工作。</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抗灾抢险工作：中标人要安排人员密切关注气象部门气象报告，灾情发生时组织人员外出巡查，全面掌握园林绿化受灾发生情况及发展趋势，并随时向采购人汇报反馈抗灾抢险相关情况。中标人要按照应急预案要求，及时采取有效措施减少损失，消除安全隐患，保障人民生命和财产安全。紧急情况要随时安排处理解决，一般情况要在灾后 24 小时内处理完毕。除不可抗力因素外，因中标人抢险不力造成的一切后果和法律责任均由中标人承担。</w:t>
      </w:r>
      <w:r/>
    </w:p>
    <w:p>
      <w:pPr>
        <w:ind w:firstLine="488"/>
        <w:spacing w:line="276" w:lineRule="auto"/>
        <w:rPr>
          <w:rFonts w:ascii="仿宋" w:hAnsi="仿宋" w:eastAsia="仿宋" w:cs="宋体"/>
          <w:spacing w:val="2"/>
          <w:sz w:val="24"/>
          <w:szCs w:val="24"/>
        </w:rPr>
      </w:pPr>
      <w:r>
        <w:rPr>
          <w:rFonts w:ascii="仿宋" w:hAnsi="仿宋" w:eastAsia="仿宋" w:cs="宋体"/>
          <w:spacing w:val="2"/>
          <w:sz w:val="24"/>
          <w:szCs w:val="24"/>
        </w:rPr>
        <w:t xml:space="preserve">16</w:t>
      </w:r>
      <w:r>
        <w:rPr>
          <w:rFonts w:hint="eastAsia" w:ascii="仿宋" w:hAnsi="仿宋" w:eastAsia="仿宋" w:cs="宋体"/>
          <w:spacing w:val="2"/>
          <w:sz w:val="24"/>
          <w:szCs w:val="24"/>
        </w:rPr>
        <w:t xml:space="preserve">、承包单位在缺陷责任期结束后，需做好绿化养护工程各类结算、竣工验收及审计相关资料。</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w:t>
      </w:r>
      <w:r>
        <w:rPr>
          <w:rFonts w:ascii="仿宋" w:hAnsi="仿宋" w:eastAsia="仿宋" w:cs="宋体"/>
          <w:spacing w:val="2"/>
          <w:sz w:val="24"/>
          <w:szCs w:val="24"/>
        </w:rPr>
        <w:t xml:space="preserve">7</w:t>
      </w:r>
      <w:r>
        <w:rPr>
          <w:rFonts w:hint="eastAsia" w:ascii="仿宋" w:hAnsi="仿宋" w:eastAsia="仿宋" w:cs="宋体"/>
          <w:spacing w:val="2"/>
          <w:sz w:val="24"/>
          <w:szCs w:val="24"/>
        </w:rPr>
        <w:t xml:space="preserve">、乙方应在每月28日之前向甲方提交下月工作计划。</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w:t>
      </w:r>
      <w:r>
        <w:rPr>
          <w:rFonts w:ascii="仿宋" w:hAnsi="仿宋" w:eastAsia="仿宋" w:cs="宋体"/>
          <w:spacing w:val="2"/>
          <w:sz w:val="24"/>
          <w:szCs w:val="24"/>
        </w:rPr>
        <w:t xml:space="preserve">8</w:t>
      </w:r>
      <w:r>
        <w:rPr>
          <w:rFonts w:hint="eastAsia" w:ascii="仿宋" w:hAnsi="仿宋" w:eastAsia="仿宋" w:cs="宋体"/>
          <w:spacing w:val="2"/>
          <w:sz w:val="24"/>
          <w:szCs w:val="24"/>
        </w:rPr>
        <w:t xml:space="preserve">、专用条款要求：</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（1）投标人报价要充分考虑管养面积以及宿迁市最低工资标准、各项社会保险及意外伤害强制保险、管养设备、工具材料等必要的劳动生产资料、税收及合理利润等均含在报价里。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（2）乙方必须坚决避免相关人员单独和集体上访，若一年内连续出现两次，甲方有权解除合同，并根据情节轻重有权给予经济和行政处罚。</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（3）保证本项目员工工资标准不低于宿迁市最低工资标准，保证不克扣和拖欠工资，工资支付最长周期小于30天；若本项目出现拖欠农民工工资现象，无须征得投标人同意，直接从农民工工资保证金中代为支付。</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（4）按照新《劳动合同法》要求，为所有雇员缴纳各项社会保险及其他强制保险，做到应保尽保。</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（5）养护作业人员务必穿着统一工作制服并持证上岗，按照规范规定，进行安全施工，若发生安全责任事故，所有责任均由承包人承担。</w:t>
      </w:r>
      <w:r/>
    </w:p>
    <w:p>
      <w:pPr>
        <w:ind w:firstLine="490"/>
        <w:jc w:val="left"/>
        <w:spacing w:line="276" w:lineRule="auto"/>
        <w:rPr>
          <w:rFonts w:ascii="仿宋" w:hAnsi="仿宋" w:eastAsia="仿宋" w:cs="宋体"/>
          <w:b/>
          <w:bCs/>
          <w:sz w:val="24"/>
          <w:szCs w:val="24"/>
        </w:rPr>
      </w:pPr>
      <w:r>
        <w:rPr>
          <w:rFonts w:hint="eastAsia" w:ascii="仿宋" w:hAnsi="仿宋" w:eastAsia="仿宋" w:cs="宋体"/>
          <w:b/>
          <w:spacing w:val="2"/>
          <w:sz w:val="24"/>
          <w:szCs w:val="24"/>
        </w:rPr>
        <w:t xml:space="preserve">第十条</w:t>
      </w:r>
      <w:r>
        <w:rPr>
          <w:rFonts w:ascii="仿宋" w:hAnsi="仿宋" w:eastAsia="仿宋" w:cs="宋体"/>
          <w:b/>
          <w:bCs/>
          <w:sz w:val="24"/>
          <w:szCs w:val="24"/>
        </w:rPr>
        <w:t xml:space="preserve">  </w:t>
      </w:r>
      <w:r>
        <w:rPr>
          <w:rFonts w:hint="eastAsia" w:ascii="仿宋" w:hAnsi="仿宋" w:eastAsia="仿宋" w:cs="宋体"/>
          <w:b/>
          <w:spacing w:val="2"/>
          <w:sz w:val="24"/>
          <w:szCs w:val="24"/>
        </w:rPr>
        <w:t xml:space="preserve">企业信用管理</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对乙方的信用管理，按照《宿迁市建设市场信用管理办法》（宿建发〔2017〕153 号）的规定，纳入宿迁市建设市场统一管理。除相关文件规定以外，乙方有以下情形之一的，记入一般失信行为：</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1、乙方不能按时对甲方指出的管养问题进行整改到位，一个月内出现三次。</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2、一个月度考核周期内，人员到岗率超过三次低于 90%，超过三次发现人员未统一服装。</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3、甲方召开的管养会议，项目经理或技术负责人未履行请假手续，半年内迟到三次或缺席两次。</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4、甲方3个小时以内无法通过电话与乙方指派的项目经理或技术负责人取得联系。</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5、发生违反规定拖欠或克扣农民工工资行为,造成农民工上访。</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6、乙方未按要求为聘用工人缴纳意外伤害保险的，发生安全事故造成不良社会影响。</w:t>
      </w:r>
      <w:r/>
    </w:p>
    <w:p>
      <w:pPr>
        <w:ind w:firstLine="488"/>
        <w:jc w:val="left"/>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7、半年内超过三次不积极响应甲方相关工作要求。</w:t>
      </w:r>
      <w:r/>
    </w:p>
    <w:p>
      <w:pPr>
        <w:ind w:firstLine="490"/>
        <w:spacing w:line="276" w:lineRule="auto"/>
        <w:rPr>
          <w:rFonts w:ascii="仿宋" w:hAnsi="仿宋" w:eastAsia="仿宋" w:cs="宋体"/>
          <w:b/>
          <w:color w:val="000000"/>
          <w:sz w:val="24"/>
          <w:szCs w:val="24"/>
        </w:rPr>
      </w:pPr>
      <w:r>
        <w:rPr>
          <w:rFonts w:hint="eastAsia" w:ascii="仿宋" w:hAnsi="仿宋" w:eastAsia="仿宋" w:cs="宋体"/>
          <w:b/>
          <w:spacing w:val="2"/>
          <w:sz w:val="24"/>
          <w:szCs w:val="24"/>
        </w:rPr>
        <w:t xml:space="preserve">第十一条</w:t>
      </w:r>
      <w:r>
        <w:rPr>
          <w:rFonts w:ascii="仿宋" w:hAnsi="仿宋" w:eastAsia="仿宋" w:cs="宋体"/>
          <w:b/>
          <w:spacing w:val="2"/>
          <w:sz w:val="24"/>
          <w:szCs w:val="24"/>
        </w:rPr>
        <w:t xml:space="preserve">  </w:t>
      </w:r>
      <w:r>
        <w:rPr>
          <w:rFonts w:hint="eastAsia" w:ascii="仿宋" w:hAnsi="仿宋" w:eastAsia="仿宋" w:cs="宋体"/>
          <w:b/>
          <w:color w:val="000000"/>
          <w:sz w:val="24"/>
          <w:szCs w:val="24"/>
        </w:rPr>
        <w:t xml:space="preserve">农民工工资</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1、乙方在签订合同时，须同时签订一份保证按时支付农民工工资的承诺函，并须提供一定数额的担保金：</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具体金额标准：按苏宿园管办[2014]10号文件执行；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以上保证金须由施工单位汇入园区管委会指定的财政专户。保证金的缴纳、退付等具体要求执行苏宿园管办[2014]10号文件相关规定。</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工资专用账户设立：按苏宿园管办[2014]10号文件执行。</w:t>
      </w:r>
      <w:r/>
    </w:p>
    <w:p>
      <w:pPr>
        <w:ind w:firstLine="488"/>
        <w:spacing w:line="276" w:lineRule="auto"/>
        <w:rPr>
          <w:rFonts w:ascii="仿宋" w:hAnsi="仿宋" w:eastAsia="仿宋" w:cs="宋体"/>
          <w:spacing w:val="2"/>
          <w:sz w:val="24"/>
          <w:szCs w:val="24"/>
          <w:lang w:val="en-GB"/>
        </w:rPr>
      </w:pPr>
      <w:r>
        <w:rPr>
          <w:rFonts w:hint="eastAsia" w:ascii="仿宋" w:hAnsi="仿宋" w:eastAsia="仿宋" w:cs="宋体"/>
          <w:spacing w:val="2"/>
          <w:sz w:val="24"/>
          <w:szCs w:val="24"/>
        </w:rPr>
        <w:t xml:space="preserve">工资支付管理办法及其他未尽事宜：按苏宿园管办[2014]10号文件执行。</w:t>
      </w:r>
      <w:r>
        <w:rPr>
          <w:rFonts w:hint="eastAsia" w:ascii="仿宋" w:hAnsi="仿宋" w:eastAsia="仿宋" w:cs="宋体"/>
          <w:spacing w:val="2"/>
          <w:sz w:val="24"/>
          <w:szCs w:val="24"/>
          <w:lang w:val="en-GB"/>
        </w:rPr>
        <w:t xml:space="preserve">。</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2、乙方在签订施工合同时，须同时签订一份《安全生产责任状》，作为合同附件加以保存。</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3、乙方在施工合同中须明确购买建筑工程一切险和第三者责任险，并将此条款写入合同专用条款中。同时，要求将保险材料列入审计材料中，如没有相关保险材料，甲方有权不付该部分费用。</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4、乙方在签订施工合同时，须同时签订《文明施工及市政设施、园林绿化设施保护责任状》、《建设工程廉政协议》、《授权委托书》，并作为合同附件加以保存。</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第十二条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履约保证金</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l、签订合同前，乙方必须向甲方交纳中标价的5％作为合同履约保证金，保证金不计息。</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2、承包期满后，甲方对乙方在承包期内履约无异议情况下</w:t>
      </w:r>
      <w:r>
        <w:rPr>
          <w:rFonts w:ascii="仿宋" w:hAnsi="仿宋" w:eastAsia="仿宋" w:cs="宋体"/>
          <w:spacing w:val="2"/>
          <w:sz w:val="24"/>
          <w:szCs w:val="24"/>
        </w:rPr>
        <w:t xml:space="preserve">5</w:t>
      </w:r>
      <w:r>
        <w:rPr>
          <w:rFonts w:hint="eastAsia" w:ascii="仿宋" w:hAnsi="仿宋" w:eastAsia="仿宋" w:cs="宋体"/>
          <w:spacing w:val="2"/>
          <w:sz w:val="24"/>
          <w:szCs w:val="24"/>
        </w:rPr>
        <w:t xml:space="preserve">个工作日内无息退还履约保证金。</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3、乙方不能按期保质保量完成绿化养护业务或单方中止合同，除承担相关责任外，甲方有权没收合同履约保证金。</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4、乙方同意甲方有权直接将履约保证金用于下列情况之一：</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（1）因乙方雇员过错，造成苗木损坏、丢失等损失赔偿。</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（2）因乙方雇工发生工伤，或乙方雇工造成甲方职工、外来人员身体伤害，乙方未能及时承担责任，导致甲方支付、赔偿、垫付的医疗费用。</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（3）因乙方不履行本合同义务，或履行本合同义务不符合约定，导致甲方委托第三人履行养护工作而产生的所有费用。</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5、保证金不足以甲方替乙方支付、赔偿、垫付费用时，乙方应当自行支付、赔偿、垫付费用的不足部分。</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6、如果双方履行本合同至期限届满，或经双方协商一致，或出现法定事由，必须提前解除、终止本合同时，在本合同被解除、终止后十五日内由甲方一次性将剩余保证金退还给乙方。</w:t>
      </w:r>
      <w:r/>
    </w:p>
    <w:p>
      <w:pPr>
        <w:ind w:firstLine="490"/>
        <w:spacing w:line="276" w:lineRule="auto"/>
        <w:rPr>
          <w:rFonts w:ascii="仿宋" w:hAnsi="仿宋" w:eastAsia="仿宋" w:cs="宋体"/>
          <w:spacing w:val="2"/>
          <w:sz w:val="24"/>
          <w:szCs w:val="24"/>
        </w:rPr>
      </w:pPr>
      <w:r>
        <w:rPr>
          <w:rFonts w:hint="eastAsia" w:ascii="仿宋" w:hAnsi="仿宋" w:eastAsia="仿宋" w:cs="宋体"/>
          <w:b/>
          <w:spacing w:val="2"/>
          <w:sz w:val="24"/>
          <w:szCs w:val="24"/>
        </w:rPr>
        <w:t xml:space="preserve">第十三条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违约责任</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1、甲乙双方无正当理由不得无故终止和解除合同，否则视为违约，违约方应向对方支付每日未付养护费的百分之二的违约金。</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2、乙方养护质量达不到规定养护标准，被上级领导检查提出批评的，每月达到2次、每季度累计超过5次，甲方有权终止合同。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3、综合考评乙方连续2月考核得分低于70分的，合同自动解除，履约保证金全额扣除甲方有权解除合同并视为乙方违约。</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4、项目经理不得擅自变更，特殊情况确实须变更项目经理（即项目负责人），应至少</w:t>
      </w:r>
      <w:r>
        <w:rPr>
          <w:rFonts w:hint="eastAsia" w:ascii="仿宋" w:hAnsi="仿宋" w:eastAsia="仿宋" w:cs="宋体"/>
          <w:spacing w:val="2"/>
          <w:sz w:val="24"/>
          <w:szCs w:val="24"/>
        </w:rPr>
        <w:t xml:space="preserve">提前5天以书面形式通知甲方，须征得甲方同意且不低于原项目经理标准，并经过甲方考核合格后方可变更，且养护合同期内更换项目经理或技术负责人仅限一次（甲方要求更换的除外）。如后期再次更换项目经理或技术负责人承担违约金20000元/次，更换达三次以上，甲方有权立即终止本项目承包合同，清退出场，不予退还其履约保证金，由此产生的一切法律责任和经济损失均由乙方承担，甲方有权要求更换其不称职的项目经理及技术负责人，项目经理和技术负责人试用期为3个月，3个月后视其履职情况决定去留。</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5、在承包范围内按标准和周期完成各项任务，不以任何形式转包给其它单位和个人，否则，乙方应承担违约责任，甲方有权终止合同。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6、乙方与工人签订劳动合同并按照劳动法规定缴纳相应的社保，所有工人劳动合同和相关证明必须报甲方备案，如不能及时提供合法用工的相关证明，甲方有权与乙方终止合同。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7、养护作业人员务必穿着统一工作制服并持证上岗，甲方有权视工作需要要求乙方临时性增加养护人员，若养护人员长期不到位导致养护工作不能有效开展，造成苗木缺损、景观被破坏等严重事故，甲方将终止其养护合同，所造成的损失由养护单位承担。</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第十四条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合同生效、终止、变更。</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1、合同生效:本合同自甲、乙双方签字盖章之日起生效。</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2、合同终止：出现下列情况之一，甲方可单方终止合同。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（1）合同限期届满时自行终止；</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（2）擅自将承包业务转包、分包给第三者；</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（3）违反法律法规造成恶劣影响；</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（4）严重违反《江苏省城市园林绿化植物养护管理规范》；</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（5）连续2月考核得分低于70分的；</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（6）发生多次投诉，情况属实、影响恶劣的事件；</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（7）出现一年内相关人员单独和集体上访累计达两次的；</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（8）出现合同中列出的终止事由；</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（9）因政府行为、政策变动可终止合同。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3、变更本合同内容或有末尽事宜，由双方协商解决或签订补充协议。补充协议与本合同具有同等效力。</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第十五条</w:t>
      </w:r>
      <w:r>
        <w:rPr>
          <w:rFonts w:ascii="仿宋" w:hAnsi="仿宋" w:eastAsia="仿宋" w:cs="宋体"/>
          <w:b/>
          <w:spacing w:val="2"/>
          <w:sz w:val="24"/>
          <w:szCs w:val="24"/>
        </w:rPr>
        <w:t xml:space="preserve">  </w:t>
      </w:r>
      <w:r>
        <w:rPr>
          <w:rFonts w:hint="eastAsia" w:ascii="仿宋" w:hAnsi="仿宋" w:eastAsia="仿宋" w:cs="宋体"/>
          <w:b/>
          <w:spacing w:val="2"/>
          <w:sz w:val="24"/>
          <w:szCs w:val="24"/>
        </w:rPr>
        <w:t xml:space="preserve">合同组成附件及效力。</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1、甲乙双方签订承包合同；</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2、投标文件；</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3、招标文件及补充资料；</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本合同一式捌份，其中正本贰份，副本陆份。甲、乙双方各执正本壹份，副本甲方执伍份，乙方执壹份。当正本与副本内容不一致时，以正本为准。</w:t>
      </w:r>
      <w:r/>
    </w:p>
    <w:p>
      <w:pPr>
        <w:ind w:firstLine="490"/>
        <w:spacing w:line="276" w:lineRule="auto"/>
        <w:rPr>
          <w:rFonts w:ascii="仿宋" w:hAnsi="仿宋" w:eastAsia="仿宋" w:cs="宋体"/>
          <w:b/>
          <w:bCs/>
          <w:spacing w:val="2"/>
          <w:sz w:val="24"/>
          <w:szCs w:val="24"/>
        </w:rPr>
      </w:pPr>
      <w:r>
        <w:rPr>
          <w:rFonts w:ascii="仿宋" w:hAnsi="仿宋" w:eastAsia="仿宋" w:cs="宋体"/>
          <w:b/>
          <w:bCs/>
          <w:spacing w:val="2"/>
          <w:sz w:val="24"/>
          <w:szCs w:val="24"/>
        </w:rPr>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甲方(盖章)：                           乙方(盖章):</w:t>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法定代表人或其委托代理人               法定代表人或其委托代理人</w:t>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(签字或盖章)：                         (签字或盖章)：</w:t>
      </w:r>
      <w:r/>
    </w:p>
    <w:p>
      <w:pPr>
        <w:ind w:firstLine="488"/>
        <w:spacing w:line="276" w:lineRule="auto"/>
        <w:rPr>
          <w:rFonts w:ascii="仿宋" w:hAnsi="仿宋" w:eastAsia="仿宋" w:cs="宋体"/>
          <w:spacing w:val="2"/>
          <w:sz w:val="24"/>
          <w:szCs w:val="24"/>
        </w:rPr>
      </w:pPr>
      <w:r>
        <w:rPr>
          <w:rFonts w:ascii="仿宋" w:hAnsi="仿宋" w:eastAsia="仿宋" w:cs="宋体"/>
          <w:spacing w:val="2"/>
          <w:sz w:val="24"/>
          <w:szCs w:val="24"/>
        </w:rPr>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合同签订时间：  年   月   日</w:t>
      </w:r>
      <w:r/>
    </w:p>
    <w:p>
      <w:pPr>
        <w:ind w:firstLine="488"/>
        <w:spacing w:line="276" w:lineRule="auto"/>
        <w:rPr>
          <w:rFonts w:ascii="仿宋" w:hAnsi="仿宋" w:eastAsia="仿宋" w:cs="宋体"/>
          <w:spacing w:val="2"/>
          <w:sz w:val="24"/>
          <w:szCs w:val="24"/>
        </w:rPr>
      </w:pPr>
      <w:r>
        <w:rPr>
          <w:rFonts w:hint="eastAsia" w:ascii="仿宋" w:hAnsi="仿宋" w:eastAsia="仿宋" w:cs="宋体"/>
          <w:spacing w:val="2"/>
          <w:sz w:val="24"/>
          <w:szCs w:val="24"/>
        </w:rPr>
        <w:t xml:space="preserve">合同签订地点：苏宿工业园区</w:t>
      </w:r>
      <w:r/>
    </w:p>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br w:type="page" w:clear="all"/>
      </w:r>
      <w:r>
        <w:rPr>
          <w:rFonts w:hint="eastAsia" w:ascii="仿宋" w:hAnsi="仿宋" w:eastAsia="仿宋" w:cs="宋体"/>
          <w:color w:val="000000"/>
          <w:sz w:val="24"/>
          <w:szCs w:val="24"/>
        </w:rPr>
        <w:t xml:space="preserve">《安全生产责任状》</w:t>
      </w:r>
      <w:r/>
    </w:p>
    <w:p>
      <w:pPr>
        <w:ind w:firstLine="480"/>
        <w:spacing w:line="276" w:lineRule="auto"/>
        <w:rPr>
          <w:rFonts w:ascii="仿宋" w:hAnsi="仿宋" w:eastAsia="仿宋" w:cs="宋体"/>
          <w:color w:val="ff0000"/>
          <w:sz w:val="24"/>
          <w:szCs w:val="24"/>
        </w:rPr>
      </w:pPr>
      <w:r>
        <w:rPr>
          <w:rFonts w:hint="eastAsia" w:ascii="仿宋" w:hAnsi="仿宋" w:eastAsia="仿宋" w:cs="宋体"/>
          <w:color w:val="ff0000"/>
          <w:sz w:val="24"/>
          <w:szCs w:val="24"/>
        </w:rPr>
        <w:t xml:space="preserve">项目名称：</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为了贯彻“安全第一、预防为主”的安全生产方针，确保本工程无重大安全事故的安全目标，保证工程建设的顺利进行，保障现场作业从员的人身安全及国家财产的安全，特制定本项目施工安全生产责任状。</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1、施工</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是本施工项目安全生产及相关业务活动的第一安全责任人。签定本施工安全目标责任书时，</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、专职（或兼职）安全员必须向建设单位提供安全资格执业证书复印件进行安全资质备案，做到持证上岗。</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，专职（或兼职）安全员，施工期间不得擅离职守。</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施工单位必须严格执行《宿迁市建筑施工安全监督管理办法》相关规定，项目开工前须到苏宿园区安检站备案，接受其检查，施工单位必须落实以企业安全生产责任制为主体的安全生产管理措施。建立健全安全生产、安全管理组织和安全管理网络，成立安全领导小组，由</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任组长。</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3、施工单位在进行施工准备的同时，必须向监理公司提供全体施工管理人员、施工作业人员清单（包括姓名、性别、身份证）复印件，并提供以上人员意外伤害保险投保合同清单复印件（注明人员姓名）。</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4、明确安全生产目标，按安全管理网络进行层层分解，责任目标要落实到每个作业人员头上，每个分解目标必须明确负责人和责任人，并制定具体的保证措施，确保目标实现。</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5、安全管理网络及安全工作的目标分解及保证措施必须报监理确认后，报建设单位备案。</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6、建立和完善以岗位安全生产责任制为核心的安全生产制，监理人员必须检查安全生产制度是否完善，并提出整改意见。</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7、施工单位切实执行安全生产教育制度，定期对施工人员进行安全教育培训，安全教育必须教育到工地每一人。培训记录必须有被培训对象签字，记录备案等查。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8、项目例会要把安全生产作为一项重点内容，杜绝重大事故的发生，减少一般事故的发生。</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9、切实做好“安全三上岗”制度，上岗前由班长进行安全技术交底，上岗时班组安全员进行上岗巡回检查并做好上岗记录，每周进行一次总结讲评工作。</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10、施工单位项目部每月应至少组织一次安全检查，同时根据季节环境和施工情况随时组织有针对性的检查，消除施工中存在的安全隐患，所查问题必须明确整改措施、整改时间及负责人，并以书面的形式报监理审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11、坚持持证上岗制度，特殊工种作业人员（包括：电工、电焊工、起重操作人员、挖机机械手、驾驶员等）必须提供国家、行业主管部门颁发的有效资格证明，具备上岗操作的技能和安全知识，方可上岗操作。以上特种作业施工人员必须向建设单位提供特种作业有效证件复印件。对在施工中出现问题的操作人员应立即停止其上岗操作。</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12、认真执行“安全生产技术交底制度”，施工前由工程技术人员向施工人员进行安全技术交底，对施工中的重点、难点部位及特殊的施工环境、工艺、危险性较大的工序要重点交底，交底后由施工作业人员在交底表上签字确认。该交底表应与安全教育培训记录统一保存，备案待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13、施工前，所有的施工设备、工器具必须向监理单位申请报验进场，监理单位应严格按国家的有关规定进行检查验收，不符合要求的机具设备不得进场施工，需报检测设备，经监理及国家相关检测部门检测合格后，方可投入使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14、进场机具的使用必须有符合要求的操作规程，操作人员应持证操作，禁止违规操作使用。监理单位应进行现场的检查监督，对违规行为及人员处以1000－2000元处罚，对屡教屡犯人员勒令撤离现场，对施工单位警告或处罚款直至勒令停工、清场，严格保障施工安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15、施工现场布置必须做到干净、整洁，临时用电的操作人员必须持证操作，禁止乱搭、乱架电线，施工照明灯具的金属外壳必须可靠接地接零，施工用电中的动力和照明分别设置，接地、接零、漏电保护器做保护，作到一机一闸，施工用电配电系统作好三级配电，两级保护，施工临时用电设备、设施完好率100%，且必须有安全防护措施和安全使用制度。</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16、施工临时设施（包括临时工棚、临时办公、食堂等设施）的搭建必须符合相关规定要求建造，所用材料必须满足防火、防台风的相关要求。临时设施必须按规范配备消防器材，并保持完好。临时设施内用电、接线应规范整齐，工棚内严禁私接电水壶、电饭锅、热得快等大功率电器设备，严禁私接乱拉电线，防止火灾发生。</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17、建筑材料、设备运输、使用及存放的安全，必须符合国家的有关安全规定，并应制定符合要求的安全使用制度。</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18、施工中危险作业区应设有安全防护措施，并要有围护或隔离措施，登高作业人员系好完好的安全带设施，夜间、野外作业设有明显的安全标志牌和夜间红灯示警。脚手架搭设须符合以下几点要求：搭设或拆除脚手架必须根据专项施工方案，操作人员必须经专业训练，考核合格后发给操作证，持证上岗操作。</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钢管有严重锈蚀、弯曲、压扁或裂纹的不得使用，扣件有脆裂、变形、滑丝的禁止使用。木脚手板应用厚度不小于5厘米的杉木或松木板，宽度以20－30厘米为宜，凡是腐朽、扭曲、斜纹、破裂和大横透节的不得使用。板的两端8厘米处应用镀锌铁丝箍绕2－3圈或用铁皮钉牢。</w:t>
      </w:r>
      <w:r>
        <w:rPr>
          <w:rFonts w:ascii="Calibri" w:hAnsi="Calibri" w:eastAsia="仿宋" w:cs="Calibri"/>
          <w:sz w:val="24"/>
          <w:szCs w:val="24"/>
        </w:rPr>
        <w:t xml:space="preserve"> </w:t>
      </w:r>
      <w:r>
        <w:rPr>
          <w:rFonts w:hint="eastAsia" w:ascii="仿宋" w:hAnsi="仿宋" w:eastAsia="仿宋" w:cs="宋体"/>
          <w:sz w:val="24"/>
          <w:szCs w:val="24"/>
        </w:rPr>
        <w:t xml:space="preserve">钢管脚手架的立杆应垂直稳放在金属底座或垫木上。立杆间距不得大于15米，架子宽度不得大于12米，大横杆应设四根，步高不大于1．8米。钢管的立杆、大横杆接头应错开，用扣件连接，拧紧螺栓，不准用铁丝绑扎。</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19、脚手架按规定必须进行计算或进行荷载</w:t>
      </w:r>
      <w:r>
        <w:rPr>
          <w:rFonts w:hint="eastAsia" w:ascii="仿宋" w:hAnsi="仿宋" w:eastAsia="仿宋" w:cs="宋体"/>
          <w:sz w:val="24"/>
          <w:szCs w:val="24"/>
        </w:rPr>
        <w:t xml:space="preserve">实验的，必须在验算或实验之后进行搭设。人员上下脚手架必须走有安全防护的出入通（梯）道，严禁攀爬脚手架上下。脚手架应根据确保整体稳定和抗侧力作用的要求，按规定设置剪刀撑或其它有相应作用的整体拉结杆件。作业层实际施工荷载不得超过规定值及施工设计值。拆除作业必须按确定的程序进行。连墙件应在位于其上的全部可拆杆件都拆完之后才能拆除。在拆除过程中，凡已松开连接的杆配件应及时运走，避免误扶和误靠。拆下的杆配件应以安全的方式运出或吊下，严禁抛掷。在拆除过程中，应作好配合，协调动作，禁止单人进行拆除较重杆件等危险性的作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20、具体的施工任务应严格执行国家和地方的有关施工方面的技术和安全规范，在承建单位向监理提交的施工方案中必须包括详细的安全技术措施。监理应严格审查，合格后批准实施，对批准的施工方案，任何人无权修改和改变，必须严格执行，若要修改必须向监理书面汇报，说明修改原因及修改后的措施，经审查合格后批准实施。</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21、对工程中有特殊工艺施工方案的如顶管、沉管、沉井等，施工单位必须报专项安全</w:t>
      </w:r>
      <w:r>
        <w:rPr>
          <w:rFonts w:hint="eastAsia" w:ascii="仿宋" w:hAnsi="仿宋" w:eastAsia="仿宋" w:cs="宋体"/>
          <w:sz w:val="24"/>
          <w:szCs w:val="24"/>
        </w:rPr>
        <w:t xml:space="preserve">施工方案，对于深基坑开挖施工方案必须组织通过专家论证、认可，并得到监理和业主认可后方能实施。</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22、本建设施工项目必须接受苏州宿迁工业园区安全技术监督站的安监管理，规范安全施工操作。</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23、凡本责任书在其他方面未涉及之处，均按照国家有关法律法规执行。</w:t>
      </w:r>
      <w:r/>
    </w:p>
    <w:p>
      <w:pPr>
        <w:ind w:firstLine="482"/>
        <w:spacing w:line="276" w:lineRule="auto"/>
        <w:rPr>
          <w:rFonts w:ascii="仿宋" w:hAnsi="仿宋" w:eastAsia="仿宋" w:cs="宋体"/>
          <w:sz w:val="24"/>
          <w:szCs w:val="24"/>
        </w:rPr>
      </w:pPr>
      <w:r>
        <w:rPr>
          <w:rFonts w:hint="eastAsia" w:ascii="仿宋" w:hAnsi="仿宋" w:eastAsia="仿宋" w:cs="宋体"/>
          <w:b/>
          <w:sz w:val="24"/>
          <w:szCs w:val="24"/>
        </w:rPr>
        <w:t xml:space="preserve">考核及处罚办法：</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I、每月监理及施工单位项目部要总结本月安全工作，下月安全工作计划，并以书面形式上报建设单位备案，监理做好会议纪要及采取书面的防范措施。</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II、建设单位每月的工程例会上对安全工作进行讲评，对各方本月的安全管理工作做小结，对存在突出或普遍的问题要求认真整改，并以会议纪要的形式传达到各方。</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III、对发生重大安全事故的承建单位按照园区的管理办法进行处罚，并将其清退出场，监理单位有责任的也必须接受处罚。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IV、施工中发生安全事故不管大小施工单位单位均不得隐瞒不报，必须及时向监理和建设单位以书面的形式进行汇报。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V、施工单位</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在工程施工中发生重大工程质量及安全事故的，</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按照国家规定和合同条款负相应责任。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VI、监理单位的总监及专职安全监理不得擅离职守，凡因监理人员过错、失职造成工程质量、安全事故的，监理单位总监及相关人员根据国家法律规定和合同要求负相应责任。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VII、对违反第1、2、3、7、8、11、16条款要求的，建设单位将上报园区有关部门对施工单位进行相应处罚。承包人出现违反本责任状的行为一经业主和监理发现，每次处以1000元人民币的罚款，并要求承包人立即整改，对不及时整改的，监理工程师将以工程师通知单的书面形式要求承包人整改并处2000元人民币的罚款。</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VIII、凡有代业主（代甲方）的工程，代业主单位在安全管理上的权利和责任等同建设单位。</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IX、如工程施工中出现人员伤亡，建设单位有权动用适当比例（视事故大小）工程款项作为事故处理费用，该费用由承包商承担，在工程结算中扣除。</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X、建设单位有权根据施工单位的安全工作表现，对施工单位进行评分，对于年度安全不合格的施工单位，建设单位将上报园区有关部门，停止其在本公司投标权利。</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本责任状自签定之日起执行。</w:t>
      </w:r>
      <w:r/>
    </w:p>
    <w:p>
      <w:pPr>
        <w:ind w:firstLine="490"/>
        <w:spacing w:line="276" w:lineRule="auto"/>
        <w:rPr>
          <w:rFonts w:ascii="仿宋" w:hAnsi="仿宋" w:eastAsia="仿宋" w:cs="宋体"/>
          <w:b/>
          <w:bCs/>
          <w:spacing w:val="2"/>
          <w:sz w:val="24"/>
          <w:szCs w:val="24"/>
        </w:rPr>
      </w:pPr>
      <w:r>
        <w:rPr>
          <w:rFonts w:ascii="仿宋" w:hAnsi="仿宋" w:eastAsia="仿宋" w:cs="宋体"/>
          <w:b/>
          <w:bCs/>
          <w:spacing w:val="2"/>
          <w:sz w:val="24"/>
          <w:szCs w:val="24"/>
        </w:rPr>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甲方(盖章)：                           乙方(盖章):</w:t>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法定代表人或其委托代理人               法定代表人或其委托代理人</w:t>
      </w:r>
      <w:r/>
    </w:p>
    <w:p>
      <w:pPr>
        <w:ind w:firstLine="490"/>
        <w:jc w:val="left"/>
        <w:spacing w:before="120" w:after="120" w:line="276" w:lineRule="auto"/>
        <w:rPr>
          <w:rFonts w:ascii="仿宋" w:hAnsi="仿宋" w:eastAsia="仿宋" w:cs="宋体"/>
          <w:color w:val="000000"/>
          <w:sz w:val="24"/>
          <w:szCs w:val="24"/>
        </w:rPr>
      </w:pPr>
      <w:r>
        <w:rPr>
          <w:rFonts w:hint="eastAsia" w:ascii="仿宋" w:hAnsi="仿宋" w:eastAsia="仿宋" w:cs="宋体"/>
          <w:b/>
          <w:bCs/>
          <w:spacing w:val="2"/>
          <w:sz w:val="24"/>
          <w:szCs w:val="24"/>
        </w:rPr>
        <w:t xml:space="preserve">(签字或盖章)：                         (签字或盖章)：</w:t>
      </w:r>
      <w:r/>
    </w:p>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br w:type="page" w:clear="all"/>
      </w:r>
      <w:r>
        <w:rPr>
          <w:rFonts w:hint="eastAsia" w:ascii="仿宋" w:hAnsi="仿宋" w:eastAsia="仿宋" w:cs="宋体"/>
          <w:color w:val="000000"/>
          <w:sz w:val="24"/>
          <w:szCs w:val="24"/>
        </w:rPr>
        <w:t xml:space="preserve">《苏州宿迁工业园区文明施工及市政设施、绿化设施保护责任状》</w:t>
      </w:r>
      <w:r/>
    </w:p>
    <w:p>
      <w:pPr>
        <w:ind w:firstLine="482"/>
        <w:spacing w:line="276" w:lineRule="auto"/>
        <w:rPr>
          <w:rFonts w:ascii="仿宋" w:hAnsi="仿宋" w:eastAsia="仿宋" w:cs="宋体"/>
          <w:color w:val="000000"/>
          <w:sz w:val="24"/>
          <w:szCs w:val="24"/>
        </w:rPr>
      </w:pPr>
      <w:r>
        <w:rPr>
          <w:rFonts w:hint="eastAsia" w:ascii="仿宋" w:hAnsi="仿宋" w:eastAsia="仿宋" w:cs="宋体"/>
          <w:b/>
          <w:bCs/>
          <w:sz w:val="24"/>
          <w:szCs w:val="24"/>
        </w:rPr>
        <w:t xml:space="preserve">第一章总则</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第一条为了建设一个具有苏北领先水平的工业园区，在苏州宿迁工业园区的建设过程中保持文明洁净的环境。保障建设工程的顺利进行，特制定本责任状。</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条本责任状所称苏州宿迁工业园区，以下简称园区。本责任状称建设工程施工现场，是指进行工业与民用项目的房屋建筑、土木工程（包括市政工程）、设备安装、管线敷设等施工活动的场所，及与之施工活动相关的园区内公共道路。</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第三条一切建设工程活动有关的单位和个人，必须遵守本责任状。</w:t>
      </w:r>
      <w:r/>
    </w:p>
    <w:p>
      <w:pPr>
        <w:ind w:firstLine="480"/>
        <w:spacing w:line="276" w:lineRule="auto"/>
        <w:rPr>
          <w:rFonts w:ascii="仿宋" w:hAnsi="仿宋" w:eastAsia="仿宋" w:cs="宋体"/>
          <w:color w:val="000000"/>
          <w:sz w:val="24"/>
          <w:szCs w:val="24"/>
        </w:rPr>
      </w:pPr>
      <w:r>
        <w:rPr>
          <w:rFonts w:hint="eastAsia" w:ascii="仿宋" w:hAnsi="仿宋" w:eastAsia="仿宋" w:cs="宋体"/>
          <w:sz w:val="24"/>
          <w:szCs w:val="24"/>
        </w:rPr>
        <w:t xml:space="preserve">第四条园区建设工程施工现场的管理，由园区规划建设局和公安部门共同负责。其中直接的施工场所管理由规划建设局负责，公共道路的现场管理由交安部门负责。</w:t>
      </w:r>
      <w:r/>
    </w:p>
    <w:p>
      <w:pPr>
        <w:ind w:firstLine="482"/>
        <w:spacing w:line="276" w:lineRule="auto"/>
        <w:rPr>
          <w:rFonts w:ascii="仿宋" w:hAnsi="仿宋" w:eastAsia="仿宋" w:cs="宋体"/>
          <w:color w:val="000000"/>
          <w:sz w:val="24"/>
          <w:szCs w:val="24"/>
        </w:rPr>
      </w:pPr>
      <w:r>
        <w:rPr>
          <w:rFonts w:hint="eastAsia" w:ascii="仿宋" w:hAnsi="仿宋" w:eastAsia="仿宋" w:cs="宋体"/>
          <w:b/>
          <w:bCs/>
          <w:sz w:val="24"/>
          <w:szCs w:val="24"/>
        </w:rPr>
        <w:t xml:space="preserve">第二章一般规定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第五条任何建设工程，必须在向规划建设局申请"建设工程规划许可证"的同时，申报建设工程施工组织设计供审批。施工组织设计应当包括下列主要内容：</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（一）工程任务情况，包括工程概况、工程造价、工程特点、工期要求、质量目标等内容；</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（二）施工总方案、主要施工办法、工程施工进度计划、主要单位工程综合进度计划和施工力量、机具及部署、材料供应的安排；</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（三）施工组织技术措施，包括工程质量、安全防护以及环境污染防护等各种措施；</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（四）施工总平面布置图；</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（五）施工现场临时设施的设计、施工现场管理措施等；</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（六）大型桥梁、厂、站等土建、安装复杂的工程应有针对单项工程施工需要的专项设计。</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第六条建设工程施工必须按照管理部门批准的施工组织设计进行。</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第七条施工单位派驻的</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全面负责实施建设工程施工现场的管理。建设单位派驻施工现场的总代表，对于施工单位实施现场管理负有监督责任。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第八条建设工程正式开工前，施工单位必须完成现场管理要求的临时设施、场地布置，并通知管理部门检查。检查按照本责任状和批准的施工组织设计的要求，结果合格者方可进行正式施工。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第九条施工单位在建设工程施工结束后，撤离施工现场时要做到工完场清，并在撤离后一周内及时通知管理部门对施工现场作最后的检查。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第十条管理部门有权在任何时候进入施工现场检查，对被检查出来的违反本责任状的行为进行处罚。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第十一章建设工程施工中需要停水、停电、封路而影响到施工现场周围地区的单位和居民时，必须经有关主管部门批准，并事先通知受影响的单位和居民。</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二条建设工程施工如果需要对已开通的公共道路开挖和临时占用，必须经有关单位的批准。在已开通的公共道路移交给政府前，由道路业主和公安交通管理部门联合审批；移交后则由规划建设局和公安交通管理部门联合审批。为保障公众安全对已开通的道路进行的开挖和临时占用，必须在现场设置醒目的警告标志和警告好反围护设施，同时派专人在现场</w:t>
      </w:r>
      <w:r>
        <w:rPr>
          <w:rFonts w:hint="eastAsia" w:ascii="仿宋" w:hAnsi="仿宋" w:eastAsia="仿宋" w:cs="宋体"/>
          <w:sz w:val="24"/>
          <w:szCs w:val="24"/>
        </w:rPr>
        <w:t xml:space="preserve">养护秩序。同时做好市政管线的保护工作。</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第十三条施工单位进行地下工程及基础工程施工时，发现文物、古化石爆炸物、电缆和工程管线时应暂停施工，保护好现场并及时向有关部门报告，在按照有关规定处理后方可继续施工。</w:t>
      </w:r>
      <w:r/>
    </w:p>
    <w:p>
      <w:pPr>
        <w:ind w:firstLine="482"/>
        <w:spacing w:line="276" w:lineRule="auto"/>
        <w:rPr>
          <w:rFonts w:ascii="仿宋" w:hAnsi="仿宋" w:eastAsia="仿宋" w:cs="宋体"/>
          <w:sz w:val="24"/>
          <w:szCs w:val="24"/>
        </w:rPr>
      </w:pPr>
      <w:r>
        <w:rPr>
          <w:rFonts w:hint="eastAsia" w:ascii="仿宋" w:hAnsi="仿宋" w:eastAsia="仿宋" w:cs="宋体"/>
          <w:b/>
          <w:bCs/>
          <w:sz w:val="24"/>
          <w:szCs w:val="24"/>
        </w:rPr>
        <w:t xml:space="preserve">第三章文明施工管理</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第十四条施工单体应当贯彻文明施工的要求推行现代管理方法科学组织施工做好施工现场各项管理工作。</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五条建筑工程和设备安装等施工现场，沿四周必须按照园区临时围挡设置与围户规范进行围护。狭长的市政工程、管道敷设施工现场和面积较大的如场地填土等土木工程施工现场，经批准后可不作围栏，但必须控制出入口。围栏高度至少为2米，立面为实体，可用除粘土砖外的砌体建筑，或用钢、木、硬塑、铅等材料制作，采用其它材料须经规划建设局批准。砌体围栏须加以粉刷，钢、木围栏要刷油漆，色彩要与环境相协调。</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第十六条施工现场应设置二个以下（含二个）有专人把守的出入口，出入门处另设一便门供人员进出。出人口大门可用钢、木、硬塑、铝等材料制作，钢、木大门要刷油漆。</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第十七条施工现场的醒目访置应设置一至二块标志牌，尺寸为3x2米（宽x高），采用钢或铝合金制作出两根钢管支撑。标志牌上应载明工程项目名称、建设单位、设计单位、监理单位、</w:t>
      </w:r>
      <w:r>
        <w:rPr>
          <w:rFonts w:hint="eastAsia" w:ascii="仿宋" w:hAnsi="仿宋" w:eastAsia="仿宋" w:cs="宋体"/>
          <w:color w:val="000000"/>
          <w:sz w:val="24"/>
          <w:szCs w:val="24"/>
        </w:rPr>
        <w:t xml:space="preserve">项目负责人</w:t>
      </w:r>
      <w:r>
        <w:rPr>
          <w:rFonts w:hint="eastAsia" w:ascii="仿宋" w:hAnsi="仿宋" w:eastAsia="仿宋" w:cs="宋体"/>
          <w:sz w:val="24"/>
          <w:szCs w:val="24"/>
        </w:rPr>
        <w:t xml:space="preserve">和施工现场总代表人姓名、开、竣工日期、建设工程规划许可证文号等内容，施工单位应负责标志牌的养护。</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第十八条建设工程施工现场，应保持排水系统状态良好，场地排水畅通，地面无积水。</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第十九条施工现场各分区采用道路分隔，道路宽不小于4米，路面必须硬化，采用碎石路面或更高等级路面，道路横坡合理，路面无积水。</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第二十条每个施工现场，必须设置至少一个洗车台，洗车台可设在出入口处，凡是从施工现场行驶到公共道路上的车辆，必须保持整洁，车辆上的泥土必须在洗车台冲洗干净，严禁将泥土带上公共道路。</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一条施工现场必须设置足够的办公室，室内要有水、电供应，配备电话和卫生设施，办公室地坪应用水泥地坪，墙体用各种砌体砌筑，或用钢、砼板等材料制作，每层高度不得低于2.8米，砌筑的内外墙面均应粉刷，屋面材料可采用钢、玻璃钢、屋面瓦等，办公室应有足够面积的门、窗，以利采光和通风。有条件的单位可采用各种活动房。</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第二十二条施工人员在施工现场的宿舍可参照第二十一条办公室的要求建造。宿舍要配备浴室和厕所。</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第二十三条施工现场的建筑材料和施工设备的放置，不得侵占场内道路，不得堵塞排水系统。</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四条施工现场的用电线路、用电设施的安装和使用，必须符合安全规范和安全操作规程，并按照施工组织设计进行架设，严禁任意拉线接电。施工现场必须设有保证施工安全要求的夜间照明、危险潮湿场所的照明以及手持照明灯具，必须采用符合安全要求的电压。</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五条施工单位必须执行国家有关安全生产和劳动保护的法规，建立安全生产责任制，加强规范化管理、安全交底、安全教育和安全宣传，严格执行安全技术方案。进入施工现场的任何人，均必须戴安全帽。建筑施工脚手架要用钢管按规定搭设，高空作业时要有安</w:t>
      </w:r>
      <w:r>
        <w:rPr>
          <w:rFonts w:hint="eastAsia" w:ascii="仿宋" w:hAnsi="仿宋" w:eastAsia="仿宋" w:cs="宋体"/>
          <w:sz w:val="24"/>
          <w:szCs w:val="24"/>
        </w:rPr>
        <w:t xml:space="preserve">全网加以保护。</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六条施工单位应严格按照《中华人民共和国消防条例》在施工现场执行和建立防火管理制度，设置符合消防要求的消防设施，并保持完好的备用状态。在容易发生火灾的地区和储存、使用易燃易爆器材时，施工单位应当采取特殊的消防安全措施，特别是施工人员的宿舍位置应严格按消防规定布置，做到伙房外无明火，严禁使用电炉等易引起火灾的用电器具。</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第二十七条施工单位应加强施工现场的治安保卫工作。同时严禁雇佣童工以及各种违法犯罪、流串分子。</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第二十八条施工现场发生的工程建设重大事故的处理，依照建设部《工程建设重大事故报告和调查程序规定》执行。</w:t>
      </w:r>
      <w:r/>
    </w:p>
    <w:p>
      <w:pPr>
        <w:ind w:firstLine="482"/>
        <w:spacing w:line="276" w:lineRule="auto"/>
        <w:widowControl/>
        <w:rPr>
          <w:rFonts w:ascii="仿宋" w:hAnsi="仿宋" w:eastAsia="仿宋" w:cs="宋体"/>
          <w:sz w:val="24"/>
          <w:szCs w:val="24"/>
        </w:rPr>
      </w:pPr>
      <w:r>
        <w:rPr>
          <w:rFonts w:hint="eastAsia" w:ascii="仿宋" w:hAnsi="仿宋" w:eastAsia="仿宋" w:cs="宋体"/>
          <w:b/>
          <w:bCs/>
          <w:sz w:val="24"/>
          <w:szCs w:val="24"/>
        </w:rPr>
        <w:t xml:space="preserve">第四章环境管理及市政设施和绿化设施保护措施</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第二十九条施工单位应遵守国家有关环境保护的法律规定，采取措施控制施工现场的各种粉尘、废气、废水、固体废弃物以及噪音、振动对环境的污染和危害。</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第三十条施工单位应当采取下列防止环境污染的措施：</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（一）妥善处理泥浆水，未经处理不得排入城市排水设施和河道；</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（二）除设有符合规定的装置外，不得在施工现场熔融沥青或焚烧油毡、油漆以及其它会产生有毒有害烟尘和恶臭气体的物质；</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（三）禁止将有毒有害废弃物作土方回填；</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（四）对产生噪声、振动的施工机械，应采取有效的控制措施，减轻噪声扰民。</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一条施工单位在施工现场所产生的各种固体废弃物，不得随意倾倒在施工现场、空地、排水系统及河道或道路上。施工中产生的建筑垃圾，应设专门场地堆放，并及时运到指定地点倾倒。施工单位还必须在施工现场设垃圾箱，暂时存放生活垃圾，定期交园区环卫部门收集后集中处理。</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第三十二条施工现场的生活污水应接入公共污水管网。当施工现场远离污水管网，生活污水无法接入时，应设置相应规模的化粪池，将生活污水经化粪池处理后接入雨水管网或附近河道内。</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第三十三条施工现场必须设置水冲式厕所不得使用干厕。厕所应经常清扫，夏秋季节要做好消杀灭害工作。</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第三十四条施工运输车辆在公共道路上行驶时，必须保持车厢完好，严禁发生抛、洒、滴、漏现象。装运泥土和砂、石材料的车辆，车厢项必须用油布覆盖，以防止洒落。</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五条任何施工单位未经苏宿园区主管部门的同意不得擅自破坏园区内的绿化设施和景观工程，违者将受到相应的处罚。如有需要必须提前做好申请工作及施工后的原貌恢复工作。确实需要改变绿化（或绿地）及景观工程用地性质的，需征得园区主管部门的同意后方可进行。同时在正式施工要做好周边绿化设施和景观工程的保护工作，不得破坏。</w:t>
      </w:r>
      <w:r/>
    </w:p>
    <w:p>
      <w:pPr>
        <w:ind w:firstLine="482"/>
        <w:spacing w:line="276" w:lineRule="auto"/>
        <w:widowControl/>
        <w:rPr>
          <w:rFonts w:ascii="仿宋" w:hAnsi="仿宋" w:eastAsia="仿宋" w:cs="宋体"/>
          <w:sz w:val="24"/>
          <w:szCs w:val="24"/>
        </w:rPr>
      </w:pPr>
      <w:r>
        <w:rPr>
          <w:rFonts w:hint="eastAsia" w:ascii="仿宋" w:hAnsi="仿宋" w:eastAsia="仿宋" w:cs="宋体"/>
          <w:b/>
          <w:bCs/>
          <w:sz w:val="24"/>
          <w:szCs w:val="24"/>
        </w:rPr>
        <w:t xml:space="preserve">第五章罚则</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六条违反本责任状的行为，将由园区规划建设局和公安部门依照《宿迁市市政工程设施管理办法》、《宿迁市人民警察巡察规定》和《宿迁市城市市容和环境卫生管理办法》，根据情节轻重给予警告、通报批评、责令限期改正、责令停工整、吊销《施工许可证》</w:t>
      </w:r>
      <w:r>
        <w:rPr>
          <w:rFonts w:hint="eastAsia" w:ascii="仿宋" w:hAnsi="仿宋" w:eastAsia="仿宋" w:cs="宋体"/>
          <w:sz w:val="24"/>
          <w:szCs w:val="24"/>
        </w:rPr>
        <w:t xml:space="preserve">（或《临时施工许可证》），并处以罚款。具体办法是：每发现一次，处以1000元人民币的罚款，并要求承包人立即整改；对不及时整改，监理工程师将以工程师通知单的书面形式要求承包人整改并处2000元人民币的罚款。</w:t>
      </w:r>
      <w:r/>
    </w:p>
    <w:p>
      <w:pPr>
        <w:ind w:firstLine="480"/>
        <w:spacing w:line="276" w:lineRule="auto"/>
        <w:widowControl/>
        <w:rPr>
          <w:rFonts w:ascii="仿宋" w:hAnsi="仿宋" w:eastAsia="仿宋" w:cs="宋体"/>
          <w:sz w:val="24"/>
          <w:szCs w:val="24"/>
        </w:rPr>
      </w:pPr>
      <w:r>
        <w:rPr>
          <w:rFonts w:hint="eastAsia" w:ascii="仿宋" w:hAnsi="仿宋" w:eastAsia="仿宋" w:cs="宋体"/>
          <w:sz w:val="24"/>
          <w:szCs w:val="24"/>
        </w:rPr>
        <w:t xml:space="preserve">第三十七条违反本责任状，构成治安管理处罚的行为，由公安机关依照《中华人民共和国治安管理处罚条例》处罚，构成犯罪的，由司法机关依法追究其刑事责任。当事人对行政处罚不服的，可以在接到处罚通知之日起十五日内，向作出处罚决定的上一级机关申请复议，对复议决定不服的可以在接到复议决定之日起十五日内向人民法院起诉；也可直接向人民法院起诉。逾期不申请复议，也不向人民法院起诉，又不履行处罚决定的，由作出处罚决定的机关申请人民法院强制执行。对治安管理处罚不服的依照《中华人民共和国治安处罚条例》的规定处理。</w:t>
      </w:r>
      <w:r/>
    </w:p>
    <w:p>
      <w:pPr>
        <w:ind w:firstLine="482"/>
        <w:spacing w:line="276" w:lineRule="auto"/>
        <w:widowControl/>
        <w:rPr>
          <w:rFonts w:ascii="仿宋" w:hAnsi="仿宋" w:eastAsia="仿宋" w:cs="宋体"/>
          <w:sz w:val="24"/>
          <w:szCs w:val="24"/>
        </w:rPr>
      </w:pPr>
      <w:r>
        <w:rPr>
          <w:rFonts w:hint="eastAsia" w:ascii="仿宋" w:hAnsi="仿宋" w:eastAsia="仿宋" w:cs="宋体"/>
          <w:b/>
          <w:bCs/>
          <w:sz w:val="24"/>
          <w:szCs w:val="24"/>
        </w:rPr>
        <w:t xml:space="preserve">第六章附则</w:t>
      </w:r>
      <w:r/>
    </w:p>
    <w:p>
      <w:pPr>
        <w:ind w:firstLine="480"/>
        <w:spacing w:line="276" w:lineRule="auto"/>
        <w:tabs>
          <w:tab w:val="left" w:pos="900" w:leader="none"/>
        </w:tabs>
        <w:rPr>
          <w:rFonts w:ascii="仿宋" w:hAnsi="仿宋" w:eastAsia="仿宋" w:cs="宋体"/>
          <w:sz w:val="24"/>
          <w:szCs w:val="24"/>
        </w:rPr>
      </w:pPr>
      <w:r>
        <w:rPr>
          <w:rFonts w:hint="eastAsia" w:ascii="仿宋" w:hAnsi="仿宋" w:eastAsia="仿宋" w:cs="宋体"/>
          <w:sz w:val="24"/>
          <w:szCs w:val="24"/>
        </w:rPr>
        <w:t xml:space="preserve">第三十八条本责任状由园区规划建设局负责解释。</w:t>
      </w:r>
      <w:r/>
    </w:p>
    <w:p>
      <w:pPr>
        <w:ind w:firstLine="480"/>
        <w:spacing w:line="276" w:lineRule="auto"/>
        <w:tabs>
          <w:tab w:val="left" w:pos="900" w:leader="none"/>
        </w:tabs>
        <w:rPr>
          <w:rFonts w:ascii="仿宋" w:hAnsi="仿宋" w:eastAsia="仿宋" w:cs="宋体"/>
          <w:sz w:val="24"/>
          <w:szCs w:val="24"/>
        </w:rPr>
      </w:pPr>
      <w:r>
        <w:rPr>
          <w:rFonts w:hint="eastAsia" w:ascii="仿宋" w:hAnsi="仿宋" w:eastAsia="仿宋" w:cs="宋体"/>
          <w:sz w:val="24"/>
          <w:szCs w:val="24"/>
        </w:rPr>
        <w:t xml:space="preserve">第三十九条园区十三平方公里规划区以外的其他地区，可参照本责任状执行。</w:t>
      </w:r>
      <w:r/>
    </w:p>
    <w:p>
      <w:pPr>
        <w:ind w:firstLine="480"/>
        <w:spacing w:line="276" w:lineRule="auto"/>
        <w:tabs>
          <w:tab w:val="left" w:pos="900" w:leader="none"/>
        </w:tabs>
        <w:rPr>
          <w:rFonts w:ascii="仿宋" w:hAnsi="仿宋" w:eastAsia="仿宋" w:cs="宋体"/>
          <w:b/>
          <w:sz w:val="24"/>
          <w:szCs w:val="24"/>
        </w:rPr>
      </w:pPr>
      <w:r>
        <w:rPr>
          <w:rFonts w:hint="eastAsia" w:ascii="仿宋" w:hAnsi="仿宋" w:eastAsia="仿宋" w:cs="宋体"/>
          <w:sz w:val="24"/>
          <w:szCs w:val="24"/>
        </w:rPr>
        <w:t xml:space="preserve">第四十条本实施责任状自签定之日起执行。</w:t>
      </w:r>
      <w:r/>
    </w:p>
    <w:p>
      <w:pPr>
        <w:ind w:firstLine="490"/>
        <w:spacing w:line="276" w:lineRule="auto"/>
        <w:rPr>
          <w:rFonts w:ascii="仿宋" w:hAnsi="仿宋" w:eastAsia="仿宋" w:cs="宋体"/>
          <w:b/>
          <w:bCs/>
          <w:spacing w:val="2"/>
          <w:sz w:val="24"/>
          <w:szCs w:val="24"/>
        </w:rPr>
      </w:pPr>
      <w:r>
        <w:rPr>
          <w:rFonts w:ascii="仿宋" w:hAnsi="仿宋" w:eastAsia="仿宋" w:cs="宋体"/>
          <w:b/>
          <w:bCs/>
          <w:spacing w:val="2"/>
          <w:sz w:val="24"/>
          <w:szCs w:val="24"/>
        </w:rPr>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甲方(盖章)：                           乙方(盖章):</w:t>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法定代表人或其委托代理人               法定代表人或其委托代理人</w:t>
      </w:r>
      <w:r/>
    </w:p>
    <w:p>
      <w:pPr>
        <w:ind w:firstLine="490"/>
        <w:jc w:val="left"/>
        <w:spacing w:before="120" w:after="120" w:line="276" w:lineRule="auto"/>
        <w:rPr>
          <w:rFonts w:ascii="仿宋" w:hAnsi="仿宋" w:eastAsia="仿宋" w:cs="宋体"/>
          <w:color w:val="000000"/>
          <w:sz w:val="24"/>
          <w:szCs w:val="24"/>
        </w:rPr>
      </w:pPr>
      <w:r>
        <w:rPr>
          <w:rFonts w:hint="eastAsia" w:ascii="仿宋" w:hAnsi="仿宋" w:eastAsia="仿宋" w:cs="宋体"/>
          <w:b/>
          <w:bCs/>
          <w:spacing w:val="2"/>
          <w:sz w:val="24"/>
          <w:szCs w:val="24"/>
        </w:rPr>
        <w:t xml:space="preserve">(签字或盖章)：                         (签字或盖章)：</w:t>
      </w:r>
      <w:r/>
    </w:p>
    <w:p>
      <w:pPr>
        <w:spacing w:line="276" w:lineRule="auto"/>
        <w:tabs>
          <w:tab w:val="left" w:pos="900" w:leader="none"/>
        </w:tabs>
        <w:rPr>
          <w:rFonts w:ascii="仿宋" w:hAnsi="仿宋" w:eastAsia="仿宋" w:cs="宋体"/>
          <w:sz w:val="24"/>
          <w:szCs w:val="24"/>
        </w:rPr>
      </w:pPr>
      <w:r>
        <w:rPr>
          <w:rFonts w:ascii="仿宋" w:hAnsi="仿宋" w:eastAsia="仿宋" w:cs="宋体"/>
          <w:sz w:val="24"/>
          <w:szCs w:val="24"/>
        </w:rPr>
      </w:r>
      <w:r/>
    </w:p>
    <w:p>
      <w:pPr>
        <w:jc w:val="center"/>
        <w:spacing w:before="120" w:after="120" w:line="276" w:lineRule="auto"/>
        <w:rPr>
          <w:rFonts w:ascii="仿宋" w:hAnsi="仿宋" w:eastAsia="仿宋" w:cs="宋体"/>
          <w:color w:val="000000"/>
          <w:sz w:val="24"/>
          <w:szCs w:val="24"/>
        </w:rPr>
      </w:pPr>
      <w:r>
        <w:rPr>
          <w:rFonts w:hint="eastAsia" w:ascii="仿宋" w:hAnsi="仿宋" w:eastAsia="仿宋" w:cs="宋体"/>
          <w:b/>
          <w:sz w:val="24"/>
          <w:szCs w:val="24"/>
        </w:rPr>
        <w:br w:type="page" w:clear="all"/>
      </w:r>
      <w:r>
        <w:rPr>
          <w:rFonts w:hint="eastAsia" w:ascii="仿宋" w:hAnsi="仿宋" w:eastAsia="仿宋" w:cs="宋体"/>
          <w:color w:val="000000"/>
          <w:sz w:val="24"/>
          <w:szCs w:val="24"/>
        </w:rPr>
        <w:t xml:space="preserve">《建设工程廉政合同》</w:t>
      </w:r>
      <w:r/>
    </w:p>
    <w:p>
      <w:pPr>
        <w:ind w:firstLine="480"/>
        <w:spacing w:line="276" w:lineRule="auto"/>
        <w:rPr>
          <w:rFonts w:ascii="仿宋" w:hAnsi="仿宋" w:eastAsia="仿宋" w:cs="宋体"/>
          <w:sz w:val="24"/>
          <w:szCs w:val="24"/>
          <w:u w:val="single"/>
        </w:rPr>
      </w:pPr>
      <w:r>
        <w:rPr>
          <w:rFonts w:hint="eastAsia" w:ascii="仿宋" w:hAnsi="仿宋" w:eastAsia="仿宋" w:cs="宋体"/>
          <w:sz w:val="24"/>
          <w:szCs w:val="24"/>
        </w:rPr>
        <w:t xml:space="preserve">发包方（以下简称甲方）</w:t>
      </w:r>
      <w:r/>
    </w:p>
    <w:p>
      <w:pPr>
        <w:ind w:firstLine="480"/>
        <w:spacing w:line="276" w:lineRule="auto"/>
        <w:rPr>
          <w:rFonts w:ascii="仿宋" w:hAnsi="仿宋" w:eastAsia="仿宋" w:cs="宋体"/>
          <w:b/>
          <w:sz w:val="24"/>
          <w:szCs w:val="24"/>
          <w:u w:val="single"/>
        </w:rPr>
      </w:pPr>
      <w:r>
        <w:rPr>
          <w:rFonts w:hint="eastAsia" w:ascii="仿宋" w:hAnsi="仿宋" w:eastAsia="仿宋" w:cs="宋体"/>
          <w:sz w:val="24"/>
          <w:szCs w:val="24"/>
        </w:rPr>
        <w:t xml:space="preserve">承包方（以下简称乙方）</w:t>
      </w:r>
      <w:r/>
    </w:p>
    <w:p>
      <w:pPr>
        <w:ind w:firstLine="480"/>
        <w:spacing w:line="276" w:lineRule="auto"/>
        <w:rPr>
          <w:rFonts w:ascii="仿宋" w:hAnsi="仿宋" w:eastAsia="仿宋" w:cs="宋体"/>
          <w:b/>
          <w:sz w:val="24"/>
          <w:szCs w:val="24"/>
        </w:rPr>
      </w:pPr>
      <w:r>
        <w:rPr>
          <w:rFonts w:hint="eastAsia" w:ascii="仿宋" w:hAnsi="仿宋" w:eastAsia="仿宋" w:cs="宋体"/>
          <w:sz w:val="24"/>
          <w:szCs w:val="24"/>
        </w:rPr>
        <w:t xml:space="preserve">为加强工程建设中的廉政建设,保证工程建设高效优质完成,保证建设资金的安全和有效使用, 预防和减少工程建设中的经济犯罪，共同养护建筑市场的秩序，确保工程质量。经甲、乙双方协商，现就建设，特订立如下合同：</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第一条甲乙双方的权利和义务</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(一)严格遵守党和国家有关法律法规及建筑,交通,水利,电力,邮电等部门的有关规定。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(二)严格执行工程的合同文件,自觉按合同办事。</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(三)双方的业务活动坚持公开,公平,公正,诚信,透明的原则(除法律认定的商业秘密和合同文件另有规定之外),不得损害国家和集体利益,违反工程建设管理规定。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(四)建立健全廉政制度,监督制度和处罚制度,开展廉政教育,树立廉政告示牌,公布举报电话。</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(五)发现对方在业务活动中有违反廉政规定的行为,有及时提醒对方纠正的权利和义务。</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(六)发现对方严重违反本合同义务条款的行为,有向其上级有关部门举报,建议给予处理并要求告知处理结果的权利。</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第二条甲方的义务</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(一)甲方及其工作人员不得索要或接受乙方的礼金,礼券,有价证券和物品,不得在乙方报销任何应由甲方或个人支付的费用等。</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(二)甲方不得有意刁难,拖欠承包商工程款,不得违反规定批拨工程建设费用等。</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(三)甲方工作人员不得参加乙方安排的宴请和娱乐活动;不得接受乙方提供的超过合同要求标准的通讯工具,交通工具和高档办公用品等。</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(四)甲方及其工作人员不得要求或者接受乙方为其住房装修,操办婚丧嫁娶,安排配偶子女的工作以及出国出境,旅游等。</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(五)甲方工作人员的配偶,子女及下属单位不得从事与甲方工程有关的材料设备供应,工程分包,劳务等经济活动。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(六)甲方及其工作人员不得经任何理由向乙方推荐分包单位,不得要求乙方购买合同规定外的材料和设备。</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第三条乙方义务</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(一)乙方不得以任何理由向甲方及其工作人员行贿或馈赠礼金,礼券,有价证券,礼品。</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(二)乙方不得以任何名义为甲方及其工作人员报销应由甲方单位或个人支付的任何费用。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(三)乙方不得要求甲方违反规定批发,追加工程建设费用等。</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(四)乙方不得以任何理由安排甲方工作人员参加宴请及娱乐活动。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(五)乙方不得为甲方单位和个人购置或提供超过合同要求标准的通讯工具,交通工具和高档办公用品等。</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第四条违约责任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(一)甲方及其工作人员违反本合同第一,二条,按管理权限,依据有关规定给予党纪,政纪或组织处理;涉嫌犯罪的,移送司法机关追究刑事责任;给乙方单位造成经济损失的,应予以赔</w:t>
      </w:r>
      <w:r>
        <w:rPr>
          <w:rFonts w:hint="eastAsia" w:ascii="仿宋" w:hAnsi="仿宋" w:eastAsia="仿宋" w:cs="宋体"/>
          <w:sz w:val="24"/>
          <w:szCs w:val="24"/>
        </w:rPr>
        <w:t xml:space="preserve">偿。</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乙方及其工作人员违反本合同第一,三条,按管理权限,依据有关规定,给予党纪,政纪或组织处理;给甲方单位造成经济损失的,应予以赔偿;情节严重的,甲方建议有关工程建设主管制部门给予乙方一至三年内不得参与工程建设项目投标的处罚。</w:t>
      </w:r>
      <w:r/>
    </w:p>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第五条双方约定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本合同由苏州宿迁工业园区管委会负责监督执行. 苏州宿迁工业园区管委会对本合同执行情况进行抽查,提出属本合同规定范围内的处理意见。</w:t>
      </w:r>
      <w:r/>
    </w:p>
    <w:p>
      <w:pPr>
        <w:ind w:firstLine="482"/>
        <w:spacing w:line="276" w:lineRule="auto"/>
        <w:rPr>
          <w:rFonts w:ascii="仿宋" w:hAnsi="仿宋" w:eastAsia="仿宋" w:cs="宋体"/>
          <w:sz w:val="24"/>
          <w:szCs w:val="24"/>
        </w:rPr>
      </w:pPr>
      <w:r>
        <w:rPr>
          <w:rFonts w:hint="eastAsia" w:ascii="仿宋" w:hAnsi="仿宋" w:eastAsia="仿宋" w:cs="宋体"/>
          <w:b/>
          <w:sz w:val="24"/>
          <w:szCs w:val="24"/>
        </w:rPr>
        <w:t xml:space="preserve">第六条</w:t>
      </w:r>
      <w:r>
        <w:rPr>
          <w:rFonts w:hint="eastAsia" w:ascii="仿宋" w:hAnsi="仿宋" w:eastAsia="仿宋" w:cs="宋体"/>
          <w:sz w:val="24"/>
          <w:szCs w:val="24"/>
        </w:rPr>
        <w:t xml:space="preserve">本合同有效期为甲乙双方签署之日起至该工程项目工程款支付完结时止。</w:t>
      </w:r>
      <w:r/>
    </w:p>
    <w:p>
      <w:pPr>
        <w:ind w:firstLine="482"/>
        <w:spacing w:line="276" w:lineRule="auto"/>
        <w:rPr>
          <w:rFonts w:ascii="仿宋" w:hAnsi="仿宋" w:eastAsia="仿宋" w:cs="宋体"/>
          <w:sz w:val="24"/>
          <w:szCs w:val="24"/>
        </w:rPr>
      </w:pPr>
      <w:r>
        <w:rPr>
          <w:rFonts w:hint="eastAsia" w:ascii="仿宋" w:hAnsi="仿宋" w:eastAsia="仿宋" w:cs="宋体"/>
          <w:b/>
          <w:sz w:val="24"/>
          <w:szCs w:val="24"/>
        </w:rPr>
        <w:t xml:space="preserve">第七条</w:t>
      </w:r>
      <w:r>
        <w:rPr>
          <w:rFonts w:hint="eastAsia" w:ascii="仿宋" w:hAnsi="仿宋" w:eastAsia="仿宋" w:cs="宋体"/>
          <w:sz w:val="24"/>
          <w:szCs w:val="24"/>
        </w:rPr>
        <w:t xml:space="preserve">本合同作为本工程施工承包合同的附属条款,与工程施工合同具有同等的法律效力,经合同双方签署立即生效。</w:t>
      </w:r>
      <w:r/>
    </w:p>
    <w:p>
      <w:pPr>
        <w:ind w:firstLine="482"/>
        <w:spacing w:line="276" w:lineRule="auto"/>
        <w:rPr>
          <w:rFonts w:ascii="仿宋" w:hAnsi="仿宋" w:eastAsia="仿宋" w:cs="宋体"/>
          <w:sz w:val="24"/>
          <w:szCs w:val="24"/>
        </w:rPr>
      </w:pPr>
      <w:r>
        <w:rPr>
          <w:rFonts w:hint="eastAsia" w:ascii="仿宋" w:hAnsi="仿宋" w:eastAsia="仿宋" w:cs="宋体"/>
          <w:b/>
          <w:sz w:val="24"/>
          <w:szCs w:val="24"/>
        </w:rPr>
        <w:t xml:space="preserve">第八条</w:t>
      </w:r>
      <w:r>
        <w:rPr>
          <w:rFonts w:hint="eastAsia" w:ascii="仿宋" w:hAnsi="仿宋" w:eastAsia="仿宋" w:cs="宋体"/>
          <w:sz w:val="24"/>
          <w:szCs w:val="24"/>
        </w:rPr>
        <w:t xml:space="preserve">本合同甲,乙双方各执一份,送交监督单位一份。</w:t>
      </w:r>
      <w:r/>
    </w:p>
    <w:p>
      <w:pPr>
        <w:ind w:firstLine="490"/>
        <w:spacing w:line="276" w:lineRule="auto"/>
        <w:rPr>
          <w:rFonts w:ascii="仿宋" w:hAnsi="仿宋" w:eastAsia="仿宋" w:cs="宋体"/>
          <w:b/>
          <w:bCs/>
          <w:spacing w:val="2"/>
          <w:sz w:val="24"/>
          <w:szCs w:val="24"/>
        </w:rPr>
      </w:pPr>
      <w:r>
        <w:rPr>
          <w:rFonts w:ascii="仿宋" w:hAnsi="仿宋" w:eastAsia="仿宋" w:cs="宋体"/>
          <w:b/>
          <w:bCs/>
          <w:spacing w:val="2"/>
          <w:sz w:val="24"/>
          <w:szCs w:val="24"/>
        </w:rPr>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甲方(盖章)：                           乙方(盖章):</w:t>
      </w:r>
      <w:r/>
    </w:p>
    <w:p>
      <w:pPr>
        <w:ind w:firstLine="490"/>
        <w:spacing w:line="276" w:lineRule="auto"/>
        <w:rPr>
          <w:rFonts w:ascii="仿宋" w:hAnsi="仿宋" w:eastAsia="仿宋" w:cs="宋体"/>
          <w:b/>
          <w:bCs/>
          <w:spacing w:val="2"/>
          <w:sz w:val="24"/>
          <w:szCs w:val="24"/>
        </w:rPr>
      </w:pPr>
      <w:r>
        <w:rPr>
          <w:rFonts w:hint="eastAsia" w:ascii="仿宋" w:hAnsi="仿宋" w:eastAsia="仿宋" w:cs="宋体"/>
          <w:b/>
          <w:bCs/>
          <w:spacing w:val="2"/>
          <w:sz w:val="24"/>
          <w:szCs w:val="24"/>
        </w:rPr>
        <w:t xml:space="preserve">法定代表人或其委托代理人               法定代表人或其委托代理人</w:t>
      </w:r>
      <w:r/>
    </w:p>
    <w:p>
      <w:pPr>
        <w:ind w:firstLine="490"/>
        <w:jc w:val="left"/>
        <w:spacing w:before="120" w:after="120" w:line="276" w:lineRule="auto"/>
        <w:rPr>
          <w:rFonts w:ascii="仿宋" w:hAnsi="仿宋" w:eastAsia="仿宋" w:cs="宋体"/>
          <w:color w:val="000000"/>
          <w:sz w:val="24"/>
          <w:szCs w:val="24"/>
        </w:rPr>
      </w:pPr>
      <w:r>
        <w:rPr>
          <w:rFonts w:hint="eastAsia" w:ascii="仿宋" w:hAnsi="仿宋" w:eastAsia="仿宋" w:cs="宋体"/>
          <w:b/>
          <w:bCs/>
          <w:spacing w:val="2"/>
          <w:sz w:val="24"/>
          <w:szCs w:val="24"/>
        </w:rPr>
        <w:t xml:space="preserve">(签字或盖章)：                         (签字或盖章)：       </w:t>
      </w:r>
      <w:r/>
    </w:p>
    <w:p>
      <w:pPr>
        <w:ind w:firstLine="480"/>
        <w:spacing w:line="276" w:lineRule="auto"/>
        <w:rPr>
          <w:rFonts w:ascii="仿宋" w:hAnsi="仿宋" w:eastAsia="仿宋" w:cs="宋体"/>
          <w:color w:val="000000"/>
          <w:sz w:val="24"/>
          <w:szCs w:val="24"/>
        </w:rPr>
      </w:pPr>
      <w:r>
        <w:rPr>
          <w:rFonts w:ascii="仿宋" w:hAnsi="仿宋" w:eastAsia="仿宋" w:cs="宋体"/>
          <w:color w:val="000000"/>
          <w:sz w:val="24"/>
          <w:szCs w:val="24"/>
        </w:rPr>
      </w:r>
      <w:r/>
    </w:p>
    <w:p>
      <w:pPr>
        <w:ind w:firstLine="482"/>
        <w:spacing w:line="276" w:lineRule="auto"/>
        <w:rPr>
          <w:rFonts w:ascii="仿宋" w:hAnsi="仿宋" w:eastAsia="仿宋" w:cs="宋体"/>
          <w:b/>
          <w:color w:val="000000"/>
          <w:sz w:val="24"/>
          <w:szCs w:val="24"/>
        </w:rPr>
      </w:pPr>
      <w:r>
        <w:rPr>
          <w:rFonts w:hint="eastAsia" w:ascii="仿宋" w:hAnsi="仿宋" w:eastAsia="仿宋" w:cs="宋体"/>
          <w:b/>
          <w:color w:val="000000"/>
          <w:sz w:val="24"/>
          <w:szCs w:val="24"/>
        </w:rPr>
        <w:t xml:space="preserve">廉政监督举报电话：0527-828268512  </w:t>
      </w:r>
      <w:r>
        <w:rPr>
          <w:rFonts w:ascii="仿宋" w:hAnsi="仿宋" w:eastAsia="仿宋" w:cs="宋体"/>
          <w:b/>
          <w:color w:val="000000"/>
          <w:sz w:val="24"/>
          <w:szCs w:val="24"/>
        </w:rPr>
        <w:t xml:space="preserve">      </w:t>
      </w:r>
      <w:r>
        <w:rPr>
          <w:rFonts w:hint="eastAsia" w:ascii="仿宋" w:hAnsi="仿宋" w:eastAsia="仿宋" w:cs="宋体"/>
          <w:b/>
          <w:color w:val="000000"/>
          <w:sz w:val="24"/>
          <w:szCs w:val="24"/>
        </w:rPr>
        <w:t xml:space="preserve">邮箱：ssjj@sipac.gov.cn</w:t>
      </w:r>
      <w:r/>
    </w:p>
    <w:p>
      <w:pPr>
        <w:jc w:val="center"/>
        <w:spacing w:before="120" w:after="120" w:line="276" w:lineRule="auto"/>
        <w:rPr>
          <w:rFonts w:ascii="仿宋" w:hAnsi="仿宋" w:eastAsia="仿宋" w:cs="宋体"/>
          <w:color w:val="000000"/>
          <w:sz w:val="24"/>
          <w:szCs w:val="24"/>
        </w:rPr>
      </w:pPr>
      <w:r>
        <w:rPr>
          <w:rFonts w:hint="eastAsia" w:ascii="仿宋" w:hAnsi="仿宋" w:eastAsia="仿宋" w:cs="宋体"/>
          <w:color w:val="000000"/>
          <w:sz w:val="24"/>
          <w:szCs w:val="24"/>
        </w:rPr>
        <w:br w:type="page" w:clear="all"/>
      </w:r>
      <w:r>
        <w:rPr>
          <w:rFonts w:hint="eastAsia" w:ascii="仿宋" w:hAnsi="仿宋" w:eastAsia="仿宋" w:cs="宋体"/>
          <w:color w:val="000000"/>
          <w:sz w:val="24"/>
          <w:szCs w:val="24"/>
        </w:rPr>
        <w:t xml:space="preserve">《授权委托书》</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致：</w:t>
      </w:r>
      <w:r>
        <w:rPr>
          <w:rFonts w:hint="eastAsia" w:ascii="仿宋" w:hAnsi="仿宋" w:eastAsia="仿宋" w:cs="宋体"/>
          <w:color w:val="ff0000"/>
          <w:sz w:val="24"/>
          <w:szCs w:val="24"/>
          <w:u w:val="single"/>
        </w:rPr>
        <w:t xml:space="preserve">采购人名称</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我司现委托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作为我司合法委托代理人，授权其代表我司进行</w:t>
      </w:r>
      <w:r>
        <w:rPr>
          <w:rFonts w:hint="eastAsia" w:ascii="仿宋" w:hAnsi="仿宋" w:eastAsia="仿宋" w:cs="宋体"/>
          <w:color w:val="ff0000"/>
          <w:sz w:val="24"/>
          <w:szCs w:val="24"/>
          <w:u w:val="single"/>
        </w:rPr>
        <w:t xml:space="preserve">本工程进度款、结算款等事宜的办理</w:t>
      </w:r>
      <w:r>
        <w:rPr>
          <w:rFonts w:hint="eastAsia" w:ascii="仿宋" w:hAnsi="仿宋" w:eastAsia="仿宋" w:cs="宋体"/>
          <w:sz w:val="24"/>
          <w:szCs w:val="24"/>
        </w:rPr>
        <w:t xml:space="preserve">工作。该委托代理人的授权范围为：在贵我双方关于</w:t>
      </w:r>
      <w:r>
        <w:rPr>
          <w:rFonts w:hint="eastAsia" w:ascii="仿宋" w:hAnsi="仿宋" w:eastAsia="仿宋" w:cs="宋体"/>
          <w:sz w:val="24"/>
          <w:szCs w:val="24"/>
          <w:u w:val="single"/>
        </w:rPr>
        <w:t xml:space="preserve">（事宜/合同）</w:t>
      </w:r>
      <w:r>
        <w:rPr>
          <w:rFonts w:hint="eastAsia" w:ascii="仿宋" w:hAnsi="仿宋" w:eastAsia="仿宋" w:cs="宋体"/>
          <w:sz w:val="24"/>
          <w:szCs w:val="24"/>
        </w:rPr>
        <w:t xml:space="preserve">的履行过程中，代表我司完成【工程款付款申请递交、结算资料报送、价款及票据收取】等事务。在本合同有效期间，该代理人的一切行为均代表我司，与我司的行为具有同等法律效力，我司将承担该代理人授权范围内行为的全部法律后果及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如需更换委托代理人，我司将于具体事项办理前提前5个工作日以书面形式告知贵司。</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本委托代理人无转委托权，特此告知。</w:t>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u w:val="single"/>
        </w:rPr>
      </w:pPr>
      <w:r>
        <w:rPr>
          <w:rFonts w:hint="eastAsia" w:ascii="仿宋" w:hAnsi="仿宋" w:eastAsia="仿宋" w:cs="宋体"/>
          <w:sz w:val="24"/>
          <w:szCs w:val="24"/>
        </w:rPr>
        <w:t xml:space="preserve">附：</w:t>
      </w:r>
      <w:r>
        <w:rPr>
          <w:rFonts w:hint="eastAsia" w:ascii="仿宋" w:hAnsi="仿宋" w:eastAsia="仿宋" w:cs="宋体"/>
          <w:sz w:val="24"/>
          <w:szCs w:val="24"/>
          <w:u w:val="single"/>
        </w:rPr>
        <w:t xml:space="preserve">委托代理人身份证复印件</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正面                         反面</w:t>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代理人签字：</w:t>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公司名称（公章）：</w:t>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法定代表人（签章）：</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日期：</w:t>
      </w:r>
      <w:r/>
    </w:p>
    <w:p>
      <w:pPr>
        <w:pStyle w:val="747"/>
        <w:spacing w:line="360" w:lineRule="auto"/>
        <w:rPr>
          <w:rFonts w:ascii="黑体" w:hAnsi="黑体" w:eastAsia="黑体"/>
          <w:sz w:val="44"/>
          <w:szCs w:val="44"/>
        </w:rPr>
      </w:pPr>
      <w:r>
        <w:rPr>
          <w:rFonts w:ascii="Times New Roman" w:eastAsia="黑体"/>
          <w:bCs/>
          <w:sz w:val="44"/>
        </w:rPr>
        <w:br w:type="page" w:clear="all"/>
      </w:r>
      <w:bookmarkStart w:id="221" w:name="_Toc162865672"/>
      <w:r>
        <w:rPr>
          <w:rFonts w:hint="eastAsia" w:ascii="黑体" w:hAnsi="黑体" w:eastAsia="黑体"/>
          <w:sz w:val="44"/>
          <w:szCs w:val="44"/>
        </w:rPr>
        <w:t xml:space="preserve">第</w:t>
      </w:r>
      <w:bookmarkEnd w:id="217"/>
      <w:r>
        <w:rPr>
          <w:rFonts w:hint="eastAsia" w:ascii="黑体" w:hAnsi="黑体" w:eastAsia="黑体"/>
          <w:sz w:val="44"/>
          <w:szCs w:val="44"/>
        </w:rPr>
        <w:t xml:space="preserve">四章</w:t>
      </w:r>
      <w:r>
        <w:rPr>
          <w:rFonts w:ascii="黑体" w:hAnsi="黑体" w:eastAsia="黑体"/>
          <w:sz w:val="44"/>
          <w:szCs w:val="44"/>
        </w:rPr>
        <w:t xml:space="preserve">  </w:t>
      </w:r>
      <w:r>
        <w:rPr>
          <w:rFonts w:hint="eastAsia" w:ascii="黑体" w:hAnsi="黑体" w:eastAsia="黑体"/>
          <w:sz w:val="44"/>
          <w:szCs w:val="44"/>
        </w:rPr>
        <w:t xml:space="preserve">采购需求</w:t>
      </w:r>
      <w:bookmarkEnd w:id="218"/>
      <w:r/>
      <w:bookmarkEnd w:id="219"/>
      <w:r/>
      <w:bookmarkEnd w:id="220"/>
      <w:r/>
      <w:bookmarkEnd w:id="221"/>
      <w:r/>
      <w:r/>
    </w:p>
    <w:p>
      <w:pPr>
        <w:ind w:firstLine="480"/>
        <w:jc w:val="left"/>
        <w:spacing w:line="276" w:lineRule="auto"/>
        <w:rPr>
          <w:rFonts w:ascii="仿宋" w:hAnsi="仿宋" w:eastAsia="仿宋" w:cs="宋体"/>
          <w:bCs/>
          <w:sz w:val="24"/>
          <w:szCs w:val="24"/>
        </w:rPr>
      </w:pPr>
      <w:r/>
      <w:bookmarkStart w:id="222" w:name="_Toc49090575"/>
      <w:r/>
      <w:bookmarkStart w:id="223" w:name="_Toc26554093"/>
      <w:r>
        <w:rPr>
          <w:rFonts w:hint="eastAsia" w:ascii="仿宋" w:hAnsi="仿宋" w:eastAsia="仿宋" w:cs="宋体"/>
          <w:bCs/>
          <w:sz w:val="24"/>
          <w:szCs w:val="24"/>
        </w:rPr>
        <w:t xml:space="preserve">项目属性：服务类项目。</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本项目采购标的对应的中小企业划分标准所属行业：其他未列明行业</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本项目不接受进口产品。</w:t>
      </w:r>
      <w:r/>
    </w:p>
    <w:p>
      <w:pPr>
        <w:ind w:firstLine="482"/>
        <w:jc w:val="left"/>
        <w:spacing w:line="276" w:lineRule="auto"/>
        <w:rPr>
          <w:rFonts w:ascii="仿宋" w:hAnsi="仿宋" w:eastAsia="仿宋" w:cs="宋体"/>
          <w:b/>
          <w:bCs/>
          <w:sz w:val="24"/>
          <w:szCs w:val="24"/>
        </w:rPr>
      </w:pPr>
      <w:r/>
      <w:bookmarkStart w:id="224" w:name="_Toc120614281"/>
      <w:r>
        <w:rPr>
          <w:rFonts w:hint="eastAsia" w:ascii="仿宋" w:hAnsi="仿宋" w:eastAsia="仿宋" w:cs="宋体"/>
          <w:b/>
          <w:bCs/>
          <w:sz w:val="24"/>
          <w:szCs w:val="24"/>
        </w:rPr>
        <w:t xml:space="preserve">一、项目名称</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苏宿园区2024年-2026年公共绿化养护项目</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二、工期要求</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养护工期：养护期24个月，实际管养时间以项目工程移交后，通知中标人进场为准,费用按实结算。</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三、工程范围及内容</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1.本项目为苏宿园区2024年-2026年公共绿化养护项目主要分为：分包一：商住区绿化和分包二：工业区绿化</w:t>
      </w:r>
      <w:r/>
    </w:p>
    <w:p>
      <w:pPr>
        <w:ind w:firstLine="480"/>
        <w:spacing w:line="276" w:lineRule="auto"/>
        <w:rPr>
          <w:rFonts w:ascii="仿宋" w:hAnsi="仿宋" w:eastAsia="仿宋" w:cs="宋体"/>
          <w:bCs/>
          <w:color w:val="ff0000"/>
          <w:sz w:val="24"/>
          <w:szCs w:val="24"/>
        </w:rPr>
      </w:pPr>
      <w:r>
        <w:rPr>
          <w:rFonts w:hint="eastAsia" w:ascii="仿宋" w:hAnsi="仿宋" w:eastAsia="仿宋" w:cs="宋体"/>
          <w:bCs/>
          <w:color w:val="ff0000"/>
          <w:sz w:val="24"/>
          <w:szCs w:val="24"/>
          <w:highlight w:val="yellow"/>
        </w:rPr>
        <w:t xml:space="preserve">各投标人可就上述分包中</w:t>
      </w:r>
      <w:r>
        <w:rPr>
          <w:rFonts w:ascii="仿宋" w:hAnsi="仿宋" w:eastAsia="仿宋" w:cs="宋体"/>
          <w:bCs/>
          <w:color w:val="ff0000"/>
          <w:sz w:val="24"/>
          <w:szCs w:val="24"/>
          <w:highlight w:val="yellow"/>
        </w:rPr>
        <w:t xml:space="preserve">2</w:t>
      </w:r>
      <w:r>
        <w:rPr>
          <w:rFonts w:hint="eastAsia" w:ascii="仿宋" w:hAnsi="仿宋" w:eastAsia="仿宋" w:cs="宋体"/>
          <w:bCs/>
          <w:color w:val="ff0000"/>
          <w:sz w:val="24"/>
          <w:szCs w:val="24"/>
          <w:highlight w:val="yellow"/>
        </w:rPr>
        <w:t xml:space="preserve">个分包投标，但每位投标人只能在1个分包上中标。如某投标人在多个分包上均排名第一时,按</w:t>
      </w:r>
      <w:r>
        <w:rPr>
          <w:rFonts w:hint="eastAsia" w:ascii="仿宋" w:hAnsi="仿宋" w:eastAsia="仿宋" w:cs="宋体"/>
          <w:bCs/>
          <w:color w:val="ff0000"/>
          <w:sz w:val="24"/>
          <w:szCs w:val="24"/>
          <w:highlight w:val="yellow"/>
        </w:rPr>
        <w:t xml:space="preserve">分包一、分包二</w:t>
      </w:r>
      <w:r>
        <w:rPr>
          <w:rFonts w:hint="eastAsia" w:ascii="仿宋" w:hAnsi="仿宋" w:eastAsia="仿宋" w:cs="宋体"/>
          <w:bCs/>
          <w:color w:val="ff0000"/>
          <w:sz w:val="24"/>
          <w:szCs w:val="24"/>
          <w:highlight w:val="yellow"/>
        </w:rPr>
        <w:t xml:space="preserve">顺序定标。</w:t>
      </w:r>
      <w:r/>
    </w:p>
    <w:p>
      <w:pPr>
        <w:ind w:firstLine="482"/>
        <w:spacing w:line="276" w:lineRule="auto"/>
        <w:rPr>
          <w:rFonts w:ascii="仿宋" w:hAnsi="仿宋" w:eastAsia="仿宋" w:cs="宋体"/>
          <w:b/>
          <w:bCs/>
          <w:sz w:val="24"/>
          <w:szCs w:val="24"/>
        </w:rPr>
      </w:pPr>
      <w:r>
        <w:rPr>
          <w:rFonts w:hint="eastAsia" w:ascii="仿宋" w:hAnsi="仿宋" w:eastAsia="仿宋" w:cs="宋体"/>
          <w:b/>
          <w:bCs/>
          <w:sz w:val="24"/>
          <w:szCs w:val="24"/>
        </w:rPr>
        <w:t xml:space="preserve">苏宿园区2024年-2026年公共绿化养护项目分包一：商业区绿化范围及养护标准</w:t>
      </w:r>
      <w:r/>
    </w:p>
    <w:tbl>
      <w:tblPr>
        <w:tblW w:w="0" w:type="auto"/>
        <w:jc w:val="center"/>
        <w:tblLayout w:type="fixed"/>
        <w:tblLook w:val="04A0" w:firstRow="1" w:lastRow="0" w:firstColumn="1" w:lastColumn="0" w:noHBand="0" w:noVBand="1"/>
      </w:tblPr>
      <w:tblGrid>
        <w:gridCol w:w="712"/>
        <w:gridCol w:w="2693"/>
        <w:gridCol w:w="3795"/>
        <w:gridCol w:w="1417"/>
        <w:gridCol w:w="1134"/>
      </w:tblGrid>
      <w:tr>
        <w:trPr>
          <w:jc w:val="center"/>
          <w:trHeight w:val="173"/>
        </w:trPr>
        <w:tc>
          <w:tcPr>
            <w:shd w:val="clear" w:color="000000" w:fill="ffffff"/>
            <w:tcBorders>
              <w:top w:val="single" w:color="000000" w:sz="8" w:space="0"/>
              <w:left w:val="single" w:color="000000" w:sz="8" w:space="0"/>
              <w:bottom w:val="none" w:color="000000" w:sz="4" w:space="0"/>
              <w:right w:val="single" w:color="000000" w:sz="8" w:space="0"/>
            </w:tcBorders>
            <w:tcW w:w="712" w:type="dxa"/>
            <w:vAlign w:val="center"/>
            <w:textDirection w:val="lrTb"/>
            <w:noWrap w:val="false"/>
          </w:tcPr>
          <w:p>
            <w:pPr>
              <w:jc w:val="center"/>
              <w:spacing w:line="276" w:lineRule="auto"/>
              <w:widowControl/>
              <w:rPr>
                <w:rFonts w:ascii="仿宋" w:hAnsi="仿宋" w:eastAsia="仿宋" w:cs="宋体"/>
                <w:bCs/>
                <w:color w:val="000000"/>
                <w:sz w:val="24"/>
                <w:szCs w:val="24"/>
              </w:rPr>
            </w:pPr>
            <w:r>
              <w:rPr>
                <w:rFonts w:hint="eastAsia" w:ascii="仿宋" w:hAnsi="仿宋" w:eastAsia="仿宋" w:cs="宋体"/>
                <w:bCs/>
                <w:color w:val="000000"/>
                <w:sz w:val="24"/>
                <w:szCs w:val="24"/>
              </w:rPr>
              <w:t xml:space="preserve">序号</w:t>
            </w:r>
            <w:r/>
          </w:p>
        </w:tc>
        <w:tc>
          <w:tcPr>
            <w:shd w:val="clear" w:color="000000" w:fill="ffffff"/>
            <w:tcBorders>
              <w:top w:val="single" w:color="000000" w:sz="8" w:space="0"/>
              <w:left w:val="none" w:color="000000" w:sz="4" w:space="0"/>
              <w:bottom w:val="none" w:color="000000" w:sz="4" w:space="0"/>
              <w:right w:val="single" w:color="000000" w:sz="8"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道路名称</w:t>
            </w:r>
            <w:r/>
          </w:p>
        </w:tc>
        <w:tc>
          <w:tcPr>
            <w:shd w:val="clear" w:color="000000" w:fill="ffffff"/>
            <w:tcBorders>
              <w:top w:val="single" w:color="000000" w:sz="8" w:space="0"/>
              <w:left w:val="none" w:color="000000" w:sz="4" w:space="0"/>
              <w:bottom w:val="none" w:color="000000" w:sz="4" w:space="0"/>
              <w:right w:val="single" w:color="000000" w:sz="8"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起止点</w:t>
            </w:r>
            <w:r/>
          </w:p>
        </w:tc>
        <w:tc>
          <w:tcPr>
            <w:shd w:val="clear" w:color="000000" w:fill="ffffff"/>
            <w:tcBorders>
              <w:top w:val="single" w:color="000000" w:sz="8" w:space="0"/>
              <w:left w:val="none" w:color="000000" w:sz="4" w:space="0"/>
              <w:bottom w:val="none" w:color="000000" w:sz="4" w:space="0"/>
              <w:right w:val="single" w:color="000000" w:sz="8"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养护标准</w:t>
            </w:r>
            <w:r/>
          </w:p>
        </w:tc>
        <w:tc>
          <w:tcPr>
            <w:shd w:val="clear" w:color="000000" w:fill="ffffff"/>
            <w:tcBorders>
              <w:top w:val="single" w:color="000000" w:sz="8" w:space="0"/>
              <w:left w:val="none" w:color="000000" w:sz="4" w:space="0"/>
              <w:bottom w:val="none" w:color="000000" w:sz="4" w:space="0"/>
              <w:right w:val="single" w:color="000000" w:sz="8"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备注</w:t>
            </w:r>
            <w:r/>
          </w:p>
        </w:tc>
      </w:tr>
      <w:tr>
        <w:trPr>
          <w:jc w:val="center"/>
          <w:trHeight w:val="76"/>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苏州公园</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一级养护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阳澄湖路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通湖大道-为民河</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一级养护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青海湖西路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为民河桥-通湖大道</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一级养护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富民河</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通湖大道至虞山路交汇处</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一级养护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为民河</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清水河-西湖西路</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利民河</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清水河-同里湖路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环形景观带</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天池山路与鄱阳湖路交叉路口起至同里湖路西侧</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59"/>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8</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邻里公园、邻里中心、街头公园</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玄武湖西路</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通湖大道-为民河</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10</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通达大道</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清水河-西湖西路</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淀山湖路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通湖大道-通达大道</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红海大道</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清水河-西湖西路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名车广场</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红飘带、展示节点</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闸站</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为民河南、北闸、利民河北闸</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天池山路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规划北端-西湖西路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16</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鄱阳湖路</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通湖大道-红海大道</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独墅湖路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通达大道-虞山路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同里湖路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通达大道-虞山路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虞山路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独墅湖路-西湖西路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西湖路</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振兴大道-通湖大道</w:t>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一级养护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石公山路</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青海湖西路-西湖西路</w:t>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三级养护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sz w:val="24"/>
                <w:szCs w:val="24"/>
              </w:rPr>
            </w:pPr>
            <w:r>
              <w:rPr>
                <w:rFonts w:hint="eastAsia" w:ascii="仿宋" w:hAnsi="仿宋" w:eastAsia="仿宋" w:cs="宋体"/>
                <w:sz w:val="24"/>
                <w:szCs w:val="24"/>
              </w:rPr>
              <w:t xml:space="preserve">中央商务区</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一级养护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sz w:val="24"/>
                <w:szCs w:val="24"/>
              </w:rPr>
            </w:pPr>
            <w:r>
              <w:rPr>
                <w:rFonts w:hint="eastAsia" w:ascii="仿宋" w:hAnsi="仿宋" w:eastAsia="仿宋" w:cs="宋体"/>
                <w:sz w:val="24"/>
                <w:szCs w:val="24"/>
              </w:rPr>
              <w:t xml:space="preserve">城发公司待移交工程</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191"/>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sz w:val="24"/>
                <w:szCs w:val="24"/>
              </w:rPr>
            </w:pPr>
            <w:r>
              <w:rPr>
                <w:rFonts w:hint="eastAsia" w:ascii="仿宋" w:hAnsi="仿宋" w:eastAsia="仿宋" w:cs="宋体"/>
                <w:sz w:val="24"/>
                <w:szCs w:val="24"/>
              </w:rPr>
              <w:t xml:space="preserve">拓园区待移交工程</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sz w:val="24"/>
                <w:szCs w:val="24"/>
              </w:rPr>
            </w:pPr>
            <w:r>
              <w:rPr>
                <w:rFonts w:hint="eastAsia" w:ascii="仿宋" w:hAnsi="仿宋" w:eastAsia="仿宋" w:cs="宋体"/>
                <w:sz w:val="24"/>
                <w:szCs w:val="24"/>
              </w:rPr>
              <w:t xml:space="preserve">古树</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前庵寺</w:t>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一级养护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276" w:lineRule="auto"/>
              <w:widowControl/>
              <w:rPr>
                <w:rFonts w:ascii="仿宋" w:hAnsi="仿宋" w:eastAsia="仿宋" w:cs="宋体"/>
                <w:sz w:val="24"/>
                <w:szCs w:val="24"/>
              </w:rPr>
            </w:pPr>
            <w:r>
              <w:rPr>
                <w:rFonts w:hint="eastAsia" w:ascii="仿宋" w:hAnsi="仿宋" w:eastAsia="仿宋" w:cs="宋体"/>
                <w:sz w:val="24"/>
                <w:szCs w:val="24"/>
              </w:rPr>
              <w:t xml:space="preserve">学校住宅周边</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苏外南北小区外围及住宅周边</w:t>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二级养护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bl>
    <w:p>
      <w:pPr>
        <w:ind w:firstLine="482"/>
        <w:spacing w:line="276" w:lineRule="auto"/>
        <w:rPr>
          <w:rFonts w:ascii="仿宋" w:hAnsi="仿宋" w:eastAsia="仿宋" w:cs="宋体"/>
          <w:b/>
          <w:bCs/>
          <w:sz w:val="24"/>
          <w:szCs w:val="24"/>
        </w:rPr>
      </w:pPr>
      <w:r>
        <w:rPr>
          <w:rFonts w:hint="eastAsia" w:ascii="仿宋" w:hAnsi="仿宋" w:eastAsia="仿宋" w:cs="宋体"/>
          <w:b/>
          <w:bCs/>
          <w:sz w:val="24"/>
          <w:szCs w:val="24"/>
        </w:rPr>
        <w:t xml:space="preserve">苏宿园区2024年-2026年公共绿化养护项目分包二：工业区绿化范围及养护标准</w:t>
      </w:r>
      <w:r/>
    </w:p>
    <w:tbl>
      <w:tblPr>
        <w:tblW w:w="0" w:type="auto"/>
        <w:jc w:val="center"/>
        <w:tblLayout w:type="fixed"/>
        <w:tblLook w:val="04A0" w:firstRow="1" w:lastRow="0" w:firstColumn="1" w:lastColumn="0" w:noHBand="0" w:noVBand="1"/>
      </w:tblPr>
      <w:tblGrid>
        <w:gridCol w:w="712"/>
        <w:gridCol w:w="2693"/>
        <w:gridCol w:w="3795"/>
        <w:gridCol w:w="1417"/>
        <w:gridCol w:w="1134"/>
      </w:tblGrid>
      <w:tr>
        <w:trPr>
          <w:jc w:val="center"/>
          <w:trHeight w:val="173"/>
        </w:trPr>
        <w:tc>
          <w:tcPr>
            <w:shd w:val="clear" w:color="000000" w:fill="ffffff"/>
            <w:tcBorders>
              <w:top w:val="single" w:color="000000" w:sz="8" w:space="0"/>
              <w:left w:val="single" w:color="000000" w:sz="8" w:space="0"/>
              <w:bottom w:val="none" w:color="000000" w:sz="4" w:space="0"/>
              <w:right w:val="single" w:color="000000" w:sz="8" w:space="0"/>
            </w:tcBorders>
            <w:tcW w:w="712" w:type="dxa"/>
            <w:vAlign w:val="center"/>
            <w:textDirection w:val="lrTb"/>
            <w:noWrap w:val="false"/>
          </w:tcPr>
          <w:p>
            <w:pPr>
              <w:jc w:val="center"/>
              <w:spacing w:line="276" w:lineRule="auto"/>
              <w:widowControl/>
              <w:rPr>
                <w:rFonts w:ascii="仿宋" w:hAnsi="仿宋" w:eastAsia="仿宋" w:cs="宋体"/>
                <w:bCs/>
                <w:color w:val="000000"/>
                <w:sz w:val="24"/>
                <w:szCs w:val="24"/>
              </w:rPr>
            </w:pPr>
            <w:r>
              <w:rPr>
                <w:rFonts w:hint="eastAsia" w:ascii="仿宋" w:hAnsi="仿宋" w:eastAsia="仿宋" w:cs="宋体"/>
                <w:bCs/>
                <w:color w:val="000000"/>
                <w:sz w:val="24"/>
                <w:szCs w:val="24"/>
              </w:rPr>
              <w:t xml:space="preserve">序号</w:t>
            </w:r>
            <w:r/>
          </w:p>
        </w:tc>
        <w:tc>
          <w:tcPr>
            <w:shd w:val="clear" w:color="000000" w:fill="ffffff"/>
            <w:tcBorders>
              <w:top w:val="single" w:color="000000" w:sz="8" w:space="0"/>
              <w:left w:val="none" w:color="000000" w:sz="4" w:space="0"/>
              <w:bottom w:val="none" w:color="000000" w:sz="4" w:space="0"/>
              <w:right w:val="single" w:color="000000" w:sz="8" w:space="0"/>
            </w:tcBorders>
            <w:tcW w:w="2693"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道路名称</w:t>
            </w:r>
            <w:r/>
          </w:p>
        </w:tc>
        <w:tc>
          <w:tcPr>
            <w:shd w:val="clear" w:color="000000" w:fill="ffffff"/>
            <w:tcBorders>
              <w:top w:val="single" w:color="000000" w:sz="8" w:space="0"/>
              <w:left w:val="none" w:color="000000" w:sz="4" w:space="0"/>
              <w:bottom w:val="none" w:color="000000" w:sz="4" w:space="0"/>
              <w:right w:val="single" w:color="000000" w:sz="8" w:space="0"/>
            </w:tcBorders>
            <w:tcW w:w="3795"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起止点</w:t>
            </w:r>
            <w:r/>
          </w:p>
        </w:tc>
        <w:tc>
          <w:tcPr>
            <w:shd w:val="clear" w:color="000000" w:fill="ffffff"/>
            <w:tcBorders>
              <w:top w:val="single" w:color="000000" w:sz="8" w:space="0"/>
              <w:left w:val="none" w:color="000000" w:sz="4" w:space="0"/>
              <w:bottom w:val="none" w:color="000000" w:sz="4" w:space="0"/>
              <w:right w:val="single" w:color="000000" w:sz="8" w:space="0"/>
            </w:tcBorders>
            <w:tcW w:w="1417"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养护标准</w:t>
            </w:r>
            <w:r/>
          </w:p>
        </w:tc>
        <w:tc>
          <w:tcPr>
            <w:shd w:val="clear" w:color="000000" w:fill="ffffff"/>
            <w:tcBorders>
              <w:top w:val="single" w:color="000000" w:sz="8" w:space="0"/>
              <w:left w:val="none" w:color="000000" w:sz="4" w:space="0"/>
              <w:bottom w:val="none" w:color="000000" w:sz="4" w:space="0"/>
              <w:right w:val="single" w:color="000000" w:sz="8"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备注</w:t>
            </w:r>
            <w:r/>
          </w:p>
        </w:tc>
      </w:tr>
      <w:tr>
        <w:trPr>
          <w:jc w:val="center"/>
          <w:trHeight w:val="125"/>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青海湖西路</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通湖大道-天柱山路</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一级养护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187"/>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阳明山大道</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古城路-镜泊湖路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二级养护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莫愁湖路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普陀山大道-天柱山路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二级养护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古城路</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通湖大道--天柱山路</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二级养护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蔡庄大沟</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十支渠-天柱山路</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五指山路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古城路-皂河灌溉总渠</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昆明湖路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栖霞山路-天柱山路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59"/>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8</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莫干山大道</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古城路-皂河灌溉总区</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天柱山路</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玄武湖西路-皂河灌溉总区</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10</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玄武湖西路</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通湖大道-五指山路</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镜泊湖路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栖霞山路-天柱山路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栖霞山路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古城路-镜泊湖路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普陀山大道</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古城路-蔡庄大沟</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紫金山路</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古城路-清水河</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ff0000"/>
                <w:sz w:val="24"/>
                <w:szCs w:val="24"/>
              </w:rPr>
            </w:pPr>
            <w:r>
              <w:rPr>
                <w:rFonts w:ascii="仿宋" w:hAnsi="仿宋" w:eastAsia="仿宋" w:cs="宋体"/>
                <w:color w:val="ff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民便河</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通湖大道-栖霞山路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16</w:t>
            </w:r>
            <w:r/>
          </w:p>
        </w:tc>
        <w:tc>
          <w:tcPr>
            <w:shd w:val="clear" w:color="000000" w:fill="ffffff"/>
            <w:tcBorders>
              <w:top w:val="singl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十支渠</w:t>
            </w:r>
            <w:r/>
          </w:p>
        </w:tc>
        <w:tc>
          <w:tcPr>
            <w:shd w:val="clear" w:color="000000" w:fill="ffffff"/>
            <w:tcBorders>
              <w:top w:val="singl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清水河-古城路</w:t>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公厕、垃圾中转站</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ascii="仿宋" w:hAnsi="仿宋" w:eastAsia="仿宋" w:cs="宋体"/>
                <w:bCs/>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通湖大道待移交工程</w:t>
            </w:r>
            <w:r/>
          </w:p>
        </w:tc>
        <w:tc>
          <w:tcPr>
            <w:shd w:val="clear" w:color="000000" w:fill="ffffff"/>
            <w:tcBorders>
              <w:top w:val="none" w:color="000000" w:sz="4" w:space="0"/>
              <w:left w:val="non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清水河-北京路</w:t>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一级养护</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闸站</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十支渠南、北闸、民便河闸</w:t>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0</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工业区各企业门口绿化工程量</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ascii="仿宋" w:hAnsi="仿宋" w:eastAsia="仿宋"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新民集</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ascii="仿宋" w:hAnsi="仿宋" w:eastAsia="仿宋"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0"/>
        </w:trPr>
        <w:tc>
          <w:tcPr>
            <w:shd w:val="clear" w:color="000000"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城发公司待移交工程</w:t>
            </w:r>
            <w:r/>
          </w:p>
        </w:tc>
        <w:tc>
          <w:tcPr>
            <w:shd w:val="clear" w:color="000000" w:fill="ffffff"/>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rPr>
                <w:rFonts w:ascii="仿宋" w:hAnsi="仿宋" w:eastAsia="仿宋" w:cs="宋体"/>
                <w:bCs/>
                <w:color w:val="000000"/>
                <w:sz w:val="24"/>
                <w:szCs w:val="24"/>
              </w:rPr>
            </w:pPr>
            <w:r>
              <w:rPr>
                <w:rFonts w:ascii="仿宋" w:hAnsi="仿宋" w:eastAsia="仿宋"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仿宋" w:hAnsi="仿宋" w:eastAsia="仿宋" w:cs="宋体"/>
                <w:bCs/>
                <w:color w:val="000000"/>
                <w:sz w:val="24"/>
                <w:szCs w:val="24"/>
              </w:rPr>
            </w:pPr>
            <w:r>
              <w:rPr>
                <w:rFonts w:hint="eastAsia" w:ascii="仿宋" w:hAnsi="仿宋" w:eastAsia="仿宋" w:cs="宋体"/>
                <w:bCs/>
                <w:color w:val="000000"/>
                <w:sz w:val="24"/>
                <w:szCs w:val="24"/>
              </w:rPr>
              <w:t xml:space="preserve">三级养护</w:t>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r>
    </w:tbl>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2、工程量清单见附件</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3、本次绿化养护招标主要工作内容包括：</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日常养护：完成合同范围内及住宅、厂区周边红线外绿地环境整理及各类植物养护：包括绿化苗木浇灌与排水、整形与修剪、病虫害防治、松土与除草、施肥（基肥与追肥）、树木涂白，切边与留积水穴，弱苗复壮，树木防护、支撑、裹干物整理，宿根花卉等其他各</w:t>
      </w:r>
      <w:r>
        <w:rPr>
          <w:rFonts w:hint="eastAsia" w:ascii="仿宋" w:hAnsi="仿宋" w:eastAsia="仿宋" w:cs="宋体"/>
          <w:bCs/>
          <w:sz w:val="24"/>
          <w:szCs w:val="24"/>
        </w:rPr>
        <w:t xml:space="preserve">类植物补植、修剪整理与养护，绿地防火、绿化巡查等维护工作；</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草花、草坪复播：草坪更新（铺设）与复播，每年及时对分包内退化草坪进行更新（铺设），确保草坪观赏效果；秋季对长势不好的黑麦草及时进行复播，延长冬季草坪绿色期（费用自行考虑在投标报价内，不另行计价）</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3、破坏处理：包括人行踩踏处理、退化植被更新等，林下耐荫苗木更新栽植、绿化开口移植等（费用自行考虑在投标报价内，不另行计价）。</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4、管养期内苗木死亡补植、原有苗木疏理移植、分包内土方微调等；</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5、服从甲方工作调遣，及时开展临时交办的绿化养护相关工作,如相关调查、信息汇总以及其他临时交办任务，及时高效处理数字城管任务单。</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6、中标单位报价要充分考虑现场新栽苗木的养护成本。</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四、绿化养护质量标准及技术要求</w:t>
      </w:r>
      <w:r/>
    </w:p>
    <w:p>
      <w:pPr>
        <w:ind w:firstLine="480"/>
        <w:jc w:val="left"/>
        <w:spacing w:line="276" w:lineRule="auto"/>
        <w:rPr>
          <w:rFonts w:ascii="仿宋" w:hAnsi="仿宋" w:eastAsia="仿宋" w:cs="宋体"/>
          <w:b/>
          <w:bCs/>
          <w:sz w:val="24"/>
          <w:szCs w:val="24"/>
        </w:rPr>
      </w:pPr>
      <w:r>
        <w:rPr>
          <w:rFonts w:hint="eastAsia" w:ascii="仿宋" w:hAnsi="仿宋" w:eastAsia="仿宋" w:cs="宋体"/>
          <w:bCs/>
          <w:sz w:val="24"/>
          <w:szCs w:val="24"/>
        </w:rPr>
        <w:t xml:space="preserve">1.绿化养护质量标准：养护质量合格，标准符合《江苏省城市园林植物养护管理规范及标准（201508）》相关等级标准。</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2.绿化养护操作规范符合《苏宿园区绿化养护作业导则》。</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3.在合同履行期间，如有新的规范标准出台，执行最新规范标准。（详见附件一）</w:t>
      </w:r>
      <w:r/>
    </w:p>
    <w:p>
      <w:pPr>
        <w:ind w:firstLine="482"/>
        <w:jc w:val="left"/>
        <w:spacing w:line="276" w:lineRule="auto"/>
        <w:rPr>
          <w:rFonts w:ascii="仿宋" w:hAnsi="仿宋" w:eastAsia="仿宋" w:cs="宋体"/>
          <w:b/>
          <w:bCs/>
          <w:color w:val="ff0000"/>
          <w:sz w:val="24"/>
          <w:szCs w:val="24"/>
          <w:highlight w:val="yellow"/>
        </w:rPr>
      </w:pPr>
      <w:r>
        <w:rPr>
          <w:rFonts w:hint="eastAsia" w:ascii="仿宋" w:hAnsi="仿宋" w:eastAsia="仿宋" w:cs="宋体"/>
          <w:b/>
          <w:bCs/>
          <w:color w:val="ff0000"/>
          <w:sz w:val="24"/>
          <w:szCs w:val="24"/>
          <w:highlight w:val="yellow"/>
        </w:rPr>
        <w:t xml:space="preserve">五、人员及机械配备要求</w:t>
      </w:r>
      <w:r/>
    </w:p>
    <w:p>
      <w:pPr>
        <w:ind w:firstLine="480"/>
        <w:spacing w:line="276" w:lineRule="auto"/>
        <w:rPr>
          <w:rFonts w:ascii="仿宋" w:hAnsi="仿宋" w:eastAsia="仿宋" w:cs="宋体"/>
          <w:bCs/>
          <w:color w:val="ff0000"/>
          <w:sz w:val="24"/>
          <w:szCs w:val="24"/>
          <w:highlight w:val="yellow"/>
        </w:rPr>
      </w:pPr>
      <w:r>
        <w:rPr>
          <w:rFonts w:hint="eastAsia" w:ascii="仿宋" w:hAnsi="仿宋" w:eastAsia="仿宋" w:cs="宋体"/>
          <w:b/>
          <w:color w:val="ff0000"/>
          <w:sz w:val="24"/>
          <w:szCs w:val="24"/>
          <w:highlight w:val="yellow"/>
        </w:rPr>
        <w:t xml:space="preserve">★</w:t>
      </w:r>
      <w:r>
        <w:rPr>
          <w:rFonts w:hint="eastAsia" w:ascii="仿宋" w:hAnsi="仿宋" w:eastAsia="仿宋" w:cs="宋体"/>
          <w:bCs/>
          <w:color w:val="ff0000"/>
          <w:sz w:val="24"/>
          <w:szCs w:val="24"/>
          <w:highlight w:val="yellow"/>
        </w:rPr>
        <w:t xml:space="preserve">（一）项目拟投入人员要求：</w:t>
      </w:r>
      <w:r/>
    </w:p>
    <w:p>
      <w:pPr>
        <w:ind w:firstLine="482"/>
        <w:jc w:val="left"/>
        <w:spacing w:line="276" w:lineRule="auto"/>
        <w:rPr>
          <w:rFonts w:ascii="仿宋" w:hAnsi="仿宋" w:eastAsia="仿宋" w:cs="宋体"/>
          <w:b/>
          <w:color w:val="ff0000"/>
          <w:sz w:val="24"/>
          <w:szCs w:val="24"/>
          <w:highlight w:val="yellow"/>
        </w:rPr>
      </w:pPr>
      <w:r>
        <w:rPr>
          <w:rFonts w:hint="eastAsia" w:ascii="仿宋" w:hAnsi="仿宋" w:eastAsia="仿宋" w:cs="宋体"/>
          <w:b/>
          <w:color w:val="ff0000"/>
          <w:sz w:val="24"/>
          <w:szCs w:val="24"/>
          <w:highlight w:val="yellow"/>
        </w:rPr>
        <w:t xml:space="preserve">1、项目经理1名：</w:t>
      </w:r>
      <w:r>
        <w:rPr>
          <w:rFonts w:hint="eastAsia" w:ascii="仿宋" w:hAnsi="仿宋" w:eastAsia="仿宋" w:cs="宋体"/>
          <w:bCs/>
          <w:color w:val="ff0000"/>
          <w:sz w:val="24"/>
          <w:szCs w:val="24"/>
          <w:highlight w:val="yellow"/>
        </w:rPr>
        <w:t xml:space="preserve">为投标</w:t>
      </w:r>
      <w:r>
        <w:rPr>
          <w:rFonts w:hint="eastAsia" w:ascii="仿宋" w:hAnsi="仿宋" w:eastAsia="仿宋" w:cs="宋体"/>
          <w:bCs/>
          <w:color w:val="ff0000"/>
          <w:sz w:val="24"/>
          <w:szCs w:val="24"/>
          <w:highlight w:val="yellow"/>
        </w:rPr>
        <w:t xml:space="preserve">单位</w:t>
      </w:r>
      <w:r>
        <w:rPr>
          <w:rFonts w:hint="eastAsia" w:ascii="仿宋" w:hAnsi="仿宋" w:eastAsia="仿宋" w:cs="宋体"/>
          <w:bCs/>
          <w:color w:val="ff0000"/>
          <w:sz w:val="24"/>
          <w:szCs w:val="24"/>
          <w:highlight w:val="yellow"/>
        </w:rPr>
        <w:t xml:space="preserve">的正式员工，具有大专及以上学历，园林</w:t>
      </w:r>
      <w:r>
        <w:rPr>
          <w:rFonts w:hint="eastAsia" w:ascii="仿宋" w:hAnsi="仿宋" w:eastAsia="仿宋" w:cs="宋体"/>
          <w:bCs/>
          <w:color w:val="ff0000"/>
          <w:sz w:val="24"/>
          <w:szCs w:val="24"/>
          <w:highlight w:val="yellow"/>
        </w:rPr>
        <w:t xml:space="preserve">绿化</w:t>
      </w:r>
      <w:r>
        <w:rPr>
          <w:rFonts w:hint="eastAsia" w:ascii="仿宋" w:hAnsi="仿宋" w:eastAsia="仿宋" w:cs="宋体"/>
          <w:bCs/>
          <w:color w:val="ff0000"/>
          <w:sz w:val="24"/>
          <w:szCs w:val="24"/>
          <w:highlight w:val="yellow"/>
        </w:rPr>
        <w:t xml:space="preserve">相关专业中级及以上技术职称。</w:t>
      </w:r>
      <w:r>
        <w:rPr>
          <w:rFonts w:hint="eastAsia" w:ascii="仿宋" w:hAnsi="仿宋" w:eastAsia="仿宋" w:cs="宋体"/>
          <w:b/>
          <w:color w:val="ff0000"/>
          <w:sz w:val="24"/>
          <w:szCs w:val="24"/>
          <w:highlight w:val="yellow"/>
        </w:rPr>
        <w:t xml:space="preserve">投标</w:t>
      </w:r>
      <w:r>
        <w:rPr>
          <w:rFonts w:hint="eastAsia" w:ascii="仿宋" w:hAnsi="仿宋" w:eastAsia="仿宋" w:cs="宋体"/>
          <w:b/>
          <w:color w:val="ff0000"/>
          <w:sz w:val="24"/>
          <w:szCs w:val="24"/>
          <w:highlight w:val="yellow"/>
        </w:rPr>
        <w:t xml:space="preserve">文件中</w:t>
      </w:r>
      <w:r>
        <w:rPr>
          <w:rFonts w:hint="eastAsia" w:ascii="仿宋" w:hAnsi="仿宋" w:eastAsia="仿宋" w:cs="宋体"/>
          <w:b/>
          <w:color w:val="ff0000"/>
          <w:sz w:val="24"/>
          <w:szCs w:val="24"/>
          <w:highlight w:val="yellow"/>
        </w:rPr>
        <w:t xml:space="preserve">提供毕业证、职称证、2023年10月（含）以来本单位为其办理的任意1个月社会养老保险或医疗保险缴纳证明</w:t>
      </w:r>
      <w:r>
        <w:rPr>
          <w:rFonts w:hint="eastAsia" w:ascii="仿宋" w:hAnsi="仿宋" w:eastAsia="仿宋" w:cs="宋体"/>
          <w:b/>
          <w:color w:val="ff0000"/>
          <w:sz w:val="24"/>
          <w:szCs w:val="24"/>
          <w:highlight w:val="yellow"/>
        </w:rPr>
        <w:t xml:space="preserve">电子件</w:t>
      </w:r>
      <w:r>
        <w:rPr>
          <w:rFonts w:hint="eastAsia" w:ascii="仿宋" w:hAnsi="仿宋" w:eastAsia="仿宋" w:cs="宋体"/>
          <w:b/>
          <w:color w:val="ff0000"/>
          <w:sz w:val="24"/>
          <w:szCs w:val="24"/>
          <w:highlight w:val="yellow"/>
        </w:rPr>
        <w:t xml:space="preserve">。</w:t>
      </w:r>
      <w:r/>
    </w:p>
    <w:p>
      <w:pPr>
        <w:ind w:firstLine="482"/>
        <w:jc w:val="left"/>
        <w:spacing w:line="276" w:lineRule="auto"/>
        <w:rPr>
          <w:rFonts w:ascii="仿宋" w:hAnsi="仿宋" w:eastAsia="仿宋" w:cs="宋体"/>
          <w:bCs/>
          <w:color w:val="ff0000"/>
          <w:sz w:val="24"/>
          <w:szCs w:val="24"/>
          <w:highlight w:val="yellow"/>
        </w:rPr>
      </w:pPr>
      <w:r>
        <w:rPr>
          <w:rFonts w:hint="eastAsia" w:ascii="仿宋" w:hAnsi="仿宋" w:eastAsia="仿宋" w:cs="宋体"/>
          <w:b/>
          <w:color w:val="ff0000"/>
          <w:sz w:val="24"/>
          <w:szCs w:val="24"/>
          <w:highlight w:val="yellow"/>
        </w:rPr>
        <w:t xml:space="preserve">2、绿化主管1名</w:t>
      </w:r>
      <w:r>
        <w:rPr>
          <w:rFonts w:hint="eastAsia" w:ascii="仿宋" w:hAnsi="仿宋" w:eastAsia="仿宋" w:cs="宋体"/>
          <w:bCs/>
          <w:color w:val="ff0000"/>
          <w:sz w:val="24"/>
          <w:szCs w:val="24"/>
          <w:highlight w:val="yellow"/>
        </w:rPr>
        <w:t xml:space="preserve">。</w:t>
      </w:r>
      <w:r/>
    </w:p>
    <w:p>
      <w:pPr>
        <w:ind w:firstLine="482"/>
        <w:jc w:val="left"/>
        <w:spacing w:line="276" w:lineRule="auto"/>
        <w:rPr>
          <w:rFonts w:ascii="仿宋" w:hAnsi="仿宋" w:eastAsia="仿宋" w:cs="宋体"/>
          <w:bCs/>
          <w:color w:val="ff0000"/>
          <w:sz w:val="24"/>
          <w:szCs w:val="24"/>
          <w:highlight w:val="yellow"/>
        </w:rPr>
      </w:pPr>
      <w:r>
        <w:rPr>
          <w:rFonts w:ascii="仿宋" w:hAnsi="仿宋" w:eastAsia="仿宋" w:cs="宋体"/>
          <w:b/>
          <w:color w:val="ff0000"/>
          <w:sz w:val="24"/>
          <w:szCs w:val="24"/>
          <w:highlight w:val="yellow"/>
        </w:rPr>
        <w:t xml:space="preserve">3</w:t>
      </w:r>
      <w:r>
        <w:rPr>
          <w:rFonts w:hint="eastAsia" w:ascii="仿宋" w:hAnsi="仿宋" w:eastAsia="仿宋" w:cs="宋体"/>
          <w:b/>
          <w:color w:val="ff0000"/>
          <w:sz w:val="24"/>
          <w:szCs w:val="24"/>
          <w:highlight w:val="yellow"/>
        </w:rPr>
        <w:t xml:space="preserve">、安全员1名</w:t>
      </w:r>
      <w:r>
        <w:rPr>
          <w:rFonts w:hint="eastAsia" w:ascii="仿宋" w:hAnsi="仿宋" w:eastAsia="仿宋" w:cs="宋体"/>
          <w:bCs/>
          <w:color w:val="ff0000"/>
          <w:sz w:val="24"/>
          <w:szCs w:val="24"/>
          <w:highlight w:val="yellow"/>
        </w:rPr>
        <w:t xml:space="preserve">：</w:t>
      </w:r>
      <w:r>
        <w:rPr>
          <w:rFonts w:hint="eastAsia" w:ascii="仿宋" w:hAnsi="仿宋" w:eastAsia="仿宋" w:cs="宋体"/>
          <w:bCs/>
          <w:color w:val="ff0000"/>
          <w:sz w:val="24"/>
          <w:szCs w:val="24"/>
          <w:highlight w:val="yellow"/>
        </w:rPr>
        <w:t xml:space="preserve">具</w:t>
      </w:r>
      <w:r>
        <w:rPr>
          <w:rFonts w:hint="eastAsia" w:ascii="仿宋" w:hAnsi="仿宋" w:eastAsia="仿宋" w:cs="宋体"/>
          <w:bCs/>
          <w:color w:val="ff0000"/>
          <w:sz w:val="24"/>
          <w:szCs w:val="24"/>
          <w:highlight w:val="yellow"/>
        </w:rPr>
        <w:t xml:space="preserve">有</w:t>
      </w:r>
      <w:r>
        <w:rPr>
          <w:rFonts w:hint="eastAsia" w:ascii="仿宋" w:hAnsi="仿宋" w:eastAsia="仿宋" w:cs="宋体"/>
          <w:bCs/>
          <w:color w:val="ff0000"/>
          <w:sz w:val="24"/>
          <w:szCs w:val="24"/>
          <w:highlight w:val="yellow"/>
        </w:rPr>
        <w:t xml:space="preserve">安全员</w:t>
      </w:r>
      <w:r>
        <w:rPr>
          <w:rFonts w:hint="eastAsia" w:ascii="仿宋" w:hAnsi="仿宋" w:eastAsia="仿宋" w:cs="宋体"/>
          <w:bCs/>
          <w:color w:val="ff0000"/>
          <w:sz w:val="24"/>
          <w:szCs w:val="24"/>
          <w:highlight w:val="yellow"/>
        </w:rPr>
        <w:t xml:space="preserve">相关</w:t>
      </w:r>
      <w:r>
        <w:rPr>
          <w:rFonts w:hint="eastAsia" w:ascii="仿宋" w:hAnsi="仿宋" w:eastAsia="仿宋" w:cs="宋体"/>
          <w:bCs/>
          <w:color w:val="ff0000"/>
          <w:sz w:val="24"/>
          <w:szCs w:val="24"/>
          <w:highlight w:val="yellow"/>
        </w:rPr>
        <w:t xml:space="preserve">证书</w:t>
      </w:r>
      <w:r>
        <w:rPr>
          <w:rFonts w:hint="eastAsia" w:ascii="仿宋" w:hAnsi="仿宋" w:eastAsia="仿宋" w:cs="宋体"/>
          <w:bCs/>
          <w:color w:val="ff0000"/>
          <w:sz w:val="24"/>
          <w:szCs w:val="24"/>
          <w:highlight w:val="yellow"/>
        </w:rPr>
        <w:t xml:space="preserve">。</w:t>
      </w:r>
      <w:r>
        <w:rPr>
          <w:rFonts w:hint="eastAsia" w:ascii="仿宋" w:hAnsi="仿宋" w:eastAsia="仿宋" w:cs="宋体"/>
          <w:b/>
          <w:color w:val="ff0000"/>
          <w:sz w:val="24"/>
          <w:szCs w:val="24"/>
          <w:highlight w:val="yellow"/>
        </w:rPr>
        <w:t xml:space="preserve">投标</w:t>
      </w:r>
      <w:r>
        <w:rPr>
          <w:rFonts w:hint="eastAsia" w:ascii="仿宋" w:hAnsi="仿宋" w:eastAsia="仿宋" w:cs="宋体"/>
          <w:b/>
          <w:color w:val="ff0000"/>
          <w:sz w:val="24"/>
          <w:szCs w:val="24"/>
          <w:highlight w:val="yellow"/>
        </w:rPr>
        <w:t xml:space="preserve">文件中</w:t>
      </w:r>
      <w:r>
        <w:rPr>
          <w:rFonts w:hint="eastAsia" w:ascii="仿宋" w:hAnsi="仿宋" w:eastAsia="仿宋" w:cs="宋体"/>
          <w:b/>
          <w:color w:val="ff0000"/>
          <w:sz w:val="24"/>
          <w:szCs w:val="24"/>
          <w:highlight w:val="yellow"/>
        </w:rPr>
        <w:t xml:space="preserve">提供</w:t>
      </w:r>
      <w:r>
        <w:rPr>
          <w:rFonts w:hint="eastAsia" w:ascii="仿宋" w:hAnsi="仿宋" w:eastAsia="仿宋" w:cs="宋体"/>
          <w:b/>
          <w:color w:val="ff0000"/>
          <w:sz w:val="24"/>
          <w:szCs w:val="24"/>
          <w:highlight w:val="yellow"/>
        </w:rPr>
        <w:t xml:space="preserve">安全员</w:t>
      </w:r>
      <w:r>
        <w:rPr>
          <w:rFonts w:hint="eastAsia" w:ascii="仿宋" w:hAnsi="仿宋" w:eastAsia="仿宋" w:cs="宋体"/>
          <w:b/>
          <w:color w:val="ff0000"/>
          <w:sz w:val="24"/>
          <w:szCs w:val="24"/>
          <w:highlight w:val="yellow"/>
        </w:rPr>
        <w:t xml:space="preserve">相关</w:t>
      </w:r>
      <w:r>
        <w:rPr>
          <w:rFonts w:hint="eastAsia" w:ascii="仿宋" w:hAnsi="仿宋" w:eastAsia="仿宋" w:cs="宋体"/>
          <w:b/>
          <w:color w:val="ff0000"/>
          <w:sz w:val="24"/>
          <w:szCs w:val="24"/>
          <w:highlight w:val="yellow"/>
        </w:rPr>
        <w:t xml:space="preserve">证书电子件。</w:t>
      </w:r>
      <w:r/>
    </w:p>
    <w:p>
      <w:pPr>
        <w:ind w:firstLine="482"/>
        <w:jc w:val="left"/>
        <w:spacing w:line="276" w:lineRule="auto"/>
        <w:rPr>
          <w:rFonts w:ascii="仿宋" w:hAnsi="仿宋" w:eastAsia="仿宋" w:cs="宋体"/>
          <w:bCs/>
          <w:color w:val="ff0000"/>
          <w:sz w:val="24"/>
          <w:szCs w:val="24"/>
          <w:highlight w:val="yellow"/>
        </w:rPr>
      </w:pPr>
      <w:r>
        <w:rPr>
          <w:rFonts w:ascii="仿宋" w:hAnsi="仿宋" w:eastAsia="仿宋" w:cs="宋体"/>
          <w:b/>
          <w:color w:val="ff0000"/>
          <w:sz w:val="24"/>
          <w:szCs w:val="24"/>
          <w:highlight w:val="yellow"/>
        </w:rPr>
        <w:t xml:space="preserve">4</w:t>
      </w:r>
      <w:r>
        <w:rPr>
          <w:rFonts w:hint="eastAsia" w:ascii="仿宋" w:hAnsi="仿宋" w:eastAsia="仿宋" w:cs="宋体"/>
          <w:b/>
          <w:color w:val="ff0000"/>
          <w:sz w:val="24"/>
          <w:szCs w:val="24"/>
          <w:highlight w:val="yellow"/>
        </w:rPr>
        <w:t xml:space="preserve">、资料员1名</w:t>
      </w:r>
      <w:r>
        <w:rPr>
          <w:rFonts w:hint="eastAsia" w:ascii="仿宋" w:hAnsi="仿宋" w:eastAsia="仿宋" w:cs="宋体"/>
          <w:bCs/>
          <w:color w:val="ff0000"/>
          <w:sz w:val="24"/>
          <w:szCs w:val="24"/>
          <w:highlight w:val="yellow"/>
        </w:rPr>
        <w:t xml:space="preserve">：</w:t>
      </w:r>
      <w:r>
        <w:rPr>
          <w:rFonts w:hint="eastAsia" w:ascii="仿宋" w:hAnsi="仿宋" w:eastAsia="仿宋" w:cs="宋体"/>
          <w:bCs/>
          <w:color w:val="ff0000"/>
          <w:sz w:val="24"/>
          <w:szCs w:val="24"/>
          <w:highlight w:val="yellow"/>
        </w:rPr>
        <w:t xml:space="preserve">具</w:t>
      </w:r>
      <w:r>
        <w:rPr>
          <w:rFonts w:hint="eastAsia" w:ascii="仿宋" w:hAnsi="仿宋" w:eastAsia="仿宋" w:cs="宋体"/>
          <w:bCs/>
          <w:color w:val="ff0000"/>
          <w:sz w:val="24"/>
          <w:szCs w:val="24"/>
          <w:highlight w:val="yellow"/>
        </w:rPr>
        <w:t xml:space="preserve">有</w:t>
      </w:r>
      <w:r>
        <w:rPr>
          <w:rFonts w:hint="eastAsia" w:ascii="仿宋" w:hAnsi="仿宋" w:eastAsia="仿宋" w:cs="宋体"/>
          <w:bCs/>
          <w:color w:val="ff0000"/>
          <w:sz w:val="24"/>
          <w:szCs w:val="24"/>
          <w:highlight w:val="yellow"/>
        </w:rPr>
        <w:t xml:space="preserve">大专及以上学历。</w:t>
      </w:r>
      <w:r>
        <w:rPr>
          <w:rFonts w:hint="eastAsia" w:ascii="仿宋" w:hAnsi="仿宋" w:eastAsia="仿宋" w:cs="宋体"/>
          <w:b/>
          <w:color w:val="ff0000"/>
          <w:sz w:val="24"/>
          <w:szCs w:val="24"/>
          <w:highlight w:val="yellow"/>
        </w:rPr>
        <w:t xml:space="preserve">投标</w:t>
      </w:r>
      <w:r>
        <w:rPr>
          <w:rFonts w:hint="eastAsia" w:ascii="仿宋" w:hAnsi="仿宋" w:eastAsia="仿宋" w:cs="宋体"/>
          <w:b/>
          <w:color w:val="ff0000"/>
          <w:sz w:val="24"/>
          <w:szCs w:val="24"/>
          <w:highlight w:val="yellow"/>
        </w:rPr>
        <w:t xml:space="preserve">文件中</w:t>
      </w:r>
      <w:r>
        <w:rPr>
          <w:rFonts w:hint="eastAsia" w:ascii="仿宋" w:hAnsi="仿宋" w:eastAsia="仿宋" w:cs="宋体"/>
          <w:b/>
          <w:color w:val="ff0000"/>
          <w:sz w:val="24"/>
          <w:szCs w:val="24"/>
          <w:highlight w:val="yellow"/>
        </w:rPr>
        <w:t xml:space="preserve">提供</w:t>
      </w:r>
      <w:r>
        <w:rPr>
          <w:rFonts w:hint="eastAsia" w:ascii="仿宋" w:hAnsi="仿宋" w:eastAsia="仿宋" w:cs="宋体"/>
          <w:b/>
          <w:color w:val="ff0000"/>
          <w:sz w:val="24"/>
          <w:szCs w:val="24"/>
          <w:highlight w:val="yellow"/>
        </w:rPr>
        <w:t xml:space="preserve">毕业证电子件。</w:t>
      </w:r>
      <w:r/>
    </w:p>
    <w:p>
      <w:pPr>
        <w:ind w:firstLine="482"/>
        <w:jc w:val="left"/>
        <w:spacing w:line="276" w:lineRule="auto"/>
        <w:rPr>
          <w:rFonts w:ascii="仿宋" w:hAnsi="仿宋" w:eastAsia="仿宋" w:cs="宋体"/>
          <w:bCs/>
          <w:color w:val="ff0000"/>
          <w:sz w:val="24"/>
          <w:szCs w:val="24"/>
          <w:highlight w:val="yellow"/>
        </w:rPr>
      </w:pPr>
      <w:r>
        <w:rPr>
          <w:rFonts w:ascii="仿宋" w:hAnsi="仿宋" w:eastAsia="仿宋" w:cs="宋体"/>
          <w:b/>
          <w:color w:val="ff0000"/>
          <w:sz w:val="24"/>
          <w:szCs w:val="24"/>
          <w:highlight w:val="yellow"/>
        </w:rPr>
        <w:t xml:space="preserve">5</w:t>
      </w:r>
      <w:r>
        <w:rPr>
          <w:rFonts w:hint="eastAsia" w:ascii="仿宋" w:hAnsi="仿宋" w:eastAsia="仿宋" w:cs="宋体"/>
          <w:b/>
          <w:color w:val="ff0000"/>
          <w:sz w:val="24"/>
          <w:szCs w:val="24"/>
          <w:highlight w:val="yellow"/>
        </w:rPr>
        <w:t xml:space="preserve">、</w:t>
      </w:r>
      <w:r>
        <w:rPr>
          <w:rFonts w:hint="eastAsia" w:ascii="仿宋" w:hAnsi="仿宋" w:eastAsia="仿宋" w:cs="宋体"/>
          <w:b/>
          <w:color w:val="ff0000"/>
          <w:sz w:val="24"/>
          <w:szCs w:val="24"/>
          <w:highlight w:val="yellow"/>
        </w:rPr>
        <w:t xml:space="preserve">绿化工或花卉园艺工</w:t>
      </w:r>
      <w:r>
        <w:rPr>
          <w:rFonts w:hint="eastAsia" w:ascii="仿宋" w:hAnsi="仿宋" w:eastAsia="仿宋" w:cs="宋体"/>
          <w:b/>
          <w:color w:val="ff0000"/>
          <w:sz w:val="24"/>
          <w:szCs w:val="24"/>
          <w:highlight w:val="yellow"/>
        </w:rPr>
        <w:t xml:space="preserve">4名</w:t>
      </w:r>
      <w:r>
        <w:rPr>
          <w:rFonts w:hint="eastAsia" w:ascii="仿宋" w:hAnsi="仿宋" w:eastAsia="仿宋" w:cs="宋体"/>
          <w:bCs/>
          <w:color w:val="ff0000"/>
          <w:sz w:val="24"/>
          <w:szCs w:val="24"/>
          <w:highlight w:val="yellow"/>
        </w:rPr>
        <w:t xml:space="preserve">：具</w:t>
      </w:r>
      <w:r>
        <w:rPr>
          <w:rFonts w:hint="eastAsia" w:ascii="仿宋" w:hAnsi="仿宋" w:eastAsia="仿宋" w:cs="宋体"/>
          <w:bCs/>
          <w:color w:val="ff0000"/>
          <w:sz w:val="24"/>
          <w:szCs w:val="24"/>
          <w:highlight w:val="yellow"/>
        </w:rPr>
        <w:t xml:space="preserve">有</w:t>
      </w:r>
      <w:r>
        <w:rPr>
          <w:rFonts w:hint="eastAsia" w:ascii="仿宋" w:hAnsi="仿宋" w:eastAsia="仿宋" w:cs="宋体"/>
          <w:bCs/>
          <w:color w:val="ff0000"/>
          <w:sz w:val="24"/>
          <w:szCs w:val="24"/>
          <w:highlight w:val="yellow"/>
        </w:rPr>
        <w:t xml:space="preserve">绿化工</w:t>
      </w:r>
      <w:r>
        <w:rPr>
          <w:rFonts w:hint="eastAsia" w:ascii="仿宋" w:hAnsi="仿宋" w:eastAsia="仿宋" w:cs="宋体"/>
          <w:bCs/>
          <w:color w:val="ff0000"/>
          <w:sz w:val="24"/>
          <w:szCs w:val="24"/>
          <w:highlight w:val="yellow"/>
        </w:rPr>
        <w:t xml:space="preserve">中级（四级）及以上证书</w:t>
      </w:r>
      <w:r>
        <w:rPr>
          <w:rFonts w:hint="eastAsia" w:ascii="仿宋" w:hAnsi="仿宋" w:eastAsia="仿宋" w:cs="宋体"/>
          <w:bCs/>
          <w:color w:val="ff0000"/>
          <w:sz w:val="24"/>
          <w:szCs w:val="24"/>
          <w:highlight w:val="yellow"/>
        </w:rPr>
        <w:t xml:space="preserve">或花</w:t>
      </w:r>
      <w:r>
        <w:rPr>
          <w:rFonts w:hint="eastAsia" w:ascii="仿宋" w:hAnsi="仿宋" w:eastAsia="仿宋" w:cs="宋体"/>
          <w:bCs/>
          <w:color w:val="ff0000"/>
          <w:sz w:val="24"/>
          <w:szCs w:val="24"/>
          <w:highlight w:val="yellow"/>
        </w:rPr>
        <w:t xml:space="preserve">卉园艺工中级</w:t>
      </w:r>
      <w:r>
        <w:rPr>
          <w:rFonts w:hint="eastAsia" w:ascii="仿宋" w:hAnsi="仿宋" w:eastAsia="仿宋" w:cs="宋体"/>
          <w:bCs/>
          <w:color w:val="ff0000"/>
          <w:sz w:val="24"/>
          <w:szCs w:val="24"/>
          <w:highlight w:val="yellow"/>
        </w:rPr>
        <w:t xml:space="preserve">（四级）</w:t>
      </w:r>
      <w:r>
        <w:rPr>
          <w:rFonts w:hint="eastAsia" w:ascii="仿宋" w:hAnsi="仿宋" w:eastAsia="仿宋" w:cs="宋体"/>
          <w:bCs/>
          <w:color w:val="ff0000"/>
          <w:sz w:val="24"/>
          <w:szCs w:val="24"/>
          <w:highlight w:val="yellow"/>
        </w:rPr>
        <w:t xml:space="preserve">及以上证书。</w:t>
      </w:r>
      <w:r>
        <w:rPr>
          <w:rFonts w:hint="eastAsia" w:ascii="仿宋" w:hAnsi="仿宋" w:eastAsia="仿宋" w:cs="宋体"/>
          <w:b/>
          <w:color w:val="ff0000"/>
          <w:sz w:val="24"/>
          <w:szCs w:val="24"/>
          <w:highlight w:val="yellow"/>
        </w:rPr>
        <w:t xml:space="preserve">投标文件中提供证书电子件。</w:t>
      </w:r>
      <w:r/>
    </w:p>
    <w:p>
      <w:pPr>
        <w:ind w:firstLine="480"/>
        <w:spacing w:line="276" w:lineRule="auto"/>
        <w:rPr>
          <w:rFonts w:ascii="仿宋" w:hAnsi="仿宋" w:eastAsia="仿宋" w:cs="宋体"/>
          <w:bCs/>
          <w:color w:val="ff0000"/>
          <w:sz w:val="24"/>
          <w:szCs w:val="24"/>
          <w:highlight w:val="yellow"/>
        </w:rPr>
      </w:pPr>
      <w:r>
        <w:rPr>
          <w:rFonts w:hint="eastAsia" w:ascii="仿宋" w:hAnsi="仿宋" w:eastAsia="仿宋" w:cs="宋体"/>
          <w:bCs/>
          <w:color w:val="ff0000"/>
          <w:sz w:val="24"/>
          <w:szCs w:val="24"/>
          <w:highlight w:val="yellow"/>
        </w:rPr>
        <w:t xml:space="preserve">★</w:t>
      </w:r>
      <w:r>
        <w:rPr>
          <w:rFonts w:hint="eastAsia" w:ascii="仿宋" w:hAnsi="仿宋" w:eastAsia="仿宋" w:cs="宋体"/>
          <w:bCs/>
          <w:color w:val="ff0000"/>
          <w:sz w:val="24"/>
          <w:szCs w:val="24"/>
          <w:highlight w:val="yellow"/>
        </w:rPr>
        <w:t xml:space="preserve">（二）绿化养护机械设备配置要求：</w:t>
      </w:r>
      <w:r/>
    </w:p>
    <w:tbl>
      <w:tblPr>
        <w:tblW w:w="100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09"/>
        <w:gridCol w:w="1276"/>
        <w:gridCol w:w="1418"/>
        <w:gridCol w:w="1275"/>
        <w:gridCol w:w="1057"/>
        <w:gridCol w:w="1495"/>
        <w:gridCol w:w="1079"/>
        <w:gridCol w:w="1047"/>
      </w:tblGrid>
      <w:tr>
        <w:trPr>
          <w:jc w:val="center"/>
          <w:trHeight w:val="227"/>
        </w:trPr>
        <w:tc>
          <w:tcPr>
            <w:gridSpan w:val="8"/>
            <w:tcW w:w="10056" w:type="dxa"/>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分包一：商业区主要机械设备配置要求最低限（辆或台）</w:t>
            </w:r>
            <w:r/>
          </w:p>
        </w:tc>
      </w:tr>
      <w:tr>
        <w:trPr>
          <w:jc w:val="center"/>
          <w:trHeight w:val="975"/>
        </w:trPr>
        <w:tc>
          <w:tcPr>
            <w:tcW w:w="1409"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洒水车</w:t>
            </w:r>
            <w:r/>
          </w:p>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（≥10吨）</w:t>
            </w:r>
            <w:r/>
          </w:p>
        </w:tc>
        <w:tc>
          <w:tcPr>
            <w:tcW w:w="1276"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宋体"/>
                <w:bCs/>
                <w:color w:val="ff0000"/>
                <w:sz w:val="24"/>
                <w:szCs w:val="24"/>
                <w:highlight w:val="yellow"/>
              </w:rPr>
              <w:t xml:space="preserve">座骑式草坪修剪机</w:t>
            </w:r>
            <w:r/>
          </w:p>
        </w:tc>
        <w:tc>
          <w:tcPr>
            <w:tcW w:w="1418"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草坪修剪机</w:t>
            </w:r>
            <w:r/>
          </w:p>
        </w:tc>
        <w:tc>
          <w:tcPr>
            <w:tcW w:w="1275"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手推机动喷雾器</w:t>
            </w:r>
            <w:r/>
          </w:p>
        </w:tc>
        <w:tc>
          <w:tcPr>
            <w:tcW w:w="1057"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皮卡车</w:t>
            </w:r>
            <w:r/>
          </w:p>
        </w:tc>
        <w:tc>
          <w:tcPr>
            <w:tcW w:w="1495"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高空升降车（可租用）</w:t>
            </w:r>
            <w:r/>
          </w:p>
        </w:tc>
        <w:tc>
          <w:tcPr>
            <w:tcW w:w="1079"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抽水泵(4寸)</w:t>
            </w:r>
            <w:r/>
          </w:p>
        </w:tc>
        <w:tc>
          <w:tcPr>
            <w:tcW w:w="1047"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绿篱修剪机</w:t>
            </w:r>
            <w:r/>
          </w:p>
        </w:tc>
      </w:tr>
      <w:tr>
        <w:trPr>
          <w:jc w:val="center"/>
          <w:trHeight w:val="273"/>
        </w:trPr>
        <w:tc>
          <w:tcPr>
            <w:tcW w:w="1409"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3</w:t>
            </w:r>
            <w:r/>
          </w:p>
        </w:tc>
        <w:tc>
          <w:tcPr>
            <w:tcW w:w="1276"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宋体"/>
                <w:bCs/>
                <w:color w:val="ff0000"/>
                <w:sz w:val="24"/>
                <w:szCs w:val="24"/>
                <w:highlight w:val="yellow"/>
              </w:rPr>
              <w:t xml:space="preserve">1</w:t>
            </w:r>
            <w:r/>
          </w:p>
        </w:tc>
        <w:tc>
          <w:tcPr>
            <w:tcW w:w="1418"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ascii="仿宋" w:hAnsi="仿宋" w:eastAsia="仿宋" w:cs="仿宋"/>
                <w:bCs/>
                <w:color w:val="ff0000"/>
                <w:sz w:val="24"/>
                <w:szCs w:val="24"/>
                <w:highlight w:val="yellow"/>
              </w:rPr>
              <w:t xml:space="preserve">2</w:t>
            </w:r>
            <w:r/>
          </w:p>
        </w:tc>
        <w:tc>
          <w:tcPr>
            <w:tcW w:w="1275"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2</w:t>
            </w:r>
            <w:r/>
          </w:p>
        </w:tc>
        <w:tc>
          <w:tcPr>
            <w:tcW w:w="1057"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1</w:t>
            </w:r>
            <w:r/>
          </w:p>
        </w:tc>
        <w:tc>
          <w:tcPr>
            <w:tcW w:w="1495"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1</w:t>
            </w:r>
            <w:r/>
          </w:p>
        </w:tc>
        <w:tc>
          <w:tcPr>
            <w:tcW w:w="1079"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2</w:t>
            </w:r>
            <w:r/>
          </w:p>
        </w:tc>
        <w:tc>
          <w:tcPr>
            <w:tcW w:w="1047"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8</w:t>
            </w:r>
            <w:r/>
          </w:p>
        </w:tc>
      </w:tr>
      <w:tr>
        <w:trPr>
          <w:jc w:val="center"/>
          <w:trHeight w:val="273"/>
        </w:trPr>
        <w:tc>
          <w:tcPr>
            <w:gridSpan w:val="8"/>
            <w:tcW w:w="10056"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分包二：工业区主要机械设备配置要求最低限（辆或台）</w:t>
            </w:r>
            <w:r/>
          </w:p>
        </w:tc>
      </w:tr>
      <w:tr>
        <w:trPr>
          <w:jc w:val="center"/>
          <w:trHeight w:val="273"/>
        </w:trPr>
        <w:tc>
          <w:tcPr>
            <w:tcW w:w="1409"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洒水车</w:t>
            </w:r>
            <w:r/>
          </w:p>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（≥10吨）</w:t>
            </w:r>
            <w:r/>
          </w:p>
        </w:tc>
        <w:tc>
          <w:tcPr>
            <w:tcW w:w="1276"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草坪修剪机</w:t>
            </w:r>
            <w:r/>
          </w:p>
        </w:tc>
        <w:tc>
          <w:tcPr>
            <w:tcW w:w="1418"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手推机动喷雾器</w:t>
            </w:r>
            <w:r/>
          </w:p>
        </w:tc>
        <w:tc>
          <w:tcPr>
            <w:tcW w:w="1275"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皮卡车</w:t>
            </w:r>
            <w:r/>
          </w:p>
        </w:tc>
        <w:tc>
          <w:tcPr>
            <w:tcW w:w="1057"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高空升降车（可租用）</w:t>
            </w:r>
            <w:r/>
          </w:p>
        </w:tc>
        <w:tc>
          <w:tcPr>
            <w:tcW w:w="1495"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抽水泵</w:t>
            </w:r>
            <w:r/>
          </w:p>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(4寸)</w:t>
            </w:r>
            <w:r/>
          </w:p>
        </w:tc>
        <w:tc>
          <w:tcPr>
            <w:gridSpan w:val="2"/>
            <w:tcW w:w="2126"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绿篱修剪机</w:t>
            </w:r>
            <w:r/>
          </w:p>
        </w:tc>
      </w:tr>
      <w:tr>
        <w:trPr>
          <w:jc w:val="center"/>
          <w:trHeight w:val="273"/>
        </w:trPr>
        <w:tc>
          <w:tcPr>
            <w:tcW w:w="1409"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3</w:t>
            </w:r>
            <w:r/>
          </w:p>
        </w:tc>
        <w:tc>
          <w:tcPr>
            <w:tcW w:w="1276"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8</w:t>
            </w:r>
            <w:r/>
          </w:p>
        </w:tc>
        <w:tc>
          <w:tcPr>
            <w:tcW w:w="1418"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2</w:t>
            </w:r>
            <w:r/>
          </w:p>
        </w:tc>
        <w:tc>
          <w:tcPr>
            <w:tcW w:w="1275"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1</w:t>
            </w:r>
            <w:r/>
          </w:p>
        </w:tc>
        <w:tc>
          <w:tcPr>
            <w:tcW w:w="1057"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1</w:t>
            </w:r>
            <w:r/>
          </w:p>
        </w:tc>
        <w:tc>
          <w:tcPr>
            <w:tcW w:w="1495" w:type="dxa"/>
            <w:vAlign w:val="center"/>
            <w:textDirection w:val="lrTb"/>
            <w:noWrap w:val="false"/>
          </w:tcPr>
          <w:p>
            <w:pPr>
              <w:jc w:val="center"/>
              <w:spacing w:line="276" w:lineRule="auto"/>
              <w:rPr>
                <w:rFonts w:ascii="仿宋" w:hAnsi="仿宋" w:eastAsia="仿宋" w:cs="宋体"/>
                <w:bCs/>
                <w:color w:val="ff0000"/>
                <w:sz w:val="24"/>
                <w:szCs w:val="24"/>
                <w:highlight w:val="yellow"/>
              </w:rPr>
            </w:pPr>
            <w:r>
              <w:rPr>
                <w:rFonts w:hint="eastAsia" w:ascii="仿宋" w:hAnsi="仿宋" w:eastAsia="仿宋" w:cs="仿宋"/>
                <w:bCs/>
                <w:color w:val="ff0000"/>
                <w:sz w:val="24"/>
                <w:szCs w:val="24"/>
                <w:highlight w:val="yellow"/>
              </w:rPr>
              <w:t xml:space="preserve">2</w:t>
            </w:r>
            <w:r/>
          </w:p>
        </w:tc>
        <w:tc>
          <w:tcPr>
            <w:gridSpan w:val="2"/>
            <w:tcW w:w="2126" w:type="dxa"/>
            <w:vAlign w:val="center"/>
            <w:textDirection w:val="lrTb"/>
            <w:noWrap w:val="false"/>
          </w:tcPr>
          <w:p>
            <w:pPr>
              <w:jc w:val="center"/>
              <w:spacing w:line="276" w:lineRule="auto"/>
              <w:rPr>
                <w:rFonts w:ascii="仿宋" w:hAnsi="仿宋" w:eastAsia="仿宋" w:cs="仿宋"/>
                <w:bCs/>
                <w:color w:val="ff0000"/>
                <w:sz w:val="24"/>
                <w:szCs w:val="24"/>
                <w:highlight w:val="yellow"/>
              </w:rPr>
            </w:pPr>
            <w:r>
              <w:rPr>
                <w:rFonts w:hint="eastAsia" w:ascii="仿宋" w:hAnsi="仿宋" w:eastAsia="仿宋" w:cs="仿宋"/>
                <w:bCs/>
                <w:color w:val="ff0000"/>
                <w:sz w:val="24"/>
                <w:szCs w:val="24"/>
                <w:highlight w:val="yellow"/>
              </w:rPr>
              <w:t xml:space="preserve">8</w:t>
            </w:r>
            <w:r/>
          </w:p>
        </w:tc>
      </w:tr>
      <w:tr>
        <w:trPr>
          <w:jc w:val="center"/>
          <w:trHeight w:val="274"/>
        </w:trPr>
        <w:tc>
          <w:tcPr>
            <w:gridSpan w:val="8"/>
            <w:tcW w:w="10056" w:type="dxa"/>
            <w:textDirection w:val="lrTb"/>
            <w:noWrap w:val="false"/>
          </w:tcPr>
          <w:p>
            <w:pPr>
              <w:spacing w:line="276" w:lineRule="auto"/>
              <w:rPr>
                <w:rFonts w:ascii="仿宋" w:hAnsi="仿宋" w:eastAsia="仿宋" w:cs="仿宋"/>
                <w:b/>
                <w:bCs/>
                <w:color w:val="ff0000"/>
                <w:sz w:val="24"/>
                <w:szCs w:val="24"/>
                <w:highlight w:val="yellow"/>
              </w:rPr>
            </w:pPr>
            <w:r>
              <w:rPr>
                <w:rFonts w:hint="eastAsia" w:ascii="仿宋" w:hAnsi="仿宋" w:eastAsia="仿宋" w:cs="仿宋"/>
                <w:b/>
                <w:bCs/>
                <w:color w:val="ff0000"/>
                <w:sz w:val="24"/>
                <w:szCs w:val="24"/>
                <w:highlight w:val="yellow"/>
              </w:rPr>
              <w:t xml:space="preserve">备注：1.洒水车</w:t>
            </w:r>
            <w:r>
              <w:rPr>
                <w:rFonts w:hint="eastAsia" w:ascii="仿宋" w:hAnsi="仿宋" w:eastAsia="仿宋" w:cs="仿宋"/>
                <w:b/>
                <w:bCs/>
                <w:color w:val="ff0000"/>
                <w:sz w:val="24"/>
                <w:szCs w:val="24"/>
                <w:highlight w:val="yellow"/>
              </w:rPr>
              <w:t xml:space="preserve">首次上牌时间须在2019年1</w:t>
            </w:r>
            <w:r>
              <w:rPr>
                <w:rFonts w:hint="eastAsia" w:ascii="仿宋" w:hAnsi="仿宋" w:eastAsia="仿宋" w:cs="仿宋"/>
                <w:b/>
                <w:bCs/>
                <w:color w:val="ff0000"/>
                <w:sz w:val="24"/>
                <w:szCs w:val="24"/>
                <w:highlight w:val="yellow"/>
              </w:rPr>
              <w:t xml:space="preserve">月1日（含）以后</w:t>
            </w:r>
            <w:r>
              <w:rPr>
                <w:rFonts w:hint="eastAsia" w:ascii="仿宋" w:hAnsi="仿宋" w:eastAsia="仿宋" w:cs="仿宋"/>
                <w:b/>
                <w:bCs/>
                <w:color w:val="ff0000"/>
                <w:sz w:val="24"/>
                <w:szCs w:val="24"/>
                <w:highlight w:val="yellow"/>
              </w:rPr>
              <w:t xml:space="preserve">且</w:t>
            </w:r>
            <w:r>
              <w:rPr>
                <w:rFonts w:hint="eastAsia" w:ascii="仿宋" w:hAnsi="仿宋" w:eastAsia="仿宋" w:cs="仿宋"/>
                <w:b/>
                <w:bCs/>
                <w:color w:val="ff0000"/>
                <w:sz w:val="24"/>
                <w:szCs w:val="24"/>
                <w:highlight w:val="yellow"/>
              </w:rPr>
              <w:t xml:space="preserve">核定载质量或载质量（即载</w:t>
            </w:r>
            <w:r>
              <w:rPr>
                <w:rFonts w:hint="eastAsia" w:ascii="仿宋" w:hAnsi="仿宋" w:eastAsia="仿宋" w:cs="仿宋"/>
                <w:b/>
                <w:bCs/>
                <w:color w:val="ff0000"/>
                <w:sz w:val="24"/>
                <w:szCs w:val="24"/>
                <w:highlight w:val="yellow"/>
              </w:rPr>
              <w:t xml:space="preserve">质量=总质量-整备质量）大于等于10吨</w:t>
            </w:r>
            <w:r>
              <w:rPr>
                <w:rFonts w:hint="eastAsia" w:ascii="仿宋" w:hAnsi="仿宋" w:eastAsia="仿宋" w:cs="仿宋"/>
                <w:b/>
                <w:bCs/>
                <w:color w:val="ff0000"/>
                <w:sz w:val="24"/>
                <w:szCs w:val="24"/>
                <w:highlight w:val="yellow"/>
              </w:rPr>
              <w:t xml:space="preserve">。投标文</w:t>
            </w:r>
            <w:r>
              <w:rPr>
                <w:rFonts w:hint="eastAsia" w:ascii="仿宋" w:hAnsi="仿宋" w:eastAsia="仿宋" w:cs="仿宋"/>
                <w:b/>
                <w:bCs/>
                <w:color w:val="ff0000"/>
                <w:sz w:val="24"/>
                <w:szCs w:val="24"/>
                <w:highlight w:val="yellow"/>
              </w:rPr>
              <w:t xml:space="preserve">件中提供洒水车属于本单位作业车辆的相关证明材料电子件（提供自有设</w:t>
            </w:r>
            <w:r>
              <w:rPr>
                <w:rFonts w:hint="eastAsia" w:ascii="仿宋" w:hAnsi="仿宋" w:eastAsia="仿宋" w:cs="仿宋"/>
                <w:b/>
                <w:bCs/>
                <w:color w:val="ff0000"/>
                <w:sz w:val="24"/>
                <w:szCs w:val="24"/>
                <w:highlight w:val="yellow"/>
              </w:rPr>
              <w:t xml:space="preserve">备</w:t>
            </w:r>
            <w:r>
              <w:rPr>
                <w:rFonts w:hint="eastAsia" w:ascii="仿宋" w:hAnsi="仿宋" w:eastAsia="仿宋" w:cs="宋体"/>
                <w:b/>
                <w:bCs/>
                <w:color w:val="ff0000"/>
                <w:sz w:val="24"/>
                <w:szCs w:val="24"/>
                <w:highlight w:val="yellow"/>
              </w:rPr>
              <w:t xml:space="preserve">行驶证、购置发票、车辆铭牌或出厂合格证</w:t>
            </w:r>
            <w:r>
              <w:rPr>
                <w:rFonts w:hint="eastAsia" w:ascii="仿宋" w:hAnsi="仿宋" w:eastAsia="仿宋" w:cs="仿宋"/>
                <w:b/>
                <w:bCs/>
                <w:color w:val="ff0000"/>
                <w:sz w:val="24"/>
                <w:szCs w:val="24"/>
                <w:highlight w:val="yellow"/>
              </w:rPr>
              <w:t xml:space="preserve">电子件</w:t>
            </w:r>
            <w:r>
              <w:rPr>
                <w:rFonts w:hint="eastAsia" w:ascii="仿宋" w:hAnsi="仿宋" w:eastAsia="仿宋" w:cs="仿宋"/>
                <w:b/>
                <w:bCs/>
                <w:color w:val="ff0000"/>
                <w:sz w:val="24"/>
                <w:szCs w:val="24"/>
                <w:highlight w:val="yellow"/>
              </w:rPr>
              <w:t xml:space="preserve">，不得使用农用车、拖拉机等改装车辆）。</w:t>
            </w:r>
            <w:r>
              <w:rPr>
                <w:rFonts w:hint="eastAsia" w:ascii="仿宋" w:hAnsi="仿宋" w:eastAsia="仿宋" w:cs="仿宋"/>
                <w:b/>
                <w:bCs/>
                <w:color w:val="ff0000"/>
                <w:sz w:val="24"/>
                <w:szCs w:val="24"/>
                <w:highlight w:val="yellow"/>
              </w:rPr>
              <w:t xml:space="preserve">其它机械设备中标后按要求提供。</w:t>
            </w:r>
            <w:r/>
          </w:p>
          <w:p>
            <w:pPr>
              <w:spacing w:line="276" w:lineRule="auto"/>
              <w:rPr>
                <w:rFonts w:ascii="仿宋" w:hAnsi="仿宋" w:eastAsia="仿宋" w:cs="仿宋"/>
                <w:b/>
                <w:bCs/>
                <w:color w:val="ff0000"/>
                <w:sz w:val="24"/>
                <w:szCs w:val="24"/>
                <w:highlight w:val="yellow"/>
              </w:rPr>
            </w:pPr>
            <w:r>
              <w:rPr>
                <w:rFonts w:hint="eastAsia" w:ascii="仿宋" w:hAnsi="仿宋" w:eastAsia="仿宋" w:cs="仿宋"/>
                <w:bCs/>
                <w:color w:val="ff0000"/>
                <w:sz w:val="24"/>
                <w:szCs w:val="24"/>
                <w:highlight w:val="yellow"/>
              </w:rPr>
              <w:t xml:space="preserve">2.</w:t>
            </w:r>
            <w:r>
              <w:rPr>
                <w:rFonts w:hint="eastAsia" w:ascii="仿宋" w:hAnsi="仿宋" w:eastAsia="仿宋" w:cs="仿宋"/>
                <w:bCs/>
                <w:color w:val="ff0000"/>
                <w:sz w:val="24"/>
                <w:szCs w:val="24"/>
                <w:highlight w:val="yellow"/>
              </w:rPr>
              <w:t xml:space="preserve">中标后，</w:t>
            </w:r>
            <w:r>
              <w:rPr>
                <w:rFonts w:hint="eastAsia" w:ascii="仿宋" w:hAnsi="仿宋" w:eastAsia="仿宋" w:cs="仿宋"/>
                <w:bCs/>
                <w:color w:val="ff0000"/>
                <w:sz w:val="24"/>
                <w:szCs w:val="24"/>
                <w:highlight w:val="yellow"/>
              </w:rPr>
              <w:t xml:space="preserve">配置的皮卡车首次上牌时间</w:t>
            </w:r>
            <w:r>
              <w:rPr>
                <w:rFonts w:hint="eastAsia" w:ascii="仿宋" w:hAnsi="仿宋" w:eastAsia="仿宋" w:cs="仿宋"/>
                <w:bCs/>
                <w:color w:val="ff0000"/>
                <w:sz w:val="24"/>
                <w:szCs w:val="24"/>
                <w:highlight w:val="yellow"/>
              </w:rPr>
              <w:t xml:space="preserve">须</w:t>
            </w:r>
            <w:r>
              <w:rPr>
                <w:rFonts w:hint="eastAsia" w:ascii="仿宋" w:hAnsi="仿宋" w:eastAsia="仿宋" w:cs="仿宋"/>
                <w:bCs/>
                <w:color w:val="ff0000"/>
                <w:sz w:val="24"/>
                <w:szCs w:val="24"/>
                <w:highlight w:val="yellow"/>
              </w:rPr>
              <w:t xml:space="preserve">在2019年1月1日（含）以后。</w:t>
            </w:r>
            <w:r/>
          </w:p>
          <w:p>
            <w:pPr>
              <w:spacing w:line="276" w:lineRule="auto"/>
              <w:rPr>
                <w:rFonts w:ascii="仿宋" w:hAnsi="仿宋" w:eastAsia="仿宋" w:cs="仿宋"/>
                <w:b/>
                <w:bCs/>
                <w:color w:val="ff0000"/>
                <w:sz w:val="24"/>
                <w:szCs w:val="24"/>
                <w:highlight w:val="yellow"/>
              </w:rPr>
            </w:pPr>
            <w:r>
              <w:rPr>
                <w:rFonts w:ascii="仿宋" w:hAnsi="仿宋" w:eastAsia="仿宋" w:cs="仿宋"/>
                <w:bCs/>
                <w:color w:val="ff0000"/>
                <w:sz w:val="24"/>
                <w:szCs w:val="24"/>
                <w:highlight w:val="yellow"/>
              </w:rPr>
              <w:t xml:space="preserve">3</w:t>
            </w:r>
            <w:r>
              <w:rPr>
                <w:rFonts w:hint="eastAsia" w:ascii="仿宋" w:hAnsi="仿宋" w:eastAsia="仿宋" w:cs="仿宋"/>
                <w:bCs/>
                <w:color w:val="ff0000"/>
                <w:sz w:val="24"/>
                <w:szCs w:val="24"/>
                <w:highlight w:val="yellow"/>
              </w:rPr>
              <w:t xml:space="preserve">.</w:t>
            </w:r>
            <w:r>
              <w:rPr>
                <w:rFonts w:hint="eastAsia" w:ascii="仿宋" w:hAnsi="仿宋" w:eastAsia="仿宋" w:cs="仿宋"/>
                <w:bCs/>
                <w:color w:val="ff0000"/>
                <w:sz w:val="24"/>
                <w:szCs w:val="24"/>
                <w:highlight w:val="yellow"/>
              </w:rPr>
              <w:t xml:space="preserve">中标后，</w:t>
            </w:r>
            <w:r>
              <w:rPr>
                <w:rFonts w:hint="eastAsia" w:ascii="仿宋" w:hAnsi="仿宋" w:eastAsia="仿宋" w:cs="仿宋"/>
                <w:color w:val="ff0000"/>
                <w:sz w:val="24"/>
                <w:szCs w:val="24"/>
                <w:highlight w:val="yellow"/>
              </w:rPr>
              <w:t xml:space="preserve">洒水车、皮卡车</w:t>
            </w:r>
            <w:r>
              <w:rPr>
                <w:rFonts w:hint="eastAsia" w:ascii="仿宋" w:hAnsi="仿宋" w:eastAsia="仿宋" w:cs="仿宋"/>
                <w:bCs/>
                <w:color w:val="ff0000"/>
                <w:sz w:val="24"/>
                <w:szCs w:val="24"/>
                <w:highlight w:val="yellow"/>
              </w:rPr>
              <w:t xml:space="preserve">车身</w:t>
            </w:r>
            <w:r>
              <w:rPr>
                <w:rFonts w:hint="eastAsia" w:ascii="仿宋" w:hAnsi="仿宋" w:eastAsia="仿宋" w:cs="仿宋"/>
                <w:bCs/>
                <w:color w:val="ff0000"/>
                <w:sz w:val="24"/>
                <w:szCs w:val="24"/>
                <w:highlight w:val="yellow"/>
              </w:rPr>
              <w:t xml:space="preserve">须</w:t>
            </w:r>
            <w:r>
              <w:rPr>
                <w:rFonts w:hint="eastAsia" w:ascii="仿宋" w:hAnsi="仿宋" w:eastAsia="仿宋" w:cs="仿宋"/>
                <w:bCs/>
                <w:color w:val="ff0000"/>
                <w:sz w:val="24"/>
                <w:szCs w:val="24"/>
                <w:highlight w:val="yellow"/>
              </w:rPr>
              <w:t xml:space="preserve">按甲方要求喷涂“苏宿园区城市维护”标识。</w:t>
            </w:r>
            <w:r/>
          </w:p>
          <w:p>
            <w:pPr>
              <w:spacing w:line="276" w:lineRule="auto"/>
              <w:rPr>
                <w:rFonts w:ascii="仿宋" w:hAnsi="仿宋" w:eastAsia="仿宋" w:cs="仿宋"/>
                <w:bCs/>
                <w:color w:val="ff0000"/>
                <w:sz w:val="24"/>
                <w:szCs w:val="24"/>
                <w:highlight w:val="yellow"/>
              </w:rPr>
            </w:pPr>
            <w:r>
              <w:rPr>
                <w:rFonts w:ascii="仿宋" w:hAnsi="仿宋" w:eastAsia="仿宋" w:cs="仿宋"/>
                <w:bCs/>
                <w:color w:val="ff0000"/>
                <w:sz w:val="24"/>
                <w:szCs w:val="24"/>
                <w:highlight w:val="yellow"/>
              </w:rPr>
              <w:t xml:space="preserve">4</w:t>
            </w:r>
            <w:r>
              <w:rPr>
                <w:rFonts w:hint="eastAsia" w:ascii="仿宋" w:hAnsi="仿宋" w:eastAsia="仿宋" w:cs="仿宋"/>
                <w:bCs/>
                <w:color w:val="ff0000"/>
                <w:sz w:val="24"/>
                <w:szCs w:val="24"/>
                <w:highlight w:val="yellow"/>
              </w:rPr>
              <w:t xml:space="preserve">.</w:t>
            </w:r>
            <w:r>
              <w:rPr>
                <w:rFonts w:hint="eastAsia" w:ascii="仿宋" w:hAnsi="仿宋" w:eastAsia="仿宋" w:cs="仿宋"/>
                <w:bCs/>
                <w:color w:val="ff0000"/>
                <w:sz w:val="24"/>
                <w:szCs w:val="24"/>
                <w:highlight w:val="yellow"/>
              </w:rPr>
              <w:t xml:space="preserve">中标后，</w:t>
            </w:r>
            <w:r>
              <w:rPr>
                <w:rFonts w:hint="eastAsia" w:ascii="仿宋" w:hAnsi="仿宋" w:eastAsia="仿宋" w:cs="仿宋"/>
                <w:bCs/>
                <w:color w:val="ff0000"/>
                <w:sz w:val="24"/>
                <w:szCs w:val="24"/>
                <w:highlight w:val="yellow"/>
              </w:rPr>
              <w:t xml:space="preserve">洒水车、</w:t>
            </w:r>
            <w:r>
              <w:rPr>
                <w:rFonts w:hint="eastAsia" w:ascii="仿宋" w:hAnsi="仿宋" w:eastAsia="仿宋" w:cs="仿宋"/>
                <w:color w:val="ff0000"/>
                <w:sz w:val="24"/>
                <w:szCs w:val="24"/>
                <w:highlight w:val="yellow"/>
              </w:rPr>
              <w:t xml:space="preserve">皮卡车</w:t>
            </w:r>
            <w:r>
              <w:rPr>
                <w:rFonts w:hint="eastAsia" w:ascii="仿宋" w:hAnsi="仿宋" w:eastAsia="仿宋" w:cs="仿宋"/>
                <w:bCs/>
                <w:color w:val="ff0000"/>
                <w:sz w:val="24"/>
                <w:szCs w:val="24"/>
                <w:highlight w:val="yellow"/>
              </w:rPr>
              <w:t xml:space="preserve">须按</w:t>
            </w:r>
            <w:r>
              <w:rPr>
                <w:rFonts w:hint="eastAsia" w:ascii="仿宋" w:hAnsi="仿宋" w:eastAsia="仿宋" w:cs="仿宋"/>
                <w:bCs/>
                <w:color w:val="ff0000"/>
                <w:sz w:val="24"/>
                <w:szCs w:val="24"/>
                <w:highlight w:val="yellow"/>
              </w:rPr>
              <w:t xml:space="preserve">甲方的安排统一安装GPS系统，GPS安装及运行费用由乙方承担。甲方提供的车辆GPS系统需24小时开启，乙方自行配备的车辆在规定的作业时间内必须开启GPS系统。洒水车、</w:t>
            </w:r>
            <w:r>
              <w:rPr>
                <w:rFonts w:hint="eastAsia" w:ascii="仿宋" w:hAnsi="仿宋" w:eastAsia="仿宋" w:cs="仿宋"/>
                <w:color w:val="ff0000"/>
                <w:sz w:val="24"/>
                <w:szCs w:val="24"/>
                <w:highlight w:val="yellow"/>
              </w:rPr>
              <w:t xml:space="preserve">皮卡车</w:t>
            </w:r>
            <w:r>
              <w:rPr>
                <w:rFonts w:hint="eastAsia" w:ascii="仿宋" w:hAnsi="仿宋" w:eastAsia="仿宋" w:cs="仿宋"/>
                <w:bCs/>
                <w:color w:val="ff0000"/>
                <w:sz w:val="24"/>
                <w:szCs w:val="24"/>
                <w:highlight w:val="yellow"/>
              </w:rPr>
              <w:t xml:space="preserve">驾驶员随身携带并24小时开机，以便于随时联系调度。合同期内，所有设施设备不得因设备坏损等原因影响管养工作，否则列入除正常考核扣分。</w:t>
            </w:r>
            <w:r/>
          </w:p>
          <w:p>
            <w:pPr>
              <w:spacing w:line="276" w:lineRule="auto"/>
              <w:rPr>
                <w:rFonts w:ascii="仿宋" w:hAnsi="仿宋" w:eastAsia="仿宋" w:cs="仿宋"/>
                <w:bCs/>
                <w:color w:val="ff0000"/>
                <w:sz w:val="24"/>
                <w:szCs w:val="24"/>
                <w:highlight w:val="yellow"/>
              </w:rPr>
            </w:pPr>
            <w:r>
              <w:rPr>
                <w:rFonts w:ascii="仿宋" w:hAnsi="仿宋" w:eastAsia="仿宋" w:cs="仿宋"/>
                <w:bCs/>
                <w:color w:val="ff0000"/>
                <w:sz w:val="24"/>
                <w:szCs w:val="24"/>
                <w:highlight w:val="yellow"/>
              </w:rPr>
              <w:t xml:space="preserve">5</w:t>
            </w:r>
            <w:r>
              <w:rPr>
                <w:rFonts w:hint="eastAsia" w:ascii="仿宋" w:hAnsi="仿宋" w:eastAsia="仿宋" w:cs="仿宋"/>
                <w:bCs/>
                <w:color w:val="ff0000"/>
                <w:sz w:val="24"/>
                <w:szCs w:val="24"/>
                <w:highlight w:val="yellow"/>
              </w:rPr>
              <w:t xml:space="preserve">.</w:t>
            </w:r>
            <w:r>
              <w:rPr>
                <w:rFonts w:hint="eastAsia" w:ascii="仿宋" w:hAnsi="仿宋" w:eastAsia="仿宋" w:cs="仿宋"/>
                <w:bCs/>
                <w:color w:val="ff0000"/>
                <w:sz w:val="24"/>
                <w:szCs w:val="24"/>
                <w:highlight w:val="yellow"/>
              </w:rPr>
              <w:t xml:space="preserve">中标后，</w:t>
            </w:r>
            <w:r>
              <w:rPr>
                <w:rFonts w:hint="eastAsia" w:ascii="仿宋" w:hAnsi="仿宋" w:eastAsia="仿宋" w:cs="仿宋"/>
                <w:bCs/>
                <w:color w:val="ff0000"/>
                <w:sz w:val="24"/>
                <w:szCs w:val="24"/>
                <w:highlight w:val="yellow"/>
              </w:rPr>
              <w:t xml:space="preserve">配置的</w:t>
            </w:r>
            <w:r>
              <w:rPr>
                <w:rFonts w:hint="eastAsia" w:ascii="仿宋" w:hAnsi="仿宋" w:eastAsia="仿宋" w:cs="仿宋"/>
                <w:bCs/>
                <w:color w:val="ff0000"/>
                <w:sz w:val="24"/>
                <w:szCs w:val="24"/>
                <w:highlight w:val="yellow"/>
              </w:rPr>
              <w:t xml:space="preserve">所有车辆、机械设备均性能、外观完好，不得影响正常使用。</w:t>
            </w:r>
            <w:r/>
          </w:p>
          <w:p>
            <w:pPr>
              <w:spacing w:line="276" w:lineRule="auto"/>
              <w:rPr>
                <w:rFonts w:ascii="仿宋" w:hAnsi="仿宋" w:eastAsia="仿宋" w:cs="仿宋"/>
                <w:b/>
                <w:color w:val="ff0000"/>
                <w:sz w:val="24"/>
                <w:szCs w:val="24"/>
              </w:rPr>
            </w:pPr>
            <w:r>
              <w:rPr>
                <w:rFonts w:ascii="仿宋" w:hAnsi="仿宋" w:eastAsia="仿宋" w:cs="仿宋"/>
                <w:bCs/>
                <w:color w:val="ff0000"/>
                <w:sz w:val="24"/>
                <w:szCs w:val="24"/>
                <w:highlight w:val="yellow"/>
              </w:rPr>
              <w:t xml:space="preserve">6</w:t>
            </w:r>
            <w:r>
              <w:rPr>
                <w:rFonts w:hint="eastAsia" w:ascii="仿宋" w:hAnsi="仿宋" w:eastAsia="仿宋" w:cs="仿宋"/>
                <w:bCs/>
                <w:color w:val="ff0000"/>
                <w:sz w:val="24"/>
                <w:szCs w:val="24"/>
                <w:highlight w:val="yellow"/>
              </w:rPr>
              <w:t xml:space="preserve">.</w:t>
            </w:r>
            <w:r>
              <w:rPr>
                <w:rFonts w:hint="eastAsia" w:ascii="仿宋" w:hAnsi="仿宋" w:eastAsia="仿宋" w:cs="仿宋"/>
                <w:bCs/>
                <w:color w:val="ff0000"/>
                <w:sz w:val="24"/>
                <w:szCs w:val="24"/>
                <w:highlight w:val="yellow"/>
              </w:rPr>
              <w:t xml:space="preserve">中标后，</w:t>
            </w:r>
            <w:r>
              <w:rPr>
                <w:rFonts w:hint="eastAsia" w:ascii="仿宋" w:hAnsi="仿宋" w:eastAsia="仿宋" w:cs="仿宋"/>
                <w:bCs/>
                <w:color w:val="ff0000"/>
                <w:sz w:val="24"/>
                <w:szCs w:val="24"/>
                <w:highlight w:val="yellow"/>
              </w:rPr>
              <w:t xml:space="preserve">甲方有权根据现场养护情况要求乙方增加人员设备。</w:t>
            </w:r>
            <w:r>
              <w:rPr>
                <w:rFonts w:hint="eastAsia" w:ascii="仿宋" w:hAnsi="仿宋" w:eastAsia="仿宋" w:cs="仿宋"/>
                <w:color w:val="ff0000"/>
                <w:sz w:val="24"/>
                <w:szCs w:val="24"/>
                <w:highlight w:val="yellow"/>
              </w:rPr>
              <w:t xml:space="preserve">具体要求见附件三</w:t>
            </w:r>
            <w:r/>
          </w:p>
        </w:tc>
      </w:tr>
    </w:tbl>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六、中标单位人员管理要求</w:t>
      </w:r>
      <w:r/>
    </w:p>
    <w:p>
      <w:pPr>
        <w:ind w:firstLine="482"/>
        <w:spacing w:line="276" w:lineRule="auto"/>
        <w:rPr>
          <w:rFonts w:ascii="仿宋" w:hAnsi="仿宋" w:eastAsia="仿宋" w:cs="仿宋"/>
          <w:b/>
          <w:sz w:val="24"/>
          <w:szCs w:val="24"/>
        </w:rPr>
      </w:pPr>
      <w:r>
        <w:rPr>
          <w:rFonts w:hint="eastAsia" w:ascii="仿宋" w:hAnsi="仿宋" w:eastAsia="仿宋" w:cs="仿宋"/>
          <w:b/>
          <w:sz w:val="24"/>
          <w:szCs w:val="24"/>
        </w:rPr>
        <w:t xml:space="preserve">（一）</w:t>
      </w:r>
      <w:r>
        <w:rPr>
          <w:rFonts w:hint="eastAsia" w:ascii="仿宋" w:hAnsi="仿宋" w:eastAsia="仿宋" w:cs="宋体"/>
          <w:b/>
          <w:sz w:val="24"/>
          <w:szCs w:val="24"/>
        </w:rPr>
        <w:t xml:space="preserve">管理人员要求</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w:t>
      </w:r>
      <w:r>
        <w:rPr>
          <w:rFonts w:hint="eastAsia" w:ascii="仿宋" w:hAnsi="仿宋" w:eastAsia="仿宋" w:cs="仿宋"/>
          <w:sz w:val="24"/>
          <w:szCs w:val="24"/>
        </w:rPr>
        <w:t xml:space="preserve">项目经理等管理人员不得擅自变更，承包人擅自更换项目经理的违约责任：向发包人支付违约金</w:t>
      </w:r>
      <w:r>
        <w:rPr>
          <w:rFonts w:ascii="仿宋" w:hAnsi="仿宋" w:eastAsia="仿宋" w:cs="仿宋"/>
          <w:sz w:val="24"/>
          <w:szCs w:val="24"/>
        </w:rPr>
        <w:t xml:space="preserve">5</w:t>
      </w:r>
      <w:r>
        <w:rPr>
          <w:rFonts w:hint="eastAsia" w:ascii="仿宋" w:hAnsi="仿宋" w:eastAsia="仿宋" w:cs="仿宋"/>
          <w:sz w:val="24"/>
          <w:szCs w:val="24"/>
        </w:rPr>
        <w:t xml:space="preserve">万元，并承担上述违约给发包人造成的损失。经发包人书面批准，承包人更换项目经理的，每更换一次，承包人需通过其企业帐户以银行转帐方式向发包人支付违约金5万元。</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2．投标文件中的项目组成员必须唯一，不得选择性提供，否则该投标单位不具备中标资格。</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3．中标单位项目经理、绿化主管、安全员、资料员等管理人员在园区范围内必须有办公场所。</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4．项目组所有人员每天实行签到打卡制度，项目经理、绿化主管、安全员、资料员等项目管理人员通讯工具必须保持24小时畅通，周末、节假日必须安排1名项目管理人员以上人员值班。</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项目经理</w:t>
      </w:r>
      <w:r>
        <w:rPr>
          <w:rFonts w:hint="eastAsia" w:ascii="仿宋" w:hAnsi="仿宋" w:eastAsia="仿宋" w:cs="宋体"/>
          <w:bCs/>
          <w:sz w:val="24"/>
          <w:szCs w:val="24"/>
        </w:rPr>
        <w:t xml:space="preserve">为投标企业的正式员工，具有大专及以上学历，持有园林相关专业中级及以上技术职称，并常驻现场。项目经理负责本项目相关所有工作，建立本项目完整的档案台帐资料及内部考核机制。中标后项目经理，不得随意调整，有特殊情况确需调整的须征得采购人书面同意。</w:t>
      </w:r>
      <w:r>
        <w:rPr>
          <w:rFonts w:hint="eastAsia" w:ascii="仿宋" w:hAnsi="仿宋" w:eastAsia="仿宋" w:cs="仿宋"/>
          <w:sz w:val="24"/>
          <w:szCs w:val="24"/>
        </w:rPr>
        <w:t xml:space="preserve">项目经理应按时参加由甲方召开的各类会议、无故迟到的、未请假、未经同意擅自缺席的纳入日常考核。</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6．项目经理、绿化主管、安全员、资料员等必须立刻响应甲方安排的临时性工作任务，推诿、故意拖延或完成工作情况敷衍了事的，纳入日常考核。</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7．项目经理需加强绿化维护人员现场服务素质管理，加强人员文明执岗培训，安全教育、规范各类常见事件（如钓鱼、遛狗、乱停乱放等）文明劝导、规范劝导流程，严禁暴力执岗，对待游客态度恶劣、恶语相向，导致游客投诉或曝光。</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8.安全员具备</w:t>
      </w:r>
      <w:r>
        <w:rPr>
          <w:rFonts w:hint="eastAsia" w:ascii="仿宋" w:hAnsi="仿宋" w:eastAsia="仿宋" w:cs="宋体"/>
          <w:bCs/>
          <w:sz w:val="24"/>
          <w:szCs w:val="24"/>
        </w:rPr>
        <w:t xml:space="preserve">安全员</w:t>
      </w:r>
      <w:r>
        <w:rPr>
          <w:rFonts w:hint="eastAsia" w:ascii="仿宋" w:hAnsi="仿宋" w:eastAsia="仿宋" w:cs="宋体"/>
          <w:bCs/>
          <w:sz w:val="24"/>
          <w:szCs w:val="24"/>
        </w:rPr>
        <w:t xml:space="preserve">相关</w:t>
      </w:r>
      <w:r>
        <w:rPr>
          <w:rFonts w:hint="eastAsia" w:ascii="仿宋" w:hAnsi="仿宋" w:eastAsia="仿宋" w:cs="宋体"/>
          <w:bCs/>
          <w:sz w:val="24"/>
          <w:szCs w:val="24"/>
        </w:rPr>
        <w:t xml:space="preserve">证</w:t>
      </w:r>
      <w:r>
        <w:rPr>
          <w:rFonts w:hint="eastAsia" w:ascii="仿宋" w:hAnsi="仿宋" w:eastAsia="仿宋" w:cs="宋体"/>
          <w:bCs/>
          <w:sz w:val="24"/>
          <w:szCs w:val="24"/>
        </w:rPr>
        <w:t xml:space="preserve">书</w:t>
      </w:r>
      <w:r>
        <w:rPr>
          <w:rFonts w:hint="eastAsia" w:ascii="仿宋" w:hAnsi="仿宋" w:eastAsia="仿宋" w:cs="仿宋"/>
          <w:sz w:val="24"/>
          <w:szCs w:val="24"/>
        </w:rPr>
        <w:t xml:space="preserve">，</w:t>
      </w:r>
      <w:r>
        <w:rPr>
          <w:rFonts w:hint="eastAsia" w:ascii="仿宋" w:hAnsi="仿宋" w:eastAsia="仿宋" w:cs="仿宋"/>
          <w:sz w:val="24"/>
          <w:szCs w:val="24"/>
        </w:rPr>
        <w:t xml:space="preserve">负责日常管养工作中安全技术交底、安全生产管理、安全检查工作、安全宣传教育、日常安全台账记录整理等相关安全类工作。</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9．资料员熟悉园林行业资料收集，及时做好日常相关资料收集、归档等工作。</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t xml:space="preserve">．</w:t>
      </w:r>
      <w:r>
        <w:rPr>
          <w:rFonts w:hint="eastAsia" w:ascii="仿宋" w:hAnsi="仿宋" w:eastAsia="仿宋" w:cs="仿宋"/>
          <w:sz w:val="24"/>
          <w:szCs w:val="24"/>
        </w:rPr>
        <w:t xml:space="preserve">绿化主管、安全员、资料员等项目管理人员必须为专职人员，不得兼职其他岗位。</w:t>
      </w:r>
      <w:r/>
    </w:p>
    <w:p>
      <w:pPr>
        <w:ind w:firstLine="482"/>
        <w:spacing w:line="276" w:lineRule="auto"/>
        <w:rPr>
          <w:rFonts w:ascii="仿宋" w:hAnsi="仿宋" w:eastAsia="仿宋" w:cs="仿宋"/>
          <w:b/>
          <w:sz w:val="24"/>
          <w:szCs w:val="24"/>
        </w:rPr>
      </w:pPr>
      <w:r>
        <w:rPr>
          <w:rFonts w:hint="eastAsia" w:ascii="仿宋" w:hAnsi="仿宋" w:eastAsia="仿宋" w:cs="仿宋"/>
          <w:b/>
          <w:sz w:val="24"/>
          <w:szCs w:val="24"/>
        </w:rPr>
        <w:t xml:space="preserve">（二）现场养护作业人员要求</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1、中标单位雇佣员工应身体健康、具备应变突发事件的能力，并提供花名册由甲方备案（如发生员工离职情况及时更新花名册）。</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2、养护作业人员务必穿着统一工作制服并持证上岗，甲方有权视工作需要要求乙方临时性增加养护人员，若养护人员长期不到位导致养护工作不能有效开展，造成苗木缺损、景观被破坏、养护质量下降等事故，甲方有权终止其养护合同，所造成的一切损失由养护单位承担。</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3、在日常养护中，养护人员工作时须穿戴印有明显公司标识的统一服装，涉及到道路绿地养护的人员须穿反光背心，不按要求设置警示标志，存在一定安全隐的，纳入日常考核</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。因中标单位养护作业中未做安全措施，导致人身伤害财产损失的，一律由中标单位自行承担。</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4、养护质量符合《江苏省城市园林植物养护管理规范及标准（201508）》相关等级标准。绿化养护操作规范符合《苏宿园区绿化养护作业导则》。</w:t>
      </w:r>
      <w:r/>
    </w:p>
    <w:p>
      <w:pPr>
        <w:ind w:firstLine="482"/>
        <w:spacing w:line="276" w:lineRule="auto"/>
        <w:rPr>
          <w:rFonts w:ascii="仿宋" w:hAnsi="仿宋" w:eastAsia="仿宋" w:cs="仿宋"/>
          <w:b/>
          <w:sz w:val="24"/>
          <w:szCs w:val="24"/>
        </w:rPr>
      </w:pPr>
      <w:r>
        <w:rPr>
          <w:rFonts w:hint="eastAsia" w:ascii="仿宋" w:hAnsi="仿宋" w:eastAsia="仿宋" w:cs="仿宋"/>
          <w:b/>
          <w:sz w:val="24"/>
          <w:szCs w:val="24"/>
        </w:rPr>
        <w:t xml:space="preserve">七、中标单位日常管理基本要求：</w:t>
      </w:r>
      <w:r/>
    </w:p>
    <w:p>
      <w:pPr>
        <w:ind w:firstLine="480"/>
        <w:spacing w:line="276"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1、中标公示结束后，须迅速做好准备工作，确保能按公司合同要求进场养护，中标后要在一个月内对现场苗木清点，与清单不符的要以书面形式上报，否则一律按清单执行。</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2、应迅速对项目绿地、园林植物外貌进行修整，1个月内达到绿地养护等级标准的要求，期间因修整绿地发生的补植、整地、清理碴土垃圾等一切工作，其费用包含在本标的报价内，不再追加计算。</w:t>
      </w:r>
      <w:r/>
    </w:p>
    <w:p>
      <w:pPr>
        <w:ind w:firstLine="480"/>
        <w:spacing w:line="276" w:lineRule="auto"/>
        <w:rPr>
          <w:rFonts w:ascii="仿宋" w:hAnsi="仿宋" w:eastAsia="仿宋" w:cs="仿宋"/>
          <w:sz w:val="24"/>
          <w:szCs w:val="24"/>
        </w:rPr>
      </w:pPr>
      <w:r>
        <w:rPr>
          <w:rFonts w:hint="eastAsia" w:ascii="仿宋" w:hAnsi="仿宋" w:eastAsia="仿宋" w:cs="仿宋"/>
          <w:color w:val="000000"/>
          <w:sz w:val="24"/>
          <w:szCs w:val="24"/>
        </w:rPr>
        <w:t xml:space="preserve">3、中标单位负责对绿化管养人员进行安全教育、培训、考核和管理，组织做好绿地植物及绿化管养设备的安全防范工作，如因中标单位人员工作上疏忽或失职直接造成绿化植物及绿地管养设施设备被盗、毁坏、火灾、水电等重大安全事故，投标单位承担一切赔偿责任。</w:t>
      </w:r>
      <w:r>
        <w:rPr>
          <w:rFonts w:hint="eastAsia" w:ascii="仿宋" w:hAnsi="仿宋" w:eastAsia="仿宋" w:cs="仿宋"/>
          <w:sz w:val="24"/>
          <w:szCs w:val="24"/>
        </w:rPr>
        <w:t xml:space="preserve">履约期间，如若发生工作人员工伤或遇工作人员人身伤亡事故，均由中标单位负责，与采购单位无关。加强安全意识防范，中标单位工作人员发生安全事故、人身伤亡、疾病意外等，由乙方承担一切经济和法律责任。</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4、损坏赔偿  </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1）中标养护单位须认真保护所承担养护区域的绿地及绿化材料，加强日常巡视如遇第三方开挖，应主动检查其开挖证明，并跟踪其开挖活动，避免绿化材料缺损；如开挖方无法出具其有效的开挖证明，养护单位应及时制止其开挖行为并通知地方执法部门和采购单位，否则由养护单位不作为而造成的苗木缺损、死亡等一切后果由养护单位承担。并纳入考核，所造成的损失由乙方承担。其风险费用应全部包含在养护费用报价中。</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2）合同标段内的乔灌木及地被植物，在履行日常维护中需确保100%成活（投标时履约责任期内死亡苗木风险需考虑在投标报价内），因各种原因苗木死亡的做好日常统计记录，经申请甲方签字确认后方可清除，并及时补植，如不及时补植或赔偿的，甲方有权安排第三方进行补植，补植、赔偿费用从养护款中扣除。</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（3）养护期内任何死亡或生长不良的苗木须按合同规定的同种类、同规格进行更换、补种；未进行补植或更换的苗木按同期市场价（或同期政府信息指导价）</w:t>
      </w:r>
      <w:r>
        <w:rPr>
          <w:rFonts w:ascii="仿宋" w:hAnsi="仿宋" w:eastAsia="仿宋" w:cs="仿宋"/>
          <w:sz w:val="24"/>
          <w:szCs w:val="24"/>
        </w:rPr>
        <w:t xml:space="preserve">2</w:t>
      </w:r>
      <w:r>
        <w:rPr>
          <w:rFonts w:hint="eastAsia" w:ascii="仿宋" w:hAnsi="仿宋" w:eastAsia="仿宋" w:cs="仿宋"/>
          <w:sz w:val="24"/>
          <w:szCs w:val="24"/>
        </w:rPr>
        <w:t xml:space="preserve">倍扣除费用。</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（4）养护期间如遇因改造等原因交由其它部门管理的绿地，其工程量从养护标段内核减，养护费用也相应扣减。</w:t>
      </w:r>
      <w:r/>
    </w:p>
    <w:p>
      <w:pPr>
        <w:ind w:firstLine="480"/>
        <w:spacing w:line="276"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5、在承包范围内按标准和周期完成各项任务，不以任何形式转包给其它单位和个人，否则，</w:t>
      </w:r>
      <w:r>
        <w:rPr>
          <w:rFonts w:hint="eastAsia" w:ascii="仿宋" w:hAnsi="仿宋" w:eastAsia="仿宋" w:cs="仿宋"/>
          <w:sz w:val="24"/>
          <w:szCs w:val="24"/>
        </w:rPr>
        <w:t xml:space="preserve">中标单位应</w:t>
      </w:r>
      <w:r>
        <w:rPr>
          <w:rFonts w:hint="eastAsia" w:ascii="仿宋" w:hAnsi="仿宋" w:eastAsia="仿宋" w:cs="仿宋"/>
          <w:color w:val="000000"/>
          <w:sz w:val="24"/>
          <w:szCs w:val="24"/>
        </w:rPr>
        <w:t xml:space="preserve">承担违约责任，甲方有权终止合同。</w:t>
      </w:r>
      <w:r/>
    </w:p>
    <w:p>
      <w:pPr>
        <w:ind w:firstLine="480"/>
        <w:spacing w:line="276" w:lineRule="auto"/>
        <w:rPr>
          <w:rFonts w:ascii="仿宋" w:hAnsi="仿宋" w:eastAsia="仿宋" w:cs="仿宋"/>
          <w:sz w:val="24"/>
          <w:szCs w:val="24"/>
        </w:rPr>
      </w:pPr>
      <w:r>
        <w:rPr>
          <w:rFonts w:hint="eastAsia" w:ascii="仿宋" w:hAnsi="仿宋" w:eastAsia="仿宋" w:cs="仿宋"/>
          <w:color w:val="000000"/>
          <w:sz w:val="24"/>
          <w:szCs w:val="24"/>
        </w:rPr>
        <w:t xml:space="preserve">6、制定和建立绿化管理相关制度（需甲方认可）和台帐，建立每月自查制度，如实填写自查</w:t>
      </w:r>
      <w:r>
        <w:rPr>
          <w:rFonts w:hint="eastAsia" w:ascii="仿宋" w:hAnsi="仿宋" w:eastAsia="仿宋" w:cs="仿宋"/>
          <w:sz w:val="24"/>
          <w:szCs w:val="24"/>
        </w:rPr>
        <w:t xml:space="preserve">报表，自查与台帐按时报甲方。</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7、养护范围之外的突发性工作，乙方必须配合甲方协调安排，不得以各种理拖延，如乙方拖延或未执行甲方指令的，甲方将按规定扣除一定养护费用。</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8、乙方应详细做好每月的养护台账，建立养护档案，按照甲方要求做好每月阶段性苗木清点、绿化日常养护资料汇总、影像资料收集等工作，未在甲方规定时间内完成纳入日常考核。</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9、承包单位在履行合同期间，需积极参加省、市各类工程争先创优工作（相关费用纳入报价）。</w:t>
      </w:r>
      <w:r/>
    </w:p>
    <w:p>
      <w:pPr>
        <w:ind w:firstLine="480"/>
        <w:spacing w:line="276" w:lineRule="auto"/>
        <w:rPr>
          <w:rFonts w:ascii="仿宋" w:hAnsi="仿宋" w:eastAsia="仿宋" w:cs="仿宋"/>
          <w:sz w:val="24"/>
          <w:szCs w:val="24"/>
        </w:rPr>
      </w:pPr>
      <w:r>
        <w:rPr>
          <w:rFonts w:hint="eastAsia" w:ascii="仿宋" w:hAnsi="仿宋" w:eastAsia="仿宋" w:cs="仿宋"/>
          <w:sz w:val="24"/>
          <w:szCs w:val="24"/>
        </w:rPr>
        <w:t xml:space="preserve">10、承包单位在缺陷责任期结束后，需做好绿化养护工程各类结算、竣工验收及审计相关资料。</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11、肥料管理</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（1）本项目肥料由中标单位进行采购，甲方对肥料的使用进行全程监督控制。</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（2）肥料施用标准参照《江苏省城市园林绿化植物养护管理规范（201508）》执行。</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12、防汛、防风、抗旱、防寒等抗灾抢险应急保障工作要求：</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（1）中标人要建立完善园林绿化抗灾抢险应急预案机制，成立抗灾抢险应急专项工作小组，添置必须的机械设备、材料工具等，做到及时响应，全面做好各项应急保障工作。</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2）中标人要安排人员密切关注气象部门气象报告，灾情发生时组织人员外出巡查，全面掌握园林绿化受灾发生情况及发展趋势，并随时向采购人汇报反馈抗灾抢险相关情况。紧急情况要随时安排处理解决，一般情况要在灾后 24 小时内处理完毕。除不可抗力因素外，因中标人抢险不力造成的一切后果和法律责任均由中标人承担。</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（3）除完成本质工作外，还应及时服从甲方的调度。工作不力的，纳入当月考核。</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13、因养护单位日常管理不到位导致的流行病虫害、外来物种等造成的损失（如美国白蛾、一支黄花等），均由养护单位承担。</w:t>
      </w:r>
      <w:r/>
    </w:p>
    <w:p>
      <w:pPr>
        <w:ind w:firstLine="482"/>
        <w:jc w:val="left"/>
        <w:spacing w:line="276" w:lineRule="auto"/>
        <w:rPr>
          <w:rFonts w:ascii="仿宋" w:hAnsi="仿宋" w:eastAsia="仿宋" w:cs="仿宋"/>
          <w:b/>
          <w:sz w:val="24"/>
          <w:szCs w:val="24"/>
        </w:rPr>
      </w:pPr>
      <w:r>
        <w:rPr>
          <w:rFonts w:ascii="仿宋" w:hAnsi="仿宋" w:eastAsia="仿宋" w:cs="仿宋"/>
          <w:b/>
          <w:sz w:val="24"/>
          <w:szCs w:val="24"/>
        </w:rPr>
        <w:t xml:space="preserve">八、</w:t>
      </w:r>
      <w:r>
        <w:rPr>
          <w:rFonts w:hint="eastAsia" w:ascii="仿宋" w:hAnsi="仿宋" w:eastAsia="仿宋" w:cs="仿宋"/>
          <w:b/>
          <w:sz w:val="24"/>
          <w:szCs w:val="24"/>
        </w:rPr>
        <w:t xml:space="preserve">其他要求</w:t>
      </w:r>
      <w:r/>
    </w:p>
    <w:p>
      <w:pPr>
        <w:ind w:firstLine="482"/>
        <w:jc w:val="left"/>
        <w:spacing w:line="276" w:lineRule="auto"/>
        <w:rPr>
          <w:rFonts w:ascii="仿宋" w:hAnsi="仿宋" w:eastAsia="仿宋" w:cs="仿宋"/>
          <w:b/>
          <w:sz w:val="24"/>
          <w:szCs w:val="24"/>
        </w:rPr>
      </w:pPr>
      <w:r>
        <w:rPr>
          <w:rFonts w:hint="eastAsia" w:ascii="仿宋" w:hAnsi="仿宋" w:eastAsia="仿宋" w:cs="仿宋"/>
          <w:b/>
          <w:sz w:val="24"/>
          <w:szCs w:val="24"/>
        </w:rPr>
        <w:t xml:space="preserve">1、投标人必须按照法律、法规规定为所有职工缴纳相应的社会保险、商业保险，做到应保尽保，</w:t>
      </w:r>
      <w:r>
        <w:rPr>
          <w:rFonts w:ascii="仿宋" w:hAnsi="仿宋" w:eastAsia="仿宋" w:cs="仿宋"/>
          <w:b/>
          <w:sz w:val="24"/>
          <w:szCs w:val="24"/>
        </w:rPr>
        <w:t xml:space="preserve">保险险种及保额应满足以下要求：</w:t>
      </w:r>
      <w:r/>
    </w:p>
    <w:p>
      <w:pPr>
        <w:ind w:firstLine="480"/>
        <w:jc w:val="left"/>
        <w:spacing w:line="276" w:lineRule="auto"/>
        <w:rPr>
          <w:rFonts w:ascii="仿宋" w:hAnsi="仿宋" w:eastAsia="仿宋" w:cs="仿宋"/>
          <w:sz w:val="24"/>
          <w:szCs w:val="24"/>
        </w:rPr>
      </w:pPr>
      <w:r>
        <w:rPr>
          <w:rFonts w:hint="eastAsia" w:ascii="仿宋" w:hAnsi="仿宋" w:eastAsia="仿宋" w:cs="仿宋"/>
          <w:sz w:val="24"/>
          <w:szCs w:val="24"/>
        </w:rPr>
        <w:t xml:space="preserve">（1）中标人应为服务于本项目的人员购买雇主责任险，保险金额不低于: 120万元/人。</w:t>
      </w:r>
      <w:r/>
    </w:p>
    <w:p>
      <w:pPr>
        <w:ind w:firstLine="480"/>
        <w:jc w:val="left"/>
        <w:spacing w:line="276" w:lineRule="auto"/>
        <w:rPr>
          <w:rFonts w:ascii="仿宋" w:hAnsi="仿宋" w:eastAsia="仿宋" w:cs="仿宋"/>
          <w:sz w:val="24"/>
          <w:szCs w:val="24"/>
        </w:rPr>
      </w:pPr>
      <w:r>
        <w:rPr>
          <w:rFonts w:hint="eastAsia" w:ascii="仿宋" w:hAnsi="仿宋" w:eastAsia="仿宋" w:cs="仿宋"/>
          <w:sz w:val="24"/>
          <w:szCs w:val="24"/>
        </w:rPr>
        <w:t xml:space="preserve">（2）中标人应为服务于本项目的机动车购买车辆保险，险种不低于以下要求:</w:t>
      </w:r>
      <w:r/>
    </w:p>
    <w:p>
      <w:pPr>
        <w:ind w:firstLine="480"/>
        <w:jc w:val="left"/>
        <w:spacing w:line="276" w:lineRule="auto"/>
        <w:rPr>
          <w:rFonts w:ascii="仿宋" w:hAnsi="仿宋" w:eastAsia="仿宋" w:cs="仿宋"/>
          <w:sz w:val="24"/>
          <w:szCs w:val="24"/>
        </w:rPr>
      </w:pPr>
      <w:r>
        <w:rPr>
          <w:rFonts w:hint="eastAsia" w:ascii="仿宋" w:hAnsi="仿宋" w:eastAsia="仿宋" w:cs="仿宋"/>
          <w:sz w:val="24"/>
          <w:szCs w:val="24"/>
        </w:rPr>
        <w:t xml:space="preserve">①交通事故责任强制险保险金额不低于: 按政策要求。</w:t>
      </w:r>
      <w:r/>
    </w:p>
    <w:p>
      <w:pPr>
        <w:ind w:firstLine="480"/>
        <w:jc w:val="left"/>
        <w:spacing w:line="276" w:lineRule="auto"/>
        <w:rPr>
          <w:rFonts w:ascii="仿宋" w:hAnsi="仿宋" w:eastAsia="仿宋" w:cs="仿宋"/>
          <w:sz w:val="24"/>
          <w:szCs w:val="24"/>
        </w:rPr>
      </w:pPr>
      <w:r>
        <w:rPr>
          <w:rFonts w:hint="eastAsia" w:ascii="仿宋" w:hAnsi="仿宋" w:eastAsia="仿宋" w:cs="仿宋"/>
          <w:sz w:val="24"/>
          <w:szCs w:val="24"/>
        </w:rPr>
        <w:t xml:space="preserve">②第三者责任险保险金额不低于: 300万元/辆。</w:t>
      </w:r>
      <w:r/>
    </w:p>
    <w:p>
      <w:pPr>
        <w:ind w:firstLine="480"/>
        <w:jc w:val="left"/>
        <w:spacing w:line="276" w:lineRule="auto"/>
        <w:rPr>
          <w:rFonts w:ascii="仿宋" w:hAnsi="仿宋" w:eastAsia="仿宋" w:cs="仿宋"/>
          <w:sz w:val="24"/>
          <w:szCs w:val="24"/>
          <w:highlight w:val="green"/>
        </w:rPr>
      </w:pPr>
      <w:r>
        <w:rPr>
          <w:rFonts w:hint="eastAsia" w:ascii="仿宋" w:hAnsi="仿宋" w:eastAsia="仿宋" w:cs="仿宋"/>
          <w:sz w:val="24"/>
          <w:szCs w:val="24"/>
        </w:rPr>
        <w:t xml:space="preserve">③车上人员责任险保险(驾驶人及乘客) 保险金额均不低于: 5 万元/人。</w:t>
      </w:r>
      <w:r/>
    </w:p>
    <w:p>
      <w:pPr>
        <w:ind w:firstLine="480"/>
        <w:jc w:val="left"/>
        <w:spacing w:line="276" w:lineRule="auto"/>
        <w:rPr>
          <w:rFonts w:ascii="仿宋" w:hAnsi="仿宋" w:eastAsia="仿宋" w:cs="仿宋"/>
          <w:bCs/>
          <w:sz w:val="24"/>
          <w:szCs w:val="24"/>
        </w:rPr>
      </w:pPr>
      <w:r>
        <w:rPr>
          <w:rFonts w:ascii="仿宋" w:hAnsi="仿宋" w:eastAsia="仿宋" w:cs="仿宋"/>
          <w:bCs/>
          <w:sz w:val="24"/>
          <w:szCs w:val="24"/>
        </w:rPr>
        <w:t xml:space="preserve">2</w:t>
      </w:r>
      <w:r>
        <w:rPr>
          <w:rFonts w:hint="eastAsia" w:ascii="仿宋" w:hAnsi="仿宋" w:eastAsia="仿宋" w:cs="仿宋"/>
          <w:bCs/>
          <w:sz w:val="24"/>
          <w:szCs w:val="24"/>
        </w:rPr>
        <w:t xml:space="preserve">、投标人须按法律、法规的规定为养护工人提供必要的劳动保护用品。</w:t>
      </w:r>
      <w:r/>
    </w:p>
    <w:p>
      <w:pPr>
        <w:ind w:firstLine="480"/>
        <w:jc w:val="left"/>
        <w:spacing w:line="276" w:lineRule="auto"/>
        <w:rPr>
          <w:rFonts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、中标人必须根据项目实际情况，建立岗位职责、岗位流程、安全管理等相关制度。</w:t>
      </w:r>
      <w:r/>
    </w:p>
    <w:p>
      <w:pPr>
        <w:ind w:firstLine="480"/>
        <w:jc w:val="left"/>
        <w:spacing w:line="276" w:lineRule="auto"/>
        <w:rPr>
          <w:rFonts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、中标人必须对企业员工进行安全生产、职业技能等培训，教育职工严格遵守国家法律</w:t>
      </w:r>
      <w:r>
        <w:rPr>
          <w:rFonts w:hint="eastAsia" w:ascii="仿宋" w:hAnsi="仿宋" w:eastAsia="仿宋" w:cs="仿宋"/>
          <w:bCs/>
          <w:sz w:val="24"/>
          <w:szCs w:val="24"/>
        </w:rPr>
        <w:t xml:space="preserve">法规、安全操作规程。作业人员应经专业培训后方可上岗作业。</w:t>
      </w:r>
      <w:r/>
    </w:p>
    <w:p>
      <w:pPr>
        <w:ind w:firstLine="480"/>
        <w:jc w:val="left"/>
        <w:spacing w:line="276" w:lineRule="auto"/>
        <w:rPr>
          <w:rFonts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、中标人按甲方要求，做好各项作业记录，每周按时制定作业计划，并按时提交周工作总结和月度工作总结。</w:t>
      </w:r>
      <w:r/>
    </w:p>
    <w:p>
      <w:pPr>
        <w:ind w:firstLine="482"/>
        <w:spacing w:line="276" w:lineRule="auto"/>
        <w:rPr>
          <w:rFonts w:ascii="仿宋" w:hAnsi="仿宋" w:eastAsia="仿宋" w:cs="仿宋"/>
          <w:b/>
          <w:sz w:val="24"/>
          <w:szCs w:val="24"/>
        </w:rPr>
      </w:pPr>
      <w:r>
        <w:rPr>
          <w:rFonts w:hint="eastAsia" w:ascii="仿宋" w:hAnsi="仿宋" w:eastAsia="仿宋" w:cs="仿宋"/>
          <w:b/>
          <w:sz w:val="24"/>
          <w:szCs w:val="24"/>
        </w:rPr>
        <w:t xml:space="preserve">九、考核办法</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对责任单位的考核采取固定检查考核与日常检查考核相结合的原则；考核标准和</w:t>
      </w:r>
      <w:r/>
    </w:p>
    <w:p>
      <w:pPr>
        <w:ind w:firstLine="480"/>
        <w:jc w:val="left"/>
        <w:spacing w:line="276" w:lineRule="auto"/>
        <w:rPr>
          <w:rFonts w:ascii="仿宋" w:hAnsi="仿宋" w:eastAsia="仿宋" w:cs="仿宋"/>
          <w:bCs/>
          <w:sz w:val="24"/>
          <w:szCs w:val="24"/>
        </w:rPr>
      </w:pPr>
      <w:r>
        <w:rPr>
          <w:rFonts w:hint="eastAsia" w:ascii="仿宋" w:hAnsi="仿宋" w:eastAsia="仿宋" w:cs="仿宋"/>
          <w:bCs/>
          <w:sz w:val="24"/>
          <w:szCs w:val="24"/>
        </w:rPr>
        <w:t xml:space="preserve">考核项目以《苏州宿迁工业园区绿化养护管理考核评分表》为标准</w:t>
      </w:r>
      <w:r>
        <w:rPr>
          <w:rFonts w:hint="eastAsia" w:ascii="仿宋" w:hAnsi="仿宋" w:eastAsia="仿宋" w:cs="仿宋"/>
          <w:b/>
          <w:sz w:val="24"/>
          <w:szCs w:val="24"/>
        </w:rPr>
        <w:t xml:space="preserve">（详见附件四）</w:t>
      </w:r>
      <w:r>
        <w:rPr>
          <w:rFonts w:hint="eastAsia" w:ascii="仿宋" w:hAnsi="仿宋" w:eastAsia="仿宋" w:cs="仿宋"/>
          <w:bCs/>
          <w:sz w:val="24"/>
          <w:szCs w:val="24"/>
        </w:rPr>
        <w:t xml:space="preserve">。</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1.考核方式</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对中标单位的考核采取甲方日常检查、月度综合检查相结合的考核原则。</w:t>
      </w:r>
      <w:r/>
    </w:p>
    <w:p>
      <w:pPr>
        <w:ind w:firstLine="480"/>
        <w:spacing w:line="276" w:lineRule="auto"/>
        <w:rPr>
          <w:rFonts w:ascii="仿宋" w:hAnsi="仿宋" w:eastAsia="仿宋" w:cs="仿宋"/>
          <w:b/>
          <w:bCs/>
          <w:sz w:val="24"/>
          <w:szCs w:val="24"/>
        </w:rPr>
      </w:pPr>
      <w:r>
        <w:rPr>
          <w:rFonts w:hint="eastAsia" w:ascii="仿宋" w:hAnsi="仿宋" w:eastAsia="仿宋" w:cs="仿宋"/>
          <w:bCs/>
          <w:sz w:val="24"/>
          <w:szCs w:val="24"/>
        </w:rPr>
        <w:t xml:space="preserve">甲方现场代表对乙方工作进行检查考核，每月不少于4次。乙方现场管理人员应在考核表上签字确认，如若乙方管理人员不及时签字确认，甲方一律视为乙方默认甲方的考核评分。</w:t>
      </w:r>
      <w:r>
        <w:rPr>
          <w:rFonts w:hint="eastAsia" w:ascii="仿宋" w:hAnsi="仿宋" w:eastAsia="仿宋" w:cs="仿宋"/>
          <w:b/>
          <w:bCs/>
          <w:sz w:val="24"/>
          <w:szCs w:val="24"/>
        </w:rPr>
        <w:t xml:space="preserve">2.考核费用支付标准</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（1）月度养护成绩与当月养护经费挂钩</w:t>
      </w:r>
      <w:r/>
    </w:p>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考核扣款方式</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93"/>
        <w:gridCol w:w="5529"/>
        <w:gridCol w:w="1275"/>
      </w:tblGrid>
      <w:tr>
        <w:trPr>
          <w:jc w:val="center"/>
          <w:trHeight w:val="94"/>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考核得分</w:t>
            </w:r>
            <w:r/>
          </w:p>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（满分100分）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维护费用扣款方式</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141"/>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95分（含）以上</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全额支付当月维护费用</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90（含）-95分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扣款额=（100-当月考核得分）* 0.5%*当月完成额</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Height w:val="70"/>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80（含）-90分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扣款额=（100-当月考核得分）* 1%*当月完成额</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Height w:val="70"/>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70（含）-80分</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支付50%当月维护费用</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r>
        <w:trPr>
          <w:jc w:val="center"/>
        </w:trPr>
        <w:tc>
          <w:tcPr>
            <w:tcW w:w="269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70分以下</w:t>
            </w:r>
            <w:r/>
          </w:p>
        </w:tc>
        <w:tc>
          <w:tcPr>
            <w:tcW w:w="5529"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支付40%当月维护费用；连续2月考核得分低于70分的，甲方有权解除合同，履约保证金全额扣除</w:t>
            </w:r>
            <w:r/>
          </w:p>
        </w:tc>
        <w:tc>
          <w:tcPr>
            <w:tcW w:w="1275" w:type="dxa"/>
            <w:vAlign w:val="center"/>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r>
    </w:tbl>
    <w:p>
      <w:pPr>
        <w:ind w:firstLine="480"/>
        <w:spacing w:line="276"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责任单位对于合同约定的任务不积极配合或完成不及时的，公司有权安排其它有资质的单位完成，其产生的费用从当月养护费用中扣除，不足的从该责任单位合同履约保证金中扣除。</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（2）承包人在第一次申请付款时，必须在付款申请材料后附上：1、发包人委托或要求承包人办理的建筑工程一切险和第三者责任险的保单（复印件）；2、合同协议书复印件；3、发包人出具的进场指令单。</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3）养护合同期间，如出现养护缺陷，乙方应及时予以更正,甲方有权扣留缺陷出现之日起的养护费，直至缺陷更正。甲方通知后乙方仍未按要求更正的，乙方除应承担违约责任外，甲方有权自行或委托其他人进行更正，由此而产生的费用，由乙方承担。不足的从该单位合同履约保证金中扣除。</w:t>
      </w:r>
      <w:r/>
    </w:p>
    <w:p>
      <w:pPr>
        <w:ind w:firstLine="480"/>
        <w:spacing w:line="276" w:lineRule="auto"/>
        <w:rPr>
          <w:rFonts w:ascii="仿宋" w:hAnsi="仿宋" w:eastAsia="仿宋" w:cs="仿宋"/>
          <w:bCs/>
          <w:sz w:val="24"/>
          <w:szCs w:val="24"/>
        </w:rPr>
      </w:pPr>
      <w:r>
        <w:rPr>
          <w:rFonts w:hint="eastAsia" w:ascii="仿宋" w:hAnsi="仿宋" w:eastAsia="仿宋" w:cs="仿宋"/>
          <w:bCs/>
          <w:sz w:val="24"/>
          <w:szCs w:val="24"/>
        </w:rPr>
        <w:t xml:space="preserve">（4）本工程养护过程中若有面积变动，据实调整养护面积，养护面积的调整以甲方发出的书面通知为准。</w:t>
      </w:r>
      <w:r/>
    </w:p>
    <w:p>
      <w:pPr>
        <w:ind w:firstLine="480"/>
        <w:spacing w:line="276" w:lineRule="auto"/>
        <w:rPr>
          <w:rFonts w:ascii="仿宋" w:hAnsi="仿宋" w:eastAsia="仿宋" w:cs="宋体"/>
          <w:b/>
          <w:sz w:val="24"/>
          <w:szCs w:val="24"/>
        </w:rPr>
      </w:pPr>
      <w:r>
        <w:rPr>
          <w:rFonts w:ascii="仿宋" w:hAnsi="仿宋" w:eastAsia="仿宋" w:cs="仿宋"/>
          <w:bCs/>
          <w:sz w:val="24"/>
          <w:szCs w:val="24"/>
        </w:rPr>
        <w:br w:type="page" w:clear="all"/>
      </w:r>
      <w:r>
        <w:rPr>
          <w:rFonts w:hint="eastAsia" w:ascii="仿宋" w:hAnsi="仿宋" w:eastAsia="仿宋" w:cs="宋体"/>
          <w:b/>
          <w:sz w:val="24"/>
          <w:szCs w:val="24"/>
        </w:rPr>
        <w:t xml:space="preserve">附件：</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一、《江苏省城市园林绿化植物养护管理规范（201508）》、《苏宿园区绿化养护作业导则》</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二、《</w:t>
      </w:r>
      <w:r>
        <w:rPr>
          <w:rFonts w:hint="eastAsia" w:ascii="仿宋" w:hAnsi="仿宋" w:eastAsia="仿宋" w:cs="宋体"/>
          <w:bCs/>
          <w:sz w:val="24"/>
          <w:szCs w:val="24"/>
        </w:rPr>
        <w:t xml:space="preserve">项目拟投入人员要求</w:t>
      </w:r>
      <w:r>
        <w:rPr>
          <w:rFonts w:hint="eastAsia" w:ascii="仿宋" w:hAnsi="仿宋" w:eastAsia="仿宋" w:cs="宋体"/>
          <w:bCs/>
          <w:sz w:val="24"/>
          <w:szCs w:val="24"/>
        </w:rPr>
        <w:t xml:space="preserve">》</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三、《绿化养护机械设备配置要求》</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四、《苏州宿迁工业园区公共绿化养护管理考核评分表》。</w:t>
      </w:r>
      <w:r/>
    </w:p>
    <w:p>
      <w:pPr>
        <w:spacing w:line="276" w:lineRule="auto"/>
        <w:rPr>
          <w:rFonts w:ascii="仿宋" w:hAnsi="仿宋" w:eastAsia="仿宋" w:cs="宋体"/>
          <w:b/>
          <w:bCs/>
          <w:sz w:val="24"/>
          <w:szCs w:val="24"/>
        </w:rPr>
      </w:pPr>
      <w:r>
        <w:rPr>
          <w:rFonts w:ascii="仿宋" w:hAnsi="仿宋" w:eastAsia="仿宋" w:cs="宋体"/>
          <w:bCs/>
          <w:sz w:val="24"/>
          <w:szCs w:val="24"/>
        </w:rPr>
        <w:br w:type="page" w:clear="all"/>
      </w:r>
      <w:r>
        <w:rPr>
          <w:rFonts w:hint="eastAsia" w:ascii="仿宋" w:hAnsi="仿宋" w:eastAsia="仿宋" w:cs="宋体"/>
          <w:b/>
          <w:bCs/>
          <w:sz w:val="24"/>
          <w:szCs w:val="24"/>
        </w:rPr>
        <w:t xml:space="preserve">附件一：</w:t>
      </w:r>
      <w:r/>
    </w:p>
    <w:p>
      <w:pPr>
        <w:jc w:val="center"/>
        <w:spacing w:line="276" w:lineRule="auto"/>
        <w:rPr>
          <w:rFonts w:ascii="仿宋" w:hAnsi="仿宋" w:eastAsia="仿宋" w:cs="宋体"/>
          <w:b/>
          <w:bCs/>
          <w:sz w:val="24"/>
          <w:szCs w:val="24"/>
        </w:rPr>
      </w:pPr>
      <w:r>
        <w:rPr>
          <w:rFonts w:hint="eastAsia" w:ascii="仿宋" w:hAnsi="仿宋" w:eastAsia="仿宋" w:cs="宋体"/>
          <w:b/>
          <w:bCs/>
          <w:sz w:val="24"/>
          <w:szCs w:val="24"/>
        </w:rPr>
        <w:t xml:space="preserve">江苏省城市园林绿化植物养护管理规范</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1树木（乔木、灌木）养护管理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养护管理内容包括：浇灌与排水，整形与修剪，病虫害防治，松土与除草，施肥，支撑、防护与涂白，切边和留积水穴，复壮、补植与调整等。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1.1.1浇水应根据树木生物学特性、长势、季节和土质状况，做到适树、适地、适时、适量浇灌，确保植物正常生长所需水分。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浇灌次数应根据气候、土壤墒情、植物特性和长势等具体情况确定，干旱季节宜多灌，雨季少灌或不灌；发芽生长期可多灌；休眠期前适当控制水量。</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苏南地区每年浇水6次以上，苏中地区每年浇水8次以上，苏北地区每年浇水10次以上。每年春季树木萌发前要浇春水至少1次，冬季休眠前浇防冻水至少1次，5月至10月期间，连续15天无降雨应浇透水1次。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1.1.2浇灌前应先挖穴松土，以浇透为宜，水分应渗透至树木根部。补（移）植树木高温干旱时应避开高温进行叶面喷雾或树干保湿。</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1.1.3根部积水应及时排出。耐涝性差树木应该在12小时内排除积水，低洼易积水处应设置排水沟。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1.1.4提倡使用不含有毒物质的中水、雨水和河水浇灌。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1.2整形与修剪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1.2.1依据园林绿化功能和设计的需要，在不违背树木的生长特性和自然分枝规律的前提下（特型树木除外），根据树木品种、生长阶段、生长势强弱、花芽着生部位、开花季节等生物学特性进行修剪。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1.2.1.1自然型树木的修剪应以树木自然分枝习性所形成的树冠形状为基础进行修剪；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1.2.2.2造型树木的修剪应根据园林绿化对树木的特定要求，适当控制树木部分枝干，保持树木设计要求的原有造型。</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1.2.2休眠期修剪，以整形为主，适宜进行中剪或重剪。同一树种，在幼年和成熟阶段，每年整形修剪1次；衰老阶段，2年～3年进行1次休眠期修剪，促进更新。生长势和萌芽力弱以及成枝率低的树种，修剪量和修剪频率应适当降低，只进行轻度疏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1.2.2.1落叶树木应在树木落叶后至萌芽前修剪；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1.2.2.2常绿阔叶树木或抗寒力差树种应在秋季新梢停止生长至休眠前或春芽萌动前进行修剪；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1.2.2.3观枝观叶植物如红瑞木、山麻杆等，应在早春萌动前抽除过密弱枝和枯老枝；</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1.2.2.4花芽着生于当年生枝条即夏季或秋季开花植物应在冬季或早春以短截和疏枝相结合方法进行修剪。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1.2.3修剪应去除徒长枝、病虫枝、交叉枝、并生枝、下垂枝、扭伤枝以及枯枝和烂头。嫁接的树木必须及时除去砧木的萌蘖枝。遇有架空线应按杯状形修剪。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1.2.4修剪切口要平整，疏枝必须自枝条基部修除,不留短桩。大枝短截应分段截枝。直径2cm以上的截面应光滑平整,略向内倾斜,伤口应涂抹防腐剂或生长素。</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1.2.5生长期修剪3次以上，以调整树势为主，适宜轻剪。有伤流树种修剪应避开生长旺盛期。根据树木的生长特性和不同要求进行疏枝、剥芽、摘心等。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1.2.5.1观果植物如木瓜海棠、石榴、山楂等，应及时摘心、抹芽和摘蕾，促使植物保持中庸树势，有利于花芽分化；</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1.2.5.2花芽着生于二年生枝条即早春开花植物应在花谢后进行修剪，花芽着生于多年生枝条上，如紫荆、贴梗海棠等，应于早春花后将枝条进行轻剪，生长季节进行摘心处理。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1.2.6极端气候(如强风、暴雨、冰雹、强降雪等)造成树体倾斜、枝杈劈裂、折断等，应视其损伤程度，采用适宜方法，及时修剪。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1.2.7修剪下来的枝条等废弃物，应及时清运，保证环境整洁；有病虫害的枝条要及时集中进行无害化处理，防止病虫害蔓延。</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1.2.8修剪前需制定修剪技术方案，上树前必须进行修剪培训和安全教育，全面掌握后方可修剪，并确保安全。</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1.3.3对病虫害及时进行预测预报，建立病虫害防治网络和台帐。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1.4松土与除草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1.4.1根部周围土壤保持疏松，松土深度以不伤根系生长为限，每年除结合浇水松土外，要松土5次以上。埋土过深的表层要扒土，过浅根系裸露的要填土。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1.4.2及时去除大型恶性杂草，其它杂草控制在不影响景观效果的范围内。杂草以人工拔除为主，适当采用生物防治、化学防治措施，每年清除杂草15次以上。其中，5月至10月期间，每15天要清除杂草1次。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1.4.3及时清运拔除杂草，保证环境整洁。</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1.5施肥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1.5.1施肥应根据树种、树龄、生长势和土壤理化性质而定。树木休眠期施基肥1次，生长期施追肥1-2次，花灌木花前、花后补施花肥。其中，乔木每年应施基肥、追肥各1次；花灌木每年应施基肥1次，追肥2次。花肥视开花次数而定。</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1.5.2基肥应采用腐熟有机肥。追肥应以磷肥、氮肥为主，视树种而定，提倡施用腐植酸肥料。乔灌木花前宜施磷钾肥，花后适宜补充氮肥。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1.5.3施肥量应视树木生长情况、土壤肥力而定。一般情况下，基肥施用量乔木胸径或灌木地径小于10cm的，每株施用7.5kg-12kg有机肥；胸径或地径大于10cm的，每增加1cm应增施0.5kg-1kg有机肥。追肥采用腐植酸肥料，乔木胸径或灌木地径小于10cm的，每株施用2kg有机肥；胸径或地径大于10cm的，每增加1cm应增施0.5kg-1kg有机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1.5.4喜酸性植物应施用酸性有机肥。香樟、桅子花等植物出现黄化症状时，应结合土壤改良，酸化根际土壤并树干注射、叶片喷施铁肥等。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1.5.5追肥可采用沟施或穴施，深度不浅于30cm，可按0.5%—1%浓度溶解施用，以不伤或少伤树根为准。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1.6支撑、防护与涂白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1.6.1 除特殊景观要求外，树木倾斜超过10°必须扶正，落叶树在休眠期进行，常绿树在萌芽前进行。扶正前应对土壤进行灌水，树冠进行疏枝和短截。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1.6.2 新种树木和扶正树木必须用支柱支撑。支撑方式可采用扁担支撑和四角支撑。支柱材料应统一，支柱方式应规范、整齐。在着力点与树干接触处应铺垫软质材料。每年应对支柱进行一次全面检查。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1.6.3 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1.6.4 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1.6.5冬季越冬防寒宜采用地面覆盖、包扎树体、搭建防寒棚，树干涂白等防护措施。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1.6.5.1包扎树木的材料可采用草绳或其它透气材料。</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1.6.5.2树木树干涂白应于越冬前完成。树木涂白剂应稀稠均匀，高度一致，不抛、洒、滴、漏。</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乔木及行道树，高度在1.3米左右，灌木高度在1米左右。</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涂白剂推荐配方为：生石灰8kg、硫磺1kg、食盐1kg、动(植)物油0.1kg、热水18kg。配制方法：先用热水将生石灰与食盐溶化，然后将石灰乳和食盐水混合，加入硫磺和油脂充分搅匀即成。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1.7切边和留积水穴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1.7.1在绿地内树木，应视情况和需要，在树木根部外20—50cm切边或留出积水穴，深度以10-20cm为宜。</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1.7.2切边和积水穴应流畅圆润，其内种植土应细碎平整。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1.8复壮、补植与调整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1.8.1长势衰弱树木应采取复壮措施：修平断枝、枯枝，清理创口，消毒防腐；改良土壤立地条件，清理修补树洞；枯烂树身应做支撑。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1.8.2树木长势衰弱且濒临死亡的，应根据原有树木规格、品种和质量进行更换。</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1.8.3树木因土壤污染造成长势不良且濒临死亡的，更换前应换土。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1.8.4树木因栽植过密，缺乏光照和生长空间而造成长势不良且濒临死亡的，原则上应将其移除。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1.8.5抽稀的植株应根据“留大去小、留强去弱”的原则，应注意保持与周围环境的协调。</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1.8.6死树需连根挖除；抽稀、挖除死树所留下的空穴应当及时填平。</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1.8.7移除和更换苗木时应重视对周围植物的保护。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1.8.8树木的补植和调整应规范手续，有专门台帐记录。</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2行道树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养护管理内容包括：浇灌与排水，整形与修剪，病虫害防治，松土与除草，施肥，支撑、防护与涂白，切边和留积水穴，树池管理，复壮、补植与调整等。</w:t>
      </w:r>
      <w:r/>
    </w:p>
    <w:p>
      <w:pPr>
        <w:ind w:firstLine="480"/>
        <w:spacing w:line="276" w:lineRule="auto"/>
      </w:pPr>
      <w:r>
        <w:rPr>
          <w:rFonts w:hint="eastAsia" w:ascii="仿宋" w:hAnsi="仿宋" w:eastAsia="仿宋" w:cs="宋体"/>
          <w:bCs/>
          <w:sz w:val="24"/>
          <w:szCs w:val="24"/>
        </w:rPr>
        <w:t xml:space="preserve">2.1浇灌与排水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参照1.1执行。对于已种植书带草、色块等地被植物的树穴,浇水时应先对树穴进行打洞,然后进行浇水。对于未种植地被植物且土壤严重板结的树穴，浇水时应对树穴进行深翻。浇水时间应避免行人及车辆上下班高峰期间及夏季高温时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2.2整形与修剪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2.2.1整形与修剪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2.2.1.1杯状形行道树的整形。在主干一定</w:t>
      </w:r>
      <w:r>
        <w:rPr>
          <w:rFonts w:hint="eastAsia" w:ascii="仿宋" w:hAnsi="仿宋" w:eastAsia="仿宋" w:cs="宋体"/>
          <w:bCs/>
          <w:sz w:val="24"/>
          <w:szCs w:val="24"/>
        </w:rPr>
        <w:t xml:space="preserve">高度处留3～5主枝向四面均匀配列，各主枝与主干的角度约45度，在各主枝上适当留二级枝，在二级枝上留三级枝，依次类推，即形成杯状形树冠。以法桐及国槐行道树为例：定干高度通常为3～3.5m，在其截干顶端均匀地保留三个主枝在壮芽处进行中截，冬季可在每个主枝中选二个侧枝短截作为二级枝；来年冬季，在二级枝上选二个枝条短截为三级枝，则可形成三叉六股十二分枝的杯状型造型。剪口留外向芽，主干延长枝选用角度开张的壮枝。在选留枝条和选取剪口部位时，必须要把握二级枝弱于主枝、三级枝要弱于二级枝。该种修剪方式地法桐行道树中常采用。</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2.2.1.3中央领导干形行道树的整形。留一强大的</w:t>
      </w:r>
      <w:r>
        <w:rPr>
          <w:rFonts w:hint="eastAsia" w:ascii="仿宋" w:hAnsi="仿宋" w:eastAsia="仿宋" w:cs="宋体"/>
          <w:bCs/>
          <w:sz w:val="24"/>
          <w:szCs w:val="24"/>
        </w:rPr>
        <w:t xml:space="preserve">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须疏除过密的、交叉的侧枝，翌年任其自然生长，及时短截与主干延长枝产生竞争的侧枝， 即可形成有中央领导干的树冠；若其生长较弱，应齐基剪除全部侧枝，并将主干延长枝短截，翌年，再选一健壮直立的侧枝作为主干延长枝培养，直至树冠成形。</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2.2.1.4成形树生长季节修剪。选用轻剪或疏除的办法，及时对干枯枝、病虫枝、细弱枝、下垂枝、交叉枝、空中挂枝及等进行修剪。同时兼顾到树枝与路灯、供电线路、交通指示牌、周边建筑屋檐等之间的关系，做到上不挂各类线路、下不妨碍交通、旁不影响建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2.2.1.5冬季回缩修剪。为降低其行道树顶端优势位置，促多年生枝条基部更新复壮，</w:t>
      </w:r>
      <w:r>
        <w:rPr>
          <w:rFonts w:hint="eastAsia" w:ascii="仿宋" w:hAnsi="仿宋" w:eastAsia="仿宋" w:cs="宋体"/>
          <w:bCs/>
          <w:sz w:val="24"/>
          <w:szCs w:val="24"/>
        </w:rPr>
        <w:t xml:space="preserve">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保护蜡、调和漆等)，以起到防腐防干和促进愈合的作用。</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2.2.3清除死膀及枯枝。行道树由于受生长空间的限制，至一定年份容易形成荫梢现象，并产生枯枝，加上修剪切口常年受风吹雨淋极易生产死膀。日常养护除结合修剪工作外，应在每年台风及霉雨季节来临时，重点防范，并对新生产的截面切口，涂抹防腐剂。</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行道树病虫害可通过喷药、捕杀、挖蛹、刮树皮、树干涂白等方法进行防治。行道树病虫害防治重点需做好蛀干害虫天牛、食叶害虫刺蛾、重阳木锦斑蛾及女贞白蜡蚧</w:t>
      </w:r>
      <w:r>
        <w:rPr>
          <w:rFonts w:hint="eastAsia" w:ascii="仿宋" w:hAnsi="仿宋" w:eastAsia="仿宋" w:cs="宋体"/>
          <w:bCs/>
          <w:sz w:val="24"/>
          <w:szCs w:val="24"/>
        </w:rPr>
        <w:t xml:space="preserve">的防治，其中天牛防治应在每年的6月下旬开始，主用采用人工捕捉，并在虫粪口涂没粘有敌敌畏等农药的棉花，该项工作应延续至每年的9月份，通常每半月一次。刺蛾通常在每年的六月至九月发生,主要采用药物防治及和生物防治。女贞白蜡蚧通常在每年的5月下旬，防治时除采用花宝药剂外，应对修剪下来的病虫枝集中烧毁。重阳木锦斑蛾在每年的6月至11月发生， 主要采用灭幼脲、高效氯氰菊酯 、甲维盐 大机喷雾。冬季可采用树干涂白、挖蛹、刮树皮等方法，以消灭各种越冬虫源，并可采用集中火烧或深埋有病虫的枝、干、叶等办法，以减轻次年害虫危害。</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2.4施肥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行道树施肥分基肥、追肥二类。基肥一般安排在冬季进行,施肥主要采用追肥，以根部穴施复合肥为主,一般每年追肥二次，条件限制时每年至少施追肥一次，每次每株平均施肥5㎏左右。对于穴施确有困难的应采取液态肥树干注射、地面打孔等办法进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2.5支撑、防护与涂白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2.5.1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2.5.2防护与涂白。每年的初冬，对行道树进行根际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一旦风暴来临，应及时检查，发现问题，妥善处理。对于严重倒伏、就地种植难以成活的树木，应将树冠强截后送苗圃种植养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2.5.3行道树补植。一旦出现行道树枯死,应及时报批,申请倒伐,并在手续齐全情况下视</w:t>
      </w:r>
      <w:r>
        <w:rPr>
          <w:rFonts w:hint="eastAsia" w:ascii="仿宋" w:hAnsi="仿宋" w:eastAsia="仿宋" w:cs="宋体"/>
          <w:bCs/>
          <w:sz w:val="24"/>
          <w:szCs w:val="24"/>
        </w:rPr>
        <w:t xml:space="preserve">季节及时补植。倒伐时应连同根部一起挖除，并填平树穴。补植树木应选用同品种、同规格苗木，并加强养护，确保成活。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3古树名木和古树后续资源（以下简称“古树”）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针对古树生态环境的变化和古树生长的特点，加大科学研究力度，实现科学管理和养护，除参照1树木（乔木、灌木）要求对古树进行日常养护管理外，重点做好：控制生长环境、防护与支撑、复壮等养护管理工作。</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3.1控制生长环境</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必须处理好古树与周围其他植物之间的关系。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3.1.1除对古树生长有利的部分植物可适量保留外，必须对古树周围生长的阔叶树、速生树和杂灌草进行控制。</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3.1.1.1在松柏类古树周围可适量保留壳斗科树种如栎、槲等，以利菌根菌的活动，促进古树生长.</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3.1.1.2古松树冠垂直投影范围内严禁种植核桃树、接骨木、榆树，以避免对其的生长产生抑制作用。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3.1.1.3在坡林地环境的古树应有下木和地被植物伴生的自然生态环境。应对坡坎进行加固、防止水土流失。平地古树林地应适时适地栽种豆科地被植物。浇水应一次浇透浇足。暂不使用再生水浇灌古树。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3.1.2应保持古树及周围环境的清洁。</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3.1.3应加强古树的病虫害防治工作。参照1.3执行。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3.2防护与支撑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3.2.1应因地制宜地设置围栏保护古树，孤立树或树群围栏与树干的距离不小于3m。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3.2.2在古树保护范围内（树冠垂直投影外沿3m范围内），禁止动土或铺砌不透气材料。各种施工范围内的古树必须在其保护范围边缘事先采取保护措施。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3.2.3在古树根系分布范围内，严禁设置临时厨房或厕所等有污染气体、液体的设施和排放污水的渗沟；严禁在树下堆放污染古树根系、土壤的物品，如石灰、撒过盐的积雪、人粪尿、垃圾、废料或倒污水等。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3.2.4严禁在树体上钉钉子、绕铁丝、挂杂物或作为施工的支撑点。严禁攀折、刮蹭和刻划树皮等伤害古树的行为。</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3.2.5有纪念意义和特殊观赏价值的古树，应保留其原貌，对枯枝、树洞等采取防腐处理。需修剪的应制定修剪方案，报主管部门批准。古树树体上的伤疤或空洞应及时填充修补，防止进水。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3.2.6当古树树体及大枝有倾倒、劈裂或折断的可能时，应及时采取加固或支撑等保护措施。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3.2.7对高大树体必须安装避雷装置，以防雷击。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3.3复壮</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古树复壮要严格采用成功的方法，吸收和运用新的研究成果，制定科学合理的技术方案，并经专家组论证，报请城市园林绿化主管部门审核、政府批准后，并在园林部门监督下实施。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4绿篱、模纹和色块、球类和其它造型（灌木类）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养护管理内容包括：浇灌与排水、整形与修剪、病虫害防治、除草与切边、施肥、补植等。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4.1.1根据气候、土壤墒情、植物习性等适时、适量浇灌，土壤含水量应保持在70%左右，叶片萎蔫时应及时浇水。江北地区每年至少10次以上，江南地区每年至少6次以上。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4.1.1.1每年春季树木萌发前要浇春水至少1次，冬季休眠前浇防冻水至少1次。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4.1.1.2每年5月至10月期间，连续15天无降雨应浇透水1次，道路机非隔离带绿化应每周不少于1次冲淋去尘。</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4.1.1.3开花期前应适当增加浇水量。</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1.1.2以浇透为宜，水分应渗透至树木根部。补（移）植树木高温干旱时应避开高温进行叶面喷雾保湿。</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1.1.3暴雨、梅雨季节应开沟排水，防止积水。根部积水应及时排出，耐涝性差树木应该在12小时内排除积水，低洼易积水处应设置排水沟。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1.1.4提倡使用不含有毒物质的中水、雨水和河水浇灌；绿地设施应逐步完善浇灌系统。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4.2整形与修剪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4.2.1绿篱、模纹和色块、球类和其它造型（灌木类）等应按原设计的造型或规定的形状和高度修剪。以生长期修剪为主，休眠期修剪为辅。每年应修剪8次以上，5月下旬至10月中旬，每3周左右修剪1次。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4.2.2规则式绿篱、模纹（色块）修剪应保持顶部和基部水平，做到无断层、无缺口、无光秃，轮廓线应流畅、柔和。两个品种以上连片种植时，修剪时应注意相互间衔接，保证平顺缓和过度。</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4.2.3自然式绿篱修剪，幼年以定干整形为主，成年以促进开花和结实为主。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4.2.4规则式绿篱、模纹（色块）修剪后新梢生长超过10cm时，应进行第二次修剪，红叶石楠等色叶植物应在新梢木质化后修剪。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4.2.5植株生长过密或病虫害发生严重的应及时进行疏枝修剪。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4.2.6当生长高度影响景观效果或影响交通安全时，要进行强度修剪，强度修剪宜在休眠期进行。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4.2.7修剪下来的枝、叶等废弃物，应及时清运，保证环境整洁；有病虫害的枝、叶要及时集中进行无害化处理，防止病虫害蔓延。</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4.2.8造景树修剪。以及时修剪、长枝短截、密枝疏剪为修剪基本原则。对于松类树种在芽刚萌发时摘心摘芽控制新枝长度，以保持优美的树姿和适当的比例。</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4.2.8.1摘心。造景树为控制其高度生长，促使侧枝平展，可摘去其枝梢嫩头。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4.2.8.2摘芽。造景树在其干基或干上生长出许多不定芽时，应随时摘除，以免萌生叉枝，特别是榆树，易产生不定芽，更应注意摘芽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4.2.8.3摘叶。观叶造景树 其观赏期往往是新叶萌发期，通过摘叶措施，可使树木一年发几次新叶，鲜艳悦目，提高其观赏效果。</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4.2.8.4修枝。修枝方式应根据树形来确定，如云片状树枝，则将枝条修剪成平整状。对于萌发力强的树种， 可以修剪为主。修剪时, 首先可将平行枝、交叉枝、重叠枝、对生枝、</w:t>
      </w:r>
      <w:r>
        <w:rPr>
          <w:rFonts w:hint="eastAsia" w:ascii="仿宋" w:hAnsi="仿宋" w:eastAsia="仿宋" w:cs="宋体"/>
          <w:bCs/>
          <w:sz w:val="24"/>
          <w:szCs w:val="24"/>
        </w:rPr>
        <w:t xml:space="preserve">轮生枝等进行调整，有些剪掉，有些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4.2.8.5攀扎。松柏类及萌发力弱的树种，一般以攀扎为主。即通过金属丝或棕丝等攀扎材料，将树木枝干弯曲成各种形状。</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金属丝法。一般选用14～24号金属丝（根据所攀扎枝干的粗度选用）。攀扎时，先将金属丝一端固定在枝干的基部或交叉处，然后最贴树皮徐徐缠绕，使金属组织丝与枝干约成45度角。如要将枝干向右扭旋下弯，金属丝则按顺时针方向缠绕，反之，则按逆时针方向缠绕。注意边扭边弯曲，才能使金属丝最贴树木，同时枝干也不易断裂。对石榴、红枫等一些皮薄易受损伤的树种，可先用麻皮包卷枝干，然后再攀扎金属丝。对于两根基部相差不远的侧枝，可使用一根金属丝缠绕。 在一根枝上如有重复的金属丝缠绕时，须注意缠绕方向的一致，尽量避免交叉。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棕丝扎法。先将棕丝捻成不同粗细的麻绳，将棕绳的中段缚住需弯曲枝干的下端（ 或打过套结），将两头相互绞几下，放在需要弯曲的枝干的上端，打一活结，再将枝干徐徐弯曲至所需弧度，再收紧棕绳打成死结，即完成一个弯曲。一般弯曲不宜过分，否则易失却自然形态。棕丝攀扎的前关健在于掌握好力点。要根据造型的需要，选择下棕与打结的位置。棕丝绑扎的顺序：开始时，先扎树干，后扎枝叶；扎枝叶时，先扎顶部后扎下部：每扎一个部分时，先扎大枝再扎小枝；每扎根枝（干）时，从基部到梢部。无论采用金属丝或棕丝绑扎，一般在一年以后拆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4.2.8.6雕凿。对于松柏类及体量较大的造景树，为了显示树木苍古，有时可用锋利的工具对树干进行雕凿，并剥去部分树皮，甚至将树干劈去一半，但不可露出人工斧凿痕迹。</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4.2.8.7遮荫。一些耐荫的造型树木，如罗汉松、五针松等，在夏季高温强光下，应采取遮荫措施，否则会造成生长不良。</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参照1.3执行。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4.4除草和切边</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4.4.1除草应除早、除小，及时去除大型恶性杂草及杂树，其它杂草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4.4.2绿篱、模纹和色块、造型灌木边缘，与地被、草坪结合处应进行切边处理，宽度宜10—15cm，深度宜10cm。</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4.4.3切边应流畅圆润，其内种植土应细碎平整。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4.4.4及时清运拔除杂草，保证环境整洁。</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4.5施肥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4.5.1视植物生长状况，适时、适量进行施肥，提倡使用有机肥和复合肥料，每年施基肥不少于1次，追肥不少于3次。花灌木品种应适当增加施肥次数。</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4.5.2基肥施用量为0.5kg/㎡；施追肥一般按0.5%-1%浓度的溶解液施用，肥料施用量不超过30g/㎡。</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4.5.3 撒施化肥后应及时充分浇水，肥料不得粘在花、叶上，以免灼伤叶片。</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4.6补植</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4.6.1绿篱、模纹和色块、造型灌木出现死亡、缺株或空秃后应进行补植。</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4.6.2补植的植物应与原植物品种和规格接近。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4.6.3落叶植物补植应在植物落叶后土壤结冻前或在新芽萌发前进行；常绿植物补植应在土壤解冻后，新芽萌发前进行。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5水生植物</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养护管理内容包括：控制水位和换水、清理与分株、病虫害防治、施肥、除草与灭苔等。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5.1控制水位和换水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5.1.2为避免蚊虫孳生或水质恶化，当用水发生混浊时，必须换水，夏季则须增加换水次数。</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5.2清理与分株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5.2.1对于不耐寒而干枯的水生植物，应在冬季枯黄后将其泥上部分清除。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5.2.2对于多年生耐寒水生植物应在每年2月底新芽长出前泥上部分剪除。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5.2.3及时清除枯残枝叶及杂物。</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5.2.4对于因病虫等原因而造成整盆死亡的，应将空盆撤出。</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5.2.5同一水池中混合栽植各类水生植物，必须定时疏除繁殖过快的种类，以免覆满水面，影响睡莲或其它沉水植物的生长。</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5.2.6浮水植物过大，叶面互相遮盖时，必须进行分株，一般3至4年分1次株。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5.3.2水生植物的病害主要可分为侵染性病害与非侵染性病害。形成致命性危害的一般为侵染性病害，是由于病原微生物如真菌、细菌、病毒、线虫等引起的，具有传染性，危害极大。在植物生长期应加强菱白绢病，睡莲蚜虫，荷花茎腐病、褐斑病、黑斑病和根线虫的防治，芡实真菌性病害，水仙线虫病，水竹芋叶斑病等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5.3.3对病虫害及时进行预测预报，建立病虫害防治网络和台帐。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5.4施肥：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5.4.1注重早期施肥，施足基肥，春、秋各进行一次追肥，尽量利用低水位时补肥。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5.4.2施肥不应污染水质，合理配置氮、磷、钾，增施磷钾肥。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5.4.3盆栽水生植物应在冬季连盆拿出水面，并在开春移入水池前10天补施1次基肥，</w:t>
      </w:r>
      <w:r>
        <w:rPr>
          <w:rFonts w:hint="eastAsia" w:ascii="仿宋" w:hAnsi="仿宋" w:eastAsia="仿宋" w:cs="宋体"/>
          <w:bCs/>
          <w:sz w:val="24"/>
          <w:szCs w:val="24"/>
        </w:rPr>
        <w:t xml:space="preserve">待其新叶长出后再移入水中。</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5.5除草与灭苔</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水生杂草和青苔应在早春植物萌芽前进行人工或适当的化学防治。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6攀援（垂直绿化）植物</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养护管理内容包括：浇灌与排水、修剪与理藤、病虫害防治、施肥、补植、藤架管护等。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6.1.1根据气候条件、植物习性和长势情况进行浇水，生长季节应松土保墒，土壤含水量应在65%—70%范围。气温在10℃—25℃范围内，每周浇水次数应不少于1次、气温在25℃—35℃范围内，每周浇水次数应不少于2次，高架悬挂植物需每两天至少浇水1次；气温35℃以上,应2天浇1次水，高架悬挂植物需每两至少浇水1次；冬季浇水每月不少于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6.1.2梅雨和暴雨季节应及时排除积水。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6.2修剪与理藤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6.2.1在生长季节应进行理藤、造型、固定，以逐步达到满铺的效果，定期检查绑扎物防脱落。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6.2.2多年生藤本应定期翻蔓，清除枯枝，疏除老弱藤蔓。</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6.2.3 修剪宜在5月、7月、11月或植株开花后进行。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6.2.4 对枝叶稀少的植株可通过摘心促进分枝；未完全覆盖的植株应短截空隙周围枝条，促生副稍。</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6.2.5部分徒长枝长度达15—30cm时应抑制生长；对长势过密的植株适当疏剪重叠枝控制厚度；2年以上的植株应疏减上部枝叶，并适当疏剪下部枝叶以减少枝条重叠；对生长势衰弱的植株应进行重剪促进萌发。</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6.2.6枝叶过密以及立地条件差的垂直绿化应分别绑扎，疏枝。</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6.3.2对病虫害及时进行预测预报，建立病虫害防治网络和台帐。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6.4施肥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6.4.1每年冬季应施1次有机肥。生长期应施追肥，每3个月施肥一次，以复合肥为主。吸附类藤本应叶面施肥。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6.4.2新栽苗在栽植后两年内宜根据生长势进行追肥。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6.4.3生长较差、恢复较慢的新栽苗或要促使快长的植物可用生长激素或根外追肥等措施。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6.5补植</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6.5.1植物死亡、缺株面积超过0.5m2，必须进行补植。</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6.5.2落叶植物补植应在植物落叶后土壤结冻前进行；常绿植物补植应在土壤解冻后，新芽萌发前进行。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6.6藤架管护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藤架要牢固、不变形、无损毁，定期对棚架、挂网等攀援设施检查，每月全面检查一次桥墩外包裹网片的牢固程度，每周检查一次高架悬挂花槽的完整和支架的牢固程度，发现问题立即更换或加固。</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7多年生地被植物（含花境）</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养护管理内容包括：浇灌与排水、修剪与疏除、病虫害防治、除草与切边、施肥等。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7.1.1应根据立地条件、季节差异、植物习性和生长状况及时浇灌，土壤含水量应保持在50%—60%范围。表层土壤发白时，或当叶片发生萎蔫时，应及时浇水。江北地区每年至少10次以上，江南地区每年6次以上。每年春季树木萌发前要浇春水至少1次，冬季休眠前浇防冻水至少1次，5月至10月期间，连续15天无降雨应浇透水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7.1.1.1浇水必须湿透根系层，浸湿土层应大于5cm。</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7.1.1.2沙质土壤应勤浇水，粘质土壤应合理浇水。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7.1.1.3肉质根花卉应少浇水，草本花卉应勤浇水。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7.1.1.4营养生长和生殖生长时应多浇水，盛花期可少浇水。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7.1.2提倡使用不含有毒物质的中水、雨水和河水浇灌。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7.1.3根部积水应及时排出。耐涝性差地被应该在12小时内排除积水，低洼易积水处应设置排水沟。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7.2修剪和疏除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7.2.1应按照原设计意图、景观需要和生长状况，及时对生长过密、过高植物适当疏除或修剪；及时对影响景观的干枯枝叶进行清除。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7.2.2疏除和修剪后，应及时清理现场，确保工完场清。</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7.2.3宿根花卉每2-3年需重新分株复壮、翻种次。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7.3.2应重点防治地下害虫。</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7.3.3对病虫害及时进行预测预报，建立病虫害防治网络和台帐。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7.4除草和切边</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参照4.4执行。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7.5施肥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7.5.1根据地被植物品种、长势情况、气候条件和需要进行施肥，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7.5.2草坪越冬期宜施有机肥料，平时宜薄肥勤施。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7.5.3施用量为有机肥每年宜0.5kg/m2，复合肥每月宜15g/m2—20g/m2。</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7.5.4施肥方法可采用颗粒撒施、叶面喷施和灌溉施肥。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7.5.5肥料撒施后应立即充分浇水，以免化肥灼伤叶片。</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8竹类植物</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养护管理内容包括：浇灌与排水、修剪与疏除、病虫害防治、松土与除草、施肥等。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遇到干黄梅天,应浇行鞭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8.1.2根部积水应及时排出。耐涝性差竹子应该在12小时内排除积水，低洼易积水处应设置排水沟。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8.1.3提倡使用不含有毒物质的中水、雨水和河水浇灌。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8.2修剪与疏除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8.2.1竹林每经过3—5年，应深翻、断鞭，将4年生以上的老鞭及每年砍伐后的竹蔸挖出。</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8.2.2竹林应加强抚育管理，保留适当密度，使竹林通风透光、生长健壮。</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8.2.3竹林过密应适当间伐或间移，使留竹分布均匀，并及时用土杂肥回填土坑，竹林应于每年初冬适量培土。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8.2.4间伐修剪应在晚秋或冬季进行，间伐以保留4、5年生以下立竹，去除6、7年以上，尤其是10年生以上老竹的原则进行。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8.3.1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8.3.2在竹类植物生长期间，要注意防治竹竿锈病、竹丛枝病、竹煤污病、竹黑粉病的防治；要注意防治竹茎扁蚜、竹蝗、舟蛾、毒蛾等害虫。冬季结合修剪和清洁田园，减少越冬病菌和虫卵数量。</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8.3.3对病虫害及时进行预测预报，建立病虫害防治网络和台帐。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8.4松土与除草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8.4.1除2—4月外，其他季节应及时清除竹园危害性杂草。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8.4.2每年应松土1次，松土应于6月—7月进行，深度15cm。</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8.4.3松土时应及时除去林内老鞭和竹篼、杂草、石块。</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8.5施肥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8.5.1全年应施基肥1次，追肥1—3次。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8.5.2冬季施肥应以酸性有机肥为主；春夏季追肥适宜施用尿素等速效肥，即3月、6月、9月,每次宜150kg/hm2—230kg/hm2。</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8.5.3提倡林下种植耐荫绿肥，锄下的嫩草宜埋入土中。</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9露地一、二年生草花</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养护管理内容包括：浇灌与排水、病虫害防治、松土与除草、施肥、补植与换茬等。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参照7.1执行。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9.2 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9.2.1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9.2.2草花更换时，应严格检查，防止病虫植株带入花坛。草花换茬时应翻晒土壤，消毒灭菌。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9.2.3每百平方米草花面积内，食叶类和刺吸类害虫危害率不得超过10%，病害发病率应控制在10%以下。</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9.2.4对病虫害及时进行预测预报，建立病虫害防治台帐。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9.3松土与除草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9.3.1草花换茬间隔期，土壤应进行翻挖、平整和消毒，但间隔期不得超过7天（遇阴雨天顺延）。</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9.3.2表层土壤保持疏松，严禁人为踩踏，如有踩踏板结的应及时松土。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9.3.3杂草应控制在不影响景观效果水平下。</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9.3.4除草应除早、除小，杂草需连根拔出。</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9.4施肥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9.4.1视植物生长状况，适时、适量进行施肥。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9.4.2草花更换后需每月追肥1次。施肥可采用撒施和喷施。肥料可采用复合肥，施肥量不少于15g/m2。</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9.4.3花卉花蕾露色前、后适当施追肥，盛花期后不宜施肥。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9.5补植与换茬</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9.5.1缺株面积超过0.5m2，必须进行补植。补植草花应同品种同色系。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9.5.2应及时清除残花，当残花量大于50%，必须进行换茬。换茬间隔期间不得超过7天（遇阴雨天顺延）。</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9.5.3草花换茬次数根据绿地等级，每年不少于4-6次，新换的草花开花率需达到30%以上。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9.5.4种植草花宜选用杂交F1代品种，且开花率在85%以上。种植密度以黄土不裸露为宜。</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10草坪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 养护管理内容包括：浇灌与排水、修剪、病虫害防治、除草和切边、施肥、追播、复壮等。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10.1浇灌与排水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10.1.1应根据立地条件、季节差异、草坪习性和生长状况及时浇灌，土壤含水量应保持在50%—60%范围。当叶片发生萎蔫时，应及时浇水，江北地区每年至少10次以上，江南地区每年至少6次以上。每年春季树木萌发前要浇春水至少1次，冬季休眠前浇防冻水至少1次，5月至10月期间，连续15天无降雨应浇透水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10.1.1.1浇水必须湿透根系层，浸湿土层应大于5cm。</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10.1.1.2沙质土壤应勤浇水，粘质土壤应合理浇水。</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10.1.1.3提倡使用不含有毒物质的中水、雨水和河水浇灌。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10.1.1.4绿地内应逐步完善喷灌或滴管系统。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10.1.2根部积水应在24小时内排除，低洼易积水处应设置排水沟。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10.2修剪</w:t>
      </w:r>
      <w:r/>
    </w:p>
    <w:p>
      <w:pPr>
        <w:ind w:firstLine="480"/>
        <w:spacing w:line="276" w:lineRule="auto"/>
        <w:rPr>
          <w:rFonts w:ascii="仿宋" w:hAnsi="仿宋" w:eastAsia="仿宋" w:cs="宋体"/>
          <w:bCs/>
          <w:sz w:val="24"/>
          <w:szCs w:val="24"/>
        </w:rPr>
      </w:pPr>
      <w:r>
        <w:rPr>
          <w:rFonts w:ascii="仿宋" w:hAnsi="仿宋" w:eastAsia="仿宋" w:cs="宋体"/>
          <w:bCs/>
          <w:sz w:val="24"/>
          <w:szCs w:val="24"/>
        </w:rPr>
        <w:t xml:space="preserve">10</w:t>
      </w:r>
      <w:r>
        <w:rPr>
          <w:rFonts w:hint="eastAsia" w:ascii="仿宋" w:hAnsi="仿宋" w:eastAsia="仿宋" w:cs="宋体"/>
          <w:bCs/>
          <w:sz w:val="24"/>
          <w:szCs w:val="24"/>
        </w:rPr>
        <w:t xml:space="preserve">.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10.2.2草坪生长季节应采用条纹状交叉修剪方式，按1/3原则进行适时修剪。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冷季型草坪留茬高度不超过6-7cm，暧季型草坪留茬高度不超过4—5cm。</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当草坪实际高度超过额定高度1/3时，应进行修剪。混播草坪在4月上中旬应对冷季型草坪进行低修剪，降低留茬高度，以确保暖季型草坪出芽。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10.2.3修剪后，草屑应及时清理，确保工完场清。</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10.3病虫害防治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10.3.1参照7.3执行。</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10.3.2特别注意地下害虫的防治。</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10.4除草和切边</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参照4.4执行。与树木交界处，边缘应进行切边处理或留出积水穴，宽度宜20—50cm，深度宜10cm。</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10.5施肥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10.5.1根据草坪品种、长势情况和气候条件进行施肥。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10.5.2草坪越冬期宜施有机肥料，平时宜薄肥勤施。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10.5.3施用量为有机肥每年宜1kg/m2，复合肥每月宜15g/m2 —20g/m2。</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10.5.4施肥方法可采用颗粒撒施、叶面喷施和灌溉施肥。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10.5.5肥料撒施后应立即充分浇水，以免化肥灼伤叶片。</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10.6追播</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10.6.1 混播草坪应在9月下旬至10月上中旬追播冷季型草坪。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10.6.2 播籽前应进行低修剪，留茬高度应低于3cm。</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10.6.3 冷季型草坪播种量应为20g/m2—25g/m2，种子纯度98%以上，播种要均匀。</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10.6.4 播种后必须均匀喷水保持土壤湿润，出苗后正常养护。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10.7复壮</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10.7.1当枯草层增厚，土层通气性差，空秃严重，杂草明显，必须复壮更新，每3-5年1次。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10.7.2枯草层可采用疏草机或钢齿耙消除；应用打孔机打孔改善土壤通气性；结合打孔增施有机肥、复合肥,并适当覆黄沙改良表层土壤。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10.7.3草坪高低悬殊、出现秃斑或成片杂草侵入,在采取相应的平整除草措施后用同类草籽或草皮修补。</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11保洁和秩序管理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11.1绿地（包括水面）、设施应巡视保洁，做到随产随清，要求无垃圾、石子砖块、各</w:t>
      </w:r>
      <w:r>
        <w:rPr>
          <w:rFonts w:hint="eastAsia" w:ascii="仿宋" w:hAnsi="仿宋" w:eastAsia="仿宋" w:cs="宋体"/>
          <w:bCs/>
          <w:sz w:val="24"/>
          <w:szCs w:val="24"/>
        </w:rPr>
        <w:t xml:space="preserve">种杂物、白色污染物（树挂）。无绿色废弃物（如树枝、树叶、草屑等）。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11.2绿地中无堆物、堆料、搭棚，建筑墙面和树干上无钉拴刻画等现象。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11.3应安排专门地方用于养护工具、机械的安放，绿地中严禁停放任何车辆。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11.4日常保洁人员、安保人员应统一着装上岗，穿戴整齐，并佩戴工号牌，且有所属单位的明显标志等。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11.5每天应定人定时巡视，及时阻止各类偷盗、毁绿行为，并及时报案。</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11.6保洁作业应实行夜间清扫作业、日间保洁维护的保洁方式；作业过程中应做到安全、规范、文明、卫生，无明显扬尘。</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11.7及时清运清除的各种垃圾、杂物等，严禁现场焚烧。</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12技术档案管理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12.1应建立完整的绿化养护管理台帐，并由专人负责。绿化资料记录详细，分类清楚，数据详实。</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12.2月度养护计划及养护作业应按时记录并符合现状和季节特点，针对性强，不弄虚作假。</w:t>
      </w:r>
      <w:r/>
    </w:p>
    <w:p>
      <w:pPr>
        <w:ind w:firstLine="480"/>
        <w:jc w:val="center"/>
        <w:spacing w:line="276" w:lineRule="auto"/>
        <w:rPr>
          <w:rFonts w:ascii="仿宋" w:hAnsi="仿宋" w:eastAsia="仿宋" w:cs="宋体"/>
          <w:b/>
          <w:bCs/>
          <w:sz w:val="24"/>
          <w:szCs w:val="24"/>
        </w:rPr>
      </w:pPr>
      <w:r>
        <w:rPr>
          <w:rFonts w:ascii="仿宋" w:hAnsi="仿宋" w:eastAsia="仿宋" w:cs="宋体"/>
          <w:bCs/>
          <w:sz w:val="24"/>
          <w:szCs w:val="24"/>
        </w:rPr>
        <w:br w:type="page" w:clear="all"/>
      </w:r>
      <w:r>
        <w:rPr>
          <w:rFonts w:hint="eastAsia" w:ascii="仿宋" w:hAnsi="仿宋" w:eastAsia="仿宋" w:cs="宋体"/>
          <w:b/>
          <w:bCs/>
          <w:sz w:val="24"/>
          <w:szCs w:val="24"/>
        </w:rPr>
        <w:t xml:space="preserve">江苏省城市园林绿化养护管理分级标准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园林绿化分级管理指根据园林绿地的规模、性质、位置、绿化景观、设施含量、服务对象、重要程度和养护管理标准的高低，将园林绿地的养护管理分成不同等级，由高到低分为：一级绿地、二级绿地、三级绿地。其中：</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一级绿地：指在城市中具有较大影响和示范作用的公园绿地、广场绿地和街头绿地，以及城市的重要道路绿地、城市出入口绿地、大型居住区绿地，绿地面积5000平方米以上，绿地内配套设施基本完善，需要配备安保人员，绿地植物种类不少于20种，常绿乔木与落叶乔木的比例不低于1：1，乔灌木种植面积不少于60%；乔灌草配置合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二级绿地：指能满足一定区域居民休闲游憩需求的公园绿地，在城市中具有一定影响的广场、街头绿地以及城市的次干道（建议改成城市的一般道路绿地）、具有一定规模的居住区绿地，防护绿地、风景林地街巷和沿线绿化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三级绿地指除一级绿地、二级绿地外的其它绿地。</w:t>
      </w:r>
      <w:r>
        <w:rPr>
          <w:rFonts w:hint="eastAsia" w:ascii="仿宋" w:hAnsi="仿宋" w:eastAsia="仿宋" w:cs="宋体"/>
          <w:bCs/>
          <w:sz w:val="24"/>
          <w:szCs w:val="24"/>
        </w:rPr>
        <w:tab/>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一、一级绿地</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1、园林植物养护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树冠完整美观，分枝点合适，枝条粗壮，无枯枝死杈；主侧枝分布匀称、数量适宜；内膛不乱，通风透光。行道树树穴有平整盖板或种植地被植物，黄土不裸露，树穴设施完好。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①乔木树冠完整，生长正常，自然美观。分枝点合适，枝条粗壮，无枯枝死杈；主侧枝分布匀称、数量适宜；修剪科学合理，内膛不乱，通风透光；行道树树穴有平整盖板或种植地被植物，黄土不裸露，树穴设施完好。树木不歪斜（造型树木除外），叶片大小、颜色正常，无黄叶、焦叶、卷叶；无缺、死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新补植行道树品种与原行道树基本一致，分枝点偏差在正负10cm内，胸径偏差正负1cm内，保留3级及以上分枝，长势良好，无徒长枝、病虫枝、交叉枝、重叠枝、下垂枝、扭伤枝、枯枝和烂头以及萌蘖枝等。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古树名木得到有效保护，各项养护管理措施到位，树木保持正常生长状态。</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花灌木开花适时，株形丰满，枝叶茂密，花后修剪及时合理。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②绿篱、模纹和色块及等修剪及时，整齐一致。造型树木根据不同树木的生长特性及时摘心、攀扎。</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③水生植物密度适宜，花期正常、花色鲜艳美观，无干枯叶、残花等。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④攀缘（垂直绿化）植物根据不同植物的攀缘特点，及时采取相应的技术措施，及时清除枯枝，疏删老弱藤蔓；开花的攀缘植物适时开花。</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⑤多年生地被植物（含花境）和露地一、二年生花卉生长健壮，色彩鲜艳，株行距适宜，花期整齐，图案清晰。无缺株、倒伏，无枯枝残花（残花量不大于10％）。</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⑥竹林保持适宜密度、通风透光、生长健壮、叶色正常，及时清除老鞭、砍伐后的竹蔸、干枯株等。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⑦草坪外观整齐，边缘线清晰，生长旺盛，草根不裸露，生长季节不枯黄，修剪及时，无杂草。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⑧绿地内杂草率≤2%。</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⑨病虫害防治技术措施完善，管理得当，病虫害控制及时，乔木被害株率≤10%，绿篱、</w:t>
      </w:r>
      <w:r>
        <w:rPr>
          <w:rFonts w:hint="eastAsia" w:ascii="仿宋" w:hAnsi="仿宋" w:eastAsia="仿宋" w:cs="宋体"/>
          <w:bCs/>
          <w:sz w:val="24"/>
          <w:szCs w:val="24"/>
        </w:rPr>
        <w:t xml:space="preserve">草坪被害面积≤10%，地下害虫≤10头/m2。无扰民事件发生。</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2、园林设施维护（参照园林设施维护管理等级标准的一级标准）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3、保洁和秩序管理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①绿地（含水面）整洁，无条状污染物和块状污染物，点状污染物，每200m2≤2处；无杂物，无树枝、树叶、草屑等生产垃圾，无搭棚、摆摊设点及人为践踏现象；水面无杂物、无异味。</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②绿地（含水面）内栏杆、园路、桌椅、路灯、井盖等园林设施应完好、清洁；树干上无钉钉、拴挂和刻划等现象。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③在岗的养护、保洁、安保等人员统一着装，保持衣帽整齐，并佩戴工号牌，且有所属单位的明显标志等；安保设施正常使用。</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4、技术档案</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建立健全植物养护管理技术档案，并有专人负责。</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二、二级绿地</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1、园林植物养护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①园林树木树冠基本完整，能正常生长，较自然美</w:t>
      </w:r>
      <w:r>
        <w:rPr>
          <w:rFonts w:hint="eastAsia" w:ascii="仿宋" w:hAnsi="仿宋" w:eastAsia="仿宋" w:cs="宋体"/>
          <w:bCs/>
          <w:sz w:val="24"/>
          <w:szCs w:val="24"/>
        </w:rPr>
        <w:t xml:space="preserve">观。分枝点较合适，基本无枯枝死杈；主侧枝分布匀称、数量较适宜；修剪合理，内膛不乱，通风透光；树木基本不歪斜（造型树木除外），叶片大小、颜色正常，无明显黄叶、焦叶、卷叶；无枯死株，新补植行道树品种与原行道树一致，分枝点偏差在正负20cm内，胸径偏差正负2cm内，树形、树冠等规格基本一致，保留2级及以上分枝，长势良好，无明显徒长枝、病虫枝、交叉枝、重叠枝、下垂枝、扭伤枝、枯枝和烂头以及萌蘖枝等。古树名木得到较有效保护，各项养护管理措施较到位，树木能够保持正常生长状态。花灌木开花适时，株形丰满，花后修剪及时合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②绿篱、模纹和色块等修剪较及时，枝叶茂密，造型优美。</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③水生植物密度适宜，花期、花色正常，无明显干枯叶、残花等。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④攀缘（垂直绿化）植物根据不同植物的攀缘特点，能及时采取相应的技术措施，及时清除枯枝，疏删老弱藤蔓；开花的攀缘植物能适时开花。</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⑤多年生地被植物（含花境）和露地一、二年生花卉覆盖率98%以上，栽植轮廓较清晰、美观，无明显残缺、残花、残叶、杂草等。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⑥竹林保持较适宜密度、通风透光良好、生长较健壮、叶色基本正常，能及时清除老鞭、砍伐后的竹蔸、干枯株等。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⑦草坪覆盖率95%以上，单块斑秃面积不超过0.2m2或10m2绿地内斑秃面积不超过3块；草坪内杂草率不得超过10%。草坪绿色期：冷季型草坪不得少于260天，暖季型草坪不得少于170天。</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⑧绿地内杂草率≤10%。</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⑨绿地内病虫害防治及时，无可视的危害症状，乔木被害株率≤10%，绿篱、草坪被害面积≤10%，地下害虫≤10头/m2。</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2、园林设施维护（参照园林设施维护管理等级标准的二级标准）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3、保洁和秩序管理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①绿地（含水面）较整洁，基本无条状污染物和块状污染物，点状污染物，每200m2≤3</w:t>
      </w:r>
      <w:r>
        <w:rPr>
          <w:rFonts w:hint="eastAsia" w:ascii="仿宋" w:hAnsi="仿宋" w:eastAsia="仿宋" w:cs="宋体"/>
          <w:bCs/>
          <w:sz w:val="24"/>
          <w:szCs w:val="24"/>
        </w:rPr>
        <w:t xml:space="preserve">处；基本无杂物，无明显树枝、树叶、草屑等生产垃圾，基本无搭棚、摆摊设点及人为践踏现象；水面无杂物、无异味。</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②绿地（含水面）内栏杆、园路、桌椅、路灯、井盖等园林设施基本完好、清洁；树干上基本无钉钉、拴挂和刻划等现象。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③工作人员在岗，能统一着装，保持衣帽整齐。</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4、技术档案</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建立植物养护管理技术档案，并有专人负责。</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三、三级绿地 </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1、园林植物养护</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①园林树木树冠、生长等基本正常，修剪及时，无明显枯枝死杈；主侧枝分布匀称、数量较适宜；修剪合理；树木无明显歪斜（造型树木除外），树木生长基本正常，叶片大小、颜色正常，黄叶、焦叶和卷叶的株数不得超过10%，正常叶片保存率在85%以上；无枯死株，新补植行道树品种与原行道树一致，分枝点偏差在正负30cm内，胸径偏差正负3cm内，树形、树冠等规格基本一致，保留1级及以上分枝，长势良好，无明显徒长枝、病虫枝、交叉枝、重叠枝、下垂枝、扭伤枝、枯枝和烂头以及萌蘖枝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花灌木开花适时，花后能够进行修剪。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②绿篱、模纹和色块等能定期修剪。</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③水生植物能够正常生长。</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④开花的攀缘（垂直绿化）植物攀缘植物能适时开花。</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⑤多年生地被植物（含花境）和露地一、二年生花卉覆盖率90%以上。</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⑥竹林生长、叶色基本正常，能定期清除老鞭、砍伐后的竹蔸、干枯株等。</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⑦草坪覆盖率90%以上，单块斑秃面积不超过0.3m2或10m2绿地内斑秃面积不超过4块；草坪内杂草率不得超过15%。草坪绿色期：冷季型草坪不得少于240天，暖季型草坪不得少于160天。</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⑧绿地内杂草率≤15%。</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⑨绿地内病虫害防治及时，无可视的危害症状，乔木被害株率≤10%，绿篱、草坪被害面积≤10%，地下害虫≤10头/m2。</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2、园林设施维护（参照园林设施维护管理等级标准的三级标准）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3、保洁和秩序管理</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①绿地（含水面）基本整洁，无明显杂物，无明显白色污染（树挂），无明显树枝、树叶、草屑等生产垃圾积存，基本无摆摊设点及人为践踏现象；水面无明显杂物，无明显异味。</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②绿地（含水面）内栏杆、园路、桌椅、路灯、井盖等园林设施基本完整、清洁；树干上基本无钉钉、拴挂和刻划等现象。</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4、技术档案</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建立植物养护管理技术档案，并有专人负责。</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备注：本附件未涉及的绿化养护管理规范及分级标准参照《江苏省城市园林绿化养护管理规范及分级标准》（2015年8月）</w:t>
      </w:r>
      <w:r/>
    </w:p>
    <w:p>
      <w:pPr>
        <w:jc w:val="center"/>
        <w:spacing w:line="276" w:lineRule="auto"/>
        <w:rPr>
          <w:rFonts w:ascii="仿宋" w:hAnsi="仿宋" w:eastAsia="仿宋" w:cs="宋体"/>
          <w:b/>
          <w:bCs/>
          <w:sz w:val="24"/>
          <w:szCs w:val="24"/>
        </w:rPr>
      </w:pPr>
      <w:r>
        <w:rPr>
          <w:rFonts w:ascii="仿宋" w:hAnsi="仿宋" w:eastAsia="仿宋" w:cs="宋体"/>
          <w:bCs/>
          <w:sz w:val="24"/>
          <w:szCs w:val="24"/>
        </w:rPr>
        <w:br w:type="page" w:clear="all"/>
      </w:r>
      <w:r>
        <w:rPr>
          <w:rFonts w:hint="eastAsia" w:ascii="仿宋" w:hAnsi="仿宋" w:eastAsia="仿宋" w:cs="宋体"/>
          <w:b/>
          <w:bCs/>
          <w:sz w:val="24"/>
          <w:szCs w:val="24"/>
        </w:rPr>
        <w:t xml:space="preserve">苏州宿迁工业园区绿化养护作业导则</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为加强园区内公共绿化管理，规范绿地养护措施及要求。提升园林绿化养护管理水平，打造舒适、宜居的生活环境，特制定本导则。</w:t>
      </w:r>
      <w:r/>
    </w:p>
    <w:p>
      <w:pPr>
        <w:ind w:firstLine="480"/>
        <w:spacing w:line="276" w:lineRule="auto"/>
        <w:rPr>
          <w:rFonts w:ascii="仿宋" w:hAnsi="仿宋" w:eastAsia="仿宋" w:cs="宋体"/>
          <w:bCs/>
          <w:sz w:val="24"/>
          <w:szCs w:val="24"/>
        </w:rPr>
      </w:pPr>
      <w:r>
        <w:rPr>
          <w:rFonts w:hint="eastAsia" w:ascii="仿宋" w:hAnsi="仿宋" w:eastAsia="仿宋"/>
          <w:sz w:val="24"/>
          <w:szCs w:val="24"/>
        </w:rPr>
        <w:t xml:space="preserve">一、公共绿化养护工作目标</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1.改善城市生态环境，为居民提供休憩的美好环境。</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2.通过对城市公共绿化采取修剪、施肥、浇水、病虫害防治等措施，使其城市绿化发挥最好功能。</w:t>
      </w:r>
      <w:r/>
    </w:p>
    <w:p>
      <w:pPr>
        <w:ind w:firstLine="480"/>
        <w:spacing w:line="276" w:lineRule="auto"/>
        <w:rPr>
          <w:rFonts w:ascii="仿宋" w:hAnsi="仿宋" w:eastAsia="仿宋" w:cs="宋体"/>
          <w:bCs/>
          <w:sz w:val="24"/>
          <w:szCs w:val="24"/>
        </w:rPr>
      </w:pPr>
      <w:r>
        <w:rPr>
          <w:rFonts w:hint="eastAsia" w:ascii="仿宋" w:hAnsi="仿宋" w:eastAsia="仿宋" w:cs="宋体"/>
          <w:bCs/>
          <w:sz w:val="24"/>
          <w:szCs w:val="24"/>
        </w:rPr>
        <w:t xml:space="preserve">3.使其养护质量符合应符合国家、行业现行的有关法律、法规、及标准的规定。</w:t>
      </w:r>
      <w:r/>
    </w:p>
    <w:p>
      <w:pPr>
        <w:ind w:firstLine="480"/>
        <w:spacing w:line="276" w:lineRule="auto"/>
        <w:rPr>
          <w:rFonts w:ascii="仿宋" w:hAnsi="仿宋" w:eastAsia="仿宋" w:cs="宋体"/>
          <w:bCs/>
          <w:sz w:val="24"/>
          <w:szCs w:val="24"/>
        </w:rPr>
      </w:pPr>
      <w:r>
        <w:rPr>
          <w:rFonts w:hint="eastAsia" w:ascii="仿宋" w:hAnsi="仿宋" w:eastAsia="仿宋"/>
          <w:sz w:val="24"/>
          <w:szCs w:val="24"/>
        </w:rPr>
        <w:t xml:space="preserve">二、质量标准</w:t>
      </w:r>
      <w:r/>
    </w:p>
    <w:p>
      <w:pPr>
        <w:ind w:firstLine="480"/>
        <w:spacing w:line="276" w:lineRule="auto"/>
        <w:rPr>
          <w:rFonts w:ascii="仿宋" w:hAnsi="仿宋" w:eastAsia="仿宋" w:cs="宋体"/>
          <w:bCs/>
          <w:sz w:val="24"/>
          <w:szCs w:val="24"/>
        </w:rPr>
      </w:pPr>
      <w:r>
        <w:rPr>
          <w:rFonts w:hint="eastAsia" w:ascii="仿宋" w:hAnsi="仿宋" w:eastAsia="仿宋"/>
          <w:sz w:val="24"/>
          <w:szCs w:val="24"/>
        </w:rPr>
        <w:t xml:space="preserve">1</w:t>
      </w:r>
      <w:r>
        <w:rPr>
          <w:rFonts w:ascii="仿宋" w:hAnsi="仿宋" w:eastAsia="仿宋"/>
          <w:sz w:val="24"/>
          <w:szCs w:val="24"/>
        </w:rPr>
        <w:t xml:space="preserve">园林绿化养护分级管理</w:t>
      </w:r>
      <w:r>
        <w:rPr>
          <w:rFonts w:hint="eastAsia" w:ascii="仿宋" w:hAnsi="仿宋" w:eastAsia="仿宋"/>
          <w:sz w:val="24"/>
          <w:szCs w:val="24"/>
        </w:rPr>
        <w:t xml:space="preserve">质量标准</w:t>
      </w:r>
      <w:r/>
    </w:p>
    <w:p>
      <w:pPr>
        <w:ind w:firstLine="480"/>
        <w:spacing w:line="276" w:lineRule="auto"/>
        <w:rPr>
          <w:rFonts w:ascii="仿宋" w:hAnsi="仿宋" w:eastAsia="仿宋"/>
          <w:sz w:val="24"/>
          <w:szCs w:val="24"/>
        </w:rPr>
      </w:pPr>
      <w:r>
        <w:rPr>
          <w:rFonts w:ascii="仿宋" w:hAnsi="仿宋" w:eastAsia="仿宋"/>
          <w:sz w:val="24"/>
          <w:szCs w:val="24"/>
        </w:rPr>
        <w:t xml:space="preserve">园林绿地内的设施设置和植物种植应符合安全规范和环境保护要求，并应在有安全隐患位置设置安全标志及警示牌，标志和警示牌上的字迹应醒目、完好、清晰。</w:t>
      </w:r>
      <w:r/>
    </w:p>
    <w:p>
      <w:pPr>
        <w:ind w:firstLine="480"/>
        <w:spacing w:line="276" w:lineRule="auto"/>
        <w:rPr>
          <w:rFonts w:ascii="仿宋" w:hAnsi="仿宋" w:eastAsia="仿宋"/>
          <w:sz w:val="24"/>
          <w:szCs w:val="24"/>
        </w:rPr>
      </w:pPr>
      <w:r/>
      <w:bookmarkStart w:id="225" w:name="_Toc214769670"/>
      <w:r>
        <w:rPr>
          <w:rFonts w:hint="eastAsia" w:ascii="仿宋" w:hAnsi="仿宋" w:eastAsia="仿宋"/>
          <w:sz w:val="24"/>
          <w:szCs w:val="24"/>
        </w:rPr>
        <w:t xml:space="preserve">1</w:t>
      </w:r>
      <w:r>
        <w:rPr>
          <w:rFonts w:ascii="仿宋" w:hAnsi="仿宋" w:eastAsia="仿宋"/>
          <w:sz w:val="24"/>
          <w:szCs w:val="24"/>
        </w:rPr>
        <w:t xml:space="preserve">.1 一级</w:t>
      </w:r>
      <w:bookmarkEnd w:id="225"/>
      <w:r>
        <w:rPr>
          <w:rFonts w:ascii="仿宋" w:hAnsi="仿宋" w:eastAsia="仿宋"/>
          <w:sz w:val="24"/>
          <w:szCs w:val="24"/>
        </w:rPr>
        <w:t xml:space="preserve">养护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1.1.2</w:t>
      </w:r>
      <w:r>
        <w:rPr>
          <w:rFonts w:ascii="仿宋" w:hAnsi="仿宋" w:eastAsia="仿宋"/>
          <w:sz w:val="24"/>
          <w:szCs w:val="24"/>
        </w:rPr>
        <w:t xml:space="preserve">园林树木树冠应完整美观状态，并应符合下列要求：</w:t>
      </w:r>
      <w:r/>
    </w:p>
    <w:p>
      <w:pPr>
        <w:ind w:firstLine="480"/>
        <w:spacing w:line="276" w:lineRule="auto"/>
        <w:rPr>
          <w:rFonts w:ascii="仿宋" w:hAnsi="仿宋" w:eastAsia="仿宋"/>
          <w:sz w:val="24"/>
          <w:szCs w:val="24"/>
        </w:rPr>
      </w:pPr>
      <w:r>
        <w:rPr>
          <w:rFonts w:ascii="仿宋" w:hAnsi="仿宋" w:eastAsia="仿宋"/>
          <w:sz w:val="24"/>
          <w:szCs w:val="24"/>
        </w:rPr>
        <w:t xml:space="preserve">——分枝点合适，枝条粗壮，无枯枝死杈；</w:t>
      </w:r>
      <w:r/>
    </w:p>
    <w:p>
      <w:pPr>
        <w:ind w:firstLine="480"/>
        <w:spacing w:line="276" w:lineRule="auto"/>
        <w:rPr>
          <w:rFonts w:ascii="仿宋" w:hAnsi="仿宋" w:eastAsia="仿宋"/>
          <w:sz w:val="24"/>
          <w:szCs w:val="24"/>
        </w:rPr>
      </w:pPr>
      <w:r>
        <w:rPr>
          <w:rFonts w:ascii="仿宋" w:hAnsi="仿宋" w:eastAsia="仿宋"/>
          <w:sz w:val="24"/>
          <w:szCs w:val="24"/>
        </w:rPr>
        <w:t xml:space="preserve">——主侧枝分布匀称、数量适宜、修剪科学合理；</w:t>
      </w:r>
      <w:r/>
    </w:p>
    <w:p>
      <w:pPr>
        <w:ind w:firstLine="480"/>
        <w:spacing w:line="276" w:lineRule="auto"/>
        <w:rPr>
          <w:rFonts w:ascii="仿宋" w:hAnsi="仿宋" w:eastAsia="仿宋"/>
          <w:sz w:val="24"/>
          <w:szCs w:val="24"/>
        </w:rPr>
      </w:pPr>
      <w:r>
        <w:rPr>
          <w:rFonts w:ascii="仿宋" w:hAnsi="仿宋" w:eastAsia="仿宋"/>
          <w:sz w:val="24"/>
          <w:szCs w:val="24"/>
        </w:rPr>
        <w:t xml:space="preserve">——内膛不乱，通风透光；</w:t>
      </w:r>
      <w:r/>
    </w:p>
    <w:p>
      <w:pPr>
        <w:ind w:firstLine="480"/>
        <w:spacing w:line="276" w:lineRule="auto"/>
        <w:rPr>
          <w:rFonts w:ascii="仿宋" w:hAnsi="仿宋" w:eastAsia="仿宋"/>
          <w:sz w:val="24"/>
          <w:szCs w:val="24"/>
        </w:rPr>
      </w:pPr>
      <w:r>
        <w:rPr>
          <w:rFonts w:ascii="仿宋" w:hAnsi="仿宋" w:eastAsia="仿宋"/>
          <w:sz w:val="24"/>
          <w:szCs w:val="24"/>
        </w:rPr>
        <w:t xml:space="preserve">——树木不歪斜，叶片大小、颜色正常，无黄叶、焦叶、卷叶；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1.1.3</w:t>
      </w:r>
      <w:r>
        <w:rPr>
          <w:rFonts w:ascii="仿宋" w:hAnsi="仿宋" w:eastAsia="仿宋"/>
          <w:sz w:val="24"/>
          <w:szCs w:val="24"/>
        </w:rPr>
        <w:t xml:space="preserve">花灌木开花应适时，株形丰满，花后修剪及时合理。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1.1.4</w:t>
      </w:r>
      <w:r>
        <w:rPr>
          <w:rFonts w:ascii="仿宋" w:hAnsi="仿宋" w:eastAsia="仿宋"/>
          <w:sz w:val="24"/>
          <w:szCs w:val="24"/>
        </w:rPr>
        <w:t xml:space="preserve">绿篱、模纹等修剪及时，枝叶茂密，整齐一致，无空缺，造型优美。</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1.1.5</w:t>
      </w:r>
      <w:r>
        <w:rPr>
          <w:rFonts w:ascii="仿宋" w:hAnsi="仿宋" w:eastAsia="仿宋"/>
          <w:sz w:val="24"/>
          <w:szCs w:val="24"/>
        </w:rPr>
        <w:t xml:space="preserve">草坪及地被植物整齐一致，覆盖率98 %以上，单块斑秃面积不超过0.1㎡或10㎡绿地内斑秃面积不超过2块；草坪内杂草率不得超过5%。</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1.1.6</w:t>
      </w:r>
      <w:r>
        <w:rPr>
          <w:rFonts w:ascii="仿宋" w:hAnsi="仿宋" w:eastAsia="仿宋"/>
          <w:sz w:val="24"/>
          <w:szCs w:val="24"/>
        </w:rPr>
        <w:t xml:space="preserve">草坪绿色期：冷季型草坪不得少于300天，暖季型草坪不得少于210天。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1.1.7</w:t>
      </w:r>
      <w:r>
        <w:rPr>
          <w:rFonts w:ascii="仿宋" w:hAnsi="仿宋" w:eastAsia="仿宋"/>
          <w:sz w:val="24"/>
          <w:szCs w:val="24"/>
        </w:rPr>
        <w:t xml:space="preserve">攀缘植物应根据不同植物的攀缘特点，及时采取相应的技术措施，及时清除枯枝，疏删老弱藤蔓。开花的攀缘植物应适时开花。</w:t>
      </w:r>
      <w:r/>
    </w:p>
    <w:p>
      <w:pPr>
        <w:ind w:firstLine="480"/>
        <w:spacing w:line="276" w:lineRule="auto"/>
        <w:rPr>
          <w:rFonts w:ascii="仿宋" w:hAnsi="仿宋" w:eastAsia="仿宋"/>
          <w:sz w:val="24"/>
          <w:szCs w:val="24"/>
        </w:rPr>
      </w:pPr>
      <w:r/>
      <w:bookmarkStart w:id="226" w:name="_Toc214769674"/>
      <w:r>
        <w:rPr>
          <w:rFonts w:hint="eastAsia" w:ascii="仿宋" w:hAnsi="仿宋" w:eastAsia="仿宋"/>
          <w:sz w:val="24"/>
          <w:szCs w:val="24"/>
        </w:rPr>
        <w:t xml:space="preserve">1</w:t>
      </w:r>
      <w:r>
        <w:rPr>
          <w:rFonts w:ascii="仿宋" w:hAnsi="仿宋" w:eastAsia="仿宋"/>
          <w:sz w:val="24"/>
          <w:szCs w:val="24"/>
        </w:rPr>
        <w:t xml:space="preserve">.2 二级</w:t>
      </w:r>
      <w:bookmarkEnd w:id="226"/>
      <w:r>
        <w:rPr>
          <w:rFonts w:ascii="仿宋" w:hAnsi="仿宋" w:eastAsia="仿宋"/>
          <w:sz w:val="24"/>
          <w:szCs w:val="24"/>
        </w:rPr>
        <w:t xml:space="preserve">养护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.2.1园林树木树冠基本完整状态应符合下列要求：</w:t>
      </w:r>
      <w:r/>
    </w:p>
    <w:p>
      <w:pPr>
        <w:ind w:firstLine="480"/>
        <w:spacing w:line="276" w:lineRule="auto"/>
        <w:rPr>
          <w:rFonts w:ascii="仿宋" w:hAnsi="仿宋" w:eastAsia="仿宋"/>
          <w:sz w:val="24"/>
          <w:szCs w:val="24"/>
        </w:rPr>
      </w:pPr>
      <w:r>
        <w:rPr>
          <w:rFonts w:ascii="仿宋" w:hAnsi="仿宋" w:eastAsia="仿宋"/>
          <w:sz w:val="24"/>
          <w:szCs w:val="24"/>
        </w:rPr>
        <w:t xml:space="preserve">——主侧枝分布均称、数量适宜；</w:t>
      </w:r>
      <w:r/>
    </w:p>
    <w:p>
      <w:pPr>
        <w:ind w:firstLine="480"/>
        <w:spacing w:line="276" w:lineRule="auto"/>
        <w:rPr>
          <w:rFonts w:ascii="仿宋" w:hAnsi="仿宋" w:eastAsia="仿宋"/>
          <w:sz w:val="24"/>
          <w:szCs w:val="24"/>
        </w:rPr>
      </w:pPr>
      <w:r>
        <w:rPr>
          <w:rFonts w:ascii="仿宋" w:hAnsi="仿宋" w:eastAsia="仿宋"/>
          <w:sz w:val="24"/>
          <w:szCs w:val="24"/>
        </w:rPr>
        <w:t xml:space="preserve">——修剪合理，内膛不乱，通风透光；</w:t>
      </w:r>
      <w:r/>
    </w:p>
    <w:p>
      <w:pPr>
        <w:ind w:firstLine="480"/>
        <w:spacing w:line="276" w:lineRule="auto"/>
        <w:rPr>
          <w:rFonts w:ascii="仿宋" w:hAnsi="仿宋" w:eastAsia="仿宋"/>
          <w:sz w:val="24"/>
          <w:szCs w:val="24"/>
        </w:rPr>
      </w:pPr>
      <w:r>
        <w:rPr>
          <w:rFonts w:ascii="仿宋" w:hAnsi="仿宋" w:eastAsia="仿宋"/>
          <w:sz w:val="24"/>
          <w:szCs w:val="24"/>
        </w:rPr>
        <w:t xml:space="preserve">——树木生长正常，叶片大小、颜色正常，无明显黄叶、焦叶、卷叶；无枯死株，缺株率不超过2%。</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1.2.2</w:t>
      </w:r>
      <w:r>
        <w:rPr>
          <w:rFonts w:ascii="仿宋" w:hAnsi="仿宋" w:eastAsia="仿宋"/>
          <w:sz w:val="24"/>
          <w:szCs w:val="24"/>
        </w:rPr>
        <w:t xml:space="preserve">花灌木开花及时、正常，花后修剪及时。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1.2.3</w:t>
      </w:r>
      <w:r>
        <w:rPr>
          <w:rFonts w:ascii="仿宋" w:hAnsi="仿宋" w:eastAsia="仿宋"/>
          <w:sz w:val="24"/>
          <w:szCs w:val="24"/>
        </w:rPr>
        <w:t xml:space="preserve">绿篱、模纹等枝叶生长正常，整齐一致。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w:t>
      </w:r>
      <w:r>
        <w:rPr>
          <w:rFonts w:ascii="仿宋" w:hAnsi="仿宋" w:eastAsia="仿宋"/>
          <w:sz w:val="24"/>
          <w:szCs w:val="24"/>
        </w:rPr>
        <w:t xml:space="preserve">4草坪及地被植物整齐一致，生长均匀且覆盖率95 %以上，单块斑秃面积不超过0.2㎡或10㎡绿地内斑秃面积不超过3块；草坪内杂草率不得超过10%。</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1.2.5</w:t>
      </w:r>
      <w:r>
        <w:rPr>
          <w:rFonts w:ascii="仿宋" w:hAnsi="仿宋" w:eastAsia="仿宋"/>
          <w:sz w:val="24"/>
          <w:szCs w:val="24"/>
        </w:rPr>
        <w:t xml:space="preserve">草坪绿色期：冷季型草坪不得少于270天，暖季型草坪不得少于180天。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.2.1.</w:t>
      </w:r>
      <w:r>
        <w:rPr>
          <w:rFonts w:hint="eastAsia" w:ascii="仿宋" w:hAnsi="仿宋" w:eastAsia="仿宋"/>
          <w:sz w:val="24"/>
          <w:szCs w:val="24"/>
        </w:rPr>
        <w:t xml:space="preserve">6</w:t>
      </w:r>
      <w:r>
        <w:rPr>
          <w:rFonts w:ascii="仿宋" w:hAnsi="仿宋" w:eastAsia="仿宋"/>
          <w:sz w:val="24"/>
          <w:szCs w:val="24"/>
        </w:rPr>
        <w:t xml:space="preserve">攀缘植物应根据不同植物的攀缘特点，采取相应的技术措施，清除枯枝，疏删老弱藤蔓；视攀缘植物生长习性，开花的攀缘植物能适时开花。 </w:t>
      </w:r>
      <w:r/>
    </w:p>
    <w:p>
      <w:pPr>
        <w:ind w:firstLine="480"/>
        <w:spacing w:line="276" w:lineRule="auto"/>
        <w:rPr>
          <w:rFonts w:ascii="仿宋" w:hAnsi="仿宋" w:eastAsia="仿宋"/>
          <w:sz w:val="24"/>
          <w:szCs w:val="24"/>
        </w:rPr>
      </w:pPr>
      <w:r/>
      <w:bookmarkStart w:id="227" w:name="_Toc214769677"/>
      <w:r>
        <w:rPr>
          <w:rFonts w:hint="eastAsia" w:ascii="仿宋" w:hAnsi="仿宋" w:eastAsia="仿宋"/>
          <w:sz w:val="24"/>
          <w:szCs w:val="24"/>
        </w:rPr>
        <w:t xml:space="preserve">1</w:t>
      </w:r>
      <w:r>
        <w:rPr>
          <w:rFonts w:ascii="仿宋" w:hAnsi="仿宋" w:eastAsia="仿宋"/>
          <w:sz w:val="24"/>
          <w:szCs w:val="24"/>
        </w:rPr>
        <w:t xml:space="preserve">.3 三级</w:t>
      </w:r>
      <w:bookmarkEnd w:id="227"/>
      <w:r>
        <w:rPr>
          <w:rFonts w:ascii="仿宋" w:hAnsi="仿宋" w:eastAsia="仿宋"/>
          <w:sz w:val="24"/>
          <w:szCs w:val="24"/>
        </w:rPr>
        <w:t xml:space="preserve">养护</w:t>
      </w:r>
      <w:r/>
    </w:p>
    <w:p>
      <w:pPr>
        <w:ind w:firstLine="480"/>
        <w:spacing w:line="276" w:lineRule="auto"/>
        <w:rPr>
          <w:rFonts w:ascii="仿宋" w:hAnsi="仿宋" w:eastAsia="仿宋"/>
          <w:sz w:val="24"/>
          <w:szCs w:val="24"/>
        </w:rPr>
      </w:pPr>
      <w:r/>
      <w:bookmarkStart w:id="228" w:name="_Toc214702938"/>
      <w:r/>
      <w:bookmarkStart w:id="229" w:name="_Toc214769679"/>
      <w:r>
        <w:rPr>
          <w:rFonts w:ascii="仿宋" w:hAnsi="仿宋" w:eastAsia="仿宋"/>
          <w:sz w:val="24"/>
          <w:szCs w:val="24"/>
        </w:rPr>
        <w:t xml:space="preserve">园林植物</w:t>
      </w:r>
      <w:bookmarkEnd w:id="228"/>
      <w:r/>
      <w:bookmarkEnd w:id="229"/>
      <w:r>
        <w:rPr>
          <w:rFonts w:ascii="仿宋" w:hAnsi="仿宋" w:eastAsia="仿宋"/>
          <w:sz w:val="24"/>
          <w:szCs w:val="24"/>
        </w:rPr>
        <w:t xml:space="preserve"> </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1.3.1</w:t>
      </w:r>
      <w:r>
        <w:rPr>
          <w:rFonts w:ascii="仿宋" w:hAnsi="仿宋" w:eastAsia="仿宋"/>
          <w:sz w:val="24"/>
          <w:szCs w:val="24"/>
        </w:rPr>
        <w:t xml:space="preserve">园林树木树冠基本正常状态应符合下列要求：</w:t>
      </w:r>
      <w:r/>
    </w:p>
    <w:p>
      <w:pPr>
        <w:ind w:firstLine="480"/>
        <w:spacing w:line="276" w:lineRule="auto"/>
        <w:rPr>
          <w:rFonts w:ascii="仿宋" w:hAnsi="仿宋" w:eastAsia="仿宋"/>
          <w:sz w:val="24"/>
          <w:szCs w:val="24"/>
        </w:rPr>
      </w:pPr>
      <w:r>
        <w:rPr>
          <w:rFonts w:ascii="仿宋" w:hAnsi="仿宋" w:eastAsia="仿宋"/>
          <w:sz w:val="24"/>
          <w:szCs w:val="24"/>
        </w:rPr>
        <w:t xml:space="preserve">——修剪及时，无明显枯枝死杈；</w:t>
      </w:r>
      <w:r/>
    </w:p>
    <w:p>
      <w:pPr>
        <w:ind w:firstLine="480"/>
        <w:spacing w:line="276" w:lineRule="auto"/>
        <w:rPr>
          <w:rFonts w:ascii="仿宋" w:hAnsi="仿宋" w:eastAsia="仿宋"/>
          <w:sz w:val="24"/>
          <w:szCs w:val="24"/>
        </w:rPr>
      </w:pPr>
      <w:r>
        <w:rPr>
          <w:rFonts w:ascii="仿宋" w:hAnsi="仿宋" w:eastAsia="仿宋"/>
          <w:sz w:val="24"/>
          <w:szCs w:val="24"/>
        </w:rPr>
        <w:t xml:space="preserve">——分枝点合适，枝条粗壮，行道树缺株率不超过5%，绿地内无死树；</w:t>
      </w:r>
      <w:r/>
    </w:p>
    <w:p>
      <w:pPr>
        <w:ind w:firstLine="480"/>
        <w:spacing w:line="276" w:lineRule="auto"/>
        <w:rPr>
          <w:rFonts w:ascii="仿宋" w:hAnsi="仿宋" w:eastAsia="仿宋"/>
          <w:sz w:val="24"/>
          <w:szCs w:val="24"/>
        </w:rPr>
      </w:pPr>
      <w:r>
        <w:rPr>
          <w:rFonts w:ascii="仿宋" w:hAnsi="仿宋" w:eastAsia="仿宋"/>
          <w:sz w:val="24"/>
          <w:szCs w:val="24"/>
        </w:rPr>
        <w:t xml:space="preserve">——树木生长基本正常，叶片大小、颜色正常，黄叶、焦叶和卷叶的株数不得超过10%，正常叶片保存率在85%以上。</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1.3.2</w:t>
      </w:r>
      <w:r>
        <w:rPr>
          <w:rFonts w:ascii="仿宋" w:hAnsi="仿宋" w:eastAsia="仿宋"/>
          <w:sz w:val="24"/>
          <w:szCs w:val="24"/>
        </w:rPr>
        <w:t xml:space="preserve">草坪及地被植物整齐一致，覆盖率90%以上，单块斑秃面积不超过0.3㎡或10m</w:t>
      </w:r>
      <w:r>
        <w:rPr>
          <w:rFonts w:ascii="仿宋" w:hAnsi="仿宋" w:eastAsia="仿宋"/>
          <w:sz w:val="24"/>
          <w:szCs w:val="24"/>
          <w:vertAlign w:val="superscript"/>
        </w:rPr>
        <w:t xml:space="preserve">2</w:t>
      </w:r>
      <w:r>
        <w:rPr>
          <w:rFonts w:ascii="仿宋" w:hAnsi="仿宋" w:eastAsia="仿宋"/>
          <w:sz w:val="24"/>
          <w:szCs w:val="24"/>
        </w:rPr>
        <w:t xml:space="preserve">绿地内斑秃面积不超过4块，除缀花草坪外、草坪内杂草率不得超过15%。</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1.3.3</w:t>
      </w:r>
      <w:r>
        <w:rPr>
          <w:rFonts w:ascii="仿宋" w:hAnsi="仿宋" w:eastAsia="仿宋"/>
          <w:sz w:val="24"/>
          <w:szCs w:val="24"/>
        </w:rPr>
        <w:t xml:space="preserve">草坪绿色期：冷季型草坪不得少于240天，暖季型草坪不得少于160天。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1.3.4</w:t>
      </w:r>
      <w:r>
        <w:rPr>
          <w:rFonts w:ascii="仿宋" w:hAnsi="仿宋" w:eastAsia="仿宋"/>
          <w:sz w:val="24"/>
          <w:szCs w:val="24"/>
        </w:rPr>
        <w:t xml:space="preserve">攀援植物能根据不同植物的攀缘特点，采取相应的技术措施，保持植株正常生长。</w:t>
      </w:r>
      <w:r/>
    </w:p>
    <w:p>
      <w:pPr>
        <w:ind w:firstLine="480"/>
        <w:spacing w:line="276" w:lineRule="auto"/>
        <w:rPr>
          <w:rFonts w:ascii="仿宋" w:hAnsi="仿宋" w:eastAsia="仿宋"/>
          <w:sz w:val="24"/>
          <w:szCs w:val="24"/>
        </w:rPr>
      </w:pPr>
      <w:r/>
      <w:bookmarkStart w:id="230" w:name="_Toc214769681"/>
      <w:r>
        <w:rPr>
          <w:rFonts w:hint="eastAsia" w:ascii="仿宋" w:hAnsi="仿宋" w:eastAsia="仿宋"/>
          <w:sz w:val="24"/>
          <w:szCs w:val="24"/>
        </w:rPr>
        <w:t xml:space="preserve">2</w:t>
      </w:r>
      <w:r>
        <w:rPr>
          <w:rFonts w:ascii="仿宋" w:hAnsi="仿宋" w:eastAsia="仿宋"/>
          <w:sz w:val="24"/>
          <w:szCs w:val="24"/>
        </w:rPr>
        <w:t xml:space="preserve">病虫害控制</w:t>
      </w:r>
      <w:bookmarkEnd w:id="230"/>
      <w:r>
        <w:rPr>
          <w:rFonts w:ascii="仿宋" w:hAnsi="仿宋" w:eastAsia="仿宋"/>
          <w:sz w:val="24"/>
          <w:szCs w:val="24"/>
        </w:rPr>
        <w:t xml:space="preserve">等级标准</w:t>
      </w:r>
      <w:r/>
    </w:p>
    <w:p>
      <w:pPr>
        <w:jc w:val="center"/>
        <w:spacing w:line="276" w:lineRule="auto"/>
        <w:rPr>
          <w:rFonts w:ascii="仿宋" w:hAnsi="仿宋" w:eastAsia="仿宋"/>
          <w:sz w:val="24"/>
          <w:szCs w:val="24"/>
        </w:rPr>
      </w:pPr>
      <w:r>
        <w:rPr>
          <w:rFonts w:ascii="仿宋" w:hAnsi="仿宋" w:eastAsia="仿宋"/>
          <w:sz w:val="24"/>
          <w:szCs w:val="24"/>
        </w:rPr>
        <w:t xml:space="preserve">绿地的病虫害控制等级标准表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right w:w="57" w:type="dxa"/>
        </w:tblCellMar>
        <w:tblLook w:val="04A0" w:firstRow="1" w:lastRow="0" w:firstColumn="1" w:lastColumn="0" w:noHBand="0" w:noVBand="1"/>
      </w:tblPr>
      <w:tblGrid>
        <w:gridCol w:w="555"/>
        <w:gridCol w:w="2446"/>
        <w:gridCol w:w="900"/>
        <w:gridCol w:w="1426"/>
        <w:gridCol w:w="1304"/>
        <w:gridCol w:w="1537"/>
        <w:gridCol w:w="1349"/>
      </w:tblGrid>
      <w:tr>
        <w:trPr>
          <w:cantSplit/>
          <w:jc w:val="center"/>
          <w:trHeight w:val="454"/>
        </w:trPr>
        <w:tc>
          <w:tcPr>
            <w:tcW w:w="555" w:type="dxa"/>
            <w:vAlign w:val="center"/>
            <w:vMerge w:val="restart"/>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绿地级别</w:t>
            </w:r>
            <w:r/>
          </w:p>
        </w:tc>
        <w:tc>
          <w:tcPr>
            <w:tcW w:w="2446" w:type="dxa"/>
            <w:vAlign w:val="center"/>
            <w:vMerge w:val="restart"/>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总体要求</w:t>
            </w:r>
            <w:r/>
          </w:p>
        </w:tc>
        <w:tc>
          <w:tcPr>
            <w:gridSpan w:val="5"/>
            <w:tcW w:w="6516"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类    别</w:t>
            </w:r>
            <w:r/>
          </w:p>
        </w:tc>
      </w:tr>
      <w:tr>
        <w:trPr>
          <w:cantSplit/>
          <w:jc w:val="center"/>
          <w:trHeight w:val="454"/>
        </w:trPr>
        <w:tc>
          <w:tcPr>
            <w:tcW w:w="555" w:type="dxa"/>
            <w:vAlign w:val="center"/>
            <w:vMerge w:val="continue"/>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r>
            <w:r/>
          </w:p>
        </w:tc>
        <w:tc>
          <w:tcPr>
            <w:tcW w:w="2446" w:type="dxa"/>
            <w:vAlign w:val="center"/>
            <w:vMerge w:val="continue"/>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r>
            <w:r/>
          </w:p>
        </w:tc>
        <w:tc>
          <w:tcPr>
            <w:tcW w:w="900"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蛀干</w:t>
            </w:r>
            <w:r/>
          </w:p>
        </w:tc>
        <w:tc>
          <w:tcPr>
            <w:tcW w:w="1426"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刺吸类</w:t>
            </w:r>
            <w:r/>
          </w:p>
          <w:p>
            <w:pPr>
              <w:jc w:val="center"/>
              <w:spacing w:line="276" w:lineRule="auto"/>
              <w:widowControl/>
              <w:rPr>
                <w:rFonts w:ascii="仿宋" w:hAnsi="仿宋" w:eastAsia="仿宋"/>
                <w:sz w:val="24"/>
                <w:szCs w:val="24"/>
              </w:rPr>
            </w:pPr>
            <w:r>
              <w:rPr>
                <w:rFonts w:ascii="仿宋" w:hAnsi="仿宋" w:eastAsia="仿宋"/>
                <w:sz w:val="24"/>
                <w:szCs w:val="24"/>
              </w:rPr>
              <w:t xml:space="preserve">(平均每10cm枝条上)</w:t>
            </w:r>
            <w:r/>
          </w:p>
        </w:tc>
        <w:tc>
          <w:tcPr>
            <w:tcW w:w="1304"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地下害虫</w:t>
            </w:r>
            <w:r/>
          </w:p>
          <w:p>
            <w:pPr>
              <w:jc w:val="center"/>
              <w:spacing w:line="276" w:lineRule="auto"/>
              <w:widowControl/>
              <w:rPr>
                <w:rFonts w:ascii="仿宋" w:hAnsi="仿宋" w:eastAsia="仿宋"/>
                <w:sz w:val="24"/>
                <w:szCs w:val="24"/>
              </w:rPr>
            </w:pPr>
            <w:r>
              <w:rPr>
                <w:rFonts w:ascii="仿宋" w:hAnsi="仿宋" w:eastAsia="仿宋"/>
                <w:sz w:val="24"/>
                <w:szCs w:val="24"/>
              </w:rPr>
              <w:t xml:space="preserve">（平均每1㎡绿地内）</w:t>
            </w:r>
            <w:r/>
          </w:p>
        </w:tc>
        <w:tc>
          <w:tcPr>
            <w:tcW w:w="1537"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食叶类</w:t>
            </w:r>
            <w:r/>
          </w:p>
          <w:p>
            <w:pPr>
              <w:jc w:val="center"/>
              <w:spacing w:line="276" w:lineRule="auto"/>
              <w:widowControl/>
              <w:rPr>
                <w:rFonts w:ascii="仿宋" w:hAnsi="仿宋" w:eastAsia="仿宋"/>
                <w:sz w:val="24"/>
                <w:szCs w:val="24"/>
              </w:rPr>
            </w:pPr>
            <w:r>
              <w:rPr>
                <w:rFonts w:ascii="仿宋" w:hAnsi="仿宋" w:eastAsia="仿宋"/>
                <w:sz w:val="24"/>
                <w:szCs w:val="24"/>
              </w:rPr>
              <w:t xml:space="preserve">（平均每50cm枝条上）</w:t>
            </w:r>
            <w:r/>
          </w:p>
        </w:tc>
        <w:tc>
          <w:tcPr>
            <w:tcW w:w="1349"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病害</w:t>
            </w:r>
            <w:r/>
          </w:p>
          <w:p>
            <w:pPr>
              <w:jc w:val="center"/>
              <w:spacing w:line="276" w:lineRule="auto"/>
              <w:widowControl/>
              <w:rPr>
                <w:rFonts w:ascii="仿宋" w:hAnsi="仿宋" w:eastAsia="仿宋"/>
                <w:sz w:val="24"/>
                <w:szCs w:val="24"/>
              </w:rPr>
            </w:pPr>
            <w:r>
              <w:rPr>
                <w:rFonts w:ascii="仿宋" w:hAnsi="仿宋" w:eastAsia="仿宋"/>
                <w:sz w:val="24"/>
                <w:szCs w:val="24"/>
              </w:rPr>
              <w:t xml:space="preserve">（所有植株）</w:t>
            </w:r>
            <w:r/>
          </w:p>
        </w:tc>
      </w:tr>
      <w:tr>
        <w:trPr>
          <w:jc w:val="center"/>
          <w:trHeight w:val="454"/>
        </w:trPr>
        <w:tc>
          <w:tcPr>
            <w:tcW w:w="555"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一级</w:t>
            </w:r>
            <w:r/>
          </w:p>
        </w:tc>
        <w:tc>
          <w:tcPr>
            <w:tcW w:w="2446"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控制及时，无明显的病虫为害现象。平均每100株树木病虫危害不超过2株，100㎡绿篱、草坪病虫危害不超过2%</w:t>
            </w:r>
            <w:r/>
          </w:p>
        </w:tc>
        <w:tc>
          <w:tcPr>
            <w:tcW w:w="900"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无活卵、活虫</w:t>
            </w:r>
            <w:r/>
          </w:p>
        </w:tc>
        <w:tc>
          <w:tcPr>
            <w:tcW w:w="1426"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不得超过2头</w:t>
            </w:r>
            <w:r/>
          </w:p>
        </w:tc>
        <w:tc>
          <w:tcPr>
            <w:tcW w:w="1304"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不超过2头</w:t>
            </w:r>
            <w:r/>
          </w:p>
        </w:tc>
        <w:tc>
          <w:tcPr>
            <w:tcW w:w="1537"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不超过1头</w:t>
            </w:r>
            <w:r/>
          </w:p>
        </w:tc>
        <w:tc>
          <w:tcPr>
            <w:tcW w:w="1349"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2%以下</w:t>
            </w:r>
            <w:r/>
          </w:p>
        </w:tc>
      </w:tr>
      <w:tr>
        <w:trPr>
          <w:jc w:val="center"/>
          <w:trHeight w:val="454"/>
        </w:trPr>
        <w:tc>
          <w:tcPr>
            <w:tcW w:w="555"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二级</w:t>
            </w:r>
            <w:r/>
          </w:p>
        </w:tc>
        <w:tc>
          <w:tcPr>
            <w:tcW w:w="2446"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病虫害控制及时，园林树木上无明显的病虫为害现象，平均每100株树木病虫危害不超过5株，100㎡绿篱、草坪病虫危害不超过5%</w:t>
            </w:r>
            <w:r/>
          </w:p>
        </w:tc>
        <w:tc>
          <w:tcPr>
            <w:tcW w:w="900"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无活卵、活虫</w:t>
            </w:r>
            <w:r/>
          </w:p>
        </w:tc>
        <w:tc>
          <w:tcPr>
            <w:tcW w:w="1426"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不得超过5头</w:t>
            </w:r>
            <w:r/>
          </w:p>
        </w:tc>
        <w:tc>
          <w:tcPr>
            <w:tcW w:w="1304"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不超过5头</w:t>
            </w:r>
            <w:r/>
          </w:p>
        </w:tc>
        <w:tc>
          <w:tcPr>
            <w:tcW w:w="1537"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不超过2头</w:t>
            </w:r>
            <w:r/>
          </w:p>
        </w:tc>
        <w:tc>
          <w:tcPr>
            <w:tcW w:w="1349"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5%以下</w:t>
            </w:r>
            <w:r/>
          </w:p>
        </w:tc>
      </w:tr>
      <w:tr>
        <w:trPr>
          <w:jc w:val="center"/>
          <w:trHeight w:val="454"/>
        </w:trPr>
        <w:tc>
          <w:tcPr>
            <w:tcW w:w="555"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三级</w:t>
            </w:r>
            <w:r/>
          </w:p>
        </w:tc>
        <w:tc>
          <w:tcPr>
            <w:tcW w:w="2446"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病虫害控制比较及时，平均每100株树木病虫危害不超过10株，100㎡绿篱、草坪病虫危害不超过10%</w:t>
            </w:r>
            <w:r/>
          </w:p>
        </w:tc>
        <w:tc>
          <w:tcPr>
            <w:tcW w:w="900"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无活卵、活虫</w:t>
            </w:r>
            <w:r/>
          </w:p>
        </w:tc>
        <w:tc>
          <w:tcPr>
            <w:tcW w:w="1426"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不得超过10头</w:t>
            </w:r>
            <w:r/>
          </w:p>
        </w:tc>
        <w:tc>
          <w:tcPr>
            <w:tcW w:w="1304" w:type="dxa"/>
            <w:vAlign w:val="center"/>
            <w:textDirection w:val="lrTb"/>
            <w:noWrap w:val="false"/>
          </w:tcPr>
          <w:p>
            <w:pPr>
              <w:spacing w:line="276" w:lineRule="auto"/>
              <w:widowControl/>
              <w:rPr>
                <w:rFonts w:ascii="仿宋" w:hAnsi="仿宋" w:eastAsia="仿宋"/>
                <w:sz w:val="24"/>
                <w:szCs w:val="24"/>
              </w:rPr>
            </w:pPr>
            <w:r>
              <w:rPr>
                <w:rFonts w:ascii="仿宋" w:hAnsi="仿宋" w:eastAsia="仿宋"/>
                <w:sz w:val="24"/>
                <w:szCs w:val="24"/>
              </w:rPr>
              <w:t xml:space="preserve">不超过8头</w:t>
            </w:r>
            <w:r/>
          </w:p>
        </w:tc>
        <w:tc>
          <w:tcPr>
            <w:tcW w:w="1537"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不超过5头</w:t>
            </w:r>
            <w:r/>
          </w:p>
        </w:tc>
        <w:tc>
          <w:tcPr>
            <w:tcW w:w="1349" w:type="dxa"/>
            <w:vAlign w:val="center"/>
            <w:textDirection w:val="lrTb"/>
            <w:noWrap w:val="false"/>
          </w:tcPr>
          <w:p>
            <w:pPr>
              <w:jc w:val="center"/>
              <w:spacing w:line="276" w:lineRule="auto"/>
              <w:widowControl/>
              <w:rPr>
                <w:rFonts w:ascii="仿宋" w:hAnsi="仿宋" w:eastAsia="仿宋"/>
                <w:sz w:val="24"/>
                <w:szCs w:val="24"/>
              </w:rPr>
            </w:pPr>
            <w:r>
              <w:rPr>
                <w:rFonts w:ascii="仿宋" w:hAnsi="仿宋" w:eastAsia="仿宋"/>
                <w:sz w:val="24"/>
                <w:szCs w:val="24"/>
              </w:rPr>
              <w:t xml:space="preserve">10%以下</w:t>
            </w:r>
            <w:r/>
          </w:p>
        </w:tc>
      </w:tr>
    </w:tbl>
    <w:p>
      <w:pPr>
        <w:ind w:firstLine="482"/>
        <w:spacing w:line="276" w:lineRule="auto"/>
        <w:rPr>
          <w:rFonts w:ascii="仿宋" w:hAnsi="仿宋" w:eastAsia="仿宋" w:cs="宋体"/>
          <w:b/>
          <w:sz w:val="24"/>
          <w:szCs w:val="24"/>
        </w:rPr>
      </w:pPr>
      <w:r>
        <w:rPr>
          <w:rFonts w:hint="eastAsia" w:ascii="仿宋" w:hAnsi="仿宋" w:eastAsia="仿宋" w:cs="宋体"/>
          <w:b/>
          <w:sz w:val="24"/>
          <w:szCs w:val="24"/>
        </w:rPr>
        <w:t xml:space="preserve">三、作业流程及要求</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 树木（乔木、灌木）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养护管理内容包括：浇灌与排水，整形与修剪，病虫害防治，松土与除草，施肥，支撑、防护与涂白，切边和留积水穴，复壮、补植与调整等，并按要求填写《日常养护记录》。（见附件1）</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 浇灌与排水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1.1.1 浇水应根据树木生物学特性、生长势、季节和土质状况，做到适树、适地、适时、适量浇灌，确保植物正常生长所需水分。浇灌次数应根据气候、土壤墒情、植物特性和生长势等具体情况确定。干旱季节宜多灌，雨季少灌或不灌；发芽生长期可多灌，休眠期前适当控制水量。</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根据天气、土壤墒情、植物需水等情况适时浇水，土壤干旱要及时补水；连续15天无降透雨情况下，气温10-25℃时每半月浇透水1次；气温在25-35℃时每周至少浇水1次；气温35℃以上时每周至少浇水2次，冬季浇水每月不少于1次。，并按照求填写《水车浇水记录表》。（见附件2）</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1.1.2 浇灌前应先挖穴松土，以浇透为宜，水分应渗透至树木根部。高温干旱时，补（移）植树木应避开高温进行叶面喷雾或树干保湿。</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1.1.3 根部积水应及时排出。耐涝性差的树木应该在 6 小时内排除积水，低洼易积水处应设置排水沟。</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1.1.4 水源不得含有毒有害物质，提倡使用中水、雨水和河水浇灌。</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1.2 整形与修剪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1.2.1 根据园林绿化功能和设计的需要，在不违背树木生长特性和自然分枝规律的前提下（造型树木除外），应按照树木品种、生长阶段、生长势强弱、花芽着生部位、开花季节等生物学特性进行修剪。</w:t>
      </w:r>
      <w:r/>
    </w:p>
    <w:p>
      <w:pPr>
        <w:ind w:firstLine="480"/>
        <w:spacing w:line="276" w:lineRule="auto"/>
        <w:rPr>
          <w:rFonts w:ascii="仿宋" w:hAnsi="仿宋" w:eastAsia="仿宋"/>
          <w:sz w:val="24"/>
          <w:szCs w:val="24"/>
        </w:rPr>
      </w:pPr>
      <w:r>
        <w:rPr>
          <w:rFonts w:ascii="仿宋" w:hAnsi="仿宋" w:eastAsia="仿宋"/>
          <w:sz w:val="24"/>
          <w:szCs w:val="24"/>
        </w:rPr>
        <w:t xml:space="preserve">1.2.2</w:t>
      </w:r>
      <w:r>
        <w:rPr>
          <w:rFonts w:hint="eastAsia" w:ascii="仿宋" w:hAnsi="仿宋" w:eastAsia="仿宋"/>
          <w:sz w:val="24"/>
          <w:szCs w:val="24"/>
        </w:rPr>
        <w:t xml:space="preserve">修剪时间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当年11月底至次年3月初，对乔木、行道树、花灌木、地被、观赏草等进行冬季修剪，每年4-11月进行生长期修剪、除孽、抹芽等。</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1.2.3 修剪应去除徒长枝、病虫枝、交叉枝、并生枝、下垂枝、扭伤枝以及枯枝和烂头。嫁接的树木必须及时除去砧木的萌蘖枝。遇有架空线应按杯状形修剪。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1.2.4 修剪切口要平整，疏枝必须自枝条基部修除,不留短桩。大枝短截应分段截枝。直径 2cm 以上的截面应光滑平整,略向内倾斜,伤口应涂抹防腐剂或生长素。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1.2.5 生长期修剪以调整树势为主，适宜轻剪。需要整形的，生长期应修剪 3 次以上。易伤流树种的修剪应避开生长旺盛期。根据树木的生长特性和不同要求进行疏枝、剥芽、摘心等。观果植物如木瓜海棠、石榴、山楂等，应及时摘心、抹芽和摘蕾，促使植物保持中庸树势，有利于花芽分化。花芽着生于二年生枝条即早春开花植物，应在花谢后进行修剪，花芽着生于多年生枝条上的，如紫荆、贴梗海棠等，应于早春花后将枝条进行轻剪，生长季节进行摘心处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1.2.6 极端气候(如强风、暴雨、冰雹、强降雪等)造成树体倾斜、枝杈劈裂、折断等，应视其损伤程度，采用适宜方法及时修剪。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1.2.7 修剪下来的枝条等废弃物，应及时清运，保证环境整洁；有病虫害的枝条要及时集中进行无害化处理，防止病虫害蔓延。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1.2.8 修剪前需制定修剪技术方案，上树前必须进行修剪培训和安全培训，全面掌握后方可修剪，确保安全。</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1.3 病虫害防治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1.3.1 贯彻“预防为主，综合防治”的方针，每年应根据病虫害预测预报及病虫害发生情况，制定短期和中长期病虫害防治计划，防治病虫害 5 次以上。提倡使用生物防治、物理防治和人工清除等多种手段控制病虫害；化学防治要科学使用化学药剂，尽量降低农药对社会和环境的影响。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1.3.2 春秋两季，应重点防治刺吸性害虫，如蚜虫、蓟马、叶蝉、木虱、网蝽等，并预防白粉病、锈病、炭疽病。</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在植物生长期应注意防治刺蛾、袋蛾、尺蠖、斑蛾、毒蛾、巢蛾、美国白蛾等食叶类害虫，以及木蠹蛾、天牛、吉丁虫、透翅蛾等钻蛀性害虫。</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在植物休眠期可通过修剪、刮除、树木涂白和清洁栽植地等措施，减少越冬虫源。</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1.3.3 建立病虫害防治网络，及时进行预测预报，并做按要求填写《养护打药记录表》。（见附件3）</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1.4 松土与除草</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1.4.1 根部周围土壤应保持疏松，松土深度以不伤根系生长为宜。每年除结合浇水松土外，应定期进行松土。埋土过深的表层要扒土，埋土过浅致根系裸露的要填土。</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1.4.2 及时去除大型恶性杂草，其它杂草应控制在不影响景观效果的范围内。杂草以人工拔除为主，适当采用生物和化学防治措施。根据不同养护等级，每年清除杂草 10-15 次以上。其中，5 月至 10 月期间，每 10-20 天要清除杂草 1 次。</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1.4.3 及时清运杂草，保证环境整洁。</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1.5 施肥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1.5.1 施肥应根据树种、树龄、生长势和土壤理化性质而定。树木休眠期施基肥 1 次，生长期施追肥 1-2 次，花灌木花前、花后补施花肥。其中，乔木每年应施基肥、追肥各 1 次，花灌木每年应施基肥 1 次、追肥 2 次。花肥视开花次数而定。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1.5.2 基肥应采用腐熟有机肥。追肥应以磷肥、氮肥等多元复（混）合化肥为主，视树种而定；生长势衰弱的亚健康树木、古树名木等，提倡使用腐植酸肥料。树木花前宜施磷、钾肥，花后宜补施氮肥。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1.5.3 施肥量应视树木生长情况、土壤肥力而定。乔木基肥施用量：胸径小于等于 10cm 的，1-3kg/株；胸径大于 10cm 的，每增加 10cm（以 10cm 为档距），在前一规格施用量的基础上增加 50%。</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乔木追肥施用量：胸径小于等于 10cm 的，0.5-1kg/株；胸径大于 10cm 的，每增加 1</w:t>
      </w:r>
      <w:r>
        <w:rPr>
          <w:rFonts w:hint="eastAsia" w:ascii="仿宋" w:hAnsi="仿宋" w:eastAsia="仿宋"/>
          <w:sz w:val="24"/>
          <w:szCs w:val="24"/>
        </w:rPr>
        <w:t xml:space="preserve">0cm（以 10cm 为档距），在前一规格施用量的基础上增加 50%。灌木基肥施用量：蓬径小于等于 100cm 的，0.5-1kg/株；蓬径大于 100cm 的，每增加 50cm（以 50cm 为档距），在前一规格施用量的基础上增加 50%。灌木追肥施用量：蓬径小于等于 100cm 的，0.15-0.5kg/株；蓬径大于 100cm 的，每增加 50cm（以 50cm 为档距），在前一规格施用量的基础上增加 50%。不同腐植酸肥料的施用量应按照产品建议施用量施用，并按要求填写《养护施肥记录表》。（见附件4）</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1.5.4 喜酸性植物应施用酸性有机肥。香樟、桅子花等植物出现黄化症状时，应结合土壤改良，酸化根际土壤并树干注射、叶片喷施铁肥等。</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1.5.5 追肥可采用沟施或穴施，深度不少于 30cm，可按0.5-1%浓度溶解施用，以不伤树根为准；腐植酸肥料可采用树干注射。</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1.6 支撑、防护与涂白</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1.6.1 除特殊景观要求外，树木倾斜超过 10°必须扶正。落叶树宜在休眠期进行，常绿树宜在萌芽前进行。扶正前，应对土壤进行灌水，并对树冠进行疏枝和短截。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1.6.2 新栽植树木和扶正树木应进行支柱支撑。支撑方式可采用扁担支撑、三角支撑、四角支撑等方式。支柱材料应统一，支柱方式应规范，支撑方向及高度要统一整齐；着力点与树干接触处应铺垫软质材料。每年应对支柱进行一次全面检查，破损或绑扎过紧，应及时修复或重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1.6.3 夏秋季节台风频繁时，应做好树木防台风工作。台风前，结合修剪，应对过密枝条进行疏枝，去除病枝、枯枝，做好树木加固支撑。风害后，应及时扶正倾斜树木（宜挖松倾斜反向面的土后扶正），加土夯实，固定树身；对树冠相应疏枝。</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1.6.4 冬季极端气候时，应做好树木防寒、防雪工作。秋季少施氮肥，增施钾肥，增加植物抗寒性；根颈部加土，略呈馒头形，确保根颈部不受冻；及时对枝条过密，尤其是树冠浓密的常绿乔灌木疏枝；对易断裂枝条进行支撑；及时清除过厚积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1.6.5 冬季越冬需要防寒的树木，宜采用地面覆盖、包扎树体、搭建防寒棚、树干涂白等防护措施。</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包扎树木的材料可采用草绳或其它透气材料；树木树干涂白应于立冬前完成，树木涂白剂应稀稠均匀，涂白高度一致，不抛、洒、滴、漏；乔木及行道树涂白高度在 1.3 米左右，灌木涂白高度在 1 米左右。</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涂白剂推荐配方为：生石灰 8kg、硫磺 1kg、食盐 1kg、动(植)物油 0.1kg、热水 18kg。配制方法：先用热水将生石灰与食盐溶化，然后将石灰乳和食盐水混合，加入硫磺和油脂充分搅匀即成。</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1.7 切边和留积水穴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1.7.1 绿地内的树木应视情况和需要，在树木根部外20-50cm 处切边或留出积水穴，深度以 10-20cm 为宜。</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1.7.2 切边和积水穴应流畅圆润，其内种植土应细碎平整。</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1.8 复壮、补植与调整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1.8.1 长势衰弱的树木应采取复壮措施。修剪断枝、枯枝，清理创口，消毒防腐；改良土壤条件，清理修补树洞；枯烂树身应做支撑或伐除更新。</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1.8.2 树木长势衰弱且濒临死亡的，应进行复壮；无复壮价值的，应及时更换。</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1.8.3 树木因土壤污染造成长势不良且濒临死亡的，树木更换前应换土。</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1.8.4 树木因栽植过密，缺乏光照和生长空间而造成长势不良的，原则上应移植或疏除。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1.8.5 抽稀植株应遵行“留大去小、留强去弱”的原则，并注意保持与周围环境的协调。</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1.8.6 死树需连根挖除；抽稀、挖除死树所留下的空穴应及时填平。</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1.8.7 移除和更换苗木时，应重视对周围植物的保护。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1.8.8 树木的补植和调整应规范手续，有专门台帐记录，并按要求填写《苗木变动表》（见附件5）</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2.行道树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行道树养护管理内容包括：浇灌与排水，整形与修剪，病虫害防治，松土与除草，施肥，支撑、防护与涂白，切边和留积水穴，树池管理，复壮、补植与调整等。</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2.1 浇灌与排水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参照 1.1 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对于种植了书带草、色块等地被植物的树穴，浇水时应先对树穴进行打洞，以浇透为宜；对于未种植地被植物且土壤严重板结的树穴，浇水前应对树穴进行松土。浇水时间应避开行人、车辆上下班高峰期间及夏季高温时段。</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2.2 整形与修剪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①绿地内乔木修剪后分枝点清晰，保留3-5个(特殊情况除外) 主分枝，树冠内膛通透、树形完整；严禁截冠。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②园林树木修剪时，修剪的剪口须平滑，不得劈裂、留橛，并注意留芽的方位。直径超过4cm以上的剪锯口，应用刀削平，涂抹防腐剂促进伤口愈合；可涂漆保护伤口，漆的色彩应为深褐色、棕黑色等与枝干颜色相近色，不采用红、蓝、绿、黄等明艳色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③常绿树修剪应避开生长旺盛期，及时剪除枯黄、干枯的枝条。</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④乔木行道树的修剪，除应按以上要求操作外，还应注意以下规定：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A、每条道路乔木行道树的树形和分枝点高度应基本一致，分枝点高度最低标准为2.5米。自行车道和人行道上树冠净空高度不低于2.2米，车行道上树冠净空高度不低于3米，当树两侧分别是人行道和车行道时，两侧净空高度视觉上要基本协调。及时剪除低于净空高度的下垂枝。</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B、树木与架空线有矛盾时，应修剪树枝，使其与架空线保持安全距离。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C、路灯和变压设备附近的树枝应与其保留出足够的安全距离。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D、遮挡</w:t>
      </w:r>
      <w:r>
        <w:rPr>
          <w:rFonts w:hint="eastAsia" w:ascii="仿宋" w:hAnsi="仿宋" w:eastAsia="仿宋"/>
          <w:sz w:val="24"/>
          <w:szCs w:val="24"/>
        </w:rPr>
        <w:t xml:space="preserve">信号灯的树枝及时进行修剪。——冬季回缩修剪。为降低行道树顶端优势位置，促多年生枝条基部更新复壮，可采用冬季回缩修剪方法。以老龄法桐为例，回缩时间在每年的 12 月至次年的 2 月，可结合冬季修剪同步进行。对较大的树枝和树干修剪时，可采用分步作业法，即先在离要求锯口上方 20cm 处，从枝条下方向上锯一切口，深度为枝干粗度的一半，从上方将枝干锯断，留下一条残桩，然后从锯口处锯除残桩，以避免枝干劈裂。回缩后及时对锯口用 20%的硫酸铜溶液消毒，最后涂上保护剂(保护蜡、调和漆等)，以起到防腐防干和促进愈合的作用。</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2.2.</w:t>
      </w:r>
      <w:r>
        <w:rPr>
          <w:rFonts w:ascii="仿宋" w:hAnsi="仿宋" w:eastAsia="仿宋"/>
          <w:b/>
          <w:sz w:val="24"/>
          <w:szCs w:val="24"/>
        </w:rPr>
        <w:t xml:space="preserve">1</w:t>
      </w:r>
      <w:r>
        <w:rPr>
          <w:rFonts w:hint="eastAsia" w:ascii="仿宋" w:hAnsi="仿宋" w:eastAsia="仿宋"/>
          <w:b/>
          <w:sz w:val="24"/>
          <w:szCs w:val="24"/>
        </w:rPr>
        <w:t xml:space="preserve"> 剥芽</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行道树生长季节要经常剥芽，不同树种剥芽次数及剥芽部位存在一定的差异。法桐等落叶树通常在每年的 4 月下旬起，每半月一次，至 10 月中旬基本结束；香樟等常绿树木一般在每年的 5 月起，一月三次，芽长不应超过 6cm。剥芽时不应倒拉，以免伤及树皮。</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2.2.</w:t>
      </w:r>
      <w:r>
        <w:rPr>
          <w:rFonts w:ascii="仿宋" w:hAnsi="仿宋" w:eastAsia="仿宋"/>
          <w:b/>
          <w:sz w:val="24"/>
          <w:szCs w:val="24"/>
        </w:rPr>
        <w:t xml:space="preserve">2</w:t>
      </w:r>
      <w:r>
        <w:rPr>
          <w:rFonts w:hint="eastAsia" w:ascii="仿宋" w:hAnsi="仿宋" w:eastAsia="仿宋"/>
          <w:b/>
          <w:sz w:val="24"/>
          <w:szCs w:val="24"/>
        </w:rPr>
        <w:t xml:space="preserve"> 清除死膀及枯枝</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行道树由于受生长空间的限制，至一定年份容易形成荫梢现象，并产生枯枝，加上修剪切口常年受风吹雨淋极易产生死膀。日常养护除结合修剪工作外，应在每年台风及梅雨季节</w:t>
      </w:r>
      <w:r>
        <w:rPr>
          <w:rFonts w:hint="eastAsia" w:ascii="仿宋" w:hAnsi="仿宋" w:eastAsia="仿宋"/>
          <w:sz w:val="24"/>
          <w:szCs w:val="24"/>
        </w:rPr>
        <w:t xml:space="preserve">来临时，及时清除，并对新产生的截面切口，涂抹防腐剂。</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2.3 病虫害防治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行道树病虫害可通过喷药、捕杀、挖蛹、刮树皮、树干涂白等方法进行防治。行道树病虫害防治重点需做好天牛蛀干害虫、刺蛾、重阳木锦</w:t>
      </w:r>
      <w:r>
        <w:rPr>
          <w:rFonts w:hint="eastAsia" w:ascii="仿宋" w:hAnsi="仿宋" w:eastAsia="仿宋"/>
          <w:sz w:val="24"/>
          <w:szCs w:val="24"/>
        </w:rPr>
        <w:t xml:space="preserve">斑蛾及红蜡蚧等食叶害虫及藤壶蚧等各类蚧壳虫的防治。病虫枝、干、叶应集中销毁。其中，天牛防治应在每年的 6 月下旬开始，主要采用人工捕捉，并在虫粪口涂塞粘有敌敌畏等农药的棉花，或在树干喷绿色威雷杀虫剂等方法，该项工作应延续至每年的 9 月份，通常每半月一次；刺蛾通常在每年的六月至九月发生,主要采用药物防治及生物防治；各类蚧壳虫应从每年的 5 月开始监控，抓住若虫孵化期，采用喷施花保、吡虫啉等药剂防治，大型乔木错过若虫期还可采用树体针剂来达到防治效果；重阳木锦斑蛾在每年的 6-11 月发生，主要采用灭幼脲、高效</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氯氰菊酯、甲维盐等药剂喷雾防治。冬季可采用树干涂白、挖蛹、刮树皮等方法，以消灭各种越冬虫源，病虫枝、干、叶应采用集中火烧或深埋等办法，以减轻次年害虫危害。</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2.4 施肥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行道树施肥分基肥、追肥二类。基肥一般在冬季进行，追肥以根部穴施复合肥为主。一般每年施肥两次，条件限制时每年至少施追肥一次，每次每株平均施肥 1kg 左右。对于穴施确有困难的，应采取液态肥树干注射、地面打孔或使用棒肥等方法进行。</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2.5 支撑、防护与涂白</w:t>
      </w:r>
      <w:r/>
    </w:p>
    <w:p>
      <w:pPr>
        <w:ind w:firstLine="482"/>
        <w:spacing w:line="276" w:lineRule="auto"/>
        <w:rPr>
          <w:rFonts w:ascii="仿宋" w:hAnsi="仿宋" w:eastAsia="仿宋"/>
          <w:sz w:val="24"/>
          <w:szCs w:val="24"/>
        </w:rPr>
      </w:pPr>
      <w:r>
        <w:rPr>
          <w:rFonts w:hint="eastAsia" w:ascii="仿宋" w:hAnsi="仿宋" w:eastAsia="仿宋"/>
          <w:b/>
          <w:sz w:val="24"/>
          <w:szCs w:val="24"/>
        </w:rPr>
        <w:t xml:space="preserve">2.5.1 支撑。</w:t>
      </w:r>
      <w:r>
        <w:rPr>
          <w:rFonts w:hint="eastAsia" w:ascii="仿宋" w:hAnsi="仿宋" w:eastAsia="仿宋"/>
          <w:sz w:val="24"/>
          <w:szCs w:val="24"/>
        </w:rPr>
        <w:t xml:space="preserve">幼年行道树，应设立支柱进行加固，当出现机械车辆撞击或台风侵袭造成树木严重倾斜时，可切除部分长根，进行重植。成年行道树出现上述情况时，应采取平衡树冠法，即对向一侧倾斜的树冠进行重截，并设立支撑物向其相对方向进行支撑。对倾斜老树应逐年控制倾斜度，并扶正、支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2.5.2 防护与涂白。每年的初冬，对行道树进行根际培土、主干包扎、涂白等抗冻处理。发生枝叶积雪应及时清除，有倒伏危险的树木应立支撑保护。出现树洞应及时修补、封实，以防止腐朽进一步扩大。台风季节，应做好行道树抗风暴的预防工作，根据树木的实际情况，采取立支柱、绑扎、覆土、扶正、疏枝、打地桩等综合措施；一旦风暴来临，应及时检查，发现问题，妥善处理。对于严重倒伏、就地种植难以成活的树木，应将树冠重剪后送苗圃种植养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2.6 其它养护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松土与除草、切边和留积水穴、复壮与调整、日常巡查等工作，并按要求填写《日常巡查记录表》（见附件6）</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w:t>
      </w:r>
      <w:r>
        <w:rPr>
          <w:rFonts w:hint="eastAsia" w:ascii="仿宋" w:hAnsi="仿宋" w:eastAsia="仿宋"/>
          <w:sz w:val="24"/>
          <w:szCs w:val="24"/>
        </w:rPr>
        <w:t xml:space="preserve">绿篱、模纹、色块、球类和其它造型植物（灌木类）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养护管理内容包括：浇灌与排水、整形与修剪、病虫害防治、除草与切边、施肥、补植等。</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 浇灌与排水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根据气候、土壤墒情、植物习性等适时、适量浇灌，土壤含水量应保持在 70%左右，叶片萎蔫时应及时浇水，苏北地区每年浇水10 次以上。</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3.1.1 每年春季树木萌发前要浇春水至少 1 次，冬季休眠前浇防冻水至少 1 次。</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3.1.2 每年 5 月至 10 月期间，连续 15 天无降雨应浇透水 1次，道路机非隔离带绿</w:t>
      </w:r>
      <w:r>
        <w:rPr>
          <w:rFonts w:hint="eastAsia" w:ascii="仿宋" w:hAnsi="仿宋" w:eastAsia="仿宋"/>
          <w:sz w:val="24"/>
          <w:szCs w:val="24"/>
        </w:rPr>
        <w:t xml:space="preserve">化应适时冲淋去尘。</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3.1.3 开花期前应适当增加浇水量。</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3.1.4 以浇透为宜，水分应渗透至树木根部。高温干旱时，补（移）植的树木应避开高温进行叶面喷雾保湿。</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 整形与修剪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3.2.1 绿篱、模纹、色块、球类和其它造型植物（灌木类），应按原设计的造型或规定的形状和高度修剪。以生长期修剪为主，休眠期修剪为辅。每年应修剪 8 次以上，4 月下旬至 10 月中旬，每 3 周左右修剪 1 次。</w:t>
      </w:r>
      <w:r/>
    </w:p>
    <w:p>
      <w:pPr>
        <w:ind w:firstLine="480"/>
        <w:spacing w:line="276" w:lineRule="auto"/>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.2.2 规则式绿篱、模纹（色块）修剪，应保持顶部和基部水平，做到无断层、无缺口、无光秃，轮廓线应流畅、柔和；两个品种以上连片种植时，修剪时应注意相互间衔接，保证平顺缓和过度；修剪后，新梢生长超过 10cm 时，应进行第二次修剪，红叶石楠等色叶植物应在新梢木质化后修剪。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3.2.3 自然式绿篱修剪，幼年以整形为主，成年以促进开花和结实为主。杜鹃、茶梅、溲疏、金丝桃等花篱或板块的修剪，应掌握花后修剪的原则，秋冬季至春季花前禁止修剪。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w:t>
      </w:r>
      <w:r>
        <w:rPr>
          <w:rFonts w:ascii="仿宋" w:hAnsi="仿宋" w:eastAsia="仿宋"/>
          <w:sz w:val="24"/>
          <w:szCs w:val="24"/>
        </w:rPr>
        <w:t xml:space="preserve">4</w:t>
      </w:r>
      <w:r>
        <w:rPr>
          <w:rFonts w:hint="eastAsia" w:ascii="仿宋" w:hAnsi="仿宋" w:eastAsia="仿宋"/>
          <w:sz w:val="24"/>
          <w:szCs w:val="24"/>
        </w:rPr>
        <w:t xml:space="preserve"> 植株生长过密或病虫害发生严重的，应及时进行疏枝修剪。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w:t>
      </w:r>
      <w:r>
        <w:rPr>
          <w:rFonts w:ascii="仿宋" w:hAnsi="仿宋" w:eastAsia="仿宋"/>
          <w:sz w:val="24"/>
          <w:szCs w:val="24"/>
        </w:rPr>
        <w:t xml:space="preserve">5</w:t>
      </w:r>
      <w:r>
        <w:rPr>
          <w:rFonts w:hint="eastAsia" w:ascii="仿宋" w:hAnsi="仿宋" w:eastAsia="仿宋"/>
          <w:sz w:val="24"/>
          <w:szCs w:val="24"/>
        </w:rPr>
        <w:t xml:space="preserve">植株生长高度影响景观效果或影响交通安全时，宜在休眠期进行强度修剪。</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3.2.</w:t>
      </w:r>
      <w:r>
        <w:rPr>
          <w:rFonts w:ascii="仿宋" w:hAnsi="仿宋" w:eastAsia="仿宋"/>
          <w:sz w:val="24"/>
          <w:szCs w:val="24"/>
        </w:rPr>
        <w:t xml:space="preserve">6</w:t>
      </w:r>
      <w:r>
        <w:rPr>
          <w:rFonts w:hint="eastAsia" w:ascii="仿宋" w:hAnsi="仿宋" w:eastAsia="仿宋"/>
          <w:sz w:val="24"/>
          <w:szCs w:val="24"/>
        </w:rPr>
        <w:t xml:space="preserve"> 修剪下来的枝、叶等废弃物，应及时清运，保证环境整洁；有病虫害的枝、叶等应及时集中进行无害化处理，防止病虫害蔓延。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3.3 病虫害防治参照 1.3 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3.4 除草与切边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3.4.1 除草应除早、除小，及时去除大型恶性杂草及杂树，其它杂草控制在不影响景观效果的范围内。杂草、杂树不得高于20绿篱、模纹（色块）植物；造型灌木上应及时去除大型蔓性藤本杂草。杂草以人工拔除为主，适当采用生物防治、化学防治措施，每年清除杂草 15 次以上，其中，5 月至 10 月期间，每 15 天要清除杂草 1 次。</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3.4.2 绿篱、模纹、色块、造型灌木边缘，与地被、草坪结合处应进行切边处理，宽度宜 10—15cm，深度宜 10cm。</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3.4.3 切边应流畅圆润，其内种植土应细碎平整。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3.4.4 及时清运杂草，保证环境整洁。</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3.5 施肥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3.5.1 视植物生长状况，适时、适量进行施肥，提倡使用有机肥和复（混）合肥料，每年施基肥不少于 1 次，追肥不少于 3次。花灌木品种应适当增加施肥次数。</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3.5.2 基肥施用量为 0.5kg/㎡；施追肥一般按 0.5-1%浓度的溶解液施用，施用量不超过 30g/㎡。</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3.5.3 撒施化肥后应及时充分浇水，肥料不得粘在花、叶上，以免灼伤叶片。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3.6 补植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3.6.1 绿篱、模纹、色块、造型灌木出现死亡、缺株或空秃后应及时进行补植。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3.6.2 补植的植物应与原植物品种、规格相同或接近。</w:t>
      </w:r>
      <w:r/>
    </w:p>
    <w:p>
      <w:pPr>
        <w:ind w:firstLine="480"/>
        <w:spacing w:line="276" w:lineRule="auto"/>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.6.3 落叶植物补植应在植物落叶后土壤结冻前，或在新芽萌发前进行；常绿植物补植</w:t>
      </w:r>
      <w:r>
        <w:rPr>
          <w:rFonts w:hint="eastAsia" w:ascii="仿宋" w:hAnsi="仿宋" w:eastAsia="仿宋"/>
          <w:sz w:val="24"/>
          <w:szCs w:val="24"/>
        </w:rPr>
        <w:t xml:space="preserve">应在土壤解冻后，新芽萌发前进行。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 攀援植物（垂直绿化）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养护管理内容包括：浇灌与排水、修剪与理藤、病虫害防治、施肥、补植、藤架管护等。</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4.1 浇灌与排水</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参照 1.1 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 修剪与理藤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4.2.1 生长季节应进行理藤、造型、固定，以逐步达到满铺的效果，定期检查绑扎物以防脱落。</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4.2.2 多年生藤本应定期翻蔓，清除枯枝，疏除老弱藤蔓。</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4.2.3 修剪宜在 5 月、7 月、11 月或植株开花后进行。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4.2.4 枝叶稀少的植株应通过摘心促进分枝；未完全覆盖的植株应短截空隙周围枝条，促生副梢。</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4.2.5 部分徒长枝长度达 15-30cm 时应抑制生长；对长势过密的植株适当疏剪重叠枝控制厚度；2 年以上的植株，应疏减上部枝叶并适当疏剪下部枝叶，以减少枝条重叠；对生长势衰弱的植株应进行重剪促进萌发。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4.2.6 枝叶过密以及立地条件差的垂直绿化应疏枝、绑扎。</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4.3 病虫害防治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4.3.1 每年应防治病虫害 3 次以上。</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4.3.2 对病虫害及时进行预测预报，建立病虫害防治网络和台帐。</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4.4 施肥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4.4.1 每年冬季应施 1 次有机肥。生长期应施追肥，每 3 个月施肥一次，以复合肥为主。吸附类藤本应叶面施肥。新栽苗在栽植后两年内宜根据生长势进行追肥。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4.4.2生长较差、恢复较慢的新栽苗或要促使快长的植物可用生长激素或根外追肥等措施。</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4.5 补植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4.5.1 植株死亡且影响整体攀爬、垂挂效果的，应进行补植。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4.5.2 落叶植物补植应在植物落叶后土壤结冻前进行；常绿植物补植应在土壤解冻后，新芽萌发前进行。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4.6 藤架管护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藤架要牢固，不变形、无损毁。应定期对棚架、挂网等攀援设施进行检查，桥墩外包裹网片每月应检查一次，高架悬挂花槽和支架每半月应检查一次，发现问题立即加固或更换。</w:t>
      </w:r>
      <w:r/>
    </w:p>
    <w:p>
      <w:pPr>
        <w:ind w:firstLine="480"/>
        <w:spacing w:line="276" w:lineRule="auto"/>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竹类植物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养护管理内容包括：浇灌与排水、断鞭与疏除、病虫害防治、松土与除草、施肥等。</w:t>
      </w:r>
      <w:r/>
    </w:p>
    <w:p>
      <w:pPr>
        <w:ind w:firstLine="480"/>
        <w:spacing w:line="276" w:lineRule="auto"/>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.1 浇灌与排水</w:t>
      </w:r>
      <w:r/>
    </w:p>
    <w:p>
      <w:pPr>
        <w:ind w:firstLine="480"/>
        <w:spacing w:line="276" w:lineRule="auto"/>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.1.1 浇水应根据竹子生物学特性、长势、季节和土质状况，做到适地、适时、适量浇灌，确保植物正常生长所需水分。苏南地区每年浇水 3 次以上，苏中地区每年浇水 5 次以上，苏北地区每年浇水 6 次以上。每年春季竹子萌发前要浇春水至少 1 次，冬季休眠前浇防冻水至少 1 次，遇到持续干旱的黄梅天，应浇行鞭水。</w:t>
      </w:r>
      <w:r/>
    </w:p>
    <w:p>
      <w:pPr>
        <w:ind w:firstLine="480"/>
        <w:spacing w:line="276" w:lineRule="auto"/>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.1.2 根部积水应及时排出。耐涝性差的竹子应在 12 小时内排除积水，低洼易积水处应设置排水沟。</w:t>
      </w:r>
      <w:r/>
    </w:p>
    <w:p>
      <w:pPr>
        <w:ind w:firstLine="480"/>
        <w:spacing w:line="276" w:lineRule="auto"/>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.1.3 水源不得含有毒有害物质，提倡使用中水、雨水和河水浇灌。</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草坪 养护管理内容包括：浇灌与排水、修剪、病虫害防治、除草与切边、施肥、追播、复壮等。</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.1 浇灌与排水</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.1.1 应根据立地条件、季节差异、草坪习性和生长状况及时浇灌，土壤含水量应保持在 50-60%范围。当叶片发生萎蔫时，应及时浇水，苏南地区每年浇水 6 次以上，苏中地区每年浇水 8次以上，苏北地区每年浇水 10 次以上。每年春季草坪萌发前要浇春水至少 1 次，冬季休眠前浇防冻水至少 1 次，5 月至 10 月期间，连续 15 天无降雨应浇透水 1 次。浇水必须湿透根系层，浸湿土层应大于 5cm；沙质土壤应勤浇水，粘质土壤应合理浇水。</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.1.2 水源不得含有毒有害物质，提倡使用中水、雨水和河水浇灌。</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.1.3 根部积水应在 24 小时内排除，低洼易积水处应设置排水沟。</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.2 修剪</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.2.1 草坪应定期修剪，修剪高度应当一致，边缘整齐。要根据暖季型草坪、冷季型草坪和混播草坪的不同生长习性，及时进行修剪。一般情况下苏南地区每年修剪 15 次以上、苏中地区每年修剪 12 次以上、苏北地区每年修剪 10 次以上。每年草坪越冬前应重修剪 1 次，5-10 月期间，每 10-15 天应修剪 1 次。一般草坪和杂草型草坪每年应修剪 5 次以上，越冬前应重修剪 1 次。</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.2.2 草坪生长季节应采用条纹状交叉修剪方式，按 1/3 原则进行适时修剪。冷季型草坪留茬高度不超过 6-7cm，暖季型草坪留茬高度不超过 4-5cm。当草坪实际高度超过额定高度 1/3 时，应进行修剪。混播草坪的低修剪应根据气候条件，在 2 月底至 4月上旬间进行，降低留茬高度，以确保暖季型草坪出芽。</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.2.3 修剪后，草屑应及时清理，确保工完场清。</w:t>
      </w:r>
      <w:r/>
    </w:p>
    <w:p>
      <w:pPr>
        <w:ind w:firstLine="482"/>
        <w:spacing w:line="276" w:lineRule="auto"/>
        <w:rPr>
          <w:rFonts w:ascii="仿宋" w:hAnsi="仿宋" w:eastAsia="仿宋"/>
          <w:b/>
          <w:sz w:val="24"/>
          <w:szCs w:val="24"/>
        </w:rPr>
      </w:pPr>
      <w:r>
        <w:rPr>
          <w:rFonts w:ascii="仿宋" w:hAnsi="仿宋" w:eastAsia="仿宋"/>
          <w:b/>
          <w:sz w:val="24"/>
          <w:szCs w:val="24"/>
        </w:rPr>
        <w:t xml:space="preserve">6</w:t>
      </w:r>
      <w:r>
        <w:rPr>
          <w:rFonts w:hint="eastAsia" w:ascii="仿宋" w:hAnsi="仿宋" w:eastAsia="仿宋"/>
          <w:b/>
          <w:sz w:val="24"/>
          <w:szCs w:val="24"/>
        </w:rPr>
        <w:t xml:space="preserve">.3 病虫害防治</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.3.1 每年防治病虫害 3 次以上，其余参照 1.3.1 执行。应特别注意对地下害虫的防治，建立病虫害防治网络，及时进行预测预报，并做好台帐记录。</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.4 除草与切边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参照 4.4 执行。与树木交界处，边缘应进行切边处理或留出积水穴，宽度宜 20-50cm，深度宜 10cm。</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.5 施肥</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.5.1 根据草坪品种、长势情况和气候条件进行施肥，草坪越冬期宜施有机肥料，平时宜薄肥勤施，施用量为有机肥每年宜 1kg/m 2 ，复合肥每月宜15-20g/m，施肥方法可采用颗粒撒施、叶面喷施和灌溉施肥。</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.5.2 肥料撒施后应立即充分浇水，以免化肥灼伤叶片。</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.6 追播</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.6.1 混播草坪应在9月下旬至10月上中旬追播冷季型草坪。</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.6.2 播籽前应进行低修剪，留茬高度应低于 3cm。</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.6.3 根据气候条件的不同，冷季型草坪播种量为15-25g/m 2 种子纯度 98%以上，播种要均匀。</w:t>
      </w:r>
      <w:r/>
    </w:p>
    <w:p>
      <w:pPr>
        <w:ind w:firstLine="480"/>
        <w:spacing w:line="276" w:lineRule="auto"/>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.6.4 播种后必须均匀喷水保持土壤湿润，出苗后正常养护。</w:t>
      </w:r>
      <w:r/>
    </w:p>
    <w:p>
      <w:pPr>
        <w:ind w:firstLine="482"/>
        <w:spacing w:line="276" w:lineRule="auto"/>
        <w:rPr>
          <w:rFonts w:ascii="仿宋" w:hAnsi="仿宋" w:eastAsia="仿宋"/>
          <w:b/>
          <w:sz w:val="24"/>
          <w:szCs w:val="24"/>
        </w:rPr>
      </w:pPr>
      <w:r>
        <w:rPr>
          <w:rFonts w:hint="eastAsia" w:ascii="仿宋" w:hAnsi="仿宋" w:eastAsia="仿宋"/>
          <w:b/>
          <w:sz w:val="24"/>
          <w:szCs w:val="24"/>
        </w:rPr>
        <w:t xml:space="preserve">四．检查与考核</w:t>
      </w:r>
      <w:r/>
    </w:p>
    <w:p>
      <w:pPr>
        <w:ind w:left="2" w:firstLine="480"/>
        <w:spacing w:line="276" w:lineRule="auto"/>
        <w:rPr>
          <w:rFonts w:ascii="仿宋" w:hAnsi="仿宋" w:eastAsia="仿宋"/>
          <w:sz w:val="24"/>
          <w:szCs w:val="24"/>
        </w:rPr>
      </w:pPr>
      <w:r>
        <w:rPr>
          <w:rFonts w:ascii="仿宋" w:hAnsi="仿宋" w:eastAsia="仿宋"/>
          <w:sz w:val="24"/>
          <w:szCs w:val="24"/>
        </w:rPr>
        <w:t xml:space="preserve">对责任单位的考核采取固定检查考核与日常检查考核相结合的原则；考核标准和考核项目以《苏州宿迁工业园区绿化养护管理考核评分表》为标准。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1.考核方式</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对中标单位的考核采取甲方日常检查、月度综合检查相结合的考核原则。</w:t>
      </w:r>
      <w:r/>
    </w:p>
    <w:p>
      <w:pPr>
        <w:ind w:left="2" w:firstLine="480"/>
        <w:spacing w:line="276" w:lineRule="auto"/>
        <w:rPr>
          <w:rFonts w:ascii="仿宋" w:hAnsi="仿宋" w:eastAsia="仿宋"/>
          <w:sz w:val="24"/>
          <w:szCs w:val="24"/>
        </w:rPr>
      </w:pPr>
      <w:r>
        <w:rPr>
          <w:rFonts w:hint="eastAsia" w:ascii="仿宋" w:hAnsi="仿宋" w:eastAsia="仿宋"/>
          <w:sz w:val="24"/>
          <w:szCs w:val="24"/>
        </w:rPr>
        <w:t xml:space="preserve">（1）甲方现场代表每天对乙方工作进行检查，检查分为明查和暗查，其中每周暗查不少于2次。甲方在检查中发现的问题，乙方现场管理人员应在考核表上签字确认，如若乙方管理人员不及时签字确认，甲方一律视为乙方默认甲方的考核评分。甲方现场代表考核得分占月度考核成绩的70%。</w:t>
      </w:r>
      <w:r/>
    </w:p>
    <w:p>
      <w:pPr>
        <w:ind w:left="2" w:firstLine="480"/>
        <w:spacing w:line="276" w:lineRule="auto"/>
        <w:rPr>
          <w:rFonts w:ascii="仿宋" w:hAnsi="仿宋" w:eastAsia="仿宋"/>
          <w:sz w:val="24"/>
          <w:szCs w:val="24"/>
        </w:rPr>
      </w:pPr>
      <w:r>
        <w:rPr>
          <w:rFonts w:hint="eastAsia" w:ascii="仿宋" w:hAnsi="仿宋" w:eastAsia="仿宋"/>
          <w:sz w:val="24"/>
          <w:szCs w:val="24"/>
        </w:rPr>
        <w:t xml:space="preserve">（2）甲方管理部门每月对乙方工作进行综合考评检查不少于1次。甲方综合考评得分占月度考核成绩的20%。</w:t>
      </w:r>
      <w:r/>
    </w:p>
    <w:p>
      <w:pPr>
        <w:ind w:left="2" w:firstLine="480"/>
        <w:spacing w:line="276" w:lineRule="auto"/>
        <w:rPr>
          <w:rFonts w:ascii="仿宋" w:hAnsi="仿宋" w:eastAsia="仿宋"/>
          <w:sz w:val="24"/>
          <w:szCs w:val="24"/>
        </w:rPr>
      </w:pPr>
      <w:r>
        <w:rPr>
          <w:rFonts w:hint="eastAsia" w:ascii="仿宋" w:hAnsi="仿宋" w:eastAsia="仿宋"/>
          <w:sz w:val="24"/>
          <w:szCs w:val="24"/>
        </w:rPr>
        <w:t xml:space="preserve">（3）甲方公司管理层每月不定期对乙方工作进行检查不少于1次。甲方管理层考评得分占月度考核成绩的10%。</w:t>
      </w:r>
      <w:r/>
    </w:p>
    <w:p>
      <w:pPr>
        <w:spacing w:line="276" w:lineRule="auto"/>
        <w:rPr>
          <w:rFonts w:ascii="仿宋" w:hAnsi="仿宋" w:eastAsia="仿宋" w:cs="宋体"/>
          <w:b/>
          <w:sz w:val="24"/>
          <w:szCs w:val="24"/>
        </w:rPr>
      </w:pPr>
      <w:r>
        <w:rPr>
          <w:rFonts w:ascii="仿宋" w:hAnsi="仿宋" w:eastAsia="仿宋" w:cs="宋体"/>
          <w:b/>
          <w:bCs/>
          <w:sz w:val="24"/>
          <w:szCs w:val="24"/>
        </w:rPr>
        <w:br w:type="page" w:clear="all"/>
      </w:r>
      <w:r>
        <w:rPr>
          <w:rFonts w:hint="eastAsia" w:ascii="仿宋" w:hAnsi="仿宋" w:eastAsia="仿宋" w:cs="宋体"/>
          <w:b/>
          <w:sz w:val="24"/>
          <w:szCs w:val="24"/>
        </w:rPr>
        <w:t xml:space="preserve">附件二：</w:t>
      </w:r>
      <w:r/>
    </w:p>
    <w:p>
      <w:pPr>
        <w:jc w:val="center"/>
        <w:spacing w:line="276" w:lineRule="auto"/>
        <w:rPr>
          <w:rFonts w:ascii="仿宋" w:hAnsi="仿宋" w:eastAsia="仿宋" w:cs="宋体"/>
          <w:b/>
          <w:sz w:val="24"/>
          <w:szCs w:val="24"/>
        </w:rPr>
      </w:pPr>
      <w:r>
        <w:rPr>
          <w:rFonts w:hint="eastAsia" w:ascii="仿宋" w:hAnsi="仿宋" w:eastAsia="仿宋" w:cs="宋体"/>
          <w:b/>
          <w:bCs/>
          <w:sz w:val="24"/>
          <w:szCs w:val="24"/>
        </w:rPr>
        <w:t xml:space="preserve">项目拟投入人员要求</w:t>
      </w:r>
      <w:r/>
    </w:p>
    <w:tbl>
      <w:tblPr>
        <w:tblW w:w="9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2234"/>
        <w:gridCol w:w="575"/>
        <w:gridCol w:w="600"/>
        <w:gridCol w:w="600"/>
        <w:gridCol w:w="600"/>
        <w:gridCol w:w="1034"/>
        <w:gridCol w:w="1605"/>
        <w:gridCol w:w="1736"/>
      </w:tblGrid>
      <w:tr>
        <w:trPr>
          <w:jc w:val="center"/>
          <w:trHeight w:val="1041"/>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2234"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范围</w:t>
            </w:r>
            <w:r/>
          </w:p>
        </w:tc>
        <w:tc>
          <w:tcPr>
            <w:tcW w:w="575"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项目经理</w:t>
            </w:r>
            <w:r/>
          </w:p>
        </w:tc>
        <w:tc>
          <w:tcPr>
            <w:tcW w:w="600" w:type="dxa"/>
            <w:vAlign w:val="center"/>
            <w:textDirection w:val="lrTb"/>
            <w:noWrap w:val="false"/>
          </w:tcPr>
          <w:p>
            <w:pPr>
              <w:jc w:val="center"/>
              <w:spacing w:line="276"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绿化主管</w:t>
            </w:r>
            <w:r/>
          </w:p>
        </w:tc>
        <w:tc>
          <w:tcPr>
            <w:tcW w:w="600" w:type="dxa"/>
            <w:vAlign w:val="center"/>
            <w:textDirection w:val="lrTb"/>
            <w:noWrap w:val="false"/>
          </w:tcPr>
          <w:p>
            <w:pPr>
              <w:jc w:val="center"/>
              <w:spacing w:line="276"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安全员</w:t>
            </w:r>
            <w:r/>
          </w:p>
        </w:tc>
        <w:tc>
          <w:tcPr>
            <w:tcW w:w="600"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资料员</w:t>
            </w:r>
            <w:r/>
          </w:p>
        </w:tc>
        <w:tc>
          <w:tcPr>
            <w:tcW w:w="1034"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绿化工或</w:t>
            </w:r>
            <w:r>
              <w:rPr>
                <w:rFonts w:hint="eastAsia" w:ascii="仿宋" w:hAnsi="仿宋" w:eastAsia="仿宋" w:cs="仿宋"/>
                <w:b/>
                <w:bCs/>
                <w:color w:val="000000"/>
                <w:sz w:val="24"/>
                <w:szCs w:val="24"/>
                <w:lang w:bidi="ar"/>
              </w:rPr>
              <w:t xml:space="preserve">花卉园艺工</w:t>
            </w:r>
            <w:r/>
          </w:p>
        </w:tc>
        <w:tc>
          <w:tcPr>
            <w:tcW w:w="1605"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(12-2月)养护工人数量</w:t>
            </w:r>
            <w:r/>
          </w:p>
        </w:tc>
        <w:tc>
          <w:tcPr>
            <w:tcW w:w="1736"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(3-11月)养护工人数量</w:t>
            </w:r>
            <w:r/>
          </w:p>
        </w:tc>
      </w:tr>
      <w:tr>
        <w:trPr>
          <w:jc w:val="center"/>
          <w:trHeight w:val="167"/>
        </w:trPr>
        <w:tc>
          <w:tcPr>
            <w:gridSpan w:val="9"/>
            <w:tcW w:w="9551" w:type="dxa"/>
            <w:vAlign w:val="center"/>
            <w:textDirection w:val="lrTb"/>
            <w:noWrap w:val="false"/>
          </w:tcPr>
          <w:p>
            <w:pPr>
              <w:jc w:val="center"/>
              <w:spacing w:line="276" w:lineRule="auto"/>
              <w:widowControl/>
              <w:rPr>
                <w:rFonts w:ascii="仿宋" w:hAnsi="仿宋" w:eastAsia="仿宋" w:cs="仿宋"/>
                <w:b/>
                <w:bCs/>
                <w:color w:val="000000"/>
                <w:sz w:val="24"/>
                <w:szCs w:val="24"/>
                <w:lang w:bidi="ar"/>
              </w:rPr>
            </w:pPr>
            <w:r>
              <w:rPr>
                <w:rFonts w:hint="eastAsia" w:ascii="仿宋" w:hAnsi="仿宋" w:eastAsia="仿宋" w:cs="仿宋"/>
                <w:b/>
                <w:bCs/>
                <w:sz w:val="24"/>
                <w:szCs w:val="24"/>
              </w:rPr>
              <w:t xml:space="preserve">分包一：商业区</w:t>
            </w:r>
            <w:r/>
          </w:p>
        </w:tc>
      </w:tr>
      <w:tr>
        <w:trPr>
          <w:cantSplit/>
          <w:jc w:val="center"/>
          <w:trHeight w:val="862"/>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东至为民河、西至通湖大道、南至富民河、北至清水河</w:t>
            </w:r>
            <w:r/>
          </w:p>
        </w:tc>
        <w:tc>
          <w:tcPr>
            <w:tcW w:w="575" w:type="dxa"/>
            <w:vAlign w:val="center"/>
            <w:vMerge w:val="restart"/>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00" w:type="dxa"/>
            <w:vAlign w:val="center"/>
            <w:vMerge w:val="restart"/>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00" w:type="dxa"/>
            <w:vAlign w:val="center"/>
            <w:vMerge w:val="restart"/>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00" w:type="dxa"/>
            <w:vAlign w:val="center"/>
            <w:vMerge w:val="restart"/>
            <w:textDirection w:val="lrTb"/>
            <w:noWrap w:val="false"/>
          </w:tcPr>
          <w:p>
            <w:pPr>
              <w:jc w:val="center"/>
              <w:spacing w:line="276" w:lineRule="auto"/>
              <w:rPr>
                <w:rFonts w:ascii="仿宋" w:hAnsi="仿宋" w:eastAsia="仿宋" w:cs="仿宋"/>
                <w:b/>
                <w:sz w:val="24"/>
                <w:szCs w:val="24"/>
              </w:rPr>
            </w:pPr>
            <w:r>
              <w:rPr>
                <w:rFonts w:hint="eastAsia" w:ascii="仿宋" w:hAnsi="仿宋" w:eastAsia="仿宋" w:cs="仿宋"/>
                <w:b/>
                <w:sz w:val="24"/>
                <w:szCs w:val="24"/>
              </w:rPr>
              <w:t xml:space="preserve">1</w:t>
            </w:r>
            <w:r/>
          </w:p>
        </w:tc>
        <w:tc>
          <w:tcPr>
            <w:tcW w:w="1034"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12</w:t>
            </w:r>
            <w:r/>
          </w:p>
        </w:tc>
        <w:tc>
          <w:tcPr>
            <w:tcW w:w="1736"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16</w:t>
            </w:r>
            <w:r/>
          </w:p>
        </w:tc>
      </w:tr>
      <w:tr>
        <w:trPr>
          <w:cantSplit/>
          <w:jc w:val="center"/>
          <w:trHeight w:val="70"/>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2</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苏州公园</w:t>
            </w:r>
            <w:r/>
          </w:p>
        </w:tc>
        <w:tc>
          <w:tcPr>
            <w:tcW w:w="575"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1034"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2</w:t>
            </w:r>
            <w:r/>
          </w:p>
        </w:tc>
        <w:tc>
          <w:tcPr>
            <w:tcW w:w="1736"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4</w:t>
            </w:r>
            <w:r/>
          </w:p>
        </w:tc>
      </w:tr>
      <w:tr>
        <w:trPr>
          <w:cantSplit/>
          <w:jc w:val="center"/>
          <w:trHeight w:val="1375"/>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3</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东至为民河、西至通湖大道、南至西湖路、北至富民河</w:t>
            </w:r>
            <w:r/>
          </w:p>
        </w:tc>
        <w:tc>
          <w:tcPr>
            <w:tcW w:w="575"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1034"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13</w:t>
            </w:r>
            <w:r/>
          </w:p>
        </w:tc>
        <w:tc>
          <w:tcPr>
            <w:tcW w:w="1736"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18</w:t>
            </w:r>
            <w:r/>
          </w:p>
        </w:tc>
      </w:tr>
      <w:tr>
        <w:trPr>
          <w:cantSplit/>
          <w:jc w:val="center"/>
          <w:trHeight w:val="139"/>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中央商务区</w:t>
            </w:r>
            <w:r/>
          </w:p>
        </w:tc>
        <w:tc>
          <w:tcPr>
            <w:tcW w:w="575"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10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10</w:t>
            </w:r>
            <w:r/>
          </w:p>
        </w:tc>
        <w:tc>
          <w:tcPr>
            <w:tcW w:w="1736"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17</w:t>
            </w:r>
            <w:r/>
          </w:p>
        </w:tc>
      </w:tr>
      <w:tr>
        <w:trPr>
          <w:jc w:val="center"/>
          <w:trHeight w:val="139"/>
        </w:trPr>
        <w:tc>
          <w:tcPr>
            <w:gridSpan w:val="6"/>
            <w:tcW w:w="5176" w:type="dxa"/>
            <w:vAlign w:val="center"/>
            <w:textDirection w:val="lrTb"/>
            <w:noWrap w:val="false"/>
          </w:tcPr>
          <w:p>
            <w:pPr>
              <w:jc w:val="center"/>
              <w:spacing w:line="276"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合计</w:t>
            </w:r>
            <w:r/>
          </w:p>
        </w:tc>
        <w:tc>
          <w:tcPr>
            <w:tcW w:w="1034" w:type="dxa"/>
            <w:vAlign w:val="center"/>
            <w:textDirection w:val="lrTb"/>
            <w:noWrap w:val="false"/>
          </w:tcPr>
          <w:p>
            <w:pPr>
              <w:jc w:val="center"/>
              <w:spacing w:line="276"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4</w:t>
            </w:r>
            <w:r/>
          </w:p>
        </w:tc>
        <w:tc>
          <w:tcPr>
            <w:tcW w:w="1605" w:type="dxa"/>
            <w:vAlign w:val="center"/>
            <w:textDirection w:val="lrTb"/>
            <w:noWrap w:val="false"/>
          </w:tcPr>
          <w:p>
            <w:pPr>
              <w:jc w:val="center"/>
              <w:spacing w:line="276"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37</w:t>
            </w:r>
            <w:r/>
          </w:p>
        </w:tc>
        <w:tc>
          <w:tcPr>
            <w:tcW w:w="1736" w:type="dxa"/>
            <w:vAlign w:val="center"/>
            <w:textDirection w:val="lrTb"/>
            <w:noWrap w:val="false"/>
          </w:tcPr>
          <w:p>
            <w:pPr>
              <w:jc w:val="center"/>
              <w:spacing w:line="276"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55</w:t>
            </w:r>
            <w:r/>
          </w:p>
        </w:tc>
      </w:tr>
      <w:tr>
        <w:trPr>
          <w:jc w:val="center"/>
          <w:trHeight w:val="139"/>
        </w:trPr>
        <w:tc>
          <w:tcPr>
            <w:gridSpan w:val="9"/>
            <w:tcW w:w="9551"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b/>
                <w:bCs/>
                <w:sz w:val="24"/>
                <w:szCs w:val="24"/>
              </w:rPr>
              <w:t xml:space="preserve">分包二：工业区</w:t>
            </w:r>
            <w:r/>
          </w:p>
        </w:tc>
      </w:tr>
      <w:tr>
        <w:trPr>
          <w:cantSplit/>
          <w:jc w:val="center"/>
          <w:trHeight w:val="139"/>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东至通湖大道、西至阳明山大道、南至古城路、北至镜泊湖路</w:t>
            </w:r>
            <w:r/>
          </w:p>
        </w:tc>
        <w:tc>
          <w:tcPr>
            <w:tcW w:w="575" w:type="dxa"/>
            <w:vAlign w:val="center"/>
            <w:vMerge w:val="restart"/>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00" w:type="dxa"/>
            <w:vAlign w:val="center"/>
            <w:vMerge w:val="restart"/>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00" w:type="dxa"/>
            <w:vAlign w:val="center"/>
            <w:vMerge w:val="restart"/>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00" w:type="dxa"/>
            <w:vAlign w:val="center"/>
            <w:vMerge w:val="restart"/>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1034"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13</w:t>
            </w:r>
            <w:r/>
          </w:p>
        </w:tc>
        <w:tc>
          <w:tcPr>
            <w:tcW w:w="1736" w:type="dxa"/>
            <w:vAlign w:val="center"/>
            <w:textDirection w:val="lrTb"/>
            <w:noWrap w:val="false"/>
          </w:tcPr>
          <w:p>
            <w:pPr>
              <w:jc w:val="center"/>
              <w:spacing w:line="276"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19</w:t>
            </w:r>
            <w:r/>
          </w:p>
        </w:tc>
      </w:tr>
      <w:tr>
        <w:trPr>
          <w:cantSplit/>
          <w:jc w:val="center"/>
          <w:trHeight w:val="139"/>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2</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东至五指山路、西至天柱山路、南至古城路、北至苏北灌溉总渠</w:t>
            </w:r>
            <w:r/>
          </w:p>
        </w:tc>
        <w:tc>
          <w:tcPr>
            <w:tcW w:w="575"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10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15</w:t>
            </w:r>
            <w:r/>
          </w:p>
        </w:tc>
        <w:tc>
          <w:tcPr>
            <w:tcW w:w="1736"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21</w:t>
            </w:r>
            <w:r/>
          </w:p>
        </w:tc>
      </w:tr>
      <w:tr>
        <w:trPr>
          <w:cantSplit/>
          <w:jc w:val="center"/>
          <w:trHeight w:val="139"/>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3</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通湖大道（清水河-北京路）中侧分带</w:t>
            </w:r>
            <w:r/>
          </w:p>
        </w:tc>
        <w:tc>
          <w:tcPr>
            <w:tcW w:w="575"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10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tcW w:w="1736"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11</w:t>
            </w:r>
            <w:r/>
          </w:p>
        </w:tc>
      </w:tr>
      <w:tr>
        <w:trPr>
          <w:cantSplit/>
          <w:jc w:val="center"/>
          <w:trHeight w:val="139"/>
        </w:trPr>
        <w:tc>
          <w:tcPr>
            <w:tcW w:w="567"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22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通湖大道（清水河-北京路）50米绿化带</w:t>
            </w:r>
            <w:r/>
          </w:p>
        </w:tc>
        <w:tc>
          <w:tcPr>
            <w:tcW w:w="575"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600" w:type="dxa"/>
            <w:vAlign w:val="center"/>
            <w:vMerge w:val="continue"/>
            <w:textDirection w:val="lrTb"/>
            <w:noWrap w:val="false"/>
          </w:tcPr>
          <w:p>
            <w:pPr>
              <w:jc w:val="center"/>
              <w:spacing w:line="276" w:lineRule="auto"/>
              <w:rPr>
                <w:rFonts w:ascii="仿宋" w:hAnsi="仿宋" w:eastAsia="仿宋" w:cs="仿宋"/>
                <w:b/>
                <w:bCs/>
                <w:sz w:val="24"/>
                <w:szCs w:val="24"/>
              </w:rPr>
            </w:pPr>
            <w:r>
              <w:rPr>
                <w:rFonts w:ascii="仿宋" w:hAnsi="仿宋" w:eastAsia="仿宋" w:cs="仿宋"/>
                <w:b/>
                <w:bCs/>
                <w:sz w:val="24"/>
                <w:szCs w:val="24"/>
              </w:rPr>
            </w:r>
            <w:r/>
          </w:p>
        </w:tc>
        <w:tc>
          <w:tcPr>
            <w:tcW w:w="1034"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605"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tcW w:w="1736"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11</w:t>
            </w:r>
            <w:r/>
          </w:p>
        </w:tc>
      </w:tr>
      <w:tr>
        <w:trPr>
          <w:jc w:val="center"/>
          <w:trHeight w:val="70"/>
        </w:trPr>
        <w:tc>
          <w:tcPr>
            <w:gridSpan w:val="6"/>
            <w:tcW w:w="5176" w:type="dxa"/>
            <w:vAlign w:val="center"/>
            <w:textDirection w:val="lrTb"/>
            <w:noWrap w:val="false"/>
          </w:tcPr>
          <w:p>
            <w:pPr>
              <w:jc w:val="center"/>
              <w:spacing w:line="276" w:lineRule="auto"/>
              <w:rPr>
                <w:rFonts w:ascii="仿宋" w:hAnsi="仿宋" w:eastAsia="仿宋" w:cs="仿宋"/>
                <w:b/>
                <w:bCs/>
                <w:sz w:val="24"/>
                <w:szCs w:val="24"/>
              </w:rPr>
            </w:pPr>
            <w:r>
              <w:rPr>
                <w:rFonts w:hint="eastAsia" w:ascii="仿宋" w:hAnsi="仿宋" w:eastAsia="仿宋" w:cs="仿宋"/>
                <w:b/>
                <w:bCs/>
                <w:color w:val="000000"/>
                <w:sz w:val="24"/>
                <w:szCs w:val="24"/>
                <w:lang w:bidi="ar"/>
              </w:rPr>
              <w:t xml:space="preserve">合计</w:t>
            </w:r>
            <w:r/>
          </w:p>
        </w:tc>
        <w:tc>
          <w:tcPr>
            <w:tcW w:w="1034" w:type="dxa"/>
            <w:vAlign w:val="center"/>
            <w:textDirection w:val="lrTb"/>
            <w:noWrap w:val="false"/>
          </w:tcPr>
          <w:p>
            <w:pPr>
              <w:jc w:val="center"/>
              <w:spacing w:line="276" w:lineRule="auto"/>
              <w:widowControl/>
              <w:rPr>
                <w:rFonts w:ascii="仿宋" w:hAnsi="仿宋" w:eastAsia="仿宋" w:cs="仿宋"/>
                <w:b/>
                <w:color w:val="000000"/>
                <w:sz w:val="24"/>
                <w:szCs w:val="24"/>
                <w:lang w:bidi="ar"/>
              </w:rPr>
            </w:pPr>
            <w:r>
              <w:rPr>
                <w:rFonts w:hint="eastAsia" w:ascii="仿宋" w:hAnsi="仿宋" w:eastAsia="仿宋" w:cs="仿宋"/>
                <w:b/>
                <w:color w:val="000000"/>
                <w:sz w:val="24"/>
                <w:szCs w:val="24"/>
                <w:lang w:bidi="ar"/>
              </w:rPr>
              <w:t xml:space="preserve">4</w:t>
            </w:r>
            <w:r/>
          </w:p>
        </w:tc>
        <w:tc>
          <w:tcPr>
            <w:tcW w:w="1605" w:type="dxa"/>
            <w:vAlign w:val="center"/>
            <w:textDirection w:val="lrTb"/>
            <w:noWrap w:val="false"/>
          </w:tcPr>
          <w:p>
            <w:pPr>
              <w:jc w:val="center"/>
              <w:spacing w:line="276" w:lineRule="auto"/>
              <w:widowControl/>
              <w:rPr>
                <w:rFonts w:ascii="仿宋" w:hAnsi="仿宋" w:eastAsia="仿宋" w:cs="仿宋"/>
                <w:b/>
                <w:color w:val="000000"/>
                <w:sz w:val="24"/>
                <w:szCs w:val="24"/>
                <w:lang w:bidi="ar"/>
              </w:rPr>
            </w:pPr>
            <w:r>
              <w:rPr>
                <w:rFonts w:hint="eastAsia" w:ascii="仿宋" w:hAnsi="仿宋" w:eastAsia="仿宋" w:cs="仿宋"/>
                <w:b/>
                <w:color w:val="000000"/>
                <w:sz w:val="24"/>
                <w:szCs w:val="24"/>
                <w:lang w:bidi="ar"/>
              </w:rPr>
              <w:t xml:space="preserve">40</w:t>
            </w:r>
            <w:r/>
          </w:p>
        </w:tc>
        <w:tc>
          <w:tcPr>
            <w:tcW w:w="1736" w:type="dxa"/>
            <w:vAlign w:val="center"/>
            <w:textDirection w:val="lrTb"/>
            <w:noWrap w:val="false"/>
          </w:tcPr>
          <w:p>
            <w:pPr>
              <w:jc w:val="center"/>
              <w:spacing w:line="276" w:lineRule="auto"/>
              <w:widowControl/>
              <w:rPr>
                <w:rFonts w:ascii="仿宋" w:hAnsi="仿宋" w:eastAsia="仿宋" w:cs="仿宋"/>
                <w:b/>
                <w:color w:val="000000"/>
                <w:sz w:val="24"/>
                <w:szCs w:val="24"/>
                <w:lang w:bidi="ar"/>
              </w:rPr>
            </w:pPr>
            <w:r>
              <w:rPr>
                <w:rFonts w:hint="eastAsia" w:ascii="仿宋" w:hAnsi="仿宋" w:eastAsia="仿宋" w:cs="仿宋"/>
                <w:b/>
                <w:color w:val="000000"/>
                <w:sz w:val="24"/>
                <w:szCs w:val="24"/>
                <w:lang w:bidi="ar"/>
              </w:rPr>
              <w:t xml:space="preserve">62</w:t>
            </w:r>
            <w:r/>
          </w:p>
        </w:tc>
      </w:tr>
      <w:tr>
        <w:trPr>
          <w:jc w:val="center"/>
          <w:trHeight w:val="861"/>
        </w:trPr>
        <w:tc>
          <w:tcPr>
            <w:gridSpan w:val="9"/>
            <w:tcW w:w="9551" w:type="dxa"/>
            <w:vAlign w:val="center"/>
            <w:textDirection w:val="lrTb"/>
            <w:noWrap w:val="false"/>
          </w:tcPr>
          <w:p>
            <w:pPr>
              <w:spacing w:line="276" w:lineRule="auto"/>
              <w:tabs>
                <w:tab w:val="left" w:pos="2675" w:leader="none"/>
              </w:tabs>
              <w:rPr>
                <w:rFonts w:ascii="仿宋" w:hAnsi="仿宋" w:eastAsia="仿宋" w:cs="仿宋"/>
                <w:b/>
                <w:bCs/>
                <w:sz w:val="24"/>
                <w:szCs w:val="24"/>
              </w:rPr>
            </w:pPr>
            <w:r>
              <w:rPr>
                <w:rFonts w:hint="eastAsia" w:ascii="仿宋" w:hAnsi="仿宋" w:eastAsia="仿宋" w:cs="仿宋"/>
                <w:b/>
                <w:bCs/>
                <w:sz w:val="24"/>
                <w:szCs w:val="24"/>
              </w:rPr>
              <w:t xml:space="preserve">备注：1、表中所注人数为最低配置，甲方有权根据现场实际管养需求，要求中标单位增加养护工人数量，因此产生的所有费用包含在本标段的报价内。</w:t>
            </w:r>
            <w:r/>
          </w:p>
          <w:p>
            <w:pPr>
              <w:spacing w:line="276" w:lineRule="auto"/>
              <w:tabs>
                <w:tab w:val="left" w:pos="2675" w:leader="none"/>
              </w:tabs>
              <w:rPr>
                <w:rFonts w:ascii="仿宋" w:hAnsi="仿宋" w:eastAsia="仿宋" w:cs="仿宋"/>
                <w:b/>
                <w:bCs/>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中标单位严格按范围人员要求配备人员，范围内人员未经允许不得超范围作业。</w:t>
            </w:r>
            <w:r/>
          </w:p>
        </w:tc>
      </w:tr>
    </w:tbl>
    <w:p>
      <w:pPr>
        <w:spacing w:line="276" w:lineRule="auto"/>
        <w:rPr>
          <w:rFonts w:ascii="仿宋" w:hAnsi="仿宋" w:eastAsia="仿宋" w:cs="宋体"/>
          <w:b/>
          <w:sz w:val="24"/>
          <w:szCs w:val="24"/>
        </w:rPr>
      </w:pPr>
      <w:r>
        <w:rPr>
          <w:rFonts w:ascii="仿宋" w:hAnsi="仿宋" w:eastAsia="仿宋" w:cs="宋体"/>
          <w:b/>
          <w:sz w:val="24"/>
          <w:szCs w:val="24"/>
        </w:rPr>
        <w:br w:type="page" w:clear="all"/>
      </w:r>
      <w:r>
        <w:rPr>
          <w:rFonts w:hint="eastAsia" w:ascii="仿宋" w:hAnsi="仿宋" w:eastAsia="仿宋" w:cs="宋体"/>
          <w:b/>
          <w:sz w:val="24"/>
          <w:szCs w:val="24"/>
        </w:rPr>
        <w:t xml:space="preserve">附件三：</w:t>
      </w:r>
      <w:r/>
    </w:p>
    <w:p>
      <w:pPr>
        <w:jc w:val="center"/>
        <w:spacing w:line="276" w:lineRule="auto"/>
        <w:rPr>
          <w:rFonts w:ascii="仿宋" w:hAnsi="仿宋" w:eastAsia="仿宋" w:cs="宋体"/>
          <w:b/>
          <w:sz w:val="24"/>
          <w:szCs w:val="24"/>
        </w:rPr>
      </w:pPr>
      <w:r>
        <w:rPr>
          <w:rFonts w:hint="eastAsia" w:ascii="仿宋" w:hAnsi="仿宋" w:eastAsia="仿宋" w:cs="仿宋"/>
          <w:b/>
          <w:bCs/>
          <w:sz w:val="24"/>
          <w:szCs w:val="24"/>
        </w:rPr>
        <w:t xml:space="preserve">分包一：商业区</w:t>
      </w:r>
      <w:r>
        <w:rPr>
          <w:rFonts w:hint="eastAsia" w:ascii="仿宋" w:hAnsi="仿宋" w:eastAsia="仿宋" w:cs="宋体"/>
          <w:b/>
          <w:bCs/>
          <w:sz w:val="24"/>
          <w:szCs w:val="24"/>
        </w:rPr>
        <w:t xml:space="preserve">绿化养护机械设备配置要求</w:t>
      </w:r>
      <w:r/>
    </w:p>
    <w:tbl>
      <w:tblPr>
        <w:tblpPr w:horzAnchor="text" w:tblpXSpec="center" w:vertAnchor="text" w:tblpY="1" w:leftFromText="180" w:topFromText="0" w:rightFromText="180" w:bottomFromText="0"/>
        <w:tblW w:w="10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709"/>
        <w:gridCol w:w="2268"/>
        <w:gridCol w:w="852"/>
        <w:gridCol w:w="1132"/>
        <w:gridCol w:w="4678"/>
      </w:tblGrid>
      <w:tr>
        <w:trPr>
          <w:jc w:val="center"/>
          <w:trHeight w:val="132"/>
        </w:trPr>
        <w:tc>
          <w:tcPr>
            <w:tcW w:w="817"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序号</w:t>
            </w:r>
            <w:r/>
          </w:p>
        </w:tc>
        <w:tc>
          <w:tcPr>
            <w:tcW w:w="709"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种类</w:t>
            </w:r>
            <w:r/>
          </w:p>
        </w:tc>
        <w:tc>
          <w:tcPr>
            <w:tcW w:w="2268"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名称</w:t>
            </w:r>
            <w:r/>
          </w:p>
        </w:tc>
        <w:tc>
          <w:tcPr>
            <w:tcW w:w="852"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数量</w:t>
            </w:r>
            <w:r/>
          </w:p>
        </w:tc>
        <w:tc>
          <w:tcPr>
            <w:tcW w:w="1132"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单位</w:t>
            </w:r>
            <w:r/>
          </w:p>
        </w:tc>
        <w:tc>
          <w:tcPr>
            <w:tcW w:w="4678"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用途</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p>
        </w:tc>
        <w:tc>
          <w:tcPr>
            <w:tcW w:w="709" w:type="dxa"/>
            <w:vAlign w:val="center"/>
            <w:vMerge w:val="restart"/>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绿</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化</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日</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常</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养</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护</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机</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械</w:t>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洒水车</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3</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0</w:t>
            </w:r>
            <w:r>
              <w:rPr>
                <w:rFonts w:hint="eastAsia" w:ascii="仿宋" w:hAnsi="仿宋" w:eastAsia="仿宋"/>
                <w:bCs/>
                <w:sz w:val="24"/>
                <w:szCs w:val="24"/>
              </w:rPr>
              <w:t xml:space="preserve">吨/台</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主要用于绿化浇水，并配有喷雾、喷药系统</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2</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皮卡车</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辆</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主要用于日常养护巡视</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3</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高空升降车</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辆</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主要用于高大乔木修剪（可租赁）</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4</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座骑式草坪修剪机</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主要用于草坪修剪</w:t>
            </w:r>
            <w:r/>
          </w:p>
        </w:tc>
      </w:tr>
      <w:tr>
        <w:trPr>
          <w:cantSplit/>
          <w:jc w:val="center"/>
          <w:trHeight w:val="217"/>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5</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草坪修剪机</w:t>
            </w:r>
            <w:r/>
          </w:p>
        </w:tc>
        <w:tc>
          <w:tcPr>
            <w:tcW w:w="852" w:type="dxa"/>
            <w:vAlign w:val="center"/>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t xml:space="preserve">2</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主要用于草坪修剪</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6</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割灌机</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6</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修剪边角及坡度较大位置草坪</w:t>
            </w:r>
            <w:r/>
          </w:p>
        </w:tc>
      </w:tr>
      <w:tr>
        <w:trPr>
          <w:cantSplit/>
          <w:jc w:val="center"/>
          <w:trHeight w:val="118"/>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7</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手推机动喷雾器</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2</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病虫害防治</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8</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绿篱修剪机</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8</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绿篱修剪</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9</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修枝剪</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20</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把</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枝条修剪</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10</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高枝剪</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10</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把</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绿化养护修剪绿篱</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11</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吹扫机</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台</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清扫落叶</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12</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抽水泵(4寸）</w:t>
            </w:r>
            <w:r/>
          </w:p>
        </w:tc>
        <w:tc>
          <w:tcPr>
            <w:tcW w:w="852" w:type="dxa"/>
            <w:vAlign w:val="center"/>
            <w:textDirection w:val="lrTb"/>
            <w:noWrap w:val="false"/>
          </w:tcPr>
          <w:p>
            <w:pPr>
              <w:ind w:firstLine="240"/>
              <w:spacing w:line="276" w:lineRule="auto"/>
              <w:rPr>
                <w:rFonts w:ascii="仿宋" w:hAnsi="仿宋" w:eastAsia="仿宋"/>
                <w:sz w:val="24"/>
                <w:szCs w:val="24"/>
              </w:rPr>
            </w:pPr>
            <w:r>
              <w:rPr>
                <w:rFonts w:hint="eastAsia" w:ascii="仿宋" w:hAnsi="仿宋" w:eastAsia="仿宋"/>
                <w:sz w:val="24"/>
                <w:szCs w:val="24"/>
              </w:rPr>
              <w:t xml:space="preserve">2</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台</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主要用于水车无法驶入区域浇水</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3</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电动三轮车</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3</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辆</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运绿化垃圾</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4</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cs="宋体"/>
                <w:sz w:val="24"/>
                <w:szCs w:val="24"/>
              </w:rPr>
              <w:t xml:space="preserve">运载货车</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辆</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cs="宋体"/>
                <w:sz w:val="24"/>
                <w:szCs w:val="24"/>
              </w:rPr>
              <w:t xml:space="preserve">用于苗木、枯枝落叶、杂物等清运</w:t>
            </w:r>
            <w:r/>
          </w:p>
        </w:tc>
      </w:tr>
    </w:tbl>
    <w:p>
      <w:pPr>
        <w:jc w:val="center"/>
        <w:spacing w:line="276" w:lineRule="auto"/>
        <w:rPr>
          <w:rFonts w:ascii="仿宋" w:hAnsi="仿宋" w:eastAsia="仿宋" w:cs="宋体"/>
          <w:b/>
          <w:sz w:val="24"/>
          <w:szCs w:val="24"/>
        </w:rPr>
      </w:pPr>
      <w:r>
        <w:rPr>
          <w:rFonts w:hint="eastAsia" w:ascii="仿宋" w:hAnsi="仿宋" w:eastAsia="仿宋" w:cs="仿宋"/>
          <w:b/>
          <w:bCs/>
          <w:sz w:val="24"/>
          <w:szCs w:val="24"/>
        </w:rPr>
        <w:t xml:space="preserve">分包二：工业区</w:t>
      </w:r>
      <w:r>
        <w:rPr>
          <w:rFonts w:hint="eastAsia" w:ascii="仿宋" w:hAnsi="仿宋" w:eastAsia="仿宋" w:cs="宋体"/>
          <w:b/>
          <w:bCs/>
          <w:sz w:val="24"/>
          <w:szCs w:val="24"/>
        </w:rPr>
        <w:t xml:space="preserve">绿化养护机械设备配置要求</w:t>
      </w:r>
      <w:r/>
    </w:p>
    <w:tbl>
      <w:tblPr>
        <w:tblpPr w:horzAnchor="text" w:tblpXSpec="center" w:vertAnchor="text" w:tblpY="1" w:leftFromText="180" w:topFromText="0" w:rightFromText="180" w:bottomFromText="0"/>
        <w:tblW w:w="10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709"/>
        <w:gridCol w:w="2268"/>
        <w:gridCol w:w="852"/>
        <w:gridCol w:w="1132"/>
        <w:gridCol w:w="4678"/>
      </w:tblGrid>
      <w:tr>
        <w:trPr>
          <w:jc w:val="center"/>
          <w:trHeight w:val="132"/>
        </w:trPr>
        <w:tc>
          <w:tcPr>
            <w:tcW w:w="817"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序号</w:t>
            </w:r>
            <w:r/>
          </w:p>
        </w:tc>
        <w:tc>
          <w:tcPr>
            <w:tcW w:w="709"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种类</w:t>
            </w:r>
            <w:r/>
          </w:p>
        </w:tc>
        <w:tc>
          <w:tcPr>
            <w:tcW w:w="2268"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名称</w:t>
            </w:r>
            <w:r/>
          </w:p>
        </w:tc>
        <w:tc>
          <w:tcPr>
            <w:tcW w:w="852"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数量</w:t>
            </w:r>
            <w:r/>
          </w:p>
        </w:tc>
        <w:tc>
          <w:tcPr>
            <w:tcW w:w="1132"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单位</w:t>
            </w:r>
            <w:r/>
          </w:p>
        </w:tc>
        <w:tc>
          <w:tcPr>
            <w:tcW w:w="4678" w:type="dxa"/>
            <w:vAlign w:val="center"/>
            <w:textDirection w:val="lrTb"/>
            <w:noWrap w:val="false"/>
          </w:tcPr>
          <w:p>
            <w:pPr>
              <w:jc w:val="center"/>
              <w:spacing w:line="276" w:lineRule="auto"/>
              <w:rPr>
                <w:rFonts w:ascii="仿宋" w:hAnsi="仿宋" w:eastAsia="仿宋"/>
                <w:b/>
                <w:bCs/>
                <w:sz w:val="24"/>
                <w:szCs w:val="24"/>
              </w:rPr>
            </w:pPr>
            <w:r>
              <w:rPr>
                <w:rFonts w:hint="eastAsia" w:ascii="仿宋" w:hAnsi="仿宋" w:eastAsia="仿宋"/>
                <w:b/>
                <w:bCs/>
                <w:sz w:val="24"/>
                <w:szCs w:val="24"/>
              </w:rPr>
              <w:t xml:space="preserve">用途</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p>
        </w:tc>
        <w:tc>
          <w:tcPr>
            <w:tcW w:w="709" w:type="dxa"/>
            <w:vAlign w:val="center"/>
            <w:vMerge w:val="restart"/>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绿</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化</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日</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常</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养</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护</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机</w:t>
            </w:r>
            <w:r/>
          </w:p>
          <w:p>
            <w:pPr>
              <w:jc w:val="center"/>
              <w:spacing w:line="276" w:lineRule="auto"/>
              <w:rPr>
                <w:rFonts w:ascii="仿宋" w:hAnsi="仿宋" w:eastAsia="仿宋"/>
                <w:bCs/>
                <w:sz w:val="24"/>
                <w:szCs w:val="24"/>
              </w:rPr>
            </w:pPr>
            <w:r>
              <w:rPr>
                <w:rFonts w:hint="eastAsia" w:ascii="仿宋" w:hAnsi="仿宋" w:eastAsia="仿宋"/>
                <w:bCs/>
                <w:sz w:val="24"/>
                <w:szCs w:val="24"/>
              </w:rPr>
              <w:t xml:space="preserve">械</w:t>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洒水车</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3</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0</w:t>
            </w:r>
            <w:r>
              <w:rPr>
                <w:rFonts w:hint="eastAsia" w:ascii="仿宋" w:hAnsi="仿宋" w:eastAsia="仿宋"/>
                <w:bCs/>
                <w:sz w:val="24"/>
                <w:szCs w:val="24"/>
              </w:rPr>
              <w:t xml:space="preserve">吨/台</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主要用于绿化浇水，并配有喷雾、喷药系统</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2</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皮卡车</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辆</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主要用于日常养护巡视</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3</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高空升降车</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1</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辆</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主要用于高大乔木修剪（可租赁）</w:t>
            </w:r>
            <w:r/>
          </w:p>
        </w:tc>
      </w:tr>
      <w:tr>
        <w:trPr>
          <w:cantSplit/>
          <w:jc w:val="center"/>
          <w:trHeight w:val="217"/>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4</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草坪修剪机</w:t>
            </w:r>
            <w:r/>
          </w:p>
        </w:tc>
        <w:tc>
          <w:tcPr>
            <w:tcW w:w="852" w:type="dxa"/>
            <w:vAlign w:val="center"/>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t xml:space="preserve">8</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主要用于草坪修剪</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5</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割灌机</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6</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修剪边角及坡度较大位置草坪</w:t>
            </w:r>
            <w:r/>
          </w:p>
        </w:tc>
      </w:tr>
      <w:tr>
        <w:trPr>
          <w:cantSplit/>
          <w:jc w:val="center"/>
          <w:trHeight w:val="118"/>
        </w:trPr>
        <w:tc>
          <w:tcPr>
            <w:tcW w:w="817"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6</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手推机动喷雾器</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2</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病虫害防治</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7</w:t>
            </w:r>
            <w:r/>
          </w:p>
        </w:tc>
        <w:tc>
          <w:tcPr>
            <w:tcW w:w="709" w:type="dxa"/>
            <w:vAlign w:val="center"/>
            <w:vMerge w:val="continue"/>
            <w:textDirection w:val="lrTb"/>
            <w:noWrap w:val="false"/>
          </w:tcPr>
          <w:p>
            <w:pPr>
              <w:jc w:val="center"/>
              <w:spacing w:line="276" w:lineRule="auto"/>
              <w:rPr>
                <w:rFonts w:ascii="仿宋" w:hAnsi="仿宋" w:eastAsia="仿宋"/>
                <w:bCs/>
                <w:sz w:val="24"/>
                <w:szCs w:val="24"/>
              </w:rPr>
            </w:pPr>
            <w:r>
              <w:rPr>
                <w:rFonts w:ascii="仿宋" w:hAnsi="仿宋" w:eastAsia="仿宋"/>
                <w:bCs/>
                <w:sz w:val="24"/>
                <w:szCs w:val="24"/>
              </w:rPr>
            </w:r>
            <w:r/>
          </w:p>
        </w:tc>
        <w:tc>
          <w:tcPr>
            <w:tcW w:w="226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绿篱修剪机</w:t>
            </w:r>
            <w:r/>
          </w:p>
        </w:tc>
        <w:tc>
          <w:tcPr>
            <w:tcW w:w="85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8</w:t>
            </w:r>
            <w:r/>
          </w:p>
        </w:tc>
        <w:tc>
          <w:tcPr>
            <w:tcW w:w="1132"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台</w:t>
            </w:r>
            <w:r/>
          </w:p>
        </w:tc>
        <w:tc>
          <w:tcPr>
            <w:tcW w:w="4678" w:type="dxa"/>
            <w:vAlign w:val="center"/>
            <w:textDirection w:val="lrTb"/>
            <w:noWrap w:val="false"/>
          </w:tcPr>
          <w:p>
            <w:pPr>
              <w:jc w:val="center"/>
              <w:spacing w:line="276" w:lineRule="auto"/>
              <w:rPr>
                <w:rFonts w:ascii="仿宋" w:hAnsi="仿宋" w:eastAsia="仿宋"/>
                <w:bCs/>
                <w:sz w:val="24"/>
                <w:szCs w:val="24"/>
              </w:rPr>
            </w:pPr>
            <w:r>
              <w:rPr>
                <w:rFonts w:hint="eastAsia" w:ascii="仿宋" w:hAnsi="仿宋" w:eastAsia="仿宋"/>
                <w:bCs/>
                <w:sz w:val="24"/>
                <w:szCs w:val="24"/>
              </w:rPr>
              <w:t xml:space="preserve">绿篱修剪</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8</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修枝剪</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20</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把</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枝条修剪</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9</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高枝剪</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10</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把</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绿化养护修剪绿篱</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10</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吹扫机</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台</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清扫落叶</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11</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抽水泵(4寸）</w:t>
            </w:r>
            <w:r/>
          </w:p>
        </w:tc>
        <w:tc>
          <w:tcPr>
            <w:tcW w:w="852" w:type="dxa"/>
            <w:vAlign w:val="center"/>
            <w:textDirection w:val="lrTb"/>
            <w:noWrap w:val="false"/>
          </w:tcPr>
          <w:p>
            <w:pPr>
              <w:ind w:firstLine="240"/>
              <w:spacing w:line="276" w:lineRule="auto"/>
              <w:rPr>
                <w:rFonts w:ascii="仿宋" w:hAnsi="仿宋" w:eastAsia="仿宋"/>
                <w:sz w:val="24"/>
                <w:szCs w:val="24"/>
              </w:rPr>
            </w:pPr>
            <w:r>
              <w:rPr>
                <w:rFonts w:hint="eastAsia" w:ascii="仿宋" w:hAnsi="仿宋" w:eastAsia="仿宋"/>
                <w:sz w:val="24"/>
                <w:szCs w:val="24"/>
              </w:rPr>
              <w:t xml:space="preserve">2</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台</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主要用于水车无法驶入区域浇水</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12</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电动三轮车</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3</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辆</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运绿化垃圾</w:t>
            </w:r>
            <w:r/>
          </w:p>
        </w:tc>
      </w:tr>
      <w:tr>
        <w:trPr>
          <w:cantSplit/>
          <w:jc w:val="center"/>
          <w:trHeight w:val="70"/>
        </w:trPr>
        <w:tc>
          <w:tcPr>
            <w:tcW w:w="8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3</w:t>
            </w:r>
            <w:r/>
          </w:p>
        </w:tc>
        <w:tc>
          <w:tcPr>
            <w:tcW w:w="709" w:type="dxa"/>
            <w:vAlign w:val="center"/>
            <w:vMerge w:val="continue"/>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226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cs="宋体"/>
                <w:sz w:val="24"/>
                <w:szCs w:val="24"/>
              </w:rPr>
              <w:t xml:space="preserve">运载货车</w:t>
            </w:r>
            <w:r/>
          </w:p>
        </w:tc>
        <w:tc>
          <w:tcPr>
            <w:tcW w:w="85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p>
        </w:tc>
        <w:tc>
          <w:tcPr>
            <w:tcW w:w="113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辆</w:t>
            </w:r>
            <w:r/>
          </w:p>
        </w:tc>
        <w:tc>
          <w:tcPr>
            <w:tcW w:w="4678"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cs="宋体"/>
                <w:sz w:val="24"/>
                <w:szCs w:val="24"/>
              </w:rPr>
              <w:t xml:space="preserve">用于苗木、枯枝落叶、杂物等清运</w:t>
            </w:r>
            <w:r/>
          </w:p>
        </w:tc>
      </w:tr>
    </w:tbl>
    <w:p>
      <w:pPr>
        <w:spacing w:line="276" w:lineRule="auto"/>
        <w:rPr>
          <w:rFonts w:ascii="仿宋" w:hAnsi="仿宋" w:eastAsia="仿宋" w:cs="宋体"/>
          <w:sz w:val="24"/>
          <w:szCs w:val="24"/>
        </w:rPr>
      </w:pPr>
      <w:r>
        <w:rPr>
          <w:rFonts w:ascii="仿宋" w:hAnsi="仿宋" w:eastAsia="仿宋" w:cs="宋体"/>
          <w:sz w:val="24"/>
          <w:szCs w:val="24"/>
        </w:rPr>
      </w:r>
      <w:r/>
    </w:p>
    <w:p>
      <w:pPr>
        <w:jc w:val="center"/>
        <w:spacing w:line="276" w:lineRule="auto"/>
        <w:rPr>
          <w:rFonts w:ascii="仿宋" w:hAnsi="仿宋" w:eastAsia="仿宋" w:cs="仿宋_GB2312"/>
          <w:b/>
          <w:bCs/>
          <w:sz w:val="24"/>
          <w:szCs w:val="24"/>
        </w:rPr>
      </w:pPr>
      <w:r>
        <w:rPr>
          <w:rFonts w:ascii="仿宋" w:hAnsi="仿宋" w:eastAsia="仿宋" w:cs="宋体"/>
          <w:sz w:val="24"/>
          <w:szCs w:val="24"/>
        </w:rPr>
        <w:br w:type="page" w:clear="all"/>
      </w:r>
      <w:r>
        <w:rPr>
          <w:rFonts w:hint="eastAsia" w:ascii="仿宋" w:hAnsi="仿宋" w:eastAsia="仿宋" w:cs="仿宋_GB2312"/>
          <w:b/>
          <w:bCs/>
          <w:sz w:val="28"/>
          <w:szCs w:val="24"/>
        </w:rPr>
        <w:t xml:space="preserve">绿化养护机械配置样式</w:t>
      </w:r>
      <w:r/>
    </w:p>
    <w:p>
      <w:pPr>
        <w:ind w:firstLine="1320"/>
        <w:spacing w:line="276" w:lineRule="auto"/>
        <w:rPr>
          <w:rFonts w:ascii="仿宋" w:hAnsi="仿宋" w:eastAsia="仿宋"/>
          <w:sz w:val="24"/>
          <w:szCs w:val="24"/>
        </w:rPr>
      </w:pPr>
      <w:r>
        <w:rPr>
          <w:rFonts w:hint="eastAsia" w:ascii="仿宋" w:hAnsi="仿宋" w:eastAsia="仿宋"/>
          <w:sz w:val="24"/>
          <w:szCs w:val="24"/>
        </w:rPr>
        <w:t xml:space="preserve">洒水车                       </w:t>
      </w:r>
      <w:r>
        <w:rPr>
          <w:rFonts w:ascii="仿宋" w:hAnsi="仿宋" w:eastAsia="仿宋"/>
          <w:sz w:val="24"/>
          <w:szCs w:val="24"/>
        </w:rPr>
        <w:t xml:space="preserve">          </w:t>
      </w:r>
      <w:r>
        <w:rPr>
          <w:rFonts w:hint="eastAsia" w:ascii="仿宋" w:hAnsi="仿宋" w:eastAsia="仿宋"/>
          <w:sz w:val="24"/>
          <w:szCs w:val="24"/>
        </w:rPr>
        <w:t xml:space="preserve">皮卡车</w:t>
      </w:r>
      <w:r/>
    </w:p>
    <w:p>
      <w:pPr>
        <w:spacing w:line="276" w:lineRule="auto"/>
        <w:rPr>
          <w:rFonts w:ascii="仿宋" w:hAnsi="仿宋" w:eastAsia="仿宋"/>
          <w:sz w:val="24"/>
          <w:szCs w:val="24"/>
        </w:rPr>
      </w:pPr>
      <w:r>
        <w:rPr>
          <w:rFonts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column">
                  <wp:posOffset>2849880</wp:posOffset>
                </wp:positionH>
                <wp:positionV relativeFrom="paragraph">
                  <wp:posOffset>43815</wp:posOffset>
                </wp:positionV>
                <wp:extent cx="2686050" cy="179070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686050" cy="179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7;o:allowoverlap:true;o:allowincell:true;mso-position-horizontal-relative:text;margin-left:224.4pt;mso-position-horizontal:absolute;mso-position-vertical-relative:text;margin-top:3.4pt;mso-position-vertical:absolute;width:211.5pt;height:141.0pt;mso-wrap-distance-left:9.0pt;mso-wrap-distance-top:0.0pt;mso-wrap-distance-right:9.0pt;mso-wrap-distance-bottom:0.0pt;" stroked="f">
                <v:path textboxrect="0,0,0,0"/>
                <v:imagedata r:id="rId14" o:title=""/>
              </v:shape>
            </w:pict>
          </mc:Fallback>
        </mc:AlternateContent>
      </w:r>
      <w:r>
        <w:rPr>
          <w:rFonts w:ascii="仿宋" w:hAnsi="仿宋" w:eastAsia="仿宋"/>
          <w:sz w:val="24"/>
          <w:szCs w:val="24"/>
        </w:rPr>
        <mc:AlternateContent>
          <mc:Choice Requires="wpg">
            <w:drawing>
              <wp:inline xmlns:wp="http://schemas.openxmlformats.org/drawingml/2006/wordprocessingDrawing" distT="0" distB="0" distL="0" distR="0">
                <wp:extent cx="2383917" cy="1785557"/>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83917" cy="17855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7.7pt;height:140.6pt;mso-wrap-distance-left:0.0pt;mso-wrap-distance-top:0.0pt;mso-wrap-distance-right:0.0pt;mso-wrap-distance-bottom:0.0pt;" stroked="f">
                <v:path textboxrect="0,0,0,0"/>
                <v:imagedata r:id="rId15" o:title=""/>
              </v:shape>
            </w:pict>
          </mc:Fallback>
        </mc:AlternateContent>
      </w:r>
      <w:r/>
    </w:p>
    <w:p>
      <w:pPr>
        <w:spacing w:line="276" w:lineRule="auto"/>
        <w:rPr>
          <w:rFonts w:ascii="仿宋" w:hAnsi="仿宋" w:eastAsia="仿宋"/>
          <w:sz w:val="24"/>
          <w:szCs w:val="24"/>
        </w:rPr>
      </w:pPr>
      <w:r>
        <w:rPr>
          <w:rFonts w:ascii="仿宋" w:hAnsi="仿宋" w:eastAsia="仿宋"/>
          <w:sz w:val="24"/>
          <w:szCs w:val="24"/>
          <w:highlight w:val="yellow"/>
        </w:rPr>
        <w:t xml:space="preserve">洒水车参数：洒水车罐体容积：≥10</w:t>
      </w:r>
      <w:r>
        <w:rPr>
          <w:rFonts w:ascii="Calibri" w:hAnsi="Calibri" w:eastAsia="仿宋" w:cs="Calibri"/>
          <w:sz w:val="24"/>
          <w:szCs w:val="24"/>
          <w:highlight w:val="yellow"/>
        </w:rPr>
        <w:t xml:space="preserve"> </w:t>
      </w:r>
      <w:r>
        <w:rPr>
          <w:rFonts w:ascii="仿宋" w:hAnsi="仿宋" w:eastAsia="仿宋"/>
          <w:sz w:val="24"/>
          <w:szCs w:val="24"/>
          <w:highlight w:val="yellow"/>
        </w:rPr>
        <w:t xml:space="preserve">m3；冲洗宽度：≥24m；洒水宽度：≥14m；后高喷射程：≥38m。（不得使用改装农用车等非整车出厂车辆）</w:t>
      </w:r>
      <w:r/>
    </w:p>
    <w:p>
      <w:pPr>
        <w:ind w:firstLine="1560"/>
        <w:spacing w:line="276" w:lineRule="auto"/>
        <w:rPr>
          <w:rFonts w:ascii="仿宋" w:hAnsi="仿宋" w:eastAsia="仿宋"/>
          <w:sz w:val="24"/>
          <w:szCs w:val="24"/>
        </w:rPr>
      </w:pPr>
      <w:r>
        <w:rPr>
          <w:rFonts w:ascii="仿宋" w:hAnsi="仿宋" w:eastAsia="仿宋"/>
          <w:sz w:val="24"/>
          <w:szCs w:val="24"/>
        </w:rPr>
      </w:r>
      <w:r/>
    </w:p>
    <w:p>
      <w:pPr>
        <w:ind w:firstLine="1560"/>
        <w:spacing w:line="276" w:lineRule="auto"/>
        <w:rPr>
          <w:rFonts w:ascii="仿宋" w:hAnsi="仿宋" w:eastAsia="仿宋" w:cs="仿宋_GB2312"/>
          <w:bCs/>
          <w:sz w:val="24"/>
          <w:szCs w:val="24"/>
        </w:rPr>
      </w:pPr>
      <w:r>
        <w:rPr>
          <w:rFonts w:hint="eastAsia" w:ascii="仿宋" w:hAnsi="仿宋" w:eastAsia="仿宋"/>
          <w:sz w:val="24"/>
          <w:szCs w:val="24"/>
        </w:rPr>
        <w:t xml:space="preserve">割灌机                     </w:t>
      </w:r>
      <w:r>
        <w:rPr>
          <w:rFonts w:ascii="仿宋" w:hAnsi="仿宋" w:eastAsia="仿宋"/>
          <w:sz w:val="24"/>
          <w:szCs w:val="24"/>
        </w:rPr>
        <w:t xml:space="preserve">        </w:t>
      </w:r>
      <w:r>
        <w:rPr>
          <w:rFonts w:hint="eastAsia" w:ascii="仿宋" w:hAnsi="仿宋" w:eastAsia="仿宋"/>
          <w:sz w:val="24"/>
          <w:szCs w:val="24"/>
        </w:rPr>
        <w:t xml:space="preserve">手推机动喷雾器</w:t>
      </w:r>
      <w:r/>
    </w:p>
    <w:p>
      <w:pPr>
        <w:spacing w:line="276" w:lineRule="auto"/>
        <w:rPr>
          <w:rFonts w:ascii="仿宋" w:hAnsi="仿宋" w:eastAsia="仿宋"/>
          <w:sz w:val="24"/>
          <w:szCs w:val="24"/>
        </w:rPr>
      </w:pPr>
      <w:r>
        <w:rPr>
          <w:rFonts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487680</wp:posOffset>
                </wp:positionH>
                <wp:positionV relativeFrom="paragraph">
                  <wp:posOffset>87630</wp:posOffset>
                </wp:positionV>
                <wp:extent cx="1807845" cy="162687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07845" cy="1626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38.4pt;mso-position-horizontal:absolute;mso-position-vertical-relative:text;margin-top:6.9pt;mso-position-vertical:absolute;width:142.3pt;height:128.1pt;mso-wrap-distance-left:9.0pt;mso-wrap-distance-top:0.0pt;mso-wrap-distance-right:9.0pt;mso-wrap-distance-bottom:0.0pt;" stroked="f">
                <v:path textboxrect="0,0,0,0"/>
                <v:imagedata r:id="rId16" o:title=""/>
              </v:shape>
            </w:pict>
          </mc:Fallback>
        </mc:AlternateContent>
      </w:r>
      <w:r>
        <w:rPr>
          <w:rFonts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3155315</wp:posOffset>
                </wp:positionH>
                <wp:positionV relativeFrom="paragraph">
                  <wp:posOffset>0</wp:posOffset>
                </wp:positionV>
                <wp:extent cx="1866265" cy="148526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66265" cy="1485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248.4pt;mso-position-horizontal:absolute;mso-position-vertical-relative:text;margin-top:0.0pt;mso-position-vertical:absolute;width:146.9pt;height:116.9pt;mso-wrap-distance-left:9.0pt;mso-wrap-distance-top:0.0pt;mso-wrap-distance-right:9.0pt;mso-wrap-distance-bottom:0.0pt;" stroked="f">
                <v:path textboxrect="0,0,0,0"/>
                <v:imagedata r:id="rId17" o:title=""/>
              </v:shape>
            </w:pict>
          </mc:Fallback>
        </mc:AlternateContent>
      </w:r>
      <w:r>
        <w:rPr>
          <w:rFonts w:hint="eastAsia" w:ascii="仿宋" w:hAnsi="仿宋" w:eastAsia="仿宋"/>
          <w:sz w:val="24"/>
          <w:szCs w:val="24"/>
        </w:rPr>
        <w:t xml:space="preserve">      </w:t>
      </w:r>
      <w:r/>
    </w:p>
    <w:p>
      <w:pPr>
        <w:spacing w:line="276" w:lineRule="auto"/>
        <w:rPr>
          <w:rFonts w:ascii="仿宋" w:hAnsi="仿宋" w:eastAsia="仿宋"/>
          <w:sz w:val="24"/>
          <w:szCs w:val="24"/>
        </w:rPr>
      </w:pPr>
      <w:r>
        <w:rPr>
          <w:rFonts w:ascii="仿宋" w:hAnsi="仿宋" w:eastAsia="仿宋"/>
          <w:sz w:val="24"/>
          <w:szCs w:val="24"/>
        </w:rPr>
      </w:r>
      <w:r/>
    </w:p>
    <w:p>
      <w:pPr>
        <w:spacing w:line="276" w:lineRule="auto"/>
        <w:rPr>
          <w:rFonts w:ascii="仿宋" w:hAnsi="仿宋" w:eastAsia="仿宋"/>
          <w:sz w:val="24"/>
          <w:szCs w:val="24"/>
        </w:rPr>
      </w:pPr>
      <w:r>
        <w:rPr>
          <w:rFonts w:ascii="仿宋" w:hAnsi="仿宋" w:eastAsia="仿宋"/>
          <w:sz w:val="24"/>
          <w:szCs w:val="24"/>
        </w:rPr>
      </w:r>
      <w:r/>
    </w:p>
    <w:p>
      <w:pPr>
        <w:ind w:firstLine="1320"/>
        <w:spacing w:line="276" w:lineRule="auto"/>
        <w:rPr>
          <w:rFonts w:ascii="仿宋" w:hAnsi="仿宋" w:eastAsia="仿宋"/>
          <w:sz w:val="24"/>
          <w:szCs w:val="24"/>
        </w:rPr>
      </w:pPr>
      <w:r>
        <w:rPr>
          <w:rFonts w:ascii="仿宋" w:hAnsi="仿宋" w:eastAsia="仿宋"/>
          <w:sz w:val="24"/>
          <w:szCs w:val="24"/>
        </w:rPr>
      </w:r>
      <w:r/>
    </w:p>
    <w:p>
      <w:pPr>
        <w:ind w:firstLine="1320"/>
        <w:spacing w:line="276" w:lineRule="auto"/>
        <w:rPr>
          <w:rFonts w:ascii="仿宋" w:hAnsi="仿宋" w:eastAsia="仿宋"/>
          <w:sz w:val="24"/>
          <w:szCs w:val="24"/>
        </w:rPr>
      </w:pPr>
      <w:r>
        <w:rPr>
          <w:rFonts w:ascii="仿宋" w:hAnsi="仿宋" w:eastAsia="仿宋"/>
          <w:sz w:val="24"/>
          <w:szCs w:val="24"/>
        </w:rPr>
      </w:r>
      <w:r/>
    </w:p>
    <w:p>
      <w:pPr>
        <w:ind w:firstLine="1320"/>
        <w:spacing w:line="276" w:lineRule="auto"/>
        <w:rPr>
          <w:rFonts w:ascii="仿宋" w:hAnsi="仿宋" w:eastAsia="仿宋"/>
          <w:sz w:val="24"/>
          <w:szCs w:val="24"/>
        </w:rPr>
      </w:pPr>
      <w:r>
        <w:rPr>
          <w:rFonts w:ascii="仿宋" w:hAnsi="仿宋" w:eastAsia="仿宋"/>
          <w:sz w:val="24"/>
          <w:szCs w:val="24"/>
        </w:rPr>
      </w:r>
      <w:r/>
    </w:p>
    <w:p>
      <w:pPr>
        <w:ind w:firstLine="1320"/>
        <w:spacing w:line="276" w:lineRule="auto"/>
        <w:rPr>
          <w:rFonts w:ascii="仿宋" w:hAnsi="仿宋" w:eastAsia="仿宋"/>
          <w:sz w:val="24"/>
          <w:szCs w:val="24"/>
        </w:rPr>
      </w:pPr>
      <w:r>
        <w:rPr>
          <w:rFonts w:ascii="仿宋" w:hAnsi="仿宋" w:eastAsia="仿宋"/>
          <w:sz w:val="24"/>
          <w:szCs w:val="24"/>
        </w:rPr>
      </w:r>
      <w:r/>
    </w:p>
    <w:p>
      <w:pPr>
        <w:ind w:firstLine="1920"/>
        <w:spacing w:line="276" w:lineRule="auto"/>
        <w:rPr>
          <w:rFonts w:ascii="仿宋" w:hAnsi="仿宋" w:eastAsia="仿宋"/>
          <w:sz w:val="24"/>
          <w:szCs w:val="24"/>
        </w:rPr>
      </w:pPr>
      <w:r>
        <w:rPr>
          <w:rFonts w:ascii="仿宋" w:hAnsi="仿宋" w:eastAsia="仿宋"/>
          <w:sz w:val="24"/>
          <w:szCs w:val="24"/>
        </w:rPr>
      </w:r>
      <w:r/>
    </w:p>
    <w:p>
      <w:pPr>
        <w:ind w:firstLine="1920"/>
        <w:spacing w:line="276" w:lineRule="auto"/>
        <w:rPr>
          <w:rFonts w:ascii="仿宋" w:hAnsi="仿宋" w:eastAsia="仿宋"/>
          <w:sz w:val="24"/>
          <w:szCs w:val="24"/>
        </w:rPr>
      </w:pPr>
      <w:r>
        <w:rPr>
          <w:rFonts w:ascii="仿宋" w:hAnsi="仿宋" w:eastAsia="仿宋"/>
          <w:sz w:val="24"/>
          <w:szCs w:val="24"/>
        </w:rPr>
      </w:r>
      <w:r/>
    </w:p>
    <w:p>
      <w:pPr>
        <w:ind w:firstLine="1920"/>
        <w:spacing w:line="276" w:lineRule="auto"/>
        <w:rPr>
          <w:rFonts w:ascii="仿宋" w:hAnsi="仿宋" w:eastAsia="仿宋"/>
          <w:sz w:val="24"/>
          <w:szCs w:val="24"/>
        </w:rPr>
      </w:pPr>
      <w:r>
        <w:rPr>
          <w:rFonts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2882265</wp:posOffset>
                </wp:positionH>
                <wp:positionV relativeFrom="paragraph">
                  <wp:posOffset>193040</wp:posOffset>
                </wp:positionV>
                <wp:extent cx="2524125" cy="2200275"/>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524125" cy="2200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226.9pt;mso-position-horizontal:absolute;mso-position-vertical-relative:text;margin-top:15.2pt;mso-position-vertical:absolute;width:198.8pt;height:173.2pt;mso-wrap-distance-left:9.0pt;mso-wrap-distance-top:0.0pt;mso-wrap-distance-right:9.0pt;mso-wrap-distance-bottom:0.0pt;" stroked="f">
                <v:path textboxrect="0,0,0,0"/>
                <v:imagedata r:id="rId18" o:title=""/>
              </v:shape>
            </w:pict>
          </mc:Fallback>
        </mc:AlternateContent>
      </w:r>
      <w:r>
        <w:rPr>
          <w:rFonts w:hint="eastAsia" w:ascii="仿宋" w:hAnsi="仿宋" w:eastAsia="仿宋"/>
          <w:sz w:val="24"/>
          <w:szCs w:val="24"/>
        </w:rPr>
        <w:t xml:space="preserve">绿篱修剪机                          </w:t>
      </w:r>
      <w:r>
        <w:rPr>
          <w:rFonts w:ascii="仿宋" w:hAnsi="仿宋" w:eastAsia="仿宋"/>
          <w:sz w:val="24"/>
          <w:szCs w:val="24"/>
        </w:rPr>
        <w:t xml:space="preserve">抽</w:t>
      </w:r>
      <w:r>
        <w:rPr>
          <w:rFonts w:hint="eastAsia" w:ascii="仿宋" w:hAnsi="仿宋" w:eastAsia="仿宋"/>
          <w:sz w:val="24"/>
          <w:szCs w:val="24"/>
        </w:rPr>
        <w:t xml:space="preserve">水泵</w:t>
      </w:r>
      <w:r/>
    </w:p>
    <w:p>
      <w:pPr>
        <w:ind w:firstLine="480"/>
        <w:spacing w:line="276" w:lineRule="auto"/>
        <w:rPr>
          <w:rFonts w:ascii="仿宋" w:hAnsi="仿宋" w:eastAsia="仿宋" w:cs="仿宋_GB2312"/>
          <w:bCs/>
          <w:sz w:val="24"/>
          <w:szCs w:val="24"/>
        </w:rPr>
      </w:pPr>
      <w:r>
        <w:rPr>
          <w:rFonts w:ascii="仿宋" w:hAnsi="仿宋" w:eastAsia="仿宋" w:cs="仿宋_GB2312"/>
          <w:bCs/>
          <w:sz w:val="24"/>
          <w:szCs w:val="24"/>
        </w:rPr>
      </w:r>
      <w:r/>
    </w:p>
    <w:p>
      <w:pPr>
        <w:ind w:firstLine="480"/>
        <w:spacing w:line="276" w:lineRule="auto"/>
        <w:rPr>
          <w:rFonts w:ascii="仿宋" w:hAnsi="仿宋" w:eastAsia="仿宋" w:cs="仿宋_GB2312"/>
          <w:bCs/>
          <w:sz w:val="24"/>
          <w:szCs w:val="24"/>
        </w:rPr>
      </w:pPr>
      <w:r>
        <w:rPr>
          <w:rFonts w:ascii="仿宋" w:hAnsi="仿宋" w:eastAsia="仿宋" w:cs="仿宋_GB2312"/>
          <w:bCs/>
          <w:sz w:val="24"/>
          <w:szCs w:val="24"/>
        </w:rPr>
      </w:r>
      <w:r/>
    </w:p>
    <w:p>
      <w:pPr>
        <w:ind w:firstLine="480"/>
        <w:spacing w:line="276" w:lineRule="auto"/>
        <w:rPr>
          <w:rFonts w:ascii="仿宋" w:hAnsi="仿宋" w:eastAsia="仿宋" w:cs="仿宋_GB2312"/>
          <w:bCs/>
          <w:sz w:val="24"/>
          <w:szCs w:val="24"/>
        </w:rPr>
      </w:pPr>
      <w:r>
        <w:rPr>
          <w:rFonts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column">
                  <wp:posOffset>306705</wp:posOffset>
                </wp:positionH>
                <wp:positionV relativeFrom="paragraph">
                  <wp:posOffset>0</wp:posOffset>
                </wp:positionV>
                <wp:extent cx="2114550" cy="1857375"/>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114550" cy="185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56;o:allowoverlap:true;o:allowincell:true;mso-position-horizontal-relative:text;margin-left:24.1pt;mso-position-horizontal:absolute;mso-position-vertical-relative:text;margin-top:0.0pt;mso-position-vertical:absolute;width:166.5pt;height:146.2pt;mso-wrap-distance-left:9.0pt;mso-wrap-distance-top:0.0pt;mso-wrap-distance-right:9.0pt;mso-wrap-distance-bottom:0.0pt;" stroked="f">
                <v:path textboxrect="0,0,0,0"/>
                <v:imagedata r:id="rId19" o:title=""/>
              </v:shape>
            </w:pict>
          </mc:Fallback>
        </mc:AlternateContent>
      </w:r>
      <w:r/>
    </w:p>
    <w:p>
      <w:pPr>
        <w:ind w:firstLine="480"/>
        <w:spacing w:line="276" w:lineRule="auto"/>
        <w:rPr>
          <w:rFonts w:ascii="仿宋" w:hAnsi="仿宋" w:eastAsia="仿宋" w:cs="仿宋_GB2312"/>
          <w:bCs/>
          <w:sz w:val="24"/>
          <w:szCs w:val="24"/>
        </w:rPr>
      </w:pPr>
      <w:r>
        <w:rPr>
          <w:rFonts w:ascii="仿宋" w:hAnsi="仿宋" w:eastAsia="仿宋" w:cs="仿宋_GB2312"/>
          <w:bCs/>
          <w:sz w:val="24"/>
          <w:szCs w:val="24"/>
        </w:rPr>
      </w:r>
      <w:r/>
    </w:p>
    <w:p>
      <w:pPr>
        <w:ind w:firstLine="960"/>
        <w:spacing w:line="276" w:lineRule="auto"/>
        <w:rPr>
          <w:rFonts w:ascii="仿宋" w:hAnsi="仿宋" w:eastAsia="仿宋"/>
          <w:sz w:val="24"/>
          <w:szCs w:val="24"/>
        </w:rPr>
      </w:pPr>
      <w:r>
        <w:rPr>
          <w:rFonts w:ascii="仿宋" w:hAnsi="仿宋" w:eastAsia="仿宋"/>
          <w:sz w:val="24"/>
          <w:szCs w:val="24"/>
        </w:rPr>
        <w:br w:type="page" w:clear="all"/>
      </w:r>
      <w:r>
        <w:rPr>
          <w:rFonts w:hint="eastAsia" w:ascii="仿宋" w:hAnsi="仿宋" w:eastAsia="仿宋"/>
          <w:sz w:val="24"/>
          <w:szCs w:val="24"/>
        </w:rPr>
        <w:t xml:space="preserve">高枝剪                          </w:t>
      </w:r>
      <w:r>
        <w:rPr>
          <w:rFonts w:ascii="仿宋" w:hAnsi="仿宋" w:eastAsia="仿宋"/>
          <w:sz w:val="24"/>
          <w:szCs w:val="24"/>
        </w:rPr>
        <w:t xml:space="preserve">      </w:t>
      </w:r>
      <w:r>
        <w:rPr>
          <w:rFonts w:hint="eastAsia" w:ascii="仿宋" w:hAnsi="仿宋" w:eastAsia="仿宋"/>
          <w:sz w:val="24"/>
          <w:szCs w:val="24"/>
        </w:rPr>
        <w:t xml:space="preserve">电动三轮车</w:t>
      </w:r>
      <w:r/>
    </w:p>
    <w:p>
      <w:pPr>
        <w:spacing w:line="276" w:lineRule="auto"/>
        <w:rPr>
          <w:rFonts w:ascii="仿宋" w:hAnsi="仿宋" w:eastAsia="仿宋"/>
          <w:sz w:val="24"/>
          <w:szCs w:val="24"/>
        </w:rPr>
      </w:pPr>
      <w:r>
        <w:rPr>
          <w:rFonts w:ascii="仿宋" w:hAnsi="仿宋" w:eastAsia="仿宋"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2802890</wp:posOffset>
                </wp:positionH>
                <wp:positionV relativeFrom="paragraph">
                  <wp:posOffset>200660</wp:posOffset>
                </wp:positionV>
                <wp:extent cx="2208530" cy="1513205"/>
                <wp:effectExtent l="0" t="0" r="0" b="0"/>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208530" cy="1513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text;margin-left:220.7pt;mso-position-horizontal:absolute;mso-position-vertical-relative:text;margin-top:15.8pt;mso-position-vertical:absolute;width:173.9pt;height:119.1pt;mso-wrap-distance-left:9.0pt;mso-wrap-distance-top:0.0pt;mso-wrap-distance-right:9.0pt;mso-wrap-distance-bottom:0.0pt;" stroked="f">
                <v:path textboxrect="0,0,0,0"/>
                <w10:wrap type="square"/>
                <v:imagedata r:id="rId20" o:title=""/>
              </v:shape>
            </w:pict>
          </mc:Fallback>
        </mc:AlternateContent>
      </w:r>
      <w:r>
        <w:rPr>
          <w:rFonts w:ascii="仿宋" w:hAnsi="仿宋" w:eastAsia="仿宋"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391795</wp:posOffset>
                </wp:positionH>
                <wp:positionV relativeFrom="paragraph">
                  <wp:posOffset>42545</wp:posOffset>
                </wp:positionV>
                <wp:extent cx="1971675" cy="1478280"/>
                <wp:effectExtent l="0" t="0" r="0" b="0"/>
                <wp:wrapSquare wrapText="bothSides"/>
                <wp:docPr id="8" name="图片 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971675" cy="147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30.8pt;mso-position-horizontal:absolute;mso-position-vertical-relative:text;margin-top:3.3pt;mso-position-vertical:absolute;width:155.2pt;height:116.4pt;mso-wrap-distance-left:9.0pt;mso-wrap-distance-top:0.0pt;mso-wrap-distance-right:9.0pt;mso-wrap-distance-bottom:0.0pt;" stroked="f">
                <v:path textboxrect="0,0,0,0"/>
                <w10:wrap type="square"/>
                <v:imagedata r:id="rId21" o:title=""/>
              </v:shape>
            </w:pict>
          </mc:Fallback>
        </mc:AlternateContent>
      </w:r>
      <w:r/>
    </w:p>
    <w:p>
      <w:pPr>
        <w:ind w:firstLine="840"/>
        <w:spacing w:line="276" w:lineRule="auto"/>
        <w:rPr>
          <w:rFonts w:ascii="仿宋" w:hAnsi="仿宋" w:eastAsia="仿宋"/>
          <w:sz w:val="24"/>
          <w:szCs w:val="24"/>
        </w:rPr>
      </w:pPr>
      <w:r>
        <w:rPr>
          <w:rFonts w:ascii="仿宋" w:hAnsi="仿宋" w:eastAsia="仿宋"/>
          <w:sz w:val="24"/>
          <w:szCs w:val="24"/>
        </w:rPr>
      </w:r>
      <w:r/>
    </w:p>
    <w:p>
      <w:pPr>
        <w:ind w:firstLine="1200"/>
        <w:spacing w:line="276" w:lineRule="auto"/>
        <w:rPr>
          <w:rFonts w:ascii="仿宋" w:hAnsi="仿宋" w:eastAsia="仿宋"/>
          <w:sz w:val="24"/>
          <w:szCs w:val="24"/>
        </w:rPr>
      </w:pPr>
      <w:r>
        <w:rPr>
          <w:rFonts w:hint="eastAsia" w:ascii="仿宋" w:hAnsi="仿宋" w:eastAsia="仿宋"/>
          <w:sz w:val="24"/>
          <w:szCs w:val="24"/>
        </w:rPr>
        <w:t xml:space="preserve">                    </w:t>
      </w:r>
      <w:r/>
    </w:p>
    <w:p>
      <w:pPr>
        <w:spacing w:line="276" w:lineRule="auto"/>
        <w:rPr>
          <w:rFonts w:ascii="仿宋" w:hAnsi="仿宋" w:eastAsia="仿宋"/>
          <w:sz w:val="24"/>
          <w:szCs w:val="24"/>
        </w:rPr>
      </w:pPr>
      <w:r>
        <w:rPr>
          <w:rFonts w:hint="eastAsia" w:ascii="仿宋" w:hAnsi="仿宋" w:eastAsia="仿宋"/>
          <w:sz w:val="24"/>
          <w:szCs w:val="24"/>
        </w:rPr>
        <w:t xml:space="preserve">  </w:t>
      </w:r>
      <w:r/>
    </w:p>
    <w:p>
      <w:pPr>
        <w:ind w:firstLine="1440"/>
        <w:jc w:val="left"/>
        <w:spacing w:line="276" w:lineRule="auto"/>
        <w:tabs>
          <w:tab w:val="right" w:pos="8312" w:leader="none"/>
        </w:tabs>
        <w:rPr>
          <w:rFonts w:ascii="仿宋" w:hAnsi="仿宋" w:eastAsia="仿宋"/>
          <w:sz w:val="24"/>
          <w:szCs w:val="24"/>
        </w:rPr>
      </w:pPr>
      <w:r>
        <w:rPr>
          <w:rFonts w:ascii="仿宋" w:hAnsi="仿宋" w:eastAsia="仿宋"/>
          <w:sz w:val="24"/>
          <w:szCs w:val="24"/>
        </w:rPr>
      </w:r>
      <w:r/>
    </w:p>
    <w:p>
      <w:pPr>
        <w:ind w:firstLine="1440"/>
        <w:jc w:val="left"/>
        <w:spacing w:line="276" w:lineRule="auto"/>
        <w:tabs>
          <w:tab w:val="right" w:pos="8312" w:leader="none"/>
        </w:tabs>
        <w:rPr>
          <w:rFonts w:ascii="仿宋" w:hAnsi="仿宋" w:eastAsia="仿宋"/>
          <w:sz w:val="24"/>
          <w:szCs w:val="24"/>
        </w:rPr>
      </w:pPr>
      <w:r>
        <w:rPr>
          <w:rFonts w:ascii="仿宋" w:hAnsi="仿宋" w:eastAsia="仿宋"/>
          <w:sz w:val="24"/>
          <w:szCs w:val="24"/>
        </w:rPr>
      </w:r>
      <w:r/>
    </w:p>
    <w:p>
      <w:pPr>
        <w:ind w:firstLine="1440"/>
        <w:jc w:val="left"/>
        <w:spacing w:line="276" w:lineRule="auto"/>
        <w:tabs>
          <w:tab w:val="right" w:pos="8312" w:leader="none"/>
        </w:tabs>
        <w:rPr>
          <w:rFonts w:ascii="仿宋" w:hAnsi="仿宋" w:eastAsia="仿宋"/>
          <w:sz w:val="24"/>
          <w:szCs w:val="24"/>
        </w:rPr>
      </w:pPr>
      <w:r>
        <w:rPr>
          <w:rFonts w:ascii="仿宋" w:hAnsi="仿宋" w:eastAsia="仿宋"/>
          <w:sz w:val="24"/>
          <w:szCs w:val="24"/>
        </w:rPr>
      </w:r>
      <w:r/>
    </w:p>
    <w:p>
      <w:pPr>
        <w:ind w:firstLine="1440"/>
        <w:jc w:val="left"/>
        <w:spacing w:line="276" w:lineRule="auto"/>
        <w:tabs>
          <w:tab w:val="right" w:pos="8312" w:leader="none"/>
        </w:tabs>
        <w:rPr>
          <w:rFonts w:ascii="仿宋" w:hAnsi="仿宋" w:eastAsia="仿宋"/>
          <w:sz w:val="24"/>
          <w:szCs w:val="24"/>
        </w:rPr>
      </w:pPr>
      <w:r>
        <w:rPr>
          <w:rFonts w:ascii="仿宋" w:hAnsi="仿宋" w:eastAsia="仿宋"/>
          <w:sz w:val="24"/>
          <w:szCs w:val="24"/>
        </w:rPr>
      </w:r>
      <w:r/>
    </w:p>
    <w:p>
      <w:pPr>
        <w:ind w:firstLine="720"/>
        <w:jc w:val="left"/>
        <w:spacing w:line="276" w:lineRule="auto"/>
        <w:tabs>
          <w:tab w:val="right" w:pos="8312" w:leader="none"/>
        </w:tabs>
        <w:rPr>
          <w:rFonts w:ascii="仿宋" w:hAnsi="仿宋" w:eastAsia="仿宋"/>
          <w:sz w:val="24"/>
          <w:szCs w:val="24"/>
        </w:rPr>
      </w:pPr>
      <w:r>
        <w:rPr>
          <w:rFonts w:ascii="仿宋" w:hAnsi="仿宋" w:eastAsia="仿宋"/>
          <w:sz w:val="24"/>
          <w:szCs w:val="24"/>
        </w:rPr>
      </w:r>
      <w:r/>
    </w:p>
    <w:p>
      <w:pPr>
        <w:ind w:firstLine="960"/>
        <w:jc w:val="left"/>
        <w:spacing w:line="276" w:lineRule="auto"/>
        <w:tabs>
          <w:tab w:val="right" w:pos="8312" w:leader="none"/>
        </w:tabs>
        <w:rPr>
          <w:rFonts w:ascii="仿宋" w:hAnsi="仿宋" w:eastAsia="仿宋"/>
          <w:sz w:val="24"/>
          <w:szCs w:val="24"/>
        </w:rPr>
      </w:pPr>
      <w:r>
        <w:rPr>
          <w:rFonts w:hint="eastAsia" w:ascii="仿宋" w:hAnsi="仿宋" w:eastAsia="仿宋"/>
          <w:sz w:val="24"/>
          <w:szCs w:val="24"/>
        </w:rPr>
        <w:t xml:space="preserve">草坪修剪机</w:t>
      </w:r>
      <w:r>
        <w:rPr>
          <w:rFonts w:ascii="仿宋" w:hAnsi="仿宋" w:eastAsia="仿宋" w:cs="宋体"/>
          <w:sz w:val="24"/>
          <w:szCs w:val="24"/>
        </w:rPr>
        <w:fldChar w:fldCharType="begin"/>
      </w:r>
      <w:r>
        <w:rPr>
          <w:rFonts w:ascii="仿宋" w:hAnsi="仿宋" w:eastAsia="仿宋" w:cs="宋体"/>
          <w:sz w:val="24"/>
          <w:szCs w:val="24"/>
        </w:rPr>
        <w:instrText xml:space="preserve">INCLUDEPICTURE \d "https://gimg2.baidu</w:instrText>
      </w:r>
      <w:r>
        <w:rPr>
          <w:rFonts w:ascii="仿宋" w:hAnsi="仿宋" w:eastAsia="仿宋" w:cs="宋体"/>
          <w:sz w:val="24"/>
          <w:szCs w:val="24"/>
        </w:rPr>
        <w:instrText xml:space="preserve">.com/image_search/src=http://img.alicdn.com/bao/uploaded/i3/59642743/O1CN01a797e91W8KzD1xsL4_!!59642743.jpg&amp;refer=http://img.alicdn.com&amp;app=2002&amp;size=f9999,10000&amp;q=a80&amp;n=0&amp;g=0n&amp;fmt=auto?sec=1692860241&amp;t=906df0bc82eeca94a9f4b9108e3ade14" \* MERGEFORMATINET </w:instrText>
      </w:r>
      <w:r>
        <w:rPr>
          <w:rFonts w:ascii="仿宋" w:hAnsi="仿宋" w:eastAsia="仿宋" w:cs="宋体"/>
          <w:sz w:val="24"/>
          <w:szCs w:val="24"/>
        </w:rPr>
        <w:fldChar w:fldCharType="end"/>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修枝剪</w:t>
      </w:r>
      <w:r/>
    </w:p>
    <w:p>
      <w:pPr>
        <w:spacing w:line="276" w:lineRule="auto"/>
        <w:tabs>
          <w:tab w:val="right" w:pos="8312" w:leader="none"/>
        </w:tabs>
        <w:rPr>
          <w:rFonts w:ascii="仿宋" w:hAnsi="仿宋" w:eastAsia="仿宋" w:cs="宋体"/>
          <w:sz w:val="24"/>
          <w:szCs w:val="24"/>
        </w:rPr>
      </w:pPr>
      <w:r>
        <w:rPr>
          <w:rFonts w:ascii="仿宋" w:hAnsi="仿宋" w:eastAsia="仿宋" w:cs="宋体"/>
          <w:sz w:val="24"/>
          <w:szCs w:val="24"/>
        </w:rPr>
        <w:fldChar w:fldCharType="begin"/>
      </w:r>
      <w:r>
        <w:rPr>
          <w:rFonts w:ascii="仿宋" w:hAnsi="仿宋" w:eastAsia="仿宋" w:cs="宋体"/>
          <w:sz w:val="24"/>
          <w:szCs w:val="24"/>
        </w:rPr>
        <w:instrText xml:space="preserve">INCLUDEPICTURE \d "https://img2.fr-trading.com/0/5_748_1603788_800_800.jpg.webp" \* MERGEFORMATINET </w:instrText>
      </w:r>
      <w:r>
        <w:rPr>
          <w:rFonts w:ascii="仿宋" w:hAnsi="仿宋" w:eastAsia="仿宋" w:cs="宋体"/>
          <w:sz w:val="24"/>
          <w:szCs w:val="24"/>
        </w:rPr>
        <w:fldChar w:fldCharType="separate"/>
      </w:r>
      <w:r>
        <w:rPr>
          <w:rFonts w:ascii="仿宋" w:hAnsi="仿宋" w:eastAsia="仿宋" w:cs="宋体"/>
          <w:sz w:val="24"/>
          <w:szCs w:val="24"/>
        </w:rPr>
        <mc:AlternateContent>
          <mc:Choice Requires="wpg">
            <w:drawing>
              <wp:inline xmlns:wp="http://schemas.openxmlformats.org/drawingml/2006/wordprocessingDrawing" distT="0" distB="0" distL="0" distR="0">
                <wp:extent cx="2279663" cy="2279663"/>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279663" cy="2279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79.5pt;height:179.5pt;mso-wrap-distance-left:0.0pt;mso-wrap-distance-top:0.0pt;mso-wrap-distance-right:0.0pt;mso-wrap-distance-bottom:0.0pt;" stroked="f">
                <v:path textboxrect="0,0,0,0"/>
                <v:imagedata r:id="rId22" o:title=""/>
              </v:shape>
            </w:pict>
          </mc:Fallback>
        </mc:AlternateContent>
      </w:r>
      <w:r>
        <w:rPr>
          <w:rFonts w:ascii="仿宋" w:hAnsi="仿宋" w:eastAsia="仿宋" w:cs="宋体"/>
          <w:sz w:val="24"/>
          <w:szCs w:val="24"/>
        </w:rPr>
        <w:fldChar w:fldCharType="end"/>
      </w:r>
      <w:r>
        <w:rPr>
          <w:rFonts w:ascii="仿宋" w:hAnsi="仿宋" w:eastAsia="仿宋" w:cs="宋体"/>
          <w:sz w:val="24"/>
          <w:szCs w:val="24"/>
        </w:rPr>
        <w:fldChar w:fldCharType="begin"/>
      </w:r>
      <w:r>
        <w:rPr>
          <w:rFonts w:ascii="仿宋" w:hAnsi="仿宋" w:eastAsia="仿宋" w:cs="宋体"/>
          <w:sz w:val="24"/>
          <w:szCs w:val="24"/>
        </w:rPr>
        <w:instrText xml:space="preserve">INCLUDEPICTURE \d "https://gimg2.baidu</w:instrText>
      </w:r>
      <w:r>
        <w:rPr>
          <w:rFonts w:ascii="仿宋" w:hAnsi="仿宋" w:eastAsia="仿宋" w:cs="宋体"/>
          <w:sz w:val="24"/>
          <w:szCs w:val="24"/>
        </w:rPr>
        <w:instrText xml:space="preserve">.com/image_search/src=http://img.alicdn.com/bao/uploaded/i3/59642743/O1CN01a797e91W8KzD1xsL4_!!59642743.jpg&amp;refer=http://img.alicdn.com&amp;app=2002&amp;size=f9999,10000&amp;q=a80&amp;n=0&amp;g=0n&amp;fmt=auto?sec=1692860241&amp;t=906df0bc82eeca94a9f4b9108e3ade14" \* MERGEFORMATINET </w:instrText>
      </w:r>
      <w:r>
        <w:rPr>
          <w:rFonts w:ascii="仿宋" w:hAnsi="仿宋" w:eastAsia="仿宋" w:cs="宋体"/>
          <w:sz w:val="24"/>
          <w:szCs w:val="24"/>
        </w:rPr>
        <w:fldChar w:fldCharType="separate"/>
      </w:r>
      <w:r>
        <w:rPr>
          <w:rFonts w:ascii="仿宋" w:hAnsi="仿宋" w:eastAsia="仿宋" w:cs="宋体"/>
          <w:sz w:val="24"/>
          <w:szCs w:val="24"/>
        </w:rPr>
        <mc:AlternateContent>
          <mc:Choice Requires="wpg">
            <w:drawing>
              <wp:inline xmlns:wp="http://schemas.openxmlformats.org/drawingml/2006/wordprocessingDrawing" distT="0" distB="0" distL="0" distR="0">
                <wp:extent cx="304800" cy="304800"/>
                <wp:effectExtent l="0" t="0" r="0" b="0"/>
                <wp:docPr id="10" name="矩形 10"/>
                <wp:cNvGraphicFramePr/>
                <a:graphic xmlns:a="http://schemas.openxmlformats.org/drawingml/2006/main">
                  <a:graphicData uri="http://schemas.microsoft.com/office/word/2010/wordprocessingShape">
                    <wps:wsp>
                      <wps:cNvPr id="0" name=""/>
                      <wps:cNvSpPr/>
                      <wps:spPr bwMode="auto">
                        <a:xfrm>
                          <a:off x="0" y="0"/>
                          <a:ext cx="304800" cy="304800"/>
                        </a:xfrm>
                        <a:prstGeom prst="rect">
                          <a:avLst/>
                        </a:prstGeom>
                        <a:noFill/>
                        <a:ln>
                          <a:noFill/>
                          <a:round/>
                        </a:ln>
                      </wps:spPr>
                      <wps:txbx>
                        <w:txbxContent>
                          <w:p>
                            <w:r/>
                            <w:r/>
                          </w:p>
                          <w:p>
                            <w:r/>
                            <w:r/>
                          </w:p>
                        </w:txbxContent>
                      </wps:txbx>
                      <wps:bodyPr wrap="square" upright="1"/>
                    </wps:wsp>
                  </a:graphicData>
                </a:graphic>
              </wp:inline>
            </w:drawing>
          </mc:Choice>
          <mc:Fallback>
            <w:pict>
              <v:shape id="shape 9" o:spid="_x0000_s9" o:spt="1" type="#_x0000_t1" style="width:24.0pt;height:24.0pt;mso-wrap-distance-left:0.0pt;mso-wrap-distance-top:0.0pt;mso-wrap-distance-right:0.0pt;mso-wrap-distance-bottom:0.0pt;visibility:visible;" filled="f" stroked="f">
                <v:textbox inset="0,0,0,0">
                  <w:txbxContent>
                    <w:p>
                      <w:r/>
                      <w:r/>
                    </w:p>
                    <w:p>
                      <w:r/>
                      <w:r/>
                    </w:p>
                  </w:txbxContent>
                </v:textbox>
              </v:shape>
            </w:pict>
          </mc:Fallback>
        </mc:AlternateContent>
      </w:r>
      <w:r>
        <w:rPr>
          <w:rFonts w:ascii="仿宋" w:hAnsi="仿宋" w:eastAsia="仿宋" w:cs="宋体"/>
          <w:sz w:val="24"/>
          <w:szCs w:val="24"/>
        </w:rPr>
        <w:fldChar w:fldCharType="end"/>
      </w:r>
      <w:r>
        <w:rPr>
          <w:rFonts w:hint="eastAsia" w:ascii="仿宋" w:hAnsi="仿宋" w:eastAsia="仿宋"/>
          <w:sz w:val="24"/>
          <w:szCs w:val="24"/>
        </w:rPr>
        <w:tab/>
      </w:r>
      <w:r>
        <w:rPr>
          <w:rFonts w:ascii="仿宋" w:hAnsi="仿宋" w:eastAsia="仿宋" w:cs="宋体"/>
          <w:sz w:val="24"/>
          <w:szCs w:val="24"/>
        </w:rPr>
        <w:fldChar w:fldCharType="begin"/>
      </w:r>
      <w:r>
        <w:rPr>
          <w:rFonts w:ascii="仿宋" w:hAnsi="仿宋" w:eastAsia="仿宋" w:cs="宋体"/>
          <w:sz w:val="24"/>
          <w:szCs w:val="24"/>
        </w:rPr>
        <w:instrText xml:space="preserve">INCLUDEPICTURE \d "https://img1.baidu.com/it/u=522054957,3066127769&amp;fm=253&amp;fmt=auto&amp;app=138&amp;f=JPEG?w=500&amp;h=505" \* MERGEFORMATINET </w:instrText>
      </w:r>
      <w:r>
        <w:rPr>
          <w:rFonts w:ascii="仿宋" w:hAnsi="仿宋" w:eastAsia="仿宋" w:cs="宋体"/>
          <w:sz w:val="24"/>
          <w:szCs w:val="24"/>
        </w:rPr>
        <w:fldChar w:fldCharType="separate"/>
      </w:r>
      <w:r>
        <w:rPr>
          <w:rFonts w:ascii="仿宋" w:hAnsi="仿宋" w:eastAsia="仿宋" w:cs="宋体"/>
          <w:sz w:val="24"/>
          <w:szCs w:val="24"/>
        </w:rPr>
        <mc:AlternateContent>
          <mc:Choice Requires="wpg">
            <w:drawing>
              <wp:inline xmlns:wp="http://schemas.openxmlformats.org/drawingml/2006/wordprocessingDrawing" distT="0" distB="0" distL="0" distR="0">
                <wp:extent cx="2315096" cy="2255596"/>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315096" cy="225559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2.3pt;height:177.6pt;mso-wrap-distance-left:0.0pt;mso-wrap-distance-top:0.0pt;mso-wrap-distance-right:0.0pt;mso-wrap-distance-bottom:0.0pt;" stroked="f">
                <v:path textboxrect="0,0,0,0"/>
                <v:imagedata r:id="rId23" o:title=""/>
              </v:shape>
            </w:pict>
          </mc:Fallback>
        </mc:AlternateContent>
      </w:r>
      <w:r>
        <w:rPr>
          <w:rFonts w:ascii="仿宋" w:hAnsi="仿宋" w:eastAsia="仿宋" w:cs="宋体"/>
          <w:sz w:val="24"/>
          <w:szCs w:val="24"/>
        </w:rPr>
        <w:fldChar w:fldCharType="end"/>
      </w:r>
      <w:r/>
    </w:p>
    <w:p>
      <w:pPr>
        <w:spacing w:line="276" w:lineRule="auto"/>
        <w:tabs>
          <w:tab w:val="right" w:pos="8312" w:leader="none"/>
        </w:tabs>
        <w:rPr>
          <w:rFonts w:ascii="仿宋" w:hAnsi="仿宋" w:eastAsia="仿宋" w:cs="宋体"/>
          <w:sz w:val="24"/>
          <w:szCs w:val="24"/>
        </w:rPr>
      </w:pPr>
      <w:r>
        <w:rPr>
          <w:rFonts w:ascii="仿宋" w:hAnsi="仿宋" w:eastAsia="仿宋" w:cs="宋体"/>
          <w:sz w:val="24"/>
          <w:szCs w:val="24"/>
        </w:rPr>
      </w:r>
      <w:r/>
    </w:p>
    <w:p>
      <w:pPr>
        <w:ind w:firstLine="1440"/>
        <w:spacing w:line="276" w:lineRule="auto"/>
        <w:tabs>
          <w:tab w:val="right" w:pos="8312" w:leader="none"/>
        </w:tabs>
        <w:rPr>
          <w:rFonts w:ascii="仿宋" w:hAnsi="仿宋" w:eastAsia="仿宋" w:cs="宋体"/>
          <w:sz w:val="24"/>
          <w:szCs w:val="24"/>
        </w:rPr>
      </w:pPr>
      <w:r>
        <w:rPr>
          <w:rFonts w:hint="eastAsia" w:ascii="仿宋" w:hAnsi="仿宋" w:eastAsia="仿宋" w:cs="宋体"/>
          <w:sz w:val="24"/>
          <w:szCs w:val="24"/>
        </w:rPr>
        <w:t xml:space="preserve">吹扫机 </w:t>
      </w:r>
      <w:r>
        <w:rPr>
          <w:rFonts w:ascii="仿宋" w:hAnsi="仿宋" w:eastAsia="仿宋" w:cs="宋体"/>
          <w:sz w:val="24"/>
          <w:szCs w:val="24"/>
        </w:rPr>
        <w:t xml:space="preserve">                             </w:t>
      </w:r>
      <w:r>
        <w:rPr>
          <w:rFonts w:hint="eastAsia" w:ascii="仿宋" w:hAnsi="仿宋" w:eastAsia="仿宋" w:cs="宋体"/>
          <w:sz w:val="24"/>
          <w:szCs w:val="24"/>
        </w:rPr>
        <w:t xml:space="preserve">座骑式草坪修剪机</w:t>
      </w:r>
      <w:r/>
    </w:p>
    <w:p>
      <w:pPr>
        <w:spacing w:line="276" w:lineRule="auto"/>
        <w:tabs>
          <w:tab w:val="right" w:pos="8312" w:leader="none"/>
        </w:tabs>
        <w:rPr>
          <w:rFonts w:ascii="仿宋" w:hAnsi="仿宋" w:eastAsia="仿宋"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column">
                  <wp:posOffset>2802890</wp:posOffset>
                </wp:positionH>
                <wp:positionV relativeFrom="paragraph">
                  <wp:posOffset>58420</wp:posOffset>
                </wp:positionV>
                <wp:extent cx="3065780" cy="2160270"/>
                <wp:effectExtent l="0" t="0" r="0" b="0"/>
                <wp:wrapNone/>
                <wp:docPr id="12" name="图片 1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3065780" cy="21602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0609655;o:allowoverlap:true;o:allowincell:true;mso-position-horizontal-relative:text;margin-left:220.7pt;mso-position-horizontal:absolute;mso-position-vertical-relative:text;margin-top:4.6pt;mso-position-vertical:absolute;width:241.4pt;height:170.1pt;mso-wrap-distance-left:9.0pt;mso-wrap-distance-top:0.0pt;mso-wrap-distance-right:9.0pt;mso-wrap-distance-bottom:0.0pt;" stroked="f">
                <v:path textboxrect="0,0,0,0"/>
                <v:imagedata r:id="rId24" o:title=""/>
              </v:shape>
            </w:pict>
          </mc:Fallback>
        </mc:AlternateContent>
      </w:r>
      <w:r>
        <w:rPr>
          <w:rFonts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column">
                  <wp:posOffset>3810</wp:posOffset>
                </wp:positionH>
                <wp:positionV relativeFrom="paragraph">
                  <wp:posOffset>114935</wp:posOffset>
                </wp:positionV>
                <wp:extent cx="2409825" cy="1914525"/>
                <wp:effectExtent l="0" t="0" r="0" b="0"/>
                <wp:wrapNone/>
                <wp:docPr id="13" name="图片 1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409825" cy="1914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0609658;o:allowoverlap:true;o:allowincell:true;mso-position-horizontal-relative:text;margin-left:0.3pt;mso-position-horizontal:absolute;mso-position-vertical-relative:text;margin-top:9.0pt;mso-position-vertical:absolute;width:189.8pt;height:150.8pt;mso-wrap-distance-left:9.0pt;mso-wrap-distance-top:0.0pt;mso-wrap-distance-right:9.0pt;mso-wrap-distance-bottom:0.0pt;" stroked="f">
                <v:path textboxrect="0,0,0,0"/>
                <v:imagedata r:id="rId25" o:title=""/>
              </v:shape>
            </w:pict>
          </mc:Fallback>
        </mc:AlternateContent>
      </w:r>
      <w:r/>
    </w:p>
    <w:p>
      <w:pPr>
        <w:spacing w:line="276" w:lineRule="auto"/>
        <w:tabs>
          <w:tab w:val="right" w:pos="8312" w:leader="none"/>
        </w:tabs>
        <w:rPr>
          <w:rFonts w:ascii="仿宋" w:hAnsi="仿宋" w:eastAsia="仿宋"/>
          <w:color w:val="000000"/>
          <w:sz w:val="24"/>
          <w:szCs w:val="24"/>
        </w:rPr>
      </w:pPr>
      <w:r>
        <w:rPr>
          <w:rFonts w:ascii="仿宋" w:hAnsi="仿宋" w:eastAsia="仿宋"/>
          <w:color w:val="000000"/>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hint="eastAsia" w:ascii="仿宋" w:hAnsi="仿宋" w:eastAsia="仿宋" w:cs="宋体"/>
          <w:sz w:val="24"/>
          <w:szCs w:val="24"/>
          <w:highlight w:val="yellow"/>
        </w:rPr>
        <w:t xml:space="preserve">座骑式草坪修剪机参数：</w:t>
      </w:r>
      <w:r>
        <w:rPr>
          <w:rFonts w:hint="eastAsia" w:ascii="仿宋" w:hAnsi="仿宋" w:eastAsia="仿宋"/>
          <w:sz w:val="24"/>
          <w:szCs w:val="24"/>
          <w:highlight w:val="yellow"/>
        </w:rPr>
        <w:t xml:space="preserve">排量:725/803cc</w:t>
      </w:r>
      <w:r>
        <w:rPr>
          <w:rFonts w:ascii="仿宋" w:hAnsi="仿宋" w:eastAsia="仿宋"/>
          <w:sz w:val="24"/>
          <w:szCs w:val="24"/>
          <w:highlight w:val="yellow"/>
        </w:rPr>
        <w:t xml:space="preserve">、</w:t>
      </w:r>
      <w:r>
        <w:rPr>
          <w:rFonts w:hint="eastAsia" w:ascii="仿宋" w:hAnsi="仿宋" w:eastAsia="仿宋"/>
          <w:sz w:val="24"/>
          <w:szCs w:val="24"/>
          <w:highlight w:val="yellow"/>
        </w:rPr>
        <w:t xml:space="preserve">驱动方式:液压驱动、切割宽度:＞10</w:t>
      </w:r>
      <w:r>
        <w:rPr>
          <w:rFonts w:ascii="仿宋" w:hAnsi="仿宋" w:eastAsia="仿宋"/>
          <w:sz w:val="24"/>
          <w:szCs w:val="24"/>
          <w:highlight w:val="yellow"/>
        </w:rPr>
        <w:t xml:space="preserve">0</w:t>
      </w:r>
      <w:r>
        <w:rPr>
          <w:rFonts w:hint="eastAsia" w:ascii="仿宋" w:hAnsi="仿宋" w:eastAsia="仿宋"/>
          <w:sz w:val="24"/>
          <w:szCs w:val="24"/>
          <w:highlight w:val="yellow"/>
        </w:rPr>
        <w:t xml:space="preserve">mm、切割高度＞</w:t>
      </w:r>
      <w:r>
        <w:rPr>
          <w:rFonts w:ascii="仿宋" w:hAnsi="仿宋" w:eastAsia="仿宋"/>
          <w:sz w:val="24"/>
          <w:szCs w:val="24"/>
          <w:highlight w:val="yellow"/>
        </w:rPr>
        <w:t xml:space="preserve">25mm</w:t>
      </w:r>
      <w:r>
        <w:rPr>
          <w:rFonts w:hint="eastAsia" w:ascii="仿宋" w:hAnsi="仿宋" w:eastAsia="仿宋"/>
          <w:sz w:val="24"/>
          <w:szCs w:val="24"/>
          <w:highlight w:val="yellow"/>
        </w:rPr>
        <w:t xml:space="preserve">、整油箱容量:10L</w:t>
      </w:r>
      <w:r>
        <w:rPr>
          <w:rFonts w:ascii="仿宋" w:hAnsi="仿宋" w:eastAsia="仿宋"/>
          <w:sz w:val="24"/>
          <w:szCs w:val="24"/>
          <w:highlight w:val="yellow"/>
        </w:rPr>
        <w:t xml:space="preserve">、</w:t>
      </w:r>
      <w:r>
        <w:rPr>
          <w:rFonts w:hint="eastAsia" w:ascii="仿宋" w:hAnsi="仿宋" w:eastAsia="仿宋"/>
          <w:sz w:val="24"/>
          <w:szCs w:val="24"/>
          <w:highlight w:val="yellow"/>
        </w:rPr>
        <w:t xml:space="preserve">整机净重:275kg。</w:t>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sectPr>
          <w:footerReference w:type="default" r:id="rId10"/>
          <w:footerReference w:type="first" r:id="rId11"/>
          <w:footnotePr/>
          <w:endnotePr/>
          <w:type w:val="continuous"/>
          <w:pgSz w:w="11906" w:h="16838" w:orient="portrait"/>
          <w:pgMar w:top="1440" w:right="1080" w:bottom="1440" w:left="1080" w:header="851" w:footer="992" w:gutter="0"/>
          <w:cols w:num="1" w:sep="0" w:space="720" w:equalWidth="1"/>
          <w:docGrid w:linePitch="360"/>
        </w:sectPr>
      </w:pPr>
      <w:r>
        <w:rPr>
          <w:rFonts w:hint="eastAsia" w:ascii="仿宋" w:hAnsi="仿宋" w:eastAsia="仿宋"/>
          <w:sz w:val="24"/>
          <w:szCs w:val="24"/>
        </w:rPr>
        <w:br w:type="page" w:clear="all"/>
      </w:r>
      <w:r/>
    </w:p>
    <w:tbl>
      <w:tblPr>
        <w:tblW w:w="0" w:type="auto"/>
        <w:jc w:val="center"/>
        <w:tblLayout w:type="fixed"/>
        <w:tblLook w:val="04A0" w:firstRow="1" w:lastRow="0" w:firstColumn="1" w:lastColumn="0" w:noHBand="0" w:noVBand="1"/>
      </w:tblPr>
      <w:tblGrid>
        <w:gridCol w:w="524"/>
        <w:gridCol w:w="529"/>
        <w:gridCol w:w="9857"/>
        <w:gridCol w:w="1489"/>
      </w:tblGrid>
      <w:tr>
        <w:trPr>
          <w:jc w:val="center"/>
          <w:trHeight w:val="480"/>
        </w:trPr>
        <w:tc>
          <w:tcPr>
            <w:gridSpan w:val="4"/>
            <w:tcBorders>
              <w:top w:val="none" w:color="000000" w:sz="4" w:space="0"/>
              <w:left w:val="none" w:color="000000" w:sz="4" w:space="0"/>
              <w:bottom w:val="none" w:color="000000" w:sz="4" w:space="0"/>
              <w:right w:val="none" w:color="000000" w:sz="4" w:space="0"/>
            </w:tcBorders>
            <w:tcW w:w="12399" w:type="dxa"/>
            <w:vAlign w:val="center"/>
            <w:textDirection w:val="lrTb"/>
            <w:noWrap/>
          </w:tcPr>
          <w:p>
            <w:pPr>
              <w:spacing w:line="276" w:lineRule="auto"/>
              <w:widowControl/>
              <w:rPr>
                <w:rFonts w:ascii="仿宋" w:hAnsi="仿宋" w:eastAsia="仿宋" w:cs="方正小标宋_GBK"/>
                <w:color w:val="000000"/>
                <w:sz w:val="24"/>
                <w:szCs w:val="24"/>
              </w:rPr>
            </w:pPr>
            <w:r>
              <w:rPr>
                <w:rFonts w:hint="eastAsia" w:ascii="仿宋" w:hAnsi="仿宋" w:eastAsia="仿宋" w:cs="方正小标宋_GBK"/>
                <w:color w:val="000000"/>
                <w:sz w:val="24"/>
                <w:szCs w:val="24"/>
                <w:lang w:bidi="ar"/>
              </w:rPr>
              <w:t xml:space="preserve">附件四</w:t>
            </w:r>
            <w:r>
              <w:rPr>
                <w:rFonts w:ascii="仿宋" w:hAnsi="仿宋" w:eastAsia="仿宋" w:cs="方正小标宋_GBK"/>
                <w:color w:val="000000"/>
                <w:sz w:val="24"/>
                <w:szCs w:val="24"/>
                <w:lang w:bidi="ar"/>
              </w:rPr>
              <w:t xml:space="preserve">                   苏州宿迁工业园区园林绿化养护工程考核评分细则</w:t>
            </w:r>
            <w:r/>
          </w:p>
        </w:tc>
      </w:tr>
      <w:tr>
        <w:trPr>
          <w:jc w:val="center"/>
          <w:trHeight w:val="405"/>
        </w:trPr>
        <w:tc>
          <w:tcPr>
            <w:gridSpan w:val="4"/>
            <w:tcBorders>
              <w:top w:val="none" w:color="000000" w:sz="4" w:space="0"/>
              <w:left w:val="none" w:color="000000" w:sz="4" w:space="0"/>
              <w:bottom w:val="none" w:color="000000" w:sz="4" w:space="0"/>
              <w:right w:val="none" w:color="000000" w:sz="4" w:space="0"/>
            </w:tcBorders>
            <w:tcW w:w="12399" w:type="dxa"/>
            <w:vAlign w:val="center"/>
            <w:textDirection w:val="lrTb"/>
            <w:noWrap w:val="false"/>
          </w:tcPr>
          <w:p>
            <w:pPr>
              <w:jc w:val="left"/>
              <w:spacing w:line="276" w:lineRule="auto"/>
              <w:widowControl/>
              <w:rPr>
                <w:rFonts w:ascii="仿宋" w:hAnsi="仿宋" w:eastAsia="仿宋" w:cs="仿宋"/>
                <w:color w:val="000000"/>
                <w:sz w:val="24"/>
                <w:szCs w:val="24"/>
              </w:rPr>
            </w:pPr>
            <w:r>
              <w:rPr>
                <w:rFonts w:ascii="仿宋" w:hAnsi="仿宋" w:eastAsia="仿宋"/>
                <w:color w:val="000000"/>
                <w:sz w:val="24"/>
                <w:szCs w:val="24"/>
                <w:lang w:bidi="ar"/>
              </w:rPr>
              <w:t xml:space="preserve">  承包单位：</w:t>
            </w:r>
            <w:r>
              <w:rPr>
                <w:rFonts w:ascii="仿宋" w:hAnsi="仿宋" w:eastAsia="仿宋" w:cs="仿宋"/>
                <w:color w:val="000000"/>
                <w:sz w:val="24"/>
                <w:szCs w:val="24"/>
                <w:u w:val="single"/>
                <w:lang w:bidi="ar"/>
              </w:rPr>
              <w:t xml:space="preserve">                    </w:t>
            </w:r>
            <w:r>
              <w:rPr>
                <w:rFonts w:ascii="仿宋" w:hAnsi="仿宋" w:eastAsia="仿宋"/>
                <w:color w:val="000000"/>
                <w:sz w:val="24"/>
                <w:szCs w:val="24"/>
                <w:lang w:bidi="ar"/>
              </w:rPr>
              <w:t xml:space="preserve">                                     日期：</w:t>
            </w:r>
            <w:r>
              <w:rPr>
                <w:rFonts w:ascii="仿宋" w:hAnsi="仿宋" w:eastAsia="仿宋" w:cs="仿宋"/>
                <w:color w:val="000000"/>
                <w:sz w:val="24"/>
                <w:szCs w:val="24"/>
                <w:u w:val="single"/>
                <w:lang w:bidi="ar"/>
              </w:rPr>
              <w:t xml:space="preserve">      </w:t>
            </w:r>
            <w:r>
              <w:rPr>
                <w:rFonts w:ascii="仿宋" w:hAnsi="仿宋" w:eastAsia="仿宋"/>
                <w:color w:val="000000"/>
                <w:sz w:val="24"/>
                <w:szCs w:val="24"/>
                <w:lang w:bidi="ar"/>
              </w:rPr>
              <w:t xml:space="preserve">年</w:t>
            </w:r>
            <w:r>
              <w:rPr>
                <w:rFonts w:ascii="仿宋" w:hAnsi="仿宋" w:eastAsia="仿宋" w:cs="仿宋"/>
                <w:color w:val="000000"/>
                <w:sz w:val="24"/>
                <w:szCs w:val="24"/>
                <w:u w:val="single"/>
                <w:lang w:bidi="ar"/>
              </w:rPr>
              <w:t xml:space="preserve">     </w:t>
            </w:r>
            <w:r>
              <w:rPr>
                <w:rFonts w:ascii="仿宋" w:hAnsi="仿宋" w:eastAsia="仿宋"/>
                <w:color w:val="000000"/>
                <w:sz w:val="24"/>
                <w:szCs w:val="24"/>
                <w:lang w:bidi="ar"/>
              </w:rPr>
              <w:t xml:space="preserve">月</w:t>
            </w:r>
            <w:r>
              <w:rPr>
                <w:rFonts w:ascii="仿宋" w:hAnsi="仿宋" w:eastAsia="仿宋" w:cs="仿宋"/>
                <w:color w:val="000000"/>
                <w:sz w:val="24"/>
                <w:szCs w:val="24"/>
                <w:u w:val="single"/>
                <w:lang w:bidi="ar"/>
              </w:rPr>
              <w:t xml:space="preserve">      </w:t>
            </w:r>
            <w:r>
              <w:rPr>
                <w:rFonts w:ascii="仿宋" w:hAnsi="仿宋" w:eastAsia="仿宋"/>
                <w:color w:val="000000"/>
                <w:sz w:val="24"/>
                <w:szCs w:val="24"/>
                <w:lang w:bidi="ar"/>
              </w:rPr>
              <w:t xml:space="preserve">日             </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widowControl/>
              <w:rPr>
                <w:rFonts w:ascii="仿宋" w:hAnsi="仿宋" w:eastAsia="仿宋" w:cs="方正小标宋_GBK"/>
                <w:color w:val="000000"/>
                <w:sz w:val="24"/>
                <w:szCs w:val="24"/>
              </w:rPr>
            </w:pPr>
            <w:r>
              <w:rPr>
                <w:rFonts w:ascii="仿宋" w:hAnsi="仿宋" w:eastAsia="仿宋" w:cs="方正小标宋_GBK"/>
                <w:color w:val="000000"/>
                <w:sz w:val="24"/>
                <w:szCs w:val="24"/>
                <w:lang w:bidi="ar"/>
              </w:rPr>
              <w:t xml:space="preserve">扣分</w:t>
            </w:r>
            <w:r/>
          </w:p>
        </w:tc>
      </w:tr>
      <w:tr>
        <w:trPr>
          <w:cantSplit/>
          <w:jc w:val="center"/>
          <w:trHeight w:val="221"/>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人员设备</w:t>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项目经理或技术负责人未经批准擅自离岗，扣10分/次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巡查人数少于合同及招标文件要求，少一人扣1分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作业人员未按要求统一着装、佩戴安全防护措施，扣1分/人·次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合同要求配备的水车、登高车等设备擅自离开园区，扣5分/次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日常巡查</w:t>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巡视人员未按规定进行巡视或巡视不到位，视情节轻重扣1-5分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2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巡查中未能及时发现树木倒伏、断枝、苗木偷盗现象，扣2分/处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巡视记录不全或未记录，扣1分/次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巡视中未能及时发现和处理树木倒伏、断枝等涉及行车或行走安全事宜，扣2分/处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巡视中未能及时发现无证开挖等破坏绿化苗木行为，扣1分/次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巡视中未能及时发现、报告涉及人身安全的重大隐患，扣5分/次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管养质量</w:t>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不及时进行修剪，形成萌芽、弱枝、病枝、交叉枝、折损枝等较多的；修剪后枝条清理不干净，修剪时存在违规操作的，扣1分/处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7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生长季节未对藤本植物进行翻蔓，清除枯枝，疏除老弱藤蔓，固定盘扎的，扣1分/处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末按要求修剪，新梢生长超过 10cm 时未及时修剪；修剪时绿篱、色块互相间衔接不整齐、平顺、圆润和过度修剪，且影响美观的，扣1分/处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1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草坪生长高度超过规定要求，修剪不及时，不平整，有草根裸露斑秃现象，且影响景观效果；冬季暖季型草坪枯黄期，未进行冷季型草籽复播，扣2分/处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7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杂草清除不及时，草坪上明显有杂草、杂物，绿化带杂草高出地被、绿篱、色块内5cm；绿化带5㎡内有明显杂草，影响景观效果的，扣1分/处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52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每年未定期对乔木根部松土，对埋土过深，根系裸露的及时扒土、填土、树穴修复的，扣1分/处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未按要求定期对草坪、地被进行切边，切边不符合标准的，扣1分/处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施肥季节施肥次数、数量未按要求实施；未保留施肥记录及影像资料；肥料出、入库未登记的，扣2分/处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浇水季节未按要求定期浇水；养护期间造成2株以上乔灌木大面积死亡；绿篱、地被、色块造成1㎡以上大面积死亡，扣3分/处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干旱季节不及时抗旱保苗，造成苗木严重缺水，叶片枯萎、死苗的每株1分，扣1分/株</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浇水造成路面严重污染未及时清理，浇水时间、浇水方式未按导则要求操作的，扣1分/处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发生药害事故，草坪、地被、色块整片累计1㎡以上发生病虫害，扣3分/处。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食叶害虫、蛀杆害虫危害植物明显，存在可见被害植株，视情节扣1-5分/株</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冬季未对树干进行涂白，上端口不整齐，树根部周围被涂白剂污染，且质量不达标的；未对树木进行防寒、包裹，防寒措施不符合要求的，扣1分/处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未及时清除树体上钉钉子、绕铁丝、拴挂杂物；支撑损坏未及时拆除、修复，视情节扣1-5分/处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死亡苗木未清除，清除时根部未一起挖除，树坑未及时填平的；适宜季节未实施补植，补植规格超出容许范围内的，扣1分/处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91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未按要求做好日常巡查，发现问题未及时处理；苗木破坏未及时发现造成损失的；刮风倒伏树木未及时扶正，培土、浇水和搭支架；绿化开口移植苗木未能及时发现、上报，做好日常记录，视情节扣1-5分/次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绿地内有落叶、农作物及其它垃圾堆积未及时处理的扣1分/处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养护作业时拔除的杂草、修剪后的枯枝未及时清理；绿化垃圾随意乱倒发现一处。范围内垃圾未及时清理的，视情节扣1-5分/处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55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安全文明施工</w:t>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承包人未按要求建立项目安全生产管理、应急预案及应急演练、培训教育等制度，扣2-10分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55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承包人未按规定开展培训教育、应急演练等，或者记录不全的，扣2分/次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55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养护过程中未采取文明施工、环保措施或采取措施不到位。如现场布置、路面污染、降尘降噪等，视情节轻重扣1-5分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55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施工现场未设置安全警示标识，扣5分/次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55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绿化养护工人喷施农药未做好安全防护，作业过程中未做安全安全措施，导致人身伤害财产损失，扣5分/次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施工区域指示、警示、施工安全标志不健全、不规范，视情节扣1-10分/次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施工现场布置不合理；材料、设备堆放不整齐，扣1分/次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施工造成市政道路污染，扣1分/处，并清理干净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2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施工结束后未及时清理残枝、垃圾等，扣2分/处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车辆设备未按规定保养或保养记录不全，扣2分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车辆未按要求张贴或喷涂标识或者标识脱落、破损未及时更新的；作业车辆未按要求张贴警示标贴或警示标贴脱落、破损未及时更新的，扣1分/辆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养护过程中发现重大安全隐患应及时书面上报，未上报的扣5分/次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其他</w:t>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管养单位对养护任务响应不及时，扣2分/次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无正当原因导致管养工期延误并无书面汇报，扣1分/天</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未按要求报送计划、总结等材料或材料不符合要求，扣2分/次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对上月通报问题未及时整改且无书面汇报，扣5分/次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绿化苗木补植过程中存在偷工减料行为，扣5分/次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对雨雪灾害等恶劣天气、重大活动保障、应急处置事件保障不利，扣5分/次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因承包人原因发生有责投诉、或遭新闻媒体曝光，扣5分/次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同一地点连续两次发现同一问题，未整改或整改不到位，加倍扣分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cantSplit/>
          <w:jc w:val="center"/>
          <w:trHeight w:val="465"/>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spacing w:line="276" w:lineRule="auto"/>
              <w:widowControl/>
              <w:rPr>
                <w:rFonts w:ascii="仿宋" w:hAnsi="仿宋" w:eastAsia="仿宋" w:cs="仿宋"/>
                <w:sz w:val="24"/>
                <w:szCs w:val="24"/>
              </w:rPr>
            </w:pPr>
            <w:r>
              <w:rPr>
                <w:rFonts w:hint="eastAsia" w:ascii="仿宋" w:hAnsi="仿宋" w:eastAsia="仿宋" w:cs="仿宋"/>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spacing w:line="276" w:lineRule="auto"/>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857" w:type="dxa"/>
            <w:vAlign w:val="center"/>
            <w:textDirection w:val="lrTb"/>
            <w:noWrap/>
          </w:tcPr>
          <w:p>
            <w:pPr>
              <w:jc w:val="center"/>
              <w:spacing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其他：</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348"/>
        </w:trPr>
        <w:tc>
          <w:tcPr>
            <w:tcBorders>
              <w:top w:val="none" w:color="000000" w:sz="4" w:space="0"/>
              <w:left w:val="none" w:color="000000" w:sz="4" w:space="0"/>
              <w:bottom w:val="none" w:color="000000" w:sz="4" w:space="0"/>
              <w:right w:val="none" w:color="000000" w:sz="4" w:space="0"/>
            </w:tcBorders>
            <w:tcW w:w="524" w:type="dxa"/>
            <w:vAlign w:val="center"/>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529" w:type="dxa"/>
            <w:vAlign w:val="center"/>
            <w:textDirection w:val="lrTb"/>
            <w:noWrap w:val="false"/>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9857"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1489" w:type="dxa"/>
            <w:vAlign w:val="center"/>
            <w:textDirection w:val="lrTb"/>
            <w:noWrap/>
          </w:tcPr>
          <w:p>
            <w:pPr>
              <w:jc w:val="center"/>
              <w:spacing w:line="276" w:lineRule="auto"/>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348"/>
        </w:trPr>
        <w:tc>
          <w:tcPr>
            <w:gridSpan w:val="4"/>
            <w:tcBorders>
              <w:top w:val="none" w:color="000000" w:sz="4" w:space="0"/>
              <w:left w:val="none" w:color="000000" w:sz="4" w:space="0"/>
              <w:bottom w:val="none" w:color="000000" w:sz="4" w:space="0"/>
              <w:right w:val="none" w:color="000000" w:sz="4" w:space="0"/>
            </w:tcBorders>
            <w:tcW w:w="12399" w:type="dxa"/>
            <w:vAlign w:val="center"/>
            <w:textDirection w:val="lrTb"/>
            <w:noWrap w:val="false"/>
          </w:tcPr>
          <w:p>
            <w:pPr>
              <w:jc w:val="left"/>
              <w:spacing w:line="276" w:lineRule="auto"/>
              <w:widowControl/>
              <w:rPr>
                <w:rFonts w:ascii="仿宋" w:hAnsi="仿宋" w:eastAsia="仿宋" w:cs="仿宋"/>
                <w:color w:val="000000"/>
                <w:sz w:val="24"/>
                <w:szCs w:val="24"/>
              </w:rPr>
            </w:pPr>
            <w:r>
              <w:rPr>
                <w:rFonts w:ascii="仿宋" w:hAnsi="仿宋" w:eastAsia="仿宋" w:cs="仿宋"/>
                <w:color w:val="000000"/>
                <w:sz w:val="24"/>
                <w:szCs w:val="24"/>
                <w:lang w:bidi="ar"/>
              </w:rPr>
              <w:t xml:space="preserve">    考核人：</w:t>
            </w:r>
            <w:r>
              <w:rPr>
                <w:rFonts w:ascii="仿宋" w:hAnsi="仿宋" w:eastAsia="仿宋" w:cs="仿宋"/>
                <w:color w:val="000000"/>
                <w:sz w:val="24"/>
                <w:szCs w:val="24"/>
                <w:u w:val="single"/>
                <w:lang w:bidi="ar"/>
              </w:rPr>
              <w:t xml:space="preserve">           </w:t>
            </w:r>
            <w:r>
              <w:rPr>
                <w:rFonts w:ascii="仿宋" w:hAnsi="仿宋" w:eastAsia="仿宋" w:cs="仿宋"/>
                <w:color w:val="000000"/>
                <w:sz w:val="24"/>
                <w:szCs w:val="24"/>
                <w:lang w:bidi="ar"/>
              </w:rPr>
              <w:t xml:space="preserve">                       项目负责人：</w:t>
            </w:r>
            <w:r>
              <w:rPr>
                <w:rFonts w:ascii="仿宋" w:hAnsi="仿宋" w:eastAsia="仿宋" w:cs="仿宋"/>
                <w:color w:val="000000"/>
                <w:sz w:val="24"/>
                <w:szCs w:val="24"/>
                <w:u w:val="single"/>
                <w:lang w:bidi="ar"/>
              </w:rPr>
              <w:t xml:space="preserve">             </w:t>
            </w:r>
            <w:r/>
          </w:p>
        </w:tc>
      </w:tr>
    </w:tbl>
    <w:p>
      <w:pPr>
        <w:spacing w:line="276" w:lineRule="auto"/>
        <w:rPr>
          <w:rFonts w:ascii="仿宋" w:hAnsi="仿宋" w:eastAsia="仿宋"/>
          <w:sz w:val="24"/>
          <w:szCs w:val="24"/>
        </w:rPr>
      </w:pPr>
      <w:r>
        <w:rPr>
          <w:rFonts w:ascii="仿宋" w:hAnsi="仿宋" w:eastAsia="仿宋"/>
          <w:sz w:val="24"/>
          <w:szCs w:val="24"/>
        </w:rPr>
      </w:r>
      <w:r/>
    </w:p>
    <w:p>
      <w:pPr>
        <w:pStyle w:val="747"/>
        <w:spacing w:line="276" w:lineRule="auto"/>
        <w:rPr>
          <w:rFonts w:ascii="仿宋" w:hAnsi="仿宋" w:eastAsia="仿宋"/>
          <w:bCs/>
          <w:sz w:val="24"/>
          <w:szCs w:val="24"/>
        </w:rPr>
        <w:sectPr>
          <w:headerReference w:type="default" r:id="rId9"/>
          <w:footerReference w:type="even" r:id="rId12"/>
          <w:footnotePr/>
          <w:endnotePr/>
          <w:type w:val="nextPage"/>
          <w:pgSz w:w="16838" w:h="11906" w:orient="landscape"/>
          <w:pgMar w:top="1440" w:right="1080" w:bottom="1440" w:left="1080" w:header="851" w:footer="907" w:gutter="0"/>
          <w:cols w:num="1" w:sep="0" w:space="720" w:equalWidth="1"/>
          <w:docGrid w:linePitch="360"/>
          <w:titlePg/>
        </w:sectPr>
      </w:pPr>
      <w:r>
        <w:rPr>
          <w:rFonts w:ascii="仿宋" w:hAnsi="仿宋" w:eastAsia="仿宋"/>
          <w:bCs/>
          <w:sz w:val="24"/>
          <w:szCs w:val="24"/>
        </w:rPr>
      </w:r>
      <w:r/>
    </w:p>
    <w:p>
      <w:pPr>
        <w:pStyle w:val="747"/>
        <w:spacing w:line="360" w:lineRule="auto"/>
        <w:rPr>
          <w:rFonts w:ascii="黑体" w:hAnsi="黑体" w:eastAsia="黑体"/>
          <w:sz w:val="44"/>
          <w:szCs w:val="44"/>
        </w:rPr>
      </w:pPr>
      <w:r/>
      <w:bookmarkStart w:id="231" w:name="_Toc162865673"/>
      <w:r>
        <w:rPr>
          <w:rFonts w:hint="eastAsia" w:ascii="黑体" w:hAnsi="黑体" w:eastAsia="黑体"/>
          <w:sz w:val="44"/>
          <w:szCs w:val="44"/>
        </w:rPr>
        <w:t xml:space="preserve">第五章</w:t>
      </w:r>
      <w:r>
        <w:rPr>
          <w:rFonts w:ascii="黑体" w:hAnsi="黑体" w:eastAsia="黑体"/>
          <w:sz w:val="44"/>
          <w:szCs w:val="44"/>
        </w:rPr>
        <w:t xml:space="preserve">  </w:t>
      </w:r>
      <w:r>
        <w:rPr>
          <w:rFonts w:hint="eastAsia" w:ascii="黑体" w:hAnsi="黑体" w:eastAsia="黑体"/>
          <w:sz w:val="44"/>
          <w:szCs w:val="44"/>
        </w:rPr>
        <w:t xml:space="preserve">评标方法与评标标准</w:t>
      </w:r>
      <w:bookmarkEnd w:id="231"/>
      <w:r/>
      <w:r/>
    </w:p>
    <w:p>
      <w:pPr>
        <w:spacing w:line="276" w:lineRule="auto"/>
        <w:rPr>
          <w:rFonts w:ascii="仿宋" w:hAnsi="仿宋" w:eastAsia="仿宋"/>
          <w:sz w:val="24"/>
          <w:szCs w:val="24"/>
        </w:rPr>
      </w:pPr>
      <w:r>
        <w:rPr>
          <w:rFonts w:hint="eastAsia" w:ascii="仿宋" w:hAnsi="仿宋" w:eastAsia="仿宋"/>
          <w:b/>
          <w:sz w:val="24"/>
          <w:szCs w:val="24"/>
          <w:highlight w:val="white"/>
        </w:rPr>
        <w:t xml:space="preserve">一、资格审查。</w:t>
      </w:r>
      <w:r>
        <w:rPr>
          <w:rFonts w:hint="eastAsia" w:ascii="仿宋" w:hAnsi="仿宋" w:eastAsia="仿宋"/>
          <w:sz w:val="24"/>
          <w:szCs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不接受联合体投标</w:t>
            </w:r>
            <w:r/>
          </w:p>
        </w:tc>
      </w:tr>
    </w:tbl>
    <w:p>
      <w:pPr>
        <w:spacing w:line="276" w:lineRule="auto"/>
        <w:rPr>
          <w:rFonts w:ascii="仿宋" w:hAnsi="仿宋" w:eastAsia="仿宋"/>
          <w:sz w:val="24"/>
          <w:szCs w:val="24"/>
        </w:rPr>
      </w:pPr>
      <w:r>
        <w:rPr>
          <w:rFonts w:hint="eastAsia" w:ascii="仿宋" w:hAnsi="仿宋" w:eastAsia="仿宋"/>
          <w:b/>
          <w:sz w:val="24"/>
          <w:szCs w:val="24"/>
          <w:highlight w:val="white"/>
        </w:rPr>
        <w:t xml:space="preserve">二、符合性审查。</w:t>
      </w:r>
      <w:r>
        <w:rPr>
          <w:rFonts w:hint="eastAsia" w:ascii="仿宋" w:hAnsi="仿宋" w:eastAsia="仿宋"/>
          <w:sz w:val="24"/>
          <w:szCs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71"/>
        <w:gridCol w:w="4875"/>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bl>
    <w:p>
      <w:pPr>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三、评分办法—综合评分法</w:t>
      </w:r>
      <w:r/>
    </w:p>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（一）评标办法：</w:t>
      </w:r>
      <w:r>
        <w:rPr>
          <w:rFonts w:hint="eastAsia" w:ascii="仿宋" w:hAnsi="仿宋" w:eastAsia="仿宋"/>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综合评分保留至小数点后两位。 </w:t>
      </w:r>
      <w:r/>
    </w:p>
    <w:p>
      <w:pPr>
        <w:ind w:firstLine="241"/>
        <w:jc w:val="left"/>
        <w:spacing w:line="276" w:lineRule="auto"/>
        <w:rPr>
          <w:rFonts w:ascii="仿宋" w:hAnsi="仿宋" w:eastAsia="仿宋"/>
          <w:sz w:val="24"/>
          <w:szCs w:val="24"/>
        </w:rPr>
      </w:pPr>
      <w:r>
        <w:rPr>
          <w:rFonts w:hint="eastAsia" w:ascii="仿宋" w:hAnsi="仿宋" w:eastAsia="仿宋"/>
          <w:b/>
          <w:sz w:val="24"/>
          <w:szCs w:val="24"/>
          <w:highlight w:val="white"/>
        </w:rPr>
        <w:t xml:space="preserve">（二）详细评审。</w:t>
      </w:r>
      <w:r>
        <w:rPr>
          <w:rFonts w:hint="eastAsia" w:ascii="仿宋" w:hAnsi="仿宋" w:eastAsia="仿宋"/>
          <w:sz w:val="24"/>
          <w:szCs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972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4"/>
        <w:gridCol w:w="770"/>
        <w:gridCol w:w="864"/>
        <w:gridCol w:w="6871"/>
      </w:tblGrid>
      <w:tr>
        <w:trPr>
          <w:trHeight w:val="207"/>
        </w:trPr>
        <w:tc>
          <w:tcPr>
            <w:gridSpan w:val="2"/>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994" w:type="dxa"/>
            <w:vAlign w:val="center"/>
            <w:textDirection w:val="lrTb"/>
            <w:noWrap w:val="false"/>
          </w:tcPr>
          <w:p>
            <w:pPr>
              <w:jc w:val="center"/>
              <w:spacing w:line="276" w:lineRule="auto"/>
              <w:rPr>
                <w:rFonts w:ascii="仿宋" w:hAnsi="仿宋" w:eastAsia="仿宋" w:cs="宋体"/>
                <w:color w:val="000000"/>
                <w:sz w:val="24"/>
                <w:szCs w:val="24"/>
              </w:rPr>
            </w:pPr>
            <w:r/>
            <w:bookmarkStart w:id="232" w:name="EBe0cfd1035ea44f689f97db50fccddc8b"/>
            <w:r>
              <w:rPr>
                <w:rFonts w:hint="eastAsia" w:ascii="仿宋" w:hAnsi="仿宋" w:eastAsia="仿宋"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分数</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评审标准</w:t>
            </w:r>
            <w:r/>
          </w:p>
        </w:tc>
      </w:tr>
      <w:tr>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224"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报价分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s="宋体"/>
                <w:color w:val="000000"/>
                <w:sz w:val="24"/>
                <w:szCs w:val="24"/>
              </w:rPr>
              <w:t xml:space="preserve">20.00分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采用低价优先法计算，即满足招标文件要求且投标价格最低的投标报价为评标基准价，其价格分为满分。其他投标人投标报价得分＝（评标基准价/投标报价）*</w:t>
            </w:r>
            <w:r>
              <w:rPr>
                <w:rFonts w:ascii="仿宋" w:hAnsi="仿宋" w:eastAsia="仿宋" w:cs="宋体"/>
                <w:color w:val="000000"/>
                <w:sz w:val="24"/>
                <w:szCs w:val="24"/>
              </w:rPr>
              <w:t xml:space="preserve">20</w:t>
            </w:r>
            <w:r>
              <w:rPr>
                <w:rFonts w:hint="eastAsia" w:ascii="仿宋" w:hAnsi="仿宋" w:eastAsia="仿宋" w:cs="宋体"/>
                <w:color w:val="000000"/>
                <w:sz w:val="24"/>
                <w:szCs w:val="24"/>
              </w:rPr>
              <w:t xml:space="preserve">。</w:t>
            </w:r>
            <w:r/>
          </w:p>
        </w:tc>
      </w:tr>
      <w:tr>
        <w:trPr>
          <w:cantSplit/>
          <w:trHeight w:val="416"/>
        </w:trPr>
        <w:tc>
          <w:tcPr>
            <w:tcBorders>
              <w:top w:val="single" w:color="000000" w:sz="4" w:space="0"/>
              <w:left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企业经营业绩、信誉</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企业业绩</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5</w:t>
            </w:r>
            <w:r>
              <w:rPr>
                <w:rFonts w:hint="eastAsia"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（1）投标人自</w:t>
            </w:r>
            <w:r>
              <w:rPr>
                <w:rFonts w:ascii="仿宋" w:hAnsi="仿宋" w:eastAsia="仿宋" w:cs="宋体"/>
                <w:color w:val="000000"/>
                <w:sz w:val="24"/>
                <w:szCs w:val="24"/>
              </w:rPr>
              <w:t xml:space="preserve">2018</w:t>
            </w:r>
            <w:r>
              <w:rPr>
                <w:rFonts w:hint="eastAsia" w:ascii="仿宋" w:hAnsi="仿宋" w:eastAsia="仿宋" w:cs="宋体"/>
                <w:color w:val="000000"/>
                <w:sz w:val="24"/>
                <w:szCs w:val="24"/>
              </w:rPr>
              <w:t xml:space="preserve">年1月1日（以合同签订时间为准）以来，承担过类似园林绿化养护业绩的，每有1个得3分，最高得</w:t>
            </w:r>
            <w:r>
              <w:rPr>
                <w:rFonts w:ascii="仿宋" w:hAnsi="仿宋" w:eastAsia="仿宋" w:cs="宋体"/>
                <w:color w:val="000000"/>
                <w:sz w:val="24"/>
                <w:szCs w:val="24"/>
              </w:rPr>
              <w:t xml:space="preserve">9</w:t>
            </w:r>
            <w:r>
              <w:rPr>
                <w:rFonts w:hint="eastAsia" w:ascii="仿宋" w:hAnsi="仿宋" w:eastAsia="仿宋" w:cs="宋体"/>
                <w:color w:val="000000"/>
                <w:sz w:val="24"/>
                <w:szCs w:val="24"/>
              </w:rPr>
              <w:t xml:space="preserve">分。</w:t>
            </w:r>
            <w:r/>
          </w:p>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（2）投标人拟派的项目负责人自20</w:t>
            </w:r>
            <w:r>
              <w:rPr>
                <w:rFonts w:ascii="仿宋" w:hAnsi="仿宋" w:eastAsia="仿宋" w:cs="宋体"/>
                <w:color w:val="000000"/>
                <w:sz w:val="24"/>
                <w:szCs w:val="24"/>
              </w:rPr>
              <w:t xml:space="preserve">18</w:t>
            </w:r>
            <w:r>
              <w:rPr>
                <w:rFonts w:hint="eastAsia" w:ascii="仿宋" w:hAnsi="仿宋" w:eastAsia="仿宋" w:cs="宋体"/>
                <w:color w:val="000000"/>
                <w:sz w:val="24"/>
                <w:szCs w:val="24"/>
              </w:rPr>
              <w:t xml:space="preserve">年1月1日（以合同签订时间为准）以来，承担过类似园林绿化养护业绩的，每有1个得3分，最高得6分。</w:t>
            </w:r>
            <w:r/>
          </w:p>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注：（1）投标文件中同时提供中标（成交）通知书、合同、验收报告</w:t>
            </w:r>
            <w:r>
              <w:rPr>
                <w:rFonts w:hint="eastAsia" w:ascii="仿宋" w:hAnsi="仿宋" w:eastAsia="仿宋" w:cs="宋体"/>
                <w:color w:val="000000"/>
                <w:sz w:val="24"/>
                <w:szCs w:val="24"/>
              </w:rPr>
              <w:t xml:space="preserve">电子件</w:t>
            </w:r>
            <w:r>
              <w:rPr>
                <w:rFonts w:hint="eastAsia" w:ascii="仿宋" w:hAnsi="仿宋" w:eastAsia="仿宋" w:cs="宋体"/>
                <w:color w:val="000000"/>
                <w:sz w:val="24"/>
                <w:szCs w:val="24"/>
              </w:rPr>
              <w:t xml:space="preserve">，业绩合同主要内容、标的、</w:t>
            </w:r>
            <w:r>
              <w:rPr>
                <w:rFonts w:hint="eastAsia" w:ascii="仿宋" w:hAnsi="仿宋" w:eastAsia="仿宋" w:cs="宋体"/>
                <w:color w:val="000000"/>
                <w:sz w:val="24"/>
                <w:szCs w:val="24"/>
              </w:rPr>
              <w:t xml:space="preserve">投标人名称、项目负责人姓名</w:t>
            </w:r>
            <w:r>
              <w:rPr>
                <w:rFonts w:hint="eastAsia" w:ascii="仿宋" w:hAnsi="仿宋" w:eastAsia="仿宋" w:cs="宋体"/>
                <w:color w:val="000000"/>
                <w:sz w:val="24"/>
                <w:szCs w:val="24"/>
              </w:rPr>
              <w:t xml:space="preserve">等需清晰可见，未提供的或提供内容不能反映出上述要求的，不予计分。（2）投标人业绩与项目负责人业绩不重复计分。（3）</w:t>
            </w:r>
            <w:r>
              <w:rPr>
                <w:rFonts w:ascii="仿宋" w:hAnsi="仿宋" w:eastAsia="仿宋"/>
                <w:sz w:val="24"/>
                <w:szCs w:val="24"/>
              </w:rPr>
              <w:t xml:space="preserve">中标人提供的业绩将随中标结果同步公开。</w:t>
            </w:r>
            <w:r/>
          </w:p>
        </w:tc>
      </w:tr>
      <w:tr>
        <w:trPr>
          <w:cantSplit/>
          <w:trHeight w:val="1546"/>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企业证书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6.00分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投标人具有有效的质量管理体系认证证书、环境管理体系认证证书、职业健康安全管理体系认证证书的，每有一个得2分，最高得6分。</w:t>
            </w:r>
            <w:r/>
          </w:p>
          <w:p>
            <w:pPr>
              <w:jc w:val="left"/>
              <w:spacing w:line="276" w:lineRule="auto"/>
              <w:widowControl/>
              <w:rPr>
                <w:rFonts w:ascii="仿宋" w:hAnsi="仿宋" w:eastAsia="仿宋" w:cs="宋体"/>
                <w:b/>
                <w:bCs/>
                <w:color w:val="000000"/>
                <w:sz w:val="24"/>
                <w:szCs w:val="24"/>
              </w:rPr>
            </w:pPr>
            <w:r>
              <w:rPr>
                <w:rFonts w:hint="eastAsia" w:ascii="仿宋" w:hAnsi="仿宋" w:eastAsia="仿宋" w:cs="宋体"/>
                <w:color w:val="000000"/>
                <w:sz w:val="24"/>
                <w:szCs w:val="24"/>
              </w:rPr>
              <w:t xml:space="preserve">注：（1）投标文件中须提供相关证书</w:t>
            </w:r>
            <w:r>
              <w:rPr>
                <w:rFonts w:hint="eastAsia" w:ascii="仿宋" w:hAnsi="仿宋" w:eastAsia="仿宋" w:cs="宋体"/>
                <w:color w:val="000000"/>
                <w:sz w:val="24"/>
                <w:szCs w:val="24"/>
              </w:rPr>
              <w:t xml:space="preserve">电子件</w:t>
            </w:r>
            <w:r>
              <w:rPr>
                <w:rFonts w:hint="eastAsia" w:ascii="仿宋" w:hAnsi="仿宋" w:eastAsia="仿宋" w:cs="宋体"/>
                <w:color w:val="000000"/>
                <w:sz w:val="24"/>
                <w:szCs w:val="24"/>
              </w:rPr>
              <w:t xml:space="preserve">，否则不得分。（2）</w:t>
            </w:r>
            <w:r>
              <w:rPr>
                <w:rFonts w:ascii="仿宋" w:hAnsi="仿宋" w:eastAsia="仿宋"/>
                <w:sz w:val="24"/>
                <w:szCs w:val="24"/>
              </w:rPr>
              <w:t xml:space="preserve">中标人提供的</w:t>
            </w:r>
            <w:r>
              <w:rPr>
                <w:rFonts w:hint="eastAsia" w:ascii="仿宋" w:hAnsi="仿宋" w:eastAsia="仿宋"/>
                <w:sz w:val="24"/>
                <w:szCs w:val="24"/>
              </w:rPr>
              <w:t xml:space="preserve">证书</w:t>
            </w:r>
            <w:r>
              <w:rPr>
                <w:rFonts w:ascii="仿宋" w:hAnsi="仿宋" w:eastAsia="仿宋"/>
                <w:sz w:val="24"/>
                <w:szCs w:val="24"/>
              </w:rPr>
              <w:t xml:space="preserve">将随中标结果同步公开。</w:t>
            </w:r>
            <w:r/>
          </w:p>
        </w:tc>
      </w:tr>
      <w:tr>
        <w:trPr>
          <w:cantSplit/>
          <w:trHeight w:val="1962"/>
        </w:trPr>
        <w:tc>
          <w:tcPr>
            <w:tcBorders>
              <w:top w:val="single" w:color="000000" w:sz="4" w:space="0"/>
              <w:left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center"/>
              <w:spacing w:line="276" w:lineRule="auto"/>
              <w:rPr>
                <w:rFonts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资源配置</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ascii="仿宋" w:hAnsi="仿宋" w:eastAsia="仿宋" w:cs="宋体"/>
                <w:color w:val="000000"/>
                <w:sz w:val="24"/>
                <w:szCs w:val="24"/>
                <w:lang w:bidi="ar"/>
              </w:rPr>
            </w:pPr>
            <w:r>
              <w:rPr>
                <w:rFonts w:hint="eastAsia" w:ascii="仿宋" w:hAnsi="仿宋" w:eastAsia="仿宋" w:cs="宋体"/>
                <w:color w:val="000000"/>
                <w:sz w:val="24"/>
                <w:szCs w:val="24"/>
              </w:rPr>
              <w:t xml:space="preserve">绿化工或</w:t>
            </w:r>
            <w:r>
              <w:rPr>
                <w:rFonts w:hint="eastAsia" w:ascii="仿宋" w:hAnsi="仿宋" w:eastAsia="仿宋" w:cs="宋体"/>
                <w:color w:val="000000"/>
                <w:sz w:val="24"/>
                <w:szCs w:val="24"/>
              </w:rPr>
              <w:t xml:space="preserve">花卉园艺工</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6.00分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jc w:val="left"/>
              <w:spacing w:line="276" w:lineRule="auto"/>
              <w:widowControl/>
              <w:rPr>
                <w:rFonts w:ascii="仿宋" w:hAnsi="仿宋" w:eastAsia="仿宋" w:cs="宋体"/>
                <w:sz w:val="24"/>
                <w:szCs w:val="24"/>
              </w:rPr>
            </w:pPr>
            <w:r>
              <w:rPr>
                <w:rFonts w:hint="eastAsia" w:ascii="仿宋" w:hAnsi="仿宋" w:eastAsia="仿宋" w:cs="宋体"/>
                <w:sz w:val="24"/>
                <w:szCs w:val="24"/>
              </w:rPr>
              <w:t xml:space="preserve">在满足招标文件基础上，每增加1名</w:t>
            </w:r>
            <w:r>
              <w:rPr>
                <w:rFonts w:hint="eastAsia" w:ascii="仿宋" w:hAnsi="仿宋" w:eastAsia="仿宋" w:cs="宋体"/>
                <w:bCs/>
                <w:sz w:val="24"/>
                <w:szCs w:val="24"/>
              </w:rPr>
              <w:t xml:space="preserve">具有绿化工</w:t>
            </w:r>
            <w:r>
              <w:rPr>
                <w:rFonts w:hint="eastAsia" w:ascii="仿宋" w:hAnsi="仿宋" w:eastAsia="仿宋" w:cs="宋体"/>
                <w:bCs/>
                <w:sz w:val="24"/>
                <w:szCs w:val="24"/>
              </w:rPr>
              <w:t xml:space="preserve">高级（三级）及以上证书</w:t>
            </w:r>
            <w:r>
              <w:rPr>
                <w:rFonts w:hint="eastAsia" w:ascii="仿宋" w:hAnsi="仿宋" w:eastAsia="仿宋" w:cs="宋体"/>
                <w:bCs/>
                <w:sz w:val="24"/>
                <w:szCs w:val="24"/>
              </w:rPr>
              <w:t xml:space="preserve">或花卉园艺工高级（三级）及以上证书的人员，得</w:t>
            </w:r>
            <w:r>
              <w:rPr>
                <w:rFonts w:ascii="仿宋" w:hAnsi="仿宋" w:eastAsia="仿宋" w:cs="宋体"/>
                <w:bCs/>
                <w:sz w:val="24"/>
                <w:szCs w:val="24"/>
              </w:rPr>
              <w:t xml:space="preserve">3</w:t>
            </w:r>
            <w:r>
              <w:rPr>
                <w:rFonts w:hint="eastAsia" w:ascii="仿宋" w:hAnsi="仿宋" w:eastAsia="仿宋" w:cs="宋体"/>
                <w:bCs/>
                <w:sz w:val="24"/>
                <w:szCs w:val="24"/>
              </w:rPr>
              <w:t xml:space="preserve">分；</w:t>
            </w:r>
            <w:r>
              <w:rPr>
                <w:rFonts w:hint="eastAsia" w:ascii="仿宋" w:hAnsi="仿宋" w:eastAsia="仿宋" w:cs="宋体"/>
                <w:sz w:val="24"/>
                <w:szCs w:val="24"/>
              </w:rPr>
              <w:t xml:space="preserve">每增加1名</w:t>
            </w:r>
            <w:r>
              <w:rPr>
                <w:rFonts w:hint="eastAsia" w:ascii="仿宋" w:hAnsi="仿宋" w:eastAsia="仿宋" w:cs="宋体"/>
                <w:bCs/>
                <w:sz w:val="24"/>
                <w:szCs w:val="24"/>
              </w:rPr>
              <w:t xml:space="preserve">具有绿化工</w:t>
            </w:r>
            <w:r>
              <w:rPr>
                <w:rFonts w:hint="eastAsia" w:ascii="仿宋" w:hAnsi="仿宋" w:eastAsia="仿宋" w:cs="宋体"/>
                <w:bCs/>
                <w:sz w:val="24"/>
                <w:szCs w:val="24"/>
              </w:rPr>
              <w:t xml:space="preserve">中级（四级）证书</w:t>
            </w:r>
            <w:r>
              <w:rPr>
                <w:rFonts w:hint="eastAsia" w:ascii="仿宋" w:hAnsi="仿宋" w:eastAsia="仿宋" w:cs="宋体"/>
                <w:bCs/>
                <w:sz w:val="24"/>
                <w:szCs w:val="24"/>
              </w:rPr>
              <w:t xml:space="preserve">或花卉园艺工中级（四级）证书的人员，得2分。本项最高得6分。</w:t>
            </w:r>
            <w:r/>
          </w:p>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注：（1）投标文件中须提供相关证书</w:t>
            </w:r>
            <w:r>
              <w:rPr>
                <w:rFonts w:hint="eastAsia" w:ascii="仿宋" w:hAnsi="仿宋" w:eastAsia="仿宋" w:cs="宋体"/>
                <w:color w:val="000000"/>
                <w:sz w:val="24"/>
                <w:szCs w:val="24"/>
              </w:rPr>
              <w:t xml:space="preserve">电子件</w:t>
            </w:r>
            <w:r>
              <w:rPr>
                <w:rFonts w:hint="eastAsia" w:ascii="仿宋" w:hAnsi="仿宋" w:eastAsia="仿宋" w:cs="宋体"/>
                <w:color w:val="000000"/>
                <w:sz w:val="24"/>
                <w:szCs w:val="24"/>
              </w:rPr>
              <w:t xml:space="preserve">，否则不得分。（2）</w:t>
            </w:r>
            <w:r>
              <w:rPr>
                <w:rFonts w:ascii="仿宋" w:hAnsi="仿宋" w:eastAsia="仿宋"/>
                <w:sz w:val="24"/>
                <w:szCs w:val="24"/>
              </w:rPr>
              <w:t xml:space="preserve">中标人提供的</w:t>
            </w:r>
            <w:r>
              <w:rPr>
                <w:rFonts w:hint="eastAsia" w:ascii="仿宋" w:hAnsi="仿宋" w:eastAsia="仿宋"/>
                <w:sz w:val="24"/>
                <w:szCs w:val="24"/>
              </w:rPr>
              <w:t xml:space="preserve">证书</w:t>
            </w:r>
            <w:r>
              <w:rPr>
                <w:rFonts w:ascii="仿宋" w:hAnsi="仿宋" w:eastAsia="仿宋"/>
                <w:sz w:val="24"/>
                <w:szCs w:val="24"/>
              </w:rPr>
              <w:t xml:space="preserve">将随中标结果同步公开。</w:t>
            </w:r>
            <w:r/>
          </w:p>
        </w:tc>
      </w:tr>
      <w:tr>
        <w:trPr>
          <w:cantSplit/>
          <w:trHeight w:val="1115"/>
        </w:trPr>
        <w:tc>
          <w:tcPr>
            <w:tcBorders>
              <w:left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lang w:bidi="ar"/>
              </w:rPr>
            </w:pPr>
            <w:r>
              <w:rPr>
                <w:rFonts w:ascii="仿宋" w:hAnsi="仿宋" w:eastAsia="仿宋"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绿化主管人员</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绿化主管人员具有园林绿化相关专业（园林绿化、风景园林、园林、园艺或植保专业等）中级及以上技术职称的，得3分。</w:t>
            </w:r>
            <w:r/>
          </w:p>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注：（1</w:t>
            </w:r>
            <w:r>
              <w:rPr>
                <w:rFonts w:hint="eastAsia" w:ascii="仿宋" w:hAnsi="仿宋" w:eastAsia="仿宋" w:cs="宋体"/>
                <w:color w:val="000000"/>
                <w:sz w:val="24"/>
                <w:szCs w:val="24"/>
              </w:rPr>
              <w:t xml:space="preserve">）投标文件中须提供相关证书</w:t>
            </w:r>
            <w:r>
              <w:rPr>
                <w:rFonts w:hint="eastAsia" w:ascii="仿宋" w:hAnsi="仿宋" w:eastAsia="仿宋" w:cs="宋体"/>
                <w:color w:val="000000"/>
                <w:sz w:val="24"/>
                <w:szCs w:val="24"/>
              </w:rPr>
              <w:t xml:space="preserve">电子件</w:t>
            </w:r>
            <w:r>
              <w:rPr>
                <w:rFonts w:hint="eastAsia" w:ascii="仿宋" w:hAnsi="仿宋" w:eastAsia="仿宋" w:cs="宋体"/>
                <w:color w:val="000000"/>
                <w:sz w:val="24"/>
                <w:szCs w:val="24"/>
              </w:rPr>
              <w:t xml:space="preserve">，否则不得分</w:t>
            </w:r>
            <w:r/>
          </w:p>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sz w:val="24"/>
                <w:szCs w:val="24"/>
              </w:rPr>
              <w:t xml:space="preserve">中标人提供的</w:t>
            </w:r>
            <w:r>
              <w:rPr>
                <w:rFonts w:hint="eastAsia" w:ascii="仿宋" w:hAnsi="仿宋" w:eastAsia="仿宋"/>
                <w:sz w:val="24"/>
                <w:szCs w:val="24"/>
              </w:rPr>
              <w:t xml:space="preserve">证书</w:t>
            </w:r>
            <w:r>
              <w:rPr>
                <w:rFonts w:ascii="仿宋" w:hAnsi="仿宋" w:eastAsia="仿宋"/>
                <w:sz w:val="24"/>
                <w:szCs w:val="24"/>
              </w:rPr>
              <w:t xml:space="preserve">将随中标结果同步公开。</w:t>
            </w:r>
            <w:r/>
          </w:p>
        </w:tc>
      </w:tr>
      <w:tr>
        <w:trPr>
          <w:cantSplit/>
          <w:trHeight w:val="1048"/>
        </w:trPr>
        <w:tc>
          <w:tcPr>
            <w:tcBorders>
              <w:left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lang w:bidi="ar"/>
              </w:rPr>
            </w:pPr>
            <w:r>
              <w:rPr>
                <w:rFonts w:ascii="仿宋" w:hAnsi="仿宋" w:eastAsia="仿宋"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ascii="仿宋" w:hAnsi="仿宋" w:eastAsia="仿宋" w:cs="宋体"/>
                <w:color w:val="000000"/>
                <w:sz w:val="24"/>
                <w:szCs w:val="24"/>
                <w:lang w:bidi="ar"/>
              </w:rPr>
            </w:pPr>
            <w:r>
              <w:rPr>
                <w:rFonts w:hint="eastAsia" w:ascii="仿宋" w:hAnsi="仿宋" w:eastAsia="仿宋" w:cs="宋体"/>
                <w:color w:val="000000"/>
                <w:sz w:val="24"/>
                <w:szCs w:val="24"/>
                <w:lang w:bidi="ar"/>
              </w:rPr>
              <w:t xml:space="preserve">洒水车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t xml:space="preserve">在满足招标文件基础上，增加1辆罐式洒水车（核定载质量≥10吨）,首次上牌时间在2020年1月1日（含）至2020年12月31日(含)期间,得</w:t>
            </w:r>
            <w:r>
              <w:rPr>
                <w:rFonts w:ascii="仿宋" w:hAnsi="仿宋" w:eastAsia="仿宋" w:cs="宋体"/>
                <w:color w:val="000000"/>
                <w:sz w:val="24"/>
                <w:szCs w:val="24"/>
              </w:rPr>
              <w:t xml:space="preserve">0.5</w:t>
            </w:r>
            <w:r>
              <w:rPr>
                <w:rFonts w:hint="eastAsia" w:ascii="仿宋" w:hAnsi="仿宋" w:eastAsia="仿宋" w:cs="宋体"/>
                <w:color w:val="000000"/>
                <w:sz w:val="24"/>
                <w:szCs w:val="24"/>
              </w:rPr>
              <w:t xml:space="preserve">分；在2021年1月1日（含）至2021年12月31日(含)期间，得</w:t>
            </w:r>
            <w:r>
              <w:rPr>
                <w:rFonts w:ascii="仿宋" w:hAnsi="仿宋" w:eastAsia="仿宋" w:cs="宋体"/>
                <w:color w:val="000000"/>
                <w:sz w:val="24"/>
                <w:szCs w:val="24"/>
              </w:rPr>
              <w:t xml:space="preserve">1</w:t>
            </w:r>
            <w:r>
              <w:rPr>
                <w:rFonts w:hint="eastAsia" w:ascii="仿宋" w:hAnsi="仿宋" w:eastAsia="仿宋" w:cs="宋体"/>
                <w:color w:val="000000"/>
                <w:sz w:val="24"/>
                <w:szCs w:val="24"/>
              </w:rPr>
              <w:t xml:space="preserve">分；首次上牌时间为2022年1月1日(含)以后或承诺中标后购买新车的，得</w:t>
            </w: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分。本项最高得</w:t>
            </w: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分。</w:t>
            </w:r>
            <w:r/>
          </w:p>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（2）自有罐式洒水车首次上牌时间在2021年1月1日（含）以后，每有一辆得1分，最高得3分。</w:t>
            </w:r>
            <w:r/>
          </w:p>
          <w:p>
            <w:pPr>
              <w:spacing w:line="276" w:lineRule="auto"/>
              <w:rPr>
                <w:rFonts w:ascii="仿宋" w:hAnsi="仿宋" w:eastAsia="仿宋" w:cs="仿宋"/>
                <w:b/>
                <w:bCs/>
                <w:color w:val="ff0000"/>
                <w:sz w:val="24"/>
                <w:szCs w:val="24"/>
                <w:highlight w:val="yellow"/>
              </w:rPr>
            </w:pPr>
            <w:r>
              <w:rPr>
                <w:rFonts w:hint="eastAsia" w:ascii="仿宋" w:hAnsi="仿宋" w:eastAsia="仿宋" w:cs="宋体"/>
                <w:bCs/>
                <w:color w:val="000000"/>
                <w:sz w:val="24"/>
                <w:szCs w:val="24"/>
              </w:rPr>
              <w:t xml:space="preserve">注：（1）</w:t>
            </w:r>
            <w:r>
              <w:rPr>
                <w:rFonts w:hint="eastAsia" w:ascii="仿宋" w:hAnsi="仿宋" w:eastAsia="仿宋" w:cs="宋体"/>
                <w:bCs/>
                <w:color w:val="000000"/>
                <w:sz w:val="24"/>
                <w:szCs w:val="24"/>
              </w:rPr>
              <w:t xml:space="preserve">投标人自有设备提供行驶证、购置发票、车辆铭牌或出厂合格证电子件（发票上的购买单位或行驶证的单位为投标单位）。</w:t>
            </w:r>
            <w:r>
              <w:rPr>
                <w:rFonts w:hint="eastAsia" w:ascii="仿宋" w:hAnsi="仿宋" w:eastAsia="仿宋" w:cs="宋体"/>
                <w:color w:val="000000"/>
                <w:sz w:val="24"/>
                <w:szCs w:val="24"/>
              </w:rPr>
              <w:t xml:space="preserve">承诺中标后购买新车的</w:t>
            </w:r>
            <w:r>
              <w:rPr>
                <w:rFonts w:hint="eastAsia" w:ascii="仿宋" w:hAnsi="仿宋" w:eastAsia="仿宋" w:cs="宋体"/>
                <w:bCs/>
                <w:color w:val="000000"/>
                <w:sz w:val="24"/>
                <w:szCs w:val="24"/>
              </w:rPr>
              <w:t xml:space="preserve">提供承诺书（格式自拟）。</w:t>
            </w:r>
            <w:r>
              <w:rPr>
                <w:rFonts w:ascii="仿宋" w:hAnsi="仿宋" w:eastAsia="仿宋" w:cs="宋体"/>
                <w:bCs/>
                <w:color w:val="000000"/>
                <w:sz w:val="24"/>
                <w:szCs w:val="24"/>
              </w:rPr>
              <w:t xml:space="preserve">（</w:t>
            </w:r>
            <w:r>
              <w:rPr>
                <w:rFonts w:hint="eastAsia" w:ascii="仿宋" w:hAnsi="仿宋" w:eastAsia="仿宋" w:cs="宋体"/>
                <w:bCs/>
                <w:color w:val="000000"/>
                <w:sz w:val="24"/>
                <w:szCs w:val="24"/>
              </w:rPr>
              <w:t xml:space="preserve">2</w:t>
            </w:r>
            <w:r>
              <w:rPr>
                <w:rFonts w:ascii="仿宋" w:hAnsi="仿宋" w:eastAsia="仿宋" w:cs="宋体"/>
                <w:bCs/>
                <w:color w:val="000000"/>
                <w:sz w:val="24"/>
                <w:szCs w:val="24"/>
              </w:rPr>
              <w:t xml:space="preserve">）</w:t>
            </w:r>
            <w:r>
              <w:rPr>
                <w:rFonts w:hint="eastAsia" w:ascii="仿宋" w:hAnsi="仿宋" w:eastAsia="仿宋" w:cs="宋体"/>
                <w:bCs/>
                <w:color w:val="000000"/>
                <w:sz w:val="24"/>
                <w:szCs w:val="24"/>
              </w:rPr>
              <w:t xml:space="preserve">上述（1）、（2）两项不重复计分。</w:t>
            </w:r>
            <w:r>
              <w:rPr>
                <w:rFonts w:hint="eastAsia" w:ascii="仿宋" w:hAnsi="仿宋" w:eastAsia="仿宋" w:cs="宋体"/>
                <w:color w:val="000000"/>
                <w:sz w:val="24"/>
                <w:szCs w:val="24"/>
              </w:rPr>
              <w:t xml:space="preserve">（</w:t>
            </w: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w:t>
            </w:r>
            <w:r>
              <w:rPr>
                <w:rFonts w:ascii="仿宋" w:hAnsi="仿宋" w:eastAsia="仿宋"/>
                <w:sz w:val="24"/>
                <w:szCs w:val="24"/>
              </w:rPr>
              <w:t xml:space="preserve">中标人提供的</w:t>
            </w:r>
            <w:r>
              <w:rPr>
                <w:rFonts w:hint="eastAsia" w:ascii="仿宋" w:hAnsi="仿宋" w:eastAsia="仿宋"/>
                <w:sz w:val="24"/>
                <w:szCs w:val="24"/>
              </w:rPr>
              <w:t xml:space="preserve">相关证明材料</w:t>
            </w:r>
            <w:r>
              <w:rPr>
                <w:rFonts w:ascii="仿宋" w:hAnsi="仿宋" w:eastAsia="仿宋"/>
                <w:sz w:val="24"/>
                <w:szCs w:val="24"/>
              </w:rPr>
              <w:t xml:space="preserve">将随中标结果同步公开。</w:t>
            </w:r>
            <w:r/>
          </w:p>
        </w:tc>
      </w:tr>
      <w:tr>
        <w:trPr>
          <w:cantSplit/>
          <w:trHeight w:val="841"/>
        </w:trPr>
        <w:tc>
          <w:tcPr>
            <w:tcBorders>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lang w:bidi="ar"/>
              </w:rPr>
            </w:pPr>
            <w:r>
              <w:rPr>
                <w:rFonts w:ascii="仿宋" w:hAnsi="仿宋" w:eastAsia="仿宋"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ascii="仿宋" w:hAnsi="仿宋" w:eastAsia="仿宋" w:cs="宋体"/>
                <w:bCs/>
                <w:color w:val="000000"/>
                <w:sz w:val="24"/>
                <w:szCs w:val="24"/>
              </w:rPr>
            </w:pPr>
            <w:r>
              <w:rPr>
                <w:rFonts w:hint="eastAsia" w:ascii="仿宋" w:hAnsi="仿宋" w:eastAsia="仿宋" w:cs="宋体"/>
                <w:sz w:val="24"/>
                <w:szCs w:val="24"/>
              </w:rPr>
              <w:t xml:space="preserve">运载货车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sz w:val="24"/>
                <w:szCs w:val="24"/>
              </w:rPr>
              <w:t xml:space="preserve">投标人提供运载货车用于苗木、枯枝落叶、杂物等清运（要求核定载质量或载质量=总质量-整备质量）不低于1.5吨，</w:t>
            </w:r>
            <w:r>
              <w:rPr>
                <w:rFonts w:hint="eastAsia" w:ascii="仿宋" w:hAnsi="仿宋" w:eastAsia="仿宋" w:cs="宋体"/>
                <w:color w:val="000000"/>
                <w:sz w:val="24"/>
                <w:szCs w:val="24"/>
              </w:rPr>
              <w:t xml:space="preserve">首次上牌时间在2020年1月1日(含)至2020年12月31日(含)期间,得</w:t>
            </w:r>
            <w:r>
              <w:rPr>
                <w:rFonts w:ascii="仿宋" w:hAnsi="仿宋" w:eastAsia="仿宋" w:cs="宋体"/>
                <w:color w:val="000000"/>
                <w:sz w:val="24"/>
                <w:szCs w:val="24"/>
              </w:rPr>
              <w:t xml:space="preserve">1</w:t>
            </w:r>
            <w:r>
              <w:rPr>
                <w:rFonts w:hint="eastAsia" w:ascii="仿宋" w:hAnsi="仿宋" w:eastAsia="仿宋" w:cs="宋体"/>
                <w:color w:val="000000"/>
                <w:sz w:val="24"/>
                <w:szCs w:val="24"/>
              </w:rPr>
              <w:t xml:space="preserve">分；在2021年1月1日(含)至2021年12月31日(含)期间，得</w:t>
            </w: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分；首次上牌时间为2022年1月1日(含)以后或承诺中标后购买新车的，得</w:t>
            </w: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分。本项最高得</w:t>
            </w: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分。</w:t>
            </w:r>
            <w:r/>
          </w:p>
          <w:p>
            <w:pPr>
              <w:jc w:val="left"/>
              <w:spacing w:line="276" w:lineRule="auto"/>
              <w:widowControl/>
              <w:rPr>
                <w:rFonts w:ascii="仿宋" w:hAnsi="仿宋" w:eastAsia="仿宋" w:cs="宋体"/>
                <w:color w:val="000000"/>
                <w:sz w:val="24"/>
                <w:szCs w:val="24"/>
              </w:rPr>
            </w:pPr>
            <w:r>
              <w:rPr>
                <w:rFonts w:hint="eastAsia" w:ascii="仿宋" w:hAnsi="仿宋" w:eastAsia="仿宋" w:cs="宋体"/>
                <w:bCs/>
                <w:color w:val="000000"/>
                <w:sz w:val="24"/>
                <w:szCs w:val="24"/>
              </w:rPr>
              <w:t xml:space="preserve">注：（1）</w:t>
            </w:r>
            <w:r>
              <w:rPr>
                <w:rFonts w:hint="eastAsia" w:ascii="仿宋" w:hAnsi="仿宋" w:eastAsia="仿宋" w:cs="宋体"/>
                <w:bCs/>
                <w:color w:val="000000"/>
                <w:sz w:val="24"/>
                <w:szCs w:val="24"/>
              </w:rPr>
              <w:t xml:space="preserve">投标人自有设备提供行驶证、购置发票、车辆铭牌或出厂合格证电子件（发票上的购买单位或行驶证的单位为投标单位）。</w:t>
            </w:r>
            <w:r>
              <w:rPr>
                <w:rFonts w:hint="eastAsia" w:ascii="仿宋" w:hAnsi="仿宋" w:eastAsia="仿宋" w:cs="宋体"/>
                <w:color w:val="000000"/>
                <w:sz w:val="24"/>
                <w:szCs w:val="24"/>
              </w:rPr>
              <w:t xml:space="preserve">承诺中标后购买新车的</w:t>
            </w:r>
            <w:r>
              <w:rPr>
                <w:rFonts w:hint="eastAsia" w:ascii="仿宋" w:hAnsi="仿宋" w:eastAsia="仿宋" w:cs="宋体"/>
                <w:bCs/>
                <w:color w:val="000000"/>
                <w:sz w:val="24"/>
                <w:szCs w:val="24"/>
              </w:rPr>
              <w:t xml:space="preserve">提供承诺书（格式自拟）。</w:t>
            </w:r>
            <w:r>
              <w:rPr>
                <w:rFonts w:hint="eastAsia" w:ascii="仿宋" w:hAnsi="仿宋" w:eastAsia="仿宋" w:cs="宋体"/>
                <w:color w:val="000000"/>
                <w:sz w:val="24"/>
                <w:szCs w:val="24"/>
              </w:rPr>
              <w:t xml:space="preserve">（</w:t>
            </w: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w:t>
            </w:r>
            <w:r>
              <w:rPr>
                <w:rFonts w:ascii="仿宋" w:hAnsi="仿宋" w:eastAsia="仿宋"/>
                <w:sz w:val="24"/>
                <w:szCs w:val="24"/>
              </w:rPr>
              <w:t xml:space="preserve">中标人提供的</w:t>
            </w:r>
            <w:r>
              <w:rPr>
                <w:rFonts w:hint="eastAsia" w:ascii="仿宋" w:hAnsi="仿宋" w:eastAsia="仿宋"/>
                <w:sz w:val="24"/>
                <w:szCs w:val="24"/>
              </w:rPr>
              <w:t xml:space="preserve">相关证明材料</w:t>
            </w:r>
            <w:r>
              <w:rPr>
                <w:rFonts w:ascii="仿宋" w:hAnsi="仿宋" w:eastAsia="仿宋"/>
                <w:sz w:val="24"/>
                <w:szCs w:val="24"/>
              </w:rPr>
              <w:t xml:space="preserve">将随中标结果同步公开。</w:t>
            </w:r>
            <w:r/>
          </w:p>
        </w:tc>
      </w:tr>
      <w:tr>
        <w:trPr>
          <w:cantSplit/>
          <w:trHeight w:val="1749"/>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绿化养护技术方案   </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olor w:val="000000"/>
                <w:sz w:val="24"/>
                <w:szCs w:val="24"/>
              </w:rPr>
              <w:t xml:space="preserve">包括各种植物的养护措施、不良苗木及景观造型苗木的特殊管理、养护计划、苗木修剪、施肥、环保生态及病虫害防治工作、引入先进绿化养护经验及各类迎检保障、应急抢险工作。技术方案完善、合理、可行性强，得5分；技术方案基本完整、基本合理，有一定可行性性，得3分；技术方案、措施粗略，可行性不强，得</w:t>
            </w:r>
            <w:r>
              <w:rPr>
                <w:rFonts w:hint="eastAsia" w:ascii="仿宋" w:hAnsi="仿宋" w:eastAsia="仿宋" w:cs="Calibri"/>
                <w:color w:val="000000"/>
                <w:sz w:val="24"/>
                <w:szCs w:val="24"/>
              </w:rPr>
              <w:t xml:space="preserve">1</w:t>
            </w:r>
            <w:r>
              <w:rPr>
                <w:rFonts w:hint="eastAsia" w:ascii="仿宋" w:hAnsi="仿宋" w:eastAsia="仿宋"/>
                <w:color w:val="000000"/>
                <w:sz w:val="24"/>
                <w:szCs w:val="24"/>
              </w:rPr>
              <w:t xml:space="preserve">分；没有内容或其情况不满足招标文件需求的不得分。</w:t>
            </w:r>
            <w:r/>
          </w:p>
        </w:tc>
      </w:tr>
      <w:tr>
        <w:trPr>
          <w:cantSplit/>
          <w:trHeight w:val="2134"/>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肥料管理方案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s="宋体"/>
                <w:color w:val="000000"/>
                <w:sz w:val="24"/>
                <w:szCs w:val="24"/>
              </w:rPr>
              <w:t xml:space="preserve">5</w:t>
            </w:r>
            <w:r>
              <w:rPr>
                <w:rFonts w:hint="eastAsia"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spacing w:line="276" w:lineRule="auto"/>
              <w:rPr>
                <w:rFonts w:ascii="仿宋" w:hAnsi="仿宋" w:eastAsia="仿宋"/>
                <w:color w:val="000000"/>
                <w:sz w:val="24"/>
                <w:szCs w:val="24"/>
              </w:rPr>
            </w:pPr>
            <w:r>
              <w:rPr>
                <w:rFonts w:hint="eastAsia" w:ascii="仿宋" w:hAnsi="仿宋" w:eastAsia="仿宋"/>
                <w:color w:val="000000"/>
                <w:sz w:val="24"/>
                <w:szCs w:val="24"/>
              </w:rPr>
              <w:t xml:space="preserve">肥料管理方案主要是指按照园林植物养护标准相关要求，结合各路段实际需求采购、管理、使用肥料方案比较，至少包括日常采购方案、应急采购方案、年度采购方案、肥料管理方案、肥料使用标准、配合响应这部分内容，技术方案完善、合理、可行性强，得</w:t>
            </w:r>
            <w:r>
              <w:rPr>
                <w:rFonts w:ascii="仿宋" w:hAnsi="仿宋" w:eastAsia="仿宋" w:cs="Calibri"/>
                <w:color w:val="000000"/>
                <w:sz w:val="24"/>
                <w:szCs w:val="24"/>
              </w:rPr>
              <w:t xml:space="preserve">5</w:t>
            </w:r>
            <w:r>
              <w:rPr>
                <w:rFonts w:hint="eastAsia" w:ascii="仿宋" w:hAnsi="仿宋" w:eastAsia="仿宋"/>
                <w:color w:val="000000"/>
                <w:sz w:val="24"/>
                <w:szCs w:val="24"/>
              </w:rPr>
              <w:t xml:space="preserve">分；技术方案基本完整、基本合理，有一定可行性性，得3分；技术方案、措施粗略，可行性不强，得</w:t>
            </w:r>
            <w:r>
              <w:rPr>
                <w:rFonts w:hint="eastAsia" w:ascii="仿宋" w:hAnsi="仿宋" w:eastAsia="仿宋" w:cs="Calibri"/>
                <w:color w:val="000000"/>
                <w:sz w:val="24"/>
                <w:szCs w:val="24"/>
              </w:rPr>
              <w:t xml:space="preserve">1</w:t>
            </w:r>
            <w:r>
              <w:rPr>
                <w:rFonts w:hint="eastAsia" w:ascii="仿宋" w:hAnsi="仿宋" w:eastAsia="仿宋"/>
                <w:color w:val="000000"/>
                <w:sz w:val="24"/>
                <w:szCs w:val="24"/>
              </w:rPr>
              <w:t xml:space="preserve">分；没有内容或其情况不满足招标文件需求的不得分。</w:t>
            </w:r>
            <w:r/>
          </w:p>
        </w:tc>
      </w:tr>
      <w:tr>
        <w:trPr>
          <w:cantSplit/>
          <w:trHeight w:val="2878"/>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浇水作业方案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olor w:val="000000"/>
                <w:sz w:val="24"/>
                <w:szCs w:val="24"/>
              </w:rPr>
              <w:t xml:space="preserve">5.00</w:t>
            </w:r>
            <w:r>
              <w:rPr>
                <w:rFonts w:hint="eastAsia" w:ascii="仿宋" w:hAnsi="仿宋" w:eastAsia="仿宋"/>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spacing w:line="276" w:lineRule="auto"/>
              <w:widowControl/>
              <w:rPr>
                <w:rFonts w:ascii="仿宋" w:hAnsi="仿宋" w:eastAsia="仿宋"/>
                <w:color w:val="000000"/>
                <w:sz w:val="24"/>
                <w:szCs w:val="24"/>
              </w:rPr>
            </w:pPr>
            <w:r>
              <w:rPr>
                <w:rFonts w:hint="eastAsia" w:ascii="仿宋" w:hAnsi="仿宋" w:eastAsia="仿宋"/>
                <w:color w:val="000000"/>
                <w:sz w:val="24"/>
                <w:szCs w:val="24"/>
              </w:rPr>
              <w:t xml:space="preserve">浇水作业方案主要是指根据植物需水要求标准，安排合理的浇水方案比较，至少包含日常浇水方案（包括浇水时间、投入设备及人员、频次、浇水作业标准等内容比较）、叶面除尘方案、针对每个季度设置不同特色浇水方案(根据绿化不同品种 不同季节 不同土质等要素排出浇水计划总览表)、取水方案、中耕方案、配合响应这部分内容，技术方案完善、合理、可行性强，得</w:t>
            </w:r>
            <w:r>
              <w:rPr>
                <w:rFonts w:ascii="仿宋" w:hAnsi="仿宋" w:eastAsia="仿宋" w:cs="Calibri"/>
                <w:color w:val="000000"/>
                <w:sz w:val="24"/>
                <w:szCs w:val="24"/>
              </w:rPr>
              <w:t xml:space="preserve">5</w:t>
            </w:r>
            <w:r>
              <w:rPr>
                <w:rFonts w:hint="eastAsia" w:ascii="仿宋" w:hAnsi="仿宋" w:eastAsia="仿宋"/>
                <w:color w:val="000000"/>
                <w:sz w:val="24"/>
                <w:szCs w:val="24"/>
              </w:rPr>
              <w:t xml:space="preserve">分；技术方案基本完整、基本合理，有一定可行性性，得3分；技术方案、措施粗略，可行性不强，得</w:t>
            </w:r>
            <w:r>
              <w:rPr>
                <w:rFonts w:hint="eastAsia" w:ascii="仿宋" w:hAnsi="仿宋" w:eastAsia="仿宋" w:cs="Calibri"/>
                <w:color w:val="000000"/>
                <w:sz w:val="24"/>
                <w:szCs w:val="24"/>
              </w:rPr>
              <w:t xml:space="preserve">1</w:t>
            </w:r>
            <w:r>
              <w:rPr>
                <w:rFonts w:hint="eastAsia" w:ascii="仿宋" w:hAnsi="仿宋" w:eastAsia="仿宋"/>
                <w:color w:val="000000"/>
                <w:sz w:val="24"/>
                <w:szCs w:val="24"/>
              </w:rPr>
              <w:t xml:space="preserve">分；没有内容或其情况不满足招标文件需求的不得分。</w:t>
            </w:r>
            <w:r/>
          </w:p>
        </w:tc>
      </w:tr>
      <w:tr>
        <w:trPr>
          <w:cantSplit/>
          <w:trHeight w:val="70"/>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苗木补植方案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olor w:val="000000"/>
                <w:sz w:val="24"/>
                <w:szCs w:val="24"/>
              </w:rPr>
              <w:t xml:space="preserve">5.00</w:t>
            </w:r>
            <w:r>
              <w:rPr>
                <w:rFonts w:hint="eastAsia" w:ascii="仿宋" w:hAnsi="仿宋" w:eastAsia="仿宋"/>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spacing w:line="276" w:lineRule="auto"/>
              <w:widowControl/>
              <w:rPr>
                <w:rFonts w:ascii="仿宋" w:hAnsi="仿宋" w:eastAsia="仿宋"/>
                <w:color w:val="000000"/>
                <w:sz w:val="24"/>
                <w:szCs w:val="24"/>
              </w:rPr>
            </w:pPr>
            <w:r>
              <w:rPr>
                <w:rFonts w:hint="eastAsia" w:ascii="仿宋" w:hAnsi="仿宋" w:eastAsia="仿宋"/>
                <w:color w:val="000000"/>
                <w:sz w:val="24"/>
                <w:szCs w:val="24"/>
              </w:rPr>
              <w:t xml:space="preserve">苗木补植方案主要是指在履约责任期内针对死亡、损坏、生长不良、病虫害、第三方开挖等情况的苗木进行清除、补种、更换、移植方案比较，至少包括第三方开挖处置方案、病虫害苗木补植方案、生长不良处置方案、苗木死亡更换方案、月度苗木统计分析方案这部分内容，技术方案完善、合理、可行性强，得</w:t>
            </w:r>
            <w:r>
              <w:rPr>
                <w:rFonts w:ascii="仿宋" w:hAnsi="仿宋" w:eastAsia="仿宋" w:cs="Calibri"/>
                <w:color w:val="000000"/>
                <w:sz w:val="24"/>
                <w:szCs w:val="24"/>
              </w:rPr>
              <w:t xml:space="preserve">5</w:t>
            </w:r>
            <w:r>
              <w:rPr>
                <w:rFonts w:hint="eastAsia" w:ascii="仿宋" w:hAnsi="仿宋" w:eastAsia="仿宋"/>
                <w:color w:val="000000"/>
                <w:sz w:val="24"/>
                <w:szCs w:val="24"/>
              </w:rPr>
              <w:t xml:space="preserve">分；技术方案基本完整、基本合理，有一定可行性性，得</w:t>
            </w:r>
            <w:r>
              <w:rPr>
                <w:rFonts w:ascii="仿宋" w:hAnsi="仿宋" w:eastAsia="仿宋"/>
                <w:color w:val="000000"/>
                <w:sz w:val="24"/>
                <w:szCs w:val="24"/>
              </w:rPr>
              <w:t xml:space="preserve">3</w:t>
            </w:r>
            <w:r>
              <w:rPr>
                <w:rFonts w:hint="eastAsia" w:ascii="仿宋" w:hAnsi="仿宋" w:eastAsia="仿宋"/>
                <w:color w:val="000000"/>
                <w:sz w:val="24"/>
                <w:szCs w:val="24"/>
              </w:rPr>
              <w:t xml:space="preserve">分；技术方案、措施粗略，可行性不强，得</w:t>
            </w:r>
            <w:r>
              <w:rPr>
                <w:rFonts w:ascii="仿宋" w:hAnsi="仿宋" w:eastAsia="仿宋" w:cs="Calibri"/>
                <w:color w:val="000000"/>
                <w:sz w:val="24"/>
                <w:szCs w:val="24"/>
              </w:rPr>
              <w:t xml:space="preserve">1</w:t>
            </w:r>
            <w:r>
              <w:rPr>
                <w:rFonts w:hint="eastAsia" w:ascii="仿宋" w:hAnsi="仿宋" w:eastAsia="仿宋"/>
                <w:color w:val="000000"/>
                <w:sz w:val="24"/>
                <w:szCs w:val="24"/>
              </w:rPr>
              <w:t xml:space="preserve">分；没有内容或其情况不满足招标文件需求的不得分。</w:t>
            </w:r>
            <w:r/>
          </w:p>
        </w:tc>
      </w:tr>
      <w:tr>
        <w:trPr>
          <w:cantSplit/>
          <w:trHeight w:val="13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养护单位制度管理方案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olor w:val="000000"/>
                <w:sz w:val="24"/>
                <w:szCs w:val="24"/>
              </w:rPr>
              <w:t xml:space="preserve">5.00</w:t>
            </w:r>
            <w:r>
              <w:rPr>
                <w:rFonts w:hint="eastAsia" w:ascii="仿宋" w:hAnsi="仿宋" w:eastAsia="仿宋"/>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spacing w:line="276" w:lineRule="auto"/>
              <w:widowControl/>
              <w:rPr>
                <w:rFonts w:ascii="仿宋" w:hAnsi="仿宋" w:eastAsia="仿宋"/>
                <w:color w:val="000000"/>
                <w:sz w:val="24"/>
                <w:szCs w:val="24"/>
              </w:rPr>
            </w:pPr>
            <w:r>
              <w:rPr>
                <w:rFonts w:hint="eastAsia" w:ascii="仿宋" w:hAnsi="仿宋" w:eastAsia="仿宋"/>
                <w:color w:val="000000"/>
                <w:sz w:val="24"/>
                <w:szCs w:val="24"/>
              </w:rPr>
              <w:t xml:space="preserve">养护单位制度管理方案主要是指在养护单位为能更好的执行合同内容设置的管理制度比较，至少包括日常考勤制度、完善的档案制度、安全教育培训制度、养护标准作业导则、行政人事制度这部分内容，技术方案完善、合理、可行性强，得</w:t>
            </w:r>
            <w:r>
              <w:rPr>
                <w:rFonts w:ascii="仿宋" w:hAnsi="仿宋" w:eastAsia="仿宋" w:cs="Calibri"/>
                <w:color w:val="000000"/>
                <w:sz w:val="24"/>
                <w:szCs w:val="24"/>
              </w:rPr>
              <w:t xml:space="preserve">5</w:t>
            </w:r>
            <w:r>
              <w:rPr>
                <w:rFonts w:hint="eastAsia" w:ascii="仿宋" w:hAnsi="仿宋" w:eastAsia="仿宋"/>
                <w:color w:val="000000"/>
                <w:sz w:val="24"/>
                <w:szCs w:val="24"/>
              </w:rPr>
              <w:t xml:space="preserve">分；技术方案基本完整、基本合理，有一定可行性性，得</w:t>
            </w:r>
            <w:r>
              <w:rPr>
                <w:rFonts w:ascii="仿宋" w:hAnsi="仿宋" w:eastAsia="仿宋"/>
                <w:color w:val="000000"/>
                <w:sz w:val="24"/>
                <w:szCs w:val="24"/>
              </w:rPr>
              <w:t xml:space="preserve">3</w:t>
            </w:r>
            <w:r>
              <w:rPr>
                <w:rFonts w:hint="eastAsia" w:ascii="仿宋" w:hAnsi="仿宋" w:eastAsia="仿宋"/>
                <w:color w:val="000000"/>
                <w:sz w:val="24"/>
                <w:szCs w:val="24"/>
              </w:rPr>
              <w:t xml:space="preserve">分；技术方案、措施粗略，可行性不强，得</w:t>
            </w:r>
            <w:r>
              <w:rPr>
                <w:rFonts w:hint="eastAsia" w:ascii="仿宋" w:hAnsi="仿宋" w:eastAsia="仿宋" w:cs="Calibri"/>
                <w:color w:val="000000"/>
                <w:sz w:val="24"/>
                <w:szCs w:val="24"/>
              </w:rPr>
              <w:t xml:space="preserve">1</w:t>
            </w:r>
            <w:r>
              <w:rPr>
                <w:rFonts w:hint="eastAsia" w:ascii="仿宋" w:hAnsi="仿宋" w:eastAsia="仿宋"/>
                <w:color w:val="000000"/>
                <w:sz w:val="24"/>
                <w:szCs w:val="24"/>
              </w:rPr>
              <w:t xml:space="preserve">分；没有内容或其情况不满足招标文件需求的不得分。</w:t>
            </w:r>
            <w:r/>
          </w:p>
        </w:tc>
      </w:tr>
      <w:tr>
        <w:trPr>
          <w:cantSplit/>
          <w:trHeight w:val="1275"/>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巡视管理</w:t>
            </w:r>
            <w:r/>
          </w:p>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巡视方案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ascii="仿宋" w:hAnsi="仿宋" w:eastAsia="仿宋"/>
                <w:color w:val="000000"/>
                <w:sz w:val="24"/>
                <w:szCs w:val="24"/>
              </w:rPr>
              <w:t xml:space="preserve">5</w:t>
            </w:r>
            <w:r>
              <w:rPr>
                <w:rFonts w:hint="eastAsia"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spacing w:line="276" w:lineRule="auto"/>
              <w:rPr>
                <w:rFonts w:ascii="仿宋" w:hAnsi="仿宋" w:eastAsia="仿宋"/>
                <w:color w:val="000000"/>
                <w:sz w:val="24"/>
                <w:szCs w:val="24"/>
              </w:rPr>
            </w:pPr>
            <w:r>
              <w:rPr>
                <w:rFonts w:hint="eastAsia" w:ascii="仿宋" w:hAnsi="仿宋" w:eastAsia="仿宋"/>
                <w:color w:val="000000"/>
                <w:sz w:val="24"/>
                <w:szCs w:val="24"/>
              </w:rPr>
              <w:t xml:space="preserve">巡视方案主要指人员、设备、巡查路线、巡查频次、巡查节点设置的方案比较，至少包含日常巡视方案、夜间巡视方案、节假日特别巡视方案这部分内容，技术方案完善、合理、可行性强，得</w:t>
            </w:r>
            <w:r>
              <w:rPr>
                <w:rFonts w:ascii="仿宋" w:hAnsi="仿宋" w:eastAsia="仿宋" w:cs="Calibri"/>
                <w:color w:val="000000"/>
                <w:sz w:val="24"/>
                <w:szCs w:val="24"/>
              </w:rPr>
              <w:t xml:space="preserve">5</w:t>
            </w:r>
            <w:r>
              <w:rPr>
                <w:rFonts w:hint="eastAsia" w:ascii="仿宋" w:hAnsi="仿宋" w:eastAsia="仿宋"/>
                <w:color w:val="000000"/>
                <w:sz w:val="24"/>
                <w:szCs w:val="24"/>
              </w:rPr>
              <w:t xml:space="preserve">分；技术方案基本完整、基本合理，有一定可行性性，得</w:t>
            </w:r>
            <w:r>
              <w:rPr>
                <w:rFonts w:ascii="仿宋" w:hAnsi="仿宋" w:eastAsia="仿宋"/>
                <w:color w:val="000000"/>
                <w:sz w:val="24"/>
                <w:szCs w:val="24"/>
              </w:rPr>
              <w:t xml:space="preserve">3</w:t>
            </w:r>
            <w:r>
              <w:rPr>
                <w:rFonts w:hint="eastAsia" w:ascii="仿宋" w:hAnsi="仿宋" w:eastAsia="仿宋"/>
                <w:color w:val="000000"/>
                <w:sz w:val="24"/>
                <w:szCs w:val="24"/>
              </w:rPr>
              <w:t xml:space="preserve">分；技术方案、措施粗略，可行性不强，得</w:t>
            </w:r>
            <w:r>
              <w:rPr>
                <w:rFonts w:ascii="仿宋" w:hAnsi="仿宋" w:eastAsia="仿宋" w:cs="Calibri"/>
                <w:color w:val="000000"/>
                <w:sz w:val="24"/>
                <w:szCs w:val="24"/>
              </w:rPr>
              <w:t xml:space="preserve">1</w:t>
            </w:r>
            <w:r>
              <w:rPr>
                <w:rFonts w:hint="eastAsia" w:ascii="仿宋" w:hAnsi="仿宋" w:eastAsia="仿宋"/>
                <w:color w:val="000000"/>
                <w:sz w:val="24"/>
                <w:szCs w:val="24"/>
              </w:rPr>
              <w:t xml:space="preserve">分；没有内容或其情况不满足招标文件需求的不得分。</w:t>
            </w:r>
            <w:r/>
          </w:p>
        </w:tc>
      </w:tr>
      <w:tr>
        <w:trPr>
          <w:cantSplit/>
          <w:trHeight w:val="557"/>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olor w:val="000000"/>
                <w:sz w:val="24"/>
                <w:szCs w:val="24"/>
              </w:rPr>
            </w:pPr>
            <w:r>
              <w:rPr>
                <w:rFonts w:hint="eastAsia" w:ascii="仿宋" w:hAnsi="仿宋" w:eastAsia="仿宋"/>
                <w:color w:val="000000"/>
                <w:sz w:val="24"/>
                <w:szCs w:val="24"/>
              </w:rPr>
              <w:t xml:space="preserve">安全管理方案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hint="eastAsia" w:ascii="仿宋" w:hAnsi="仿宋" w:eastAsia="仿宋"/>
                <w:color w:val="000000"/>
                <w:sz w:val="24"/>
                <w:szCs w:val="24"/>
              </w:rPr>
              <w:t xml:space="preserve">7.00分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spacing w:line="276" w:lineRule="auto"/>
              <w:rPr>
                <w:rFonts w:ascii="仿宋" w:hAnsi="仿宋" w:eastAsia="仿宋"/>
                <w:color w:val="000000"/>
                <w:sz w:val="24"/>
                <w:szCs w:val="24"/>
              </w:rPr>
            </w:pPr>
            <w:r>
              <w:rPr>
                <w:rFonts w:hint="eastAsia" w:ascii="仿宋" w:hAnsi="仿宋" w:eastAsia="仿宋"/>
                <w:color w:val="000000"/>
                <w:sz w:val="24"/>
                <w:szCs w:val="24"/>
              </w:rPr>
              <w:t xml:space="preserve">主要包括正常养护作业时和发生事故时的安全防护措施，至少包含登高、有毒药品使用、修剪、高空作业、高温作业等方案编制；技术方案完善、合理、可行性强，得</w:t>
            </w:r>
            <w:r>
              <w:rPr>
                <w:rFonts w:ascii="仿宋" w:hAnsi="仿宋" w:eastAsia="仿宋" w:cs="Calibri"/>
                <w:color w:val="000000"/>
                <w:sz w:val="24"/>
                <w:szCs w:val="24"/>
              </w:rPr>
              <w:t xml:space="preserve">7</w:t>
            </w:r>
            <w:r>
              <w:rPr>
                <w:rFonts w:hint="eastAsia" w:ascii="仿宋" w:hAnsi="仿宋" w:eastAsia="仿宋"/>
                <w:color w:val="000000"/>
                <w:sz w:val="24"/>
                <w:szCs w:val="24"/>
              </w:rPr>
              <w:t xml:space="preserve">分；技术方案基本完整、基本合理，有一定可行性性，得</w:t>
            </w:r>
            <w:r>
              <w:rPr>
                <w:rFonts w:ascii="仿宋" w:hAnsi="仿宋" w:eastAsia="仿宋"/>
                <w:color w:val="000000"/>
                <w:sz w:val="24"/>
                <w:szCs w:val="24"/>
              </w:rPr>
              <w:t xml:space="preserve">5</w:t>
            </w:r>
            <w:r>
              <w:rPr>
                <w:rFonts w:hint="eastAsia" w:ascii="仿宋" w:hAnsi="仿宋" w:eastAsia="仿宋"/>
                <w:color w:val="000000"/>
                <w:sz w:val="24"/>
                <w:szCs w:val="24"/>
              </w:rPr>
              <w:t xml:space="preserve">分；技术方案、措施粗略，可行性不强，得</w:t>
            </w:r>
            <w:r>
              <w:rPr>
                <w:rFonts w:ascii="仿宋" w:hAnsi="仿宋" w:eastAsia="仿宋" w:cs="Calibri"/>
                <w:color w:val="000000"/>
                <w:sz w:val="24"/>
                <w:szCs w:val="24"/>
              </w:rPr>
              <w:t xml:space="preserve">3</w:t>
            </w:r>
            <w:r>
              <w:rPr>
                <w:rFonts w:hint="eastAsia" w:ascii="仿宋" w:hAnsi="仿宋" w:eastAsia="仿宋"/>
                <w:color w:val="000000"/>
                <w:sz w:val="24"/>
                <w:szCs w:val="24"/>
              </w:rPr>
              <w:t xml:space="preserve">分；没有内容或其情况不满足招标文件需求的不得分。</w:t>
            </w:r>
            <w:r/>
          </w:p>
        </w:tc>
      </w:tr>
      <w:tr>
        <w:trPr>
          <w:cantSplit/>
          <w:trHeight w:val="1277"/>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olor w:val="000000"/>
                <w:sz w:val="24"/>
                <w:szCs w:val="24"/>
              </w:rPr>
            </w:pPr>
            <w:r>
              <w:rPr>
                <w:rFonts w:hint="eastAsia" w:ascii="仿宋" w:hAnsi="仿宋" w:eastAsia="仿宋"/>
                <w:color w:val="000000"/>
                <w:sz w:val="24"/>
                <w:szCs w:val="24"/>
              </w:rPr>
              <w:t xml:space="preserve">应急保障方案比较</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ascii="仿宋" w:hAnsi="仿宋" w:eastAsia="仿宋"/>
                <w:color w:val="000000"/>
                <w:sz w:val="24"/>
                <w:szCs w:val="24"/>
              </w:rPr>
              <w:t xml:space="preserve">5</w:t>
            </w:r>
            <w:r>
              <w:rPr>
                <w:rFonts w:hint="eastAsia"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spacing w:line="276" w:lineRule="auto"/>
              <w:rPr>
                <w:rFonts w:ascii="仿宋" w:hAnsi="仿宋" w:eastAsia="仿宋"/>
                <w:color w:val="000000"/>
                <w:sz w:val="24"/>
                <w:szCs w:val="24"/>
              </w:rPr>
            </w:pPr>
            <w:r>
              <w:rPr>
                <w:rFonts w:hint="eastAsia" w:ascii="仿宋" w:hAnsi="仿宋" w:eastAsia="仿宋"/>
                <w:color w:val="000000"/>
                <w:sz w:val="24"/>
                <w:szCs w:val="24"/>
              </w:rPr>
              <w:t xml:space="preserve">树木倒伏、恶劣天气、抗旱防涝、流行性病虫害预防等应急保障方案措施；技术方案完善、合理、可行性强，得</w:t>
            </w:r>
            <w:r>
              <w:rPr>
                <w:rFonts w:ascii="仿宋" w:hAnsi="仿宋" w:eastAsia="仿宋" w:cs="Calibri"/>
                <w:color w:val="000000"/>
                <w:sz w:val="24"/>
                <w:szCs w:val="24"/>
              </w:rPr>
              <w:t xml:space="preserve">5</w:t>
            </w:r>
            <w:r>
              <w:rPr>
                <w:rFonts w:hint="eastAsia" w:ascii="仿宋" w:hAnsi="仿宋" w:eastAsia="仿宋"/>
                <w:color w:val="000000"/>
                <w:sz w:val="24"/>
                <w:szCs w:val="24"/>
              </w:rPr>
              <w:t xml:space="preserve">分；技术方案基本完整、基本合理，有一定可行性性，得</w:t>
            </w:r>
            <w:r>
              <w:rPr>
                <w:rFonts w:ascii="仿宋" w:hAnsi="仿宋" w:eastAsia="仿宋"/>
                <w:color w:val="000000"/>
                <w:sz w:val="24"/>
                <w:szCs w:val="24"/>
              </w:rPr>
              <w:t xml:space="preserve">3</w:t>
            </w:r>
            <w:r>
              <w:rPr>
                <w:rFonts w:hint="eastAsia" w:ascii="仿宋" w:hAnsi="仿宋" w:eastAsia="仿宋"/>
                <w:color w:val="000000"/>
                <w:sz w:val="24"/>
                <w:szCs w:val="24"/>
              </w:rPr>
              <w:t xml:space="preserve">分；技术方案、措施粗略，可行性不强，得</w:t>
            </w:r>
            <w:r>
              <w:rPr>
                <w:rFonts w:ascii="仿宋" w:hAnsi="仿宋" w:eastAsia="仿宋" w:cs="Calibri"/>
                <w:color w:val="000000"/>
                <w:sz w:val="24"/>
                <w:szCs w:val="24"/>
              </w:rPr>
              <w:t xml:space="preserve">1</w:t>
            </w:r>
            <w:r>
              <w:rPr>
                <w:rFonts w:hint="eastAsia" w:ascii="仿宋" w:hAnsi="仿宋" w:eastAsia="仿宋"/>
                <w:color w:val="000000"/>
                <w:sz w:val="24"/>
                <w:szCs w:val="24"/>
              </w:rPr>
              <w:t xml:space="preserve">分；没有内容或其情况不满足招标文件需求的不得分。</w:t>
            </w:r>
            <w:bookmarkEnd w:id="232"/>
            <w:r/>
            <w:r/>
          </w:p>
        </w:tc>
      </w:tr>
    </w:tbl>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（三）评标结果。</w:t>
      </w:r>
      <w:r>
        <w:rPr>
          <w:rFonts w:hint="eastAsia" w:ascii="仿宋" w:hAnsi="仿宋" w:eastAsia="仿宋"/>
          <w:sz w:val="24"/>
          <w:szCs w:val="24"/>
          <w:highlight w:val="white"/>
        </w:rPr>
        <w:t xml:space="preserve">评标委员会按照本办法规定推荐中标候选人，并形成评标报告。</w:t>
      </w:r>
      <w:r/>
    </w:p>
    <w:p>
      <w:pPr>
        <w:ind w:firstLine="241"/>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（四）政府采购政策功能落实</w:t>
      </w:r>
      <w:r/>
    </w:p>
    <w:p>
      <w:pPr>
        <w:ind w:firstLine="241"/>
        <w:spacing w:line="276" w:lineRule="auto"/>
        <w:rPr>
          <w:rFonts w:ascii="仿宋" w:hAnsi="仿宋" w:eastAsia="仿宋"/>
          <w:b/>
          <w:sz w:val="24"/>
          <w:szCs w:val="24"/>
          <w:highlight w:val="white"/>
        </w:rPr>
      </w:pPr>
      <w:r>
        <w:rPr>
          <w:rFonts w:hint="eastAsia" w:ascii="仿宋" w:hAnsi="仿宋" w:eastAsia="仿宋"/>
          <w:b/>
          <w:bCs/>
          <w:sz w:val="24"/>
          <w:szCs w:val="24"/>
          <w:highlight w:val="white"/>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3</w:t>
      </w:r>
      <w:r>
        <w:rPr>
          <w:rFonts w:hint="eastAsia" w:ascii="仿宋" w:hAnsi="仿宋" w:eastAsia="仿宋"/>
          <w:b/>
          <w:bCs/>
          <w:sz w:val="24"/>
          <w:szCs w:val="24"/>
          <w:u w:val="single"/>
        </w:rPr>
        <w:t xml:space="preserve">、4</w:t>
      </w:r>
      <w:r/>
    </w:p>
    <w:p>
      <w:pPr>
        <w:numPr>
          <w:ilvl w:val="0"/>
          <w:numId w:val="6"/>
        </w:num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采购本国货物、工程和服务</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本项目按以下第</w:t>
      </w:r>
      <w:r>
        <w:rPr>
          <w:rFonts w:ascii="仿宋" w:hAnsi="仿宋" w:eastAsia="仿宋"/>
          <w:b/>
          <w:bCs/>
          <w:sz w:val="24"/>
          <w:szCs w:val="24"/>
          <w:u w:val="single"/>
        </w:rPr>
        <w:t xml:space="preserve">2</w:t>
      </w:r>
      <w:r>
        <w:rPr>
          <w:rFonts w:hint="eastAsia" w:ascii="仿宋" w:hAnsi="仿宋" w:eastAsia="仿宋"/>
          <w:sz w:val="24"/>
          <w:szCs w:val="24"/>
        </w:rPr>
        <w:t xml:space="preserve">种政策确定本项目落实的中小企业政策：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投标人提供的服务符合下列情形的，对小微企业报价给予</w:t>
      </w:r>
      <w:r>
        <w:rPr>
          <w:rFonts w:ascii="仿宋" w:hAnsi="仿宋" w:eastAsia="仿宋" w:cs="仿宋_GB2312"/>
          <w:sz w:val="24"/>
          <w:szCs w:val="24"/>
          <w:u w:val="single"/>
        </w:rPr>
        <w:t xml:space="preserve">10 </w:t>
      </w:r>
      <w:r>
        <w:rPr>
          <w:rFonts w:hint="eastAsia" w:ascii="仿宋" w:hAnsi="仿宋" w:eastAsia="仿宋" w:cs="仿宋_GB2312"/>
          <w:sz w:val="24"/>
          <w:szCs w:val="24"/>
          <w:u w:val="single"/>
        </w:rPr>
        <w:t xml:space="preserve">%</w:t>
      </w:r>
      <w:r>
        <w:rPr>
          <w:rFonts w:hint="eastAsia" w:ascii="仿宋" w:hAnsi="仿宋" w:eastAsia="仿宋" w:cs="仿宋_GB2312"/>
          <w:sz w:val="24"/>
          <w:szCs w:val="24"/>
        </w:rPr>
        <w:t xml:space="preserve">的扣除，用扣除后的价格参加评审。</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在服务采购项目中，服务由中小企业承接，即提供服务的人员为中小企业依照《中华人民共和国民法典》订立劳动合同的从业人员。</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3、政府采购节能产品、环境标志产品</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w:t>
      </w:r>
      <w:r>
        <w:rPr>
          <w:rFonts w:hint="eastAsia" w:ascii="仿宋" w:hAnsi="仿宋" w:eastAsia="仿宋" w:cs="仿宋_GB2312"/>
          <w:sz w:val="24"/>
          <w:szCs w:val="24"/>
          <w:highlight w:val="white"/>
        </w:rPr>
        <w:t xml:space="preserve">证书的产品实施政府优先采购或强制采购。投标人须按招标文件要求提供相关产品认证证书。</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（3）采购人拟采购的产品属于优先采购的节能环保品目清单范围的，按以下条件优先采购：</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采用综合评分法的项目，对提供有效节能环保证书的投标人加分。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采用最低评标价法的项目，同等条件下优先推荐提供有效节能环保证书多的投标人为中标人。</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4、商品包装、快递包装政府采购需求标准（试行）</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5、绿色数据中心政府采购需求标准（试行）</w:t>
      </w:r>
      <w:r/>
    </w:p>
    <w:p>
      <w:pPr>
        <w:ind w:firstLine="480"/>
        <w:spacing w:line="276" w:lineRule="auto"/>
        <w:rPr>
          <w:rFonts w:ascii="仿宋" w:hAnsi="仿宋" w:eastAsia="仿宋"/>
          <w:sz w:val="24"/>
          <w:szCs w:val="24"/>
        </w:rPr>
      </w:pPr>
      <w:r>
        <w:rPr>
          <w:rFonts w:hint="eastAsia" w:ascii="仿宋" w:hAnsi="仿宋" w:eastAsia="仿宋" w:cs="仿宋_GB2312"/>
          <w:sz w:val="24"/>
          <w:szCs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747"/>
        <w:spacing w:line="360" w:lineRule="auto"/>
        <w:rPr>
          <w:rFonts w:ascii="黑体" w:hAnsi="黑体" w:eastAsia="黑体"/>
          <w:sz w:val="44"/>
          <w:szCs w:val="44"/>
        </w:rPr>
      </w:pPr>
      <w:r>
        <w:rPr>
          <w:rFonts w:ascii="Times New Roman" w:eastAsia="黑体"/>
          <w:bCs/>
          <w:sz w:val="44"/>
        </w:rPr>
        <w:br w:type="page" w:clear="all"/>
      </w:r>
      <w:bookmarkStart w:id="233" w:name="_Toc162865674"/>
      <w:r>
        <w:rPr>
          <w:rFonts w:hint="eastAsia" w:ascii="黑体" w:hAnsi="黑体" w:eastAsia="黑体"/>
          <w:sz w:val="44"/>
          <w:szCs w:val="44"/>
        </w:rPr>
        <w:t xml:space="preserve">第六章  投标</w:t>
      </w:r>
      <w:bookmarkEnd w:id="222"/>
      <w:r/>
      <w:bookmarkEnd w:id="223"/>
      <w:r/>
      <w:bookmarkEnd w:id="224"/>
      <w:r>
        <w:rPr>
          <w:rFonts w:hint="eastAsia" w:ascii="黑体" w:hAnsi="黑体" w:eastAsia="黑体"/>
          <w:sz w:val="44"/>
          <w:szCs w:val="44"/>
        </w:rPr>
        <w:t xml:space="preserve">文件格式</w:t>
      </w:r>
      <w:bookmarkEnd w:id="233"/>
      <w:r>
        <w:rPr>
          <w:rFonts w:hint="eastAsia" w:ascii="黑体" w:hAnsi="黑体" w:eastAsia="黑体"/>
          <w:sz w:val="44"/>
          <w:szCs w:val="44"/>
        </w:rPr>
        <w:t xml:space="preserve"> </w:t>
      </w:r>
      <w:r/>
    </w:p>
    <w:p>
      <w:pPr>
        <w:jc w:val="center"/>
        <w:rPr>
          <w:b/>
          <w:sz w:val="72"/>
        </w:rPr>
      </w:pPr>
      <w:r/>
      <w:bookmarkStart w:id="234" w:name="_Hlt26955039"/>
      <w:r/>
      <w:bookmarkStart w:id="235" w:name="_Hlt26671244"/>
      <w:r/>
      <w:bookmarkStart w:id="236" w:name="_Toc49090576"/>
      <w:r/>
      <w:bookmarkStart w:id="237" w:name="_Toc26554094"/>
      <w:r/>
      <w:bookmarkStart w:id="238" w:name="_Toc120614282"/>
      <w:r/>
      <w:bookmarkEnd w:id="234"/>
      <w:r/>
      <w:bookmarkEnd w:id="235"/>
      <w:r/>
      <w:r/>
    </w:p>
    <w:p>
      <w:pPr>
        <w:jc w:val="center"/>
        <w:rPr>
          <w:b/>
          <w:sz w:val="72"/>
        </w:rPr>
      </w:pPr>
      <w:r>
        <w:rPr>
          <w:b/>
          <w:sz w:val="72"/>
        </w:rPr>
      </w:r>
      <w:r/>
    </w:p>
    <w:p>
      <w:pPr>
        <w:jc w:val="center"/>
        <w:rPr>
          <w:b/>
          <w:sz w:val="72"/>
        </w:rPr>
      </w:pPr>
      <w:r>
        <w:rPr>
          <w:b/>
          <w:sz w:val="72"/>
        </w:rPr>
      </w:r>
      <w:r/>
    </w:p>
    <w:p>
      <w:pPr>
        <w:jc w:val="center"/>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rPr>
          <w:b/>
          <w:sz w:val="72"/>
        </w:rPr>
      </w:pPr>
      <w:r>
        <w:rPr>
          <w:b/>
          <w:sz w:val="72"/>
        </w:rPr>
      </w:r>
      <w:r/>
    </w:p>
    <w:p>
      <w:pPr>
        <w:jc w:val="center"/>
        <w:rPr>
          <w:b/>
          <w:sz w:val="72"/>
        </w:rPr>
      </w:pPr>
      <w:r>
        <w:rPr>
          <w:b/>
          <w:sz w:val="72"/>
        </w:rPr>
      </w:r>
      <w:r/>
    </w:p>
    <w:p>
      <w:pPr>
        <w:jc w:val="center"/>
        <w:rPr>
          <w:b/>
          <w:sz w:val="72"/>
        </w:rPr>
      </w:pPr>
      <w:r>
        <w:rPr>
          <w:b/>
          <w:sz w:val="72"/>
        </w:rPr>
      </w:r>
      <w:r/>
    </w:p>
    <w:p>
      <w:pPr>
        <w:ind w:firstLine="1084"/>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360" w:lineRule="auto"/>
        <w:rPr>
          <w:rFonts w:ascii="仿宋" w:hAnsi="仿宋" w:eastAsia="仿宋"/>
          <w:b/>
          <w:bCs/>
          <w:sz w:val="24"/>
          <w:szCs w:val="24"/>
        </w:rPr>
      </w:pPr>
      <w:r>
        <w:rPr>
          <w:rFonts w:hint="eastAsia" w:ascii="仿宋" w:hAnsi="仿宋" w:eastAsia="仿宋"/>
          <w:b/>
          <w:bCs/>
          <w:sz w:val="24"/>
          <w:szCs w:val="24"/>
        </w:rPr>
        <w:t xml:space="preserve">投标文件目录</w:t>
      </w:r>
      <w:r/>
    </w:p>
    <w:p>
      <w:pPr>
        <w:jc w:val="center"/>
        <w:spacing w:line="360" w:lineRule="auto"/>
        <w:rPr>
          <w:rFonts w:ascii="仿宋" w:hAnsi="仿宋" w:eastAsia="仿宋"/>
          <w:b/>
          <w:bCs/>
          <w:sz w:val="24"/>
          <w:szCs w:val="24"/>
        </w:rPr>
      </w:pPr>
      <w:r>
        <w:rPr>
          <w:rFonts w:ascii="仿宋" w:hAnsi="仿宋" w:eastAsia="仿宋"/>
          <w:b/>
          <w:bCs/>
          <w:sz w:val="24"/>
          <w:szCs w:val="24"/>
        </w:rPr>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一、投标声明及承诺函</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二、投标人基本情况</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三、法人授权书</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四、开标一览表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五、投标报价明细表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六、中小企业声明函</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七、技术要求响应及偏离表</w:t>
      </w:r>
      <w:r/>
    </w:p>
    <w:p>
      <w:pPr>
        <w:ind w:firstLine="560"/>
        <w:spacing w:line="360" w:lineRule="auto"/>
        <w:rPr>
          <w:rFonts w:ascii="仿宋" w:hAnsi="仿宋" w:eastAsia="仿宋" w:cs="宋体"/>
          <w:sz w:val="24"/>
          <w:szCs w:val="24"/>
        </w:rPr>
      </w:pPr>
      <w:r>
        <w:rPr>
          <w:rFonts w:ascii="仿宋" w:hAnsi="仿宋" w:eastAsia="仿宋" w:cs="宋体"/>
          <w:sz w:val="24"/>
          <w:szCs w:val="24"/>
        </w:rPr>
        <w:t xml:space="preserve">八、项目实施方案</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九、项目组成员</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十、企业业绩</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十一、用工承诺书</w:t>
      </w:r>
      <w:r/>
    </w:p>
    <w:p>
      <w:pPr>
        <w:ind w:firstLine="560"/>
        <w:spacing w:line="360" w:lineRule="auto"/>
        <w:rPr>
          <w:rFonts w:ascii="仿宋" w:hAnsi="仿宋" w:eastAsia="仿宋" w:cs="宋体"/>
          <w:sz w:val="24"/>
          <w:szCs w:val="24"/>
        </w:rPr>
      </w:pPr>
      <w:r>
        <w:rPr>
          <w:rFonts w:ascii="仿宋" w:hAnsi="仿宋" w:eastAsia="仿宋" w:cs="宋体"/>
          <w:sz w:val="24"/>
          <w:szCs w:val="24"/>
        </w:rPr>
        <w:t xml:space="preserve">十二</w:t>
      </w:r>
      <w:r>
        <w:rPr>
          <w:rFonts w:hint="eastAsia" w:ascii="仿宋" w:hAnsi="仿宋" w:eastAsia="仿宋" w:cs="宋体"/>
          <w:sz w:val="24"/>
          <w:szCs w:val="24"/>
        </w:rPr>
        <w:t xml:space="preserve">、</w:t>
      </w:r>
      <w:r>
        <w:rPr>
          <w:rFonts w:ascii="仿宋" w:hAnsi="仿宋" w:eastAsia="仿宋" w:cs="宋体"/>
          <w:sz w:val="24"/>
          <w:szCs w:val="24"/>
        </w:rPr>
        <w:t xml:space="preserve">办公场所承诺书</w:t>
      </w:r>
      <w:r/>
    </w:p>
    <w:p>
      <w:pPr>
        <w:ind w:firstLine="560"/>
        <w:spacing w:line="360" w:lineRule="auto"/>
        <w:rPr>
          <w:rFonts w:ascii="仿宋" w:hAnsi="仿宋" w:eastAsia="仿宋" w:cs="宋体"/>
          <w:sz w:val="24"/>
          <w:szCs w:val="24"/>
        </w:rPr>
      </w:pPr>
      <w:r>
        <w:rPr>
          <w:rFonts w:ascii="仿宋" w:hAnsi="仿宋" w:eastAsia="仿宋" w:cs="宋体"/>
          <w:sz w:val="24"/>
          <w:szCs w:val="24"/>
        </w:rPr>
        <w:t xml:space="preserve">十三</w:t>
      </w:r>
      <w:r>
        <w:rPr>
          <w:rFonts w:hint="eastAsia" w:ascii="仿宋" w:hAnsi="仿宋" w:eastAsia="仿宋" w:cs="宋体"/>
          <w:sz w:val="24"/>
          <w:szCs w:val="24"/>
        </w:rPr>
        <w:t xml:space="preserve">、</w:t>
      </w:r>
      <w:r>
        <w:rPr>
          <w:rFonts w:ascii="仿宋" w:hAnsi="仿宋" w:eastAsia="仿宋" w:cs="宋体"/>
          <w:sz w:val="24"/>
          <w:szCs w:val="24"/>
        </w:rPr>
        <w:t xml:space="preserve">车辆常驻苏宿园区承诺书</w:t>
      </w:r>
      <w:r/>
    </w:p>
    <w:p>
      <w:pPr>
        <w:ind w:firstLine="560"/>
        <w:spacing w:line="360" w:lineRule="auto"/>
        <w:rPr>
          <w:rFonts w:ascii="仿宋" w:hAnsi="仿宋" w:eastAsia="仿宋" w:cs="宋体"/>
          <w:sz w:val="24"/>
          <w:szCs w:val="24"/>
        </w:rPr>
      </w:pPr>
      <w:r>
        <w:rPr>
          <w:rFonts w:ascii="仿宋" w:hAnsi="仿宋" w:eastAsia="仿宋" w:cs="宋体"/>
          <w:sz w:val="24"/>
          <w:szCs w:val="24"/>
        </w:rPr>
        <w:t xml:space="preserve">十四</w:t>
      </w:r>
      <w:r>
        <w:rPr>
          <w:rFonts w:hint="eastAsia" w:ascii="仿宋" w:hAnsi="仿宋" w:eastAsia="仿宋" w:cs="宋体"/>
          <w:sz w:val="24"/>
          <w:szCs w:val="24"/>
        </w:rPr>
        <w:t xml:space="preserve">、</w:t>
      </w:r>
      <w:r>
        <w:rPr>
          <w:rFonts w:ascii="仿宋" w:hAnsi="仿宋" w:eastAsia="仿宋" w:cs="宋体"/>
          <w:sz w:val="24"/>
          <w:szCs w:val="24"/>
        </w:rPr>
        <w:t xml:space="preserve">工程投标及施工管理承诺书</w:t>
      </w:r>
      <w:r/>
    </w:p>
    <w:p>
      <w:pPr>
        <w:ind w:firstLine="560"/>
        <w:spacing w:line="360" w:lineRule="auto"/>
        <w:rPr>
          <w:rFonts w:ascii="仿宋" w:hAnsi="仿宋" w:eastAsia="仿宋" w:cs="宋体"/>
          <w:sz w:val="24"/>
          <w:szCs w:val="24"/>
        </w:rPr>
      </w:pPr>
      <w:r>
        <w:rPr>
          <w:rFonts w:ascii="仿宋" w:hAnsi="仿宋" w:eastAsia="仿宋" w:cs="宋体"/>
          <w:sz w:val="24"/>
          <w:szCs w:val="24"/>
        </w:rPr>
        <w:t xml:space="preserve">十五、拟投入设备配置表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十六、投标所需其他材料</w:t>
      </w:r>
      <w:r/>
    </w:p>
    <w:p>
      <w:pPr>
        <w:pStyle w:val="748"/>
        <w:jc w:val="left"/>
        <w:keepNext w:val="0"/>
        <w:spacing w:before="120" w:after="120" w:line="360" w:lineRule="auto"/>
        <w:rPr>
          <w:rFonts w:ascii="黑体" w:hAnsi="黑体" w:eastAsia="黑体" w:cs="Times New Roman"/>
          <w:sz w:val="32"/>
          <w:szCs w:val="32"/>
        </w:rPr>
      </w:pPr>
      <w:r>
        <w:rPr>
          <w:rFonts w:ascii="Times New Roman" w:hAnsi="Times New Roman" w:eastAsia="宋体" w:cs="Times New Roman"/>
          <w:sz w:val="32"/>
          <w:szCs w:val="32"/>
        </w:rPr>
        <w:br w:type="page" w:clear="all"/>
      </w:r>
      <w:bookmarkStart w:id="239" w:name="_Toc162865675"/>
      <w:r>
        <w:rPr>
          <w:rFonts w:hint="eastAsia" w:ascii="黑体" w:hAnsi="黑体" w:eastAsia="黑体" w:cs="Times New Roman"/>
          <w:sz w:val="32"/>
          <w:szCs w:val="32"/>
        </w:rPr>
        <w:t xml:space="preserve">一、</w:t>
      </w:r>
      <w:bookmarkEnd w:id="236"/>
      <w:r/>
      <w:bookmarkEnd w:id="237"/>
      <w:r/>
      <w:bookmarkEnd w:id="238"/>
      <w:r>
        <w:rPr>
          <w:rFonts w:hint="eastAsia" w:ascii="黑体" w:hAnsi="黑体" w:eastAsia="黑体" w:cs="Times New Roman"/>
          <w:sz w:val="32"/>
          <w:szCs w:val="32"/>
        </w:rPr>
        <w:t xml:space="preserve">投标声明及承诺函</w:t>
      </w:r>
      <w:bookmarkEnd w:id="239"/>
      <w:r/>
      <w:r/>
    </w:p>
    <w:p>
      <w:pPr>
        <w:pStyle w:val="1011"/>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项目的招标文件，我方在参加本项目招投标活动中，特做出如下承诺：</w:t>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szCs w:val="24"/>
          <w:highlight w:val="white"/>
        </w:rPr>
        <w:t xml:space="preserve">具备《中华人民共和国政府采购法》第二十二条第一款规定的6项条件；</w:t>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三、我方按招标文件要求提交投标文件，响应招标文件规定的投标有效期；</w:t>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1011"/>
        <w:ind w:firstLine="480"/>
        <w:jc w:val="left"/>
        <w:spacing w:line="360" w:lineRule="auto"/>
        <w:rPr>
          <w:rFonts w:ascii="仿宋" w:hAnsi="仿宋" w:eastAsia="仿宋"/>
          <w:sz w:val="24"/>
          <w:szCs w:val="24"/>
        </w:rPr>
      </w:pPr>
      <w:r>
        <w:rPr>
          <w:rFonts w:ascii="仿宋" w:hAnsi="仿宋" w:eastAsia="仿宋"/>
          <w:sz w:val="24"/>
          <w:szCs w:val="24"/>
        </w:rPr>
      </w:r>
      <w:r/>
    </w:p>
    <w:p>
      <w:pPr>
        <w:pStyle w:val="1011"/>
        <w:jc w:val="left"/>
        <w:spacing w:line="360" w:lineRule="auto"/>
        <w:rPr>
          <w:rFonts w:ascii="仿宋" w:hAnsi="仿宋" w:eastAsia="仿宋"/>
          <w:sz w:val="24"/>
          <w:szCs w:val="24"/>
        </w:rPr>
      </w:pPr>
      <w:r>
        <w:rPr>
          <w:rFonts w:ascii="仿宋" w:hAnsi="仿宋" w:eastAsia="仿宋"/>
          <w:sz w:val="24"/>
          <w:szCs w:val="24"/>
        </w:rPr>
      </w:r>
      <w:r/>
    </w:p>
    <w:p>
      <w:pPr>
        <w:pStyle w:val="1011"/>
        <w:ind w:firstLine="480"/>
        <w:jc w:val="left"/>
        <w:spacing w:line="360" w:lineRule="auto"/>
        <w:rPr>
          <w:rFonts w:ascii="仿宋" w:hAnsi="仿宋" w:eastAsia="仿宋"/>
          <w:sz w:val="24"/>
          <w:szCs w:val="24"/>
        </w:rPr>
      </w:pPr>
      <w:r>
        <w:rPr>
          <w:rFonts w:hint="eastAsia" w:ascii="仿宋" w:hAnsi="仿宋" w:eastAsia="仿宋"/>
          <w:sz w:val="24"/>
          <w:szCs w:val="24"/>
        </w:rPr>
        <w:t xml:space="preserve">投标人名称：</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pStyle w:val="1011"/>
        <w:ind w:firstLine="480"/>
        <w:spacing w:line="360" w:lineRule="auto"/>
        <w:rPr>
          <w:rFonts w:ascii="仿宋" w:hAnsi="仿宋" w:eastAsia="仿宋"/>
          <w:sz w:val="24"/>
          <w:szCs w:val="24"/>
        </w:rPr>
      </w:pPr>
      <w:r>
        <w:rPr>
          <w:rFonts w:hint="eastAsia" w:ascii="仿宋" w:hAnsi="仿宋" w:eastAsia="仿宋"/>
          <w:sz w:val="24"/>
          <w:szCs w:val="24"/>
        </w:rPr>
        <w:t xml:space="preserve">日期：    年    月   日</w:t>
      </w:r>
      <w:r/>
    </w:p>
    <w:p>
      <w:pPr>
        <w:pStyle w:val="748"/>
        <w:jc w:val="left"/>
        <w:keepNext w:val="0"/>
        <w:spacing w:before="120" w:after="120" w:line="360" w:lineRule="auto"/>
        <w:rPr>
          <w:rFonts w:ascii="黑体" w:hAnsi="黑体" w:eastAsia="黑体"/>
          <w:sz w:val="32"/>
          <w:szCs w:val="32"/>
        </w:rPr>
      </w:pPr>
      <w:r>
        <w:rPr>
          <w:rFonts w:ascii="仿宋" w:hAnsi="仿宋" w:eastAsia="仿宋"/>
          <w:sz w:val="24"/>
          <w:szCs w:val="24"/>
        </w:rPr>
        <w:br w:type="page" w:clear="all"/>
      </w:r>
      <w:bookmarkStart w:id="240" w:name="_Toc162865676"/>
      <w:r>
        <w:rPr>
          <w:rFonts w:hint="eastAsia" w:ascii="黑体" w:hAnsi="黑体" w:eastAsia="黑体" w:cs="Times New Roman"/>
          <w:sz w:val="32"/>
          <w:szCs w:val="32"/>
        </w:rPr>
        <w:t xml:space="preserve">二、投标人基本情况</w:t>
      </w:r>
      <w:bookmarkEnd w:id="240"/>
      <w:r/>
      <w:r/>
    </w:p>
    <w:p>
      <w:pPr>
        <w:pStyle w:val="1014"/>
        <w:jc w:val="center"/>
        <w:spacing w:line="360" w:lineRule="auto"/>
        <w:rPr>
          <w:rFonts w:ascii="仿宋" w:hAnsi="仿宋" w:eastAsia="仿宋"/>
          <w:sz w:val="28"/>
          <w:szCs w:val="24"/>
        </w:rPr>
      </w:pPr>
      <w:r>
        <w:rPr>
          <w:rFonts w:hint="eastAsia" w:ascii="仿宋" w:hAnsi="仿宋" w:eastAsia="仿宋"/>
          <w:sz w:val="28"/>
          <w:szCs w:val="24"/>
        </w:rPr>
        <w:t xml:space="preserve">投标人基本情况表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投标人名称</w:t>
            </w:r>
            <w:r/>
          </w:p>
        </w:tc>
        <w:tc>
          <w:tcPr>
            <w:gridSpan w:val="3"/>
            <w:tcW w:w="699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投标人类别</w:t>
            </w:r>
            <w:r/>
          </w:p>
        </w:tc>
        <w:tc>
          <w:tcPr>
            <w:gridSpan w:val="3"/>
            <w:tcW w:w="699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1014"/>
              <w:jc w:val="center"/>
              <w:spacing w:line="360" w:lineRule="auto"/>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1014"/>
              <w:ind w:firstLine="1432"/>
              <w:spacing w:line="360" w:lineRule="auto"/>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1014"/>
              <w:jc w:val="center"/>
              <w:spacing w:line="360" w:lineRule="auto"/>
              <w:rPr>
                <w:rFonts w:ascii="仿宋" w:hAnsi="仿宋" w:eastAsia="仿宋"/>
                <w:sz w:val="24"/>
                <w:szCs w:val="24"/>
              </w:rPr>
            </w:pPr>
            <w:r>
              <w:rPr>
                <w:rFonts w:hint="eastAsia" w:ascii="仿宋" w:hAnsi="仿宋" w:eastAsia="仿宋"/>
                <w:sz w:val="24"/>
                <w:szCs w:val="24"/>
              </w:rPr>
              <w:t xml:space="preserve">无需提供营业执照等证明材料</w:t>
            </w:r>
            <w:r/>
          </w:p>
        </w:tc>
      </w:tr>
    </w:tbl>
    <w:p>
      <w:pPr>
        <w:pStyle w:val="983"/>
        <w:ind w:firstLine="480"/>
        <w:rPr>
          <w:sz w:val="24"/>
          <w:szCs w:val="24"/>
        </w:rPr>
      </w:pPr>
      <w:r>
        <w:rPr>
          <w:sz w:val="24"/>
          <w:szCs w:val="24"/>
        </w:rPr>
      </w:r>
      <w:r/>
    </w:p>
    <w:p>
      <w:pPr>
        <w:pStyle w:val="748"/>
        <w:jc w:val="left"/>
        <w:keepNext w:val="0"/>
        <w:spacing w:before="120" w:after="120" w:line="360" w:lineRule="auto"/>
        <w:rPr>
          <w:rFonts w:ascii="黑体" w:hAnsi="黑体" w:eastAsia="黑体" w:cs="Times New Roman"/>
          <w:sz w:val="32"/>
          <w:szCs w:val="32"/>
        </w:rPr>
      </w:pPr>
      <w:r>
        <w:rPr>
          <w:rFonts w:ascii="Times New Roman" w:hAnsi="Times New Roman" w:eastAsia="宋体" w:cs="Times New Roman"/>
          <w:sz w:val="32"/>
          <w:szCs w:val="32"/>
        </w:rPr>
        <w:br w:type="page" w:clear="all"/>
      </w:r>
      <w:bookmarkStart w:id="241" w:name="_Toc162865677"/>
      <w:r>
        <w:rPr>
          <w:rFonts w:hint="eastAsia" w:ascii="黑体" w:hAnsi="黑体" w:eastAsia="黑体" w:cs="Times New Roman"/>
          <w:sz w:val="32"/>
          <w:szCs w:val="32"/>
        </w:rPr>
        <w:t xml:space="preserve">三、法人授权书</w:t>
      </w:r>
      <w:bookmarkEnd w:id="241"/>
      <w:r/>
      <w:r/>
    </w:p>
    <w:p>
      <w:pPr>
        <w:pStyle w:val="983"/>
        <w:ind w:firstLine="480"/>
        <w:spacing w:line="360" w:lineRule="auto"/>
        <w:rPr>
          <w:rFonts w:ascii="仿宋" w:hAnsi="仿宋" w:eastAsia="仿宋"/>
          <w:sz w:val="24"/>
          <w:szCs w:val="24"/>
        </w:rPr>
      </w:pPr>
      <w:r>
        <w:rPr>
          <w:rFonts w:hint="eastAsia" w:ascii="仿宋" w:hAnsi="仿宋" w:eastAsia="仿宋"/>
          <w:sz w:val="24"/>
          <w:szCs w:val="24"/>
        </w:rPr>
        <w:t xml:space="preserve">本授权书声明：____________（投标人名称）授权________________（被授权人的姓名）为我方就JSZC-</w:t>
      </w:r>
      <w:r>
        <w:rPr>
          <w:rFonts w:hint="eastAsia" w:ascii="仿宋" w:hAnsi="仿宋" w:eastAsia="仿宋"/>
          <w:sz w:val="24"/>
          <w:szCs w:val="24"/>
          <w:u w:val="single"/>
        </w:rPr>
        <w:t xml:space="preserve">        </w:t>
      </w:r>
      <w:r>
        <w:rPr>
          <w:rFonts w:hint="eastAsia" w:ascii="仿宋" w:hAnsi="仿宋" w:eastAsia="仿宋"/>
          <w:sz w:val="24"/>
          <w:szCs w:val="24"/>
        </w:rPr>
        <w:t xml:space="preserve">号项目采购活动的合法代理人，以本单位名义全权处理一切与该项目采购有关的事务。</w:t>
      </w:r>
      <w:r/>
    </w:p>
    <w:p>
      <w:pPr>
        <w:pStyle w:val="983"/>
        <w:ind w:firstLine="480"/>
        <w:spacing w:line="360" w:lineRule="auto"/>
        <w:rPr>
          <w:rFonts w:ascii="仿宋" w:hAnsi="仿宋" w:eastAsia="仿宋"/>
          <w:sz w:val="24"/>
          <w:szCs w:val="24"/>
        </w:rPr>
      </w:pPr>
      <w:r>
        <w:rPr>
          <w:rFonts w:hint="eastAsia" w:ascii="仿宋" w:hAnsi="仿宋" w:eastAsia="仿宋"/>
          <w:sz w:val="24"/>
          <w:szCs w:val="24"/>
        </w:rPr>
        <w:t xml:space="preserve">本授权书于______年____月____日起生效，特此声明。</w:t>
      </w:r>
      <w:r/>
    </w:p>
    <w:p>
      <w:pPr>
        <w:pStyle w:val="983"/>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pStyle w:val="983"/>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pStyle w:val="983"/>
        <w:ind w:firstLine="1200"/>
        <w:spacing w:line="360" w:lineRule="auto"/>
        <w:rPr>
          <w:rFonts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p>
    <w:p>
      <w:pPr>
        <w:pStyle w:val="983"/>
        <w:ind w:firstLine="480"/>
        <w:spacing w:line="360" w:lineRule="auto"/>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pStyle w:val="983"/>
        <w:ind w:firstLine="480"/>
        <w:spacing w:line="360" w:lineRule="auto"/>
        <w:rPr>
          <w:rFonts w:ascii="仿宋" w:hAnsi="仿宋" w:eastAsia="仿宋"/>
          <w:sz w:val="24"/>
          <w:szCs w:val="24"/>
        </w:rPr>
      </w:pPr>
      <w:r>
        <w:rPr>
          <w:rFonts w:hint="eastAsia" w:ascii="仿宋" w:hAnsi="仿宋" w:eastAsia="仿宋"/>
          <w:sz w:val="24"/>
          <w:szCs w:val="24"/>
        </w:rPr>
        <w:t xml:space="preserve">      日期：</w:t>
      </w:r>
      <w:bookmarkStart w:id="242" w:name="_Hlt26955070"/>
      <w:r/>
      <w:bookmarkStart w:id="243" w:name="_格式3__银行出具的资信证明"/>
      <w:r/>
      <w:bookmarkStart w:id="244" w:name="_Hlt26671380"/>
      <w:r/>
      <w:bookmarkEnd w:id="242"/>
      <w:r/>
      <w:bookmarkEnd w:id="243"/>
      <w:r/>
      <w:bookmarkEnd w:id="244"/>
      <w:r>
        <w:rPr>
          <w:rFonts w:hint="eastAsia" w:ascii="仿宋" w:hAnsi="仿宋" w:eastAsia="仿宋"/>
          <w:sz w:val="24"/>
          <w:szCs w:val="24"/>
          <w:u w:val="single"/>
        </w:rPr>
        <w:t xml:space="preserve">                                         </w:t>
      </w:r>
      <w:r/>
    </w:p>
    <w:p>
      <w:pPr>
        <w:pStyle w:val="1370"/>
        <w:spacing w:line="360" w:lineRule="auto"/>
        <w:rPr>
          <w:szCs w:val="32"/>
        </w:rPr>
        <w:outlineLvl w:val="1"/>
      </w:pPr>
      <w:r>
        <w:rPr>
          <w:bCs/>
          <w:sz w:val="24"/>
        </w:rPr>
        <w:br w:type="page" w:clear="all"/>
      </w:r>
      <w:bookmarkStart w:id="245" w:name="_Toc162865678"/>
      <w:r>
        <w:rPr>
          <w:rFonts w:hint="eastAsia"/>
          <w:szCs w:val="32"/>
        </w:rPr>
        <w:t xml:space="preserve">四、开标一览表</w:t>
      </w:r>
      <w:bookmarkEnd w:id="245"/>
      <w:r/>
      <w:r/>
    </w:p>
    <w:p>
      <w:pPr>
        <w:ind w:firstLine="480"/>
        <w:spacing w:line="360" w:lineRule="auto"/>
        <w:rPr>
          <w:rFonts w:ascii="仿宋" w:hAnsi="仿宋" w:eastAsia="仿宋"/>
          <w:sz w:val="24"/>
          <w:szCs w:val="24"/>
        </w:rPr>
      </w:pPr>
      <w:r>
        <w:rPr>
          <w:rFonts w:hint="eastAsia" w:ascii="仿宋" w:hAnsi="仿宋" w:eastAsia="仿宋"/>
          <w:sz w:val="24"/>
          <w:szCs w:val="24"/>
        </w:rPr>
        <w:t xml:space="preserve">项目名称：</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招标编号：                                   分包号：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投标总报价</w:t>
            </w:r>
            <w:r/>
          </w:p>
        </w:tc>
      </w:tr>
      <w:tr>
        <w:trPr>
          <w:cantSplit/>
          <w:jc w:val="center"/>
          <w:trHeight w:val="831"/>
        </w:trPr>
        <w:tc>
          <w:tcPr>
            <w:tcW w:w="8206" w:type="dxa"/>
            <w:vAlign w:val="center"/>
            <w:textDirection w:val="lrTb"/>
            <w:noWrap w:val="false"/>
          </w:tcPr>
          <w:p>
            <w:pPr>
              <w:pStyle w:val="985"/>
              <w:ind w:firstLine="0"/>
              <w:spacing w:before="0" w:after="0"/>
              <w:rPr>
                <w:rFonts w:ascii="仿宋" w:hAnsi="仿宋" w:eastAsia="仿宋"/>
              </w:rPr>
            </w:pPr>
            <w:r>
              <w:rPr>
                <w:rFonts w:hint="eastAsia" w:ascii="仿宋" w:hAnsi="仿宋" w:eastAsia="仿宋" w:cs="宋体"/>
              </w:rPr>
              <w:t xml:space="preserve">小写：                             （人民币：元）</w:t>
            </w:r>
            <w:r/>
          </w:p>
        </w:tc>
      </w:tr>
    </w:tbl>
    <w:p>
      <w:pPr>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                                      投标人名称：（加盖CA电子公章）</w:t>
      </w:r>
      <w:r/>
    </w:p>
    <w:p>
      <w:pPr>
        <w:ind w:right="960" w:firstLine="480"/>
        <w:jc w:val="center"/>
        <w:spacing w:line="360" w:lineRule="auto"/>
        <w:rPr>
          <w:rFonts w:ascii="仿宋" w:hAnsi="仿宋" w:eastAsia="仿宋"/>
          <w:sz w:val="24"/>
          <w:szCs w:val="24"/>
        </w:rPr>
      </w:pPr>
      <w:r>
        <w:rPr>
          <w:rFonts w:hint="eastAsia" w:ascii="仿宋" w:hAnsi="仿宋" w:eastAsia="仿宋"/>
          <w:sz w:val="24"/>
          <w:szCs w:val="24"/>
        </w:rPr>
        <w:t xml:space="preserve"> </w:t>
      </w:r>
      <w:r>
        <w:rPr>
          <w:rFonts w:ascii="仿宋" w:hAnsi="仿宋" w:eastAsia="仿宋"/>
          <w:sz w:val="24"/>
          <w:szCs w:val="24"/>
        </w:rPr>
        <w:t xml:space="preserve">                                           </w:t>
      </w:r>
      <w:r>
        <w:rPr>
          <w:rFonts w:hint="eastAsia" w:ascii="仿宋" w:hAnsi="仿宋" w:eastAsia="仿宋"/>
          <w:sz w:val="24"/>
          <w:szCs w:val="24"/>
        </w:rPr>
        <w:t xml:space="preserve">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1370"/>
        <w:spacing w:line="360" w:lineRule="auto"/>
        <w:rPr>
          <w:szCs w:val="32"/>
        </w:rPr>
        <w:outlineLvl w:val="1"/>
      </w:pPr>
      <w:r>
        <w:rPr>
          <w:rFonts w:ascii="仿宋" w:hAnsi="仿宋" w:eastAsia="仿宋"/>
          <w:b w:val="0"/>
          <w:sz w:val="24"/>
        </w:rPr>
        <w:br w:type="page" w:clear="all"/>
      </w:r>
      <w:bookmarkStart w:id="246" w:name="_Toc162865679"/>
      <w:r>
        <w:rPr>
          <w:rFonts w:hint="eastAsia"/>
          <w:szCs w:val="32"/>
        </w:rPr>
        <w:t xml:space="preserve">五、投标报价明细表</w:t>
      </w:r>
      <w:bookmarkEnd w:id="246"/>
      <w:r/>
      <w:r/>
    </w:p>
    <w:p>
      <w:pPr>
        <w:spacing w:line="360" w:lineRule="auto"/>
        <w:rPr>
          <w:rFonts w:ascii="仿宋" w:hAnsi="仿宋" w:eastAsia="仿宋"/>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仿宋" w:hAnsi="仿宋" w:eastAsia="仿宋"/>
          <w:sz w:val="24"/>
          <w:szCs w:val="24"/>
        </w:rPr>
        <w:t xml:space="preserve">附</w:t>
      </w:r>
      <w:r>
        <w:rPr>
          <w:rFonts w:hint="eastAsia" w:ascii="仿宋" w:hAnsi="仿宋" w:eastAsia="仿宋"/>
          <w:sz w:val="24"/>
          <w:szCs w:val="24"/>
        </w:rPr>
        <w:t xml:space="preserve">已标价工程量清单(含综合单价分析表)</w:t>
      </w:r>
      <w:r/>
    </w:p>
    <w:p>
      <w:pPr>
        <w:pStyle w:val="1370"/>
        <w:spacing w:line="360" w:lineRule="auto"/>
        <w:rPr>
          <w:szCs w:val="32"/>
        </w:rPr>
        <w:outlineLvl w:val="1"/>
      </w:pPr>
      <w:r/>
      <w:bookmarkStart w:id="247" w:name="_Toc162865680"/>
      <w:r>
        <w:rPr>
          <w:rFonts w:hint="eastAsia"/>
          <w:szCs w:val="32"/>
        </w:rPr>
        <w:t xml:space="preserve">六、中小企业声明函（服务）</w:t>
      </w:r>
      <w:bookmarkEnd w:id="247"/>
      <w:r/>
      <w:r/>
    </w:p>
    <w:p>
      <w:pPr>
        <w:ind w:firstLine="360"/>
        <w:spacing w:line="360" w:lineRule="auto"/>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sz w:val="24"/>
          <w:szCs w:val="24"/>
          <w:u w:val="single"/>
        </w:rPr>
        <w:t xml:space="preserve">（单位名称）</w:t>
      </w:r>
      <w:r>
        <w:rPr>
          <w:rFonts w:hint="eastAsia" w:ascii="仿宋" w:hAnsi="仿宋" w:eastAsia="仿宋"/>
          <w:sz w:val="24"/>
          <w:szCs w:val="24"/>
        </w:rPr>
        <w:t xml:space="preserve">采购编号为</w:t>
      </w:r>
      <w:r>
        <w:rPr>
          <w:rFonts w:hint="eastAsia" w:ascii="仿宋" w:hAnsi="仿宋" w:eastAsia="仿宋"/>
          <w:sz w:val="24"/>
          <w:szCs w:val="24"/>
          <w:u w:val="single"/>
        </w:rPr>
        <w:t xml:space="preserve">***</w:t>
      </w:r>
      <w:r>
        <w:rPr>
          <w:rFonts w:hint="eastAsia" w:ascii="仿宋" w:hAnsi="仿宋" w:eastAsia="仿宋"/>
          <w:sz w:val="24"/>
          <w:szCs w:val="24"/>
        </w:rPr>
        <w:t xml:space="preserve">，</w:t>
      </w:r>
      <w:r>
        <w:rPr>
          <w:rFonts w:hint="eastAsia" w:ascii="仿宋" w:hAnsi="仿宋" w:eastAsia="仿宋"/>
          <w:sz w:val="24"/>
          <w:szCs w:val="24"/>
          <w:u w:val="single"/>
        </w:rPr>
        <w:t xml:space="preserve">（项目名称）</w:t>
      </w:r>
      <w:r>
        <w:rPr>
          <w:rFonts w:hint="eastAsia" w:ascii="仿宋" w:hAnsi="仿宋" w:eastAsia="仿宋"/>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仿宋" w:hAnsi="仿宋" w:eastAsia="仿宋"/>
          <w:i/>
          <w:sz w:val="24"/>
          <w:szCs w:val="24"/>
          <w:u w:val="single"/>
        </w:rPr>
      </w:pPr>
      <w:r>
        <w:rPr>
          <w:rFonts w:hint="eastAsia" w:ascii="仿宋" w:hAnsi="仿宋" w:eastAsia="仿宋"/>
          <w:sz w:val="24"/>
          <w:szCs w:val="24"/>
        </w:rPr>
        <w:t xml:space="preserve">1.</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，属于</w:t>
      </w:r>
      <w:r>
        <w:rPr>
          <w:rFonts w:hint="eastAsia" w:ascii="仿宋" w:hAnsi="仿宋" w:eastAsia="仿宋"/>
          <w:sz w:val="24"/>
          <w:szCs w:val="24"/>
          <w:u w:val="single"/>
        </w:rPr>
        <w:t xml:space="preserve">（中型企业、小型企业、微型企业）；</w:t>
      </w:r>
      <w:r/>
    </w:p>
    <w:p>
      <w:pPr>
        <w:ind w:firstLine="360"/>
        <w:spacing w:line="360" w:lineRule="auto"/>
        <w:rPr>
          <w:rFonts w:ascii="仿宋" w:hAnsi="仿宋" w:eastAsia="仿宋"/>
          <w:i/>
          <w:sz w:val="24"/>
          <w:szCs w:val="24"/>
          <w:u w:val="single"/>
        </w:rPr>
      </w:pPr>
      <w:r>
        <w:rPr>
          <w:rFonts w:hint="eastAsia" w:ascii="仿宋" w:hAnsi="仿宋" w:eastAsia="仿宋"/>
          <w:sz w:val="24"/>
          <w:szCs w:val="24"/>
        </w:rPr>
        <w:t xml:space="preserve">2.</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，属于</w:t>
      </w:r>
      <w:r>
        <w:rPr>
          <w:rFonts w:hint="eastAsia" w:ascii="仿宋" w:hAnsi="仿宋" w:eastAsia="仿宋"/>
          <w:sz w:val="24"/>
          <w:szCs w:val="24"/>
          <w:u w:val="single"/>
        </w:rPr>
        <w:t xml:space="preserve">（中型企业、小型企业、微型企业）；</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1503"/>
        <w:jc w:val="center"/>
        <w:spacing w:line="360" w:lineRule="auto"/>
        <w:rPr>
          <w:rFonts w:ascii="仿宋" w:hAnsi="仿宋" w:eastAsia="仿宋"/>
          <w:sz w:val="24"/>
        </w:rPr>
      </w:pPr>
      <w:r>
        <w:rPr>
          <w:rFonts w:hint="eastAsia" w:ascii="仿宋" w:hAnsi="仿宋" w:eastAsia="仿宋"/>
          <w:sz w:val="24"/>
        </w:rPr>
        <w:br w:type="page" w:clear="all"/>
      </w:r>
      <w:r>
        <w:rPr>
          <w:rFonts w:hint="eastAsia" w:ascii="仿宋" w:hAnsi="仿宋" w:eastAsia="仿宋"/>
          <w:sz w:val="24"/>
        </w:rPr>
        <w:t xml:space="preserve">残疾人福利性单位声明函</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项目采购活动由本单位提供服务。</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本单位对上述声明的真实性负责。如有虚假，将依法承担相应责任。</w:t>
      </w:r>
      <w:r/>
    </w:p>
    <w:p>
      <w:pPr>
        <w:ind w:firstLine="480"/>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ascii="仿宋" w:hAnsi="仿宋" w:eastAsia="仿宋"/>
          <w:spacing w:val="6"/>
          <w:sz w:val="24"/>
          <w:szCs w:val="24"/>
        </w:rPr>
      </w:pPr>
      <w:r>
        <w:rPr>
          <w:rFonts w:ascii="仿宋" w:hAnsi="仿宋" w:eastAsia="仿宋"/>
          <w:spacing w:val="6"/>
          <w:sz w:val="24"/>
          <w:szCs w:val="24"/>
        </w:rPr>
      </w:r>
      <w:r/>
    </w:p>
    <w:p>
      <w:pPr>
        <w:pStyle w:val="1015"/>
        <w:spacing w:line="360" w:lineRule="auto"/>
        <w:rPr>
          <w:rFonts w:ascii="仿宋" w:hAnsi="仿宋" w:eastAsia="仿宋"/>
          <w:sz w:val="24"/>
          <w:szCs w:val="24"/>
        </w:rPr>
      </w:pPr>
      <w:r>
        <w:rPr>
          <w:rFonts w:ascii="仿宋" w:hAnsi="仿宋" w:eastAsia="仿宋"/>
          <w:sz w:val="24"/>
          <w:szCs w:val="24"/>
        </w:rPr>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1370"/>
        <w:spacing w:line="360" w:lineRule="auto"/>
        <w:rPr>
          <w:szCs w:val="32"/>
        </w:rPr>
        <w:outlineLvl w:val="1"/>
      </w:pPr>
      <w:r>
        <w:rPr>
          <w:rFonts w:ascii="仿宋" w:hAnsi="仿宋" w:eastAsia="仿宋"/>
          <w:b w:val="0"/>
          <w:sz w:val="24"/>
        </w:rPr>
        <w:br w:type="page" w:clear="all"/>
      </w:r>
      <w:bookmarkStart w:id="248" w:name="_Toc162865681"/>
      <w:r>
        <w:rPr>
          <w:rFonts w:hint="eastAsia"/>
          <w:szCs w:val="32"/>
        </w:rPr>
        <w:t xml:space="preserve">七、技术要求响应及偏离表</w:t>
      </w:r>
      <w:bookmarkEnd w:id="24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序号</w:t>
            </w:r>
            <w:r/>
          </w:p>
        </w:tc>
        <w:tc>
          <w:tcPr>
            <w:tcW w:w="3291" w:type="dxa"/>
            <w:vAlign w:val="center"/>
            <w:textDirection w:val="lrTb"/>
            <w:noWrap w:val="false"/>
          </w:tcPr>
          <w:p>
            <w:pPr>
              <w:pStyle w:val="960"/>
              <w:jc w:val="center"/>
              <w:spacing w:before="0" w:beforeAutospacing="0" w:after="0" w:afterAutospacing="0" w:line="360" w:lineRule="auto"/>
              <w:rPr>
                <w:rFonts w:ascii="仿宋" w:hAnsi="仿宋" w:eastAsia="仿宋"/>
              </w:rPr>
            </w:pPr>
            <w:r>
              <w:rPr>
                <w:rFonts w:ascii="仿宋" w:hAnsi="仿宋" w:eastAsia="仿宋"/>
              </w:rPr>
              <w:t xml:space="preserve">技术要求和商务要求中的实质性要求（打“</w:t>
            </w:r>
            <w:r>
              <w:rPr>
                <w:rFonts w:ascii="仿宋" w:hAnsi="仿宋" w:eastAsia="仿宋" w:cs="Segoe UI Symbol"/>
              </w:rPr>
              <w:t xml:space="preserve">★</w:t>
            </w:r>
            <w:r>
              <w:rPr>
                <w:rFonts w:ascii="仿宋" w:hAnsi="仿宋" w:eastAsia="仿宋" w:cs="Times New Roman"/>
              </w:rPr>
              <w:t xml:space="preserve">”</w:t>
            </w:r>
            <w:r>
              <w:rPr>
                <w:rFonts w:ascii="仿宋" w:hAnsi="仿宋" w:eastAsia="仿宋"/>
              </w:rPr>
              <w:t xml:space="preserve">内容）</w:t>
            </w:r>
            <w:r/>
          </w:p>
        </w:tc>
        <w:tc>
          <w:tcPr>
            <w:tcW w:w="2852" w:type="dxa"/>
            <w:vAlign w:val="center"/>
            <w:textDirection w:val="lrTb"/>
            <w:noWrap w:val="false"/>
          </w:tcPr>
          <w:p>
            <w:pPr>
              <w:pStyle w:val="960"/>
              <w:jc w:val="center"/>
              <w:spacing w:before="0" w:beforeAutospacing="0" w:after="0" w:afterAutospacing="0" w:line="360" w:lineRule="auto"/>
              <w:rPr>
                <w:rFonts w:ascii="仿宋" w:hAnsi="仿宋" w:eastAsia="仿宋"/>
              </w:rPr>
            </w:pPr>
            <w:r>
              <w:rPr>
                <w:rFonts w:ascii="仿宋" w:hAnsi="仿宋" w:eastAsia="仿宋"/>
              </w:rPr>
              <w:t xml:space="preserve">响应情况</w:t>
            </w:r>
            <w:r>
              <w:rPr>
                <w:rFonts w:hint="eastAsia" w:ascii="仿宋" w:hAnsi="仿宋" w:eastAsia="仿宋"/>
              </w:rPr>
              <w:t xml:space="preserve">（填报“响应或完全响应”）</w:t>
            </w:r>
            <w:r/>
          </w:p>
        </w:tc>
        <w:tc>
          <w:tcPr>
            <w:tcW w:w="1308" w:type="dxa"/>
            <w:vAlign w:val="center"/>
            <w:textDirection w:val="lrTb"/>
            <w:noWrap w:val="false"/>
          </w:tcPr>
          <w:p>
            <w:pPr>
              <w:pStyle w:val="960"/>
              <w:jc w:val="center"/>
              <w:spacing w:before="0" w:beforeAutospacing="0" w:after="0" w:afterAutospacing="0" w:line="360" w:lineRule="auto"/>
              <w:rPr>
                <w:rFonts w:ascii="仿宋" w:hAnsi="仿宋" w:eastAsia="仿宋"/>
              </w:rPr>
            </w:pPr>
            <w:r>
              <w:rPr>
                <w:rFonts w:hint="eastAsia" w:ascii="仿宋" w:hAnsi="仿宋" w:eastAsia="仿宋"/>
              </w:rPr>
              <w:t xml:space="preserve">偏离（填报“正偏离、符合或负偏离”）</w:t>
            </w:r>
            <w:r/>
          </w:p>
        </w:tc>
        <w:tc>
          <w:tcPr>
            <w:tcW w:w="1173"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证明</w:t>
            </w:r>
            <w:r/>
          </w:p>
          <w:p>
            <w:pPr>
              <w:jc w:val="center"/>
              <w:spacing w:line="360" w:lineRule="auto"/>
              <w:rPr>
                <w:rFonts w:ascii="仿宋" w:hAnsi="仿宋" w:eastAsia="仿宋"/>
                <w:sz w:val="24"/>
                <w:szCs w:val="24"/>
              </w:rPr>
            </w:pPr>
            <w:r>
              <w:rPr>
                <w:rFonts w:hint="eastAsia" w:ascii="仿宋" w:hAnsi="仿宋" w:eastAsia="仿宋"/>
                <w:sz w:val="24"/>
                <w:szCs w:val="24"/>
              </w:rPr>
              <w:t xml:space="preserve">材料</w:t>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w:t>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bl>
    <w:p>
      <w:pPr>
        <w:spacing w:line="360" w:lineRule="auto"/>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投标人</w:t>
      </w:r>
      <w:r>
        <w:rPr>
          <w:rFonts w:ascii="仿宋" w:hAnsi="仿宋" w:eastAsia="仿宋"/>
          <w:sz w:val="24"/>
          <w:szCs w:val="24"/>
        </w:rPr>
        <w:t xml:space="preserve">必须对技术要求和商务要求中的实质性要求（打“</w:t>
      </w:r>
      <w:r>
        <w:rPr>
          <w:rFonts w:ascii="仿宋" w:hAnsi="仿宋" w:eastAsia="仿宋" w:cs="Segoe UI Symbol"/>
          <w:sz w:val="24"/>
          <w:szCs w:val="24"/>
        </w:rPr>
        <w:t xml:space="preserve">★</w:t>
      </w:r>
      <w:r>
        <w:rPr>
          <w:rFonts w:ascii="仿宋" w:hAnsi="仿宋" w:eastAsia="仿宋"/>
          <w:sz w:val="24"/>
          <w:szCs w:val="24"/>
        </w:rPr>
        <w:t xml:space="preserve">”内容）做出明确响应，否则作无效响应处理。</w:t>
      </w:r>
      <w:r/>
    </w:p>
    <w:p>
      <w:pPr>
        <w:spacing w:line="360" w:lineRule="auto"/>
        <w:rPr>
          <w:rFonts w:ascii="仿宋" w:hAnsi="仿宋" w:eastAsia="仿宋"/>
          <w:sz w:val="24"/>
          <w:szCs w:val="24"/>
        </w:rPr>
      </w:pPr>
      <w:r>
        <w:rPr>
          <w:rFonts w:ascii="仿宋" w:hAnsi="仿宋" w:eastAsia="仿宋"/>
          <w:sz w:val="24"/>
          <w:szCs w:val="24"/>
        </w:rPr>
        <w:t xml:space="preserve">2.如果采购文件要求提供证明材料，</w:t>
      </w:r>
      <w:r>
        <w:rPr>
          <w:rFonts w:hint="eastAsia" w:ascii="仿宋" w:hAnsi="仿宋" w:eastAsia="仿宋"/>
          <w:sz w:val="24"/>
          <w:szCs w:val="24"/>
        </w:rPr>
        <w:t xml:space="preserve">投标人</w:t>
      </w:r>
      <w:r>
        <w:rPr>
          <w:rFonts w:ascii="仿宋" w:hAnsi="仿宋" w:eastAsia="仿宋"/>
          <w:sz w:val="24"/>
          <w:szCs w:val="24"/>
        </w:rPr>
        <w:t xml:space="preserve">必须将证明材料列于该表之下。</w:t>
      </w:r>
      <w:r/>
    </w:p>
    <w:p>
      <w:pPr>
        <w:spacing w:line="360" w:lineRule="auto"/>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投标人</w:t>
      </w:r>
      <w:r>
        <w:rPr>
          <w:rFonts w:ascii="仿宋" w:hAnsi="仿宋" w:eastAsia="仿宋"/>
          <w:sz w:val="24"/>
          <w:szCs w:val="24"/>
        </w:rPr>
        <w:t xml:space="preserve">未对实质性要求作出明确响应的，或未按采购文件要求提供证明材料的，该分包作无效响应处理。</w:t>
      </w:r>
      <w:r/>
    </w:p>
    <w:p>
      <w:pPr>
        <w:spacing w:line="360" w:lineRule="auto"/>
        <w:rPr>
          <w:rFonts w:ascii="仿宋" w:hAnsi="仿宋" w:eastAsia="仿宋"/>
          <w:sz w:val="24"/>
          <w:szCs w:val="24"/>
        </w:rPr>
      </w:pPr>
      <w:r>
        <w:rPr>
          <w:rFonts w:hint="eastAsia" w:ascii="仿宋" w:hAnsi="仿宋" w:eastAsia="仿宋"/>
          <w:sz w:val="24"/>
          <w:szCs w:val="24"/>
        </w:rPr>
        <w:t xml:space="preserve">4.行数不够，可自行添加。</w:t>
      </w:r>
      <w:r/>
    </w:p>
    <w:p>
      <w:pPr>
        <w:pStyle w:val="1370"/>
        <w:spacing w:line="360" w:lineRule="auto"/>
        <w:rPr>
          <w:szCs w:val="32"/>
        </w:rPr>
        <w:outlineLvl w:val="1"/>
      </w:pPr>
      <w:r>
        <w:rPr>
          <w:rFonts w:ascii="宋体" w:hAnsi="宋体" w:cs="宋体"/>
          <w:b w:val="0"/>
          <w:color w:val="000000"/>
          <w:sz w:val="30"/>
          <w:szCs w:val="30"/>
        </w:rPr>
        <w:br w:type="page" w:clear="all"/>
      </w:r>
      <w:bookmarkStart w:id="249" w:name="_Toc112273732"/>
      <w:r/>
      <w:bookmarkStart w:id="250" w:name="_Toc162865682"/>
      <w:r>
        <w:rPr>
          <w:rFonts w:hint="eastAsia"/>
          <w:szCs w:val="32"/>
        </w:rPr>
        <w:t xml:space="preserve">八</w:t>
      </w:r>
      <w:r>
        <w:rPr>
          <w:szCs w:val="32"/>
        </w:rPr>
        <w:t xml:space="preserve">、项目实施方案</w:t>
      </w:r>
      <w:bookmarkEnd w:id="249"/>
      <w:r/>
      <w:bookmarkEnd w:id="250"/>
      <w:r/>
      <w:r/>
    </w:p>
    <w:p>
      <w:pPr>
        <w:jc w:val="center"/>
        <w:spacing w:line="360" w:lineRule="auto"/>
        <w:rPr>
          <w:rFonts w:ascii="仿宋" w:hAnsi="仿宋" w:eastAsia="仿宋"/>
          <w:b/>
          <w:bCs/>
          <w:sz w:val="24"/>
          <w:szCs w:val="24"/>
        </w:rPr>
      </w:pPr>
      <w:r>
        <w:rPr>
          <w:rFonts w:hint="eastAsia" w:ascii="仿宋" w:hAnsi="仿宋" w:eastAsia="仿宋"/>
          <w:b/>
          <w:bCs/>
          <w:sz w:val="24"/>
          <w:szCs w:val="24"/>
        </w:rPr>
        <w:t xml:space="preserve">格式自拟</w:t>
      </w:r>
      <w:r/>
    </w:p>
    <w:p>
      <w:pPr>
        <w:pStyle w:val="1370"/>
        <w:spacing w:line="360" w:lineRule="auto"/>
        <w:rPr>
          <w:szCs w:val="32"/>
        </w:rPr>
        <w:outlineLvl w:val="1"/>
      </w:pPr>
      <w:r>
        <w:rPr>
          <w:rFonts w:ascii="Calibri" w:hAnsi="Calibri" w:eastAsia="宋体"/>
          <w:b w:val="0"/>
          <w:sz w:val="21"/>
          <w:szCs w:val="22"/>
        </w:rPr>
        <w:br w:type="page" w:clear="all"/>
      </w:r>
      <w:bookmarkStart w:id="251" w:name="_Toc162865683"/>
      <w:r>
        <w:rPr>
          <w:rFonts w:hint="eastAsia"/>
          <w:szCs w:val="32"/>
        </w:rPr>
        <w:t xml:space="preserve">九、</w:t>
      </w:r>
      <w:r>
        <w:rPr>
          <w:szCs w:val="32"/>
        </w:rPr>
        <w:t xml:space="preserve">项目组人员</w:t>
      </w:r>
      <w:bookmarkEnd w:id="251"/>
      <w:r/>
      <w:r/>
    </w:p>
    <w:p>
      <w:pPr>
        <w:jc w:val="center"/>
        <w:spacing w:line="360" w:lineRule="auto"/>
        <w:rPr>
          <w:rFonts w:ascii="仿宋" w:hAnsi="仿宋" w:eastAsia="仿宋" w:cs="宋体"/>
          <w:b/>
          <w:color w:val="000000"/>
          <w:sz w:val="24"/>
          <w:szCs w:val="24"/>
        </w:rPr>
      </w:pPr>
      <w:r>
        <w:rPr>
          <w:rFonts w:hint="eastAsia" w:ascii="仿宋" w:hAnsi="仿宋" w:eastAsia="仿宋" w:cs="宋体"/>
          <w:b/>
          <w:color w:val="000000"/>
          <w:sz w:val="24"/>
          <w:szCs w:val="24"/>
        </w:rPr>
        <w:t xml:space="preserve">拟选派项目经理简历表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姓  名</w:t>
            </w:r>
            <w:r/>
          </w:p>
        </w:tc>
        <w:tc>
          <w:tcPr>
            <w:tcW w:w="1049" w:type="dxa"/>
            <w:vAlign w:val="center"/>
            <w:textDirection w:val="lrTb"/>
            <w:noWrap w:val="false"/>
          </w:tcPr>
          <w:p>
            <w:pPr>
              <w:jc w:val="cente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2"/>
            <w:tcW w:w="901"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年 龄</w:t>
            </w:r>
            <w:r/>
          </w:p>
        </w:tc>
        <w:tc>
          <w:tcPr>
            <w:tcW w:w="768" w:type="dxa"/>
            <w:vAlign w:val="center"/>
            <w:textDirection w:val="lrTb"/>
            <w:noWrap w:val="false"/>
          </w:tcPr>
          <w:p>
            <w:pPr>
              <w:jc w:val="cente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2337"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学历</w:t>
            </w:r>
            <w:r/>
          </w:p>
        </w:tc>
        <w:tc>
          <w:tcPr>
            <w:gridSpan w:val="2"/>
            <w:tcW w:w="1862" w:type="dxa"/>
            <w:vAlign w:val="center"/>
            <w:textDirection w:val="lrTb"/>
            <w:noWrap w:val="false"/>
          </w:tcPr>
          <w:p>
            <w:pPr>
              <w:jc w:val="cente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1005"/>
        </w:trPr>
        <w:tc>
          <w:tcPr>
            <w:gridSpan w:val="2"/>
            <w:tcW w:w="196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毕业学校</w:t>
            </w:r>
            <w:r/>
          </w:p>
        </w:tc>
        <w:tc>
          <w:tcPr>
            <w:gridSpan w:val="9"/>
            <w:tcW w:w="6917"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年毕业于  </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学校</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专业</w:t>
            </w:r>
            <w:r/>
          </w:p>
        </w:tc>
      </w:tr>
      <w:tr>
        <w:trPr>
          <w:jc w:val="center"/>
          <w:trHeight w:val="1116"/>
        </w:trPr>
        <w:tc>
          <w:tcPr>
            <w:gridSpan w:val="2"/>
            <w:tcW w:w="1966" w:type="dxa"/>
            <w:vAlign w:val="center"/>
            <w:textDirection w:val="lrTb"/>
            <w:noWrap w:val="false"/>
          </w:tcPr>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专业技术职称</w:t>
            </w:r>
            <w:r/>
          </w:p>
        </w:tc>
        <w:tc>
          <w:tcPr>
            <w:gridSpan w:val="4"/>
            <w:tcW w:w="2718" w:type="dxa"/>
            <w:vAlign w:val="center"/>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984" w:type="dxa"/>
            <w:vAlign w:val="center"/>
            <w:textDirection w:val="lrTb"/>
            <w:noWrap w:val="false"/>
          </w:tcPr>
          <w:p>
            <w:pP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执业资格证书及注册编号</w:t>
            </w:r>
            <w:r/>
          </w:p>
        </w:tc>
        <w:tc>
          <w:tcPr>
            <w:gridSpan w:val="3"/>
            <w:tcW w:w="2215" w:type="dxa"/>
            <w:vAlign w:val="center"/>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683"/>
        </w:trPr>
        <w:tc>
          <w:tcPr>
            <w:gridSpan w:val="11"/>
            <w:tcW w:w="8883"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主要主持的类似项目</w:t>
            </w:r>
            <w:r/>
          </w:p>
        </w:tc>
      </w:tr>
      <w:tr>
        <w:trPr>
          <w:jc w:val="center"/>
          <w:trHeight w:val="683"/>
        </w:trPr>
        <w:tc>
          <w:tcPr>
            <w:tcW w:w="85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gridSpan w:val="3"/>
            <w:tcW w:w="2835"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项目名称</w:t>
            </w:r>
            <w:r/>
          </w:p>
        </w:tc>
        <w:tc>
          <w:tcPr>
            <w:gridSpan w:val="3"/>
            <w:tcW w:w="1948"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合同甲方</w:t>
            </w:r>
            <w:r/>
          </w:p>
        </w:tc>
        <w:tc>
          <w:tcPr>
            <w:gridSpan w:val="3"/>
            <w:tcW w:w="1596"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获得的</w:t>
            </w:r>
            <w:r/>
          </w:p>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奖项</w:t>
            </w:r>
            <w:r/>
          </w:p>
        </w:tc>
        <w:tc>
          <w:tcPr>
            <w:tcW w:w="1648" w:type="dxa"/>
            <w:vAlign w:val="center"/>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备注</w:t>
            </w:r>
            <w:r/>
          </w:p>
        </w:tc>
      </w:tr>
      <w:tr>
        <w:trPr>
          <w:jc w:val="center"/>
          <w:trHeight w:val="713"/>
        </w:trPr>
        <w:tc>
          <w:tcPr>
            <w:tcW w:w="856" w:type="dxa"/>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gridSpan w:val="3"/>
            <w:tcW w:w="2835"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9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596"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tcW w:w="16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13"/>
        </w:trPr>
        <w:tc>
          <w:tcPr>
            <w:tcW w:w="856" w:type="dxa"/>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gridSpan w:val="3"/>
            <w:tcW w:w="2835"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9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596"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tcW w:w="16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713"/>
        </w:trPr>
        <w:tc>
          <w:tcPr>
            <w:tcW w:w="856" w:type="dxa"/>
            <w:textDirection w:val="lrTb"/>
            <w:noWrap w:val="false"/>
          </w:tcPr>
          <w:p>
            <w:pPr>
              <w:jc w:val="center"/>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gridSpan w:val="3"/>
            <w:tcW w:w="2835"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9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gridSpan w:val="3"/>
            <w:tcW w:w="1596"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c>
          <w:tcPr>
            <w:tcW w:w="1648" w:type="dxa"/>
            <w:textDirection w:val="lrTb"/>
            <w:noWrap w:val="false"/>
          </w:tcPr>
          <w:p>
            <w:pPr>
              <w:spacing w:line="360" w:lineRule="auto"/>
              <w:rPr>
                <w:rFonts w:ascii="仿宋" w:hAnsi="仿宋" w:eastAsia="仿宋" w:cs="宋体"/>
                <w:color w:val="000000"/>
                <w:sz w:val="24"/>
                <w:szCs w:val="24"/>
              </w:rPr>
            </w:pPr>
            <w:r>
              <w:rPr>
                <w:rFonts w:ascii="仿宋" w:hAnsi="仿宋" w:eastAsia="仿宋" w:cs="宋体"/>
                <w:color w:val="000000"/>
                <w:sz w:val="24"/>
                <w:szCs w:val="24"/>
              </w:rPr>
            </w:r>
            <w:r/>
          </w:p>
        </w:tc>
      </w:tr>
    </w:tbl>
    <w:p>
      <w:pPr>
        <w:ind w:firstLine="398"/>
        <w:jc w:val="left"/>
        <w:spacing w:line="360" w:lineRule="auto"/>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注：1、投标文件中需按要求提供项目负责人有关证书证明。</w:t>
      </w:r>
      <w:r/>
    </w:p>
    <w:p>
      <w:pPr>
        <w:ind w:firstLine="879"/>
        <w:jc w:val="left"/>
        <w:spacing w:line="360" w:lineRule="auto"/>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2、如中标，项目负责人须本表承诺实施，不得更换。</w:t>
      </w:r>
      <w:r/>
    </w:p>
    <w:p>
      <w:pPr>
        <w:jc w:val="center"/>
        <w:spacing w:line="360" w:lineRule="auto"/>
        <w:rPr>
          <w:rFonts w:ascii="仿宋" w:hAnsi="仿宋" w:eastAsia="仿宋" w:cs="宋体"/>
          <w:b/>
          <w:bCs/>
          <w:color w:val="000000"/>
          <w:sz w:val="24"/>
          <w:szCs w:val="24"/>
        </w:rPr>
      </w:pPr>
      <w:r>
        <w:rPr>
          <w:rFonts w:ascii="仿宋" w:hAnsi="仿宋" w:eastAsia="仿宋" w:cs="宋体"/>
          <w:b/>
          <w:bCs/>
          <w:color w:val="000000"/>
          <w:sz w:val="24"/>
          <w:szCs w:val="24"/>
        </w:rPr>
      </w:r>
      <w:r/>
    </w:p>
    <w:p>
      <w:pPr>
        <w:jc w:val="center"/>
        <w:spacing w:line="360" w:lineRule="auto"/>
        <w:rPr>
          <w:rFonts w:ascii="仿宋" w:hAnsi="仿宋" w:eastAsia="仿宋" w:cs="宋体"/>
          <w:b/>
          <w:bCs/>
          <w:color w:val="000000"/>
          <w:sz w:val="24"/>
          <w:szCs w:val="24"/>
        </w:rPr>
      </w:pPr>
      <w:r>
        <w:rPr>
          <w:rFonts w:ascii="仿宋" w:hAnsi="仿宋" w:eastAsia="仿宋" w:cs="宋体"/>
          <w:b/>
          <w:bCs/>
          <w:color w:val="000000"/>
          <w:sz w:val="24"/>
          <w:szCs w:val="24"/>
        </w:rPr>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r/>
    </w:p>
    <w:p>
      <w:pPr>
        <w:jc w:val="right"/>
        <w:spacing w:line="360" w:lineRule="auto"/>
        <w:rPr>
          <w:rFonts w:ascii="宋体" w:hAnsi="宋体" w:cs="宋体"/>
          <w:color w:val="000000"/>
          <w:sz w:val="28"/>
          <w:szCs w:val="28"/>
          <w:u w:val="single"/>
        </w:rPr>
      </w:pPr>
      <w:r>
        <w:rPr>
          <w:rFonts w:hint="eastAsia" w:ascii="宋体" w:hAnsi="宋体" w:cs="宋体"/>
          <w:color w:val="000000"/>
          <w:sz w:val="24"/>
          <w:szCs w:val="24"/>
        </w:rPr>
        <w:t xml:space="preserve">  </w:t>
      </w:r>
      <w:r/>
    </w:p>
    <w:p>
      <w:pPr>
        <w:jc w:val="center"/>
        <w:spacing w:line="360" w:lineRule="auto"/>
        <w:widowControl/>
        <w:rPr>
          <w:rFonts w:ascii="宋体" w:hAnsi="宋体" w:cs="宋体"/>
          <w:b/>
          <w:bCs/>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宋体" w:hAnsi="宋体" w:cs="宋体"/>
          <w:b/>
          <w:bCs/>
          <w:color w:val="000000"/>
          <w:sz w:val="32"/>
          <w:szCs w:val="32"/>
        </w:rPr>
      </w:r>
      <w:r/>
    </w:p>
    <w:p>
      <w:pPr>
        <w:jc w:val="center"/>
        <w:spacing w:line="276" w:lineRule="auto"/>
        <w:widowControl/>
        <w:rPr>
          <w:rFonts w:ascii="仿宋" w:hAnsi="仿宋" w:eastAsia="仿宋" w:cs="宋体"/>
          <w:sz w:val="24"/>
          <w:szCs w:val="24"/>
        </w:rPr>
      </w:pPr>
      <w:r>
        <w:rPr>
          <w:rFonts w:hint="eastAsia" w:ascii="仿宋" w:hAnsi="仿宋" w:eastAsia="仿宋" w:cs="宋体"/>
          <w:sz w:val="24"/>
          <w:szCs w:val="24"/>
        </w:rPr>
        <w:t xml:space="preserve">项目拟投入人员</w:t>
      </w:r>
      <w:r>
        <w:rPr>
          <w:rFonts w:hint="eastAsia" w:ascii="仿宋" w:hAnsi="仿宋" w:eastAsia="仿宋" w:cs="宋体"/>
          <w:sz w:val="24"/>
          <w:szCs w:val="24"/>
        </w:rPr>
        <w:t xml:space="preserve">一览表</w:t>
      </w:r>
      <w:r/>
    </w:p>
    <w:tbl>
      <w:tblPr>
        <w:tblpPr w:horzAnchor="margin" w:tblpXSpec="center" w:vertAnchor="text" w:tblpY="74" w:leftFromText="180" w:topFromText="0" w:rightFromText="180" w:bottomFromText="0"/>
        <w:tblW w:w="150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1701"/>
        <w:gridCol w:w="1560"/>
        <w:gridCol w:w="1593"/>
        <w:gridCol w:w="1383"/>
        <w:gridCol w:w="1560"/>
        <w:gridCol w:w="5982"/>
      </w:tblGrid>
      <w:tr>
        <w:trPr>
          <w:trHeight w:val="557"/>
        </w:trPr>
        <w:tc>
          <w:tcPr>
            <w:tcW w:w="1242"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姓名</w:t>
            </w:r>
            <w:r/>
          </w:p>
        </w:tc>
        <w:tc>
          <w:tcPr>
            <w:tcW w:w="1701"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本项目</w:t>
            </w:r>
            <w:r/>
          </w:p>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拟任职务</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技术职称或资格证书编号</w:t>
            </w:r>
            <w:r/>
          </w:p>
        </w:tc>
        <w:tc>
          <w:tcPr>
            <w:tcW w:w="1593"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学历</w:t>
            </w:r>
            <w:r/>
          </w:p>
        </w:tc>
        <w:tc>
          <w:tcPr>
            <w:tcW w:w="1383"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身份证号</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主要资历及</w:t>
            </w:r>
            <w:r/>
          </w:p>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担任过的职务</w:t>
            </w:r>
            <w:r/>
          </w:p>
        </w:tc>
        <w:tc>
          <w:tcPr>
            <w:tcW w:w="5982"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sz w:val="24"/>
                <w:szCs w:val="24"/>
              </w:rPr>
              <w:t xml:space="preserve">最低要求</w:t>
            </w:r>
            <w:r/>
          </w:p>
        </w:tc>
      </w:tr>
      <w:tr>
        <w:trPr>
          <w:trHeight w:val="1606"/>
        </w:trPr>
        <w:tc>
          <w:tcPr>
            <w:tcW w:w="124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701"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
                <w:sz w:val="24"/>
                <w:szCs w:val="24"/>
              </w:rPr>
              <w:t xml:space="preserve">项目经理</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9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5982" w:type="dxa"/>
            <w:vAlign w:val="center"/>
            <w:textDirection w:val="lrTb"/>
            <w:noWrap w:val="false"/>
          </w:tcPr>
          <w:p>
            <w:pPr>
              <w:ind w:firstLine="480"/>
              <w:jc w:val="left"/>
              <w:spacing w:line="276" w:lineRule="auto"/>
              <w:rPr>
                <w:rFonts w:ascii="仿宋" w:hAnsi="仿宋" w:eastAsia="仿宋" w:cs="宋体"/>
                <w:b/>
                <w:sz w:val="24"/>
                <w:szCs w:val="24"/>
              </w:rPr>
            </w:pPr>
            <w:r>
              <w:rPr>
                <w:rFonts w:hint="eastAsia" w:ascii="仿宋" w:hAnsi="仿宋" w:eastAsia="仿宋" w:cs="宋体"/>
                <w:bCs/>
                <w:sz w:val="24"/>
                <w:szCs w:val="24"/>
              </w:rPr>
              <w:t xml:space="preserve">为投标单位的正式员工，具有大专及以上学历，园林绿化相关专业中级及以上技术职称。投标文件中提供毕业证、职称证、2023年10月（含）以来本单位为其办理的任意1个月社会养老保险或医疗保险缴纳证明电子件。</w:t>
            </w:r>
            <w:r/>
          </w:p>
        </w:tc>
      </w:tr>
      <w:tr>
        <w:trPr>
          <w:trHeight w:val="85"/>
        </w:trPr>
        <w:tc>
          <w:tcPr>
            <w:tcW w:w="124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701"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
                <w:sz w:val="24"/>
                <w:szCs w:val="24"/>
              </w:rPr>
              <w:t xml:space="preserve">绿化主管</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9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598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r>
        <w:trPr>
          <w:trHeight w:val="163"/>
        </w:trPr>
        <w:tc>
          <w:tcPr>
            <w:tcW w:w="124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701"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
                <w:sz w:val="24"/>
                <w:szCs w:val="24"/>
              </w:rPr>
              <w:t xml:space="preserve">安全员</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9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5982"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Cs/>
                <w:sz w:val="24"/>
                <w:szCs w:val="24"/>
              </w:rPr>
              <w:t xml:space="preserve">具有安全员</w:t>
            </w:r>
            <w:r>
              <w:rPr>
                <w:rFonts w:hint="eastAsia" w:ascii="仿宋" w:hAnsi="仿宋" w:eastAsia="仿宋" w:cs="宋体"/>
                <w:bCs/>
                <w:sz w:val="24"/>
                <w:szCs w:val="24"/>
              </w:rPr>
              <w:t xml:space="preserve">相关</w:t>
            </w:r>
            <w:r>
              <w:rPr>
                <w:rFonts w:hint="eastAsia" w:ascii="仿宋" w:hAnsi="仿宋" w:eastAsia="仿宋" w:cs="宋体"/>
                <w:bCs/>
                <w:sz w:val="24"/>
                <w:szCs w:val="24"/>
              </w:rPr>
              <w:t xml:space="preserve">证书。投标文件中提供安全员</w:t>
            </w:r>
            <w:r>
              <w:rPr>
                <w:rFonts w:hint="eastAsia" w:ascii="仿宋" w:hAnsi="仿宋" w:eastAsia="仿宋" w:cs="宋体"/>
                <w:bCs/>
                <w:sz w:val="24"/>
                <w:szCs w:val="24"/>
              </w:rPr>
              <w:t xml:space="preserve">相关</w:t>
            </w:r>
            <w:r>
              <w:rPr>
                <w:rFonts w:hint="eastAsia" w:ascii="仿宋" w:hAnsi="仿宋" w:eastAsia="仿宋" w:cs="宋体"/>
                <w:bCs/>
                <w:sz w:val="24"/>
                <w:szCs w:val="24"/>
              </w:rPr>
              <w:t xml:space="preserve">证书电子件。</w:t>
            </w:r>
            <w:r/>
          </w:p>
        </w:tc>
      </w:tr>
      <w:tr>
        <w:trPr>
          <w:trHeight w:val="363"/>
        </w:trPr>
        <w:tc>
          <w:tcPr>
            <w:tcW w:w="124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701"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
                <w:sz w:val="24"/>
                <w:szCs w:val="24"/>
              </w:rPr>
              <w:t xml:space="preserve">资料员</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9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5982"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Cs/>
                <w:sz w:val="24"/>
                <w:szCs w:val="24"/>
              </w:rPr>
              <w:t xml:space="preserve">具有大专及以上学历。投标文件中提供毕业证电子件。</w:t>
            </w:r>
            <w:r/>
          </w:p>
        </w:tc>
      </w:tr>
      <w:tr>
        <w:trPr>
          <w:trHeight w:val="313"/>
        </w:trPr>
        <w:tc>
          <w:tcPr>
            <w:tcW w:w="124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701"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
                <w:sz w:val="24"/>
                <w:szCs w:val="24"/>
              </w:rPr>
              <w:t xml:space="preserve">绿化工或花卉园艺工</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9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5982" w:type="dxa"/>
            <w:vAlign w:val="center"/>
            <w:textDirection w:val="lrTb"/>
            <w:noWrap w:val="false"/>
          </w:tcPr>
          <w:p>
            <w:pPr>
              <w:jc w:val="center"/>
              <w:spacing w:line="276" w:lineRule="auto"/>
              <w:rPr>
                <w:rFonts w:ascii="仿宋" w:hAnsi="仿宋" w:eastAsia="仿宋" w:cs="宋体"/>
                <w:sz w:val="24"/>
                <w:szCs w:val="24"/>
              </w:rPr>
            </w:pPr>
            <w:r>
              <w:rPr>
                <w:rFonts w:hint="eastAsia" w:ascii="仿宋" w:hAnsi="仿宋" w:eastAsia="仿宋" w:cs="宋体"/>
                <w:bCs/>
                <w:sz w:val="24"/>
                <w:szCs w:val="24"/>
              </w:rPr>
              <w:t xml:space="preserve">具有绿化工中级（四级）及以上证书或花卉园艺工中级（四级）及以上证书。</w:t>
            </w:r>
            <w:r>
              <w:rPr>
                <w:rFonts w:hint="eastAsia" w:ascii="仿宋" w:hAnsi="仿宋" w:eastAsia="仿宋" w:cs="宋体"/>
                <w:bCs/>
                <w:sz w:val="24"/>
                <w:szCs w:val="24"/>
              </w:rPr>
              <w:t xml:space="preserve">投标文件中提供证书电子件。</w:t>
            </w:r>
            <w:r/>
          </w:p>
        </w:tc>
      </w:tr>
      <w:tr>
        <w:trPr>
          <w:trHeight w:val="70"/>
        </w:trPr>
        <w:tc>
          <w:tcPr>
            <w:tcW w:w="124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701" w:type="dxa"/>
            <w:vAlign w:val="center"/>
            <w:textDirection w:val="lrTb"/>
            <w:noWrap w:val="false"/>
          </w:tcPr>
          <w:p>
            <w:pPr>
              <w:jc w:val="center"/>
              <w:spacing w:line="276" w:lineRule="auto"/>
              <w:rPr>
                <w:rFonts w:ascii="仿宋" w:hAnsi="仿宋" w:eastAsia="仿宋" w:cs="宋体"/>
                <w:b/>
                <w:sz w:val="24"/>
                <w:szCs w:val="24"/>
              </w:rPr>
            </w:pPr>
            <w:r>
              <w:rPr>
                <w:rFonts w:ascii="仿宋" w:hAnsi="仿宋" w:eastAsia="仿宋" w:cs="宋体"/>
                <w:b/>
                <w:sz w:val="24"/>
                <w:szCs w:val="24"/>
              </w:rPr>
              <w:t xml:space="preserve">………</w:t>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9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383"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1560"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c>
          <w:tcPr>
            <w:tcW w:w="5982" w:type="dxa"/>
            <w:vAlign w:val="center"/>
            <w:textDirection w:val="lrTb"/>
            <w:noWrap w:val="false"/>
          </w:tcPr>
          <w:p>
            <w:pPr>
              <w:jc w:val="center"/>
              <w:spacing w:line="276" w:lineRule="auto"/>
              <w:rPr>
                <w:rFonts w:ascii="仿宋" w:hAnsi="仿宋" w:eastAsia="仿宋" w:cs="宋体"/>
                <w:sz w:val="24"/>
                <w:szCs w:val="24"/>
              </w:rPr>
            </w:pPr>
            <w:r>
              <w:rPr>
                <w:rFonts w:ascii="仿宋" w:hAnsi="仿宋" w:eastAsia="仿宋" w:cs="宋体"/>
                <w:sz w:val="24"/>
                <w:szCs w:val="24"/>
              </w:rPr>
            </w:r>
            <w:r/>
          </w:p>
        </w:tc>
      </w:tr>
    </w:tbl>
    <w:p>
      <w:pPr>
        <w:spacing w:line="276" w:lineRule="auto"/>
        <w:rPr>
          <w:rFonts w:ascii="仿宋" w:hAnsi="仿宋" w:eastAsia="仿宋" w:cs="宋体"/>
          <w:sz w:val="24"/>
          <w:szCs w:val="24"/>
        </w:rPr>
      </w:pPr>
      <w:r>
        <w:rPr>
          <w:rFonts w:hint="eastAsia" w:ascii="仿宋" w:hAnsi="仿宋" w:eastAsia="仿宋" w:cs="宋体"/>
          <w:sz w:val="24"/>
          <w:szCs w:val="24"/>
        </w:rPr>
        <w:t xml:space="preserve">注：投标时提供以上人员要求的相应证书</w:t>
      </w:r>
      <w:r>
        <w:rPr>
          <w:rFonts w:hint="eastAsia" w:ascii="仿宋" w:hAnsi="仿宋" w:eastAsia="仿宋" w:cs="宋体"/>
          <w:sz w:val="24"/>
          <w:szCs w:val="24"/>
        </w:rPr>
        <w:t xml:space="preserve">电子件</w:t>
      </w:r>
      <w:r>
        <w:rPr>
          <w:rFonts w:hint="eastAsia" w:ascii="仿宋" w:hAnsi="仿宋" w:eastAsia="仿宋" w:cs="宋体"/>
          <w:sz w:val="24"/>
          <w:szCs w:val="24"/>
        </w:rPr>
        <w:t xml:space="preserve">，如投标人中标，</w:t>
      </w:r>
      <w:r>
        <w:rPr>
          <w:rFonts w:hint="eastAsia" w:ascii="仿宋" w:hAnsi="仿宋" w:eastAsia="仿宋" w:cs="宋体"/>
          <w:sz w:val="24"/>
          <w:szCs w:val="24"/>
        </w:rPr>
        <w:t xml:space="preserve">项目拟投入人员</w:t>
      </w:r>
      <w:r>
        <w:rPr>
          <w:rFonts w:hint="eastAsia" w:ascii="仿宋" w:hAnsi="仿宋" w:eastAsia="仿宋" w:cs="宋体"/>
          <w:sz w:val="24"/>
          <w:szCs w:val="24"/>
        </w:rPr>
        <w:t xml:space="preserve">必须按本表承诺人员操作，不得随意更换。</w:t>
      </w:r>
      <w:r/>
    </w:p>
    <w:p>
      <w:pPr>
        <w:jc w:val="left"/>
        <w:spacing w:line="276" w:lineRule="auto"/>
        <w:rPr>
          <w:rFonts w:ascii="仿宋" w:hAnsi="仿宋" w:eastAsia="仿宋"/>
          <w:sz w:val="24"/>
          <w:szCs w:val="24"/>
        </w:rPr>
      </w:pPr>
      <w:r>
        <w:rPr>
          <w:rFonts w:ascii="仿宋" w:hAnsi="仿宋" w:eastAsia="仿宋"/>
          <w:sz w:val="24"/>
          <w:szCs w:val="24"/>
        </w:rPr>
      </w:r>
      <w:r/>
    </w:p>
    <w:p>
      <w:pPr>
        <w:jc w:val="right"/>
        <w:spacing w:line="276" w:lineRule="auto"/>
        <w:rPr>
          <w:rFonts w:ascii="仿宋" w:hAnsi="仿宋" w:eastAsia="仿宋" w:cs="宋体"/>
          <w:color w:val="000000"/>
          <w:sz w:val="24"/>
          <w:szCs w:val="24"/>
        </w:rPr>
        <w:sectPr>
          <w:footnotePr/>
          <w:endnotePr/>
          <w:type w:val="nextPage"/>
          <w:pgSz w:w="16838" w:h="11906" w:orient="landscape"/>
          <w:pgMar w:top="1440" w:right="1080" w:bottom="1440" w:left="1080" w:header="851" w:footer="992" w:gutter="0"/>
          <w:cols w:num="1" w:sep="0" w:space="720" w:equalWidth="1"/>
          <w:docGrid w:linePitch="360"/>
          <w:titlePg/>
        </w:sectPr>
      </w:pPr>
      <w:r>
        <w:rPr>
          <w:rFonts w:hint="eastAsia" w:ascii="仿宋" w:hAnsi="仿宋" w:eastAsia="仿宋"/>
          <w:sz w:val="24"/>
          <w:szCs w:val="24"/>
        </w:rPr>
        <w:t xml:space="preserve">投标人名称：（加盖CA电子公章）</w:t>
      </w:r>
      <w:r>
        <w:rPr>
          <w:rFonts w:hint="eastAsia" w:ascii="仿宋" w:hAnsi="仿宋" w:eastAsia="仿宋" w:cs="宋体"/>
          <w:color w:val="000000"/>
          <w:sz w:val="24"/>
          <w:szCs w:val="24"/>
        </w:rPr>
        <w:t xml:space="preserve"> </w:t>
      </w:r>
      <w:r/>
    </w:p>
    <w:p>
      <w:pPr>
        <w:jc w:val="center"/>
        <w:spacing w:line="360" w:lineRule="auto"/>
        <w:rPr>
          <w:rFonts w:ascii="仿宋" w:hAnsi="仿宋" w:eastAsia="仿宋" w:cs="宋体"/>
          <w:b/>
          <w:sz w:val="24"/>
          <w:szCs w:val="24"/>
        </w:rPr>
      </w:pPr>
      <w:r>
        <w:rPr>
          <w:rFonts w:hint="eastAsia" w:ascii="仿宋" w:hAnsi="仿宋" w:eastAsia="仿宋" w:cs="宋体"/>
          <w:b/>
          <w:sz w:val="24"/>
          <w:szCs w:val="24"/>
        </w:rPr>
        <w:t xml:space="preserve">拟投入养护工人数量</w:t>
      </w:r>
      <w:r/>
    </w:p>
    <w:tbl>
      <w:tblPr>
        <w:tblW w:w="9356"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9"/>
        <w:gridCol w:w="4961"/>
        <w:gridCol w:w="1810"/>
        <w:gridCol w:w="1736"/>
      </w:tblGrid>
      <w:tr>
        <w:trPr>
          <w:trHeight w:val="96"/>
        </w:trPr>
        <w:tc>
          <w:tcPr>
            <w:gridSpan w:val="4"/>
            <w:tcW w:w="9356" w:type="dxa"/>
            <w:textDirection w:val="lrTb"/>
            <w:noWrap w:val="false"/>
          </w:tcPr>
          <w:p>
            <w:pPr>
              <w:jc w:val="center"/>
              <w:spacing w:line="360" w:lineRule="auto"/>
              <w:tabs>
                <w:tab w:val="left" w:pos="3587" w:leader="none"/>
              </w:tabs>
              <w:rPr>
                <w:rFonts w:ascii="仿宋" w:hAnsi="仿宋" w:eastAsia="仿宋" w:cs="仿宋"/>
                <w:b/>
                <w:bCs/>
                <w:sz w:val="24"/>
                <w:szCs w:val="24"/>
              </w:rPr>
            </w:pPr>
            <w:r>
              <w:rPr>
                <w:rFonts w:hint="eastAsia" w:ascii="仿宋" w:hAnsi="仿宋" w:eastAsia="仿宋" w:cs="仿宋"/>
                <w:b/>
                <w:bCs/>
                <w:sz w:val="24"/>
                <w:szCs w:val="24"/>
              </w:rPr>
              <w:t xml:space="preserve">分包一：商业区</w:t>
            </w:r>
            <w:r/>
          </w:p>
        </w:tc>
      </w:tr>
      <w:tr>
        <w:trPr>
          <w:trHeight w:val="316"/>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Cs/>
                <w:sz w:val="24"/>
                <w:szCs w:val="24"/>
              </w:rPr>
              <w:t xml:space="preserve">序号</w:t>
            </w:r>
            <w:r/>
          </w:p>
        </w:tc>
        <w:tc>
          <w:tcPr>
            <w:tcW w:w="4961"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范围</w:t>
            </w:r>
            <w:r/>
          </w:p>
        </w:tc>
        <w:tc>
          <w:tcPr>
            <w:tcW w:w="1810"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(12-2月)养护工人数量</w:t>
            </w:r>
            <w:r/>
          </w:p>
        </w:tc>
        <w:tc>
          <w:tcPr>
            <w:tcW w:w="1736"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(3-11月)养护工人数量</w:t>
            </w:r>
            <w:r/>
          </w:p>
        </w:tc>
      </w:tr>
      <w:tr>
        <w:trPr>
          <w:trHeight w:val="87"/>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4961"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东至为民河、西至通湖大道、南至富民河、北至清水河</w:t>
            </w:r>
            <w:r/>
          </w:p>
        </w:tc>
        <w:tc>
          <w:tcPr>
            <w:tcW w:w="1810"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12</w:t>
            </w:r>
            <w:r/>
          </w:p>
        </w:tc>
        <w:tc>
          <w:tcPr>
            <w:tcW w:w="1736"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16</w:t>
            </w:r>
            <w:r/>
          </w:p>
        </w:tc>
      </w:tr>
      <w:tr>
        <w:trPr>
          <w:trHeight w:val="70"/>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2</w:t>
            </w:r>
            <w:r/>
          </w:p>
        </w:tc>
        <w:tc>
          <w:tcPr>
            <w:tcW w:w="4961"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苏州公园</w:t>
            </w:r>
            <w:r/>
          </w:p>
        </w:tc>
        <w:tc>
          <w:tcPr>
            <w:tcW w:w="1810"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2</w:t>
            </w:r>
            <w:r/>
          </w:p>
        </w:tc>
        <w:tc>
          <w:tcPr>
            <w:tcW w:w="1736"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4</w:t>
            </w:r>
            <w:r/>
          </w:p>
        </w:tc>
      </w:tr>
      <w:tr>
        <w:trPr>
          <w:trHeight w:val="363"/>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3</w:t>
            </w:r>
            <w:r/>
          </w:p>
        </w:tc>
        <w:tc>
          <w:tcPr>
            <w:tcW w:w="4961"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东至为民河、西至通湖大道、南至西湖路、北至富民河</w:t>
            </w:r>
            <w:r/>
          </w:p>
        </w:tc>
        <w:tc>
          <w:tcPr>
            <w:tcW w:w="1810"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13</w:t>
            </w:r>
            <w:r/>
          </w:p>
        </w:tc>
        <w:tc>
          <w:tcPr>
            <w:tcW w:w="1736"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18</w:t>
            </w:r>
            <w:r/>
          </w:p>
        </w:tc>
      </w:tr>
      <w:tr>
        <w:trPr>
          <w:trHeight w:val="70"/>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4961"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中央商务区</w:t>
            </w:r>
            <w:r/>
          </w:p>
        </w:tc>
        <w:tc>
          <w:tcPr>
            <w:tcW w:w="1810"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10</w:t>
            </w:r>
            <w:r/>
          </w:p>
        </w:tc>
        <w:tc>
          <w:tcPr>
            <w:tcW w:w="1736"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17</w:t>
            </w:r>
            <w:r/>
          </w:p>
        </w:tc>
      </w:tr>
      <w:tr>
        <w:trPr>
          <w:trHeight w:val="645"/>
        </w:trPr>
        <w:tc>
          <w:tcPr>
            <w:gridSpan w:val="2"/>
            <w:tcW w:w="5810" w:type="dxa"/>
            <w:vAlign w:val="center"/>
            <w:textDirection w:val="lrTb"/>
            <w:noWrap w:val="false"/>
          </w:tcPr>
          <w:p>
            <w:pPr>
              <w:jc w:val="center"/>
              <w:spacing w:line="360"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合计</w:t>
            </w:r>
            <w:r/>
          </w:p>
        </w:tc>
        <w:tc>
          <w:tcPr>
            <w:tcW w:w="1810" w:type="dxa"/>
            <w:vAlign w:val="center"/>
            <w:textDirection w:val="lrTb"/>
            <w:noWrap w:val="false"/>
          </w:tcPr>
          <w:p>
            <w:pPr>
              <w:jc w:val="center"/>
              <w:spacing w:line="360"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37</w:t>
            </w:r>
            <w:r/>
          </w:p>
        </w:tc>
        <w:tc>
          <w:tcPr>
            <w:tcW w:w="1736" w:type="dxa"/>
            <w:vAlign w:val="center"/>
            <w:textDirection w:val="lrTb"/>
            <w:noWrap w:val="false"/>
          </w:tcPr>
          <w:p>
            <w:pPr>
              <w:jc w:val="center"/>
              <w:spacing w:line="360"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55</w:t>
            </w:r>
            <w:r/>
          </w:p>
        </w:tc>
      </w:tr>
      <w:tr>
        <w:trPr>
          <w:trHeight w:val="1693"/>
        </w:trPr>
        <w:tc>
          <w:tcPr>
            <w:gridSpan w:val="4"/>
            <w:tcW w:w="9356" w:type="dxa"/>
            <w:textDirection w:val="lrTb"/>
            <w:noWrap w:val="false"/>
          </w:tcPr>
          <w:p>
            <w:pPr>
              <w:spacing w:line="360" w:lineRule="auto"/>
              <w:tabs>
                <w:tab w:val="left" w:pos="2675" w:leader="none"/>
              </w:tabs>
              <w:rPr>
                <w:rFonts w:ascii="仿宋" w:hAnsi="仿宋" w:eastAsia="仿宋" w:cs="仿宋"/>
                <w:b/>
                <w:bCs/>
                <w:sz w:val="24"/>
                <w:szCs w:val="24"/>
              </w:rPr>
            </w:pPr>
            <w:r>
              <w:rPr>
                <w:rFonts w:hint="eastAsia" w:ascii="仿宋" w:hAnsi="仿宋" w:eastAsia="仿宋" w:cs="仿宋"/>
                <w:b/>
                <w:bCs/>
                <w:sz w:val="24"/>
                <w:szCs w:val="24"/>
              </w:rPr>
              <w:t xml:space="preserve">备注：1、表中所注人数为最低配置，采购人有权根据现场实际管养需求，要求中标单位增加养护工人数量， 因此产生的所有费用包含在本标段的报价内。</w:t>
            </w:r>
            <w:r/>
          </w:p>
          <w:p>
            <w:pPr>
              <w:jc w:val="left"/>
              <w:spacing w:line="360" w:lineRule="auto"/>
              <w:tabs>
                <w:tab w:val="left" w:pos="2675" w:leader="none"/>
              </w:tabs>
              <w:rPr>
                <w:rFonts w:ascii="仿宋" w:hAnsi="仿宋" w:eastAsia="仿宋" w:cs="仿宋"/>
                <w:b/>
                <w:bCs/>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中标单位严格按范围人员要求配备人员，范围内人员未经允许不得超范围作业。</w:t>
            </w:r>
            <w:r/>
          </w:p>
        </w:tc>
      </w:tr>
    </w:tbl>
    <w:p>
      <w:pPr>
        <w:jc w:val="left"/>
        <w:spacing w:line="360" w:lineRule="auto"/>
        <w:rPr>
          <w:rFonts w:ascii="仿宋" w:hAnsi="仿宋" w:eastAsia="仿宋" w:cs="宋体"/>
          <w:sz w:val="24"/>
          <w:szCs w:val="24"/>
        </w:rPr>
      </w:pPr>
      <w:r>
        <w:rPr>
          <w:rFonts w:ascii="仿宋" w:hAnsi="仿宋" w:eastAsia="仿宋" w:cs="宋体"/>
          <w:sz w:val="24"/>
          <w:szCs w:val="24"/>
        </w:rPr>
      </w:r>
      <w:r/>
    </w:p>
    <w:p>
      <w:pPr>
        <w:jc w:val="right"/>
        <w:spacing w:line="360" w:lineRule="auto"/>
        <w:rPr>
          <w:rFonts w:ascii="仿宋" w:hAnsi="仿宋" w:eastAsia="仿宋" w:cs="宋体"/>
          <w:sz w:val="24"/>
          <w:szCs w:val="24"/>
        </w:rPr>
      </w:pPr>
      <w:r/>
      <w:bookmarkStart w:id="252" w:name="_Toc11176"/>
      <w:r>
        <w:rPr>
          <w:rFonts w:hint="eastAsia" w:ascii="仿宋" w:hAnsi="仿宋" w:eastAsia="仿宋"/>
          <w:sz w:val="24"/>
          <w:szCs w:val="24"/>
        </w:rPr>
        <w:t xml:space="preserve">投标人名称：（加盖CA电子公章）</w:t>
      </w:r>
      <w:r/>
    </w:p>
    <w:p>
      <w:pPr>
        <w:jc w:val="center"/>
        <w:spacing w:line="360" w:lineRule="auto"/>
        <w:rPr>
          <w:rFonts w:ascii="仿宋" w:hAnsi="仿宋" w:eastAsia="仿宋" w:cs="宋体"/>
          <w:b/>
          <w:sz w:val="24"/>
          <w:szCs w:val="24"/>
        </w:rPr>
      </w:pPr>
      <w:r>
        <w:rPr>
          <w:rFonts w:ascii="仿宋" w:hAnsi="仿宋" w:eastAsia="仿宋"/>
          <w:sz w:val="24"/>
        </w:rPr>
        <w:br w:type="page" w:clear="all"/>
      </w:r>
      <w:r>
        <w:rPr>
          <w:rFonts w:hint="eastAsia" w:ascii="仿宋" w:hAnsi="仿宋" w:eastAsia="仿宋" w:cs="宋体"/>
          <w:b/>
          <w:sz w:val="24"/>
          <w:szCs w:val="24"/>
        </w:rPr>
        <w:t xml:space="preserve">拟投入养护工人数量</w:t>
      </w:r>
      <w:r/>
    </w:p>
    <w:tbl>
      <w:tblPr>
        <w:tblW w:w="9356"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9"/>
        <w:gridCol w:w="4961"/>
        <w:gridCol w:w="1810"/>
        <w:gridCol w:w="1736"/>
      </w:tblGrid>
      <w:tr>
        <w:trPr>
          <w:trHeight w:val="96"/>
        </w:trPr>
        <w:tc>
          <w:tcPr>
            <w:gridSpan w:val="4"/>
            <w:tcW w:w="9356" w:type="dxa"/>
            <w:textDirection w:val="lrTb"/>
            <w:noWrap w:val="false"/>
          </w:tcPr>
          <w:p>
            <w:pPr>
              <w:jc w:val="center"/>
              <w:spacing w:line="360" w:lineRule="auto"/>
              <w:tabs>
                <w:tab w:val="left" w:pos="3587" w:leader="none"/>
              </w:tabs>
              <w:rPr>
                <w:rFonts w:ascii="仿宋" w:hAnsi="仿宋" w:eastAsia="仿宋" w:cs="仿宋"/>
                <w:b/>
                <w:bCs/>
                <w:sz w:val="24"/>
                <w:szCs w:val="24"/>
              </w:rPr>
            </w:pPr>
            <w:r>
              <w:rPr>
                <w:rFonts w:hint="eastAsia" w:ascii="仿宋" w:hAnsi="仿宋" w:eastAsia="仿宋" w:cs="仿宋"/>
                <w:b/>
                <w:bCs/>
                <w:sz w:val="24"/>
                <w:szCs w:val="24"/>
              </w:rPr>
              <w:t xml:space="preserve">分包二：工业区</w:t>
            </w:r>
            <w:r/>
          </w:p>
        </w:tc>
      </w:tr>
      <w:tr>
        <w:trPr>
          <w:trHeight w:val="316"/>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Cs/>
                <w:sz w:val="24"/>
                <w:szCs w:val="24"/>
              </w:rPr>
              <w:t xml:space="preserve">序号</w:t>
            </w:r>
            <w:r/>
          </w:p>
        </w:tc>
        <w:tc>
          <w:tcPr>
            <w:tcW w:w="4961"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范围</w:t>
            </w:r>
            <w:r/>
          </w:p>
        </w:tc>
        <w:tc>
          <w:tcPr>
            <w:tcW w:w="1810"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(12-2月)养护工人数量</w:t>
            </w:r>
            <w:r/>
          </w:p>
        </w:tc>
        <w:tc>
          <w:tcPr>
            <w:tcW w:w="1736"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b/>
                <w:bCs/>
                <w:color w:val="000000"/>
                <w:sz w:val="24"/>
                <w:szCs w:val="24"/>
                <w:lang w:bidi="ar"/>
              </w:rPr>
              <w:t xml:space="preserve">(3-11月)养护工人数量</w:t>
            </w:r>
            <w:r/>
          </w:p>
        </w:tc>
      </w:tr>
      <w:tr>
        <w:trPr>
          <w:trHeight w:val="87"/>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4961"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东至通湖大道、西至阳明山大道、南至古城路、北至镜泊湖路</w:t>
            </w:r>
            <w:r/>
          </w:p>
        </w:tc>
        <w:tc>
          <w:tcPr>
            <w:tcW w:w="1810"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13</w:t>
            </w:r>
            <w:r/>
          </w:p>
        </w:tc>
        <w:tc>
          <w:tcPr>
            <w:tcW w:w="1736"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19</w:t>
            </w:r>
            <w:r/>
          </w:p>
        </w:tc>
      </w:tr>
      <w:tr>
        <w:trPr>
          <w:trHeight w:val="70"/>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2</w:t>
            </w:r>
            <w:r/>
          </w:p>
        </w:tc>
        <w:tc>
          <w:tcPr>
            <w:tcW w:w="4961" w:type="dxa"/>
            <w:vAlign w:val="center"/>
            <w:textDirection w:val="lrTb"/>
            <w:noWrap w:val="false"/>
          </w:tcPr>
          <w:p>
            <w:pPr>
              <w:jc w:val="center"/>
              <w:spacing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东至五指山路、西至天柱山路、南至古城路、北至苏北灌溉总渠</w:t>
            </w:r>
            <w:r/>
          </w:p>
        </w:tc>
        <w:tc>
          <w:tcPr>
            <w:tcW w:w="1810"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15</w:t>
            </w:r>
            <w:r/>
          </w:p>
        </w:tc>
        <w:tc>
          <w:tcPr>
            <w:tcW w:w="1736"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color w:val="000000"/>
                <w:sz w:val="24"/>
                <w:szCs w:val="24"/>
                <w:lang w:bidi="ar"/>
              </w:rPr>
              <w:t xml:space="preserve">21</w:t>
            </w:r>
            <w:r/>
          </w:p>
        </w:tc>
      </w:tr>
      <w:tr>
        <w:trPr>
          <w:trHeight w:val="363"/>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3</w:t>
            </w:r>
            <w:r/>
          </w:p>
        </w:tc>
        <w:tc>
          <w:tcPr>
            <w:tcW w:w="4961" w:type="dxa"/>
            <w:vAlign w:val="center"/>
            <w:textDirection w:val="lrTb"/>
            <w:noWrap w:val="false"/>
          </w:tcPr>
          <w:p>
            <w:pPr>
              <w:jc w:val="center"/>
              <w:spacing w:line="276" w:lineRule="auto"/>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通湖大道（清水河-北京路）中侧分带</w:t>
            </w:r>
            <w:r/>
          </w:p>
        </w:tc>
        <w:tc>
          <w:tcPr>
            <w:tcW w:w="1810"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tcW w:w="1736"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11</w:t>
            </w:r>
            <w:r/>
          </w:p>
        </w:tc>
      </w:tr>
      <w:tr>
        <w:trPr>
          <w:trHeight w:val="70"/>
        </w:trPr>
        <w:tc>
          <w:tcPr>
            <w:tcW w:w="849"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4961" w:type="dxa"/>
            <w:vAlign w:val="center"/>
            <w:textDirection w:val="lrTb"/>
            <w:noWrap w:val="false"/>
          </w:tcPr>
          <w:p>
            <w:pPr>
              <w:jc w:val="center"/>
              <w:spacing w:line="276"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通湖大道（清水河-北京路）50米绿化带</w:t>
            </w:r>
            <w:r/>
          </w:p>
        </w:tc>
        <w:tc>
          <w:tcPr>
            <w:tcW w:w="1810"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tcW w:w="1736"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11</w:t>
            </w:r>
            <w:r/>
          </w:p>
        </w:tc>
      </w:tr>
      <w:tr>
        <w:trPr>
          <w:trHeight w:val="645"/>
        </w:trPr>
        <w:tc>
          <w:tcPr>
            <w:gridSpan w:val="2"/>
            <w:tcW w:w="5810" w:type="dxa"/>
            <w:vAlign w:val="center"/>
            <w:textDirection w:val="lrTb"/>
            <w:noWrap w:val="false"/>
          </w:tcPr>
          <w:p>
            <w:pPr>
              <w:jc w:val="center"/>
              <w:spacing w:line="360" w:lineRule="auto"/>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合计</w:t>
            </w:r>
            <w:r/>
          </w:p>
        </w:tc>
        <w:tc>
          <w:tcPr>
            <w:tcW w:w="1810" w:type="dxa"/>
            <w:vAlign w:val="center"/>
            <w:textDirection w:val="lrTb"/>
            <w:noWrap w:val="false"/>
          </w:tcPr>
          <w:p>
            <w:pPr>
              <w:jc w:val="center"/>
              <w:spacing w:line="360" w:lineRule="auto"/>
              <w:widowControl/>
              <w:rPr>
                <w:rFonts w:ascii="仿宋" w:hAnsi="仿宋" w:eastAsia="仿宋" w:cs="仿宋"/>
                <w:bCs/>
                <w:color w:val="000000"/>
                <w:sz w:val="24"/>
                <w:szCs w:val="24"/>
                <w:lang w:bidi="ar"/>
              </w:rPr>
            </w:pPr>
            <w:r>
              <w:rPr>
                <w:rFonts w:ascii="仿宋" w:hAnsi="仿宋" w:eastAsia="仿宋" w:cs="仿宋"/>
                <w:bCs/>
                <w:color w:val="000000"/>
                <w:sz w:val="24"/>
                <w:szCs w:val="24"/>
                <w:lang w:bidi="ar"/>
              </w:rPr>
              <w:t xml:space="preserve">40</w:t>
            </w:r>
            <w:r/>
          </w:p>
        </w:tc>
        <w:tc>
          <w:tcPr>
            <w:tcW w:w="1736" w:type="dxa"/>
            <w:vAlign w:val="center"/>
            <w:textDirection w:val="lrTb"/>
            <w:noWrap w:val="false"/>
          </w:tcPr>
          <w:p>
            <w:pPr>
              <w:jc w:val="center"/>
              <w:spacing w:line="360" w:lineRule="auto"/>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rPr>
                <w:rFonts w:ascii="仿宋" w:hAnsi="仿宋" w:eastAsia="仿宋" w:cs="仿宋"/>
                <w:color w:val="000000"/>
                <w:sz w:val="24"/>
                <w:szCs w:val="24"/>
                <w:lang w:bidi="ar"/>
              </w:rPr>
              <w:t xml:space="preserve">2</w:t>
            </w:r>
            <w:r/>
          </w:p>
        </w:tc>
      </w:tr>
      <w:tr>
        <w:trPr>
          <w:trHeight w:val="1693"/>
        </w:trPr>
        <w:tc>
          <w:tcPr>
            <w:gridSpan w:val="4"/>
            <w:tcW w:w="9356" w:type="dxa"/>
            <w:textDirection w:val="lrTb"/>
            <w:noWrap w:val="false"/>
          </w:tcPr>
          <w:p>
            <w:pPr>
              <w:spacing w:line="360" w:lineRule="auto"/>
              <w:tabs>
                <w:tab w:val="left" w:pos="2675" w:leader="none"/>
              </w:tabs>
              <w:rPr>
                <w:rFonts w:ascii="仿宋" w:hAnsi="仿宋" w:eastAsia="仿宋" w:cs="仿宋"/>
                <w:b/>
                <w:bCs/>
                <w:sz w:val="24"/>
                <w:szCs w:val="24"/>
              </w:rPr>
            </w:pPr>
            <w:r>
              <w:rPr>
                <w:rFonts w:hint="eastAsia" w:ascii="仿宋" w:hAnsi="仿宋" w:eastAsia="仿宋" w:cs="仿宋"/>
                <w:b/>
                <w:bCs/>
                <w:sz w:val="24"/>
                <w:szCs w:val="24"/>
              </w:rPr>
              <w:t xml:space="preserve">备注：1、表中所注人数为最低配置，采购人有权根据现场实际管养需求，要求中标单位增加养护工人数量， 因此产生的所有费用包含在本标段的报价内。</w:t>
            </w:r>
            <w:r/>
          </w:p>
          <w:p>
            <w:pPr>
              <w:jc w:val="left"/>
              <w:spacing w:line="360" w:lineRule="auto"/>
              <w:tabs>
                <w:tab w:val="left" w:pos="2675" w:leader="none"/>
              </w:tabs>
              <w:rPr>
                <w:rFonts w:ascii="仿宋" w:hAnsi="仿宋" w:eastAsia="仿宋" w:cs="仿宋"/>
                <w:b/>
                <w:bCs/>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中标单位严格按范围人员要求配备人员，范围内人员未经允许不得超范围作业。</w:t>
            </w:r>
            <w:r/>
          </w:p>
        </w:tc>
      </w:tr>
    </w:tbl>
    <w:p>
      <w:pPr>
        <w:jc w:val="left"/>
        <w:spacing w:line="360" w:lineRule="auto"/>
        <w:rPr>
          <w:rFonts w:ascii="仿宋" w:hAnsi="仿宋" w:eastAsia="仿宋" w:cs="宋体"/>
          <w:sz w:val="24"/>
          <w:szCs w:val="24"/>
        </w:rPr>
      </w:pPr>
      <w:r>
        <w:rPr>
          <w:rFonts w:ascii="仿宋" w:hAnsi="仿宋" w:eastAsia="仿宋" w:cs="宋体"/>
          <w:sz w:val="24"/>
          <w:szCs w:val="24"/>
        </w:rPr>
      </w:r>
      <w:r/>
    </w:p>
    <w:p>
      <w:pPr>
        <w:jc w:val="right"/>
        <w:spacing w:line="360" w:lineRule="auto"/>
        <w:rPr>
          <w:rFonts w:ascii="仿宋" w:hAnsi="仿宋" w:eastAsia="仿宋" w:cs="宋体"/>
          <w:sz w:val="24"/>
          <w:szCs w:val="24"/>
        </w:rPr>
      </w:pPr>
      <w:r>
        <w:rPr>
          <w:rFonts w:hint="eastAsia" w:ascii="仿宋" w:hAnsi="仿宋" w:eastAsia="仿宋"/>
          <w:sz w:val="24"/>
          <w:szCs w:val="24"/>
        </w:rPr>
        <w:t xml:space="preserve">投标人名称：（加盖CA电子公章）</w:t>
      </w:r>
      <w:r/>
    </w:p>
    <w:p>
      <w:pPr>
        <w:pStyle w:val="1018"/>
        <w:spacing w:line="360" w:lineRule="auto"/>
        <w:rPr>
          <w:szCs w:val="32"/>
        </w:rPr>
        <w:outlineLvl w:val="1"/>
      </w:pPr>
      <w:r>
        <w:rPr>
          <w:rFonts w:ascii="仿宋" w:hAnsi="仿宋" w:eastAsia="仿宋"/>
          <w:sz w:val="24"/>
        </w:rPr>
        <w:br w:type="page" w:clear="all"/>
      </w:r>
      <w:bookmarkStart w:id="253" w:name="_Toc162865684"/>
      <w:r>
        <w:rPr>
          <w:rFonts w:hint="eastAsia"/>
          <w:szCs w:val="32"/>
        </w:rPr>
        <w:t xml:space="preserve">十、</w:t>
      </w:r>
      <w:bookmarkEnd w:id="252"/>
      <w:r>
        <w:rPr>
          <w:rFonts w:hint="eastAsia"/>
          <w:szCs w:val="32"/>
        </w:rPr>
        <w:t xml:space="preserve">企业业绩</w:t>
      </w:r>
      <w:bookmarkEnd w:id="253"/>
      <w:r/>
      <w:r/>
    </w:p>
    <w:p>
      <w:pPr>
        <w:pStyle w:val="1021"/>
        <w:jc w:val="center"/>
        <w:spacing w:line="360" w:lineRule="auto"/>
        <w:rPr>
          <w:rFonts w:ascii="仿宋" w:hAnsi="仿宋" w:eastAsia="仿宋"/>
          <w:b/>
          <w:sz w:val="24"/>
          <w:szCs w:val="24"/>
        </w:rPr>
      </w:pPr>
      <w:r>
        <w:rPr>
          <w:rFonts w:hint="eastAsia" w:ascii="仿宋" w:hAnsi="仿宋" w:eastAsia="仿宋"/>
          <w:b/>
          <w:sz w:val="24"/>
          <w:szCs w:val="24"/>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22"/>
              <w:jc w:val="center"/>
              <w:spacing w:line="360" w:lineRule="auto"/>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1022"/>
              <w:jc w:val="center"/>
              <w:spacing w:line="360" w:lineRule="auto"/>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1022"/>
              <w:jc w:val="center"/>
              <w:spacing w:line="360" w:lineRule="auto"/>
              <w:rPr>
                <w:rFonts w:ascii="仿宋" w:hAnsi="仿宋" w:eastAsia="仿宋"/>
                <w:sz w:val="24"/>
              </w:rPr>
            </w:pPr>
            <w:r>
              <w:rPr>
                <w:rFonts w:hint="eastAsia" w:ascii="仿宋" w:hAnsi="仿宋" w:eastAsia="仿宋"/>
                <w:sz w:val="24"/>
              </w:rPr>
              <w:t xml:space="preserve">采购单位</w:t>
            </w:r>
            <w:r/>
          </w:p>
        </w:tc>
        <w:tc>
          <w:tcPr>
            <w:tcW w:w="1395" w:type="dxa"/>
            <w:vAlign w:val="center"/>
            <w:textDirection w:val="lrTb"/>
            <w:noWrap w:val="false"/>
          </w:tcPr>
          <w:p>
            <w:pPr>
              <w:pStyle w:val="1022"/>
              <w:jc w:val="center"/>
              <w:spacing w:line="360" w:lineRule="auto"/>
              <w:rPr>
                <w:rFonts w:ascii="仿宋" w:hAnsi="仿宋" w:eastAsia="仿宋"/>
                <w:sz w:val="24"/>
              </w:rPr>
            </w:pPr>
            <w:r>
              <w:rPr>
                <w:rFonts w:hint="eastAsia" w:ascii="仿宋" w:hAnsi="仿宋" w:eastAsia="仿宋"/>
                <w:sz w:val="24"/>
              </w:rPr>
              <w:t xml:space="preserve">合同金额</w:t>
            </w:r>
            <w:r/>
          </w:p>
        </w:tc>
      </w:tr>
      <w:tr>
        <w:trPr>
          <w:jc w:val="center"/>
          <w:trHeight w:val="1510"/>
        </w:trPr>
        <w:tc>
          <w:tcPr>
            <w:tcW w:w="1229" w:type="dxa"/>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r>
      <w:tr>
        <w:trPr>
          <w:jc w:val="center"/>
          <w:trHeight w:val="1525"/>
        </w:trPr>
        <w:tc>
          <w:tcPr>
            <w:tcW w:w="1229" w:type="dxa"/>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22"/>
              <w:jc w:val="center"/>
              <w:spacing w:line="360" w:lineRule="auto"/>
              <w:rPr>
                <w:rFonts w:ascii="仿宋" w:hAnsi="仿宋" w:eastAsia="仿宋"/>
                <w:sz w:val="24"/>
              </w:rPr>
            </w:pPr>
            <w:r>
              <w:rPr>
                <w:rFonts w:ascii="仿宋" w:hAnsi="仿宋" w:eastAsia="仿宋"/>
                <w:sz w:val="24"/>
              </w:rPr>
            </w:r>
            <w:r/>
          </w:p>
        </w:tc>
      </w:tr>
    </w:tbl>
    <w:p>
      <w:pPr>
        <w:pStyle w:val="1021"/>
        <w:spacing w:line="360" w:lineRule="auto"/>
        <w:rPr>
          <w:rFonts w:ascii="仿宋" w:hAnsi="仿宋" w:eastAsia="仿宋"/>
          <w:b/>
          <w:sz w:val="24"/>
          <w:szCs w:val="24"/>
        </w:rPr>
      </w:pPr>
      <w:r>
        <w:rPr>
          <w:rFonts w:hint="eastAsia" w:ascii="仿宋" w:hAnsi="仿宋" w:eastAsia="仿宋"/>
          <w:b/>
          <w:sz w:val="24"/>
          <w:szCs w:val="24"/>
        </w:rPr>
        <w:t xml:space="preserve">注：请填写此表，并按要求上传业绩资料电子件。</w:t>
      </w:r>
      <w:r/>
    </w:p>
    <w:p>
      <w:pPr>
        <w:pStyle w:val="1018"/>
        <w:spacing w:line="360" w:lineRule="auto"/>
        <w:rPr>
          <w:szCs w:val="32"/>
        </w:rPr>
        <w:outlineLvl w:val="1"/>
      </w:pPr>
      <w:r>
        <w:rPr>
          <w:rFonts w:ascii="仿宋" w:hAnsi="仿宋" w:eastAsia="仿宋"/>
          <w:sz w:val="24"/>
        </w:rPr>
        <w:br w:type="page" w:clear="all"/>
      </w:r>
      <w:bookmarkStart w:id="254" w:name="_Toc162865685"/>
      <w:r>
        <w:rPr>
          <w:rFonts w:hint="eastAsia"/>
          <w:szCs w:val="32"/>
        </w:rPr>
        <w:t xml:space="preserve">十一、用工承诺书</w:t>
      </w:r>
      <w:bookmarkEnd w:id="254"/>
      <w:r/>
      <w:r/>
    </w:p>
    <w:p>
      <w:pPr>
        <w:jc w:val="center"/>
        <w:keepLines/>
        <w:keepNext/>
        <w:spacing w:before="120" w:after="120" w:line="360" w:lineRule="auto"/>
        <w:rPr>
          <w:rFonts w:ascii="仿宋" w:hAnsi="仿宋" w:eastAsia="仿宋" w:cs="宋体"/>
          <w:bCs/>
          <w:sz w:val="24"/>
          <w:szCs w:val="24"/>
        </w:rPr>
      </w:pPr>
      <w:r>
        <w:rPr>
          <w:rFonts w:hint="eastAsia" w:ascii="仿宋" w:hAnsi="仿宋" w:eastAsia="仿宋" w:cs="宋体"/>
          <w:bCs/>
          <w:sz w:val="24"/>
          <w:szCs w:val="24"/>
        </w:rPr>
        <w:t xml:space="preserve">用工承诺书</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苏宿园区2024年-2026年公共绿化养护项目用工承诺，我公司杜绝使用包工头，现承诺如下：</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1、保证本项目施工期间与劳动者签订合法用工合同，不使用包工头带工作业，在进行劳务作业分包时保证使用有资质的劳务作业；</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2、保证本项目农民工工资标准不低于宿迁市最低工资标准，保证不克扣和拖欠工资，工资支付最长周期小于30天；</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3、保证在本项目现场的显著位置设立民工权益告知牌，告知民工权益；</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4、保证不违反劳动保障法律、法规的一切规定。</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特此承诺。</w:t>
      </w:r>
      <w:r/>
    </w:p>
    <w:p>
      <w:pPr>
        <w:spacing w:before="120" w:after="120" w:line="360" w:lineRule="auto"/>
        <w:rPr>
          <w:rFonts w:ascii="仿宋" w:hAnsi="仿宋" w:eastAsia="仿宋" w:cs="宋体"/>
          <w:sz w:val="24"/>
          <w:szCs w:val="24"/>
        </w:rPr>
      </w:pPr>
      <w:r>
        <w:rPr>
          <w:rFonts w:ascii="仿宋" w:hAnsi="仿宋" w:eastAsia="仿宋" w:cs="宋体"/>
          <w:sz w:val="24"/>
          <w:szCs w:val="24"/>
        </w:rPr>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r/>
    </w:p>
    <w:p>
      <w:pPr>
        <w:pStyle w:val="1376"/>
        <w:spacing w:line="360" w:lineRule="auto"/>
        <w:rPr>
          <w:color w:val="000000"/>
          <w:szCs w:val="32"/>
        </w:rPr>
        <w:outlineLvl w:val="1"/>
      </w:pPr>
      <w:r>
        <w:rPr>
          <w:rFonts w:ascii="Times New Roman" w:hAnsi="Times New Roman"/>
        </w:rPr>
        <w:br w:type="page" w:clear="all"/>
      </w:r>
      <w:bookmarkStart w:id="255" w:name="_Toc157436531"/>
      <w:r/>
      <w:bookmarkStart w:id="256" w:name="_Toc162865686"/>
      <w:r/>
      <w:bookmarkStart w:id="257" w:name="_Toc28140"/>
      <w:r>
        <w:rPr>
          <w:rFonts w:hint="eastAsia"/>
          <w:color w:val="000000"/>
          <w:szCs w:val="32"/>
        </w:rPr>
        <w:t xml:space="preserve">十二、办公场所承诺书</w:t>
      </w:r>
      <w:bookmarkEnd w:id="255"/>
      <w:r/>
      <w:bookmarkEnd w:id="256"/>
      <w:r/>
      <w:r/>
    </w:p>
    <w:p>
      <w:pPr>
        <w:jc w:val="center"/>
        <w:spacing w:before="120" w:after="120" w:line="360" w:lineRule="auto"/>
        <w:rPr>
          <w:rFonts w:ascii="仿宋" w:hAnsi="仿宋" w:eastAsia="仿宋" w:cs="宋体"/>
          <w:bCs/>
          <w:sz w:val="24"/>
          <w:szCs w:val="24"/>
        </w:rPr>
      </w:pPr>
      <w:r>
        <w:rPr>
          <w:rFonts w:ascii="仿宋" w:hAnsi="仿宋" w:eastAsia="仿宋" w:cs="宋体"/>
          <w:bCs/>
          <w:sz w:val="24"/>
          <w:szCs w:val="24"/>
        </w:rPr>
      </w:r>
      <w:r/>
    </w:p>
    <w:p>
      <w:pPr>
        <w:jc w:val="center"/>
        <w:spacing w:before="120" w:after="120" w:line="360" w:lineRule="auto"/>
        <w:rPr>
          <w:rFonts w:ascii="仿宋" w:hAnsi="仿宋" w:eastAsia="仿宋" w:cs="宋体"/>
          <w:bCs/>
          <w:sz w:val="24"/>
          <w:szCs w:val="24"/>
        </w:rPr>
      </w:pPr>
      <w:r>
        <w:rPr>
          <w:rFonts w:hint="eastAsia" w:ascii="仿宋" w:hAnsi="仿宋" w:eastAsia="仿宋" w:cs="宋体"/>
          <w:bCs/>
          <w:sz w:val="24"/>
          <w:szCs w:val="24"/>
        </w:rPr>
        <w:t xml:space="preserve">具备固定的办公场所承诺书</w:t>
      </w:r>
      <w:r/>
    </w:p>
    <w:p>
      <w:pPr>
        <w:spacing w:line="360" w:lineRule="auto"/>
        <w:rPr>
          <w:rFonts w:ascii="仿宋" w:hAnsi="仿宋" w:eastAsia="仿宋" w:cs="宋体"/>
          <w:sz w:val="24"/>
          <w:szCs w:val="24"/>
          <w:u w:val="single"/>
        </w:rPr>
      </w:pPr>
      <w:r>
        <w:rPr>
          <w:rFonts w:hint="eastAsia" w:ascii="仿宋" w:hAnsi="仿宋" w:eastAsia="仿宋" w:cs="宋体"/>
          <w:sz w:val="24"/>
          <w:szCs w:val="24"/>
        </w:rPr>
        <w:t xml:space="preserve">致：</w:t>
      </w:r>
      <w:r>
        <w:rPr>
          <w:rFonts w:hint="eastAsia" w:ascii="仿宋" w:hAnsi="仿宋" w:eastAsia="仿宋" w:cs="宋体"/>
          <w:sz w:val="24"/>
          <w:szCs w:val="24"/>
          <w:u w:val="single"/>
        </w:rPr>
        <w:t xml:space="preserve">（招标人名称）</w:t>
      </w:r>
      <w:r/>
    </w:p>
    <w:p>
      <w:pPr>
        <w:ind w:firstLine="480"/>
        <w:jc w:val="left"/>
        <w:spacing w:line="360" w:lineRule="auto"/>
        <w:rPr>
          <w:rFonts w:ascii="仿宋" w:hAnsi="仿宋" w:eastAsia="仿宋" w:cs="宋体"/>
          <w:sz w:val="24"/>
          <w:szCs w:val="24"/>
        </w:rPr>
      </w:pPr>
      <w:r>
        <w:rPr>
          <w:rFonts w:hint="eastAsia" w:ascii="仿宋" w:hAnsi="仿宋" w:eastAsia="仿宋" w:cs="宋体"/>
          <w:sz w:val="24"/>
          <w:szCs w:val="24"/>
        </w:rPr>
        <w:t xml:space="preserve">我单位郑重承诺：</w:t>
      </w:r>
      <w:r/>
    </w:p>
    <w:p>
      <w:pPr>
        <w:ind w:firstLine="480"/>
        <w:jc w:val="left"/>
        <w:spacing w:line="360" w:lineRule="auto"/>
        <w:rPr>
          <w:rFonts w:ascii="仿宋" w:hAnsi="仿宋" w:eastAsia="仿宋" w:cs="宋体"/>
          <w:sz w:val="24"/>
          <w:szCs w:val="24"/>
        </w:rPr>
      </w:pPr>
      <w:r>
        <w:rPr>
          <w:rFonts w:hint="eastAsia" w:ascii="仿宋" w:hAnsi="仿宋" w:eastAsia="仿宋" w:cs="宋体"/>
          <w:sz w:val="24"/>
          <w:szCs w:val="24"/>
        </w:rPr>
        <w:t xml:space="preserve">我方承诺，我方在合同签订后5日内在苏宿园区具备固定的办公场所，费用我方自理。否则视同我单位违约，你方有权采取终止合同、没收履约保证金、停止支付工程款、扣除违约金等处罚措施。</w:t>
      </w:r>
      <w:r/>
    </w:p>
    <w:p>
      <w:pPr>
        <w:ind w:firstLine="480"/>
        <w:jc w:val="left"/>
        <w:spacing w:line="360" w:lineRule="auto"/>
        <w:rPr>
          <w:rFonts w:ascii="仿宋" w:hAnsi="仿宋" w:eastAsia="仿宋" w:cs="宋体"/>
          <w:sz w:val="24"/>
          <w:szCs w:val="24"/>
        </w:rPr>
      </w:pPr>
      <w:r>
        <w:rPr>
          <w:rFonts w:hint="eastAsia" w:ascii="仿宋" w:hAnsi="仿宋" w:eastAsia="仿宋" w:cs="宋体"/>
          <w:sz w:val="24"/>
          <w:szCs w:val="24"/>
        </w:rPr>
        <w:t xml:space="preserve">特此承诺。</w:t>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r/>
    </w:p>
    <w:p>
      <w:pPr>
        <w:jc w:val="left"/>
        <w:spacing w:line="360" w:lineRule="auto"/>
        <w:widowControl/>
        <w:rPr>
          <w:rFonts w:ascii="黑体" w:hAnsi="黑体" w:eastAsia="黑体" w:cs="宋体"/>
          <w:b/>
          <w:bCs/>
          <w:sz w:val="32"/>
          <w:szCs w:val="32"/>
        </w:rPr>
        <w:outlineLvl w:val="1"/>
      </w:pPr>
      <w:r>
        <w:rPr>
          <w:rFonts w:ascii="仿宋" w:hAnsi="仿宋" w:eastAsia="仿宋" w:cs="宋体"/>
          <w:bCs/>
          <w:sz w:val="24"/>
          <w:szCs w:val="24"/>
        </w:rPr>
        <w:br w:type="page" w:clear="all"/>
      </w:r>
      <w:bookmarkStart w:id="258" w:name="_Toc162865687"/>
      <w:r>
        <w:rPr>
          <w:rFonts w:hint="eastAsia" w:ascii="黑体" w:hAnsi="黑体" w:eastAsia="黑体" w:cs="宋体"/>
          <w:b/>
          <w:color w:val="000000"/>
          <w:sz w:val="32"/>
          <w:szCs w:val="32"/>
        </w:rPr>
        <w:t xml:space="preserve">十三、车辆常驻苏宿园区承诺书</w:t>
      </w:r>
      <w:bookmarkEnd w:id="258"/>
      <w:r/>
      <w:r/>
    </w:p>
    <w:p>
      <w:pPr>
        <w:spacing w:line="360" w:lineRule="auto"/>
        <w:rPr>
          <w:rFonts w:ascii="仿宋" w:hAnsi="仿宋" w:eastAsia="仿宋" w:cs="宋体"/>
          <w:sz w:val="24"/>
          <w:szCs w:val="24"/>
        </w:rPr>
      </w:pPr>
      <w:r>
        <w:rPr>
          <w:rFonts w:ascii="仿宋" w:hAnsi="仿宋" w:eastAsia="仿宋" w:cs="宋体"/>
          <w:sz w:val="24"/>
          <w:szCs w:val="24"/>
        </w:rPr>
      </w:r>
      <w:r/>
    </w:p>
    <w:p>
      <w:pPr>
        <w:jc w:val="center"/>
        <w:spacing w:line="360" w:lineRule="auto"/>
        <w:rPr>
          <w:rFonts w:ascii="仿宋" w:hAnsi="仿宋" w:eastAsia="仿宋" w:cs="宋体"/>
          <w:sz w:val="24"/>
          <w:szCs w:val="24"/>
        </w:rPr>
      </w:pPr>
      <w:r>
        <w:rPr>
          <w:rFonts w:hint="eastAsia" w:ascii="仿宋" w:hAnsi="仿宋" w:eastAsia="仿宋" w:cs="宋体"/>
          <w:sz w:val="24"/>
          <w:szCs w:val="24"/>
        </w:rPr>
        <w:t xml:space="preserve">车辆常驻苏宿园区承诺书</w:t>
      </w:r>
      <w:r/>
    </w:p>
    <w:p>
      <w:pPr>
        <w:spacing w:line="360" w:lineRule="auto"/>
        <w:rPr>
          <w:rFonts w:ascii="仿宋" w:hAnsi="仿宋" w:eastAsia="仿宋" w:cs="宋体"/>
          <w:sz w:val="24"/>
          <w:szCs w:val="24"/>
        </w:rPr>
      </w:pPr>
      <w:r>
        <w:rPr>
          <w:rFonts w:hint="eastAsia" w:ascii="仿宋" w:hAnsi="仿宋" w:eastAsia="仿宋" w:cs="宋体"/>
          <w:sz w:val="24"/>
          <w:szCs w:val="24"/>
        </w:rPr>
        <w:t xml:space="preserve">致：</w:t>
      </w:r>
      <w:r>
        <w:rPr>
          <w:rFonts w:hint="eastAsia" w:ascii="仿宋" w:hAnsi="仿宋" w:eastAsia="仿宋" w:cs="宋体"/>
          <w:sz w:val="24"/>
          <w:szCs w:val="24"/>
          <w:u w:val="single"/>
        </w:rPr>
        <w:t xml:space="preserve">（招标人名称）</w:t>
      </w:r>
      <w:r/>
    </w:p>
    <w:p>
      <w:pPr>
        <w:spacing w:line="360" w:lineRule="auto"/>
        <w:rPr>
          <w:rFonts w:ascii="仿宋" w:hAnsi="仿宋" w:eastAsia="仿宋" w:cs="宋体"/>
          <w:sz w:val="24"/>
          <w:szCs w:val="24"/>
        </w:rPr>
      </w:pPr>
      <w:r>
        <w:rPr>
          <w:rFonts w:hint="eastAsia" w:ascii="仿宋" w:hAnsi="仿宋" w:eastAsia="仿宋" w:cs="宋体"/>
          <w:sz w:val="24"/>
          <w:szCs w:val="24"/>
        </w:rPr>
        <w:t xml:space="preserve">我单位郑重承诺：</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我方承诺，中标后</w:t>
      </w:r>
      <w:r>
        <w:rPr>
          <w:rFonts w:hint="eastAsia" w:ascii="仿宋" w:hAnsi="仿宋" w:eastAsia="仿宋" w:cs="宋体"/>
          <w:bCs/>
          <w:sz w:val="24"/>
          <w:szCs w:val="24"/>
          <w:u w:val="single"/>
        </w:rPr>
        <w:t xml:space="preserve">洒水车、</w:t>
      </w:r>
      <w:r>
        <w:rPr>
          <w:rFonts w:hint="eastAsia" w:ascii="仿宋" w:hAnsi="仿宋" w:eastAsia="仿宋" w:cs="宋体"/>
          <w:sz w:val="24"/>
          <w:szCs w:val="24"/>
          <w:u w:val="single"/>
        </w:rPr>
        <w:t xml:space="preserve">皮卡车</w:t>
      </w:r>
      <w:r>
        <w:rPr>
          <w:rFonts w:hint="eastAsia" w:ascii="仿宋" w:hAnsi="仿宋" w:eastAsia="仿宋" w:cs="宋体"/>
          <w:sz w:val="24"/>
          <w:szCs w:val="24"/>
        </w:rPr>
        <w:t xml:space="preserve">安装GPS定位装置，车辆常驻苏宿工业园区，专门用于本项目。否则视同我单位违约，你方有权采取终止合同、没收履约保证金、停止支付工程款、扣除违约金等处罚措施。</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安装GPS定位装置</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特此承诺。</w:t>
      </w:r>
      <w:r/>
    </w:p>
    <w:p>
      <w:pPr>
        <w:jc w:val="left"/>
        <w:spacing w:line="360" w:lineRule="auto"/>
        <w:widowControl/>
        <w:rPr>
          <w:rFonts w:ascii="仿宋" w:hAnsi="仿宋" w:eastAsia="仿宋" w:cs="宋体"/>
          <w:sz w:val="24"/>
          <w:szCs w:val="24"/>
          <w:lang w:val="zh-CN"/>
        </w:rPr>
      </w:pPr>
      <w:r>
        <w:rPr>
          <w:rFonts w:ascii="仿宋" w:hAnsi="仿宋" w:eastAsia="仿宋" w:cs="宋体"/>
          <w:sz w:val="24"/>
          <w:szCs w:val="24"/>
          <w:lang w:val="zh-CN"/>
        </w:rPr>
      </w:r>
      <w:r/>
    </w:p>
    <w:p>
      <w:pPr>
        <w:jc w:val="left"/>
        <w:spacing w:line="360" w:lineRule="auto"/>
        <w:widowControl/>
        <w:rPr>
          <w:rFonts w:ascii="仿宋" w:hAnsi="仿宋" w:eastAsia="仿宋" w:cs="宋体"/>
          <w:sz w:val="24"/>
          <w:szCs w:val="24"/>
          <w:lang w:val="zh-CN"/>
        </w:rPr>
      </w:pPr>
      <w:r>
        <w:rPr>
          <w:rFonts w:ascii="仿宋" w:hAnsi="仿宋" w:eastAsia="仿宋" w:cs="宋体"/>
          <w:sz w:val="24"/>
          <w:szCs w:val="24"/>
          <w:lang w:val="zh-CN"/>
        </w:rPr>
      </w:r>
      <w:r/>
    </w:p>
    <w:p>
      <w:pPr>
        <w:jc w:val="left"/>
        <w:spacing w:line="360" w:lineRule="auto"/>
        <w:widowControl/>
        <w:rPr>
          <w:rFonts w:ascii="仿宋" w:hAnsi="仿宋" w:eastAsia="仿宋" w:cs="宋体"/>
          <w:sz w:val="24"/>
          <w:szCs w:val="24"/>
          <w:lang w:val="zh-CN"/>
        </w:rPr>
      </w:pPr>
      <w:r>
        <w:rPr>
          <w:rFonts w:ascii="仿宋" w:hAnsi="仿宋" w:eastAsia="仿宋" w:cs="宋体"/>
          <w:sz w:val="24"/>
          <w:szCs w:val="24"/>
          <w:lang w:val="zh-CN"/>
        </w:rPr>
      </w:r>
      <w:r/>
    </w:p>
    <w:p>
      <w:pPr>
        <w:jc w:val="left"/>
        <w:spacing w:line="360" w:lineRule="auto"/>
        <w:widowControl/>
        <w:rPr>
          <w:rFonts w:ascii="仿宋" w:hAnsi="仿宋" w:eastAsia="仿宋" w:cs="宋体"/>
          <w:sz w:val="24"/>
          <w:szCs w:val="24"/>
          <w:lang w:val="zh-CN"/>
        </w:rPr>
      </w:pPr>
      <w:r>
        <w:rPr>
          <w:rFonts w:ascii="仿宋" w:hAnsi="仿宋" w:eastAsia="仿宋" w:cs="宋体"/>
          <w:sz w:val="24"/>
          <w:szCs w:val="24"/>
          <w:lang w:val="zh-CN"/>
        </w:rPr>
      </w:r>
      <w:r/>
    </w:p>
    <w:p>
      <w:pPr>
        <w:pStyle w:val="1280"/>
        <w:spacing w:line="360" w:lineRule="auto"/>
        <w:rPr>
          <w:rFonts w:ascii="仿宋" w:hAnsi="仿宋" w:eastAsia="仿宋"/>
          <w:sz w:val="24"/>
        </w:rPr>
      </w:pPr>
      <w:r>
        <w:rPr>
          <w:rFonts w:hint="eastAsia" w:ascii="仿宋" w:hAnsi="仿宋" w:eastAsia="仿宋"/>
          <w:sz w:val="24"/>
        </w:rPr>
        <w:t xml:space="preserve">投标人名称：（加盖CA电子公章）</w:t>
      </w:r>
      <w:r/>
    </w:p>
    <w:p>
      <w:pPr>
        <w:jc w:val="left"/>
        <w:spacing w:line="360" w:lineRule="auto"/>
        <w:widowControl/>
        <w:rPr>
          <w:rFonts w:ascii="黑体" w:hAnsi="黑体" w:eastAsia="黑体" w:cs="宋体"/>
          <w:b/>
          <w:color w:val="000000"/>
          <w:sz w:val="32"/>
          <w:szCs w:val="32"/>
        </w:rPr>
        <w:outlineLvl w:val="1"/>
      </w:pPr>
      <w:r/>
      <w:bookmarkStart w:id="259" w:name="_Toc157436533"/>
      <w:r>
        <w:rPr>
          <w:rFonts w:ascii="仿宋" w:hAnsi="仿宋" w:eastAsia="仿宋" w:cs="宋体"/>
          <w:b/>
          <w:color w:val="000000"/>
          <w:sz w:val="24"/>
          <w:szCs w:val="24"/>
        </w:rPr>
        <w:br w:type="page" w:clear="all"/>
      </w:r>
      <w:bookmarkStart w:id="260" w:name="_Toc162865688"/>
      <w:r>
        <w:rPr>
          <w:rFonts w:hint="eastAsia" w:ascii="黑体" w:hAnsi="黑体" w:eastAsia="黑体" w:cs="宋体"/>
          <w:b/>
          <w:color w:val="000000"/>
          <w:sz w:val="32"/>
          <w:szCs w:val="32"/>
        </w:rPr>
        <w:t xml:space="preserve">十四、工程投标及施工管理承诺书</w:t>
      </w:r>
      <w:bookmarkEnd w:id="259"/>
      <w:r/>
      <w:bookmarkEnd w:id="260"/>
      <w:r/>
      <w:r/>
    </w:p>
    <w:p>
      <w:pPr>
        <w:ind w:right="-212"/>
        <w:jc w:val="center"/>
        <w:spacing w:line="360" w:lineRule="auto"/>
        <w:rPr>
          <w:rFonts w:ascii="仿宋" w:hAnsi="仿宋" w:eastAsia="仿宋" w:cs="宋体"/>
          <w:sz w:val="24"/>
          <w:szCs w:val="24"/>
        </w:rPr>
      </w:pPr>
      <w:r>
        <w:rPr>
          <w:rFonts w:ascii="仿宋" w:hAnsi="仿宋" w:eastAsia="仿宋" w:cs="宋体"/>
          <w:sz w:val="24"/>
          <w:szCs w:val="24"/>
        </w:rPr>
      </w:r>
      <w:r/>
    </w:p>
    <w:p>
      <w:pPr>
        <w:jc w:val="center"/>
        <w:spacing w:line="360" w:lineRule="auto"/>
        <w:rPr>
          <w:rFonts w:ascii="仿宋" w:hAnsi="仿宋" w:eastAsia="仿宋" w:cs="宋体"/>
          <w:bCs/>
          <w:sz w:val="24"/>
          <w:szCs w:val="24"/>
        </w:rPr>
      </w:pPr>
      <w:r>
        <w:rPr>
          <w:rFonts w:hint="eastAsia" w:ascii="仿宋" w:hAnsi="仿宋" w:eastAsia="仿宋" w:cs="宋体"/>
          <w:bCs/>
          <w:sz w:val="24"/>
          <w:szCs w:val="24"/>
        </w:rPr>
        <w:t xml:space="preserve">工程投标及施工管理承诺书</w:t>
      </w:r>
      <w:r/>
    </w:p>
    <w:p>
      <w:pPr>
        <w:spacing w:line="360" w:lineRule="auto"/>
        <w:rPr>
          <w:rFonts w:ascii="仿宋" w:hAnsi="仿宋" w:eastAsia="仿宋" w:cs="宋体"/>
          <w:sz w:val="24"/>
          <w:szCs w:val="24"/>
          <w:u w:val="single"/>
        </w:rPr>
      </w:pPr>
      <w:r>
        <w:rPr>
          <w:rFonts w:hint="eastAsia" w:ascii="仿宋" w:hAnsi="仿宋" w:eastAsia="仿宋" w:cs="宋体"/>
          <w:sz w:val="24"/>
          <w:szCs w:val="24"/>
        </w:rPr>
        <w:t xml:space="preserve">致</w:t>
      </w:r>
      <w:r>
        <w:rPr>
          <w:rFonts w:hint="eastAsia" w:ascii="仿宋" w:hAnsi="仿宋" w:eastAsia="仿宋" w:cs="宋体"/>
          <w:sz w:val="24"/>
          <w:szCs w:val="24"/>
          <w:u w:val="single"/>
        </w:rPr>
        <w:t xml:space="preserve">：（招标人名称）</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如我单位被推荐中标，我单位郑重承诺：</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1、我方承诺，我方投标项目负责人及本工程项目管理机构人员均为本单位在职职工，我单位投标文件中明确的项目负责人及本工程项目管理机构人员除出现江苏省建设厅苏建招〔2005〕580号文件中所列情形之外在工程开工时或施工过程中不予变更。如我单位在工程开工时或施工过程中擅自变更的，你单位有权对我方处以每人次</w:t>
      </w:r>
      <w:r>
        <w:rPr>
          <w:rFonts w:ascii="仿宋" w:hAnsi="仿宋" w:eastAsia="仿宋" w:cs="宋体"/>
          <w:sz w:val="24"/>
          <w:szCs w:val="24"/>
        </w:rPr>
        <w:t xml:space="preserve">5</w:t>
      </w:r>
      <w:r>
        <w:rPr>
          <w:rFonts w:hint="eastAsia" w:ascii="仿宋" w:hAnsi="仿宋" w:eastAsia="仿宋" w:cs="宋体"/>
          <w:sz w:val="24"/>
          <w:szCs w:val="24"/>
        </w:rPr>
        <w:t xml:space="preserve">万元人民币的罚款，直至解除合同，并有权另行追究我方因此导致你方的一切损失；如有变更，也必须执行江苏省建设厅苏建招〔2005〕580号文件中规定的变更程序。</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我方保证本工程的项目负责人及本工程项目管理机构人员全部在工地上班，每周在工地工作时间不低于5个工作日，每天在工地工作时间不低于8个小时，特殊情况下需离开时需事先征得你方同意。并遵守你方考勤、考核制度，凡你方考勤、考核点名时不在岗的（含会议前的考核点名），每人每次罚款500元；擅自离岗超过2小时的，每人每次罚款2000元；擅自离岗超过4小时的，每人每次罚款5000元；你方并有权采取终止合同、没收履约保证金、停止支付工程款等处罚措施。</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3、我方承诺，本项目投标为本公司行为，一旦在本工程上中标，我方保证施工主体为本公司，保证不违法转包工程，保证不允许其他人挂靠我单位资质承包本工程，否则你方有权采取取消我方中标资格或终止合同、没收履约保证金、停止支付工程款等处罚措施。</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4、我方承诺，在本工程施工过程中不设项目副经理，由中标项目负责人一人全权负责工程的施工管理，有关工程施工过程中一切问题的提出、解释、签字等均由项目负责人本人承办，否则视同我单位违约，你方有权采取终止合同、没收履约保证金、停止支付工程款等处罚措施。</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5、我方承诺积极参与你方组织的各种劳动竞赛活动，并遵从你方制定的各项奖罚措施、制度。</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rPr>
        <w:t xml:space="preserve">特此承诺。</w:t>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r/>
    </w:p>
    <w:p>
      <w:pPr>
        <w:jc w:val="center"/>
        <w:spacing w:before="120" w:after="120" w:line="360" w:lineRule="auto"/>
        <w:rPr>
          <w:rFonts w:ascii="仿宋" w:hAnsi="仿宋" w:eastAsia="仿宋" w:cs="宋体"/>
          <w:bCs/>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仿宋" w:hAnsi="仿宋" w:eastAsia="仿宋" w:cs="宋体"/>
          <w:bCs/>
          <w:sz w:val="24"/>
          <w:szCs w:val="24"/>
        </w:rPr>
      </w:r>
      <w:r/>
    </w:p>
    <w:p>
      <w:pPr>
        <w:jc w:val="center"/>
        <w:widowControl/>
        <w:rPr>
          <w:rFonts w:ascii="黑体" w:hAnsi="黑体" w:eastAsia="黑体" w:cs="宋体"/>
          <w:b/>
          <w:color w:val="000000"/>
          <w:sz w:val="32"/>
          <w:szCs w:val="32"/>
        </w:rPr>
        <w:outlineLvl w:val="1"/>
      </w:pPr>
      <w:r/>
      <w:bookmarkStart w:id="261" w:name="_Toc157436534"/>
      <w:r/>
      <w:bookmarkStart w:id="262" w:name="_Toc162865689"/>
      <w:r>
        <w:rPr>
          <w:rFonts w:hint="eastAsia" w:ascii="黑体" w:hAnsi="黑体" w:eastAsia="黑体" w:cs="宋体"/>
          <w:b/>
          <w:color w:val="000000"/>
          <w:sz w:val="32"/>
          <w:szCs w:val="32"/>
        </w:rPr>
        <w:t xml:space="preserve">十五、拟投入设备配置表</w:t>
      </w:r>
      <w:bookmarkEnd w:id="261"/>
      <w:r/>
      <w:bookmarkEnd w:id="262"/>
      <w:r/>
      <w:r/>
    </w:p>
    <w:p>
      <w:pPr>
        <w:jc w:val="center"/>
        <w:rPr>
          <w:rFonts w:ascii="仿宋" w:hAnsi="仿宋" w:eastAsia="仿宋"/>
          <w:bCs/>
          <w:sz w:val="24"/>
          <w:szCs w:val="24"/>
        </w:rPr>
      </w:pPr>
      <w:r>
        <w:rPr>
          <w:rFonts w:hint="eastAsia" w:ascii="仿宋" w:hAnsi="仿宋" w:eastAsia="仿宋"/>
          <w:bCs/>
          <w:sz w:val="24"/>
          <w:szCs w:val="24"/>
        </w:rPr>
        <w:t xml:space="preserve">分包</w:t>
      </w:r>
      <w:r>
        <w:rPr>
          <w:rFonts w:ascii="仿宋" w:hAnsi="仿宋" w:eastAsia="仿宋"/>
          <w:bCs/>
          <w:sz w:val="24"/>
          <w:szCs w:val="24"/>
        </w:rPr>
        <w:t xml:space="preserve">一：</w:t>
      </w:r>
      <w:r>
        <w:rPr>
          <w:rFonts w:hint="eastAsia" w:ascii="仿宋" w:hAnsi="仿宋" w:eastAsia="仿宋"/>
          <w:bCs/>
          <w:sz w:val="24"/>
          <w:szCs w:val="24"/>
        </w:rPr>
        <w:t xml:space="preserve">商住区</w:t>
      </w:r>
      <w:r/>
    </w:p>
    <w:tbl>
      <w:tblPr>
        <w:tblpPr w:horzAnchor="text" w:tblpXSpec="center" w:vertAnchor="text" w:tblpY="1" w:leftFromText="180" w:topFromText="0" w:rightFromText="180" w:bottomFromText="0"/>
        <w:tblW w:w="15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709"/>
        <w:gridCol w:w="1417"/>
        <w:gridCol w:w="1276"/>
        <w:gridCol w:w="1701"/>
        <w:gridCol w:w="851"/>
        <w:gridCol w:w="5386"/>
        <w:gridCol w:w="3657"/>
      </w:tblGrid>
      <w:tr>
        <w:trPr>
          <w:jc w:val="center"/>
          <w:trHeight w:val="416"/>
        </w:trPr>
        <w:tc>
          <w:tcPr>
            <w:tcW w:w="704"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序号</w:t>
            </w:r>
            <w:r/>
          </w:p>
        </w:tc>
        <w:tc>
          <w:tcPr>
            <w:tcW w:w="709"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种类</w:t>
            </w:r>
            <w:r/>
          </w:p>
        </w:tc>
        <w:tc>
          <w:tcPr>
            <w:tcW w:w="1417"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名称</w:t>
            </w:r>
            <w:r/>
          </w:p>
        </w:tc>
        <w:tc>
          <w:tcPr>
            <w:tcW w:w="1276"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最低数量</w:t>
            </w:r>
            <w:r/>
          </w:p>
        </w:tc>
        <w:tc>
          <w:tcPr>
            <w:tcW w:w="1701"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实际投入数量</w:t>
            </w:r>
            <w:r/>
          </w:p>
        </w:tc>
        <w:tc>
          <w:tcPr>
            <w:tcW w:w="851"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单位</w:t>
            </w:r>
            <w:r/>
          </w:p>
        </w:tc>
        <w:tc>
          <w:tcPr>
            <w:tcW w:w="5386"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车辆主要技术参数</w:t>
            </w:r>
            <w:r/>
          </w:p>
        </w:tc>
        <w:tc>
          <w:tcPr>
            <w:tcW w:w="3657"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用途</w:t>
            </w:r>
            <w:r/>
          </w:p>
        </w:tc>
      </w:tr>
      <w:tr>
        <w:trPr>
          <w:cantSplit/>
          <w:jc w:val="center"/>
          <w:trHeight w:val="570"/>
        </w:trPr>
        <w:tc>
          <w:tcPr>
            <w:tcW w:w="704"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1</w:t>
            </w:r>
            <w:r/>
          </w:p>
        </w:tc>
        <w:tc>
          <w:tcPr>
            <w:tcW w:w="709" w:type="dxa"/>
            <w:vAlign w:val="center"/>
            <w:vMerge w:val="restart"/>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绿</w:t>
            </w:r>
            <w:r/>
          </w:p>
          <w:p>
            <w:pPr>
              <w:jc w:val="center"/>
              <w:rPr>
                <w:rFonts w:ascii="仿宋" w:hAnsi="仿宋" w:eastAsia="仿宋"/>
                <w:bCs/>
                <w:sz w:val="24"/>
                <w:szCs w:val="24"/>
              </w:rPr>
            </w:pPr>
            <w:r>
              <w:rPr>
                <w:rFonts w:hint="eastAsia" w:ascii="仿宋" w:hAnsi="仿宋" w:eastAsia="仿宋"/>
                <w:bCs/>
                <w:sz w:val="24"/>
                <w:szCs w:val="24"/>
              </w:rPr>
              <w:t xml:space="preserve">化</w:t>
            </w:r>
            <w:r/>
          </w:p>
          <w:p>
            <w:pPr>
              <w:jc w:val="center"/>
              <w:rPr>
                <w:rFonts w:ascii="仿宋" w:hAnsi="仿宋" w:eastAsia="仿宋"/>
                <w:bCs/>
                <w:sz w:val="24"/>
                <w:szCs w:val="24"/>
              </w:rPr>
            </w:pPr>
            <w:r>
              <w:rPr>
                <w:rFonts w:hint="eastAsia" w:ascii="仿宋" w:hAnsi="仿宋" w:eastAsia="仿宋"/>
                <w:bCs/>
                <w:sz w:val="24"/>
                <w:szCs w:val="24"/>
              </w:rPr>
              <w:t xml:space="preserve">日</w:t>
            </w:r>
            <w:r/>
          </w:p>
          <w:p>
            <w:pPr>
              <w:jc w:val="center"/>
              <w:rPr>
                <w:rFonts w:ascii="仿宋" w:hAnsi="仿宋" w:eastAsia="仿宋"/>
                <w:bCs/>
                <w:sz w:val="24"/>
                <w:szCs w:val="24"/>
              </w:rPr>
            </w:pPr>
            <w:r>
              <w:rPr>
                <w:rFonts w:hint="eastAsia" w:ascii="仿宋" w:hAnsi="仿宋" w:eastAsia="仿宋"/>
                <w:bCs/>
                <w:sz w:val="24"/>
                <w:szCs w:val="24"/>
              </w:rPr>
              <w:t xml:space="preserve">常</w:t>
            </w:r>
            <w:r/>
          </w:p>
          <w:p>
            <w:pPr>
              <w:jc w:val="center"/>
              <w:rPr>
                <w:rFonts w:ascii="仿宋" w:hAnsi="仿宋" w:eastAsia="仿宋"/>
                <w:bCs/>
                <w:sz w:val="24"/>
                <w:szCs w:val="24"/>
              </w:rPr>
            </w:pPr>
            <w:r>
              <w:rPr>
                <w:rFonts w:hint="eastAsia" w:ascii="仿宋" w:hAnsi="仿宋" w:eastAsia="仿宋"/>
                <w:bCs/>
                <w:sz w:val="24"/>
                <w:szCs w:val="24"/>
              </w:rPr>
              <w:t xml:space="preserve">养</w:t>
            </w:r>
            <w:r/>
          </w:p>
          <w:p>
            <w:pPr>
              <w:jc w:val="center"/>
              <w:rPr>
                <w:rFonts w:ascii="仿宋" w:hAnsi="仿宋" w:eastAsia="仿宋"/>
                <w:bCs/>
                <w:sz w:val="24"/>
                <w:szCs w:val="24"/>
              </w:rPr>
            </w:pPr>
            <w:r>
              <w:rPr>
                <w:rFonts w:hint="eastAsia" w:ascii="仿宋" w:hAnsi="仿宋" w:eastAsia="仿宋"/>
                <w:bCs/>
                <w:sz w:val="24"/>
                <w:szCs w:val="24"/>
              </w:rPr>
              <w:t xml:space="preserve">护</w:t>
            </w:r>
            <w:r/>
          </w:p>
          <w:p>
            <w:pPr>
              <w:jc w:val="center"/>
              <w:rPr>
                <w:rFonts w:ascii="仿宋" w:hAnsi="仿宋" w:eastAsia="仿宋"/>
                <w:bCs/>
                <w:sz w:val="24"/>
                <w:szCs w:val="24"/>
              </w:rPr>
            </w:pPr>
            <w:r>
              <w:rPr>
                <w:rFonts w:hint="eastAsia" w:ascii="仿宋" w:hAnsi="仿宋" w:eastAsia="仿宋"/>
                <w:bCs/>
                <w:sz w:val="24"/>
                <w:szCs w:val="24"/>
              </w:rPr>
              <w:t xml:space="preserve">机</w:t>
            </w:r>
            <w:r/>
          </w:p>
          <w:p>
            <w:pPr>
              <w:jc w:val="center"/>
              <w:rPr>
                <w:rFonts w:ascii="仿宋" w:hAnsi="仿宋" w:eastAsia="仿宋"/>
                <w:bCs/>
                <w:sz w:val="24"/>
                <w:szCs w:val="24"/>
              </w:rPr>
            </w:pPr>
            <w:r>
              <w:rPr>
                <w:rFonts w:hint="eastAsia" w:ascii="仿宋" w:hAnsi="仿宋" w:eastAsia="仿宋"/>
                <w:bCs/>
                <w:sz w:val="24"/>
                <w:szCs w:val="24"/>
              </w:rPr>
              <w:t xml:space="preserve">械</w:t>
            </w:r>
            <w:r/>
          </w:p>
        </w:tc>
        <w:tc>
          <w:tcPr>
            <w:tcW w:w="1417"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洒水车</w:t>
            </w:r>
            <w:r/>
          </w:p>
        </w:tc>
        <w:tc>
          <w:tcPr>
            <w:tcW w:w="1276"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3</w:t>
            </w:r>
            <w:r/>
          </w:p>
        </w:tc>
        <w:tc>
          <w:tcPr>
            <w:tcW w:w="1701"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851"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0</w:t>
            </w:r>
            <w:r>
              <w:rPr>
                <w:rFonts w:hint="eastAsia" w:ascii="仿宋" w:hAnsi="仿宋" w:eastAsia="仿宋"/>
                <w:bCs/>
                <w:sz w:val="24"/>
                <w:szCs w:val="24"/>
              </w:rPr>
              <w:t xml:space="preserve">吨/台</w:t>
            </w:r>
            <w:r/>
          </w:p>
        </w:tc>
        <w:tc>
          <w:tcPr>
            <w:tcW w:w="5386"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t xml:space="preserve">罐体容积：≥10</w:t>
            </w:r>
            <w:r>
              <w:rPr>
                <w:rFonts w:ascii="Calibri" w:hAnsi="Calibri" w:eastAsia="仿宋" w:cs="Calibri"/>
                <w:bCs/>
                <w:sz w:val="24"/>
                <w:szCs w:val="24"/>
              </w:rPr>
              <w:t xml:space="preserve"> </w:t>
            </w:r>
            <w:r>
              <w:rPr>
                <w:rFonts w:ascii="仿宋" w:hAnsi="仿宋" w:eastAsia="仿宋"/>
                <w:bCs/>
                <w:sz w:val="24"/>
                <w:szCs w:val="24"/>
              </w:rPr>
              <w:t xml:space="preserve">m3；冲洗宽度：≥24m；洒水宽度：≥14m；后高喷射程：≥38m。（不得使用改装农用车等非整车出厂车辆）</w:t>
            </w:r>
            <w:r/>
          </w:p>
        </w:tc>
        <w:tc>
          <w:tcPr>
            <w:tcW w:w="365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主要用于绿化浇水，并配有喷雾、喷药系统</w:t>
            </w:r>
            <w:r/>
          </w:p>
        </w:tc>
      </w:tr>
      <w:tr>
        <w:trPr>
          <w:cantSplit/>
          <w:jc w:val="center"/>
          <w:trHeight w:val="187"/>
        </w:trPr>
        <w:tc>
          <w:tcPr>
            <w:tcW w:w="704"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2</w:t>
            </w:r>
            <w:r/>
          </w:p>
        </w:tc>
        <w:tc>
          <w:tcPr>
            <w:tcW w:w="70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41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皮卡车</w:t>
            </w:r>
            <w:r/>
          </w:p>
        </w:tc>
        <w:tc>
          <w:tcPr>
            <w:tcW w:w="1276"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85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辆</w:t>
            </w:r>
            <w:r/>
          </w:p>
        </w:tc>
        <w:tc>
          <w:tcPr>
            <w:tcW w:w="5386"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65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主要用于日常养护巡视</w:t>
            </w:r>
            <w:r/>
          </w:p>
        </w:tc>
      </w:tr>
      <w:tr>
        <w:trPr>
          <w:cantSplit/>
          <w:jc w:val="center"/>
          <w:trHeight w:val="277"/>
        </w:trPr>
        <w:tc>
          <w:tcPr>
            <w:tcW w:w="704"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3</w:t>
            </w:r>
            <w:r/>
          </w:p>
        </w:tc>
        <w:tc>
          <w:tcPr>
            <w:tcW w:w="70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41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高空升降车</w:t>
            </w:r>
            <w:r/>
          </w:p>
        </w:tc>
        <w:tc>
          <w:tcPr>
            <w:tcW w:w="1276"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85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辆</w:t>
            </w:r>
            <w:r/>
          </w:p>
        </w:tc>
        <w:tc>
          <w:tcPr>
            <w:tcW w:w="5386"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65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主要用于高大乔木修剪（可租赁）</w:t>
            </w:r>
            <w:r/>
          </w:p>
        </w:tc>
      </w:tr>
      <w:tr>
        <w:trPr>
          <w:cantSplit/>
          <w:jc w:val="center"/>
          <w:trHeight w:val="356"/>
        </w:trPr>
        <w:tc>
          <w:tcPr>
            <w:tcW w:w="704"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4</w:t>
            </w:r>
            <w:r/>
          </w:p>
        </w:tc>
        <w:tc>
          <w:tcPr>
            <w:tcW w:w="70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41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座骑式草坪修剪机</w:t>
            </w:r>
            <w:r/>
          </w:p>
        </w:tc>
        <w:tc>
          <w:tcPr>
            <w:tcW w:w="1276"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85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W w:w="5386"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排量:725/803cc、驱动方式:液压驱动、切割宽度:＞100mm、切割高度＞25mm、整油箱容量:10L、整机净重:275kg。</w:t>
            </w:r>
            <w:r/>
          </w:p>
        </w:tc>
        <w:tc>
          <w:tcPr>
            <w:tcW w:w="365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主要用于草坪修剪</w:t>
            </w:r>
            <w:r/>
          </w:p>
        </w:tc>
      </w:tr>
      <w:tr>
        <w:trPr>
          <w:cantSplit/>
          <w:jc w:val="center"/>
          <w:trHeight w:val="70"/>
        </w:trPr>
        <w:tc>
          <w:tcPr>
            <w:tcW w:w="704"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5</w:t>
            </w:r>
            <w:r/>
          </w:p>
        </w:tc>
        <w:tc>
          <w:tcPr>
            <w:tcW w:w="70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41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草坪修剪机</w:t>
            </w:r>
            <w:r/>
          </w:p>
        </w:tc>
        <w:tc>
          <w:tcPr>
            <w:tcW w:w="1276"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2</w:t>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85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W w:w="5386"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65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主要用于草坪修剪</w:t>
            </w:r>
            <w:r/>
          </w:p>
        </w:tc>
      </w:tr>
      <w:tr>
        <w:trPr>
          <w:cantSplit/>
          <w:jc w:val="center"/>
          <w:trHeight w:val="90"/>
        </w:trPr>
        <w:tc>
          <w:tcPr>
            <w:tcW w:w="704"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6</w:t>
            </w:r>
            <w:r/>
          </w:p>
        </w:tc>
        <w:tc>
          <w:tcPr>
            <w:tcW w:w="70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41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割灌机</w:t>
            </w:r>
            <w:r/>
          </w:p>
        </w:tc>
        <w:tc>
          <w:tcPr>
            <w:tcW w:w="1276"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85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W w:w="5386"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65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修剪边角及坡度较大位置草坪</w:t>
            </w:r>
            <w:r/>
          </w:p>
        </w:tc>
      </w:tr>
      <w:tr>
        <w:trPr>
          <w:cantSplit/>
          <w:jc w:val="center"/>
          <w:trHeight w:val="180"/>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7</w:t>
            </w:r>
            <w:r/>
          </w:p>
        </w:tc>
        <w:tc>
          <w:tcPr>
            <w:tcW w:w="70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41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手推机动喷雾器</w:t>
            </w:r>
            <w:r/>
          </w:p>
        </w:tc>
        <w:tc>
          <w:tcPr>
            <w:tcW w:w="1276"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85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W w:w="5386"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657"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病虫害防治</w:t>
            </w:r>
            <w:r/>
          </w:p>
        </w:tc>
      </w:tr>
      <w:tr>
        <w:trPr>
          <w:cantSplit/>
          <w:jc w:val="center"/>
          <w:trHeight w:val="70"/>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8</w:t>
            </w:r>
            <w:r/>
          </w:p>
        </w:tc>
        <w:tc>
          <w:tcPr>
            <w:tcW w:w="70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417"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绿篱修剪机</w:t>
            </w:r>
            <w:r/>
          </w:p>
        </w:tc>
        <w:tc>
          <w:tcPr>
            <w:tcW w:w="1276"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8</w:t>
            </w:r>
            <w:r/>
          </w:p>
        </w:tc>
        <w:tc>
          <w:tcPr>
            <w:tcW w:w="1701"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851"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台</w:t>
            </w:r>
            <w:r/>
          </w:p>
        </w:tc>
        <w:tc>
          <w:tcPr>
            <w:tcW w:w="5386"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3657"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绿篱修剪</w:t>
            </w:r>
            <w:r/>
          </w:p>
        </w:tc>
      </w:tr>
      <w:tr>
        <w:trPr>
          <w:cantSplit/>
          <w:jc w:val="center"/>
          <w:trHeight w:val="94"/>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9</w:t>
            </w:r>
            <w:r/>
          </w:p>
        </w:tc>
        <w:tc>
          <w:tcPr>
            <w:tcW w:w="70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修枝剪</w:t>
            </w:r>
            <w:r/>
          </w:p>
        </w:tc>
        <w:tc>
          <w:tcPr>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20</w:t>
            </w:r>
            <w:r/>
          </w:p>
        </w:tc>
        <w:tc>
          <w:tcPr>
            <w:tcW w:w="170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把</w:t>
            </w:r>
            <w:r/>
          </w:p>
        </w:tc>
        <w:tc>
          <w:tcPr>
            <w:tcW w:w="5386"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65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枝条修剪</w:t>
            </w:r>
            <w:r/>
          </w:p>
        </w:tc>
      </w:tr>
      <w:tr>
        <w:trPr>
          <w:cantSplit/>
          <w:jc w:val="center"/>
          <w:trHeight w:val="70"/>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10</w:t>
            </w:r>
            <w:r/>
          </w:p>
        </w:tc>
        <w:tc>
          <w:tcPr>
            <w:tcW w:w="70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高枝剪</w:t>
            </w:r>
            <w:r/>
          </w:p>
        </w:tc>
        <w:tc>
          <w:tcPr>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10</w:t>
            </w:r>
            <w:r/>
          </w:p>
        </w:tc>
        <w:tc>
          <w:tcPr>
            <w:tcW w:w="170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把</w:t>
            </w:r>
            <w:r/>
          </w:p>
        </w:tc>
        <w:tc>
          <w:tcPr>
            <w:tcW w:w="5386"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65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绿化养护修剪绿篱</w:t>
            </w:r>
            <w:r/>
          </w:p>
        </w:tc>
      </w:tr>
      <w:tr>
        <w:trPr>
          <w:cantSplit/>
          <w:jc w:val="center"/>
          <w:trHeight w:val="70"/>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11</w:t>
            </w:r>
            <w:r/>
          </w:p>
        </w:tc>
        <w:tc>
          <w:tcPr>
            <w:tcW w:w="70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吹扫机</w:t>
            </w:r>
            <w:r/>
          </w:p>
        </w:tc>
        <w:tc>
          <w:tcPr>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170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台</w:t>
            </w:r>
            <w:r/>
          </w:p>
        </w:tc>
        <w:tc>
          <w:tcPr>
            <w:tcW w:w="5386"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65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清扫落叶</w:t>
            </w:r>
            <w:r/>
          </w:p>
        </w:tc>
      </w:tr>
      <w:tr>
        <w:trPr>
          <w:cantSplit/>
          <w:jc w:val="center"/>
          <w:trHeight w:val="264"/>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2</w:t>
            </w:r>
            <w:r/>
          </w:p>
        </w:tc>
        <w:tc>
          <w:tcPr>
            <w:tcW w:w="70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抽水泵</w:t>
            </w:r>
            <w:r/>
          </w:p>
          <w:p>
            <w:pPr>
              <w:jc w:val="center"/>
              <w:rPr>
                <w:rFonts w:ascii="仿宋" w:hAnsi="仿宋" w:eastAsia="仿宋"/>
                <w:sz w:val="24"/>
                <w:szCs w:val="24"/>
              </w:rPr>
            </w:pPr>
            <w:r>
              <w:rPr>
                <w:rFonts w:hint="eastAsia" w:ascii="仿宋" w:hAnsi="仿宋" w:eastAsia="仿宋"/>
                <w:sz w:val="24"/>
                <w:szCs w:val="24"/>
              </w:rPr>
              <w:t xml:space="preserve">(4寸）</w:t>
            </w:r>
            <w:r/>
          </w:p>
        </w:tc>
        <w:tc>
          <w:tcPr>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170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台</w:t>
            </w:r>
            <w:r/>
          </w:p>
        </w:tc>
        <w:tc>
          <w:tcPr>
            <w:tcW w:w="5386"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65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主要用于水车无法驶入区域浇水</w:t>
            </w:r>
            <w:r/>
          </w:p>
        </w:tc>
      </w:tr>
      <w:tr>
        <w:trPr>
          <w:jc w:val="center"/>
          <w:trHeight w:val="70"/>
        </w:trPr>
        <w:tc>
          <w:tcPr>
            <w:tcW w:w="704" w:type="dxa"/>
            <w:vAlign w:val="center"/>
            <w:textDirection w:val="lrTb"/>
            <w:noWrap w:val="false"/>
          </w:tcPr>
          <w:p>
            <w:pPr>
              <w:jc w:val="center"/>
              <w:rPr>
                <w:rFonts w:ascii="仿宋" w:hAnsi="仿宋" w:eastAsia="仿宋"/>
                <w:sz w:val="24"/>
                <w:szCs w:val="24"/>
              </w:rPr>
            </w:pPr>
            <w:r>
              <w:rPr>
                <w:rFonts w:ascii="仿宋" w:hAnsi="仿宋" w:eastAsia="仿宋"/>
                <w:sz w:val="24"/>
                <w:szCs w:val="24"/>
              </w:rPr>
              <w:t xml:space="preserve">13</w:t>
            </w:r>
            <w:r/>
          </w:p>
        </w:tc>
        <w:tc>
          <w:tcPr>
            <w:tcW w:w="70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电动三轮车</w:t>
            </w:r>
            <w:r/>
          </w:p>
        </w:tc>
        <w:tc>
          <w:tcPr>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170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辆</w:t>
            </w:r>
            <w:r/>
          </w:p>
        </w:tc>
        <w:tc>
          <w:tcPr>
            <w:tcW w:w="5386"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65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运绿化垃圾</w:t>
            </w:r>
            <w:r/>
          </w:p>
        </w:tc>
      </w:tr>
      <w:tr>
        <w:trPr>
          <w:jc w:val="center"/>
          <w:trHeight w:val="150"/>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4</w:t>
            </w:r>
            <w:r/>
          </w:p>
        </w:tc>
        <w:tc>
          <w:tcPr>
            <w:tcW w:w="70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cs="宋体"/>
                <w:sz w:val="24"/>
                <w:szCs w:val="24"/>
              </w:rPr>
              <w:t xml:space="preserve">运载货车</w:t>
            </w:r>
            <w:r/>
          </w:p>
        </w:tc>
        <w:tc>
          <w:tcPr>
            <w:tcW w:w="1276"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p>
        </w:tc>
        <w:tc>
          <w:tcPr>
            <w:tcW w:w="1701"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辆</w:t>
            </w:r>
            <w:r/>
          </w:p>
        </w:tc>
        <w:tc>
          <w:tcPr>
            <w:tcW w:w="5386"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657" w:type="dxa"/>
            <w:vAlign w:val="center"/>
            <w:textDirection w:val="lrTb"/>
            <w:noWrap w:val="false"/>
          </w:tcPr>
          <w:p>
            <w:pPr>
              <w:jc w:val="center"/>
              <w:rPr>
                <w:rFonts w:ascii="仿宋" w:hAnsi="仿宋" w:eastAsia="仿宋"/>
                <w:sz w:val="24"/>
                <w:szCs w:val="24"/>
              </w:rPr>
            </w:pPr>
            <w:r>
              <w:rPr>
                <w:rFonts w:hint="eastAsia" w:ascii="仿宋" w:hAnsi="仿宋" w:eastAsia="仿宋" w:cs="宋体"/>
                <w:sz w:val="24"/>
                <w:szCs w:val="24"/>
              </w:rPr>
              <w:t xml:space="preserve">用于苗木、枯枝落叶、杂物等清运</w:t>
            </w:r>
            <w:r/>
          </w:p>
        </w:tc>
      </w:tr>
      <w:tr>
        <w:trPr>
          <w:jc w:val="center"/>
          <w:trHeight w:val="88"/>
        </w:trPr>
        <w:tc>
          <w:tcPr>
            <w:tcW w:w="704"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5</w:t>
            </w:r>
            <w:r/>
          </w:p>
        </w:tc>
        <w:tc>
          <w:tcPr>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w:t>
            </w:r>
            <w:r/>
          </w:p>
        </w:tc>
        <w:tc>
          <w:tcPr>
            <w:tcW w:w="1417"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w:t>
            </w:r>
            <w:r/>
          </w:p>
        </w:tc>
        <w:tc>
          <w:tcPr>
            <w:tcW w:w="1276"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70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851"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5386"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657"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r>
    </w:tbl>
    <w:p>
      <w:pPr>
        <w:jc w:val="left"/>
        <w:rPr>
          <w:rFonts w:ascii="仿宋" w:hAnsi="仿宋" w:eastAsia="仿宋"/>
          <w:sz w:val="24"/>
          <w:szCs w:val="24"/>
        </w:rPr>
      </w:pPr>
      <w:r>
        <w:rPr>
          <w:rFonts w:hint="eastAsia" w:ascii="仿宋" w:hAnsi="仿宋" w:eastAsia="仿宋" w:cs="宋体"/>
          <w:sz w:val="24"/>
          <w:szCs w:val="24"/>
        </w:rPr>
        <w:t xml:space="preserve">备注：本表可自行添加，提供相关证明文件。 </w:t>
      </w:r>
      <w:r>
        <w:rPr>
          <w:rFonts w:ascii="仿宋" w:hAnsi="仿宋" w:eastAsia="仿宋" w:cs="宋体"/>
          <w:sz w:val="24"/>
          <w:szCs w:val="24"/>
        </w:rPr>
        <w:t xml:space="preserve">                                                 </w:t>
      </w:r>
      <w:r>
        <w:rPr>
          <w:rFonts w:hint="eastAsia" w:ascii="仿宋" w:hAnsi="仿宋" w:eastAsia="仿宋"/>
          <w:sz w:val="24"/>
          <w:szCs w:val="24"/>
        </w:rPr>
        <w:t xml:space="preserve">投标人名称：（加盖CA电子公章）</w:t>
      </w:r>
      <w:r/>
    </w:p>
    <w:p>
      <w:pPr>
        <w:jc w:val="center"/>
        <w:rPr>
          <w:rFonts w:ascii="仿宋" w:hAnsi="仿宋" w:eastAsia="仿宋" w:cs="宋体"/>
          <w:color w:val="000000"/>
          <w:sz w:val="24"/>
          <w:szCs w:val="24"/>
        </w:rPr>
      </w:pPr>
      <w:r>
        <w:rPr>
          <w:rFonts w:ascii="仿宋" w:hAnsi="仿宋" w:eastAsia="仿宋"/>
          <w:sz w:val="24"/>
          <w:szCs w:val="24"/>
        </w:rPr>
        <w:br w:type="page" w:clear="all"/>
      </w:r>
      <w:r>
        <w:rPr>
          <w:rFonts w:hint="eastAsia" w:ascii="仿宋" w:hAnsi="仿宋" w:eastAsia="仿宋"/>
          <w:bCs/>
          <w:sz w:val="24"/>
          <w:szCs w:val="24"/>
        </w:rPr>
        <w:t xml:space="preserve">分包</w:t>
      </w:r>
      <w:r>
        <w:rPr>
          <w:rFonts w:ascii="仿宋" w:hAnsi="仿宋" w:eastAsia="仿宋"/>
          <w:bCs/>
          <w:sz w:val="24"/>
          <w:szCs w:val="24"/>
        </w:rPr>
        <w:t xml:space="preserve">二：</w:t>
      </w:r>
      <w:r>
        <w:rPr>
          <w:rFonts w:hint="eastAsia" w:ascii="仿宋" w:hAnsi="仿宋" w:eastAsia="仿宋"/>
          <w:bCs/>
          <w:sz w:val="24"/>
          <w:szCs w:val="24"/>
        </w:rPr>
        <w:t xml:space="preserve">工业区</w:t>
      </w:r>
      <w:r/>
    </w:p>
    <w:tbl>
      <w:tblPr>
        <w:tblpPr w:horzAnchor="text" w:tblpXSpec="center" w:vertAnchor="text" w:tblpY="1" w:leftFromText="180" w:topFromText="0" w:rightFromText="180" w:bottomFromText="0"/>
        <w:tblW w:w="15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0"/>
        <w:gridCol w:w="759"/>
        <w:gridCol w:w="1701"/>
        <w:gridCol w:w="1213"/>
        <w:gridCol w:w="1764"/>
        <w:gridCol w:w="992"/>
        <w:gridCol w:w="4502"/>
        <w:gridCol w:w="3940"/>
      </w:tblGrid>
      <w:tr>
        <w:trPr>
          <w:jc w:val="center"/>
          <w:trHeight w:val="416"/>
        </w:trPr>
        <w:tc>
          <w:tcPr>
            <w:tcW w:w="830"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序号</w:t>
            </w:r>
            <w:r/>
          </w:p>
        </w:tc>
        <w:tc>
          <w:tcPr>
            <w:tcW w:w="759"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种类</w:t>
            </w:r>
            <w:r/>
          </w:p>
        </w:tc>
        <w:tc>
          <w:tcPr>
            <w:tcW w:w="1701"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名称</w:t>
            </w:r>
            <w:r/>
          </w:p>
        </w:tc>
        <w:tc>
          <w:tcPr>
            <w:tcW w:w="1213"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最低数量</w:t>
            </w:r>
            <w:r/>
          </w:p>
        </w:tc>
        <w:tc>
          <w:tcPr>
            <w:tcW w:w="1764"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实际投入数量</w:t>
            </w:r>
            <w:r/>
          </w:p>
        </w:tc>
        <w:tc>
          <w:tcPr>
            <w:tcW w:w="992"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单位</w:t>
            </w:r>
            <w:r/>
          </w:p>
        </w:tc>
        <w:tc>
          <w:tcPr>
            <w:tcW w:w="4502"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车辆主要技术参数</w:t>
            </w:r>
            <w:r/>
          </w:p>
        </w:tc>
        <w:tc>
          <w:tcPr>
            <w:tcW w:w="3940" w:type="dxa"/>
            <w:vAlign w:val="center"/>
            <w:textDirection w:val="lrTb"/>
            <w:noWrap w:val="false"/>
          </w:tcPr>
          <w:p>
            <w:pPr>
              <w:jc w:val="center"/>
              <w:rPr>
                <w:rFonts w:ascii="仿宋" w:hAnsi="仿宋" w:eastAsia="仿宋"/>
                <w:b/>
                <w:bCs/>
                <w:sz w:val="24"/>
                <w:szCs w:val="24"/>
              </w:rPr>
            </w:pPr>
            <w:r>
              <w:rPr>
                <w:rFonts w:hint="eastAsia" w:ascii="仿宋" w:hAnsi="仿宋" w:eastAsia="仿宋"/>
                <w:b/>
                <w:bCs/>
                <w:sz w:val="24"/>
                <w:szCs w:val="24"/>
              </w:rPr>
              <w:t xml:space="preserve">用途</w:t>
            </w:r>
            <w:r/>
          </w:p>
        </w:tc>
      </w:tr>
      <w:tr>
        <w:trPr>
          <w:cantSplit/>
          <w:jc w:val="center"/>
          <w:trHeight w:val="995"/>
        </w:trPr>
        <w:tc>
          <w:tcPr>
            <w:tcW w:w="83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1</w:t>
            </w:r>
            <w:r/>
          </w:p>
        </w:tc>
        <w:tc>
          <w:tcPr>
            <w:tcW w:w="759" w:type="dxa"/>
            <w:vAlign w:val="center"/>
            <w:vMerge w:val="restart"/>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绿</w:t>
            </w:r>
            <w:r/>
          </w:p>
          <w:p>
            <w:pPr>
              <w:jc w:val="center"/>
              <w:rPr>
                <w:rFonts w:ascii="仿宋" w:hAnsi="仿宋" w:eastAsia="仿宋"/>
                <w:bCs/>
                <w:sz w:val="24"/>
                <w:szCs w:val="24"/>
              </w:rPr>
            </w:pPr>
            <w:r>
              <w:rPr>
                <w:rFonts w:hint="eastAsia" w:ascii="仿宋" w:hAnsi="仿宋" w:eastAsia="仿宋"/>
                <w:bCs/>
                <w:sz w:val="24"/>
                <w:szCs w:val="24"/>
              </w:rPr>
              <w:t xml:space="preserve">化</w:t>
            </w:r>
            <w:r/>
          </w:p>
          <w:p>
            <w:pPr>
              <w:jc w:val="center"/>
              <w:rPr>
                <w:rFonts w:ascii="仿宋" w:hAnsi="仿宋" w:eastAsia="仿宋"/>
                <w:bCs/>
                <w:sz w:val="24"/>
                <w:szCs w:val="24"/>
              </w:rPr>
            </w:pPr>
            <w:r>
              <w:rPr>
                <w:rFonts w:hint="eastAsia" w:ascii="仿宋" w:hAnsi="仿宋" w:eastAsia="仿宋"/>
                <w:bCs/>
                <w:sz w:val="24"/>
                <w:szCs w:val="24"/>
              </w:rPr>
              <w:t xml:space="preserve">日</w:t>
            </w:r>
            <w:r/>
          </w:p>
          <w:p>
            <w:pPr>
              <w:jc w:val="center"/>
              <w:rPr>
                <w:rFonts w:ascii="仿宋" w:hAnsi="仿宋" w:eastAsia="仿宋"/>
                <w:bCs/>
                <w:sz w:val="24"/>
                <w:szCs w:val="24"/>
              </w:rPr>
            </w:pPr>
            <w:r>
              <w:rPr>
                <w:rFonts w:hint="eastAsia" w:ascii="仿宋" w:hAnsi="仿宋" w:eastAsia="仿宋"/>
                <w:bCs/>
                <w:sz w:val="24"/>
                <w:szCs w:val="24"/>
              </w:rPr>
              <w:t xml:space="preserve">常</w:t>
            </w:r>
            <w:r/>
          </w:p>
          <w:p>
            <w:pPr>
              <w:jc w:val="center"/>
              <w:rPr>
                <w:rFonts w:ascii="仿宋" w:hAnsi="仿宋" w:eastAsia="仿宋"/>
                <w:bCs/>
                <w:sz w:val="24"/>
                <w:szCs w:val="24"/>
              </w:rPr>
            </w:pPr>
            <w:r>
              <w:rPr>
                <w:rFonts w:hint="eastAsia" w:ascii="仿宋" w:hAnsi="仿宋" w:eastAsia="仿宋"/>
                <w:bCs/>
                <w:sz w:val="24"/>
                <w:szCs w:val="24"/>
              </w:rPr>
              <w:t xml:space="preserve">养</w:t>
            </w:r>
            <w:r/>
          </w:p>
          <w:p>
            <w:pPr>
              <w:jc w:val="center"/>
              <w:rPr>
                <w:rFonts w:ascii="仿宋" w:hAnsi="仿宋" w:eastAsia="仿宋"/>
                <w:bCs/>
                <w:sz w:val="24"/>
                <w:szCs w:val="24"/>
              </w:rPr>
            </w:pPr>
            <w:r>
              <w:rPr>
                <w:rFonts w:hint="eastAsia" w:ascii="仿宋" w:hAnsi="仿宋" w:eastAsia="仿宋"/>
                <w:bCs/>
                <w:sz w:val="24"/>
                <w:szCs w:val="24"/>
              </w:rPr>
              <w:t xml:space="preserve">护</w:t>
            </w:r>
            <w:r/>
          </w:p>
          <w:p>
            <w:pPr>
              <w:jc w:val="center"/>
              <w:rPr>
                <w:rFonts w:ascii="仿宋" w:hAnsi="仿宋" w:eastAsia="仿宋"/>
                <w:bCs/>
                <w:sz w:val="24"/>
                <w:szCs w:val="24"/>
              </w:rPr>
            </w:pPr>
            <w:r>
              <w:rPr>
                <w:rFonts w:hint="eastAsia" w:ascii="仿宋" w:hAnsi="仿宋" w:eastAsia="仿宋"/>
                <w:bCs/>
                <w:sz w:val="24"/>
                <w:szCs w:val="24"/>
              </w:rPr>
              <w:t xml:space="preserve">机</w:t>
            </w:r>
            <w:r/>
          </w:p>
          <w:p>
            <w:pPr>
              <w:jc w:val="center"/>
              <w:rPr>
                <w:rFonts w:ascii="仿宋" w:hAnsi="仿宋" w:eastAsia="仿宋"/>
                <w:bCs/>
                <w:sz w:val="24"/>
                <w:szCs w:val="24"/>
              </w:rPr>
            </w:pPr>
            <w:r>
              <w:rPr>
                <w:rFonts w:hint="eastAsia" w:ascii="仿宋" w:hAnsi="仿宋" w:eastAsia="仿宋"/>
                <w:bCs/>
                <w:sz w:val="24"/>
                <w:szCs w:val="24"/>
              </w:rPr>
              <w:t xml:space="preserve">械</w:t>
            </w:r>
            <w:r/>
          </w:p>
        </w:tc>
        <w:tc>
          <w:tcPr>
            <w:tcW w:w="1701"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洒水车</w:t>
            </w:r>
            <w:r/>
          </w:p>
        </w:tc>
        <w:tc>
          <w:tcPr>
            <w:tcW w:w="1213"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3</w:t>
            </w:r>
            <w:r/>
          </w:p>
        </w:tc>
        <w:tc>
          <w:tcPr>
            <w:tcW w:w="1764"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992"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0</w:t>
            </w:r>
            <w:r>
              <w:rPr>
                <w:rFonts w:hint="eastAsia" w:ascii="仿宋" w:hAnsi="仿宋" w:eastAsia="仿宋"/>
                <w:bCs/>
                <w:sz w:val="24"/>
                <w:szCs w:val="24"/>
              </w:rPr>
              <w:t xml:space="preserve">吨/台</w:t>
            </w:r>
            <w:r/>
          </w:p>
        </w:tc>
        <w:tc>
          <w:tcPr>
            <w:tcW w:w="4502"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t xml:space="preserve">罐体容积：≥10</w:t>
            </w:r>
            <w:r>
              <w:rPr>
                <w:rFonts w:ascii="Calibri" w:hAnsi="Calibri" w:eastAsia="仿宋" w:cs="Calibri"/>
                <w:bCs/>
                <w:sz w:val="24"/>
                <w:szCs w:val="24"/>
              </w:rPr>
              <w:t xml:space="preserve"> </w:t>
            </w:r>
            <w:r>
              <w:rPr>
                <w:rFonts w:ascii="仿宋" w:hAnsi="仿宋" w:eastAsia="仿宋"/>
                <w:bCs/>
                <w:sz w:val="24"/>
                <w:szCs w:val="24"/>
              </w:rPr>
              <w:t xml:space="preserve">m3；冲洗宽度：≥24m；洒水宽度：≥14m；后高喷射程：≥38m。（不得使用改装农用车等非整车出厂车辆）</w:t>
            </w:r>
            <w:r/>
          </w:p>
        </w:tc>
        <w:tc>
          <w:tcPr>
            <w:tcW w:w="394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主要用于绿化浇水，并配有喷雾、喷药系统</w:t>
            </w:r>
            <w:r/>
          </w:p>
        </w:tc>
      </w:tr>
      <w:tr>
        <w:trPr>
          <w:cantSplit/>
          <w:jc w:val="center"/>
          <w:trHeight w:val="70"/>
        </w:trPr>
        <w:tc>
          <w:tcPr>
            <w:tcW w:w="83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2</w:t>
            </w:r>
            <w:r/>
          </w:p>
        </w:tc>
        <w:tc>
          <w:tcPr>
            <w:tcW w:w="75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皮卡车</w:t>
            </w:r>
            <w:r/>
          </w:p>
        </w:tc>
        <w:tc>
          <w:tcPr>
            <w:tcW w:w="1213"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764" w:type="dxa"/>
            <w:vAlign w:val="center"/>
            <w:textDirection w:val="lrTb"/>
            <w:noWrap w:val="false"/>
          </w:tcPr>
          <w:p>
            <w:pPr>
              <w:ind w:firstLine="720"/>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992" w:type="dxa"/>
            <w:vAlign w:val="center"/>
            <w:textDirection w:val="lrTb"/>
            <w:noWrap w:val="false"/>
          </w:tcPr>
          <w:p>
            <w:pPr>
              <w:ind w:firstLine="240"/>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辆</w:t>
            </w:r>
            <w:r/>
          </w:p>
        </w:tc>
        <w:tc>
          <w:tcPr>
            <w:tcW w:w="4502"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940"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主要用于日常养护巡视</w:t>
            </w:r>
            <w:r/>
          </w:p>
        </w:tc>
      </w:tr>
      <w:tr>
        <w:trPr>
          <w:cantSplit/>
          <w:jc w:val="center"/>
          <w:trHeight w:val="124"/>
        </w:trPr>
        <w:tc>
          <w:tcPr>
            <w:tcW w:w="83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3</w:t>
            </w:r>
            <w:r/>
          </w:p>
        </w:tc>
        <w:tc>
          <w:tcPr>
            <w:tcW w:w="75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高空升降车</w:t>
            </w:r>
            <w:r/>
          </w:p>
        </w:tc>
        <w:tc>
          <w:tcPr>
            <w:tcW w:w="1213"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W w:w="1764" w:type="dxa"/>
            <w:vAlign w:val="center"/>
            <w:textDirection w:val="lrTb"/>
            <w:noWrap w:val="false"/>
          </w:tcPr>
          <w:p>
            <w:pPr>
              <w:ind w:firstLine="720"/>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992" w:type="dxa"/>
            <w:vAlign w:val="center"/>
            <w:textDirection w:val="lrTb"/>
            <w:noWrap w:val="false"/>
          </w:tcPr>
          <w:p>
            <w:pPr>
              <w:ind w:firstLine="240"/>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辆</w:t>
            </w:r>
            <w:r/>
          </w:p>
        </w:tc>
        <w:tc>
          <w:tcPr>
            <w:tcW w:w="4502"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940"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主要用于高大乔木修剪（可租赁）</w:t>
            </w:r>
            <w:r/>
          </w:p>
        </w:tc>
      </w:tr>
      <w:tr>
        <w:trPr>
          <w:cantSplit/>
          <w:jc w:val="center"/>
          <w:trHeight w:val="72"/>
        </w:trPr>
        <w:tc>
          <w:tcPr>
            <w:tcW w:w="83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4</w:t>
            </w:r>
            <w:r/>
          </w:p>
        </w:tc>
        <w:tc>
          <w:tcPr>
            <w:tcW w:w="75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草坪修剪机</w:t>
            </w:r>
            <w:r/>
          </w:p>
        </w:tc>
        <w:tc>
          <w:tcPr>
            <w:tcW w:w="1213"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764"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992"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W w:w="4502"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940"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主要用于草坪修剪</w:t>
            </w:r>
            <w:r/>
          </w:p>
        </w:tc>
      </w:tr>
      <w:tr>
        <w:trPr>
          <w:cantSplit/>
          <w:jc w:val="center"/>
          <w:trHeight w:val="190"/>
        </w:trPr>
        <w:tc>
          <w:tcPr>
            <w:tcW w:w="83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5</w:t>
            </w:r>
            <w:r/>
          </w:p>
        </w:tc>
        <w:tc>
          <w:tcPr>
            <w:tcW w:w="75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割灌机</w:t>
            </w:r>
            <w:r/>
          </w:p>
        </w:tc>
        <w:tc>
          <w:tcPr>
            <w:tcW w:w="1213"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w:t>
            </w:r>
            <w:r/>
          </w:p>
        </w:tc>
        <w:tc>
          <w:tcPr>
            <w:tcW w:w="1764"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992"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W w:w="4502"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940"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修剪边角及坡度较大位置草坪</w:t>
            </w:r>
            <w:r/>
          </w:p>
        </w:tc>
      </w:tr>
      <w:tr>
        <w:trPr>
          <w:cantSplit/>
          <w:jc w:val="center"/>
          <w:trHeight w:val="280"/>
        </w:trPr>
        <w:tc>
          <w:tcPr>
            <w:tcW w:w="83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6</w:t>
            </w:r>
            <w:r/>
          </w:p>
        </w:tc>
        <w:tc>
          <w:tcPr>
            <w:tcW w:w="75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701"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手推机动喷雾器</w:t>
            </w:r>
            <w:r/>
          </w:p>
        </w:tc>
        <w:tc>
          <w:tcPr>
            <w:tcW w:w="1213"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W w:w="1764"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992"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W w:w="4502"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r>
            <w:r/>
          </w:p>
        </w:tc>
        <w:tc>
          <w:tcPr>
            <w:tcW w:w="3940"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病虫害防治</w:t>
            </w:r>
            <w:r/>
          </w:p>
        </w:tc>
      </w:tr>
      <w:tr>
        <w:trPr>
          <w:cantSplit/>
          <w:jc w:val="center"/>
          <w:trHeight w:val="76"/>
        </w:trPr>
        <w:tc>
          <w:tcPr>
            <w:tcW w:w="83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7</w:t>
            </w:r>
            <w:r/>
          </w:p>
        </w:tc>
        <w:tc>
          <w:tcPr>
            <w:tcW w:w="759" w:type="dxa"/>
            <w:vAlign w:val="center"/>
            <w:vMerge w:val="continue"/>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1701"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绿篱修剪机</w:t>
            </w:r>
            <w:r/>
          </w:p>
        </w:tc>
        <w:tc>
          <w:tcPr>
            <w:tcW w:w="1213"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8</w:t>
            </w:r>
            <w:r/>
          </w:p>
        </w:tc>
        <w:tc>
          <w:tcPr>
            <w:tcW w:w="1764"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992"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台</w:t>
            </w:r>
            <w:r/>
          </w:p>
        </w:tc>
        <w:tc>
          <w:tcPr>
            <w:tcW w:w="4502"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394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绿篱修剪</w:t>
            </w:r>
            <w:r/>
          </w:p>
        </w:tc>
      </w:tr>
      <w:tr>
        <w:trPr>
          <w:cantSplit/>
          <w:jc w:val="center"/>
          <w:trHeight w:val="179"/>
        </w:trPr>
        <w:tc>
          <w:tcPr>
            <w:tcW w:w="83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8</w:t>
            </w:r>
            <w:r/>
          </w:p>
        </w:tc>
        <w:tc>
          <w:tcPr>
            <w:tcW w:w="75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701" w:type="dxa"/>
            <w:vAlign w:val="center"/>
            <w:textDirection w:val="lrTb"/>
            <w:noWrap w:val="false"/>
          </w:tcPr>
          <w:p>
            <w:pPr>
              <w:rPr>
                <w:rFonts w:ascii="仿宋" w:hAnsi="仿宋" w:eastAsia="仿宋"/>
                <w:sz w:val="24"/>
                <w:szCs w:val="24"/>
              </w:rPr>
            </w:pPr>
            <w:r>
              <w:rPr>
                <w:rFonts w:hint="eastAsia" w:ascii="仿宋" w:hAnsi="仿宋" w:eastAsia="仿宋"/>
                <w:sz w:val="24"/>
                <w:szCs w:val="24"/>
              </w:rPr>
              <w:t xml:space="preserve">   修枝剪</w:t>
            </w:r>
            <w:r/>
          </w:p>
        </w:tc>
        <w:tc>
          <w:tcPr>
            <w:tcW w:w="121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20</w:t>
            </w:r>
            <w:r/>
          </w:p>
        </w:tc>
        <w:tc>
          <w:tcPr>
            <w:tcW w:w="1764"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把</w:t>
            </w:r>
            <w:r/>
          </w:p>
        </w:tc>
        <w:tc>
          <w:tcPr>
            <w:tcW w:w="450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4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枝条修剪</w:t>
            </w:r>
            <w:r/>
          </w:p>
        </w:tc>
      </w:tr>
      <w:tr>
        <w:trPr>
          <w:cantSplit/>
          <w:jc w:val="center"/>
          <w:trHeight w:val="142"/>
        </w:trPr>
        <w:tc>
          <w:tcPr>
            <w:tcW w:w="83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9</w:t>
            </w:r>
            <w:r/>
          </w:p>
        </w:tc>
        <w:tc>
          <w:tcPr>
            <w:tcW w:w="75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70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高枝剪</w:t>
            </w:r>
            <w:r/>
          </w:p>
        </w:tc>
        <w:tc>
          <w:tcPr>
            <w:tcW w:w="121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10</w:t>
            </w:r>
            <w:r/>
          </w:p>
        </w:tc>
        <w:tc>
          <w:tcPr>
            <w:tcW w:w="1764"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把</w:t>
            </w:r>
            <w:r/>
          </w:p>
        </w:tc>
        <w:tc>
          <w:tcPr>
            <w:tcW w:w="450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4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绿化养护修剪绿篱</w:t>
            </w:r>
            <w:r/>
          </w:p>
        </w:tc>
      </w:tr>
      <w:tr>
        <w:trPr>
          <w:cantSplit/>
          <w:jc w:val="center"/>
          <w:trHeight w:val="103"/>
        </w:trPr>
        <w:tc>
          <w:tcPr>
            <w:tcW w:w="83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10</w:t>
            </w:r>
            <w:r/>
          </w:p>
        </w:tc>
        <w:tc>
          <w:tcPr>
            <w:tcW w:w="75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70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吹扫机</w:t>
            </w:r>
            <w:r/>
          </w:p>
        </w:tc>
        <w:tc>
          <w:tcPr>
            <w:tcW w:w="121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1764"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台</w:t>
            </w:r>
            <w:r/>
          </w:p>
        </w:tc>
        <w:tc>
          <w:tcPr>
            <w:tcW w:w="450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4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清扫落叶</w:t>
            </w:r>
            <w:r/>
          </w:p>
        </w:tc>
      </w:tr>
      <w:tr>
        <w:trPr>
          <w:cantSplit/>
          <w:jc w:val="center"/>
          <w:trHeight w:val="349"/>
        </w:trPr>
        <w:tc>
          <w:tcPr>
            <w:tcW w:w="83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11</w:t>
            </w:r>
            <w:r/>
          </w:p>
        </w:tc>
        <w:tc>
          <w:tcPr>
            <w:tcW w:w="75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70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抽水泵</w:t>
            </w:r>
            <w:r/>
          </w:p>
          <w:p>
            <w:pPr>
              <w:jc w:val="center"/>
              <w:rPr>
                <w:rFonts w:ascii="仿宋" w:hAnsi="仿宋" w:eastAsia="仿宋"/>
                <w:sz w:val="24"/>
                <w:szCs w:val="24"/>
              </w:rPr>
            </w:pPr>
            <w:r>
              <w:rPr>
                <w:rFonts w:hint="eastAsia" w:ascii="仿宋" w:hAnsi="仿宋" w:eastAsia="仿宋"/>
                <w:sz w:val="24"/>
                <w:szCs w:val="24"/>
              </w:rPr>
              <w:t xml:space="preserve">(4寸）</w:t>
            </w:r>
            <w:r/>
          </w:p>
        </w:tc>
        <w:tc>
          <w:tcPr>
            <w:tcW w:w="121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1764"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台</w:t>
            </w:r>
            <w:r/>
          </w:p>
        </w:tc>
        <w:tc>
          <w:tcPr>
            <w:tcW w:w="450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4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主要用于水车无法驶入区域浇水</w:t>
            </w:r>
            <w:r/>
          </w:p>
        </w:tc>
      </w:tr>
      <w:tr>
        <w:trPr>
          <w:jc w:val="center"/>
          <w:trHeight w:val="70"/>
        </w:trPr>
        <w:tc>
          <w:tcPr>
            <w:tcW w:w="83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2</w:t>
            </w:r>
            <w:r/>
          </w:p>
        </w:tc>
        <w:tc>
          <w:tcPr>
            <w:tcW w:w="75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701"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电动三轮车</w:t>
            </w:r>
            <w:r/>
          </w:p>
        </w:tc>
        <w:tc>
          <w:tcPr>
            <w:tcW w:w="121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1764"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辆</w:t>
            </w:r>
            <w:r/>
          </w:p>
        </w:tc>
        <w:tc>
          <w:tcPr>
            <w:tcW w:w="450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4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运绿化垃圾</w:t>
            </w:r>
            <w:r/>
          </w:p>
        </w:tc>
      </w:tr>
      <w:tr>
        <w:trPr>
          <w:jc w:val="center"/>
          <w:trHeight w:val="70"/>
        </w:trPr>
        <w:tc>
          <w:tcPr>
            <w:tcW w:w="83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3</w:t>
            </w:r>
            <w:r/>
          </w:p>
        </w:tc>
        <w:tc>
          <w:tcPr>
            <w:tcW w:w="759"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701"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cs="宋体"/>
                <w:sz w:val="24"/>
                <w:szCs w:val="24"/>
              </w:rPr>
              <w:t xml:space="preserve">运载货车</w:t>
            </w:r>
            <w:r/>
          </w:p>
        </w:tc>
        <w:tc>
          <w:tcPr>
            <w:tcW w:w="1213"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1</w:t>
            </w:r>
            <w:r/>
          </w:p>
        </w:tc>
        <w:tc>
          <w:tcPr>
            <w:tcW w:w="17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辆</w:t>
            </w:r>
            <w:r/>
          </w:p>
        </w:tc>
        <w:tc>
          <w:tcPr>
            <w:tcW w:w="450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40" w:type="dxa"/>
            <w:vAlign w:val="center"/>
            <w:textDirection w:val="lrTb"/>
            <w:noWrap w:val="false"/>
          </w:tcPr>
          <w:p>
            <w:pPr>
              <w:jc w:val="center"/>
              <w:rPr>
                <w:rFonts w:ascii="仿宋" w:hAnsi="仿宋" w:eastAsia="仿宋"/>
                <w:sz w:val="24"/>
                <w:szCs w:val="24"/>
              </w:rPr>
            </w:pPr>
            <w:r>
              <w:rPr>
                <w:rFonts w:hint="eastAsia" w:ascii="仿宋" w:hAnsi="仿宋" w:eastAsia="仿宋" w:cs="宋体"/>
                <w:sz w:val="24"/>
                <w:szCs w:val="24"/>
              </w:rPr>
              <w:t xml:space="preserve">用于苗木、枯枝落叶、杂物等清运</w:t>
            </w:r>
            <w:r/>
          </w:p>
        </w:tc>
      </w:tr>
      <w:tr>
        <w:trPr>
          <w:jc w:val="center"/>
          <w:trHeight w:val="70"/>
        </w:trPr>
        <w:tc>
          <w:tcPr>
            <w:tcW w:w="830" w:type="dxa"/>
            <w:vAlign w:val="center"/>
            <w:textDirection w:val="lrTb"/>
            <w:noWrap w:val="false"/>
          </w:tcPr>
          <w:p>
            <w:pPr>
              <w:jc w:val="center"/>
              <w:rPr>
                <w:rFonts w:ascii="仿宋" w:hAnsi="仿宋" w:eastAsia="仿宋"/>
                <w:sz w:val="24"/>
                <w:szCs w:val="24"/>
              </w:rPr>
            </w:pPr>
            <w:r>
              <w:rPr>
                <w:rFonts w:ascii="仿宋" w:hAnsi="仿宋" w:eastAsia="仿宋"/>
                <w:sz w:val="24"/>
                <w:szCs w:val="24"/>
              </w:rPr>
              <w:t xml:space="preserve">14</w:t>
            </w:r>
            <w:r/>
          </w:p>
        </w:tc>
        <w:tc>
          <w:tcPr>
            <w:tcW w:w="75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w:t>
            </w:r>
            <w:r/>
          </w:p>
        </w:tc>
        <w:tc>
          <w:tcPr>
            <w:tcW w:w="1701"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w:t>
            </w:r>
            <w:r/>
          </w:p>
        </w:tc>
        <w:tc>
          <w:tcPr>
            <w:tcW w:w="1213" w:type="dxa"/>
            <w:vAlign w:val="center"/>
            <w:textDirection w:val="lrTb"/>
            <w:noWrap w:val="false"/>
          </w:tcPr>
          <w:p>
            <w:pPr>
              <w:ind w:firstLine="240"/>
              <w:jc w:val="center"/>
              <w:rPr>
                <w:rFonts w:ascii="仿宋" w:hAnsi="仿宋" w:eastAsia="仿宋"/>
                <w:bCs/>
                <w:sz w:val="24"/>
                <w:szCs w:val="24"/>
              </w:rPr>
            </w:pPr>
            <w:r>
              <w:rPr>
                <w:rFonts w:ascii="仿宋" w:hAnsi="仿宋" w:eastAsia="仿宋"/>
                <w:bCs/>
                <w:sz w:val="24"/>
                <w:szCs w:val="24"/>
              </w:rPr>
            </w:r>
            <w:r/>
          </w:p>
        </w:tc>
        <w:tc>
          <w:tcPr>
            <w:tcW w:w="1764"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992"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c>
          <w:tcPr>
            <w:tcW w:w="4502" w:type="dxa"/>
            <w:vAlign w:val="center"/>
            <w:textDirection w:val="lrTb"/>
            <w:noWrap w:val="false"/>
          </w:tcPr>
          <w:p>
            <w:pPr>
              <w:rPr>
                <w:rFonts w:ascii="仿宋" w:hAnsi="仿宋" w:eastAsia="仿宋"/>
                <w:sz w:val="24"/>
                <w:szCs w:val="24"/>
              </w:rPr>
            </w:pPr>
            <w:r>
              <w:rPr>
                <w:rFonts w:ascii="仿宋" w:hAnsi="仿宋" w:eastAsia="仿宋"/>
                <w:sz w:val="24"/>
                <w:szCs w:val="24"/>
              </w:rPr>
            </w:r>
            <w:r/>
          </w:p>
        </w:tc>
        <w:tc>
          <w:tcPr>
            <w:tcW w:w="3940" w:type="dxa"/>
            <w:vAlign w:val="center"/>
            <w:textDirection w:val="lrTb"/>
            <w:noWrap w:val="false"/>
          </w:tcPr>
          <w:p>
            <w:pPr>
              <w:jc w:val="center"/>
              <w:rPr>
                <w:rFonts w:ascii="仿宋" w:hAnsi="仿宋" w:eastAsia="仿宋"/>
                <w:bCs/>
                <w:sz w:val="24"/>
                <w:szCs w:val="24"/>
              </w:rPr>
            </w:pPr>
            <w:r>
              <w:rPr>
                <w:rFonts w:ascii="仿宋" w:hAnsi="仿宋" w:eastAsia="仿宋"/>
                <w:bCs/>
                <w:sz w:val="24"/>
                <w:szCs w:val="24"/>
              </w:rPr>
            </w:r>
            <w:r/>
          </w:p>
        </w:tc>
      </w:tr>
    </w:tbl>
    <w:p>
      <w:pPr>
        <w:jc w:val="left"/>
        <w:rPr>
          <w:rFonts w:ascii="仿宋" w:hAnsi="仿宋" w:eastAsia="仿宋" w:cs="宋体"/>
          <w:sz w:val="24"/>
          <w:szCs w:val="24"/>
        </w:rPr>
        <w:sectPr>
          <w:footnotePr/>
          <w:endnotePr/>
          <w:type w:val="nextPage"/>
          <w:pgSz w:w="16838" w:h="11906" w:orient="landscape"/>
          <w:pgMar w:top="1440" w:right="1080" w:bottom="1440" w:left="1080" w:header="851" w:footer="907" w:gutter="0"/>
          <w:cols w:num="1" w:sep="0" w:space="720" w:equalWidth="1"/>
          <w:docGrid w:linePitch="360"/>
          <w:titlePg/>
        </w:sectPr>
      </w:pPr>
      <w:r>
        <w:rPr>
          <w:rFonts w:hint="eastAsia" w:ascii="仿宋" w:hAnsi="仿宋" w:eastAsia="仿宋" w:cs="宋体"/>
          <w:sz w:val="24"/>
          <w:szCs w:val="24"/>
        </w:rPr>
        <w:t xml:space="preserve">备注：本表可自行添加，提供相关证明文件。 </w:t>
      </w:r>
      <w:r>
        <w:rPr>
          <w:rFonts w:ascii="仿宋" w:hAnsi="仿宋" w:eastAsia="仿宋" w:cs="宋体"/>
          <w:sz w:val="24"/>
          <w:szCs w:val="24"/>
        </w:rPr>
        <w:t xml:space="preserve">                                                 </w:t>
      </w:r>
      <w:r>
        <w:rPr>
          <w:rFonts w:hint="eastAsia" w:ascii="仿宋" w:hAnsi="仿宋" w:eastAsia="仿宋" w:cs="宋体"/>
          <w:sz w:val="24"/>
          <w:szCs w:val="24"/>
        </w:rPr>
        <w:t xml:space="preserve">投标人名称：（加盖CA电子公章）</w:t>
      </w:r>
      <w:r/>
    </w:p>
    <w:p>
      <w:pPr>
        <w:pStyle w:val="1023"/>
        <w:spacing w:line="360" w:lineRule="auto"/>
        <w:rPr>
          <w:szCs w:val="32"/>
        </w:rPr>
        <w:outlineLvl w:val="1"/>
      </w:pPr>
      <w:r/>
      <w:bookmarkStart w:id="263" w:name="_Toc162865690"/>
      <w:r>
        <w:rPr>
          <w:rFonts w:hint="eastAsia"/>
          <w:szCs w:val="32"/>
        </w:rPr>
        <w:t xml:space="preserve">十六</w:t>
      </w:r>
      <w:r>
        <w:rPr>
          <w:szCs w:val="32"/>
        </w:rPr>
        <w:t xml:space="preserve">、投标所需其他材料</w:t>
      </w:r>
      <w:bookmarkEnd w:id="257"/>
      <w:r/>
      <w:bookmarkEnd w:id="263"/>
      <w:r/>
      <w:r/>
    </w:p>
    <w:p>
      <w:pPr>
        <w:pStyle w:val="1024"/>
        <w:ind w:firstLine="560"/>
        <w:spacing w:line="360" w:lineRule="auto"/>
        <w:rPr>
          <w:rFonts w:ascii="仿宋" w:hAnsi="仿宋" w:eastAsia="仿宋"/>
          <w:sz w:val="24"/>
          <w:szCs w:val="24"/>
        </w:rPr>
      </w:pPr>
      <w:r>
        <w:rPr>
          <w:rFonts w:hint="eastAsia" w:ascii="仿宋" w:hAnsi="仿宋" w:eastAsia="仿宋"/>
          <w:sz w:val="24"/>
          <w:szCs w:val="24"/>
        </w:rPr>
        <w:t xml:space="preserve">请在此文档中增加投标所需其他相关内容（包括资格要求、评分办法、采购需求中涉及的证件证明及其它投标人认为有必要提供的资料），如没有请将此空文档上传。</w:t>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Helvetica">
    <w:panose1 w:val="020B0604020202020204"/>
  </w:font>
  <w:font w:name="Helvetica-Light">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Calibri">
    <w:panose1 w:val="020F0502020204030204"/>
  </w:font>
  <w:font w:name="方正黑体_GBK">
    <w:panose1 w:val="020B05030202020202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3</w:t>
    </w:r>
    <w:r>
      <w:rPr>
        <w:rFonts w:ascii="仿宋" w:hAnsi="仿宋" w:eastAsia="仿宋"/>
        <w:sz w:val="24"/>
        <w:szCs w:val="24"/>
        <w:lang w:val="zh-CN"/>
      </w:rPr>
      <w:fldChar w:fldCharType="end"/>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108</w:t>
    </w:r>
    <w:r>
      <w:rPr>
        <w:rFonts w:ascii="仿宋" w:hAnsi="仿宋" w:eastAsia="仿宋"/>
        <w:sz w:val="24"/>
        <w:szCs w:val="24"/>
        <w:lang w:val="zh-CN"/>
      </w:rP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p>
  <w:p>
    <w:pPr>
      <w:pStyle w:val="77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num" w:pos="840" w:leader="none"/>
        </w:tabs>
      </w:pPr>
      <w:rPr>
        <w:rFonts w:hint="eastAsia"/>
      </w:r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1">
    <w:multiLevelType w:val="hybridMultilevel"/>
    <w:lvl w:ilvl="0">
      <w:start w:val="1"/>
      <w:numFmt w:val="upperLetter"/>
      <w:pStyle w:val="97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5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230"/>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2"/>
      <w:isLgl w:val="false"/>
      <w:suff w:val="nothing"/>
      <w:lvlText w:val=""/>
      <w:lvlJc w:val="left"/>
      <w:pPr>
        <w:ind w:left="0" w:firstLine="0"/>
      </w:pPr>
      <w:rPr>
        <w:rFonts w:hint="eastAsia"/>
      </w:rPr>
    </w:lvl>
    <w:lvl w:ilvl="6">
      <w:start w:val="1"/>
      <w:numFmt w:val="decimal"/>
      <w:pStyle w:val="753"/>
      <w:isLgl w:val="false"/>
      <w:suff w:val="nothing"/>
      <w:lvlText w:val=""/>
      <w:lvlJc w:val="left"/>
      <w:pPr>
        <w:ind w:left="0" w:firstLine="0"/>
      </w:pPr>
      <w:rPr>
        <w:rFonts w:hint="eastAsia"/>
      </w:rPr>
    </w:lvl>
    <w:lvl w:ilvl="7">
      <w:start w:val="1"/>
      <w:numFmt w:val="decimal"/>
      <w:pStyle w:val="754"/>
      <w:isLgl w:val="false"/>
      <w:suff w:val="nothing"/>
      <w:lvlText w:val=""/>
      <w:lvlJc w:val="left"/>
      <w:pPr>
        <w:ind w:left="0" w:firstLine="0"/>
      </w:pPr>
      <w:rPr>
        <w:rFonts w:hint="eastAsia"/>
      </w:rPr>
    </w:lvl>
    <w:lvl w:ilvl="8">
      <w:start w:val="1"/>
      <w:numFmt w:val="decimal"/>
      <w:pStyle w:val="75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ind w:left="4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japaneseCounting"/>
      <w:isLgl w:val="false"/>
      <w:suff w:val="tab"/>
      <w:lvlText w:val="（%1）"/>
      <w:lvlJc w:val="left"/>
      <w:pPr>
        <w:ind w:left="1200" w:hanging="7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bullet"/>
      <w:isLgl w:val="false"/>
      <w:suff w:val="tab"/>
      <w:lvlText w:val="□"/>
      <w:lvlJc w:val="left"/>
      <w:pPr>
        <w:ind w:left="480" w:hanging="360"/>
      </w:pPr>
      <w:rPr>
        <w:rFonts w:hint="eastAsia" w:ascii="仿宋_GB2312" w:hAnsi="仿宋_GB2312" w:eastAsia="仿宋_GB2312" w:cs="仿宋_GB2312"/>
      </w:rPr>
    </w:lvl>
    <w:lvl w:ilvl="1">
      <w:start w:val="1"/>
      <w:numFmt w:val="bullet"/>
      <w:isLgl w:val="false"/>
      <w:suff w:val="tab"/>
      <w:lvlText w:val=""/>
      <w:lvlJc w:val="left"/>
      <w:pPr>
        <w:ind w:left="960" w:hanging="420"/>
      </w:pPr>
      <w:rPr>
        <w:rFonts w:ascii="Wingdings" w:hAnsi="Wingdings"/>
      </w:rPr>
    </w:lvl>
    <w:lvl w:ilvl="2">
      <w:start w:val="1"/>
      <w:numFmt w:val="bullet"/>
      <w:isLgl w:val="false"/>
      <w:suff w:val="tab"/>
      <w:lvlText w:val=""/>
      <w:lvlJc w:val="left"/>
      <w:pPr>
        <w:ind w:left="1380" w:hanging="420"/>
      </w:pPr>
      <w:rPr>
        <w:rFonts w:ascii="Wingdings" w:hAnsi="Wingdings"/>
      </w:rPr>
    </w:lvl>
    <w:lvl w:ilvl="3">
      <w:start w:val="1"/>
      <w:numFmt w:val="bullet"/>
      <w:isLgl w:val="false"/>
      <w:suff w:val="tab"/>
      <w:lvlText w:val=""/>
      <w:lvlJc w:val="left"/>
      <w:pPr>
        <w:ind w:left="1800" w:hanging="420"/>
      </w:pPr>
      <w:rPr>
        <w:rFonts w:ascii="Wingdings" w:hAnsi="Wingdings"/>
      </w:rPr>
    </w:lvl>
    <w:lvl w:ilvl="4">
      <w:start w:val="1"/>
      <w:numFmt w:val="bullet"/>
      <w:isLgl w:val="false"/>
      <w:suff w:val="tab"/>
      <w:lvlText w:val=""/>
      <w:lvlJc w:val="left"/>
      <w:pPr>
        <w:ind w:left="2220" w:hanging="420"/>
      </w:pPr>
      <w:rPr>
        <w:rFonts w:ascii="Wingdings" w:hAnsi="Wingdings"/>
      </w:rPr>
    </w:lvl>
    <w:lvl w:ilvl="5">
      <w:start w:val="1"/>
      <w:numFmt w:val="bullet"/>
      <w:isLgl w:val="false"/>
      <w:suff w:val="tab"/>
      <w:lvlText w:val=""/>
      <w:lvlJc w:val="left"/>
      <w:pPr>
        <w:ind w:left="2640" w:hanging="420"/>
      </w:pPr>
      <w:rPr>
        <w:rFonts w:ascii="Wingdings" w:hAnsi="Wingdings"/>
      </w:rPr>
    </w:lvl>
    <w:lvl w:ilvl="6">
      <w:start w:val="1"/>
      <w:numFmt w:val="bullet"/>
      <w:isLgl w:val="false"/>
      <w:suff w:val="tab"/>
      <w:lvlText w:val=""/>
      <w:lvlJc w:val="left"/>
      <w:pPr>
        <w:ind w:left="3060" w:hanging="420"/>
      </w:pPr>
      <w:rPr>
        <w:rFonts w:ascii="Wingdings" w:hAnsi="Wingdings"/>
      </w:rPr>
    </w:lvl>
    <w:lvl w:ilvl="7">
      <w:start w:val="1"/>
      <w:numFmt w:val="bullet"/>
      <w:isLgl w:val="false"/>
      <w:suff w:val="tab"/>
      <w:lvlText w:val=""/>
      <w:lvlJc w:val="left"/>
      <w:pPr>
        <w:ind w:left="3480" w:hanging="420"/>
      </w:pPr>
      <w:rPr>
        <w:rFonts w:ascii="Wingdings" w:hAnsi="Wingdings"/>
      </w:rPr>
    </w:lvl>
    <w:lvl w:ilvl="8">
      <w:start w:val="1"/>
      <w:numFmt w:val="bullet"/>
      <w:isLgl w:val="false"/>
      <w:suff w:val="tab"/>
      <w:lvlText w:val=""/>
      <w:lvlJc w:val="left"/>
      <w:pPr>
        <w:ind w:left="3900" w:hanging="420"/>
      </w:pPr>
      <w:rPr>
        <w:rFonts w:ascii="Wingdings" w:hAnsi="Wingdings"/>
      </w:rPr>
    </w:lvl>
  </w:abstractNum>
  <w:abstractNum w:abstractNumId="12">
    <w:multiLevelType w:val="hybridMultilevel"/>
    <w:lvl w:ilvl="0">
      <w:start w:val="8"/>
      <w:numFmt w:val="japaneseCounting"/>
      <w:isLgl w:val="false"/>
      <w:suff w:val="tab"/>
      <w:lvlText w:val="%1、"/>
      <w:lvlJc w:val="left"/>
      <w:pPr>
        <w:ind w:left="872" w:hanging="450"/>
      </w:p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994"/>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6">
    <w:multiLevelType w:val="hybridMultilevel"/>
    <w:lvl w:ilvl="0">
      <w:start w:val="1"/>
      <w:numFmt w:val="bullet"/>
      <w:isLgl w:val="false"/>
      <w:suff w:val="tab"/>
      <w:lvlText w:val=""/>
      <w:lvlJc w:val="left"/>
      <w:pPr>
        <w:ind w:left="900" w:hanging="420"/>
        <w:tabs>
          <w:tab w:val="num" w:pos="900" w:leader="none"/>
        </w:tabs>
      </w:pPr>
      <w:rPr>
        <w:rFonts w:ascii="Wingdings" w:hAnsi="Wingdings"/>
      </w:rPr>
    </w:lvl>
    <w:lvl w:ilvl="1">
      <w:start w:val="1"/>
      <w:numFmt w:val="bullet"/>
      <w:isLgl w:val="false"/>
      <w:suff w:val="tab"/>
      <w:lvlText w:val=""/>
      <w:lvlJc w:val="left"/>
      <w:pPr>
        <w:ind w:left="1320" w:hanging="420"/>
        <w:tabs>
          <w:tab w:val="num" w:pos="0" w:leader="none"/>
        </w:tabs>
      </w:pPr>
      <w:rPr>
        <w:rFonts w:ascii="Wingdings" w:hAnsi="Wingdings"/>
      </w:rPr>
    </w:lvl>
    <w:lvl w:ilvl="2">
      <w:start w:val="1"/>
      <w:numFmt w:val="bullet"/>
      <w:isLgl w:val="false"/>
      <w:suff w:val="tab"/>
      <w:lvlText w:val=""/>
      <w:lvlJc w:val="left"/>
      <w:pPr>
        <w:ind w:left="1740" w:hanging="420"/>
        <w:tabs>
          <w:tab w:val="num" w:pos="0" w:leader="none"/>
        </w:tabs>
      </w:pPr>
      <w:rPr>
        <w:rFonts w:ascii="Wingdings" w:hAnsi="Wingdings"/>
      </w:rPr>
    </w:lvl>
    <w:lvl w:ilvl="3">
      <w:start w:val="1"/>
      <w:numFmt w:val="bullet"/>
      <w:isLgl w:val="false"/>
      <w:suff w:val="tab"/>
      <w:lvlText w:val=""/>
      <w:lvlJc w:val="left"/>
      <w:pPr>
        <w:ind w:left="2160" w:hanging="420"/>
        <w:tabs>
          <w:tab w:val="num" w:pos="0" w:leader="none"/>
        </w:tabs>
      </w:pPr>
      <w:rPr>
        <w:rFonts w:ascii="Wingdings" w:hAnsi="Wingdings"/>
      </w:rPr>
    </w:lvl>
    <w:lvl w:ilvl="4">
      <w:start w:val="1"/>
      <w:numFmt w:val="bullet"/>
      <w:isLgl w:val="false"/>
      <w:suff w:val="tab"/>
      <w:lvlText w:val=""/>
      <w:lvlJc w:val="left"/>
      <w:pPr>
        <w:ind w:left="2580" w:hanging="420"/>
        <w:tabs>
          <w:tab w:val="num" w:pos="0" w:leader="none"/>
        </w:tabs>
      </w:pPr>
      <w:rPr>
        <w:rFonts w:ascii="Wingdings" w:hAnsi="Wingdings"/>
      </w:rPr>
    </w:lvl>
    <w:lvl w:ilvl="5">
      <w:start w:val="1"/>
      <w:numFmt w:val="bullet"/>
      <w:isLgl w:val="false"/>
      <w:suff w:val="tab"/>
      <w:lvlText w:val=""/>
      <w:lvlJc w:val="left"/>
      <w:pPr>
        <w:ind w:left="3000" w:hanging="420"/>
        <w:tabs>
          <w:tab w:val="num" w:pos="0" w:leader="none"/>
        </w:tabs>
      </w:pPr>
      <w:rPr>
        <w:rFonts w:ascii="Wingdings" w:hAnsi="Wingdings"/>
      </w:rPr>
    </w:lvl>
    <w:lvl w:ilvl="6">
      <w:start w:val="1"/>
      <w:numFmt w:val="bullet"/>
      <w:isLgl w:val="false"/>
      <w:suff w:val="tab"/>
      <w:lvlText w:val=""/>
      <w:lvlJc w:val="left"/>
      <w:pPr>
        <w:ind w:left="3420" w:hanging="420"/>
        <w:tabs>
          <w:tab w:val="num" w:pos="0" w:leader="none"/>
        </w:tabs>
      </w:pPr>
      <w:rPr>
        <w:rFonts w:ascii="Wingdings" w:hAnsi="Wingdings"/>
      </w:rPr>
    </w:lvl>
    <w:lvl w:ilvl="7">
      <w:start w:val="1"/>
      <w:numFmt w:val="bullet"/>
      <w:isLgl w:val="false"/>
      <w:suff w:val="tab"/>
      <w:lvlText w:val=""/>
      <w:lvlJc w:val="left"/>
      <w:pPr>
        <w:ind w:left="3840" w:hanging="420"/>
        <w:tabs>
          <w:tab w:val="num" w:pos="0" w:leader="none"/>
        </w:tabs>
      </w:pPr>
      <w:rPr>
        <w:rFonts w:ascii="Wingdings" w:hAnsi="Wingdings"/>
      </w:rPr>
    </w:lvl>
    <w:lvl w:ilvl="8">
      <w:start w:val="1"/>
      <w:numFmt w:val="bullet"/>
      <w:isLgl w:val="false"/>
      <w:suff w:val="tab"/>
      <w:lvlText w:val=""/>
      <w:lvlJc w:val="left"/>
      <w:pPr>
        <w:ind w:left="4260" w:hanging="420"/>
        <w:tabs>
          <w:tab w:val="num" w:pos="0" w:leader="none"/>
        </w:tabs>
      </w:pPr>
      <w:rPr>
        <w:rFonts w:ascii="Wingdings" w:hAnsi="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15"/>
  </w:num>
  <w:num w:numId="4">
    <w:abstractNumId w:val="7"/>
  </w:num>
  <w:num w:numId="5">
    <w:abstractNumId w:val="17"/>
  </w:num>
  <w:num w:numId="6">
    <w:abstractNumId w:val="13"/>
  </w:num>
  <w:num w:numId="7">
    <w:abstractNumId w:val="16"/>
  </w:num>
  <w:num w:numId="8">
    <w:abstractNumId w:val="0"/>
  </w:num>
  <w:num w:numId="9">
    <w:abstractNumId w:val="3"/>
  </w:num>
  <w:num w:numId="10">
    <w:abstractNumId w:val="8"/>
  </w:num>
  <w:num w:numId="11">
    <w:abstractNumId w:val="11"/>
  </w:num>
  <w:num w:numId="12">
    <w:abstractNumId w:val="14"/>
  </w:num>
  <w:num w:numId="13">
    <w:abstractNumId w:val="12"/>
  </w:num>
  <w:num w:numId="14">
    <w:abstractNumId w:val="5"/>
  </w:num>
  <w:num w:numId="15">
    <w:abstractNumId w:val="2"/>
  </w:num>
  <w:num w:numId="16">
    <w:abstractNumId w:val="6"/>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qFormat/>
    <w:pPr>
      <w:jc w:val="both"/>
      <w:widowControl w:val="off"/>
    </w:pPr>
    <w:rPr>
      <w:sz w:val="21"/>
      <w:szCs w:val="21"/>
    </w:rPr>
  </w:style>
  <w:style w:type="paragraph" w:styleId="747">
    <w:name w:val="Heading 1"/>
    <w:basedOn w:val="746"/>
    <w:next w:val="746"/>
    <w:link w:val="922"/>
    <w:qFormat/>
    <w:pPr>
      <w:jc w:val="center"/>
      <w:keepNext/>
      <w:outlineLvl w:val="0"/>
    </w:pPr>
    <w:rPr>
      <w:rFonts w:ascii="楷体_GB2312" w:eastAsia="楷体_GB2312"/>
      <w:sz w:val="28"/>
      <w:szCs w:val="28"/>
    </w:rPr>
  </w:style>
  <w:style w:type="paragraph" w:styleId="748">
    <w:name w:val="Heading 2"/>
    <w:basedOn w:val="746"/>
    <w:next w:val="746"/>
    <w:link w:val="923"/>
    <w:qFormat/>
    <w:pPr>
      <w:jc w:val="center"/>
      <w:keepLines/>
      <w:keepNext/>
      <w:spacing w:before="260" w:after="260" w:line="416" w:lineRule="auto"/>
      <w:outlineLvl w:val="1"/>
    </w:pPr>
    <w:rPr>
      <w:rFonts w:ascii="Arial" w:hAnsi="Arial" w:eastAsia="幼圆" w:cs="Arial"/>
      <w:b/>
      <w:bCs/>
      <w:sz w:val="44"/>
      <w:szCs w:val="44"/>
    </w:rPr>
  </w:style>
  <w:style w:type="paragraph" w:styleId="749">
    <w:name w:val="Heading 3"/>
    <w:basedOn w:val="746"/>
    <w:next w:val="925"/>
    <w:link w:val="924"/>
    <w:qFormat/>
    <w:pPr>
      <w:keepLines/>
      <w:keepNext/>
      <w:spacing w:before="260" w:after="260" w:line="416" w:lineRule="auto"/>
      <w:outlineLvl w:val="2"/>
    </w:pPr>
    <w:rPr>
      <w:b/>
      <w:bCs/>
      <w:sz w:val="32"/>
      <w:szCs w:val="32"/>
    </w:rPr>
  </w:style>
  <w:style w:type="paragraph" w:styleId="750">
    <w:name w:val="Heading 4"/>
    <w:basedOn w:val="746"/>
    <w:next w:val="925"/>
    <w:link w:val="927"/>
    <w:qFormat/>
    <w:pPr>
      <w:keepLines/>
      <w:keepNext/>
      <w:spacing w:before="280" w:after="290" w:line="376" w:lineRule="auto"/>
      <w:outlineLvl w:val="3"/>
    </w:pPr>
    <w:rPr>
      <w:rFonts w:ascii="Arial" w:hAnsi="Arial" w:eastAsia="黑体" w:cs="Arial"/>
      <w:b/>
      <w:bCs/>
      <w:sz w:val="28"/>
      <w:szCs w:val="28"/>
    </w:rPr>
  </w:style>
  <w:style w:type="paragraph" w:styleId="751">
    <w:name w:val="Heading 5"/>
    <w:basedOn w:val="746"/>
    <w:next w:val="925"/>
    <w:link w:val="928"/>
    <w:qFormat/>
    <w:pPr>
      <w:keepNext/>
      <w:outlineLvl w:val="4"/>
    </w:pPr>
    <w:rPr>
      <w:rFonts w:ascii="宋体"/>
      <w:color w:val="000000"/>
      <w:sz w:val="28"/>
      <w:szCs w:val="28"/>
    </w:rPr>
  </w:style>
  <w:style w:type="paragraph" w:styleId="752">
    <w:name w:val="Heading 6"/>
    <w:basedOn w:val="746"/>
    <w:next w:val="746"/>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753">
    <w:name w:val="Heading 7"/>
    <w:basedOn w:val="746"/>
    <w:next w:val="746"/>
    <w:link w:val="930"/>
    <w:qFormat/>
    <w:pPr>
      <w:numPr>
        <w:ilvl w:val="6"/>
        <w:numId w:val="1"/>
      </w:numPr>
      <w:keepLines/>
      <w:keepNext/>
      <w:spacing w:before="240" w:after="64" w:line="320" w:lineRule="auto"/>
      <w:outlineLvl w:val="6"/>
    </w:pPr>
    <w:rPr>
      <w:b/>
      <w:bCs/>
      <w:sz w:val="24"/>
      <w:szCs w:val="24"/>
    </w:rPr>
  </w:style>
  <w:style w:type="paragraph" w:styleId="754">
    <w:name w:val="Heading 8"/>
    <w:basedOn w:val="746"/>
    <w:next w:val="746"/>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755">
    <w:name w:val="Heading 9"/>
    <w:basedOn w:val="746"/>
    <w:next w:val="746"/>
    <w:link w:val="932"/>
    <w:qFormat/>
    <w:pPr>
      <w:numPr>
        <w:ilvl w:val="8"/>
        <w:numId w:val="1"/>
      </w:numPr>
      <w:keepLines/>
      <w:keepNext/>
      <w:spacing w:before="240" w:after="64" w:line="320" w:lineRule="auto"/>
      <w:outlineLvl w:val="8"/>
    </w:pPr>
    <w:rPr>
      <w:rFonts w:ascii="Arial" w:hAnsi="Arial" w:eastAsia="黑体"/>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character" w:styleId="759" w:customStyle="1">
    <w:name w:val="Heading 1 Char"/>
    <w:uiPriority w:val="9"/>
    <w:rPr>
      <w:rFonts w:ascii="Arial" w:hAnsi="Arial" w:eastAsia="Arial" w:cs="Arial"/>
      <w:sz w:val="40"/>
      <w:szCs w:val="40"/>
    </w:rPr>
  </w:style>
  <w:style w:type="character" w:styleId="760" w:customStyle="1">
    <w:name w:val="Heading 5 Char"/>
    <w:uiPriority w:val="9"/>
    <w:rPr>
      <w:rFonts w:ascii="Arial" w:hAnsi="Arial" w:eastAsia="Arial" w:cs="Arial"/>
      <w:b/>
      <w:bCs/>
      <w:sz w:val="24"/>
      <w:szCs w:val="24"/>
    </w:rPr>
  </w:style>
  <w:style w:type="character" w:styleId="761" w:customStyle="1">
    <w:name w:val="Heading 6 Char"/>
    <w:uiPriority w:val="9"/>
    <w:rPr>
      <w:rFonts w:ascii="Arial" w:hAnsi="Arial" w:eastAsia="Arial" w:cs="Arial"/>
      <w:b/>
      <w:bCs/>
      <w:sz w:val="22"/>
      <w:szCs w:val="22"/>
    </w:rPr>
  </w:style>
  <w:style w:type="character" w:styleId="762" w:customStyle="1">
    <w:name w:val="Heading 7 Char"/>
    <w:uiPriority w:val="9"/>
    <w:rPr>
      <w:rFonts w:ascii="Arial" w:hAnsi="Arial" w:eastAsia="Arial" w:cs="Arial"/>
      <w:b/>
      <w:bCs/>
      <w:i/>
      <w:iCs/>
      <w:sz w:val="22"/>
      <w:szCs w:val="22"/>
    </w:rPr>
  </w:style>
  <w:style w:type="character" w:styleId="763" w:customStyle="1">
    <w:name w:val="Heading 8 Char"/>
    <w:uiPriority w:val="9"/>
    <w:rPr>
      <w:rFonts w:ascii="Arial" w:hAnsi="Arial" w:eastAsia="Arial" w:cs="Arial"/>
      <w:i/>
      <w:iCs/>
      <w:sz w:val="22"/>
      <w:szCs w:val="22"/>
    </w:rPr>
  </w:style>
  <w:style w:type="character" w:styleId="764" w:customStyle="1">
    <w:name w:val="Heading 9 Char"/>
    <w:uiPriority w:val="9"/>
    <w:rPr>
      <w:rFonts w:ascii="Arial" w:hAnsi="Arial" w:eastAsia="Arial" w:cs="Arial"/>
      <w:i/>
      <w:iCs/>
      <w:sz w:val="21"/>
      <w:szCs w:val="21"/>
    </w:rPr>
  </w:style>
  <w:style w:type="paragraph" w:styleId="765">
    <w:name w:val="No Spacing"/>
    <w:link w:val="1093"/>
    <w:qFormat/>
    <w:pPr>
      <w:jc w:val="both"/>
      <w:widowControl w:val="off"/>
    </w:pPr>
    <w:rPr>
      <w:sz w:val="21"/>
      <w:szCs w:val="21"/>
    </w:rPr>
  </w:style>
  <w:style w:type="paragraph" w:styleId="766">
    <w:name w:val="Title"/>
    <w:basedOn w:val="746"/>
    <w:link w:val="1055"/>
    <w:qFormat/>
    <w:pPr>
      <w:jc w:val="center"/>
      <w:spacing w:before="240" w:after="60"/>
      <w:outlineLvl w:val="0"/>
    </w:pPr>
    <w:rPr>
      <w:rFonts w:ascii="Cambria" w:hAnsi="Cambria"/>
      <w:b/>
      <w:bCs/>
      <w:sz w:val="32"/>
      <w:szCs w:val="32"/>
    </w:rPr>
  </w:style>
  <w:style w:type="character" w:styleId="767" w:customStyle="1">
    <w:name w:val="Title Char"/>
    <w:uiPriority w:val="10"/>
    <w:rPr>
      <w:sz w:val="48"/>
      <w:szCs w:val="48"/>
    </w:rPr>
  </w:style>
  <w:style w:type="paragraph" w:styleId="768">
    <w:name w:val="Subtitle"/>
    <w:basedOn w:val="746"/>
    <w:next w:val="746"/>
    <w:link w:val="1046"/>
    <w:qFormat/>
    <w:pPr>
      <w:jc w:val="center"/>
      <w:spacing w:before="240" w:after="60" w:line="312" w:lineRule="auto"/>
      <w:outlineLvl w:val="1"/>
    </w:pPr>
    <w:rPr>
      <w:rFonts w:ascii="Cambria" w:hAnsi="Cambria"/>
      <w:b/>
      <w:bCs/>
      <w:sz w:val="32"/>
      <w:szCs w:val="32"/>
    </w:rPr>
  </w:style>
  <w:style w:type="character" w:styleId="769" w:customStyle="1">
    <w:name w:val="Subtitle Char"/>
    <w:uiPriority w:val="11"/>
    <w:rPr>
      <w:sz w:val="24"/>
      <w:szCs w:val="24"/>
    </w:rPr>
  </w:style>
  <w:style w:type="paragraph" w:styleId="770">
    <w:name w:val="Quote"/>
    <w:basedOn w:val="746"/>
    <w:next w:val="746"/>
    <w:link w:val="1080"/>
    <w:qFormat/>
    <w:rPr>
      <w:i/>
      <w:iCs/>
      <w:color w:val="000000"/>
      <w:sz w:val="20"/>
      <w:szCs w:val="20"/>
    </w:rPr>
  </w:style>
  <w:style w:type="character" w:styleId="771" w:customStyle="1">
    <w:name w:val="Quote Char"/>
    <w:uiPriority w:val="29"/>
    <w:rPr>
      <w:i/>
    </w:rPr>
  </w:style>
  <w:style w:type="paragraph" w:styleId="772">
    <w:name w:val="Intense Quote"/>
    <w:basedOn w:val="746"/>
    <w:next w:val="746"/>
    <w:link w:val="1089"/>
    <w:qFormat/>
    <w:pPr>
      <w:ind w:left="936" w:right="936"/>
      <w:spacing w:before="200" w:after="280"/>
      <w:pBdr>
        <w:bottom w:val="single" w:color="4F81BD" w:sz="4" w:space="4"/>
      </w:pBdr>
    </w:pPr>
    <w:rPr>
      <w:b/>
      <w:bCs/>
      <w:i/>
      <w:iCs/>
      <w:color w:val="4f81bd"/>
      <w:sz w:val="20"/>
      <w:szCs w:val="20"/>
    </w:rPr>
  </w:style>
  <w:style w:type="character" w:styleId="773" w:customStyle="1">
    <w:name w:val="Intense Quote Char"/>
    <w:uiPriority w:val="30"/>
    <w:rPr>
      <w:i/>
    </w:rPr>
  </w:style>
  <w:style w:type="paragraph" w:styleId="774">
    <w:name w:val="Header"/>
    <w:basedOn w:val="746"/>
    <w:link w:val="954"/>
    <w:uiPriority w:val="99"/>
    <w:qFormat/>
    <w:pPr>
      <w:jc w:val="center"/>
      <w:tabs>
        <w:tab w:val="center" w:pos="4153" w:leader="none"/>
        <w:tab w:val="right" w:pos="8306" w:leader="none"/>
      </w:tabs>
      <w:pBdr>
        <w:bottom w:val="single" w:color="000000" w:sz="6" w:space="1"/>
      </w:pBdr>
    </w:pPr>
    <w:rPr>
      <w:sz w:val="18"/>
      <w:szCs w:val="18"/>
    </w:rPr>
  </w:style>
  <w:style w:type="paragraph" w:styleId="775">
    <w:name w:val="Footer"/>
    <w:basedOn w:val="746"/>
    <w:link w:val="953"/>
    <w:uiPriority w:val="99"/>
    <w:qFormat/>
    <w:pPr>
      <w:jc w:val="left"/>
      <w:tabs>
        <w:tab w:val="center" w:pos="4153" w:leader="none"/>
        <w:tab w:val="right" w:pos="8306" w:leader="none"/>
      </w:tabs>
    </w:pPr>
    <w:rPr>
      <w:sz w:val="18"/>
      <w:szCs w:val="18"/>
    </w:rPr>
  </w:style>
  <w:style w:type="paragraph" w:styleId="776">
    <w:name w:val="Caption"/>
    <w:basedOn w:val="746"/>
    <w:next w:val="746"/>
    <w:link w:val="1031"/>
    <w:qFormat/>
    <w:pPr>
      <w:spacing w:line="360" w:lineRule="auto"/>
      <w:tabs>
        <w:tab w:val="left" w:pos="0" w:leader="none"/>
      </w:tabs>
    </w:pPr>
    <w:rPr>
      <w:rFonts w:ascii="Arial" w:hAnsi="Arial" w:eastAsia="黑体"/>
      <w:sz w:val="20"/>
      <w:szCs w:val="20"/>
    </w:rPr>
  </w:style>
  <w:style w:type="character" w:styleId="777" w:customStyle="1">
    <w:name w:val="Caption Char"/>
    <w:uiPriority w:val="99"/>
  </w:style>
  <w:style w:type="table" w:styleId="778">
    <w:name w:val="Table Grid"/>
    <w:basedOn w:val="757"/>
    <w:pPr>
      <w:jc w:val="both"/>
      <w:widowControl w:val="off"/>
    </w:pPr>
    <w:tblPr/>
  </w:style>
  <w:style w:type="table" w:styleId="77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0">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6">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name w:val="Hyperlink"/>
    <w:uiPriority w:val="99"/>
    <w:qFormat/>
    <w:rPr>
      <w:color w:val="0000ff"/>
      <w:u w:val="single"/>
    </w:rPr>
  </w:style>
  <w:style w:type="paragraph" w:styleId="905">
    <w:name w:val="footnote text"/>
    <w:basedOn w:val="746"/>
    <w:link w:val="1047"/>
    <w:pPr>
      <w:jc w:val="left"/>
    </w:pPr>
    <w:rPr>
      <w:rFonts w:ascii="宋体" w:hAnsi="Calibri"/>
      <w:bCs/>
      <w:sz w:val="18"/>
      <w:szCs w:val="18"/>
    </w:rPr>
  </w:style>
  <w:style w:type="character" w:styleId="906" w:customStyle="1">
    <w:name w:val="Footnote Text Char"/>
    <w:uiPriority w:val="99"/>
    <w:rPr>
      <w:sz w:val="18"/>
    </w:rPr>
  </w:style>
  <w:style w:type="character" w:styleId="907">
    <w:name w:val="footnote reference"/>
    <w:rPr>
      <w:vertAlign w:val="superscript"/>
    </w:rPr>
  </w:style>
  <w:style w:type="paragraph" w:styleId="908">
    <w:name w:val="endnote text"/>
    <w:basedOn w:val="746"/>
    <w:link w:val="1044"/>
    <w:pPr>
      <w:jc w:val="left"/>
      <w:widowControl/>
    </w:pPr>
    <w:rPr>
      <w:rFonts w:ascii="宋体" w:hAnsi="Calibri"/>
      <w:bCs/>
    </w:rPr>
  </w:style>
  <w:style w:type="character" w:styleId="909" w:customStyle="1">
    <w:name w:val="Endnote Text Char"/>
    <w:uiPriority w:val="99"/>
    <w:rPr>
      <w:sz w:val="20"/>
    </w:rPr>
  </w:style>
  <w:style w:type="character" w:styleId="910">
    <w:name w:val="endnote reference"/>
    <w:rPr>
      <w:vertAlign w:val="superscript"/>
    </w:rPr>
  </w:style>
  <w:style w:type="paragraph" w:styleId="911">
    <w:name w:val="toc 1"/>
    <w:basedOn w:val="746"/>
    <w:next w:val="746"/>
    <w:uiPriority w:val="39"/>
    <w:qFormat/>
    <w:pPr>
      <w:jc w:val="left"/>
      <w:spacing w:before="120" w:after="120" w:line="400" w:lineRule="exact"/>
      <w:tabs>
        <w:tab w:val="right" w:pos="8720" w:leader="dot"/>
      </w:tabs>
    </w:pPr>
    <w:rPr>
      <w:rFonts w:ascii="宋体" w:hAnsi="宋体"/>
      <w:caps/>
      <w:sz w:val="24"/>
      <w:szCs w:val="24"/>
    </w:rPr>
  </w:style>
  <w:style w:type="paragraph" w:styleId="912">
    <w:name w:val="toc 2"/>
    <w:basedOn w:val="746"/>
    <w:next w:val="746"/>
    <w:uiPriority w:val="39"/>
    <w:qFormat/>
    <w:pPr>
      <w:ind w:left="210"/>
      <w:jc w:val="left"/>
    </w:pPr>
    <w:rPr>
      <w:smallCaps/>
      <w:szCs w:val="24"/>
    </w:rPr>
  </w:style>
  <w:style w:type="paragraph" w:styleId="913">
    <w:name w:val="toc 3"/>
    <w:basedOn w:val="746"/>
    <w:next w:val="746"/>
    <w:uiPriority w:val="39"/>
    <w:qFormat/>
    <w:pPr>
      <w:ind w:left="420"/>
      <w:jc w:val="left"/>
    </w:pPr>
    <w:rPr>
      <w:i/>
      <w:iCs/>
      <w:szCs w:val="24"/>
    </w:rPr>
  </w:style>
  <w:style w:type="paragraph" w:styleId="914">
    <w:name w:val="toc 4"/>
    <w:basedOn w:val="746"/>
    <w:next w:val="746"/>
    <w:qFormat/>
    <w:pPr>
      <w:ind w:left="630"/>
      <w:jc w:val="left"/>
    </w:pPr>
  </w:style>
  <w:style w:type="paragraph" w:styleId="915">
    <w:name w:val="toc 5"/>
    <w:basedOn w:val="746"/>
    <w:next w:val="746"/>
    <w:qFormat/>
    <w:pPr>
      <w:ind w:left="840"/>
      <w:jc w:val="left"/>
    </w:pPr>
  </w:style>
  <w:style w:type="paragraph" w:styleId="916">
    <w:name w:val="toc 6"/>
    <w:basedOn w:val="746"/>
    <w:next w:val="746"/>
    <w:qFormat/>
    <w:pPr>
      <w:ind w:left="1050"/>
      <w:jc w:val="left"/>
    </w:pPr>
  </w:style>
  <w:style w:type="paragraph" w:styleId="917">
    <w:name w:val="toc 7"/>
    <w:basedOn w:val="746"/>
    <w:next w:val="746"/>
    <w:qFormat/>
    <w:pPr>
      <w:ind w:left="1260"/>
      <w:jc w:val="left"/>
    </w:pPr>
  </w:style>
  <w:style w:type="paragraph" w:styleId="918">
    <w:name w:val="toc 8"/>
    <w:basedOn w:val="746"/>
    <w:next w:val="746"/>
    <w:qFormat/>
    <w:pPr>
      <w:ind w:left="1470"/>
      <w:jc w:val="left"/>
    </w:pPr>
  </w:style>
  <w:style w:type="paragraph" w:styleId="919">
    <w:name w:val="toc 9"/>
    <w:basedOn w:val="746"/>
    <w:next w:val="746"/>
    <w:qFormat/>
    <w:pPr>
      <w:ind w:left="1680"/>
      <w:jc w:val="left"/>
    </w:pPr>
  </w:style>
  <w:style w:type="paragraph" w:styleId="920">
    <w:name w:val="TOC Heading"/>
    <w:basedOn w:val="747"/>
    <w:next w:val="746"/>
    <w:uiPriority w:val="39"/>
    <w:qFormat/>
    <w:pPr>
      <w:jc w:val="both"/>
      <w:keepLines/>
      <w:spacing w:before="480" w:line="276" w:lineRule="auto"/>
      <w:widowControl/>
      <w:outlineLvl w:val="9"/>
    </w:pPr>
    <w:rPr>
      <w:rFonts w:ascii="Cambria" w:hAnsi="Cambria" w:eastAsia="宋体"/>
      <w:b/>
      <w:color w:val="365f91"/>
      <w:szCs w:val="20"/>
    </w:rPr>
  </w:style>
  <w:style w:type="paragraph" w:styleId="921">
    <w:name w:val="table of figures"/>
    <w:basedOn w:val="746"/>
    <w:next w:val="746"/>
    <w:pPr>
      <w:ind w:left="840" w:hanging="420"/>
    </w:pPr>
  </w:style>
  <w:style w:type="character" w:styleId="922" w:customStyle="1">
    <w:name w:val="标题 1 Char"/>
    <w:link w:val="747"/>
    <w:qFormat/>
    <w:rPr>
      <w:rFonts w:ascii="楷体_GB2312" w:hAnsi="Times New Roman" w:eastAsia="楷体_GB2312" w:cs="Times New Roman"/>
      <w:sz w:val="28"/>
      <w:szCs w:val="28"/>
    </w:rPr>
  </w:style>
  <w:style w:type="character" w:styleId="923" w:customStyle="1">
    <w:name w:val="标题 2 Char"/>
    <w:link w:val="748"/>
    <w:qFormat/>
    <w:rPr>
      <w:rFonts w:ascii="Arial" w:hAnsi="Arial" w:eastAsia="幼圆" w:cs="Arial"/>
      <w:b/>
      <w:bCs/>
      <w:sz w:val="44"/>
      <w:szCs w:val="44"/>
    </w:rPr>
  </w:style>
  <w:style w:type="character" w:styleId="924" w:customStyle="1">
    <w:name w:val="标题 3 Char"/>
    <w:link w:val="749"/>
    <w:qFormat/>
    <w:rPr>
      <w:rFonts w:ascii="Times New Roman" w:hAnsi="Times New Roman" w:eastAsia="宋体" w:cs="Times New Roman"/>
      <w:b/>
      <w:bCs/>
      <w:sz w:val="32"/>
      <w:szCs w:val="32"/>
    </w:rPr>
  </w:style>
  <w:style w:type="paragraph" w:styleId="925">
    <w:name w:val="Normal Indent"/>
    <w:basedOn w:val="746"/>
    <w:next w:val="746"/>
    <w:link w:val="926"/>
    <w:qFormat/>
    <w:pPr>
      <w:ind w:firstLine="420"/>
    </w:pPr>
  </w:style>
  <w:style w:type="character" w:styleId="926" w:customStyle="1">
    <w:name w:val="正文缩进 Char"/>
    <w:link w:val="925"/>
    <w:rPr>
      <w:rFonts w:ascii="Times New Roman" w:hAnsi="Times New Roman" w:eastAsia="宋体" w:cs="Times New Roman"/>
      <w:szCs w:val="21"/>
    </w:rPr>
  </w:style>
  <w:style w:type="character" w:styleId="927" w:customStyle="1">
    <w:name w:val="标题 4 Char"/>
    <w:link w:val="750"/>
    <w:qFormat/>
    <w:rPr>
      <w:rFonts w:ascii="Arial" w:hAnsi="Arial" w:eastAsia="黑体" w:cs="Arial"/>
      <w:b/>
      <w:bCs/>
      <w:sz w:val="28"/>
      <w:szCs w:val="28"/>
    </w:rPr>
  </w:style>
  <w:style w:type="character" w:styleId="928" w:customStyle="1">
    <w:name w:val="标题 5 Char"/>
    <w:link w:val="751"/>
    <w:qFormat/>
    <w:rPr>
      <w:rFonts w:ascii="宋体" w:hAnsi="Times New Roman" w:eastAsia="宋体" w:cs="Times New Roman"/>
      <w:color w:val="000000"/>
      <w:sz w:val="28"/>
      <w:szCs w:val="28"/>
    </w:rPr>
  </w:style>
  <w:style w:type="character" w:styleId="929" w:customStyle="1">
    <w:name w:val="标题 6 Char"/>
    <w:link w:val="752"/>
    <w:qFormat/>
    <w:rPr>
      <w:rFonts w:ascii="Arial" w:hAnsi="Arial" w:eastAsia="黑体" w:cs="Times New Roman"/>
      <w:b/>
      <w:bCs/>
      <w:sz w:val="24"/>
      <w:szCs w:val="24"/>
    </w:rPr>
  </w:style>
  <w:style w:type="character" w:styleId="930" w:customStyle="1">
    <w:name w:val="标题 7 Char"/>
    <w:link w:val="753"/>
    <w:qFormat/>
    <w:rPr>
      <w:rFonts w:ascii="Times New Roman" w:hAnsi="Times New Roman" w:eastAsia="宋体" w:cs="Times New Roman"/>
      <w:b/>
      <w:bCs/>
      <w:sz w:val="24"/>
      <w:szCs w:val="24"/>
    </w:rPr>
  </w:style>
  <w:style w:type="character" w:styleId="931" w:customStyle="1">
    <w:name w:val="标题 8 Char"/>
    <w:link w:val="754"/>
    <w:qFormat/>
    <w:rPr>
      <w:rFonts w:ascii="Arial" w:hAnsi="Arial" w:eastAsia="黑体" w:cs="Times New Roman"/>
      <w:sz w:val="24"/>
      <w:szCs w:val="24"/>
    </w:rPr>
  </w:style>
  <w:style w:type="character" w:styleId="932" w:customStyle="1">
    <w:name w:val="标题 9 Char"/>
    <w:link w:val="755"/>
    <w:qFormat/>
    <w:rPr>
      <w:rFonts w:ascii="Arial" w:hAnsi="Arial" w:eastAsia="黑体" w:cs="Times New Roman"/>
      <w:szCs w:val="21"/>
    </w:rPr>
  </w:style>
  <w:style w:type="paragraph" w:styleId="933">
    <w:name w:val="List 3"/>
    <w:basedOn w:val="746"/>
    <w:pPr>
      <w:ind w:left="100" w:hanging="200"/>
    </w:pPr>
  </w:style>
  <w:style w:type="paragraph" w:styleId="934">
    <w:name w:val="Document Map"/>
    <w:basedOn w:val="746"/>
    <w:link w:val="935"/>
    <w:qFormat/>
    <w:pPr>
      <w:shd w:val="clear" w:color="auto" w:fill="000080"/>
    </w:pPr>
  </w:style>
  <w:style w:type="character" w:styleId="935" w:customStyle="1">
    <w:name w:val="文档结构图 Char"/>
    <w:link w:val="934"/>
    <w:qFormat/>
    <w:rPr>
      <w:rFonts w:ascii="Times New Roman" w:hAnsi="Times New Roman" w:eastAsia="宋体" w:cs="Times New Roman"/>
      <w:szCs w:val="21"/>
      <w:shd w:val="clear" w:color="auto" w:fill="000080"/>
    </w:rPr>
  </w:style>
  <w:style w:type="paragraph" w:styleId="936">
    <w:name w:val="annotation text"/>
    <w:basedOn w:val="746"/>
    <w:link w:val="937"/>
    <w:qFormat/>
    <w:pPr>
      <w:jc w:val="left"/>
    </w:pPr>
  </w:style>
  <w:style w:type="character" w:styleId="937" w:customStyle="1">
    <w:name w:val="批注文字 Char"/>
    <w:link w:val="936"/>
    <w:qFormat/>
    <w:rPr>
      <w:rFonts w:ascii="Times New Roman" w:hAnsi="Times New Roman" w:eastAsia="宋体" w:cs="Times New Roman"/>
      <w:szCs w:val="21"/>
    </w:rPr>
  </w:style>
  <w:style w:type="paragraph" w:styleId="938">
    <w:name w:val="Body Text 3"/>
    <w:basedOn w:val="746"/>
    <w:link w:val="939"/>
    <w:qFormat/>
    <w:rPr>
      <w:rFonts w:ascii="仿宋_GB2312" w:hAnsi="Arial" w:eastAsia="仿宋_GB2312"/>
      <w:sz w:val="32"/>
      <w:szCs w:val="32"/>
    </w:rPr>
  </w:style>
  <w:style w:type="character" w:styleId="939" w:customStyle="1">
    <w:name w:val="正文文本 3 Char"/>
    <w:link w:val="938"/>
    <w:qFormat/>
    <w:rPr>
      <w:rFonts w:ascii="仿宋_GB2312" w:hAnsi="Arial" w:eastAsia="仿宋_GB2312" w:cs="Times New Roman"/>
      <w:sz w:val="32"/>
      <w:szCs w:val="32"/>
    </w:rPr>
  </w:style>
  <w:style w:type="paragraph" w:styleId="940">
    <w:name w:val="Body Text"/>
    <w:basedOn w:val="746"/>
    <w:link w:val="941"/>
    <w:qFormat/>
    <w:rPr>
      <w:rFonts w:ascii="楷体_GB2312" w:hAnsi="Arial" w:eastAsia="楷体_GB2312"/>
      <w:sz w:val="28"/>
      <w:szCs w:val="28"/>
    </w:rPr>
  </w:style>
  <w:style w:type="character" w:styleId="941" w:customStyle="1">
    <w:name w:val="正文文本 Char"/>
    <w:link w:val="940"/>
    <w:qFormat/>
    <w:rPr>
      <w:rFonts w:ascii="楷体_GB2312" w:hAnsi="Arial" w:eastAsia="楷体_GB2312" w:cs="Times New Roman"/>
      <w:sz w:val="28"/>
      <w:szCs w:val="28"/>
    </w:rPr>
  </w:style>
  <w:style w:type="paragraph" w:styleId="942">
    <w:name w:val="Body Text Indent"/>
    <w:basedOn w:val="746"/>
    <w:next w:val="746"/>
    <w:link w:val="943"/>
    <w:qFormat/>
    <w:pPr>
      <w:ind w:firstLine="645"/>
    </w:pPr>
    <w:rPr>
      <w:rFonts w:ascii="楷体_GB2312" w:eastAsia="楷体_GB2312"/>
      <w:sz w:val="32"/>
      <w:szCs w:val="32"/>
    </w:rPr>
  </w:style>
  <w:style w:type="character" w:styleId="943" w:customStyle="1">
    <w:name w:val="正文文本缩进 Char"/>
    <w:link w:val="942"/>
    <w:qFormat/>
    <w:rPr>
      <w:rFonts w:ascii="楷体_GB2312" w:hAnsi="Times New Roman" w:eastAsia="楷体_GB2312" w:cs="Times New Roman"/>
      <w:sz w:val="32"/>
      <w:szCs w:val="32"/>
    </w:rPr>
  </w:style>
  <w:style w:type="paragraph" w:styleId="944">
    <w:name w:val="List 2"/>
    <w:basedOn w:val="746"/>
    <w:pPr>
      <w:ind w:left="100" w:hanging="200"/>
    </w:pPr>
  </w:style>
  <w:style w:type="paragraph" w:styleId="945">
    <w:name w:val="Plain Text"/>
    <w:basedOn w:val="746"/>
    <w:link w:val="946"/>
    <w:qFormat/>
    <w:rPr>
      <w:rFonts w:ascii="宋体" w:hAnsi="Courier New" w:cs="Courier New"/>
    </w:rPr>
  </w:style>
  <w:style w:type="character" w:styleId="946" w:customStyle="1">
    <w:name w:val="纯文本 Char"/>
    <w:link w:val="945"/>
    <w:qFormat/>
    <w:rPr>
      <w:rFonts w:ascii="宋体" w:hAnsi="Courier New" w:eastAsia="宋体" w:cs="Courier New"/>
      <w:szCs w:val="21"/>
    </w:rPr>
  </w:style>
  <w:style w:type="paragraph" w:styleId="947">
    <w:name w:val="Date"/>
    <w:basedOn w:val="746"/>
    <w:next w:val="746"/>
    <w:link w:val="948"/>
    <w:qFormat/>
    <w:rPr>
      <w:sz w:val="24"/>
      <w:szCs w:val="24"/>
    </w:rPr>
  </w:style>
  <w:style w:type="character" w:styleId="948" w:customStyle="1">
    <w:name w:val="日期 Char"/>
    <w:link w:val="947"/>
    <w:qFormat/>
    <w:rPr>
      <w:rFonts w:ascii="Times New Roman" w:hAnsi="Times New Roman" w:eastAsia="宋体" w:cs="Times New Roman"/>
      <w:sz w:val="24"/>
      <w:szCs w:val="24"/>
    </w:rPr>
  </w:style>
  <w:style w:type="paragraph" w:styleId="949">
    <w:name w:val="Body Text Indent 2"/>
    <w:basedOn w:val="746"/>
    <w:link w:val="950"/>
    <w:qFormat/>
    <w:pPr>
      <w:ind w:left="630" w:firstLine="645"/>
    </w:pPr>
    <w:rPr>
      <w:rFonts w:ascii="Arial" w:hAnsi="Arial" w:eastAsia="仿宋_GB2312" w:cs="Arial"/>
      <w:sz w:val="32"/>
      <w:szCs w:val="32"/>
    </w:rPr>
  </w:style>
  <w:style w:type="character" w:styleId="950" w:customStyle="1">
    <w:name w:val="正文文本缩进 2 Char"/>
    <w:link w:val="949"/>
    <w:qFormat/>
    <w:rPr>
      <w:rFonts w:ascii="Arial" w:hAnsi="Arial" w:eastAsia="仿宋_GB2312" w:cs="Arial"/>
      <w:sz w:val="32"/>
      <w:szCs w:val="32"/>
    </w:rPr>
  </w:style>
  <w:style w:type="paragraph" w:styleId="951">
    <w:name w:val="Balloon Text"/>
    <w:basedOn w:val="746"/>
    <w:link w:val="952"/>
    <w:qFormat/>
    <w:rPr>
      <w:sz w:val="18"/>
      <w:szCs w:val="18"/>
    </w:rPr>
  </w:style>
  <w:style w:type="character" w:styleId="952" w:customStyle="1">
    <w:name w:val="批注框文本 Char"/>
    <w:link w:val="951"/>
    <w:qFormat/>
    <w:rPr>
      <w:rFonts w:ascii="Times New Roman" w:hAnsi="Times New Roman" w:eastAsia="宋体" w:cs="Times New Roman"/>
      <w:sz w:val="18"/>
      <w:szCs w:val="18"/>
    </w:rPr>
  </w:style>
  <w:style w:type="character" w:styleId="953" w:customStyle="1">
    <w:name w:val="页脚 Char"/>
    <w:link w:val="775"/>
    <w:uiPriority w:val="99"/>
    <w:qFormat/>
    <w:rPr>
      <w:rFonts w:ascii="Times New Roman" w:hAnsi="Times New Roman" w:eastAsia="宋体" w:cs="Times New Roman"/>
      <w:sz w:val="18"/>
      <w:szCs w:val="18"/>
    </w:rPr>
  </w:style>
  <w:style w:type="character" w:styleId="954" w:customStyle="1">
    <w:name w:val="页眉 Char"/>
    <w:link w:val="774"/>
    <w:uiPriority w:val="99"/>
    <w:qFormat/>
    <w:rPr>
      <w:rFonts w:ascii="Times New Roman" w:hAnsi="Times New Roman" w:eastAsia="宋体" w:cs="Times New Roman"/>
      <w:sz w:val="18"/>
      <w:szCs w:val="18"/>
    </w:rPr>
  </w:style>
  <w:style w:type="paragraph" w:styleId="955">
    <w:name w:val="List"/>
    <w:basedOn w:val="746"/>
    <w:pPr>
      <w:ind w:left="200" w:hanging="200"/>
    </w:pPr>
  </w:style>
  <w:style w:type="paragraph" w:styleId="956">
    <w:name w:val="Body Text Indent 3"/>
    <w:basedOn w:val="746"/>
    <w:link w:val="957"/>
    <w:qFormat/>
    <w:pPr>
      <w:ind w:left="645" w:firstLine="645"/>
    </w:pPr>
    <w:rPr>
      <w:rFonts w:ascii="Arial" w:hAnsi="Arial" w:eastAsia="仿宋_GB2312" w:cs="Arial"/>
      <w:color w:val="ffff00"/>
      <w:sz w:val="32"/>
      <w:szCs w:val="32"/>
    </w:rPr>
  </w:style>
  <w:style w:type="character" w:styleId="957" w:customStyle="1">
    <w:name w:val="正文文本缩进 3 Char"/>
    <w:link w:val="956"/>
    <w:qFormat/>
    <w:rPr>
      <w:rFonts w:ascii="Arial" w:hAnsi="Arial" w:eastAsia="仿宋_GB2312" w:cs="Arial"/>
      <w:color w:val="ffff00"/>
      <w:sz w:val="32"/>
      <w:szCs w:val="32"/>
    </w:rPr>
  </w:style>
  <w:style w:type="paragraph" w:styleId="958">
    <w:name w:val="Body Text 2"/>
    <w:basedOn w:val="746"/>
    <w:link w:val="959"/>
    <w:qFormat/>
    <w:pPr>
      <w:jc w:val="center"/>
      <w:widowControl/>
    </w:pPr>
    <w:rPr>
      <w:rFonts w:ascii="楷体_GB2312" w:eastAsia="楷体_GB2312"/>
      <w:sz w:val="28"/>
      <w:szCs w:val="28"/>
    </w:rPr>
  </w:style>
  <w:style w:type="character" w:styleId="959" w:customStyle="1">
    <w:name w:val="正文文本 2 Char"/>
    <w:link w:val="958"/>
    <w:rPr>
      <w:rFonts w:ascii="楷体_GB2312" w:hAnsi="Times New Roman" w:eastAsia="楷体_GB2312" w:cs="Times New Roman"/>
      <w:sz w:val="28"/>
      <w:szCs w:val="28"/>
    </w:rPr>
  </w:style>
  <w:style w:type="paragraph" w:styleId="960">
    <w:name w:val="Normal (Web)"/>
    <w:basedOn w:val="746"/>
    <w:qFormat/>
    <w:pPr>
      <w:jc w:val="left"/>
      <w:spacing w:before="100" w:beforeAutospacing="1" w:after="100" w:afterAutospacing="1"/>
      <w:widowControl/>
    </w:pPr>
    <w:rPr>
      <w:rFonts w:ascii="宋体" w:hAnsi="宋体" w:cs="宋体"/>
      <w:sz w:val="24"/>
      <w:szCs w:val="24"/>
    </w:rPr>
  </w:style>
  <w:style w:type="paragraph" w:styleId="961">
    <w:name w:val="index 1"/>
    <w:basedOn w:val="746"/>
    <w:next w:val="746"/>
    <w:qFormat/>
    <w:pPr>
      <w:spacing w:line="240" w:lineRule="atLeast"/>
    </w:pPr>
    <w:rPr>
      <w:b/>
      <w:bCs/>
    </w:rPr>
  </w:style>
  <w:style w:type="paragraph" w:styleId="962">
    <w:name w:val="annotation subject"/>
    <w:basedOn w:val="936"/>
    <w:next w:val="936"/>
    <w:link w:val="963"/>
    <w:qFormat/>
    <w:rPr>
      <w:b/>
      <w:bCs/>
    </w:rPr>
  </w:style>
  <w:style w:type="character" w:styleId="963" w:customStyle="1">
    <w:name w:val="批注主题 Char"/>
    <w:link w:val="962"/>
    <w:qFormat/>
    <w:rPr>
      <w:rFonts w:ascii="Times New Roman" w:hAnsi="Times New Roman" w:eastAsia="宋体" w:cs="Times New Roman"/>
      <w:b/>
      <w:bCs/>
      <w:szCs w:val="21"/>
    </w:rPr>
  </w:style>
  <w:style w:type="paragraph" w:styleId="964">
    <w:name w:val="Body Text First Indent"/>
    <w:basedOn w:val="746"/>
    <w:link w:val="965"/>
    <w:pPr>
      <w:ind w:firstLine="200"/>
      <w:spacing w:line="360" w:lineRule="auto"/>
    </w:pPr>
    <w:rPr>
      <w:rFonts w:ascii="仿宋_GB2312" w:eastAsia="仿宋_GB2312"/>
      <w:sz w:val="30"/>
      <w:szCs w:val="30"/>
    </w:rPr>
  </w:style>
  <w:style w:type="character" w:styleId="965" w:customStyle="1">
    <w:name w:val="正文首行缩进 Char"/>
    <w:link w:val="964"/>
    <w:rPr>
      <w:rFonts w:ascii="仿宋_GB2312" w:hAnsi="Times New Roman" w:eastAsia="仿宋_GB2312" w:cs="Times New Roman"/>
      <w:sz w:val="30"/>
      <w:szCs w:val="30"/>
    </w:rPr>
  </w:style>
  <w:style w:type="paragraph" w:styleId="966">
    <w:name w:val="Body Text First Indent 2"/>
    <w:basedOn w:val="942"/>
    <w:link w:val="967"/>
    <w:qFormat/>
    <w:pPr>
      <w:ind w:firstLine="420"/>
      <w:spacing w:line="360" w:lineRule="auto"/>
    </w:pPr>
    <w:rPr>
      <w:rFonts w:ascii="宋体" w:hAnsi="宋体" w:eastAsia="宋体"/>
      <w:sz w:val="21"/>
      <w:szCs w:val="20"/>
    </w:rPr>
  </w:style>
  <w:style w:type="character" w:styleId="967" w:customStyle="1">
    <w:name w:val="正文首行缩进 2 Char"/>
    <w:link w:val="966"/>
    <w:qFormat/>
    <w:rPr>
      <w:rFonts w:ascii="宋体" w:hAnsi="宋体" w:eastAsia="宋体" w:cs="Times New Roman"/>
      <w:sz w:val="32"/>
      <w:szCs w:val="20"/>
    </w:rPr>
  </w:style>
  <w:style w:type="character" w:styleId="968">
    <w:name w:val="Strong"/>
    <w:qFormat/>
    <w:rPr>
      <w:b/>
      <w:bCs/>
    </w:rPr>
  </w:style>
  <w:style w:type="character" w:styleId="969">
    <w:name w:val="page number"/>
    <w:qFormat/>
  </w:style>
  <w:style w:type="character" w:styleId="970">
    <w:name w:val="FollowedHyperlink"/>
    <w:uiPriority w:val="99"/>
    <w:qFormat/>
    <w:rPr>
      <w:color w:val="800080"/>
      <w:u w:val="single"/>
    </w:rPr>
  </w:style>
  <w:style w:type="character" w:styleId="971">
    <w:name w:val="annotation reference"/>
    <w:qFormat/>
    <w:rPr>
      <w:sz w:val="21"/>
      <w:szCs w:val="21"/>
    </w:rPr>
  </w:style>
  <w:style w:type="paragraph" w:styleId="972" w:customStyle="1">
    <w:name w:val="正文空2字"/>
    <w:basedOn w:val="973"/>
    <w:uiPriority w:val="99"/>
    <w:qFormat/>
    <w:pPr>
      <w:ind w:firstLine="640"/>
      <w:spacing w:line="560" w:lineRule="exact"/>
      <w:widowControl w:val="off"/>
    </w:pPr>
    <w:rPr>
      <w:rFonts w:ascii="仿宋_GB2312" w:hAnsi="仿宋_GB2312" w:cs="仿宋_GB2312"/>
      <w:lang w:val="zh-TW"/>
    </w:rPr>
  </w:style>
  <w:style w:type="paragraph" w:styleId="973" w:customStyle="1">
    <w:name w:val="左对齐正文"/>
    <w:uiPriority w:val="99"/>
    <w:qFormat/>
    <w:rPr>
      <w:rFonts w:ascii="Calibri" w:hAnsi="Calibri" w:eastAsia="仿宋_GB2312" w:cs="Calibri"/>
      <w:sz w:val="32"/>
      <w:szCs w:val="32"/>
    </w:rPr>
  </w:style>
  <w:style w:type="paragraph" w:styleId="974" w:customStyle="1">
    <w:name w:val="索引 41"/>
    <w:basedOn w:val="746"/>
    <w:next w:val="746"/>
    <w:semiHidden/>
    <w:qFormat/>
    <w:pPr>
      <w:ind w:left="1260"/>
    </w:pPr>
    <w:rPr>
      <w:rFonts w:ascii="Calibri" w:hAnsi="Calibri" w:eastAsia="Calibri" w:cs="宋体"/>
      <w:sz w:val="20"/>
      <w:lang w:val="zh-CN"/>
    </w:rPr>
  </w:style>
  <w:style w:type="character" w:styleId="975" w:customStyle="1">
    <w:name w:val="font5 Char"/>
    <w:rPr>
      <w:rFonts w:ascii="宋体" w:hAnsi="宋体" w:eastAsia="宋体"/>
      <w:sz w:val="28"/>
      <w:szCs w:val="28"/>
      <w:lang w:val="en-US" w:eastAsia="zh-CN" w:bidi="ar-SA"/>
    </w:rPr>
  </w:style>
  <w:style w:type="character" w:styleId="976" w:customStyle="1">
    <w:name w:val="二级目录 Char"/>
    <w:link w:val="977"/>
    <w:rPr>
      <w:b/>
      <w:sz w:val="30"/>
      <w:szCs w:val="28"/>
    </w:rPr>
  </w:style>
  <w:style w:type="paragraph" w:styleId="977" w:customStyle="1">
    <w:name w:val="二级目录"/>
    <w:next w:val="746"/>
    <w:link w:val="976"/>
    <w:pPr>
      <w:numPr>
        <w:numId w:val="2"/>
      </w:numPr>
      <w:tabs>
        <w:tab w:val="left" w:pos="907" w:leader="none"/>
        <w:tab w:val="left" w:pos="1145" w:leader="none"/>
      </w:tabs>
      <w:outlineLvl w:val="1"/>
    </w:pPr>
    <w:rPr>
      <w:b/>
      <w:sz w:val="30"/>
      <w:szCs w:val="28"/>
    </w:rPr>
  </w:style>
  <w:style w:type="character" w:styleId="978" w:customStyle="1">
    <w:name w:val="列出段落 Char"/>
    <w:link w:val="979"/>
    <w:rPr>
      <w:rFonts w:ascii="Calibri" w:hAnsi="Calibri"/>
      <w:sz w:val="24"/>
      <w:szCs w:val="24"/>
      <w:lang w:eastAsia="en-US" w:bidi="en-US"/>
    </w:rPr>
  </w:style>
  <w:style w:type="paragraph" w:styleId="979" w:customStyle="1">
    <w:name w:val="列出段落1"/>
    <w:basedOn w:val="746"/>
    <w:link w:val="978"/>
    <w:uiPriority w:val="34"/>
    <w:qFormat/>
    <w:pPr>
      <w:contextualSpacing/>
      <w:ind w:left="720"/>
      <w:jc w:val="left"/>
      <w:widowControl/>
    </w:pPr>
    <w:rPr>
      <w:rFonts w:ascii="Calibri" w:hAnsi="Calibri"/>
      <w:sz w:val="24"/>
      <w:szCs w:val="24"/>
      <w:lang w:eastAsia="en-US" w:bidi="en-US"/>
    </w:rPr>
  </w:style>
  <w:style w:type="paragraph" w:styleId="980" w:customStyle="1">
    <w:name w:val="Body Text(ch)"/>
    <w:basedOn w:val="746"/>
    <w:next w:val="940"/>
    <w:pPr>
      <w:spacing w:after="120"/>
    </w:pPr>
    <w:rPr>
      <w:rFonts w:ascii="宋体" w:hAnsi="Arial"/>
      <w:bCs/>
      <w:iCs/>
      <w:szCs w:val="24"/>
    </w:rPr>
  </w:style>
  <w:style w:type="paragraph" w:styleId="981" w:customStyle="1">
    <w:name w:val="xl27"/>
    <w:basedOn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6"/>
    <w:basedOn w:val="7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3" w:customStyle="1">
    <w:name w:val="Char"/>
    <w:basedOn w:val="746"/>
    <w:qFormat/>
    <w:pPr>
      <w:ind w:firstLine="200"/>
      <w:tabs>
        <w:tab w:val="left" w:pos="360" w:leader="none"/>
      </w:tabs>
    </w:pPr>
    <w:rPr>
      <w:sz w:val="28"/>
      <w:szCs w:val="30"/>
    </w:rPr>
  </w:style>
  <w:style w:type="paragraph" w:styleId="984" w:customStyle="1">
    <w:name w:val="Char"/>
    <w:basedOn w:val="934"/>
    <w:rPr>
      <w:rFonts w:ascii="Tahoma" w:hAnsi="Tahoma"/>
      <w:sz w:val="24"/>
      <w:szCs w:val="24"/>
    </w:rPr>
  </w:style>
  <w:style w:type="paragraph" w:styleId="985" w:customStyle="1">
    <w:name w:val="普通正文"/>
    <w:basedOn w:val="746"/>
    <w:pPr>
      <w:ind w:firstLine="480"/>
      <w:jc w:val="left"/>
      <w:spacing w:before="120" w:after="120" w:line="360" w:lineRule="auto"/>
    </w:pPr>
    <w:rPr>
      <w:rFonts w:ascii="Arial" w:hAnsi="Arial"/>
      <w:sz w:val="24"/>
      <w:szCs w:val="24"/>
    </w:rPr>
  </w:style>
  <w:style w:type="paragraph" w:styleId="986" w:customStyle="1">
    <w:name w:val="table_lines"/>
    <w:basedOn w:val="746"/>
    <w:pPr>
      <w:jc w:val="left"/>
      <w:widowControl/>
    </w:pPr>
    <w:rPr>
      <w:sz w:val="20"/>
      <w:szCs w:val="20"/>
      <w:lang w:val="de-DE" w:eastAsia="de-DE"/>
    </w:rPr>
  </w:style>
  <w:style w:type="paragraph" w:styleId="987" w:customStyle="1">
    <w:name w:val="附录1"/>
    <w:pPr>
      <w:ind w:left="907" w:hanging="907"/>
      <w:spacing w:before="240" w:line="600" w:lineRule="atLeast"/>
      <w:tabs>
        <w:tab w:val="left" w:pos="907" w:leader="none"/>
      </w:tabs>
    </w:pPr>
    <w:rPr>
      <w:b/>
      <w:i/>
      <w:sz w:val="28"/>
    </w:rPr>
  </w:style>
  <w:style w:type="paragraph" w:styleId="988" w:customStyle="1">
    <w:name w:val="font7"/>
    <w:basedOn w:val="746"/>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934"/>
    <w:pPr>
      <w:spacing w:line="360" w:lineRule="auto"/>
    </w:pPr>
    <w:rPr>
      <w:rFonts w:ascii="Tahoma" w:hAnsi="Tahoma"/>
      <w:sz w:val="24"/>
      <w:szCs w:val="24"/>
    </w:rPr>
  </w:style>
  <w:style w:type="paragraph" w:styleId="990">
    <w:name w:val="List Paragraph"/>
    <w:basedOn w:val="746"/>
    <w:pPr>
      <w:ind w:firstLine="200"/>
    </w:pPr>
    <w:rPr>
      <w:rFonts w:ascii="Calibri" w:hAnsi="Calibri"/>
      <w:szCs w:val="22"/>
    </w:rPr>
  </w:style>
  <w:style w:type="paragraph" w:styleId="991" w:customStyle="1">
    <w:name w:val="4"/>
    <w:basedOn w:val="746"/>
    <w:next w:val="956"/>
    <w:pPr>
      <w:ind w:firstLine="420"/>
      <w:spacing w:line="360" w:lineRule="auto"/>
    </w:pPr>
    <w:rPr>
      <w:color w:val="ff0000"/>
      <w:sz w:val="24"/>
      <w:szCs w:val="24"/>
    </w:rPr>
  </w:style>
  <w:style w:type="paragraph" w:styleId="992" w:customStyle="1">
    <w:name w:val="普通 (Web)"/>
    <w:basedOn w:val="746"/>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746"/>
    <w:pPr>
      <w:spacing w:line="360" w:lineRule="auto"/>
    </w:pPr>
    <w:rPr>
      <w:sz w:val="24"/>
      <w:szCs w:val="20"/>
    </w:rPr>
  </w:style>
  <w:style w:type="paragraph" w:styleId="994" w:customStyle="1">
    <w:name w:val="样式1"/>
    <w:basedOn w:val="746"/>
    <w:pPr>
      <w:numPr>
        <w:numId w:val="3"/>
      </w:numPr>
      <w:tabs>
        <w:tab w:val="left" w:pos="709" w:leader="none"/>
      </w:tabs>
    </w:pPr>
    <w:rPr>
      <w:rFonts w:ascii="宋体" w:hAnsi="宋体"/>
    </w:rPr>
  </w:style>
  <w:style w:type="paragraph" w:styleId="995" w:customStyle="1">
    <w:name w:val="font6"/>
    <w:basedOn w:val="746"/>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7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46"/>
    <w:next w:val="7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标题3"/>
    <w:basedOn w:val="746"/>
    <w:next w:val="746"/>
    <w:pPr>
      <w:ind w:firstLine="624"/>
      <w:spacing w:line="590" w:lineRule="atLeast"/>
    </w:pPr>
    <w:rPr>
      <w:rFonts w:ascii="方正黑体_GBK" w:eastAsia="方正黑体_GBK"/>
      <w:sz w:val="32"/>
      <w:szCs w:val="32"/>
    </w:rPr>
  </w:style>
  <w:style w:type="paragraph" w:styleId="999" w:customStyle="1">
    <w:name w:val="xl24"/>
    <w:basedOn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9"/>
    <w:basedOn w:val="7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customStyle="1">
    <w:name w:val="Char Char Char Char Char Char Char Char"/>
    <w:basedOn w:val="746"/>
    <w:pPr>
      <w:jc w:val="left"/>
      <w:spacing w:after="160" w:line="240" w:lineRule="exact"/>
      <w:widowControl/>
    </w:pPr>
    <w:rPr>
      <w:rFonts w:ascii="Verdana" w:hAnsi="Verdana"/>
      <w:sz w:val="20"/>
      <w:szCs w:val="20"/>
      <w:lang w:eastAsia="en-US"/>
    </w:rPr>
  </w:style>
  <w:style w:type="paragraph" w:styleId="1002" w:customStyle="1">
    <w:name w:val="xl28"/>
    <w:basedOn w:val="7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Char Char Char Char Char Char Char Char"/>
    <w:basedOn w:val="746"/>
    <w:pPr>
      <w:jc w:val="left"/>
      <w:spacing w:after="160" w:line="240" w:lineRule="exact"/>
      <w:widowControl/>
    </w:pPr>
    <w:rPr>
      <w:rFonts w:ascii="Verdana" w:hAnsi="Verdana"/>
      <w:sz w:val="20"/>
      <w:szCs w:val="20"/>
      <w:lang w:eastAsia="en-US"/>
    </w:rPr>
  </w:style>
  <w:style w:type="paragraph" w:styleId="1004" w:customStyle="1">
    <w:name w:val="xl30"/>
    <w:basedOn w:val="746"/>
    <w:qFormat/>
    <w:pPr>
      <w:jc w:val="center"/>
      <w:spacing w:before="100" w:beforeAutospacing="1" w:after="100" w:afterAutospacing="1"/>
      <w:widowControl/>
    </w:pPr>
    <w:rPr>
      <w:rFonts w:ascii="宋体" w:hAnsi="宋体"/>
      <w:b/>
      <w:bCs/>
      <w:sz w:val="36"/>
      <w:szCs w:val="36"/>
    </w:rPr>
  </w:style>
  <w:style w:type="paragraph" w:styleId="1005" w:customStyle="1">
    <w:name w:val="Char Char Char Char"/>
    <w:basedOn w:val="934"/>
    <w:qFormat/>
    <w:pPr>
      <w:spacing w:line="360" w:lineRule="auto"/>
    </w:pPr>
    <w:rPr>
      <w:rFonts w:ascii="Tahoma" w:hAnsi="Tahoma"/>
      <w:sz w:val="24"/>
      <w:szCs w:val="24"/>
    </w:rPr>
  </w:style>
  <w:style w:type="paragraph" w:styleId="1006" w:customStyle="1">
    <w:name w:val="table_1stline"/>
    <w:basedOn w:val="746"/>
    <w:pPr>
      <w:jc w:val="left"/>
      <w:spacing w:before="120"/>
      <w:widowControl/>
    </w:pPr>
    <w:rPr>
      <w:bCs/>
      <w:sz w:val="20"/>
      <w:szCs w:val="20"/>
      <w:lang w:val="de-DE" w:eastAsia="de-DE"/>
    </w:rPr>
  </w:style>
  <w:style w:type="paragraph" w:styleId="1007" w:customStyle="1">
    <w:name w:val="font5"/>
    <w:basedOn w:val="746"/>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746"/>
    <w:next w:val="74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name w:val="Revision"/>
    <w:uiPriority w:val="99"/>
    <w:rPr>
      <w:sz w:val="21"/>
      <w:szCs w:val="21"/>
    </w:rPr>
  </w:style>
  <w:style w:type="table" w:styleId="1010" w:customStyle="1">
    <w:name w:val="Table Normal"/>
    <w:qFormat/>
    <w:tblPr>
      <w:tblCellMar>
        <w:left w:w="0" w:type="dxa"/>
        <w:top w:w="0" w:type="dxa"/>
        <w:right w:w="0" w:type="dxa"/>
        <w:bottom w:w="0" w:type="dxa"/>
      </w:tblCellMar>
    </w:tblPr>
  </w:style>
  <w:style w:type="paragraph" w:styleId="1011" w:customStyle="1">
    <w:name w:val="Normal_5_0"/>
    <w:qFormat/>
    <w:pPr>
      <w:jc w:val="both"/>
      <w:widowControl w:val="off"/>
    </w:pPr>
    <w:rPr>
      <w:rFonts w:ascii="Calibri" w:hAnsi="Calibri"/>
      <w:sz w:val="21"/>
      <w:szCs w:val="22"/>
    </w:rPr>
  </w:style>
  <w:style w:type="paragraph" w:styleId="1012" w:customStyle="1">
    <w:name w:val="Normal_6_0"/>
    <w:qFormat/>
    <w:rPr>
      <w:rFonts w:ascii="黑体" w:hAnsi="黑体" w:eastAsia="黑体" w:cs="黑体"/>
      <w:b/>
      <w:sz w:val="32"/>
      <w:szCs w:val="24"/>
    </w:rPr>
  </w:style>
  <w:style w:type="paragraph" w:styleId="1013" w:customStyle="1">
    <w:name w:val="Normal_1_2"/>
    <w:qFormat/>
    <w:rPr>
      <w:rFonts w:eastAsia="Times New Roman"/>
      <w:sz w:val="24"/>
      <w:szCs w:val="24"/>
    </w:rPr>
  </w:style>
  <w:style w:type="paragraph" w:styleId="1014" w:customStyle="1">
    <w:name w:val="正文_2"/>
    <w:qFormat/>
    <w:pPr>
      <w:jc w:val="both"/>
      <w:widowControl w:val="off"/>
    </w:pPr>
    <w:rPr>
      <w:rFonts w:ascii="Calibri" w:hAnsi="Calibri"/>
      <w:sz w:val="21"/>
      <w:szCs w:val="22"/>
    </w:rPr>
  </w:style>
  <w:style w:type="paragraph" w:styleId="1015" w:customStyle="1">
    <w:name w:val="正文文本12"/>
    <w:basedOn w:val="746"/>
    <w:uiPriority w:val="1"/>
    <w:qFormat/>
    <w:pPr>
      <w:ind w:left="120"/>
    </w:pPr>
    <w:rPr>
      <w:rFonts w:ascii="宋体" w:hAnsi="宋体" w:cs="宋体"/>
      <w:lang w:val="zh-CN" w:bidi="zh-CN"/>
    </w:rPr>
  </w:style>
  <w:style w:type="paragraph" w:styleId="1016" w:customStyle="1">
    <w:name w:val="正文2"/>
    <w:basedOn w:val="746"/>
    <w:qFormat/>
    <w:pPr>
      <w:ind w:firstLine="510"/>
      <w:spacing w:before="156" w:line="360" w:lineRule="auto"/>
    </w:pPr>
    <w:rPr>
      <w:sz w:val="24"/>
      <w:szCs w:val="20"/>
    </w:rPr>
  </w:style>
  <w:style w:type="paragraph" w:styleId="1017" w:customStyle="1">
    <w:name w:val="首行缩进"/>
    <w:basedOn w:val="746"/>
    <w:qFormat/>
    <w:pPr>
      <w:ind w:firstLine="480"/>
    </w:pPr>
    <w:rPr>
      <w:lang w:val="zh-CN"/>
    </w:rPr>
  </w:style>
  <w:style w:type="paragraph" w:styleId="1018" w:customStyle="1">
    <w:name w:val="Normal_18_0"/>
    <w:qFormat/>
    <w:rPr>
      <w:rFonts w:ascii="黑体" w:hAnsi="黑体" w:eastAsia="黑体" w:cs="黑体"/>
      <w:b/>
      <w:sz w:val="32"/>
      <w:szCs w:val="24"/>
    </w:rPr>
  </w:style>
  <w:style w:type="paragraph" w:styleId="1019" w:customStyle="1">
    <w:name w:val="正文_12_0_0_0_0"/>
    <w:basedOn w:val="746"/>
    <w:qFormat/>
    <w:rPr>
      <w:szCs w:val="24"/>
    </w:rPr>
  </w:style>
  <w:style w:type="paragraph" w:styleId="1020" w:customStyle="1">
    <w:name w:val="正文_12_0_0_0"/>
    <w:qFormat/>
    <w:pPr>
      <w:jc w:val="both"/>
      <w:widowControl w:val="off"/>
    </w:pPr>
    <w:rPr>
      <w:sz w:val="21"/>
      <w:szCs w:val="24"/>
    </w:rPr>
  </w:style>
  <w:style w:type="paragraph" w:styleId="1021" w:customStyle="1">
    <w:name w:val="正文_14_0"/>
    <w:qFormat/>
    <w:pPr>
      <w:jc w:val="both"/>
      <w:widowControl w:val="off"/>
    </w:pPr>
    <w:rPr>
      <w:rFonts w:ascii="Calibri" w:hAnsi="Calibri"/>
      <w:sz w:val="21"/>
      <w:szCs w:val="22"/>
    </w:rPr>
  </w:style>
  <w:style w:type="paragraph" w:styleId="1022" w:customStyle="1">
    <w:name w:val="正文_14_0_0"/>
    <w:qFormat/>
    <w:pPr>
      <w:jc w:val="both"/>
      <w:widowControl w:val="off"/>
    </w:pPr>
    <w:rPr>
      <w:sz w:val="21"/>
      <w:szCs w:val="24"/>
    </w:rPr>
  </w:style>
  <w:style w:type="paragraph" w:styleId="1023" w:customStyle="1">
    <w:name w:val="Normal_20"/>
    <w:qFormat/>
    <w:rPr>
      <w:rFonts w:ascii="黑体" w:hAnsi="黑体" w:eastAsia="黑体" w:cs="黑体"/>
      <w:b/>
      <w:sz w:val="32"/>
      <w:szCs w:val="24"/>
    </w:rPr>
  </w:style>
  <w:style w:type="paragraph" w:styleId="1024" w:customStyle="1">
    <w:name w:val="正文_15_0"/>
    <w:qFormat/>
    <w:pPr>
      <w:jc w:val="both"/>
      <w:widowControl w:val="off"/>
    </w:pPr>
    <w:rPr>
      <w:rFonts w:ascii="Calibri" w:hAnsi="Calibri"/>
      <w:sz w:val="21"/>
      <w:szCs w:val="22"/>
    </w:rPr>
  </w:style>
  <w:style w:type="paragraph" w:styleId="1025" w:customStyle="1">
    <w:name w:val="Normal_0"/>
    <w:qFormat/>
    <w:rPr>
      <w:rFonts w:ascii="黑体" w:hAnsi="黑体" w:eastAsia="黑体"/>
      <w:b/>
      <w:sz w:val="32"/>
      <w:szCs w:val="24"/>
    </w:rPr>
  </w:style>
  <w:style w:type="paragraph" w:styleId="1026" w:customStyle="1">
    <w:name w:val="部分1"/>
    <w:basedOn w:val="746"/>
    <w:qFormat/>
    <w:pPr>
      <w:jc w:val="center"/>
      <w:keepNext/>
      <w:pageBreakBefore/>
      <w:spacing w:line="360" w:lineRule="auto"/>
      <w:tabs>
        <w:tab w:val="left" w:pos="720" w:leader="none"/>
      </w:tabs>
      <w:outlineLvl w:val="0"/>
    </w:pPr>
    <w:rPr>
      <w:rFonts w:eastAsia="黑体"/>
      <w:b/>
      <w:sz w:val="36"/>
      <w:szCs w:val="20"/>
    </w:rPr>
  </w:style>
  <w:style w:type="numbering" w:styleId="1027" w:customStyle="1">
    <w:name w:val="无列表1"/>
    <w:next w:val="758"/>
    <w:uiPriority w:val="99"/>
    <w:semiHidden/>
    <w:unhideWhenUsed/>
  </w:style>
  <w:style w:type="paragraph" w:styleId="1028">
    <w:name w:val="List Bullet 4"/>
    <w:basedOn w:val="746"/>
    <w:pPr>
      <w:ind w:left="360" w:hanging="360"/>
      <w:spacing w:line="380" w:lineRule="exact"/>
      <w:tabs>
        <w:tab w:val="left" w:pos="360" w:leader="none"/>
      </w:tabs>
    </w:pPr>
    <w:rPr>
      <w:rFonts w:ascii="Calibri" w:hAnsi="Calibri"/>
      <w:sz w:val="28"/>
      <w:szCs w:val="22"/>
    </w:rPr>
  </w:style>
  <w:style w:type="paragraph" w:styleId="1029">
    <w:name w:val="index 8"/>
    <w:basedOn w:val="746"/>
    <w:next w:val="746"/>
    <w:pPr>
      <w:ind w:left="1400"/>
    </w:pPr>
    <w:rPr>
      <w:rFonts w:ascii="Calibri" w:hAnsi="Calibri"/>
      <w:szCs w:val="22"/>
    </w:rPr>
  </w:style>
  <w:style w:type="paragraph" w:styleId="1030">
    <w:name w:val="List Number"/>
    <w:basedOn w:val="746"/>
    <w:pPr>
      <w:spacing w:line="360" w:lineRule="auto"/>
      <w:tabs>
        <w:tab w:val="left" w:pos="0" w:leader="none"/>
        <w:tab w:val="left" w:pos="840" w:leader="none"/>
      </w:tabs>
    </w:pPr>
    <w:rPr>
      <w:rFonts w:ascii="Calibri" w:hAnsi="Calibri"/>
      <w:szCs w:val="22"/>
    </w:rPr>
  </w:style>
  <w:style w:type="character" w:styleId="1031" w:customStyle="1">
    <w:name w:val="题注 Char"/>
    <w:link w:val="776"/>
    <w:rPr>
      <w:rFonts w:ascii="Arial" w:hAnsi="Arial" w:eastAsia="黑体"/>
    </w:rPr>
  </w:style>
  <w:style w:type="paragraph" w:styleId="1032">
    <w:name w:val="index 5"/>
    <w:basedOn w:val="746"/>
    <w:next w:val="746"/>
    <w:pPr>
      <w:ind w:left="800"/>
    </w:pPr>
    <w:rPr>
      <w:rFonts w:ascii="Calibri" w:hAnsi="Calibri"/>
      <w:szCs w:val="22"/>
    </w:rPr>
  </w:style>
  <w:style w:type="paragraph" w:styleId="1033">
    <w:name w:val="List Bullet"/>
    <w:basedOn w:val="746"/>
    <w:uiPriority w:val="99"/>
    <w:pPr>
      <w:ind w:left="962" w:hanging="480"/>
      <w:spacing w:line="360" w:lineRule="auto"/>
      <w:tabs>
        <w:tab w:val="left" w:pos="840" w:leader="none"/>
      </w:tabs>
    </w:pPr>
    <w:rPr>
      <w:rFonts w:ascii="Calibri" w:hAnsi="Calibri"/>
      <w:sz w:val="24"/>
      <w:szCs w:val="22"/>
    </w:rPr>
  </w:style>
  <w:style w:type="paragraph" w:styleId="1034">
    <w:name w:val="index 6"/>
    <w:basedOn w:val="746"/>
    <w:next w:val="746"/>
    <w:pPr>
      <w:ind w:left="1000"/>
    </w:pPr>
    <w:rPr>
      <w:rFonts w:ascii="Calibri" w:hAnsi="Calibri"/>
      <w:szCs w:val="22"/>
    </w:rPr>
  </w:style>
  <w:style w:type="paragraph" w:styleId="1035">
    <w:name w:val="List Bullet 3"/>
    <w:basedOn w:val="746"/>
    <w:pPr>
      <w:ind w:left="1200" w:hanging="360"/>
      <w:spacing w:line="380" w:lineRule="exact"/>
      <w:tabs>
        <w:tab w:val="left" w:pos="1200" w:leader="none"/>
      </w:tabs>
    </w:pPr>
    <w:rPr>
      <w:rFonts w:ascii="Calibri" w:hAnsi="Calibri"/>
      <w:sz w:val="28"/>
      <w:szCs w:val="22"/>
    </w:rPr>
  </w:style>
  <w:style w:type="paragraph" w:styleId="1036">
    <w:name w:val="List Continue"/>
    <w:basedOn w:val="746"/>
    <w:qFormat/>
    <w:pPr>
      <w:contextualSpacing/>
      <w:ind w:left="420"/>
      <w:spacing w:after="120"/>
    </w:pPr>
    <w:rPr>
      <w:szCs w:val="24"/>
    </w:rPr>
  </w:style>
  <w:style w:type="paragraph" w:styleId="1037">
    <w:name w:val="Block Text"/>
    <w:basedOn w:val="746"/>
    <w:pPr>
      <w:ind w:left="1548" w:right="12" w:hanging="2405"/>
      <w:spacing w:line="360" w:lineRule="exact"/>
    </w:pPr>
    <w:rPr>
      <w:rFonts w:ascii="宋体" w:hAnsi="Calibri"/>
      <w:bCs/>
      <w:sz w:val="28"/>
      <w:szCs w:val="22"/>
    </w:rPr>
  </w:style>
  <w:style w:type="paragraph" w:styleId="1038">
    <w:name w:val="List Bullet 2"/>
    <w:basedOn w:val="746"/>
    <w:pPr>
      <w:ind w:left="720" w:hanging="360"/>
      <w:spacing w:line="360" w:lineRule="auto"/>
      <w:tabs>
        <w:tab w:val="left" w:pos="720" w:leader="none"/>
      </w:tabs>
    </w:pPr>
    <w:rPr>
      <w:rFonts w:ascii="Calibri" w:hAnsi="Calibri"/>
      <w:sz w:val="24"/>
      <w:szCs w:val="22"/>
    </w:rPr>
  </w:style>
  <w:style w:type="paragraph" w:styleId="1039">
    <w:name w:val="HTML Address"/>
    <w:basedOn w:val="746"/>
    <w:link w:val="1040"/>
    <w:rPr>
      <w:rFonts w:ascii="Calibri" w:hAnsi="Calibri"/>
      <w:i/>
      <w:iCs/>
      <w:szCs w:val="22"/>
    </w:rPr>
  </w:style>
  <w:style w:type="character" w:styleId="1040" w:customStyle="1">
    <w:name w:val="HTML 地址 Char"/>
    <w:link w:val="1039"/>
    <w:rPr>
      <w:rFonts w:ascii="Calibri" w:hAnsi="Calibri"/>
      <w:i/>
      <w:iCs/>
      <w:sz w:val="21"/>
      <w:szCs w:val="22"/>
    </w:rPr>
  </w:style>
  <w:style w:type="paragraph" w:styleId="1041">
    <w:name w:val="index 4"/>
    <w:basedOn w:val="746"/>
    <w:next w:val="746"/>
    <w:qFormat/>
    <w:pPr>
      <w:ind w:left="600"/>
    </w:pPr>
    <w:rPr>
      <w:rFonts w:ascii="Calibri" w:hAnsi="Calibri"/>
      <w:szCs w:val="22"/>
    </w:rPr>
  </w:style>
  <w:style w:type="paragraph" w:styleId="1042">
    <w:name w:val="List Bullet 5"/>
    <w:basedOn w:val="746"/>
    <w:pPr>
      <w:ind w:left="720" w:hanging="360"/>
      <w:spacing w:line="380" w:lineRule="exact"/>
      <w:tabs>
        <w:tab w:val="left" w:pos="720" w:leader="none"/>
      </w:tabs>
    </w:pPr>
    <w:rPr>
      <w:rFonts w:ascii="Calibri" w:hAnsi="Calibri"/>
      <w:sz w:val="28"/>
      <w:szCs w:val="22"/>
    </w:rPr>
  </w:style>
  <w:style w:type="paragraph" w:styleId="1043">
    <w:name w:val="index 3"/>
    <w:basedOn w:val="746"/>
    <w:next w:val="746"/>
    <w:pPr>
      <w:ind w:left="400"/>
    </w:pPr>
    <w:rPr>
      <w:rFonts w:ascii="Calibri" w:hAnsi="Calibri"/>
      <w:szCs w:val="22"/>
    </w:rPr>
  </w:style>
  <w:style w:type="character" w:styleId="1044" w:customStyle="1">
    <w:name w:val="尾注文本 Char"/>
    <w:link w:val="908"/>
    <w:rPr>
      <w:rFonts w:ascii="宋体" w:hAnsi="Calibri"/>
      <w:bCs/>
      <w:sz w:val="21"/>
      <w:szCs w:val="21"/>
    </w:rPr>
  </w:style>
  <w:style w:type="paragraph" w:styleId="1045">
    <w:name w:val="index heading"/>
    <w:basedOn w:val="746"/>
    <w:next w:val="961"/>
    <w:rPr>
      <w:rFonts w:ascii="Calibri" w:hAnsi="Calibri"/>
      <w:szCs w:val="22"/>
    </w:rPr>
  </w:style>
  <w:style w:type="character" w:styleId="1046" w:customStyle="1">
    <w:name w:val="副标题 Char"/>
    <w:link w:val="768"/>
    <w:qFormat/>
    <w:rPr>
      <w:rFonts w:ascii="Cambria" w:hAnsi="Cambria"/>
      <w:b/>
      <w:bCs/>
      <w:sz w:val="32"/>
      <w:szCs w:val="32"/>
    </w:rPr>
  </w:style>
  <w:style w:type="character" w:styleId="1047" w:customStyle="1">
    <w:name w:val="脚注文本 Char"/>
    <w:link w:val="905"/>
    <w:rPr>
      <w:rFonts w:ascii="宋体" w:hAnsi="Calibri"/>
      <w:bCs/>
      <w:sz w:val="18"/>
      <w:szCs w:val="18"/>
    </w:rPr>
  </w:style>
  <w:style w:type="paragraph" w:styleId="1048">
    <w:name w:val="index 7"/>
    <w:basedOn w:val="746"/>
    <w:next w:val="746"/>
    <w:pPr>
      <w:ind w:left="1200"/>
    </w:pPr>
    <w:rPr>
      <w:rFonts w:ascii="Calibri" w:hAnsi="Calibri"/>
      <w:szCs w:val="22"/>
    </w:rPr>
  </w:style>
  <w:style w:type="paragraph" w:styleId="1049">
    <w:name w:val="index 9"/>
    <w:basedOn w:val="746"/>
    <w:next w:val="746"/>
    <w:pPr>
      <w:ind w:left="1600"/>
    </w:pPr>
    <w:rPr>
      <w:rFonts w:ascii="Calibri" w:hAnsi="Calibri"/>
      <w:szCs w:val="22"/>
    </w:rPr>
  </w:style>
  <w:style w:type="paragraph" w:styleId="1050">
    <w:name w:val="List 4"/>
    <w:basedOn w:val="746"/>
    <w:pPr>
      <w:ind w:left="1680" w:hanging="420"/>
    </w:pPr>
    <w:rPr>
      <w:rFonts w:eastAsia="仿宋_GB2312"/>
      <w:sz w:val="30"/>
      <w:szCs w:val="20"/>
    </w:rPr>
  </w:style>
  <w:style w:type="paragraph" w:styleId="1051">
    <w:name w:val="List Continue 2"/>
    <w:basedOn w:val="746"/>
    <w:qFormat/>
    <w:pPr>
      <w:ind w:left="840"/>
      <w:spacing w:after="120"/>
    </w:pPr>
    <w:rPr>
      <w:rFonts w:ascii="Calibri" w:hAnsi="Calibri"/>
      <w:szCs w:val="22"/>
    </w:rPr>
  </w:style>
  <w:style w:type="paragraph" w:styleId="1052">
    <w:name w:val="HTML Preformatted"/>
    <w:basedOn w:val="746"/>
    <w:link w:val="10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2"/>
    </w:rPr>
  </w:style>
  <w:style w:type="character" w:styleId="1053" w:customStyle="1">
    <w:name w:val="HTML 预设格式 Char"/>
    <w:link w:val="1052"/>
    <w:rPr>
      <w:rFonts w:ascii="Arial" w:hAnsi="Arial" w:cs="Arial"/>
      <w:sz w:val="24"/>
      <w:szCs w:val="22"/>
    </w:rPr>
  </w:style>
  <w:style w:type="paragraph" w:styleId="1054">
    <w:name w:val="index 2"/>
    <w:basedOn w:val="746"/>
    <w:next w:val="746"/>
    <w:pPr>
      <w:ind w:left="200"/>
    </w:pPr>
    <w:rPr>
      <w:rFonts w:ascii="Calibri" w:hAnsi="Calibri"/>
      <w:szCs w:val="22"/>
    </w:rPr>
  </w:style>
  <w:style w:type="character" w:styleId="1055" w:customStyle="1">
    <w:name w:val="标题 Char"/>
    <w:link w:val="766"/>
    <w:qFormat/>
    <w:rPr>
      <w:rFonts w:ascii="Cambria" w:hAnsi="Cambria"/>
      <w:b/>
      <w:bCs/>
      <w:sz w:val="32"/>
      <w:szCs w:val="32"/>
    </w:rPr>
  </w:style>
  <w:style w:type="table" w:styleId="1056" w:customStyle="1">
    <w:name w:val="网格型1"/>
    <w:basedOn w:val="757"/>
    <w:next w:val="778"/>
    <w:uiPriority w:val="59"/>
    <w:qFormat/>
    <w:tblPr/>
  </w:style>
  <w:style w:type="character" w:styleId="1057">
    <w:name w:val="Emphasis"/>
    <w:qFormat/>
    <w:rPr>
      <w:color w:val="cc0033"/>
    </w:rPr>
  </w:style>
  <w:style w:type="character" w:styleId="1058">
    <w:name w:val="HTML Typewriter"/>
    <w:rPr>
      <w:rFonts w:ascii="宋体" w:eastAsia="宋体" w:cs="宋体"/>
      <w:sz w:val="24"/>
      <w:szCs w:val="24"/>
      <w:lang w:bidi="ar-SA"/>
    </w:rPr>
  </w:style>
  <w:style w:type="character" w:styleId="1059" w:customStyle="1">
    <w:name w:val="标题 1.1 Char"/>
    <w:qFormat/>
    <w:rPr>
      <w:rFonts w:ascii="Arial" w:hAnsi="Arial" w:eastAsia="黑体"/>
      <w:b/>
      <w:bCs/>
      <w:sz w:val="32"/>
      <w:szCs w:val="32"/>
      <w:lang w:val="en-US" w:eastAsia="zh-CN" w:bidi="ar-SA"/>
    </w:rPr>
  </w:style>
  <w:style w:type="character" w:styleId="1060" w:customStyle="1">
    <w:name w:val="font51"/>
    <w:rPr>
      <w:rFonts w:hint="eastAsia" w:ascii="仿宋" w:hAnsi="仿宋" w:eastAsia="仿宋" w:cs="仿宋"/>
      <w:color w:val="000000"/>
      <w:sz w:val="24"/>
      <w:szCs w:val="24"/>
      <w:u w:val="single"/>
    </w:rPr>
  </w:style>
  <w:style w:type="character" w:styleId="1061" w:customStyle="1">
    <w:name w:val="标题 Char1"/>
    <w:qFormat/>
    <w:rPr>
      <w:rFonts w:ascii="Cambria" w:hAnsi="Cambria" w:cs="Times New Roman"/>
      <w:b/>
      <w:bCs/>
      <w:sz w:val="32"/>
      <w:szCs w:val="32"/>
    </w:rPr>
  </w:style>
  <w:style w:type="character" w:styleId="1062" w:customStyle="1">
    <w:name w:val="Heading 4 Char"/>
    <w:rPr>
      <w:rFonts w:ascii="Cambria" w:hAnsi="Cambria" w:eastAsia="宋体" w:cs="Cambria"/>
      <w:b/>
      <w:bCs/>
      <w:sz w:val="28"/>
      <w:szCs w:val="28"/>
      <w:lang w:bidi="ar-SA"/>
    </w:rPr>
  </w:style>
  <w:style w:type="character" w:styleId="1063" w:customStyle="1">
    <w:name w:val="批注主题 Char1"/>
    <w:qFormat/>
    <w:rPr>
      <w:b/>
      <w:bCs/>
      <w:sz w:val="21"/>
      <w:szCs w:val="24"/>
    </w:rPr>
  </w:style>
  <w:style w:type="character" w:styleId="1064" w:customStyle="1">
    <w:name w:val="标题 1 Char_0"/>
    <w:link w:val="1065"/>
    <w:qFormat/>
    <w:rPr>
      <w:b/>
      <w:bCs/>
      <w:sz w:val="44"/>
      <w:szCs w:val="44"/>
    </w:rPr>
  </w:style>
  <w:style w:type="paragraph" w:styleId="1065" w:customStyle="1">
    <w:name w:val="标题 1_0"/>
    <w:basedOn w:val="1066"/>
    <w:next w:val="1066"/>
    <w:link w:val="1064"/>
    <w:qFormat/>
    <w:pPr>
      <w:keepLines/>
      <w:keepNext/>
      <w:spacing w:before="340" w:after="330" w:line="578" w:lineRule="auto"/>
      <w:outlineLvl w:val="0"/>
    </w:pPr>
    <w:rPr>
      <w:b/>
      <w:bCs/>
      <w:sz w:val="44"/>
      <w:szCs w:val="44"/>
    </w:rPr>
  </w:style>
  <w:style w:type="paragraph" w:styleId="1066" w:customStyle="1">
    <w:name w:val="正文_0"/>
    <w:qFormat/>
    <w:pPr>
      <w:jc w:val="both"/>
      <w:widowControl w:val="off"/>
    </w:pPr>
    <w:rPr>
      <w:sz w:val="21"/>
      <w:szCs w:val="24"/>
    </w:rPr>
  </w:style>
  <w:style w:type="character" w:styleId="1067" w:customStyle="1">
    <w:name w:val="日期 Char1"/>
    <w:qFormat/>
    <w:rPr>
      <w:sz w:val="21"/>
      <w:szCs w:val="22"/>
    </w:rPr>
  </w:style>
  <w:style w:type="character" w:styleId="1068" w:customStyle="1">
    <w:name w:val="ca-1"/>
  </w:style>
  <w:style w:type="character" w:styleId="1069" w:customStyle="1">
    <w:name w:val="z1"/>
  </w:style>
  <w:style w:type="character" w:styleId="1070" w:customStyle="1">
    <w:name w:val="标题4 Char Char"/>
    <w:link w:val="1071"/>
    <w:qFormat/>
    <w:rPr>
      <w:rFonts w:ascii="Arial" w:hAnsi="Arial"/>
      <w:b/>
      <w:bCs/>
      <w:sz w:val="24"/>
      <w:szCs w:val="32"/>
    </w:rPr>
  </w:style>
  <w:style w:type="paragraph" w:styleId="1071" w:customStyle="1">
    <w:name w:val="标题4"/>
    <w:basedOn w:val="748"/>
    <w:next w:val="1041"/>
    <w:link w:val="1070"/>
    <w:qFormat/>
    <w:pPr>
      <w:jc w:val="both"/>
      <w:spacing w:line="413" w:lineRule="auto"/>
    </w:pPr>
    <w:rPr>
      <w:rFonts w:eastAsia="宋体" w:cs="Times New Roman"/>
      <w:sz w:val="24"/>
      <w:szCs w:val="32"/>
    </w:rPr>
  </w:style>
  <w:style w:type="character" w:styleId="1072" w:customStyle="1">
    <w:name w:val="ca-41"/>
    <w:rPr>
      <w:rFonts w:ascii="宋体" w:eastAsia="宋体"/>
      <w:b/>
      <w:bCs/>
      <w:color w:val="000000"/>
      <w:spacing w:val="-20"/>
      <w:sz w:val="21"/>
      <w:szCs w:val="21"/>
    </w:rPr>
  </w:style>
  <w:style w:type="character" w:styleId="1073" w:customStyle="1">
    <w:name w:val="明显参考1"/>
    <w:qFormat/>
    <w:rPr>
      <w:b/>
      <w:bCs/>
      <w:smallCaps/>
      <w:color w:val="c0504d"/>
      <w:spacing w:val="5"/>
      <w:u w:val="single"/>
    </w:rPr>
  </w:style>
  <w:style w:type="character" w:styleId="1074" w:customStyle="1">
    <w:name w:val="Footer Char"/>
    <w:rPr>
      <w:rFonts w:eastAsia="宋体"/>
      <w:sz w:val="18"/>
      <w:lang w:val="en-US" w:eastAsia="zh-CN"/>
    </w:rPr>
  </w:style>
  <w:style w:type="character" w:styleId="1075" w:customStyle="1">
    <w:name w:val="正文缩进 Char1_0"/>
    <w:link w:val="1076"/>
    <w:rPr>
      <w:sz w:val="21"/>
      <w:szCs w:val="22"/>
    </w:rPr>
  </w:style>
  <w:style w:type="paragraph" w:styleId="1076" w:customStyle="1">
    <w:name w:val="正文缩进_0"/>
    <w:basedOn w:val="1077"/>
    <w:link w:val="1075"/>
    <w:unhideWhenUsed/>
    <w:pPr>
      <w:ind w:firstLine="420"/>
    </w:pPr>
    <w:rPr>
      <w:szCs w:val="22"/>
    </w:rPr>
  </w:style>
  <w:style w:type="paragraph" w:styleId="1077" w:customStyle="1">
    <w:name w:val="正文_7"/>
    <w:qFormat/>
    <w:pPr>
      <w:jc w:val="both"/>
      <w:widowControl w:val="off"/>
    </w:pPr>
    <w:rPr>
      <w:sz w:val="21"/>
      <w:szCs w:val="24"/>
    </w:rPr>
  </w:style>
  <w:style w:type="character" w:styleId="1078" w:customStyle="1">
    <w:name w:val="标题 2 Char_0"/>
    <w:link w:val="1079"/>
    <w:uiPriority w:val="9"/>
    <w:qFormat/>
    <w:rPr>
      <w:rFonts w:ascii="Cambria" w:hAnsi="Cambria"/>
      <w:b/>
      <w:bCs/>
      <w:sz w:val="32"/>
      <w:szCs w:val="32"/>
    </w:rPr>
  </w:style>
  <w:style w:type="paragraph" w:styleId="1079" w:customStyle="1">
    <w:name w:val="标题 2_0"/>
    <w:basedOn w:val="1066"/>
    <w:next w:val="1066"/>
    <w:link w:val="1078"/>
    <w:uiPriority w:val="9"/>
    <w:unhideWhenUsed/>
    <w:qFormat/>
    <w:pPr>
      <w:keepLines/>
      <w:keepNext/>
      <w:spacing w:before="260" w:after="260" w:line="416" w:lineRule="auto"/>
      <w:outlineLvl w:val="1"/>
    </w:pPr>
    <w:rPr>
      <w:rFonts w:ascii="Cambria" w:hAnsi="Cambria"/>
      <w:b/>
      <w:bCs/>
      <w:sz w:val="32"/>
      <w:szCs w:val="32"/>
    </w:rPr>
  </w:style>
  <w:style w:type="character" w:styleId="1080" w:customStyle="1">
    <w:name w:val="引用 Char"/>
    <w:link w:val="770"/>
    <w:qFormat/>
    <w:rPr>
      <w:i/>
      <w:iCs/>
      <w:color w:val="000000"/>
    </w:rPr>
  </w:style>
  <w:style w:type="character" w:styleId="1081" w:customStyle="1">
    <w:name w:val="引用 Char1"/>
    <w:uiPriority w:val="99"/>
    <w:qFormat/>
    <w:rPr>
      <w:i/>
      <w:iCs/>
      <w:color w:val="404040"/>
      <w:sz w:val="21"/>
      <w:szCs w:val="21"/>
    </w:rPr>
  </w:style>
  <w:style w:type="character" w:styleId="1082" w:customStyle="1">
    <w:name w:val="ca-31"/>
    <w:rPr>
      <w:rFonts w:ascii="宋体" w:eastAsia="宋体"/>
      <w:color w:val="000000"/>
      <w:sz w:val="21"/>
      <w:szCs w:val="21"/>
    </w:rPr>
  </w:style>
  <w:style w:type="character" w:styleId="1083" w:customStyle="1">
    <w:name w:val="font61"/>
    <w:rPr>
      <w:rFonts w:hint="eastAsia" w:ascii="仿宋" w:hAnsi="仿宋" w:eastAsia="仿宋" w:cs="仿宋"/>
      <w:color w:val="000000"/>
      <w:sz w:val="28"/>
      <w:szCs w:val="28"/>
      <w:u w:val="single"/>
    </w:rPr>
  </w:style>
  <w:style w:type="character" w:styleId="1084" w:customStyle="1">
    <w:name w:val="font21"/>
    <w:rPr>
      <w:rFonts w:ascii="Times New Roman" w:hAnsi="Times New Roman"/>
      <w:color w:val="000000"/>
      <w:sz w:val="20"/>
      <w:u w:val="none"/>
    </w:rPr>
  </w:style>
  <w:style w:type="character" w:styleId="1085" w:customStyle="1">
    <w:name w:val="标题 2 Char Char Char"/>
    <w:rPr>
      <w:rFonts w:ascii="Arial" w:hAnsi="Arial" w:eastAsia="宋体" w:cs="Arial"/>
      <w:b/>
      <w:bCs/>
      <w:i/>
      <w:iCs/>
      <w:sz w:val="28"/>
      <w:szCs w:val="28"/>
      <w:lang w:val="en-US" w:eastAsia="zh-CN" w:bidi="ar-SA"/>
    </w:rPr>
  </w:style>
  <w:style w:type="character" w:styleId="1086" w:customStyle="1">
    <w:name w:val="maywed421"/>
    <w:rPr>
      <w:color w:val="366fb6"/>
      <w:u w:val="none"/>
    </w:rPr>
  </w:style>
  <w:style w:type="character" w:styleId="1087" w:customStyle="1">
    <w:name w:val="Char Char"/>
    <w:rPr>
      <w:rFonts w:eastAsia="宋体"/>
      <w:sz w:val="18"/>
      <w:lang w:val="en-US" w:eastAsia="zh-CN"/>
    </w:rPr>
  </w:style>
  <w:style w:type="character" w:styleId="1088" w:customStyle="1">
    <w:name w:val="style91"/>
    <w:rPr>
      <w:color w:val="2060c0"/>
      <w:sz w:val="24"/>
      <w:szCs w:val="24"/>
    </w:rPr>
  </w:style>
  <w:style w:type="character" w:styleId="1089" w:customStyle="1">
    <w:name w:val="明显引用 Char"/>
    <w:link w:val="772"/>
    <w:rPr>
      <w:b/>
      <w:bCs/>
      <w:i/>
      <w:iCs/>
      <w:color w:val="4f81bd"/>
    </w:rPr>
  </w:style>
  <w:style w:type="character" w:styleId="1090" w:customStyle="1">
    <w:name w:val="明显引用 Char1"/>
    <w:uiPriority w:val="99"/>
    <w:qFormat/>
    <w:rPr>
      <w:i/>
      <w:iCs/>
      <w:color w:val="5b9bd5"/>
      <w:sz w:val="21"/>
      <w:szCs w:val="21"/>
    </w:rPr>
  </w:style>
  <w:style w:type="character" w:styleId="1091" w:customStyle="1">
    <w:name w:val="ca-51"/>
    <w:rPr>
      <w:rFonts w:ascii="楷体_GB2312" w:eastAsia="楷体_GB2312"/>
      <w:b/>
      <w:bCs/>
      <w:spacing w:val="-20"/>
      <w:sz w:val="24"/>
      <w:szCs w:val="24"/>
    </w:rPr>
  </w:style>
  <w:style w:type="character" w:styleId="1092" w:customStyle="1">
    <w:name w:val="不明显参考1"/>
    <w:qFormat/>
    <w:rPr>
      <w:smallCaps/>
      <w:color w:val="c0504d"/>
      <w:u w:val="single"/>
    </w:rPr>
  </w:style>
  <w:style w:type="character" w:styleId="1093" w:customStyle="1">
    <w:name w:val="无间隔 Char"/>
    <w:link w:val="765"/>
    <w:qFormat/>
    <w:rPr>
      <w:sz w:val="21"/>
      <w:szCs w:val="21"/>
    </w:rPr>
  </w:style>
  <w:style w:type="character" w:styleId="1094" w:customStyle="1">
    <w:name w:val="wj1"/>
    <w:qFormat/>
    <w:rPr>
      <w:color w:val="000000"/>
      <w:sz w:val="18"/>
      <w:szCs w:val="18"/>
      <w:u w:val="none"/>
    </w:rPr>
  </w:style>
  <w:style w:type="character" w:styleId="1095" w:customStyle="1">
    <w:name w:val="正文（编号） Char Char"/>
    <w:link w:val="1096"/>
    <w:rPr>
      <w:sz w:val="24"/>
      <w:szCs w:val="24"/>
    </w:rPr>
  </w:style>
  <w:style w:type="paragraph" w:styleId="1096" w:customStyle="1">
    <w:name w:val="正文（编号）"/>
    <w:basedOn w:val="1097"/>
    <w:link w:val="1095"/>
    <w:pPr>
      <w:ind w:left="720" w:firstLine="0"/>
      <w:tabs>
        <w:tab w:val="left" w:pos="720" w:leader="none"/>
        <w:tab w:val="left" w:pos="780" w:leader="none"/>
      </w:tabs>
    </w:pPr>
    <w:rPr>
      <w:rFonts w:ascii="Times New Roman" w:hAnsi="Times New Roman"/>
      <w:szCs w:val="24"/>
    </w:rPr>
  </w:style>
  <w:style w:type="paragraph" w:styleId="1097" w:customStyle="1">
    <w:name w:val="正文（缩进）"/>
    <w:basedOn w:val="746"/>
    <w:pPr>
      <w:ind w:firstLine="200"/>
      <w:spacing w:before="50" w:after="50" w:line="360" w:lineRule="auto"/>
    </w:pPr>
    <w:rPr>
      <w:rFonts w:ascii="Calibri" w:hAnsi="Calibri"/>
      <w:sz w:val="24"/>
      <w:szCs w:val="22"/>
    </w:rPr>
  </w:style>
  <w:style w:type="character" w:styleId="1098" w:customStyle="1">
    <w:name w:val="ca-21"/>
    <w:rPr>
      <w:rFonts w:ascii="宋体" w:eastAsia="宋体"/>
      <w:sz w:val="21"/>
    </w:rPr>
  </w:style>
  <w:style w:type="character" w:styleId="1099" w:customStyle="1">
    <w:name w:val="fontstyle11"/>
    <w:rPr>
      <w:rFonts w:ascii="Calibri" w:hAnsi="Calibri" w:cs="Calibri"/>
      <w:color w:val="000000"/>
      <w:sz w:val="22"/>
      <w:szCs w:val="22"/>
    </w:rPr>
  </w:style>
  <w:style w:type="character" w:styleId="1100" w:customStyle="1">
    <w:name w:val="z12 style23"/>
  </w:style>
  <w:style w:type="character" w:styleId="1101" w:customStyle="1">
    <w:name w:val="question-title"/>
  </w:style>
  <w:style w:type="character" w:styleId="1102" w:customStyle="1">
    <w:name w:val="marklong"/>
  </w:style>
  <w:style w:type="character" w:styleId="1103" w:customStyle="1">
    <w:name w:val="正文文本缩进 Char_0"/>
    <w:link w:val="1104"/>
    <w:qFormat/>
  </w:style>
  <w:style w:type="paragraph" w:styleId="1104" w:customStyle="1">
    <w:name w:val="正文文本缩进_0"/>
    <w:basedOn w:val="1066"/>
    <w:link w:val="1103"/>
    <w:qFormat/>
    <w:pPr>
      <w:ind w:left="420"/>
      <w:spacing w:after="120"/>
    </w:pPr>
    <w:rPr>
      <w:sz w:val="20"/>
      <w:szCs w:val="20"/>
    </w:rPr>
  </w:style>
  <w:style w:type="character" w:styleId="1105" w:customStyle="1">
    <w:name w:val="正文文本缩进 2 Char_0"/>
    <w:link w:val="1106"/>
    <w:qFormat/>
  </w:style>
  <w:style w:type="paragraph" w:styleId="1106" w:customStyle="1">
    <w:name w:val="正文文本缩进 2_0"/>
    <w:basedOn w:val="1066"/>
    <w:link w:val="1105"/>
    <w:qFormat/>
    <w:pPr>
      <w:ind w:left="420"/>
      <w:spacing w:after="120" w:line="480" w:lineRule="auto"/>
    </w:pPr>
    <w:rPr>
      <w:sz w:val="20"/>
      <w:szCs w:val="20"/>
    </w:rPr>
  </w:style>
  <w:style w:type="character" w:styleId="1107" w:customStyle="1">
    <w:name w:val="Char Char1"/>
    <w:rPr>
      <w:rFonts w:ascii="宋体" w:eastAsia="宋体"/>
      <w:sz w:val="21"/>
      <w:lang w:val="en-US" w:eastAsia="zh-CN"/>
    </w:rPr>
  </w:style>
  <w:style w:type="character" w:styleId="1108" w:customStyle="1">
    <w:name w:val="正文（标记） Char2"/>
    <w:link w:val="1109"/>
    <w:rPr>
      <w:sz w:val="24"/>
      <w:szCs w:val="24"/>
    </w:rPr>
  </w:style>
  <w:style w:type="paragraph" w:styleId="1109" w:customStyle="1">
    <w:name w:val="正文（标记）"/>
    <w:basedOn w:val="746"/>
    <w:link w:val="1108"/>
    <w:pPr>
      <w:spacing w:before="50" w:after="50"/>
      <w:tabs>
        <w:tab w:val="left" w:pos="0" w:leader="none"/>
        <w:tab w:val="left" w:pos="840" w:leader="none"/>
      </w:tabs>
    </w:pPr>
    <w:rPr>
      <w:sz w:val="24"/>
      <w:szCs w:val="24"/>
    </w:rPr>
  </w:style>
  <w:style w:type="character" w:styleId="1110" w:customStyle="1">
    <w:name w:val="Comment Text Char"/>
    <w:rPr>
      <w:rFonts w:cs="Times New Roman"/>
      <w:sz w:val="21"/>
      <w:szCs w:val="21"/>
      <w:lang w:bidi="ar-SA"/>
    </w:rPr>
  </w:style>
  <w:style w:type="character" w:styleId="1111" w:customStyle="1">
    <w:name w:val="style15"/>
  </w:style>
  <w:style w:type="character" w:styleId="1112" w:customStyle="1">
    <w:name w:val="批注文字 Char Char"/>
    <w:qFormat/>
    <w:rPr>
      <w:rFonts w:ascii="宋体" w:hAnsi="Times New Roman" w:eastAsia="宋体" w:cs="Times New Roman"/>
      <w:sz w:val="28"/>
      <w:szCs w:val="20"/>
    </w:rPr>
  </w:style>
  <w:style w:type="character" w:styleId="1113" w:customStyle="1">
    <w:name w:val="textcontents"/>
    <w:rPr>
      <w:rFonts w:cs="Times New Roman"/>
    </w:rPr>
  </w:style>
  <w:style w:type="character" w:styleId="1114" w:customStyle="1">
    <w:name w:val="ca-01"/>
    <w:rPr>
      <w:rFonts w:ascii="宋体" w:eastAsia="宋体"/>
      <w:b/>
      <w:bCs/>
      <w:spacing w:val="-20"/>
      <w:sz w:val="24"/>
      <w:szCs w:val="24"/>
    </w:rPr>
  </w:style>
  <w:style w:type="character" w:styleId="1115" w:customStyle="1">
    <w:name w:val="Char Char2"/>
    <w:rPr>
      <w:sz w:val="18"/>
      <w:szCs w:val="18"/>
    </w:rPr>
  </w:style>
  <w:style w:type="character" w:styleId="1116" w:customStyle="1">
    <w:name w:val="Char Char2"/>
    <w:rPr>
      <w:sz w:val="18"/>
      <w:szCs w:val="18"/>
    </w:rPr>
  </w:style>
  <w:style w:type="character" w:styleId="1117" w:customStyle="1">
    <w:name w:val="style161"/>
    <w:rPr>
      <w:rFonts w:ascii="Verdana" w:hAnsi="Verdana" w:eastAsia="宋体"/>
      <w:b/>
      <w:color w:val="0a246a"/>
      <w:sz w:val="24"/>
      <w:szCs w:val="24"/>
      <w:lang w:val="en-US" w:eastAsia="zh-CN" w:bidi="ar-SA"/>
    </w:rPr>
  </w:style>
  <w:style w:type="character" w:styleId="1118" w:customStyle="1">
    <w:name w:val="font161"/>
    <w:qFormat/>
    <w:rPr>
      <w:b/>
      <w:bCs/>
      <w:sz w:val="32"/>
      <w:szCs w:val="32"/>
    </w:rPr>
  </w:style>
  <w:style w:type="character" w:styleId="1119" w:customStyle="1">
    <w:name w:val="Plain Text Char"/>
    <w:link w:val="1120"/>
    <w:rPr>
      <w:rFonts w:ascii="宋体"/>
      <w:sz w:val="21"/>
    </w:rPr>
  </w:style>
  <w:style w:type="paragraph" w:styleId="1120" w:customStyle="1">
    <w:name w:val="纯文本1"/>
    <w:basedOn w:val="746"/>
    <w:link w:val="1119"/>
    <w:qFormat/>
    <w:rPr>
      <w:rFonts w:ascii="宋体"/>
      <w:szCs w:val="20"/>
    </w:rPr>
  </w:style>
  <w:style w:type="character" w:styleId="1121" w:customStyle="1">
    <w:name w:val="Header Char"/>
    <w:rPr>
      <w:rFonts w:eastAsia="宋体"/>
      <w:sz w:val="18"/>
      <w:lang w:val="en-US" w:eastAsia="zh-CN"/>
    </w:rPr>
  </w:style>
  <w:style w:type="character" w:styleId="1122" w:customStyle="1">
    <w:name w:val="普通文字1 Char"/>
    <w:rPr>
      <w:rFonts w:ascii="宋体" w:eastAsia="宋体" w:cs="Courier New"/>
      <w:sz w:val="21"/>
      <w:szCs w:val="21"/>
      <w:lang w:val="en-US" w:eastAsia="zh-CN" w:bidi="ar-SA"/>
    </w:rPr>
  </w:style>
  <w:style w:type="character" w:styleId="1123" w:customStyle="1">
    <w:name w:val="Heading 3 Char"/>
    <w:rPr>
      <w:rFonts w:cs="Times New Roman"/>
      <w:b/>
      <w:bCs/>
      <w:sz w:val="32"/>
      <w:szCs w:val="32"/>
      <w:lang w:bidi="ar-SA"/>
    </w:rPr>
  </w:style>
  <w:style w:type="character" w:styleId="1124" w:customStyle="1">
    <w:name w:val="apple-converted-space"/>
    <w:qFormat/>
  </w:style>
  <w:style w:type="character" w:styleId="1125" w:customStyle="1">
    <w:name w:val="Char Char23"/>
    <w:rPr>
      <w:sz w:val="24"/>
      <w:szCs w:val="21"/>
      <w:lang w:bidi="ar-SA"/>
    </w:rPr>
  </w:style>
  <w:style w:type="character" w:styleId="1126" w:customStyle="1">
    <w:name w:val="Char Char3"/>
    <w:rPr>
      <w:rFonts w:ascii="宋体" w:eastAsia="宋体"/>
      <w:sz w:val="18"/>
      <w:szCs w:val="18"/>
      <w:lang w:val="en-US" w:eastAsia="zh-CN" w:bidi="ar-SA"/>
    </w:rPr>
  </w:style>
  <w:style w:type="character" w:styleId="1127" w:customStyle="1">
    <w:name w:val="Header Char1"/>
    <w:rPr>
      <w:rFonts w:cs="Times New Roman"/>
      <w:sz w:val="18"/>
      <w:szCs w:val="18"/>
      <w:lang w:bidi="ar-SA"/>
    </w:rPr>
  </w:style>
  <w:style w:type="character" w:styleId="1128" w:customStyle="1">
    <w:name w:val="Footer Char1"/>
    <w:rPr>
      <w:rFonts w:cs="Times New Roman"/>
      <w:sz w:val="18"/>
      <w:szCs w:val="18"/>
      <w:lang w:bidi="ar-SA"/>
    </w:rPr>
  </w:style>
  <w:style w:type="character" w:styleId="1129" w:customStyle="1">
    <w:name w:val="ca-11"/>
    <w:rPr>
      <w:rFonts w:ascii="宋体" w:eastAsia="宋体"/>
      <w:b/>
      <w:bCs/>
      <w:color w:val="000000"/>
      <w:spacing w:val="-20"/>
      <w:sz w:val="28"/>
      <w:szCs w:val="28"/>
    </w:rPr>
  </w:style>
  <w:style w:type="character" w:styleId="1130" w:customStyle="1">
    <w:name w:val="Plain Text Char1"/>
    <w:rPr>
      <w:rFonts w:ascii="宋体" w:eastAsia="宋体"/>
      <w:sz w:val="21"/>
      <w:szCs w:val="21"/>
      <w:lang w:val="en-US" w:eastAsia="zh-CN" w:bidi="ar-SA"/>
    </w:rPr>
  </w:style>
  <w:style w:type="character" w:styleId="1131" w:customStyle="1">
    <w:name w:val="段落 Char"/>
    <w:rPr>
      <w:rFonts w:ascii="仿宋_GB2312" w:eastAsia="仿宋_GB2312"/>
      <w:sz w:val="24"/>
      <w:szCs w:val="24"/>
      <w:lang w:val="en-US" w:eastAsia="zh-CN" w:bidi="ar-SA"/>
    </w:rPr>
  </w:style>
  <w:style w:type="character" w:styleId="1132" w:customStyle="1">
    <w:name w:val="Heading 2 Char"/>
    <w:rPr>
      <w:rFonts w:ascii="Arial" w:hAnsi="Arial" w:eastAsia="黑体"/>
      <w:b/>
      <w:bCs/>
      <w:sz w:val="32"/>
      <w:szCs w:val="32"/>
      <w:lang w:val="en-US" w:eastAsia="zh-CN" w:bidi="ar-SA"/>
    </w:rPr>
  </w:style>
  <w:style w:type="character" w:styleId="1133" w:customStyle="1">
    <w:name w:val="Char Char3"/>
    <w:rPr>
      <w:rFonts w:ascii="Arial" w:hAnsi="Arial" w:eastAsia="黑体" w:cs="Times New Roman"/>
      <w:b/>
      <w:bCs/>
      <w:sz w:val="32"/>
      <w:szCs w:val="32"/>
      <w:lang w:val="en-US" w:eastAsia="zh-CN" w:bidi="ar-SA"/>
    </w:rPr>
  </w:style>
  <w:style w:type="character" w:styleId="1134" w:customStyle="1">
    <w:name w:val="正文（缩进） Char Char"/>
    <w:rPr>
      <w:rFonts w:eastAsia="宋体"/>
      <w:sz w:val="24"/>
      <w:szCs w:val="24"/>
      <w:lang w:val="en-US" w:eastAsia="zh-CN" w:bidi="ar-SA"/>
    </w:rPr>
  </w:style>
  <w:style w:type="character" w:styleId="1135" w:customStyle="1">
    <w:name w:val="纯文本 Char_0"/>
    <w:link w:val="1136"/>
    <w:rPr>
      <w:rFonts w:ascii="宋体" w:hAnsi="Courier New" w:cs="Courier New"/>
      <w:sz w:val="21"/>
      <w:szCs w:val="21"/>
    </w:rPr>
  </w:style>
  <w:style w:type="paragraph" w:styleId="1136" w:customStyle="1">
    <w:name w:val="纯文本_0"/>
    <w:basedOn w:val="1077"/>
    <w:link w:val="1135"/>
    <w:unhideWhenUsed/>
    <w:rPr>
      <w:rFonts w:ascii="宋体" w:hAnsi="Courier New" w:cs="Courier New"/>
      <w:szCs w:val="21"/>
    </w:rPr>
  </w:style>
  <w:style w:type="character" w:styleId="1137" w:customStyle="1">
    <w:name w:val="纯文本 Char_0_0"/>
    <w:link w:val="1138"/>
    <w:rPr>
      <w:rFonts w:ascii="宋体" w:hAnsi="Courier New"/>
      <w:sz w:val="21"/>
      <w:szCs w:val="21"/>
    </w:rPr>
  </w:style>
  <w:style w:type="paragraph" w:styleId="1138" w:customStyle="1">
    <w:name w:val="纯文本_0_0"/>
    <w:basedOn w:val="1139"/>
    <w:link w:val="1137"/>
    <w:unhideWhenUsed/>
    <w:rPr>
      <w:rFonts w:ascii="宋体" w:hAnsi="Courier New"/>
      <w:szCs w:val="21"/>
    </w:rPr>
  </w:style>
  <w:style w:type="paragraph" w:styleId="1139" w:customStyle="1">
    <w:name w:val="正文_7_1_0"/>
    <w:qFormat/>
    <w:pPr>
      <w:jc w:val="both"/>
      <w:widowControl w:val="off"/>
    </w:pPr>
    <w:rPr>
      <w:rFonts w:ascii="Calibri" w:hAnsi="Calibri"/>
      <w:sz w:val="21"/>
      <w:szCs w:val="22"/>
    </w:rPr>
  </w:style>
  <w:style w:type="character" w:styleId="1140" w:customStyle="1">
    <w:name w:val="fontstyle01"/>
    <w:rPr>
      <w:rFonts w:hint="eastAsia" w:ascii="宋体" w:hAnsi="宋体" w:eastAsia="宋体"/>
      <w:color w:val="000000"/>
      <w:sz w:val="22"/>
      <w:szCs w:val="22"/>
    </w:rPr>
  </w:style>
  <w:style w:type="character" w:styleId="1141" w:customStyle="1">
    <w:name w:val="fontstyle21"/>
    <w:rPr>
      <w:rFonts w:ascii="Calibri" w:hAnsi="Calibri" w:cs="Calibri"/>
      <w:color w:val="000000"/>
      <w:sz w:val="22"/>
      <w:szCs w:val="22"/>
    </w:rPr>
  </w:style>
  <w:style w:type="character" w:styleId="1142" w:customStyle="1">
    <w:name w:val="批注文字 Char1"/>
    <w:qFormat/>
    <w:rPr>
      <w:rFonts w:ascii="Times New Roman" w:hAnsi="Times New Roman" w:eastAsia="宋体" w:cs="Times New Roman"/>
      <w:szCs w:val="24"/>
    </w:rPr>
  </w:style>
  <w:style w:type="character" w:styleId="1143" w:customStyle="1">
    <w:name w:val="文档结构图 Char1"/>
    <w:qFormat/>
    <w:rPr>
      <w:rFonts w:ascii="宋体"/>
      <w:sz w:val="18"/>
      <w:szCs w:val="18"/>
    </w:rPr>
  </w:style>
  <w:style w:type="character" w:styleId="1144" w:customStyle="1">
    <w:name w:val="正文文本缩进 Char1"/>
    <w:semiHidden/>
    <w:qFormat/>
    <w:rPr>
      <w:sz w:val="21"/>
      <w:szCs w:val="24"/>
    </w:rPr>
  </w:style>
  <w:style w:type="character" w:styleId="1145" w:customStyle="1">
    <w:name w:val="不明显强调1"/>
    <w:qFormat/>
    <w:rPr>
      <w:i/>
      <w:iCs/>
      <w:color w:val="808080"/>
    </w:rPr>
  </w:style>
  <w:style w:type="character" w:styleId="1146" w:customStyle="1">
    <w:name w:val="正文文本 Char1"/>
    <w:rPr>
      <w:sz w:val="21"/>
      <w:szCs w:val="24"/>
    </w:rPr>
  </w:style>
  <w:style w:type="character" w:styleId="1147" w:customStyle="1">
    <w:name w:val="副标题 Char1"/>
    <w:qFormat/>
    <w:rPr>
      <w:rFonts w:ascii="Cambria" w:hAnsi="Cambria" w:cs="Times New Roman"/>
      <w:b/>
      <w:bCs/>
      <w:sz w:val="32"/>
      <w:szCs w:val="32"/>
    </w:rPr>
  </w:style>
  <w:style w:type="character" w:styleId="1148" w:customStyle="1">
    <w:name w:val="批注框文本 Char1"/>
    <w:qFormat/>
    <w:rPr>
      <w:sz w:val="18"/>
      <w:szCs w:val="18"/>
    </w:rPr>
  </w:style>
  <w:style w:type="character" w:styleId="1149" w:customStyle="1">
    <w:name w:val="明显强调1"/>
    <w:qFormat/>
    <w:rPr>
      <w:b/>
      <w:bCs/>
      <w:i/>
      <w:iCs/>
      <w:color w:val="4f81bd"/>
    </w:rPr>
  </w:style>
  <w:style w:type="character" w:styleId="1150" w:customStyle="1">
    <w:name w:val="标题5 Char Char"/>
    <w:link w:val="1151"/>
    <w:qFormat/>
    <w:rPr>
      <w:rFonts w:ascii="Arial" w:hAnsi="Arial"/>
      <w:b/>
      <w:bCs/>
      <w:sz w:val="24"/>
      <w:szCs w:val="32"/>
    </w:rPr>
  </w:style>
  <w:style w:type="paragraph" w:styleId="1151" w:customStyle="1">
    <w:name w:val="标题5"/>
    <w:basedOn w:val="749"/>
    <w:link w:val="1150"/>
    <w:qFormat/>
    <w:pPr>
      <w:spacing w:line="413" w:lineRule="auto"/>
    </w:pPr>
    <w:rPr>
      <w:rFonts w:ascii="Arial" w:hAnsi="Arial"/>
      <w:sz w:val="24"/>
    </w:rPr>
  </w:style>
  <w:style w:type="character" w:styleId="1152" w:customStyle="1">
    <w:name w:val="书籍标题1"/>
    <w:qFormat/>
    <w:rPr>
      <w:b/>
      <w:bCs/>
      <w:smallCaps/>
      <w:spacing w:val="5"/>
    </w:rPr>
  </w:style>
  <w:style w:type="character" w:styleId="1153" w:customStyle="1">
    <w:name w:val="明显引用 Char2"/>
    <w:uiPriority w:val="30"/>
    <w:rPr>
      <w:rFonts w:ascii="Calibri" w:hAnsi="Calibri"/>
      <w:i/>
      <w:iCs/>
      <w:color w:val="5b9bd5"/>
      <w:sz w:val="21"/>
      <w:szCs w:val="22"/>
    </w:rPr>
  </w:style>
  <w:style w:type="character" w:styleId="1154" w:customStyle="1">
    <w:name w:val="引用 Char2"/>
    <w:uiPriority w:val="29"/>
    <w:rPr>
      <w:rFonts w:ascii="Calibri" w:hAnsi="Calibri"/>
      <w:i/>
      <w:iCs/>
      <w:color w:val="404040"/>
      <w:sz w:val="21"/>
      <w:szCs w:val="22"/>
    </w:rPr>
  </w:style>
  <w:style w:type="character" w:styleId="1155" w:customStyle="1">
    <w:name w:val="标题6 Char"/>
    <w:link w:val="1156"/>
    <w:qFormat/>
    <w:rPr>
      <w:rFonts w:ascii="宋体" w:hAnsi="宋体" w:eastAsia="黑体"/>
      <w:sz w:val="32"/>
      <w:szCs w:val="32"/>
    </w:rPr>
  </w:style>
  <w:style w:type="paragraph" w:styleId="1156" w:customStyle="1">
    <w:name w:val="标题6"/>
    <w:basedOn w:val="746"/>
    <w:link w:val="1155"/>
    <w:qFormat/>
    <w:pPr>
      <w:jc w:val="center"/>
      <w:keepLines/>
      <w:keepNext/>
      <w:spacing w:line="400" w:lineRule="exact"/>
      <w:outlineLvl w:val="2"/>
    </w:pPr>
    <w:rPr>
      <w:rFonts w:ascii="宋体" w:hAnsi="宋体" w:eastAsia="黑体"/>
      <w:sz w:val="32"/>
      <w:szCs w:val="32"/>
    </w:rPr>
  </w:style>
  <w:style w:type="character" w:styleId="1157" w:customStyle="1">
    <w:name w:val="font41"/>
    <w:rPr>
      <w:rFonts w:hint="eastAsia" w:ascii="仿宋" w:hAnsi="仿宋" w:eastAsia="仿宋" w:cs="仿宋"/>
      <w:color w:val="000000"/>
      <w:sz w:val="28"/>
      <w:szCs w:val="28"/>
      <w:u w:val="none"/>
    </w:rPr>
  </w:style>
  <w:style w:type="paragraph" w:styleId="1158" w:customStyle="1">
    <w:name w:val="xl102"/>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59" w:customStyle="1">
    <w:name w:val="特点"/>
    <w:basedOn w:val="746"/>
    <w:next w:val="746"/>
    <w:pPr>
      <w:jc w:val="center"/>
      <w:spacing w:line="360" w:lineRule="auto"/>
    </w:pPr>
    <w:rPr>
      <w:rFonts w:ascii="Arial" w:hAnsi="Arial"/>
      <w:sz w:val="24"/>
      <w:szCs w:val="20"/>
    </w:rPr>
  </w:style>
  <w:style w:type="paragraph" w:styleId="1160" w:customStyle="1">
    <w:name w:val="xl72"/>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1" w:customStyle="1">
    <w:name w:val="正文_9_1"/>
    <w:qFormat/>
    <w:pPr>
      <w:jc w:val="both"/>
      <w:widowControl w:val="off"/>
    </w:pPr>
    <w:rPr>
      <w:sz w:val="21"/>
      <w:szCs w:val="24"/>
    </w:rPr>
  </w:style>
  <w:style w:type="paragraph" w:styleId="1162" w:customStyle="1">
    <w:name w:val="pa-3"/>
    <w:basedOn w:val="746"/>
    <w:pPr>
      <w:jc w:val="left"/>
      <w:spacing w:before="150" w:after="150"/>
      <w:widowControl/>
    </w:pPr>
    <w:rPr>
      <w:rFonts w:ascii="宋体" w:hAnsi="Calibri" w:cs="宋体"/>
      <w:sz w:val="24"/>
      <w:szCs w:val="22"/>
    </w:rPr>
  </w:style>
  <w:style w:type="paragraph" w:styleId="1163" w:customStyle="1">
    <w:name w:val="项目"/>
    <w:basedOn w:val="746"/>
    <w:pPr>
      <w:ind w:left="840" w:hanging="420"/>
      <w:spacing w:before="60" w:after="60" w:line="360" w:lineRule="auto"/>
      <w:tabs>
        <w:tab w:val="left" w:pos="840" w:leader="none"/>
      </w:tabs>
    </w:pPr>
    <w:rPr>
      <w:rFonts w:ascii="宋体" w:hAnsi="Calibri"/>
      <w:szCs w:val="20"/>
    </w:rPr>
  </w:style>
  <w:style w:type="paragraph" w:styleId="1164" w:customStyle="1">
    <w:name w:val="font13"/>
    <w:basedOn w:val="746"/>
    <w:pPr>
      <w:jc w:val="left"/>
      <w:spacing w:before="100" w:beforeAutospacing="1" w:after="100" w:afterAutospacing="1"/>
      <w:widowControl/>
    </w:pPr>
    <w:rPr>
      <w:color w:val="ff0000"/>
    </w:rPr>
  </w:style>
  <w:style w:type="paragraph" w:styleId="1165" w:customStyle="1">
    <w:name w:val="纯文本2"/>
    <w:basedOn w:val="746"/>
    <w:qFormat/>
    <w:rPr>
      <w:rFonts w:ascii="宋体" w:hAnsi="Courier New" w:eastAsia="楷体_GB2312"/>
      <w:sz w:val="26"/>
      <w:szCs w:val="20"/>
    </w:rPr>
  </w:style>
  <w:style w:type="paragraph" w:styleId="1166" w:customStyle="1">
    <w:name w:val="Normal_14_0"/>
    <w:qFormat/>
    <w:rPr>
      <w:rFonts w:ascii="黑体" w:hAnsi="黑体" w:eastAsia="黑体"/>
      <w:b/>
      <w:sz w:val="32"/>
      <w:szCs w:val="24"/>
    </w:rPr>
  </w:style>
  <w:style w:type="paragraph" w:styleId="1167" w:customStyle="1">
    <w:name w:val="Normal_17"/>
    <w:qFormat/>
    <w:rPr>
      <w:rFonts w:ascii="黑体" w:hAnsi="黑体" w:eastAsia="黑体"/>
      <w:b/>
      <w:sz w:val="32"/>
      <w:szCs w:val="24"/>
    </w:rPr>
  </w:style>
  <w:style w:type="paragraph" w:styleId="1168" w:customStyle="1">
    <w:name w:val="样式4"/>
    <w:basedOn w:val="749"/>
    <w:pPr>
      <w:spacing w:line="415" w:lineRule="auto"/>
    </w:pPr>
    <w:rPr>
      <w:rFonts w:ascii="Calibri" w:hAnsi="Calibri"/>
      <w:sz w:val="28"/>
      <w:szCs w:val="28"/>
    </w:rPr>
  </w:style>
  <w:style w:type="paragraph" w:styleId="1169" w:customStyle="1">
    <w:name w:val="xl71"/>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0" w:customStyle="1">
    <w:name w:val="xl97"/>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71" w:customStyle="1">
    <w:name w:val="xl124"/>
    <w:basedOn w:val="746"/>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172" w:customStyle="1">
    <w:name w:val="规范正文"/>
    <w:basedOn w:val="746"/>
    <w:pPr>
      <w:ind w:left="480"/>
      <w:spacing w:line="360" w:lineRule="auto"/>
    </w:pPr>
    <w:rPr>
      <w:rFonts w:ascii="Calibri" w:hAnsi="Calibri"/>
      <w:sz w:val="24"/>
      <w:szCs w:val="20"/>
    </w:rPr>
  </w:style>
  <w:style w:type="paragraph" w:styleId="1173" w:customStyle="1">
    <w:name w:val="xl134"/>
    <w:basedOn w:val="746"/>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174" w:customStyle="1">
    <w:name w:val="Char Char Char Char Char Char Char Char Char Char2"/>
    <w:basedOn w:val="746"/>
    <w:rPr>
      <w:rFonts w:ascii="Tahoma" w:hAnsi="Tahoma"/>
      <w:sz w:val="24"/>
      <w:szCs w:val="20"/>
    </w:rPr>
  </w:style>
  <w:style w:type="paragraph" w:styleId="1175" w:customStyle="1">
    <w:name w:val="Char Char Char"/>
    <w:basedOn w:val="746"/>
    <w:qFormat/>
    <w:rPr>
      <w:rFonts w:ascii="Tahoma" w:hAnsi="Tahoma"/>
      <w:sz w:val="24"/>
      <w:szCs w:val="20"/>
    </w:rPr>
  </w:style>
  <w:style w:type="paragraph" w:styleId="1176" w:customStyle="1">
    <w:name w:val="xl82"/>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7" w:customStyle="1">
    <w:name w:val="标准小四"/>
    <w:basedOn w:val="746"/>
    <w:pPr>
      <w:ind w:firstLine="200"/>
      <w:spacing w:line="360" w:lineRule="auto"/>
    </w:pPr>
    <w:rPr>
      <w:rFonts w:ascii="Arial" w:hAnsi="Arial"/>
      <w:sz w:val="24"/>
    </w:rPr>
  </w:style>
  <w:style w:type="paragraph" w:styleId="1178" w:customStyle="1">
    <w:name w:val="首页标题"/>
    <w:pPr>
      <w:jc w:val="center"/>
    </w:pPr>
    <w:rPr>
      <w:rFonts w:ascii="宋体" w:cs="宋体"/>
      <w:sz w:val="72"/>
      <w:szCs w:val="72"/>
    </w:rPr>
  </w:style>
  <w:style w:type="paragraph" w:styleId="1179" w:customStyle="1">
    <w:name w:val="xl34"/>
    <w:basedOn w:val="746"/>
    <w:qFormat/>
    <w:pPr>
      <w:jc w:val="center"/>
      <w:spacing w:before="100" w:beforeAutospacing="1" w:after="100" w:afterAutospacing="1"/>
      <w:widowControl/>
    </w:pPr>
    <w:rPr>
      <w:rFonts w:ascii="Arial Unicode MS" w:hAnsi="Arial Unicode MS" w:eastAsia="Arial Unicode MS"/>
      <w:sz w:val="24"/>
      <w:szCs w:val="22"/>
    </w:rPr>
  </w:style>
  <w:style w:type="paragraph" w:styleId="1180" w:customStyle="1">
    <w:name w:val="xl145"/>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81" w:customStyle="1">
    <w:name w:val="p0"/>
    <w:basedOn w:val="746"/>
    <w:pPr>
      <w:widowControl/>
    </w:pPr>
    <w:rPr>
      <w:rFonts w:ascii="Calibri" w:hAnsi="Calibri"/>
    </w:rPr>
  </w:style>
  <w:style w:type="paragraph" w:styleId="1182" w:customStyle="1">
    <w:name w:val="xl95"/>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83" w:customStyle="1">
    <w:name w:val="pa-4"/>
    <w:basedOn w:val="746"/>
    <w:pPr>
      <w:jc w:val="center"/>
      <w:spacing w:line="280" w:lineRule="atLeast"/>
      <w:widowControl/>
    </w:pPr>
    <w:rPr>
      <w:rFonts w:ascii="宋体" w:hAnsi="Calibri" w:cs="宋体"/>
      <w:sz w:val="24"/>
      <w:szCs w:val="22"/>
    </w:rPr>
  </w:style>
  <w:style w:type="paragraph" w:styleId="1184" w:customStyle="1">
    <w:name w:val="样式 标题 3 + (中文) 黑体 小四 非加粗 段前: 7.8 磅 段后: 0 磅 行距: 固定值 20 磅"/>
    <w:basedOn w:val="749"/>
    <w:qFormat/>
    <w:pPr>
      <w:spacing w:before="0" w:after="0" w:line="400" w:lineRule="exact"/>
    </w:pPr>
    <w:rPr>
      <w:rFonts w:eastAsia="黑体" w:cs="宋体"/>
      <w:b w:val="0"/>
      <w:bCs w:val="0"/>
      <w:sz w:val="24"/>
      <w:szCs w:val="20"/>
    </w:rPr>
  </w:style>
  <w:style w:type="paragraph" w:styleId="1185" w:customStyle="1">
    <w:name w:val="三级条标题"/>
    <w:basedOn w:val="1186"/>
    <w:next w:val="1188"/>
    <w:pPr>
      <w:ind w:left="1050"/>
      <w:outlineLvl w:val="4"/>
    </w:pPr>
  </w:style>
  <w:style w:type="paragraph" w:styleId="1186" w:customStyle="1">
    <w:name w:val="二级条标题"/>
    <w:basedOn w:val="1187"/>
    <w:next w:val="1188"/>
    <w:pPr>
      <w:ind w:left="360"/>
      <w:outlineLvl w:val="3"/>
    </w:pPr>
  </w:style>
  <w:style w:type="paragraph" w:styleId="1187" w:customStyle="1">
    <w:name w:val="一级条标题"/>
    <w:next w:val="1188"/>
    <w:pPr>
      <w:outlineLvl w:val="2"/>
    </w:pPr>
    <w:rPr>
      <w:rFonts w:eastAsia="黑体"/>
      <w:sz w:val="21"/>
    </w:rPr>
  </w:style>
  <w:style w:type="paragraph" w:styleId="1188" w:customStyle="1">
    <w:name w:val="段"/>
    <w:next w:val="746"/>
    <w:pPr>
      <w:ind w:firstLine="200"/>
      <w:jc w:val="both"/>
    </w:pPr>
    <w:rPr>
      <w:rFonts w:ascii="宋体"/>
      <w:sz w:val="21"/>
    </w:rPr>
  </w:style>
  <w:style w:type="paragraph" w:styleId="1189" w:customStyle="1">
    <w:name w:val="Normal_14_0_0"/>
    <w:qFormat/>
    <w:rPr>
      <w:rFonts w:ascii="黑体" w:hAnsi="黑体" w:eastAsia="黑体"/>
      <w:b/>
      <w:sz w:val="32"/>
      <w:szCs w:val="24"/>
    </w:rPr>
  </w:style>
  <w:style w:type="paragraph" w:styleId="1190" w:customStyle="1">
    <w:name w:val="正文_1_0_0"/>
    <w:qFormat/>
    <w:pPr>
      <w:jc w:val="both"/>
      <w:widowControl w:val="off"/>
    </w:pPr>
    <w:rPr>
      <w:sz w:val="21"/>
    </w:rPr>
  </w:style>
  <w:style w:type="paragraph" w:styleId="1191" w:customStyle="1">
    <w:name w:val="标书3"/>
    <w:next w:val="1192"/>
    <w:pPr>
      <w:jc w:val="center"/>
      <w:widowControl w:val="off"/>
    </w:pPr>
    <w:rPr>
      <w:rFonts w:eastAsia="黑体"/>
      <w:b/>
      <w:sz w:val="44"/>
      <w:szCs w:val="24"/>
    </w:rPr>
  </w:style>
  <w:style w:type="paragraph" w:styleId="1192" w:customStyle="1">
    <w:name w:val="段落"/>
    <w:pPr>
      <w:ind w:firstLine="420"/>
      <w:jc w:val="both"/>
      <w:spacing w:before="120" w:after="120" w:line="360" w:lineRule="auto"/>
    </w:pPr>
    <w:rPr>
      <w:rFonts w:eastAsia="仿宋_GB2312"/>
      <w:sz w:val="24"/>
      <w:szCs w:val="24"/>
    </w:rPr>
  </w:style>
  <w:style w:type="paragraph" w:styleId="1193" w:customStyle="1">
    <w:name w:val="Char Char 字元 字元 字元 Char Char 字元 字元 Char Char Char Char"/>
    <w:basedOn w:val="746"/>
    <w:pPr>
      <w:jc w:val="left"/>
      <w:spacing w:after="160" w:line="240" w:lineRule="exact"/>
      <w:widowControl/>
    </w:pPr>
    <w:rPr>
      <w:szCs w:val="20"/>
    </w:rPr>
  </w:style>
  <w:style w:type="paragraph" w:styleId="1194" w:customStyle="1">
    <w:name w:val="Normal_0_3"/>
    <w:qFormat/>
    <w:rPr>
      <w:rFonts w:ascii="黑体" w:hAnsi="黑体" w:eastAsia="黑体"/>
      <w:b/>
      <w:sz w:val="32"/>
      <w:szCs w:val="24"/>
    </w:rPr>
  </w:style>
  <w:style w:type="paragraph" w:styleId="1195" w:customStyle="1">
    <w:name w:val="Normal_11_0"/>
    <w:qFormat/>
    <w:rPr>
      <w:rFonts w:ascii="黑体" w:hAnsi="黑体" w:eastAsia="黑体"/>
      <w:b/>
      <w:sz w:val="32"/>
      <w:szCs w:val="24"/>
    </w:rPr>
  </w:style>
  <w:style w:type="paragraph" w:styleId="1196" w:customStyle="1">
    <w:name w:val="正文_13"/>
    <w:qFormat/>
    <w:pPr>
      <w:jc w:val="both"/>
      <w:widowControl w:val="off"/>
    </w:pPr>
    <w:rPr>
      <w:sz w:val="21"/>
      <w:szCs w:val="24"/>
    </w:rPr>
  </w:style>
  <w:style w:type="paragraph" w:styleId="1197" w:customStyle="1">
    <w:name w:val="正文 + 宋体"/>
    <w:basedOn w:val="746"/>
    <w:pPr>
      <w:ind w:firstLine="250"/>
    </w:pPr>
    <w:rPr>
      <w:rFonts w:ascii="宋体" w:hAnsi="Calibri"/>
    </w:rPr>
  </w:style>
  <w:style w:type="paragraph" w:styleId="1198" w:customStyle="1">
    <w:name w:val="xl126"/>
    <w:basedOn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199" w:customStyle="1">
    <w:name w:val="Char Char Char Char Char Char Char Char Char Char11"/>
    <w:basedOn w:val="746"/>
    <w:qFormat/>
    <w:rPr>
      <w:rFonts w:ascii="Tahoma" w:hAnsi="Tahoma"/>
      <w:sz w:val="24"/>
      <w:szCs w:val="20"/>
    </w:rPr>
  </w:style>
  <w:style w:type="paragraph" w:styleId="1200" w:customStyle="1">
    <w:name w:val="正文文字缩进 3"/>
    <w:basedOn w:val="746"/>
    <w:pPr>
      <w:ind w:left="420" w:firstLine="420"/>
      <w:spacing w:line="312" w:lineRule="auto"/>
    </w:pPr>
    <w:rPr>
      <w:rFonts w:ascii="黑体" w:hAnsi="黑体" w:cs="宋体"/>
      <w:bCs/>
      <w:color w:val="000000"/>
      <w:sz w:val="24"/>
      <w:szCs w:val="22"/>
    </w:rPr>
  </w:style>
  <w:style w:type="paragraph" w:styleId="1201" w:customStyle="1">
    <w:name w:val="Char Char Char Char Char Char Char1 Char"/>
    <w:basedOn w:val="746"/>
    <w:rPr>
      <w:rFonts w:ascii="Tahoma" w:hAnsi="Tahoma"/>
      <w:sz w:val="24"/>
      <w:szCs w:val="20"/>
    </w:rPr>
  </w:style>
  <w:style w:type="paragraph" w:styleId="1202" w:customStyle="1">
    <w:name w:val="xl133"/>
    <w:basedOn w:val="746"/>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203" w:customStyle="1">
    <w:name w:val="font10"/>
    <w:basedOn w:val="746"/>
    <w:pPr>
      <w:jc w:val="left"/>
      <w:spacing w:before="100" w:beforeAutospacing="1" w:after="100" w:afterAutospacing="1"/>
      <w:widowControl/>
    </w:pPr>
    <w:rPr>
      <w:rFonts w:ascii="宋体" w:hAnsi="宋体" w:cs="宋体"/>
    </w:rPr>
  </w:style>
  <w:style w:type="paragraph" w:styleId="1204" w:customStyle="1">
    <w:name w:val="Normal_4_0"/>
    <w:qFormat/>
    <w:rPr>
      <w:rFonts w:ascii="黑体" w:hAnsi="黑体" w:eastAsia="黑体"/>
      <w:b/>
      <w:sz w:val="32"/>
      <w:szCs w:val="24"/>
    </w:rPr>
  </w:style>
  <w:style w:type="paragraph" w:styleId="1205" w:customStyle="1">
    <w:name w:val="参考资料清单+倾斜+蓝色"/>
    <w:basedOn w:val="746"/>
    <w:pPr>
      <w:spacing w:line="360" w:lineRule="auto"/>
    </w:pPr>
    <w:rPr>
      <w:rFonts w:ascii="Arial" w:hAnsi="Arial"/>
      <w:i/>
      <w:iCs/>
      <w:color w:val="0000ff"/>
    </w:rPr>
  </w:style>
  <w:style w:type="paragraph" w:styleId="1206" w:customStyle="1">
    <w:name w:val="xl152"/>
    <w:basedOn w:val="746"/>
    <w:pPr>
      <w:jc w:val="left"/>
      <w:spacing w:before="100" w:beforeAutospacing="1" w:after="100" w:afterAutospacing="1"/>
      <w:widowControl/>
      <w:pBdr>
        <w:top w:val="single" w:color="000000" w:sz="4" w:space="0"/>
        <w:right w:val="single" w:color="000000" w:sz="4" w:space="0"/>
      </w:pBdr>
    </w:pPr>
    <w:rPr>
      <w:rFonts w:ascii="宋体" w:hAnsi="宋体" w:cs="宋体"/>
      <w:b/>
      <w:bCs/>
    </w:rPr>
  </w:style>
  <w:style w:type="paragraph" w:styleId="1207" w:customStyle="1">
    <w:name w:val="图号"/>
    <w:basedOn w:val="746"/>
    <w:pPr>
      <w:jc w:val="center"/>
      <w:keepNext/>
      <w:spacing w:before="105" w:line="360" w:lineRule="auto"/>
      <w:tabs>
        <w:tab w:val="left" w:pos="0" w:leader="none"/>
        <w:tab w:val="left" w:pos="3360" w:leader="none"/>
      </w:tabs>
    </w:pPr>
    <w:rPr>
      <w:rFonts w:ascii="Arial" w:hAnsi="Arial"/>
      <w:sz w:val="18"/>
      <w:szCs w:val="18"/>
    </w:rPr>
  </w:style>
  <w:style w:type="paragraph" w:styleId="1208" w:customStyle="1">
    <w:name w:val="xl36"/>
    <w:basedOn w:val="7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正文_6_0"/>
    <w:qFormat/>
    <w:pPr>
      <w:jc w:val="both"/>
      <w:widowControl w:val="off"/>
    </w:pPr>
    <w:rPr>
      <w:rFonts w:ascii="Calibri" w:hAnsi="Calibri"/>
      <w:sz w:val="21"/>
      <w:szCs w:val="22"/>
    </w:rPr>
  </w:style>
  <w:style w:type="paragraph" w:styleId="1210" w:customStyle="1">
    <w:name w:val="Normal_8"/>
    <w:qFormat/>
    <w:rPr>
      <w:rFonts w:eastAsia="Times New Roman"/>
      <w:sz w:val="24"/>
      <w:szCs w:val="24"/>
    </w:rPr>
  </w:style>
  <w:style w:type="paragraph" w:styleId="1211" w:customStyle="1">
    <w:name w:val="标题2"/>
    <w:basedOn w:val="746"/>
    <w:pPr>
      <w:tabs>
        <w:tab w:val="left" w:pos="0" w:leader="none"/>
      </w:tabs>
    </w:pPr>
    <w:rPr>
      <w:rFonts w:ascii="黑体" w:hAnsi="Calibri" w:eastAsia="黑体"/>
      <w:sz w:val="24"/>
      <w:szCs w:val="22"/>
    </w:rPr>
  </w:style>
  <w:style w:type="paragraph" w:styleId="1212" w:customStyle="1">
    <w:name w:val="Char1 Char Char Char"/>
    <w:basedOn w:val="746"/>
    <w:rPr>
      <w:rFonts w:ascii="Calibri" w:hAnsi="Calibri"/>
      <w:szCs w:val="20"/>
    </w:rPr>
  </w:style>
  <w:style w:type="paragraph" w:styleId="1213" w:customStyle="1">
    <w:name w:val="表格文字"/>
    <w:basedOn w:val="746"/>
    <w:pPr>
      <w:jc w:val="left"/>
    </w:pPr>
    <w:rPr>
      <w:rFonts w:ascii="Calibri" w:hAnsi="Calibri"/>
      <w:sz w:val="18"/>
      <w:szCs w:val="22"/>
    </w:rPr>
  </w:style>
  <w:style w:type="paragraph" w:styleId="1214" w:customStyle="1">
    <w:name w:val="D&amp;L"/>
    <w:basedOn w:val="774"/>
    <w:pPr>
      <w:spacing w:line="240" w:lineRule="atLeast"/>
      <w:pBdr>
        <w:bottom w:val="single" w:color="000000" w:sz="18" w:space="1"/>
      </w:pBdr>
    </w:pPr>
    <w:rPr>
      <w:rFonts w:ascii="Calibri" w:hAnsi="Calibri"/>
      <w:sz w:val="24"/>
      <w:szCs w:val="20"/>
    </w:rPr>
  </w:style>
  <w:style w:type="paragraph" w:styleId="1215" w:customStyle="1">
    <w:name w:val="Sourcetext bullet"/>
    <w:basedOn w:val="746"/>
    <w:pPr>
      <w:ind w:left="2160" w:hanging="360"/>
      <w:jc w:val="left"/>
      <w:spacing w:after="120"/>
      <w:widowControl/>
      <w:tabs>
        <w:tab w:val="left" w:pos="360" w:leader="none"/>
      </w:tabs>
    </w:pPr>
    <w:rPr>
      <w:rFonts w:ascii="Book Antiqua" w:hAnsi="Book Antiqua"/>
      <w:sz w:val="20"/>
      <w:szCs w:val="20"/>
      <w:lang w:eastAsia="en-US"/>
    </w:rPr>
  </w:style>
  <w:style w:type="paragraph" w:styleId="1216" w:customStyle="1">
    <w:name w:val="xl108"/>
    <w:basedOn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217" w:customStyle="1">
    <w:name w:val="xl68"/>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18" w:customStyle="1">
    <w:name w:val="xl131"/>
    <w:basedOn w:val="7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219" w:customStyle="1">
    <w:name w:val="xl77"/>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0" w:customStyle="1">
    <w:name w:val="Normal_13"/>
    <w:qFormat/>
    <w:rPr>
      <w:rFonts w:ascii="黑体" w:hAnsi="黑体" w:eastAsia="黑体"/>
      <w:b/>
      <w:sz w:val="32"/>
      <w:szCs w:val="24"/>
    </w:rPr>
  </w:style>
  <w:style w:type="paragraph" w:styleId="1221" w:customStyle="1">
    <w:name w:val="xl113"/>
    <w:basedOn w:val="7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222" w:customStyle="1">
    <w:name w:val="章标题"/>
    <w:next w:val="1188"/>
    <w:pPr>
      <w:ind w:left="1320" w:hanging="420"/>
      <w:jc w:val="both"/>
      <w:spacing w:before="50" w:after="50"/>
      <w:tabs>
        <w:tab w:val="left" w:pos="1200" w:leader="none"/>
      </w:tabs>
      <w:outlineLvl w:val="1"/>
    </w:pPr>
    <w:rPr>
      <w:rFonts w:ascii="黑体" w:eastAsia="黑体"/>
      <w:sz w:val="21"/>
    </w:rPr>
  </w:style>
  <w:style w:type="paragraph" w:styleId="1223" w:customStyle="1">
    <w:name w:val="xl104"/>
    <w:basedOn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24" w:customStyle="1">
    <w:name w:val="Char1"/>
    <w:basedOn w:val="746"/>
    <w:pPr>
      <w:ind w:left="360" w:right="202" w:firstLine="360"/>
      <w:spacing w:line="480" w:lineRule="auto"/>
      <w:tabs>
        <w:tab w:val="left" w:pos="360" w:leader="none"/>
      </w:tabs>
    </w:pPr>
    <w:rPr>
      <w:rFonts w:ascii="Calibri" w:hAnsi="Calibri"/>
      <w:sz w:val="24"/>
      <w:szCs w:val="22"/>
    </w:rPr>
  </w:style>
  <w:style w:type="paragraph" w:styleId="1225" w:customStyle="1">
    <w:name w:val="xl110"/>
    <w:basedOn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26" w:customStyle="1">
    <w:name w:val="默认段落字体 Para Char Char Char Char Char Char Char Char Char1"/>
    <w:basedOn w:val="746"/>
    <w:rPr>
      <w:rFonts w:ascii="Tahoma" w:hAnsi="Tahoma"/>
      <w:sz w:val="24"/>
      <w:szCs w:val="20"/>
    </w:rPr>
  </w:style>
  <w:style w:type="paragraph" w:styleId="1227" w:customStyle="1">
    <w:name w:val="xl151"/>
    <w:basedOn w:val="746"/>
    <w:pPr>
      <w:jc w:val="left"/>
      <w:spacing w:before="100" w:beforeAutospacing="1" w:after="100" w:afterAutospacing="1"/>
      <w:widowControl/>
      <w:pBdr>
        <w:top w:val="single" w:color="000000" w:sz="4" w:space="0"/>
        <w:left w:val="single" w:color="000000" w:sz="4" w:space="0"/>
      </w:pBdr>
    </w:pPr>
    <w:rPr>
      <w:rFonts w:ascii="宋体" w:hAnsi="宋体" w:cs="宋体"/>
      <w:b/>
      <w:bCs/>
    </w:rPr>
  </w:style>
  <w:style w:type="paragraph" w:styleId="1228" w:customStyle="1">
    <w:name w:val="Normal_1_1"/>
    <w:qFormat/>
    <w:rPr>
      <w:rFonts w:ascii="黑体" w:hAnsi="黑体" w:eastAsia="黑体"/>
      <w:b/>
      <w:sz w:val="32"/>
      <w:szCs w:val="24"/>
    </w:rPr>
  </w:style>
  <w:style w:type="paragraph" w:styleId="1229" w:customStyle="1">
    <w:name w:val="Normal_15"/>
    <w:qFormat/>
    <w:rPr>
      <w:rFonts w:ascii="黑体" w:hAnsi="黑体" w:eastAsia="黑体"/>
      <w:b/>
      <w:sz w:val="32"/>
      <w:szCs w:val="24"/>
    </w:rPr>
  </w:style>
  <w:style w:type="paragraph" w:styleId="1230" w:customStyle="1">
    <w:name w:val="说明书3级标题"/>
    <w:basedOn w:val="746"/>
    <w:next w:val="746"/>
    <w:pPr>
      <w:numPr>
        <w:ilvl w:val="2"/>
        <w:numId w:val="1"/>
      </w:numPr>
      <w:spacing w:line="360" w:lineRule="auto"/>
      <w:tabs>
        <w:tab w:val="left" w:pos="0" w:leader="none"/>
      </w:tabs>
    </w:pPr>
    <w:rPr>
      <w:rFonts w:ascii="Calibri" w:hAnsi="Calibri" w:eastAsia="黑体"/>
      <w:sz w:val="24"/>
      <w:szCs w:val="22"/>
    </w:rPr>
  </w:style>
  <w:style w:type="paragraph" w:styleId="1231" w:customStyle="1">
    <w:name w:val="Char11"/>
    <w:basedOn w:val="746"/>
    <w:rPr>
      <w:rFonts w:ascii="Calibri" w:hAnsi="Calibri"/>
    </w:rPr>
  </w:style>
  <w:style w:type="paragraph" w:styleId="1232" w:customStyle="1">
    <w:name w:val="篇名"/>
    <w:next w:val="747"/>
    <w:pPr>
      <w:jc w:val="center"/>
      <w:pageBreakBefore/>
      <w:spacing w:before="480" w:after="480"/>
    </w:pPr>
    <w:rPr>
      <w:rFonts w:eastAsia="黑体"/>
      <w:b/>
      <w:sz w:val="44"/>
      <w:szCs w:val="24"/>
    </w:rPr>
  </w:style>
  <w:style w:type="paragraph" w:styleId="1233" w:customStyle="1">
    <w:name w:val="编号1"/>
    <w:next w:val="1192"/>
    <w:pPr>
      <w:ind w:left="720" w:hanging="360"/>
      <w:spacing w:before="120" w:after="120" w:line="360" w:lineRule="auto"/>
      <w:tabs>
        <w:tab w:val="left" w:pos="420" w:leader="none"/>
      </w:tabs>
    </w:pPr>
    <w:rPr>
      <w:sz w:val="24"/>
      <w:szCs w:val="24"/>
    </w:rPr>
  </w:style>
  <w:style w:type="paragraph" w:styleId="1234" w:customStyle="1">
    <w:name w:val="Char Char Char Char Char Char Char Char Char Char1"/>
    <w:basedOn w:val="746"/>
    <w:qFormat/>
    <w:rPr>
      <w:rFonts w:ascii="Tahoma" w:hAnsi="Tahoma" w:cs="Tahoma"/>
      <w:sz w:val="24"/>
      <w:szCs w:val="22"/>
    </w:rPr>
  </w:style>
  <w:style w:type="paragraph" w:styleId="1235" w:customStyle="1">
    <w:name w:val="xl129"/>
    <w:basedOn w:val="746"/>
    <w:pPr>
      <w:jc w:val="center"/>
      <w:spacing w:before="100" w:beforeAutospacing="1" w:after="100" w:afterAutospacing="1"/>
      <w:widowControl/>
      <w:pBdr>
        <w:top w:val="single" w:color="000000" w:sz="4" w:space="0"/>
        <w:left w:val="single" w:color="000000" w:sz="4" w:space="0"/>
        <w:right w:val="single" w:color="000000" w:sz="4" w:space="0"/>
      </w:pBdr>
    </w:pPr>
  </w:style>
  <w:style w:type="paragraph" w:styleId="1236" w:customStyle="1">
    <w:name w:val="a1"/>
    <w:basedOn w:val="746"/>
    <w:pPr>
      <w:jc w:val="left"/>
      <w:spacing w:before="100" w:beforeAutospacing="1" w:after="100" w:afterAutospacing="1"/>
      <w:widowControl/>
    </w:pPr>
    <w:rPr>
      <w:rFonts w:ascii="宋体" w:hAnsi="Calibri"/>
      <w:sz w:val="24"/>
      <w:szCs w:val="22"/>
    </w:rPr>
  </w:style>
  <w:style w:type="paragraph" w:styleId="1237" w:customStyle="1">
    <w:name w:val="空半行"/>
    <w:basedOn w:val="746"/>
    <w:qFormat/>
    <w:pPr>
      <w:spacing w:line="120" w:lineRule="exact"/>
    </w:pPr>
    <w:rPr>
      <w:rFonts w:eastAsia="仿宋_GB2312"/>
      <w:color w:val="ffffff"/>
      <w:sz w:val="30"/>
      <w:szCs w:val="20"/>
    </w:rPr>
  </w:style>
  <w:style w:type="paragraph" w:styleId="1238" w:customStyle="1">
    <w:name w:val="xl37"/>
    <w:basedOn w:val="7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Calibri" w:hAnsi="Calibri"/>
      <w:sz w:val="20"/>
      <w:szCs w:val="20"/>
    </w:rPr>
  </w:style>
  <w:style w:type="paragraph" w:styleId="1239" w:customStyle="1">
    <w:name w:val="xl75"/>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0" w:customStyle="1">
    <w:name w:val="pa-8"/>
    <w:basedOn w:val="746"/>
    <w:pPr>
      <w:ind w:firstLine="480"/>
      <w:spacing w:line="280" w:lineRule="atLeast"/>
      <w:widowControl/>
    </w:pPr>
    <w:rPr>
      <w:rFonts w:ascii="宋体" w:hAnsi="Calibri" w:cs="宋体"/>
      <w:sz w:val="24"/>
      <w:szCs w:val="22"/>
    </w:rPr>
  </w:style>
  <w:style w:type="paragraph" w:styleId="1241" w:customStyle="1">
    <w:name w:val="xl148"/>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2" w:customStyle="1">
    <w:name w:val="WPSOffice手动目录 2"/>
  </w:style>
  <w:style w:type="paragraph" w:styleId="1243" w:customStyle="1">
    <w:name w:val="Normal_16"/>
    <w:qFormat/>
    <w:rPr>
      <w:rFonts w:ascii="黑体" w:hAnsi="黑体" w:eastAsia="黑体"/>
      <w:b/>
      <w:sz w:val="32"/>
      <w:szCs w:val="24"/>
    </w:rPr>
  </w:style>
  <w:style w:type="paragraph" w:styleId="1244" w:customStyle="1">
    <w:name w:val="Normal_2"/>
    <w:qFormat/>
    <w:rPr>
      <w:rFonts w:ascii="黑体" w:hAnsi="黑体" w:eastAsia="黑体"/>
      <w:b/>
      <w:sz w:val="32"/>
      <w:szCs w:val="24"/>
    </w:rPr>
  </w:style>
  <w:style w:type="paragraph" w:styleId="1245" w:customStyle="1">
    <w:name w:val="Figure and Table Title"/>
    <w:basedOn w:val="746"/>
    <w:pPr>
      <w:ind w:left="2160"/>
      <w:jc w:val="left"/>
      <w:widowControl/>
    </w:pPr>
    <w:rPr>
      <w:rFonts w:ascii="Helvetica-Light" w:hAnsi="Helvetica-Light"/>
      <w:b/>
      <w:bCs/>
      <w:sz w:val="20"/>
      <w:szCs w:val="22"/>
      <w:lang w:eastAsia="en-US"/>
    </w:rPr>
  </w:style>
  <w:style w:type="paragraph" w:styleId="1246" w:customStyle="1">
    <w:name w:val="保密事宜内容"/>
    <w:basedOn w:val="746"/>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47" w:customStyle="1">
    <w:name w:val="首页空格"/>
    <w:pPr>
      <w:jc w:val="center"/>
    </w:pPr>
    <w:rPr>
      <w:rFonts w:cs="宋体"/>
      <w:sz w:val="72"/>
    </w:rPr>
  </w:style>
  <w:style w:type="paragraph" w:styleId="1248" w:customStyle="1">
    <w:name w:val="样式2"/>
    <w:basedOn w:val="749"/>
    <w:pPr>
      <w:spacing w:line="415" w:lineRule="auto"/>
    </w:pPr>
    <w:rPr>
      <w:rFonts w:ascii="Calibri" w:hAnsi="Calibri"/>
      <w:sz w:val="28"/>
      <w:szCs w:val="28"/>
    </w:rPr>
  </w:style>
  <w:style w:type="paragraph" w:styleId="1249" w:customStyle="1">
    <w:name w:val="xl66"/>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50" w:customStyle="1">
    <w:name w:val="xl118"/>
    <w:basedOn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51" w:customStyle="1">
    <w:name w:val="正文_4_0"/>
    <w:qFormat/>
    <w:pPr>
      <w:jc w:val="both"/>
      <w:widowControl w:val="off"/>
    </w:pPr>
    <w:rPr>
      <w:rFonts w:ascii="Calibri" w:hAnsi="Calibri"/>
      <w:sz w:val="21"/>
      <w:szCs w:val="22"/>
    </w:rPr>
  </w:style>
  <w:style w:type="paragraph" w:styleId="1252" w:customStyle="1">
    <w:name w:val="xl41"/>
    <w:basedOn w:val="746"/>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szCs w:val="22"/>
    </w:rPr>
  </w:style>
  <w:style w:type="paragraph" w:styleId="1253" w:customStyle="1">
    <w:name w:val="封面标准号1"/>
    <w:pPr>
      <w:jc w:val="right"/>
      <w:spacing w:before="308"/>
      <w:widowControl w:val="off"/>
    </w:pPr>
    <w:rPr>
      <w:sz w:val="28"/>
    </w:rPr>
  </w:style>
  <w:style w:type="paragraph" w:styleId="1254" w:customStyle="1">
    <w:name w:val="说明书2级标题"/>
    <w:basedOn w:val="746"/>
    <w:next w:val="1230"/>
    <w:pPr>
      <w:numPr>
        <w:ilvl w:val="2"/>
        <w:numId w:val="2"/>
      </w:numPr>
      <w:spacing w:before="100"/>
      <w:tabs>
        <w:tab w:val="left" w:pos="1680" w:leader="none"/>
      </w:tabs>
    </w:pPr>
    <w:rPr>
      <w:rFonts w:ascii="Calibri" w:hAnsi="Calibri" w:eastAsia="黑体"/>
      <w:sz w:val="28"/>
      <w:szCs w:val="28"/>
    </w:rPr>
  </w:style>
  <w:style w:type="paragraph" w:styleId="1255" w:customStyle="1">
    <w:name w:val="正文_10_0"/>
    <w:qFormat/>
    <w:pPr>
      <w:jc w:val="both"/>
      <w:widowControl w:val="off"/>
    </w:pPr>
    <w:rPr>
      <w:sz w:val="21"/>
      <w:szCs w:val="24"/>
    </w:rPr>
  </w:style>
  <w:style w:type="paragraph" w:styleId="1256" w:customStyle="1">
    <w:name w:val="封面标准名称"/>
    <w:pPr>
      <w:jc w:val="center"/>
      <w:spacing w:line="680" w:lineRule="exact"/>
      <w:widowControl w:val="off"/>
    </w:pPr>
    <w:rPr>
      <w:rFonts w:ascii="黑体" w:eastAsia="黑体"/>
      <w:sz w:val="52"/>
    </w:rPr>
  </w:style>
  <w:style w:type="paragraph" w:styleId="1257" w:customStyle="1">
    <w:name w:val="序号"/>
    <w:next w:val="746"/>
    <w:pPr>
      <w:jc w:val="center"/>
    </w:pPr>
    <w:rPr>
      <w:rFonts w:eastAsia="仿宋_GB2312"/>
      <w:bCs/>
      <w:sz w:val="21"/>
      <w:szCs w:val="44"/>
    </w:rPr>
  </w:style>
  <w:style w:type="paragraph" w:styleId="1258" w:customStyle="1">
    <w:name w:val="Normal_0_0"/>
    <w:qFormat/>
    <w:rPr>
      <w:rFonts w:ascii="黑体" w:hAnsi="黑体" w:eastAsia="黑体"/>
      <w:b/>
      <w:sz w:val="40"/>
      <w:szCs w:val="24"/>
    </w:rPr>
  </w:style>
  <w:style w:type="paragraph" w:styleId="1259" w:customStyle="1">
    <w:name w:val="正文（首行缩进两字）"/>
    <w:basedOn w:val="746"/>
    <w:pPr>
      <w:spacing w:line="312" w:lineRule="auto"/>
    </w:pPr>
    <w:rPr>
      <w:rFonts w:ascii="宋体" w:hAnsi="Calibri" w:cs="宋体"/>
      <w:sz w:val="24"/>
      <w:szCs w:val="22"/>
    </w:rPr>
  </w:style>
  <w:style w:type="paragraph" w:styleId="1260" w:customStyle="1">
    <w:name w:val="默认段落字体 Para Char Char Char Char Char Char Char Char Char1 Char Char Char Char Char Char Char Char"/>
    <w:basedOn w:val="934"/>
    <w:rPr>
      <w:rFonts w:ascii="Calibri" w:hAnsi="Calibri"/>
      <w:szCs w:val="22"/>
    </w:rPr>
  </w:style>
  <w:style w:type="paragraph" w:styleId="1261" w:customStyle="1">
    <w:name w:val="xl147"/>
    <w:basedOn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62" w:customStyle="1">
    <w:name w:val="正文_9"/>
    <w:qFormat/>
    <w:pPr>
      <w:jc w:val="both"/>
      <w:widowControl w:val="off"/>
    </w:pPr>
    <w:rPr>
      <w:sz w:val="21"/>
      <w:szCs w:val="24"/>
    </w:rPr>
  </w:style>
  <w:style w:type="paragraph" w:styleId="1263" w:customStyle="1">
    <w:name w:val="表格样式居左"/>
    <w:pPr>
      <w:jc w:val="both"/>
      <w:spacing w:before="120" w:after="120" w:line="400" w:lineRule="exact"/>
    </w:pPr>
    <w:rPr>
      <w:rFonts w:eastAsia="仿宋_GB2312"/>
      <w:bCs/>
      <w:sz w:val="21"/>
      <w:szCs w:val="21"/>
    </w:rPr>
  </w:style>
  <w:style w:type="paragraph" w:styleId="1264" w:customStyle="1">
    <w:name w:val="style42"/>
    <w:basedOn w:val="746"/>
    <w:pPr>
      <w:jc w:val="left"/>
      <w:spacing w:before="100" w:beforeAutospacing="1" w:after="100" w:afterAutospacing="1"/>
      <w:widowControl/>
    </w:pPr>
    <w:rPr>
      <w:rFonts w:ascii="宋体" w:hAnsi="Calibri" w:cs="宋体"/>
      <w:color w:val="000000"/>
      <w:sz w:val="15"/>
      <w:szCs w:val="15"/>
    </w:rPr>
  </w:style>
  <w:style w:type="paragraph" w:styleId="1265" w:customStyle="1">
    <w:name w:val="xl125"/>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266" w:customStyle="1">
    <w:name w:val="xl156"/>
    <w:basedOn w:val="746"/>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267" w:customStyle="1">
    <w:name w:val="xl112"/>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68" w:customStyle="1">
    <w:name w:val="正文_13_0"/>
    <w:qFormat/>
    <w:pPr>
      <w:jc w:val="both"/>
      <w:widowControl w:val="off"/>
    </w:pPr>
    <w:rPr>
      <w:rFonts w:ascii="Calibri" w:hAnsi="Calibri"/>
      <w:sz w:val="21"/>
      <w:szCs w:val="22"/>
    </w:rPr>
  </w:style>
  <w:style w:type="paragraph" w:styleId="1269" w:customStyle="1">
    <w:name w:val="Normal_3_0"/>
    <w:qFormat/>
    <w:pPr>
      <w:jc w:val="both"/>
      <w:widowControl w:val="off"/>
    </w:pPr>
    <w:rPr>
      <w:rFonts w:ascii="Calibri" w:hAnsi="Calibri"/>
      <w:sz w:val="21"/>
      <w:szCs w:val="22"/>
    </w:rPr>
  </w:style>
  <w:style w:type="paragraph" w:styleId="1270" w:customStyle="1">
    <w:name w:val="Char Char Char Char1"/>
    <w:basedOn w:val="746"/>
    <w:pPr>
      <w:ind w:firstLine="200"/>
      <w:spacing w:line="360" w:lineRule="auto"/>
    </w:pPr>
    <w:rPr>
      <w:rFonts w:ascii="Calibri" w:hAnsi="Calibri"/>
      <w:sz w:val="24"/>
      <w:szCs w:val="20"/>
    </w:rPr>
  </w:style>
  <w:style w:type="paragraph" w:styleId="1271" w:customStyle="1">
    <w:name w:val="正文_6"/>
    <w:qFormat/>
    <w:pPr>
      <w:jc w:val="both"/>
      <w:widowControl w:val="off"/>
    </w:pPr>
    <w:rPr>
      <w:rFonts w:ascii="Calibri" w:hAnsi="Calibri"/>
      <w:sz w:val="21"/>
      <w:szCs w:val="22"/>
    </w:rPr>
  </w:style>
  <w:style w:type="paragraph" w:styleId="1272" w:customStyle="1">
    <w:name w:val="Char Char Char Char Char Char Char"/>
    <w:basedOn w:val="746"/>
    <w:pPr>
      <w:jc w:val="left"/>
      <w:spacing w:after="160" w:line="240" w:lineRule="exact"/>
      <w:widowControl/>
    </w:pPr>
    <w:rPr>
      <w:rFonts w:ascii="Verdana" w:hAnsi="Verdana"/>
      <w:sz w:val="20"/>
      <w:szCs w:val="20"/>
      <w:lang w:eastAsia="en-US"/>
    </w:rPr>
  </w:style>
  <w:style w:type="paragraph" w:styleId="1273" w:customStyle="1">
    <w:name w:val="表格序号"/>
    <w:rPr>
      <w:rFonts w:eastAsia="仿宋_GB2312" w:cs="宋体"/>
      <w:sz w:val="21"/>
    </w:rPr>
  </w:style>
  <w:style w:type="paragraph" w:styleId="1274" w:customStyle="1">
    <w:name w:val="xl32"/>
    <w:basedOn w:val="7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5" w:customStyle="1">
    <w:name w:val="xl84"/>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76" w:customStyle="1">
    <w:name w:val="标书2"/>
    <w:next w:val="1192"/>
    <w:rPr>
      <w:rFonts w:eastAsia="黑体" w:cs="宋体"/>
      <w:b/>
      <w:sz w:val="44"/>
    </w:rPr>
  </w:style>
  <w:style w:type="paragraph" w:styleId="1277" w:customStyle="1">
    <w:name w:val="xl115"/>
    <w:basedOn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278" w:customStyle="1">
    <w:name w:val="Normal_13_0"/>
    <w:qFormat/>
    <w:rPr>
      <w:rFonts w:ascii="黑体" w:hAnsi="黑体" w:eastAsia="黑体"/>
      <w:b/>
      <w:sz w:val="32"/>
      <w:szCs w:val="24"/>
    </w:rPr>
  </w:style>
  <w:style w:type="paragraph" w:styleId="1279" w:customStyle="1">
    <w:name w:val="正文_12"/>
    <w:qFormat/>
    <w:pPr>
      <w:jc w:val="both"/>
      <w:widowControl w:val="off"/>
    </w:pPr>
    <w:rPr>
      <w:sz w:val="21"/>
      <w:szCs w:val="24"/>
    </w:rPr>
  </w:style>
  <w:style w:type="paragraph" w:styleId="1280" w:customStyle="1">
    <w:name w:val="正文_1"/>
    <w:qFormat/>
    <w:pPr>
      <w:jc w:val="both"/>
      <w:widowControl w:val="off"/>
    </w:pPr>
    <w:rPr>
      <w:sz w:val="21"/>
      <w:szCs w:val="24"/>
    </w:rPr>
  </w:style>
  <w:style w:type="paragraph" w:styleId="1281" w:customStyle="1">
    <w:name w:val="样式 正文2 + 首行缩进:  0 厘米 段后: 1.5 行"/>
    <w:basedOn w:val="746"/>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82" w:customStyle="1">
    <w:name w:val="表中文字"/>
    <w:basedOn w:val="746"/>
    <w:pPr>
      <w:widowControl/>
    </w:pPr>
    <w:rPr>
      <w:rFonts w:ascii="Calibri" w:hAnsi="Calibri"/>
      <w:szCs w:val="20"/>
    </w:rPr>
  </w:style>
  <w:style w:type="paragraph" w:styleId="1283" w:customStyle="1">
    <w:name w:val="xl153"/>
    <w:basedOn w:val="746"/>
    <w:pPr>
      <w:jc w:val="center"/>
      <w:spacing w:before="100" w:beforeAutospacing="1" w:after="100" w:afterAutospacing="1"/>
      <w:widowControl/>
      <w:pBdr>
        <w:left w:val="single" w:color="000000" w:sz="4" w:space="0"/>
        <w:bottom w:val="single" w:color="000000" w:sz="4" w:space="0"/>
      </w:pBdr>
    </w:pPr>
    <w:rPr>
      <w:rFonts w:ascii="宋体" w:hAnsi="宋体" w:cs="宋体"/>
      <w:b/>
      <w:bCs/>
    </w:rPr>
  </w:style>
  <w:style w:type="paragraph" w:styleId="1284" w:customStyle="1">
    <w:name w:val="xl96"/>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85" w:customStyle="1">
    <w:name w:val="附图标题"/>
    <w:basedOn w:val="776"/>
    <w:next w:val="925"/>
    <w:pPr>
      <w:ind w:left="780" w:hanging="480"/>
      <w:jc w:val="center"/>
      <w:spacing w:after="100"/>
      <w:tabs>
        <w:tab w:val="clear" w:pos="0" w:leader="none"/>
        <w:tab w:val="left" w:pos="780" w:leader="none"/>
      </w:tabs>
    </w:pPr>
    <w:rPr>
      <w:b/>
      <w:sz w:val="21"/>
    </w:rPr>
  </w:style>
  <w:style w:type="paragraph" w:styleId="1286" w:customStyle="1">
    <w:name w:val="正文_16"/>
    <w:qFormat/>
    <w:pPr>
      <w:jc w:val="both"/>
      <w:widowControl w:val="off"/>
    </w:pPr>
    <w:rPr>
      <w:rFonts w:ascii="Calibri" w:hAnsi="Calibri"/>
      <w:sz w:val="21"/>
      <w:szCs w:val="22"/>
    </w:rPr>
  </w:style>
  <w:style w:type="paragraph" w:styleId="1287" w:customStyle="1">
    <w:name w:val="正文_1_0_0_0_0"/>
    <w:qFormat/>
    <w:pPr>
      <w:jc w:val="both"/>
      <w:widowControl w:val="off"/>
    </w:pPr>
    <w:rPr>
      <w:sz w:val="21"/>
    </w:rPr>
  </w:style>
  <w:style w:type="paragraph" w:styleId="1288" w:customStyle="1">
    <w:name w:val="正文_14"/>
    <w:qFormat/>
    <w:pPr>
      <w:jc w:val="both"/>
      <w:widowControl w:val="off"/>
    </w:pPr>
    <w:rPr>
      <w:rFonts w:ascii="Calibri" w:hAnsi="Calibri"/>
      <w:sz w:val="21"/>
      <w:szCs w:val="22"/>
    </w:rPr>
  </w:style>
  <w:style w:type="paragraph" w:styleId="1289" w:customStyle="1">
    <w:name w:val="Normal_7"/>
    <w:qFormat/>
    <w:rPr>
      <w:rFonts w:ascii="黑体" w:hAnsi="黑体" w:eastAsia="黑体"/>
      <w:b/>
      <w:sz w:val="32"/>
      <w:szCs w:val="24"/>
    </w:rPr>
  </w:style>
  <w:style w:type="paragraph" w:styleId="1290" w:customStyle="1">
    <w:name w:val="xl120"/>
    <w:basedOn w:val="746"/>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291" w:customStyle="1">
    <w:name w:val="Char Char Char Char Char Char Char Char Char Char"/>
    <w:basedOn w:val="746"/>
    <w:qFormat/>
    <w:rPr>
      <w:rFonts w:ascii="Tahoma" w:hAnsi="Tahoma"/>
      <w:sz w:val="24"/>
      <w:szCs w:val="20"/>
    </w:rPr>
  </w:style>
  <w:style w:type="paragraph" w:styleId="1292" w:customStyle="1">
    <w:name w:val="正文_10_0_0"/>
    <w:qFormat/>
    <w:pPr>
      <w:jc w:val="both"/>
      <w:widowControl w:val="off"/>
    </w:pPr>
    <w:rPr>
      <w:sz w:val="21"/>
      <w:szCs w:val="24"/>
    </w:rPr>
  </w:style>
  <w:style w:type="paragraph" w:styleId="1293" w:customStyle="1">
    <w:name w:val="默认段落字体 Para Char Char Char Char Char Char Char Char Char Char Char Char Char Char"/>
    <w:basedOn w:val="934"/>
    <w:rPr>
      <w:rFonts w:ascii="Tahoma" w:hAnsi="Tahoma"/>
      <w:sz w:val="24"/>
      <w:szCs w:val="22"/>
    </w:rPr>
  </w:style>
  <w:style w:type="paragraph" w:styleId="1294" w:customStyle="1">
    <w:name w:val="正文_0_1"/>
    <w:qFormat/>
    <w:pPr>
      <w:jc w:val="both"/>
      <w:widowControl w:val="off"/>
    </w:pPr>
    <w:rPr>
      <w:rFonts w:ascii="Calibri" w:hAnsi="Calibri"/>
      <w:sz w:val="21"/>
      <w:szCs w:val="22"/>
    </w:rPr>
  </w:style>
  <w:style w:type="paragraph" w:styleId="1295" w:customStyle="1">
    <w:name w:val="Normal_10"/>
    <w:qFormat/>
    <w:rPr>
      <w:rFonts w:ascii="黑体" w:hAnsi="黑体" w:eastAsia="黑体"/>
      <w:b/>
      <w:sz w:val="32"/>
      <w:szCs w:val="24"/>
    </w:rPr>
  </w:style>
  <w:style w:type="paragraph" w:styleId="1296" w:customStyle="1">
    <w:name w:val="Char Char1 Char Char Char Char Char Char Char Char"/>
    <w:basedOn w:val="746"/>
    <w:pPr>
      <w:jc w:val="left"/>
      <w:spacing w:after="160" w:line="240" w:lineRule="exact"/>
      <w:widowControl/>
    </w:pPr>
    <w:rPr>
      <w:rFonts w:ascii="Calibri" w:hAnsi="Calibri"/>
      <w:szCs w:val="22"/>
    </w:rPr>
  </w:style>
  <w:style w:type="paragraph" w:styleId="1297" w:customStyle="1">
    <w:name w:val="pa-5"/>
    <w:basedOn w:val="746"/>
    <w:pPr>
      <w:spacing w:line="280" w:lineRule="atLeast"/>
      <w:widowControl/>
    </w:pPr>
    <w:rPr>
      <w:rFonts w:ascii="宋体" w:hAnsi="Calibri" w:cs="宋体"/>
      <w:sz w:val="24"/>
      <w:szCs w:val="22"/>
    </w:rPr>
  </w:style>
  <w:style w:type="paragraph" w:styleId="1298" w:customStyle="1">
    <w:name w:val="表格正文"/>
    <w:basedOn w:val="746"/>
    <w:pPr>
      <w:spacing w:line="300" w:lineRule="auto"/>
      <w:tabs>
        <w:tab w:val="left" w:pos="420" w:leader="none"/>
      </w:tabs>
    </w:pPr>
    <w:rPr>
      <w:rFonts w:ascii="Calibri" w:hAnsi="Calibri"/>
      <w:szCs w:val="22"/>
    </w:rPr>
  </w:style>
  <w:style w:type="paragraph" w:styleId="1299" w:customStyle="1">
    <w:name w:val="xl70"/>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0" w:customStyle="1">
    <w:name w:val="Normal_17_0"/>
    <w:qFormat/>
    <w:rPr>
      <w:rFonts w:ascii="黑体" w:hAnsi="黑体" w:eastAsia="黑体"/>
      <w:b/>
      <w:sz w:val="32"/>
      <w:szCs w:val="24"/>
    </w:rPr>
  </w:style>
  <w:style w:type="paragraph" w:styleId="1301" w:customStyle="1">
    <w:name w:val="Normal_2_0"/>
    <w:qFormat/>
    <w:rPr>
      <w:rFonts w:ascii="黑体" w:hAnsi="黑体" w:eastAsia="黑体"/>
      <w:b/>
      <w:sz w:val="32"/>
      <w:szCs w:val="24"/>
    </w:rPr>
  </w:style>
  <w:style w:type="paragraph" w:styleId="1302" w:customStyle="1">
    <w:name w:val="样式 标题 2 + Times New Roman 四号 非加粗 段前: 5 磅 段后: 0 磅 行距: 固定值 20..._0"/>
    <w:basedOn w:val="1079"/>
    <w:qFormat/>
    <w:pPr>
      <w:spacing w:before="100" w:after="0" w:line="400" w:lineRule="exact"/>
    </w:pPr>
    <w:rPr>
      <w:rFonts w:ascii="Times New Roman" w:hAnsi="Times New Roman" w:eastAsia="黑体" w:cs="宋体"/>
      <w:b w:val="0"/>
      <w:bCs w:val="0"/>
      <w:sz w:val="28"/>
      <w:szCs w:val="20"/>
    </w:rPr>
  </w:style>
  <w:style w:type="paragraph" w:styleId="1303" w:customStyle="1">
    <w:name w:val="pa-2"/>
    <w:basedOn w:val="746"/>
    <w:pPr>
      <w:spacing w:line="360" w:lineRule="atLeast"/>
      <w:widowControl/>
    </w:pPr>
    <w:rPr>
      <w:rFonts w:ascii="宋体" w:hAnsi="Calibri" w:cs="宋体"/>
      <w:sz w:val="24"/>
      <w:szCs w:val="22"/>
    </w:rPr>
  </w:style>
  <w:style w:type="paragraph" w:styleId="1304" w:customStyle="1">
    <w:name w:val="xl142"/>
    <w:basedOn w:val="746"/>
    <w:pPr>
      <w:jc w:val="left"/>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05" w:customStyle="1">
    <w:name w:val="Normal_8_0"/>
    <w:qFormat/>
    <w:rPr>
      <w:rFonts w:eastAsia="Times New Roman"/>
      <w:sz w:val="24"/>
      <w:szCs w:val="24"/>
    </w:rPr>
  </w:style>
  <w:style w:type="paragraph" w:styleId="1306" w:customStyle="1">
    <w:name w:val="前言、引言标题"/>
    <w:next w:val="746"/>
    <w:pPr>
      <w:jc w:val="center"/>
      <w:spacing w:before="640" w:after="560"/>
      <w:shd w:val="clear" w:color="ffffff" w:fill="ffffff"/>
      <w:outlineLvl w:val="0"/>
    </w:pPr>
    <w:rPr>
      <w:rFonts w:ascii="黑体" w:eastAsia="黑体"/>
      <w:sz w:val="32"/>
    </w:rPr>
  </w:style>
  <w:style w:type="paragraph" w:styleId="1307" w:customStyle="1">
    <w:name w:val="xl144"/>
    <w:basedOn w:val="74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08" w:customStyle="1">
    <w:name w:val="Char Char Char Char Char Char Char Char Char Char Char Char Char"/>
    <w:basedOn w:val="746"/>
    <w:pPr>
      <w:jc w:val="left"/>
      <w:spacing w:after="160" w:line="240" w:lineRule="exact"/>
      <w:widowControl/>
    </w:pPr>
    <w:rPr>
      <w:rFonts w:ascii="Arial" w:hAnsi="Arial" w:eastAsia="Times New Roman" w:cs="Verdana"/>
      <w:b/>
      <w:sz w:val="24"/>
      <w:szCs w:val="32"/>
      <w:lang w:eastAsia="en-US"/>
    </w:rPr>
  </w:style>
  <w:style w:type="paragraph" w:styleId="1309" w:customStyle="1">
    <w:name w:val="四级条标题"/>
    <w:basedOn w:val="1185"/>
    <w:next w:val="1188"/>
    <w:pPr>
      <w:ind w:left="0"/>
      <w:outlineLvl w:val="5"/>
    </w:pPr>
  </w:style>
  <w:style w:type="paragraph" w:styleId="1310" w:customStyle="1">
    <w:name w:val="font8"/>
    <w:basedOn w:val="746"/>
    <w:qFormat/>
    <w:pPr>
      <w:jc w:val="left"/>
      <w:spacing w:before="100" w:beforeAutospacing="1" w:after="100" w:afterAutospacing="1"/>
      <w:widowControl/>
    </w:pPr>
    <w:rPr>
      <w:rFonts w:ascii="Arial" w:hAnsi="Arial" w:cs="Arial"/>
      <w:color w:val="000000"/>
      <w:sz w:val="18"/>
      <w:szCs w:val="18"/>
    </w:rPr>
  </w:style>
  <w:style w:type="paragraph" w:styleId="1311" w:customStyle="1">
    <w:name w:val="xl90"/>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12" w:customStyle="1">
    <w:name w:val="xl74"/>
    <w:basedOn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3" w:customStyle="1">
    <w:name w:val="txt"/>
    <w:basedOn w:val="746"/>
    <w:pPr>
      <w:jc w:val="left"/>
      <w:spacing w:before="100" w:beforeAutospacing="1" w:after="100" w:afterAutospacing="1"/>
      <w:widowControl/>
    </w:pPr>
    <w:rPr>
      <w:rFonts w:ascii="宋体" w:hAnsi="Calibri" w:cs="宋体"/>
      <w:sz w:val="24"/>
      <w:szCs w:val="22"/>
    </w:rPr>
  </w:style>
  <w:style w:type="paragraph" w:styleId="1314" w:customStyle="1">
    <w:name w:val="xl80"/>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5" w:customStyle="1">
    <w:name w:val="正文_0_0_0"/>
    <w:qFormat/>
    <w:pPr>
      <w:jc w:val="both"/>
      <w:widowControl w:val="off"/>
    </w:pPr>
    <w:rPr>
      <w:sz w:val="21"/>
      <w:szCs w:val="24"/>
    </w:rPr>
  </w:style>
  <w:style w:type="paragraph" w:styleId="1316" w:customStyle="1">
    <w:name w:val="缺省文本"/>
    <w:basedOn w:val="746"/>
    <w:pPr>
      <w:jc w:val="left"/>
    </w:pPr>
    <w:rPr>
      <w:rFonts w:ascii="Calibri" w:hAnsi="Calibri"/>
      <w:sz w:val="24"/>
      <w:szCs w:val="20"/>
    </w:rPr>
  </w:style>
  <w:style w:type="paragraph" w:styleId="1317" w:customStyle="1">
    <w:name w:val="Char Char1 Char Char Char Char Char Char"/>
    <w:basedOn w:val="746"/>
    <w:pPr>
      <w:jc w:val="center"/>
      <w:widowControl/>
    </w:pPr>
    <w:rPr>
      <w:rFonts w:ascii="Calibri" w:hAnsi="Calibri"/>
      <w:szCs w:val="20"/>
    </w:rPr>
  </w:style>
  <w:style w:type="paragraph" w:styleId="1318" w:customStyle="1">
    <w:name w:val="技术方案3"/>
    <w:basedOn w:val="746"/>
    <w:pPr>
      <w:spacing w:line="360" w:lineRule="auto"/>
    </w:pPr>
    <w:rPr>
      <w:rFonts w:ascii="宋体" w:hAnsi="Calibri"/>
      <w:b/>
      <w:bCs/>
      <w:sz w:val="32"/>
      <w:szCs w:val="22"/>
    </w:rPr>
  </w:style>
  <w:style w:type="paragraph" w:styleId="1319" w:customStyle="1">
    <w:name w:val="xl127"/>
    <w:basedOn w:val="74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20" w:customStyle="1">
    <w:name w:val="xl143"/>
    <w:basedOn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321" w:customStyle="1">
    <w:name w:val="正文_1_0"/>
    <w:qFormat/>
    <w:pPr>
      <w:jc w:val="both"/>
      <w:widowControl w:val="off"/>
    </w:pPr>
    <w:rPr>
      <w:sz w:val="21"/>
      <w:szCs w:val="24"/>
    </w:rPr>
  </w:style>
  <w:style w:type="paragraph" w:styleId="1322" w:customStyle="1">
    <w:name w:val="xl119"/>
    <w:basedOn w:val="746"/>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323" w:customStyle="1">
    <w:name w:val="xl100"/>
    <w:basedOn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324" w:customStyle="1">
    <w:name w:val="正文_8_0"/>
    <w:qFormat/>
    <w:pPr>
      <w:jc w:val="both"/>
      <w:widowControl w:val="off"/>
    </w:pPr>
    <w:rPr>
      <w:rFonts w:ascii="Calibri" w:hAnsi="Calibri"/>
      <w:sz w:val="21"/>
      <w:szCs w:val="22"/>
    </w:rPr>
  </w:style>
  <w:style w:type="paragraph" w:styleId="1325" w:customStyle="1">
    <w:name w:val="图表目录1"/>
    <w:pPr>
      <w:ind w:left="840" w:hanging="420"/>
    </w:pPr>
    <w:rPr>
      <w:rFonts w:cs="宋体"/>
      <w:sz w:val="21"/>
    </w:rPr>
  </w:style>
  <w:style w:type="paragraph" w:styleId="1326" w:customStyle="1">
    <w:name w:val="xl40"/>
    <w:basedOn w:val="746"/>
    <w:qFormat/>
    <w:pPr>
      <w:jc w:val="left"/>
      <w:spacing w:before="100" w:beforeAutospacing="1" w:after="100" w:afterAutospacing="1"/>
      <w:widowControl/>
      <w:pBdr>
        <w:right w:val="single" w:color="000000" w:sz="4" w:space="0"/>
      </w:pBdr>
    </w:pPr>
    <w:rPr>
      <w:rFonts w:ascii="Arial Unicode MS" w:hAnsi="Arial Unicode MS"/>
      <w:sz w:val="24"/>
      <w:szCs w:val="22"/>
    </w:rPr>
  </w:style>
  <w:style w:type="paragraph" w:styleId="1327" w:customStyle="1">
    <w:name w:val="首页标题 一号"/>
    <w:basedOn w:val="1328"/>
    <w:rPr>
      <w:sz w:val="52"/>
    </w:rPr>
  </w:style>
  <w:style w:type="paragraph" w:styleId="1328" w:customStyle="1">
    <w:name w:val="首页标题小初"/>
    <w:pPr>
      <w:jc w:val="center"/>
    </w:pPr>
    <w:rPr>
      <w:rFonts w:ascii="黑体" w:eastAsia="黑体" w:cs="宋体"/>
      <w:sz w:val="72"/>
    </w:rPr>
  </w:style>
  <w:style w:type="paragraph" w:styleId="1329" w:customStyle="1">
    <w:name w:val="xl111"/>
    <w:basedOn w:val="746"/>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330" w:customStyle="1">
    <w:name w:val="保密事宜格式"/>
    <w:basedOn w:val="776"/>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31" w:customStyle="1">
    <w:name w:val="默认段落字体 Para Char Char Char Char Char Char Char Char Char1 Char Char Char Char Char Char Char"/>
    <w:basedOn w:val="934"/>
    <w:qFormat/>
    <w:rPr>
      <w:rFonts w:ascii="Tahoma" w:hAnsi="Tahoma"/>
      <w:sz w:val="24"/>
      <w:szCs w:val="24"/>
    </w:rPr>
  </w:style>
  <w:style w:type="paragraph" w:styleId="1332" w:customStyle="1">
    <w:name w:val="缩进正文"/>
    <w:basedOn w:val="746"/>
    <w:pPr>
      <w:ind w:left="1418" w:firstLine="425"/>
      <w:jc w:val="left"/>
      <w:spacing w:after="200" w:line="400" w:lineRule="exact"/>
      <w:widowControl/>
    </w:pPr>
    <w:rPr>
      <w:rFonts w:ascii="宋体" w:hAnsi="Calibri"/>
      <w:sz w:val="24"/>
      <w:szCs w:val="20"/>
    </w:rPr>
  </w:style>
  <w:style w:type="paragraph" w:styleId="1333" w:customStyle="1">
    <w:name w:val="Normal_12_0"/>
    <w:qFormat/>
    <w:pPr>
      <w:jc w:val="both"/>
      <w:widowControl w:val="off"/>
    </w:pPr>
    <w:rPr>
      <w:rFonts w:ascii="Calibri" w:hAnsi="Calibri"/>
      <w:sz w:val="21"/>
      <w:szCs w:val="22"/>
    </w:rPr>
  </w:style>
  <w:style w:type="paragraph" w:styleId="1334" w:customStyle="1">
    <w:name w:val="Normal_1"/>
    <w:qFormat/>
    <w:rPr>
      <w:rFonts w:ascii="黑体" w:hAnsi="黑体" w:eastAsia="黑体"/>
      <w:b/>
      <w:sz w:val="32"/>
      <w:szCs w:val="24"/>
    </w:rPr>
  </w:style>
  <w:style w:type="paragraph" w:styleId="1335" w:customStyle="1">
    <w:name w:val="xl86"/>
    <w:basedOn w:val="746"/>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36" w:customStyle="1">
    <w:name w:val="默认段落字体 Para Char"/>
    <w:basedOn w:val="746"/>
    <w:rPr>
      <w:rFonts w:ascii="宋体" w:hAnsi="Calibri"/>
      <w:b/>
      <w:sz w:val="28"/>
      <w:szCs w:val="28"/>
    </w:rPr>
  </w:style>
  <w:style w:type="paragraph" w:styleId="1337" w:customStyle="1">
    <w:name w:val="Char Char Char Char Char Char Char Char Char Char Char Char Char1"/>
    <w:basedOn w:val="746"/>
    <w:qFormat/>
    <w:rPr>
      <w:rFonts w:ascii="Calibri" w:hAnsi="Calibri"/>
      <w:szCs w:val="20"/>
    </w:rPr>
  </w:style>
  <w:style w:type="paragraph" w:styleId="1338" w:customStyle="1">
    <w:name w:val="正文_7_0"/>
    <w:qFormat/>
    <w:pPr>
      <w:jc w:val="both"/>
      <w:widowControl w:val="off"/>
    </w:pPr>
    <w:rPr>
      <w:rFonts w:ascii="Calibri" w:hAnsi="Calibri"/>
      <w:sz w:val="21"/>
      <w:szCs w:val="22"/>
    </w:rPr>
  </w:style>
  <w:style w:type="paragraph" w:styleId="1339" w:customStyle="1">
    <w:name w:val="Normal_12"/>
    <w:qFormat/>
    <w:rPr>
      <w:rFonts w:ascii="黑体" w:hAnsi="黑体" w:eastAsia="黑体"/>
      <w:b/>
      <w:sz w:val="32"/>
      <w:szCs w:val="24"/>
    </w:rPr>
  </w:style>
  <w:style w:type="paragraph" w:styleId="1340" w:customStyle="1">
    <w:name w:val="xl35"/>
    <w:basedOn w:val="7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1" w:customStyle="1">
    <w:name w:val="xl117"/>
    <w:basedOn w:val="746"/>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42" w:customStyle="1">
    <w:name w:val="Normal_11"/>
    <w:qFormat/>
    <w:rPr>
      <w:rFonts w:ascii="黑体" w:hAnsi="黑体" w:eastAsia="黑体"/>
      <w:b/>
      <w:sz w:val="32"/>
      <w:szCs w:val="24"/>
    </w:rPr>
  </w:style>
  <w:style w:type="paragraph" w:styleId="1343" w:customStyle="1">
    <w:name w:val="首页单位日期"/>
    <w:basedOn w:val="746"/>
    <w:pPr>
      <w:jc w:val="center"/>
      <w:widowControl/>
    </w:pPr>
    <w:rPr>
      <w:rFonts w:ascii="宋体" w:hAnsi="Calibri" w:cs="宋体"/>
      <w:bCs/>
      <w:sz w:val="28"/>
      <w:szCs w:val="20"/>
    </w:rPr>
  </w:style>
  <w:style w:type="paragraph" w:styleId="1344" w:customStyle="1">
    <w:name w:val="正文（黑体）"/>
    <w:basedOn w:val="746"/>
    <w:next w:val="746"/>
    <w:pPr>
      <w:ind w:firstLine="200"/>
      <w:spacing w:before="50" w:after="50" w:line="360" w:lineRule="auto"/>
    </w:pPr>
    <w:rPr>
      <w:rFonts w:ascii="黑体" w:hAnsi="Calibri" w:eastAsia="黑体"/>
      <w:color w:val="000080"/>
      <w:sz w:val="24"/>
      <w:szCs w:val="22"/>
    </w:rPr>
  </w:style>
  <w:style w:type="paragraph" w:styleId="1345" w:customStyle="1">
    <w:name w:val="WPSOffice手动目录 1"/>
  </w:style>
  <w:style w:type="paragraph" w:styleId="1346" w:customStyle="1">
    <w:name w:val="1"/>
    <w:basedOn w:val="746"/>
    <w:next w:val="746"/>
    <w:rPr>
      <w:szCs w:val="20"/>
    </w:rPr>
  </w:style>
  <w:style w:type="paragraph" w:styleId="1347" w:customStyle="1">
    <w:name w:val="xl73"/>
    <w:basedOn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8" w:customStyle="1">
    <w:name w:val="Char12"/>
    <w:basedOn w:val="746"/>
    <w:pPr>
      <w:ind w:left="360" w:right="202" w:firstLine="360"/>
      <w:spacing w:line="480" w:lineRule="auto"/>
      <w:tabs>
        <w:tab w:val="left" w:pos="360" w:leader="none"/>
      </w:tabs>
    </w:pPr>
    <w:rPr>
      <w:rFonts w:ascii="Calibri" w:hAnsi="Calibri"/>
      <w:sz w:val="24"/>
      <w:szCs w:val="22"/>
    </w:rPr>
  </w:style>
  <w:style w:type="paragraph" w:styleId="1349" w:customStyle="1">
    <w:name w:val="Normal1"/>
    <w:qFormat/>
    <w:rPr>
      <w:rFonts w:eastAsia="Times New Roman"/>
      <w:sz w:val="24"/>
      <w:szCs w:val="24"/>
    </w:rPr>
  </w:style>
  <w:style w:type="paragraph" w:styleId="1350" w:customStyle="1">
    <w:name w:val="Normal_6"/>
    <w:qFormat/>
    <w:rPr>
      <w:rFonts w:ascii="黑体" w:hAnsi="黑体" w:eastAsia="黑体"/>
      <w:b/>
      <w:sz w:val="32"/>
      <w:szCs w:val="24"/>
    </w:rPr>
  </w:style>
  <w:style w:type="paragraph" w:styleId="1351" w:customStyle="1">
    <w:name w:val="样式3"/>
    <w:basedOn w:val="749"/>
    <w:pPr>
      <w:spacing w:line="415" w:lineRule="auto"/>
    </w:pPr>
    <w:rPr>
      <w:rFonts w:ascii="Calibri" w:hAnsi="Calibri"/>
      <w:sz w:val="28"/>
      <w:szCs w:val="28"/>
    </w:rPr>
  </w:style>
  <w:style w:type="paragraph" w:styleId="1352" w:customStyle="1">
    <w:name w:val="xl155"/>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53" w:customStyle="1">
    <w:name w:val="xl87"/>
    <w:basedOn w:val="746"/>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354" w:customStyle="1">
    <w:name w:val="正文_3"/>
    <w:qFormat/>
    <w:pPr>
      <w:jc w:val="both"/>
      <w:widowControl w:val="off"/>
    </w:pPr>
    <w:rPr>
      <w:rFonts w:ascii="Calibri" w:hAnsi="Calibri"/>
      <w:sz w:val="21"/>
      <w:szCs w:val="22"/>
    </w:rPr>
  </w:style>
  <w:style w:type="paragraph" w:styleId="1355" w:customStyle="1">
    <w:name w:val="正文_5"/>
    <w:qFormat/>
    <w:pPr>
      <w:jc w:val="both"/>
      <w:widowControl w:val="off"/>
    </w:pPr>
    <w:rPr>
      <w:sz w:val="21"/>
    </w:rPr>
  </w:style>
  <w:style w:type="paragraph" w:styleId="1356" w:customStyle="1">
    <w:name w:val="默认段落字体 Para Char Char Char Char Char"/>
    <w:basedOn w:val="746"/>
    <w:pPr>
      <w:ind w:firstLine="200"/>
      <w:jc w:val="left"/>
      <w:spacing w:before="100" w:beforeAutospacing="1" w:after="100" w:afterAutospacing="1" w:line="360" w:lineRule="auto"/>
    </w:pPr>
    <w:rPr>
      <w:rFonts w:ascii="Arial" w:hAnsi="Arial"/>
      <w:sz w:val="24"/>
      <w:szCs w:val="22"/>
      <w:lang w:eastAsia="en-US"/>
    </w:rPr>
  </w:style>
  <w:style w:type="paragraph" w:styleId="1357" w:customStyle="1">
    <w:name w:val="技术方案2"/>
    <w:basedOn w:val="746"/>
    <w:pPr>
      <w:spacing w:line="480" w:lineRule="auto"/>
    </w:pPr>
    <w:rPr>
      <w:rFonts w:ascii="宋体" w:hAnsi="Calibri"/>
      <w:b/>
      <w:bCs/>
      <w:sz w:val="36"/>
      <w:szCs w:val="22"/>
    </w:rPr>
  </w:style>
  <w:style w:type="paragraph" w:styleId="1358" w:customStyle="1">
    <w:name w:val="font11"/>
    <w:basedOn w:val="746"/>
    <w:pPr>
      <w:jc w:val="left"/>
      <w:spacing w:before="100" w:beforeAutospacing="1" w:after="100" w:afterAutospacing="1"/>
      <w:widowControl/>
    </w:pPr>
    <w:rPr>
      <w:rFonts w:ascii="宋体" w:hAnsi="宋体" w:cs="宋体"/>
      <w:sz w:val="22"/>
      <w:szCs w:val="22"/>
    </w:rPr>
  </w:style>
  <w:style w:type="paragraph" w:styleId="1359" w:customStyle="1">
    <w:name w:val="È±Ê¡ÎÄ±¾"/>
    <w:basedOn w:val="746"/>
    <w:pPr>
      <w:jc w:val="left"/>
      <w:spacing w:line="360" w:lineRule="auto"/>
      <w:widowControl/>
    </w:pPr>
    <w:rPr>
      <w:rFonts w:ascii="Calibri" w:hAnsi="Calibri"/>
      <w:sz w:val="24"/>
      <w:szCs w:val="20"/>
    </w:rPr>
  </w:style>
  <w:style w:type="paragraph" w:styleId="1360" w:customStyle="1">
    <w:name w:val="xl92"/>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1" w:customStyle="1">
    <w:name w:val="正文_9_0"/>
    <w:qFormat/>
    <w:pPr>
      <w:jc w:val="both"/>
      <w:widowControl w:val="off"/>
    </w:pPr>
    <w:rPr>
      <w:rFonts w:ascii="Calibri" w:hAnsi="Calibri"/>
      <w:sz w:val="21"/>
      <w:szCs w:val="22"/>
    </w:rPr>
  </w:style>
  <w:style w:type="paragraph" w:styleId="1362" w:customStyle="1">
    <w:name w:val="正文_15"/>
    <w:qFormat/>
    <w:pPr>
      <w:jc w:val="both"/>
      <w:widowControl w:val="off"/>
    </w:pPr>
    <w:rPr>
      <w:rFonts w:ascii="Calibri" w:hAnsi="Calibri"/>
      <w:sz w:val="21"/>
      <w:szCs w:val="22"/>
    </w:rPr>
  </w:style>
  <w:style w:type="paragraph" w:styleId="1363" w:customStyle="1">
    <w:name w:val="Normal_3"/>
    <w:qFormat/>
    <w:rPr>
      <w:rFonts w:ascii="黑体" w:hAnsi="黑体" w:eastAsia="黑体"/>
      <w:b/>
      <w:sz w:val="32"/>
      <w:szCs w:val="24"/>
    </w:rPr>
  </w:style>
  <w:style w:type="paragraph" w:styleId="1364" w:customStyle="1">
    <w:name w:val="xl31"/>
    <w:basedOn w:val="746"/>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65" w:customStyle="1">
    <w:name w:val="xl67"/>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6" w:customStyle="1">
    <w:name w:val="正文_9_1_0"/>
    <w:qFormat/>
    <w:pPr>
      <w:jc w:val="both"/>
      <w:widowControl w:val="off"/>
    </w:pPr>
    <w:rPr>
      <w:sz w:val="21"/>
      <w:szCs w:val="24"/>
    </w:rPr>
  </w:style>
  <w:style w:type="paragraph" w:styleId="1367" w:customStyle="1">
    <w:name w:val="表格标题"/>
    <w:basedOn w:val="746"/>
    <w:pPr>
      <w:jc w:val="center"/>
    </w:pPr>
    <w:rPr>
      <w:rFonts w:ascii="Calibri" w:hAnsi="Calibri"/>
      <w:b/>
      <w:szCs w:val="22"/>
    </w:rPr>
  </w:style>
  <w:style w:type="paragraph" w:styleId="1368" w:customStyle="1">
    <w:name w:val="大汉方案正文 Char"/>
    <w:basedOn w:val="746"/>
    <w:pPr>
      <w:ind w:firstLine="200"/>
      <w:spacing w:line="360" w:lineRule="auto"/>
    </w:pPr>
    <w:rPr>
      <w:rFonts w:ascii="Arial" w:hAnsi="Arial"/>
      <w:sz w:val="24"/>
      <w:szCs w:val="22"/>
    </w:rPr>
  </w:style>
  <w:style w:type="paragraph" w:styleId="1369" w:customStyle="1">
    <w:name w:val="xl88"/>
    <w:basedOn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70" w:customStyle="1">
    <w:name w:val="Normal_7_0"/>
    <w:qFormat/>
    <w:rPr>
      <w:rFonts w:ascii="黑体" w:hAnsi="黑体" w:eastAsia="黑体"/>
      <w:b/>
      <w:sz w:val="32"/>
      <w:szCs w:val="24"/>
    </w:rPr>
  </w:style>
  <w:style w:type="paragraph" w:styleId="1371" w:customStyle="1">
    <w:name w:val="Normal_9"/>
    <w:qFormat/>
    <w:rPr>
      <w:rFonts w:ascii="黑体" w:hAnsi="黑体" w:eastAsia="黑体"/>
      <w:b/>
      <w:sz w:val="32"/>
      <w:szCs w:val="24"/>
    </w:rPr>
  </w:style>
  <w:style w:type="paragraph" w:styleId="1372" w:customStyle="1">
    <w:name w:val="样式 序号----------- + 仿宋_GB23121"/>
    <w:basedOn w:val="1373"/>
    <w:pPr>
      <w:spacing w:line="360" w:lineRule="auto"/>
    </w:pPr>
    <w:rPr>
      <w:rFonts w:ascii="仿宋_GB2312" w:eastAsia="仿宋_GB2312"/>
      <w:bCs w:val="0"/>
    </w:rPr>
  </w:style>
  <w:style w:type="paragraph" w:styleId="1373" w:customStyle="1">
    <w:name w:val="序号-----------"/>
    <w:basedOn w:val="746"/>
    <w:pPr>
      <w:jc w:val="left"/>
      <w:widowControl/>
    </w:pPr>
    <w:rPr>
      <w:rFonts w:ascii="宋体" w:hAnsi="Calibri"/>
      <w:bCs/>
    </w:rPr>
  </w:style>
  <w:style w:type="paragraph" w:styleId="1374" w:customStyle="1">
    <w:name w:val="pa-10"/>
    <w:basedOn w:val="746"/>
    <w:pPr>
      <w:spacing w:line="240" w:lineRule="atLeast"/>
      <w:widowControl/>
    </w:pPr>
    <w:rPr>
      <w:rFonts w:ascii="宋体" w:hAnsi="Calibri" w:cs="宋体"/>
      <w:sz w:val="24"/>
      <w:szCs w:val="22"/>
    </w:rPr>
  </w:style>
  <w:style w:type="paragraph" w:styleId="1375" w:customStyle="1">
    <w:name w:val="xl103"/>
    <w:basedOn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76" w:customStyle="1">
    <w:name w:val="Normal_19"/>
    <w:qFormat/>
    <w:rPr>
      <w:rFonts w:ascii="黑体" w:hAnsi="黑体" w:eastAsia="黑体"/>
      <w:b/>
      <w:sz w:val="32"/>
      <w:szCs w:val="24"/>
    </w:rPr>
  </w:style>
  <w:style w:type="paragraph" w:styleId="1377" w:customStyle="1">
    <w:name w:val="正文_0_0_0_0"/>
    <w:qFormat/>
    <w:pPr>
      <w:jc w:val="both"/>
      <w:widowControl w:val="off"/>
    </w:pPr>
    <w:rPr>
      <w:sz w:val="21"/>
      <w:szCs w:val="24"/>
    </w:rPr>
  </w:style>
  <w:style w:type="paragraph" w:styleId="1378" w:customStyle="1">
    <w:name w:val="Table Text/Title"/>
    <w:basedOn w:val="746"/>
    <w:pPr>
      <w:jc w:val="left"/>
      <w:widowControl/>
    </w:pPr>
    <w:rPr>
      <w:rFonts w:ascii="宋体" w:hAnsi="Calibri"/>
      <w:b/>
      <w:bCs/>
      <w:sz w:val="20"/>
      <w:szCs w:val="20"/>
      <w:lang w:eastAsia="en-US"/>
    </w:rPr>
  </w:style>
  <w:style w:type="paragraph" w:styleId="1379" w:customStyle="1">
    <w:name w:val="Normal_18"/>
    <w:qFormat/>
    <w:rPr>
      <w:rFonts w:ascii="黑体" w:hAnsi="黑体" w:eastAsia="黑体"/>
      <w:b/>
      <w:sz w:val="32"/>
      <w:szCs w:val="24"/>
    </w:rPr>
  </w:style>
  <w:style w:type="paragraph" w:styleId="1380" w:customStyle="1">
    <w:name w:val="正文_0_0"/>
    <w:qFormat/>
    <w:pPr>
      <w:jc w:val="both"/>
      <w:widowControl w:val="off"/>
    </w:pPr>
    <w:rPr>
      <w:sz w:val="21"/>
      <w:szCs w:val="24"/>
    </w:rPr>
  </w:style>
  <w:style w:type="paragraph" w:styleId="1381" w:customStyle="1">
    <w:name w:val="技术方案正文"/>
    <w:basedOn w:val="746"/>
    <w:pPr>
      <w:ind w:firstLine="480"/>
      <w:spacing w:line="360" w:lineRule="auto"/>
    </w:pPr>
    <w:rPr>
      <w:rFonts w:ascii="宋体" w:hAnsi="Calibri"/>
      <w:sz w:val="24"/>
      <w:szCs w:val="22"/>
    </w:rPr>
  </w:style>
  <w:style w:type="paragraph" w:styleId="1382" w:customStyle="1">
    <w:name w:val="ibm-list-next"/>
    <w:basedOn w:val="746"/>
    <w:pPr>
      <w:jc w:val="left"/>
      <w:spacing w:before="100" w:beforeAutospacing="1" w:after="100" w:afterAutospacing="1"/>
      <w:widowControl/>
    </w:pPr>
    <w:rPr>
      <w:rFonts w:ascii="宋体" w:hAnsi="Calibri" w:cs="宋体"/>
      <w:sz w:val="24"/>
      <w:szCs w:val="22"/>
    </w:rPr>
  </w:style>
  <w:style w:type="paragraph" w:styleId="1383" w:customStyle="1">
    <w:name w:val="Char Char Char Char Char Char Char"/>
    <w:basedOn w:val="746"/>
    <w:pPr>
      <w:jc w:val="left"/>
      <w:spacing w:after="160" w:line="240" w:lineRule="exact"/>
      <w:widowControl/>
    </w:pPr>
    <w:rPr>
      <w:rFonts w:ascii="Verdana" w:hAnsi="Verdana"/>
      <w:sz w:val="20"/>
      <w:szCs w:val="20"/>
      <w:lang w:eastAsia="en-US"/>
    </w:rPr>
  </w:style>
  <w:style w:type="paragraph" w:styleId="1384" w:customStyle="1">
    <w:name w:val="xl91"/>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85" w:customStyle="1">
    <w:name w:val="表格"/>
    <w:basedOn w:val="746"/>
    <w:qFormat/>
    <w:pPr>
      <w:ind w:firstLine="21"/>
    </w:pPr>
    <w:rPr>
      <w:rFonts w:ascii="宋体" w:hAnsi="Calibri"/>
      <w:szCs w:val="20"/>
    </w:rPr>
  </w:style>
  <w:style w:type="paragraph" w:styleId="1386" w:customStyle="1">
    <w:name w:val="编号2"/>
    <w:pPr>
      <w:ind w:left="720" w:hanging="360"/>
      <w:spacing w:before="120" w:after="120" w:line="360" w:lineRule="auto"/>
      <w:tabs>
        <w:tab w:val="left" w:pos="-40" w:leader="none"/>
      </w:tabs>
    </w:pPr>
    <w:rPr>
      <w:rFonts w:ascii="仿宋_GB2312" w:eastAsia="仿宋_GB2312"/>
      <w:color w:val="ff0000"/>
      <w:sz w:val="24"/>
      <w:szCs w:val="24"/>
    </w:rPr>
  </w:style>
  <w:style w:type="paragraph" w:styleId="1387" w:customStyle="1">
    <w:name w:val="样式 标题 2 + Times New Roman 四号 非加粗 段前: 5 磅 段后: 0 磅 行距: 固定值 20..."/>
    <w:basedOn w:val="748"/>
    <w:qFormat/>
    <w:pPr>
      <w:jc w:val="both"/>
      <w:spacing w:before="100" w:after="0" w:line="400" w:lineRule="exact"/>
    </w:pPr>
    <w:rPr>
      <w:rFonts w:ascii="Times New Roman" w:hAnsi="Times New Roman" w:eastAsia="黑体" w:cs="宋体"/>
      <w:b w:val="0"/>
      <w:bCs w:val="0"/>
      <w:sz w:val="28"/>
      <w:szCs w:val="20"/>
    </w:rPr>
  </w:style>
  <w:style w:type="paragraph" w:styleId="1388" w:customStyle="1">
    <w:name w:val="正文小四"/>
    <w:basedOn w:val="746"/>
    <w:pPr>
      <w:spacing w:line="312" w:lineRule="auto"/>
    </w:pPr>
    <w:rPr>
      <w:rFonts w:ascii="Calibri" w:hAnsi="Calibri"/>
      <w:sz w:val="24"/>
      <w:szCs w:val="22"/>
    </w:rPr>
  </w:style>
  <w:style w:type="paragraph" w:styleId="1389" w:customStyle="1">
    <w:name w:val="xl123"/>
    <w:basedOn w:val="746"/>
    <w:pP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390" w:customStyle="1">
    <w:name w:val="_Style 46"/>
    <w:qFormat/>
    <w:pPr>
      <w:jc w:val="both"/>
      <w:widowControl w:val="off"/>
    </w:pPr>
    <w:rPr>
      <w:sz w:val="21"/>
      <w:szCs w:val="24"/>
    </w:rPr>
  </w:style>
  <w:style w:type="paragraph" w:styleId="1391" w:customStyle="1">
    <w:name w:val="Char1"/>
    <w:basedOn w:val="746"/>
    <w:qFormat/>
    <w:rPr>
      <w:rFonts w:ascii="Calibri" w:hAnsi="Calibri"/>
      <w:szCs w:val="22"/>
    </w:rPr>
  </w:style>
  <w:style w:type="paragraph" w:styleId="1392" w:customStyle="1">
    <w:name w:val="xl114"/>
    <w:basedOn w:val="746"/>
    <w:pPr>
      <w:jc w:val="cente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393" w:customStyle="1">
    <w:name w:val="xl81"/>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94" w:customStyle="1">
    <w:name w:val="Normal_16_0"/>
    <w:qFormat/>
    <w:rPr>
      <w:rFonts w:ascii="黑体" w:hAnsi="黑体" w:eastAsia="黑体"/>
      <w:b/>
      <w:sz w:val="32"/>
      <w:szCs w:val="24"/>
    </w:rPr>
  </w:style>
  <w:style w:type="paragraph" w:styleId="1395" w:customStyle="1">
    <w:name w:val="Normal Paragraph"/>
    <w:basedOn w:val="746"/>
    <w:pPr>
      <w:ind w:firstLine="425"/>
      <w:spacing w:before="120" w:line="360" w:lineRule="auto"/>
      <w:widowControl/>
    </w:pPr>
    <w:rPr>
      <w:rFonts w:ascii="Calibri" w:hAnsi="Calibri"/>
      <w:sz w:val="24"/>
      <w:szCs w:val="20"/>
    </w:rPr>
  </w:style>
  <w:style w:type="paragraph" w:styleId="1396" w:customStyle="1">
    <w:name w:val="xl132"/>
    <w:basedOn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397" w:customStyle="1">
    <w:name w:val="xl94"/>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8" w:customStyle="1">
    <w:name w:val="正文1"/>
    <w:basedOn w:val="746"/>
    <w:qFormat/>
    <w:pPr>
      <w:ind w:left="357" w:firstLine="420"/>
      <w:jc w:val="left"/>
      <w:spacing w:line="360" w:lineRule="auto"/>
      <w:widowControl/>
    </w:pPr>
    <w:rPr>
      <w:rFonts w:ascii="Calibri" w:hAnsi="Calibri" w:cs="Arial"/>
      <w:szCs w:val="20"/>
    </w:rPr>
  </w:style>
  <w:style w:type="paragraph" w:styleId="1399" w:customStyle="1">
    <w:name w:val="正文_13_0_0"/>
    <w:qFormat/>
    <w:pPr>
      <w:jc w:val="both"/>
      <w:widowControl w:val="off"/>
    </w:pPr>
    <w:rPr>
      <w:sz w:val="21"/>
      <w:szCs w:val="24"/>
    </w:rPr>
  </w:style>
  <w:style w:type="paragraph" w:styleId="1400" w:customStyle="1">
    <w:name w:val="正文_8_1"/>
    <w:qFormat/>
    <w:pPr>
      <w:jc w:val="both"/>
      <w:widowControl w:val="off"/>
    </w:pPr>
    <w:rPr>
      <w:rFonts w:ascii="Calibri" w:hAnsi="Calibri"/>
      <w:sz w:val="21"/>
      <w:szCs w:val="22"/>
    </w:rPr>
  </w:style>
  <w:style w:type="paragraph" w:styleId="1401" w:customStyle="1">
    <w:name w:val="Char Char Char"/>
    <w:basedOn w:val="746"/>
    <w:rPr>
      <w:rFonts w:ascii="Calibri" w:hAnsi="Calibri"/>
    </w:rPr>
  </w:style>
  <w:style w:type="paragraph" w:styleId="1402" w:customStyle="1">
    <w:name w:val="Indent Normal"/>
    <w:basedOn w:val="746"/>
    <w:pPr>
      <w:ind w:firstLine="150"/>
    </w:pPr>
    <w:rPr>
      <w:rFonts w:ascii="Calibri" w:hAnsi="Calibri"/>
      <w:sz w:val="24"/>
      <w:szCs w:val="20"/>
    </w:rPr>
  </w:style>
  <w:style w:type="paragraph" w:styleId="1403" w:customStyle="1">
    <w:name w:val="我的样式"/>
    <w:basedOn w:val="746"/>
    <w:pPr>
      <w:ind w:firstLine="420"/>
      <w:jc w:val="left"/>
      <w:spacing w:after="120"/>
      <w:widowControl/>
    </w:pPr>
    <w:rPr>
      <w:rFonts w:ascii="宋体" w:hAnsi="Calibri"/>
      <w:color w:val="000000"/>
      <w:sz w:val="24"/>
      <w:szCs w:val="16"/>
    </w:rPr>
  </w:style>
  <w:style w:type="paragraph" w:styleId="1404" w:customStyle="1">
    <w:name w:val="xl98"/>
    <w:basedOn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05" w:customStyle="1">
    <w:name w:val="pbody"/>
    <w:basedOn w:val="746"/>
    <w:pPr>
      <w:jc w:val="left"/>
      <w:spacing w:before="100" w:beforeAutospacing="1" w:after="100" w:afterAutospacing="1" w:line="360" w:lineRule="auto"/>
      <w:widowControl/>
    </w:pPr>
    <w:rPr>
      <w:rFonts w:ascii="宋体" w:hAnsi="Calibri" w:cs="宋体"/>
      <w:sz w:val="24"/>
      <w:szCs w:val="22"/>
    </w:rPr>
  </w:style>
  <w:style w:type="paragraph" w:styleId="1406" w:customStyle="1">
    <w:name w:val="xl85"/>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7" w:customStyle="1">
    <w:name w:val="Normal Paragraph Char"/>
    <w:basedOn w:val="746"/>
    <w:pPr>
      <w:ind w:firstLine="425"/>
      <w:spacing w:before="120" w:line="360" w:lineRule="auto"/>
      <w:widowControl/>
    </w:pPr>
    <w:rPr>
      <w:rFonts w:ascii="Calibri" w:hAnsi="Calibri"/>
      <w:sz w:val="24"/>
      <w:szCs w:val="22"/>
    </w:rPr>
  </w:style>
  <w:style w:type="paragraph" w:styleId="1408" w:customStyle="1">
    <w:name w:val="pa-6"/>
    <w:basedOn w:val="746"/>
    <w:pPr>
      <w:spacing w:line="360" w:lineRule="atLeast"/>
      <w:widowControl/>
    </w:pPr>
    <w:rPr>
      <w:rFonts w:ascii="宋体" w:hAnsi="Calibri"/>
      <w:sz w:val="24"/>
      <w:szCs w:val="20"/>
    </w:rPr>
  </w:style>
  <w:style w:type="paragraph" w:styleId="1409" w:customStyle="1">
    <w:name w:val="一级缩进"/>
    <w:pPr>
      <w:jc w:val="both"/>
      <w:spacing w:before="120" w:after="120" w:line="360" w:lineRule="auto"/>
      <w:tabs>
        <w:tab w:val="left" w:pos="0" w:leader="none"/>
        <w:tab w:val="left" w:pos="568" w:leader="none"/>
      </w:tabs>
    </w:pPr>
    <w:rPr>
      <w:rFonts w:eastAsia="仿宋_GB2312"/>
      <w:sz w:val="24"/>
      <w:szCs w:val="24"/>
    </w:rPr>
  </w:style>
  <w:style w:type="paragraph" w:styleId="1410" w:customStyle="1">
    <w:name w:val="样式6"/>
    <w:basedOn w:val="994"/>
    <w:pPr>
      <w:numPr>
        <w:numId w:val="0"/>
      </w:numPr>
      <w:keepLines/>
      <w:keepNext/>
      <w:spacing w:before="260" w:after="260" w:line="415" w:lineRule="auto"/>
      <w:tabs>
        <w:tab w:val="left" w:pos="0" w:leader="none"/>
        <w:tab w:val="left" w:pos="709" w:leader="none"/>
      </w:tabs>
      <w:outlineLvl w:val="1"/>
    </w:pPr>
    <w:rPr>
      <w:rFonts w:ascii="Times New Roman" w:hAnsi="Times New Roman"/>
      <w:b/>
      <w:bCs/>
      <w:sz w:val="32"/>
      <w:szCs w:val="32"/>
    </w:rPr>
  </w:style>
  <w:style w:type="paragraph" w:styleId="1411" w:customStyle="1">
    <w:name w:val="xl38"/>
    <w:basedOn w:val="7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12" w:customStyle="1">
    <w:name w:val="正文_12_0_0"/>
    <w:qFormat/>
    <w:pPr>
      <w:jc w:val="both"/>
      <w:widowControl w:val="off"/>
    </w:pPr>
    <w:rPr>
      <w:sz w:val="21"/>
      <w:szCs w:val="24"/>
    </w:rPr>
  </w:style>
  <w:style w:type="paragraph" w:styleId="1413" w:customStyle="1">
    <w:name w:val="Normal_10_0"/>
    <w:qFormat/>
    <w:rPr>
      <w:rFonts w:ascii="黑体" w:hAnsi="黑体" w:eastAsia="黑体"/>
      <w:b/>
      <w:sz w:val="32"/>
      <w:szCs w:val="24"/>
    </w:rPr>
  </w:style>
  <w:style w:type="paragraph" w:styleId="1414" w:customStyle="1">
    <w:name w:val="ul"/>
    <w:basedOn w:val="746"/>
    <w:pPr>
      <w:ind w:left="567" w:hanging="85"/>
      <w:jc w:val="left"/>
      <w:spacing w:line="360" w:lineRule="auto"/>
      <w:widowControl/>
      <w:tabs>
        <w:tab w:val="num" w:pos="709" w:leader="none"/>
        <w:tab w:val="left" w:pos="842" w:leader="none"/>
      </w:tabs>
    </w:pPr>
    <w:rPr>
      <w:rFonts w:ascii="Calibri" w:hAnsi="Calibri"/>
      <w:sz w:val="24"/>
      <w:szCs w:val="22"/>
    </w:rPr>
  </w:style>
  <w:style w:type="paragraph" w:styleId="1415" w:customStyle="1">
    <w:name w:val="xl39"/>
    <w:basedOn w:val="74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416" w:customStyle="1">
    <w:name w:val="五级条标题"/>
    <w:basedOn w:val="1309"/>
    <w:next w:val="1188"/>
    <w:pPr>
      <w:outlineLvl w:val="6"/>
    </w:pPr>
  </w:style>
  <w:style w:type="paragraph" w:styleId="1417" w:customStyle="1">
    <w:name w:val="xl89"/>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18" w:customStyle="1">
    <w:name w:val="样式 标题 1 + 黑体 三号 非加粗 居中 段前: 6 磅 段后: 6 磅 行距: 固定值 20 磅"/>
    <w:basedOn w:val="747"/>
    <w:qFormat/>
    <w:pPr>
      <w:keepLines/>
      <w:spacing w:before="120" w:after="120" w:line="400" w:lineRule="exact"/>
    </w:pPr>
    <w:rPr>
      <w:rFonts w:ascii="黑体" w:hAnsi="黑体" w:eastAsia="黑体" w:cs="宋体"/>
      <w:sz w:val="32"/>
      <w:szCs w:val="20"/>
    </w:rPr>
  </w:style>
  <w:style w:type="paragraph" w:styleId="1419" w:customStyle="1">
    <w:name w:val="正文_4"/>
    <w:qFormat/>
    <w:pPr>
      <w:jc w:val="both"/>
      <w:widowControl w:val="off"/>
    </w:pPr>
    <w:rPr>
      <w:sz w:val="21"/>
      <w:szCs w:val="24"/>
    </w:rPr>
  </w:style>
  <w:style w:type="paragraph" w:styleId="1420" w:customStyle="1">
    <w:name w:val="文档正文"/>
    <w:basedOn w:val="746"/>
    <w:rPr>
      <w:rFonts w:ascii="宋体" w:hAnsi="Calibri"/>
      <w:szCs w:val="20"/>
    </w:rPr>
  </w:style>
  <w:style w:type="paragraph" w:styleId="1421" w:customStyle="1">
    <w:name w:val="xl130"/>
    <w:basedOn w:val="746"/>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422" w:customStyle="1">
    <w:name w:val="xl150"/>
    <w:basedOn w:val="74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rPr>
  </w:style>
  <w:style w:type="paragraph" w:styleId="1423" w:customStyle="1">
    <w:name w:val="列出段落_2"/>
    <w:basedOn w:val="1400"/>
    <w:uiPriority w:val="34"/>
    <w:qFormat/>
    <w:pPr>
      <w:ind w:firstLine="420"/>
    </w:pPr>
  </w:style>
  <w:style w:type="paragraph" w:styleId="1424" w:customStyle="1">
    <w:name w:val="Normal_0_1"/>
    <w:qFormat/>
    <w:rPr>
      <w:rFonts w:ascii="黑体" w:hAnsi="黑体" w:eastAsia="黑体"/>
      <w:b/>
      <w:sz w:val="32"/>
      <w:szCs w:val="24"/>
    </w:rPr>
  </w:style>
  <w:style w:type="paragraph" w:styleId="1425" w:customStyle="1">
    <w:name w:val="表内容"/>
    <w:basedOn w:val="1398"/>
    <w:pPr>
      <w:ind w:left="0" w:firstLine="0"/>
      <w:spacing w:line="320" w:lineRule="exact"/>
    </w:pPr>
    <w:rPr>
      <w:sz w:val="20"/>
    </w:rPr>
  </w:style>
  <w:style w:type="paragraph" w:styleId="1426" w:customStyle="1">
    <w:name w:val="Blockquote"/>
    <w:basedOn w:val="1066"/>
    <w:pPr>
      <w:ind w:left="360" w:right="360"/>
      <w:jc w:val="left"/>
      <w:spacing w:before="100" w:after="100"/>
    </w:pPr>
    <w:rPr>
      <w:sz w:val="24"/>
      <w:szCs w:val="20"/>
    </w:rPr>
  </w:style>
  <w:style w:type="paragraph" w:styleId="1427" w:customStyle="1">
    <w:name w:val="a0"/>
    <w:basedOn w:val="746"/>
    <w:pPr>
      <w:jc w:val="left"/>
      <w:spacing w:before="100" w:beforeAutospacing="1" w:after="100" w:afterAutospacing="1"/>
      <w:widowControl/>
    </w:pPr>
    <w:rPr>
      <w:rFonts w:ascii="宋体" w:hAnsi="Calibri"/>
      <w:sz w:val="24"/>
      <w:szCs w:val="22"/>
    </w:rPr>
  </w:style>
  <w:style w:type="paragraph" w:styleId="1428" w:customStyle="1">
    <w:name w:val="xl136"/>
    <w:basedOn w:val="746"/>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429" w:customStyle="1">
    <w:name w:val="xl69"/>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0" w:customStyle="1">
    <w:name w:val="SFClearBullets"/>
    <w:pPr>
      <w:ind w:left="1440" w:hanging="360"/>
      <w:tabs>
        <w:tab w:val="left" w:pos="1440" w:leader="none"/>
      </w:tabs>
    </w:pPr>
    <w:rPr>
      <w:rFonts w:ascii="Helvetica" w:hAnsi="Helvetica"/>
      <w:szCs w:val="24"/>
      <w:lang w:eastAsia="en-US"/>
    </w:rPr>
  </w:style>
  <w:style w:type="paragraph" w:styleId="1431" w:customStyle="1">
    <w:name w:val="xl93"/>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32" w:customStyle="1">
    <w:name w:val="xl78"/>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433" w:customStyle="1">
    <w:name w:val="xl139"/>
    <w:basedOn w:val="746"/>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34" w:customStyle="1">
    <w:name w:val="列出段落[858D7CFB-ED40-4347-BF05-701D383B685F][858D7CFB-ED40-4347-BF05-701D383B685F]"/>
    <w:basedOn w:val="746"/>
    <w:pPr>
      <w:ind w:firstLine="200"/>
    </w:pPr>
    <w:rPr>
      <w:rFonts w:ascii="Calibri" w:hAnsi="Calibri"/>
      <w:szCs w:val="22"/>
    </w:rPr>
  </w:style>
  <w:style w:type="paragraph" w:styleId="1435" w:customStyle="1">
    <w:name w:val="正文（首行缩进）"/>
    <w:basedOn w:val="746"/>
    <w:pPr>
      <w:ind w:firstLine="482"/>
      <w:spacing w:before="120" w:line="360" w:lineRule="auto"/>
      <w:widowControl/>
    </w:pPr>
    <w:rPr>
      <w:rFonts w:ascii="Calibri" w:hAnsi="Calibri"/>
      <w:sz w:val="24"/>
      <w:szCs w:val="20"/>
    </w:rPr>
  </w:style>
  <w:style w:type="paragraph" w:styleId="1436" w:customStyle="1">
    <w:name w:val="xl135"/>
    <w:basedOn w:val="746"/>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437" w:customStyle="1">
    <w:name w:val="编号"/>
    <w:basedOn w:val="746"/>
    <w:next w:val="1192"/>
    <w:pPr>
      <w:ind w:left="420" w:right="-136" w:hanging="420"/>
      <w:widowControl/>
      <w:tabs>
        <w:tab w:val="left" w:pos="420" w:leader="none"/>
      </w:tabs>
    </w:pPr>
    <w:rPr>
      <w:rFonts w:ascii="仿宋_GB2312" w:hAnsi="Calibri" w:eastAsia="仿宋_GB2312"/>
      <w:b/>
      <w:bCs/>
      <w:sz w:val="24"/>
    </w:rPr>
  </w:style>
  <w:style w:type="paragraph" w:styleId="1438" w:customStyle="1">
    <w:name w:val="xl137"/>
    <w:basedOn w:val="746"/>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439" w:customStyle="1">
    <w:name w:val="正文_1_0_0_0"/>
    <w:qFormat/>
    <w:pPr>
      <w:jc w:val="both"/>
      <w:widowControl w:val="off"/>
    </w:pPr>
    <w:rPr>
      <w:sz w:val="21"/>
    </w:rPr>
  </w:style>
  <w:style w:type="paragraph" w:styleId="1440" w:customStyle="1">
    <w:name w:val="正文_8"/>
    <w:qFormat/>
    <w:pPr>
      <w:jc w:val="both"/>
      <w:widowControl w:val="off"/>
    </w:pPr>
    <w:rPr>
      <w:sz w:val="21"/>
      <w:szCs w:val="24"/>
    </w:rPr>
  </w:style>
  <w:style w:type="paragraph" w:styleId="1441" w:customStyle="1">
    <w:name w:val="font9"/>
    <w:basedOn w:val="746"/>
    <w:qFormat/>
    <w:pPr>
      <w:jc w:val="left"/>
      <w:spacing w:before="100" w:beforeAutospacing="1" w:after="100" w:afterAutospacing="1"/>
      <w:widowControl/>
    </w:pPr>
    <w:rPr>
      <w:rFonts w:ascii="宋体" w:hAnsi="Calibri"/>
      <w:color w:val="000000"/>
      <w:sz w:val="18"/>
      <w:szCs w:val="18"/>
    </w:rPr>
  </w:style>
  <w:style w:type="paragraph" w:styleId="1442" w:customStyle="1">
    <w:name w:val="xl122"/>
    <w:basedOn w:val="746"/>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443" w:customStyle="1">
    <w:name w:val="xl128"/>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44" w:customStyle="1">
    <w:name w:val="样式 正文缩进 + (中文) 仿宋_GB2312 小四 Char"/>
    <w:basedOn w:val="925"/>
    <w:pPr>
      <w:ind w:firstLine="200"/>
      <w:spacing w:line="360" w:lineRule="auto"/>
    </w:pPr>
    <w:rPr>
      <w:rFonts w:ascii="宋体" w:hAnsi="Calibri"/>
      <w:sz w:val="24"/>
      <w:szCs w:val="24"/>
    </w:rPr>
  </w:style>
  <w:style w:type="paragraph" w:styleId="1445" w:customStyle="1">
    <w:name w:val="6'"/>
    <w:basedOn w:val="746"/>
    <w:qFormat/>
    <w:pPr>
      <w:jc w:val="center"/>
      <w:spacing w:line="320" w:lineRule="exact"/>
    </w:pPr>
    <w:rPr>
      <w:spacing w:val="20"/>
      <w:szCs w:val="20"/>
    </w:rPr>
  </w:style>
  <w:style w:type="paragraph" w:styleId="1446" w:customStyle="1">
    <w:name w:val="font14"/>
    <w:basedOn w:val="746"/>
    <w:pPr>
      <w:jc w:val="left"/>
      <w:spacing w:before="100" w:beforeAutospacing="1" w:after="100" w:afterAutospacing="1"/>
      <w:widowControl/>
    </w:pPr>
    <w:rPr>
      <w:rFonts w:ascii="宋体" w:hAnsi="宋体" w:cs="宋体"/>
      <w:sz w:val="18"/>
      <w:szCs w:val="18"/>
    </w:rPr>
  </w:style>
  <w:style w:type="paragraph" w:styleId="1447" w:customStyle="1">
    <w:name w:val="正文_12_0"/>
    <w:qFormat/>
    <w:pPr>
      <w:jc w:val="both"/>
      <w:widowControl w:val="off"/>
    </w:pPr>
    <w:rPr>
      <w:rFonts w:ascii="Calibri" w:hAnsi="Calibri"/>
      <w:sz w:val="21"/>
      <w:szCs w:val="22"/>
    </w:rPr>
  </w:style>
  <w:style w:type="paragraph" w:styleId="1448" w:customStyle="1">
    <w:name w:val="表格样式居中"/>
    <w:pPr>
      <w:jc w:val="center"/>
    </w:pPr>
    <w:rPr>
      <w:rFonts w:eastAsia="仿宋_GB2312"/>
      <w:bCs/>
      <w:sz w:val="21"/>
      <w:szCs w:val="44"/>
    </w:rPr>
  </w:style>
  <w:style w:type="paragraph" w:styleId="1449" w:customStyle="1">
    <w:name w:val="xl65"/>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50" w:customStyle="1">
    <w:name w:val="附图居中"/>
    <w:basedOn w:val="746"/>
    <w:next w:val="1285"/>
    <w:pPr>
      <w:ind w:left="1271" w:hanging="420"/>
      <w:jc w:val="center"/>
      <w:keepNext/>
      <w:spacing w:line="360" w:lineRule="auto"/>
      <w:tabs>
        <w:tab w:val="left" w:pos="0" w:leader="none"/>
      </w:tabs>
    </w:pPr>
    <w:rPr>
      <w:rFonts w:ascii="Calibri" w:hAnsi="Calibri"/>
      <w:caps/>
      <w:sz w:val="24"/>
      <w:szCs w:val="22"/>
    </w:rPr>
  </w:style>
  <w:style w:type="paragraph" w:styleId="1451" w:customStyle="1">
    <w:name w:val="xl146"/>
    <w:basedOn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52" w:customStyle="1">
    <w:name w:val="Normal_15_0"/>
    <w:qFormat/>
    <w:rPr>
      <w:rFonts w:ascii="黑体" w:hAnsi="黑体" w:eastAsia="黑体"/>
      <w:b/>
      <w:sz w:val="32"/>
      <w:szCs w:val="24"/>
    </w:rPr>
  </w:style>
  <w:style w:type="paragraph" w:styleId="1453" w:customStyle="1">
    <w:name w:val="font0"/>
    <w:basedOn w:val="746"/>
    <w:qFormat/>
    <w:pPr>
      <w:jc w:val="left"/>
      <w:spacing w:before="100" w:beforeAutospacing="1" w:after="100" w:afterAutospacing="1"/>
      <w:widowControl/>
    </w:pPr>
    <w:rPr>
      <w:rFonts w:hint="eastAsia" w:ascii="宋体" w:hAnsi="宋体"/>
      <w:sz w:val="24"/>
      <w:szCs w:val="20"/>
    </w:rPr>
  </w:style>
  <w:style w:type="paragraph" w:styleId="1454" w:customStyle="1">
    <w:name w:val="xl76"/>
    <w:basedOn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55" w:customStyle="1">
    <w:name w:val="xl116"/>
    <w:basedOn w:val="7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456" w:customStyle="1">
    <w:name w:val="Normal_0_2"/>
    <w:qFormat/>
    <w:rPr>
      <w:rFonts w:ascii="黑体" w:hAnsi="黑体" w:eastAsia="黑体"/>
      <w:b/>
      <w:sz w:val="32"/>
      <w:szCs w:val="24"/>
    </w:rPr>
  </w:style>
  <w:style w:type="paragraph" w:styleId="1457" w:customStyle="1">
    <w:name w:val="pa-9"/>
    <w:basedOn w:val="746"/>
    <w:pPr>
      <w:jc w:val="center"/>
      <w:spacing w:line="360" w:lineRule="atLeast"/>
      <w:widowControl/>
    </w:pPr>
    <w:rPr>
      <w:rFonts w:ascii="宋体" w:hAnsi="Calibri" w:cs="宋体"/>
      <w:sz w:val="24"/>
      <w:szCs w:val="22"/>
    </w:rPr>
  </w:style>
  <w:style w:type="paragraph" w:styleId="1458" w:customStyle="1">
    <w:name w:val="CM17"/>
    <w:basedOn w:val="746"/>
    <w:next w:val="746"/>
    <w:pPr>
      <w:jc w:val="left"/>
      <w:spacing w:after="273" w:line="360" w:lineRule="auto"/>
    </w:pPr>
    <w:rPr>
      <w:rFonts w:ascii="宋体" w:hAnsi="Calibri"/>
      <w:sz w:val="24"/>
      <w:szCs w:val="22"/>
    </w:rPr>
  </w:style>
  <w:style w:type="paragraph" w:styleId="1459" w:customStyle="1">
    <w:name w:val="加点正文缩进"/>
    <w:basedOn w:val="746"/>
    <w:pPr>
      <w:ind w:left="962" w:hanging="480"/>
      <w:spacing w:line="300" w:lineRule="auto"/>
      <w:tabs>
        <w:tab w:val="left" w:pos="840" w:leader="none"/>
      </w:tabs>
    </w:pPr>
    <w:rPr>
      <w:rFonts w:ascii="Calibri" w:hAnsi="Calibri"/>
      <w:sz w:val="24"/>
      <w:szCs w:val="22"/>
    </w:rPr>
  </w:style>
  <w:style w:type="paragraph" w:styleId="1460" w:customStyle="1">
    <w:name w:val="技术方案正文样式"/>
    <w:basedOn w:val="746"/>
    <w:pPr>
      <w:ind w:firstLine="200"/>
      <w:spacing w:line="400" w:lineRule="exact"/>
    </w:pPr>
    <w:rPr>
      <w:rFonts w:ascii="宋体" w:hAnsi="Calibri" w:cs="宋体"/>
      <w:sz w:val="24"/>
    </w:rPr>
  </w:style>
  <w:style w:type="paragraph" w:styleId="1461" w:customStyle="1">
    <w:name w:val="样式 正文首行缩进 + 宋体 首行缩进:  0.74 厘米"/>
    <w:basedOn w:val="964"/>
    <w:pPr>
      <w:ind w:firstLine="210"/>
      <w:spacing w:before="120" w:line="380" w:lineRule="exact"/>
    </w:pPr>
    <w:rPr>
      <w:rFonts w:ascii="宋体" w:eastAsia="宋体" w:cs="宋体"/>
      <w:sz w:val="24"/>
      <w:szCs w:val="20"/>
    </w:rPr>
  </w:style>
  <w:style w:type="paragraph" w:styleId="1462" w:customStyle="1">
    <w:name w:val="xl105"/>
    <w:basedOn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63" w:customStyle="1">
    <w:name w:val="英文音标"/>
    <w:rPr>
      <w:rFonts w:ascii="Kingsoft Phonetic Plain" w:hAnsi="Kingsoft Phonetic Plain" w:eastAsia="Kingsoft Phonetic Plain"/>
      <w:sz w:val="24"/>
      <w:szCs w:val="24"/>
    </w:rPr>
  </w:style>
  <w:style w:type="paragraph" w:styleId="1464" w:customStyle="1">
    <w:name w:val="xl121"/>
    <w:basedOn w:val="746"/>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465" w:customStyle="1">
    <w:name w:val="Normal_14"/>
    <w:qFormat/>
    <w:rPr>
      <w:rFonts w:ascii="黑体" w:hAnsi="黑体" w:eastAsia="黑体"/>
      <w:b/>
      <w:sz w:val="32"/>
      <w:szCs w:val="24"/>
    </w:rPr>
  </w:style>
  <w:style w:type="paragraph" w:styleId="1466" w:customStyle="1">
    <w:name w:val="首页小标题"/>
    <w:next w:val="1247"/>
    <w:pPr>
      <w:jc w:val="center"/>
    </w:pPr>
    <w:rPr>
      <w:rFonts w:cs="宋体"/>
      <w:sz w:val="44"/>
    </w:rPr>
  </w:style>
  <w:style w:type="paragraph" w:styleId="1467" w:customStyle="1">
    <w:name w:val="pa-0"/>
    <w:basedOn w:val="746"/>
    <w:pPr>
      <w:ind w:firstLine="480"/>
      <w:spacing w:line="360" w:lineRule="atLeast"/>
      <w:widowControl/>
    </w:pPr>
    <w:rPr>
      <w:rFonts w:ascii="宋体" w:hAnsi="Calibri" w:cs="宋体"/>
      <w:sz w:val="24"/>
      <w:szCs w:val="22"/>
    </w:rPr>
  </w:style>
  <w:style w:type="paragraph" w:styleId="1468" w:customStyle="1">
    <w:name w:val="修订1"/>
    <w:rPr>
      <w:sz w:val="21"/>
      <w:szCs w:val="24"/>
    </w:rPr>
  </w:style>
  <w:style w:type="paragraph" w:styleId="1469" w:customStyle="1">
    <w:name w:val="正文_1_1"/>
    <w:qFormat/>
    <w:pPr>
      <w:jc w:val="both"/>
      <w:widowControl w:val="off"/>
    </w:pPr>
    <w:rPr>
      <w:rFonts w:ascii="Calibri" w:hAnsi="Calibri"/>
      <w:sz w:val="21"/>
      <w:szCs w:val="22"/>
    </w:rPr>
  </w:style>
  <w:style w:type="paragraph" w:styleId="1470" w:customStyle="1">
    <w:name w:val="Bullet"/>
    <w:basedOn w:val="746"/>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71" w:customStyle="1">
    <w:name w:val="编号3"/>
    <w:pPr>
      <w:ind w:left="1021" w:hanging="250"/>
      <w:jc w:val="both"/>
      <w:spacing w:before="120" w:after="120" w:line="360" w:lineRule="auto"/>
      <w:tabs>
        <w:tab w:val="left" w:pos="771" w:leader="none"/>
      </w:tabs>
    </w:pPr>
    <w:rPr>
      <w:rFonts w:eastAsia="仿宋_GB2312"/>
      <w:sz w:val="24"/>
      <w:szCs w:val="24"/>
    </w:rPr>
  </w:style>
  <w:style w:type="paragraph" w:styleId="1472" w:customStyle="1">
    <w:name w:val="正文段"/>
    <w:basedOn w:val="746"/>
    <w:qFormat/>
    <w:pPr>
      <w:ind w:firstLine="425"/>
      <w:spacing w:after="240" w:line="240" w:lineRule="atLeast"/>
      <w:widowControl/>
    </w:pPr>
    <w:rPr>
      <w:rFonts w:ascii="Calibri" w:hAnsi="Calibri"/>
      <w:sz w:val="24"/>
      <w:szCs w:val="20"/>
    </w:rPr>
  </w:style>
  <w:style w:type="paragraph" w:styleId="1473" w:customStyle="1">
    <w:name w:val="Default"/>
    <w:qFormat/>
    <w:pPr>
      <w:widowControl w:val="off"/>
    </w:pPr>
    <w:rPr>
      <w:rFonts w:ascii="宋体" w:cs="宋体"/>
      <w:color w:val="000000"/>
      <w:sz w:val="24"/>
      <w:szCs w:val="24"/>
    </w:rPr>
  </w:style>
  <w:style w:type="paragraph" w:styleId="1474" w:customStyle="1">
    <w:name w:val="xl79"/>
    <w:basedOn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cs="Calibri"/>
      <w:color w:val="000000"/>
    </w:rPr>
  </w:style>
  <w:style w:type="paragraph" w:styleId="1475" w:customStyle="1">
    <w:name w:val="xl138"/>
    <w:basedOn w:val="746"/>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76" w:customStyle="1">
    <w:name w:val="列出段落2"/>
    <w:basedOn w:val="746"/>
    <w:uiPriority w:val="99"/>
    <w:qFormat/>
    <w:pPr>
      <w:ind w:firstLine="420"/>
    </w:pPr>
    <w:rPr>
      <w:rFonts w:ascii="Calibri" w:hAnsi="Calibri"/>
      <w:szCs w:val="22"/>
    </w:rPr>
  </w:style>
  <w:style w:type="paragraph" w:styleId="1477" w:customStyle="1">
    <w:name w:val="xl83"/>
    <w:basedOn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78" w:customStyle="1">
    <w:name w:val="Char Char Char Char Char Char Char Char Char Char Char Char Char"/>
    <w:basedOn w:val="746"/>
    <w:qFormat/>
    <w:pPr>
      <w:jc w:val="left"/>
      <w:spacing w:after="160" w:line="240" w:lineRule="exact"/>
      <w:widowControl/>
    </w:pPr>
    <w:rPr>
      <w:rFonts w:ascii="Verdana" w:hAnsi="Verdana"/>
      <w:sz w:val="20"/>
      <w:szCs w:val="20"/>
      <w:lang w:eastAsia="en-US"/>
    </w:rPr>
  </w:style>
  <w:style w:type="paragraph" w:styleId="1479" w:customStyle="1">
    <w:name w:val="xl106"/>
    <w:basedOn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80" w:customStyle="1">
    <w:name w:val="xl101"/>
    <w:basedOn w:val="746"/>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481" w:customStyle="1">
    <w:name w:val="xl157"/>
    <w:basedOn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82" w:customStyle="1">
    <w:name w:val="FA正文+标号"/>
    <w:basedOn w:val="746"/>
    <w:pPr>
      <w:ind w:left="900" w:hanging="420"/>
      <w:spacing w:line="400" w:lineRule="exact"/>
      <w:tabs>
        <w:tab w:val="left" w:pos="907" w:leader="none"/>
        <w:tab w:val="left" w:pos="3375" w:leader="none"/>
      </w:tabs>
    </w:pPr>
    <w:rPr>
      <w:rFonts w:ascii="仿宋_GB2312" w:hAnsi="Calibri" w:eastAsia="仿宋_GB2312"/>
      <w:sz w:val="24"/>
      <w:szCs w:val="20"/>
    </w:rPr>
  </w:style>
  <w:style w:type="paragraph" w:styleId="1483" w:customStyle="1">
    <w:name w:val="Normal_4"/>
    <w:qFormat/>
    <w:rPr>
      <w:rFonts w:ascii="黑体" w:hAnsi="黑体" w:eastAsia="黑体"/>
      <w:b/>
      <w:sz w:val="32"/>
      <w:szCs w:val="24"/>
    </w:rPr>
  </w:style>
  <w:style w:type="paragraph" w:styleId="1484" w:customStyle="1">
    <w:name w:val="tabletext"/>
    <w:basedOn w:val="746"/>
    <w:pPr>
      <w:jc w:val="left"/>
      <w:spacing w:before="100" w:beforeAutospacing="1" w:after="100" w:afterAutospacing="1"/>
      <w:widowControl/>
    </w:pPr>
    <w:rPr>
      <w:rFonts w:ascii="宋体" w:hAnsi="Calibri"/>
      <w:sz w:val="24"/>
      <w:szCs w:val="22"/>
    </w:rPr>
  </w:style>
  <w:style w:type="paragraph" w:styleId="1485" w:customStyle="1">
    <w:name w:val="xl42"/>
    <w:basedOn w:val="74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szCs w:val="22"/>
    </w:rPr>
  </w:style>
  <w:style w:type="paragraph" w:styleId="1486" w:customStyle="1">
    <w:name w:val="xl140"/>
    <w:basedOn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87" w:customStyle="1">
    <w:name w:val="Normal_5"/>
    <w:qFormat/>
    <w:rPr>
      <w:rFonts w:ascii="黑体" w:hAnsi="黑体" w:eastAsia="黑体"/>
      <w:b/>
      <w:sz w:val="32"/>
      <w:szCs w:val="24"/>
    </w:rPr>
  </w:style>
  <w:style w:type="paragraph" w:styleId="1488" w:customStyle="1">
    <w:name w:val="表文1"/>
    <w:basedOn w:val="746"/>
    <w:pPr>
      <w:ind w:firstLine="196"/>
      <w:spacing w:line="360" w:lineRule="auto"/>
      <w:widowControl/>
    </w:pPr>
    <w:rPr>
      <w:rFonts w:ascii="宋体" w:hAnsi="Calibri"/>
      <w:sz w:val="24"/>
      <w:szCs w:val="22"/>
    </w:rPr>
  </w:style>
  <w:style w:type="paragraph" w:styleId="1489" w:customStyle="1">
    <w:name w:val="样式5"/>
    <w:basedOn w:val="749"/>
    <w:pPr>
      <w:spacing w:line="415" w:lineRule="auto"/>
    </w:pPr>
    <w:rPr>
      <w:rFonts w:ascii="Calibri" w:hAnsi="Calibri"/>
      <w:sz w:val="28"/>
      <w:szCs w:val="28"/>
    </w:rPr>
  </w:style>
  <w:style w:type="paragraph" w:styleId="1490" w:customStyle="1">
    <w:name w:val="无标题正文 Char Char Char Char Char Char Char Char Char Char Char Char Char Char Char Char Char Char Char Char Char Char Char Char Char Char Char1 Char"/>
    <w:basedOn w:val="746"/>
    <w:pPr>
      <w:jc w:val="center"/>
      <w:spacing w:after="160" w:line="240" w:lineRule="exact"/>
      <w:widowControl/>
    </w:pPr>
    <w:rPr>
      <w:rFonts w:ascii="Arial" w:hAnsi="Arial"/>
      <w:sz w:val="20"/>
      <w:szCs w:val="20"/>
      <w:lang w:eastAsia="en-US"/>
    </w:rPr>
  </w:style>
  <w:style w:type="paragraph" w:styleId="1491" w:customStyle="1">
    <w:name w:val="xl154"/>
    <w:basedOn w:val="746"/>
    <w:pPr>
      <w:jc w:val="center"/>
      <w:spacing w:before="100" w:beforeAutospacing="1" w:after="100" w:afterAutospacing="1"/>
      <w:widowControl/>
      <w:pBdr>
        <w:bottom w:val="single" w:color="000000" w:sz="4" w:space="0"/>
        <w:right w:val="single" w:color="000000" w:sz="4" w:space="0"/>
      </w:pBdr>
    </w:pPr>
    <w:rPr>
      <w:rFonts w:ascii="宋体" w:hAnsi="宋体" w:cs="宋体"/>
      <w:b/>
      <w:bCs/>
    </w:rPr>
  </w:style>
  <w:style w:type="paragraph" w:styleId="1492" w:customStyle="1">
    <w:name w:val="flNote"/>
    <w:basedOn w:val="746"/>
    <w:qFormat/>
    <w:pPr>
      <w:jc w:val="center"/>
      <w:spacing w:before="320" w:after="160" w:line="360" w:lineRule="atLeast"/>
    </w:pPr>
    <w:rPr>
      <w:rFonts w:ascii="Arial" w:eastAsia="黑体"/>
      <w:sz w:val="30"/>
      <w:szCs w:val="20"/>
    </w:rPr>
  </w:style>
  <w:style w:type="paragraph" w:styleId="1493" w:customStyle="1">
    <w:name w:val="xl33"/>
    <w:basedOn w:val="74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4" w:customStyle="1">
    <w:name w:val="xl149"/>
    <w:basedOn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rPr>
  </w:style>
  <w:style w:type="paragraph" w:styleId="1495" w:customStyle="1">
    <w:name w:val="正文_11"/>
    <w:qFormat/>
    <w:pPr>
      <w:jc w:val="both"/>
      <w:widowControl w:val="off"/>
    </w:pPr>
    <w:rPr>
      <w:sz w:val="21"/>
      <w:szCs w:val="24"/>
    </w:rPr>
  </w:style>
  <w:style w:type="paragraph" w:styleId="1496" w:customStyle="1">
    <w:name w:val="表头"/>
    <w:basedOn w:val="1398"/>
    <w:pPr>
      <w:ind w:left="0" w:firstLine="0"/>
      <w:spacing w:line="240" w:lineRule="auto"/>
    </w:pPr>
    <w:rPr>
      <w:sz w:val="20"/>
    </w:rPr>
  </w:style>
  <w:style w:type="paragraph" w:styleId="1497" w:customStyle="1">
    <w:name w:val="xl109"/>
    <w:basedOn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98" w:customStyle="1">
    <w:name w:val="新段落缩进"/>
    <w:basedOn w:val="746"/>
    <w:qFormat/>
    <w:pPr>
      <w:ind w:firstLine="200"/>
      <w:spacing w:line="400" w:lineRule="exact"/>
    </w:pPr>
    <w:rPr>
      <w:rFonts w:ascii="仿宋_GB2312" w:hAnsi="Calibri" w:eastAsia="仿宋_GB2312"/>
      <w:sz w:val="24"/>
      <w:szCs w:val="22"/>
    </w:rPr>
  </w:style>
  <w:style w:type="paragraph" w:styleId="1499" w:customStyle="1">
    <w:name w:val="样式 序号----------- + 仿宋_GB2312"/>
    <w:basedOn w:val="1373"/>
    <w:pPr>
      <w:ind w:firstLine="200"/>
      <w:spacing w:line="360" w:lineRule="auto"/>
    </w:pPr>
    <w:rPr>
      <w:rFonts w:ascii="仿宋_GB2312" w:eastAsia="仿宋_GB2312"/>
      <w:bCs w:val="0"/>
    </w:rPr>
  </w:style>
  <w:style w:type="paragraph" w:styleId="1500" w:customStyle="1">
    <w:name w:val="xl107"/>
    <w:basedOn w:val="74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01" w:customStyle="1">
    <w:name w:val="font12"/>
    <w:basedOn w:val="746"/>
    <w:pPr>
      <w:jc w:val="left"/>
      <w:spacing w:before="100" w:beforeAutospacing="1" w:after="100" w:afterAutospacing="1"/>
      <w:widowControl/>
    </w:pPr>
    <w:rPr>
      <w:rFonts w:ascii="宋体" w:hAnsi="宋体" w:cs="宋体"/>
      <w:color w:val="ff0000"/>
    </w:rPr>
  </w:style>
  <w:style w:type="paragraph" w:styleId="1502" w:customStyle="1">
    <w:name w:val="Normal_9_0"/>
    <w:qFormat/>
    <w:rPr>
      <w:rFonts w:eastAsia="Times New Roman"/>
      <w:sz w:val="24"/>
      <w:szCs w:val="24"/>
    </w:rPr>
  </w:style>
  <w:style w:type="paragraph" w:styleId="1503" w:customStyle="1">
    <w:name w:val="正文_10"/>
    <w:qFormat/>
    <w:pPr>
      <w:jc w:val="both"/>
      <w:widowControl w:val="off"/>
    </w:pPr>
    <w:rPr>
      <w:sz w:val="21"/>
      <w:szCs w:val="24"/>
    </w:rPr>
  </w:style>
  <w:style w:type="paragraph" w:styleId="1504" w:customStyle="1">
    <w:name w:val="xl141"/>
    <w:basedOn w:val="74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05" w:customStyle="1">
    <w:name w:val="xl99"/>
    <w:basedOn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06" w:customStyle="1">
    <w:name w:val="TOC 标题1"/>
    <w:basedOn w:val="747"/>
    <w:next w:val="746"/>
    <w:qFormat/>
    <w:pPr>
      <w:jc w:val="both"/>
      <w:keepLines/>
      <w:spacing w:before="480" w:line="276" w:lineRule="auto"/>
      <w:widowControl/>
      <w:outlineLvl w:val="9"/>
    </w:pPr>
    <w:rPr>
      <w:rFonts w:ascii="Cambria" w:hAnsi="Cambria" w:eastAsia="宋体"/>
      <w:b/>
      <w:color w:val="365f91"/>
      <w:szCs w:val="20"/>
    </w:rPr>
  </w:style>
  <w:style w:type="paragraph" w:styleId="1507" w:customStyle="1">
    <w:name w:val="Normal_1_0"/>
    <w:qFormat/>
    <w:rPr>
      <w:rFonts w:eastAsia="Times New Roman"/>
      <w:sz w:val="24"/>
      <w:szCs w:val="24"/>
    </w:rPr>
  </w:style>
  <w:style w:type="table" w:styleId="1508" w:customStyle="1">
    <w:name w:val="网格型11"/>
    <w:basedOn w:val="757"/>
    <w:uiPriority w:val="59"/>
    <w:qFormat/>
    <w:pPr>
      <w:jc w:val="both"/>
      <w:widowControl w:val="off"/>
    </w:pPr>
    <w:tblPr/>
  </w:style>
  <w:style w:type="table" w:styleId="1509" w:customStyle="1">
    <w:name w:val="网格型2"/>
    <w:basedOn w:val="757"/>
    <w:uiPriority w:val="59"/>
    <w:rPr>
      <w:rFonts w:ascii="Calibri" w:hAnsi="Calibri"/>
      <w:sz w:val="21"/>
      <w:szCs w:val="22"/>
    </w:rPr>
    <w:tblPr/>
  </w:style>
  <w:style w:type="table" w:styleId="1510" w:customStyle="1">
    <w:name w:val="网格型3"/>
    <w:basedOn w:val="757"/>
    <w:uiPriority w:val="59"/>
    <w:qFormat/>
    <w:rPr>
      <w:rFonts w:ascii="Calibri" w:hAnsi="Calibri"/>
      <w:sz w:val="21"/>
      <w:szCs w:val="22"/>
    </w:rPr>
    <w:tblPr/>
  </w:style>
  <w:style w:type="table" w:styleId="1511" w:customStyle="1">
    <w:name w:val="网格型111"/>
    <w:basedOn w:val="757"/>
    <w:uiPriority w:val="59"/>
    <w:qFormat/>
    <w:rPr>
      <w:rFonts w:ascii="Calibri" w:hAnsi="Calibri"/>
      <w:sz w:val="21"/>
      <w:szCs w:val="22"/>
    </w:rP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png"/><Relationship Id="rId25" Type="http://schemas.openxmlformats.org/officeDocument/2006/relationships/image" Target="media/image1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8125A-4FFE-4081-B76A-41C0C8720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彭翰麟</cp:lastModifiedBy>
  <cp:revision>117</cp:revision>
  <dcterms:created xsi:type="dcterms:W3CDTF">2023-03-16T02:16:00Z</dcterms:created>
  <dcterms:modified xsi:type="dcterms:W3CDTF">2024-04-24T11:44:09Z</dcterms:modified>
  <cp:version>983040</cp:version>
</cp:coreProperties>
</file>