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r>
      <w:r/>
    </w:p>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hint="eastAsia"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left="48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JSZC-320585-SZTZ-G2025-0017</w:t>
      </w:r>
      <w:r>
        <w:rPr>
          <w:rFonts w:hint="eastAsia" w:ascii="宋体" w:hAnsi="宋体" w:cs="宋体"/>
          <w:b/>
          <w:color w:val="auto"/>
          <w:sz w:val="30"/>
          <w:szCs w:val="30"/>
          <w:highlight w:val="none"/>
        </w:rPr>
        <w:t xml:space="preserve">  </w:t>
      </w:r>
      <w:r/>
    </w:p>
    <w:p>
      <w:pPr>
        <w:ind w:left="48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招标项目名称：西校区房屋安全鉴定服务</w:t>
      </w:r>
      <w:r/>
    </w:p>
    <w:p>
      <w:pPr>
        <w:ind w:left="48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w:t>
      </w:r>
      <w:r/>
    </w:p>
    <w:p>
      <w:pPr>
        <w:ind w:left="480"/>
        <w:spacing w:line="360" w:lineRule="auto"/>
        <w:rPr>
          <w:rFonts w:hint="eastAsia" w:ascii="宋体" w:hAnsi="宋体" w:cs="宋体"/>
          <w:color w:val="auto"/>
          <w:sz w:val="30"/>
          <w:highlight w:val="none"/>
        </w:rPr>
      </w:pPr>
      <w:r>
        <w:rPr>
          <w:rFonts w:hint="eastAsia" w:ascii="宋体" w:hAnsi="宋体" w:cs="宋体"/>
          <w:b/>
          <w:bCs/>
          <w:color w:val="auto"/>
          <w:sz w:val="30"/>
          <w:highlight w:val="none"/>
        </w:rPr>
        <w:t xml:space="preserve">标的所属行业：（十六）其他未列明行业</w:t>
      </w:r>
      <w:r>
        <w:rPr>
          <w:rFonts w:hint="eastAsia" w:ascii="宋体" w:hAnsi="宋体" w:cs="宋体"/>
          <w:color w:val="auto"/>
          <w:sz w:val="30"/>
          <w:highlight w:val="none"/>
        </w:rPr>
        <w:t xml:space="preserve">  </w:t>
      </w:r>
      <w:r/>
    </w:p>
    <w:p>
      <w:pPr>
        <w:ind w:left="480" w:right="-159"/>
        <w:spacing w:line="48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招标单位：苏州健雄职业技术学院</w:t>
      </w:r>
      <w:r/>
    </w:p>
    <w:p>
      <w:pPr>
        <w:ind w:left="480" w:right="-159"/>
        <w:spacing w:line="480" w:lineRule="auto"/>
        <w:rPr>
          <w:rFonts w:hint="eastAsia" w:ascii="宋体" w:hAnsi="宋体" w:cs="宋体"/>
          <w:color w:val="auto"/>
          <w:sz w:val="30"/>
          <w:highlight w:val="none"/>
        </w:rPr>
      </w:pPr>
      <w:r>
        <w:rPr>
          <w:rFonts w:hint="eastAsia" w:ascii="宋体" w:hAnsi="宋体" w:cs="宋体"/>
          <w:b/>
          <w:color w:val="auto"/>
          <w:sz w:val="30"/>
          <w:szCs w:val="30"/>
          <w:highlight w:val="none"/>
        </w:rPr>
        <w:t xml:space="preserve">招标代理单位：苏州泰至鑫项目管理有限公司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hint="eastAsia" w:ascii="宋体" w:hAnsi="宋体" w:cs="宋体"/>
          <w:b/>
          <w:bCs/>
          <w:color w:val="auto"/>
          <w:sz w:val="44"/>
          <w:szCs w:val="44"/>
          <w:highlight w:val="none"/>
        </w:rPr>
      </w:pPr>
      <w:r>
        <w:rPr>
          <w:rFonts w:hint="eastAsia" w:cs="宋体"/>
          <w:b/>
          <w:color w:val="auto"/>
          <w:sz w:val="30"/>
          <w:szCs w:val="30"/>
          <w:highlight w:val="none"/>
        </w:rPr>
        <w:t xml:space="preserve">二〇二五年</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月</w:t>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hint="eastAsia" w:ascii="宋体" w:hAnsi="宋体" w:cs="宋体"/>
          <w:b/>
          <w:bCs/>
          <w:color w:val="auto"/>
          <w:spacing w:val="20"/>
          <w:sz w:val="30"/>
          <w:highlight w:val="none"/>
        </w:rPr>
      </w:pPr>
      <w:r>
        <w:rPr>
          <w:rFonts w:hint="eastAsia" w:ascii="宋体" w:hAnsi="宋体" w:cs="宋体"/>
          <w:b/>
          <w:bCs/>
          <w:color w:val="auto"/>
          <w:spacing w:val="20"/>
          <w:sz w:val="30"/>
          <w:highlight w:val="none"/>
        </w:rPr>
      </w:r>
      <w:r/>
    </w:p>
    <w:p>
      <w:pPr>
        <w:pStyle w:val="820"/>
        <w:spacing w:line="360" w:lineRule="auto"/>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82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82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82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82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82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82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820"/>
        <w:spacing w:line="360" w:lineRule="auto"/>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790"/>
        <w:numPr>
          <w:ilvl w:val="0"/>
          <w:numId w:val="0"/>
        </w:numPr>
        <w:jc w:val="center"/>
        <w:spacing w:before="0" w:after="0" w:line="480" w:lineRule="auto"/>
        <w:rPr>
          <w:rFonts w:hint="eastAsia"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80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苏州健雄职业技术学院</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JSZC-320585-SZTZ-G2025-0017</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825"/>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西校区房屋安全鉴定服务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825"/>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地址：太仓市上海东路333号高展商务大厦1003室  邮编：</w:t>
            </w:r>
            <w:r>
              <w:rPr>
                <w:rFonts w:hint="eastAsia" w:ascii="宋体" w:hAnsi="宋体" w:cs="宋体"/>
                <w:color w:val="auto"/>
                <w:sz w:val="21"/>
                <w:szCs w:val="21"/>
                <w:highlight w:val="none"/>
              </w:rPr>
              <w:t xml:space="preserve">215400</w:t>
            </w:r>
            <w:r/>
          </w:p>
          <w:p>
            <w:pPr>
              <w:jc w:val="both"/>
              <w:spacing w:line="360" w:lineRule="auto"/>
              <w:widowControl w:val="off"/>
              <w:rPr>
                <w:rFonts w:hint="eastAsia"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时间：自招标文件公告发布之日起5个工作日 </w:t>
            </w:r>
            <w:r/>
          </w:p>
          <w:p>
            <w:pPr>
              <w:jc w:val="both"/>
              <w:spacing w:line="360" w:lineRule="auto"/>
              <w:shd w:val="clear" w:color="auto" w:fill="ffff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13145086180。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hint="eastAsia"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lang w:bidi="ar"/>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bidi="ar"/>
              </w:rPr>
              <w:t xml:space="preserve">2025年07月18日09点30分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时间：2025年07月18日09点30分（北京时间）</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1044"/>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42"/>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bl>
    <w:p>
      <w:pPr>
        <w:ind w:firstLine="544"/>
        <w:jc w:val="right"/>
        <w:spacing w:line="360" w:lineRule="auto"/>
        <w:shd w:val="clear" w:color="auto" w:fill="ffffff"/>
        <w:rPr>
          <w:rFonts w:hint="eastAsia"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790"/>
        <w:numPr>
          <w:ilvl w:val="0"/>
          <w:numId w:val="0"/>
        </w:numPr>
        <w:jc w:val="center"/>
        <w:spacing w:before="0" w:after="0" w:line="480" w:lineRule="auto"/>
        <w:rPr>
          <w:rFonts w:hint="eastAsia"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800"/>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西校区房屋安全鉴定服务 </w:t>
            </w:r>
            <w:r>
              <w:rPr>
                <w:rFonts w:hint="eastAsia" w:ascii="仿宋" w:hAnsi="仿宋" w:eastAsia="仿宋" w:cs="仿宋"/>
                <w:color w:val="auto"/>
                <w:sz w:val="21"/>
                <w:szCs w:val="21"/>
                <w:highlight w:val="none"/>
                <w:lang w:eastAsia="zh-CN"/>
              </w:rPr>
              <w:t xml:space="preserve">JSZC-320585-SZTZ-G2025-0017</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2025年07月18日09点30分</w:t>
            </w:r>
            <w:r>
              <w:rPr>
                <w:rFonts w:hint="eastAsia" w:ascii="仿宋" w:hAnsi="仿宋" w:eastAsia="仿宋" w:cs="仿宋"/>
                <w:color w:val="auto"/>
                <w:sz w:val="21"/>
                <w:szCs w:val="21"/>
                <w:highlight w:val="none"/>
              </w:rPr>
              <w:t xml:space="preserve"> （北京时间）前递交投标文件。</w:t>
            </w:r>
            <w:r/>
          </w:p>
        </w:tc>
      </w:tr>
    </w:tbl>
    <w:p>
      <w:pPr>
        <w:pStyle w:val="79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37"/>
          <w:rFonts w:hint="eastAsia" w:ascii="仿宋" w:hAnsi="仿宋" w:eastAsia="仿宋" w:cs="仿宋"/>
          <w:b/>
          <w:bCs/>
          <w:color w:val="auto"/>
          <w:sz w:val="21"/>
          <w:szCs w:val="21"/>
          <w:highlight w:val="none"/>
        </w:rPr>
        <w:t xml:space="preserve">一、项目基本情况</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JSZC-320585-SZTZ-G2025-0017</w:t>
      </w:r>
      <w:r>
        <w:rPr>
          <w:rFonts w:hint="eastAsia" w:ascii="仿宋" w:hAnsi="仿宋" w:eastAsia="仿宋" w:cs="仿宋"/>
          <w:color w:val="auto"/>
          <w:sz w:val="21"/>
          <w:szCs w:val="21"/>
          <w:highlight w:val="none"/>
        </w:rPr>
        <w:t xml:space="preserve"> </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项目名称：西校区房屋安全鉴定服务 </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预算金额：200.000000万元 </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最高限价（如有）：200.000000万元</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pStyle w:val="831"/>
        <w:ind w:firstLine="420"/>
        <w:spacing w:before="0" w:beforeAutospacing="0" w:after="0" w:afterAutospacing="0" w:line="360" w:lineRule="auto"/>
        <w:rPr>
          <w:rFonts w:hint="eastAsia" w:ascii="仿宋" w:hAnsi="仿宋" w:eastAsia="仿宋" w:cs="仿宋"/>
          <w:color w:val="auto"/>
          <w:sz w:val="21"/>
          <w:highlight w:val="none"/>
        </w:rPr>
      </w:pPr>
      <w:r>
        <w:rPr>
          <w:rFonts w:hint="eastAsia" w:ascii="仿宋" w:hAnsi="仿宋" w:eastAsia="仿宋" w:cs="仿宋"/>
          <w:color w:val="auto"/>
          <w:sz w:val="21"/>
          <w:szCs w:val="21"/>
          <w:highlight w:val="none"/>
        </w:rPr>
        <w:t xml:space="preserve">采购需求：西校区房屋安全鉴定服务</w:t>
      </w:r>
      <w:r/>
    </w:p>
    <w:p>
      <w:pPr>
        <w:pStyle w:val="831"/>
        <w:ind w:firstLine="420"/>
        <w:spacing w:before="0" w:beforeAutospacing="0" w:after="0" w:afterAutospacing="0" w:line="360" w:lineRule="auto"/>
        <w:rPr>
          <w:rFonts w:hint="eastAsia" w:ascii="仿宋" w:hAnsi="仿宋" w:eastAsia="仿宋" w:cs="仿宋"/>
          <w:color w:val="000000" w:themeColor="text1"/>
          <w:sz w:val="21"/>
          <w:szCs w:val="21"/>
          <w:highlight w:val="none"/>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000000" w:themeColor="text1"/>
          <w:sz w:val="21"/>
          <w:szCs w:val="21"/>
          <w:highlight w:val="none"/>
          <w:lang w:eastAsia="zh-CN" w:bidi="ar"/>
        </w:rPr>
        <w:t xml:space="preserve">自合同签订后30个工作日内完成所有检测工作，安全性鉴定报告上传苏州市房屋安全鉴定管理信息系统，审核通过后出具安全性鉴定报告</w:t>
      </w:r>
      <w:r>
        <w:rPr>
          <w:color w:val="000000" w:themeColor="text1"/>
        </w:rPr>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本项目（是/否）接受联合体投标：不接受联合体</w:t>
      </w:r>
      <w:r/>
    </w:p>
    <w:p>
      <w:pPr>
        <w:pStyle w:val="79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37"/>
          <w:rFonts w:hint="eastAsia" w:ascii="仿宋" w:hAnsi="仿宋" w:eastAsia="仿宋" w:cs="仿宋"/>
          <w:b/>
          <w:bCs/>
          <w:color w:val="auto"/>
          <w:sz w:val="21"/>
          <w:szCs w:val="21"/>
          <w:highlight w:val="none"/>
        </w:rPr>
        <w:t xml:space="preserve">二、申请人的资格要求</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w:t>
      </w:r>
      <w:r/>
    </w:p>
    <w:p>
      <w:pPr>
        <w:ind w:firstLine="420"/>
        <w:jc w:val="both"/>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shd w:val="clear" w:color="auto" w:fill="ffffff"/>
          <w:lang w:val="en-US" w:eastAsia="zh-CN" w:bidi="ar-SA"/>
        </w:rPr>
        <w:t xml:space="preserve">法律、行政法规规定的其他条件</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pStyle w:val="831"/>
        <w:ind w:firstLine="422"/>
        <w:spacing w:before="0" w:beforeAutospacing="0" w:after="0" w:afterAutospacing="0" w:line="360" w:lineRule="auto"/>
        <w:rPr>
          <w:rFonts w:hint="eastAsia" w:ascii="仿宋" w:hAnsi="仿宋" w:eastAsia="仿宋" w:cs="仿宋"/>
          <w:b/>
          <w:bCs/>
          <w:color w:val="auto"/>
          <w:sz w:val="21"/>
          <w:szCs w:val="21"/>
          <w:highlight w:val="none"/>
        </w:rPr>
      </w:pPr>
      <w:r>
        <w:rPr>
          <w:rStyle w:val="837"/>
          <w:rFonts w:hint="eastAsia" w:ascii="仿宋" w:hAnsi="仿宋" w:eastAsia="仿宋" w:cs="仿宋"/>
          <w:color w:val="auto"/>
          <w:sz w:val="21"/>
          <w:szCs w:val="21"/>
          <w:highlight w:val="none"/>
        </w:rPr>
        <w:t xml:space="preserve">1.</w:t>
      </w:r>
      <w:r>
        <w:rPr>
          <w:rFonts w:hint="eastAsia" w:ascii="仿宋" w:hAnsi="仿宋" w:eastAsia="仿宋" w:cs="仿宋"/>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pStyle w:val="831"/>
        <w:ind w:firstLine="422"/>
        <w:spacing w:before="0" w:beforeAutospacing="0" w:after="0" w:afterAutospacing="0"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shd w:val="clear" w:color="auto" w:fill="ffffff"/>
        </w:rPr>
        <w:t xml:space="preserve">2.本项目属于专门面向中小企业采购的项目，投标人应为中小微企业，必须提供《中小企业声明函》，小微企业不享受价格扣除优惠。提供《残疾人福利性单位声明函》或属于监狱企业的证明文件的视同小微企业。</w:t>
      </w:r>
      <w:r/>
    </w:p>
    <w:p>
      <w:pPr>
        <w:ind w:firstLine="420"/>
        <w:jc w:val="both"/>
        <w:spacing w:line="360"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3.投标单位应具有建设行政主管部门颁发的检测机构资质（核定检测项目至少包括：主体结构现场检测，地基基础工程检测资质）；</w:t>
      </w:r>
      <w:r/>
    </w:p>
    <w:p>
      <w:pPr>
        <w:ind w:firstLine="420"/>
        <w:jc w:val="both"/>
        <w:spacing w:line="360"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4.具有省、直辖市或国家计量行政部门颁发的有效期内的《CMA计量认证》证书；</w:t>
      </w:r>
      <w:r/>
    </w:p>
    <w:p>
      <w:pPr>
        <w:pStyle w:val="79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37"/>
          <w:rFonts w:hint="eastAsia" w:ascii="仿宋" w:hAnsi="仿宋" w:eastAsia="仿宋" w:cs="仿宋"/>
          <w:b/>
          <w:bCs/>
          <w:color w:val="auto"/>
          <w:sz w:val="21"/>
          <w:szCs w:val="21"/>
          <w:highlight w:val="none"/>
        </w:rPr>
        <w:t xml:space="preserve">三、获取招标文件</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时间：自招标文件公告发布之日起5个工作日 </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79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37"/>
          <w:rFonts w:hint="eastAsia" w:ascii="仿宋" w:hAnsi="仿宋" w:eastAsia="仿宋" w:cs="仿宋"/>
          <w:b/>
          <w:bCs/>
          <w:color w:val="auto"/>
          <w:sz w:val="21"/>
          <w:szCs w:val="21"/>
          <w:highlight w:val="none"/>
        </w:rPr>
        <w:t xml:space="preserve">四、提交投标文件截止时间、开标时间和地点</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2025年07月18日09点30分</w:t>
      </w:r>
      <w:r>
        <w:rPr>
          <w:rFonts w:hint="eastAsia" w:ascii="仿宋" w:hAnsi="仿宋" w:eastAsia="仿宋" w:cs="仿宋"/>
          <w:color w:val="auto"/>
          <w:sz w:val="21"/>
          <w:szCs w:val="21"/>
          <w:highlight w:val="none"/>
        </w:rPr>
        <w:t xml:space="preserve"> （北京时间）</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79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37"/>
          <w:rFonts w:hint="eastAsia" w:ascii="仿宋" w:hAnsi="仿宋" w:eastAsia="仿宋" w:cs="仿宋"/>
          <w:b/>
          <w:bCs/>
          <w:color w:val="auto"/>
          <w:sz w:val="21"/>
          <w:szCs w:val="21"/>
          <w:highlight w:val="none"/>
        </w:rPr>
        <w:t xml:space="preserve">五、公告期限</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79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37"/>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hint="eastAsia" w:ascii="仿宋" w:hAnsi="仿宋" w:eastAsia="仿宋" w:cs="仿宋"/>
          <w:color w:val="auto"/>
          <w:sz w:val="21"/>
          <w:szCs w:val="21"/>
          <w:highlight w:val="none"/>
        </w:rPr>
      </w:pPr>
      <w:r>
        <w:rPr>
          <w:rStyle w:val="837"/>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hint="eastAsia" w:ascii="仿宋" w:hAnsi="仿宋" w:eastAsia="仿宋" w:cs="仿宋"/>
          <w:color w:val="auto"/>
          <w:sz w:val="21"/>
          <w:szCs w:val="21"/>
          <w:highlight w:val="none"/>
        </w:rPr>
      </w:pPr>
      <w:r>
        <w:rPr>
          <w:rStyle w:val="837"/>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837"/>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837"/>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837"/>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837"/>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837"/>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837"/>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837"/>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hint="eastAsia" w:ascii="仿宋" w:hAnsi="仿宋" w:eastAsia="仿宋" w:cs="仿宋"/>
          <w:color w:val="auto"/>
          <w:sz w:val="21"/>
          <w:szCs w:val="21"/>
          <w:highlight w:val="none"/>
        </w:rPr>
      </w:pPr>
      <w:r>
        <w:rPr>
          <w:rStyle w:val="837"/>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837"/>
          <w:rFonts w:hint="eastAsia" w:ascii="仿宋" w:hAnsi="仿宋" w:eastAsia="仿宋" w:cs="仿宋"/>
          <w:color w:val="auto"/>
          <w:sz w:val="21"/>
          <w:szCs w:val="21"/>
          <w:highlight w:val="none"/>
          <w:lang w:bidi="ar"/>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8、</w:t>
      </w:r>
      <w:r>
        <w:rPr>
          <w:rStyle w:val="837"/>
          <w:rFonts w:hint="eastAsia" w:ascii="仿宋" w:hAnsi="仿宋" w:eastAsia="仿宋" w:cs="仿宋"/>
          <w:color w:val="auto"/>
          <w:sz w:val="21"/>
          <w:szCs w:val="21"/>
          <w:highlight w:val="none"/>
          <w:lang w:bidi="ar"/>
        </w:rPr>
        <w:t xml:space="preserve">中标服务费：</w:t>
      </w:r>
      <w:r>
        <w:rPr>
          <w:rFonts w:hint="eastAsia" w:ascii="仿宋" w:hAnsi="仿宋" w:eastAsia="仿宋" w:cs="仿宋"/>
          <w:color w:val="auto"/>
          <w:sz w:val="21"/>
          <w:szCs w:val="21"/>
          <w:highlight w:val="none"/>
        </w:rPr>
        <w:t xml:space="preserve">中标服务费应由中标单位在领取中标通知书时一次性付清，该费用综合含在投标报价中。具体收费以预算金额为基数依据，100万元以下部分收取1.5%；100万元（含）~500万元部分收取1.1%；500万元（含）~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p>
      <w:pPr>
        <w:ind w:firstLine="420"/>
        <w:jc w:val="both"/>
        <w:spacing w:line="360" w:lineRule="auto"/>
        <w:shd w:val="clear" w:color="auto" w:fill="ffffff"/>
        <w:rPr>
          <w:color w:val="auto"/>
          <w:sz w:val="21"/>
          <w:szCs w:val="21"/>
          <w:highlight w:val="none"/>
        </w:rPr>
      </w:pPr>
      <w:r>
        <w:rPr>
          <w:rStyle w:val="837"/>
          <w:rFonts w:hint="eastAsia" w:ascii="仿宋" w:hAnsi="仿宋" w:eastAsia="仿宋" w:cs="仿宋"/>
          <w:b w:val="0"/>
          <w:bCs w:val="0"/>
          <w:color w:val="auto"/>
          <w:sz w:val="21"/>
          <w:szCs w:val="21"/>
          <w:highlight w:val="none"/>
        </w:rPr>
        <w:t xml:space="preserve">9、</w:t>
      </w:r>
      <w:r>
        <w:rPr>
          <w:rFonts w:hint="eastAsia" w:ascii="仿宋" w:hAnsi="仿宋" w:eastAsia="仿宋" w:cs="仿宋"/>
          <w:color w:val="auto"/>
          <w:sz w:val="21"/>
          <w:szCs w:val="21"/>
          <w:highlight w:val="none"/>
          <w:shd w:val="clear" w:color="auto" w:fill="ffffff"/>
          <w:lang w:bidi="ar"/>
        </w:rPr>
        <w:t xml:space="preserve">政府采购履约资金扶持政策  </w:t>
      </w:r>
      <w:r/>
    </w:p>
    <w:p>
      <w:pPr>
        <w:pStyle w:val="791"/>
        <w:numPr>
          <w:ilvl w:val="1"/>
          <w:numId w:val="0"/>
        </w:numPr>
        <w:ind w:firstLine="420"/>
        <w:keepLines w:val="0"/>
        <w:keepNext w:val="0"/>
        <w:spacing w:before="0" w:after="0" w:line="360" w:lineRule="auto"/>
        <w:rPr>
          <w:rStyle w:val="837"/>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shd w:val="clear" w:color="auto" w:fill="ffffff"/>
          <w:lang w:bidi="ar"/>
        </w:rPr>
        <w:t xml:space="preserve">中标供应商可凭政府采购合同办理融资贷款，详情请见江苏政府采购网“政采贷”专栏。</w:t>
      </w:r>
      <w:r/>
    </w:p>
    <w:p>
      <w:pPr>
        <w:pStyle w:val="791"/>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37"/>
          <w:rFonts w:hint="eastAsia" w:ascii="仿宋" w:hAnsi="仿宋" w:eastAsia="仿宋" w:cs="仿宋"/>
          <w:b/>
          <w:bCs/>
          <w:color w:val="auto"/>
          <w:sz w:val="21"/>
          <w:szCs w:val="21"/>
          <w:highlight w:val="none"/>
        </w:rPr>
        <w:t xml:space="preserve">七、对本次招标提出询问，请按以下方式联系</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单位名称：苏州健雄职业技术学院 </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单位地址：太仓科教新城学院路1号</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 张老师      </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联系电话：15850285363</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单位名称：苏州泰至鑫项目管理有限公司</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单位地址：太仓市上海东路333号高展商务大厦1003室</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联系人：顾孙英</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联系电话：13145086180</w:t>
      </w:r>
      <w:r/>
    </w:p>
    <w:p>
      <w:pPr>
        <w:pStyle w:val="83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顾孙英 联系电话：13145086180</w:t>
      </w:r>
      <w:r/>
    </w:p>
    <w:p>
      <w:pPr>
        <w:ind w:firstLine="422"/>
        <w:jc w:val="both"/>
        <w:spacing w:line="360" w:lineRule="auto"/>
        <w:rPr>
          <w:rFonts w:hint="eastAsia" w:ascii="仿宋" w:hAnsi="仿宋" w:eastAsia="仿宋" w:cs="仿宋"/>
          <w:color w:val="auto"/>
          <w:sz w:val="21"/>
          <w:szCs w:val="21"/>
          <w:highlight w:val="none"/>
        </w:rPr>
      </w:pPr>
      <w:r>
        <w:rPr>
          <w:rStyle w:val="837"/>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jc w:val="center"/>
        <w:widowControl w:val="off"/>
        <w:rPr>
          <w:rStyle w:val="995"/>
          <w:rFonts w:hint="eastAsia" w:ascii="宋体" w:hAnsi="宋体" w:eastAsia="宋体" w:cs="宋体"/>
          <w:color w:val="auto"/>
          <w:sz w:val="32"/>
          <w:szCs w:val="32"/>
          <w:highlight w:val="none"/>
        </w:rPr>
      </w:pPr>
      <w:r>
        <w:rPr>
          <w:rStyle w:val="995"/>
          <w:rFonts w:hint="eastAsia" w:ascii="宋体" w:hAnsi="宋体" w:eastAsia="宋体" w:cs="宋体"/>
          <w:color w:val="auto"/>
          <w:sz w:val="32"/>
          <w:szCs w:val="32"/>
          <w:highlight w:val="none"/>
        </w:rPr>
        <w:t xml:space="preserve">第二章 投标人须知</w:t>
      </w:r>
      <w:r/>
    </w:p>
    <w:p>
      <w:pPr>
        <w:jc w:val="both"/>
        <w:widowControl w:val="off"/>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hint="eastAsia" w:ascii="宋体" w:hAnsi="宋体" w:cs="宋体"/>
          <w:b/>
          <w:bCs/>
          <w:color w:val="auto"/>
          <w:sz w:val="21"/>
          <w:szCs w:val="21"/>
          <w:highlight w:val="none"/>
          <w:lang w:val="zh-CN"/>
        </w:rPr>
      </w:pPr>
      <w:r/>
      <w:bookmarkStart w:id="2" w:name="_Toc142194258"/>
      <w:r>
        <w:rPr>
          <w:rFonts w:hint="eastAsia" w:ascii="宋体" w:hAnsi="宋体" w:cs="宋体"/>
          <w:b/>
          <w:bCs/>
          <w:color w:val="auto"/>
          <w:sz w:val="21"/>
          <w:szCs w:val="21"/>
          <w:highlight w:val="none"/>
          <w:lang w:val="zh-CN"/>
        </w:rPr>
        <w:t xml:space="preserve">二、投标人</w:t>
      </w:r>
      <w:bookmarkEnd w:id="2"/>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本次招标不接受联合投标。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13.1.1 开标一览表（系统内直接填写）；</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13.1.2投标报价明细表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 资格性、符合性、技术、商务部分：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13.2.1.1具有独立承担民事责任的能力：提供投标单位营业执照及法定代表人身份证扫描件或自然人的身份证明、授权委托书（如有授权）、被授权人身份证（如有授权）、关于资格文件的声明函、投标人基本情况表。（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13.2.1.2具有良好的商业信誉和健全的财务会计制度：提供参加本次政府采购活动前的财务状况报告或者银行出具的资信证明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13.2.1.3具有履行合同所必需的设备和专业技术能力：提供履行合同所必需的设备和专业技术能力的证明材料或书面声明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13.2.1.4具有依法缴纳税收和社会保障资金的良好记录：提供参加本次政府采购活动前半年任意一个月份依法缴纳税收和社会保障资金的证明材料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13.2.1.5参加政府采购活动前三年内，在经营活动中没有重大违法记录：提供参加本次政府采购活动前3年内在经营活动中没有重大违法记录的书面声明（详见投标文件格式）；</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13.2.1.7特定资格条件，投标人证明其符合招标文件规定的投标人特定资格条件的证书、证明和文件材料；（如有）</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13.2.2.1服务条款偏离表（详见投标文件格式）；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价格折扣文件（本项目为专门面向中小微企业采购的项目，小微企业参与本项目的不享受价格扣除优惠政策）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tabs>
          <w:tab w:val="left" w:pos="420" w:leader="none"/>
          <w:tab w:val="left" w:pos="540" w:leader="none"/>
        </w:tabs>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投标总报价应包括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w:t>
      </w:r>
      <w:r>
        <w:rPr>
          <w:rFonts w:hint="eastAsia" w:ascii="宋体" w:hAnsi="宋体" w:cs="宋体"/>
          <w:color w:val="auto"/>
          <w:sz w:val="21"/>
          <w:szCs w:val="21"/>
          <w:highlight w:val="none"/>
        </w:rPr>
        <w:t xml:space="preserve">构</w:t>
      </w:r>
      <w:r>
        <w:rPr>
          <w:rFonts w:hint="eastAsia" w:ascii="宋体" w:hAnsi="宋体" w:cs="宋体"/>
          <w:color w:val="auto"/>
          <w:sz w:val="21"/>
          <w:szCs w:val="21"/>
          <w:highlight w:val="none"/>
          <w:lang w:val="zh-CN"/>
        </w:rPr>
        <w:t xml:space="preserve">确认不符合政府采购相关法律法规规定的，将拒绝其参与政府采购活动。</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24.7</w:t>
      </w:r>
      <w:r>
        <w:rPr>
          <w:rFonts w:hint="eastAsia" w:ascii="宋体" w:hAnsi="宋体" w:cs="宋体"/>
          <w:b/>
          <w:bCs/>
          <w:color w:val="auto"/>
          <w:sz w:val="21"/>
          <w:szCs w:val="21"/>
          <w:highlight w:val="none"/>
          <w:lang w:val="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auto"/>
          <w:sz w:val="21"/>
          <w:szCs w:val="21"/>
          <w:highlight w:val="none"/>
          <w:lang w:val="zh-CN"/>
        </w:rPr>
        <w:t xml:space="preserve">。</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33、中标服务费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33.1中标人应按前附表中的约定交纳中标服务费。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33.2中标人如果未按规定缴纳中标服务费，代理机构保留诉讼的权利。</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rPr>
          <w:rStyle w:val="995"/>
          <w:rFonts w:hint="eastAsia" w:ascii="宋体" w:hAnsi="宋体" w:eastAsia="宋体" w:cs="宋体"/>
          <w:color w:val="auto"/>
          <w:sz w:val="32"/>
          <w:szCs w:val="32"/>
          <w:highlight w:val="none"/>
        </w:rPr>
      </w:pPr>
      <w:r/>
      <w:bookmarkStart w:id="3" w:name="_Toc28477"/>
      <w:r>
        <w:rPr>
          <w:rStyle w:val="995"/>
          <w:rFonts w:ascii="宋体" w:hAnsi="宋体" w:eastAsia="宋体" w:cs="宋体"/>
          <w:color w:val="auto"/>
          <w:sz w:val="32"/>
          <w:szCs w:val="32"/>
          <w:highlight w:val="none"/>
        </w:rPr>
        <w:br w:type="page" w:clear="all"/>
      </w:r>
      <w:r/>
    </w:p>
    <w:p>
      <w:pPr>
        <w:pStyle w:val="994"/>
        <w:jc w:val="center"/>
        <w:rPr>
          <w:color w:val="auto"/>
          <w:highlight w:val="none"/>
        </w:rPr>
      </w:pPr>
      <w:r>
        <w:rPr>
          <w:rStyle w:val="995"/>
          <w:rFonts w:hint="eastAsia" w:ascii="宋体" w:hAnsi="宋体" w:eastAsia="宋体" w:cs="宋体"/>
          <w:color w:val="auto"/>
          <w:sz w:val="32"/>
          <w:szCs w:val="32"/>
          <w:highlight w:val="none"/>
        </w:rPr>
        <w:t xml:space="preserve">第三章 </w:t>
      </w:r>
      <w:bookmarkEnd w:id="3"/>
      <w:r>
        <w:rPr>
          <w:rStyle w:val="995"/>
          <w:rFonts w:hint="eastAsia" w:ascii="宋体" w:hAnsi="宋体" w:eastAsia="宋体" w:cs="宋体"/>
          <w:color w:val="auto"/>
          <w:sz w:val="32"/>
          <w:szCs w:val="32"/>
          <w:highlight w:val="none"/>
        </w:rPr>
        <w:t xml:space="preserve">项目需求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受苏州健雄职业技术学院之委托，苏州泰至鑫项目管理有限公司作为招标代理机构，对其拟采购的西校区房屋安全鉴定服务进行国内公开招标。欢迎符合资格条件的供应商前来报名参加投标。</w:t>
      </w:r>
      <w:r/>
    </w:p>
    <w:p>
      <w:pPr>
        <w:pStyle w:val="806"/>
        <w:ind w:firstLine="420"/>
        <w:spacing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一、项目概况</w:t>
      </w:r>
      <w:r/>
    </w:p>
    <w:p>
      <w:pPr>
        <w:ind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JSZC-320585-SZTZ-G2025-0017</w:t>
      </w:r>
      <w:r/>
    </w:p>
    <w:p>
      <w:pPr>
        <w:ind w:firstLine="422"/>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2、</w:t>
      </w:r>
      <w:r>
        <w:rPr>
          <w:rFonts w:hint="eastAsia" w:ascii="宋体" w:hAnsi="宋体" w:cs="宋体"/>
          <w:b/>
          <w:color w:val="auto"/>
          <w:sz w:val="21"/>
          <w:szCs w:val="21"/>
          <w:highlight w:val="none"/>
          <w:lang w:val="zh-CN"/>
        </w:rPr>
        <w:t xml:space="preserve">项目名称：</w:t>
      </w:r>
      <w:r>
        <w:rPr>
          <w:rFonts w:hint="eastAsia" w:ascii="宋体" w:hAnsi="宋体" w:cs="宋体"/>
          <w:color w:val="auto"/>
          <w:sz w:val="21"/>
          <w:szCs w:val="21"/>
          <w:highlight w:val="none"/>
        </w:rPr>
        <w:t xml:space="preserve">西校区房屋安全鉴定服务</w:t>
      </w:r>
      <w:r/>
    </w:p>
    <w:p>
      <w:pPr>
        <w:ind w:firstLine="422"/>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shd w:val="clear" w:color="auto" w:fill="ffffff"/>
          <w:lang w:bidi="ar"/>
        </w:rPr>
        <w:t xml:space="preserve">3、预算金额：</w:t>
      </w:r>
      <w:r>
        <w:rPr>
          <w:rFonts w:hint="eastAsia" w:ascii="宋体" w:hAnsi="宋体" w:cs="宋体"/>
          <w:color w:val="auto"/>
          <w:sz w:val="21"/>
          <w:szCs w:val="21"/>
          <w:highlight w:val="none"/>
        </w:rPr>
        <w:t xml:space="preserve">200.000000万元 </w:t>
      </w:r>
      <w:r/>
    </w:p>
    <w:p>
      <w:pPr>
        <w:ind w:firstLine="422"/>
        <w:spacing w:line="360" w:lineRule="auto"/>
        <w:tabs>
          <w:tab w:val="left" w:pos="360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4、最高限价：</w:t>
      </w:r>
      <w:r>
        <w:rPr>
          <w:rFonts w:hint="eastAsia" w:ascii="宋体" w:hAnsi="宋体" w:cs="宋体"/>
          <w:color w:val="auto"/>
          <w:sz w:val="21"/>
          <w:szCs w:val="21"/>
          <w:highlight w:val="none"/>
        </w:rPr>
        <w:t xml:space="preserve">200.000000万元</w:t>
      </w:r>
      <w:r/>
    </w:p>
    <w:p>
      <w:pPr>
        <w:ind w:firstLine="422"/>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5、服务地点：</w:t>
      </w:r>
      <w:r>
        <w:rPr>
          <w:rFonts w:hint="eastAsia" w:ascii="宋体" w:hAnsi="宋体" w:cs="宋体"/>
          <w:color w:val="auto"/>
          <w:sz w:val="21"/>
          <w:szCs w:val="21"/>
          <w:highlight w:val="none"/>
        </w:rPr>
        <w:t xml:space="preserve">采购方指定</w:t>
      </w:r>
      <w:r/>
    </w:p>
    <w:p>
      <w:pPr>
        <w:ind w:firstLine="422"/>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zh-CN"/>
        </w:rPr>
        <w:t xml:space="preserve">采购需求：</w:t>
      </w:r>
      <w:r/>
    </w:p>
    <w:p>
      <w:pPr>
        <w:contextualSpacing/>
        <w:ind w:firstLine="420"/>
        <w:jc w:val="both"/>
        <w:spacing w:line="360" w:lineRule="auto"/>
        <w:widowControl w:val="off"/>
        <w:rPr>
          <w:rFonts w:hint="eastAsia" w:ascii="宋体" w:hAnsi="宋体" w:cs="宋体"/>
          <w:b/>
          <w:bCs/>
          <w:color w:val="auto"/>
          <w:sz w:val="21"/>
          <w:szCs w:val="21"/>
          <w:highlight w:val="none"/>
        </w:rPr>
      </w:pPr>
      <w:r/>
      <w:bookmarkStart w:id="4" w:name="_Toc142194272"/>
      <w:r/>
      <w:bookmarkStart w:id="5" w:name="_Toc40449968"/>
      <w:r/>
      <w:bookmarkStart w:id="6" w:name="_Toc25002"/>
      <w:r>
        <w:rPr>
          <w:rFonts w:hint="eastAsia" w:ascii="宋体" w:hAnsi="宋体" w:cs="宋体"/>
          <w:b/>
          <w:bCs/>
          <w:color w:val="auto"/>
          <w:sz w:val="21"/>
          <w:szCs w:val="21"/>
          <w:highlight w:val="none"/>
        </w:rPr>
        <w:t xml:space="preserve">（一）建筑现状及鉴定需求：</w:t>
      </w:r>
      <w:r/>
    </w:p>
    <w:p>
      <w:pPr>
        <w:ind w:firstLine="420"/>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为了解房屋现状的结构安全性，并为后续办理产证提供依据，本次房屋安全鉴定项目计划对学院西校区图书馆、教学楼等多栋楼宇开展房屋安全鉴定工作并出具房屋安全鉴定报告。</w:t>
      </w:r>
      <w:r>
        <w:rPr>
          <w:rFonts w:hint="eastAsia" w:ascii="宋体" w:hAnsi="宋体" w:cs="宋体"/>
          <w:b/>
          <w:bCs/>
          <w:color w:val="auto"/>
          <w:sz w:val="21"/>
          <w:szCs w:val="21"/>
          <w:highlight w:val="none"/>
        </w:rPr>
        <w:t xml:space="preserve">具体清单如下:</w:t>
      </w:r>
      <w:r/>
    </w:p>
    <w:tbl>
      <w:tblPr>
        <w:tblStyle w:val="800"/>
        <w:tblW w:w="4475" w:type="pct"/>
        <w:tblInd w:w="535" w:type="dxa"/>
        <w:tblLayout w:type="fixed"/>
        <w:tblCellMar>
          <w:left w:w="108" w:type="dxa"/>
          <w:top w:w="0" w:type="dxa"/>
          <w:right w:w="108" w:type="dxa"/>
          <w:bottom w:w="0" w:type="dxa"/>
        </w:tblCellMar>
        <w:tblLook w:val="04A0" w:firstRow="1" w:lastRow="0" w:firstColumn="1" w:lastColumn="0" w:noHBand="0" w:noVBand="1"/>
      </w:tblPr>
      <w:tblGrid>
        <w:gridCol w:w="1317"/>
        <w:gridCol w:w="2845"/>
        <w:gridCol w:w="2104"/>
        <w:gridCol w:w="2552"/>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建筑名称</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建筑面积（㎡）</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图纸情况</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12158</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实验楼</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20555</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主席台（看台）</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体育馆</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2682</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实训楼</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6877</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教学楼</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17431</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学生公寓M3M4</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8764</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学生公寓M1M2</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8200</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食堂</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9420</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吴园</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3360</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陈列馆（原锅炉房）</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校史馆（原浴室）</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993</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气化房</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泵房</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警务室（北门）</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缺图纸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配电房（发电机）</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缺图纸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配电房（西门）</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缺图纸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校园服务中心（原地下自行车库）</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行政楼</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7440</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学生公寓M5M6</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10950</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学生公寓M7M8</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10600</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学生公寓M15</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3992</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CAD图纸、竣工图扫描件</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1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花房</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CAD建筑图纸，缺结构图</w:t>
            </w:r>
            <w:r/>
          </w:p>
        </w:tc>
      </w:tr>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W w:w="2360" w:type="pct"/>
            <w:vAlign w:val="bottom"/>
            <w:textDirection w:val="lrTb"/>
            <w:noWrap/>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193" w:type="pct"/>
            <w:vAlign w:val="bottom"/>
            <w:textDirection w:val="lrTb"/>
            <w:noWrap/>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128577(</w:t>
            </w:r>
            <w:r>
              <w:rPr>
                <w:rFonts w:hint="eastAsia" w:ascii="宋体" w:hAnsi="宋体" w:cs="宋体"/>
                <w:color w:val="auto"/>
                <w:sz w:val="21"/>
                <w:szCs w:val="21"/>
                <w:highlight w:val="none"/>
              </w:rPr>
              <w:t xml:space="preserve">具体以现场实际为准)</w:t>
            </w:r>
            <w:r/>
          </w:p>
        </w:tc>
        <w:tc>
          <w:tcPr>
            <w:shd w:val="clear" w:color="auto" w:fill="auto"/>
            <w:tcBorders>
              <w:top w:val="single" w:color="000000" w:sz="4" w:space="0"/>
              <w:left w:val="single" w:color="000000" w:sz="4" w:space="0"/>
              <w:bottom w:val="single" w:color="000000" w:sz="4" w:space="0"/>
              <w:right w:val="single" w:color="000000" w:sz="4" w:space="0"/>
            </w:tcBorders>
            <w:tcW w:w="1447" w:type="pct"/>
            <w:vAlign w:val="bottom"/>
            <w:textDirection w:val="lrTb"/>
            <w:noWrap/>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contextualSpacing/>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contextualSpacing/>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（二）检测鉴定依据：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《民用建筑可靠性鉴定标准》GB50292</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《建筑结构荷载规范》GB50009</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《建筑地基基础设计规范》GB50007</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《混凝土结构设计标准》GB50010</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《建筑工程施工质量验收统一标准》GB50300</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《混凝土结构工程施工质量验收规范》GB50204</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《钻芯法检测混凝土强度技术规程》JGJ/T384</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《回弹法检测混凝土抗压强度技术规程》JGJ/T23</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《混凝土中钢筋检测技术规程》JGJ/T152</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《混凝土结构现场检测技术标准》GB/T50784</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《砌体结构设计规范》GB50003</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《砌体工程现场检测技术标准》GB/T50315</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《贯入法检测砌筑砂浆抗压强度技术规程》JGJ/T 136</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《砌体结构工程施工质量验收规范》GB50203</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《建筑变形测量规程》JGJ8</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《既有建筑鉴定与加固通用规范》GB 55021-2021</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《建筑结构检测技术标准》GB/T 50344-2019</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《混凝土结构设计规范》GB 50010-2010（2015 年版）</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《钢筋混凝土用钢第2部分：热扎带肋钢筋》GB 1499.2-2018</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注：以上标准如有取消或有修改，均按现行最新版本执行。</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（三）主要工作内容：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1、资料核查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对采购人提供的建筑结构设计图纸等相关施工技术资料进行核查。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2、现场情况调查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（1）建筑平立面布置调查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现场对建筑平立面布置、轴线间距、结构受力体系、构件布置等进行核查。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（2）裂缝检查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对建筑物的柱、墙体等与地面连接处的位置进行检查，检查柱、墙体等与地面连接处是否存在明显的沉降裂缝、变形和位移现象；检查上部结构各构件是否工作正常，是否存在因沉降产生的裂缝、倾斜及变形等现象。</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（3）构件外观质量缺陷与损伤检查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对建筑物的柱、墙、梁、板等承重构件的外观质量缺陷与损伤进行检查，检查柱、墙、梁、板等构件是否存在结构性受力裂缝，检查混凝土构件保护层是否有脱落、露筋，墙体是否有受力粉刷层剥落、风化等外观质量缺陷与其他损伤情况等。</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（4）渗漏水检查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现场对建筑物的墙体、楼面、屋面等渗漏水情况进行全面检查。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（5）实际使用荷载调查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现场对建筑现状使用荷载进行调查，检查荷载类型主要包括楼面附加恒荷载；检查荷载的主要部位包括：隔墙（包括装饰层）荷载、楼面装修荷载、屋顶设施荷载等。</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（6）承重构件拆改检查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现场全面检查建筑物主体结构是否存在承重构件拆改现象。</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3、地基基础检查</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通过现场地基不均匀沉降在上部结构中的反应的检查结果对地基基础的情况进行判定。</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4、上部结构构件参数检测 </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（1）截面尺寸检测</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《混凝土结构工程施工质量验收规范》GB50204规定的方法进行检测。</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（2）钢筋配置检测</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采用钢筋位置测定仪结合局部破损的方法，抽样检测复核柱、梁主要受力纵筋配置、箍筋配置情况。</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（3）混凝土强度检测（回弹法）</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按《回弹法检测混凝土抗压强度技术规程》JGJ/T 23规定的方法执行。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（4）混凝土碳化深度检测</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按《回弹法检测混凝土抗压强度技术规程》JGJ/T 23规定的方法执行。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（5）砌筑砂浆强度检测</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按《贯入法检测砌筑砂浆抗压强度技术规程》JGJ/T 136规定的方法执行。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（6）砌块强度检测</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按《砌体工程现场检测技术标准》GB/T50315规定的方法执行。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5、建筑物整体倾斜检测</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现场对建筑物的阳角进行垂直度检测，判定其倾斜值是否超出规范要求的限值。</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6、安全性分析及评定</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根据现场实测数据的结果，采用计算软件对建筑物的主体结构进行安全性计算分析，并依据《民用建筑可靠性鉴定标准》GB 50292对建筑物的安全性等级进行评定。</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鉴定对象安全性鉴定评级应按构件、子单元、鉴定单元三个层次逐级评定。</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第一层次构件的鉴定评级：</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混凝土结构构件的安全性评级，应按承载能力、构造、不适合承载的位移或变形、裂缝或其它损伤四个检查项目及钢结构构件分别评定，并取其中最低一级作为该构件安全性等级。</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第二层次子单元的鉴定评级：</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应按地基基础、上部承重结构划分为两个子单元，围护系统的承重部分并入上部承重结构中去。</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其中地基基础子单元的安全性应按上部承重结构反映的检查结果进行评定；上部承重结构子单元的安全性鉴定评级应根据承载功能等级、结构整体性等级以及结构侧向位移等级的评定结果进行确认，取其较低一级作为上部承重结构子单元的安全性等级。</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第三层次鉴定单元的鉴定评级：</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应根据地基基础和上部承重结构的评定结果按其中较低等级确定。</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综合评定鉴定对象安全性等级：根据现场检查、检测情况及计算结果，按照《民用建筑可靠性鉴定标准》（GB50292-2015）对鉴定对象进行综合分析、评定。</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综合评定鉴定对象安全性等级：根据现场检查、检测情况及计算结果，按照《民用建筑可靠性鉴定标准》GB50292对鉴定对象进行综合分析、评定。</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（四）检测数量及主要成果要求：</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1、检测数量</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本次检测各检测项目抽样数量均按《建筑结构检测技术标准》GB/T50344-2019、《民用建筑可靠性鉴定标准》GB 50292-2015及其他检测技术标准进行抽样。</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2、主要成果要求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（1）安全性等级评定：根据现场检查、检测及结构验算结果，依据《民用建筑可靠性鉴定标准》给出各单体工程主体结构安全性等级鉴定结果。</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（2）BIM建模：依据苏州市住房和城乡建设局发布的《苏住建房﹝2022﹞9号》文件规定对房屋现状结构进行BIM建模上传。</w:t>
      </w:r>
      <w:r/>
    </w:p>
    <w:p>
      <w:pPr>
        <w:ind w:firstLine="420"/>
        <w:jc w:val="both"/>
        <w:spacing w:line="360" w:lineRule="auto"/>
        <w:widowControl w:val="off"/>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注：安全性等级评定报告必须符合国家的有关规定要求，</w:t>
      </w:r>
      <w:r>
        <w:rPr>
          <w:rFonts w:hint="eastAsia" w:ascii="宋体" w:hAnsi="宋体" w:cs="宋体"/>
          <w:color w:val="auto"/>
          <w:sz w:val="21"/>
          <w:szCs w:val="21"/>
          <w:highlight w:val="none"/>
          <w:lang w:eastAsia="zh-CN" w:bidi="ar"/>
        </w:rPr>
        <w:t xml:space="preserve">安全性鉴定报告上传苏州市房屋安全鉴定管理信息系统，审核通过后出具安全性鉴定报告，</w:t>
      </w:r>
      <w:r>
        <w:rPr>
          <w:rFonts w:hint="eastAsia" w:ascii="宋体" w:hAnsi="宋体" w:cs="宋体"/>
          <w:color w:val="auto"/>
          <w:sz w:val="21"/>
          <w:szCs w:val="21"/>
          <w:highlight w:val="none"/>
        </w:rPr>
        <w:t xml:space="preserve">鉴定报告应由有相应执业资格的注册结构工程师签字盖章。</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（五）人员及设备要求</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1、项目负责人：不少于1人，有较强的专业能力，负责项目整体进度的把控，与采购方日常的对接及沟通，熟悉项目相关法律法规，有一定的管理经验。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2、项目技术负责人：不少于1人，具有一级注册结构工程师证书(</w:t>
      </w:r>
      <w:r>
        <w:rPr>
          <w:rFonts w:hint="eastAsia" w:ascii="宋体" w:hAnsi="宋体" w:cs="宋体"/>
          <w:color w:val="auto"/>
          <w:sz w:val="21"/>
          <w:szCs w:val="21"/>
          <w:highlight w:val="none"/>
        </w:rPr>
        <w:t xml:space="preserve">以资质证书副本信息为准),本项要求为实质性条款，必须满足，投标文件中提供相关人员证书及投标单位为该人员缴纳的社保证明材料，否则为无效标。</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技术负责人主要</w:t>
      </w:r>
      <w:r>
        <w:rPr>
          <w:rFonts w:hint="eastAsia" w:ascii="宋体" w:hAnsi="宋体" w:cs="宋体"/>
          <w:bCs/>
          <w:color w:val="auto"/>
          <w:sz w:val="21"/>
          <w:szCs w:val="21"/>
          <w:highlight w:val="none"/>
        </w:rPr>
        <w:t xml:space="preserve">负责项目进度、质量、安全方面管理，需熟悉本项目相关的法律法规，有相关工作经验，专业能力强。</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3、主要检测人员：供应商须为本项目至少配置4名主要检测人员（不包含项目负责人、技术负责人），人员应具有一定的工作经验，通过专门培训，专业能力突出。</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s="宋体"/>
          <w:bCs/>
          <w:color w:val="auto"/>
          <w:sz w:val="21"/>
          <w:szCs w:val="21"/>
          <w:highlight w:val="none"/>
        </w:rPr>
        <w:t xml:space="preserve">4、检测单位</w:t>
      </w:r>
      <w:r>
        <w:rPr>
          <w:rFonts w:hint="eastAsia" w:ascii="宋体" w:hAnsi="宋体" w:cs="宋体"/>
          <w:bCs/>
          <w:color w:val="auto"/>
          <w:sz w:val="21"/>
          <w:szCs w:val="21"/>
          <w:highlight w:val="none"/>
          <w:lang w:val="zh-CN"/>
        </w:rPr>
        <w:t xml:space="preserve">在项目实施过程中要确保服务团队的稳定，且变动前需提交采购</w:t>
      </w:r>
      <w:r>
        <w:rPr>
          <w:rFonts w:hint="eastAsia" w:ascii="宋体" w:hAnsi="宋体" w:cs="宋体"/>
          <w:bCs/>
          <w:color w:val="auto"/>
          <w:sz w:val="21"/>
          <w:szCs w:val="21"/>
          <w:highlight w:val="none"/>
        </w:rPr>
        <w:t xml:space="preserve">单位</w:t>
      </w:r>
      <w:r>
        <w:rPr>
          <w:rFonts w:hint="eastAsia" w:ascii="宋体" w:hAnsi="宋体" w:cs="宋体"/>
          <w:bCs/>
          <w:color w:val="auto"/>
          <w:sz w:val="21"/>
          <w:szCs w:val="21"/>
          <w:highlight w:val="none"/>
          <w:lang w:val="zh-CN"/>
        </w:rPr>
        <w:t xml:space="preserve">书面审核同意。在本项目实施中采购</w:t>
      </w:r>
      <w:r>
        <w:rPr>
          <w:rFonts w:hint="eastAsia" w:ascii="宋体" w:hAnsi="宋体" w:cs="宋体"/>
          <w:bCs/>
          <w:color w:val="auto"/>
          <w:sz w:val="21"/>
          <w:szCs w:val="21"/>
          <w:highlight w:val="none"/>
        </w:rPr>
        <w:t xml:space="preserve">单位</w:t>
      </w:r>
      <w:r>
        <w:rPr>
          <w:rFonts w:hint="eastAsia" w:ascii="宋体" w:hAnsi="宋体" w:cs="宋体"/>
          <w:bCs/>
          <w:color w:val="auto"/>
          <w:sz w:val="21"/>
          <w:szCs w:val="21"/>
          <w:highlight w:val="none"/>
          <w:lang w:val="zh-CN"/>
        </w:rPr>
        <w:t xml:space="preserve">可对各个环节进行不定期的检查，并提出整改意见，</w:t>
      </w:r>
      <w:r>
        <w:rPr>
          <w:rFonts w:hint="eastAsia" w:ascii="宋体" w:hAnsi="宋体" w:cs="宋体"/>
          <w:bCs/>
          <w:color w:val="auto"/>
          <w:sz w:val="21"/>
          <w:szCs w:val="21"/>
          <w:highlight w:val="none"/>
        </w:rPr>
        <w:t xml:space="preserve">检测单位</w:t>
      </w:r>
      <w:r>
        <w:rPr>
          <w:rFonts w:hint="eastAsia" w:ascii="宋体" w:hAnsi="宋体" w:cs="宋体"/>
          <w:bCs/>
          <w:color w:val="auto"/>
          <w:sz w:val="21"/>
          <w:szCs w:val="21"/>
          <w:highlight w:val="none"/>
          <w:lang w:val="zh-CN"/>
        </w:rPr>
        <w:t xml:space="preserve">必须采取相应整改措施。</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5、检测用相关设备由响应单位根据本项目要求自行配备。</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注：以上人员数量要求为实质性条款，必须满足。投标文件中提供相关人员清单及投标单位为以上人员缴纳的社保证明材料或承诺中标后人员到位的承诺书，格式自拟，否者为无效标。</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（六）质量保证</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为了保证检测鉴定工作质量，响应单位对该项目的检测工作，做到精心组织、合理化安排，将采取必要的质量保证措施。</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1、响应单位严格按照学校的要求开展各项工作，指定项目负责人协调响应单位与学校及相关单位的关系，调动资源为此服务。</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2、要求所有现场的检测人员，牢固树立目标意识，围绕工作目标开展工作，务必强调检测工作的计划性、预控性和前瞻性。</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3、所有进驻现场的检测人员，严格遵守学校各项目现场的相关管理规定，保质保量做好该项目检测鉴定工作。</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4、选用先进的检测设备，执行现行科学、有效并为客户认可的检测方法，确保检测方法的科学性。使用经过计量检定且在检定有效期内仪器设备，保证检测数据的准确性。</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5、充分运用专业技术优势，对检测鉴定中如有发现存在质量隐患的提供处理建议，为学校提供技术咨询服务。</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6、实现服务承诺，及时完成各项服务。提高响应单位员工的工作效力，最大化的满足学校的要求；当发生不可预见事情时，及时与学校沟通，将损失降低到最小。</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7、现场检测过程中对建筑结构和装修的破坏由成交单位负责修复。</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（七）安全保障措施</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在现场工作中，响应单位遵守政府有关部门、业主及有关单位安全、保卫制度，并对检测人员的安全负责。在作业现场，响应单位将采取必要的安全措施。</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1、响应单位将结合自身内部的实际情况，针对本工程的特殊环境，保证正常的工作秩序和安全，对检测人员进行安全教育，并与检测人员签订工程安全目标责任书。</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2、建立以项目负责人为第一责任人的责任负责制，建立健全安全生产责任制和群防群治的制度。所有进入现场的检测人员均配发安全防护用具。</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3、所有现场检测人员必须严格遵守业主对安全生产和文明施工的有关规定，须在确保质量和安全生产的前提下开展工作。</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4、以安全生产为标准化管理重点，做好安全技术交底和日常的安全检查，排除各种安全隐患。现场用电和动力设备由专人管理。</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5、响应单位应为所有员工办理人身意外伤害保险和医疗保险，确保检测人员在现场工作无后顾之忧。</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现场检测项目部在检测工作中使用或租用的机械、设备均有安检合格证，并为机械、车辆等购买保险。机械、车辆在进入现场操作之前均进行安全检查，所有辅助设备在使用之前也进行安全检查，排除一切安全隐患。</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三、其他要求</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1、成交单位须为员工购买用工意外伤害保险，采购单位不承担任何法律和经济上的责任。</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2、响应单位在被确定成交后，其在响应文件中所提供的服务人员名单须相对固定，如有人员调整须在合同签订前征得采购单位同意，否则采购单位有权终止合同。</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3、成交单位在履行合同期间，若所提供的服务不能令学校满意，如减少双方约定的服务范围，服务人员的素质水平、工作态度等，则采购单位有权要求成交单位在指定时间内更换管理及服务人员。</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响应单位在项目进行过程中产生的任何安全、损坏等责任事故一律由响应单位自行承担。如遇突发情况，响应单位需协助采购单位完成需要响应单位配合的服务。因响应单位管理不善，造成工作范围内的损坏的，由直接责任人赔偿，若直接责任人因故无法赔偿的，采购单位有权要求响应单位负责赔偿损失，情节严重的可终止合同甚至诉诸法律。</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成交单位工作人员应遵守学校相关的管理制度；不得随意离开岗位；响应单位应执行国家有关规定，负责成交单位员工的生病、事故、工伤、伤残、死亡和劳务纠纷，采购单位不承担任何责任。同时由于成交单位的故意或过失而使得采购单位的设施设备引起的人员财产损失，应由成交单位承担相关责任。</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响应单位须具备独立完成本项目的能力。各响应单位可在响应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7、知识产权的要求</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（1）本项目全部知识产权均归采购单位所有（独有），未经采购单位书面同意，无论是否被采购单位所采用供应商不得对外发布。</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（2）采购单位提供的资料文件，供应商具有保密义务。</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（3）供应商为本项目而引用、收集其他社会上的文件、软件所涉及的知识产权费用和法律纠纷由供应商自行负责，由此而引起的法律纠纷以及费用须由供应商全部承担。</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8、与本次采购项目有关的质量、安全问题均由供应商终生负责，相关的人员、财产责任风险均由供应商全部承担，与他人无涉。</w:t>
      </w:r>
      <w:r/>
    </w:p>
    <w:p>
      <w:pPr>
        <w:ind w:firstLine="422"/>
        <w:jc w:val="both"/>
        <w:spacing w:line="360" w:lineRule="auto"/>
        <w:widowControl w:val="off"/>
        <w:tabs>
          <w:tab w:val="left" w:pos="768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四、商务要求：</w:t>
      </w:r>
      <w:r/>
    </w:p>
    <w:p>
      <w:pPr>
        <w:ind w:firstLine="42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1、合同履行期限：</w:t>
      </w:r>
      <w:r>
        <w:rPr>
          <w:rFonts w:hint="eastAsia" w:ascii="宋体" w:hAnsi="宋体" w:cs="宋体"/>
          <w:color w:val="auto"/>
          <w:sz w:val="21"/>
          <w:szCs w:val="21"/>
          <w:highlight w:val="none"/>
          <w:lang w:eastAsia="zh-CN"/>
        </w:rPr>
        <w:t xml:space="preserve">自合同签订后30个工作日内完成所有检测工作，安全性鉴定报告上传苏州市房屋安全鉴定管理信息系统，审核通过后出具安全性鉴定报告。</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2、服务地点：采购单位指定地点。</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3、投标报价：总价报价。</w:t>
      </w:r>
      <w:r>
        <w:rPr>
          <w:rFonts w:hint="eastAsia" w:ascii="宋体" w:hAnsi="宋体" w:cs="宋体"/>
          <w:bCs/>
          <w:color w:val="auto"/>
          <w:sz w:val="21"/>
          <w:szCs w:val="21"/>
          <w:highlight w:val="none"/>
        </w:rPr>
        <w:t xml:space="preserve">响应总报价应包括完成该项工作所需全部服务和货物的检验检测、鉴定费、知识产权、耗材、交通、通讯、设备、工具、各种税费、人工、保险、劳保、修补、维护、利润、税金、社保、政策性文件规定及合同包含的所有风险、责任等各项应有费用。供应商应将所有费用在合同实施期间因市场变化因素而变动进行调整的情况包含在内，采购单位不再为此承担任何费用和责任，除非因特殊原因并经双方协商同意，供应商不得再要求追加任何费用。同时，除非合同条款中另有规定，否则，响应单位所报价格在合同实施期间不因市场变化因素而变动。</w:t>
      </w:r>
      <w:r/>
    </w:p>
    <w:p>
      <w:pPr>
        <w:ind w:firstLine="420"/>
        <w:jc w:val="both"/>
        <w:spacing w:line="360" w:lineRule="auto"/>
        <w:widowControl w:val="off"/>
        <w:rPr>
          <w:rFonts w:hint="eastAsia" w:ascii="宋体" w:hAnsi="宋体" w:cs="宋体"/>
          <w:color w:val="auto"/>
          <w:sz w:val="21"/>
          <w:szCs w:val="21"/>
          <w:highlight w:val="none"/>
          <w:lang w:eastAsia="zh-Hans"/>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Hans"/>
        </w:rPr>
        <w:t xml:space="preserve">付款步骤：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待整个项目完成并经采购单位或相关单位验收合格后，成交单位向采购单位提供下列(A、B）单据后一次性付清。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A、合格的发票；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B、由供需双方签章的《</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采购履约验收书</w:t>
      </w:r>
      <w:r>
        <w:rPr>
          <w:rFonts w:hint="eastAsia" w:ascii="宋体" w:hAnsi="宋体" w:cs="宋体"/>
          <w:color w:val="auto"/>
          <w:sz w:val="21"/>
          <w:szCs w:val="21"/>
          <w:highlight w:val="none"/>
        </w:rPr>
        <w:t xml:space="preserve">》。</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5、付款方式：银行转账。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若成交单位向采购单位提供的发票为虚假、违法、无效或过期的，采购单位有权暂不支付该笔款项，并有权要求成交单位提供合法有效的发票。此时采购单位不承担任何逾期付款违约责任，一切损失由成交单位自行承担。</w:t>
      </w:r>
      <w:r/>
    </w:p>
    <w:p>
      <w:pPr>
        <w:ind w:firstLine="422"/>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五、综合说明</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成交单位所提供的服务必须符合国家相关标准，必须满足本次采购的要求，若所提供的服务无法满足采购单位的需求，造成的损失和后果由成交单位负全责。</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2、响应单位必须承诺采购文件中提出的全部要求，如果其中某些条款不响应时，应在文件中逐条列出，未列出的视同响应。</w:t>
      </w:r>
      <w:r/>
    </w:p>
    <w:p>
      <w:pPr>
        <w:ind w:firstLine="420"/>
        <w:jc w:val="both"/>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3、验收</w:t>
      </w:r>
      <w:r/>
    </w:p>
    <w:p>
      <w:pPr>
        <w:ind w:firstLine="420"/>
        <w:jc w:val="both"/>
        <w:spacing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（1）验收标准：根据采购文件要求及相关法律、法规进行验收通过。</w:t>
      </w:r>
      <w:r/>
    </w:p>
    <w:p>
      <w:pPr>
        <w:ind w:firstLine="420"/>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highlight w:val="none"/>
        </w:rPr>
        <w:t xml:space="preserve">（2）验收方式：</w:t>
      </w:r>
      <w:r>
        <w:rPr>
          <w:rFonts w:hint="eastAsia" w:ascii="宋体" w:hAnsi="宋体" w:cs="宋体"/>
          <w:color w:val="auto"/>
          <w:sz w:val="21"/>
          <w:szCs w:val="21"/>
          <w:highlight w:val="none"/>
          <w:lang w:val="zh-CN"/>
        </w:rPr>
        <w:t xml:space="preserve">由采购人进行验收，</w:t>
      </w:r>
      <w:r>
        <w:rPr>
          <w:rFonts w:hint="eastAsia" w:ascii="宋体" w:hAnsi="宋体" w:cs="宋体"/>
          <w:color w:val="auto"/>
          <w:sz w:val="21"/>
          <w:szCs w:val="21"/>
          <w:highlight w:val="none"/>
        </w:rPr>
        <w:t xml:space="preserve">项目结束后采购人对中标单位提供的成果</w:t>
      </w:r>
      <w:r>
        <w:rPr>
          <w:rFonts w:hint="eastAsia" w:ascii="宋体" w:hAnsi="宋体" w:cs="宋体"/>
          <w:color w:val="auto"/>
          <w:sz w:val="21"/>
          <w:szCs w:val="21"/>
          <w:highlight w:val="none"/>
          <w:lang w:val="zh-CN"/>
        </w:rPr>
        <w:t xml:space="preserve">进行</w:t>
      </w:r>
      <w:r>
        <w:rPr>
          <w:rFonts w:hint="eastAsia" w:ascii="宋体" w:hAnsi="宋体" w:cs="宋体"/>
          <w:color w:val="auto"/>
          <w:sz w:val="21"/>
          <w:szCs w:val="21"/>
          <w:highlight w:val="none"/>
        </w:rPr>
        <w:t xml:space="preserve">履约</w:t>
      </w:r>
      <w:r>
        <w:rPr>
          <w:rFonts w:hint="eastAsia" w:ascii="宋体" w:hAnsi="宋体" w:cs="宋体"/>
          <w:color w:val="auto"/>
          <w:sz w:val="21"/>
          <w:szCs w:val="21"/>
          <w:highlight w:val="none"/>
          <w:lang w:val="zh-CN"/>
        </w:rPr>
        <w:t xml:space="preserve">验收。采购人向供应商发出《</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采购履约验收通知单》（本章附件1），验收完成后形成《</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采购履约验收书》（本章附件2）。</w:t>
      </w:r>
      <w:bookmarkEnd w:id="4"/>
      <w:r/>
      <w:bookmarkEnd w:id="5"/>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r>
      <w:r/>
    </w:p>
    <w:p>
      <w:pPr>
        <w:jc w:val="both"/>
        <w:spacing w:line="360" w:lineRule="auto"/>
        <w:rPr>
          <w:rFonts w:hint="eastAsia"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附件1：</w:t>
      </w:r>
      <w:r/>
    </w:p>
    <w:p>
      <w:pPr>
        <w:jc w:val="center"/>
        <w:keepLines/>
        <w:keepNext/>
        <w:spacing w:before="320" w:after="200"/>
        <w:widowControl w:val="off"/>
        <w:rPr>
          <w:rFonts w:hint="eastAsia" w:ascii="宋体" w:hAnsi="宋体" w:cs="宋体"/>
          <w:color w:val="auto"/>
          <w:sz w:val="21"/>
          <w:szCs w:val="21"/>
          <w:highlight w:val="none"/>
        </w:rPr>
        <w:outlineLvl w:val="2"/>
      </w:pPr>
      <w:r>
        <w:rPr>
          <w:rFonts w:hint="eastAsia" w:ascii="宋体" w:hAnsi="宋体" w:cs="宋体"/>
          <w:color w:val="auto"/>
          <w:sz w:val="21"/>
          <w:szCs w:val="21"/>
          <w:highlight w:val="none"/>
        </w:rPr>
        <w:t xml:space="preserve">政府采购履约验收通知单（参考样本）</w:t>
      </w:r>
      <w:r/>
    </w:p>
    <w:p>
      <w:pPr>
        <w:ind w:left="85"/>
        <w:spacing w:before="216" w:line="214" w:lineRule="auto"/>
        <w:rPr>
          <w:rFonts w:hint="eastAsia" w:ascii="宋体" w:hAnsi="宋体" w:cs="宋体"/>
          <w:color w:val="auto"/>
          <w:sz w:val="21"/>
          <w:szCs w:val="21"/>
          <w:highlight w:val="none"/>
          <w:lang w:eastAsia="en-US"/>
        </w:rPr>
      </w:pPr>
      <w:r>
        <w:rPr>
          <w:rFonts w:hint="eastAsia" w:ascii="宋体" w:hAnsi="宋体" w:cs="宋体"/>
          <w:color w:val="auto"/>
          <w:spacing w:val="9"/>
          <w:sz w:val="21"/>
          <w:szCs w:val="21"/>
          <w:highlight w:val="none"/>
          <w:lang w:eastAsia="en-US"/>
        </w:rPr>
        <w:t xml:space="preserve">供应商：</w:t>
      </w:r>
      <w:r/>
    </w:p>
    <w:p>
      <w:pPr>
        <w:spacing w:line="44" w:lineRule="exact"/>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r>
      <w:r/>
    </w:p>
    <w:tbl>
      <w:tblPr>
        <w:tblStyle w:val="106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hint="eastAsia"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采购人</w:t>
            </w:r>
            <w:r/>
          </w:p>
        </w:tc>
        <w:tc>
          <w:tcPr>
            <w:gridSpan w:val="3"/>
            <w:tcW w:w="6708" w:type="dxa"/>
            <w:textDirection w:val="lrTb"/>
            <w:noWrap w:val="false"/>
          </w:tcPr>
          <w:p>
            <w:pPr>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hint="eastAsia"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项目名称</w:t>
            </w:r>
            <w:r/>
          </w:p>
        </w:tc>
        <w:tc>
          <w:tcPr>
            <w:gridSpan w:val="3"/>
            <w:tcW w:w="6708" w:type="dxa"/>
            <w:textDirection w:val="lrTb"/>
            <w:noWrap w:val="false"/>
          </w:tcPr>
          <w:p>
            <w:pPr>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hint="eastAsia"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合同名称</w:t>
            </w:r>
            <w:r/>
          </w:p>
        </w:tc>
        <w:tc>
          <w:tcPr>
            <w:gridSpan w:val="3"/>
            <w:tcW w:w="6708" w:type="dxa"/>
            <w:textDirection w:val="lrTb"/>
            <w:noWrap w:val="false"/>
          </w:tcPr>
          <w:p>
            <w:pPr>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hint="eastAsia"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合同编号</w:t>
            </w:r>
            <w:r/>
          </w:p>
        </w:tc>
        <w:tc>
          <w:tcPr>
            <w:tcW w:w="1961" w:type="dxa"/>
            <w:textDirection w:val="lrTb"/>
            <w:noWrap w:val="false"/>
          </w:tcPr>
          <w:p>
            <w:pPr>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r>
            <w:r/>
          </w:p>
        </w:tc>
        <w:tc>
          <w:tcPr>
            <w:tcW w:w="2139" w:type="dxa"/>
            <w:textDirection w:val="lrTb"/>
            <w:noWrap w:val="false"/>
          </w:tcPr>
          <w:p>
            <w:pPr>
              <w:ind w:left="607"/>
              <w:spacing w:before="247" w:line="213" w:lineRule="auto"/>
              <w:rPr>
                <w:rFonts w:hint="eastAsia"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合同金额</w:t>
            </w:r>
            <w:r/>
          </w:p>
        </w:tc>
        <w:tc>
          <w:tcPr>
            <w:tcW w:w="2608" w:type="dxa"/>
            <w:textDirection w:val="lrTb"/>
            <w:noWrap w:val="false"/>
          </w:tcPr>
          <w:p>
            <w:pPr>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hint="eastAsia"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验收时间</w:t>
            </w:r>
            <w:r/>
          </w:p>
        </w:tc>
        <w:tc>
          <w:tcPr>
            <w:tcW w:w="1961" w:type="dxa"/>
            <w:textDirection w:val="lrTb"/>
            <w:noWrap w:val="false"/>
          </w:tcPr>
          <w:p>
            <w:pPr>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r>
            <w:r/>
          </w:p>
        </w:tc>
        <w:tc>
          <w:tcPr>
            <w:tcW w:w="2139" w:type="dxa"/>
            <w:textDirection w:val="lrTb"/>
            <w:noWrap w:val="false"/>
          </w:tcPr>
          <w:p>
            <w:pPr>
              <w:ind w:left="607"/>
              <w:spacing w:before="248" w:line="213" w:lineRule="auto"/>
              <w:rPr>
                <w:rFonts w:hint="eastAsia"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验收地点</w:t>
            </w:r>
            <w:r/>
          </w:p>
        </w:tc>
        <w:tc>
          <w:tcPr>
            <w:tcW w:w="2608" w:type="dxa"/>
            <w:textDirection w:val="lrTb"/>
            <w:noWrap w:val="false"/>
          </w:tcPr>
          <w:p>
            <w:pPr>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hint="eastAsia" w:ascii="宋体" w:hAnsi="宋体" w:cs="宋体"/>
                <w:color w:val="auto"/>
                <w:sz w:val="21"/>
                <w:szCs w:val="21"/>
                <w:highlight w:val="none"/>
                <w:lang w:eastAsia="en-US"/>
              </w:rPr>
            </w:pPr>
            <w:r>
              <w:rPr>
                <w:rFonts w:hint="eastAsia" w:ascii="宋体" w:hAnsi="宋体" w:cs="宋体"/>
                <w:color w:val="auto"/>
                <w:spacing w:val="1"/>
                <w:sz w:val="21"/>
                <w:szCs w:val="21"/>
                <w:highlight w:val="none"/>
                <w:lang w:eastAsia="en-US"/>
              </w:rPr>
              <w:t xml:space="preserve">联系人</w:t>
            </w:r>
            <w:r/>
          </w:p>
        </w:tc>
        <w:tc>
          <w:tcPr>
            <w:tcW w:w="1961" w:type="dxa"/>
            <w:textDirection w:val="lrTb"/>
            <w:noWrap w:val="false"/>
          </w:tcPr>
          <w:p>
            <w:pPr>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r>
            <w:r/>
          </w:p>
        </w:tc>
        <w:tc>
          <w:tcPr>
            <w:tcW w:w="2139" w:type="dxa"/>
            <w:textDirection w:val="lrTb"/>
            <w:noWrap w:val="false"/>
          </w:tcPr>
          <w:p>
            <w:pPr>
              <w:ind w:left="605"/>
              <w:spacing w:before="248" w:line="213" w:lineRule="auto"/>
              <w:rPr>
                <w:rFonts w:hint="eastAsia"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联系电话</w:t>
            </w:r>
            <w:r/>
          </w:p>
        </w:tc>
        <w:tc>
          <w:tcPr>
            <w:tcW w:w="2608" w:type="dxa"/>
            <w:textDirection w:val="lrTb"/>
            <w:noWrap w:val="false"/>
          </w:tcPr>
          <w:p>
            <w:pPr>
              <w:widowControl w:val="off"/>
              <w:rPr>
                <w:rFonts w:hint="eastAsia" w:ascii="宋体" w:hAnsi="宋体" w:cs="宋体"/>
                <w:color w:val="auto"/>
                <w:sz w:val="21"/>
                <w:szCs w:val="21"/>
                <w:highlight w:val="none"/>
                <w:lang w:eastAsia="en-US"/>
              </w:rPr>
            </w:pPr>
            <w:r>
              <w:rPr>
                <w:rFonts w:hint="eastAsia" w:ascii="宋体" w:hAnsi="宋体" w:cs="宋体"/>
                <w:color w:val="auto"/>
                <w:sz w:val="21"/>
                <w:szCs w:val="21"/>
                <w:highlight w:val="none"/>
                <w:lang w:eastAsia="en-US"/>
              </w:rPr>
            </w:r>
            <w:r/>
          </w:p>
        </w:tc>
      </w:tr>
      <w:tr>
        <w:trPr>
          <w:trHeight w:val="560"/>
        </w:trPr>
        <w:tc>
          <w:tcPr>
            <w:gridSpan w:val="4"/>
            <w:tcW w:w="9318" w:type="dxa"/>
            <w:textDirection w:val="lrTb"/>
            <w:noWrap w:val="false"/>
          </w:tcPr>
          <w:p>
            <w:pPr>
              <w:ind w:left="3353"/>
              <w:spacing w:before="250" w:line="212" w:lineRule="auto"/>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履约验收方案及工作要求</w:t>
            </w:r>
            <w:r/>
          </w:p>
        </w:tc>
      </w:tr>
      <w:tr>
        <w:trPr>
          <w:trHeight w:val="4250"/>
        </w:trPr>
        <w:tc>
          <w:tcPr>
            <w:gridSpan w:val="4"/>
            <w:tcW w:w="9318" w:type="dxa"/>
            <w:textDirection w:val="lrTb"/>
            <w:noWrap w:val="false"/>
          </w:tcPr>
          <w:p>
            <w:pPr>
              <w:spacing w:line="241"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1"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1"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1"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1"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1"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1" w:lineRule="auto"/>
              <w:widowControl w:val="off"/>
              <w:tabs>
                <w:tab w:val="left" w:pos="3373"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1"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1"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24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5128" w:right="2893" w:firstLine="183"/>
              <w:spacing w:before="75" w:line="507" w:lineRule="auto"/>
              <w:rPr>
                <w:rFonts w:hint="eastAsia" w:ascii="宋体" w:hAnsi="宋体" w:cs="宋体"/>
                <w:color w:val="auto"/>
                <w:sz w:val="23"/>
                <w:szCs w:val="23"/>
                <w:highlight w:val="none"/>
                <w:lang w:eastAsia="en-US"/>
              </w:rPr>
            </w:pPr>
            <w:r>
              <w:rPr>
                <w:rFonts w:hint="eastAsia" w:ascii="宋体" w:hAnsi="宋体" w:cs="宋体"/>
                <w:color w:val="auto"/>
                <w:spacing w:val="3"/>
                <w:sz w:val="23"/>
                <w:szCs w:val="23"/>
                <w:highlight w:val="none"/>
                <w:lang w:eastAsia="en-US"/>
              </w:rPr>
              <w:t xml:space="preserve">单位公章</w:t>
            </w:r>
            <w:r>
              <w:rPr>
                <w:rFonts w:hint="eastAsia" w:ascii="宋体" w:hAnsi="宋体" w:cs="宋体"/>
                <w:color w:val="auto"/>
                <w:sz w:val="23"/>
                <w:szCs w:val="23"/>
                <w:highlight w:val="none"/>
                <w:lang w:eastAsia="en-US"/>
              </w:rPr>
              <w:t xml:space="preserve">  </w:t>
            </w:r>
            <w:r>
              <w:rPr>
                <w:rFonts w:hint="eastAsia" w:ascii="宋体" w:hAnsi="宋体" w:cs="宋体"/>
                <w:color w:val="auto"/>
                <w:spacing w:val="-16"/>
                <w:sz w:val="23"/>
                <w:szCs w:val="23"/>
                <w:highlight w:val="none"/>
                <w:lang w:eastAsia="en-US"/>
              </w:rPr>
              <w:t xml:space="preserve">年</w:t>
            </w:r>
            <w:r>
              <w:rPr>
                <w:rFonts w:hint="eastAsia" w:ascii="宋体" w:hAnsi="宋体" w:cs="宋体"/>
                <w:color w:val="auto"/>
                <w:spacing w:val="18"/>
                <w:sz w:val="23"/>
                <w:szCs w:val="23"/>
                <w:highlight w:val="none"/>
                <w:lang w:eastAsia="en-US"/>
              </w:rPr>
              <w:t xml:space="preserve">  </w:t>
            </w:r>
            <w:r>
              <w:rPr>
                <w:rFonts w:hint="eastAsia" w:ascii="宋体" w:hAnsi="宋体" w:cs="宋体"/>
                <w:color w:val="auto"/>
                <w:spacing w:val="-16"/>
                <w:sz w:val="23"/>
                <w:szCs w:val="23"/>
                <w:highlight w:val="none"/>
                <w:lang w:eastAsia="en-US"/>
              </w:rPr>
              <w:t xml:space="preserve">月</w:t>
            </w:r>
            <w:r>
              <w:rPr>
                <w:rFonts w:hint="eastAsia" w:ascii="宋体" w:hAnsi="宋体" w:cs="宋体"/>
                <w:color w:val="auto"/>
                <w:spacing w:val="12"/>
                <w:sz w:val="23"/>
                <w:szCs w:val="23"/>
                <w:highlight w:val="none"/>
                <w:lang w:eastAsia="en-US"/>
              </w:rPr>
              <w:t xml:space="preserve">  </w:t>
            </w:r>
            <w:r>
              <w:rPr>
                <w:rFonts w:hint="eastAsia" w:ascii="宋体" w:hAnsi="宋体" w:cs="宋体"/>
                <w:color w:val="auto"/>
                <w:spacing w:val="-16"/>
                <w:sz w:val="23"/>
                <w:szCs w:val="23"/>
                <w:highlight w:val="none"/>
                <w:lang w:eastAsia="en-US"/>
              </w:rPr>
              <w:t xml:space="preserve">日</w:t>
            </w:r>
            <w:r/>
          </w:p>
        </w:tc>
      </w:tr>
    </w:tbl>
    <w:p>
      <w:pPr>
        <w:jc w:val="both"/>
        <w:spacing w:line="400" w:lineRule="exact"/>
        <w:rPr>
          <w:rStyle w:val="99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400" w:lineRule="exact"/>
        <w:rPr>
          <w:rStyle w:val="99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附件2：</w:t>
      </w:r>
      <w:r/>
    </w:p>
    <w:p>
      <w:pPr>
        <w:jc w:val="center"/>
        <w:rPr>
          <w:rFonts w:hint="eastAsia"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政府采购履约验收书参考样本(服务类)</w:t>
      </w:r>
      <w:r/>
    </w:p>
    <w:tbl>
      <w:tblPr>
        <w:tblStyle w:val="1068"/>
        <w:tblW w:w="881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
        <w:gridCol w:w="1327"/>
        <w:gridCol w:w="790"/>
        <w:gridCol w:w="946"/>
        <w:gridCol w:w="965"/>
        <w:gridCol w:w="1575"/>
        <w:gridCol w:w="1641"/>
        <w:gridCol w:w="1556"/>
      </w:tblGrid>
      <w:tr>
        <w:trPr>
          <w:gridBefore w:val="1"/>
          <w:jc w:val="center"/>
          <w:trHeight w:val="562"/>
        </w:trPr>
        <w:tc>
          <w:tcPr>
            <w:tcW w:w="1327" w:type="dxa"/>
            <w:vAlign w:val="center"/>
            <w:textDirection w:val="lrTb"/>
            <w:noWrap w:val="false"/>
          </w:tcPr>
          <w:p>
            <w:pPr>
              <w:spacing w:line="207" w:lineRule="auto"/>
              <w:rPr>
                <w:rFonts w:hint="eastAsia" w:ascii="宋体" w:hAnsi="宋体" w:cs="宋体"/>
                <w:color w:val="auto"/>
                <w:sz w:val="18"/>
                <w:szCs w:val="18"/>
                <w:highlight w:val="none"/>
                <w:lang w:eastAsia="en-US"/>
              </w:rPr>
            </w:pPr>
            <w:r>
              <w:rPr>
                <w:rFonts w:ascii="宋体" w:hAnsi="宋体" w:cs="宋体"/>
                <w:color w:val="auto"/>
                <w:spacing w:val="-3"/>
                <w:sz w:val="18"/>
                <w:szCs w:val="18"/>
                <w:highlight w:val="none"/>
                <w:lang w:eastAsia="en-US"/>
              </w:rPr>
              <w:t xml:space="preserve">采购人</w:t>
            </w:r>
            <w:r/>
          </w:p>
        </w:tc>
        <w:tc>
          <w:tcPr>
            <w:tcW w:w="790" w:type="dxa"/>
            <w:vAlign w:val="center"/>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946" w:type="dxa"/>
            <w:vAlign w:val="center"/>
            <w:textDirection w:val="lrTb"/>
            <w:noWrap w:val="false"/>
          </w:tcPr>
          <w:p>
            <w:pPr>
              <w:spacing w:line="208" w:lineRule="auto"/>
              <w:rPr>
                <w:rFonts w:hint="eastAsia" w:ascii="宋体" w:hAnsi="宋体" w:cs="宋体"/>
                <w:color w:val="auto"/>
                <w:sz w:val="18"/>
                <w:szCs w:val="18"/>
                <w:highlight w:val="none"/>
                <w:lang w:eastAsia="en-US"/>
              </w:rPr>
            </w:pPr>
            <w:r>
              <w:rPr>
                <w:rFonts w:ascii="宋体" w:hAnsi="宋体" w:cs="宋体"/>
                <w:color w:val="auto"/>
                <w:spacing w:val="-3"/>
                <w:sz w:val="18"/>
                <w:szCs w:val="18"/>
                <w:highlight w:val="none"/>
                <w:lang w:eastAsia="en-US"/>
              </w:rPr>
              <w:t xml:space="preserve">项目名称</w:t>
            </w:r>
            <w:r/>
          </w:p>
        </w:tc>
        <w:tc>
          <w:tcPr>
            <w:tcW w:w="965" w:type="dxa"/>
            <w:vAlign w:val="center"/>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216" w:type="dxa"/>
            <w:vAlign w:val="center"/>
            <w:textDirection w:val="lrTb"/>
            <w:noWrap w:val="false"/>
          </w:tcPr>
          <w:p>
            <w:pPr>
              <w:spacing w:line="207"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合同名称</w:t>
            </w:r>
            <w:r/>
          </w:p>
        </w:tc>
        <w:tc>
          <w:tcPr>
            <w:tcW w:w="1556" w:type="dxa"/>
            <w:vAlign w:val="center"/>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jc w:val="center"/>
          <w:trHeight w:val="564"/>
        </w:trPr>
        <w:tc>
          <w:tcPr>
            <w:tcW w:w="1327" w:type="dxa"/>
            <w:vAlign w:val="center"/>
            <w:textDirection w:val="lrTb"/>
            <w:noWrap w:val="false"/>
          </w:tcPr>
          <w:p>
            <w:pPr>
              <w:spacing w:line="207" w:lineRule="auto"/>
              <w:rPr>
                <w:rFonts w:hint="eastAsia" w:ascii="宋体" w:hAnsi="宋体" w:cs="宋体"/>
                <w:color w:val="auto"/>
                <w:sz w:val="18"/>
                <w:szCs w:val="18"/>
                <w:highlight w:val="none"/>
                <w:lang w:eastAsia="en-US"/>
              </w:rPr>
            </w:pPr>
            <w:r>
              <w:rPr>
                <w:rFonts w:ascii="宋体" w:hAnsi="宋体" w:cs="宋体"/>
                <w:color w:val="auto"/>
                <w:spacing w:val="-3"/>
                <w:sz w:val="18"/>
                <w:szCs w:val="18"/>
                <w:highlight w:val="none"/>
                <w:lang w:eastAsia="en-US"/>
              </w:rPr>
              <w:t xml:space="preserve">供应商</w:t>
            </w:r>
            <w:r/>
          </w:p>
        </w:tc>
        <w:tc>
          <w:tcPr>
            <w:tcW w:w="790" w:type="dxa"/>
            <w:vAlign w:val="center"/>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946" w:type="dxa"/>
            <w:vAlign w:val="center"/>
            <w:textDirection w:val="lrTb"/>
            <w:noWrap w:val="false"/>
          </w:tcPr>
          <w:p>
            <w:pPr>
              <w:spacing w:line="207"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项目及合同编号</w:t>
            </w:r>
            <w:r/>
          </w:p>
        </w:tc>
        <w:tc>
          <w:tcPr>
            <w:tcW w:w="965" w:type="dxa"/>
            <w:vAlign w:val="center"/>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216" w:type="dxa"/>
            <w:vAlign w:val="center"/>
            <w:textDirection w:val="lrTb"/>
            <w:noWrap w:val="false"/>
          </w:tcPr>
          <w:p>
            <w:pPr>
              <w:spacing w:line="208"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合同金额</w:t>
            </w:r>
            <w:r/>
          </w:p>
        </w:tc>
        <w:tc>
          <w:tcPr>
            <w:tcW w:w="1556" w:type="dxa"/>
            <w:vAlign w:val="center"/>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jc w:val="center"/>
          <w:trHeight w:val="559"/>
        </w:trPr>
        <w:tc>
          <w:tcPr>
            <w:tcW w:w="1327" w:type="dxa"/>
            <w:vAlign w:val="center"/>
            <w:textDirection w:val="lrTb"/>
            <w:noWrap w:val="false"/>
          </w:tcPr>
          <w:p>
            <w:pPr>
              <w:spacing w:line="240" w:lineRule="exact"/>
              <w:rPr>
                <w:rFonts w:hint="eastAsia" w:ascii="宋体" w:hAnsi="宋体" w:cs="宋体"/>
                <w:color w:val="auto"/>
                <w:sz w:val="18"/>
                <w:szCs w:val="18"/>
                <w:highlight w:val="none"/>
                <w:lang w:eastAsia="en-US"/>
              </w:rPr>
            </w:pPr>
            <w:r>
              <w:rPr>
                <w:rFonts w:ascii="宋体" w:hAnsi="宋体" w:cs="宋体"/>
                <w:color w:val="auto"/>
                <w:spacing w:val="-2"/>
                <w:position w:val="1"/>
                <w:sz w:val="18"/>
                <w:szCs w:val="18"/>
                <w:highlight w:val="none"/>
                <w:lang w:eastAsia="en-US"/>
              </w:rPr>
              <w:t xml:space="preserve">分期（段）验收</w:t>
            </w:r>
            <w:r/>
          </w:p>
        </w:tc>
        <w:tc>
          <w:tcPr>
            <w:tcW w:w="790" w:type="dxa"/>
            <w:vAlign w:val="center"/>
            <w:textDirection w:val="lrTb"/>
            <w:noWrap w:val="false"/>
          </w:tcPr>
          <w:p>
            <w:pPr>
              <w:spacing w:line="240" w:lineRule="exact"/>
              <w:rPr>
                <w:rFonts w:hint="eastAsia" w:ascii="宋体" w:hAnsi="宋体" w:cs="宋体"/>
                <w:color w:val="auto"/>
                <w:sz w:val="18"/>
                <w:szCs w:val="18"/>
                <w:highlight w:val="none"/>
                <w:lang w:eastAsia="en-US"/>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946" w:type="dxa"/>
            <w:vAlign w:val="center"/>
            <w:textDirection w:val="lrTb"/>
            <w:noWrap w:val="false"/>
          </w:tcPr>
          <w:p>
            <w:pPr>
              <w:spacing w:line="240" w:lineRule="exact"/>
              <w:rPr>
                <w:rFonts w:hint="eastAsia" w:ascii="宋体" w:hAnsi="宋体" w:cs="宋体"/>
                <w:color w:val="auto"/>
                <w:sz w:val="18"/>
                <w:szCs w:val="18"/>
                <w:highlight w:val="none"/>
                <w:lang w:eastAsia="en-US"/>
              </w:rPr>
            </w:pPr>
            <w:r>
              <w:rPr>
                <w:rFonts w:ascii="宋体" w:hAnsi="宋体" w:cs="宋体"/>
                <w:color w:val="auto"/>
                <w:spacing w:val="-2"/>
                <w:position w:val="1"/>
                <w:sz w:val="18"/>
                <w:szCs w:val="18"/>
                <w:highlight w:val="none"/>
                <w:lang w:eastAsia="en-US"/>
              </w:rPr>
              <w:t xml:space="preserve">分期（段）情况</w:t>
            </w:r>
            <w:r/>
          </w:p>
        </w:tc>
        <w:tc>
          <w:tcPr>
            <w:gridSpan w:val="4"/>
            <w:tcW w:w="5737" w:type="dxa"/>
            <w:vAlign w:val="center"/>
            <w:textDirection w:val="lrTb"/>
            <w:noWrap w:val="false"/>
          </w:tcPr>
          <w:p>
            <w:pPr>
              <w:spacing w:line="240" w:lineRule="exact"/>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gridBefore w:val="1"/>
          <w:jc w:val="center"/>
          <w:trHeight w:val="1679"/>
        </w:trPr>
        <w:tc>
          <w:tcPr>
            <w:tcW w:w="1327" w:type="dxa"/>
            <w:vAlign w:val="center"/>
            <w:textDirection w:val="lrTb"/>
            <w:noWrap w:val="false"/>
          </w:tcPr>
          <w:p>
            <w:pPr>
              <w:spacing w:line="26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64"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6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08"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验收时间</w:t>
            </w:r>
            <w:r/>
          </w:p>
        </w:tc>
        <w:tc>
          <w:tcPr>
            <w:tcW w:w="790" w:type="dxa"/>
            <w:vAlign w:val="center"/>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946" w:type="dxa"/>
            <w:vAlign w:val="center"/>
            <w:textDirection w:val="lrTb"/>
            <w:noWrap w:val="false"/>
          </w:tcPr>
          <w:p>
            <w:pPr>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spacing w:line="208"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验收地点</w:t>
            </w:r>
            <w:r/>
          </w:p>
        </w:tc>
        <w:tc>
          <w:tcPr>
            <w:tcW w:w="965" w:type="dxa"/>
            <w:vAlign w:val="center"/>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2"/>
            <w:tcW w:w="3216" w:type="dxa"/>
            <w:vAlign w:val="center"/>
            <w:textDirection w:val="lrTb"/>
            <w:noWrap w:val="false"/>
          </w:tcPr>
          <w:p>
            <w:pPr>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spacing w:line="264"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spacing w:line="208"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验收组织形式</w:t>
            </w:r>
            <w:r/>
          </w:p>
        </w:tc>
        <w:tc>
          <w:tcPr>
            <w:tcW w:w="1556" w:type="dxa"/>
            <w:vAlign w:val="center"/>
            <w:textDirection w:val="lrTb"/>
            <w:noWrap w:val="false"/>
          </w:tcPr>
          <w:p>
            <w:pPr>
              <w:spacing w:line="239" w:lineRule="exact"/>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spacing w:line="260"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40" w:lineRule="exact"/>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spacing w:line="262"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line="239" w:lineRule="exact"/>
              <w:rPr>
                <w:rFonts w:hint="eastAsia" w:ascii="宋体" w:hAnsi="宋体" w:cs="宋体"/>
                <w:color w:val="auto"/>
                <w:sz w:val="18"/>
                <w:szCs w:val="18"/>
                <w:highlight w:val="none"/>
                <w:lang w:eastAsia="en-US"/>
              </w:rPr>
            </w:pPr>
            <w:r>
              <w:rPr>
                <w:rFonts w:ascii="宋体" w:hAnsi="宋体" w:cs="宋体"/>
                <w:color w:val="auto"/>
                <w:spacing w:val="-3"/>
                <w:position w:val="1"/>
                <w:sz w:val="18"/>
                <w:szCs w:val="18"/>
                <w:highlight w:val="none"/>
                <w:lang w:eastAsia="en-US"/>
              </w:rPr>
              <w:t xml:space="preserve">□采购代理机构验收</w:t>
            </w:r>
            <w:r/>
          </w:p>
        </w:tc>
      </w:tr>
      <w:tr>
        <w:trPr>
          <w:gridBefore w:val="1"/>
          <w:jc w:val="center"/>
          <w:trHeight w:val="560"/>
        </w:trPr>
        <w:tc>
          <w:tcPr>
            <w:tcBorders>
              <w:bottom w:val="none" w:color="000000" w:sz="4" w:space="0"/>
            </w:tcBorders>
            <w:tcW w:w="1327" w:type="dxa"/>
            <w:vAlign w:val="center"/>
            <w:vMerge w:val="restart"/>
            <w:textDirection w:val="lrTb"/>
            <w:noWrap w:val="false"/>
          </w:tcPr>
          <w:p>
            <w:pPr>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spacing w:line="26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spacing w:line="266"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spacing w:line="208"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验收内容</w:t>
            </w:r>
            <w:r/>
          </w:p>
        </w:tc>
        <w:tc>
          <w:tcPr>
            <w:tcW w:w="790" w:type="dxa"/>
            <w:vAlign w:val="center"/>
            <w:vMerge w:val="restart"/>
            <w:textDirection w:val="lrTb"/>
            <w:noWrap w:val="false"/>
          </w:tcPr>
          <w:p>
            <w:pPr>
              <w:spacing w:line="208"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服务质量</w:t>
            </w:r>
            <w:r/>
          </w:p>
        </w:tc>
        <w:tc>
          <w:tcPr>
            <w:tcW w:w="946" w:type="dxa"/>
            <w:vAlign w:val="center"/>
            <w:textDirection w:val="lrTb"/>
            <w:noWrap w:val="false"/>
          </w:tcPr>
          <w:p>
            <w:pPr>
              <w:spacing w:line="208"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服务进度</w:t>
            </w:r>
            <w:r/>
          </w:p>
        </w:tc>
        <w:tc>
          <w:tcPr>
            <w:tcW w:w="965" w:type="dxa"/>
            <w:vAlign w:val="center"/>
            <w:textDirection w:val="lrTb"/>
            <w:noWrap w:val="false"/>
          </w:tcPr>
          <w:p>
            <w:pPr>
              <w:spacing w:line="207" w:lineRule="auto"/>
              <w:rPr>
                <w:rFonts w:hint="eastAsia" w:ascii="宋体" w:hAnsi="宋体" w:cs="宋体"/>
                <w:color w:val="auto"/>
                <w:sz w:val="18"/>
                <w:szCs w:val="18"/>
                <w:highlight w:val="none"/>
                <w:lang w:eastAsia="en-US"/>
              </w:rPr>
            </w:pPr>
            <w:r>
              <w:rPr>
                <w:rFonts w:ascii="宋体" w:hAnsi="宋体" w:cs="宋体"/>
                <w:color w:val="auto"/>
                <w:spacing w:val="-1"/>
                <w:sz w:val="18"/>
                <w:szCs w:val="18"/>
                <w:highlight w:val="none"/>
                <w:lang w:eastAsia="en-US"/>
              </w:rPr>
              <w:t xml:space="preserve">人员、设备 配备情况</w:t>
            </w:r>
            <w:r/>
          </w:p>
        </w:tc>
        <w:tc>
          <w:tcPr>
            <w:tcW w:w="1575" w:type="dxa"/>
            <w:vAlign w:val="center"/>
            <w:textDirection w:val="lrTb"/>
            <w:noWrap w:val="false"/>
          </w:tcPr>
          <w:p>
            <w:pPr>
              <w:spacing w:line="209"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行业、安全标准</w:t>
            </w:r>
            <w:r/>
          </w:p>
        </w:tc>
        <w:tc>
          <w:tcPr>
            <w:tcW w:w="1641" w:type="dxa"/>
            <w:vAlign w:val="center"/>
            <w:textDirection w:val="lrTb"/>
            <w:noWrap w:val="false"/>
          </w:tcPr>
          <w:p>
            <w:pPr>
              <w:spacing w:line="208"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项目需求、服务承诺</w:t>
            </w:r>
            <w:r/>
          </w:p>
        </w:tc>
        <w:tc>
          <w:tcPr>
            <w:tcW w:w="1556" w:type="dxa"/>
            <w:vAlign w:val="center"/>
            <w:textDirection w:val="lrTb"/>
            <w:noWrap w:val="false"/>
          </w:tcPr>
          <w:p>
            <w:pPr>
              <w:spacing w:line="208" w:lineRule="auto"/>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合同履约时间、 地点、方式</w:t>
            </w:r>
            <w:r/>
          </w:p>
        </w:tc>
      </w:tr>
      <w:tr>
        <w:trPr>
          <w:gridBefore w:val="1"/>
          <w:jc w:val="center"/>
          <w:trHeight w:val="1119"/>
        </w:trPr>
        <w:tc>
          <w:tcPr>
            <w:tcBorders>
              <w:top w:val="none" w:color="000000" w:sz="4" w:space="0"/>
            </w:tcBorders>
            <w:tcW w:w="1327" w:type="dxa"/>
            <w:vAlign w:val="center"/>
            <w:vMerge w:val="continue"/>
            <w:textDirection w:val="lrTb"/>
            <w:noWrap w:val="false"/>
          </w:tcPr>
          <w:p>
            <w:pPr>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W w:w="790" w:type="dxa"/>
            <w:vAlign w:val="center"/>
            <w:textDirection w:val="lrTb"/>
            <w:noWrap w:val="false"/>
          </w:tcPr>
          <w:p>
            <w:pPr>
              <w:ind w:hanging="2"/>
              <w:spacing w:line="430" w:lineRule="auto"/>
              <w:rPr>
                <w:rFonts w:hint="eastAsia" w:ascii="宋体" w:hAnsi="宋体" w:cs="宋体"/>
                <w:color w:val="auto"/>
                <w:sz w:val="18"/>
                <w:szCs w:val="18"/>
                <w:highlight w:val="none"/>
                <w:lang w:eastAsia="en-US"/>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946" w:type="dxa"/>
            <w:vAlign w:val="center"/>
            <w:textDirection w:val="lrTb"/>
            <w:noWrap w:val="false"/>
          </w:tcPr>
          <w:p>
            <w:pPr>
              <w:ind w:hanging="1"/>
              <w:spacing w:line="430" w:lineRule="auto"/>
              <w:rPr>
                <w:rFonts w:hint="eastAsia" w:ascii="宋体" w:hAnsi="宋体" w:cs="宋体"/>
                <w:color w:val="auto"/>
                <w:sz w:val="18"/>
                <w:szCs w:val="18"/>
                <w:highlight w:val="none"/>
                <w:lang w:eastAsia="en-US"/>
              </w:rPr>
            </w:pPr>
            <w:r>
              <w:rPr>
                <w:rFonts w:ascii="宋体" w:hAnsi="宋体" w:cs="宋体"/>
                <w:color w:val="auto"/>
                <w:spacing w:val="-8"/>
                <w:sz w:val="18"/>
                <w:szCs w:val="18"/>
                <w:highlight w:val="none"/>
                <w:lang w:eastAsia="en-US"/>
              </w:rPr>
              <w:t xml:space="preserve">按</w:t>
            </w:r>
            <w:r>
              <w:rPr>
                <w:rFonts w:ascii="宋体" w:hAnsi="宋体" w:cs="宋体"/>
                <w:color w:val="auto"/>
                <w:spacing w:val="7"/>
                <w:sz w:val="18"/>
                <w:szCs w:val="18"/>
                <w:highlight w:val="none"/>
                <w:lang w:eastAsia="en-US"/>
              </w:rPr>
              <w:t xml:space="preserve">  </w:t>
            </w:r>
            <w:r>
              <w:rPr>
                <w:rFonts w:ascii="宋体" w:hAnsi="宋体" w:cs="宋体"/>
                <w:color w:val="auto"/>
                <w:spacing w:val="-8"/>
                <w:sz w:val="18"/>
                <w:szCs w:val="18"/>
                <w:highlight w:val="none"/>
                <w:lang w:eastAsia="en-US"/>
              </w:rPr>
              <w:t xml:space="preserve">时□</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不按时□</w:t>
            </w:r>
            <w:r/>
          </w:p>
        </w:tc>
        <w:tc>
          <w:tcPr>
            <w:tcW w:w="965" w:type="dxa"/>
            <w:vAlign w:val="center"/>
            <w:textDirection w:val="lrTb"/>
            <w:noWrap w:val="false"/>
          </w:tcPr>
          <w:p>
            <w:pPr>
              <w:ind w:hanging="2"/>
              <w:spacing w:line="430" w:lineRule="auto"/>
              <w:rPr>
                <w:rFonts w:hint="eastAsia" w:ascii="宋体" w:hAnsi="宋体" w:cs="宋体"/>
                <w:color w:val="auto"/>
                <w:sz w:val="18"/>
                <w:szCs w:val="18"/>
                <w:highlight w:val="none"/>
                <w:lang w:eastAsia="en-US"/>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575" w:type="dxa"/>
            <w:vAlign w:val="center"/>
            <w:textDirection w:val="lrTb"/>
            <w:noWrap w:val="false"/>
          </w:tcPr>
          <w:p>
            <w:pPr>
              <w:ind w:hanging="2"/>
              <w:spacing w:line="430" w:lineRule="auto"/>
              <w:rPr>
                <w:rFonts w:hint="eastAsia" w:ascii="宋体" w:hAnsi="宋体" w:cs="宋体"/>
                <w:color w:val="auto"/>
                <w:sz w:val="18"/>
                <w:szCs w:val="18"/>
                <w:highlight w:val="none"/>
                <w:lang w:eastAsia="en-US"/>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641" w:type="dxa"/>
            <w:vAlign w:val="center"/>
            <w:textDirection w:val="lrTb"/>
            <w:noWrap w:val="false"/>
          </w:tcPr>
          <w:p>
            <w:pPr>
              <w:ind w:hanging="2"/>
              <w:spacing w:line="430" w:lineRule="auto"/>
              <w:rPr>
                <w:rFonts w:hint="eastAsia" w:ascii="宋体" w:hAnsi="宋体" w:cs="宋体"/>
                <w:color w:val="auto"/>
                <w:sz w:val="18"/>
                <w:szCs w:val="18"/>
                <w:highlight w:val="none"/>
                <w:lang w:eastAsia="en-US"/>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556" w:type="dxa"/>
            <w:vAlign w:val="center"/>
            <w:textDirection w:val="lrTb"/>
            <w:noWrap w:val="false"/>
          </w:tcPr>
          <w:p>
            <w:pPr>
              <w:ind w:hanging="2"/>
              <w:spacing w:line="430" w:lineRule="auto"/>
              <w:rPr>
                <w:rFonts w:hint="eastAsia" w:ascii="宋体" w:hAnsi="宋体" w:cs="宋体"/>
                <w:color w:val="auto"/>
                <w:sz w:val="18"/>
                <w:szCs w:val="18"/>
                <w:highlight w:val="none"/>
                <w:lang w:eastAsia="en-US"/>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gridBefore w:val="1"/>
          <w:jc w:val="center"/>
          <w:trHeight w:val="834"/>
        </w:trPr>
        <w:tc>
          <w:tcPr>
            <w:tcW w:w="1327" w:type="dxa"/>
            <w:vAlign w:val="center"/>
            <w:textDirection w:val="lrTb"/>
            <w:noWrap w:val="false"/>
          </w:tcPr>
          <w:p>
            <w:pPr>
              <w:jc w:val="both"/>
              <w:spacing w:line="208"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专业检测机构情</w:t>
            </w:r>
            <w:r/>
          </w:p>
          <w:p>
            <w:pPr>
              <w:jc w:val="both"/>
              <w:spacing w:line="298"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07" w:lineRule="auto"/>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况说明</w:t>
            </w:r>
            <w:r/>
          </w:p>
        </w:tc>
        <w:tc>
          <w:tcPr>
            <w:gridSpan w:val="6"/>
            <w:tcW w:w="7473" w:type="dxa"/>
            <w:vAlign w:val="center"/>
            <w:textDirection w:val="lrTb"/>
            <w:noWrap w:val="false"/>
          </w:tcPr>
          <w:p>
            <w:pPr>
              <w:jc w:val="both"/>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gridBefore w:val="1"/>
          <w:jc w:val="center"/>
          <w:trHeight w:val="995"/>
        </w:trPr>
        <w:tc>
          <w:tcPr>
            <w:tcW w:w="1327" w:type="dxa"/>
            <w:vAlign w:val="center"/>
            <w:textDirection w:val="lrTb"/>
            <w:noWrap w:val="false"/>
          </w:tcPr>
          <w:p>
            <w:pPr>
              <w:jc w:val="both"/>
              <w:spacing w:line="241"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jc w:val="both"/>
              <w:spacing w:line="207"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存在问题</w:t>
            </w:r>
            <w:r/>
          </w:p>
          <w:p>
            <w:pPr>
              <w:jc w:val="both"/>
              <w:spacing w:line="297"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line="207"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和改进意见</w:t>
            </w:r>
            <w:r/>
          </w:p>
        </w:tc>
        <w:tc>
          <w:tcPr>
            <w:gridSpan w:val="6"/>
            <w:tcW w:w="7473" w:type="dxa"/>
            <w:vAlign w:val="center"/>
            <w:textDirection w:val="lrTb"/>
            <w:noWrap w:val="false"/>
          </w:tcPr>
          <w:p>
            <w:pPr>
              <w:jc w:val="both"/>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jc w:val="center"/>
          <w:trHeight w:val="687"/>
        </w:trPr>
        <w:tc>
          <w:tcPr>
            <w:gridSpan w:val="2"/>
            <w:tcW w:w="1340" w:type="dxa"/>
            <w:vAlign w:val="center"/>
            <w:textDirection w:val="lrTb"/>
            <w:noWrap w:val="false"/>
          </w:tcPr>
          <w:p>
            <w:pPr>
              <w:jc w:val="both"/>
              <w:spacing w:line="30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both"/>
              <w:spacing w:before="58" w:line="207" w:lineRule="auto"/>
              <w:rPr>
                <w:rFonts w:hint="eastAsia" w:ascii="宋体" w:hAnsi="宋体" w:cs="宋体"/>
                <w:color w:val="auto"/>
                <w:sz w:val="18"/>
                <w:szCs w:val="18"/>
                <w:highlight w:val="none"/>
                <w:lang w:eastAsia="en-US"/>
              </w:rPr>
            </w:pPr>
            <w:r>
              <w:rPr>
                <w:rFonts w:ascii="宋体" w:hAnsi="宋体" w:cs="宋体"/>
                <w:color w:val="auto"/>
                <w:spacing w:val="-3"/>
                <w:sz w:val="18"/>
                <w:szCs w:val="18"/>
                <w:highlight w:val="none"/>
                <w:lang w:eastAsia="en-US"/>
              </w:rPr>
              <w:t xml:space="preserve">最终结论</w:t>
            </w:r>
            <w:r/>
          </w:p>
        </w:tc>
        <w:tc>
          <w:tcPr>
            <w:gridSpan w:val="6"/>
            <w:tcW w:w="7473" w:type="dxa"/>
            <w:vAlign w:val="center"/>
            <w:textDirection w:val="lrTb"/>
            <w:noWrap w:val="false"/>
          </w:tcPr>
          <w:p>
            <w:pPr>
              <w:spacing w:line="27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firstLine="352"/>
              <w:spacing w:before="58" w:line="240" w:lineRule="exact"/>
              <w:rPr>
                <w:rFonts w:hint="eastAsia" w:ascii="宋体" w:hAnsi="宋体" w:cs="宋体"/>
                <w:color w:val="auto"/>
                <w:sz w:val="18"/>
                <w:szCs w:val="18"/>
                <w:highlight w:val="none"/>
                <w:lang w:eastAsia="en-US"/>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r>
        <w:trPr>
          <w:jc w:val="center"/>
          <w:trHeight w:val="1119"/>
        </w:trPr>
        <w:tc>
          <w:tcPr>
            <w:gridSpan w:val="2"/>
            <w:tcW w:w="1340" w:type="dxa"/>
            <w:vAlign w:val="center"/>
            <w:textDirection w:val="lrTb"/>
            <w:noWrap w:val="false"/>
          </w:tcPr>
          <w:p>
            <w:pPr>
              <w:jc w:val="both"/>
              <w:spacing w:before="295" w:line="208" w:lineRule="auto"/>
              <w:rPr>
                <w:rFonts w:hint="eastAsia" w:ascii="宋体" w:hAnsi="宋体" w:cs="宋体"/>
                <w:color w:val="auto"/>
                <w:sz w:val="18"/>
                <w:szCs w:val="18"/>
                <w:highlight w:val="none"/>
                <w:lang w:eastAsia="en-US"/>
              </w:rPr>
            </w:pPr>
            <w:r>
              <w:rPr>
                <w:rFonts w:ascii="宋体" w:hAnsi="宋体" w:cs="宋体"/>
                <w:color w:val="auto"/>
                <w:spacing w:val="-2"/>
                <w:sz w:val="18"/>
                <w:szCs w:val="18"/>
                <w:highlight w:val="none"/>
                <w:lang w:eastAsia="en-US"/>
              </w:rPr>
              <w:t xml:space="preserve">验收小组成员</w:t>
            </w:r>
            <w:r>
              <w:rPr>
                <w:rFonts w:ascii="宋体" w:hAnsi="宋体" w:cs="宋体"/>
                <w:color w:val="auto"/>
                <w:spacing w:val="-4"/>
                <w:sz w:val="18"/>
                <w:szCs w:val="18"/>
                <w:highlight w:val="none"/>
                <w:lang w:eastAsia="en-US"/>
              </w:rPr>
              <w:t xml:space="preserve">签字</w:t>
            </w:r>
            <w:r/>
          </w:p>
        </w:tc>
        <w:tc>
          <w:tcPr>
            <w:gridSpan w:val="6"/>
            <w:tcW w:w="7473" w:type="dxa"/>
            <w:vAlign w:val="center"/>
            <w:textDirection w:val="lrTb"/>
            <w:noWrap w:val="false"/>
          </w:tcPr>
          <w:p>
            <w:pPr>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jc w:val="center"/>
          <w:trHeight w:val="459"/>
        </w:trPr>
        <w:tc>
          <w:tcPr>
            <w:gridSpan w:val="5"/>
            <w:tcW w:w="4041" w:type="dxa"/>
            <w:vAlign w:val="center"/>
            <w:textDirection w:val="lrTb"/>
            <w:noWrap w:val="false"/>
          </w:tcPr>
          <w:p>
            <w:pPr>
              <w:jc w:val="center"/>
              <w:spacing w:before="297" w:line="208" w:lineRule="auto"/>
              <w:rPr>
                <w:color w:val="auto"/>
                <w:highlight w:val="none"/>
              </w:rPr>
            </w:pPr>
            <w:r>
              <w:rPr>
                <w:rFonts w:ascii="宋体" w:hAnsi="宋体" w:cs="宋体"/>
                <w:color w:val="auto"/>
                <w:spacing w:val="-1"/>
                <w:sz w:val="18"/>
                <w:szCs w:val="18"/>
                <w:highlight w:val="none"/>
                <w:lang w:eastAsia="en-US"/>
              </w:rPr>
              <w:t xml:space="preserve">采购代理机构意见</w:t>
            </w:r>
            <w:r/>
          </w:p>
        </w:tc>
        <w:tc>
          <w:tcPr>
            <w:gridSpan w:val="3"/>
            <w:tcW w:w="4772" w:type="dxa"/>
            <w:vAlign w:val="center"/>
            <w:textDirection w:val="lrTb"/>
            <w:noWrap w:val="false"/>
          </w:tcPr>
          <w:p>
            <w:pPr>
              <w:jc w:val="center"/>
              <w:spacing w:before="297" w:line="207" w:lineRule="auto"/>
              <w:rPr>
                <w:rFonts w:hint="eastAsia" w:ascii="宋体" w:hAnsi="宋体" w:cs="宋体"/>
                <w:color w:val="auto"/>
                <w:sz w:val="18"/>
                <w:szCs w:val="18"/>
                <w:highlight w:val="none"/>
                <w:lang w:eastAsia="en-US"/>
              </w:rPr>
            </w:pPr>
            <w:r>
              <w:rPr>
                <w:rFonts w:hint="eastAsia" w:ascii="宋体" w:hAnsi="宋体" w:cs="宋体"/>
                <w:color w:val="auto"/>
                <w:spacing w:val="-2"/>
                <w:sz w:val="18"/>
                <w:szCs w:val="18"/>
                <w:highlight w:val="none"/>
              </w:rPr>
              <w:t xml:space="preserve">采购人</w:t>
            </w:r>
            <w:r>
              <w:rPr>
                <w:rFonts w:ascii="宋体" w:hAnsi="宋体" w:cs="宋体"/>
                <w:color w:val="auto"/>
                <w:spacing w:val="-2"/>
                <w:sz w:val="18"/>
                <w:szCs w:val="18"/>
                <w:highlight w:val="none"/>
                <w:lang w:eastAsia="en-US"/>
              </w:rPr>
              <w:t xml:space="preserve">意见</w:t>
            </w:r>
            <w:r/>
          </w:p>
        </w:tc>
      </w:tr>
      <w:tr>
        <w:trPr>
          <w:jc w:val="center"/>
          <w:trHeight w:val="1438"/>
        </w:trPr>
        <w:tc>
          <w:tcPr>
            <w:gridSpan w:val="5"/>
            <w:tcW w:w="4041" w:type="dxa"/>
            <w:vAlign w:val="center"/>
            <w:textDirection w:val="lrTb"/>
            <w:noWrap w:val="false"/>
          </w:tcPr>
          <w:p>
            <w:pPr>
              <w:spacing w:line="25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spacing w:before="59" w:line="238" w:lineRule="exact"/>
              <w:rPr>
                <w:rFonts w:hint="eastAsia" w:ascii="宋体" w:hAnsi="宋体" w:cs="宋体"/>
                <w:color w:val="auto"/>
                <w:spacing w:val="1"/>
                <w:position w:val="1"/>
                <w:sz w:val="18"/>
                <w:szCs w:val="18"/>
                <w:highlight w:val="none"/>
              </w:rPr>
            </w:pPr>
            <w:r>
              <w:rPr>
                <w:rFonts w:ascii="宋体" w:hAnsi="宋体" w:cs="宋体"/>
                <w:color w:val="auto"/>
                <w:spacing w:val="1"/>
                <w:position w:val="1"/>
                <w:sz w:val="18"/>
                <w:szCs w:val="18"/>
                <w:highlight w:val="none"/>
              </w:rPr>
              <w:t xml:space="preserve">经办人：         </w:t>
            </w:r>
            <w:r/>
          </w:p>
          <w:p>
            <w:pPr>
              <w:spacing w:before="59" w:line="238" w:lineRule="exact"/>
              <w:rPr>
                <w:rFonts w:hint="eastAsia" w:ascii="宋体" w:hAnsi="宋体" w:cs="宋体"/>
                <w:color w:val="auto"/>
                <w:position w:val="1"/>
                <w:sz w:val="18"/>
                <w:szCs w:val="18"/>
                <w:highlight w:val="none"/>
              </w:rPr>
            </w:pPr>
            <w:r>
              <w:rPr>
                <w:rFonts w:ascii="宋体" w:hAnsi="宋体" w:cs="宋体"/>
                <w:color w:val="auto"/>
                <w:spacing w:val="1"/>
                <w:position w:val="1"/>
                <w:sz w:val="18"/>
                <w:szCs w:val="18"/>
                <w:highlight w:val="none"/>
              </w:rPr>
              <w:t xml:space="preserve">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p>
          <w:p>
            <w:pPr>
              <w:spacing w:before="59" w:line="238" w:lineRule="exact"/>
              <w:rPr>
                <w:rFonts w:hint="eastAsia" w:ascii="宋体" w:hAnsi="宋体" w:cs="宋体"/>
                <w:color w:val="auto"/>
                <w:position w:val="1"/>
                <w:sz w:val="18"/>
                <w:szCs w:val="18"/>
                <w:highlight w:val="none"/>
              </w:rPr>
            </w:pPr>
            <w:r>
              <w:rPr>
                <w:rFonts w:hint="eastAsia" w:ascii="宋体" w:hAnsi="宋体" w:cs="宋体"/>
                <w:color w:val="auto"/>
                <w:position w:val="1"/>
                <w:sz w:val="18"/>
                <w:szCs w:val="18"/>
                <w:highlight w:val="none"/>
              </w:rPr>
            </w:r>
            <w:r/>
          </w:p>
          <w:p>
            <w:pPr>
              <w:spacing w:before="59" w:line="238" w:lineRule="exact"/>
              <w:rPr>
                <w:rFonts w:hint="eastAsia" w:ascii="宋体" w:hAnsi="宋体" w:cs="宋体"/>
                <w:color w:val="auto"/>
                <w:sz w:val="18"/>
                <w:szCs w:val="18"/>
                <w:highlight w:val="none"/>
              </w:rPr>
            </w:pP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gridSpan w:val="3"/>
            <w:tcW w:w="4772" w:type="dxa"/>
            <w:vAlign w:val="center"/>
            <w:textDirection w:val="lrTb"/>
            <w:noWrap w:val="false"/>
          </w:tcPr>
          <w:p>
            <w:pPr>
              <w:spacing w:before="59" w:line="238" w:lineRule="exact"/>
              <w:rPr>
                <w:rFonts w:hint="eastAsia" w:ascii="宋体" w:hAnsi="宋体" w:cs="宋体"/>
                <w:color w:val="auto"/>
                <w:spacing w:val="1"/>
                <w:position w:val="1"/>
                <w:sz w:val="18"/>
                <w:szCs w:val="18"/>
                <w:highlight w:val="none"/>
              </w:rPr>
            </w:pPr>
            <w:r>
              <w:rPr>
                <w:rFonts w:hint="eastAsia" w:ascii="宋体" w:hAnsi="宋体" w:cs="宋体"/>
                <w:color w:val="auto"/>
                <w:spacing w:val="1"/>
                <w:position w:val="1"/>
                <w:sz w:val="18"/>
                <w:szCs w:val="18"/>
                <w:highlight w:val="none"/>
              </w:rPr>
            </w:r>
            <w:r/>
          </w:p>
          <w:p>
            <w:pPr>
              <w:spacing w:before="59" w:line="238" w:lineRule="exact"/>
              <w:rPr>
                <w:rFonts w:hint="eastAsia" w:ascii="宋体" w:hAnsi="宋体" w:cs="宋体"/>
                <w:color w:val="auto"/>
                <w:spacing w:val="1"/>
                <w:position w:val="1"/>
                <w:sz w:val="18"/>
                <w:szCs w:val="18"/>
                <w:highlight w:val="none"/>
              </w:rPr>
            </w:pPr>
            <w:r>
              <w:rPr>
                <w:rFonts w:ascii="宋体" w:hAnsi="宋体" w:cs="宋体"/>
                <w:color w:val="auto"/>
                <w:spacing w:val="1"/>
                <w:position w:val="1"/>
                <w:sz w:val="18"/>
                <w:szCs w:val="18"/>
                <w:highlight w:val="none"/>
              </w:rPr>
              <w:t xml:space="preserve">经办人：         </w:t>
            </w:r>
            <w:r/>
          </w:p>
          <w:p>
            <w:pPr>
              <w:ind w:left="115"/>
              <w:spacing w:before="59" w:line="238" w:lineRule="exact"/>
              <w:rPr>
                <w:rFonts w:hint="eastAsia" w:ascii="宋体" w:hAnsi="宋体" w:cs="宋体"/>
                <w:color w:val="auto"/>
                <w:position w:val="1"/>
                <w:sz w:val="18"/>
                <w:szCs w:val="18"/>
                <w:highlight w:val="none"/>
              </w:rPr>
            </w:pPr>
            <w:r>
              <w:rPr>
                <w:rFonts w:ascii="宋体" w:hAnsi="宋体" w:cs="宋体"/>
                <w:color w:val="auto"/>
                <w:spacing w:val="1"/>
                <w:position w:val="1"/>
                <w:sz w:val="18"/>
                <w:szCs w:val="18"/>
                <w:highlight w:val="none"/>
              </w:rPr>
              <w:t xml:space="preserve">负责人</w:t>
            </w:r>
            <w:r>
              <w:rPr>
                <w:rFonts w:ascii="宋体" w:hAnsi="宋体" w:cs="宋体"/>
                <w:color w:val="auto"/>
                <w:spacing w:val="-17"/>
                <w:position w:val="1"/>
                <w:sz w:val="18"/>
                <w:szCs w:val="18"/>
                <w:highlight w:val="none"/>
              </w:rPr>
              <w:t xml:space="preserve">：</w:t>
            </w:r>
            <w:r>
              <w:rPr>
                <w:rFonts w:ascii="宋体" w:hAnsi="宋体" w:cs="宋体"/>
                <w:color w:val="auto"/>
                <w:position w:val="1"/>
                <w:sz w:val="18"/>
                <w:szCs w:val="18"/>
                <w:highlight w:val="none"/>
              </w:rPr>
              <w:t xml:space="preserve">              </w:t>
            </w:r>
            <w:r/>
          </w:p>
          <w:p>
            <w:pPr>
              <w:ind w:left="115"/>
              <w:spacing w:before="59" w:line="238" w:lineRule="exact"/>
              <w:rPr>
                <w:rFonts w:hint="eastAsia" w:ascii="宋体" w:hAnsi="宋体" w:cs="宋体"/>
                <w:color w:val="auto"/>
                <w:position w:val="1"/>
                <w:sz w:val="18"/>
                <w:szCs w:val="18"/>
                <w:highlight w:val="none"/>
              </w:rPr>
            </w:pPr>
            <w:r>
              <w:rPr>
                <w:rFonts w:ascii="宋体" w:hAnsi="宋体" w:cs="宋体"/>
                <w:color w:val="auto"/>
                <w:position w:val="1"/>
                <w:sz w:val="18"/>
                <w:szCs w:val="18"/>
                <w:highlight w:val="none"/>
              </w:rPr>
              <w:t xml:space="preserve"> </w:t>
            </w:r>
            <w:r/>
          </w:p>
          <w:p>
            <w:pPr>
              <w:ind w:left="115"/>
              <w:spacing w:before="59" w:line="238" w:lineRule="exact"/>
              <w:rPr>
                <w:rFonts w:hint="eastAsia" w:ascii="宋体" w:hAnsi="宋体" w:cs="宋体"/>
                <w:color w:val="auto"/>
                <w:sz w:val="18"/>
                <w:szCs w:val="18"/>
                <w:highlight w:val="none"/>
              </w:rPr>
            </w:pP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jc w:val="center"/>
          <w:trHeight w:val="947"/>
        </w:trPr>
        <w:tc>
          <w:tcPr>
            <w:gridSpan w:val="8"/>
            <w:tcW w:w="8813" w:type="dxa"/>
            <w:vAlign w:val="center"/>
            <w:textDirection w:val="lrTb"/>
            <w:noWrap w:val="false"/>
          </w:tcPr>
          <w:p>
            <w:pPr>
              <w:ind w:left="112"/>
              <w:spacing w:before="299" w:line="207" w:lineRule="auto"/>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spacing w:line="27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117"/>
              <w:spacing w:before="58" w:line="239" w:lineRule="exact"/>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85"/>
        <w:spacing w:before="296"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说明：1.该表为服务类项目履约验收的参考样表，采购人或采购代理机构可以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625"/>
        <w:spacing w:before="59" w:line="211" w:lineRule="auto"/>
        <w:rPr>
          <w:rStyle w:val="995"/>
          <w:rFonts w:hint="eastAsia" w:ascii="宋体" w:hAnsi="宋体" w:eastAsia="宋体" w:cs="宋体"/>
          <w:color w:val="auto"/>
          <w:sz w:val="32"/>
          <w:szCs w:val="32"/>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jc w:val="center"/>
        <w:spacing w:line="400" w:lineRule="exact"/>
        <w:rPr>
          <w:rStyle w:val="995"/>
          <w:rFonts w:hint="eastAsia" w:ascii="宋体" w:hAnsi="宋体" w:eastAsia="宋体" w:cs="宋体"/>
          <w:color w:val="auto"/>
          <w:sz w:val="32"/>
          <w:szCs w:val="32"/>
          <w:highlight w:val="none"/>
        </w:rPr>
      </w:pPr>
      <w:r>
        <w:rPr>
          <w:rStyle w:val="995"/>
          <w:rFonts w:hint="eastAsia" w:ascii="宋体" w:hAnsi="宋体" w:eastAsia="宋体" w:cs="宋体"/>
          <w:color w:val="auto"/>
          <w:sz w:val="32"/>
          <w:szCs w:val="32"/>
          <w:highlight w:val="none"/>
        </w:rPr>
        <w:t xml:space="preserve">第四章 投标文件格式</w:t>
      </w:r>
      <w:bookmarkEnd w:id="6"/>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b/>
          <w:color w:val="auto"/>
          <w:sz w:val="36"/>
          <w:szCs w:val="36"/>
          <w:highlight w:val="none"/>
        </w:rPr>
      </w:pPr>
      <w:r>
        <w:rPr>
          <w:rFonts w:hint="eastAsia"/>
          <w:b/>
          <w:color w:val="auto"/>
          <w:sz w:val="36"/>
          <w:szCs w:val="36"/>
          <w:highlight w:val="none"/>
        </w:rPr>
        <w:t xml:space="preserve">招标单位： </w:t>
      </w:r>
      <w:r/>
    </w:p>
    <w:p>
      <w:pPr>
        <w:ind w:left="480" w:firstLine="542"/>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p>
    <w:p>
      <w:pPr>
        <w:ind w:firstLine="542"/>
        <w:rPr>
          <w:b/>
          <w:color w:val="auto"/>
          <w:sz w:val="36"/>
          <w:szCs w:val="36"/>
          <w:highlight w:val="none"/>
        </w:rPr>
      </w:pPr>
      <w:r>
        <w:rPr>
          <w:b/>
          <w:color w:val="auto"/>
          <w:sz w:val="36"/>
          <w:szCs w:val="36"/>
          <w:highlight w:val="none"/>
        </w:rPr>
      </w:r>
      <w:r/>
    </w:p>
    <w:p>
      <w:pPr>
        <w:ind w:firstLine="723"/>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792"/>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hint="eastAsia"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rPr>
        <w:t xml:space="preserve">系统内直接填写）</w:t>
      </w:r>
      <w:r/>
    </w:p>
    <w:p>
      <w:pPr>
        <w:pStyle w:val="1012"/>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12"/>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hint="eastAsia" w:ascii="宋体" w:hAnsi="宋体" w:cs="宋体"/>
          <w:color w:val="auto"/>
          <w:spacing w:val="20"/>
          <w:sz w:val="21"/>
          <w:szCs w:val="21"/>
          <w:highlight w:val="none"/>
        </w:rPr>
      </w:pPr>
      <w:r>
        <w:rPr>
          <w:rFonts w:hint="eastAsia" w:ascii="宋体" w:hAnsi="宋体" w:cs="宋体"/>
          <w:color w:val="auto"/>
          <w:spacing w:val="20"/>
          <w:sz w:val="21"/>
          <w:szCs w:val="21"/>
          <w:highlight w:val="none"/>
        </w:rPr>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800"/>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cs="宋体"/>
                <w:color w:val="auto"/>
                <w:sz w:val="21"/>
                <w:szCs w:val="21"/>
                <w:highlight w:val="none"/>
              </w:rPr>
            </w:pPr>
            <w:r>
              <w:rPr>
                <w:rFonts w:hint="eastAsia" w:cs="宋体"/>
                <w:color w:val="auto"/>
                <w:sz w:val="21"/>
                <w:szCs w:val="21"/>
                <w:highlight w:val="none"/>
              </w:rPr>
              <w:t xml:space="preserve">投标总价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rPr>
                <w:rFonts w:cs="宋体"/>
                <w:color w:val="auto"/>
                <w:sz w:val="21"/>
                <w:szCs w:val="21"/>
                <w:highlight w:val="none"/>
              </w:rPr>
            </w:pPr>
            <w:r>
              <w:rPr>
                <w:rFonts w:hint="eastAsia"/>
                <w:color w:val="auto"/>
                <w:sz w:val="21"/>
                <w:szCs w:val="21"/>
                <w:highlight w:val="none"/>
              </w:rPr>
              <w:t xml:space="preserve">人民币大写：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元整（小写：￥</w:t>
            </w:r>
            <w:r>
              <w:rPr>
                <w:color w:val="auto"/>
                <w:sz w:val="21"/>
                <w:szCs w:val="21"/>
                <w:highlight w:val="none"/>
                <w:u w:val="single"/>
              </w:rPr>
              <w:t xml:space="preserve">    </w:t>
            </w:r>
            <w:r>
              <w:rPr>
                <w:rFonts w:hint="eastAsia"/>
                <w:color w:val="auto"/>
                <w:sz w:val="21"/>
                <w:szCs w:val="21"/>
                <w:highlight w:val="none"/>
                <w:u w:val="single"/>
              </w:rPr>
              <w:t xml:space="preserve">         </w:t>
            </w:r>
            <w:r>
              <w:rPr>
                <w:color w:val="auto"/>
                <w:sz w:val="21"/>
                <w:szCs w:val="21"/>
                <w:highlight w:val="none"/>
                <w:u w:val="single"/>
              </w:rPr>
              <w:t xml:space="preserve"> </w:t>
            </w:r>
            <w:r>
              <w:rPr>
                <w:rFonts w:hint="eastAsia"/>
                <w:color w:val="auto"/>
                <w:sz w:val="21"/>
                <w:szCs w:val="21"/>
                <w:highlight w:val="none"/>
              </w:rPr>
              <w:t xml:space="preserve">）</w:t>
            </w:r>
            <w:r/>
          </w:p>
        </w:tc>
      </w:tr>
    </w:tbl>
    <w:p>
      <w:pPr>
        <w:contextualSpacing/>
        <w:ind w:firstLine="478"/>
        <w:jc w:val="both"/>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、投标报价一次报定</w:t>
      </w:r>
      <w:r>
        <w:rPr>
          <w:rFonts w:hint="eastAsia" w:ascii="宋体" w:hAnsi="宋体" w:cs="宋体"/>
          <w:color w:val="auto"/>
          <w:sz w:val="21"/>
          <w:szCs w:val="21"/>
          <w:highlight w:val="none"/>
        </w:rPr>
        <w:t xml:space="preserve">应包括完成本项工作所需的一切费用，包括但不限于提供完整的方案编制及后续服务所需的勘测费、调查费、劳务费、咨询费、会务费、出版费、管理费、资料收集、专家论证、成果验收等所有服务成本、经营成本、法定税费和管理企业的利润、保险及合同包含的所有风险、责任等各项应有费用。投标报价为最终报价，除非因特殊原因并经买卖双方协商同意，投标人不得再要求追加任何费用。</w:t>
      </w:r>
      <w:r/>
    </w:p>
    <w:p>
      <w:pPr>
        <w:ind w:firstLine="420"/>
        <w:spacing w:line="360" w:lineRule="auto"/>
        <w:tabs>
          <w:tab w:val="left" w:pos="420" w:leader="none"/>
          <w:tab w:val="left" w:pos="54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1042"/>
        <w:rPr>
          <w:color w:val="auto"/>
          <w:szCs w:val="21"/>
          <w:highlight w:val="none"/>
          <w:lang w:val="zh-CN"/>
        </w:rPr>
      </w:pPr>
      <w:r>
        <w:rPr>
          <w:color w:val="auto"/>
          <w:szCs w:val="21"/>
          <w:highlight w:val="none"/>
          <w:lang w:val="zh-CN"/>
        </w:rPr>
      </w:r>
      <w:r/>
    </w:p>
    <w:p>
      <w:pPr>
        <w:ind w:firstLine="392"/>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pStyle w:val="1023"/>
        <w:ind w:left="0"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07"/>
        <w:ind w:firstLine="50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投标报价明细表</w:t>
      </w:r>
      <w:r/>
    </w:p>
    <w:p>
      <w:pPr>
        <w:pStyle w:val="807"/>
        <w:ind w:firstLine="251"/>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投标报价明细表</w:t>
      </w:r>
      <w:r/>
    </w:p>
    <w:p>
      <w:pPr>
        <w:ind w:firstLine="420"/>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rPr>
          <w:color w:val="auto"/>
          <w:highlight w:val="none"/>
        </w:rPr>
      </w:pPr>
      <w:r>
        <w:rPr>
          <w:rFonts w:hint="eastAsia" w:ascii="宋体" w:hAnsi="宋体"/>
          <w:color w:val="auto"/>
          <w:sz w:val="21"/>
          <w:szCs w:val="21"/>
          <w:highlight w:val="none"/>
        </w:rPr>
        <w:t xml:space="preserve">项目编号：                                          项目名称：          </w:t>
      </w:r>
      <w:r>
        <w:rPr>
          <w:rFonts w:hint="eastAsia" w:cs="宋体"/>
          <w:b/>
          <w:color w:val="auto"/>
          <w:szCs w:val="21"/>
          <w:highlight w:val="none"/>
        </w:rPr>
        <w:t xml:space="preserve">                                     </w:t>
      </w:r>
      <w:r/>
    </w:p>
    <w:tbl>
      <w:tblPr>
        <w:tblStyle w:val="800"/>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2243"/>
        <w:gridCol w:w="1172"/>
        <w:gridCol w:w="1017"/>
        <w:gridCol w:w="1493"/>
        <w:gridCol w:w="1612"/>
        <w:gridCol w:w="1108"/>
      </w:tblGrid>
      <w:tr>
        <w:trPr>
          <w:jc w:val="center"/>
          <w:trHeight w:val="29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24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11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单价（元）</w:t>
            </w:r>
            <w:r/>
          </w:p>
        </w:tc>
        <w:tc>
          <w:tcPr>
            <w:tcBorders>
              <w:top w:val="single" w:color="auto" w:sz="4" w:space="0"/>
              <w:left w:val="none" w:color="000000" w:sz="4" w:space="0"/>
              <w:bottom w:val="single" w:color="auto" w:sz="4" w:space="0"/>
              <w:right w:val="single" w:color="auto" w:sz="4" w:space="0"/>
            </w:tcBorders>
            <w:tcW w:w="161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小计（元）</w:t>
            </w:r>
            <w:r/>
          </w:p>
        </w:tc>
        <w:tc>
          <w:tcPr>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362"/>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图书馆</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12158</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07"/>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实验楼</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20555</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20"/>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主席台（看台）</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800</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23"/>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体育馆</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2682</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实训楼</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6877</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20"/>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6</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教学楼</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17431</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98"/>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学生公寓M3M4</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8764</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86"/>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学生公寓M1M2</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8200</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18"/>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9</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食堂</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9420</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00"/>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吴园</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3360</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326"/>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11</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陈列馆（原锅炉房）</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700</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08"/>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12</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校史馆（原浴室）</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993</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10"/>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13</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气化房</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20"/>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14</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泵房</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255</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64"/>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15</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警务室（北门）</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49</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64"/>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16</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配电房（发电机）</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16</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10"/>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17</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配电房（西门）</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49</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29"/>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18</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校园服务中心（原地下自行车库）</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2000</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07"/>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19</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行政楼</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7440</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78"/>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20</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学生公寓M5M6</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10950</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69"/>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21</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学生公寓M7M8</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10600</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49"/>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22</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学生公寓M15</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3992</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258"/>
        </w:trPr>
        <w:tc>
          <w:tcPr>
            <w:tcBorders>
              <w:top w:val="single" w:color="auto" w:sz="4" w:space="0"/>
              <w:left w:val="single" w:color="auto" w:sz="4" w:space="0"/>
              <w:bottom w:val="single" w:color="auto" w:sz="4" w:space="0"/>
              <w:right w:val="single" w:color="auto" w:sz="4" w:space="0"/>
            </w:tcBorders>
            <w:tcW w:w="73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23</w:t>
            </w:r>
            <w:r/>
          </w:p>
        </w:tc>
        <w:tc>
          <w:tcPr>
            <w:tcBorders>
              <w:top w:val="single" w:color="auto" w:sz="4" w:space="0"/>
              <w:left w:val="none" w:color="000000" w:sz="4" w:space="0"/>
              <w:bottom w:val="single" w:color="auto" w:sz="4" w:space="0"/>
              <w:right w:val="single" w:color="auto" w:sz="4" w:space="0"/>
            </w:tcBorders>
            <w:tcW w:w="2243"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花房</w:t>
            </w:r>
            <w:r/>
          </w:p>
        </w:tc>
        <w:tc>
          <w:tcPr>
            <w:tcBorders>
              <w:top w:val="single" w:color="auto" w:sz="4" w:space="0"/>
              <w:left w:val="none" w:color="000000" w:sz="4" w:space="0"/>
              <w:bottom w:val="single" w:color="auto" w:sz="4" w:space="0"/>
              <w:right w:val="single" w:color="auto" w:sz="4" w:space="0"/>
            </w:tcBorders>
            <w:tcW w:w="1172"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w:t>
            </w:r>
            <w:r/>
          </w:p>
        </w:tc>
        <w:tc>
          <w:tcPr>
            <w:tcBorders>
              <w:top w:val="single" w:color="auto" w:sz="4" w:space="0"/>
              <w:left w:val="none" w:color="000000" w:sz="4" w:space="0"/>
              <w:bottom w:val="single" w:color="auto" w:sz="4" w:space="0"/>
              <w:right w:val="single" w:color="auto" w:sz="4" w:space="0"/>
            </w:tcBorders>
            <w:tcW w:w="1017" w:type="dxa"/>
            <w:vAlign w:val="bottom"/>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bidi="ar"/>
              </w:rPr>
              <w:t xml:space="preserve">400</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2"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108"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382" w:type="dxa"/>
            <w:vAlign w:val="center"/>
            <w:textDirection w:val="lrTb"/>
            <w:noWrap w:val="false"/>
          </w:tcPr>
          <w:p>
            <w:pPr>
              <w:ind w:firstLine="210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投标总报价： （大写）          人民币（小写）</w:t>
            </w:r>
            <w:r/>
          </w:p>
        </w:tc>
      </w:tr>
    </w:tbl>
    <w:p>
      <w:pPr>
        <w:ind w:firstLine="420"/>
        <w:spacing w:line="360" w:lineRule="auto"/>
        <w:rPr>
          <w:rFonts w:cs="宋体"/>
          <w:color w:val="auto"/>
          <w:sz w:val="21"/>
          <w:szCs w:val="21"/>
          <w:highlight w:val="none"/>
        </w:rPr>
      </w:pPr>
      <w:r>
        <w:rPr>
          <w:rFonts w:hint="eastAsia" w:cs="宋体"/>
          <w:color w:val="auto"/>
          <w:sz w:val="21"/>
          <w:szCs w:val="21"/>
          <w:highlight w:val="none"/>
        </w:rPr>
        <w:t xml:space="preserve">注：1、</w:t>
      </w:r>
      <w:r>
        <w:rPr>
          <w:rFonts w:hint="eastAsia" w:cs="宋体"/>
          <w:b/>
          <w:bCs/>
          <w:color w:val="auto"/>
          <w:sz w:val="21"/>
          <w:szCs w:val="21"/>
          <w:highlight w:val="none"/>
        </w:rPr>
        <w:t xml:space="preserve">须按上表中的格式及要求报价</w:t>
      </w:r>
      <w:r>
        <w:rPr>
          <w:rFonts w:hint="eastAsia" w:cs="宋体"/>
          <w:color w:val="auto"/>
          <w:sz w:val="21"/>
          <w:szCs w:val="21"/>
          <w:highlight w:val="none"/>
        </w:rPr>
        <w:t xml:space="preserve">；</w:t>
      </w:r>
      <w:r/>
    </w:p>
    <w:p>
      <w:pPr>
        <w:ind w:firstLine="420"/>
        <w:spacing w:line="360" w:lineRule="auto"/>
        <w:rPr>
          <w:rFonts w:cs="宋体"/>
          <w:color w:val="auto"/>
          <w:sz w:val="21"/>
          <w:szCs w:val="21"/>
          <w:highlight w:val="none"/>
        </w:rPr>
      </w:pPr>
      <w:r>
        <w:rPr>
          <w:rFonts w:hint="eastAsia" w:cs="宋体"/>
          <w:color w:val="auto"/>
          <w:sz w:val="21"/>
          <w:szCs w:val="21"/>
          <w:highlight w:val="none"/>
        </w:rPr>
        <w:t xml:space="preserve">2、投标报价明细表总价须与开标一览表一致，否则以开标一览表报价为准。</w:t>
      </w:r>
      <w:r/>
    </w:p>
    <w:p>
      <w:pPr>
        <w:pStyle w:val="835"/>
        <w:ind w:firstLine="50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（二）投标报价合理性说明（如有）</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jc w:val="both"/>
        <w:spacing w:line="360" w:lineRule="auto"/>
        <w:widowControl w:val="off"/>
        <w:rPr>
          <w:b/>
          <w:color w:val="auto"/>
          <w:sz w:val="44"/>
          <w:szCs w:val="44"/>
          <w:highlight w:val="none"/>
        </w:rPr>
      </w:pPr>
      <w:r>
        <w:rPr>
          <w:b/>
          <w:color w:val="auto"/>
          <w:sz w:val="44"/>
          <w:szCs w:val="44"/>
          <w:highlight w:val="none"/>
        </w:rPr>
      </w:r>
      <w:r/>
    </w:p>
    <w:p>
      <w:pPr>
        <w:pStyle w:val="808"/>
        <w:rPr>
          <w:b/>
          <w:bCs/>
          <w:color w:val="auto"/>
          <w:sz w:val="44"/>
          <w:szCs w:val="44"/>
          <w:highlight w:val="none"/>
        </w:rPr>
      </w:pPr>
      <w:r>
        <w:rPr>
          <w:b/>
          <w:bCs/>
          <w:color w:val="auto"/>
          <w:sz w:val="44"/>
          <w:szCs w:val="44"/>
          <w:highlight w:val="none"/>
        </w:rPr>
      </w:r>
      <w:r/>
    </w:p>
    <w:p>
      <w:pPr>
        <w:pStyle w:val="806"/>
        <w:numPr>
          <w:ilvl w:val="0"/>
          <w:numId w:val="4"/>
        </w:numPr>
        <w:jc w:val="center"/>
        <w:rPr>
          <w:b/>
          <w:color w:val="auto"/>
          <w:sz w:val="44"/>
          <w:szCs w:val="44"/>
          <w:highlight w:val="none"/>
        </w:rPr>
      </w:pPr>
      <w:r>
        <w:rPr>
          <w:rFonts w:hint="eastAsia"/>
          <w:b/>
          <w:color w:val="auto"/>
          <w:sz w:val="44"/>
          <w:szCs w:val="44"/>
          <w:highlight w:val="none"/>
        </w:rPr>
        <w:t xml:space="preserve">资格、技术、商务部分</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1、资格性审查文件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1.1具有独立承担民事责任的能力：提供投标单位营业执照及法定代表人身份证扫描件或自然人的身份证明、授权委托书（如有授权）、被授权人身份证（如有授权）、资格文件的声明函、投标人基本情况表。（详见投标文件格式）</w:t>
      </w:r>
      <w:r/>
    </w:p>
    <w:p>
      <w:pPr>
        <w:pStyle w:val="80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格式1.关于资格文件的声明函</w:t>
      </w:r>
      <w:r/>
    </w:p>
    <w:p>
      <w:pPr>
        <w:pStyle w:val="801"/>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01"/>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0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1"/>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80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u w:val="single"/>
        </w:rPr>
        <w:t xml:space="preserve">苏州泰至鑫项目管理有限公司</w:t>
      </w:r>
      <w:r>
        <w:rPr>
          <w:rFonts w:hint="eastAsia" w:ascii="宋体" w:hAnsi="宋体" w:cs="宋体"/>
          <w:b/>
          <w:bCs/>
          <w:color w:val="auto"/>
          <w:sz w:val="21"/>
          <w:szCs w:val="21"/>
          <w:highlight w:val="none"/>
        </w:rPr>
        <w:t xml:space="preserve">：</w:t>
      </w:r>
      <w:r/>
    </w:p>
    <w:p>
      <w:pPr>
        <w:pStyle w:val="801"/>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0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格式2：投标人基本情况表</w:t>
      </w:r>
      <w:r/>
    </w:p>
    <w:p>
      <w:pPr>
        <w:pStyle w:val="801"/>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rPr>
          <w:rFonts w:hint="eastAsia" w:ascii="宋体" w:hAnsi="宋体" w:cs="宋体"/>
          <w:color w:val="auto"/>
          <w:sz w:val="21"/>
          <w:szCs w:val="21"/>
          <w:highlight w:val="none"/>
          <w:u w:val="single"/>
        </w:rPr>
        <w:t xml:space="preserve">                       </w:t>
      </w:r>
      <w:r/>
    </w:p>
    <w:tbl>
      <w:tblPr>
        <w:tblStyle w:val="800"/>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03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ind w:firstLine="216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2024年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2024年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80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格式3：</w:t>
      </w:r>
      <w:r>
        <w:rPr>
          <w:rFonts w:hint="eastAsia" w:ascii="宋体" w:hAnsi="宋体" w:eastAsia="宋体" w:cs="宋体"/>
          <w:b/>
          <w:bCs/>
          <w:color w:val="auto"/>
          <w:sz w:val="21"/>
          <w:szCs w:val="21"/>
          <w:highlight w:val="none"/>
          <w:lang w:val="zh-CN"/>
        </w:rPr>
        <w:t xml:space="preserve">授权委托书</w:t>
      </w:r>
      <w:r/>
    </w:p>
    <w:p>
      <w:pPr>
        <w:jc w:val="center"/>
        <w:spacing w:line="360" w:lineRule="auto"/>
        <w:widowControl w:val="off"/>
        <w:rPr>
          <w:rFonts w:hint="eastAsia" w:ascii="宋体" w:hAnsi="宋体" w:cs="宋体"/>
          <w:b/>
          <w:color w:val="auto"/>
          <w:sz w:val="21"/>
          <w:szCs w:val="21"/>
          <w:highlight w:val="none"/>
          <w:lang w:val="zh-CN"/>
        </w:rPr>
        <w:outlineLvl w:val="0"/>
      </w:pPr>
      <w:r>
        <w:rPr>
          <w:rFonts w:hint="eastAsia" w:ascii="宋体" w:hAnsi="宋体" w:cs="宋体"/>
          <w:b/>
          <w:color w:val="auto"/>
          <w:sz w:val="21"/>
          <w:szCs w:val="21"/>
          <w:highlight w:val="none"/>
          <w:lang w:val="zh-CN"/>
        </w:rPr>
      </w:r>
      <w:r/>
    </w:p>
    <w:p>
      <w:pPr>
        <w:jc w:val="cente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授权委托书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5"/>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附：法定代表人身份扫描件。</w:t>
      </w:r>
      <w:r/>
    </w:p>
    <w:p>
      <w:pPr>
        <w:pStyle w:val="80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80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80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80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80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801"/>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w:t>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ind w:left="400"/>
        <w:keepLines/>
        <w:keepNext/>
        <w:spacing w:line="360" w:lineRule="auto"/>
        <w:rPr>
          <w:rFonts w:hint="eastAsia" w:ascii="宋体" w:hAnsi="宋体" w:cs="宋体"/>
          <w:b/>
          <w:color w:val="auto"/>
          <w:sz w:val="21"/>
          <w:szCs w:val="21"/>
          <w:highlight w:val="none"/>
          <w:lang w:val="zh-CN"/>
        </w:rPr>
        <w:outlineLvl w:val="2"/>
      </w:pPr>
      <w:r>
        <w:rPr>
          <w:rFonts w:hint="eastAsia" w:ascii="宋体" w:hAnsi="宋体" w:cs="宋体"/>
          <w:b/>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1.2具有良好的商业信誉和健全的财务会计制度：提供参加本次政府采购活动前的财务状况报告或者银行出具的资信证明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1.3具有履行合同所必需的设备和专业技术能力：提供履行合同所必需的设备和专业技术能力的证明材料或书面声明</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1.4具有依法缴纳税收和社会保障资金的良好记录：提供参加本次政府采购活动前半年任意一个月份依法缴纳税收和社会保障资金的证明材料</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1.5参加政府采购活动前三年内，在经营活动中没有重大违法记录：提供参加本次政府采购活动前3年内在经营活动中没有重大违法记录的书面声明（详见投标文件格式）；</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格式4：参加政府采购活动前三年内，在经营活动中没有重大违法记录声明</w:t>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参加政府采购活动前三年内，在经营活动中没有重大违法记录声明</w:t>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若招标代理机构在本项目采购过程中发现我单位近三年内在政府采购活动中有重大违法记录，我单位将无条件退出本项目的招标，并承担因此引起的一切后果。</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1.6特定资格条件：</w:t>
      </w:r>
      <w:r/>
    </w:p>
    <w:p>
      <w:pPr>
        <w:pStyle w:val="831"/>
        <w:ind w:firstLine="422"/>
        <w:spacing w:before="0" w:beforeAutospacing="0" w:after="0" w:afterAutospacing="0" w:line="360" w:lineRule="auto"/>
        <w:rPr>
          <w:rFonts w:hint="eastAsia"/>
          <w:b/>
          <w:bCs/>
          <w:color w:val="auto"/>
          <w:sz w:val="21"/>
          <w:szCs w:val="21"/>
          <w:highlight w:val="none"/>
        </w:rPr>
      </w:pPr>
      <w:r>
        <w:rPr>
          <w:rStyle w:val="837"/>
          <w:rFonts w:hint="eastAsia"/>
          <w:color w:val="auto"/>
          <w:sz w:val="21"/>
          <w:szCs w:val="21"/>
          <w:highlight w:val="none"/>
        </w:rPr>
        <w:t xml:space="preserve">1.6.1</w:t>
      </w:r>
      <w:r>
        <w:rPr>
          <w:rFonts w:hint="eastAsia"/>
          <w:b/>
          <w:bCs/>
          <w:color w:val="auto"/>
          <w:sz w:val="21"/>
          <w:szCs w:val="21"/>
          <w:highlight w:val="none"/>
        </w:rPr>
        <w:t xml:space="preserve">未被“信用中国”网站（www.creditchina.gov.cn）或中国政府采购网（https://www.ccgp.gov.cn/search/cr/）列入失信被执行人、重大税收违法案件当事人名单、政府采购严重违法失信行为记录名单。</w:t>
      </w:r>
      <w:r/>
    </w:p>
    <w:p>
      <w:pPr>
        <w:pStyle w:val="831"/>
        <w:ind w:firstLine="422"/>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shd w:val="clear" w:color="auto" w:fill="ffffff"/>
        </w:rPr>
        <w:t xml:space="preserve">1.6.2本项目属于专门面向中小企业采购的项目，投标人应为中小微企业，必须提供《中小企业声明函》，小微企业不享受价格扣除优惠。提供《残疾人福利性单位声明函》或属于监狱企业的证明文件的视同小微企业。</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1.6.3投标单位应具有建设行政主管部门颁发的检测机构资质（核定检测项目至少包括：主体结构现场检测，地基基础工程检测资质）；</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1.6.4具有省、直辖市或国家计量行政部门颁发的有效期内的《CMA计量认证》证书；</w:t>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rPr>
      </w:pPr>
      <w:r/>
      <w:bookmarkStart w:id="16" w:name="_GoBack"/>
      <w:r/>
      <w:bookmarkEnd w:id="16"/>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格式5：中小企业声明函（如有）</w:t>
      </w:r>
      <w:r/>
    </w:p>
    <w:p>
      <w:pPr>
        <w:spacing w:line="400" w:lineRule="exact"/>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rPr>
        <w:t xml:space="preserve">                                  </w:t>
      </w:r>
      <w:r>
        <w:rPr>
          <w:rFonts w:hint="eastAsia" w:ascii="宋体" w:hAnsi="宋体" w:cs="宋体"/>
          <w:b/>
          <w:color w:val="auto"/>
          <w:sz w:val="21"/>
          <w:szCs w:val="21"/>
          <w:highlight w:val="none"/>
          <w:lang w:val="zh-CN"/>
        </w:rPr>
        <w:t xml:space="preserve">中小企业声明函</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right="355" w:firstLine="412"/>
        <w:jc w:val="both"/>
        <w:spacing w:after="120" w:line="360" w:lineRule="auto"/>
        <w:widowControl w:val="off"/>
        <w:rPr>
          <w:rFonts w:hint="eastAsia"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numPr>
          <w:ilvl w:val="0"/>
          <w:numId w:val="5"/>
        </w:numPr>
        <w:ind w:firstLine="420"/>
        <w:jc w:val="both"/>
        <w:spacing w:line="360" w:lineRule="auto"/>
        <w:widowControl w:val="off"/>
        <w:tabs>
          <w:tab w:val="left" w:pos="1243" w:leader="none"/>
        </w:tabs>
        <w:rPr>
          <w:rFonts w:hint="eastAsia" w:ascii="宋体" w:hAnsi="宋体" w:cs="宋体"/>
          <w:color w:val="auto"/>
          <w:sz w:val="21"/>
          <w:szCs w:val="21"/>
          <w:highlight w:val="none"/>
          <w:u w:val="single"/>
          <w:lang w:val="zh-CN" w:bidi="zh-CN"/>
        </w:rPr>
      </w:pPr>
      <w:r>
        <w:rPr>
          <w:rFonts w:hint="eastAsia" w:ascii="宋体" w:hAnsi="宋体" w:cs="宋体"/>
          <w:color w:val="auto"/>
          <w:sz w:val="21"/>
          <w:szCs w:val="21"/>
          <w:highlight w:val="none"/>
          <w:u w:val="single"/>
        </w:rPr>
        <w:t xml:space="preserve">标的名称</w:t>
      </w:r>
      <w:r>
        <w:rPr>
          <w:rFonts w:hint="eastAsia" w:ascii="宋体" w:hAnsi="宋体" w:cs="宋体"/>
          <w:color w:val="auto"/>
          <w:spacing w:val="-2"/>
          <w:sz w:val="21"/>
          <w:szCs w:val="21"/>
          <w:highlight w:val="none"/>
          <w:lang w:val="zh-CN" w:bidi="zh-CN"/>
        </w:rPr>
        <w:t xml:space="preserve">属于</w:t>
      </w:r>
      <w:r>
        <w:rPr>
          <w:rFonts w:hint="eastAsia" w:ascii="宋体" w:hAnsi="宋体" w:cs="宋体"/>
          <w:color w:val="auto"/>
          <w:sz w:val="21"/>
          <w:szCs w:val="21"/>
          <w:highlight w:val="none"/>
          <w:u w:val="single"/>
          <w:lang w:val="zh-CN" w:bidi="zh-CN"/>
        </w:rPr>
        <w:t xml:space="preserve">（采购文件中明确的所属行业）</w:t>
      </w:r>
      <w:r>
        <w:rPr>
          <w:rFonts w:hint="eastAsia" w:ascii="宋体" w:hAnsi="宋体" w:cs="宋体"/>
          <w:color w:val="auto"/>
          <w:sz w:val="21"/>
          <w:szCs w:val="21"/>
          <w:highlight w:val="none"/>
          <w:lang w:val="zh-CN" w:bidi="zh-CN"/>
        </w:rPr>
        <w:t xml:space="preserve">；</w:t>
      </w:r>
      <w:r>
        <w:rPr>
          <w:rFonts w:hint="eastAsia" w:ascii="宋体" w:hAnsi="宋体" w:cs="宋体"/>
          <w:color w:val="auto"/>
          <w:spacing w:val="-2"/>
          <w:sz w:val="21"/>
          <w:szCs w:val="21"/>
          <w:highlight w:val="none"/>
          <w:lang w:val="zh-CN" w:bidi="zh-CN"/>
        </w:rPr>
        <w:t xml:space="preserve">承接企业为</w:t>
      </w:r>
      <w:r>
        <w:rPr>
          <w:rFonts w:hint="eastAsia" w:ascii="宋体" w:hAnsi="宋体" w:cs="宋体"/>
          <w:color w:val="auto"/>
          <w:sz w:val="21"/>
          <w:szCs w:val="21"/>
          <w:highlight w:val="none"/>
          <w:u w:val="single"/>
          <w:lang w:val="zh-CN" w:bidi="zh-CN"/>
        </w:rPr>
        <w:t xml:space="preserve">（企业名称）</w:t>
      </w:r>
      <w:r>
        <w:rPr>
          <w:rFonts w:hint="eastAsia" w:ascii="宋体" w:hAnsi="宋体" w:cs="宋体"/>
          <w:color w:val="auto"/>
          <w:spacing w:val="-2"/>
          <w:sz w:val="21"/>
          <w:szCs w:val="21"/>
          <w:highlight w:val="none"/>
          <w:lang w:val="zh-CN" w:bidi="zh-CN"/>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万元，属于</w:t>
      </w:r>
      <w:r>
        <w:rPr>
          <w:rFonts w:hint="eastAsia" w:ascii="宋体" w:hAnsi="宋体" w:cs="宋体"/>
          <w:color w:val="auto"/>
          <w:sz w:val="21"/>
          <w:szCs w:val="21"/>
          <w:highlight w:val="none"/>
          <w:u w:val="single"/>
          <w:lang w:val="zh-CN" w:bidi="zh-CN"/>
        </w:rPr>
        <w:t xml:space="preserve">（中型企业、小型企业、微型企业）</w:t>
      </w:r>
      <w:r>
        <w:rPr>
          <w:rFonts w:hint="eastAsia" w:ascii="宋体" w:hAnsi="宋体" w:cs="宋体"/>
          <w:color w:val="auto"/>
          <w:sz w:val="21"/>
          <w:szCs w:val="21"/>
          <w:highlight w:val="none"/>
          <w:lang w:val="zh-CN" w:bidi="zh-CN"/>
        </w:rPr>
        <w:t xml:space="preserve">；</w:t>
      </w:r>
      <w:r/>
    </w:p>
    <w:p>
      <w:pPr>
        <w:numPr>
          <w:ilvl w:val="0"/>
          <w:numId w:val="5"/>
        </w:numPr>
        <w:ind w:firstLine="420"/>
        <w:jc w:val="both"/>
        <w:spacing w:line="360" w:lineRule="auto"/>
        <w:widowControl w:val="off"/>
        <w:tabs>
          <w:tab w:val="left" w:pos="1243" w:leader="none"/>
        </w:tabs>
        <w:rPr>
          <w:rFonts w:hint="eastAsia" w:ascii="宋体" w:hAnsi="宋体" w:cs="宋体"/>
          <w:color w:val="auto"/>
          <w:sz w:val="21"/>
          <w:szCs w:val="21"/>
          <w:highlight w:val="none"/>
          <w:u w:val="single"/>
          <w:lang w:val="zh-CN" w:bidi="zh-CN"/>
        </w:rPr>
      </w:pPr>
      <w:r>
        <w:rPr>
          <w:rFonts w:hint="eastAsia" w:ascii="宋体" w:hAnsi="宋体" w:cs="宋体"/>
          <w:color w:val="auto"/>
          <w:sz w:val="21"/>
          <w:szCs w:val="21"/>
          <w:highlight w:val="none"/>
          <w:u w:val="single"/>
        </w:rPr>
        <w:t xml:space="preserve">标的名称</w:t>
      </w:r>
      <w:r>
        <w:rPr>
          <w:rFonts w:hint="eastAsia" w:ascii="宋体" w:hAnsi="宋体" w:cs="宋体"/>
          <w:color w:val="auto"/>
          <w:spacing w:val="-2"/>
          <w:sz w:val="21"/>
          <w:szCs w:val="21"/>
          <w:highlight w:val="none"/>
          <w:lang w:val="zh-CN" w:bidi="zh-CN"/>
        </w:rPr>
        <w:t xml:space="preserve">属于</w:t>
      </w:r>
      <w:r>
        <w:rPr>
          <w:rFonts w:hint="eastAsia" w:ascii="宋体" w:hAnsi="宋体" w:cs="宋体"/>
          <w:color w:val="auto"/>
          <w:sz w:val="21"/>
          <w:szCs w:val="21"/>
          <w:highlight w:val="none"/>
          <w:u w:val="single"/>
          <w:lang w:val="zh-CN" w:bidi="zh-CN"/>
        </w:rPr>
        <w:t xml:space="preserve">（采购文件中明确的所属行业）</w:t>
      </w:r>
      <w:r>
        <w:rPr>
          <w:rFonts w:hint="eastAsia" w:ascii="宋体" w:hAnsi="宋体" w:cs="宋体"/>
          <w:color w:val="auto"/>
          <w:sz w:val="21"/>
          <w:szCs w:val="21"/>
          <w:highlight w:val="none"/>
          <w:lang w:val="zh-CN" w:bidi="zh-CN"/>
        </w:rPr>
        <w:t xml:space="preserve">；</w:t>
      </w:r>
      <w:r>
        <w:rPr>
          <w:rFonts w:hint="eastAsia" w:ascii="宋体" w:hAnsi="宋体" w:cs="宋体"/>
          <w:color w:val="auto"/>
          <w:spacing w:val="-2"/>
          <w:sz w:val="21"/>
          <w:szCs w:val="21"/>
          <w:highlight w:val="none"/>
          <w:lang w:val="zh-CN" w:bidi="zh-CN"/>
        </w:rPr>
        <w:t xml:space="preserve">承接企业为</w:t>
      </w:r>
      <w:r>
        <w:rPr>
          <w:rFonts w:hint="eastAsia" w:ascii="宋体" w:hAnsi="宋体" w:cs="宋体"/>
          <w:color w:val="auto"/>
          <w:sz w:val="21"/>
          <w:szCs w:val="21"/>
          <w:highlight w:val="none"/>
          <w:u w:val="single"/>
          <w:lang w:val="zh-CN" w:bidi="zh-CN"/>
        </w:rPr>
        <w:t xml:space="preserve">（企业名称）</w:t>
      </w:r>
      <w:r>
        <w:rPr>
          <w:rFonts w:hint="eastAsia" w:ascii="宋体" w:hAnsi="宋体" w:cs="宋体"/>
          <w:color w:val="auto"/>
          <w:spacing w:val="-2"/>
          <w:sz w:val="21"/>
          <w:szCs w:val="21"/>
          <w:highlight w:val="none"/>
          <w:lang w:val="zh-CN" w:bidi="zh-CN"/>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ab/>
      </w:r>
      <w:r>
        <w:rPr>
          <w:rFonts w:hint="eastAsia" w:ascii="宋体" w:hAnsi="宋体" w:cs="宋体"/>
          <w:color w:val="auto"/>
          <w:spacing w:val="-2"/>
          <w:sz w:val="21"/>
          <w:szCs w:val="21"/>
          <w:highlight w:val="none"/>
          <w:lang w:val="zh-CN" w:bidi="zh-CN"/>
        </w:rPr>
        <w:t xml:space="preserve">万元，属于</w:t>
      </w:r>
      <w:r>
        <w:rPr>
          <w:rFonts w:hint="eastAsia" w:ascii="宋体" w:hAnsi="宋体" w:cs="宋体"/>
          <w:color w:val="auto"/>
          <w:sz w:val="21"/>
          <w:szCs w:val="21"/>
          <w:highlight w:val="none"/>
          <w:u w:val="single"/>
          <w:lang w:val="zh-CN" w:bidi="zh-CN"/>
        </w:rPr>
        <w:t xml:space="preserve">（中型企业、小型企业、微型企业）</w:t>
      </w:r>
      <w:r>
        <w:rPr>
          <w:rFonts w:hint="eastAsia" w:ascii="宋体" w:hAnsi="宋体" w:cs="宋体"/>
          <w:color w:val="auto"/>
          <w:sz w:val="21"/>
          <w:szCs w:val="21"/>
          <w:highlight w:val="none"/>
          <w:lang w:val="zh-CN" w:bidi="zh-CN"/>
        </w:rPr>
        <w:t xml:space="preserve">；</w:t>
      </w:r>
      <w:r/>
    </w:p>
    <w:p>
      <w:pPr>
        <w:ind w:left="860"/>
        <w:spacing w:before="11" w:after="12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right="357" w:firstLine="645"/>
        <w:jc w:val="both"/>
        <w:spacing w:before="108" w:after="120" w:line="360" w:lineRule="auto"/>
        <w:widowControl w:val="off"/>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ind w:right="315" w:firstLine="640"/>
        <w:spacing w:after="12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投标人（公章）：</w:t>
      </w:r>
      <w:r/>
    </w:p>
    <w:p>
      <w:pPr>
        <w:ind w:left="432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80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格式6：</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3400" w:firstLine="42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投标人：（盖章）</w:t>
      </w:r>
      <w:r/>
    </w:p>
    <w:p>
      <w:pPr>
        <w:ind w:left="382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法定代表人或其委托代理人：（盖章或签字）</w:t>
      </w:r>
      <w:r/>
    </w:p>
    <w:p>
      <w:pPr>
        <w:ind w:firstLine="525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年     月     日</w:t>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bookmarkStart w:id="7" w:name="_Toc5165"/>
      <w:r>
        <w:rPr>
          <w:rFonts w:hint="eastAsia" w:ascii="宋体" w:hAnsi="宋体" w:cs="宋体"/>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7"/>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注：必须按投标人资格要求提供相关资料并加盖公章，否则投标无效。</w:t>
      </w:r>
      <w:r/>
    </w:p>
    <w:p>
      <w:pPr>
        <w:pStyle w:val="806"/>
        <w:jc w:val="both"/>
        <w:rPr>
          <w:b/>
          <w:color w:val="auto"/>
          <w:sz w:val="44"/>
          <w:szCs w:val="44"/>
          <w:highlight w:val="none"/>
        </w:rPr>
      </w:pPr>
      <w:r>
        <w:rPr>
          <w:b/>
          <w:color w:val="auto"/>
          <w:sz w:val="44"/>
          <w:szCs w:val="44"/>
          <w:highlight w:val="none"/>
        </w:rPr>
      </w:r>
      <w:r/>
    </w:p>
    <w:p>
      <w:pPr>
        <w:pStyle w:val="806"/>
        <w:jc w:val="both"/>
        <w:rPr>
          <w:b/>
          <w:color w:val="auto"/>
          <w:sz w:val="44"/>
          <w:szCs w:val="44"/>
          <w:highlight w:val="none"/>
        </w:rPr>
      </w:pPr>
      <w:r>
        <w:rPr>
          <w:b/>
          <w:color w:val="auto"/>
          <w:sz w:val="44"/>
          <w:szCs w:val="44"/>
          <w:highlight w:val="none"/>
        </w:rPr>
      </w:r>
      <w:r/>
    </w:p>
    <w:p>
      <w:pPr>
        <w:pStyle w:val="806"/>
        <w:jc w:val="both"/>
        <w:rPr>
          <w:b/>
          <w:color w:val="auto"/>
          <w:sz w:val="44"/>
          <w:szCs w:val="44"/>
          <w:highlight w:val="none"/>
        </w:rPr>
      </w:pPr>
      <w:r>
        <w:rPr>
          <w:b/>
          <w:color w:val="auto"/>
          <w:sz w:val="44"/>
          <w:szCs w:val="44"/>
          <w:highlight w:val="none"/>
        </w:rPr>
      </w:r>
      <w:r/>
    </w:p>
    <w:p>
      <w:pPr>
        <w:pStyle w:val="806"/>
        <w:jc w:val="both"/>
        <w:rPr>
          <w:b/>
          <w:color w:val="auto"/>
          <w:sz w:val="44"/>
          <w:szCs w:val="44"/>
          <w:highlight w:val="none"/>
        </w:rPr>
      </w:pPr>
      <w:r>
        <w:rPr>
          <w:b/>
          <w:color w:val="auto"/>
          <w:sz w:val="44"/>
          <w:szCs w:val="44"/>
          <w:highlight w:val="none"/>
        </w:rPr>
      </w:r>
      <w:r/>
    </w:p>
    <w:p>
      <w:pPr>
        <w:pStyle w:val="806"/>
        <w:jc w:val="both"/>
        <w:rPr>
          <w:b/>
          <w:color w:val="auto"/>
          <w:sz w:val="44"/>
          <w:szCs w:val="44"/>
          <w:highlight w:val="none"/>
        </w:rPr>
      </w:pPr>
      <w:r>
        <w:rPr>
          <w:b/>
          <w:color w:val="auto"/>
          <w:sz w:val="44"/>
          <w:szCs w:val="44"/>
          <w:highlight w:val="none"/>
        </w:rPr>
      </w:r>
      <w:r/>
    </w:p>
    <w:p>
      <w:pPr>
        <w:pStyle w:val="806"/>
        <w:jc w:val="both"/>
        <w:rPr>
          <w:b/>
          <w:bCs/>
          <w:color w:val="auto"/>
          <w:sz w:val="44"/>
          <w:szCs w:val="44"/>
          <w:highlight w:val="none"/>
        </w:rPr>
      </w:pPr>
      <w:r>
        <w:rPr>
          <w:b/>
          <w:bCs/>
          <w:color w:val="auto"/>
          <w:sz w:val="44"/>
          <w:szCs w:val="44"/>
          <w:highlight w:val="none"/>
        </w:rPr>
      </w:r>
      <w:r/>
    </w:p>
    <w:p>
      <w:pPr>
        <w:pStyle w:val="806"/>
        <w:jc w:val="both"/>
        <w:rPr>
          <w:b/>
          <w:bCs/>
          <w:color w:val="auto"/>
          <w:sz w:val="44"/>
          <w:szCs w:val="44"/>
          <w:highlight w:val="none"/>
        </w:rPr>
      </w:pPr>
      <w:r>
        <w:rPr>
          <w:b/>
          <w:bCs/>
          <w:color w:val="auto"/>
          <w:sz w:val="44"/>
          <w:szCs w:val="44"/>
          <w:highlight w:val="none"/>
        </w:rPr>
      </w:r>
      <w:r/>
    </w:p>
    <w:p>
      <w:pPr>
        <w:pStyle w:val="806"/>
        <w:jc w:val="both"/>
        <w:rPr>
          <w:b/>
          <w:bCs/>
          <w:color w:val="auto"/>
          <w:sz w:val="44"/>
          <w:szCs w:val="44"/>
          <w:highlight w:val="none"/>
        </w:rPr>
      </w:pPr>
      <w:r>
        <w:rPr>
          <w:b/>
          <w:bCs/>
          <w:color w:val="auto"/>
          <w:sz w:val="44"/>
          <w:szCs w:val="44"/>
          <w:highlight w:val="none"/>
        </w:rPr>
      </w:r>
      <w:r/>
    </w:p>
    <w:p>
      <w:pPr>
        <w:pStyle w:val="806"/>
        <w:jc w:val="both"/>
        <w:rPr>
          <w:b/>
          <w:bCs/>
          <w:color w:val="auto"/>
          <w:sz w:val="44"/>
          <w:szCs w:val="44"/>
          <w:highlight w:val="none"/>
        </w:rPr>
      </w:pPr>
      <w:r>
        <w:rPr>
          <w:b/>
          <w:bCs/>
          <w:color w:val="auto"/>
          <w:sz w:val="44"/>
          <w:szCs w:val="44"/>
          <w:highlight w:val="none"/>
        </w:rPr>
      </w:r>
      <w:r/>
    </w:p>
    <w:p>
      <w:pPr>
        <w:pStyle w:val="801"/>
        <w:numPr>
          <w:ilvl w:val="0"/>
          <w:numId w:val="6"/>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符合性审查文件部分</w:t>
      </w:r>
      <w:r/>
    </w:p>
    <w:p>
      <w:pPr>
        <w:pStyle w:val="801"/>
        <w:rPr>
          <w:rFonts w:hint="eastAsia" w:ascii="宋体" w:hAnsi="宋体" w:eastAsia="宋体"/>
          <w:b/>
          <w:bCs/>
          <w:color w:val="auto"/>
          <w:szCs w:val="24"/>
          <w:highlight w:val="none"/>
        </w:rPr>
      </w:pPr>
      <w:r>
        <w:rPr>
          <w:rFonts w:hint="eastAsia"/>
          <w:b/>
          <w:bCs/>
          <w:color w:val="auto"/>
          <w:szCs w:val="21"/>
          <w:highlight w:val="none"/>
        </w:rPr>
        <w:t xml:space="preserve">                  </w:t>
      </w:r>
      <w:r/>
    </w:p>
    <w:p>
      <w:pPr>
        <w:ind w:firstLine="422"/>
        <w:jc w:val="both"/>
        <w:rPr>
          <w:rFonts w:hint="eastAsia" w:ascii="宋体" w:hAnsi="宋体" w:cs="宋体"/>
          <w:b/>
          <w:color w:val="auto"/>
          <w:sz w:val="21"/>
          <w:szCs w:val="21"/>
          <w:highlight w:val="none"/>
        </w:rPr>
      </w:pPr>
      <w:r>
        <w:rPr>
          <w:rFonts w:hint="eastAsia" w:ascii="宋体" w:hAnsi="宋体" w:cs="宋体"/>
          <w:b/>
          <w:color w:val="auto"/>
          <w:sz w:val="21"/>
          <w:szCs w:val="21"/>
          <w:highlight w:val="none"/>
          <w:lang w:bidi="ar"/>
        </w:rPr>
        <w:t xml:space="preserve">格式7：</w:t>
      </w:r>
      <w:r>
        <w:rPr>
          <w:rFonts w:hint="eastAsia" w:ascii="宋体" w:hAnsi="宋体" w:cs="宋体"/>
          <w:b/>
          <w:color w:val="auto"/>
          <w:sz w:val="21"/>
          <w:szCs w:val="21"/>
          <w:highlight w:val="none"/>
        </w:rPr>
        <w:t xml:space="preserve">服务条款偏离表</w:t>
      </w:r>
      <w:r/>
    </w:p>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服务条款偏离表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8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351"/>
        <w:gridCol w:w="2370"/>
        <w:gridCol w:w="2631"/>
        <w:gridCol w:w="2052"/>
      </w:tblGrid>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351" w:type="dxa"/>
            <w:vAlign w:val="center"/>
            <w:textDirection w:val="lrTb"/>
            <w:noWrap w:val="false"/>
          </w:tcPr>
          <w:p>
            <w:pPr>
              <w:pStyle w:val="801"/>
              <w:ind w:left="54"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801"/>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801"/>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801"/>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35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35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35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35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35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35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938" w:type="dxa"/>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35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370"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631"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80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ind w:firstLine="422"/>
        <w:jc w:val="both"/>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r>
      <w:r/>
    </w:p>
    <w:p>
      <w:pPr>
        <w:jc w:val="both"/>
        <w:rPr>
          <w:rFonts w:hint="eastAsia" w:ascii="宋体" w:hAnsi="宋体" w:cs="宋体"/>
          <w:b/>
          <w:bCs/>
          <w:color w:val="auto"/>
          <w:spacing w:val="20"/>
          <w:sz w:val="21"/>
          <w:szCs w:val="21"/>
          <w:highlight w:val="none"/>
        </w:rPr>
      </w:pPr>
      <w:r>
        <w:rPr>
          <w:rFonts w:hint="eastAsia" w:ascii="宋体" w:hAnsi="宋体" w:cs="宋体"/>
          <w:b/>
          <w:color w:val="auto"/>
          <w:sz w:val="21"/>
          <w:szCs w:val="21"/>
          <w:highlight w:val="none"/>
          <w:lang w:bidi="ar"/>
        </w:rPr>
        <w:t xml:space="preserve">格式8：</w:t>
      </w:r>
      <w:r>
        <w:rPr>
          <w:rFonts w:hint="eastAsia" w:ascii="宋体" w:hAnsi="宋体" w:cs="宋体"/>
          <w:b/>
          <w:color w:val="auto"/>
          <w:spacing w:val="20"/>
          <w:sz w:val="21"/>
          <w:szCs w:val="21"/>
          <w:highlight w:val="none"/>
        </w:rPr>
        <w:t xml:space="preserve">商务条款偏离表</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hint="eastAsia" w:ascii="宋体" w:hAnsi="宋体" w:cs="宋体"/>
          <w:b/>
          <w:color w:val="auto"/>
          <w:spacing w:val="20"/>
          <w:sz w:val="21"/>
          <w:szCs w:val="21"/>
          <w:highlight w:val="none"/>
        </w:rPr>
      </w:pPr>
      <w:r>
        <w:rPr>
          <w:rFonts w:hint="eastAsia" w:ascii="宋体" w:hAnsi="宋体" w:cs="宋体"/>
          <w:b/>
          <w:color w:val="auto"/>
          <w:spacing w:val="20"/>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招标编号∶</w:t>
      </w:r>
      <w:r/>
    </w:p>
    <w:tbl>
      <w:tblPr>
        <w:tblStyle w:val="800"/>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5"/>
        <w:gridCol w:w="1565"/>
        <w:gridCol w:w="2906"/>
        <w:gridCol w:w="2298"/>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投标报价</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4"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4"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4"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服务地点</w:t>
            </w:r>
            <w:r/>
          </w:p>
        </w:tc>
        <w:tc>
          <w:tcPr>
            <w:tcBorders>
              <w:top w:val="single" w:color="auto" w:sz="4"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4"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人员投入</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pStyle w:val="801"/>
        <w:numPr>
          <w:ilvl w:val="0"/>
          <w:numId w:val="6"/>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技术及商务部分（投标人视各自的情况按评审要求自行编制）</w:t>
      </w:r>
      <w:r/>
    </w:p>
    <w:p>
      <w:pPr>
        <w:ind w:firstLine="422"/>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格式9：相关证书一览表</w:t>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80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47"/>
        <w:gridCol w:w="2377"/>
        <w:gridCol w:w="1800"/>
        <w:gridCol w:w="1765"/>
        <w:gridCol w:w="1823"/>
      </w:tblGrid>
      <w:tr>
        <w:trPr>
          <w:cantSplit/>
          <w:jc w:val="center"/>
          <w:trHeight w:val="740"/>
        </w:trPr>
        <w:tc>
          <w:tcPr>
            <w:tcW w:w="154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2377"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800"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765"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3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65"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823"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hint="eastAsia" w:ascii="宋体" w:hAnsi="宋体" w:cs="宋体"/>
          <w:color w:val="auto"/>
          <w:highlight w:val="none"/>
        </w:rPr>
      </w:pPr>
      <w:r>
        <w:rPr>
          <w:rFonts w:hint="eastAsia" w:ascii="宋体" w:hAnsi="宋体" w:cs="宋体"/>
          <w:color w:val="auto"/>
          <w:highlight w:val="none"/>
        </w:rPr>
      </w:r>
      <w:r/>
    </w:p>
    <w:p>
      <w:pPr>
        <w:pStyle w:val="80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01"/>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格式10：</w:t>
      </w:r>
      <w:r>
        <w:rPr>
          <w:rFonts w:hint="eastAsia" w:ascii="宋体" w:hAnsi="宋体" w:eastAsia="宋体" w:cs="宋体"/>
          <w:b/>
          <w:bCs/>
          <w:color w:val="auto"/>
          <w:sz w:val="21"/>
          <w:szCs w:val="21"/>
          <w:highlight w:val="none"/>
        </w:rPr>
        <w:t xml:space="preserve">相关业绩一览表</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企业类似业绩一览表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80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合同签订时间</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01"/>
        <w:ind w:firstLine="422"/>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格式11：投入本项目技术（服务）人员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spacing w:after="120"/>
        <w:rPr>
          <w:color w:val="auto"/>
          <w:highlight w:val="none"/>
        </w:rPr>
      </w:pPr>
      <w:r>
        <w:rPr>
          <w:color w:val="auto"/>
          <w:highlight w:val="none"/>
        </w:rPr>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相关证书、职称</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ind w:firstLine="492"/>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ind w:firstLine="525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01"/>
        <w:ind w:firstLine="0"/>
        <w:spacing w:line="360" w:lineRule="auto"/>
        <w:rPr>
          <w:color w:val="auto"/>
          <w:highlight w:val="none"/>
          <w:lang w:val="zh-CN"/>
        </w:rPr>
      </w:pPr>
      <w:r>
        <w:rPr>
          <w:rFonts w:hint="eastAsia" w:ascii="宋体" w:hAnsi="宋体" w:eastAsia="宋体" w:cs="宋体"/>
          <w:b/>
          <w:bCs/>
          <w:color w:val="auto"/>
          <w:sz w:val="21"/>
          <w:szCs w:val="21"/>
          <w:highlight w:val="none"/>
        </w:rPr>
        <w:t xml:space="preserve">4、价格折扣文件（如有）</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400" w:lineRule="exact"/>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5、服务方案及其他招标文件要求自行编写格式</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both"/>
        <w:spacing w:line="360" w:lineRule="auto"/>
        <w:rPr>
          <w:rStyle w:val="995"/>
          <w:rFonts w:hint="eastAsia" w:ascii="宋体" w:hAnsi="宋体" w:eastAsia="宋体" w:cs="宋体"/>
          <w:color w:val="auto"/>
          <w:sz w:val="32"/>
          <w:szCs w:val="32"/>
          <w:highlight w:val="none"/>
        </w:rPr>
      </w:pPr>
      <w:r/>
      <w:bookmarkStart w:id="8" w:name="_Toc19345"/>
      <w:r/>
      <w:r/>
    </w:p>
    <w:p>
      <w:pPr>
        <w:jc w:val="center"/>
        <w:spacing w:line="360" w:lineRule="auto"/>
        <w:rPr>
          <w:rStyle w:val="99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9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Style w:val="995"/>
          <w:rFonts w:hint="eastAsia" w:ascii="宋体" w:hAnsi="宋体" w:eastAsia="宋体" w:cs="宋体"/>
          <w:color w:val="auto"/>
          <w:sz w:val="32"/>
          <w:szCs w:val="32"/>
          <w:highlight w:val="none"/>
        </w:rPr>
      </w:pPr>
      <w:r/>
      <w:bookmarkStart w:id="9" w:name="_Hlk200717948"/>
      <w:r>
        <w:rPr>
          <w:rStyle w:val="995"/>
          <w:rFonts w:hint="eastAsia" w:ascii="宋体" w:hAnsi="宋体" w:eastAsia="宋体" w:cs="宋体"/>
          <w:color w:val="auto"/>
          <w:sz w:val="32"/>
          <w:szCs w:val="32"/>
          <w:highlight w:val="none"/>
        </w:rPr>
        <w:t xml:space="preserve">第五章 评标办法及评分标准</w:t>
      </w:r>
      <w:bookmarkEnd w:id="8"/>
      <w:r/>
      <w:r/>
    </w:p>
    <w:p>
      <w:pPr>
        <w:pStyle w:val="1020"/>
        <w:ind w:firstLine="422"/>
        <w:spacing w:line="360" w:lineRule="auto"/>
        <w:rPr>
          <w:rFonts w:hint="eastAsia"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1020"/>
        <w:numPr>
          <w:ilvl w:val="0"/>
          <w:numId w:val="7"/>
        </w:numPr>
        <w:ind w:left="0"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7"/>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7"/>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w:t>
      </w:r>
      <w:r>
        <w:rPr>
          <w:rFonts w:hint="eastAsia" w:ascii="宋体" w:hAnsi="宋体" w:cs="宋体"/>
          <w:color w:val="auto"/>
          <w:sz w:val="21"/>
          <w:szCs w:val="21"/>
          <w:highlight w:val="none"/>
          <w:lang w:val="en-US" w:eastAsia="zh-CN"/>
        </w:rPr>
        <w:t xml:space="preserve">按评标系统内投标单位序号</w:t>
      </w:r>
      <w:r>
        <w:rPr>
          <w:rFonts w:hint="eastAsia" w:ascii="宋体" w:hAnsi="宋体" w:cs="宋体"/>
          <w:color w:val="auto"/>
          <w:sz w:val="21"/>
          <w:szCs w:val="21"/>
          <w:highlight w:val="none"/>
        </w:rPr>
        <w:t xml:space="preserve">以抽签方式确定中标候选人。</w:t>
      </w:r>
      <w:r/>
    </w:p>
    <w:p>
      <w:pPr>
        <w:numPr>
          <w:ilvl w:val="0"/>
          <w:numId w:val="7"/>
        </w:numPr>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 节能产品和环境标志产品</w:t>
      </w:r>
      <w:r/>
    </w:p>
    <w:p>
      <w:pPr>
        <w:ind w:firstLine="420"/>
        <w:spacing w:line="360" w:lineRule="auto"/>
        <w:rPr>
          <w:rFonts w:hint="eastAsia"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 小微企业的价格分评审</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根据财政部《政府采购促进中小企业发展管理办法》（财库﹝2020﹞46号）及苏州市财政局《关于进一步做好政府采购政策贯彻执行工作的通知》（苏财购〔2017〕10号）、太财购[2022]12号）的规定，</w:t>
      </w:r>
      <w:r>
        <w:rPr>
          <w:rFonts w:hint="eastAsia" w:ascii="宋体" w:hAnsi="宋体" w:cs="宋体"/>
          <w:b/>
          <w:bCs/>
          <w:color w:val="auto"/>
          <w:sz w:val="21"/>
          <w:szCs w:val="21"/>
          <w:highlight w:val="none"/>
        </w:rPr>
        <w:t xml:space="preserve">本项目属于专门面向中小微企业采购的项目，</w:t>
      </w:r>
      <w:r>
        <w:rPr>
          <w:rFonts w:ascii="宋体" w:hAnsi="宋体" w:cs="宋体"/>
          <w:b/>
          <w:bCs/>
          <w:color w:val="auto"/>
          <w:sz w:val="21"/>
          <w:highlight w:val="none"/>
        </w:rPr>
        <w:t xml:space="preserve">执行以下相关政策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（1）本项目属于专门面向中小微企业采购的项目，小微企业不享受价格扣除优惠。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（2）中小企业划分标准详见“工信部联企业〔2011〕300号通知”。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（5）提供其他企业制造的货物或服务，须同时提供其他企业的小微企业证明材料（材料同上条）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（6）在货物采购项目中，供应商提供的货物既有小、微企业制造货物，也有中、大型企业制造货物的，不享受本办法规定的小、微企业价格扶持政策。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（8）符合中小企业划分标准的个体工商户，在政府采购活动中视同中小企业。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（9）中标、成交供应商为小微企业单位的，《中小企业声明函》应当随中标、成交结果同时公告，接受社会监督。</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831"/>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4.3. 残疾人福利性单位政策：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831"/>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t xml:space="preserve">4.4. 监狱企业发展政策：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4.5. 信用查询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（2）查询渠道：通过“信用中国”网站、中国政府采购网等渠道查询相关主体信用记录。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firstLine="422"/>
        <w:jc w:val="both"/>
        <w:keepLines/>
        <w:keepNext/>
        <w:spacing w:line="360" w:lineRule="auto"/>
        <w:widowControl w:val="off"/>
        <w:rPr>
          <w:rFonts w:hint="eastAsia" w:ascii="宋体" w:hAnsi="宋体" w:cs="宋体"/>
          <w:b/>
          <w:bCs/>
          <w:color w:val="auto"/>
          <w:sz w:val="21"/>
          <w:szCs w:val="21"/>
          <w:highlight w:val="none"/>
        </w:rPr>
        <w:outlineLvl w:val="1"/>
      </w:pPr>
      <w:r/>
      <w:bookmarkStart w:id="10" w:name="_Toc25799"/>
      <w:r/>
      <w:bookmarkStart w:id="11" w:name="_Toc21736"/>
      <w:r>
        <w:rPr>
          <w:rFonts w:hint="eastAsia" w:ascii="宋体" w:hAnsi="宋体" w:cs="宋体"/>
          <w:b/>
          <w:bCs/>
          <w:color w:val="auto"/>
          <w:sz w:val="21"/>
          <w:szCs w:val="21"/>
          <w:highlight w:val="none"/>
        </w:rPr>
        <w:t xml:space="preserve">（一）投标报价（20分</w:t>
      </w:r>
      <w:bookmarkEnd w:id="10"/>
      <w:r>
        <w:rPr>
          <w:rFonts w:hint="eastAsia" w:ascii="宋体" w:hAnsi="宋体" w:cs="宋体"/>
          <w:b/>
          <w:bCs/>
          <w:color w:val="auto"/>
          <w:sz w:val="21"/>
          <w:szCs w:val="21"/>
          <w:highlight w:val="none"/>
        </w:rPr>
        <w:t xml:space="preserve">）</w:t>
      </w:r>
      <w:bookmarkEnd w:id="11"/>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1、投标报价在招标文件规定的范围内为有效报价，超出此范围的报价为无效报价。无效投标报价的投标文件不进行评审，也不得标。</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2、价格得分计算方法：根据各投标人通过符合性审查的有效投标报价中的最低价作为评标基准价，其价格分为满分。其他投标人的价格分统一按照下列公式计算：</w:t>
      </w:r>
      <w:r/>
    </w:p>
    <w:p>
      <w:pPr>
        <w:ind w:firstLine="420"/>
        <w:jc w:val="both"/>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投标报价得分=（评审基准价/投标报价）×价格权值×100（本次投标报价权值为20%）（保留小数点后两位）。</w:t>
      </w:r>
      <w:r/>
    </w:p>
    <w:p>
      <w:pPr>
        <w:numPr>
          <w:ilvl w:val="0"/>
          <w:numId w:val="8"/>
        </w:numPr>
        <w:ind w:firstLine="422"/>
        <w:jc w:val="both"/>
        <w:keepLines/>
        <w:keepNext/>
        <w:spacing w:line="360" w:lineRule="auto"/>
        <w:widowControl w:val="off"/>
        <w:rPr>
          <w:rFonts w:hint="eastAsia"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详细评分（80分）</w:t>
      </w:r>
      <w:r/>
    </w:p>
    <w:tbl>
      <w:tblPr>
        <w:tblStyle w:val="800"/>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1519"/>
        <w:gridCol w:w="610"/>
        <w:gridCol w:w="7014"/>
      </w:tblGrid>
      <w:tr>
        <w:trPr>
          <w:jc w:val="center"/>
          <w:trHeight w:val="1478"/>
        </w:trPr>
        <w:tc>
          <w:tcPr>
            <w:tcW w:w="621"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519"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现场实施方案</w:t>
            </w:r>
            <w:r/>
          </w:p>
        </w:tc>
        <w:tc>
          <w:tcPr>
            <w:tcW w:w="61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W w:w="7014" w:type="dxa"/>
            <w:textDirection w:val="lrTb"/>
            <w:noWrap w:val="false"/>
          </w:tcPr>
          <w:p>
            <w:pPr>
              <w:numPr>
                <w:ilvl w:val="2"/>
                <w:numId w:val="0"/>
              </w:numPr>
              <w:ind w:firstLine="420"/>
              <w:jc w:val="both"/>
              <w:keepLines/>
              <w:keepNext/>
              <w:spacing w:line="360" w:lineRule="auto"/>
              <w:widowControl w:val="off"/>
              <w:rPr>
                <w:rFonts w:hint="eastAsia" w:ascii="宋体" w:hAnsi="宋体" w:cs="宋体"/>
                <w:color w:val="auto"/>
                <w:sz w:val="21"/>
                <w:szCs w:val="21"/>
                <w:highlight w:val="none"/>
              </w:rPr>
              <w:outlineLvl w:val="2"/>
            </w:pPr>
            <w:r>
              <w:rPr>
                <w:rFonts w:hint="eastAsia" w:ascii="宋体" w:hAnsi="宋体" w:cs="宋体"/>
                <w:color w:val="auto"/>
                <w:sz w:val="21"/>
                <w:szCs w:val="21"/>
                <w:highlight w:val="none"/>
              </w:rPr>
              <w:t xml:space="preserve">方案应包括①</w:t>
            </w:r>
            <w:r>
              <w:rPr>
                <w:rFonts w:hint="eastAsia" w:ascii="宋体" w:hAnsi="宋体" w:cs="宋体"/>
                <w:color w:val="auto"/>
                <w:sz w:val="21"/>
                <w:szCs w:val="21"/>
                <w:highlight w:val="none"/>
              </w:rPr>
              <w:t xml:space="preserve">资料核查</w:t>
            </w:r>
            <w:r>
              <w:rPr>
                <w:rFonts w:hint="eastAsia" w:ascii="宋体" w:hAnsi="宋体" w:cs="宋体"/>
                <w:color w:val="auto"/>
                <w:sz w:val="21"/>
                <w:szCs w:val="21"/>
                <w:highlight w:val="none"/>
              </w:rPr>
              <w:t xml:space="preserve">②</w:t>
            </w:r>
            <w:r>
              <w:rPr>
                <w:rFonts w:hint="eastAsia" w:ascii="宋体" w:hAnsi="宋体" w:cs="宋体"/>
                <w:color w:val="auto"/>
                <w:sz w:val="21"/>
                <w:szCs w:val="21"/>
                <w:highlight w:val="none"/>
              </w:rPr>
              <w:t xml:space="preserve">现场情况调查</w:t>
            </w:r>
            <w:r>
              <w:rPr>
                <w:rFonts w:hint="eastAsia" w:ascii="宋体" w:hAnsi="宋体" w:cs="宋体"/>
                <w:color w:val="auto"/>
                <w:sz w:val="21"/>
                <w:szCs w:val="21"/>
                <w:highlight w:val="none"/>
              </w:rPr>
              <w:t xml:space="preserve">③</w:t>
            </w:r>
            <w:r>
              <w:rPr>
                <w:rFonts w:hint="eastAsia" w:ascii="宋体" w:hAnsi="宋体" w:cs="宋体"/>
                <w:color w:val="auto"/>
                <w:sz w:val="21"/>
                <w:szCs w:val="21"/>
                <w:highlight w:val="none"/>
              </w:rPr>
              <w:t xml:space="preserve">地基基础检查</w:t>
            </w:r>
            <w:r>
              <w:rPr>
                <w:rFonts w:hint="eastAsia" w:ascii="宋体" w:hAnsi="宋体" w:cs="宋体"/>
                <w:color w:val="auto"/>
                <w:sz w:val="21"/>
                <w:szCs w:val="21"/>
                <w:highlight w:val="none"/>
              </w:rPr>
              <w:t xml:space="preserve">④</w:t>
            </w:r>
            <w:r>
              <w:rPr>
                <w:rFonts w:hint="eastAsia" w:ascii="宋体" w:hAnsi="宋体" w:cs="宋体"/>
                <w:color w:val="auto"/>
                <w:sz w:val="21"/>
                <w:szCs w:val="21"/>
                <w:highlight w:val="none"/>
              </w:rPr>
              <w:t xml:space="preserve">上部结构构件参数检测⑤建筑物整体倾斜检测⑥安全性分析及评定。</w:t>
            </w:r>
            <w:r>
              <w:rPr>
                <w:rFonts w:hint="eastAsia" w:ascii="宋体" w:hAnsi="宋体" w:cs="宋体"/>
                <w:color w:val="auto"/>
                <w:sz w:val="21"/>
                <w:szCs w:val="21"/>
                <w:highlight w:val="none"/>
              </w:rPr>
              <w:t xml:space="preserve">方案内容完全针对本项目且符合本项目实际需求的得30分，每缺少一项内容或内容非专门针对本项目或内容不能满足本项目实际需求的，每一项扣</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tc>
      </w:tr>
      <w:tr>
        <w:trPr>
          <w:jc w:val="center"/>
          <w:trHeight w:val="898"/>
        </w:trPr>
        <w:tc>
          <w:tcPr>
            <w:tcW w:w="621"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519"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项目保障方案</w:t>
            </w:r>
            <w:r/>
          </w:p>
        </w:tc>
        <w:tc>
          <w:tcPr>
            <w:tcW w:w="61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7014" w:type="dxa"/>
            <w:textDirection w:val="lrTb"/>
            <w:noWrap w:val="false"/>
          </w:tcPr>
          <w:p>
            <w:pPr>
              <w:numPr>
                <w:ilvl w:val="2"/>
                <w:numId w:val="0"/>
              </w:numPr>
              <w:jc w:val="both"/>
              <w:keepLines/>
              <w:keepNext/>
              <w:spacing w:line="360" w:lineRule="auto"/>
              <w:widowControl w:val="off"/>
              <w:rPr>
                <w:rFonts w:hint="eastAsia" w:ascii="宋体" w:hAnsi="宋体" w:cs="宋体"/>
                <w:color w:val="auto"/>
                <w:sz w:val="21"/>
                <w:szCs w:val="21"/>
                <w:highlight w:val="none"/>
              </w:rPr>
              <w:outlineLvl w:val="2"/>
            </w:pPr>
            <w:r>
              <w:rPr>
                <w:rFonts w:hint="eastAsia" w:ascii="宋体" w:hAnsi="宋体" w:cs="宋体"/>
                <w:color w:val="auto"/>
                <w:sz w:val="21"/>
                <w:szCs w:val="21"/>
                <w:highlight w:val="none"/>
              </w:rPr>
              <w:t xml:space="preserve">方案应包括①</w:t>
            </w:r>
            <w:r>
              <w:rPr>
                <w:rFonts w:hint="eastAsia" w:ascii="宋体" w:hAnsi="宋体" w:cs="宋体"/>
                <w:color w:val="auto"/>
                <w:sz w:val="21"/>
                <w:szCs w:val="21"/>
                <w:highlight w:val="none"/>
              </w:rPr>
              <w:t xml:space="preserve">质量保证方案</w:t>
            </w:r>
            <w:r>
              <w:rPr>
                <w:rFonts w:hint="eastAsia" w:ascii="宋体" w:hAnsi="宋体" w:cs="宋体"/>
                <w:color w:val="auto"/>
                <w:sz w:val="21"/>
                <w:szCs w:val="21"/>
                <w:highlight w:val="none"/>
              </w:rPr>
              <w:t xml:space="preserve">②安全保障措施方案。方案内容完全针对本项目且符合本项目实际需求的得10分，每缺少一项内容或内容非专门针对本项目或内容不能满足本项目实际需求的，每一项扣5分。</w:t>
            </w:r>
            <w:r/>
          </w:p>
        </w:tc>
      </w:tr>
      <w:tr>
        <w:trPr>
          <w:jc w:val="center"/>
          <w:trHeight w:val="633"/>
        </w:trPr>
        <w:tc>
          <w:tcPr>
            <w:tcW w:w="621"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519" w:type="dxa"/>
            <w:vAlign w:val="center"/>
            <w:vMerge w:val="restart"/>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拟投入人员</w:t>
            </w:r>
            <w:r/>
          </w:p>
        </w:tc>
        <w:tc>
          <w:tcPr>
            <w:tcW w:w="61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W w:w="7014"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负责人：拟投入本项目项目负责人具有一级注册结构工程师证书的得5分，具有二级注册结构工程师证书的得3分；具有工程类高级工程师职称的得5分。本项最高10分，需在投标文件中提供项目负责人相关证书及投标单位为该人员缴纳的社保证明扫描件。</w:t>
            </w:r>
            <w:r/>
          </w:p>
        </w:tc>
      </w:tr>
      <w:tr>
        <w:trPr>
          <w:jc w:val="center"/>
          <w:trHeight w:val="660"/>
        </w:trPr>
        <w:tc>
          <w:tcPr>
            <w:tcW w:w="62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51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1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7014"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技术负责人：拟投入本项目机构技术负责人（以资质证书副本信息为准）具有工程类高级工程师职称的得6分，本项最高6分。（需在投标文件中提供相关证书及投标单位为该人员缴纳的社保证明扫描件）</w:t>
            </w:r>
            <w:r/>
          </w:p>
        </w:tc>
      </w:tr>
      <w:tr>
        <w:trPr>
          <w:jc w:val="center"/>
          <w:trHeight w:val="307"/>
        </w:trPr>
        <w:tc>
          <w:tcPr>
            <w:tcW w:w="62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519"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61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W w:w="7014" w:type="dxa"/>
            <w:vAlign w:val="center"/>
            <w:textDirection w:val="lrTb"/>
            <w:noWrap w:val="false"/>
          </w:tcPr>
          <w:p>
            <w:pPr>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主要检测人员（不含项目负责人、技术负责人）：</w:t>
            </w:r>
            <w:r/>
          </w:p>
          <w:p>
            <w:pPr>
              <w:numPr>
                <w:ilvl w:val="0"/>
                <w:numId w:val="9"/>
              </w:numPr>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拟投入本项目主要检测人员中具有一级注册结构工程师证书的，有一个得2分，最高8分；</w:t>
            </w:r>
            <w:r/>
          </w:p>
          <w:p>
            <w:pPr>
              <w:numPr>
                <w:ilvl w:val="0"/>
                <w:numId w:val="9"/>
              </w:numPr>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拟投入本项目主要检测人员中具有工程类高级工程师职称的，有一个得2分，具有工程类中级工程师职称的有一个得1分，最高8分。</w:t>
            </w:r>
            <w:r/>
          </w:p>
          <w:p>
            <w:pPr>
              <w:numPr>
                <w:ilvl w:val="0"/>
                <w:numId w:val="0"/>
              </w:numPr>
              <w:spacing w:line="360" w:lineRule="auto"/>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rPr>
              <w:t xml:space="preserve">（需在投标文件中提供相关证书</w:t>
            </w:r>
            <w:r>
              <w:rPr>
                <w:rFonts w:hint="eastAsia" w:ascii="宋体" w:hAnsi="宋体" w:cs="宋体"/>
                <w:b w:val="0"/>
                <w:bCs w:val="0"/>
                <w:color w:val="auto"/>
                <w:sz w:val="21"/>
                <w:szCs w:val="21"/>
                <w:highlight w:val="none"/>
                <w:lang w:val="en-US" w:eastAsia="zh-CN"/>
              </w:rPr>
              <w:t xml:space="preserve">扫描件</w:t>
            </w:r>
            <w:r>
              <w:rPr>
                <w:rFonts w:hint="eastAsia" w:ascii="宋体" w:hAnsi="宋体" w:cs="宋体"/>
                <w:b w:val="0"/>
                <w:bCs w:val="0"/>
                <w:color w:val="auto"/>
                <w:sz w:val="21"/>
                <w:szCs w:val="21"/>
                <w:highlight w:val="none"/>
              </w:rPr>
              <w:t xml:space="preserve">及投标单位为该人员缴纳的社保证</w:t>
            </w:r>
            <w:r>
              <w:rPr>
                <w:rFonts w:hint="eastAsia" w:ascii="宋体" w:hAnsi="宋体" w:cs="宋体"/>
                <w:color w:val="auto"/>
                <w:sz w:val="21"/>
                <w:szCs w:val="21"/>
                <w:highlight w:val="none"/>
              </w:rPr>
              <w:t xml:space="preserve">明）</w:t>
            </w:r>
            <w:r/>
          </w:p>
        </w:tc>
      </w:tr>
      <w:tr>
        <w:trPr>
          <w:jc w:val="center"/>
          <w:trHeight w:val="835"/>
        </w:trPr>
        <w:tc>
          <w:tcPr>
            <w:tcW w:w="62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151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业绩</w:t>
            </w:r>
            <w:r/>
          </w:p>
        </w:tc>
        <w:tc>
          <w:tcPr>
            <w:tcW w:w="61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7014" w:type="dxa"/>
            <w:vAlign w:val="center"/>
            <w:textDirection w:val="lrTb"/>
            <w:noWrap w:val="false"/>
          </w:tcPr>
          <w:p>
            <w:pP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单位2021年1月至今（以合同签订日期为准）具有类似安全鉴定项目业绩的，每提供一份得2分，本项最高得8分。（响应文件中需提供项目合同扫描件，扫描件须清晰可辨，未提供或模糊不清无法辨认的不得分）</w:t>
            </w:r>
            <w:bookmarkEnd w:id="9"/>
            <w:r/>
            <w:r/>
          </w:p>
        </w:tc>
      </w:tr>
    </w:tbl>
    <w:p>
      <w:pPr>
        <w:pStyle w:val="1020"/>
        <w:ind w:firstLine="422"/>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95"/>
          <w:rFonts w:hint="eastAsia" w:ascii="宋体" w:hAnsi="宋体" w:eastAsia="宋体" w:cs="宋体"/>
          <w:color w:val="auto"/>
          <w:sz w:val="32"/>
          <w:szCs w:val="32"/>
          <w:highlight w:val="none"/>
        </w:rPr>
      </w:pPr>
      <w:r>
        <w:rPr>
          <w:rStyle w:val="995"/>
          <w:rFonts w:hint="eastAsia" w:ascii="宋体" w:hAnsi="宋体" w:eastAsia="宋体" w:cs="宋体"/>
          <w:color w:val="auto"/>
          <w:sz w:val="32"/>
          <w:szCs w:val="32"/>
          <w:highlight w:val="none"/>
        </w:rPr>
        <w:br w:type="page" w:clear="all"/>
      </w:r>
      <w:bookmarkStart w:id="12" w:name="_Toc31315"/>
      <w:r>
        <w:rPr>
          <w:rStyle w:val="995"/>
          <w:rFonts w:hint="eastAsia" w:ascii="宋体" w:hAnsi="宋体" w:eastAsia="宋体" w:cs="宋体"/>
          <w:color w:val="auto"/>
          <w:sz w:val="32"/>
          <w:szCs w:val="32"/>
          <w:highlight w:val="none"/>
        </w:rPr>
        <w:t xml:space="preserve">第六章 合同格式</w:t>
      </w:r>
      <w:bookmarkEnd w:id="12"/>
      <w:r/>
      <w:r/>
    </w:p>
    <w:p>
      <w:pPr>
        <w:spacing w:line="440" w:lineRule="exact"/>
        <w:rPr>
          <w:rFonts w:hint="eastAsia" w:ascii="宋体" w:hAnsi="宋体" w:cs="宋体"/>
          <w:color w:val="auto"/>
          <w:highlight w:val="none"/>
        </w:rPr>
      </w:pPr>
      <w:r/>
      <w:bookmarkStart w:id="13" w:name="_Toc479449569"/>
      <w:r/>
      <w:bookmarkEnd w:id="13"/>
      <w:r/>
      <w:bookmarkStart w:id="14" w:name="_Toc479449483"/>
      <w:r/>
      <w:bookmarkEnd w:id="14"/>
      <w:r/>
      <w:bookmarkStart w:id="15" w:name="_Toc480191160"/>
      <w:r/>
      <w:bookmarkEnd w:id="15"/>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hint="eastAsia" w:ascii="宋体" w:hAnsi="宋体"/>
          <w:color w:val="auto"/>
          <w:sz w:val="28"/>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hint="eastAsia"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hint="eastAsia"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4340" w:hanging="2696"/>
        <w:jc w:val="center"/>
        <w:spacing w:line="700" w:lineRule="exact"/>
        <w:rPr>
          <w:rFonts w:hint="eastAsia" w:ascii="宋体" w:hAnsi="宋体"/>
          <w:color w:val="auto"/>
          <w:szCs w:val="22"/>
          <w:highlight w:val="none"/>
        </w:rPr>
      </w:pPr>
      <w:r>
        <w:rPr>
          <w:rFonts w:hint="eastAsia" w:ascii="宋体" w:hAnsi="宋体"/>
          <w:color w:val="auto"/>
          <w:szCs w:val="22"/>
          <w:highlight w:val="none"/>
        </w:rPr>
      </w:r>
      <w:r/>
    </w:p>
    <w:p>
      <w:pPr>
        <w:ind w:left="1440"/>
        <w:jc w:val="both"/>
        <w:spacing w:line="7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hint="eastAsia" w:ascii="宋体" w:hAnsi="宋体"/>
          <w:color w:val="auto"/>
          <w:szCs w:val="22"/>
          <w:highlight w:val="none"/>
        </w:rPr>
      </w:pPr>
      <w:r>
        <w:rPr>
          <w:rFonts w:hint="eastAsia" w:ascii="宋体" w:hAnsi="宋体"/>
          <w:color w:val="auto"/>
          <w:szCs w:val="22"/>
          <w:highlight w:val="none"/>
        </w:rPr>
      </w:r>
      <w:r/>
    </w:p>
    <w:p>
      <w:pPr>
        <w:ind w:firstLine="480"/>
        <w:rPr>
          <w:rFonts w:hint="eastAsia" w:ascii="宋体" w:hAnsi="宋体"/>
          <w:color w:val="auto"/>
          <w:szCs w:val="22"/>
          <w:highlight w:val="none"/>
          <w:u w:val="single"/>
        </w:rPr>
      </w:pPr>
      <w:r>
        <w:rPr>
          <w:rFonts w:hint="eastAsia" w:ascii="宋体" w:hAnsi="宋体"/>
          <w:color w:val="auto"/>
          <w:szCs w:val="22"/>
          <w:highlight w:val="none"/>
          <w:u w:val="single"/>
        </w:rPr>
      </w:r>
      <w:r/>
    </w:p>
    <w:p>
      <w:pPr>
        <w:pStyle w:val="1012"/>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项目名称：</w:t>
      </w:r>
      <w:r>
        <w:rPr>
          <w:rFonts w:hint="eastAsia" w:cs="宋体"/>
          <w:color w:val="auto"/>
          <w:sz w:val="21"/>
          <w:szCs w:val="21"/>
          <w:highlight w:val="none"/>
        </w:rPr>
        <w:t xml:space="preserve">西校区房屋安全鉴定服务</w:t>
      </w:r>
      <w:r/>
    </w:p>
    <w:tbl>
      <w:tblPr>
        <w:tblStyle w:val="80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30"/>
        <w:gridCol w:w="4924"/>
      </w:tblGrid>
      <w:tr>
        <w:trPr/>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甲方（买方）：</w:t>
            </w:r>
            <w:r>
              <w:rPr>
                <w:rFonts w:hint="eastAsia" w:cs="宋体"/>
                <w:bCs/>
                <w:color w:val="auto"/>
                <w:sz w:val="21"/>
                <w:szCs w:val="21"/>
                <w:highlight w:val="none"/>
              </w:rPr>
              <w:t xml:space="preserve">苏州健雄职业技术学院</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乙方（卖方）：</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签订时间：</w:t>
            </w:r>
            <w:r/>
          </w:p>
        </w:tc>
        <w:tc>
          <w:tcPr>
            <w:tcW w:w="5040" w:type="dxa"/>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签订地点：</w:t>
            </w:r>
            <w:r/>
          </w:p>
        </w:tc>
      </w:tr>
    </w:tbl>
    <w:p>
      <w:pPr>
        <w:ind w:firstLine="48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rPr>
        <w:t xml:space="preserve">苏州泰至鑫项目管理有限公司</w:t>
      </w:r>
      <w:r>
        <w:rPr>
          <w:rFonts w:hint="eastAsia" w:ascii="宋体" w:hAnsi="宋体" w:cs="宋体"/>
          <w:color w:val="auto"/>
          <w:sz w:val="21"/>
          <w:szCs w:val="21"/>
          <w:highlight w:val="none"/>
        </w:rPr>
        <w:t xml:space="preserve">采购编号</w:t>
      </w:r>
      <w:r>
        <w:rPr>
          <w:rFonts w:hint="eastAsia" w:cs="宋体"/>
          <w:color w:val="auto"/>
          <w:sz w:val="21"/>
          <w:szCs w:val="21"/>
          <w:highlight w:val="none"/>
          <w:u w:val="single"/>
          <w:lang w:eastAsia="zh-CN"/>
        </w:rPr>
        <w:t xml:space="preserve">JSZC-320585-SZTZ-G2025-0017</w:t>
      </w:r>
      <w:r>
        <w:rPr>
          <w:rFonts w:hint="eastAsia" w:ascii="宋体" w:hAnsi="宋体" w:cs="宋体"/>
          <w:color w:val="auto"/>
          <w:sz w:val="21"/>
          <w:szCs w:val="21"/>
          <w:highlight w:val="none"/>
        </w:rPr>
        <w:t xml:space="preserve">号政府采购文件及中标单位的投标文件和中标通知书，甲乙双方就甲方聘用乙方从事</w:t>
      </w:r>
      <w:r>
        <w:rPr>
          <w:rFonts w:hint="eastAsia" w:ascii="宋体" w:hAnsi="宋体" w:cs="宋体"/>
          <w:color w:val="auto"/>
          <w:sz w:val="21"/>
          <w:szCs w:val="21"/>
          <w:highlight w:val="none"/>
          <w:u w:val="single"/>
        </w:rPr>
        <w:t xml:space="preserve"> 西校区房屋安全鉴定服务</w:t>
      </w:r>
      <w:r>
        <w:rPr>
          <w:rFonts w:hint="eastAsia" w:ascii="宋体" w:hAnsi="宋体" w:cs="宋体"/>
          <w:color w:val="auto"/>
          <w:sz w:val="21"/>
          <w:szCs w:val="21"/>
          <w:highlight w:val="none"/>
        </w:rPr>
        <w:t xml:space="preserve">，签订本合同书。</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第一条  技术服务内容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1、主要工作内容</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（附报价清单）</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注：具体工作量如有变更，则按实际工作量按实结算。</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2、人员配置</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乙方为本项目组建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人项目组，项目负责人为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；技术负责人为：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。乙方须保证项目组成员的稳定，若要更换成员，必须经得甲方同意，更换的人员也须满足采购要求。若未经得甲方同意擅自更换成员，则视为违约。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3、服务要求：详见采购文件</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二、下列文件为本合同不可分割部分：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成交通知书；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乙方的投标文件；</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 乙方在投标过程中所作的其它承诺、声明、书面澄清等；</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招标文件及其附件；</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 合同附件；</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以上与本合同具有同等法律效力。</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b/>
          <w:bCs/>
          <w:color w:val="auto"/>
          <w:sz w:val="21"/>
          <w:highlight w:val="none"/>
        </w:rPr>
        <w:t xml:space="preserve">三、按下列要求完成技术服务工作</w:t>
      </w:r>
      <w:r>
        <w:rPr>
          <w:rFonts w:hint="eastAsia" w:ascii="宋体" w:hAnsi="宋体" w:cs="宋体"/>
          <w:color w:val="auto"/>
          <w:sz w:val="21"/>
          <w:szCs w:val="21"/>
          <w:highlight w:val="none"/>
        </w:rPr>
        <w:t xml:space="preserve"> </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1、服务地点：苏州健雄职业技术学院</w:t>
      </w:r>
      <w:r/>
    </w:p>
    <w:p>
      <w:pPr>
        <w:ind w:firstLine="420"/>
        <w:jc w:val="both"/>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2、技术服务期限：</w:t>
      </w:r>
      <w:r>
        <w:rPr>
          <w:rFonts w:hint="eastAsia" w:ascii="宋体" w:hAnsi="宋体" w:cs="宋体"/>
          <w:color w:val="auto"/>
          <w:sz w:val="21"/>
          <w:szCs w:val="21"/>
          <w:highlight w:val="none"/>
          <w:lang w:eastAsia="zh-CN" w:bidi="ar"/>
        </w:rPr>
        <w:t xml:space="preserve">自合同签订后30个工作日内完成所有检测工作，安全性鉴定报告上传苏州市房屋安全鉴定管理信息系统，审核通过后出具安全性鉴定报告</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3、技术服务进度：服务期内保持服务。</w:t>
      </w:r>
      <w:r/>
    </w:p>
    <w:p>
      <w:pPr>
        <w:jc w:val="both"/>
        <w:spacing w:line="360" w:lineRule="auto"/>
        <w:widowControl w:val="off"/>
        <w:rPr>
          <w:rFonts w:hint="eastAsia" w:ascii="宋体" w:hAnsi="宋体"/>
          <w:b/>
          <w:bCs/>
          <w:color w:val="auto"/>
          <w:sz w:val="21"/>
          <w:highlight w:val="none"/>
        </w:rPr>
      </w:pPr>
      <w:r>
        <w:rPr>
          <w:rFonts w:hint="eastAsia" w:ascii="宋体" w:hAnsi="宋体" w:cs="宋体"/>
          <w:color w:val="auto"/>
          <w:sz w:val="21"/>
          <w:szCs w:val="21"/>
          <w:highlight w:val="none"/>
        </w:rPr>
        <w:t xml:space="preserve">    </w:t>
      </w:r>
      <w:r>
        <w:rPr>
          <w:rFonts w:hint="eastAsia" w:ascii="宋体" w:hAnsi="宋体"/>
          <w:b/>
          <w:bCs/>
          <w:color w:val="auto"/>
          <w:sz w:val="21"/>
          <w:highlight w:val="none"/>
        </w:rPr>
        <w:t xml:space="preserve">四、价款、报酬及其支付方式：</w:t>
      </w:r>
      <w:r/>
    </w:p>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1、</w:t>
      </w:r>
      <w:r>
        <w:rPr>
          <w:rFonts w:hint="eastAsia" w:ascii="宋体" w:hAnsi="宋体"/>
          <w:color w:val="auto"/>
          <w:sz w:val="21"/>
          <w:highlight w:val="none"/>
          <w:lang w:eastAsia="zh-Hans"/>
        </w:rPr>
        <w:t xml:space="preserve">本合同</w:t>
      </w:r>
      <w:r>
        <w:rPr>
          <w:rFonts w:hint="eastAsia" w:ascii="宋体" w:hAnsi="宋体"/>
          <w:color w:val="auto"/>
          <w:sz w:val="21"/>
          <w:highlight w:val="none"/>
        </w:rPr>
        <w:t xml:space="preserve">总</w:t>
      </w:r>
      <w:r>
        <w:rPr>
          <w:rFonts w:hint="eastAsia" w:ascii="宋体" w:hAnsi="宋体"/>
          <w:color w:val="auto"/>
          <w:sz w:val="21"/>
          <w:highlight w:val="none"/>
          <w:lang w:eastAsia="zh-Hans"/>
        </w:rPr>
        <w:t xml:space="preserve">金额为</w:t>
      </w:r>
      <w:r>
        <w:rPr>
          <w:rFonts w:ascii="宋体" w:hAnsi="宋体"/>
          <w:color w:val="auto"/>
          <w:sz w:val="21"/>
          <w:highlight w:val="none"/>
          <w:u w:val="single"/>
          <w:lang w:eastAsia="zh-Hans"/>
        </w:rPr>
        <w:t xml:space="preserve"> </w:t>
      </w:r>
      <w:r>
        <w:rPr>
          <w:rFonts w:hint="eastAsia" w:ascii="宋体" w:hAnsi="宋体"/>
          <w:color w:val="auto"/>
          <w:sz w:val="21"/>
          <w:highlight w:val="none"/>
          <w:u w:val="single"/>
        </w:rPr>
        <w:t xml:space="preserve">    （大写：    ）</w:t>
      </w:r>
      <w:r>
        <w:rPr>
          <w:rFonts w:ascii="宋体" w:hAnsi="宋体"/>
          <w:color w:val="auto"/>
          <w:sz w:val="21"/>
          <w:highlight w:val="none"/>
          <w:u w:val="single"/>
          <w:lang w:eastAsia="zh-Hans"/>
        </w:rPr>
        <w:t xml:space="preserve"> </w:t>
      </w:r>
      <w:r>
        <w:rPr>
          <w:rFonts w:hint="eastAsia" w:ascii="宋体" w:hAnsi="宋体"/>
          <w:color w:val="auto"/>
          <w:sz w:val="21"/>
          <w:highlight w:val="none"/>
          <w:lang w:eastAsia="zh-Hans"/>
        </w:rPr>
        <w:t xml:space="preserve">元</w:t>
      </w:r>
      <w:r>
        <w:rPr>
          <w:rFonts w:hint="eastAsia" w:ascii="宋体" w:hAnsi="宋体"/>
          <w:color w:val="auto"/>
          <w:sz w:val="21"/>
          <w:highlight w:val="none"/>
        </w:rPr>
        <w:t xml:space="preserve">整 ，</w:t>
      </w:r>
      <w:r>
        <w:rPr>
          <w:rFonts w:hint="eastAsia" w:ascii="宋体" w:hAnsi="宋体" w:cs="宋体"/>
          <w:color w:val="auto"/>
          <w:sz w:val="21"/>
          <w:highlight w:val="none"/>
          <w:u w:val="single"/>
        </w:rPr>
        <w:t xml:space="preserve">￥        </w:t>
      </w:r>
      <w:r>
        <w:rPr>
          <w:rFonts w:hint="eastAsia" w:ascii="宋体" w:hAnsi="宋体" w:cs="宋体"/>
          <w:color w:val="auto"/>
          <w:sz w:val="21"/>
          <w:highlight w:val="none"/>
        </w:rPr>
        <w:t xml:space="preserve"> 。本合同单价为</w:t>
      </w:r>
      <w:r>
        <w:rPr>
          <w:rFonts w:hint="eastAsia" w:ascii="宋体" w:hAnsi="宋体" w:cs="宋体"/>
          <w:color w:val="auto"/>
          <w:sz w:val="21"/>
          <w:highlight w:val="none"/>
          <w:u w:val="single"/>
        </w:rPr>
        <w:t xml:space="preserve">     </w:t>
      </w:r>
      <w:r>
        <w:rPr>
          <w:rFonts w:hint="eastAsia" w:ascii="宋体" w:hAnsi="宋体" w:cs="宋体"/>
          <w:color w:val="auto"/>
          <w:sz w:val="21"/>
          <w:highlight w:val="none"/>
        </w:rPr>
        <w:t xml:space="preserve">元/平方，最终结算金额按实际完成工作量，按实结算，结算金额超过合同金额的按合同金额结算。</w:t>
      </w:r>
      <w:r/>
    </w:p>
    <w:p>
      <w:pPr>
        <w:ind w:firstLine="420"/>
        <w:spacing w:line="360" w:lineRule="auto"/>
        <w:widowControl w:val="off"/>
        <w:rPr>
          <w:rFonts w:hint="eastAsia" w:ascii="宋体" w:hAnsi="宋体" w:cs="宋体"/>
          <w:bCs/>
          <w:color w:val="auto"/>
          <w:sz w:val="21"/>
          <w:szCs w:val="21"/>
          <w:highlight w:val="none"/>
        </w:rPr>
      </w:pPr>
      <w:r>
        <w:rPr>
          <w:rFonts w:hint="eastAsia" w:ascii="宋体" w:hAnsi="宋体"/>
          <w:color w:val="auto"/>
          <w:sz w:val="21"/>
          <w:highlight w:val="none"/>
        </w:rPr>
        <w:t xml:space="preserve">以上价格</w:t>
      </w:r>
      <w:r>
        <w:rPr>
          <w:rFonts w:hint="eastAsia" w:ascii="宋体" w:hAnsi="宋体" w:cs="宋体"/>
          <w:bCs/>
          <w:color w:val="auto"/>
          <w:sz w:val="21"/>
          <w:szCs w:val="21"/>
          <w:highlight w:val="none"/>
        </w:rPr>
        <w:t xml:space="preserve">包括完成该项工作所需全部服务和货物的检验检测、鉴定费、知识产权、耗材、交通、通讯、设备、工具、各种税费、人工、保险、劳保、修补、维护、利润、税金、社保、政策性文件规定及合同包含的所有风险、责任等各项应有费用。乙方已将所有在合同实施期间因市场变化因素而变动进行调整的情况包含在内，甲方不再为此承担任何费用和责任，除非因特殊原因并经双方协商同意，乙方不得再要求追加任何费用。同时，除非合同条款中另有规定，否则，本合同价格实施期间不因市场变化因素而变动。</w:t>
      </w:r>
      <w:r/>
    </w:p>
    <w:p>
      <w:pPr>
        <w:ind w:firstLine="420"/>
        <w:jc w:val="both"/>
        <w:spacing w:line="360" w:lineRule="auto"/>
        <w:widowControl w:val="off"/>
        <w:rPr>
          <w:rFonts w:hint="eastAsia" w:ascii="Calibri"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highlight w:val="none"/>
        </w:rPr>
        <w:t xml:space="preserve">付款方式：</w:t>
      </w:r>
      <w:r>
        <w:rPr>
          <w:rFonts w:hint="eastAsia" w:ascii="宋体" w:hAnsi="宋体" w:cs="宋体"/>
          <w:color w:val="auto"/>
          <w:sz w:val="21"/>
          <w:szCs w:val="21"/>
          <w:highlight w:val="none"/>
        </w:rPr>
        <w:t xml:space="preserve">待整个项目完成并经</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或相关单位验收合格后，</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向</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提供下列(A、B）单据后一次性付清。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A、合格的发票；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B、由供需双方签章的《政府采购履约验收书》。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5、付款方式：银行转账。</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五、双方责任：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1、甲方责任：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（1）甲方指派人员对乙方开展安全检测服务进行全过程配合。</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（2）甲方对乙方派出的服务人员加强管理，对服务不到位或工作不负责任者，有权要求乙方调换人员。</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（1）乙方针对甲方委托要求，组成专项检查组，明确一名负责人加强服务管理，并配备相应的检查工具、联络通讯器材等硬件设施。</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（2）乙方对甲方委托的检测服务，及时发现安全隐患和管理缺陷，汇总专项检查情况，出具鉴定报告。</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（3）乙方根据项目情况开展检测服务，选派专业对口的技术骨干人员或专家实施本项目。</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（4）乙方加强对派出服务人员培训与考核管理，征询甲方对乙方提供服务的意见，加强沟通与联系，保持信息畅通。对不能胜任或反映意见大的人员进行更换。</w:t>
      </w:r>
      <w:r/>
    </w:p>
    <w:p>
      <w:pPr>
        <w:ind w:firstLine="420"/>
        <w:jc w:val="both"/>
        <w:spacing w:line="360" w:lineRule="auto"/>
        <w:widowControl w:val="off"/>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（5）乙方加强对派出的人员安全风险管控，承担检查人员的一切安全风险。</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highlight w:val="none"/>
        </w:rPr>
        <w:t xml:space="preserve">六、</w:t>
      </w:r>
      <w:r>
        <w:rPr>
          <w:rFonts w:hint="eastAsia" w:ascii="宋体" w:hAnsi="宋体" w:cs="宋体"/>
          <w:b/>
          <w:bCs/>
          <w:color w:val="auto"/>
          <w:sz w:val="21"/>
          <w:szCs w:val="21"/>
          <w:highlight w:val="none"/>
        </w:rPr>
        <w:t xml:space="preserve">税费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中国政府根据现行税法规定对乙方征收的、与本合同有关的一切税费，均由乙方负担。</w:t>
      </w:r>
      <w:r/>
    </w:p>
    <w:p>
      <w:pPr>
        <w:ind w:firstLine="422"/>
        <w:jc w:val="both"/>
        <w:spacing w:line="360" w:lineRule="auto"/>
        <w:widowControl w:val="off"/>
        <w:rPr>
          <w:rFonts w:hint="eastAsia" w:ascii="宋体" w:hAnsi="宋体" w:cs="宋体"/>
          <w:color w:val="auto"/>
          <w:sz w:val="21"/>
          <w:highlight w:val="none"/>
        </w:rPr>
      </w:pPr>
      <w:r>
        <w:rPr>
          <w:rFonts w:hint="eastAsia" w:ascii="宋体" w:hAnsi="宋体" w:cs="宋体"/>
          <w:b/>
          <w:bCs/>
          <w:color w:val="auto"/>
          <w:sz w:val="21"/>
          <w:highlight w:val="none"/>
        </w:rPr>
        <w:t xml:space="preserve">七、质量要求及验收</w:t>
      </w:r>
      <w:r/>
    </w:p>
    <w:p>
      <w:pPr>
        <w:ind w:firstLine="420"/>
        <w:jc w:val="both"/>
        <w:spacing w:line="360" w:lineRule="auto"/>
        <w:widowControl w:val="off"/>
        <w:rPr>
          <w:rFonts w:hint="eastAsia" w:ascii="宋体" w:hAnsi="宋体" w:cs="宋体"/>
          <w:color w:val="auto"/>
          <w:sz w:val="21"/>
          <w:highlight w:val="none"/>
        </w:rPr>
      </w:pPr>
      <w:r>
        <w:rPr>
          <w:rFonts w:hint="eastAsia" w:ascii="宋体" w:hAnsi="宋体" w:cs="宋体"/>
          <w:color w:val="auto"/>
          <w:sz w:val="21"/>
          <w:highlight w:val="none"/>
        </w:rPr>
        <w:t xml:space="preserve">1、质量要求：各项成果应严格按照招标文件、行业规范、技术标准执行，确保满足相关要求。</w:t>
      </w:r>
      <w:r/>
    </w:p>
    <w:p>
      <w:pPr>
        <w:ind w:firstLine="420"/>
        <w:jc w:val="both"/>
        <w:spacing w:line="360" w:lineRule="auto"/>
        <w:rPr>
          <w:rFonts w:hint="eastAsia" w:ascii="宋体" w:hAnsi="宋体" w:cs="宋体"/>
          <w:bCs/>
          <w:color w:val="auto"/>
          <w:sz w:val="21"/>
          <w:szCs w:val="21"/>
          <w:highlight w:val="none"/>
        </w:rPr>
      </w:pPr>
      <w:r>
        <w:rPr>
          <w:rFonts w:hint="eastAsia" w:ascii="宋体" w:hAnsi="宋体" w:cs="宋体"/>
          <w:color w:val="auto"/>
          <w:sz w:val="21"/>
          <w:highlight w:val="none"/>
        </w:rPr>
        <w:t xml:space="preserve">2、验收：</w:t>
      </w:r>
      <w:r/>
    </w:p>
    <w:p>
      <w:pPr>
        <w:ind w:firstLine="420"/>
        <w:jc w:val="both"/>
        <w:spacing w:line="360" w:lineRule="auto"/>
        <w:rPr>
          <w:rFonts w:hint="eastAsia" w:ascii="宋体" w:hAnsi="宋体" w:cs="宋体"/>
          <w:color w:val="auto"/>
          <w:sz w:val="21"/>
          <w:highlight w:val="none"/>
        </w:rPr>
      </w:pPr>
      <w:r>
        <w:rPr>
          <w:rFonts w:hint="eastAsia" w:ascii="宋体" w:hAnsi="宋体" w:cs="宋体"/>
          <w:color w:val="auto"/>
          <w:sz w:val="21"/>
          <w:highlight w:val="none"/>
        </w:rPr>
        <w:t xml:space="preserve">（1）验收标准：根据采购文件要求及相关法律、法规进行验收通过。</w:t>
      </w:r>
      <w:r/>
    </w:p>
    <w:p>
      <w:pPr>
        <w:ind w:firstLine="420"/>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highlight w:val="none"/>
        </w:rPr>
        <w:t xml:space="preserve">（2）验收方式：</w:t>
      </w:r>
      <w:r>
        <w:rPr>
          <w:rFonts w:hint="eastAsia" w:ascii="宋体" w:hAnsi="宋体" w:cs="宋体"/>
          <w:color w:val="auto"/>
          <w:sz w:val="21"/>
          <w:szCs w:val="21"/>
          <w:highlight w:val="none"/>
          <w:lang w:val="zh-CN"/>
        </w:rPr>
        <w:t xml:space="preserve">由采购人进行验收，</w:t>
      </w:r>
      <w:r>
        <w:rPr>
          <w:rFonts w:hint="eastAsia" w:ascii="宋体" w:hAnsi="宋体" w:cs="宋体"/>
          <w:color w:val="auto"/>
          <w:sz w:val="21"/>
          <w:szCs w:val="21"/>
          <w:highlight w:val="none"/>
        </w:rPr>
        <w:t xml:space="preserve">项目结束后采购人对中标单位提供的成果</w:t>
      </w:r>
      <w:r>
        <w:rPr>
          <w:rFonts w:hint="eastAsia" w:ascii="宋体" w:hAnsi="宋体" w:cs="宋体"/>
          <w:color w:val="auto"/>
          <w:sz w:val="21"/>
          <w:szCs w:val="21"/>
          <w:highlight w:val="none"/>
          <w:lang w:val="zh-CN"/>
        </w:rPr>
        <w:t xml:space="preserve">进行</w:t>
      </w:r>
      <w:r>
        <w:rPr>
          <w:rFonts w:hint="eastAsia" w:ascii="宋体" w:hAnsi="宋体" w:cs="宋体"/>
          <w:color w:val="auto"/>
          <w:sz w:val="21"/>
          <w:szCs w:val="21"/>
          <w:highlight w:val="none"/>
        </w:rPr>
        <w:t xml:space="preserve">履约</w:t>
      </w:r>
      <w:r>
        <w:rPr>
          <w:rFonts w:hint="eastAsia" w:ascii="宋体" w:hAnsi="宋体" w:cs="宋体"/>
          <w:color w:val="auto"/>
          <w:sz w:val="21"/>
          <w:szCs w:val="21"/>
          <w:highlight w:val="none"/>
          <w:lang w:val="zh-CN"/>
        </w:rPr>
        <w:t xml:space="preserve">验收。采购人向供应商发出《</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采购履约验收通知单》，验收完成后形成《</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采购履约验收书》。</w:t>
      </w:r>
      <w:r/>
    </w:p>
    <w:p>
      <w:pPr>
        <w:ind w:firstLine="422"/>
        <w:jc w:val="both"/>
        <w:spacing w:line="360" w:lineRule="auto"/>
        <w:widowControl w:val="off"/>
        <w:rPr>
          <w:rFonts w:hint="eastAsia" w:ascii="宋体" w:hAnsi="宋体" w:cs="宋体"/>
          <w:b/>
          <w:bCs/>
          <w:color w:val="auto"/>
          <w:sz w:val="21"/>
          <w:highlight w:val="none"/>
        </w:rPr>
      </w:pPr>
      <w:r>
        <w:rPr>
          <w:rFonts w:hint="eastAsia" w:ascii="宋体" w:hAnsi="宋体" w:cs="宋体"/>
          <w:b/>
          <w:bCs/>
          <w:color w:val="auto"/>
          <w:sz w:val="21"/>
          <w:highlight w:val="none"/>
        </w:rPr>
        <w:t xml:space="preserve">八、风险责任的承担：</w:t>
      </w:r>
      <w:r/>
    </w:p>
    <w:p>
      <w:pPr>
        <w:ind w:firstLine="420"/>
        <w:jc w:val="both"/>
        <w:spacing w:line="360" w:lineRule="auto"/>
        <w:widowControl w:val="off"/>
        <w:rPr>
          <w:rFonts w:hint="eastAsia" w:ascii="宋体" w:hAnsi="宋体" w:cs="宋体"/>
          <w:color w:val="auto"/>
          <w:sz w:val="21"/>
          <w:highlight w:val="none"/>
        </w:rPr>
      </w:pPr>
      <w:r>
        <w:rPr>
          <w:rFonts w:hint="eastAsia" w:ascii="宋体" w:hAnsi="宋体" w:cs="宋体"/>
          <w:color w:val="auto"/>
          <w:sz w:val="21"/>
          <w:highlight w:val="none"/>
        </w:rPr>
        <w:t xml:space="preserve">乙双需按期完成所承担的工作，若因乙未按期完成应承担的工作造成项目延误，其风险责任由违约方承担。若因非人为因素造成的项目延误，其责任双方共同承担。</w:t>
      </w:r>
      <w:r/>
    </w:p>
    <w:p>
      <w:pPr>
        <w:ind w:firstLine="422"/>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九、违约责任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1、违约责任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2、甲方违约责任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在合同生效后，甲方要求解除合同的，应向乙方偿付合同总价款5%的违约金，违约金不足以补偿损失的，乙方有权要求甲方补足。</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3、乙方违约责任</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（1）合同签订后乙方应立即安排人员到位并开展工作，如人员不到位或擅自更换人员，向甲方偿付合同总价款5%的违约金。</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（2）乙方不能履行合同或提交的服务成果不符合要求的，甲方有权解除合同，乙方向甲方偿付合同总价款5%的违约金，违约金不足以补偿损失的甲方有权要求乙方补足。</w:t>
      </w:r>
      <w:r/>
    </w:p>
    <w:p>
      <w:pPr>
        <w:ind w:firstLine="422"/>
        <w:jc w:val="both"/>
        <w:spacing w:line="360" w:lineRule="auto"/>
        <w:widowControl w:val="off"/>
        <w:rPr>
          <w:rFonts w:hint="eastAsia" w:ascii="宋体" w:hAnsi="宋体"/>
          <w:b/>
          <w:bCs/>
          <w:color w:val="auto"/>
          <w:sz w:val="21"/>
          <w:highlight w:val="none"/>
        </w:rPr>
      </w:pPr>
      <w:r>
        <w:rPr>
          <w:rFonts w:hint="eastAsia" w:ascii="宋体" w:hAnsi="宋体"/>
          <w:b/>
          <w:bCs/>
          <w:color w:val="auto"/>
          <w:sz w:val="21"/>
          <w:highlight w:val="none"/>
        </w:rPr>
        <w:t xml:space="preserve">十、索赔</w:t>
      </w:r>
      <w:r/>
    </w:p>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1.乙方应当保证，其依本合同为甲方提供的技术服务过程和/或其为甲方提供的服务成果不侵犯任何第三人的合法权益。如果有人提出法律诉讼或行政程序(合称“侵权指控”)，声称甲方使用的技术服务成果侵犯了其知识产权等合法权益，若该侵权行为被生效司法或行政文书所确认，乙方同意赔偿甲方生效司法或行政文书所确认的金额。</w:t>
      </w:r>
      <w:r/>
    </w:p>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t xml:space="preserve">2.乙方依据本合同履行义务的前提下，甲方应保证：乙方根据本合同所进行的服务符合国家的法律、法规和相关政策的规定，乙方根据本合同所进行的服务，不会侵害任何第三方的权利，如果甲方违反本条规定的保证义务，甲方应保障乙方的权利不会因此而受到损害，乙方若因此而造成损失有权向甲方追偿。</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十一、不可抗力</w:t>
      </w:r>
      <w:r/>
    </w:p>
    <w:p>
      <w:pPr>
        <w:ind w:firstLine="420"/>
        <w:jc w:val="both"/>
        <w:spacing w:line="360" w:lineRule="auto"/>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因不可抗力不能履行合同的，根据不可抗力的影响，部分或者全部免除责任。但合同一方迟延履行后发生不可抗力的，不能免除责任。</w:t>
      </w:r>
      <w:r/>
    </w:p>
    <w:p>
      <w:pPr>
        <w:ind w:firstLine="420"/>
        <w:jc w:val="both"/>
        <w:spacing w:line="360" w:lineRule="auto"/>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合同一方因不可抗力不能履行合同的，应当及时通知对方，以减轻可能给对方造成的损失，并应当在合理期限内提供证明。</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3、本条所述的“不可抗力”系指下列甲、乙双方无法控制、不可预见的事件，但不包括甲、乙双方的违约或疏忽。这些事件包括：战争、严重火灾、洪水、台风、地震以及其他甲方和乙方商定的事件。</w:t>
      </w:r>
      <w:r/>
    </w:p>
    <w:p>
      <w:pPr>
        <w:ind w:firstLine="422"/>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十二、 合同的解除和转让</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1、合同的解除</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（1）甲乙双方协商一致可以解除合同</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（2）有下列情形之一，合同一方可以解除合同：</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 因不可抗力致使不能实现合同目的，未受不可抗力影响的一方有权解除合同；</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 因合同一方违约导致合同不能履行，另一方有权解除合同；</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（3）有权解除合同的一方，应当在违约事实或不可抗力发生之后三十天内书面通知对方以主张解除合同，合同在书面通知到达对方时解除。</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2、合同的转让</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合同的部分和全部都不得转让。</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十三、争议处置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在执行本合同中所发生的一切争议，各方（甲方、乙方、采购单位）应通过友好协商的办法进行解决，如协商不能解决的，有关当事方可提请仲裁。</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2.仲裁应根据《中华人民共和国仲裁法》的规定向甲方所在地有管辖权的仲裁机构申请仲裁。</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3.仲裁裁决为最终裁决，对当事各方均有约束力。</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十四、合同生效及其它：</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1.本合同经甲乙双方签字并盖章后方生效。</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2.合同在执行过程中出现的未尽事宜，双方在不违背本合同的原则下协商解决，协商结果以书面形式记录在案，作为本合同附件，与本合同具有同等效力。</w:t>
      </w:r>
      <w:r/>
    </w:p>
    <w:p>
      <w:pPr>
        <w:ind w:firstLine="422"/>
        <w:jc w:val="both"/>
        <w:spacing w:line="360" w:lineRule="auto"/>
        <w:widowControl w:val="off"/>
        <w:rPr>
          <w:rFonts w:hint="eastAsia" w:ascii="宋体" w:hAnsi="宋体"/>
          <w:b/>
          <w:bCs/>
          <w:color w:val="auto"/>
          <w:sz w:val="21"/>
          <w:highlight w:val="none"/>
        </w:rPr>
      </w:pPr>
      <w:r>
        <w:rPr>
          <w:rFonts w:hint="eastAsia" w:ascii="宋体" w:hAnsi="宋体" w:cs="宋体"/>
          <w:b/>
          <w:bCs/>
          <w:color w:val="auto"/>
          <w:sz w:val="21"/>
          <w:szCs w:val="21"/>
          <w:highlight w:val="none"/>
        </w:rPr>
        <w:t xml:space="preserve">十五、</w:t>
      </w:r>
      <w:r>
        <w:rPr>
          <w:rFonts w:hint="eastAsia" w:ascii="宋体" w:hAnsi="宋体"/>
          <w:b/>
          <w:bCs/>
          <w:color w:val="auto"/>
          <w:sz w:val="21"/>
          <w:highlight w:val="none"/>
        </w:rPr>
        <w:t xml:space="preserve">特别条款</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1.双方签约人为各自法定代表人或被授权代表。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2.本合同一式</w:t>
      </w:r>
      <w:r>
        <w:rPr>
          <w:rFonts w:hint="eastAsia" w:ascii="宋体" w:hAnsi="宋体" w:cs="宋体"/>
          <w:color w:val="auto"/>
          <w:sz w:val="21"/>
          <w:szCs w:val="21"/>
          <w:highlight w:val="none"/>
          <w:u w:val="single"/>
        </w:rPr>
        <w:t xml:space="preserve">伍</w:t>
      </w:r>
      <w:r>
        <w:rPr>
          <w:rFonts w:hint="eastAsia" w:ascii="宋体" w:hAnsi="宋体" w:cs="宋体"/>
          <w:color w:val="auto"/>
          <w:sz w:val="21"/>
          <w:szCs w:val="21"/>
          <w:highlight w:val="none"/>
        </w:rPr>
        <w:t xml:space="preserve">份，甲乙双方各执</w:t>
      </w:r>
      <w:r>
        <w:rPr>
          <w:rFonts w:hint="eastAsia" w:ascii="宋体" w:hAnsi="宋体" w:cs="宋体"/>
          <w:color w:val="auto"/>
          <w:sz w:val="21"/>
          <w:szCs w:val="21"/>
          <w:highlight w:val="none"/>
          <w:u w:val="single"/>
        </w:rPr>
        <w:t xml:space="preserve">贰</w:t>
      </w:r>
      <w:r>
        <w:rPr>
          <w:rFonts w:hint="eastAsia" w:ascii="宋体" w:hAnsi="宋体" w:cs="宋体"/>
          <w:color w:val="auto"/>
          <w:sz w:val="21"/>
          <w:szCs w:val="21"/>
          <w:highlight w:val="none"/>
        </w:rPr>
        <w:t xml:space="preserve">份，代理机构</w:t>
      </w:r>
      <w:r>
        <w:rPr>
          <w:rFonts w:hint="eastAsia" w:ascii="宋体" w:hAnsi="宋体" w:cs="宋体"/>
          <w:color w:val="auto"/>
          <w:sz w:val="21"/>
          <w:szCs w:val="21"/>
          <w:highlight w:val="none"/>
          <w:u w:val="single"/>
        </w:rPr>
        <w:t xml:space="preserve">壹</w:t>
      </w:r>
      <w:r>
        <w:rPr>
          <w:rFonts w:hint="eastAsia" w:ascii="宋体" w:hAnsi="宋体" w:cs="宋体"/>
          <w:color w:val="auto"/>
          <w:sz w:val="21"/>
          <w:szCs w:val="21"/>
          <w:highlight w:val="none"/>
        </w:rPr>
        <w:t xml:space="preserve">份，各份具有同等法律效力。</w:t>
      </w:r>
      <w:r/>
    </w:p>
    <w:p>
      <w:pPr>
        <w:pStyle w:val="804"/>
        <w:rPr>
          <w:rFonts w:hint="eastAsia" w:ascii="宋体" w:hAnsi="宋体" w:cs="宋体"/>
          <w:color w:val="auto"/>
          <w:szCs w:val="21"/>
          <w:highlight w:val="none"/>
        </w:rPr>
      </w:pPr>
      <w:r>
        <w:rPr>
          <w:rFonts w:hint="eastAsia" w:ascii="宋体" w:hAnsi="宋体" w:cs="宋体"/>
          <w:color w:val="auto"/>
          <w:szCs w:val="21"/>
          <w:highlight w:val="none"/>
        </w:rPr>
      </w:r>
      <w:r/>
    </w:p>
    <w:p>
      <w:pPr>
        <w:pStyle w:val="804"/>
        <w:rPr>
          <w:rFonts w:hint="eastAsia" w:ascii="宋体" w:hAnsi="宋体" w:cs="宋体"/>
          <w:color w:val="auto"/>
          <w:szCs w:val="21"/>
          <w:highlight w:val="none"/>
        </w:rPr>
      </w:pPr>
      <w:r>
        <w:rPr>
          <w:rFonts w:hint="eastAsia" w:ascii="宋体" w:hAnsi="宋体" w:cs="宋体"/>
          <w:color w:val="auto"/>
          <w:szCs w:val="21"/>
          <w:highlight w:val="none"/>
        </w:rPr>
      </w:r>
      <w:r/>
    </w:p>
    <w:tbl>
      <w:tblPr>
        <w:tblStyle w:val="800"/>
        <w:tblW w:w="0" w:type="auto"/>
        <w:jc w:val="center"/>
        <w:tblLayout w:type="fixed"/>
        <w:tblCellMar>
          <w:left w:w="108" w:type="dxa"/>
          <w:top w:w="0" w:type="dxa"/>
          <w:right w:w="108" w:type="dxa"/>
          <w:bottom w:w="0" w:type="dxa"/>
        </w:tblCellMar>
        <w:tblLook w:val="04A0" w:firstRow="1" w:lastRow="0" w:firstColumn="1" w:lastColumn="0" w:noHBand="0" w:noVBand="1"/>
      </w:tblPr>
      <w:tblGrid>
        <w:gridCol w:w="4977"/>
        <w:gridCol w:w="4346"/>
      </w:tblGrid>
      <w:tr>
        <w:trPr>
          <w:jc w:val="center"/>
          <w:trHeight w:val="903"/>
        </w:trPr>
        <w:tc>
          <w:tcPr>
            <w:tcW w:w="4977" w:type="dxa"/>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甲方（盖章）：苏州健雄职业技术学院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4346" w:type="dxa"/>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乙方（盖章）：</w:t>
            </w:r>
            <w:r/>
          </w:p>
        </w:tc>
      </w:tr>
      <w:tr>
        <w:trPr>
          <w:jc w:val="center"/>
          <w:trHeight w:val="903"/>
        </w:trPr>
        <w:tc>
          <w:tcPr>
            <w:tcW w:w="49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代表人或委</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托代理人（签字）：</w:t>
            </w:r>
            <w:r/>
          </w:p>
        </w:tc>
        <w:tc>
          <w:tcPr>
            <w:tcW w:w="4346" w:type="dxa"/>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托代理人（签字）：</w:t>
            </w:r>
            <w:r/>
          </w:p>
        </w:tc>
      </w:tr>
      <w:tr>
        <w:trPr>
          <w:jc w:val="center"/>
          <w:trHeight w:val="903"/>
        </w:trPr>
        <w:tc>
          <w:tcPr>
            <w:tcW w:w="497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c>
          <w:tcPr>
            <w:tcW w:w="4346" w:type="dxa"/>
            <w:vAlign w:val="center"/>
            <w:textDirection w:val="lrTb"/>
            <w:noWrap w:val="false"/>
          </w:tcPr>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    年  月  日</w:t>
            </w:r>
            <w:r/>
          </w:p>
        </w:tc>
      </w:tr>
    </w:tbl>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微软雅黑">
    <w:panose1 w:val="020B0503020204020204"/>
  </w:font>
  <w:font w:name="Calibri">
    <w:panose1 w:val="020F050202020403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39"/>
      </w:rPr>
      <w:framePr w:wrap="around" w:vAnchor="text" w:hAnchor="margin" w:xAlign="center" w:y="2"/>
    </w:pPr>
    <w:r>
      <w:fldChar w:fldCharType="begin"/>
    </w:r>
    <w:r>
      <w:rPr>
        <w:rStyle w:val="839"/>
      </w:rPr>
      <w:instrText xml:space="preserve">PAGE  </w:instrText>
    </w:r>
    <w:r>
      <w:fldChar w:fldCharType="separate"/>
    </w:r>
    <w:r>
      <w:rPr>
        <w:rStyle w:val="839"/>
      </w:rPr>
      <w:t xml:space="preserve">0</w:t>
    </w:r>
    <w:r>
      <w:fldChar w:fldCharType="end"/>
    </w:r>
    <w:r/>
  </w:p>
  <w:p>
    <w:pPr>
      <w:pStyle w:val="81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fldChar w:fldCharType="begin"/>
    </w:r>
    <w:r>
      <w:instrText xml:space="preserve">PAGE   \* MERGEFORMAT</w:instrText>
    </w:r>
    <w:r>
      <w:fldChar w:fldCharType="separate"/>
    </w:r>
    <w:r>
      <w:rPr>
        <w:lang w:val="zh-CN"/>
      </w:rPr>
      <w:t xml:space="preserve">47</w:t>
    </w:r>
    <w:r>
      <w:fldChar w:fldCharType="end"/>
    </w:r>
    <w:r/>
  </w:p>
  <w:p>
    <w:pPr>
      <w:pStyle w:val="81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fldChar w:fldCharType="begin"/>
    </w:r>
    <w:r>
      <w:instrText xml:space="preserve">PAGE   \* MERGEFORMAT</w:instrText>
    </w:r>
    <w:r>
      <w:fldChar w:fldCharType="separate"/>
    </w:r>
    <w:r>
      <w:rPr>
        <w:lang w:val="zh-CN"/>
      </w:rPr>
      <w:t xml:space="preserve">1</w:t>
    </w:r>
    <w:r>
      <w:fldChar w:fldCharType="end"/>
    </w:r>
    <w:r/>
  </w:p>
  <w:p>
    <w:pPr>
      <w:pStyle w:val="8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left"/>
      <w:rPr>
        <w:sz w:val="21"/>
        <w:szCs w:val="21"/>
      </w:rPr>
    </w:pPr>
    <w:r>
      <w:rPr>
        <w:rFonts w:hint="eastAsia"/>
      </w:rPr>
      <w:t xml:space="preserve"> </w:t>
    </w:r>
    <w:r>
      <w:rPr>
        <w:rFonts w:hint="eastAsia"/>
        <w:sz w:val="21"/>
        <w:szCs w:val="21"/>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4"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招标编号： </w:t>
    </w:r>
    <w:r>
      <w:rPr>
        <w:rFonts w:hint="eastAsia"/>
        <w:lang w:eastAsia="zh-CN"/>
      </w:rPr>
      <w:t xml:space="preserve">JSZC-320585-SZTZ-G2025-0017</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both"/>
      <w:rPr>
        <w:rFonts w:hint="eastAsia" w:eastAsia="宋体"/>
        <w:lang w:eastAsia="zh-CN"/>
      </w:rPr>
    </w:pPr>
    <w:r>
      <w:rPr>
        <w:rFonts w:hint="eastAsia" w:ascii="宋体" w:hAnsi="宋体" w:cs="宋体"/>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编号：</w:t>
    </w:r>
    <w:r>
      <w:rPr>
        <w:rFonts w:hint="eastAsia"/>
        <w:lang w:eastAsia="zh-CN"/>
      </w:rPr>
      <w:t xml:space="preserve">JSZC-320585-SZTZ-G2025-0017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29"/>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790"/>
      <w:isLgl w:val="false"/>
      <w:suff w:val="nothing"/>
      <w:lvlText w:val="%1、"/>
      <w:lvlJc w:val="left"/>
      <w:pPr>
        <w:ind w:left="0" w:firstLine="0"/>
      </w:pPr>
      <w:rPr>
        <w:rFonts w:hint="eastAsia"/>
      </w:rPr>
    </w:lvl>
    <w:lvl w:ilvl="1">
      <w:start w:val="1"/>
      <w:numFmt w:val="chineseCounting"/>
      <w:pStyle w:val="791"/>
      <w:isLgl w:val="false"/>
      <w:suff w:val="nothing"/>
      <w:lvlText w:val="（%2）"/>
      <w:lvlJc w:val="left"/>
      <w:pPr>
        <w:ind w:left="0" w:firstLine="0"/>
      </w:pPr>
      <w:rPr>
        <w:rFonts w:hint="eastAsia"/>
      </w:rPr>
    </w:lvl>
    <w:lvl w:ilvl="2">
      <w:start w:val="1"/>
      <w:numFmt w:val="decimal"/>
      <w:pStyle w:val="792"/>
      <w:isLgl w:val="false"/>
      <w:suff w:val="nothing"/>
      <w:lvlText w:val="%3．"/>
      <w:lvlJc w:val="left"/>
      <w:pPr>
        <w:ind w:left="0" w:firstLine="400"/>
      </w:pPr>
      <w:rPr>
        <w:rFonts w:hint="eastAsia"/>
      </w:rPr>
    </w:lvl>
    <w:lvl w:ilvl="3">
      <w:start w:val="1"/>
      <w:numFmt w:val="decimal"/>
      <w:pStyle w:val="793"/>
      <w:isLgl w:val="false"/>
      <w:suff w:val="nothing"/>
      <w:lvlText w:val="（%4）"/>
      <w:lvlJc w:val="left"/>
      <w:pPr>
        <w:ind w:left="0" w:firstLine="402"/>
      </w:pPr>
      <w:rPr>
        <w:rFonts w:hint="eastAsia"/>
      </w:rPr>
    </w:lvl>
    <w:lvl w:ilvl="4">
      <w:start w:val="1"/>
      <w:numFmt w:val="decimalEnclosedCircleChinese"/>
      <w:pStyle w:val="794"/>
      <w:isLgl w:val="false"/>
      <w:suff w:val="nothing"/>
      <w:lvlText w:val="%5"/>
      <w:lvlJc w:val="left"/>
      <w:pPr>
        <w:ind w:left="0" w:firstLine="402"/>
      </w:pPr>
      <w:rPr>
        <w:rFonts w:hint="eastAsia"/>
      </w:rPr>
    </w:lvl>
    <w:lvl w:ilvl="5">
      <w:start w:val="1"/>
      <w:numFmt w:val="decimal"/>
      <w:pStyle w:val="795"/>
      <w:isLgl w:val="false"/>
      <w:suff w:val="nothing"/>
      <w:lvlText w:val="%6）"/>
      <w:lvlJc w:val="left"/>
      <w:pPr>
        <w:ind w:left="0" w:firstLine="402"/>
      </w:pPr>
      <w:rPr>
        <w:rFonts w:hint="eastAsia"/>
      </w:rPr>
    </w:lvl>
    <w:lvl w:ilvl="6">
      <w:start w:val="1"/>
      <w:numFmt w:val="lowerLetter"/>
      <w:pStyle w:val="796"/>
      <w:isLgl w:val="false"/>
      <w:suff w:val="nothing"/>
      <w:lvlText w:val="%7．"/>
      <w:lvlJc w:val="left"/>
      <w:pPr>
        <w:ind w:left="0" w:firstLine="402"/>
      </w:pPr>
      <w:rPr>
        <w:rFonts w:hint="eastAsia"/>
      </w:rPr>
    </w:lvl>
    <w:lvl w:ilvl="7">
      <w:start w:val="1"/>
      <w:numFmt w:val="lowerLetter"/>
      <w:pStyle w:val="797"/>
      <w:isLgl w:val="false"/>
      <w:suff w:val="nothing"/>
      <w:lvlText w:val="%8）"/>
      <w:lvlJc w:val="left"/>
      <w:pPr>
        <w:ind w:left="0" w:firstLine="402"/>
      </w:pPr>
      <w:rPr>
        <w:rFonts w:hint="eastAsia"/>
      </w:rPr>
    </w:lvl>
    <w:lvl w:ilvl="8">
      <w:start w:val="1"/>
      <w:numFmt w:val="lowerRoman"/>
      <w:pStyle w:val="798"/>
      <w:isLgl w:val="false"/>
      <w:suff w:val="nothing"/>
      <w:lvlText w:val="%9 "/>
      <w:lvlJc w:val="left"/>
      <w:pPr>
        <w:ind w:left="0" w:firstLine="402"/>
      </w:pPr>
      <w:rPr>
        <w:rFonts w:hint="eastAsia"/>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9"/>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4"/>
  </w:num>
  <w:num w:numId="2">
    <w:abstractNumId w:val="2"/>
  </w:num>
  <w:num w:numId="3">
    <w:abstractNumId w:val="7"/>
  </w:num>
  <w:num w:numId="4">
    <w:abstractNumId w:val="1"/>
  </w:num>
  <w:num w:numId="5">
    <w:abstractNumId w:val="5"/>
  </w:num>
  <w:num w:numId="6">
    <w:abstractNumId w:val="6"/>
  </w:num>
  <w:num w:numId="7">
    <w:abstractNumId w:val="8"/>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Quote Char"/>
    <w:link w:val="856"/>
    <w:uiPriority w:val="29"/>
    <w:rPr>
      <w:i/>
    </w:rPr>
  </w:style>
  <w:style w:type="character" w:styleId="766">
    <w:name w:val="Intense Quote Char"/>
    <w:link w:val="858"/>
    <w:uiPriority w:val="30"/>
    <w:rPr>
      <w:i/>
    </w:rPr>
  </w:style>
  <w:style w:type="table" w:styleId="767">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Footnote Text Char"/>
    <w:link w:val="823"/>
    <w:uiPriority w:val="99"/>
    <w:rPr>
      <w:sz w:val="18"/>
    </w:rPr>
  </w:style>
  <w:style w:type="character" w:styleId="787">
    <w:name w:val="Endnote Text Char"/>
    <w:link w:val="816"/>
    <w:uiPriority w:val="99"/>
    <w:rPr>
      <w:sz w:val="20"/>
    </w:rPr>
  </w:style>
  <w:style w:type="paragraph" w:styleId="788">
    <w:name w:val="TOC Heading"/>
    <w:uiPriority w:val="39"/>
    <w:unhideWhenUsed/>
  </w:style>
  <w:style w:type="paragraph" w:styleId="789" w:default="1">
    <w:name w:val="Normal"/>
    <w:uiPriority w:val="0"/>
    <w:qFormat/>
    <w:rPr>
      <w:rFonts w:ascii="Times New Roman" w:hAnsi="Times New Roman" w:eastAsia="宋体" w:cs="Times New Roman"/>
      <w:sz w:val="24"/>
      <w:szCs w:val="24"/>
      <w:lang w:val="en-US" w:eastAsia="zh-CN" w:bidi="ar-SA"/>
    </w:rPr>
  </w:style>
  <w:style w:type="paragraph" w:styleId="790">
    <w:name w:val="Heading 1"/>
    <w:basedOn w:val="789"/>
    <w:next w:val="789"/>
    <w:link w:val="995"/>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791">
    <w:name w:val="Heading 2"/>
    <w:basedOn w:val="789"/>
    <w:next w:val="789"/>
    <w:link w:val="996"/>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92">
    <w:name w:val="Heading 3"/>
    <w:basedOn w:val="789"/>
    <w:next w:val="801"/>
    <w:uiPriority w:val="0"/>
    <w:qFormat/>
    <w:pPr>
      <w:numPr>
        <w:ilvl w:val="2"/>
        <w:numId w:val="1"/>
      </w:numPr>
      <w:keepLines/>
      <w:keepNext/>
      <w:spacing w:before="260" w:after="260" w:line="416" w:lineRule="auto"/>
      <w:outlineLvl w:val="2"/>
    </w:pPr>
    <w:rPr>
      <w:b/>
      <w:bCs/>
      <w:sz w:val="32"/>
      <w:szCs w:val="32"/>
    </w:rPr>
  </w:style>
  <w:style w:type="paragraph" w:styleId="793">
    <w:name w:val="Heading 4"/>
    <w:basedOn w:val="789"/>
    <w:next w:val="789"/>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94">
    <w:name w:val="Heading 5"/>
    <w:basedOn w:val="789"/>
    <w:next w:val="789"/>
    <w:uiPriority w:val="0"/>
    <w:qFormat/>
    <w:pPr>
      <w:numPr>
        <w:ilvl w:val="4"/>
        <w:numId w:val="1"/>
      </w:numPr>
      <w:keepLines/>
      <w:keepNext/>
      <w:spacing w:before="280" w:after="290" w:line="376" w:lineRule="auto"/>
      <w:outlineLvl w:val="4"/>
    </w:pPr>
    <w:rPr>
      <w:b/>
      <w:bCs/>
      <w:sz w:val="28"/>
      <w:szCs w:val="28"/>
    </w:rPr>
  </w:style>
  <w:style w:type="paragraph" w:styleId="795">
    <w:name w:val="Heading 6"/>
    <w:basedOn w:val="789"/>
    <w:next w:val="789"/>
    <w:uiPriority w:val="0"/>
    <w:qFormat/>
    <w:pPr>
      <w:numPr>
        <w:ilvl w:val="5"/>
        <w:numId w:val="1"/>
      </w:numPr>
      <w:keepLines/>
      <w:keepNext/>
      <w:spacing w:before="240" w:after="64" w:line="320" w:lineRule="auto"/>
      <w:outlineLvl w:val="5"/>
    </w:pPr>
    <w:rPr>
      <w:rFonts w:ascii="Arial" w:hAnsi="Arial" w:eastAsia="黑体"/>
      <w:b/>
      <w:bCs/>
    </w:rPr>
  </w:style>
  <w:style w:type="paragraph" w:styleId="796">
    <w:name w:val="Heading 7"/>
    <w:basedOn w:val="789"/>
    <w:next w:val="789"/>
    <w:uiPriority w:val="0"/>
    <w:qFormat/>
    <w:pPr>
      <w:numPr>
        <w:ilvl w:val="6"/>
        <w:numId w:val="1"/>
      </w:numPr>
      <w:jc w:val="center"/>
      <w:keepLines/>
      <w:keepNext/>
      <w:spacing w:before="30" w:after="10"/>
      <w:outlineLvl w:val="6"/>
    </w:pPr>
    <w:rPr>
      <w:rFonts w:eastAsia="黑体"/>
      <w:lang w:val="zh-CN"/>
    </w:rPr>
  </w:style>
  <w:style w:type="paragraph" w:styleId="797">
    <w:name w:val="Heading 8"/>
    <w:basedOn w:val="796"/>
    <w:next w:val="789"/>
    <w:uiPriority w:val="0"/>
    <w:qFormat/>
    <w:pPr>
      <w:numPr>
        <w:ilvl w:val="7"/>
      </w:numPr>
      <w:keepLines w:val="0"/>
      <w:keepNext w:val="0"/>
      <w:spacing w:before="10" w:after="30"/>
      <w:outlineLvl w:val="7"/>
    </w:pPr>
  </w:style>
  <w:style w:type="paragraph" w:styleId="798">
    <w:name w:val="Heading 9"/>
    <w:basedOn w:val="789"/>
    <w:next w:val="789"/>
    <w:uiPriority w:val="0"/>
    <w:qFormat/>
    <w:pPr>
      <w:numPr>
        <w:ilvl w:val="8"/>
        <w:numId w:val="1"/>
      </w:numPr>
      <w:keepLines/>
      <w:keepNext/>
      <w:spacing w:before="240" w:after="64" w:line="317" w:lineRule="auto"/>
      <w:outlineLvl w:val="8"/>
    </w:pPr>
    <w:rPr>
      <w:rFonts w:ascii="Arial" w:hAnsi="Arial" w:eastAsia="黑体"/>
      <w:sz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Normal Indent"/>
    <w:basedOn w:val="789"/>
    <w:uiPriority w:val="0"/>
    <w:qFormat/>
    <w:pPr>
      <w:ind w:firstLine="420"/>
      <w:widowControl w:val="off"/>
    </w:pPr>
    <w:rPr>
      <w:rFonts w:eastAsia="楷体_GB2312"/>
      <w:szCs w:val="20"/>
    </w:rPr>
  </w:style>
  <w:style w:type="paragraph" w:styleId="802">
    <w:name w:val="toc 7"/>
    <w:basedOn w:val="789"/>
    <w:next w:val="789"/>
    <w:uiPriority w:val="39"/>
    <w:unhideWhenUsed/>
    <w:qFormat/>
    <w:pPr>
      <w:ind w:left="1701"/>
      <w:spacing w:after="57"/>
    </w:pPr>
  </w:style>
  <w:style w:type="paragraph" w:styleId="803">
    <w:name w:val="Caption"/>
    <w:basedOn w:val="789"/>
    <w:next w:val="7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Document Map"/>
    <w:basedOn w:val="789"/>
    <w:link w:val="997"/>
    <w:uiPriority w:val="0"/>
    <w:qFormat/>
    <w:pPr>
      <w:jc w:val="both"/>
      <w:widowControl w:val="off"/>
    </w:pPr>
    <w:rPr>
      <w:sz w:val="21"/>
      <w:szCs w:val="20"/>
    </w:rPr>
  </w:style>
  <w:style w:type="paragraph" w:styleId="805">
    <w:name w:val="annotation text"/>
    <w:basedOn w:val="789"/>
    <w:uiPriority w:val="0"/>
    <w:qFormat/>
  </w:style>
  <w:style w:type="paragraph" w:styleId="806">
    <w:name w:val="Body Text"/>
    <w:basedOn w:val="789"/>
    <w:uiPriority w:val="0"/>
    <w:qFormat/>
    <w:pPr>
      <w:spacing w:after="120"/>
    </w:pPr>
  </w:style>
  <w:style w:type="paragraph" w:styleId="807">
    <w:name w:val="Body Text Indent"/>
    <w:basedOn w:val="789"/>
    <w:next w:val="808"/>
    <w:uiPriority w:val="0"/>
    <w:qFormat/>
    <w:pPr>
      <w:ind w:right="-159" w:firstLine="246"/>
      <w:jc w:val="both"/>
      <w:spacing w:line="240" w:lineRule="atLeast"/>
      <w:widowControl w:val="off"/>
    </w:pPr>
    <w:rPr>
      <w:spacing w:val="20"/>
      <w:sz w:val="21"/>
    </w:rPr>
  </w:style>
  <w:style w:type="paragraph" w:styleId="808">
    <w:name w:val="envelope return"/>
    <w:basedOn w:val="789"/>
    <w:uiPriority w:val="99"/>
    <w:unhideWhenUsed/>
    <w:qFormat/>
    <w:rPr>
      <w:rFonts w:ascii="Arial" w:hAnsi="Arial"/>
    </w:rPr>
  </w:style>
  <w:style w:type="paragraph" w:styleId="809">
    <w:name w:val="Block Text"/>
    <w:basedOn w:val="78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10">
    <w:name w:val="toc 5"/>
    <w:basedOn w:val="789"/>
    <w:next w:val="789"/>
    <w:uiPriority w:val="39"/>
    <w:unhideWhenUsed/>
    <w:qFormat/>
    <w:pPr>
      <w:ind w:left="1134"/>
      <w:spacing w:after="57"/>
    </w:pPr>
  </w:style>
  <w:style w:type="paragraph" w:styleId="811">
    <w:name w:val="toc 3"/>
    <w:basedOn w:val="789"/>
    <w:next w:val="789"/>
    <w:uiPriority w:val="39"/>
    <w:unhideWhenUsed/>
    <w:qFormat/>
    <w:pPr>
      <w:ind w:left="567"/>
      <w:spacing w:after="57"/>
    </w:pPr>
  </w:style>
  <w:style w:type="paragraph" w:styleId="812">
    <w:name w:val="Plain Text"/>
    <w:basedOn w:val="789"/>
    <w:link w:val="998"/>
    <w:uiPriority w:val="0"/>
    <w:qFormat/>
    <w:rPr>
      <w:rFonts w:ascii="宋体" w:hAnsi="Courier New" w:eastAsia="楷体_GB2312"/>
      <w:sz w:val="26"/>
      <w:szCs w:val="20"/>
    </w:rPr>
  </w:style>
  <w:style w:type="paragraph" w:styleId="813">
    <w:name w:val="toc 8"/>
    <w:basedOn w:val="789"/>
    <w:next w:val="789"/>
    <w:uiPriority w:val="39"/>
    <w:unhideWhenUsed/>
    <w:qFormat/>
    <w:pPr>
      <w:ind w:left="1984"/>
      <w:spacing w:after="57"/>
    </w:pPr>
  </w:style>
  <w:style w:type="paragraph" w:styleId="814">
    <w:name w:val="Date"/>
    <w:basedOn w:val="789"/>
    <w:next w:val="789"/>
    <w:link w:val="999"/>
    <w:uiPriority w:val="0"/>
    <w:qFormat/>
    <w:pPr>
      <w:ind w:left="100"/>
      <w:jc w:val="both"/>
      <w:widowControl w:val="off"/>
    </w:pPr>
    <w:rPr>
      <w:b/>
      <w:bCs/>
      <w:spacing w:val="20"/>
      <w:sz w:val="21"/>
    </w:rPr>
  </w:style>
  <w:style w:type="paragraph" w:styleId="815">
    <w:name w:val="Body Text Indent 2"/>
    <w:basedOn w:val="789"/>
    <w:uiPriority w:val="0"/>
    <w:qFormat/>
    <w:pPr>
      <w:ind w:firstLine="460"/>
      <w:spacing w:line="360" w:lineRule="auto"/>
    </w:pPr>
    <w:rPr>
      <w:spacing w:val="20"/>
      <w:sz w:val="21"/>
    </w:rPr>
  </w:style>
  <w:style w:type="paragraph" w:styleId="816">
    <w:name w:val="endnote text"/>
    <w:basedOn w:val="789"/>
    <w:link w:val="989"/>
    <w:uiPriority w:val="99"/>
    <w:semiHidden/>
    <w:unhideWhenUsed/>
    <w:qFormat/>
    <w:rPr>
      <w:sz w:val="20"/>
    </w:rPr>
  </w:style>
  <w:style w:type="paragraph" w:styleId="817">
    <w:name w:val="Balloon Text"/>
    <w:basedOn w:val="789"/>
    <w:uiPriority w:val="0"/>
    <w:qFormat/>
    <w:rPr>
      <w:sz w:val="18"/>
      <w:szCs w:val="18"/>
    </w:rPr>
  </w:style>
  <w:style w:type="paragraph" w:styleId="818">
    <w:name w:val="Footer"/>
    <w:basedOn w:val="789"/>
    <w:link w:val="1000"/>
    <w:uiPriority w:val="99"/>
    <w:qFormat/>
    <w:pPr>
      <w:widowControl w:val="off"/>
      <w:tabs>
        <w:tab w:val="center" w:pos="4153" w:leader="none"/>
        <w:tab w:val="right" w:pos="8306" w:leader="none"/>
      </w:tabs>
    </w:pPr>
    <w:rPr>
      <w:sz w:val="18"/>
      <w:szCs w:val="18"/>
    </w:rPr>
  </w:style>
  <w:style w:type="paragraph" w:styleId="819">
    <w:name w:val="Header"/>
    <w:basedOn w:val="789"/>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820">
    <w:name w:val="toc 1"/>
    <w:basedOn w:val="789"/>
    <w:next w:val="789"/>
    <w:uiPriority w:val="0"/>
    <w:qFormat/>
    <w:pPr>
      <w:widowControl w:val="off"/>
    </w:pPr>
    <w:rPr>
      <w:rFonts w:eastAsia="楷体_GB2312"/>
      <w:szCs w:val="20"/>
    </w:rPr>
  </w:style>
  <w:style w:type="paragraph" w:styleId="821">
    <w:name w:val="toc 4"/>
    <w:basedOn w:val="789"/>
    <w:next w:val="789"/>
    <w:uiPriority w:val="39"/>
    <w:unhideWhenUsed/>
    <w:qFormat/>
    <w:pPr>
      <w:ind w:left="1260"/>
    </w:pPr>
  </w:style>
  <w:style w:type="paragraph" w:styleId="822">
    <w:name w:val="Subtitle"/>
    <w:basedOn w:val="789"/>
    <w:next w:val="789"/>
    <w:uiPriority w:val="0"/>
    <w:qFormat/>
    <w:pPr>
      <w:jc w:val="center"/>
      <w:spacing w:before="240" w:after="60" w:line="312" w:lineRule="auto"/>
      <w:outlineLvl w:val="1"/>
    </w:pPr>
    <w:rPr>
      <w:rFonts w:ascii="宋体" w:hAnsi="Courier New" w:eastAsia="楷体_GB2312"/>
      <w:sz w:val="26"/>
      <w:szCs w:val="20"/>
    </w:rPr>
  </w:style>
  <w:style w:type="paragraph" w:styleId="823">
    <w:name w:val="footnote text"/>
    <w:basedOn w:val="789"/>
    <w:link w:val="988"/>
    <w:uiPriority w:val="99"/>
    <w:semiHidden/>
    <w:unhideWhenUsed/>
    <w:qFormat/>
    <w:pPr>
      <w:spacing w:after="40"/>
    </w:pPr>
    <w:rPr>
      <w:sz w:val="18"/>
    </w:rPr>
  </w:style>
  <w:style w:type="paragraph" w:styleId="824">
    <w:name w:val="toc 6"/>
    <w:basedOn w:val="789"/>
    <w:next w:val="789"/>
    <w:uiPriority w:val="39"/>
    <w:unhideWhenUsed/>
    <w:qFormat/>
    <w:pPr>
      <w:ind w:left="1417"/>
      <w:spacing w:after="57"/>
    </w:pPr>
  </w:style>
  <w:style w:type="paragraph" w:styleId="825">
    <w:name w:val="Body Text Indent 3"/>
    <w:basedOn w:val="789"/>
    <w:link w:val="1001"/>
    <w:uiPriority w:val="0"/>
    <w:qFormat/>
    <w:pPr>
      <w:ind w:firstLine="480"/>
      <w:spacing w:line="300" w:lineRule="auto"/>
      <w:widowControl w:val="off"/>
    </w:pPr>
  </w:style>
  <w:style w:type="paragraph" w:styleId="826">
    <w:name w:val="table of figures"/>
    <w:basedOn w:val="789"/>
    <w:next w:val="789"/>
    <w:uiPriority w:val="99"/>
    <w:unhideWhenUsed/>
    <w:qFormat/>
  </w:style>
  <w:style w:type="paragraph" w:styleId="827">
    <w:name w:val="toc 2"/>
    <w:basedOn w:val="789"/>
    <w:next w:val="789"/>
    <w:uiPriority w:val="39"/>
    <w:unhideWhenUsed/>
    <w:qFormat/>
    <w:pPr>
      <w:ind w:left="283"/>
      <w:spacing w:after="57"/>
    </w:pPr>
  </w:style>
  <w:style w:type="paragraph" w:styleId="828">
    <w:name w:val="toc 9"/>
    <w:basedOn w:val="789"/>
    <w:next w:val="789"/>
    <w:uiPriority w:val="39"/>
    <w:unhideWhenUsed/>
    <w:qFormat/>
    <w:pPr>
      <w:ind w:left="2268"/>
      <w:spacing w:after="57"/>
    </w:pPr>
  </w:style>
  <w:style w:type="paragraph" w:styleId="829">
    <w:name w:val="Body Text 2"/>
    <w:basedOn w:val="789"/>
    <w:uiPriority w:val="0"/>
    <w:qFormat/>
    <w:pPr>
      <w:spacing w:after="120" w:line="480" w:lineRule="auto"/>
    </w:pPr>
  </w:style>
  <w:style w:type="paragraph" w:styleId="830">
    <w:name w:val="HTML Preformatted"/>
    <w:basedOn w:val="78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831">
    <w:name w:val="Normal (Web)"/>
    <w:basedOn w:val="789"/>
    <w:uiPriority w:val="0"/>
    <w:qFormat/>
    <w:pPr>
      <w:spacing w:before="100" w:beforeAutospacing="1" w:after="100" w:afterAutospacing="1"/>
    </w:pPr>
    <w:rPr>
      <w:rFonts w:ascii="宋体" w:hAnsi="宋体" w:cs="宋体"/>
    </w:rPr>
  </w:style>
  <w:style w:type="paragraph" w:styleId="832">
    <w:name w:val="Title"/>
    <w:basedOn w:val="789"/>
    <w:next w:val="789"/>
    <w:link w:val="1002"/>
    <w:uiPriority w:val="0"/>
    <w:qFormat/>
    <w:pPr>
      <w:jc w:val="center"/>
      <w:spacing w:before="240" w:after="60"/>
      <w:outlineLvl w:val="0"/>
    </w:pPr>
    <w:rPr>
      <w:rFonts w:ascii="Cambria" w:hAnsi="Cambria"/>
      <w:b/>
      <w:bCs/>
      <w:sz w:val="32"/>
      <w:szCs w:val="32"/>
    </w:rPr>
  </w:style>
  <w:style w:type="paragraph" w:styleId="833">
    <w:name w:val="annotation subject"/>
    <w:basedOn w:val="805"/>
    <w:next w:val="805"/>
    <w:uiPriority w:val="0"/>
    <w:qFormat/>
    <w:rPr>
      <w:b/>
      <w:bCs/>
    </w:rPr>
  </w:style>
  <w:style w:type="paragraph" w:styleId="834">
    <w:name w:val="Body Text First Indent"/>
    <w:basedOn w:val="806"/>
    <w:uiPriority w:val="0"/>
    <w:qFormat/>
    <w:pPr>
      <w:ind w:firstLine="420"/>
      <w:tabs>
        <w:tab w:val="left" w:pos="5250" w:leader="none"/>
      </w:tabs>
    </w:pPr>
  </w:style>
  <w:style w:type="paragraph" w:styleId="835">
    <w:name w:val="Body Text First Indent 2"/>
    <w:basedOn w:val="807"/>
    <w:uiPriority w:val="99"/>
    <w:qFormat/>
    <w:pPr>
      <w:ind w:firstLine="420"/>
    </w:pPr>
  </w:style>
  <w:style w:type="table" w:styleId="836">
    <w:name w:val="Table Grid"/>
    <w:basedOn w:val="8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7">
    <w:name w:val="Strong"/>
    <w:uiPriority w:val="0"/>
    <w:qFormat/>
    <w:rPr>
      <w:b/>
      <w:bCs/>
    </w:rPr>
  </w:style>
  <w:style w:type="character" w:styleId="838">
    <w:name w:val="endnote reference"/>
    <w:basedOn w:val="799"/>
    <w:uiPriority w:val="99"/>
    <w:semiHidden/>
    <w:unhideWhenUsed/>
    <w:qFormat/>
    <w:rPr>
      <w:vertAlign w:val="superscript"/>
    </w:rPr>
  </w:style>
  <w:style w:type="character" w:styleId="839">
    <w:name w:val="page number"/>
    <w:uiPriority w:val="0"/>
    <w:qFormat/>
  </w:style>
  <w:style w:type="character" w:styleId="840">
    <w:name w:val="FollowedHyperlink"/>
    <w:uiPriority w:val="0"/>
    <w:qFormat/>
    <w:rPr>
      <w:color w:val="333333"/>
      <w:u w:val="none"/>
    </w:rPr>
  </w:style>
  <w:style w:type="character" w:styleId="841">
    <w:name w:val="Hyperlink"/>
    <w:uiPriority w:val="0"/>
    <w:qFormat/>
    <w:rPr>
      <w:color w:val="333333"/>
      <w:u w:val="none"/>
    </w:rPr>
  </w:style>
  <w:style w:type="character" w:styleId="842">
    <w:name w:val="annotation reference"/>
    <w:uiPriority w:val="0"/>
    <w:qFormat/>
    <w:rPr>
      <w:sz w:val="21"/>
      <w:szCs w:val="21"/>
    </w:rPr>
  </w:style>
  <w:style w:type="character" w:styleId="843">
    <w:name w:val="footnote reference"/>
    <w:basedOn w:val="799"/>
    <w:uiPriority w:val="99"/>
    <w:unhideWhenUsed/>
    <w:qFormat/>
    <w:rPr>
      <w:vertAlign w:val="superscript"/>
    </w:rPr>
  </w:style>
  <w:style w:type="character" w:styleId="844" w:customStyle="1">
    <w:name w:val="Heading 1 Char"/>
    <w:basedOn w:val="799"/>
    <w:uiPriority w:val="9"/>
    <w:qFormat/>
    <w:rPr>
      <w:rFonts w:ascii="Arial" w:hAnsi="Arial" w:eastAsia="Arial" w:cs="Arial"/>
      <w:sz w:val="40"/>
      <w:szCs w:val="40"/>
    </w:rPr>
  </w:style>
  <w:style w:type="character" w:styleId="845" w:customStyle="1">
    <w:name w:val="Heading 2 Char"/>
    <w:basedOn w:val="799"/>
    <w:uiPriority w:val="9"/>
    <w:qFormat/>
    <w:rPr>
      <w:rFonts w:ascii="Arial" w:hAnsi="Arial" w:eastAsia="Arial" w:cs="Arial"/>
      <w:sz w:val="34"/>
    </w:rPr>
  </w:style>
  <w:style w:type="character" w:styleId="846" w:customStyle="1">
    <w:name w:val="Heading 3 Char"/>
    <w:basedOn w:val="799"/>
    <w:uiPriority w:val="9"/>
    <w:qFormat/>
    <w:rPr>
      <w:rFonts w:ascii="Arial" w:hAnsi="Arial" w:eastAsia="Arial" w:cs="Arial"/>
      <w:sz w:val="30"/>
      <w:szCs w:val="30"/>
    </w:rPr>
  </w:style>
  <w:style w:type="character" w:styleId="847" w:customStyle="1">
    <w:name w:val="Heading 4 Char"/>
    <w:basedOn w:val="799"/>
    <w:uiPriority w:val="9"/>
    <w:qFormat/>
    <w:rPr>
      <w:rFonts w:ascii="Arial" w:hAnsi="Arial" w:eastAsia="Arial" w:cs="Arial"/>
      <w:b/>
      <w:bCs/>
      <w:sz w:val="26"/>
      <w:szCs w:val="26"/>
    </w:rPr>
  </w:style>
  <w:style w:type="character" w:styleId="848" w:customStyle="1">
    <w:name w:val="Heading 5 Char"/>
    <w:basedOn w:val="799"/>
    <w:uiPriority w:val="9"/>
    <w:qFormat/>
    <w:rPr>
      <w:rFonts w:ascii="Arial" w:hAnsi="Arial" w:eastAsia="Arial" w:cs="Arial"/>
      <w:b/>
      <w:bCs/>
      <w:sz w:val="24"/>
      <w:szCs w:val="24"/>
    </w:rPr>
  </w:style>
  <w:style w:type="character" w:styleId="849" w:customStyle="1">
    <w:name w:val="Heading 6 Char"/>
    <w:basedOn w:val="799"/>
    <w:uiPriority w:val="9"/>
    <w:qFormat/>
    <w:rPr>
      <w:rFonts w:ascii="Arial" w:hAnsi="Arial" w:eastAsia="Arial" w:cs="Arial"/>
      <w:b/>
      <w:bCs/>
      <w:sz w:val="22"/>
      <w:szCs w:val="22"/>
    </w:rPr>
  </w:style>
  <w:style w:type="character" w:styleId="850" w:customStyle="1">
    <w:name w:val="Heading 7 Char"/>
    <w:basedOn w:val="799"/>
    <w:uiPriority w:val="9"/>
    <w:qFormat/>
    <w:rPr>
      <w:rFonts w:ascii="Arial" w:hAnsi="Arial" w:eastAsia="Arial" w:cs="Arial"/>
      <w:b/>
      <w:bCs/>
      <w:i/>
      <w:iCs/>
      <w:sz w:val="22"/>
      <w:szCs w:val="22"/>
    </w:rPr>
  </w:style>
  <w:style w:type="character" w:styleId="851" w:customStyle="1">
    <w:name w:val="Heading 8 Char"/>
    <w:basedOn w:val="799"/>
    <w:uiPriority w:val="9"/>
    <w:qFormat/>
    <w:rPr>
      <w:rFonts w:ascii="Arial" w:hAnsi="Arial" w:eastAsia="Arial" w:cs="Arial"/>
      <w:i/>
      <w:iCs/>
      <w:sz w:val="22"/>
      <w:szCs w:val="22"/>
    </w:rPr>
  </w:style>
  <w:style w:type="character" w:styleId="852" w:customStyle="1">
    <w:name w:val="Heading 9 Char"/>
    <w:basedOn w:val="799"/>
    <w:uiPriority w:val="9"/>
    <w:qFormat/>
    <w:rPr>
      <w:rFonts w:ascii="Arial" w:hAnsi="Arial" w:eastAsia="Arial" w:cs="Arial"/>
      <w:i/>
      <w:iCs/>
      <w:sz w:val="21"/>
      <w:szCs w:val="21"/>
    </w:rPr>
  </w:style>
  <w:style w:type="paragraph" w:styleId="853">
    <w:name w:val="List Paragraph"/>
    <w:basedOn w:val="789"/>
    <w:uiPriority w:val="34"/>
    <w:qFormat/>
    <w:pPr>
      <w:contextualSpacing/>
      <w:ind w:left="720"/>
    </w:pPr>
  </w:style>
  <w:style w:type="character" w:styleId="854" w:customStyle="1">
    <w:name w:val="Title Char"/>
    <w:basedOn w:val="799"/>
    <w:uiPriority w:val="10"/>
    <w:qFormat/>
    <w:rPr>
      <w:sz w:val="48"/>
      <w:szCs w:val="48"/>
    </w:rPr>
  </w:style>
  <w:style w:type="character" w:styleId="855" w:customStyle="1">
    <w:name w:val="Subtitle Char"/>
    <w:basedOn w:val="799"/>
    <w:uiPriority w:val="11"/>
    <w:qFormat/>
    <w:rPr>
      <w:sz w:val="24"/>
      <w:szCs w:val="24"/>
    </w:rPr>
  </w:style>
  <w:style w:type="paragraph" w:styleId="856">
    <w:name w:val="Quote"/>
    <w:basedOn w:val="789"/>
    <w:next w:val="789"/>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89"/>
    <w:next w:val="789"/>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Header Char"/>
    <w:basedOn w:val="799"/>
    <w:uiPriority w:val="99"/>
    <w:qFormat/>
  </w:style>
  <w:style w:type="character" w:styleId="861" w:customStyle="1">
    <w:name w:val="Footer Char"/>
    <w:basedOn w:val="799"/>
    <w:uiPriority w:val="99"/>
    <w:qFormat/>
  </w:style>
  <w:style w:type="character" w:styleId="862" w:customStyle="1">
    <w:name w:val="Caption Char"/>
    <w:uiPriority w:val="99"/>
    <w:qFormat/>
  </w:style>
  <w:style w:type="table" w:styleId="863" w:customStyle="1">
    <w:name w:val="Table Grid Light"/>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4" w:customStyle="1">
    <w:name w:val="无格式表格 11"/>
    <w:basedOn w:val="8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8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8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8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8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8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80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80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80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80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80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80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80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80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80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80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80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80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网格表 31"/>
    <w:basedOn w:val="8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80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80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80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80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80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80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8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80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basedOn w:val="80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basedOn w:val="80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basedOn w:val="80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basedOn w:val="80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basedOn w:val="80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网格表 5 深色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basedOn w:val="8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网格表 6 彩色1"/>
    <w:basedOn w:val="8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80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80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80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8" w:customStyle="1">
    <w:name w:val="Grid Table 6 Colorful - Accent 4"/>
    <w:basedOn w:val="80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80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basedOn w:val="80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网格表 7 彩色1"/>
    <w:basedOn w:val="8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80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80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80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80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80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80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basedOn w:val="8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80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80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80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80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80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80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清单表 21"/>
    <w:basedOn w:val="8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80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basedOn w:val="80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basedOn w:val="80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basedOn w:val="80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basedOn w:val="80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basedOn w:val="80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清单表 3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80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basedOn w:val="80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80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80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80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80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清单表 41"/>
    <w:basedOn w:val="8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80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basedOn w:val="80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basedOn w:val="80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basedOn w:val="80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basedOn w:val="80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basedOn w:val="80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清单表 5 深色1"/>
    <w:basedOn w:val="8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80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80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80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80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80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80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清单表 6 彩色1"/>
    <w:basedOn w:val="8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80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basedOn w:val="80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basedOn w:val="80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basedOn w:val="80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basedOn w:val="80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basedOn w:val="80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清单表 7 彩色1"/>
    <w:basedOn w:val="8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80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80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80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80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80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80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basedOn w:val="8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basedOn w:val="8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80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basedOn w:val="80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basedOn w:val="80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basedOn w:val="80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basedOn w:val="80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basedOn w:val="80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basedOn w:val="8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80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basedOn w:val="80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basedOn w:val="80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basedOn w:val="80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basedOn w:val="80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basedOn w:val="80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脚注文本 字符"/>
    <w:link w:val="823"/>
    <w:uiPriority w:val="99"/>
    <w:qFormat/>
    <w:rPr>
      <w:sz w:val="18"/>
    </w:rPr>
  </w:style>
  <w:style w:type="character" w:styleId="989" w:customStyle="1">
    <w:name w:val="尾注文本 字符"/>
    <w:link w:val="816"/>
    <w:uiPriority w:val="99"/>
    <w:qFormat/>
    <w:rPr>
      <w:sz w:val="20"/>
    </w:rPr>
  </w:style>
  <w:style w:type="paragraph" w:styleId="990" w:customStyle="1">
    <w:name w:val="TOC 标题1"/>
    <w:uiPriority w:val="39"/>
    <w:unhideWhenUsed/>
    <w:qFormat/>
    <w:rPr>
      <w:rFonts w:ascii="Times New Roman" w:hAnsi="Times New Roman" w:eastAsia="宋体" w:cs="Times New Roman"/>
      <w:lang w:val="en-US" w:eastAsia="zh-CN" w:bidi="ar-SA"/>
    </w:rPr>
  </w:style>
  <w:style w:type="paragraph" w:styleId="991" w:customStyle="1">
    <w:name w:val="正文首行缩进 21"/>
    <w:basedOn w:val="992"/>
    <w:uiPriority w:val="99"/>
    <w:qFormat/>
    <w:pPr>
      <w:ind w:firstLine="420"/>
    </w:pPr>
  </w:style>
  <w:style w:type="paragraph" w:styleId="992" w:customStyle="1">
    <w:name w:val="正文文本缩进1"/>
    <w:next w:val="789"/>
    <w:uiPriority w:val="0"/>
    <w:qFormat/>
    <w:pPr>
      <w:ind w:left="570"/>
      <w:jc w:val="both"/>
      <w:spacing w:line="520" w:lineRule="exact"/>
      <w:widowControl w:val="off"/>
    </w:pPr>
    <w:rPr>
      <w:rFonts w:ascii="方正仿宋简体" w:hAnsi="创艺简仿宋" w:eastAsia="方正仿宋简体" w:cs="Times New Roman"/>
      <w:sz w:val="24"/>
      <w:szCs w:val="24"/>
      <w:lang w:val="en-US" w:eastAsia="zh-CN" w:bidi="ar-SA"/>
    </w:rPr>
  </w:style>
  <w:style w:type="paragraph" w:styleId="993" w:customStyle="1">
    <w:name w:val="样式1"/>
    <w:basedOn w:val="789"/>
    <w:uiPriority w:val="0"/>
    <w:qFormat/>
    <w:pPr>
      <w:jc w:val="center"/>
    </w:pPr>
  </w:style>
  <w:style w:type="paragraph" w:styleId="994" w:customStyle="1">
    <w:name w:val="正文1"/>
    <w:basedOn w:val="789"/>
    <w:next w:val="789"/>
    <w:uiPriority w:val="0"/>
    <w:qFormat/>
    <w:pPr>
      <w:ind w:firstLine="540"/>
    </w:pPr>
    <w:rPr>
      <w:szCs w:val="20"/>
    </w:rPr>
  </w:style>
  <w:style w:type="character" w:styleId="995" w:customStyle="1">
    <w:name w:val="标题 1 字符"/>
    <w:link w:val="790"/>
    <w:uiPriority w:val="0"/>
    <w:qFormat/>
    <w:rPr>
      <w:rFonts w:eastAsia="楷体_GB2312"/>
      <w:b/>
      <w:sz w:val="44"/>
      <w:szCs w:val="20"/>
    </w:rPr>
  </w:style>
  <w:style w:type="character" w:styleId="996" w:customStyle="1">
    <w:name w:val="标题 2 字符"/>
    <w:basedOn w:val="799"/>
    <w:link w:val="791"/>
    <w:uiPriority w:val="9"/>
    <w:qFormat/>
    <w:rPr>
      <w:rFonts w:ascii="Cambria" w:hAnsi="Cambria" w:eastAsia="宋体" w:cs="Times New Roman"/>
      <w:b/>
      <w:bCs/>
      <w:sz w:val="32"/>
      <w:szCs w:val="32"/>
    </w:rPr>
  </w:style>
  <w:style w:type="character" w:styleId="997" w:customStyle="1">
    <w:name w:val="文档结构图 字符"/>
    <w:link w:val="804"/>
    <w:uiPriority w:val="0"/>
    <w:qFormat/>
    <w:rPr>
      <w:sz w:val="24"/>
      <w:szCs w:val="24"/>
      <w:shd w:val="clear" w:color="auto" w:fill="000080"/>
    </w:rPr>
  </w:style>
  <w:style w:type="character" w:styleId="998" w:customStyle="1">
    <w:name w:val="纯文本 字符"/>
    <w:link w:val="812"/>
    <w:uiPriority w:val="0"/>
    <w:qFormat/>
    <w:rPr>
      <w:rFonts w:ascii="宋体" w:hAnsi="Courier New" w:eastAsia="楷体_GB2312"/>
      <w:sz w:val="26"/>
    </w:rPr>
  </w:style>
  <w:style w:type="character" w:styleId="999" w:customStyle="1">
    <w:name w:val="日期 字符"/>
    <w:link w:val="814"/>
    <w:uiPriority w:val="0"/>
    <w:qFormat/>
    <w:rPr>
      <w:b/>
      <w:bCs/>
      <w:spacing w:val="20"/>
      <w:sz w:val="21"/>
      <w:szCs w:val="24"/>
    </w:rPr>
  </w:style>
  <w:style w:type="character" w:styleId="1000" w:customStyle="1">
    <w:name w:val="页脚 字符"/>
    <w:link w:val="818"/>
    <w:uiPriority w:val="99"/>
    <w:qFormat/>
    <w:rPr>
      <w:sz w:val="18"/>
      <w:szCs w:val="18"/>
    </w:rPr>
  </w:style>
  <w:style w:type="character" w:styleId="1001" w:customStyle="1">
    <w:name w:val="正文文本缩进 3 字符"/>
    <w:link w:val="825"/>
    <w:uiPriority w:val="0"/>
    <w:qFormat/>
    <w:rPr>
      <w:sz w:val="24"/>
      <w:szCs w:val="24"/>
    </w:rPr>
  </w:style>
  <w:style w:type="character" w:styleId="1002" w:customStyle="1">
    <w:name w:val="标题 字符"/>
    <w:link w:val="832"/>
    <w:uiPriority w:val="0"/>
    <w:qFormat/>
    <w:rPr>
      <w:rFonts w:ascii="Cambria" w:hAnsi="Cambria" w:cs="Times New Roman"/>
      <w:b/>
      <w:bCs/>
      <w:sz w:val="32"/>
      <w:szCs w:val="32"/>
    </w:rPr>
  </w:style>
  <w:style w:type="character" w:styleId="1003" w:customStyle="1">
    <w:name w:val="font31"/>
    <w:basedOn w:val="799"/>
    <w:uiPriority w:val="0"/>
    <w:qFormat/>
    <w:rPr>
      <w:rFonts w:hint="eastAsia" w:ascii="宋体" w:hAnsi="宋体" w:eastAsia="宋体" w:cs="宋体"/>
      <w:color w:val="000000"/>
      <w:sz w:val="21"/>
      <w:szCs w:val="21"/>
      <w:u w:val="none"/>
    </w:rPr>
  </w:style>
  <w:style w:type="character" w:styleId="1004" w:customStyle="1">
    <w:name w:val="无"/>
    <w:uiPriority w:val="0"/>
    <w:qFormat/>
  </w:style>
  <w:style w:type="character" w:styleId="1005" w:customStyle="1">
    <w:name w:val="apple-converted-space"/>
    <w:uiPriority w:val="0"/>
    <w:qFormat/>
  </w:style>
  <w:style w:type="character" w:styleId="1006" w:customStyle="1">
    <w:name w:val="font21"/>
    <w:basedOn w:val="799"/>
    <w:uiPriority w:val="0"/>
    <w:qFormat/>
    <w:rPr>
      <w:rFonts w:hint="eastAsia" w:ascii="宋体" w:hAnsi="宋体" w:eastAsia="宋体" w:cs="宋体"/>
      <w:color w:val="000000"/>
      <w:sz w:val="24"/>
      <w:szCs w:val="24"/>
      <w:u w:val="none"/>
    </w:rPr>
  </w:style>
  <w:style w:type="character" w:styleId="1007" w:customStyle="1">
    <w:name w:val="NormalCharacter"/>
    <w:uiPriority w:val="0"/>
    <w:qFormat/>
  </w:style>
  <w:style w:type="character" w:styleId="1008" w:customStyle="1">
    <w:name w:val="font11"/>
    <w:uiPriority w:val="0"/>
    <w:qFormat/>
    <w:rPr>
      <w:rFonts w:hint="eastAsia" w:ascii="宋体" w:hAnsi="宋体" w:eastAsia="宋体" w:cs="宋体"/>
      <w:color w:val="000000"/>
      <w:sz w:val="24"/>
      <w:szCs w:val="24"/>
      <w:u w:val="none"/>
    </w:rPr>
  </w:style>
  <w:style w:type="character" w:styleId="1009" w:customStyle="1">
    <w:name w:val="font01"/>
    <w:uiPriority w:val="0"/>
    <w:qFormat/>
    <w:rPr>
      <w:rFonts w:hint="eastAsia" w:ascii="宋体" w:hAnsi="宋体" w:eastAsia="宋体" w:cs="宋体"/>
      <w:color w:val="000000"/>
      <w:sz w:val="24"/>
      <w:szCs w:val="24"/>
      <w:u w:val="none"/>
    </w:rPr>
  </w:style>
  <w:style w:type="character" w:styleId="1010" w:customStyle="1">
    <w:name w:val="font51"/>
    <w:basedOn w:val="799"/>
    <w:uiPriority w:val="0"/>
    <w:qFormat/>
    <w:rPr>
      <w:rFonts w:hint="eastAsia" w:ascii="宋体" w:hAnsi="宋体" w:eastAsia="宋体" w:cs="宋体"/>
      <w:color w:val="000000"/>
      <w:sz w:val="24"/>
      <w:szCs w:val="24"/>
      <w:u w:val="none"/>
    </w:rPr>
  </w:style>
  <w:style w:type="character" w:styleId="1011" w:customStyle="1">
    <w:name w:val="Plain Text Char"/>
    <w:link w:val="1012"/>
    <w:uiPriority w:val="0"/>
    <w:qFormat/>
    <w:rPr>
      <w:rFonts w:ascii="宋体" w:hAnsi="Courier New" w:eastAsia="楷体_GB2312"/>
      <w:sz w:val="26"/>
    </w:rPr>
  </w:style>
  <w:style w:type="paragraph" w:styleId="1012" w:customStyle="1">
    <w:name w:val="纯文本1"/>
    <w:basedOn w:val="789"/>
    <w:link w:val="1011"/>
    <w:uiPriority w:val="0"/>
    <w:qFormat/>
    <w:pPr>
      <w:jc w:val="both"/>
      <w:widowControl w:val="off"/>
    </w:pPr>
    <w:rPr>
      <w:rFonts w:ascii="宋体" w:hAnsi="Courier New" w:eastAsia="楷体_GB2312"/>
      <w:sz w:val="26"/>
      <w:szCs w:val="20"/>
    </w:rPr>
  </w:style>
  <w:style w:type="character" w:styleId="1013" w:customStyle="1">
    <w:name w:val="Andy_正文 Char"/>
    <w:link w:val="1014"/>
    <w:uiPriority w:val="0"/>
    <w:qFormat/>
    <w:rPr>
      <w:rFonts w:ascii="Calibri" w:hAnsi="Calibri"/>
      <w:sz w:val="24"/>
      <w:szCs w:val="24"/>
    </w:rPr>
  </w:style>
  <w:style w:type="paragraph" w:styleId="1014" w:customStyle="1">
    <w:name w:val="Andy_正文"/>
    <w:basedOn w:val="789"/>
    <w:link w:val="1013"/>
    <w:uiPriority w:val="0"/>
    <w:qFormat/>
    <w:pPr>
      <w:ind w:firstLine="480"/>
      <w:jc w:val="both"/>
      <w:spacing w:line="360" w:lineRule="auto"/>
      <w:widowControl w:val="off"/>
    </w:pPr>
    <w:rPr>
      <w:rFonts w:ascii="Calibri" w:hAnsi="Calibri"/>
    </w:rPr>
  </w:style>
  <w:style w:type="paragraph" w:styleId="1015" w:customStyle="1">
    <w:name w:val="H-TextFormat"/>
    <w:uiPriority w:val="0"/>
    <w:qFormat/>
    <w:rPr>
      <w:rFonts w:ascii="Arial" w:hAnsi="Arial" w:eastAsia="宋体" w:cs="Times New Roman"/>
      <w:sz w:val="22"/>
      <w:lang w:val="en-GB" w:eastAsia="en-US" w:bidi="ar-SA"/>
    </w:rPr>
  </w:style>
  <w:style w:type="paragraph" w:styleId="1016" w:customStyle="1">
    <w:name w:val="Char1"/>
    <w:basedOn w:val="789"/>
    <w:uiPriority w:val="0"/>
    <w:qFormat/>
    <w:pPr>
      <w:jc w:val="both"/>
      <w:widowControl w:val="off"/>
    </w:pPr>
    <w:rPr>
      <w:rFonts w:ascii="Tahoma" w:hAnsi="Tahoma"/>
      <w:szCs w:val="20"/>
    </w:rPr>
  </w:style>
  <w:style w:type="paragraph" w:styleId="1017" w:customStyle="1">
    <w:name w:val="_Style 12"/>
    <w:basedOn w:val="804"/>
    <w:uiPriority w:val="0"/>
    <w:qFormat/>
    <w:pPr>
      <w:spacing w:line="360" w:lineRule="auto"/>
    </w:pPr>
  </w:style>
  <w:style w:type="paragraph" w:styleId="1018" w:customStyle="1">
    <w:name w:val="Table Paragraph"/>
    <w:basedOn w:val="789"/>
    <w:uiPriority w:val="1"/>
    <w:qFormat/>
    <w:pPr>
      <w:widowControl w:val="off"/>
    </w:pPr>
    <w:rPr>
      <w:rFonts w:ascii="宋体" w:hAnsi="宋体" w:cs="宋体"/>
      <w:sz w:val="22"/>
      <w:szCs w:val="22"/>
      <w:lang w:val="zh-CN" w:bidi="zh-CN"/>
    </w:rPr>
  </w:style>
  <w:style w:type="paragraph" w:styleId="1019" w:customStyle="1">
    <w:name w:val="_Style 25"/>
    <w:basedOn w:val="789"/>
    <w:uiPriority w:val="0"/>
    <w:qFormat/>
    <w:pPr>
      <w:spacing w:after="160" w:line="240" w:lineRule="exact"/>
    </w:pPr>
    <w:rPr>
      <w:szCs w:val="20"/>
    </w:rPr>
  </w:style>
  <w:style w:type="paragraph" w:styleId="1020" w:customStyle="1">
    <w:name w:val="纯文本11"/>
    <w:basedOn w:val="789"/>
    <w:uiPriority w:val="0"/>
    <w:qFormat/>
    <w:pPr>
      <w:jc w:val="both"/>
      <w:widowControl w:val="off"/>
    </w:pPr>
    <w:rPr>
      <w:rFonts w:ascii="宋体" w:hAnsi="Courier New" w:eastAsia="楷体_GB2312"/>
      <w:sz w:val="28"/>
      <w:szCs w:val="20"/>
    </w:rPr>
  </w:style>
  <w:style w:type="paragraph" w:styleId="1021"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22" w:customStyle="1">
    <w:name w:val="Char Char Char1 Char Char Char Char"/>
    <w:basedOn w:val="789"/>
    <w:uiPriority w:val="0"/>
    <w:qFormat/>
    <w:pPr>
      <w:spacing w:after="160" w:line="240" w:lineRule="exact"/>
    </w:pPr>
  </w:style>
  <w:style w:type="paragraph" w:styleId="1023" w:customStyle="1">
    <w:name w:val="表正文"/>
    <w:basedOn w:val="789"/>
    <w:next w:val="807"/>
    <w:uiPriority w:val="0"/>
    <w:qFormat/>
    <w:pPr>
      <w:ind w:left="420"/>
      <w:spacing w:after="120"/>
    </w:pPr>
    <w:rPr>
      <w:sz w:val="21"/>
    </w:rPr>
  </w:style>
  <w:style w:type="paragraph" w:styleId="1024" w:customStyle="1">
    <w:name w:val="Char Char Char Char Char Char Char Char Char Char"/>
    <w:basedOn w:val="789"/>
    <w:uiPriority w:val="0"/>
    <w:qFormat/>
    <w:pPr>
      <w:ind w:left="795" w:hanging="360"/>
      <w:jc w:val="both"/>
      <w:widowControl w:val="off"/>
      <w:tabs>
        <w:tab w:val="left" w:pos="795" w:leader="none"/>
      </w:tabs>
    </w:pPr>
  </w:style>
  <w:style w:type="paragraph" w:styleId="1025" w:customStyle="1">
    <w:name w:val="Char1 Char Char Char"/>
    <w:basedOn w:val="789"/>
    <w:uiPriority w:val="0"/>
    <w:qFormat/>
    <w:pPr>
      <w:jc w:val="both"/>
      <w:widowControl w:val="off"/>
    </w:pPr>
    <w:rPr>
      <w:sz w:val="21"/>
    </w:rPr>
  </w:style>
  <w:style w:type="paragraph" w:styleId="102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27">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028"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29" w:customStyle="1">
    <w:name w:val="Andy_2级"/>
    <w:basedOn w:val="789"/>
    <w:uiPriority w:val="0"/>
    <w:qFormat/>
    <w:pPr>
      <w:numPr>
        <w:ilvl w:val="1"/>
        <w:numId w:val="2"/>
      </w:numPr>
      <w:ind w:left="0" w:firstLine="510"/>
      <w:spacing w:line="360" w:lineRule="auto"/>
    </w:pPr>
    <w:rPr>
      <w:rFonts w:ascii="Calibri" w:hAnsi="Calibri"/>
      <w:szCs w:val="20"/>
    </w:rPr>
  </w:style>
  <w:style w:type="paragraph" w:styleId="1030" w:customStyle="1">
    <w:name w:val="p16"/>
    <w:basedOn w:val="789"/>
    <w:uiPriority w:val="0"/>
    <w:qFormat/>
    <w:rPr>
      <w:rFonts w:ascii="宋体" w:hAnsi="宋体" w:cs="宋体"/>
      <w:sz w:val="26"/>
      <w:szCs w:val="26"/>
    </w:rPr>
  </w:style>
  <w:style w:type="paragraph" w:styleId="1031" w:customStyle="1">
    <w:name w:val="纯文本3"/>
    <w:basedOn w:val="789"/>
    <w:uiPriority w:val="0"/>
    <w:qFormat/>
    <w:rPr>
      <w:rFonts w:ascii="宋体" w:hAnsi="Courier New"/>
      <w:sz w:val="26"/>
    </w:rPr>
  </w:style>
  <w:style w:type="paragraph" w:styleId="1032" w:customStyle="1">
    <w:name w:val="Char Char Char"/>
    <w:basedOn w:val="789"/>
    <w:uiPriority w:val="0"/>
    <w:qFormat/>
    <w:pPr>
      <w:ind w:left="795" w:hanging="360"/>
      <w:jc w:val="both"/>
      <w:widowControl w:val="off"/>
      <w:tabs>
        <w:tab w:val="left" w:pos="795" w:leader="none"/>
      </w:tabs>
    </w:pPr>
  </w:style>
  <w:style w:type="paragraph" w:styleId="1033" w:customStyle="1">
    <w:name w:val="样式2"/>
    <w:basedOn w:val="993"/>
    <w:uiPriority w:val="0"/>
    <w:qFormat/>
    <w:rPr>
      <w:sz w:val="21"/>
    </w:rPr>
  </w:style>
  <w:style w:type="paragraph" w:styleId="1034" w:customStyle="1">
    <w:name w:val="f正文"/>
    <w:basedOn w:val="789"/>
    <w:uiPriority w:val="0"/>
    <w:qFormat/>
    <w:pPr>
      <w:ind w:firstLine="200"/>
    </w:pPr>
  </w:style>
  <w:style w:type="paragraph" w:styleId="1035" w:customStyle="1">
    <w:name w:val="_Style 3"/>
    <w:basedOn w:val="789"/>
    <w:uiPriority w:val="0"/>
    <w:qFormat/>
    <w:pPr>
      <w:ind w:left="795" w:hanging="360"/>
      <w:jc w:val="both"/>
      <w:widowControl w:val="off"/>
      <w:tabs>
        <w:tab w:val="left" w:pos="540" w:leader="none"/>
      </w:tabs>
    </w:pPr>
  </w:style>
  <w:style w:type="paragraph" w:styleId="1036" w:customStyle="1">
    <w:name w:val="Char Char Char Char Char Char Char Char Char1 Char"/>
    <w:basedOn w:val="804"/>
    <w:uiPriority w:val="0"/>
    <w:qFormat/>
    <w:pPr>
      <w:spacing w:line="360" w:lineRule="auto"/>
    </w:pPr>
    <w:rPr>
      <w:rFonts w:ascii="Tahoma" w:hAnsi="Tahoma"/>
    </w:rPr>
  </w:style>
  <w:style w:type="paragraph" w:styleId="1037" w:customStyle="1">
    <w:name w:val="纯文本5"/>
    <w:basedOn w:val="789"/>
    <w:uiPriority w:val="0"/>
    <w:qFormat/>
    <w:rPr>
      <w:rFonts w:ascii="宋体" w:hAnsi="Courier New" w:eastAsia="楷体_GB2312"/>
      <w:sz w:val="28"/>
      <w:szCs w:val="20"/>
    </w:rPr>
  </w:style>
  <w:style w:type="paragraph" w:styleId="1038" w:customStyle="1">
    <w:name w:val="p18"/>
    <w:basedOn w:val="789"/>
    <w:uiPriority w:val="0"/>
    <w:qFormat/>
    <w:pPr>
      <w:ind w:firstLine="420"/>
    </w:pPr>
  </w:style>
  <w:style w:type="paragraph" w:styleId="1039" w:customStyle="1">
    <w:name w:val="纯文本2"/>
    <w:basedOn w:val="789"/>
    <w:uiPriority w:val="0"/>
    <w:qFormat/>
    <w:rPr>
      <w:rFonts w:ascii="宋体" w:hAnsi="Courier New"/>
    </w:rPr>
  </w:style>
  <w:style w:type="paragraph" w:styleId="1040" w:customStyle="1">
    <w:name w:val="Char Char2"/>
    <w:basedOn w:val="804"/>
    <w:uiPriority w:val="0"/>
    <w:qFormat/>
    <w:pPr>
      <w:spacing w:line="360" w:lineRule="auto"/>
    </w:pPr>
  </w:style>
  <w:style w:type="paragraph" w:styleId="1041" w:customStyle="1">
    <w:name w:val="_Style 5"/>
    <w:basedOn w:val="789"/>
    <w:uiPriority w:val="0"/>
    <w:qFormat/>
    <w:pPr>
      <w:spacing w:after="160" w:line="240" w:lineRule="exact"/>
    </w:pPr>
    <w:rPr>
      <w:szCs w:val="20"/>
    </w:rPr>
  </w:style>
  <w:style w:type="paragraph" w:styleId="1042" w:customStyle="1">
    <w:name w:val="段"/>
    <w:next w:val="789"/>
    <w:uiPriority w:val="0"/>
    <w:qFormat/>
    <w:pPr>
      <w:ind w:firstLine="200"/>
      <w:jc w:val="both"/>
    </w:pPr>
    <w:rPr>
      <w:rFonts w:ascii="宋体" w:hAnsi="Times New Roman" w:eastAsia="宋体" w:cs="Times New Roman"/>
      <w:sz w:val="21"/>
      <w:szCs w:val="22"/>
      <w:lang w:val="en-US" w:eastAsia="zh-CN" w:bidi="ar-SA"/>
    </w:rPr>
  </w:style>
  <w:style w:type="paragraph" w:styleId="1043" w:customStyle="1">
    <w:name w:val="Char Char Char Char"/>
    <w:basedOn w:val="804"/>
    <w:uiPriority w:val="0"/>
    <w:qFormat/>
    <w:pPr>
      <w:spacing w:line="360" w:lineRule="auto"/>
    </w:pPr>
  </w:style>
  <w:style w:type="paragraph" w:styleId="1044" w:customStyle="1">
    <w:name w:val="p0"/>
    <w:basedOn w:val="789"/>
    <w:uiPriority w:val="0"/>
    <w:qFormat/>
  </w:style>
  <w:style w:type="paragraph" w:styleId="1045" w:customStyle="1">
    <w:name w:val="Char Char Char Char Char Char Char Char Char1 Char1"/>
    <w:basedOn w:val="804"/>
    <w:uiPriority w:val="0"/>
    <w:qFormat/>
    <w:pPr>
      <w:spacing w:line="360" w:lineRule="auto"/>
    </w:pPr>
    <w:rPr>
      <w:rFonts w:ascii="Tahoma" w:hAnsi="Tahoma"/>
    </w:rPr>
  </w:style>
  <w:style w:type="paragraph" w:styleId="1046" w:customStyle="1">
    <w:name w:val="列出段落1"/>
    <w:basedOn w:val="789"/>
    <w:uiPriority w:val="0"/>
    <w:qFormat/>
    <w:pPr>
      <w:ind w:firstLine="420"/>
    </w:pPr>
    <w:rPr>
      <w:rFonts w:ascii="Calibri" w:hAnsi="Calibri" w:cs="Calibri"/>
      <w:szCs w:val="22"/>
    </w:rPr>
  </w:style>
  <w:style w:type="paragraph" w:styleId="1047" w:customStyle="1">
    <w:name w:val="纯文本111"/>
    <w:basedOn w:val="789"/>
    <w:uiPriority w:val="0"/>
    <w:qFormat/>
    <w:rPr>
      <w:rFonts w:ascii="宋体" w:hAnsi="Courier New"/>
    </w:rPr>
  </w:style>
  <w:style w:type="paragraph" w:styleId="1048" w:customStyle="1">
    <w:name w:val="列表段落1"/>
    <w:basedOn w:val="789"/>
    <w:uiPriority w:val="0"/>
    <w:qFormat/>
    <w:pPr>
      <w:ind w:firstLine="420"/>
      <w:jc w:val="both"/>
      <w:widowControl w:val="off"/>
    </w:pPr>
    <w:rPr>
      <w:rFonts w:ascii="Calibri" w:hAnsi="Calibri"/>
      <w:sz w:val="21"/>
      <w:szCs w:val="22"/>
    </w:rPr>
  </w:style>
  <w:style w:type="paragraph" w:styleId="1049" w:customStyle="1">
    <w:name w:val="Char Char3"/>
    <w:basedOn w:val="789"/>
    <w:uiPriority w:val="0"/>
    <w:qFormat/>
    <w:pPr>
      <w:numPr>
        <w:ilvl w:val="0"/>
        <w:numId w:val="3"/>
      </w:numPr>
      <w:jc w:val="both"/>
      <w:widowControl w:val="off"/>
    </w:pPr>
  </w:style>
  <w:style w:type="paragraph" w:styleId="1050" w:customStyle="1">
    <w:name w:val="Char"/>
    <w:basedOn w:val="789"/>
    <w:uiPriority w:val="0"/>
    <w:qFormat/>
    <w:pPr>
      <w:jc w:val="both"/>
      <w:widowControl w:val="off"/>
    </w:pPr>
    <w:rPr>
      <w:rFonts w:ascii="Tahoma" w:hAnsi="Tahoma" w:cs="Tahoma"/>
    </w:rPr>
  </w:style>
  <w:style w:type="paragraph" w:styleId="1051" w:customStyle="1">
    <w:name w:val="01 章标"/>
    <w:basedOn w:val="789"/>
    <w:uiPriority w:val="0"/>
    <w:qFormat/>
    <w:pPr>
      <w:ind w:firstLine="883"/>
      <w:jc w:val="center"/>
      <w:outlineLvl w:val="0"/>
    </w:pPr>
    <w:rPr>
      <w:b/>
      <w:sz w:val="44"/>
      <w:szCs w:val="44"/>
    </w:rPr>
  </w:style>
  <w:style w:type="paragraph" w:styleId="1052" w:customStyle="1">
    <w:name w:val="首行缩进"/>
    <w:basedOn w:val="789"/>
    <w:uiPriority w:val="0"/>
    <w:qFormat/>
    <w:pPr>
      <w:ind w:firstLine="480"/>
    </w:pPr>
    <w:rPr>
      <w:rFonts w:eastAsia="楷体_GB2312"/>
      <w:sz w:val="26"/>
      <w:szCs w:val="20"/>
      <w:lang w:val="zh-CN"/>
    </w:rPr>
  </w:style>
  <w:style w:type="paragraph" w:styleId="1053" w:customStyle="1">
    <w:name w:val="Other|1"/>
    <w:basedOn w:val="789"/>
    <w:uiPriority w:val="0"/>
    <w:qFormat/>
    <w:pPr>
      <w:spacing w:line="306" w:lineRule="exact"/>
    </w:pPr>
    <w:rPr>
      <w:rFonts w:ascii="宋体" w:hAnsi="宋体" w:cs="宋体"/>
      <w:sz w:val="20"/>
      <w:szCs w:val="20"/>
      <w:lang w:val="zh-TW" w:eastAsia="zh-TW" w:bidi="zh-TW"/>
    </w:rPr>
  </w:style>
  <w:style w:type="paragraph" w:styleId="1054" w:customStyle="1">
    <w:name w:val="Plain Text1"/>
    <w:basedOn w:val="789"/>
    <w:uiPriority w:val="0"/>
    <w:qFormat/>
    <w:rPr>
      <w:rFonts w:hint="eastAsia" w:ascii="宋体" w:hAnsi="Courier New"/>
    </w:rPr>
  </w:style>
  <w:style w:type="paragraph" w:styleId="1055" w:customStyle="1">
    <w:name w:val="正文2"/>
    <w:basedOn w:val="789"/>
    <w:uiPriority w:val="0"/>
    <w:qFormat/>
    <w:pPr>
      <w:ind w:firstLine="200"/>
      <w:spacing w:after="160" w:line="360" w:lineRule="auto"/>
    </w:pPr>
    <w:rPr>
      <w:rFonts w:ascii="Verdana" w:hAnsi="Verdana" w:eastAsia="黑体"/>
      <w:sz w:val="21"/>
      <w:szCs w:val="20"/>
      <w:lang w:eastAsia="en-US"/>
    </w:rPr>
  </w:style>
  <w:style w:type="paragraph" w:styleId="1056" w:customStyle="1">
    <w:name w:val="图片格式"/>
    <w:basedOn w:val="789"/>
    <w:uiPriority w:val="0"/>
    <w:qFormat/>
    <w:pPr>
      <w:jc w:val="center"/>
      <w:tabs>
        <w:tab w:val="center" w:pos="4153" w:leader="none"/>
        <w:tab w:val="right" w:pos="8306" w:leader="none"/>
      </w:tabs>
    </w:pPr>
    <w:rPr>
      <w:rFonts w:cs="宋体"/>
      <w:szCs w:val="20"/>
    </w:rPr>
  </w:style>
  <w:style w:type="paragraph" w:styleId="1057" w:customStyle="1">
    <w:name w:val="p17"/>
    <w:basedOn w:val="789"/>
    <w:uiPriority w:val="0"/>
    <w:qFormat/>
    <w:pPr>
      <w:jc w:val="both"/>
    </w:pPr>
    <w:rPr>
      <w:rFonts w:ascii="宋体" w:hAnsi="宋体" w:cs="宋体"/>
      <w:sz w:val="26"/>
      <w:szCs w:val="26"/>
    </w:rPr>
  </w:style>
  <w:style w:type="paragraph" w:styleId="1058" w:customStyle="1">
    <w:name w:val="Char2"/>
    <w:basedOn w:val="804"/>
    <w:uiPriority w:val="0"/>
    <w:qFormat/>
    <w:pPr>
      <w:spacing w:line="360" w:lineRule="auto"/>
    </w:pPr>
  </w:style>
  <w:style w:type="paragraph" w:styleId="1059" w:customStyle="1">
    <w:name w:val="无间隔1"/>
    <w:uiPriority w:val="1"/>
    <w:qFormat/>
    <w:rPr>
      <w:rFonts w:ascii="微软雅黑." w:hAnsi="微软雅黑." w:eastAsia="宋体" w:cs="Times New Roman"/>
      <w:sz w:val="22"/>
      <w:szCs w:val="22"/>
      <w:lang w:val="en-US" w:eastAsia="zh-CN" w:bidi="ar-SA"/>
    </w:rPr>
  </w:style>
  <w:style w:type="paragraph" w:styleId="1060" w:customStyle="1">
    <w:name w:val="方案正文"/>
    <w:basedOn w:val="789"/>
    <w:uiPriority w:val="0"/>
    <w:qFormat/>
    <w:pPr>
      <w:spacing w:line="440" w:lineRule="atLeast"/>
    </w:pPr>
  </w:style>
  <w:style w:type="paragraph" w:styleId="1061" w:customStyle="1">
    <w:name w:val="*正文"/>
    <w:basedOn w:val="789"/>
    <w:uiPriority w:val="0"/>
    <w:qFormat/>
    <w:rPr>
      <w:rFonts w:ascii="宋体" w:hAnsi="宋体"/>
      <w:lang w:val="zh-CN"/>
    </w:rPr>
  </w:style>
  <w:style w:type="paragraph" w:styleId="1062" w:customStyle="1">
    <w:name w:val="普通正文"/>
    <w:basedOn w:val="789"/>
    <w:uiPriority w:val="0"/>
    <w:qFormat/>
    <w:pPr>
      <w:ind w:firstLine="480"/>
      <w:spacing w:before="120" w:after="120" w:line="360" w:lineRule="auto"/>
    </w:pPr>
    <w:rPr>
      <w:rFonts w:ascii="Arial" w:hAnsi="Arial" w:cs="Arial"/>
    </w:rPr>
  </w:style>
  <w:style w:type="paragraph" w:styleId="1063" w:customStyle="1">
    <w:name w:val="_Style 7"/>
    <w:basedOn w:val="806"/>
    <w:next w:val="834"/>
    <w:uiPriority w:val="0"/>
    <w:qFormat/>
    <w:pPr>
      <w:ind w:firstLine="420"/>
    </w:pPr>
    <w:rPr>
      <w:rFonts w:ascii="Calibri" w:hAnsi="Calibri"/>
    </w:rPr>
  </w:style>
  <w:style w:type="paragraph" w:styleId="1064" w:customStyle="1">
    <w:name w:val="目录 51"/>
    <w:next w:val="789"/>
    <w:uiPriority w:val="0"/>
    <w:qFormat/>
    <w:pPr>
      <w:ind w:left="1275"/>
      <w:jc w:val="both"/>
    </w:pPr>
    <w:rPr>
      <w:rFonts w:ascii="Times New Roman" w:hAnsi="Times New Roman" w:eastAsia="宋体" w:cs="Times New Roman"/>
      <w:sz w:val="21"/>
      <w:lang w:val="en-US" w:eastAsia="zh-CN" w:bidi="ar-SA"/>
    </w:rPr>
  </w:style>
  <w:style w:type="paragraph" w:styleId="1065" w:customStyle="1">
    <w:name w:val="列表段落11"/>
    <w:basedOn w:val="789"/>
    <w:uiPriority w:val="34"/>
    <w:qFormat/>
    <w:pPr>
      <w:ind w:firstLine="420"/>
    </w:pPr>
  </w:style>
  <w:style w:type="paragraph" w:styleId="1066" w:customStyle="1">
    <w:name w:val="纯文本4"/>
    <w:basedOn w:val="789"/>
    <w:uiPriority w:val="0"/>
    <w:qFormat/>
    <w:pPr>
      <w:jc w:val="both"/>
      <w:widowControl w:val="off"/>
    </w:pPr>
    <w:rPr>
      <w:rFonts w:ascii="宋体" w:hAnsi="Courier New" w:eastAsia="楷体_GB2312"/>
      <w:sz w:val="26"/>
      <w:szCs w:val="20"/>
    </w:rPr>
  </w:style>
  <w:style w:type="paragraph" w:styleId="1067" w:customStyle="1">
    <w:name w:val="Table Text"/>
    <w:uiPriority w:val="0"/>
    <w:semiHidden/>
    <w:qFormat/>
    <w:rPr>
      <w:rFonts w:ascii="宋体" w:hAnsi="宋体" w:eastAsia="宋体" w:cs="宋体"/>
      <w:color w:val="000000"/>
      <w:sz w:val="18"/>
      <w:szCs w:val="18"/>
      <w:lang w:val="en-US" w:eastAsia="en-US" w:bidi="ar-SA"/>
    </w:rPr>
  </w:style>
  <w:style w:type="table" w:styleId="1068" w:customStyle="1">
    <w:name w:val="Table Normal"/>
    <w:uiPriority w:val="0"/>
    <w:semiHidden/>
    <w:unhideWhenUsed/>
    <w:qFormat/>
    <w:tblPr>
      <w:tblCellMar>
        <w:left w:w="0" w:type="dxa"/>
        <w:top w:w="0" w:type="dxa"/>
        <w:right w:w="0" w:type="dxa"/>
        <w:bottom w:w="0" w:type="dxa"/>
      </w:tblCellMar>
    </w:tblPr>
  </w:style>
  <w:style w:type="paragraph" w:styleId="1069" w:customStyle="1">
    <w:name w:val="修订1"/>
    <w:hidden/>
    <w:uiPriority w:val="99"/>
    <w:unhideWhenUsed/>
    <w:qFormat/>
    <w:rPr>
      <w:rFonts w:ascii="Times New Roman" w:hAnsi="Times New Roman" w:eastAsia="宋体" w:cs="Times New Roman"/>
      <w:sz w:val="24"/>
      <w:szCs w:val="24"/>
      <w:lang w:val="en-US" w:eastAsia="zh-CN" w:bidi="ar-SA"/>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9</cp:revision>
  <dcterms:created xsi:type="dcterms:W3CDTF">2025-06-16T05:35:00Z</dcterms:created>
  <dcterms:modified xsi:type="dcterms:W3CDTF">2025-06-26T02:59:01Z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3B58C4D074874AC6B3E3535980F157A6_13</vt:lpwstr>
  </property>
  <property fmtid="{D5CDD505-2E9C-101B-9397-08002B2CF9AE}" pid="4" name="KSOTemplateDocerSaveRecord">
    <vt:lpwstr>eyJoZGlkIjoiNWI1MzFhYjQwMzQ3OWQwYzYxMTRhZmIwOThhMjJmYjUiLCJ1c2VySWQiOiI1NTg4NTI5ODUifQ==</vt:lpwstr>
  </property>
</Properties>
</file>