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spacing w:before="120" w:beforeAutospacing="0" w:after="120" w:afterAutospacing="0" w:line="360" w:lineRule="auto"/>
        <w:rPr>
          <w:highlight w:val="none"/>
        </w:rPr>
      </w:pPr>
      <w:r>
        <w:rPr>
          <w:highlight w:val="none"/>
        </w:rPr>
        <w:t xml:space="preserve"> </w:t>
      </w:r>
      <w:r/>
    </w:p>
    <w:p>
      <w:pPr>
        <w:pStyle w:val="659"/>
        <w:jc w:val="center"/>
        <w:keepLines w:val="0"/>
        <w:keepNext w:val="0"/>
        <w:pageBreakBefore w:val="0"/>
        <w:spacing w:before="1801" w:beforeAutospacing="0" w:afterAutospacing="0" w:line="360" w:lineRule="auto"/>
        <w:widowControl w:val="off"/>
        <w:rPr>
          <w:highlight w:val="none"/>
        </w:rPr>
      </w:pPr>
      <w:r>
        <w:rPr>
          <w:rFonts w:ascii="Arial" w:hAnsi="Arial" w:cs="Arial"/>
          <w:b/>
          <w:color w:val="000000"/>
          <w:sz w:val="84"/>
          <w:szCs w:val="84"/>
          <w:highlight w:val="none"/>
        </w:rPr>
        <w:t xml:space="preserve">招 标 文 件</w:t>
      </w:r>
      <w:r/>
    </w:p>
    <w:p>
      <w:pPr>
        <w:pStyle w:val="65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9"/>
        <w:jc w:val="both"/>
        <w:keepLines w:val="0"/>
        <w:keepNext w:val="0"/>
        <w:pageBreakBefore w:val="0"/>
        <w:spacing w:beforeAutospacing="0" w:afterAutospacing="0" w:line="480" w:lineRule="auto"/>
        <w:widowControl w:val="off"/>
        <w:rPr>
          <w:rFonts w:hint="eastAsia" w:eastAsiaTheme="minorEastAsia"/>
          <w:sz w:val="22"/>
          <w:szCs w:val="22"/>
          <w:highlight w:val="none"/>
          <w:lang w:eastAsia="zh-CN"/>
        </w:rPr>
      </w:pPr>
      <w:r>
        <w:rPr>
          <w:rFonts w:ascii="Arial" w:hAnsi="Arial" w:cs="Arial"/>
          <w:b/>
          <w:color w:val="000000"/>
          <w:sz w:val="28"/>
          <w:szCs w:val="28"/>
          <w:highlight w:val="none"/>
        </w:rPr>
        <w:t xml:space="preserve">项目名称：</w:t>
      </w:r>
      <w:r>
        <w:rPr>
          <w:rFonts w:hint="eastAsia" w:ascii="Arial" w:hAnsi="Arial" w:cs="Arial"/>
          <w:b/>
          <w:color w:val="000000"/>
          <w:sz w:val="28"/>
          <w:szCs w:val="28"/>
          <w:highlight w:val="none"/>
          <w:lang w:eastAsia="zh-CN"/>
        </w:rPr>
        <w:t xml:space="preserve">江苏省东台中学汇文中心改造提升-社团活动基地</w:t>
      </w:r>
      <w:r/>
    </w:p>
    <w:p>
      <w:pPr>
        <w:pStyle w:val="659"/>
        <w:jc w:val="both"/>
        <w:keepLines w:val="0"/>
        <w:keepNext w:val="0"/>
        <w:pageBreakBefore w:val="0"/>
        <w:spacing w:beforeAutospacing="0" w:afterAutospacing="0" w:line="480" w:lineRule="auto"/>
        <w:widowControl w:val="off"/>
        <w:rPr>
          <w:rFonts w:hint="default" w:eastAsiaTheme="minorEastAsia"/>
          <w:highlight w:val="none"/>
          <w:lang w:val="en-US" w:eastAsia="zh-CN"/>
        </w:rPr>
      </w:pPr>
      <w:r>
        <w:rPr>
          <w:rFonts w:ascii="Arial" w:hAnsi="Arial" w:cs="Arial"/>
          <w:b/>
          <w:color w:val="000000"/>
          <w:sz w:val="28"/>
          <w:szCs w:val="28"/>
          <w:highlight w:val="none"/>
        </w:rPr>
        <w:t xml:space="preserve">项目编号：</w:t>
      </w:r>
      <w:r>
        <w:rPr>
          <w:rFonts w:hint="eastAsia" w:ascii="Arial" w:hAnsi="Arial" w:cs="Arial"/>
          <w:b/>
          <w:color w:val="000000"/>
          <w:sz w:val="28"/>
          <w:szCs w:val="28"/>
          <w:highlight w:val="none"/>
        </w:rPr>
        <w:t xml:space="preserve">JSZC-320981-YCCZ-G2025-0016</w:t>
      </w:r>
      <w:r>
        <w:rPr>
          <w:rFonts w:hint="eastAsia" w:ascii="Arial" w:hAnsi="Arial" w:cs="Arial"/>
          <w:b/>
          <w:color w:val="000000"/>
          <w:sz w:val="32"/>
          <w:szCs w:val="32"/>
          <w:highlight w:val="none"/>
          <w:lang w:val="en-US" w:eastAsia="zh-CN"/>
        </w:rPr>
      </w:r>
      <w:r/>
    </w:p>
    <w:p>
      <w:pPr>
        <w:pStyle w:val="659"/>
        <w:spacing w:beforeAutospacing="0" w:afterAutospacing="0" w:line="360" w:lineRule="auto"/>
        <w:rPr>
          <w:highlight w:val="none"/>
        </w:rPr>
      </w:pPr>
      <w:r>
        <w:rPr>
          <w:highlight w:val="none"/>
        </w:rPr>
        <w:t xml:space="preserve"> </w:t>
      </w:r>
      <w:r/>
    </w:p>
    <w:p>
      <w:pPr>
        <w:pStyle w:val="659"/>
        <w:spacing w:beforeAutospacing="0" w:afterAutospacing="0" w:line="360" w:lineRule="auto"/>
        <w:rPr>
          <w:highlight w:val="none"/>
        </w:rPr>
      </w:pPr>
      <w:r>
        <w:rPr>
          <w:highlight w:val="none"/>
        </w:rPr>
        <w:t xml:space="preserve"> </w:t>
      </w:r>
      <w:r/>
    </w:p>
    <w:p>
      <w:pPr>
        <w:pStyle w:val="659"/>
        <w:spacing w:beforeAutospacing="0" w:afterAutospacing="0" w:line="360" w:lineRule="auto"/>
        <w:rPr>
          <w:highlight w:val="none"/>
        </w:rPr>
      </w:pPr>
      <w:r>
        <w:rPr>
          <w:highlight w:val="none"/>
        </w:rPr>
        <w:t xml:space="preserve"> </w:t>
      </w:r>
      <w:r/>
    </w:p>
    <w:p>
      <w:pPr>
        <w:pStyle w:val="659"/>
        <w:spacing w:beforeAutospacing="0" w:afterAutospacing="0" w:line="360" w:lineRule="auto"/>
        <w:rPr>
          <w:highlight w:val="none"/>
        </w:rPr>
      </w:pPr>
      <w:r>
        <w:rPr>
          <w:highlight w:val="none"/>
        </w:rPr>
        <w:t xml:space="preserve"> </w:t>
      </w:r>
      <w:r/>
    </w:p>
    <w:p>
      <w:pPr>
        <w:pStyle w:val="659"/>
        <w:spacing w:beforeAutospacing="0" w:afterAutospacing="0" w:line="360" w:lineRule="auto"/>
        <w:rPr>
          <w:highlight w:val="none"/>
        </w:rPr>
      </w:pPr>
      <w:r>
        <w:rPr>
          <w:highlight w:val="none"/>
        </w:rPr>
      </w:r>
      <w:r/>
    </w:p>
    <w:p>
      <w:pPr>
        <w:pStyle w:val="659"/>
        <w:spacing w:beforeAutospacing="0" w:afterAutospacing="0" w:line="360" w:lineRule="auto"/>
        <w:rPr>
          <w:highlight w:val="none"/>
        </w:rPr>
      </w:pPr>
      <w:r>
        <w:rPr>
          <w:highlight w:val="none"/>
        </w:rPr>
        <w:t xml:space="preserve"> </w:t>
      </w:r>
      <w:r/>
    </w:p>
    <w:p>
      <w:pPr>
        <w:pStyle w:val="659"/>
        <w:spacing w:beforeAutospacing="0" w:afterAutospacing="0" w:line="360" w:lineRule="auto"/>
        <w:rPr>
          <w:highlight w:val="none"/>
        </w:rPr>
      </w:pPr>
      <w:r>
        <w:rPr>
          <w:highlight w:val="none"/>
        </w:rPr>
        <w:t xml:space="preserve"> </w:t>
      </w:r>
      <w:r/>
    </w:p>
    <w:p>
      <w:pPr>
        <w:pStyle w:val="659"/>
        <w:spacing w:beforeAutospacing="0" w:afterAutospacing="0" w:line="360" w:lineRule="auto"/>
        <w:rPr>
          <w:highlight w:val="none"/>
        </w:rPr>
      </w:pPr>
      <w:r>
        <w:rPr>
          <w:highlight w:val="none"/>
        </w:rPr>
        <w:t xml:space="preserve"> </w:t>
      </w:r>
      <w:r/>
    </w:p>
    <w:p>
      <w:pPr>
        <w:pStyle w:val="659"/>
        <w:jc w:val="center"/>
        <w:spacing w:before="120" w:beforeAutospacing="0" w:after="120" w:afterAutospacing="0" w:line="360" w:lineRule="auto"/>
        <w:rPr>
          <w:rFonts w:hint="default" w:ascii="Arial" w:hAnsi="Arial" w:cs="Arial" w:eastAsiaTheme="minorEastAsia"/>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江苏省东台中学</w:t>
      </w:r>
      <w:r/>
    </w:p>
    <w:p>
      <w:pPr>
        <w:pStyle w:val="659"/>
        <w:jc w:val="center"/>
        <w:spacing w:before="120" w:beforeAutospacing="0" w:after="120" w:afterAutospacing="0" w:line="360" w:lineRule="auto"/>
        <w:rPr>
          <w:rFonts w:hint="default" w:eastAsiaTheme="minorEastAsia"/>
          <w:highlight w:val="none"/>
          <w:lang w:val="en-US" w:eastAsia="zh-CN"/>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8</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29日</w:t>
      </w:r>
      <w:r/>
    </w:p>
    <w:p>
      <w:pPr>
        <w:pStyle w:val="659"/>
        <w:spacing w:before="120" w:beforeAutospacing="0" w:after="120" w:afterAutospacing="0" w:line="360" w:lineRule="auto"/>
        <w:rPr>
          <w:highlight w:val="none"/>
        </w:rPr>
      </w:pPr>
      <w:r>
        <w:rPr>
          <w:rFonts w:ascii="Arial" w:hAnsi="Arial" w:cs="Arial"/>
          <w:color w:val="000000"/>
          <w:highlight w:val="none"/>
        </w:rPr>
        <w:t xml:space="preserve">                        </w:t>
      </w:r>
      <w:r/>
    </w:p>
    <w:p>
      <w:pPr>
        <w:pStyle w:val="659"/>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479757206"/>
      <w:r/>
      <w:bookmarkStart w:id="1" w:name="_Toc523127445"/>
      <w:r/>
      <w:bookmarkStart w:id="2" w:name="_Toc513029200"/>
      <w:r/>
      <w:bookmarkStart w:id="3" w:name="_Toc120614210"/>
      <w:r/>
      <w:bookmarkStart w:id="4" w:name="_Toc20823272"/>
      <w:r/>
      <w:bookmarkStart w:id="5" w:name="_Toc16938516"/>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59"/>
        <w:jc w:val="both"/>
        <w:spacing w:beforeAutospacing="0" w:afterAutospacing="0" w:line="480" w:lineRule="auto"/>
        <w:rPr>
          <w:highlight w:val="none"/>
        </w:rPr>
      </w:pPr>
      <w:r>
        <w:rPr>
          <w:highlight w:val="none"/>
        </w:rPr>
        <w:t xml:space="preserve"> </w:t>
      </w:r>
      <w:r/>
    </w:p>
    <w:p>
      <w:pPr>
        <w:pStyle w:val="6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6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p>
    <w:p>
      <w:pPr>
        <w:pStyle w:val="6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center"/>
        <w:keepLines w:val="0"/>
        <w:keepNext w:val="0"/>
        <w:pageBreakBefore w:val="0"/>
        <w:spacing w:beforeAutospacing="0" w:after="181" w:afterAutospacing="0"/>
        <w:widowControl w:val="off"/>
        <w:rPr>
          <w:rFonts w:hint="default"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tbl>
      <w:tblPr>
        <w:tblStyle w:val="6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textDirection w:val="lrTb"/>
            <w:noWrap w:val="false"/>
          </w:tcPr>
          <w:p>
            <w:pPr>
              <w:ind w:left="0" w:right="0" w:firstLine="0"/>
              <w:jc w:val="both"/>
              <w:spacing w:before="0" w:after="0" w:line="240" w:lineRule="auto"/>
              <w:rPr>
                <w:rFonts w:hint="default" w:ascii="宋体" w:hAnsi="宋体" w:eastAsia="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lang w:val="en-US" w:eastAsia="zh-CN"/>
              </w:rPr>
              <w:t xml:space="preserve">项目概况</w:t>
            </w:r>
            <w:r/>
          </w:p>
          <w:p>
            <w:pPr>
              <w:ind w:left="0" w:right="0" w:firstLine="480"/>
              <w:jc w:val="both"/>
              <w:spacing w:before="0" w:after="0" w:line="240" w:lineRule="auto"/>
              <w:rPr>
                <w:rFonts w:hint="eastAsia" w:ascii="宋体" w:hAnsi="宋体" w:eastAsia="宋体" w:cs="宋体"/>
                <w:color w:val="000000"/>
                <w:sz w:val="24"/>
                <w:u w:val="none"/>
                <w:vertAlign w:val="baseli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江苏省东台中学汇文中心改造提升-社团活动基地JSZC-320981-YCCZ-G2025-0016</w:t>
            </w:r>
            <w:r>
              <w:rPr>
                <w:rFonts w:ascii="宋体" w:hAnsi="宋体" w:eastAsia="宋体" w:cs="宋体"/>
                <w:color w:val="000000"/>
                <w:sz w:val="24"/>
                <w:u w:val="none"/>
              </w:rPr>
              <w:t xml:space="preserve">招标项目的潜在投标人应在“苏采云”系统内免费下载（投标人必须在苏采云系统中获取采购文件，方能参与政府采购项目）获取招标文件，并于</w:t>
            </w:r>
            <w:r>
              <w:rPr>
                <w:rFonts w:ascii="宋体" w:hAnsi="宋体" w:eastAsia="宋体" w:cs="宋体"/>
                <w:color w:val="000000"/>
                <w:sz w:val="24"/>
                <w:u w:val="single"/>
              </w:rPr>
              <w:t xml:space="preserve">2025-</w:t>
            </w:r>
            <w:r>
              <w:rPr>
                <w:rFonts w:hint="eastAsia" w:ascii="宋体" w:hAnsi="宋体" w:eastAsia="宋体" w:cs="宋体"/>
                <w:color w:val="000000"/>
                <w:sz w:val="24"/>
                <w:u w:val="single"/>
                <w:lang w:val="en-US" w:eastAsia="zh-CN"/>
              </w:rPr>
              <w:t xml:space="preserve">11</w:t>
            </w:r>
            <w:r>
              <w:rPr>
                <w:rFonts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12</w:t>
            </w:r>
            <w:r>
              <w:rPr>
                <w:rFonts w:ascii="宋体" w:hAnsi="宋体" w:eastAsia="宋体" w:cs="宋体"/>
                <w:color w:val="000000"/>
                <w:sz w:val="24"/>
                <w:u w:val="single"/>
              </w:rPr>
              <w:t xml:space="preserve"> 9:00</w:t>
            </w:r>
            <w:r>
              <w:rPr>
                <w:rFonts w:ascii="宋体" w:hAnsi="宋体" w:eastAsia="宋体" w:cs="宋体"/>
                <w:color w:val="000000"/>
                <w:sz w:val="24"/>
                <w:u w:val="none"/>
              </w:rPr>
              <w:t xml:space="preserve">（北京时间）前递交投标文件。</w:t>
            </w:r>
            <w:r/>
          </w:p>
        </w:tc>
      </w:tr>
    </w:tbl>
    <w:p>
      <w:pPr>
        <w:pStyle w:val="659"/>
        <w:ind w:firstLine="482"/>
        <w:jc w:val="both"/>
        <w:keepLines/>
        <w:keepNext/>
        <w:pageBreakBefore w:val="0"/>
        <w:spacing w:beforeAutospacing="0" w:afterAutospacing="0" w:line="336" w:lineRule="auto"/>
        <w:widowControl w:val="off"/>
        <w:rPr>
          <w:rFonts w:hint="eastAsia" w:ascii="宋体" w:hAnsi="宋体" w:eastAsia="宋体" w:cs="宋体"/>
          <w:sz w:val="24"/>
          <w:szCs w:val="24"/>
          <w:highlight w:val="none"/>
        </w:rPr>
      </w:pPr>
      <w:r/>
      <w:bookmarkStart w:id="7" w:name="_Toc35393621"/>
      <w:r/>
      <w:bookmarkStart w:id="8" w:name="_Hlk24379207"/>
      <w:r/>
      <w:bookmarkStart w:id="9" w:name="_Toc35393790"/>
      <w:r/>
      <w:bookmarkStart w:id="10" w:name="_Toc28359002"/>
      <w:r/>
      <w:bookmarkStart w:id="11" w:name="_Toc38985263"/>
      <w:r/>
      <w:bookmarkStart w:id="12" w:name="_Toc28359079"/>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659"/>
        <w:ind w:firstLine="480"/>
        <w:jc w:val="both"/>
        <w:pageBreakBefore w:val="0"/>
        <w:spacing w:beforeAutospacing="0" w:afterAutospacing="0" w:line="336" w:lineRule="auto"/>
        <w:rPr>
          <w:rFonts w:hint="eastAsia" w:ascii="宋体" w:hAnsi="宋体" w:eastAsia="宋体" w:cs="宋体"/>
          <w:i w:val="0"/>
          <w:iCs w:val="0"/>
          <w:caps w:val="0"/>
          <w:color w:val="333333"/>
          <w:spacing w:val="0"/>
          <w:sz w:val="24"/>
          <w:szCs w:val="24"/>
          <w:highlight w:val="none"/>
          <w:shd w:val="clear" w:color="auto" w:fill="ffffff"/>
          <w:lang w:eastAsia="zh-CN"/>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hint="eastAsia" w:ascii="宋体" w:hAnsi="宋体" w:eastAsia="宋体" w:cs="宋体"/>
          <w:color w:val="000000"/>
          <w:sz w:val="24"/>
          <w:szCs w:val="24"/>
          <w:highlight w:val="white"/>
          <w:lang w:eastAsia="zh-CN"/>
        </w:rPr>
        <w:t xml:space="preserve">JSZC-320981-YCCZ-G2025-0016</w:t>
      </w:r>
      <w:r/>
    </w:p>
    <w:p>
      <w:pPr>
        <w:pStyle w:val="659"/>
        <w:ind w:firstLine="480"/>
        <w:jc w:val="both"/>
        <w:pageBreakBefore w:val="0"/>
        <w:spacing w:beforeAutospacing="0" w:afterAutospacing="0" w:line="336"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eastAsia="zh-CN"/>
        </w:rPr>
        <w:t xml:space="preserve">江苏省东台中学汇文中心改造提升-社团活动基地</w:t>
      </w:r>
      <w:r/>
    </w:p>
    <w:p>
      <w:pPr>
        <w:pStyle w:val="659"/>
        <w:ind w:firstLine="480"/>
        <w:jc w:val="both"/>
        <w:pageBreakBefore w:val="0"/>
        <w:spacing w:beforeAutospacing="0" w:afterAutospacing="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59"/>
        <w:ind w:firstLine="480"/>
        <w:jc w:val="both"/>
        <w:pageBreakBefore w:val="0"/>
        <w:spacing w:beforeAutospacing="0" w:afterAutospacing="0" w:line="336" w:lineRule="auto"/>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199.40万元</w:t>
      </w:r>
      <w:r/>
    </w:p>
    <w:p>
      <w:pPr>
        <w:pStyle w:val="659"/>
        <w:ind w:firstLine="480"/>
        <w:jc w:val="both"/>
        <w:pageBreakBefore w:val="0"/>
        <w:spacing w:beforeAutospacing="0" w:afterAutospacing="0" w:line="336" w:lineRule="auto"/>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190.00万元</w:t>
      </w:r>
      <w:r/>
    </w:p>
    <w:p>
      <w:pPr>
        <w:pStyle w:val="659"/>
        <w:ind w:firstLine="480"/>
        <w:jc w:val="both"/>
        <w:pageBreakBefore w:val="0"/>
        <w:spacing w:beforeAutospacing="0" w:afterAutospacing="0" w:line="336" w:lineRule="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w:t>
      </w:r>
      <w:r>
        <w:rPr>
          <w:rFonts w:hint="eastAsia" w:ascii="宋体" w:hAnsi="宋体" w:eastAsia="宋体" w:cs="宋体"/>
          <w:color w:val="000000"/>
          <w:sz w:val="24"/>
          <w:szCs w:val="24"/>
          <w:highlight w:val="none"/>
          <w:shd w:val="clear" w:color="auto" w:fill="auto"/>
          <w:lang w:eastAsia="zh-CN"/>
        </w:rPr>
        <w:t xml:space="preserve">江苏省东台中学汇文中心改造提升-社团活动基地，</w:t>
      </w:r>
      <w:r>
        <w:rPr>
          <w:rFonts w:hint="eastAsia" w:ascii="宋体" w:hAnsi="宋体" w:eastAsia="宋体" w:cs="宋体"/>
          <w:color w:val="000000"/>
          <w:sz w:val="24"/>
          <w:szCs w:val="24"/>
          <w:highlight w:val="none"/>
          <w:shd w:val="clear" w:color="auto" w:fill="auto"/>
        </w:rPr>
        <w:t xml:space="preserve">详</w:t>
      </w:r>
      <w:r>
        <w:rPr>
          <w:rFonts w:hint="eastAsia" w:ascii="宋体" w:hAnsi="宋体" w:eastAsia="宋体" w:cs="宋体"/>
          <w:color w:val="000000"/>
          <w:sz w:val="24"/>
          <w:szCs w:val="24"/>
          <w:highlight w:val="none"/>
        </w:rPr>
        <w:t xml:space="preserve">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rPr>
          <w:rFonts w:hint="eastAsia" w:ascii="宋体" w:hAnsi="宋体" w:eastAsia="宋体" w:cs="宋体"/>
          <w:color w:val="000000"/>
          <w:sz w:val="24"/>
          <w:szCs w:val="24"/>
          <w:highlight w:val="none"/>
          <w:lang w:eastAsia="zh-CN"/>
        </w:rPr>
        <w:t xml:space="preserve">。</w:t>
      </w:r>
      <w:r/>
    </w:p>
    <w:p>
      <w:pPr>
        <w:pStyle w:val="659"/>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合同签订后30日历天内完成</w:t>
      </w:r>
      <w:r>
        <w:rPr>
          <w:rFonts w:hint="eastAsia" w:ascii="宋体" w:hAnsi="宋体" w:eastAsia="宋体" w:cs="宋体"/>
          <w:color w:val="000000"/>
          <w:sz w:val="24"/>
          <w:szCs w:val="24"/>
          <w:highlight w:val="none"/>
          <w:lang w:val="en-US" w:eastAsia="zh-CN"/>
        </w:rPr>
        <w:t xml:space="preserve">全部设备的供货到场，安装、调试、验收合格后交付采购人使用。</w:t>
      </w:r>
      <w:r/>
    </w:p>
    <w:p>
      <w:pPr>
        <w:pStyle w:val="659"/>
        <w:ind w:firstLine="480"/>
        <w:jc w:val="both"/>
        <w:pageBreakBefore w:val="0"/>
        <w:spacing w:beforeAutospacing="0" w:afterAutospacing="0" w:line="336" w:lineRule="auto"/>
        <w:rPr>
          <w:rFonts w:hint="eastAsia" w:ascii="宋体" w:hAnsi="宋体" w:eastAsia="宋体" w:cs="宋体"/>
          <w:color w:val="000000"/>
          <w:sz w:val="24"/>
          <w:szCs w:val="24"/>
          <w:highlight w:val="none"/>
          <w:shd w:val="clear" w:color="auto" w:fill="ffff00"/>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本项目</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333333"/>
          <w:spacing w:val="0"/>
          <w:sz w:val="24"/>
          <w:szCs w:val="24"/>
          <w:highlight w:val="none"/>
          <w:shd w:val="clear" w:color="auto" w:fill="ffffff"/>
        </w:rPr>
        <w:t xml:space="preserve">接受联合体</w:t>
      </w:r>
      <w:r>
        <w:rPr>
          <w:rFonts w:hint="eastAsia" w:ascii="宋体" w:hAnsi="宋体" w:eastAsia="宋体" w:cs="宋体"/>
          <w:color w:val="000000"/>
          <w:sz w:val="24"/>
          <w:szCs w:val="24"/>
          <w:highlight w:val="none"/>
        </w:rPr>
        <w:t xml:space="preserve">参与</w:t>
      </w:r>
      <w:r>
        <w:rPr>
          <w:rFonts w:hint="eastAsia" w:ascii="宋体" w:hAnsi="宋体" w:eastAsia="宋体" w:cs="宋体"/>
          <w:color w:val="000000"/>
          <w:sz w:val="24"/>
          <w:szCs w:val="24"/>
          <w:highlight w:val="none"/>
          <w:lang w:val="en-US" w:eastAsia="zh-CN"/>
        </w:rPr>
        <w:t xml:space="preserve">招标。</w:t>
      </w:r>
      <w:r/>
    </w:p>
    <w:p>
      <w:pPr>
        <w:pStyle w:val="659"/>
        <w:ind w:firstLine="482"/>
        <w:jc w:val="both"/>
        <w:keepLines/>
        <w:keepNext/>
        <w:pageBreakBefore w:val="0"/>
        <w:spacing w:beforeAutospacing="0" w:afterAutospacing="0" w:line="336" w:lineRule="auto"/>
        <w:rPr>
          <w:rFonts w:hint="eastAsia" w:ascii="宋体" w:hAnsi="宋体" w:eastAsia="宋体" w:cs="宋体"/>
          <w:sz w:val="24"/>
          <w:szCs w:val="24"/>
          <w:highlight w:val="none"/>
        </w:rPr>
      </w:pPr>
      <w:r/>
      <w:bookmarkStart w:id="13" w:name="_Toc28359080"/>
      <w:r/>
      <w:bookmarkStart w:id="14" w:name="_Toc28359003"/>
      <w:r/>
      <w:bookmarkStart w:id="15" w:name="_Toc35393622"/>
      <w:r/>
      <w:bookmarkStart w:id="16" w:name="_Toc38985264"/>
      <w:r/>
      <w:bookmarkStart w:id="17" w:name="_Toc35393791"/>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659"/>
        <w:ind w:firstLine="480"/>
        <w:jc w:val="both"/>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59"/>
        <w:ind w:firstLine="480"/>
        <w:jc w:val="both"/>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59"/>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59"/>
        <w:ind w:firstLine="480"/>
        <w:jc w:val="both"/>
        <w:pageBreakBefore w:val="0"/>
        <w:spacing w:beforeAutospacing="0" w:afterAutospacing="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59"/>
        <w:ind w:firstLine="480"/>
        <w:jc w:val="both"/>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9"/>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59"/>
        <w:ind w:firstLine="480"/>
        <w:jc w:val="both"/>
        <w:pageBreakBefore w:val="0"/>
        <w:spacing w:beforeAutospacing="0" w:afterAutospacing="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59"/>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9"/>
        <w:ind w:firstLine="480"/>
        <w:jc w:val="both"/>
        <w:pageBreakBefore w:val="0"/>
        <w:spacing w:beforeAutospacing="0" w:afterAutospacing="0" w:line="336"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659"/>
        <w:ind w:firstLine="480"/>
        <w:jc w:val="both"/>
        <w:pageBreakBefore w:val="0"/>
        <w:spacing w:beforeAutospacing="0" w:afterAutospacing="0" w:line="336"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落实政府采购政策需满足的资格要求：无。</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default" w:ascii="宋体" w:hAnsi="宋体" w:eastAsia="宋体" w:cs="宋体"/>
          <w:i w:val="0"/>
          <w:iCs w:val="0"/>
          <w:caps w:val="0"/>
          <w:color w:val="333333"/>
          <w:spacing w:val="0"/>
          <w:sz w:val="24"/>
          <w:szCs w:val="24"/>
          <w:highlight w:val="none"/>
          <w:shd w:val="clear" w:color="auto" w:fill="auto"/>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无。</w:t>
      </w:r>
      <w:r/>
    </w:p>
    <w:p>
      <w:pPr>
        <w:pStyle w:val="659"/>
        <w:ind w:firstLine="482"/>
        <w:jc w:val="both"/>
        <w:keepLines/>
        <w:keepNext/>
        <w:pageBreakBefore w:val="0"/>
        <w:spacing w:beforeAutospacing="0" w:afterAutospacing="0" w:line="336"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38985266"/>
      <w:r/>
      <w:bookmarkStart w:id="20" w:name="_Toc28359082"/>
      <w:r/>
      <w:bookmarkStart w:id="21" w:name="_Toc28359005"/>
      <w:r/>
      <w:bookmarkStart w:id="22" w:name="_Toc35393793"/>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pageBreakBefore w:val="0"/>
        <w:spacing w:line="336"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pageBreakBefore w:val="0"/>
        <w:spacing w:line="336"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659"/>
        <w:ind w:firstLine="482"/>
        <w:jc w:val="both"/>
        <w:keepLines/>
        <w:keepNext/>
        <w:pageBreakBefore w:val="0"/>
        <w:spacing w:beforeAutospacing="0" w:afterAutospacing="0" w:line="336"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2025</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11</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12</w:t>
      </w:r>
      <w:bookmarkStart w:id="196" w:name="_GoBack"/>
      <w:r/>
      <w:bookmarkEnd w:id="196"/>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9时00分</w:t>
      </w:r>
      <w:r>
        <w:rPr>
          <w:rFonts w:hint="eastAsia" w:ascii="宋体" w:hAnsi="宋体" w:eastAsia="宋体" w:cs="宋体"/>
          <w:color w:val="000000"/>
          <w:sz w:val="24"/>
          <w:szCs w:val="24"/>
          <w:highlight w:val="none"/>
          <w:shd w:val="clear" w:color="auto" w:fill="auto"/>
        </w:rPr>
        <w:t xml:space="preserve">（北京时间）</w:t>
      </w:r>
      <w:r/>
    </w:p>
    <w:p>
      <w:pPr>
        <w:pStyle w:val="659"/>
        <w:ind w:firstLine="480"/>
        <w:jc w:val="both"/>
        <w:pageBreakBefore w:val="0"/>
        <w:spacing w:beforeAutospacing="0" w:afterAutospacing="0" w:line="336"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59"/>
        <w:ind w:firstLine="482"/>
        <w:jc w:val="both"/>
        <w:keepLines/>
        <w:keepNext/>
        <w:pageBreakBefore w:val="0"/>
        <w:spacing w:beforeAutospacing="0" w:afterAutospacing="0" w:line="336" w:lineRule="auto"/>
        <w:rPr>
          <w:rFonts w:hint="eastAsia" w:ascii="宋体" w:hAnsi="宋体" w:eastAsia="宋体" w:cs="宋体"/>
          <w:sz w:val="24"/>
          <w:szCs w:val="24"/>
          <w:highlight w:val="none"/>
        </w:rPr>
      </w:pPr>
      <w:r/>
      <w:bookmarkStart w:id="23" w:name="_Toc35393794"/>
      <w:r/>
      <w:bookmarkStart w:id="24" w:name="_Toc38985267"/>
      <w:r/>
      <w:bookmarkStart w:id="25" w:name="_Toc28359084"/>
      <w:r/>
      <w:bookmarkStart w:id="26" w:name="_Toc28359007"/>
      <w:r/>
      <w:bookmarkStart w:id="27" w:name="_Toc35393625"/>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795"/>
      <w:r/>
      <w:bookmarkStart w:id="29" w:name="_Toc38985268"/>
      <w:r/>
      <w:bookmarkStart w:id="30"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59"/>
        <w:ind w:firstLine="482"/>
        <w:jc w:val="both"/>
        <w:keepLines/>
        <w:keepNext/>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29"/>
        <w:ind w:left="0" w:right="0" w:firstLine="480"/>
        <w:jc w:val="both"/>
        <w:keepLines w:val="0"/>
        <w:keepNext w:val="0"/>
        <w:pageBreakBefore w:val="0"/>
        <w:spacing w:before="0" w:beforeAutospacing="0" w:after="0" w:afterAutospacing="0" w:line="336"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称：江苏省东台中学  </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址：江苏省盐城市东台市城东新区东城大道1号  </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联系人：顾先生              </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联系方式：18205017362            </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称：盐城超卓工程咨询有限公司</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址：东台市北海西路3号聚龙双苑7幢</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联系人：邓女士                     </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18051703498       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项目联系人：顾先生</w:t>
      </w:r>
      <w:r/>
    </w:p>
    <w:p>
      <w:pPr>
        <w:pStyle w:val="659"/>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话：18205017362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
    </w:p>
    <w:p>
      <w:pPr>
        <w:pStyle w:val="659"/>
        <w:jc w:val="center"/>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120614213"/>
      <w:r/>
      <w:bookmarkStart w:id="37" w:name="_Toc513029202"/>
      <w:r/>
      <w:bookmarkStart w:id="38" w:name="_Toc20823274"/>
      <w:r/>
      <w:bookmarkStart w:id="39" w:name="_Toc16938518"/>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659"/>
        <w:ind w:firstLine="498"/>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40" w:name="_Toc16938519"/>
      <w:r/>
      <w:bookmarkStart w:id="41" w:name="_Toc120614214"/>
      <w:r/>
      <w:bookmarkStart w:id="42" w:name="_Toc20823275"/>
      <w:r/>
      <w:bookmarkStart w:id="43" w:name="_Toc513029203"/>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44" w:name="_Toc20823276"/>
      <w:r/>
      <w:bookmarkStart w:id="45" w:name="_Toc458694821"/>
      <w:r/>
      <w:bookmarkStart w:id="46" w:name="_Toc513029204"/>
      <w:r/>
      <w:bookmarkStart w:id="47" w:name="_Toc16938520"/>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49" w:name="_Toc513029205"/>
      <w:r/>
      <w:bookmarkStart w:id="50" w:name="_Toc16938521"/>
      <w:r/>
      <w:bookmarkStart w:id="51" w:name="_Toc20823277"/>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52" w:name="_Toc16938522"/>
      <w:r/>
      <w:bookmarkStart w:id="53" w:name="_Toc20823278"/>
      <w:r/>
      <w:bookmarkStart w:id="54" w:name="_Toc513029206"/>
      <w:r>
        <w:rPr>
          <w:rFonts w:hint="eastAsia" w:ascii="宋体" w:hAnsi="宋体" w:eastAsia="宋体" w:cs="宋体"/>
          <w:color w:val="000000"/>
          <w:sz w:val="24"/>
          <w:szCs w:val="24"/>
          <w:highlight w:val="none"/>
        </w:rPr>
        <w:t xml:space="preserve">3、适用法律</w:t>
      </w:r>
      <w:bookmarkEnd w:id="52"/>
      <w:r/>
      <w:bookmarkEnd w:id="53"/>
      <w:r/>
      <w:bookmarkEnd w:id="54"/>
      <w:r/>
      <w:r/>
    </w:p>
    <w:p>
      <w:pPr>
        <w:pStyle w:val="659"/>
        <w:ind w:firstLine="42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55" w:name="_Toc513029207"/>
      <w:r/>
      <w:bookmarkStart w:id="56" w:name="_Toc20823279"/>
      <w:r/>
      <w:bookmarkStart w:id="57" w:name="_Toc462564067"/>
      <w:r/>
      <w:bookmarkStart w:id="58" w:name="_Toc16938523"/>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4.2本次招标采购人不收取标书工本费与中标服务费。</w:t>
      </w:r>
      <w:r/>
    </w:p>
    <w:p>
      <w:pPr>
        <w:pStyle w:val="659"/>
        <w:ind w:firstLine="60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659"/>
        <w:ind w:firstLine="321"/>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59" w:name="_Toc20823281"/>
      <w:r/>
      <w:bookmarkStart w:id="60" w:name="_Toc120614215"/>
      <w:r/>
      <w:bookmarkStart w:id="61" w:name="_Toc16938525"/>
      <w:r/>
      <w:bookmarkStart w:id="62" w:name="_Toc513029209"/>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63" w:name="_Toc16938526"/>
      <w:r/>
      <w:bookmarkStart w:id="64" w:name="_Toc513029210"/>
      <w:r/>
      <w:bookmarkStart w:id="65" w:name="_Toc20823282"/>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59"/>
        <w:ind w:firstLine="360"/>
        <w:jc w:val="both"/>
        <w:pageBreakBefore w:val="0"/>
        <w:spacing w:beforeAutospacing="0" w:afterAutospacing="0"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59"/>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59"/>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59"/>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59"/>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59"/>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9"/>
        <w:ind w:firstLine="56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66" w:name="_Toc462564070"/>
      <w:r/>
      <w:bookmarkStart w:id="67" w:name="_Toc513029211"/>
      <w:r/>
      <w:bookmarkStart w:id="68" w:name="_Toc20823283"/>
      <w:r/>
      <w:bookmarkStart w:id="69" w:name="_Toc16938527"/>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p>
    <w:p>
      <w:pPr>
        <w:pStyle w:val="659"/>
        <w:ind w:firstLine="56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70" w:name="_Toc16938528"/>
      <w:r/>
      <w:bookmarkStart w:id="71" w:name="_Toc513029212"/>
      <w:r/>
      <w:bookmarkStart w:id="72" w:name="_Toc20823284"/>
      <w:r/>
      <w:bookmarkStart w:id="73" w:name="_Toc462564071"/>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659"/>
        <w:ind w:firstLine="48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74" w:name="_Toc16938529"/>
      <w:r/>
      <w:bookmarkStart w:id="75" w:name="_Toc120614216"/>
      <w:r/>
      <w:bookmarkStart w:id="76" w:name="_Toc20823285"/>
      <w:r/>
      <w:bookmarkStart w:id="77" w:name="_Toc462564072"/>
      <w:r/>
      <w:bookmarkStart w:id="78" w:name="_Toc513029213"/>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659"/>
        <w:ind w:firstLine="56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79" w:name="_Toc16938530"/>
      <w:r/>
      <w:bookmarkStart w:id="80" w:name="_Toc20823286"/>
      <w:r/>
      <w:bookmarkStart w:id="81" w:name="_Toc513029214"/>
      <w:r/>
      <w:bookmarkStart w:id="82" w:name="_Toc462564073"/>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83" w:name="_Toc20823287"/>
      <w:r/>
      <w:bookmarkStart w:id="84" w:name="_Toc462564074"/>
      <w:r/>
      <w:bookmarkStart w:id="85" w:name="_Toc513029215"/>
      <w:r/>
      <w:bookmarkStart w:id="86" w:name="_Toc16938531"/>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87" w:name="_Toc14577355"/>
      <w:r/>
      <w:bookmarkStart w:id="88" w:name="_Toc14577357"/>
      <w:r/>
      <w:bookmarkStart w:id="89" w:name="_Toc14577354"/>
      <w:r/>
      <w:bookmarkStart w:id="90" w:name="_Toc49090507"/>
      <w:r/>
      <w:bookmarkStart w:id="91" w:name="_Toc49090509"/>
      <w:r/>
      <w:bookmarkStart w:id="92" w:name="_Toc513029219"/>
      <w:r/>
      <w:bookmarkStart w:id="93" w:name="_Toc513029216"/>
      <w:r/>
      <w:bookmarkStart w:id="94" w:name="_Toc49090508"/>
      <w:r/>
      <w:bookmarkStart w:id="95" w:name="_Hlt26670360"/>
      <w:r/>
      <w:bookmarkStart w:id="96" w:name="_Hlt26668975"/>
      <w:r/>
      <w:bookmarkStart w:id="97" w:name="_Hlt26954838"/>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59"/>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98" w:name="_Hlt26670486"/>
      <w:r/>
      <w:bookmarkStart w:id="99" w:name="_Hlt26954846"/>
      <w:r/>
      <w:bookmarkStart w:id="100" w:name="_Hlt26954731"/>
      <w:r/>
      <w:bookmarkStart w:id="101" w:name="_Hlt26670482"/>
      <w:r/>
      <w:bookmarkStart w:id="102" w:name="_Hlt26954848"/>
      <w:r>
        <w:rPr>
          <w:rFonts w:hint="eastAsia" w:ascii="宋体" w:hAnsi="宋体" w:eastAsia="宋体" w:cs="宋体"/>
          <w:color w:val="000000"/>
          <w:sz w:val="24"/>
          <w:szCs w:val="24"/>
          <w:highlight w:val="none"/>
        </w:rPr>
        <w:t xml:space="preserve">13、技术要求响应及偏离表、商务要求响应及偏离表</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投标人需根据招标文件要求提供所投标的的主要组成部分、功能设计、实现思路及关键技术等。</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03" w:name="_Toc49090510"/>
      <w:r/>
      <w:bookmarkStart w:id="104" w:name="_Toc14577359"/>
      <w:r>
        <w:rPr>
          <w:rFonts w:hint="eastAsia" w:ascii="宋体" w:hAnsi="宋体" w:eastAsia="宋体" w:cs="宋体"/>
          <w:color w:val="000000"/>
          <w:sz w:val="24"/>
          <w:szCs w:val="24"/>
          <w:highlight w:val="none"/>
        </w:rPr>
        <w:t xml:space="preserve">15、投标函和开标一览表</w:t>
      </w:r>
      <w:bookmarkEnd w:id="103"/>
      <w:r/>
      <w:bookmarkEnd w:id="104"/>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05" w:name="_Toc14577360"/>
      <w:r/>
      <w:bookmarkStart w:id="106" w:name="_Toc49090511"/>
      <w:r>
        <w:rPr>
          <w:rFonts w:hint="eastAsia" w:ascii="宋体" w:hAnsi="宋体" w:eastAsia="宋体" w:cs="宋体"/>
          <w:color w:val="000000"/>
          <w:sz w:val="24"/>
          <w:szCs w:val="24"/>
          <w:highlight w:val="none"/>
        </w:rPr>
        <w:t xml:space="preserve">16、投标有效期</w:t>
      </w:r>
      <w:bookmarkEnd w:id="105"/>
      <w:r/>
      <w:bookmarkEnd w:id="106"/>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59"/>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07" w:name="_Toc20823296"/>
      <w:r/>
      <w:bookmarkStart w:id="108" w:name="_Toc120614217"/>
      <w:r/>
      <w:bookmarkStart w:id="109" w:name="_Toc513029224"/>
      <w:r/>
      <w:bookmarkStart w:id="110" w:name="_Toc16938540"/>
      <w:r/>
      <w:bookmarkStart w:id="111" w:name="_Hlt26954739"/>
      <w:r/>
      <w:bookmarkStart w:id="112" w:name="_Hlt26954852"/>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13" w:name="_Toc16938541"/>
      <w:r/>
      <w:bookmarkStart w:id="114" w:name="_Toc20823297"/>
      <w:r/>
      <w:bookmarkStart w:id="115" w:name="_Toc513029225"/>
      <w:r/>
      <w:bookmarkStart w:id="116" w:name="_Toc462564084"/>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659"/>
        <w:ind w:left="52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659"/>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7" w:name="_Toc16938542"/>
      <w:r/>
      <w:bookmarkEnd w:id="117"/>
      <w:r/>
      <w:bookmarkStart w:id="118" w:name="_Toc20823298"/>
      <w:r/>
      <w:bookmarkEnd w:id="118"/>
      <w:r/>
      <w:bookmarkStart w:id="119" w:name="_Toc513029226"/>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20" w:name="_Toc20823299"/>
      <w:r/>
      <w:bookmarkStart w:id="121" w:name="_Toc16938543"/>
      <w:r/>
      <w:bookmarkStart w:id="122" w:name="_Toc513029227"/>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23" w:name="_Toc20823300"/>
      <w:r/>
      <w:bookmarkStart w:id="124" w:name="_Toc513029228"/>
      <w:r/>
      <w:bookmarkStart w:id="125" w:name="_Toc16938544"/>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659"/>
        <w:ind w:firstLine="48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26" w:name="_Toc20823301"/>
      <w:r/>
      <w:bookmarkStart w:id="127" w:name="_Toc16938545"/>
      <w:r/>
      <w:bookmarkStart w:id="128" w:name="_Toc513029229"/>
      <w:r/>
      <w:bookmarkStart w:id="129" w:name="_Toc120614218"/>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30" w:name="_Toc16938546"/>
      <w:r/>
      <w:bookmarkStart w:id="131" w:name="_Toc20823302"/>
      <w:r/>
      <w:bookmarkStart w:id="132" w:name="_Toc513029230"/>
      <w:r>
        <w:rPr>
          <w:rFonts w:hint="eastAsia" w:ascii="宋体" w:hAnsi="宋体" w:eastAsia="宋体" w:cs="宋体"/>
          <w:color w:val="000000"/>
          <w:sz w:val="24"/>
          <w:szCs w:val="24"/>
          <w:highlight w:val="none"/>
        </w:rPr>
        <w:t xml:space="preserve">22、开标</w:t>
      </w:r>
      <w:bookmarkEnd w:id="130"/>
      <w:r/>
      <w:bookmarkEnd w:id="131"/>
      <w:r/>
      <w:bookmarkEnd w:id="132"/>
      <w:r/>
      <w:r/>
    </w:p>
    <w:p>
      <w:pPr>
        <w:pStyle w:val="659"/>
        <w:ind w:firstLine="36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33" w:name="_Toc20823303"/>
      <w:r/>
      <w:bookmarkStart w:id="134" w:name="_Toc16938547"/>
      <w:r/>
      <w:bookmarkStart w:id="135" w:name="_Toc513029231"/>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659"/>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659"/>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659"/>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均不得向投标人或与评标无关的其他人员透露。</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auto"/>
          <w:sz w:val="24"/>
          <w:szCs w:val="24"/>
          <w:highlight w:val="none"/>
          <w:shd w:val="clear" w:color="auto" w:fill="auto"/>
        </w:rPr>
        <w:t xml:space="preserve">办人在苏采云系统查询到中标结果公告后，再点击推送。招标文件定稿后该提醒删除）</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36" w:name="_Toc20823304"/>
      <w:r/>
      <w:bookmarkStart w:id="137" w:name="_Toc513029232"/>
      <w:r/>
      <w:bookmarkStart w:id="138" w:name="_Toc16938548"/>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bookmarkStart w:id="139" w:name="_Toc16938549"/>
      <w:r/>
      <w:bookmarkStart w:id="140" w:name="_Toc513029233"/>
      <w:r/>
      <w:bookmarkStart w:id="141" w:name="_Toc20823305"/>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将不再告知未通过资格审查或符合性审查的原因。</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bookmarkStart w:id="142" w:name="_Toc20823306"/>
      <w:r/>
      <w:bookmarkStart w:id="143" w:name="_Toc16938550"/>
      <w:r/>
      <w:bookmarkStart w:id="144" w:name="_Toc513029234"/>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59"/>
        <w:ind w:firstLine="42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659"/>
        <w:ind w:firstLine="42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r/>
    </w:p>
    <w:p>
      <w:pPr>
        <w:pStyle w:val="659"/>
        <w:ind w:firstLine="420"/>
        <w:jc w:val="both"/>
        <w:keepLines/>
        <w:keepNext/>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659"/>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bookmarkStart w:id="145" w:name="_Toc16938551"/>
      <w:r/>
      <w:bookmarkStart w:id="146" w:name="_Toc513029235"/>
      <w:r/>
      <w:bookmarkStart w:id="147" w:name="_Toc20823307"/>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659"/>
        <w:ind w:left="479"/>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659"/>
        <w:ind w:left="479"/>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659"/>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000000"/>
          <w:sz w:val="24"/>
          <w:szCs w:val="24"/>
          <w:highlight w:val="yellow"/>
        </w:rPr>
        <w:t xml:space="preserve">2</w:t>
      </w:r>
      <w:r>
        <w:rPr>
          <w:rFonts w:hint="eastAsia" w:ascii="宋体" w:hAnsi="宋体" w:eastAsia="宋体" w:cs="宋体"/>
          <w:color w:val="000000"/>
          <w:sz w:val="24"/>
          <w:szCs w:val="24"/>
          <w:highlight w:val="yellow"/>
          <w:lang w:val="en-US" w:eastAsia="zh-CN"/>
        </w:rPr>
        <w:t xml:space="preserve">7</w:t>
      </w:r>
      <w:r>
        <w:rPr>
          <w:rFonts w:hint="eastAsia" w:ascii="宋体" w:hAnsi="宋体" w:eastAsia="宋体" w:cs="宋体"/>
          <w:color w:val="000000"/>
          <w:sz w:val="24"/>
          <w:szCs w:val="24"/>
          <w:highlight w:val="yellow"/>
        </w:rPr>
        <w:t xml:space="preserve">.1.10</w:t>
      </w:r>
      <w:r>
        <w:rPr>
          <w:rFonts w:hint="eastAsia" w:ascii="宋体" w:hAnsi="宋体" w:eastAsia="宋体" w:cs="宋体"/>
          <w:color w:val="auto"/>
          <w:sz w:val="24"/>
          <w:szCs w:val="24"/>
          <w:highlight w:val="yellow"/>
        </w:rPr>
        <w:t xml:space="preserve">投标人不能证明其报价合理性的，评</w:t>
      </w:r>
      <w:r>
        <w:rPr>
          <w:rFonts w:hint="eastAsia" w:ascii="宋体" w:hAnsi="宋体" w:eastAsia="宋体" w:cs="宋体"/>
          <w:color w:val="auto"/>
          <w:sz w:val="24"/>
          <w:szCs w:val="24"/>
          <w:highlight w:val="yellow"/>
          <w:lang w:val="en-US" w:eastAsia="zh-CN"/>
        </w:rPr>
        <w:t xml:space="preserve">标</w:t>
      </w:r>
      <w:r>
        <w:rPr>
          <w:rFonts w:hint="eastAsia" w:ascii="宋体" w:hAnsi="宋体" w:eastAsia="宋体" w:cs="宋体"/>
          <w:color w:val="auto"/>
          <w:sz w:val="24"/>
          <w:szCs w:val="24"/>
          <w:highlight w:val="yellow"/>
        </w:rPr>
        <w:t xml:space="preserve">委员会应当将其作为无效投标处理。</w:t>
      </w:r>
      <w:r/>
    </w:p>
    <w:p>
      <w:pPr>
        <w:pStyle w:val="659"/>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（一）评审过程中出现下列情形之一的，评标委员会应当启动异常低价投标审查程序：</w:t>
      </w:r>
      <w:r/>
    </w:p>
    <w:p>
      <w:pPr>
        <w:pStyle w:val="659"/>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1.投标报价低于采购项目预算50%的，即投标报价&lt;采购项目预算×50%；</w:t>
      </w:r>
      <w:r/>
    </w:p>
    <w:p>
      <w:pPr>
        <w:pStyle w:val="659"/>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2.投标报价低于采购项目最高限价45%的，即投标报价&lt;采购项目最高限价×45%；</w:t>
      </w:r>
      <w:r/>
    </w:p>
    <w:p>
      <w:pPr>
        <w:pStyle w:val="659"/>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3.评标委员会认定的供应商报价过低、有可能影响产品质量或者不能诚信履约的其他情形。</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yellow"/>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659"/>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659"/>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659"/>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659"/>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659"/>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59"/>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659"/>
        <w:ind w:firstLine="48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659"/>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49" w:name="_Toc20823310"/>
      <w:r/>
      <w:bookmarkStart w:id="150" w:name="_Toc16938554"/>
      <w:r/>
      <w:bookmarkStart w:id="151" w:name="_Toc513029238"/>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28.4.2向采购人行贿或者提供其他不正当利益的。</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 有下列情形之一的，视为投标人串通投标，投标无效：</w:t>
      </w:r>
      <w:bookmarkEnd w:id="152"/>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659"/>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或采购人提出质疑。上述应知其权益受到损害之日，是指：</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采购人只接收以纸质原件形式送达的质疑,采购人不接受未填写快递运单的快件。质疑接收部门</w:t>
      </w:r>
      <w:r>
        <w:rPr>
          <w:rFonts w:hint="eastAsia" w:ascii="宋体" w:hAnsi="宋体" w:eastAsia="宋体" w:cs="宋体"/>
          <w:color w:val="auto"/>
          <w:sz w:val="24"/>
          <w:szCs w:val="24"/>
          <w:highlight w:val="none"/>
          <w:lang w:val="en-US" w:eastAsia="zh-CN"/>
        </w:rPr>
        <w:t xml:space="preserve">详见招标公告采购人信息</w:t>
      </w:r>
      <w:r>
        <w:rPr>
          <w:rFonts w:hint="eastAsia" w:ascii="宋体" w:hAnsi="宋体" w:eastAsia="宋体" w:cs="宋体"/>
          <w:color w:val="auto"/>
          <w:sz w:val="24"/>
          <w:szCs w:val="24"/>
          <w:highlight w:val="none"/>
        </w:rPr>
        <w:t xml:space="preserve">。</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659"/>
        <w:ind w:firstLine="468"/>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59"/>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659"/>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659"/>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59"/>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53" w:name="_Toc513029236"/>
      <w:r/>
      <w:bookmarkStart w:id="154" w:name="_Toc120614220"/>
      <w:r/>
      <w:bookmarkStart w:id="155" w:name="_Toc20823308"/>
      <w:r/>
      <w:bookmarkStart w:id="156" w:name="_Toc16938552"/>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659"/>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57" w:name="_Toc16938553"/>
      <w:r/>
      <w:bookmarkStart w:id="158" w:name="_Toc513029237"/>
      <w:r/>
      <w:bookmarkStart w:id="159" w:name="_Toc20823309"/>
      <w:r>
        <w:rPr>
          <w:rFonts w:hint="eastAsia" w:ascii="宋体" w:hAnsi="宋体" w:eastAsia="宋体" w:cs="宋体"/>
          <w:color w:val="000000"/>
          <w:sz w:val="24"/>
          <w:szCs w:val="24"/>
          <w:highlight w:val="none"/>
        </w:rPr>
        <w:t xml:space="preserve">31. 签订合同</w:t>
      </w:r>
      <w:bookmarkEnd w:id="157"/>
      <w:r/>
      <w:bookmarkEnd w:id="158"/>
      <w:r/>
      <w:bookmarkEnd w:id="159"/>
      <w:r/>
      <w:r/>
    </w:p>
    <w:p>
      <w:pPr>
        <w:pStyle w:val="659"/>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659"/>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659"/>
        <w:ind w:firstLine="600"/>
        <w:jc w:val="both"/>
        <w:pageBreakBefore w:val="0"/>
        <w:spacing w:beforeAutospacing="0" w:afterAutospacing="0" w:line="288"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659"/>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659"/>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59"/>
        <w:numPr>
          <w:ilvl w:val="0"/>
          <w:numId w:val="0"/>
        </w:numPr>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59"/>
        <w:ind w:firstLine="480"/>
        <w:jc w:val="both"/>
        <w:keepLines/>
        <w:keepNext/>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59"/>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line="288"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33.8履约保证金政策</w:t>
      </w:r>
      <w:r/>
    </w:p>
    <w:p>
      <w:pPr>
        <w:pStyle w:val="820"/>
        <w:ind w:left="0" w:firstLine="560"/>
        <w:pageBreakBefore w:val="0"/>
        <w:spacing w:after="0"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ind w:left="0" w:right="0" w:firstLine="468"/>
        <w:jc w:val="both"/>
        <w:spacing w:before="30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35.本项目采购代理费按代理合同由采购人支付代理费1990.80元。</w:t>
      </w:r>
      <w:r/>
    </w:p>
    <w:p>
      <w:pPr>
        <w:pStyle w:val="820"/>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59"/>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9"/>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spacing w:line="360" w:lineRule="auto"/>
        <w:widowControl/>
        <w:rPr>
          <w:sz w:val="36"/>
          <w:szCs w:val="44"/>
          <w:highlight w:val="none"/>
        </w:rPr>
      </w:pPr>
      <w:r>
        <w:rPr>
          <w:sz w:val="36"/>
          <w:szCs w:val="44"/>
          <w:highlight w:val="none"/>
        </w:rPr>
      </w:r>
      <w:r/>
    </w:p>
    <w:p>
      <w:pPr>
        <w:jc w:val="center"/>
        <w:spacing w:line="360" w:lineRule="auto"/>
        <w:widowControl/>
        <w:rPr>
          <w:sz w:val="36"/>
          <w:szCs w:val="44"/>
          <w:highlight w:val="none"/>
        </w:rPr>
      </w:pPr>
      <w:r>
        <w:rPr>
          <w:sz w:val="36"/>
          <w:szCs w:val="44"/>
          <w:highlight w:val="none"/>
        </w:rPr>
      </w:r>
      <w:r/>
    </w:p>
    <w:p>
      <w:pPr>
        <w:jc w:val="center"/>
        <w:spacing w:line="360" w:lineRule="auto"/>
        <w:widowControl/>
        <w:rPr>
          <w:sz w:val="36"/>
          <w:szCs w:val="44"/>
          <w:highlight w:val="none"/>
        </w:rPr>
      </w:pPr>
      <w:r>
        <w:rPr>
          <w:sz w:val="36"/>
          <w:szCs w:val="44"/>
          <w:highlight w:val="none"/>
        </w:rPr>
      </w:r>
      <w:r/>
    </w:p>
    <w:p>
      <w:pPr>
        <w:jc w:val="center"/>
        <w:spacing w:line="360" w:lineRule="auto"/>
        <w:widowControl/>
        <w:rPr>
          <w:rFonts w:ascii="宋体" w:hAnsi="宋体" w:cs="宋体"/>
          <w:b/>
          <w:sz w:val="48"/>
          <w:szCs w:val="44"/>
          <w:highlight w:val="none"/>
        </w:rPr>
      </w:pPr>
      <w:r>
        <w:rPr>
          <w:sz w:val="36"/>
          <w:szCs w:val="44"/>
          <w:highlight w:val="none"/>
        </w:rPr>
        <w:t xml:space="preserve"> </w:t>
      </w:r>
      <w:bookmarkStart w:id="160" w:name="_Toc479757211"/>
      <w:r/>
      <w:bookmarkStart w:id="161" w:name="_Toc462564139"/>
      <w:r/>
      <w:bookmarkStart w:id="162" w:name="_Toc120614244"/>
      <w:r/>
      <w:bookmarkStart w:id="163" w:name="_Hlt16619350"/>
      <w:r/>
      <w:bookmarkStart w:id="164" w:name="_Toc16938590"/>
      <w:r/>
      <w:bookmarkStart w:id="165" w:name="_Toc20823346"/>
      <w:r/>
      <w:bookmarkStart w:id="166" w:name="_Hlt16619369"/>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67" w:name="EB6d2006462e294de090c16e672cecc3bd"/>
      <w:r/>
      <w:bookmarkEnd w:id="167"/>
      <w:r/>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bookmarkEnd w:id="168"/>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r/>
    </w:p>
    <w:p>
      <w:pPr>
        <w:ind w:left="0" w:firstLine="482"/>
        <w:jc w:val="center"/>
        <w:keepLines w:val="0"/>
        <w:keepNext w:val="0"/>
        <w:pageBreakBefore w:val="0"/>
        <w:spacing w:after="157" w:line="360" w:lineRule="auto"/>
        <w:widowControl w:val="off"/>
        <w:rPr>
          <w:rFonts w:hint="eastAsia" w:ascii="黑体" w:hAnsi="黑体" w:eastAsia="黑体"/>
          <w:sz w:val="32"/>
          <w:szCs w:val="32"/>
          <w:highlight w:val="none"/>
        </w:rPr>
      </w:pPr>
      <w:r/>
      <w:bookmarkStart w:id="169" w:name="_Toc22209"/>
      <w:r>
        <w:rPr>
          <w:rFonts w:hint="eastAsia" w:ascii="宋体" w:hAnsi="宋体"/>
          <w:b/>
          <w:color w:val="000000"/>
          <w:sz w:val="32"/>
          <w:szCs w:val="28"/>
        </w:rPr>
        <w:t xml:space="preserve">政府采购合同（货物格式）</w:t>
      </w:r>
      <w:r/>
    </w:p>
    <w:p>
      <w:pPr>
        <w:ind w:left="0" w:firstLine="480"/>
        <w:jc w:val="left"/>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u w:val="single"/>
          <w:lang w:val="en-US" w:eastAsia="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编</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lang w:val="en-US" w:eastAsia="zh-CN"/>
        </w:rPr>
        <w:t xml:space="preserve">                           </w:t>
      </w:r>
      <w:r/>
    </w:p>
    <w:p>
      <w:pPr>
        <w:pStyle w:val="659"/>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65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numPr>
          <w:ilvl w:val="0"/>
          <w:numId w:val="0"/>
        </w:numPr>
        <w:ind w:left="479"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甲、</w:t>
      </w:r>
      <w:r>
        <w:rPr>
          <w:rFonts w:hint="eastAsia" w:ascii="宋体" w:hAnsi="宋体" w:eastAsia="宋体" w:cs="宋体"/>
          <w:color w:val="auto"/>
          <w:sz w:val="24"/>
          <w:szCs w:val="24"/>
          <w:highlight w:val="none"/>
        </w:rPr>
        <w:t xml:space="preserve">乙双方根据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公开招标的结果，签署本合同。</w:t>
      </w:r>
      <w:r/>
    </w:p>
    <w:p>
      <w:pPr>
        <w:numPr>
          <w:ilvl w:val="0"/>
          <w:numId w:val="0"/>
        </w:numPr>
        <w:ind w:left="479"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default" w:ascii="宋体" w:hAnsi="宋体" w:eastAsia="宋体" w:cs="宋体"/>
          <w:b/>
          <w:bCs/>
          <w:color w:val="000000"/>
          <w:sz w:val="24"/>
          <w:szCs w:val="24"/>
          <w:lang w:val="en-US" w:eastAsia="zh-CN" w:bidi="ar-SA"/>
        </w:rPr>
        <w:t xml:space="preserve">一、</w:t>
      </w:r>
      <w:r>
        <w:rPr>
          <w:rFonts w:hint="eastAsia" w:ascii="宋体" w:hAnsi="宋体" w:eastAsia="宋体" w:cs="宋体"/>
          <w:b/>
          <w:bCs/>
          <w:color w:val="000000"/>
          <w:sz w:val="24"/>
          <w:szCs w:val="24"/>
        </w:rPr>
        <w:t xml:space="preserve">合同价款及中标内容清单：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1.合同总价人民币（大写）：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），该费率包括（但不限于）人工、材料、运输、安装、调试、设计、车旅、驻点人员的食宿、安全、培训、售后服务、税费等全部项目的费用。</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2.中标内容清单及内容</w:t>
      </w:r>
      <w:r/>
    </w:p>
    <w:tbl>
      <w:tblPr>
        <w:tblStyle w:val="6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952"/>
        <w:gridCol w:w="1368"/>
        <w:gridCol w:w="1095"/>
        <w:gridCol w:w="1425"/>
      </w:tblGrid>
      <w:tr>
        <w:trPr>
          <w:jc w:val="center"/>
          <w:trHeight w:val="90"/>
        </w:trPr>
        <w:tc>
          <w:tcPr>
            <w:tcW w:w="144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2952"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型号规格参数</w:t>
            </w:r>
            <w:r/>
          </w:p>
        </w:tc>
        <w:tc>
          <w:tcPr>
            <w:tcW w:w="136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  量</w:t>
            </w:r>
            <w:r/>
          </w:p>
        </w:tc>
        <w:tc>
          <w:tcPr>
            <w:tcW w:w="109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  价</w:t>
            </w:r>
            <w:r/>
          </w:p>
        </w:tc>
        <w:tc>
          <w:tcPr>
            <w:tcW w:w="142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  价</w:t>
            </w:r>
            <w:r/>
          </w:p>
        </w:tc>
      </w:tr>
      <w:tr>
        <w:trPr>
          <w:jc w:val="center"/>
          <w:trHeight w:val="474"/>
        </w:trPr>
        <w:tc>
          <w:tcPr>
            <w:tcW w:w="1440"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952"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4"/>
        </w:trPr>
        <w:tc>
          <w:tcPr>
            <w:tcW w:w="1440" w:type="dxa"/>
            <w:vAlign w:val="center"/>
            <w:textDirection w:val="lrTb"/>
            <w:noWrap w:val="false"/>
          </w:tcPr>
          <w:p>
            <w:pPr>
              <w:pStyle w:val="650"/>
              <w:ind w:left="0" w:firstLine="480"/>
              <w:keepLines w:val="0"/>
              <w:keepNext w:val="0"/>
              <w:pageBreakBefore w:val="0"/>
              <w:spacing w:line="240" w:lineRule="auto"/>
              <w:widowControl w:val="off"/>
              <w:tabs>
                <w:tab w:val="clear" w:pos="4153" w:leader="none"/>
                <w:tab w:val="clear" w:pos="8306" w:leader="none"/>
              </w:tabs>
              <w:rPr>
                <w:rFonts w:hint="eastAsia" w:ascii="宋体" w:hAnsi="宋体" w:eastAsia="宋体" w:cs="宋体"/>
                <w:sz w:val="24"/>
                <w:szCs w:val="24"/>
              </w:rPr>
              <w:pBdr>
                <w:bottom w:val="none" w:color="auto" w:sz="0" w:space="0"/>
              </w:pBdr>
            </w:pPr>
            <w:r>
              <w:rPr>
                <w:rFonts w:hint="eastAsia" w:ascii="宋体" w:hAnsi="宋体" w:eastAsia="宋体" w:cs="宋体"/>
                <w:sz w:val="24"/>
                <w:szCs w:val="24"/>
              </w:rPr>
            </w:r>
            <w:r/>
          </w:p>
        </w:tc>
        <w:tc>
          <w:tcPr>
            <w:tcW w:w="2952" w:type="dxa"/>
            <w:vAlign w:val="center"/>
            <w:textDirection w:val="lrTb"/>
            <w:noWrap w:val="false"/>
          </w:tcPr>
          <w:p>
            <w:pPr>
              <w:pStyle w:val="650"/>
              <w:ind w:left="0" w:firstLine="480"/>
              <w:keepLines w:val="0"/>
              <w:keepNext w:val="0"/>
              <w:pageBreakBefore w:val="0"/>
              <w:spacing w:line="240" w:lineRule="auto"/>
              <w:widowControl w:val="off"/>
              <w:tabs>
                <w:tab w:val="clear" w:pos="4153" w:leader="none"/>
                <w:tab w:val="clear" w:pos="8306" w:leader="none"/>
              </w:tabs>
              <w:rPr>
                <w:rFonts w:hint="eastAsia" w:ascii="宋体" w:hAnsi="宋体" w:eastAsia="宋体" w:cs="宋体"/>
                <w:sz w:val="24"/>
                <w:szCs w:val="24"/>
              </w:rPr>
              <w:pBdr>
                <w:bottom w:val="none" w:color="auto" w:sz="0" w:space="0"/>
              </w:pBd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4"/>
        </w:trPr>
        <w:tc>
          <w:tcPr>
            <w:tcW w:w="1440"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952"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4"/>
        </w:trPr>
        <w:tc>
          <w:tcPr>
            <w:tcW w:w="1440"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952"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84"/>
        </w:trPr>
        <w:tc>
          <w:tcPr>
            <w:gridSpan w:val="5"/>
            <w:tcW w:w="8280"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总价（大写）：</w:t>
            </w:r>
            <w:r/>
          </w:p>
        </w:tc>
      </w:tr>
    </w:tbl>
    <w:p>
      <w:pPr>
        <w:ind w:left="0"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二、供货时间、地点及验收方法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1.供货时间及地点</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合同签订后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日内全部安装调试完毕，并通过验收。</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2.质量要求：产品为全新未使用过的合格正品，产品及安装质量应符合各项技术标准和国家强制性标准，并满足招标人的实际使用需求。</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售后服务要求：</w:t>
      </w:r>
      <w:r/>
    </w:p>
    <w:p>
      <w:pPr>
        <w:ind w:left="0" w:firstLine="480"/>
        <w:keepLines w:val="0"/>
        <w:keepNext w:val="0"/>
        <w:pageBreakBefore w:val="0"/>
        <w:spacing w:line="360" w:lineRule="auto"/>
        <w:widowControl w:val="off"/>
        <w:rPr>
          <w:rFonts w:hint="eastAsia" w:ascii="宋体" w:hAnsi="宋体" w:eastAsia="宋体" w:cs="宋体"/>
          <w:color w:val="0070c0"/>
          <w:sz w:val="24"/>
          <w:szCs w:val="24"/>
          <w:u w:val="single"/>
        </w:rPr>
      </w:pPr>
      <w:r>
        <w:rPr>
          <w:rFonts w:hint="eastAsia" w:ascii="宋体" w:hAnsi="宋体" w:eastAsia="宋体" w:cs="宋体"/>
          <w:sz w:val="24"/>
          <w:szCs w:val="24"/>
        </w:rPr>
        <w:t xml:space="preserve">（1）产品的质量保证期及售后服务期为</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u w:val="none"/>
        </w:rPr>
        <w:t xml:space="preserve">年</w:t>
      </w:r>
      <w:r>
        <w:rPr>
          <w:rFonts w:hint="eastAsia" w:ascii="宋体" w:hAnsi="宋体" w:eastAsia="宋体" w:cs="宋体"/>
          <w:sz w:val="24"/>
          <w:szCs w:val="24"/>
        </w:rPr>
        <w:t xml:space="preserve">。(质保期以项目最终验收之日起算）</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（2）投标产品属于国家规定“三包”范围的，其产品的质量保证期不得低于“三包”规定。供应商的质量保证期承诺优于国家“三包”规定的，按供应商实际承诺执行；</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在质保保证期内，乙方为用户提供7*24小时电话或电子邮件服务，响应时间不超过30分钟，2小时内远程排除故障，若电话或网络中无法排除故障，维修人员须24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（4）质量保证期满后，供应商和厂家应同样提供免费电话咨询服务，并以优惠价格提供售后服务；</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（5）乙方需根据使用人员岗位的不同制定培训计划，考核内容，对各个部门进行针对性较强的培训工作，确保关键内容及关键岗位全部培训到位，能够独立运营系统,并能进行简单的故障排除。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（6）项目实施完成后，乙方需指定专门的售后服务工程师负责本项目的售后服务工作,并提供现场服务，及时检查并处理问题，并负责新进人员的培训工作。</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（7）技术资料要求：提供完整的技术资料，包括：产品验收标准（含产品合格证、验收清单等）；维修手册各一套，操作手册两套及合同中要求的其他文件资料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（8）本项目质量保证期内乙方须每月接到甲方通知后对设备设施进行一次巡查检修，保障正常稳定使用，延迟或检修不到位的按500元/天从合同余款中扣除违约金直至通过验收。</w:t>
      </w:r>
      <w:r/>
    </w:p>
    <w:p>
      <w:pPr>
        <w:ind w:left="0"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lang w:eastAsia="zh-CN"/>
        </w:rPr>
        <w:t xml:space="preserve">）竣工验收之前</w:t>
      </w:r>
      <w:r>
        <w:rPr>
          <w:rFonts w:hint="eastAsia" w:ascii="宋体" w:hAnsi="宋体" w:eastAsia="宋体" w:cs="宋体"/>
          <w:b/>
          <w:bCs/>
          <w:sz w:val="24"/>
          <w:szCs w:val="24"/>
          <w:lang w:val="en-US" w:eastAsia="zh-CN"/>
        </w:rPr>
        <w:t xml:space="preserve">乙方</w:t>
      </w:r>
      <w:r>
        <w:rPr>
          <w:rFonts w:hint="eastAsia" w:ascii="宋体" w:hAnsi="宋体" w:eastAsia="宋体" w:cs="宋体"/>
          <w:b/>
          <w:bCs/>
          <w:sz w:val="24"/>
          <w:szCs w:val="24"/>
          <w:lang w:eastAsia="zh-CN"/>
        </w:rPr>
        <w:t xml:space="preserve">须提供各功能室的环境检测报告。</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4.验收方法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硬件验收标准具体如下:</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A、产品为全新，未使用过的原装合格正品，安装质量符合各项技术标准和国家强制性标准；</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B、货物到达现场后，乙方必须在使用单位人员在场情况下当面开箱，共同清点、检查外观，作出开箱记录，双方签字确认。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Ｃ、乙方应保证货物到达甲方所在地完好无损，如有缺漏、损坏，由乙方负责调换、补齐或赔偿。</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Ｄ、乙方应提供完备的技术资料、装箱单和合格证等，验收合格条件（标准）如下：</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①设备技术参数与采购合同一致，性能指标达到规定的标准。</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②货物技术资料、装箱单、合格证等资料齐全。</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③在系统试运行期间所出现的问题得到解决，并运行正常。</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④在规定时间内完成交货并验收，并经甲方确认。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Ｅ、乙方须完成甲方所有采购的软硬件产品安装调试工作，须符合甲方要求并试运行1个月后，才作为最终验收。</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Ｆ、乙方提供的货物未达到采购文件规定要求，且对甲方造成损失的，由乙方承担一切责任，并赔偿所造成的损失。</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Ｇ、甲方可邀请国家认可的质量检测机构参加验收工作。</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Ｈ、甲方需要制造商对乙方交付的产品（包括质量、技术参数等）进行确认的，乙方须无条件配合，并出具书面确认证明。</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Ｉ、产品包装材料归甲方所有。</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在安装调试完毕后的30日内，甲方对乙方所供货物的技术性能和参数等方面的问题有提出异议的权利。</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验收方法：全部货物安装调试完毕后30日内，由甲方邀请相关专业人员，按照招标文件的要求和现行技术标准、强制性标准对所供货物的技术性能、技术参数、安装质量等进行验收，并形成验收意见。</w:t>
      </w:r>
      <w:r/>
    </w:p>
    <w:p>
      <w:pPr>
        <w:ind w:left="0"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三、合同款项的支付方式及进度安排</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1、自合同签订生效之日起，收到乙方发票10个工作日内，甲方向乙方支付合同总价的30%款项作为预付款；</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2、所有货物安装完毕，甲方组织初步验收，初步验收合格后收到乙方发票10个工作日内甲方向乙方支付至合同总价的80%款项；</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3、初步验收合格且项目运行满12个月后，甲方组织最终验收，最终验收合格后收到乙方发票10个工作日内甲方付清货款。</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(1) 发票；</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(2) 制造厂家出具的质量检验证书等；</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 装箱单；</w:t>
      </w:r>
      <w:r/>
    </w:p>
    <w:p>
      <w:pPr>
        <w:ind w:left="0" w:firstLine="482"/>
        <w:keepLines w:val="0"/>
        <w:keepNext w:val="0"/>
        <w:pageBreakBefore w:val="0"/>
        <w:spacing w:line="360" w:lineRule="auto"/>
        <w:widowControl w:val="off"/>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 甲方加盖公章证明交付使用合格的验收单。</w:t>
      </w:r>
      <w:r/>
    </w:p>
    <w:p>
      <w:pPr>
        <w:ind w:left="0"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四、履约保证金及售后服务承诺</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乙方交纳人民币</w:t>
      </w:r>
      <w:r>
        <w:rPr>
          <w:rFonts w:hint="eastAsia" w:ascii="宋体" w:hAnsi="宋体" w:eastAsia="宋体" w:cs="宋体"/>
          <w:sz w:val="24"/>
          <w:szCs w:val="24"/>
          <w:u w:val="single"/>
          <w:lang w:val="en-US" w:eastAsia="zh-CN"/>
        </w:rPr>
        <w:t xml:space="preserve"> 中标</w:t>
      </w:r>
      <w:r>
        <w:rPr>
          <w:rFonts w:hint="eastAsia" w:ascii="宋体" w:hAnsi="宋体" w:eastAsia="宋体" w:cs="宋体"/>
          <w:sz w:val="24"/>
          <w:szCs w:val="24"/>
          <w:u w:val="single"/>
        </w:rPr>
        <w:t xml:space="preserve">金额的10%</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元作为本合同的履约保证金。</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如以履约保函（保险）形式缴纳履约保证金，供应商可通过政府采购电子履约保函（保险）平台（www.jsdzbh.com）在线申请履约保函（保险）。</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对第三方信用服务机构依据标准规范评定为AA级及以上的政府采购供应商（需在签订采购合同前提供信用管理部门备案的第三方信用报告，且信用报告通过“信用盐城网”可查实），本项目履约保证金（是/否）</w:t>
      </w:r>
      <w:r>
        <w:rPr>
          <w:rFonts w:hint="eastAsia" w:ascii="宋体" w:hAnsi="宋体" w:eastAsia="宋体" w:cs="宋体"/>
          <w:sz w:val="24"/>
          <w:szCs w:val="24"/>
          <w:u w:val="single"/>
          <w:lang w:val="en-US" w:eastAsia="zh-CN"/>
        </w:rPr>
        <w:t xml:space="preserve"> 否 </w:t>
      </w:r>
      <w:r>
        <w:rPr>
          <w:rFonts w:hint="eastAsia" w:ascii="宋体" w:hAnsi="宋体" w:eastAsia="宋体" w:cs="宋体"/>
          <w:sz w:val="24"/>
          <w:szCs w:val="24"/>
          <w:lang w:val="en-US" w:eastAsia="zh-CN"/>
        </w:rPr>
        <w:t xml:space="preserve">免收 ，降低履约保证金缴纳比例</w:t>
      </w:r>
      <w:r>
        <w:rPr>
          <w:rFonts w:hint="eastAsia" w:ascii="宋体" w:hAnsi="宋体" w:eastAsia="宋体" w:cs="宋体"/>
          <w:sz w:val="24"/>
          <w:szCs w:val="24"/>
          <w:u w:val="single"/>
          <w:lang w:val="en-US" w:eastAsia="zh-CN"/>
        </w:rPr>
        <w:t xml:space="preserve"> 100 </w:t>
      </w:r>
      <w:r>
        <w:rPr>
          <w:rFonts w:hint="eastAsia" w:ascii="宋体" w:hAnsi="宋体" w:eastAsia="宋体" w:cs="宋体"/>
          <w:sz w:val="24"/>
          <w:szCs w:val="24"/>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合同履行结束后，甲方应及时退还交纳的履约保证金。</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履约保证金的退还：</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.1方式：无息退还至投标人缴纳履约保证金的账户。如为保函，在到期时自行失效。</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2时间：验收合格且采购人收到发票后30日内。</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.3条件：按合同要求全部履约完成并经采购人验收合格，且采购人收到中标人出具的发票。</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.4不予退还情形：</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除不可抗力情况外，投标人出现下列情形之一的，其履约保证金，招标人将视情节决定不予退还或部分不予退还。</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（2）中标人不履行与采购人订立的合同的；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（3）中标人所供货物或服务不符合招标文件规定要求的；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（4）中标人采取欺骗、弄虚作假方式投标的或与</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投标人串通投标的；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（5）中标人将合同内容转包、违法分包的；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（6）中标人故意捏造事实或伪造证明材料，进行虚假恶意投诉或反映的。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五年维保</w:t>
      </w:r>
      <w:r>
        <w:rPr>
          <w:rFonts w:hint="eastAsia" w:ascii="宋体" w:hAnsi="宋体" w:eastAsia="宋体" w:cs="宋体"/>
          <w:sz w:val="24"/>
          <w:szCs w:val="24"/>
        </w:rPr>
        <w:t xml:space="preserve">期内所供货物发生故障时，</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须在</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小时内到场维修，无法修复时，须在</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小时内提供备用产品，否则甲方有权自行处理，其</w:t>
      </w:r>
      <w:r>
        <w:rPr>
          <w:rFonts w:hint="eastAsia" w:ascii="宋体" w:hAnsi="宋体" w:eastAsia="宋体" w:cs="宋体"/>
          <w:sz w:val="24"/>
          <w:szCs w:val="24"/>
          <w:lang w:val="en-US" w:eastAsia="zh-CN"/>
        </w:rPr>
        <w:t xml:space="preserve">维保</w:t>
      </w:r>
      <w:r>
        <w:rPr>
          <w:rFonts w:hint="eastAsia" w:ascii="宋体" w:hAnsi="宋体" w:eastAsia="宋体" w:cs="宋体"/>
          <w:sz w:val="24"/>
          <w:szCs w:val="24"/>
        </w:rPr>
        <w:t xml:space="preserve">费用在乙方</w:t>
      </w:r>
      <w:r>
        <w:rPr>
          <w:rFonts w:hint="eastAsia" w:ascii="宋体" w:hAnsi="宋体" w:eastAsia="宋体" w:cs="宋体"/>
          <w:sz w:val="24"/>
          <w:szCs w:val="24"/>
          <w:lang w:val="en-US" w:eastAsia="zh-CN"/>
        </w:rPr>
        <w:t xml:space="preserve">维保费</w:t>
      </w:r>
      <w:r>
        <w:rPr>
          <w:rFonts w:hint="eastAsia" w:ascii="宋体" w:hAnsi="宋体" w:eastAsia="宋体" w:cs="宋体"/>
          <w:sz w:val="24"/>
          <w:szCs w:val="24"/>
        </w:rPr>
        <w:t xml:space="preserve">中扣除。</w:t>
      </w:r>
      <w:r>
        <w:rPr>
          <w:rFonts w:hint="eastAsia" w:ascii="宋体" w:hAnsi="宋体" w:eastAsia="宋体" w:cs="宋体"/>
          <w:sz w:val="24"/>
          <w:szCs w:val="24"/>
          <w:lang w:val="en-US" w:eastAsia="zh-CN"/>
        </w:rPr>
        <w:t xml:space="preserve">维保期内达三次不到场的甲方有权扣除当年维保费用。</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3.7</w:t>
      </w:r>
      <w:r>
        <w:rPr>
          <w:rFonts w:hint="eastAsia" w:ascii="宋体" w:hAnsi="宋体" w:eastAsia="宋体" w:cs="宋体"/>
          <w:sz w:val="24"/>
          <w:szCs w:val="24"/>
        </w:rPr>
        <w:t xml:space="preserve">所有货物免费送达甲方指定地点，货物的托运、安装及预装常用软件（如需要）等，均不需另行付费。</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w:t>
      </w:r>
      <w:r>
        <w:rPr>
          <w:rFonts w:hint="eastAsia" w:ascii="宋体" w:hAnsi="宋体" w:eastAsia="宋体" w:cs="宋体"/>
          <w:sz w:val="24"/>
          <w:szCs w:val="24"/>
        </w:rPr>
        <w:t xml:space="preserve">根据厂方的规定对所供货物进行保修，在质量保证期内，乙方不得收取任何费用；质量保证期满后，乙方对用户货物的维修，只收成本费，并提供终生技术服务。</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如</w:t>
      </w:r>
      <w:r>
        <w:rPr>
          <w:rFonts w:hint="eastAsia" w:ascii="宋体" w:hAnsi="宋体" w:eastAsia="宋体" w:cs="宋体"/>
          <w:sz w:val="24"/>
          <w:szCs w:val="24"/>
          <w:lang w:val="en-US" w:eastAsia="zh-CN"/>
        </w:rPr>
        <w:t xml:space="preserve">因</w:t>
      </w:r>
      <w:r>
        <w:rPr>
          <w:rFonts w:hint="eastAsia" w:ascii="宋体" w:hAnsi="宋体" w:eastAsia="宋体" w:cs="宋体"/>
          <w:sz w:val="24"/>
          <w:szCs w:val="24"/>
        </w:rPr>
        <w:t xml:space="preserve">使用不当造成货物的毁损，乙方有义务协助维修。</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五、违约责任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甲乙双方必须遵守本合同并执行合同中的各项约定，保证本合同的正常履行。</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 如因甲方未能按合同规定履行经费支付，造成乙方难以正常开展服务活动，由甲方承担责任。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5.3在服务过程中，因乙方造成重大社会影响、安全事故或合同内容未完成的，由乙方承担责任。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 发生合同纠纷，双方协商解决，协商不成的，依法向甲方所在地人民法院提起诉讼。</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六、其他条款：</w:t>
      </w:r>
      <w:r/>
    </w:p>
    <w:p>
      <w:pPr>
        <w:ind w:left="0" w:firstLine="480"/>
        <w:keepLines w:val="0"/>
        <w:keepNext w:val="0"/>
        <w:pageBreakBefore w:val="0"/>
        <w:spacing w:line="360" w:lineRule="auto"/>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本项目不得转包、分包，否则甲方有权单方面解除合同，乙方须无条件撤出</w:t>
      </w:r>
      <w:r>
        <w:rPr>
          <w:rFonts w:hint="eastAsia" w:ascii="宋体" w:hAnsi="宋体" w:eastAsia="宋体" w:cs="宋体"/>
          <w:color w:val="000000"/>
          <w:sz w:val="24"/>
          <w:szCs w:val="24"/>
          <w:u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u w:val="none"/>
          <w:lang w:val="en-US" w:eastAsia="zh-CN"/>
        </w:rPr>
        <w:t xml:space="preserve">2.</w:t>
      </w:r>
      <w:r>
        <w:rPr>
          <w:rFonts w:hint="eastAsia" w:ascii="宋体" w:hAnsi="宋体" w:eastAsia="宋体" w:cs="宋体"/>
          <w:color w:val="000000"/>
          <w:sz w:val="24"/>
          <w:szCs w:val="24"/>
          <w:u w:val="single"/>
        </w:rPr>
        <w:t xml:space="preserve">供应商应按照甲方</w:t>
      </w:r>
      <w:r>
        <w:rPr>
          <w:rFonts w:hint="eastAsia" w:ascii="宋体" w:hAnsi="宋体" w:eastAsia="宋体" w:cs="宋体"/>
          <w:color w:val="000000"/>
          <w:sz w:val="24"/>
          <w:szCs w:val="24"/>
          <w:u w:val="single"/>
          <w:lang w:val="en-US" w:eastAsia="zh-CN"/>
        </w:rPr>
        <w:t xml:space="preserve">要求</w:t>
      </w:r>
      <w:r>
        <w:rPr>
          <w:rFonts w:hint="eastAsia" w:ascii="宋体" w:hAnsi="宋体" w:eastAsia="宋体" w:cs="宋体"/>
          <w:color w:val="000000"/>
          <w:sz w:val="24"/>
          <w:szCs w:val="24"/>
          <w:u w:val="single"/>
        </w:rPr>
        <w:t xml:space="preserve">，对甲方指定的原有</w:t>
      </w:r>
      <w:r>
        <w:rPr>
          <w:rFonts w:hint="eastAsia" w:ascii="宋体" w:hAnsi="宋体" w:eastAsia="宋体" w:cs="宋体"/>
          <w:color w:val="000000"/>
          <w:sz w:val="24"/>
          <w:szCs w:val="24"/>
          <w:u w:val="single"/>
          <w:lang w:val="en-US" w:eastAsia="zh-CN"/>
        </w:rPr>
        <w:t xml:space="preserve">场地</w:t>
      </w:r>
      <w:r>
        <w:rPr>
          <w:rFonts w:hint="eastAsia" w:ascii="宋体" w:hAnsi="宋体" w:eastAsia="宋体" w:cs="宋体"/>
          <w:color w:val="000000"/>
          <w:sz w:val="24"/>
          <w:szCs w:val="24"/>
          <w:u w:val="single"/>
        </w:rPr>
        <w:t xml:space="preserve">货物搬运</w:t>
      </w:r>
      <w:r>
        <w:rPr>
          <w:rFonts w:hint="eastAsia" w:ascii="宋体" w:hAnsi="宋体" w:eastAsia="宋体" w:cs="宋体"/>
          <w:color w:val="000000"/>
          <w:sz w:val="24"/>
          <w:szCs w:val="24"/>
          <w:u w:val="single"/>
          <w:lang w:val="en-US" w:eastAsia="zh-CN"/>
        </w:rPr>
        <w:t xml:space="preserve">至甲方指定地点</w:t>
      </w:r>
      <w:r>
        <w:rPr>
          <w:rFonts w:hint="eastAsia" w:ascii="宋体" w:hAnsi="宋体" w:eastAsia="宋体" w:cs="宋体"/>
          <w:color w:val="000000"/>
          <w:sz w:val="24"/>
          <w:szCs w:val="24"/>
          <w:u w:val="none"/>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七、</w:t>
      </w:r>
      <w:r>
        <w:rPr>
          <w:rFonts w:hint="eastAsia" w:ascii="宋体" w:hAnsi="宋体" w:eastAsia="宋体" w:cs="宋体"/>
          <w:b/>
          <w:color w:val="000000"/>
          <w:sz w:val="24"/>
          <w:szCs w:val="24"/>
        </w:rPr>
        <w:t xml:space="preserve">本合</w:t>
      </w:r>
      <w:r>
        <w:rPr>
          <w:rFonts w:hint="eastAsia" w:ascii="宋体" w:hAnsi="宋体" w:eastAsia="宋体" w:cs="宋体"/>
          <w:b/>
          <w:sz w:val="24"/>
          <w:szCs w:val="24"/>
        </w:rPr>
        <w:t xml:space="preserve">同由下列文件共同构成：</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1.本合同书；</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2.中标通知书；</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3.采购人的招标文件及其补充（答疑）资料；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4.中标人的投标文件及其补充（澄清）资料。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、本合同未尽事宜，由甲、乙双方依据招标文件、中标人的投标文件另行协商解决。</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肆 </w:t>
      </w:r>
      <w:r>
        <w:rPr>
          <w:rFonts w:hint="eastAsia" w:ascii="宋体" w:hAnsi="宋体" w:eastAsia="宋体" w:cs="宋体"/>
          <w:sz w:val="24"/>
          <w:szCs w:val="24"/>
        </w:rPr>
        <w:t xml:space="preserve">份，甲乙双方各执一份，其余用于相关单位存档。</w:t>
      </w:r>
      <w:r/>
    </w:p>
    <w:p>
      <w:pPr>
        <w:ind w:left="0" w:firstLine="480"/>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sz w:val="24"/>
          <w:szCs w:val="24"/>
        </w:rPr>
        <w:t xml:space="preserve">十、采购人或其委托的代理机构应当自政府采购合同签订之日起</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个工作日内，将政府采购合同的扫描件（PDF格式）传送政府采购交易执行系统实施网上备案，经东台市财政局审核后，网上公示。</w:t>
      </w:r>
      <w:r/>
    </w:p>
    <w:p>
      <w:pPr>
        <w:spacing w:line="360" w:lineRule="auto"/>
        <w:rPr>
          <w:rFonts w:ascii="楷体_GB2312" w:eastAsia="楷体_GB2312"/>
        </w:rPr>
      </w:pPr>
      <w:r>
        <w:rPr>
          <w:rFonts w:ascii="楷体_GB2312" w:eastAsia="楷体_GB2312"/>
        </w:rPr>
      </w:r>
      <w:r/>
    </w:p>
    <w:p>
      <w:pPr>
        <w:pStyle w:val="65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9"/>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659"/>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659"/>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659"/>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spacing w:line="480" w:lineRule="auto"/>
        <w:rPr>
          <w:rFonts w:hint="eastAsia" w:ascii="黑体" w:hAnsi="黑体" w:eastAsia="黑体"/>
          <w:sz w:val="28"/>
          <w:szCs w:val="28"/>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p>
    <w:p>
      <w:pPr>
        <w:spacing w:line="360" w:lineRule="auto"/>
        <w:rPr>
          <w:rFonts w:hint="eastAsia" w:ascii="黑体" w:hAnsi="黑体" w:eastAsia="黑体"/>
          <w:sz w:val="28"/>
          <w:szCs w:val="28"/>
          <w:highlight w:val="none"/>
        </w:rPr>
      </w:pPr>
      <w:r>
        <w:rPr>
          <w:rFonts w:hint="eastAsia" w:ascii="黑体" w:hAnsi="黑体" w:eastAsia="黑体"/>
          <w:sz w:val="28"/>
          <w:szCs w:val="28"/>
          <w:highlight w:val="none"/>
        </w:rPr>
        <w:br w:type="page" w:clear="all"/>
      </w:r>
      <w:bookmarkEnd w:id="169"/>
      <w:r/>
      <w:r/>
    </w:p>
    <w:p>
      <w:pPr>
        <w:pStyle w:val="659"/>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659"/>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70" w:name="_Toc49090575"/>
      <w:r/>
      <w:bookmarkStart w:id="171" w:name="_Toc26554093"/>
      <w:r>
        <w:rPr>
          <w:rFonts w:hint="eastAsia" w:ascii="宋体" w:hAnsi="宋体" w:eastAsia="宋体" w:cs="宋体"/>
          <w:color w:val="auto"/>
          <w:sz w:val="24"/>
          <w:szCs w:val="24"/>
          <w:highlight w:val="none"/>
        </w:rPr>
        <w:t xml:space="preserve">项目属性:货物类项目</w:t>
      </w:r>
      <w:r>
        <w:rPr>
          <w:rFonts w:hint="eastAsia" w:ascii="宋体" w:hAnsi="宋体" w:eastAsia="宋体" w:cs="宋体"/>
          <w:color w:val="auto"/>
          <w:sz w:val="24"/>
          <w:szCs w:val="24"/>
          <w:highlight w:val="none"/>
          <w:shd w:val="clear" w:color="auto" w:fill="auto"/>
        </w:rPr>
        <w:t xml:space="preserve">。</w:t>
      </w:r>
      <w:bookmarkEnd w:id="170"/>
      <w:r/>
      <w:bookmarkEnd w:id="171"/>
      <w:r/>
      <w:r/>
    </w:p>
    <w:p>
      <w:pPr>
        <w:pStyle w:val="659"/>
        <w:jc w:val="both"/>
        <w:spacing w:beforeAutospacing="0" w:afterAutospacing="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eastAsia="zh-CN"/>
        </w:rPr>
        <w:t xml:space="preserve">产品名称：书画社-交互式书画桌系统</w:t>
      </w:r>
      <w:r/>
    </w:p>
    <w:p>
      <w:pPr>
        <w:pStyle w:val="65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采购需求包括拟采购的标的及其需要满足的技术、商务要求。</w:t>
      </w:r>
      <w:r/>
    </w:p>
    <w:p>
      <w:pPr>
        <w:pStyle w:val="65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（一）技术要求是指对采购标的功能和质量要求，包括性能、材料、结构、外观、安全，或者服务内容和标准等。</w:t>
      </w:r>
      <w:r/>
    </w:p>
    <w:p>
      <w:pPr>
        <w:pStyle w:val="65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p>
    <w:p>
      <w:pPr>
        <w:pStyle w:val="659"/>
        <w:jc w:val="both"/>
        <w:spacing w:beforeAutospacing="0" w:afterAutospacing="0"/>
        <w:rPr>
          <w:rFonts w:hint="eastAsia" w:ascii="宋体" w:hAnsi="宋体" w:eastAsia="宋体" w:cs="宋体"/>
          <w:b/>
          <w:bCs/>
          <w:i/>
          <w:iCs w:val="0"/>
          <w:color w:val="auto"/>
          <w:sz w:val="24"/>
          <w:szCs w:val="24"/>
          <w:highlight w:val="none"/>
          <w:u w:val="none"/>
          <w:shd w:val="clear" w:color="auto" w:fill="auto"/>
          <w:lang w:val="en-US" w:eastAsia="zh-CN"/>
        </w:rPr>
      </w:pPr>
      <w:r>
        <w:rPr>
          <w:rFonts w:hint="eastAsia" w:ascii="宋体" w:hAnsi="宋体" w:eastAsia="宋体" w:cs="宋体"/>
          <w:b/>
          <w:bCs/>
          <w:i/>
          <w:iCs w:val="0"/>
          <w:color w:val="auto"/>
          <w:sz w:val="24"/>
          <w:szCs w:val="24"/>
          <w:highlight w:val="none"/>
          <w:u w:val="none"/>
          <w:shd w:val="clear" w:color="auto" w:fill="auto"/>
          <w:lang w:val="en-US" w:eastAsia="zh-CN"/>
        </w:rPr>
        <w:t xml:space="preserve">（三）招标内容功能要求</w:t>
      </w:r>
      <w:r/>
    </w:p>
    <w:tbl>
      <w:tblPr>
        <w:tblStyle w:val="638"/>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6"/>
        <w:gridCol w:w="1287"/>
        <w:gridCol w:w="5287"/>
        <w:gridCol w:w="754"/>
        <w:gridCol w:w="793"/>
      </w:tblGrid>
      <w:tr>
        <w:trPr>
          <w:jc w:val="center"/>
          <w:trHeight w:val="702"/>
        </w:trPr>
        <w:tc>
          <w:tcPr>
            <w:shd w:val="clear" w:color="auto" w:fill="ffffff"/>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ffffff"/>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项目名称</w:t>
            </w:r>
            <w:r/>
          </w:p>
        </w:tc>
        <w:tc>
          <w:tcPr>
            <w:shd w:val="clear" w:color="auto" w:fill="ffffff"/>
            <w:tcW w:w="5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相关信息及参数说明</w:t>
            </w:r>
            <w:r/>
          </w:p>
        </w:tc>
        <w:tc>
          <w:tcPr>
            <w:shd w:val="clear" w:color="auto" w:fill="ffffff"/>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单位</w:t>
            </w:r>
            <w:r/>
          </w:p>
        </w:tc>
        <w:tc>
          <w:tcPr>
            <w:shd w:val="clear" w:color="auto" w:fill="ffffff"/>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数量</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r>
      <w:tr>
        <w:trPr>
          <w:jc w:val="center"/>
          <w:trHeight w:val="129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w:t>
            </w:r>
            <w:r>
              <w:rPr>
                <w:rFonts w:hint="eastAsia" w:ascii="宋体" w:hAnsi="宋体" w:eastAsia="宋体" w:cs="宋体"/>
                <w:i w:val="0"/>
                <w:iCs w:val="0"/>
                <w:color w:val="auto"/>
                <w:sz w:val="20"/>
                <w:szCs w:val="20"/>
                <w:u w:val="none"/>
                <w:lang w:val="en-US" w:eastAsia="zh-CN" w:bidi="ar"/>
              </w:rPr>
              <w:t xml:space="preserve">息参数：定制超薄书画造型造型矩阵光源8W/㎡，光通量：≥3200lm，色温：4000K（自然光色）。显色指数：Ra≥92，防护等级：IP20。特性：低压24V供电，铝合金散热背板。嵌入式无边框COB射灯模块，7W/10W/14W，光效：≥110lm/W，色温：3000K-6500K（±50K），显色指数：Ra≥95（R9&gt;90），光束角：24°/36°/60°，防护等级：IP44。安装方式：半嵌入式造型结合。特性：深杯防眩结构。LED嵌入式筒灯6W/㎡，光通量：≥3200lm，色温：4000K（自然光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国学主题元素艺术装饰。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书画社-木制艺术造型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1、信息参数：5500*3000mm，主体结构组件采用18mm实木多层基材，表面采用环保油漆，喷漆时需保持无尘空间，每道工序需充分干燥(通常24小时，含水率≤8%），（甲醛释放量≤0.025mg/m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³，气候箱法检测），金属复合面板（基材厚度≥0.5mm，表面涂层铅笔硬度≥3H），高分子装饰层（厚度≥3mm，邵氏硬度60±5）。静态承重≥200kg/m²（持续24小时形变率≤0.3%）。抗弯强度≥100MPa（依据GB/T 17657-2022三点弯曲试验）。剥离强度≥120N/cm（纵向，GB/T 2791-1995标准）。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艺术浅浮雕。高分子涂层书画元素雕刻装饰。定制异形艺术雕刻部件。定制成品浮雕纹油画饰面板。环保木质地脚围板。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书画社-木制艺术展览板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1、信息参数：5500*3000mm，主体结构组件采用18mm实木多层基材，表面采用环保油漆，喷漆时需保持无尘空间，每道工序需充分干燥(通常24小时，含水率≤8%），（甲醛释放量≤0.025mg/m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³，气候箱法检测），金属复合面板（基材厚度≥0.5mm，表面涂层铅笔硬度≥3H），高分子装饰层（厚度≥3</w:t>
            </w:r>
            <w:r>
              <w:rPr>
                <w:rFonts w:hint="eastAsia" w:ascii="宋体" w:hAnsi="宋体" w:eastAsia="宋体" w:cs="宋体"/>
                <w:color w:val="auto"/>
                <w:sz w:val="20"/>
                <w:szCs w:val="20"/>
                <w:u w:val="none"/>
                <w:lang w:val="en-US" w:eastAsia="zh-CN" w:bidi="ar"/>
              </w:rPr>
              <w:t xml:space="preserve">mm，邵氏硬度60±5）。静态承重≥200kg/m²（持续24小时形变率≤0.3%）。抗弯强度≥100MPa（依据GB/T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2791-1995标准）定制艺术写真装置部件。定制异形艺术雕刻部件。定制自办展示版面部件，饰面类型：三聚氰胺纸/木皮/喷绘布，压纹工艺：条纹（3cm/5cm宽）、方格、竹纹（误差≤±0.5mm），邵氏硬度：≥60 HA（GB/T 531.1），热压成型：温度180-220℃，压力≥8MPa。环保木质地脚围板。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高分子涂层书画元素雕刻装饰。定制异形艺术雕刻部件。定制成品浮雕纹油画饰面板。定制仿古金属格栅镂空造型。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书画社-木制书法用具陈列区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1、信息参数：7000*3000mm，主体结构组件采用18mm实木多层基材，表面采用高分子装饰层（厚度≥3mm，邵氏硬度60±5）。静态承重≥200kg/m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w:t>
            </w:r>
            <w:r>
              <w:rPr>
                <w:rFonts w:hint="eastAsia" w:ascii="宋体" w:hAnsi="宋体" w:eastAsia="宋体" w:cs="宋体"/>
                <w:color w:val="auto"/>
                <w:sz w:val="20"/>
                <w:szCs w:val="20"/>
                <w:u w:val="none"/>
                <w:lang w:val="en-US" w:eastAsia="zh-CN" w:bidi="ar"/>
              </w:rPr>
              <w:t xml:space="preserve">曲试验）。剥离强度≥120N/cm（纵向，GB/T 2791-1995标准）。墙体基层采用E1级环保细木工板（规格1220×2440×15mm，含水率≤12%，抗弯强度≥15MPa）作为基层，自攻螺钉间距≤200mm，接缝预留5mm伸缩缝并填充防火密封胶。定制生态木展墙选用密度≥0.7g/cm³的材质，防火等级B1级，防潮性能吸水率≤1.5%。通过凹槽拼接，横向安装时凹口朝上，竖向安装凹口在右侧，板间留缝3mm；收边采用专用580型线条（宽度≥50mm），螺钉固定并预留1.5mm膨胀间隙。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高分子纳米涂层复合艺术雕刻部件装饰。定制艺术浅浮雕。定制异形艺术雕刻部件。</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书画社-中式仿古书画桌椅套装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桌子尺寸：1780*800*750mm（长*宽*高）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椅子尺寸：600*480*1150mm（长*宽*高）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非遗适配场景：书法教学：桌面倾斜30°时，配合磁吸镇纸固定元代《胆巴碑》临摹范本，笔槽可收纳兼毫毛笔（直径0.6-1.2cm）。国画创作：独板桌面平整度误差≤0.1mm，适配生宣晕染技法，隐藏式笔架可固定勾线笔与皴擦笔。传统工艺体验：藤编坐垫透气性达GB/T 26706-2011标准，学生长时间端坐不易疲劳，适配扎染、活字印刷等跨学科课程。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材质与环保性：木材选用南美胡桃木，木质坚硬密实，密度达0.83g/cm</w:t>
            </w:r>
            <w:r>
              <w:rPr>
                <w:rFonts w:hint="eastAsia" w:ascii="宋体" w:hAnsi="宋体" w:eastAsia="宋体" w:cs="宋体"/>
                <w:color w:val="auto"/>
                <w:sz w:val="20"/>
                <w:szCs w:val="20"/>
                <w:u w:val="none"/>
                <w:lang w:val="en-US" w:eastAsia="zh-CN" w:bidi="ar"/>
              </w:rPr>
              <w:t xml:space="preserve">³，抗变形系数优于普通实木。木材经72小时恒温烘干处理（含水率稳定在8%-10%），确保长期使用不开裂。</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表面处理：环保水性漆（通过GB 18581-2009十环认证），甲醛释放量≤0.08mg/m³，苯系物含量未检出，符合欧盟REACH标准。漆面采用三底一面工艺，耐磨系数≥4000转（ASTM D4060测试）。</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结构与工艺：​</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榫卯设计：全榫卯结构采用明清古法“燕尾榫”与“直角榫”结合，桌面框架由5根50mm厚整木直拼（顺纹拼接），榫头宽度与孔径误差≤0.1mm，承重≥200kg无变形。椅背弧形仿古设计参考《鲁班经》中式圈椅比例，椅腿为双柱马蹄足，配藤编靠背（透气孔密度20目/cm²）。</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桌面工艺：50mm厚独板桌面经碳化处理（表面温度200℃持续2小时），提升防潮性能，边缘倒角R=5mm圆弧防磕碰，预装磁吸式水平仪辅助调平。</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功能与适配性：​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倾斜调节系统：桌面通过液压阻尼铰链实现0-30°无极调节（调节行程120mm），内置防滑硅胶垫（邵氏硬度50HA）固定宣纸/画板，倾斜时自动锁止，稳定性误差≤1°。</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收纳扩展：桌侧隐藏式笔架采用磁吸+卡扣双保险设计，容量可容纳20支毛笔+3枚镇纸（镇纸槽内置硅胶防滑层）；椅面藤编坐垫可拆卸清洗，内部填充高密度记忆棉（密度55kg/m³），回弹率≥90%。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安全与人体工学：​</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防滑脚垫：底部配置四组蜂窝状硅胶脚垫（直径50mm×厚度15mm），静摩擦系数≥0.8，防滑等级通过ISO 13356测试，承重≥150kg无位移。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安全认证：符合GB 28007-2011儿童家具标准，所有边角采用R≥3mm弧形倒角，抽屉导轨安装防夹手软胶（邵氏硬度30HA）。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文化适配与附加功能：</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仿古细节：桌面边缘复刻明代画案“拦水线”工艺（凸棱高度1.5mm），预置笔洗凹槽（直径80mm×深度15mm）；椅背镶嵌仿古铜质云纹饰片（厚度1mm，黄铜镀24K金）。</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5</w:t>
            </w:r>
            <w:r/>
          </w:p>
        </w:tc>
      </w:tr>
      <w:tr>
        <w:trPr>
          <w:jc w:val="center"/>
          <w:trHeight w:val="9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书画社-桌面画架</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1、信息参数：金属支架，高度调节范围40-80cm，承重5kg，配防滑橡胶垫。</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519"/>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书画社-学生级素描套装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1、信息参数：含铅笔（H-6B）、橡皮（可塑/硬橡皮）、卷笔刀、美工刀，配收纳盒。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40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书画社-书画专用护眼灯</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1、信息参数：色温4000K，照度500lx，无频闪，适配书画桌高度（可调支架）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书画社-毛笔套装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（进阶级）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1、信息参数：毛笔配置：兼毫毛笔：笔尖直径0.5cm/0.7cm，笔杆为紫檀木+防滑漆，长度24.5cm，锋长3.5cm，适配颜体/欧体楷书。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羊毫提斗笔：笔尖直径1.2cm，笔杆长度28cm，用于大字创作。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套装内容：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书画纸100张（39cm×25cm，米字格/回宫格双面印刷）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书画墨1瓶（100ml，双旋口设计，防干涸）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毛毡1块（50cm×40cm，双面格子，密度200线/英寸）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笔架1个（树脂材质，高度8cm）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功能特性</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毛笔笔锋采用七狼三羊混合工艺，聚锋性能提升30%。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水写布吸墨速度≤5秒（ASTM D4489测试）。</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书画社-宣纸与毛边纸套装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（进阶级）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宣纸组合：檀皮熟宣：四尺整刀（69×138cm）10刀（100张/刀），克重140g/㎡，耐皴擦，适合工笔画。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生宣：四尺三开（69×46cm）50张，克重100g/㎡，柔韧性通过GB/T 17748-2016测试。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毛边纸组合：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手工毛边：四尺对开（138×34cm）30张，手工竹浆，厚度0.15mm。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附加功能：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宣纸含防伪镭射标（可验证真伪），毛边纸预涂淀粉胶（防潮等级IP54）。</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书画社-墨汁与砚台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（进阶级）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1、信息参数：砚台规格：材质：歙石（含40%绿泥石），石质硬度4.5-5.5（莫氏硬度），尺寸：五寸（11.7×3cm）手工磨制，砚堂平整度误差≤0.1mm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功能设计：前池蓄墨/后池洗笔双区设计，容量比1:1.5。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砚背预留印章刻制区（10×10cm），可实践篆刻工艺。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墨锭参数：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原料：松烟+胶（胶质比例1:8），松烟含量≥60%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重量：1两（37.5g），尺寸100×24×10mm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燃烧特性：燃烧速率0.8cm/min（20cm高度自由燃烧）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套装内容：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墨锭1锭 + 歙砚1方、砚台专用墨床（檀木材质）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书画社-书画基础配置包套装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包含：</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镇尺：石质或竹木材质，尺寸24×4cm，用于压平纸张。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书画毡：毛毡尺寸450×600mm，厚度2mm，用于铺垫书写表面。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洗笔筒：塑料或陶瓷材质，容量500ml。</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笔帘：竹制笔帘（长度32cm），用于收纳毛笔。</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工具箱</w:t>
            </w:r>
            <w:r>
              <w:rPr>
                <w:rFonts w:hint="eastAsia" w:ascii="宋体" w:hAnsi="宋体" w:eastAsia="宋体" w:cs="宋体"/>
                <w:color w:val="auto"/>
                <w:sz w:val="20"/>
                <w:szCs w:val="20"/>
                <w:u w:val="none"/>
                <w:lang w:val="en-US" w:eastAsia="zh-CN" w:bidi="ar"/>
              </w:rPr>
              <w:t xml:space="preserve">​：ABS材质，分格存放刻刀、剪刀等工具。</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裁纸刀：美工刀（刀片可替换，刀刃长度10cm）。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书画社-交互式书画桌系统（含书画椅）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一、整机要求：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1.一体化体验桌 1.外部结构：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桌子尺寸：1780*800*750mm（长*宽*高）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官帽椅尺寸：600*480*1150mm（长*宽*高）木材选用南美胡桃木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外部结构：整体可拆卸，无外露螺丝</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2.红外感应屏：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触摸精度  &lt;1.2mm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触摸灵敏度 5-8ms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线性误差 1mm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钢化玻璃 厚2至3mm 透光率&gt;96%</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防水等级 IPX6 边框做防水处理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静电防护等级 按照EN6100-4-2 2008:4级 接触式放电8KV 空气式放电15kv</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安全性：直径为63mm钢球从1米高度自由落下玻璃不破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3.显示屏：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液晶屏尺寸：43"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LCD面板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面板类型：a-Si TFT-LCD , 液晶模组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分辨率：1920(RGB)×1080,FHD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亮度 450 cd/m2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触摸功能：红外触摸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5.工作环境：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电气参数 ：输入电压：AC 220V，电气安全规范：GB 19517-2009。网络：双频wifi或有线连接</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置水砚台 （规格：直径147mm 高度39mm（不含盖））</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二、系统资源：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一、硬件部分：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1.支持普通毛笔在电子屏上书写，如同在真实的宣纸上一样体验传统书法，在传统书法桌基础上进行提炼概括</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2.书法屏尺寸≥43寸分辨率不小于：1920×1080P,显示区域不小于940×529 mm，支持电容触控功能；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3.书法桌：橡木材质，结实牢固；漆面平整光亮；尺寸：长不小于1600×宽不小于800×高不小于800mm,一桌一椅；标准尺寸：160*80*75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4.软件功能模块；自由书法、经典临摹、水墨画、书法 游戏、优秀作品集、书法指导、碑帖欣赏等内容。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5.支持毛笔蘸水在电子书法屏幕上书写，具有大、中、细笔的切换功能；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二、软件资源部分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原碑创作系统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 自由书法：在该模块中，用户可以选择背景，在书写区域使用毛笔进行书法创作，并体验分享功能、扫描二维码可以把自己的做作品保存到手机上或者分享给朋友。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点击“撤回”，可以撤销上一次笔迹；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点击“清空”，可以清空已书写的所有内容；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点击“印章”，可以添加自己的专属印章；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点击“分享”，可以扫描二维码可以保存到手机分享给朋友；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点击“保存”，可以将作品保存到本地。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经典临摹：用户可以在经典临摹模块对名家作品进行临摹，可以调节笔锋的粗细，还可以体验分享功能、扫描二维码可以把自己的做作品保存到手机上或者分享给朋友。经典临摹包含：弟子规、三字经、诗经等书写内容，也可以添加自己喜欢的话语进行临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3.水墨画：水墨画是绘画的一种形式，更多时候，水墨画被视为中国传统绘画，也就是国画的代表。基本的水墨画，仅有水与墨， 黑与白色，但进阶的水墨画，也有工笔花鸟画，色彩缤纷。 後者有时也称为彩墨画。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4.书法游戏：书法游戏是一款益智小游戏，是用一幅画或几个字的组合来猜一个成语。该游戏巧妙地使用图与字的结合，能够让玩家在休闲娱乐的同时能够了解到成语的趣味。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5.优秀作品集：优秀作品集是，把我们写好的作品点击保存按钮，保存在作品集中，也可以查看他人保存的作品。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6.书法指导：书法指导是一种通过视频形式向人们展示如何练习和掌握书法技巧的教育资源。共 51 节书法指导视频，这些视频通 常由经验丰富的书法家或专业的书法指导人员制作，旨在帮助学习者了解书法基本技巧、学习书法规范和提升书法水平。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7.碑帖鉴赏：碑帖鉴赏是指对古代石刻、石碑或书法家的书法作品进行欣赏、研究、评价和推崇的学术活动。共有 13 套碑帖共 112 张，如苏轼、欧阳修、唐演等著名书法家的作品。碑帖作为 中国书法的重要组成部分，具有深厚的历史文化底蕴，其形式美、内容美、语言美、艺术美相统一，是中国传统文化的重要载体。碑帖鉴赏不仅是一种文化传承和历史考古，更是一种审美体验和人文素养的提高。通过碑帖鉴赏，人们可以了解和感受到书法作品的独特魅力和文化内涵，进而加深对中国传统文化的认识和理解。</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三、书法教学授课软件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 系统支持本地部署和云端部署，内置《化度寺碑》、《九成宫醴泉铭》、《雁塔圣教序》、《大字阴符经》、《多宝塔碑》、《颜勤礼碑》、《玄秘塔碑》、《神策军碑》、《三门记》、《妙严寺记》等楷书教学碑帖、《兰亭序》、《祭侄文稿》、《黄州寒食帖》、《洛神赋》等行书碑帖、《乙瑛碑》、《礼器碑》、《史晨碑》、《曹全碑》等隶书碑帖以及纲要推荐的30个赏析碑帖；</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按照《中小学书法教育指导纲要》要求配备相应的教学碑帖及碑帖单字；每个单字具有三个角度拍摄的名家书写示范视频；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 可以同时播放三个角度的名家书写师范视频，点击任意一个视频，可以将其调到主视频放大显示，同时显示原帖单字作为对照；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 ★教学用碑帖字提供四种教学样式：原帖、单字、单勾、双勾，并可一键切换；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 教学用碑帖单字具备多种笔画工具，可在原帖单字上一键进行单勾提取、双勾提取，提取的内容在当前教学页面直接呈现；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 碑帖单字支持笔顺教学，包括笔顺拆解示意图以及笔顺教学动画演示；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 教学用的碑帖单字可关联所在碑帖，通过单字能够直接调出所在碑帖：通过碑帖可调取内容中的任一个单字，进入单字教学详情页面；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 通过书法教学仪，教师可进行教学直播，学生端可看到教师端的书写示范画面；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 ★具备趣味知识模块：包含书法故事、字的演变、书法长廊等文化知识；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 具备基础教学模块：包含笔墨纸砚工具的介绍、装裱知识等视频内容；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 具备国学知识模块：包含三字经、百家姓、千字文、古诗词等内容；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12）★具备资源扩展模块：系统具备开放端口，教师可将系统外部图片、PDF、视频等类型资源上传至系统作为补充教学；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 具备趣味游戏模块：拼字游戏分易、中、难三等级以匹配不同层次学生，丰富授课内容；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 书法教学系统含教师端；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 书法教学授课软件教师端适用于Windows；能够自由适应分辨率；</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 书法教学软件教师端，可以在学校私有云（内网）的任意地点使用，方便学校灵活安排教室。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投标时需提供满足以上参数中第4,9,12条★标功能项的功能性截图进行证明，并且提供书法教学授课软件的软件著作权证书。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四、书法课件资源库软件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 软件支持教师通过互联网访问云端资源库进行备课；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可自由添加碑帖及字贴，丰富资源库内容；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 可通过单字拼音首字母或偏旁部首搜索系统字库资源；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 同一汉字包含不同的字体，且都包含名师示范视频；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 每个汉字点击后显示不同碑帖中的碑帖字；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 包括推荐碑帖、欣赏碑帖、历代碑帖、我的资源等模块；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 包含常见书体教学字库，包含楷书（颜、欧、柳、赵、褚）、行书、隶书；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 常用字库包含名师示范视频和动画笔顺演示，视频示范不少于2个角度；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 书写示范视频包括同时播放三个角度拍摄的画面，全方位，多角度观察学习书写示范；播放可在视频模式中选择任意画面作为主画面；主画面可以全屏播放，并可一键浮窗浮于任意页面，方便学生在字帖临摹页面边看边练；</w:t>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投标时需提供满足参数中该项功能性截图进行证明，并且提供书法课件资源库软件的软件著作权证书。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 可以自由控制视频的播放、暂停、快进等操作，视频支持循环播放、全屏播放；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 所有碑帖学习界面包括碑帖的分幅导览、分幅放大；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 推荐碑帖分幅放大图中，可以点击任意单字打开单字教学界面，进行单字教学；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 可以打开“完整碑帖”整帖欣赏，整帖可放大、缩小、拖移浏览；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 推荐碑帖及欣赏碑帖提供详细内容释义；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 推荐碑帖中，支持查看所有碑帖单字的简体字及拼音；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 包含秦汉印章模块，展示了各类官印私印的外观、印面以及印稿，可作为欣赏类教学资源；系统内支持印稿设计，支持调整印稿大小及角度，支持印稿水平翻转、垂直翻转，亦可通过反色按钮设置白文或者朱文；</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17） 支持碑帖对临功能，进入任意碑帖后，点击“放大”或“完整碑帖”按钮进入对临页面，通过“临”、“摹”开关进入所需功能页，临帖页面一分为二，一侧为碑帖图，支持任意缩放与位置移动，一侧为空白区域，用于临写；摹帖页面为大幅碑帖，支持任意缩放及位置移动，用于摹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18） 包含30个教育部推荐的欣赏碑帖作品；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19） 老师可自主添加外部资源，包括图片、视频、PDF三种形式的资源；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20） 碑帖支持通过朝代、字体、名称等条件多维度检索；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 包含人教版、湘教版等11个出版社配套电子PPT课件，课件可以与碑帖、单字、字帖等模块进行关联，方便综合教学；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 标准课本课件可收藏并转存到教师工作室“我的课件”栏目，可进行个性化编辑；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 每个课件含关联示范视频，关联碑帖，关联书法知识。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五、书法教学备课软件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 每个教师可以使用专有账号登录书法教学备课软件，并享有独立工作空间；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备课资源包含《中小学书法教育指导纲要》规定的30个赏析碑帖、拓展碑帖、标准课本课件、个性化课件、字帖等多类资源；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 标准课本课件包含11个出版社不同年级不同课时的电子化课件；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 列表形式显示各个年级的课程目录，课程目录下对应课时目录及课程内容；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 标准课本课件支持教师收藏，收藏后可转存至工作室“我的课件”中，方便教师授课；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 ★标准课本课件支持教师再次编辑，可添加系统内单字、字帖、碑帖、书法知识等资源作课件拓展教学；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 教师可在局域网内任意地点进行备课，既可使用系统标准课本课件备课，也可以自主上传教师自编课件至系统内，教师自编课件可关联系统单字、字帖、碑帖、书法知识等内容；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 支持离线备课，教师通过“备课导出”按钮将教室账号内未完成备课的课件下载至本地，可带离教室在其他任意地点登录书法账号后完成备课，再通过“备课导入”按钮将编辑好的课件导入教室账号进行教学使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 上传至系统的教师自编课件可根据课件名称及上传时间进行查找，系统会自动记录该课件最近一次的编辑时间，方便教师溯源；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 上传至系统的教师自编课件支持设置为公开课件，可与同一局域网内的其他教师账号共享该公开课件内容；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 系统单字详情页包含笔顺拆解、单字动画演示、视频示范、关联碑帖等内容，方便教学；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 系统碑帖单字可关联到对应的碑帖页，点击碑帖页某一单字亦可跳转至该单字的教学详情页，方便教师进行章法教学；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 可以通过关联的字进行同字比对教学，一键调出相同的字在不同碑帖中的所有写法；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 上课过程中老师可以通过关联的“字”显示“字”的笔顺，进行笔顺教学；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 ★具备全局搜索功能，在任意界面一键调出综合搜索界面，可搜索单字教学、碑帖、课件等，系统会保留近五次搜索记录。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★投标时需提供满足以上参数中第6，15条★标功能项的功能性截图进行证明，并提供书法教学备课软件的软件著作权证书。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六、字帖编辑生成系统软件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 内置与各出版社不同年级教学内容相匹配的字帖课件，支持教师同步字帖至学生端；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可编辑创建字帖；所创建字帖支持自定义命名，可保存至云系统中，可直接下发至学生端或者打印成纸质字帖供学生临摹；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 编辑字帖时，可通过单字搜索、多字搜索、或字体及书体等多维度分类进行筛选汉字；搜索任一个单字时，可以看到所有相同字资源；通过拖动方式将所选取单字导入字帖的编辑格；</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 可以设置编辑页的字格排列，可以自定义行和列的数量，调整版式；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 可以设置字格样式，包含米字格、田字格、回米格、九宫格、口字格等不同模式；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 可以对字格颜色进行设置，例如淡黄、黑色、白色、灰色等；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 支持调整字格内单字的位置、大小及角度；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 编辑页内共有原碑帖、单字、单勾、双勾四种模式可选，既可单独设定某一单字的模式，也可统一设置整个字帖单字的模式；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 单勾模式下，每个笔划均显示走笔方向；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 字帖单字均可查看动画示范，既可连续演示完整笔画，也可跳转至单字详情页播放该单字某一笔画的动画示范，字帖单字可通过视频示范浮窗功能边看边练；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 字帖中，可以同时显示所有字的动画笔顺示例，可以单独显示任一单字的动画笔顺示意；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  每个单字均可跳转至关联碑帖，并可查看碑帖图像、作者、碑帖出处、碑帖介绍等信息。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 字帖支持调整字帖内单字、字格边框及背景的颜色，即可选择推荐颜色配置，也可自定义颜色；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 在新建字帖功能中，可以使用“一键生帖”功能通过选择某个碑帖一键生成全部碑帖的描绘练习字帖，并保存为字帖课件；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 在新建字帖功能中，通过一键文本生帖功能，可将任何复制文字粘贴进内容窗口，系统自主识别文字并按字体要求生成对应的楷书、隶书、篆书或者行书字帖。                                                                                                 </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1、信息参数：尺寸：3000×1800mm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类型：聚酯纤维涂层遮光卷帘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尺寸规格：标准幅宽1500mm/1800mm/2000mm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高度范围：2000-3000mm（含10cm包边）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遮光率：70%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颜色：灰白色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材质：面料100%聚酯纤维，表面覆PVC涂层（厚度0.3-0.5mm）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辅料：铝合金静音轨道（壁厚1.2mm）、POM塑料拉珠、棉质布带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书画社-底部轻质饰面</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1、信息参数：2mm复合卷材地板。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材质：聚氯乙烯。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产品结构：上下五层：UV涂层、印花彩膜层、0.45mm耐磨层、玻璃纤维稳定层、1.65mm密实层。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产品规格：产品2mm厚度，卷材，宽幅2米，长度20米，克重3.3±0.5千克每平方米。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性能要点：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外观质量：无裂纹、分层、断裂，无折皱、气泡、漏印、缺膜、图案变形，无明显套印偏差、色差、污染等缺陷；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加热尺寸变化率：纵向≤0.40；横向≤0.40；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PVC地板隔声性能≥24dB；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PVC地板铅笔硬度≥3B；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急性吸入毒性试验，试验结果对ICR小鼠的急性吸入LC50＞2000mg/ m</w:t>
            </w:r>
            <w:r>
              <w:rPr>
                <w:rFonts w:hint="eastAsia" w:ascii="宋体" w:hAnsi="宋体" w:eastAsia="宋体" w:cs="宋体"/>
                <w:color w:val="auto"/>
                <w:sz w:val="20"/>
                <w:szCs w:val="20"/>
                <w:u w:val="none"/>
                <w:lang w:val="en-US" w:eastAsia="zh-CN" w:bidi="ar"/>
              </w:rPr>
              <w:t xml:space="preserve">³。依据毒性分级，产品属于低毒级；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PVC地板焊接强度≥240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2、包含货物生产、运输、铺装。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r>
      <w:tr>
        <w:trPr>
          <w:jc w:val="center"/>
          <w:trHeight w:val="21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党校/团室/志愿者社团-会议桌</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1、信息参数：会议桌规格2000×1000×760mm，基材采用E0级环保中密度纤维板（甲醛释放量≤0.05mg/m</w:t>
            </w:r>
            <w:r>
              <w:rPr>
                <w:rFonts w:hint="eastAsia" w:ascii="宋体" w:hAnsi="宋体" w:eastAsia="宋体" w:cs="宋体"/>
                <w:color w:val="auto"/>
                <w:sz w:val="20"/>
                <w:szCs w:val="20"/>
                <w:u w:val="none"/>
                <w:lang w:val="en-US" w:eastAsia="zh-CN" w:bidi="ar"/>
              </w:rPr>
              <w:t xml:space="preserve">³），贴0.6mm厚AAA级实木皮，纹理一致无瑕疵；台面经五底三面十二道环保水性漆工艺（硬度≥2H），封边采用同色实木高温热熔胶全自动封边，接缝≤1.5mm；内置钢架龙骨支撑，桌腿为40×40mm方管静电喷涂，承重≥300kg。</w:t>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投标文件中提供由国家行政管理部门认定的省级及省级以上国家检测机构出具的（具有CMA、CNAS标识）完整的会议桌检测报告，抽样基数≥90，检测项目：桌类主要尺寸、产品外形尺寸偏差，底脚平稳性，人造板外观，木工要求，漆膜外观要求、桌类强度和耐久性测试、桌类稳定性符合要求，甲醛释放量≤0.05mg/m³，总挥发性有机化合物≤0.3mg/m³，测试内容需完全符合参数要求，不得缺项、漏项，否则视为负偏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18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党校/团室/志愿者社团-会议椅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会议椅规格530×550×750mm，框架为橡胶木实木（含水率≤12%），坐垫采用高密度PU发泡海绵（密度≥45kg/m</w:t>
            </w:r>
            <w:r>
              <w:rPr>
                <w:rFonts w:hint="eastAsia" w:ascii="宋体" w:hAnsi="宋体" w:eastAsia="宋体" w:cs="宋体"/>
                <w:color w:val="auto"/>
                <w:sz w:val="20"/>
                <w:szCs w:val="20"/>
                <w:u w:val="none"/>
                <w:lang w:val="en-US" w:eastAsia="zh-CN" w:bidi="ar"/>
              </w:rPr>
              <w:t xml:space="preserve">³，回弹≥38%），覆面为优质西皮（厚度≥1.5mm，干摩擦牢度≥4级）；扶手高度605mm，椅腿为冷轧钢脚架（表面酸洗磷化防锈），配备气压升降及尼龙静音轮。 材质说明:</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1)橡胶木实木:符合</w:t>
            </w:r>
            <w:r>
              <w:rPr>
                <w:rFonts w:hint="eastAsia" w:ascii="宋体" w:hAnsi="宋体" w:eastAsia="宋体" w:cs="宋体"/>
                <w:color w:val="ff0000"/>
                <w:sz w:val="20"/>
                <w:szCs w:val="20"/>
                <w:u w:val="none"/>
                <w:lang w:val="en-US" w:eastAsia="zh-CN" w:bidi="ar"/>
              </w:rPr>
              <w:t xml:space="preserve">GB/T 3324-2024</w:t>
            </w:r>
            <w:r>
              <w:rPr>
                <w:rFonts w:hint="eastAsia" w:ascii="宋体" w:hAnsi="宋体" w:eastAsia="宋体" w:cs="宋体"/>
                <w:color w:val="auto"/>
                <w:sz w:val="20"/>
                <w:szCs w:val="20"/>
                <w:u w:val="none"/>
                <w:lang w:val="en-US" w:eastAsia="zh-CN" w:bidi="ar"/>
              </w:rPr>
              <w:t xml:space="preserve">《木家具通用技术条件》,含水率要求在8-16％,甲醛释放量≤1.5mg/L</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2)杨木多层板:优质木材,符合GB/T 9846-2015《普通胶合板》,胶合强度≥7MPa,甲醛释放量≤0.08mg/m3,东北落叶松木材,含水量8%-12%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3)海绵:优质品牌,符合GB/T 10802-2006《通用软质聚醚型聚氨酯泡沫塑料》,优质高密度回弹海绵,座面密度≥25kg/m³,75%压缩永久变形≤8%,泡沫回弹性≥35%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4)喷涂五金:采用AL6063-T5铝合金,压铸成型,表面静电粉末喷涂,符合(GB/T 3325-2017金属家具通用技术条件)中5.5理化性能要求</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5)荔枝纹真皮:符合GB/T 16799-2018《家具用皮革》,皮厚度≥0.9㎜,摩擦色牢度≥4级,耐光性≥5级,撕裂力≥85N,涂层粘着牢度≥2.5N/10mm,耐折牢度50000次无裂纹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6、包含货物生产、运输、安装。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1103"/>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党校/团室/志愿者社团-置物架</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1.规格1200×1000×450mm，基材:采用优质橡木制作，经过烘干，防腐，防虫处理，含水率≤10%-12%，拥有结实耐用不易变形的特点。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2.油漆：采用优质环保亚光聚酯环保漆，表面光滑柔和，无颗粒，无气泡，无渣点。 </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1、信息参数：定制异形灯箱16W/㎡，光通量：≥3200lm，色温：4000K（自然光色）。显色指数：Ra≥92，防护等级：IP20。特性：低压24</w:t>
            </w:r>
            <w:r>
              <w:rPr>
                <w:rFonts w:hint="eastAsia" w:ascii="宋体" w:hAnsi="宋体" w:eastAsia="宋体" w:cs="宋体"/>
                <w:i w:val="0"/>
                <w:iCs w:val="0"/>
                <w:color w:val="auto"/>
                <w:sz w:val="20"/>
                <w:szCs w:val="20"/>
                <w:u w:val="none"/>
                <w:lang w:val="en-US" w:eastAsia="zh-CN" w:bidi="ar"/>
              </w:rPr>
              <w:t xml:space="preserve">V供电，铝合金散热背板。嵌入式无边框COB射灯模块，7W/10W/14W，光效：≥110lm/W，色温：3000K-6500K（±50K），显色指数：Ra≥95（R9&gt;90），光束角：24°/36°/60°，防护等级：IP44。安装方式：吸顶式。特性：深杯防眩结构。定制超薄嵌入式光源体，8W/㎡，光通量：≥3200lm，色温：4000K（自然光色）。显色指数：Ra≥92，防护等级：IP20。特性：低压24V供电，铝合金散热背板。LED嵌入式筒灯6W/㎡，光通量：≥3200lm，色温：4000K（自然光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志愿者元素艺术氛围装饰。                                                                                                  2、动感照明系统驱动电源需为恒流驱动，电源有外壳并可靠固定。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3、功率＜45W，色温4300K-5300K，显色指数Ra＞90、R9＞50，满足6000小时光通维持率＞92%，以保证产品质量和灯具使用寿命。      4、动感照明护眼灯至少依据《GB/T 31275-2020》、《GB/T 17743-2021》标准经灯具电源端传导骚扰电压（或电源接口骚扰电压）、辐射骚扰、感应电流密度测试，检测结果皆为合格（或通过或符合或判定为P）。</w:t>
            </w:r>
            <w:r>
              <w:rPr>
                <w:rFonts w:hint="eastAsia" w:ascii="宋体" w:hAnsi="宋体" w:eastAsia="宋体" w:cs="宋体"/>
                <w:color w:val="auto"/>
                <w:sz w:val="20"/>
                <w:szCs w:val="20"/>
                <w:u w:val="none"/>
                <w:lang w:val="en-US" w:eastAsia="zh-CN" w:bidi="ar"/>
              </w:rPr>
              <w:br/>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投标文件中需提供由国家行政管理部门认定的检测机构（具有CMA、CNAS标识）出具的完整的护眼灯检测报告，测试内容需完全符合2-4项中参数要求，不得缺项、漏项，否则视为负偏离。 </w:t>
            </w:r>
            <w:r>
              <w:rPr>
                <w:rFonts w:hint="eastAsia" w:ascii="宋体" w:hAnsi="宋体" w:eastAsia="宋体" w:cs="宋体"/>
                <w:color w:val="auto"/>
                <w:sz w:val="20"/>
                <w:szCs w:val="20"/>
                <w:u w:val="none"/>
                <w:lang w:val="en-US" w:eastAsia="zh-CN" w:bidi="ar"/>
              </w:rPr>
              <w:t xml:space="preserve">                                                                           5、动感照明护眼灯经严酷自然环境实地测试，分别在极热环境：大气压力≤100kPa，平均湿度≤50%RH、极值空气温度≥37℃及相对温差≥28℃与在极寒环境：大气压力≥100kPa，平均湿度≥50%RH、极值空气温度≤-20℃及相对温差≥34℃均至少持续运行300小时后，至少依据《GB/T9468-2008》标准均满足光通量的实测值与初始值的偏差不超过-10%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6、动感照明护眼灯经严酷自然环境实地测试，分别在极热环境：大气压力≤100kPa，平均湿度≤50%RH、极值空气温度≥37℃及相对温差≥28℃与在极寒环境：大气压力≥100kPa，平均湿度≥50%RH、极值空气温度≤-20℃及相对温差≥34℃均至少持续运行300小时后，至少依据《GB/T36979-2018》标准均满足空间颜色非均匀性△u’v’≤0.007。</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7、LED护眼灯经严酷自然环境实地测试，分别在极热环境：大气压力≤100kPa，平均湿度≤50%RH、极值空气温度≥37℃及相对温差≥28℃与在极寒环境：大气压力≥100kPa，平均湿度≥50%RH、极值空气温度≤-20℃及相对温差≥34℃均至少持续运行300小时后，至少依据《GB/T9468-2008》标准满足光束角C0-C180及C90-C270的实测值与初始值偏差均不超过±10%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8、LED护眼灯经严酷自然环境实地测试，分别在极热环境：大气压力≤100kPa，平均湿度≤50%RH、极值空气温度≥37℃及相对温差≥28℃与在极寒环境：大气压力≥100kPa，平均湿度≥50%RH、极值空气温度≤-20℃及相对温差≥34℃均至少持续运行300小时后，至少依据《GB/T 18595-2014》标准均满足浪涌性能达到C或以上等级。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9、LED护眼灯经严酷自然环境实地测试，分别在极热环境：大气压力≤100kPa，平均湿度≤50%RH、极值空气温度≥37℃及相对温差≥28℃与在极寒环境：大气压力≥100kPa，平均湿度≥50%RH、极值空气温度≤-20℃及相对温差≥34℃均至少持续运行300小时后，至少依据《GB/T6882-2016》标准均满足噪声≤25dB（A）。</w:t>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投标文件中参数中5-9须提供由国家行政管理部门认定的检测机构出具的认证证</w:t>
            </w:r>
            <w:r>
              <w:rPr>
                <w:rFonts w:hint="eastAsia" w:ascii="宋体" w:hAnsi="宋体" w:eastAsia="宋体" w:cs="宋体"/>
                <w:color w:val="auto"/>
                <w:sz w:val="20"/>
                <w:szCs w:val="20"/>
                <w:u w:val="none"/>
                <w:lang w:val="en-US" w:eastAsia="zh-CN" w:bidi="ar"/>
              </w:rPr>
              <w:t xml:space="preserve">书及全国认证认可信息公共服务平台证书状态为“有效”查询证明复印件（证书与查询证明文件上均须同时体现产品型号及认证标准；若有要求严酷自然环境实地测试条件的，证书上须体现“实地验证检测方式”）。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10、包含货物生产、运输、安装、调试。                                                                                            11、所有制作参照效果图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853"/>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党校/团室/志愿者社团-木制艺术造型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1、信息参数：6000*3000mm，主体结构组件采用18mm实木多层基材，表面采用环保油漆，喷漆时需保持无尘空间，每道工序需充分干燥(通常24小时，含水率≤8%），（甲醛释放量≤0.025mg/m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³，气候箱法检测），金属复合面板（基材厚度≥0.5mm，表面涂层铅笔硬度≥3H），高分子装饰层（厚度≥3</w:t>
            </w:r>
            <w:r>
              <w:rPr>
                <w:rFonts w:hint="eastAsia" w:ascii="宋体" w:hAnsi="宋体" w:eastAsia="宋体" w:cs="宋体"/>
                <w:color w:val="auto"/>
                <w:sz w:val="20"/>
                <w:szCs w:val="20"/>
                <w:u w:val="none"/>
                <w:lang w:val="en-US" w:eastAsia="zh-CN" w:bidi="ar"/>
              </w:rPr>
              <w:t xml:space="preserve">mm，邵氏硬度60±5）。静态承重≥200kg/m²（持续24小时形变率≤0.3%）。抗弯强度≥100MPa（依据GB/T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2791-1995标准）定制艺术写真装置部件。定制异形艺术雕刻部件。定制自办展示版面部件，饰面类型：三聚氰胺纸/木皮/喷绘布，压纹工艺：条纹（3cm/5cm宽）、方格、竹纹（误差≤±0.5mm），邵氏硬度：≥60 HA（GB/T 531.1），热压成型：温度180-220℃，压力≥8MPa。环保木质地脚围板。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高分子纳米涂层复合艺术雕刻部件装饰。定制艺术浅浮雕。定制异形艺术雕刻部件。水性面漆相应技术要求，检测依据G</w:t>
            </w:r>
            <w:r>
              <w:rPr>
                <w:rFonts w:hint="eastAsia" w:ascii="宋体" w:hAnsi="宋体" w:eastAsia="宋体" w:cs="宋体"/>
                <w:color w:val="auto"/>
                <w:sz w:val="20"/>
                <w:szCs w:val="20"/>
                <w:u w:val="none"/>
                <w:lang w:val="en-US" w:eastAsia="zh-CN" w:bidi="ar"/>
              </w:rPr>
              <w:t xml:space="preserve">B/T23991-2009《涂料中可溶性有害元素含量的测定》、GB/T23993-2009《水性涂料中甲醛含量的测定 乙酰丙酮分光光度法》、HJ2537-2014《环境标志产品技术要求水性涂料》、GB/T23999-2009《室内装饰装修用水性木器涂料》，VOC 含量/(g/L),甲醛含量/(mg/kg),总铅(Pb)含量/(mgkg)(限色漆、腻子和醇酸清漆),可溶性重金属含量/(mg/kg)(限色漆、腻子和醇酸清漆)中镉(Cd)含量,铬(Cr)含量,汞(Hg)含量，乙二醇醚及醚酯总和含量/(mg/kg)</w:t>
            </w:r>
            <w:r>
              <w:rPr>
                <w:rFonts w:hint="eastAsia" w:ascii="宋体" w:hAnsi="宋体" w:eastAsia="宋体" w:cs="宋体"/>
                <w:color w:val="auto"/>
                <w:sz w:val="20"/>
                <w:szCs w:val="20"/>
                <w:u w:val="none"/>
                <w:lang w:val="en-US" w:eastAsia="zh-CN" w:bidi="ar"/>
              </w:rPr>
              <w:t xml:space="preserve">，苯系物总和含量/(mgkg)[限苯、甲苯、二甲苯(含乙苯)]，烷基酚聚氧乙烯醚总和含量/(mg/kg)，挥发性有机化合物(VoC)/(g/L),乙二醇醚及其酯类的总量(乙二醇甲醚、乙二醇甲醚醋酸酯、乙二醇乙醚、乙二醇乙醚醋酸酯、二乙二醇丁醚醋酸酯)/(mg/kg),游离甲醛/(mg/kg),苯、甲苯、二甲苯、乙苯的总量/(mg/kg),可溶性重金属含量/(mg/kg)中可溶性铅(mg/kg)，可溶性镉(mg/kg)，可溶性铬(mg/kg),可溶性汞(mg/kg),卤代烃(以二氯甲烷计) 检测结果均未检出。</w:t>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投标文件中提供由国家行政管理部门认定的省级及省级以上国家检测机构出具的（具有CMA、CNAS标识）完整的水性面漆检测报告，测试内容需完全符合参数要求，不得缺项、漏项，否则视为负偏离。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党校/团室/志愿者社团-木质艺术展览板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1、信息参数：2600*1200mm，主体结构组件采用18mm实木多层基材，表面采用环保油漆，喷漆时需保持无尘空间，每道工序需充分干燥(通常24小时，含水率≤8%），（甲醛释放量≤0.025mg/m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³，气候箱法检测），金属复合面板（基材厚度≥0.5mm，表面涂层铅笔硬度≥3H），高分子装饰层（厚度≥3</w:t>
            </w:r>
            <w:r>
              <w:rPr>
                <w:rFonts w:hint="eastAsia" w:ascii="宋体" w:hAnsi="宋体" w:eastAsia="宋体" w:cs="宋体"/>
                <w:color w:val="auto"/>
                <w:sz w:val="20"/>
                <w:szCs w:val="20"/>
                <w:u w:val="none"/>
                <w:lang w:val="en-US" w:eastAsia="zh-CN" w:bidi="ar"/>
              </w:rPr>
              <w:t xml:space="preserve">mm，邵氏硬度60±5）。静态承重≥200kg/m²（持续24小时形变率≤0.3%）。抗弯强度≥100MPa（依据GB/T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2791-1995标准）定制艺术写真装置部件。定制异形艺术雕刻部件。定制自办展示版面部件，饰面类型：三聚氰胺纸/木皮/喷绘布，压纹工艺：条纹（3cm/5cm宽）、方格、竹纹（误差≤±0.5mm），邵氏硬度：≥60 HA（GB/T 531.1），热压成型：温度180-220℃，压力≥8MPa。环保木质地脚围板。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高分子纳米涂层复合艺术雕刻部件装饰。定制艺术浅浮雕装饰。定制异形艺术雕刻部件。</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党校/团室/志愿者社团-木质志愿者文化陈列区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1、信息参数：2600*3000mm，主体结构组件采用18mm实木多层基材，表面采用高分子装饰层（厚度≥3mm，邵氏硬度60±5）。静态承重≥200kg/m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高分子纳米涂层复合艺术雕刻部件装饰。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类型：聚酯纤维涂层遮光卷帘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尺寸规格：标准幅宽1500mm/1800mm/2000mm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高度范围：2000-3000mm（含10cm包边）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遮光率：70%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颜色：灰白色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材质：面料100%聚酯纤维，表面覆PVC涂层（厚度0.3-0.5mm）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辅料：铝合金静音轨道（壁厚1.2mm）、POM塑料拉珠、棉质布带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9432"/>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i w:val="0"/>
                <w:iCs w:val="0"/>
                <w:color w:val="auto"/>
                <w:sz w:val="20"/>
                <w:szCs w:val="20"/>
                <w:u w:val="none"/>
                <w:lang w:val="en-US" w:eastAsia="zh-CN" w:bidi="ar"/>
              </w:rPr>
              <w:t xml:space="preserve">石膏板相关技术要求：依据GB/T 9775-2008，检测内容中外观质量要求纸面石膏板板面平整，不应有影响使用的</w:t>
            </w:r>
            <w:r>
              <w:rPr>
                <w:rFonts w:hint="eastAsia" w:ascii="宋体" w:hAnsi="宋体" w:eastAsia="宋体" w:cs="宋体"/>
                <w:i w:val="0"/>
                <w:iCs w:val="0"/>
                <w:color w:val="auto"/>
                <w:sz w:val="20"/>
                <w:szCs w:val="20"/>
                <w:u w:val="none"/>
                <w:lang w:val="en-US" w:eastAsia="zh-CN" w:bidi="ar"/>
              </w:rPr>
              <w:t xml:space="preserve">波纹、沟槽、亏料、漏料和划伤、破损、污痕等缺陷，尺寸偏差中长度偏差-6到0mm,宽度偏差-5到0mm,厚度偏差±0.5mm,对角线长度差≤5，楔形棱边断面尺寸：楔形棱边宽度30-80mm，楔形棱边深度0.6-1.9mm，面密度≤9.5kg/㎡，断裂荷载纵向平均值≥400N，最小值≥360N,横向平均值≥160N，最小值≥140N，硬度中端头硬度≥70N，棱边硬度≥70N，抗冲击性经冲击后，板材背面应无径向裂纹，护面纸与芯材粘结性中护面纸与芯材应不剥离，放射性核素限量中内照射指数IRa≤1.0，Ir≤1.3。</w:t>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投标文件中提供由国家行政管理部门认定的省级及省级以上国家检测机构出具的（具有CMA、CNAS标识）完整的石膏板检测报告，测试内容需完全符合参数要求，不得缺项、漏项，否则视为负偏离。 </w:t>
            </w:r>
            <w:r>
              <w:rPr>
                <w:rFonts w:hint="eastAsia" w:ascii="宋体" w:hAnsi="宋体" w:eastAsia="宋体" w:cs="宋体"/>
                <w:color w:val="auto"/>
                <w:sz w:val="20"/>
                <w:szCs w:val="20"/>
                <w:u w:val="none"/>
                <w:lang w:val="en-US" w:eastAsia="zh-CN" w:bidi="ar"/>
              </w:rPr>
              <w:t xml:space="preserve">                                                                                                                       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定制古典元素造型光源体灯8W/㎡，光通量：≥3200lm，色温：4000K（自然光色）。显色指数：Ra≥92，防护等级：IP20。特性：低压24V供电，铝合金散热背板。嵌入式无边框COB射灯模块，7W/10W/14W，光效：≥110lm/W，色温：3000K-6500K（±50K），显色指数：Ra≥95（R9&gt;90），光束角：24°/36°/60°，防护等级：IP44。安装方式：嵌入式开孔。特性：深杯防眩结构。LED嵌入式筒灯6W/㎡，光通量：≥3200lm，色温：4000K（自然光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定制古典艺术氛围装饰。定制棋艺造型灯饰。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棋社-围棋象棋二合一棋盘套装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棋盘规格：</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展开尺寸：40×40cm（可扩展至45×45cm），折叠厚度3.5cm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棋盘类型：围棋19路/象棋标准/五子棋15×15/跳棋10×10四合一</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网格精度：线宽1.5mm±0.1mm，误差率≤0.5%（游标卡尺实测）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磁吸系统：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棋盘材质：ABS+3层钕铁硼强磁体（单点吸附力≥1.2N）</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棋子规格：</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围棋：直径32mm，厚度8mm，单颗重量45g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象棋：高度35mm，重量60g（含磁铁）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防误触设计：单点吸附需持续按压0.8秒（防误触等级IP54）</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功能扩展：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内置LED照明灯带（亮度300lux，色温4000K），夜间使用无眩光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可拆卸磁性教鞭笔（笔头直径10mm，吸附棋子承重≥200g）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安全认证</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通过GB 6675国标玩具安全认证，圆角打磨（R角≥5mm）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甲醛释放量≤0.05mg/m³（CMA认证检测报告）</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11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棋社-智能交互磁吸教学棋盘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智能交互：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嵌入式EInk电子屏（2.4英寸，分辨率320×240），实时显示棋局。</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支持AI分析（内置围棋13路/象棋标准棋谱库，含1000+经典对局）。</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蓝牙5.0连接手机APP，支持棋谱导出与在线对战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物理结构：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棋盘：6061航空铝材+磁吸导槽（厚度2mm，承重≥5kg）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棋子：锌合金压铸（直径40mm，高度10mm），磁极嵌入深度3mm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教学适配：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预装《围棋入门36计》《象棋杀法大全》教学模块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支持AR棋子投影（需另购投影仪），演示“征子”“牵制”等战术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套装内容</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智能棋盘1台 + 磁吸棋子套装（围棋+象棋） + 电源适配器</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防摔保护套（TPU材质） + 专用清洁布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107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棋社-电子棋钟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1、信息参数：支持围棋/象棋/国际象棋计时，倒计时范围1分钟-2小时，带语音提示功能，可关机记忆。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​适用场景​：比赛计时、日常训练。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9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w:t>
            </w:r>
            <w:r>
              <w:rPr>
                <w:rFonts w:hint="eastAsia" w:ascii="宋体" w:hAnsi="宋体" w:eastAsia="宋体" w:cs="宋体"/>
                <w:color w:val="auto"/>
                <w:sz w:val="20"/>
                <w:szCs w:val="20"/>
                <w:u w:val="none"/>
                <w:lang w:val="en-US" w:eastAsia="zh-CN" w:bidi="ar"/>
              </w:rPr>
              <w:t xml:space="preserve">​棋盘清洁套装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1、信息参数：含微纤维布、竹制刮片，用于清除棋盘线磨损残留。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棋社-智能对弈系统套装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一、硬件部分：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1.交互式数字棋艺台 一体化设计，支持人机对弈，人与人对下功能；支持中国象棋，围棋，五子棋，国际象棋、跳棋系统运行安装功能；支持通过IOS、Android手机连接或下载小书家APP平台进行棋艺体验；</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2.系统必须支持10点触控功能；软件基于Windows 系统升级开发；电容触控；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3.耐磨：交互式数字棋艺台可抗击无限次自然摩擦无划痕；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4.具有防水、抗压功能。如将一杯水直接倒下棋艺台表面，保证棋艺台没有任何质量影响；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5.软件必须支持手机扫码登录功能；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6.棋艺台与实木棋艺桌完美融合，要求四周达到无缝效果；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7.利用触摸技术，调取棋子进行下棋；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9.棋艺台采用特殊定制屏，分辩率1920*1080P，对比度3000:1；</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10.润眼护眼：有效过滤蓝光；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11.棋艺桌规格要求为92*82*60cm  ；一桌两凳规格35*30*40cm (长×宽×高)；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12.显示区域不小于698.4(横)×392.85(竖) mm(H*V),像素RGB垂直条状，可视角度89/89/89/89，对角尺寸不小于32寸；最佳视角：全视角；配置要求Android系统7.0以上，内存不小于4G,硬盘：不小于16G；支持RJ45网口接口。100M/1000M自适应；支持WiFi接口，802.11b/g/n；</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13.配置要求Android系统4.0以上，内存不小于2G,硬盘：不小于8G；支持RJ45网口接口。</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14.开机直接进入学生自主学习软件界面（需装棋艺系统）。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二．软件部分：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A.围棋棋盘走式系统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1.《围棋棋盘系统》共4大内容；以学习、下棋、训练为主线，分别为双人对奕、专项训练、每日一题、挑战AI等4大功能;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2.课程教学软件运用趣味性、互动感强的技术作为训练载体，课程软件与普通的教材相比更注重于思辨与力行。画面精美，表现形象，真正达到易教，易学和易管的效果。在拓展学生兴趣的同时开展教学;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3.★专项训练模块，具有入门、初级、中级、高级、入段、中段、高段等功能；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4.双人对奕具有清空棋盘，点目，覆盘，对局信息，编辑，退出，悔一手，保存等功能；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5.★软件训练模块，具有双人对奕，专项训练，每日一题，挑战AI等功能；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6.棋子分为黑白两种，黑子181个，白子180个，棋盘由19条横线19条竖线组成；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7.围棋启蒙模块：具有提子训练、气、逃子、禁入点、虎口、打却规则、简单联络、简单分断、规则与礼仪等；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8.围棋初级模块具有：吃子与对杀、吃子综合（1）、吃子综合（2）、吃子综合（3）、吃子综合（4）、吃子综合（5）、大眼死活综合。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9.★练习模块：具有人机对奕、启蒙闯关练习、吃子、棋形、布局、死活、官子、定式、基础理论、综合练习等功能。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10.围棋中级模块具有：征子、接不归、倒扑、龟不出头、紧气的要点、有眼杀瞎。</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11.围棋高级模块具有：有眼杀瞎、倒扑、滚打包收、大头鬼、相思断、紧气要点、残子与棋筋等。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★投标文件中需提供满足以上标★项的“围棋棋盘走式系统 ”软件著作权证书和国家行政管理部门认定的检测机构出具的软件测试报告为佐证，报告中需呈现相应的参数功能，不得缺项、漏项，否则视为负偏离。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B.国际象棋系统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1.《国际象棋系统》共6大内容；以学习、下棋、训练为主线，分别为人人对奕、动漫国象、专项训练、在线对奕、实战练习、 国象游戏等6大功能;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2.课程教学软件运用趣味性、互动感强的技术作为训练载体，课程软件与普通的教材相比更注重于思辨与力行。画面精美，表现形象，真正达到易教，易学和易管的效果。在拓展学生兴趣的同时开展教学;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3.动漫国象模块：具有基础知识、国象规则、一步杀王、击双战术、简单战术、两步杀王、高级战术、三步杀王等；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4.专项训练模块，具有吃法、一步杀、捉和将军、突破战术、和棋技术、基本技巧等功能；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5.国象游戏模块：具有认识棋子、棋子记忆、子力价值、比大小、拼图、坐标颜色、坐标位置、铺地砖、骑士战术、骑士坐标、迷宫、国象起源等；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6.实战练习模块：具有小百科、开局百科、残局百科、战术组合、棋种功能分类等；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7.软件模块功能具有包括、布局、吃子、棋形、综合练习、棋子比大小、一歩杀等；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8.练习模块：具有人机对奕、双人对弈、闯关练习等功能。</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106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棋社-传统中式棋艺桌</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桌子尺寸规格：1200×600×750mm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1、基材采用橡胶木实木，木材含水率8%～16%，甲醛释放量≤0.01mg/m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11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棋社-传统中式棋艺椅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规格尺寸：450×450×850mm  1、基材采用橡胶木实木，木材含水率8%～16%，甲醛释放量≤0.01mg/m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22</w:t>
            </w:r>
            <w:r/>
          </w:p>
        </w:tc>
      </w:tr>
      <w:tr>
        <w:trPr>
          <w:jc w:val="center"/>
          <w:trHeight w:val="705"/>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棋社-传统中式观棋椅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规格530×550×750mm，框架为橡胶木实木（含水率≤12%），坐垫采用高密度PU发泡海绵（密度≥45kg/m</w:t>
            </w:r>
            <w:r>
              <w:rPr>
                <w:rFonts w:hint="eastAsia" w:ascii="宋体" w:hAnsi="宋体" w:eastAsia="宋体" w:cs="宋体"/>
                <w:color w:val="auto"/>
                <w:sz w:val="20"/>
                <w:szCs w:val="20"/>
                <w:u w:val="none"/>
                <w:lang w:val="en-US" w:eastAsia="zh-CN" w:bidi="ar"/>
              </w:rPr>
              <w:t xml:space="preserve">³，回弹≥38%），覆面为优质西皮（厚度≥1.5mm，干摩擦牢度≥4级）；扶手高度605mm，椅腿为冷轧钢脚架（表面酸洗磷化防锈），配备气压升降及尼龙静音轮。 材质说明:</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1)橡胶木实木:符合</w:t>
            </w:r>
            <w:r>
              <w:rPr>
                <w:rFonts w:hint="eastAsia" w:ascii="宋体" w:hAnsi="宋体" w:eastAsia="宋体" w:cs="宋体"/>
                <w:color w:val="ff0000"/>
                <w:sz w:val="20"/>
                <w:szCs w:val="20"/>
                <w:u w:val="none"/>
                <w:lang w:val="en-US" w:eastAsia="zh-CN" w:bidi="ar"/>
              </w:rPr>
              <w:t xml:space="preserve">GB/T 3324-2024</w:t>
            </w:r>
            <w:r>
              <w:rPr>
                <w:rFonts w:hint="eastAsia" w:ascii="宋体" w:hAnsi="宋体" w:eastAsia="宋体" w:cs="宋体"/>
                <w:color w:val="auto"/>
                <w:sz w:val="20"/>
                <w:szCs w:val="20"/>
                <w:u w:val="none"/>
                <w:lang w:val="en-US" w:eastAsia="zh-CN" w:bidi="ar"/>
              </w:rPr>
              <w:t xml:space="preserve">《木家具通用技术条件》,含水率要求在8~16％,甲醛释放量≤1.5mg/L</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2)杨木多层板:优质木材,符合GB/T 9846-2015《普通胶合板》,胶合强度≥7MPa,甲醛释放量≤0.08mg/m3,东北落叶松木材,含水量8%- 12%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3)海绵:优质品牌,符合GB/T 10802-2006《通用软质聚醚型聚氨酯泡沫塑料》,优质高密度回弹海绵,座面密度≥25kg/m³,75%压缩永久变形≤8%,泡沫回弹性≥35%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4)喷涂五金:采用AL6063-T5铝合金,压铸成型,表面静电粉末喷涂,符合(GB/T 3325-2017金属家具通用技术条件)中5.5理化性能要求</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5)荔枝纹真皮:符合GB/T 16799-2018《家具用皮革》,皮厚度≥0.9㎜,摩擦色牢度≥4级,耐光性≥5级,撕裂力≥85N,涂层粘着牢度≥2.5N/10mm,耐折牢度50000次无裂纹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6、包含货物生产、运输、安装。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棋社-木制艺术造型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1、信息参数：6000*2800mm，主体结构组件采用18mm实木多层基材，表面采用环保油漆，喷漆时需保持无尘空间，每道工序需充分干燥(通常24小时，含水率≤8%），（甲醛释放量≤0.025mg/m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w:t>
            </w:r>
            <w:r>
              <w:rPr>
                <w:rFonts w:hint="eastAsia" w:ascii="宋体" w:hAnsi="宋体" w:eastAsia="宋体" w:cs="宋体"/>
                <w:color w:val="auto"/>
                <w:sz w:val="20"/>
                <w:szCs w:val="20"/>
                <w:u w:val="none"/>
                <w:lang w:val="en-US" w:eastAsia="zh-CN" w:bidi="ar"/>
              </w:rPr>
              <w:t xml:space="preserve">复合面板（基材厚度≥0.5mm，表面涂层铅笔硬度≥3H），高分子装饰层（厚度≥3mm，邵氏硬度60±5）。静态承重≥200kg/m²（持续24小时形变率≤0.3%）。抗弯强度≥100MPa（依据GB/T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2791-1995标准）定制艺术写真装置部件。定制异形艺术雕刻部件。定制自办展示版面部件，饰面类型：三聚氰胺纸/木皮/喷绘布，压纹工艺：条纹（3cm/5cm宽）、方格、竹纹（误差≤±0.5mm），邵氏硬度：≥60 HA（GB/T </w:t>
            </w:r>
            <w:r>
              <w:rPr>
                <w:rFonts w:hint="eastAsia" w:ascii="宋体" w:hAnsi="宋体" w:eastAsia="宋体" w:cs="宋体"/>
                <w:color w:val="auto"/>
                <w:sz w:val="20"/>
                <w:szCs w:val="20"/>
                <w:u w:val="none"/>
                <w:lang w:val="en-US" w:eastAsia="zh-CN" w:bidi="ar"/>
              </w:rPr>
              <w:t xml:space="preserve">531.1），热压成型：温度180-220℃，压力≥8MPa。照明及电气线路系统;氛围LED灯带，光通量：≥3200lm，色温：4000K（自然光色）。显色指数：Ra≥92，防护等级：IP20。特性：低压24V供电，安装方式：嵌入式。隐蔽式线管系统：PVC线管：Φ20mm（阻燃级），电线规格：BV-2.5mm²（国标），接线盒：86型暗装（防水型），固定卡扣：尼龙材质间距≤800mm。高分子涂层艺术雕刻装饰。艺术浅浮雕。定制异形艺术雕刻部件。定制成品浮雕纹油画饰面板。定制嵌入式古典储物格。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棋社-木制艺术展览板A</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1、信息参数：4800*2800mm，主体结构组件采用18mm实木多层基材，表面采用环保油漆，喷漆时需保持无尘空间，每道工序需充分干燥(通常24小时，含水率≤8%），（甲醛释放量≤0.025mg/m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³，气候箱法检测），金属复合面板（基材厚度≥0.5mm，表面涂层铅笔硬度≥3H），高分子装饰层（厚度≥3mm，邵氏硬度60±5）。静态承重≥200kg/m²（持续24小时形变率≤0.3%）。抗弯强度≥100MPa（依据GB/T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w:t>
            </w:r>
            <w:r>
              <w:rPr>
                <w:rFonts w:hint="eastAsia" w:ascii="宋体" w:hAnsi="宋体" w:eastAsia="宋体" w:cs="宋体"/>
                <w:color w:val="auto"/>
                <w:sz w:val="20"/>
                <w:szCs w:val="20"/>
                <w:u w:val="none"/>
                <w:lang w:val="en-US" w:eastAsia="zh-CN" w:bidi="ar"/>
              </w:rPr>
              <w:t xml:space="preserve">邵氏硬度：≥60 HA（GB/T 531.1），热压成型：温度180-220℃，压力≥8MPa。照明及电气线路系统;氛围LED灯带，光通量：≥3200lm，色温：4000K（自然光色）。显色指数：Ra≥92，防护等级：IP20。特性：低压24V供电，安装方式：嵌入式。隐蔽式线管系统：PVC线管：Φ20mm（阻燃级），电线规格：BV-2.5mm²（国标），接线盒：86型暗装（防水型），固定卡扣：尼龙材质间距≤800mm。高分子涂层艺术雕刻装饰。定制异形艺术雕刻部件。定制成品浮雕纹油画饰面板。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棋社-木制艺术展览板B</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1、信息参数：6500*2800mm，主体结构组件采用18mm实木多层基材，表面采用高分子装饰层（厚度≥3mm，邵氏硬度60±5）。静态承重≥200kg/m</w:t>
            </w:r>
            <w:r>
              <w:rPr>
                <w:rFonts w:hint="eastAsia" w:ascii="宋体" w:hAnsi="宋体" w:eastAsia="宋体" w:cs="宋体"/>
                <w:color w:val="auto"/>
                <w:sz w:val="20"/>
                <w:szCs w:val="20"/>
                <w:u w:val="none"/>
                <w:lang w:val="en-US" w:eastAsia="zh-CN" w:bidi="ar"/>
              </w:rPr>
              <w:t xml:space="preserve">²（</w:t>
            </w:r>
            <w:r>
              <w:rPr>
                <w:rFonts w:hint="eastAsia" w:ascii="宋体" w:hAnsi="宋体" w:eastAsia="宋体" w:cs="宋体"/>
                <w:color w:val="auto"/>
                <w:sz w:val="20"/>
                <w:szCs w:val="20"/>
                <w:u w:val="none"/>
                <w:lang w:val="en-US" w:eastAsia="zh-CN" w:bidi="ar"/>
              </w:rPr>
              <w:t xml:space="preserve">持续24小时形变率≤0.3%）。抗弯强度≥100MPa（依据GB/T 17657-2022三点弯曲试验）。剥离强度≥120N/cm（纵向，GB/T 2791-1995标准）。定制生态木展墙选用密度≥0.7g/cm³的材质，防火等级B1级，防潮性能吸水率≤1.5%。通过凹槽拼接，横向安装时凹口朝上，竖向安装凹口在右侧，板间留缝3mm；收边采用专用580型线条（宽度≥50mm），螺钉固定并预留1.5mm膨胀间隙。定制木质古典棋盘储物柜。高分子涂层艺术雕刻装饰。艺术浅浮雕。定制异形艺术雕刻部件。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棋社-古典棋谱造型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1、信息参数：2600*3000mm，框架结构主体采用40×40mm方钢（壁厚≥1.5mm）焊接成型，表面喷涂氟碳漆（三涂两烤工艺，膜厚≥80μm），耐盐雾≥3000小</w:t>
            </w:r>
            <w:r>
              <w:rPr>
                <w:rFonts w:hint="eastAsia" w:ascii="宋体" w:hAnsi="宋体" w:eastAsia="宋体" w:cs="宋体"/>
                <w:i w:val="0"/>
                <w:iCs w:val="0"/>
                <w:color w:val="auto"/>
                <w:sz w:val="20"/>
                <w:szCs w:val="20"/>
                <w:u w:val="none"/>
                <w:lang w:val="en-US" w:eastAsia="zh-CN" w:bidi="ar"/>
              </w:rPr>
              <w:t xml:space="preserve">时。中心部位镶嵌特制层板造型，厚度≥1.5mm，纳米陶瓷涂层处理，，边缘采用激光倒角R3mm。嵌装异形长条桌（桌面采用松木指接板，规格1800×400×30mm，经化学UV底漆+水性哑光面漆处理，两端通过隐藏式304不锈钢法兰（M8内六角螺栓）固定于方钢横梁。定制榫卯棋凳（凳面采用红铁木砧板，直径320mm×厚50mm，凳腿为实木车制螺旋纹立柱，高度450mm）*2。动态承重≥200kg。表面装饰采用仿古铜蚀刻棋谱纹样（化学特调古铜色金属漆）。高分子涂层艺术雕刻装饰。定制异形艺术雕刻部件。环保木质地脚围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6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无线教学扩声主机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1、整机尺寸长≤150mm，外壳ABS材质。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2、工作电压：DC 24V/1A 电源适配器供电。</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3、工作温度：-10℃～40℃。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4、安装方式：壁挂安装。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5、通信协议：支持无线UHF。</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6、频率响应：主机线路—主机：80Hz～20 kHz；麦克风-主机：100Hz～10kHz。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7、信噪比:（麦克风-主机）：≥83dB；（主机线路-主机）：≥83dB。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8、总谐波失真: ≤0.12%。</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9、无线频段：450Mhz～700Mhz。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10、支持NFC和红外配对。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11、具有配对指示灯提示功能。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12、主机设备采用数字音频处理器，无线发射和接收一体式设计。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13、具有USB接口、电源接口与音频接口，音频接口：LINE IN（3.5mm）；LINE IN（凤凰端子3PIN）；LINE OUT（3.5mm）；LINE OUT（凤凰端子3PIN）。</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14、最大可实现35m长距离通信，为保证教室间不相互干扰正常工作距离范围为10～15m，根据使用场景，可直接现场定制化通信距离。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15、支持无线音频输入（UHF&amp;蓝牙），有线音频输入（两路line in、LAN输入）。</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16、支持无线音频输出（UHF），有线音频输出（两路line out）。</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17、具有音量调节、高低音效果调节。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18、具有啸叫抑制（AFC）功能开关、线路输入噪声门（Gate）功能开关、线路输入自动衰减（AUTOFADE）功能开关。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19、可通过拨码对UHF的接收和发射频道（频点）进行选择。</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20、具有OLED显示屏，可显示当前UFH接收和发射的频率点和蓝牙开启和关闭的状态。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21、具有充电槽功能，支持 麦克风充电功能，即放即充。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22、可以同时连接90个或以上的扩音器。</w:t>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投标文件中提供由国家行政管理部门认定的检测机构出具的（具有CMA、CNAS标识）完整的无线教学扩声主机检测报告，测试内容需完全符合参数要求，不得缺项、漏项，否则视为负偏离。</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无线麦克风</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1、整机尺寸长≤150mm，外壳ABS材质。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2、电池容量：1000mah±5%。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3、充电电压：DC 5V。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4、工作温度 -10℃～40℃。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5、使用寿命：≥280个循环。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6、麦克风类型：全指向性驻极体。</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7、咪头灵敏度：-32 dBV/Pa±2dB。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8、咪头频率响应：100Hz～20KHz。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9、无线频段：450Mhz～700Mhz。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10、咪头最大声压级：≥110dB@(THD&lt;3%)。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11、咪头信噪比：≥70dB @(f=1KHZ,S.P.L=1Pa，A-weighted)。</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12、具有配对指示灯提示功能。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13、充电接口：type-C充电接口，3PIN 充电触点。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14、充电方式：放置在主机的麦克风收纳槽内进行充电，插入type-c接口的USB充电线充电。</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15、采用锂电池供电，可充电循环使用，连续使用时间≥5小时。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16、具有音量大小调节、PPT翻页和激光笔功能。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17、使用时无固定位置要求，在教室范围内可自由移动。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18、体积小巧、便于携带、悬挂等安装方式。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19、可灵活配对，一个麦克风可适配所有同系列主机。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20、双击电源键，支持蓝牙功能的设备开启和关闭。</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无线教学扩声音箱</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1、整机尺寸长度：≤300mm。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2、外壳材质：ABS材质。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3、安装方式：集成在灯具上或吸顶安装。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4、工作电压：AC 220V/50HZ。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5、信噪比：≥80dB@1W。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6、动态范围 ：麦克风-主机：10mv~160mv。</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7、无线频段：450Mhz~700Mhz。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8、频率响应：线路输入20Hz–20 kHz。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9、输入灵敏度：（-20dbFS）-0dbFS。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10、失真度（失真+噪声）：＜0.5%@1W。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11、喇叭功率：4Ω 10W。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12、工作温度：-10℃~40℃。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13、支持专业数字U段无线传输，有效避开校园内其他无线信号（如蓝牙、WiFi等）干扰。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14、安装方式灵活：与灯融合(声光一体)，吸顶安装，壁挂安装。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15、扩声器多点均衡布局，实现教室均衡扩声。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16、采用全音域喇叭与导向式音箱设计，音色饱满。</w:t>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投标文件中提供由国家行政管理部门认定的检测机构出具的（具有CMA、CNAS标识）完整的无线教学扩声音箱检测报告，测试内容需完全符合参数要求，不得缺项、漏项，否则视为负偏离。</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类型：聚酯纤维涂层遮光卷帘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尺寸规格：标准幅宽1500mm/1800mm/2000mm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高度范围：2000-3000mm（含10cm包边）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遮光率：70%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颜色：灰白色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材质：面料100%聚酯纤维，表面覆PVC涂层（厚度0.3-0.5mm）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辅料：铝合金静音轨道（壁厚1.2mm）、POM塑料拉珠、棉质布带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定制木质烤漆装饰造型（化学特调古铜色金属漆）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w:t>
            </w:r>
            <w:r/>
          </w:p>
        </w:tc>
      </w:tr>
      <w:tr>
        <w:trPr>
          <w:jc w:val="center"/>
          <w:trHeight w:val="93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定制非遗造型软膜光源体8W/㎡，光通量：≥3200lm，色温：4000K（暖光色）。显色指数：Ra≥92，防护等级：IP20。特性：低压24V供电。嵌入式无边框COB射灯模块，7W/10W/14W，光效：≥110lm/W，色温：3000K-6500K（±50K），显色指数：Ra≥95（R9&gt;90），光束角：24°/36°/60°，防护等级：IP44。安装方式：半嵌入式造型结合。特性：深杯防眩结构。LED嵌入式筒灯6W/㎡，光通量：≥3200lm，色温：4000K（自然光色），安装方式：嵌入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发绣非遗元素艺术氛围装饰。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49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发绣制作社-艺术造型</w:t>
            </w:r>
            <w:r/>
          </w:p>
        </w:tc>
        <w:tc>
          <w:tcPr>
            <w:shd w:val="clear" w:color="auto" w:fill="auto"/>
            <w:tcW w:w="5287" w:type="dxa"/>
            <w:vAlign w:val="center"/>
            <w:textDirection w:val="lrTb"/>
            <w:noWrap w:val="false"/>
          </w:tcPr>
          <w:p>
            <w:pPr>
              <w:numPr>
                <w:ilvl w:val="0"/>
                <w:numId w:val="1"/>
              </w:num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olor w:val="auto"/>
                <w:sz w:val="20"/>
                <w:szCs w:val="20"/>
                <w:u w:val="none"/>
                <w:lang w:val="en-US" w:eastAsia="zh-CN" w:bidi="ar"/>
              </w:rPr>
              <w:t xml:space="preserve">信息参数：6000*2800mm，</w:t>
            </w:r>
            <w:r>
              <w:rPr>
                <w:rFonts w:hint="eastAsia" w:ascii="宋体" w:hAnsi="宋体" w:eastAsia="宋体" w:cs="宋体"/>
                <w:b w:val="0"/>
                <w:bCs w:val="0"/>
                <w:i w:val="0"/>
                <w:iCs w:val="0"/>
                <w:caps w:val="0"/>
                <w:color w:val="auto"/>
                <w:spacing w:val="0"/>
                <w:sz w:val="20"/>
                <w:szCs w:val="20"/>
                <w:highlight w:val="none"/>
                <w:lang w:val="en-US" w:eastAsia="zh-CN" w:bidi="ar-SA"/>
              </w:rPr>
              <w:t xml:space="preserve">材质相关参数：</w:t>
            </w:r>
            <w:r>
              <w:rPr>
                <w:rFonts w:hint="eastAsia" w:ascii="宋体" w:hAnsi="宋体" w:eastAsia="宋体" w:cs="宋体"/>
                <w:b w:val="0"/>
                <w:bCs w:val="0"/>
                <w:i w:val="0"/>
                <w:iCs w:val="0"/>
                <w:caps w:val="0"/>
                <w:color w:val="auto"/>
                <w:spacing w:val="0"/>
                <w:sz w:val="20"/>
                <w:szCs w:val="20"/>
                <w:highlight w:val="none"/>
                <w:lang w:val="en-US" w:eastAsia="zh-CN" w:bidi="ar"/>
              </w:rPr>
              <w:t xml:space="preserve">材质为织物类型，无纺布墙布为织物类墙布（如提花、绒布）：150-500g/㎡，高克重产品立体感强，艺术氛围采用3D打印。</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（1）、物理性能参数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厚度（单位：mm）</w:t>
            </w:r>
            <w:r>
              <w:rPr>
                <w:rFonts w:hint="eastAsia" w:ascii="宋体" w:hAnsi="宋体" w:eastAsia="宋体" w:cs="宋体"/>
                <w:b w:val="0"/>
                <w:bCs w:val="0"/>
                <w:i w:val="0"/>
                <w:iCs w:val="0"/>
                <w:caps w:val="0"/>
                <w:color w:val="auto"/>
                <w:spacing w:val="0"/>
                <w:sz w:val="20"/>
                <w:szCs w:val="20"/>
                <w:highlight w:val="none"/>
                <w:lang w:eastAsia="zh-CN"/>
              </w:rPr>
              <w:t xml:space="preserve">，</w:t>
            </w:r>
            <w:r>
              <w:rPr>
                <w:rFonts w:hint="eastAsia" w:ascii="宋体" w:hAnsi="宋体" w:eastAsia="宋体" w:cs="宋体"/>
                <w:b w:val="0"/>
                <w:bCs w:val="0"/>
                <w:i w:val="0"/>
                <w:iCs w:val="0"/>
                <w:caps w:val="0"/>
                <w:color w:val="auto"/>
                <w:spacing w:val="0"/>
                <w:sz w:val="20"/>
                <w:szCs w:val="20"/>
                <w:highlight w:val="none"/>
              </w:rPr>
              <w:t xml:space="preserve">一般在 0.1-2mm 之间，薄款（0.1-0.5mm）适合简约风格，施工贴合度高；厚款（0.5-2mm，如绒布、发泡墙布）立体感强，但对墙面平整度要求高。</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长度（单位：m/卷）常规每卷长度为 10m，部分窄幅产品为 5m / 卷，计算用量时需结合幅宽和墙面面积。</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3.</w:t>
            </w:r>
            <w:r>
              <w:rPr>
                <w:rFonts w:hint="eastAsia" w:ascii="宋体" w:hAnsi="宋体" w:eastAsia="宋体" w:cs="宋体"/>
                <w:b w:val="0"/>
                <w:bCs w:val="0"/>
                <w:i w:val="0"/>
                <w:iCs w:val="0"/>
                <w:caps w:val="0"/>
                <w:color w:val="auto"/>
                <w:spacing w:val="0"/>
                <w:sz w:val="20"/>
                <w:szCs w:val="20"/>
                <w:highlight w:val="none"/>
              </w:rPr>
              <w:t xml:space="preserve">拉伸强度（单位：N/5cm）指墙布抵抗拉伸断裂的能力，横向和纵向强度需分别标注（如纵向≥30N/5cm，横向≥25N/5cm）。数值越高，抗变形能力越强，适合墙面可能轻微沉降的区域。</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4.</w:t>
            </w:r>
            <w:r>
              <w:rPr>
                <w:rFonts w:hint="eastAsia" w:ascii="宋体" w:hAnsi="宋体" w:eastAsia="宋体" w:cs="宋体"/>
                <w:b w:val="0"/>
                <w:bCs w:val="0"/>
                <w:i w:val="0"/>
                <w:iCs w:val="0"/>
                <w:caps w:val="0"/>
                <w:color w:val="auto"/>
                <w:spacing w:val="0"/>
                <w:sz w:val="20"/>
                <w:szCs w:val="20"/>
                <w:highlight w:val="none"/>
              </w:rPr>
              <w:t xml:space="preserve">撕裂强度（单位：N）衡量抗撕裂性能，一般≥5N，织物类墙布因纤维交织结构，撕裂强度通常高于 PVC 墙布。</w:t>
            </w:r>
            <w:r>
              <w:rPr>
                <w:rFonts w:hint="eastAsia" w:ascii="宋体" w:hAnsi="宋体" w:eastAsia="宋体" w:cs="宋体"/>
                <w:b w:val="0"/>
                <w:bCs w:val="0"/>
                <w:i w:val="0"/>
                <w:iCs w:val="0"/>
                <w:caps w:val="0"/>
                <w:color w:val="auto"/>
                <w:spacing w:val="0"/>
                <w:sz w:val="20"/>
                <w:szCs w:val="20"/>
                <w:highlight w:val="none"/>
                <w:lang w:val="en-US" w:eastAsia="zh-CN"/>
              </w:rPr>
              <w:t xml:space="preserve">      </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（2）、环保性能参数</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甲醛释放量（单位：mg/m³）</w:t>
            </w:r>
            <w:r>
              <w:rPr>
                <w:rFonts w:hint="eastAsia" w:ascii="宋体" w:hAnsi="宋体" w:eastAsia="宋体" w:cs="宋体"/>
                <w:b w:val="0"/>
                <w:bCs w:val="0"/>
                <w:i w:val="0"/>
                <w:iCs w:val="0"/>
                <w:caps w:val="0"/>
                <w:color w:val="auto"/>
                <w:spacing w:val="0"/>
                <w:sz w:val="20"/>
                <w:szCs w:val="20"/>
                <w:highlight w:val="none"/>
                <w:lang w:val="en-US" w:eastAsia="zh-CN" w:bidi="ar"/>
              </w:rPr>
              <w:t xml:space="preserve">：需符合国家标准 GB 18585-2001，要求≤0.1mg/m³，优质产品可达到≤0.05mg/m³（接近无甲醛）。</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lang w:eastAsia="zh-CN"/>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rPr>
              <w:t xml:space="preserve">重金属含量（单位：mg/kg）：包括铅、镉、铬、汞等，国标要求总和≤100mg/kg，VOC（挥发性有机化合物）含量（单位：g/L）：≤100g/L 为合格，环保等级高的产品可做到≤50g/L，铺贴后异味更小。阻燃性：通过 GB 8624 标准测试，分为 A 级（不燃）、B1 级（难燃）、B2 级（可燃）</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（3）、功能性能参数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防水性（单位：mm）用 “静水压” 表示（如≥300mm），数值越高防水性越强，无纺布、织物类</w:t>
            </w:r>
            <w:r>
              <w:rPr>
                <w:rFonts w:hint="eastAsia" w:ascii="宋体" w:hAnsi="宋体" w:eastAsia="宋体" w:cs="宋体"/>
                <w:b w:val="0"/>
                <w:bCs w:val="0"/>
                <w:i w:val="0"/>
                <w:iCs w:val="0"/>
                <w:caps w:val="0"/>
                <w:color w:val="auto"/>
                <w:spacing w:val="0"/>
                <w:sz w:val="20"/>
                <w:szCs w:val="20"/>
                <w:highlight w:val="none"/>
                <w:lang w:val="en-US" w:eastAsia="zh-CN"/>
              </w:rPr>
              <w:t xml:space="preserve">防水性较强。</w:t>
            </w:r>
            <w:r>
              <w:rPr>
                <w:rFonts w:hint="eastAsia" w:ascii="宋体" w:hAnsi="宋体" w:eastAsia="宋体" w:cs="宋体"/>
                <w:b w:val="0"/>
                <w:bCs w:val="0"/>
                <w:i w:val="0"/>
                <w:iCs w:val="0"/>
                <w:caps w:val="0"/>
                <w:color w:val="auto"/>
                <w:spacing w:val="0"/>
                <w:sz w:val="20"/>
                <w:szCs w:val="20"/>
                <w:highlight w:val="none"/>
              </w:rPr>
              <w:t xml:space="preserve">普通墙布防水性较低（≤100mm），仅防轻微溅水。</w:t>
            </w: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透气性（单位：g/㎡・24h）指水蒸气透过量，无纺布、织物类墙布透气性较好（≥500g/㎡・24h），避免墙面发霉；PVC 墙布透气性差（≤100g/㎡・24h）</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b w:val="0"/>
                <w:bCs w:val="0"/>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套</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50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发绣制作社-艺术氛围展示</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olor w:val="auto"/>
                <w:sz w:val="20"/>
                <w:szCs w:val="20"/>
                <w:u w:val="none"/>
                <w:lang w:val="en-US" w:eastAsia="zh-CN" w:bidi="ar"/>
              </w:rPr>
              <w:t xml:space="preserve">1、信息参数：6000*2800mm，</w:t>
            </w:r>
            <w:r>
              <w:rPr>
                <w:rFonts w:hint="eastAsia" w:ascii="宋体" w:hAnsi="宋体" w:eastAsia="宋体" w:cs="宋体"/>
                <w:b w:val="0"/>
                <w:bCs w:val="0"/>
                <w:i w:val="0"/>
                <w:iCs w:val="0"/>
                <w:caps w:val="0"/>
                <w:color w:val="auto"/>
                <w:spacing w:val="0"/>
                <w:sz w:val="20"/>
                <w:szCs w:val="20"/>
                <w:highlight w:val="none"/>
                <w:lang w:val="en-US" w:eastAsia="zh-CN" w:bidi="ar-SA"/>
              </w:rPr>
              <w:t xml:space="preserve">材质相关参数：</w:t>
            </w:r>
            <w:r>
              <w:rPr>
                <w:rFonts w:hint="eastAsia" w:ascii="宋体" w:hAnsi="宋体" w:eastAsia="宋体" w:cs="宋体"/>
                <w:b w:val="0"/>
                <w:bCs w:val="0"/>
                <w:i w:val="0"/>
                <w:iCs w:val="0"/>
                <w:caps w:val="0"/>
                <w:color w:val="auto"/>
                <w:spacing w:val="0"/>
                <w:sz w:val="20"/>
                <w:szCs w:val="20"/>
                <w:highlight w:val="none"/>
                <w:lang w:val="en-US" w:eastAsia="zh-CN" w:bidi="ar"/>
              </w:rPr>
              <w:t xml:space="preserve">材质为织物类型，无纺布墙布为织物类墙布（如提花、绒布）：150-500g/㎡，高克重产品立体感强，艺术氛围采用3D打印。</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（1）、物理性能参数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厚度（单位：mm）</w:t>
            </w:r>
            <w:r>
              <w:rPr>
                <w:rFonts w:hint="eastAsia" w:ascii="宋体" w:hAnsi="宋体" w:eastAsia="宋体" w:cs="宋体"/>
                <w:b w:val="0"/>
                <w:bCs w:val="0"/>
                <w:i w:val="0"/>
                <w:iCs w:val="0"/>
                <w:caps w:val="0"/>
                <w:color w:val="auto"/>
                <w:spacing w:val="0"/>
                <w:sz w:val="20"/>
                <w:szCs w:val="20"/>
                <w:highlight w:val="none"/>
                <w:lang w:eastAsia="zh-CN"/>
              </w:rPr>
              <w:t xml:space="preserve">，</w:t>
            </w:r>
            <w:r>
              <w:rPr>
                <w:rFonts w:hint="eastAsia" w:ascii="宋体" w:hAnsi="宋体" w:eastAsia="宋体" w:cs="宋体"/>
                <w:b w:val="0"/>
                <w:bCs w:val="0"/>
                <w:i w:val="0"/>
                <w:iCs w:val="0"/>
                <w:caps w:val="0"/>
                <w:color w:val="auto"/>
                <w:spacing w:val="0"/>
                <w:sz w:val="20"/>
                <w:szCs w:val="20"/>
                <w:highlight w:val="none"/>
              </w:rPr>
              <w:t xml:space="preserve">一般在 0.1-2mm 之间，薄款（0.1-0.5mm）适合简约风格，施工贴合度高；厚款（0.5-2mm，如绒布、发泡墙布）立体感强，但对墙面平整度要求高。</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长度（单位：m / 卷）常规每卷长度为 10m，部分窄幅产品为 5m / 卷，计算用量时需结合幅宽和墙面面积。</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3.</w:t>
            </w:r>
            <w:r>
              <w:rPr>
                <w:rFonts w:hint="eastAsia" w:ascii="宋体" w:hAnsi="宋体" w:eastAsia="宋体" w:cs="宋体"/>
                <w:b w:val="0"/>
                <w:bCs w:val="0"/>
                <w:i w:val="0"/>
                <w:iCs w:val="0"/>
                <w:caps w:val="0"/>
                <w:color w:val="auto"/>
                <w:spacing w:val="0"/>
                <w:sz w:val="20"/>
                <w:szCs w:val="20"/>
                <w:highlight w:val="none"/>
              </w:rPr>
              <w:t xml:space="preserve">拉伸强度（单位：N/5cm）指墙布抵抗拉伸断裂的能力，横向和纵向强度需分别标注（如纵向≥30N/5cm，横向≥25N/5cm）。数值越高，抗变形能力越强，适合墙面可能轻微沉降的区域。</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4.</w:t>
            </w:r>
            <w:r>
              <w:rPr>
                <w:rFonts w:hint="eastAsia" w:ascii="宋体" w:hAnsi="宋体" w:eastAsia="宋体" w:cs="宋体"/>
                <w:b w:val="0"/>
                <w:bCs w:val="0"/>
                <w:i w:val="0"/>
                <w:iCs w:val="0"/>
                <w:caps w:val="0"/>
                <w:color w:val="auto"/>
                <w:spacing w:val="0"/>
                <w:sz w:val="20"/>
                <w:szCs w:val="20"/>
                <w:highlight w:val="none"/>
              </w:rPr>
              <w:t xml:space="preserve">撕裂强度（单位：N）衡量抗撕裂性能，一般≥5N，织物类墙布因纤维交织结构，撕裂强度通常高于 PVC 墙布。</w:t>
            </w:r>
            <w:r>
              <w:rPr>
                <w:rFonts w:hint="eastAsia" w:ascii="宋体" w:hAnsi="宋体" w:eastAsia="宋体" w:cs="宋体"/>
                <w:b w:val="0"/>
                <w:bCs w:val="0"/>
                <w:i w:val="0"/>
                <w:iCs w:val="0"/>
                <w:caps w:val="0"/>
                <w:color w:val="auto"/>
                <w:spacing w:val="0"/>
                <w:sz w:val="20"/>
                <w:szCs w:val="20"/>
                <w:highlight w:val="none"/>
                <w:lang w:val="en-US" w:eastAsia="zh-CN"/>
              </w:rPr>
              <w:t xml:space="preserve">      </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（2）、环保性能参数</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甲醛释放量（单位：mg/m³）</w:t>
            </w:r>
            <w:r>
              <w:rPr>
                <w:rFonts w:hint="eastAsia" w:ascii="宋体" w:hAnsi="宋体" w:eastAsia="宋体" w:cs="宋体"/>
                <w:b w:val="0"/>
                <w:bCs w:val="0"/>
                <w:i w:val="0"/>
                <w:iCs w:val="0"/>
                <w:caps w:val="0"/>
                <w:color w:val="auto"/>
                <w:spacing w:val="0"/>
                <w:sz w:val="20"/>
                <w:szCs w:val="20"/>
                <w:highlight w:val="none"/>
                <w:lang w:val="en-US" w:eastAsia="zh-CN" w:bidi="ar"/>
              </w:rPr>
              <w:t xml:space="preserve">：需符合国家标准 GB 18585-2001，要求≤0.1mg/m³，优质产品可达到≤0.05mg/m³（接近无甲醛）。</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lang w:eastAsia="zh-CN"/>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rPr>
              <w:t xml:space="preserve">重金属含量（单位：mg/kg）：包括铅、镉、铬、汞等，国标要求总和≤100mg/kg，VOC（挥发性有机化合物）含量（单位：g/L）：≤100g/L 为合格，环保等级高的产品可做到≤50g/L，铺贴后异味更小。阻燃性：通过 GB 8624 标准测试，分为 A 级（不燃）、B1 级（难燃）、B2 级（可燃）</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（3）、功能性能参数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防水性（单位：mm）用 “静水压” 表示（如≥300mm），数值越高防水性越强，无纺布、织物类</w:t>
            </w:r>
            <w:r>
              <w:rPr>
                <w:rFonts w:hint="eastAsia" w:ascii="宋体" w:hAnsi="宋体" w:eastAsia="宋体" w:cs="宋体"/>
                <w:b w:val="0"/>
                <w:bCs w:val="0"/>
                <w:i w:val="0"/>
                <w:iCs w:val="0"/>
                <w:caps w:val="0"/>
                <w:color w:val="auto"/>
                <w:spacing w:val="0"/>
                <w:sz w:val="20"/>
                <w:szCs w:val="20"/>
                <w:highlight w:val="none"/>
                <w:lang w:val="en-US" w:eastAsia="zh-CN"/>
              </w:rPr>
              <w:t xml:space="preserve">防水性较强。</w:t>
            </w:r>
            <w:r>
              <w:rPr>
                <w:rFonts w:hint="eastAsia" w:ascii="宋体" w:hAnsi="宋体" w:eastAsia="宋体" w:cs="宋体"/>
                <w:b w:val="0"/>
                <w:bCs w:val="0"/>
                <w:i w:val="0"/>
                <w:iCs w:val="0"/>
                <w:caps w:val="0"/>
                <w:color w:val="auto"/>
                <w:spacing w:val="0"/>
                <w:sz w:val="20"/>
                <w:szCs w:val="20"/>
                <w:highlight w:val="none"/>
              </w:rPr>
              <w:t xml:space="preserve">普通墙布防水性较低（≤100mm），仅防轻微溅水。</w:t>
            </w: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透气性（单位：g/㎡・24h）指水蒸气透过量，无纺布、织物类墙布透气性较好（≥500g/㎡・24h），避免墙面发霉；PVC 墙布透气性差（≤100g/㎡・24h）</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b w:val="0"/>
                <w:bCs w:val="0"/>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51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发绣制作社-</w:t>
            </w:r>
            <w:r>
              <w:rPr>
                <w:rFonts w:hint="eastAsia" w:ascii="宋体" w:hAnsi="宋体" w:eastAsia="宋体" w:cs="宋体"/>
                <w:i w:val="0"/>
                <w:iCs w:val="0"/>
                <w:color w:val="auto"/>
                <w:sz w:val="20"/>
                <w:szCs w:val="20"/>
                <w:u w:val="none"/>
                <w:lang w:val="en-US" w:eastAsia="zh-CN" w:bidi="ar"/>
              </w:rPr>
              <w:t xml:space="preserve">木制艺术展览板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1、信息参数：7500*2800mm，主体结构组件采用18mm实木多层基材，表面定制木质复合饰面，高分子装饰层（厚度≥3mm，邵氏硬度60±5）。静态承重≥200kg/m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异形艺术雕刻部件。定制自办展示版面部件，饰面类型：三聚氰胺纸/木皮/喷绘布，压纹工艺：条纹（3cm/5cm宽）、方格、竹纹（误差≤±0.5mm），邵氏硬度：≥60 HA（GB/T 531.1），热压成型：温度180-220℃，压力≥8MPa。成品仿古木质装饰层架。高分子纳米复合艺术雕刻装饰。艺术浅浮雕。环保木质地脚围板。定制半自动作品展示展陈框架。</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52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发绣制作社-多功能储物柜</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1、信息参数：900*600*400mm（高*宽*厚）主体框架采用E0级橡胶实木颗粒板</w:t>
            </w:r>
            <w:r>
              <w:rPr>
                <w:rFonts w:hint="eastAsia" w:ascii="宋体" w:hAnsi="宋体" w:eastAsia="宋体" w:cs="宋体"/>
                <w:i w:val="0"/>
                <w:iCs w:val="0"/>
                <w:color w:val="ff0000"/>
                <w:sz w:val="20"/>
                <w:szCs w:val="20"/>
                <w:u w:val="none"/>
                <w:lang w:val="en-US" w:eastAsia="zh-CN" w:bidi="ar"/>
              </w:rPr>
              <w:t xml:space="preserve">（符合GB/T 3324-2024）</w:t>
            </w:r>
            <w:r>
              <w:rPr>
                <w:rFonts w:hint="eastAsia" w:ascii="宋体" w:hAnsi="宋体" w:eastAsia="宋体" w:cs="宋体"/>
                <w:i w:val="0"/>
                <w:iCs w:val="0"/>
                <w:color w:val="auto"/>
                <w:sz w:val="20"/>
                <w:szCs w:val="20"/>
                <w:u w:val="none"/>
                <w:lang w:val="en-US" w:eastAsia="zh-CN" w:bidi="ar"/>
              </w:rPr>
              <w:t xml:space="preserve">，含水率8-12%，甲醛释放量≤0.05mg/L。</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面板材质：一级柚木贴皮（厚度≥0.6mm，GB/T 15036.2标准），耐磨转数≥3000转（依据GB/T 17657-2022）。</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防潮处理：真空加压注入ACQ防腐剂（载药量≥6.5kg/m</w:t>
            </w:r>
            <w:r>
              <w:rPr>
                <w:rFonts w:hint="eastAsia" w:ascii="宋体" w:hAnsi="宋体" w:eastAsia="宋体" w:cs="宋体"/>
                <w:color w:val="auto"/>
                <w:sz w:val="20"/>
                <w:szCs w:val="20"/>
                <w:u w:val="none"/>
                <w:lang w:val="en-US" w:eastAsia="zh-CN" w:bidi="ar"/>
              </w:rPr>
              <w:t xml:space="preserve">³，符合LY/T 1636-2017）</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结构组件：品牌三合一连接件（抗拉强度≥1200N，盐雾测试≥2000小时），液压缓冲铰链（开合寿命≥5万次，噪音≤35dB），隐藏式滑轨（承重≥50kg，抽拉顺滑度≤10N摩擦力）。</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静态承重：单层货架≥80kg（依据QB/T 2530-2011测试方法），抗倾覆系数：≥1.5（满载状态下倾斜角≤10°不倾倒）。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隔板挠度：≤1.5mm/m（加载50kg持续24小时，依据GB/T 10357.3）</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尺寸公差：长度/宽度误差≤±1.5mm，高度误差≤±2mm（激光定位切割）</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直角度：边角垂直度≤0.8mm/m（水平仪检测）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封边质量：PVC封边条贴合度≤0.3mm缝隙。储物柜相关技术要求：依据</w:t>
            </w:r>
            <w:r>
              <w:rPr>
                <w:rFonts w:hint="eastAsia" w:ascii="宋体" w:hAnsi="宋体" w:eastAsia="宋体" w:cs="宋体"/>
                <w:color w:val="ff0000"/>
                <w:sz w:val="20"/>
                <w:szCs w:val="20"/>
                <w:u w:val="none"/>
                <w:lang w:val="en-US" w:eastAsia="zh-CN" w:bidi="ar"/>
              </w:rPr>
              <w:t xml:space="preserve">GB/T 3324-2024</w:t>
            </w:r>
            <w:r>
              <w:rPr>
                <w:rFonts w:hint="eastAsia" w:ascii="宋体" w:hAnsi="宋体" w:eastAsia="宋体" w:cs="宋体"/>
                <w:color w:val="auto"/>
                <w:sz w:val="20"/>
                <w:szCs w:val="20"/>
                <w:u w:val="none"/>
                <w:lang w:val="en-US" w:eastAsia="zh-CN" w:bidi="ar"/>
              </w:rPr>
              <w:t xml:space="preserve">《木家具通用技术条件》、</w:t>
            </w:r>
            <w:r>
              <w:rPr>
                <w:rFonts w:hint="eastAsia" w:ascii="宋体" w:hAnsi="宋体" w:eastAsia="宋体" w:cs="宋体"/>
                <w:color w:val="ff0000"/>
                <w:sz w:val="20"/>
                <w:szCs w:val="20"/>
                <w:u w:val="none"/>
                <w:lang w:val="en-US" w:eastAsia="zh-CN" w:bidi="ar"/>
              </w:rPr>
              <w:t xml:space="preserve">GB/T 35607-2024</w:t>
            </w:r>
            <w:r>
              <w:rPr>
                <w:rFonts w:hint="eastAsia" w:ascii="宋体" w:hAnsi="宋体" w:eastAsia="宋体" w:cs="宋体"/>
                <w:color w:val="auto"/>
                <w:sz w:val="20"/>
                <w:szCs w:val="20"/>
                <w:u w:val="none"/>
                <w:lang w:val="en-US" w:eastAsia="zh-CN" w:bidi="ar"/>
              </w:rPr>
              <w:t xml:space="preserve">《绿色产品评价 家具》、QB/T 2530-202</w:t>
            </w:r>
            <w:r>
              <w:rPr>
                <w:rFonts w:hint="eastAsia" w:ascii="宋体" w:hAnsi="宋体" w:eastAsia="宋体" w:cs="宋体"/>
                <w:color w:val="auto"/>
                <w:sz w:val="20"/>
                <w:szCs w:val="20"/>
                <w:u w:val="none"/>
                <w:lang w:val="en-US" w:eastAsia="zh-CN" w:bidi="ar"/>
              </w:rPr>
              <w:t xml:space="preserve">3《木制柜》，检测内容中：净深≥245，层间净高≥330，产品外形尺寸偏差中产品外形宽、深、高尺寸的极限偏差为±5，配套或组合产品的极限偏差应同取正值或负值，面板、框架对角线长度≥1000mm的检测中，要求≤3.0，面板、正视面板件对角线长度(700,1400)，要求≤2.0，面板、正视面板件对角线长度≤700，要求≤1.0，平整度面板、正视面板件:≤0.20mm.位差度(mm)中,门与框架、门与门相邻表面、抽屉与框架、抽屉与门、抽屉与抽屉相邻两表面间的距离偏差(非设计要求的距离)≤2.0mm，分缝(mm)</w:t>
            </w:r>
            <w:r>
              <w:rPr>
                <w:rFonts w:hint="eastAsia" w:ascii="宋体" w:hAnsi="宋体" w:eastAsia="宋体" w:cs="宋体"/>
                <w:color w:val="auto"/>
                <w:sz w:val="20"/>
                <w:szCs w:val="20"/>
                <w:u w:val="none"/>
                <w:lang w:val="en-US" w:eastAsia="zh-CN" w:bidi="ar"/>
              </w:rPr>
              <w:t xml:space="preserve">中，所有分缝(非设计要求时)≤2.00mm,底脚平稳性(mm)≤2.0,表面理化性能要求-漆膜,耐液性(级),10%碳酸钠溶液，24h;10%乙酸溶液，24h应不低于3级。耐湿热(级),20min，70℃。应不低于3级。耐干热(级)20min，70℃。应不低于3级。附着力(级)涂层交叉切割法。应不低于3级，耐冷热温差，高温(40+2)℃，相对湿度(95+3)%，1h。低温(-20+2)℃，1h。3周期。应无鼓泡裂缝和明显失光。耐磨性(级)1000转。应不低于3级。抗冲击(级)冲击高度50mm。应不低于3级。</w:t>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投标文件中提供由国家行政管理部门认定的省级及省级以上国家检测机构出具的（具有CMA、CNAS标识）完整的储物柜检测报告，测试内容需完全符合参数要求，不得缺项、漏项，否则视为负偏离。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6</w:t>
            </w:r>
            <w:r/>
          </w:p>
        </w:tc>
      </w:tr>
      <w:tr>
        <w:trPr>
          <w:jc w:val="center"/>
          <w:trHeight w:val="9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发绣制作社-便携式绣架</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1、信息参数：折叠式金属框架，配吸盘底座，可吸附于桌面。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jc w:val="center"/>
          <w:trHeight w:val="130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发绣制作社-可调式刺绣台</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桌子尺寸规格：长度：1200mm，宽度：600mm，高度：750mm±2mm。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1、基材采用橡胶木实木，木材含水率8%～16%，甲醛释放量≤0.01mg/m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3、五金：采用优质五金（包含但不限于连接件、脚钉，五金配件结合紧密，牢固，间隙细小且均匀，平整无毛刺。）</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9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发绣制作社-针线收纳盒</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1、信息参数：分格塑料盒（15×10×5cm），含针插、线轴固定位。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发绣制作社-发绣工作台套装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尺寸规格：长度：1200mm，宽度：500mm，高度：750mm±2mm。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1.基材：白蜡木原木,经防虫、防腐化学处理，稳定性好，握钉力强，不易变形；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2.优质环保白乳胶：采用优质环保乳胶剂，总挥发性有机物≤110g/L，游离甲醛≤1.0g/KG，苯≤0.20g/KG，甲苯十二甲苯≤10g/KG，符合国家标准。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4.五金件：使用优质环保的符合国家标准的五金；三合一连接件：采用优质符合国家标准的三合一连接件。</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81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发绣制作社-发绣工作椅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1、基材采用白蜡木原木，木材含水率8%～16%，甲醛释放量≤0.01mg/m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发绣制作社-传统技艺百科知识系统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1.触摸屏:21.5寸电容式触摸套件，外形美观，方便后期维护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显示器:21.5英寸液晶显示屏，分辨率1920*1080，显比：16:9</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机柜:冷轧钢板机柜，钢琴烤漆工艺,宽440MM*高883MM*厚160MM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主机:I5 三代</w:t>
            </w:r>
            <w:r>
              <w:rPr>
                <w:rFonts w:hint="eastAsia" w:ascii="宋体" w:hAnsi="宋体" w:eastAsia="宋体" w:cs="宋体"/>
                <w:color w:val="auto"/>
                <w:sz w:val="20"/>
                <w:szCs w:val="20"/>
                <w:u w:val="none"/>
                <w:lang w:val="en-US" w:eastAsia="zh-CN" w:bidi="ar"/>
              </w:rPr>
              <w:t xml:space="preserve">   2.4GHz， 8G内存，256G固态硬盘，WIFI 2.4G，输入端口：1*LAN端口，3*USB3.0端口，3*USB2.0端口，1*MIC-IN端口。输出端口：1*HDMI端口，1*VGA端口，1*LINE-OUT端口</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耳机:漫步者有线头戴式耳机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本软件为单机软件，本系统由电子报纸数据管理系统和触摸屏电子图书阅读系统组成。电子报纸数据管理系统可以充分利用互联网的丰富资源，快速采集各大报刊的最新电子数据信息，经过分类、整理和格式处理，将数据源传送到用户电子报系统服务器或本地硬盘，广大用户就可以通过分散覆盖的触摸屏电子报阅读系统（即用户终端）方便快捷的阅读到大量最新、最及时的信息、资讯以及各种读者感兴趣的内容。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3.提供不少于100000本高清电子图书，300种报纸，800种期刊，1000个视频，1000个音频；图书内容定期更新，每月更新量不少于150本。</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4.具备放大缩小版面功能：按钮美观大方，可点击版面进行拖动浏览，读者无法随意退出至桌面或对软件本身进行修改。</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5.系统可设置定时开机、关机，设备日常工作基本无需人工干预。</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6.触摸屏报纸选择：支持读者在触摸屏上进行图书选择，图书列表的展现以最新的头版版面缩略图为导航。读者选择阅读某本图书，触摸屏通过“双页浏览”模式展现图书各版面缩略图，读者可通过触摸点击版面导航进行翻页操作，或通过触摸移动方式进行翻页阅读。读者在阅读当天的最新图书，还可以通过日历导航阅读往期电子图书。</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7.软件开机后自动运行。软件界面美观大方，系统索引导航功能完善，版面简洁,用户可以自行修改LOGO，文字等，具有支持无互联网状态下用户管理员扫描自有图书、自有视频上传到终端功能。具有热点新闻和全国党建网站发布功能，具有分类多维度查询功能。图书分类法的分类类型划分：报纸,期刊,视频,音频,A马克思、列宁、毛泽东、邓小平理论,B哲学、宗教,C社会科学总论,D政治、法律,E军事,F经济</w:t>
            </w:r>
            <w:r>
              <w:rPr>
                <w:rFonts w:hint="eastAsia" w:ascii="宋体" w:hAnsi="宋体" w:eastAsia="宋体" w:cs="宋体"/>
                <w:color w:val="auto"/>
                <w:sz w:val="20"/>
                <w:szCs w:val="20"/>
                <w:u w:val="none"/>
                <w:lang w:val="en-US" w:eastAsia="zh-CN" w:bidi="ar"/>
              </w:rPr>
              <w:t xml:space="preserve">,G文化、科学、教育、体育,H语言、文字,I文学,J艺术,K历史、地理,N自然科学总论,O数理科学和化学,P天文学、地球科学,Q 生物科学,R 医药、卫生,S农业科学,T工业技术,U 交通运输,V 航空、航天,X 环境科学、安全科学,Z 综合性图书等不限级树形结构分类提供不同的书籍，并包含全国优秀儿童奖、百年百部中国儿童文学、诺贝尔文学奖、世界文学名著、中小学必读书籍、国学经典、哲学书籍、文学艺术等分类，也可以根据自己的情况无限级增加分类和子分类。支持一本图书可以增加多个章节，每个章节可以增加多个文件功能。</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8.版面需要有报纸,图书,期刊,视频,音频,党建网站,视频广告,公告新闻等模块。支持手机微信或者其它扫码方式直接扫二维码下载阅读报纸，期刊，图书，视频，音频文件到手机阅读。可以支持手机APP阅读和平板墨水屏阅读本阅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 9.远程自动升级功能。</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10.资源部分：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1、资源数量：资源库应满足电子图书数量资源不少于10万册出版社授权版权图书，有声图书数量6万集， 其中解读书2000集。近四年新书占比30%以上。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2、资源年更新量：电子图书不少于20000种，有声图书不少于6000集。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3、电子图书和有声图书在同一平台上运行查阅和收听。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4、资源格式：所有电子图书均为 EPUB 格式，有声图书须为 MP3 格式。</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5、资源分类：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电子图书资源应包含中国传统技艺、刺绣技艺技法、各类文学、艺术、社会科学、历史、哲学、心理、法律、医学、青春、传记、生活、“政治/军事”、“科普/ 互联网+”、“经济/管理”、“运动/养生”等分类资源。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有声图书应包含解读书、知识课程、人文社科、经管、文学、励志、英语学习、亲子儿童、国学、评书、广播剧等分类资源。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6、涵盖“江南民间发绣”“中国发绣艺术”专题图书。</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7、资源版权保障：电子图书均为正版资源。</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5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发绣制作社-发绣技艺基础配置包套装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1、信息参数：包含绣绷、发丝梳、剪刀、底料、练习亚麻布、练习丝绸布、白乳胶、透明亚克力尺、微型吸尘器、清洁套装。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9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60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196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61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发绣制作社-定制竹帘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1、信息参数：尺寸：3000×1800mm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采用碳化竹材，经过防霉、防蛀、高温烘干处理，甲醛释放量≤7mg/kg（符合GB18401-2010标准）。手工编织，表面可涂清漆或碳化处理，遮光率70%，耐光色牢度≥5级。轨道：6063-T5铝合金卷管，壁厚≥1.5mm，表面阳极氧化处理；拉珠系统</w:t>
            </w:r>
            <w:r>
              <w:rPr>
                <w:rFonts w:hint="eastAsia" w:ascii="宋体" w:hAnsi="宋体" w:eastAsia="宋体" w:cs="宋体"/>
                <w:color w:val="auto"/>
                <w:sz w:val="20"/>
                <w:szCs w:val="20"/>
                <w:u w:val="none"/>
                <w:lang w:val="en-US" w:eastAsia="zh-CN" w:bidi="ar"/>
              </w:rPr>
              <w:t xml:space="preserve">​：POM工程塑料拉珠，珠径4.5mm，珠距6mm；安装码​：需2-4个（每0.5米宽度配1个）。根据场景定制化主题图案。</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35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参数：基层采用高等级铝合金材质，表面经氟碳喷涂或木纹转印处理，厚度≥0.5mm，防火等级达A1级，规格覆盖底宽20-400mm、高度20-300mm。主龙骨选用镀锌钢材质，间距≤1200mm，配套T型副龙骨与边龙骨形成井字形结构，吊杆采用Φ8mm热镀锌钢，间距≤1200mm。</w:t>
            </w:r>
            <w:r>
              <w:rPr>
                <w:rFonts w:hint="eastAsia" w:ascii="宋体" w:hAnsi="宋体" w:eastAsia="宋体" w:cs="宋体"/>
                <w:color w:val="auto"/>
                <w:sz w:val="20"/>
                <w:szCs w:val="20"/>
                <w:u w:val="none"/>
                <w:lang w:val="en-US" w:eastAsia="zh-CN" w:bidi="ar"/>
              </w:rPr>
              <w:t xml:space="preserve">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信息参数：定制尖顶框架光源体12W/㎡，光通量：≥3200lm，色温：4000K（暖光色）。显色指数：Ra≥92，防护等级：IP20。特性：低压24V供电。嵌入式无边框COB射灯模块，7W/10W/14W，光效：≥110lm/W，色温：3000K-6500K（±50K），显色指数：Ra≥95（R9&gt;90），光束角：24°/36°/60°，防护等级：IP44。安装方式：半嵌入式吊装结合造型。特性：深杯防眩结构。LED嵌入式筒灯6W/㎡，光通量：≥3200lm，色温：4000K（自然光色），安装方式：嵌入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非遗中国风元素艺术氛围装饰。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4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非遗手工社-非遗手工基础配置包套装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1、信息参数：包含工具类（刻刀、剪刀等）、基础材料类。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jc w:val="center"/>
          <w:trHeight w:val="184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非遗手工社-多功能操作台</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操作台长度：1200mm，宽度：500mm，高度750mm±2mm。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1.基材：白蜡木原木,经防虫、防腐化学处理，稳定性好，握钉力强，不易变形；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2.优质环保白乳胶：采用优质环保乳胶剂，总挥发性有机物≤110g/L，游离甲醛≤1.0g/KG，苯≤0.20g/KG，甲苯十二甲苯≤10g/KG，符合国家标准。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4.五金件：使用优质环保的符合国家标准的五金；三合一连接件：采用优质符合国家标准的三合一连接件。</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184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非遗手工社-多功能操作台凳</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1.基材：白蜡木原木,经防虫、防腐化学处理，稳定性好，握钉力强，不易变形；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2.优质环保白乳胶：采用优质环保乳胶剂，总挥发性有机物≤110g/L，游离甲醛≤1.0g/KG，苯≤0.20g/KG，甲苯十二甲苯≤10g/KG，符合国家标准。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4.软包及面料:面料：采用优质皮革，符合GB/T 16799-2018《家具用皮革》标准；摩擦色牢度（干擦、湿擦、碱性汗液）≥4级，撕裂力≥20N，气味≤3级，PH≥3.2，以上检测均检测合格符合检测标准，禁用偶氮染料未检测出，游离甲醛未检出，可萃取的重金属（铅、镉）均未检出；感官要求：革身平整、柔软、丰满有弹性，正面革不裂面、无管皱、主要部位不松面，涂饰革涂面均匀，不掉浆，不裂浆等符合检测标准，皮面柔软舒适透气性强，光泽度好，富于韧性。经液氨多道浸色及防潮、防腐等工艺处理，坐感舒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5.海绵：采用</w:t>
            </w:r>
            <w:r>
              <w:rPr>
                <w:rFonts w:hint="eastAsia" w:ascii="宋体" w:hAnsi="宋体" w:eastAsia="宋体" w:cs="宋体"/>
                <w:i w:val="0"/>
                <w:iCs w:val="0"/>
                <w:color w:val="auto"/>
                <w:sz w:val="20"/>
                <w:szCs w:val="20"/>
                <w:u w:val="none"/>
                <w:lang w:val="en-US" w:eastAsia="zh-CN" w:bidi="ar"/>
              </w:rPr>
              <w:t xml:space="preserve">高弹力聚氨酯阻燃海绵，符合GB/T 10802-2006《通用软质聚醚型聚氨酯泡沫塑料》标准；感官要求：色泽、气孔、污染、气味等以上检测均检测合格，压陷性能：25%压陷硬度196±18N、65%/25%压陷比≥1.8等以上检测均检测合格，75%压缩永久变形≤8%，回弹率≥35%，拉伸强度≥100kpa，伸长率≥100%，撕裂强度≥1.8N/cm，干热老化后拉伸强度≥55Kpa，干热老化后拉伸强度变化率±30%，湿热老化后拉伸强度≥55Kpa，湿热老化后拉伸强度变化率±30%，以上检测均检测合格符合检测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6.五金件：使用优质环保的符合国家标准的五金；三合一连接件：采用优质符合国家标准的三合一连接件。</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52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非遗手工社-多功能储物台</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尺寸规格：长度1200mm，宽度500mm，高度750mm。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1.基材：白蜡木原木,经防虫、防腐化学处理，稳定性好，握钉力强，不易变形；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2.优质环保白乳胶：采用优质环保乳胶剂，总挥发性有机物≤110g/L，游离甲醛≤1.0g/KG，苯≤0.20g/KG，甲苯十二甲苯≤10g/KG，符合国家标准。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4.使用优质品牌阻尼导轨，300h乙酸盐雾试验(ASS)不低于10级，符合GB/T2454-2013要求，通过耐久性10万次测试。</w:t>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文件中提供由国家行政管理部门认定的省级及省级以上国家检测机构出具的（具有CMA、CNAS标识）完整的阻尼导轨检测报告，参考QB/T2454-2013标准，抽样基数≥100，检测项目：中性盐雾试验（600h）涂层的耐蚀等级10级，涂层对基体保护等级10级。乙酸盐雾试验（300h）涂层本身的耐腐蚀能力10级，垂直向下静载荷符合要求,水平侧向静荷载符合要求，测试内容需完全符合参数要求，不得缺项、漏项，否则视为负偏离。</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非遗手工社-陶艺拉坯机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智能功能：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LCD液晶屏实时显示转速/转向/运行时间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内置10种预设模式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性能参数：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功率：400W（双电机驱动，扭矩≥2.5N·m）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转盘直径：31.5cm（铸铁+防滑硅胶涂层）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精度：转速误差≤±2转/分钟，水平度误差≤0.1mm/m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769"/>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非遗手工社-木刻刀套装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1、信息参数：参数</w:t>
            </w:r>
            <w:r>
              <w:rPr>
                <w:rFonts w:hint="eastAsia" w:ascii="宋体" w:hAnsi="宋体" w:eastAsia="宋体" w:cs="宋体"/>
                <w:color w:val="auto"/>
                <w:sz w:val="20"/>
                <w:szCs w:val="20"/>
                <w:u w:val="none"/>
                <w:lang w:val="en-US" w:eastAsia="zh-CN" w:bidi="ar"/>
              </w:rPr>
              <w:t xml:space="preserve">​：含平口刀（6-12mm）、圆弧刀（3-5mm）、斜口刀，不锈钢材质，刀柄防滑设计。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​适用场景​：木雕、竹雕、核雕等。</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82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70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非遗手工社-电动雕刻机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1、信息参数：参数</w:t>
            </w:r>
            <w:r>
              <w:rPr>
                <w:rFonts w:hint="eastAsia" w:ascii="宋体" w:hAnsi="宋体" w:eastAsia="宋体" w:cs="宋体"/>
                <w:color w:val="auto"/>
                <w:sz w:val="20"/>
                <w:szCs w:val="20"/>
                <w:u w:val="none"/>
                <w:lang w:val="en-US" w:eastAsia="zh-CN" w:bidi="ar"/>
              </w:rPr>
              <w:t xml:space="preserve">​：转速0-3000rpm可调，配夹具底座，功率150W，适合软木、蜡材雕刻。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655"/>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71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非遗手工社-篆刻刀</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1、信息参数：参数</w:t>
            </w:r>
            <w:r>
              <w:rPr>
                <w:rFonts w:hint="eastAsia" w:ascii="宋体" w:hAnsi="宋体" w:eastAsia="宋体" w:cs="宋体"/>
                <w:color w:val="auto"/>
                <w:sz w:val="20"/>
                <w:szCs w:val="20"/>
                <w:u w:val="none"/>
                <w:lang w:val="en-US" w:eastAsia="zh-CN" w:bidi="ar"/>
              </w:rPr>
              <w:t xml:space="preserve">​：平口斜刀（6-8cm），钨钢材质，刀刃角度30°-45°。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477"/>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非遗手工社-印床</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1、信息参数：木质底座，可调夹具，用于固定印石。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37"/>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非遗手工社-拓印工具包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1、信息参数：含拓包（3种尺寸）、拓纸、朱砂颜料、鬃刷，适用于碑帖、陶器拓印。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998"/>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非遗手工社-手摇缝纫机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1、信息参数：基础款，支持直线/锁边缝纫，针距可调（2.5-4mm）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非遗手工社-非遗文化智能交互系统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硬件参数：                                                                                                                                          CPU XR2，7nm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GPU Adreno650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内存 8GB，LPDDR5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闪存 UFS3.1 ，128GB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操作系统 Android 10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屏幕 2.89" FastLCD*2</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单眼分辨率 2160*2160，PPI：1058</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刷新率 72Hz/90 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视场角 实测100度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透镜 菲涅尔</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前置摄像头 4颗灰度摄像头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手柄 CV方案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人体工程设计 眼镜形态，前置电池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电池容量 4200mAh</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电池 锂电池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扬声器  近耳双喇叭                                                                                                                                配套显示屏：1.显示屏体类别:LED;</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2.画面比例支持:4:3，16:9</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3.显示屏背光类型:LED;</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4.屏幕尺寸:≥55寸: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5.分辨率:&gt;1920像素*1080像素: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6.对比度:&gt;50000:1:</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7.响应时间:≤8毫秒;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8.使用寿命&gt;30000小时: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9.电源性能:100-240V交流，50/60HZ:                                                                                          软件参数：                                                                     </w:t>
            </w:r>
            <w:r>
              <w:rPr>
                <w:rFonts w:hint="eastAsia" w:ascii="宋体" w:hAnsi="宋体" w:eastAsia="宋体" w:cs="宋体"/>
                <w:i w:val="0"/>
                <w:iCs w:val="0"/>
                <w:color w:val="auto"/>
                <w:sz w:val="20"/>
                <w:szCs w:val="20"/>
                <w:u w:val="none"/>
                <w:lang w:val="en-US" w:eastAsia="zh-CN" w:bidi="ar"/>
              </w:rPr>
              <w:t xml:space="preserve">                                                                    1、利用逼真的画面和出色的3D效果，VR课程资源提供学生沉浸式的学习体验，仿佛身临其境，实现情景式、互动式和探究式教学的常态化。这些资源涵盖了从中国艺术到世界艺术、从文物遗产到非遗工艺等广泛内容。从宏观赏析到近距离细节观赏、从虚拟现实的绘制搭建到虚拟空间的工艺制作，让用户在课程中有深度互动，让教学更生动有趣，使教学更加生动有趣，让学习者真正享受学习的乐趣，进而提升学习效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VR课程资源包在主题系列上主要分为“中国艺术鉴赏系列”、“世界艺术鉴赏系列”、“文化遗产系列”，在知识点上，基本涵盖了人教版美术、历史、地理、道德与法治、语文等知识点，VR课程资源数量为80节。（</w:t>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投标文件中需提供VR课程资源数量不少于80节的截图证明）</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3、VR课程在课程资源管理方面，按系列、主题等进行分门别类管理 ,在知识层面尽可能包罗万象，满足实际教学需求；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4、VR课程资源包内容包括但不限于：</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中国艺术鉴赏系列”包含：“书画艺术”、“民间工艺”、“戏曲艺术”、等主题单元，“中国艺术鉴赏系列”VR课程内容包括但不限于：《充满魅力的书画艺术》、《象外之境——王希孟与&lt;千里江山图&gt;》、《清明上河图》、《京剧脸谱---非遗文化》、《陶瓷工艺---非遗文化》、《雕漆工艺---非遗文化》、《充满魅力的戏曲艺术》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世界艺术鉴赏系列”包含：“绘画艺术”、“雕塑艺术”等主题单元，“世界艺术鉴赏系列”VR课程内容包括但不限于：《达芬奇名画——蒙娜丽莎》、《梵高名画——星夜》、《俄罗斯&lt;列宾-伏尔加河上的纤夫&gt;》、《拉奥孔和他的儿子们》、《理想与典范——米洛斯的维纳斯》、《埃及王后纳芙蒂蒂》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文化遗产系列”包含：“传统节日”、“历史遗珠”、“青铜文明”、“建筑遗产”、“雕塑艺术”等主题单元，“文化遗产系列”VR课程内容包括但不限于：《快乐过春节》、《史前考古——鱼纹彩陶盆》、《青铜器与甲骨文》、《藏礼于器：商周青铜簋》、《鸱鸮崇拜：商代鸮尊》、《中国古建筑》、《凝神造像——摩崖石刻乐山大佛》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5、投标文件中需提供VR课程资源包的“教学管理平台软件”、“科学在线教育软件”计算机软件著作权登记证书。                                                                                                                                                     </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非遗手工社-艺术氛围展示</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rPr>
                <w:rFonts w:hint="eastAsia" w:ascii="宋体" w:hAnsi="宋体" w:eastAsia="宋体" w:cs="宋体"/>
                <w:b w:val="0"/>
                <w:bCs w:val="0"/>
                <w:i w:val="0"/>
                <w:iCs w:val="0"/>
                <w:color w:val="auto"/>
                <w:sz w:val="20"/>
                <w:szCs w:val="20"/>
                <w:u w:val="none"/>
                <w:lang w:val="en-US" w:eastAsia="zh-CN" w:bidi="ar"/>
              </w:rPr>
              <w:t xml:space="preserve">信息参数：6000*2800mm，</w:t>
            </w:r>
            <w:r>
              <w:rPr>
                <w:rFonts w:hint="eastAsia" w:ascii="宋体" w:hAnsi="宋体" w:eastAsia="宋体" w:cs="宋体"/>
                <w:b w:val="0"/>
                <w:bCs w:val="0"/>
                <w:i w:val="0"/>
                <w:iCs w:val="0"/>
                <w:caps w:val="0"/>
                <w:color w:val="auto"/>
                <w:spacing w:val="0"/>
                <w:sz w:val="20"/>
                <w:szCs w:val="20"/>
                <w:highlight w:val="none"/>
                <w:lang w:val="en-US" w:eastAsia="zh-CN" w:bidi="ar-SA"/>
              </w:rPr>
              <w:t xml:space="preserve">材质相关参数：</w:t>
            </w:r>
            <w:r>
              <w:rPr>
                <w:rFonts w:hint="eastAsia" w:ascii="宋体" w:hAnsi="宋体" w:eastAsia="宋体" w:cs="宋体"/>
                <w:b w:val="0"/>
                <w:bCs w:val="0"/>
                <w:i w:val="0"/>
                <w:iCs w:val="0"/>
                <w:caps w:val="0"/>
                <w:color w:val="auto"/>
                <w:spacing w:val="0"/>
                <w:sz w:val="20"/>
                <w:szCs w:val="20"/>
                <w:highlight w:val="none"/>
                <w:lang w:val="en-US" w:eastAsia="zh-CN" w:bidi="ar"/>
              </w:rPr>
              <w:t xml:space="preserve">材质为织物类型，无纺布墙布为织物类墙布（如提花、绒布）：150-500g/㎡，高克重产品立体感强，艺术氛围采用3D打印。</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（1）、物理性能参数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厚度（单位：mm）</w:t>
            </w:r>
            <w:r>
              <w:rPr>
                <w:rFonts w:hint="eastAsia" w:ascii="宋体" w:hAnsi="宋体" w:eastAsia="宋体" w:cs="宋体"/>
                <w:b w:val="0"/>
                <w:bCs w:val="0"/>
                <w:i w:val="0"/>
                <w:iCs w:val="0"/>
                <w:caps w:val="0"/>
                <w:color w:val="auto"/>
                <w:spacing w:val="0"/>
                <w:sz w:val="20"/>
                <w:szCs w:val="20"/>
                <w:highlight w:val="none"/>
                <w:lang w:eastAsia="zh-CN"/>
              </w:rPr>
              <w:t xml:space="preserve">，</w:t>
            </w:r>
            <w:r>
              <w:rPr>
                <w:rFonts w:hint="eastAsia" w:ascii="宋体" w:hAnsi="宋体" w:eastAsia="宋体" w:cs="宋体"/>
                <w:b w:val="0"/>
                <w:bCs w:val="0"/>
                <w:i w:val="0"/>
                <w:iCs w:val="0"/>
                <w:caps w:val="0"/>
                <w:color w:val="auto"/>
                <w:spacing w:val="0"/>
                <w:sz w:val="20"/>
                <w:szCs w:val="20"/>
                <w:highlight w:val="none"/>
              </w:rPr>
              <w:t xml:space="preserve">一般在 0.1-2mm 之间，薄款（0.1-0.5mm）适合简约风格，施工贴合度高；厚款（0.5-2mm，如绒布、发泡墙布）立体感强，但对墙面平整度要求高。</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长度（单位：m / 卷）常规每卷长度为 10m，部分窄幅产品为 5m / 卷，计算用量时需结合幅宽和墙面面积。</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3.</w:t>
            </w:r>
            <w:r>
              <w:rPr>
                <w:rFonts w:hint="eastAsia" w:ascii="宋体" w:hAnsi="宋体" w:eastAsia="宋体" w:cs="宋体"/>
                <w:b w:val="0"/>
                <w:bCs w:val="0"/>
                <w:i w:val="0"/>
                <w:iCs w:val="0"/>
                <w:caps w:val="0"/>
                <w:color w:val="auto"/>
                <w:spacing w:val="0"/>
                <w:sz w:val="20"/>
                <w:szCs w:val="20"/>
                <w:highlight w:val="none"/>
              </w:rPr>
              <w:t xml:space="preserve">拉伸强度（单位：N/5cm）指墙布抵抗拉伸断裂的能力，横向和纵向强度需分别标注（如纵向≥30N/5cm，横向≥25N/5cm）。数值越高，抗变形能力越强，适合墙面可能轻微沉降的区域。</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4.</w:t>
            </w:r>
            <w:r>
              <w:rPr>
                <w:rFonts w:hint="eastAsia" w:ascii="宋体" w:hAnsi="宋体" w:eastAsia="宋体" w:cs="宋体"/>
                <w:b w:val="0"/>
                <w:bCs w:val="0"/>
                <w:i w:val="0"/>
                <w:iCs w:val="0"/>
                <w:caps w:val="0"/>
                <w:color w:val="auto"/>
                <w:spacing w:val="0"/>
                <w:sz w:val="20"/>
                <w:szCs w:val="20"/>
                <w:highlight w:val="none"/>
              </w:rPr>
              <w:t xml:space="preserve">撕裂强度（单位：N）衡量抗撕裂性能，一般≥5N，织物类墙布因纤维交织结构，撕裂强度通常高于 PVC 墙布。</w:t>
            </w:r>
            <w:r>
              <w:rPr>
                <w:rFonts w:hint="eastAsia" w:ascii="宋体" w:hAnsi="宋体" w:eastAsia="宋体" w:cs="宋体"/>
                <w:b w:val="0"/>
                <w:bCs w:val="0"/>
                <w:i w:val="0"/>
                <w:iCs w:val="0"/>
                <w:caps w:val="0"/>
                <w:color w:val="auto"/>
                <w:spacing w:val="0"/>
                <w:sz w:val="20"/>
                <w:szCs w:val="20"/>
                <w:highlight w:val="none"/>
                <w:lang w:val="en-US" w:eastAsia="zh-CN"/>
              </w:rPr>
              <w:t xml:space="preserve">      </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（2）、环保性能参数</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甲醛释放量（单位：mg/m³）</w:t>
            </w:r>
            <w:r>
              <w:rPr>
                <w:rFonts w:hint="eastAsia" w:ascii="宋体" w:hAnsi="宋体" w:eastAsia="宋体" w:cs="宋体"/>
                <w:b w:val="0"/>
                <w:bCs w:val="0"/>
                <w:i w:val="0"/>
                <w:iCs w:val="0"/>
                <w:caps w:val="0"/>
                <w:color w:val="auto"/>
                <w:spacing w:val="0"/>
                <w:sz w:val="20"/>
                <w:szCs w:val="20"/>
                <w:highlight w:val="none"/>
                <w:lang w:val="en-US" w:eastAsia="zh-CN" w:bidi="ar"/>
              </w:rPr>
              <w:t xml:space="preserve">：需符合国家标准 GB 18585-2001，要求≤0.1mg/m³，优质产品可达到≤0.05mg/m³（接近无甲醛）。</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lang w:eastAsia="zh-CN"/>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rPr>
              <w:t xml:space="preserve">重金属含量（单位：mg/kg）：包括铅、镉、铬、汞等，国标要求总和≤100mg/kg，VOC（挥发性有机化合物）含量（单位：g/L）：≤100g/L 为合格，环保等级高的产品可做到≤50g/L，铺贴后异味更小。阻燃性：通过 GB 8624 标准测试，分为 A 级（不燃）、B1 级（难燃）、B2 级（可燃）</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（3）、功能性能参数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防水性（单位：mm）用 “静水压” 表示（如≥300mm），数值越高防水性越强，无纺布、织物类</w:t>
            </w:r>
            <w:r>
              <w:rPr>
                <w:rFonts w:hint="eastAsia" w:ascii="宋体" w:hAnsi="宋体" w:eastAsia="宋体" w:cs="宋体"/>
                <w:b w:val="0"/>
                <w:bCs w:val="0"/>
                <w:i w:val="0"/>
                <w:iCs w:val="0"/>
                <w:caps w:val="0"/>
                <w:color w:val="auto"/>
                <w:spacing w:val="0"/>
                <w:sz w:val="20"/>
                <w:szCs w:val="20"/>
                <w:highlight w:val="none"/>
                <w:lang w:val="en-US" w:eastAsia="zh-CN"/>
              </w:rPr>
              <w:t xml:space="preserve">防水性较强。</w:t>
            </w:r>
            <w:r>
              <w:rPr>
                <w:rFonts w:hint="eastAsia" w:ascii="宋体" w:hAnsi="宋体" w:eastAsia="宋体" w:cs="宋体"/>
                <w:b w:val="0"/>
                <w:bCs w:val="0"/>
                <w:i w:val="0"/>
                <w:iCs w:val="0"/>
                <w:caps w:val="0"/>
                <w:color w:val="auto"/>
                <w:spacing w:val="0"/>
                <w:sz w:val="20"/>
                <w:szCs w:val="20"/>
                <w:highlight w:val="none"/>
              </w:rPr>
              <w:t xml:space="preserve">普通墙布防水性较低（≤100mm），仅防轻微溅水。</w:t>
            </w: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透气性（单位：g/㎡・24h）指水蒸气透过量，无纺布、织物类墙布透气性较好（≥500g/㎡・24h），避免墙面发霉；PVC 墙布透气性差（≤100g/㎡・24h）</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val="0"/>
                <w:bCs w:val="0"/>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非遗手工社-木制艺术展览板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1、信息参数：6000*2800mm，主体结构组件采用18mm实木多层基材，表面定制木质复合饰面，高分子装饰层（厚度≥3mm，邵氏硬度60±5）。静态承重≥200kg/m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w:t>
            </w:r>
            <w:r>
              <w:rPr>
                <w:rFonts w:hint="eastAsia" w:ascii="宋体" w:hAnsi="宋体" w:eastAsia="宋体" w:cs="宋体"/>
                <w:color w:val="auto"/>
                <w:sz w:val="20"/>
                <w:szCs w:val="20"/>
                <w:u w:val="none"/>
                <w:lang w:val="en-US" w:eastAsia="zh-CN" w:bidi="ar"/>
              </w:rPr>
              <w:t xml:space="preserve">0MPa（依据GB/T 17657-2022三点弯曲试验）。剥离强度≥120N/cm（纵向，GB/T 2791-1995标准）。定制文化石复合墙面饰面装饰。定制展示版面部件，饰面类型：三聚氰胺纸/木皮/喷绘布，压纹工艺：条纹（3cm/5cm宽）、方格、竹纹（误差≤±0.5mm），邵氏硬度：≥60 HA（GB/T 531.1），热压成型：温度180-220℃，压力≥8MPa。成品金属展陈组件，木质展陈组件，8mm浮法玻璃饰面。12mm高分子涂层复合艺术雕刻装饰。艺术浅浮雕。异形艺术雕刻部件。环保木质地脚围板。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非遗手工社-定制竹帘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采用碳化竹材，经过防霉、防蛀、高温烘干处理，甲醛释放量≤7mg/kg（符合GB18401-2010标准）。手工编织，表面可涂清漆或碳化处理，遮光率70%，耐光色牢度≥5级。轨道：6063-T5铝合金卷管，壁厚≥1.5mm，表面阳极氧化处理；拉珠系统</w:t>
            </w:r>
            <w:r>
              <w:rPr>
                <w:rFonts w:hint="eastAsia" w:ascii="宋体" w:hAnsi="宋体" w:eastAsia="宋体" w:cs="宋体"/>
                <w:color w:val="auto"/>
                <w:sz w:val="20"/>
                <w:szCs w:val="20"/>
                <w:u w:val="none"/>
                <w:lang w:val="en-US" w:eastAsia="zh-CN" w:bidi="ar"/>
              </w:rPr>
              <w:t xml:space="preserve">​：POM工程塑料拉珠，珠径4.5mm，珠距6mm；安装码​：需2-4个（每0.5米宽度配1个）。根据场景定制化主题图案。</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80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81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1、信息参数：定制超薄专业摄影光源体8W/m2，光通量：≥3200lm，色温：4000K（自然光色）。显色指数：Ra≥92，防护等级：IP20。特性：低压24V供电，铝合金散热背板。嵌入式无</w:t>
            </w:r>
            <w:r>
              <w:rPr>
                <w:rFonts w:hint="eastAsia" w:ascii="宋体" w:hAnsi="宋体" w:eastAsia="宋体" w:cs="宋体"/>
                <w:i w:val="0"/>
                <w:iCs w:val="0"/>
                <w:color w:val="auto"/>
                <w:sz w:val="20"/>
                <w:szCs w:val="20"/>
                <w:u w:val="none"/>
                <w:lang w:val="en-US" w:eastAsia="zh-CN" w:bidi="ar"/>
              </w:rPr>
              <w:t xml:space="preserve">边框COB射灯模块，7W/10W/14W，光效：≥110lm/W，色温：3000K-6500K（±50K），显色指数：Ra≥95（R9&gt;90），光束角：24°/36°/60°，防护等级：IP44。安装方式：嵌入式开孔。特性：深杯防眩结构。轨道射灯，灯体采用铝压铸外壳（表面烤漆半哑光处理），灯头直径91-140mm，高度160-270mm，内置COB光源（美国CREE芯片），防护等级IP42，水平360°可调，垂直90°可调。输入电压AC220V±10%，50/60Hz，功率因数≥0.9，驱动方式为恒流电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摄影元素艺术氛围装饰。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422"/>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摄影社-艺术造型</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rPr>
                <w:rFonts w:hint="eastAsia" w:ascii="宋体" w:hAnsi="宋体" w:eastAsia="宋体" w:cs="宋体"/>
                <w:b w:val="0"/>
                <w:bCs w:val="0"/>
                <w:i w:val="0"/>
                <w:iCs w:val="0"/>
                <w:color w:val="auto"/>
                <w:sz w:val="20"/>
                <w:szCs w:val="20"/>
                <w:u w:val="none"/>
                <w:lang w:val="en-US" w:eastAsia="zh-CN" w:bidi="ar"/>
              </w:rPr>
              <w:t xml:space="preserve">信息参数：6000*2800mm，</w:t>
            </w:r>
            <w:r>
              <w:rPr>
                <w:rFonts w:hint="eastAsia" w:ascii="宋体" w:hAnsi="宋体" w:eastAsia="宋体" w:cs="宋体"/>
                <w:b w:val="0"/>
                <w:bCs w:val="0"/>
                <w:i w:val="0"/>
                <w:iCs w:val="0"/>
                <w:caps w:val="0"/>
                <w:color w:val="auto"/>
                <w:spacing w:val="0"/>
                <w:sz w:val="20"/>
                <w:szCs w:val="20"/>
                <w:highlight w:val="none"/>
                <w:lang w:val="en-US" w:eastAsia="zh-CN" w:bidi="ar-SA"/>
              </w:rPr>
              <w:t xml:space="preserve">材质相关参数：</w:t>
            </w:r>
            <w:r>
              <w:rPr>
                <w:rFonts w:hint="eastAsia" w:ascii="宋体" w:hAnsi="宋体" w:eastAsia="宋体" w:cs="宋体"/>
                <w:b w:val="0"/>
                <w:bCs w:val="0"/>
                <w:i w:val="0"/>
                <w:iCs w:val="0"/>
                <w:caps w:val="0"/>
                <w:color w:val="auto"/>
                <w:spacing w:val="0"/>
                <w:sz w:val="20"/>
                <w:szCs w:val="20"/>
                <w:highlight w:val="none"/>
                <w:lang w:val="en-US" w:eastAsia="zh-CN" w:bidi="ar"/>
              </w:rPr>
              <w:t xml:space="preserve">材质为织物类型，无纺布墙布为织物类墙布（如提花、绒布）：150-500g/㎡，高克重产品立体感强，艺术氛围采用3D打印。</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（1）、物理性能参数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厚度（单位：mm）</w:t>
            </w:r>
            <w:r>
              <w:rPr>
                <w:rFonts w:hint="eastAsia" w:ascii="宋体" w:hAnsi="宋体" w:eastAsia="宋体" w:cs="宋体"/>
                <w:b w:val="0"/>
                <w:bCs w:val="0"/>
                <w:i w:val="0"/>
                <w:iCs w:val="0"/>
                <w:caps w:val="0"/>
                <w:color w:val="auto"/>
                <w:spacing w:val="0"/>
                <w:sz w:val="20"/>
                <w:szCs w:val="20"/>
                <w:highlight w:val="none"/>
                <w:lang w:eastAsia="zh-CN"/>
              </w:rPr>
              <w:t xml:space="preserve">，</w:t>
            </w:r>
            <w:r>
              <w:rPr>
                <w:rFonts w:hint="eastAsia" w:ascii="宋体" w:hAnsi="宋体" w:eastAsia="宋体" w:cs="宋体"/>
                <w:b w:val="0"/>
                <w:bCs w:val="0"/>
                <w:i w:val="0"/>
                <w:iCs w:val="0"/>
                <w:caps w:val="0"/>
                <w:color w:val="auto"/>
                <w:spacing w:val="0"/>
                <w:sz w:val="20"/>
                <w:szCs w:val="20"/>
                <w:highlight w:val="none"/>
              </w:rPr>
              <w:t xml:space="preserve">一般在 0.1-2mm 之间，薄款（0.1-0.5mm）适合简约风格，施工贴合度高；厚款（0.5-2mm，如绒布、发泡墙布）立体感强，但对墙面平整度要求高。</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长度（单位：m / 卷）常规每卷长度为 10m，部分窄幅产品为 5m / 卷，计算用量时需结合幅宽和墙面面积。</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3.</w:t>
            </w:r>
            <w:r>
              <w:rPr>
                <w:rFonts w:hint="eastAsia" w:ascii="宋体" w:hAnsi="宋体" w:eastAsia="宋体" w:cs="宋体"/>
                <w:b w:val="0"/>
                <w:bCs w:val="0"/>
                <w:i w:val="0"/>
                <w:iCs w:val="0"/>
                <w:caps w:val="0"/>
                <w:color w:val="auto"/>
                <w:spacing w:val="0"/>
                <w:sz w:val="20"/>
                <w:szCs w:val="20"/>
                <w:highlight w:val="none"/>
              </w:rPr>
              <w:t xml:space="preserve">拉伸强度（单位：N/5cm）指墙布抵抗拉伸断裂的能力，横向和纵向强度需分别标注（如纵向≥30N/5cm，横向≥25N/5cm）。数值越高，抗变形能力越强，适合墙面可能轻微沉降的区域。</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4.</w:t>
            </w:r>
            <w:r>
              <w:rPr>
                <w:rFonts w:hint="eastAsia" w:ascii="宋体" w:hAnsi="宋体" w:eastAsia="宋体" w:cs="宋体"/>
                <w:b w:val="0"/>
                <w:bCs w:val="0"/>
                <w:i w:val="0"/>
                <w:iCs w:val="0"/>
                <w:caps w:val="0"/>
                <w:color w:val="auto"/>
                <w:spacing w:val="0"/>
                <w:sz w:val="20"/>
                <w:szCs w:val="20"/>
                <w:highlight w:val="none"/>
              </w:rPr>
              <w:t xml:space="preserve">撕裂强度（单位：N）衡量抗撕裂性能，一般≥5N，织物类墙布因纤维交织结构，撕裂强度通常高于 PVC 墙布。</w:t>
            </w:r>
            <w:r>
              <w:rPr>
                <w:rFonts w:hint="eastAsia" w:ascii="宋体" w:hAnsi="宋体" w:eastAsia="宋体" w:cs="宋体"/>
                <w:b w:val="0"/>
                <w:bCs w:val="0"/>
                <w:i w:val="0"/>
                <w:iCs w:val="0"/>
                <w:caps w:val="0"/>
                <w:color w:val="auto"/>
                <w:spacing w:val="0"/>
                <w:sz w:val="20"/>
                <w:szCs w:val="20"/>
                <w:highlight w:val="none"/>
                <w:lang w:val="en-US" w:eastAsia="zh-CN"/>
              </w:rPr>
              <w:t xml:space="preserve">      </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（2）、环保性能参数</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甲醛释放量（单位：mg/m³）</w:t>
            </w:r>
            <w:r>
              <w:rPr>
                <w:rFonts w:hint="eastAsia" w:ascii="宋体" w:hAnsi="宋体" w:eastAsia="宋体" w:cs="宋体"/>
                <w:b w:val="0"/>
                <w:bCs w:val="0"/>
                <w:i w:val="0"/>
                <w:iCs w:val="0"/>
                <w:caps w:val="0"/>
                <w:color w:val="auto"/>
                <w:spacing w:val="0"/>
                <w:sz w:val="20"/>
                <w:szCs w:val="20"/>
                <w:highlight w:val="none"/>
                <w:lang w:val="en-US" w:eastAsia="zh-CN" w:bidi="ar"/>
              </w:rPr>
              <w:t xml:space="preserve">：需符合国家标准 GB 18585-2001，要求≤0.1mg/m³，优质产品可达到≤0.05mg/m³（接近无甲醛）。</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lang w:eastAsia="zh-CN"/>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rPr>
              <w:t xml:space="preserve">重金属含量（单位：mg/kg）：包括铅、镉、铬、汞等，国标要求总和≤100mg/kg，VOC（挥发性有机化合物）含量（单位：g/L）：≤100g/L 为合格，环保等级高的产品可做到≤50g/L，铺贴后异味更小。阻燃性：通过 GB 8624 标准测试，分为 A 级（不燃）、B1 级（难燃）、B2 级（可燃）</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（3）、功能性能参数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防水性（单位：mm）用 “静水压” 表示（如≥300mm），数值越高防水性越强，无纺布、织物类</w:t>
            </w:r>
            <w:r>
              <w:rPr>
                <w:rFonts w:hint="eastAsia" w:ascii="宋体" w:hAnsi="宋体" w:eastAsia="宋体" w:cs="宋体"/>
                <w:b w:val="0"/>
                <w:bCs w:val="0"/>
                <w:i w:val="0"/>
                <w:iCs w:val="0"/>
                <w:caps w:val="0"/>
                <w:color w:val="auto"/>
                <w:spacing w:val="0"/>
                <w:sz w:val="20"/>
                <w:szCs w:val="20"/>
                <w:highlight w:val="none"/>
                <w:lang w:val="en-US" w:eastAsia="zh-CN"/>
              </w:rPr>
              <w:t xml:space="preserve">防水性较强。</w:t>
            </w:r>
            <w:r>
              <w:rPr>
                <w:rFonts w:hint="eastAsia" w:ascii="宋体" w:hAnsi="宋体" w:eastAsia="宋体" w:cs="宋体"/>
                <w:b w:val="0"/>
                <w:bCs w:val="0"/>
                <w:i w:val="0"/>
                <w:iCs w:val="0"/>
                <w:caps w:val="0"/>
                <w:color w:val="auto"/>
                <w:spacing w:val="0"/>
                <w:sz w:val="20"/>
                <w:szCs w:val="20"/>
                <w:highlight w:val="none"/>
              </w:rPr>
              <w:t xml:space="preserve">普通墙布防水性较低（≤100mm），仅防轻微溅水。</w:t>
            </w: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透气性（单位：g/㎡・24h）指水蒸气透过量，无纺布、织物类墙布透气性较好（≥500g/㎡・24h），避免墙面发霉；PVC 墙布透气性差（≤100g/㎡・24h）</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val="0"/>
                <w:bCs w:val="0"/>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摄影社-木制艺术展览板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1、信息参数：6000*2800mm，主体结构组件采用18mm实木多层基材，表面定制木质复合饰面，高分子装饰层（厚度≥3mm，邵氏硬度60±5）。静态承重≥200kg/m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2791-1995标准）。定制艺术写真装置部件。定制异形艺术雕刻部件。定制自办展示版面部件，饰面类型：三聚氰胺纸/木皮/喷绘布，压纹工艺：条纹（3cm/5cm宽）、方格、竹纹（误差≤±0.5mm），邵氏硬度：≥60 HA（GB/T 531.1），热压成型：温度180-220℃，压力≥8MPa。高分子纳米复合艺术雕刻装饰。艺术展示画框。环保木质地脚围板。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摄影社-入门级相机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画质系统：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2410万像素 APS-C CMOS传感器（有效像素）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DIGIC 8图像处理器，支持ISO 100-25600（可扩展至51200）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对焦性能：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全像素双核CMOS AF II，45点十字对焦系统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支持人眼追踪（适合书画细节特写）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视频功能：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1080P 60fps录制，支持4K超采样技术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电子防抖（裁切模式）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教学适配：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3英寸104万点可翻转触摸屏（支持多角度取景）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内置《摄影构图基础》教学指南（扫码获取电子版）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便携性：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机身重量449g（含电池），镁合金防尘防滴溅设计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792"/>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摄影社-摄影基础配置包套装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1.信息参数：包含三脚架、存储卡、灯光套装、镜头清洁套装、相机防潮箱、背景布、支架、柔光板、反光板。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66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摄影社-艺术展示画框</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1.规格：定制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2.参数：铝合金边框，厚度2cm，适配40×60cm摄影作品，带磁吸锁扣</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摄影社-摄影幕布</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1.规格：3000×2100mm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2.参数：定制绿幕（抠像专用）植绒吸光布（如黑色金丝绒），克重≥200gsm，遮光率95%以上，适合人像静物拍摄，色差≤5%。卷轴式设计，配备铝合金轨道（壁厚1.5mm）。阻燃性：符合GB8624-2012 B1级标准，氧指数≥32%，损毁长度≤150mm。耐用性：耐磨测试≥5000次（马丁代尔法），水洗后不变形褪色。色彩均匀度</w:t>
            </w:r>
            <w:r>
              <w:rPr>
                <w:rFonts w:hint="eastAsia" w:ascii="宋体" w:hAnsi="宋体" w:eastAsia="宋体" w:cs="宋体"/>
                <w:color w:val="auto"/>
                <w:sz w:val="20"/>
                <w:szCs w:val="20"/>
                <w:u w:val="none"/>
                <w:lang w:val="en-US" w:eastAsia="zh-CN" w:bidi="ar"/>
              </w:rPr>
              <w:t xml:space="preserve">​：Delta E≤3，确保背景色一致性。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摄影社-洽谈桌</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规格：800*800*760                                                      1.基材：白蜡木原木,经防虫、防腐化学处理，稳定性好，握钉力强，不易变形；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2.优质环保白乳胶：采用优质环保乳胶剂，总挥发性有机物≤110g/L，游离甲醛≤1.0g/KG，苯≤0.20g/KG，甲苯十二甲苯≤10g/KG，符合国家标准。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4.五金件：使用优质环保的符合国家标准的五金；三合一连接件：采用优质符合国家标准的三合一连接件。</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摄影社-洽谈椅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规格：530*550*780                                                      1.椅架：白蜡木原木,经防虫、防腐化学处理，稳定性好，握钉力强，不易变形；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2.注塑一体成型椅身；</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4.五金件：使用优质环保的符合国家标准的五金；三合一连接件：采用优质符合国家标准的三合一连接件。</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90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both"/>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91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类型：聚酯纤维涂层遮光卷帘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尺寸规格：标准幅宽1500mm/1800mm/2000mm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高度范围：2000-3000mm（含10cm包边）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遮光率：70%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颜色：灰白色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材质：面料100%聚酯纤维，表面覆PVC涂层（厚度0.3-0.5mm）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辅料：铝合金静音轨道（壁厚1.2mm）、POM塑料拉珠、棉质布带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锡剧社-中式仿古座椅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参数：规格：600*480*900mm，座深400mm±5mm，座高420mm±5mm，1、木材选用南美胡桃木，木材含水率8%～16%，甲醛释放量≤0.01mg/m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锡剧社-中式花架</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规格：350*350*890mm  1、木材选用南美胡桃木，木材含水率8%～16%，甲醛释放量≤0.01mg/m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参数：基层采用高等级铝合金材质，表面经氟碳喷涂或木纹转印处理，厚度≥0.5mm，防火等级达A1级，规格覆盖底宽20-400mm、高度20-300mm。主龙骨选用镀锌钢材质，间距≤1200mm，配套T型副龙骨与边龙骨形成井字形结构，吊杆采用Φ8mm热镀锌钢，间距≤1200mm。</w:t>
            </w:r>
            <w:r>
              <w:rPr>
                <w:rFonts w:hint="eastAsia" w:ascii="宋体" w:hAnsi="宋体" w:eastAsia="宋体" w:cs="宋体"/>
                <w:color w:val="auto"/>
                <w:sz w:val="20"/>
                <w:szCs w:val="20"/>
                <w:u w:val="none"/>
                <w:lang w:val="en-US" w:eastAsia="zh-CN" w:bidi="ar"/>
              </w:rPr>
              <w:t xml:space="preserve">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t xml:space="preserve">定制国学元素造型软装光源体6W/㎡，光通量：≥3200lm，色温：4000K（暖光色）。显色指数：Ra≥92，防护等级：IP20。特性：低压24V供电，铝合金散热背板。嵌入式无边框COB射灯模块，7W/10W/14W，光效：≥110lm/W，色温：3000K-6500K（±50K），显色指数：Ra≥95（R9&gt;90），光束角：24°/36°/60°，防护等级：IP44。安装方式：嵌入式开孔。特性：深杯防眩结构。LED嵌入式筒灯6W/㎡，光通量：≥3200lm，色温：4000K（自然光色），安装方式：嵌入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非遗传承元素艺术装饰。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锡剧社-木制艺术造型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1、信息参数：6000*2800mm，主体结构组件采用18mm实木多层基材，表面定制木质复合饰面，高分子装饰层（厚度≥3mm，邵氏硬度60±5）。静态承重≥200kg/m</w:t>
            </w:r>
            <w:r>
              <w:rPr>
                <w:rFonts w:hint="eastAsia" w:ascii="宋体" w:hAnsi="宋体" w:eastAsia="宋体" w:cs="宋体"/>
                <w:color w:val="auto"/>
                <w:sz w:val="20"/>
                <w:szCs w:val="20"/>
                <w:highlight w:val="none"/>
                <w:u w:val="none"/>
                <w:lang w:val="en-US" w:eastAsia="zh-CN" w:bidi="ar"/>
              </w:rPr>
              <w:t xml:space="preserve">²（持续24小时形变率≤0.3%）。抗弯强度≥100MPa（依据GB/T 17657-2022三点弯曲试验）。剥离强度≥120N/cm（纵向，GB/T 2791-1995标准）。定制艺术写真装置部件。环保木质地脚围板。</w:t>
            </w:r>
            <w:r>
              <w:rPr>
                <w:rFonts w:hint="eastAsia" w:ascii="宋体" w:hAnsi="宋体" w:eastAsia="宋体" w:cs="宋体"/>
                <w:color w:val="auto"/>
                <w:sz w:val="20"/>
                <w:szCs w:val="20"/>
                <w:highlight w:val="none"/>
                <w:u w:val="none"/>
                <w:lang w:val="en-US" w:eastAsia="zh-CN" w:bidi="ar"/>
              </w:rPr>
              <w:br/>
            </w:r>
            <w:r>
              <w:rPr>
                <w:rFonts w:hint="eastAsia" w:ascii="宋体" w:hAnsi="宋体" w:eastAsia="宋体" w:cs="宋体"/>
                <w:color w:val="auto"/>
                <w:sz w:val="20"/>
                <w:szCs w:val="20"/>
                <w:highlight w:val="none"/>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highlight w:val="none"/>
                <w:u w:val="none"/>
                <w:lang w:val="en-US" w:eastAsia="zh-CN" w:bidi="ar"/>
              </w:rPr>
              <w:br/>
            </w:r>
            <w:r>
              <w:rPr>
                <w:rFonts w:hint="eastAsia" w:ascii="宋体" w:hAnsi="宋体" w:eastAsia="宋体" w:cs="宋体"/>
                <w:color w:val="auto"/>
                <w:sz w:val="20"/>
                <w:szCs w:val="20"/>
                <w:highlight w:val="none"/>
                <w:u w:val="none"/>
                <w:lang w:val="en-US" w:eastAsia="zh-CN" w:bidi="ar"/>
              </w:rPr>
              <w:t xml:space="preserve">高分子纳米复合艺术雕刻装饰。异形艺术雕刻装饰。</w:t>
            </w:r>
            <w:r>
              <w:rPr>
                <w:rFonts w:hint="eastAsia" w:ascii="宋体" w:hAnsi="宋体" w:eastAsia="宋体" w:cs="宋体"/>
                <w:color w:val="auto"/>
                <w:sz w:val="20"/>
                <w:szCs w:val="20"/>
                <w:highlight w:val="none"/>
                <w:u w:val="none"/>
                <w:lang w:val="en-US" w:eastAsia="zh-CN" w:bidi="ar"/>
              </w:rPr>
              <w:br/>
            </w:r>
            <w:r>
              <w:rPr>
                <w:rFonts w:hint="eastAsia" w:ascii="宋体" w:hAnsi="宋体" w:eastAsia="宋体" w:cs="宋体"/>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97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锡剧社-锡剧舞台氛围展示</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rPr>
                <w:rFonts w:hint="eastAsia" w:ascii="宋体" w:hAnsi="宋体" w:eastAsia="宋体" w:cs="宋体"/>
                <w:b w:val="0"/>
                <w:bCs w:val="0"/>
                <w:i w:val="0"/>
                <w:iCs w:val="0"/>
                <w:color w:val="auto"/>
                <w:sz w:val="20"/>
                <w:szCs w:val="20"/>
                <w:u w:val="none"/>
                <w:lang w:val="en-US" w:eastAsia="zh-CN" w:bidi="ar"/>
              </w:rPr>
              <w:t xml:space="preserve">信息参数：6000*2800mm，</w:t>
            </w:r>
            <w:r>
              <w:rPr>
                <w:rFonts w:hint="eastAsia" w:ascii="宋体" w:hAnsi="宋体" w:eastAsia="宋体" w:cs="宋体"/>
                <w:b w:val="0"/>
                <w:bCs w:val="0"/>
                <w:i w:val="0"/>
                <w:iCs w:val="0"/>
                <w:caps w:val="0"/>
                <w:color w:val="auto"/>
                <w:spacing w:val="0"/>
                <w:sz w:val="20"/>
                <w:szCs w:val="20"/>
                <w:highlight w:val="none"/>
                <w:lang w:val="en-US" w:eastAsia="zh-CN" w:bidi="ar-SA"/>
              </w:rPr>
              <w:t xml:space="preserve">材质相关参数：</w:t>
            </w:r>
            <w:r>
              <w:rPr>
                <w:rFonts w:hint="eastAsia" w:ascii="宋体" w:hAnsi="宋体" w:eastAsia="宋体" w:cs="宋体"/>
                <w:b w:val="0"/>
                <w:bCs w:val="0"/>
                <w:i w:val="0"/>
                <w:iCs w:val="0"/>
                <w:caps w:val="0"/>
                <w:color w:val="auto"/>
                <w:spacing w:val="0"/>
                <w:sz w:val="20"/>
                <w:szCs w:val="20"/>
                <w:highlight w:val="none"/>
                <w:lang w:val="en-US" w:eastAsia="zh-CN" w:bidi="ar"/>
              </w:rPr>
              <w:t xml:space="preserve">材质为织物类型，无纺布墙布为织物类墙布（如提花、绒布）：150-500g/㎡，高克重产品立体感强，艺术氛围采用3D打印。</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（1）、物理性能参数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厚度（单位：mm）</w:t>
            </w:r>
            <w:r>
              <w:rPr>
                <w:rFonts w:hint="eastAsia" w:ascii="宋体" w:hAnsi="宋体" w:eastAsia="宋体" w:cs="宋体"/>
                <w:b w:val="0"/>
                <w:bCs w:val="0"/>
                <w:i w:val="0"/>
                <w:iCs w:val="0"/>
                <w:caps w:val="0"/>
                <w:color w:val="auto"/>
                <w:spacing w:val="0"/>
                <w:sz w:val="20"/>
                <w:szCs w:val="20"/>
                <w:highlight w:val="none"/>
                <w:lang w:eastAsia="zh-CN"/>
              </w:rPr>
              <w:t xml:space="preserve">，</w:t>
            </w:r>
            <w:r>
              <w:rPr>
                <w:rFonts w:hint="eastAsia" w:ascii="宋体" w:hAnsi="宋体" w:eastAsia="宋体" w:cs="宋体"/>
                <w:b w:val="0"/>
                <w:bCs w:val="0"/>
                <w:i w:val="0"/>
                <w:iCs w:val="0"/>
                <w:caps w:val="0"/>
                <w:color w:val="auto"/>
                <w:spacing w:val="0"/>
                <w:sz w:val="20"/>
                <w:szCs w:val="20"/>
                <w:highlight w:val="none"/>
              </w:rPr>
              <w:t xml:space="preserve">一般在 0.1-2mm 之间，薄款（0.1-0.5mm）适合简约风格，施工贴合度高；厚款（0.5-2mm，如绒布、发泡墙布）立体感强，但对墙面平整度要求高。</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长度（单位：m / 卷）常规每卷长度为 10m，部分窄幅产品为 5m / 卷，计算用量时需结合幅宽和墙面面积。</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3.</w:t>
            </w:r>
            <w:r>
              <w:rPr>
                <w:rFonts w:hint="eastAsia" w:ascii="宋体" w:hAnsi="宋体" w:eastAsia="宋体" w:cs="宋体"/>
                <w:b w:val="0"/>
                <w:bCs w:val="0"/>
                <w:i w:val="0"/>
                <w:iCs w:val="0"/>
                <w:caps w:val="0"/>
                <w:color w:val="auto"/>
                <w:spacing w:val="0"/>
                <w:sz w:val="20"/>
                <w:szCs w:val="20"/>
                <w:highlight w:val="none"/>
              </w:rPr>
              <w:t xml:space="preserve">拉伸强度（单位：N/5cm）指墙布抵抗拉伸断裂的能力，横向和纵向强度需分别标注（如纵向≥30N/5cm，横向≥25N/5cm）。数值越高，抗变形能力越强，适合墙面可能轻微沉降的区域。</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4.</w:t>
            </w:r>
            <w:r>
              <w:rPr>
                <w:rFonts w:hint="eastAsia" w:ascii="宋体" w:hAnsi="宋体" w:eastAsia="宋体" w:cs="宋体"/>
                <w:b w:val="0"/>
                <w:bCs w:val="0"/>
                <w:i w:val="0"/>
                <w:iCs w:val="0"/>
                <w:caps w:val="0"/>
                <w:color w:val="auto"/>
                <w:spacing w:val="0"/>
                <w:sz w:val="20"/>
                <w:szCs w:val="20"/>
                <w:highlight w:val="none"/>
              </w:rPr>
              <w:t xml:space="preserve">撕裂强度（单位：N）衡量抗撕裂性能，一般≥5N，织物类墙布因纤维交织结构，撕裂强度通常高于 PVC 墙布。</w:t>
            </w:r>
            <w:r>
              <w:rPr>
                <w:rFonts w:hint="eastAsia" w:ascii="宋体" w:hAnsi="宋体" w:eastAsia="宋体" w:cs="宋体"/>
                <w:b w:val="0"/>
                <w:bCs w:val="0"/>
                <w:i w:val="0"/>
                <w:iCs w:val="0"/>
                <w:caps w:val="0"/>
                <w:color w:val="auto"/>
                <w:spacing w:val="0"/>
                <w:sz w:val="20"/>
                <w:szCs w:val="20"/>
                <w:highlight w:val="none"/>
                <w:lang w:val="en-US" w:eastAsia="zh-CN"/>
              </w:rPr>
              <w:t xml:space="preserve">      </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（2）、环保性能参数</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甲醛释放量（单位：mg/m³）</w:t>
            </w:r>
            <w:r>
              <w:rPr>
                <w:rFonts w:hint="eastAsia" w:ascii="宋体" w:hAnsi="宋体" w:eastAsia="宋体" w:cs="宋体"/>
                <w:b w:val="0"/>
                <w:bCs w:val="0"/>
                <w:i w:val="0"/>
                <w:iCs w:val="0"/>
                <w:caps w:val="0"/>
                <w:color w:val="auto"/>
                <w:spacing w:val="0"/>
                <w:sz w:val="20"/>
                <w:szCs w:val="20"/>
                <w:highlight w:val="none"/>
                <w:lang w:val="en-US" w:eastAsia="zh-CN" w:bidi="ar"/>
              </w:rPr>
              <w:t xml:space="preserve">：需符合国家标准 GB 18585-2001，要求≤0.1mg/m³，优质产品可达到≤0.05mg/m³（接近无甲醛）。</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lang w:eastAsia="zh-CN"/>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rPr>
              <w:t xml:space="preserve">重金属含量（单位：mg/kg）：包括铅、镉、铬、汞等，国标要求总和≤100mg/kg，VOC（挥发性有机化合物）含量（单位：g/L）：≤100g/L 为合格，环保等级高的产品可做到≤50g/L，铺贴后异味更小。阻燃性：通过 GB 8624 标准测试，分为 A 级（不燃）、B1 级（难燃）、B2 级（可燃）</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（3）、功能性能参数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防水性（单位：mm）用 “静水压” 表示（如≥300mm），数值越高防水性越强，无纺布、织物类</w:t>
            </w:r>
            <w:r>
              <w:rPr>
                <w:rFonts w:hint="eastAsia" w:ascii="宋体" w:hAnsi="宋体" w:eastAsia="宋体" w:cs="宋体"/>
                <w:b w:val="0"/>
                <w:bCs w:val="0"/>
                <w:i w:val="0"/>
                <w:iCs w:val="0"/>
                <w:caps w:val="0"/>
                <w:color w:val="auto"/>
                <w:spacing w:val="0"/>
                <w:sz w:val="20"/>
                <w:szCs w:val="20"/>
                <w:highlight w:val="none"/>
                <w:lang w:val="en-US" w:eastAsia="zh-CN"/>
              </w:rPr>
              <w:t xml:space="preserve">防水性较强。</w:t>
            </w:r>
            <w:r>
              <w:rPr>
                <w:rFonts w:hint="eastAsia" w:ascii="宋体" w:hAnsi="宋体" w:eastAsia="宋体" w:cs="宋体"/>
                <w:b w:val="0"/>
                <w:bCs w:val="0"/>
                <w:i w:val="0"/>
                <w:iCs w:val="0"/>
                <w:caps w:val="0"/>
                <w:color w:val="auto"/>
                <w:spacing w:val="0"/>
                <w:sz w:val="20"/>
                <w:szCs w:val="20"/>
                <w:highlight w:val="none"/>
              </w:rPr>
              <w:t xml:space="preserve">普通墙布防水性较低（≤100mm），仅防轻微溅水。</w:t>
            </w: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透气性（单位：g/㎡・24h）指水蒸气透过量，无纺布、织物类墙布透气性较好（≥500g/㎡・24h），避免墙面发霉；PVC 墙布透气性差（≤100g/㎡・24h）</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val="0"/>
                <w:bCs w:val="0"/>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锡剧社-文化戏曲交互系统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43寸电容触摸屏 屏幕规格：43寸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液晶屏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显示比例：16：9</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屏幕分辨率：1920*1080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可视角度：89/89/89/89（Typ.）(CR≥10)(上下左右)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亮度：300&amp;700cd/m2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对比度：1000:1</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色彩饱和度：92%</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背光寿命：大于30000hrs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触摸介质：手指、触摸笔等不透光物体</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响应时间：≤14ms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使用寿命：大于30000hrs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主机配置：安卓系统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主  板：RK3399</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  存：4G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存  储：64G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显  卡：集成显卡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喇  叭：内置喇叭</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摄 像 头：安卓摄像头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网  络：4G网络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功能要求：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1五大戏曲剧种：重点介绍各戏种历史，行当，特色名词、术语，以及重要的名家，剧团；各戏种的文化影响，及评价。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2戏曲欣赏：丰富的戏曲欣赏内容，含有京剧、越剧、黄梅戏、评剧、豫剧，锡剧等精选经典曲目片段，海量资源，按类别分类，便于学习。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3经典戏歌：把戏曲唱腔和通俗歌曲结合起来的一种艺术形式。这种既像戏又像歌的唱段一经推出，立刻风靡全国。随着这类作品的日益增多，一个新的名词产生了，它就是戏歌。</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4虚拟拍照：人脸追踪识别技术与戏曲的结合，通过数字互动，实现传统与科技的结合，有趣的表现形式，更能引起体验者的兴趣，更有利于戏曲的传播。</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电子相片分享到朋友圈等社交网络，起到更大范围的传播推广。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5梨园资讯：详细介绍戏曲的相关资讯；各项戏曲的推广活动平台播报；平台实时资讯更新。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6数据统计：设备运转情况，数据分析；每月每周每日体验总人次数据图；五大戏剧独立的学习观看人次；互动体验人次；朋友圈分享数据；可以与第三方数据平台共享数据，实现数据嫁接。</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锡剧社-木制艺术展览板A</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1、信息参数：6000*2800mm，主体结构组件采用18mm实木多层基材，表面定制木质复合饰面，高分子装饰层（厚度≥3mm，邵氏硬度60±5）。静态承重≥200kg/m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2791-1995标准）。定制艺术写真装置部件。高分子纳米复合艺术雕刻装饰。异形艺术雕刻装饰。定制成品浮雕纹油画饰面板。环保木质地脚围板。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锡剧社-木制艺术展览板B</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1、信息参数：5500*2800mm，木质仿古屋檐装饰顶面，墙面结构组件采用18mm实木多层基材，表面定制木质复合饰面，高分子装饰层（厚度≥3mm，邵氏硬度60±5）。静态承重≥200kg/m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2791-1995标准）。定制异形艺术雕刻部件。定制自办展示版面部件，饰面类型：三聚氰胺纸/木皮/喷绘布，压纹工艺：条纹（3cm/5cm宽）、方格、竹纹（误差≤±0.5mm），邵氏硬度：≥60 HA（GB/T 531.1），热压成型：温度180-220℃，压力≥8MPa。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高分子涂层复合艺术雕刻装饰。异形艺术纹样装饰。定制成品浮雕纹油画饰面板。环保木质地脚围板。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2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101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锡剧社-锡剧化妆台组合套装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1.信息参数：包含定制锡剧化妆台、化妆镜、化妆刷套装。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54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锡剧社-移动舞台车</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1.信息参数：铝合金框架，尺寸1.5m×0.8m×0.5m，带刹车和锁紧装置。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389"/>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锡剧社-锡剧基础配置包套装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1.信息参数：包含戏服、无线麦克风、面光灯、背景幕布。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锡剧社-定制竹帘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1、信息参数：尺寸：1600×1800mm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采用碳化竹材，经过防霉、防蛀、高温烘干处理，甲醛释放量≤7mg/kg（符合GB18401-2010标准）。手工编织，表面可涂清漆或碳化处理，遮光率70%，耐光色牢度≥5级。轨道：6063-T5铝合金卷管，壁厚≥1.5mm，表面阳极氧化处理；拉珠系统</w:t>
            </w:r>
            <w:r>
              <w:rPr>
                <w:rFonts w:hint="eastAsia" w:ascii="宋体" w:hAnsi="宋体" w:eastAsia="宋体" w:cs="宋体"/>
                <w:color w:val="auto"/>
                <w:sz w:val="20"/>
                <w:szCs w:val="20"/>
                <w:u w:val="none"/>
                <w:lang w:val="en-US" w:eastAsia="zh-CN" w:bidi="ar"/>
              </w:rPr>
              <w:t xml:space="preserve">​：POM工程塑料拉珠，珠径4.5mm，珠距6mm；安装码​：需2-4个（每0.5米宽度配1个）。根据场景定制化主题图案。</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1552"/>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参数：基层采用高等级铝合金材质，表面经氟碳喷涂或木纹转印处理，厚度≥0.5mm，防火等级达A1级，规格覆盖底宽20-400mm、高度20-300mm。主龙骨选用镀锌钢材质，间距≤1200mm，配套T型副龙骨与边龙骨形成井字形结构，吊杆采用Φ8mm热镀锌钢，间距≤1200mm</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1、信息参数：仿古式</w:t>
            </w:r>
            <w:r>
              <w:rPr>
                <w:rFonts w:hint="eastAsia" w:ascii="宋体" w:hAnsi="宋体" w:eastAsia="宋体" w:cs="宋体"/>
                <w:i w:val="0"/>
                <w:iCs w:val="0"/>
                <w:color w:val="auto"/>
                <w:sz w:val="20"/>
                <w:szCs w:val="20"/>
                <w:u w:val="none"/>
                <w:lang w:val="en-US" w:eastAsia="zh-CN" w:bidi="ar"/>
              </w:rPr>
              <w:t xml:space="preserve">内嵌光源体7W/㎡，光通量：≥3200lm，色温：3200K（暖色）。显色指数：Ra≥92，防护等级：IP20。特性：低压24V供电。嵌入式无边框COB射灯模块，7W/10W/14W，光效：≥110lm/W，色温：3000K-6500K（±50K），显色指数：Ra≥95（R9&gt;90），光束角：24°/36°/60°，防护等级：IP44。安装方式：嵌入式。特性：深杯防眩结构。定制艺术吊装灯饰5W/㎡，光通量：≥3200lm，色温：3200K（暖色）。显色指数：Ra≥92，防护等级：IP20。安装方式：吊装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非遗传承元素艺术装饰。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非遗美食社-木制艺术造型展览板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1、信息参数：6000*2000mm，主体结构组件采用18mm实木多层基材，表面定制木质复合饰面，高分子装饰层（厚度≥3mm，邵氏硬度60±5）。静态承重≥200kg/m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2791-1995标准）。定制艺术写真装置部件。高分子纳米复合艺术雕刻装饰。异形艺术雕刻装饰。定制成品浮雕纹油画饰面板。环保木质地脚围板。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9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非遗美食社-厨房电子秤</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1.信息参数：参数</w:t>
            </w:r>
            <w:r>
              <w:rPr>
                <w:rFonts w:hint="eastAsia" w:ascii="宋体" w:hAnsi="宋体" w:eastAsia="宋体" w:cs="宋体"/>
                <w:color w:val="auto"/>
                <w:sz w:val="20"/>
                <w:szCs w:val="20"/>
                <w:u w:val="none"/>
                <w:lang w:val="en-US" w:eastAsia="zh-CN" w:bidi="ar"/>
              </w:rPr>
              <w:t xml:space="preserve">​：0.1g精度，最大承重5kg，带单位切换（g/ml/oz）。</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​适用场景​：调配糖水比例、控制食材用量。</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71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非遗美食社-量杯套装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1.信息参数：参数</w:t>
            </w:r>
            <w:r>
              <w:rPr>
                <w:rFonts w:hint="eastAsia" w:ascii="宋体" w:hAnsi="宋体" w:eastAsia="宋体" w:cs="宋体"/>
                <w:color w:val="auto"/>
                <w:sz w:val="20"/>
                <w:szCs w:val="20"/>
                <w:u w:val="none"/>
                <w:lang w:val="en-US" w:eastAsia="zh-CN" w:bidi="ar"/>
              </w:rPr>
              <w:t xml:space="preserve">​：玻璃材质，含1ml-1000ml刻度，耐热防摔。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jc w:val="center"/>
          <w:trHeight w:val="38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非遗美食社-食品级清洁刷</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1.信息参数：硅胶材质，杯刷/碗刷/锅刷三件套，耐高温。</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183"/>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w:t>
            </w:r>
            <w:r>
              <w:rPr>
                <w:rFonts w:hint="eastAsia" w:ascii="宋体" w:hAnsi="宋体" w:eastAsia="宋体" w:cs="宋体"/>
                <w:color w:val="auto"/>
                <w:sz w:val="20"/>
                <w:szCs w:val="20"/>
                <w:u w:val="none"/>
                <w:lang w:val="en-US" w:eastAsia="zh-CN" w:bidi="ar"/>
              </w:rPr>
              <w:t xml:space="preserve">​传统模具套装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1.信息参数：含月饼模、年糕模、鱼形饺模（不锈钢材质），尺寸3-8cm。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46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非遗美食社-密封保鲜盒</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1.信息参数：PP材质，容量500ml-2L，带硅胶密封圈。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r>
      <w:tr>
        <w:trPr>
          <w:jc w:val="center"/>
          <w:trHeight w:val="9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非遗美食社-小型高压锅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1.信息参数：容量1.5L，不锈钢材质，15分钟快速炖煮（如红豆沙、绿豆汤）。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398"/>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非遗美食社-小型绞肉机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1.信息参数：不锈钢机身，刀片可拆卸，适配绞肉、蔬菜切碎。</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299"/>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非遗美食社-螺旋破碎榨汁机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1.信息参数：功率：500-800W，容量：,0.5L</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适用食材：果蔬（如苹果、胡萝卜）、纤维类（芹菜、生姜）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材质：304不锈钢。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​适用场景​：小批量食材破碎、榨汁，适合单人操作。</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32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非遗美食社-小型微波炉</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Autospacing="0" w:afterAutospacing="0"/>
              <w:widowControl/>
              <w:rPr>
                <w:rFonts w:hint="eastAsia" w:ascii="宋体" w:hAnsi="宋体" w:eastAsia="宋体" w:cs="宋体"/>
                <w:color w:val="auto"/>
                <w:sz w:val="20"/>
                <w:szCs w:val="20"/>
                <w:u w:val="none"/>
                <w:lang w:val="en-US" w:eastAsia="zh-CN" w:bidi="ar"/>
              </w:rPr>
              <w:suppressLineNumbers w:val="0"/>
            </w:pPr>
            <w:r>
              <w:rPr>
                <w:rFonts w:hint="eastAsia" w:ascii="宋体" w:hAnsi="宋体" w:eastAsia="宋体" w:cs="宋体"/>
                <w:color w:val="auto"/>
                <w:sz w:val="20"/>
                <w:szCs w:val="20"/>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信息参数：容量：23L，功率：800W，加热方式：微波+转盘。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适用场景​：小批量加热食材或解冻，适合单人操作。</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p>
            <w:pPr>
              <w:pStyle w:val="639"/>
              <w:numPr>
                <w:ilvl w:val="0"/>
                <w:numId w:val="0"/>
              </w:numPr>
              <w:keepLines w:val="0"/>
              <w:keepNext w:val="0"/>
              <w:pageBreakBefore w:val="0"/>
              <w:spacing w:after="0" w:line="240" w:lineRule="auto"/>
              <w:widowControl w:val="off"/>
              <w:rPr>
                <w:rFonts w:hint="eastAsia"/>
              </w:rPr>
            </w:pPr>
            <w:r>
              <w:rPr>
                <w:rFonts w:hint="eastAsia" w:ascii="宋体" w:hAnsi="宋体" w:eastAsia="宋体" w:cs="宋体"/>
                <w:b/>
                <w:bCs/>
                <w:color w:val="ff0000"/>
                <w:sz w:val="20"/>
                <w:szCs w:val="20"/>
                <w:u w:val="none"/>
                <w:lang w:val="en-US" w:eastAsia="zh-CN" w:bidi="ar"/>
              </w:rPr>
              <w:t xml:space="preserve">3.投标产品需提供3C认证证书。</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非遗美食社-多功能蒸煮一体机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1.信息参数：适用场景：制作粽子、年糕、汤圆等需蒸煮的食品。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容量：10L大容量（三层蒸笼，可同时蒸整鸡、排骨、包子等非遗大份量食材）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功率：1300W高效加热（30秒速出蒸汽，缩短烹饪时间）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材质：食品级304不锈钢内胆+加厚玻璃面板（耐腐蚀、防串味）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蒸煮炖涮：支持整鸡/鱼类/面食/汤品（如广东早茶虾饺、陕西羊肉泡馍）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智能菜单：预设蒸鱼/蒸蛋/煲汤等8种模式，一键操作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安全设计：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缺水断电：水箱低水位自动断电</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防烫把手：隔热材质避免烫伤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w:t>
            </w:r>
            <w:r>
              <w:rPr>
                <w:rFonts w:hint="eastAsia" w:ascii="宋体" w:hAnsi="宋体" w:eastAsia="宋体" w:cs="宋体"/>
                <w:color w:val="auto"/>
                <w:sz w:val="20"/>
                <w:szCs w:val="20"/>
                <w:u w:val="none"/>
                <w:lang w:val="en-US" w:eastAsia="zh-CN" w:bidi="ar"/>
              </w:rPr>
              <w:t xml:space="preserve">​：33.3cm×29.7cm×34.5cm（适合社团操作台摆放）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非遗美食社-电炸锅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1.信息参数：适用场景：炸春卷、糖糕、油墩子等油炸类非遗小吃。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容量：8L商用级（适合高频次社团活动）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功率：2200W（专业级加热效率）</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材质：全不锈钢机身+食品级不粘涂层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安全设计：防爆玻璃门：高温防爆裂。漏电保护：三重安全防护。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功能：智能控温（±5℃误差）。炸篮可升降（方便取放食材）。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非遗美食社-和面机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1.信息参数：适用场景：制作面团类食品（如月饼、馍馍），可演示“三揉三醒”传统工艺（如兰州拉面、河南烩面）。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容量：8L商用级容量（日均揉面50kg，适合高频次社团活动）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功率：800W直流电机（动力强劲，揉制筋道面团）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材质：食品级ABS塑料机身+不锈钢搅拌轴（耐高温、防锈）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12种预设菜单</w:t>
            </w:r>
            <w:r>
              <w:rPr>
                <w:rFonts w:hint="eastAsia" w:ascii="宋体" w:hAnsi="宋体" w:eastAsia="宋体" w:cs="宋体"/>
                <w:color w:val="auto"/>
                <w:sz w:val="20"/>
                <w:szCs w:val="20"/>
                <w:u w:val="none"/>
                <w:lang w:val="en-US" w:eastAsia="zh-CN" w:bidi="ar"/>
              </w:rPr>
              <w:t xml:space="preserve">​：和面/发酵/揉面/打蛋一键切换（如广式肠粉、云南破酥粑粑）</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智能触控屏：温度/时间精准调节（±1℃误差）</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安全设计：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过热断电：连续工作30分钟自动停机</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不粘涂层：搅拌桶防粘，减少食材残留</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非遗美食社-传统石磨</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1.信息参数：非遗适配：可制作山东杂粮煎饼面糊、北京驴打滚糯米粉等地方特色小吃。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材质：天然五莲黑曜石（CNAS认证无辐射）+304不锈钢防渗芯。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尺寸：直径35cm×高度28cm，重量仅38kg（传统石磨的1/10，可放于操作台上）。</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双速调节：逆时针旋转，粗磨（玉米/豆类）与细磨（豆浆/米粉）一键切换。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专利设计：磨盘可拧压调节研磨粒度，磨芯防渗漏结构（解决传统石磨藏污问题）。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安全设计：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防滑底座：配重力锁扣，防止倾倒。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过载保护：电机堵转自动断电（额定功率250W）。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88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非遗美食社-非遗美食基础配置包套装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1.信息参数：包含食品级塑料储物箱、电子秤、菜板、菜刀套装、手工擀面杖套装厨房清洁工具套装。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非遗美食社-仿古桌凳套装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仿古桌1000×1000×750mm,采用龙鳞特级独板（厚度≥3cm，含水率7%-9%），桌面为龟背纹手工雕刻（凹凸差≥1.2mm），边缘以8mm宽实木收边（倒角R3mm）。桌腿60×60mm立柱，表面涂装水性仿古漆（固体含量≥45%，耐擦洗≥5000次），辅以青铜粉氧化着色（粒径80-120目）。整体水平偏差≤3mm，承重≥200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仿古条凳800×350×450mm,凳面为实木独板（厚1.8-2cm），凳腿斜度10:1.5（"走马三分两"传统比例），榫卯连接处无五金件（缝隙≤0.2mm）。表面哑光处理（光泽度20-40单位）。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非遗美食社-非遗美食操作台</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主体框架：冷轧钢制异型框架，主承重梁为40×60×2mm镀锌矩形管（表面经喷砂除锈+环氧富锌底漆处理），横向加强筋为25×25×1.5mm方管阵列焊接，整体焊接后经振动时效处理消除内应力，静态承重≥300kg。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基层结构</w:t>
            </w:r>
            <w:r>
              <w:rPr>
                <w:rFonts w:hint="eastAsia" w:ascii="宋体" w:hAnsi="宋体" w:eastAsia="宋体" w:cs="宋体"/>
                <w:color w:val="auto"/>
                <w:sz w:val="20"/>
                <w:szCs w:val="20"/>
                <w:u w:val="none"/>
                <w:lang w:val="en-US" w:eastAsia="zh-CN" w:bidi="ar"/>
              </w:rPr>
              <w:t xml:space="preserve">：框架内嵌18mm厚橡木纹胶合层压基材（E0级环保标准），表面覆盖0.9mm厚聚酯改性铝复合饰面板（横向抗弯强度≥120MPa），侧板接缝处采用PUR封边工艺，实现气密性≤1.5m³/(m·h)。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台面系统：​台面为15mm厚矿物聚合台面（石英砂含量≥35%），表面经纳米氟碳涂层处理（耐盐雾性≥4000h），前沿设置3mm高防滑挡水条（EPDM材质），台面预埋五组IP44防护等级暗装插座（含防过载模块），呈黄金分割比例分布于操作区两侧及中央。</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功能细节：底部配置可调地脚（高度调节范围±15mm），侧板集成隐藏式走线槽（截面尺寸30×15mm），台面边缘倒角R5mm圆弧处理，尺寸2000×600×900mm（长×宽×高）。                                                                                </w:t>
            </w:r>
            <w:r>
              <w:rPr>
                <w:rFonts w:hint="eastAsia" w:ascii="宋体" w:hAnsi="宋体" w:eastAsia="宋体" w:cs="宋体"/>
                <w:color w:val="auto"/>
                <w:sz w:val="20"/>
                <w:szCs w:val="20"/>
                <w:u w:val="none"/>
                <w:lang w:val="en-US" w:eastAsia="zh-CN" w:bidi="ar"/>
              </w:rPr>
              <w:t xml:space="preserve">       冷轧钢板技术要求：检测依据参照:GB/T3325-2024《金属家具通用技术条件》QB/T 3832-1999《轻工产品金属镀层腐蚀试验结果的评价》QB/T 3827-1999《轻工产品金属镀层和化学处理层的耐腐蚀试验方法乙酸盐雾试验(ASS)法》GB/T 10125-2021《人造气氛腐蚀试验 盐雾试验》产品外观性能要求检测中金属件喷涂层，涂层应无漏喷、锈蚀和脱色、掉色现象，涂层应光滑均匀，色泽一致，应无流挂、疙瘩、皱皮、飞漆等缺陷。在产品表面涂饰层/覆面材料理化性能，金属喷漆(塑)涂层检测</w:t>
            </w:r>
            <w:r>
              <w:rPr>
                <w:rFonts w:hint="eastAsia" w:ascii="宋体" w:hAnsi="宋体" w:eastAsia="宋体" w:cs="宋体"/>
                <w:color w:val="auto"/>
                <w:sz w:val="20"/>
                <w:szCs w:val="20"/>
                <w:u w:val="none"/>
                <w:lang w:val="en-US" w:eastAsia="zh-CN" w:bidi="ar"/>
              </w:rPr>
              <w:t xml:space="preserve">中硬度≥H,冲击强度中，冲击高度400mm，应无剥落、裂纹、皱纹。耐腐蚀100h内，观察在溶液中样板上划道两侧3mm以外，应无鼓泡产生，100h后，检查划道两侧3mm外，应无锈迹、剥落、起皱、变色和失光等现象，附着力应不低于2级，金属电镀层抗盐雾检测中18h，直径1.5mm以下锈点≤20点/d㎡，其中直径≧1.0mm锈点不超过5点(距边缘棱角2mm以内的不计) （金属表面耐腐蚀中乙酸盐雾委托方要求连续喷雾 240 小时)，涂层本身的耐腐蚀等级:10级最好，0级最差，涂层对基体的保护等级:10级最好，0级最差</w:t>
            </w:r>
            <w:r>
              <w:rPr>
                <w:rFonts w:hint="eastAsia" w:ascii="宋体" w:hAnsi="宋体" w:eastAsia="宋体" w:cs="宋体"/>
                <w:b/>
                <w:bCs/>
                <w:color w:val="auto"/>
                <w:sz w:val="20"/>
                <w:szCs w:val="20"/>
                <w:u w:val="none"/>
                <w:lang w:val="en-US" w:eastAsia="zh-CN" w:bidi="ar"/>
              </w:rPr>
              <w:t xml:space="preserve"> ★</w:t>
            </w:r>
            <w:r>
              <w:rPr>
                <w:rFonts w:hint="eastAsia" w:ascii="宋体" w:hAnsi="宋体" w:eastAsia="宋体" w:cs="宋体"/>
                <w:color w:val="auto"/>
                <w:sz w:val="20"/>
                <w:szCs w:val="20"/>
                <w:u w:val="none"/>
                <w:lang w:val="en-US" w:eastAsia="zh-CN" w:bidi="ar"/>
              </w:rPr>
              <w:t xml:space="preserve">投标文件中提供由国家行政管理部门认定的省级及省级以上国家检测机构出具的（具有CMA、CNAS等标识）完整的冷轧钢板检测报告，测试内容需完全符合参数要求，不得缺项、漏项，否则视为负偏离。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采用碳化竹材，经过防霉、防蛀、高温烘干处理，甲醛释放量≤7mg/kg（符合GB18401-2010标准）。手工编织，表面可涂清漆或碳化处理，遮光率70%，耐光色牢度≥5级。轨道：6063-T5铝合金卷管，壁厚≥1.5mm，表面阳极氧化处理；拉珠系统</w:t>
            </w:r>
            <w:r>
              <w:rPr>
                <w:rFonts w:hint="eastAsia" w:ascii="宋体" w:hAnsi="宋体" w:eastAsia="宋体" w:cs="宋体"/>
                <w:color w:val="auto"/>
                <w:sz w:val="20"/>
                <w:szCs w:val="20"/>
                <w:u w:val="none"/>
                <w:lang w:val="en-US" w:eastAsia="zh-CN" w:bidi="ar"/>
              </w:rPr>
              <w:t xml:space="preserve">​：POM工程塑料拉珠，珠径4.5mm，珠距6mm；安装码​：需2-4个（每0.5米宽度配1个）。根据场景定制化主题图案。</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17657-2022标准）。局部定制实木配色铝方通饰面。</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民乐元素艺术装饰。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定制超薄嵌入式光源体8W/㎡，光通量：≥3200lm，色温：4000K（自然光色）。显色指数：Ra≥92，防护等级：IP20。特性：低压24V供电，铝合金散热背板。安装方式：嵌入式。LED嵌入式筒灯6W/㎡，光通量：≥3200lm，色温：4000K（自然光色）。安装方式：嵌入式。LED虚光灯带8W/㎡，光通量：≥3200lm，色温：4000K（自然光色）。安装方式：隐藏嵌入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民乐社-民乐演奏地台</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1、信息参数：整体规格3000mm×800mm×250mm（长×宽×高），误差≤±2mm，承重能力：静态载荷≥200kg/m</w:t>
            </w:r>
            <w:r>
              <w:rPr>
                <w:rFonts w:hint="eastAsia" w:ascii="宋体" w:hAnsi="宋体" w:eastAsia="宋体" w:cs="宋体"/>
                <w:color w:val="auto"/>
                <w:sz w:val="20"/>
                <w:szCs w:val="20"/>
                <w:u w:val="none"/>
                <w:lang w:val="en-US" w:eastAsia="zh-CN" w:bidi="ar"/>
              </w:rPr>
              <w:t xml:space="preserve">²，动态载荷≥50kg/m²（含人员走动、设备移动）；基材结构采用钢结构框架（主梁壁厚≥2.5mm，抗弯强度≥18MPa），表层铺设18mm厚E1级胶合基材（甲醛释放量≤0.05mg/m³）。地台面层覆盖专业演奏地板，边缘做防滑收口。地插系统：预埋嵌入式地插，含三孔/两孔组合插座4处。</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民乐社-木制艺术造型展览板A</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1、信息参数：6000*2800mm，主体结构组件采用18mm实木多层基材，局部表面定制木质复合饰面结合高分子装饰层（厚度≥3mm，邵氏硬度60±5）。静态承重≥200kg/m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17657-2022三点弯曲试验）。下方表面覆盖复合纸面基材（内结合强度≥0.40MPa，符合GB/T 17657-2022标准）异形切割造型。环保木质地脚围板。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民乐社-木制艺术造型展览板B</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1、信息参数：1000*2800mm，基材采用木质龙骨结构（主龙骨间距≤400mm），表面覆盖"隔音毡"2mm厚隔声层（隔音量≥28dB）</w:t>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生态木吸音板（厚度15mm，密度≥0.85g/cm³），截面为137×20mm长城板造型，表面冲孔直径1.2mm，孔距3mm呈菱形排列，开孔率≥18%。背面复合黑色吸声薄毡（克重≥200g/㎡，防火A级），与墙面预留50mm空腔填充"青岩棉"阻燃吸音棉（密度32kg/m³，NRC≥0.95）。表面处理采用立体压花工艺（凹凸差0.8-1.5mm），喷涂水性哑光保护层（光泽度20-30GU，耐擦洗≥5000次）。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民乐社-乐器陈列艺术造型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信息参数：6000*2800mm，主体结构组件采用18mm实木多层基材，表面定制木质复合饰面结合高分子装饰层（厚度≥3mm，邵氏硬度60±5）。静态承重≥200kg/m</w:t>
            </w:r>
            <w:r>
              <w:rPr>
                <w:rFonts w:hint="eastAsia" w:ascii="宋体" w:hAnsi="宋体" w:eastAsia="宋体" w:cs="宋体"/>
                <w:color w:val="auto"/>
                <w:sz w:val="20"/>
                <w:szCs w:val="20"/>
                <w:highlight w:val="none"/>
                <w:u w:val="none"/>
                <w:lang w:val="en-US" w:eastAsia="zh-CN" w:bidi="ar"/>
              </w:rPr>
              <w:t xml:space="preserve">²（持续24小时形变率≤0.3%）。抗弯强度≥100MPa（依据GB/T 17657-2022三点弯曲试验）。剥离强度≥120N/cm（纵向，GB/T 2791-1995标准）。环保木质地脚围板。</w:t>
            </w:r>
            <w:r>
              <w:rPr>
                <w:rFonts w:hint="eastAsia" w:ascii="宋体" w:hAnsi="宋体" w:eastAsia="宋体" w:cs="宋体"/>
                <w:color w:val="auto"/>
                <w:sz w:val="20"/>
                <w:szCs w:val="20"/>
                <w:highlight w:val="none"/>
                <w:u w:val="none"/>
                <w:lang w:val="en-US" w:eastAsia="zh-CN" w:bidi="ar"/>
              </w:rPr>
              <w:br/>
            </w:r>
            <w:r>
              <w:rPr>
                <w:rFonts w:hint="eastAsia" w:ascii="宋体" w:hAnsi="宋体" w:eastAsia="宋体" w:cs="宋体"/>
                <w:color w:val="auto"/>
                <w:sz w:val="20"/>
                <w:szCs w:val="20"/>
                <w:highlight w:val="none"/>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highlight w:val="none"/>
                <w:u w:val="none"/>
                <w:lang w:val="en-US" w:eastAsia="zh-CN" w:bidi="ar"/>
              </w:rPr>
              <w:br/>
            </w:r>
            <w:r>
              <w:rPr>
                <w:rFonts w:hint="eastAsia" w:ascii="宋体" w:hAnsi="宋体" w:eastAsia="宋体" w:cs="宋体"/>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58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民乐社-音响与扩音系统套装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1、信息参数：包含：便携式调音台：10路输入，4路立体声输出，支持均衡、混响。主音箱：功率1000W，频率响应45Hz-20kHz。无线麦克风系统：抗干扰强，有效距离50米。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13"/>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民乐社-民乐基础配置包套装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1、信息参数：包含：乐谱架、五线谱黑板、乐器清洁套装。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民乐社-凳子</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规格尺寸：450×450×850cm                                               1、基材采用橡胶木实木，木材含水率8%～16%，甲醛释放量≤0.01mg/m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809"/>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二胡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1、信息参数：红木琴筒，蟒皮蒙面，G3-D6音域，配金属琴轴。适用场景：独奏、合奏主旋律，红檀材质，高碳钢丝琴弦。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532"/>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琵琶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1、信息参数：4弦，面板为桐木，背板为红木，音域A2-e4，菠萝格，尺寸:约 89*28cm,重量:约 2.9kg。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64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古筝</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1、信息参数：21弦，音域为 D-d</w:t>
            </w:r>
            <w:r>
              <w:rPr>
                <w:rFonts w:hint="eastAsia" w:ascii="宋体" w:hAnsi="宋体" w:eastAsia="宋体" w:cs="宋体"/>
                <w:color w:val="auto"/>
                <w:sz w:val="20"/>
                <w:szCs w:val="20"/>
                <w:u w:val="none"/>
                <w:lang w:val="en-US" w:eastAsia="zh-CN" w:bidi="ar"/>
              </w:rPr>
              <w:t xml:space="preserve">³（D 调五声音阶），桐木面板，G调，音域G3-C6，转调方法主要有按弦变调和移柱变调两种，通过左手抑按筝弦控制弦的张力，或移动筝柱调节弦长来实现变调                                             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72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竹笛</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1、信息参数：6孔，C调/降B调，竹制，含校音器。产品调性:CDEFG调，铜铃，青苦竹材质，四年或以上竹龄，双插白铜接铜。黑白扎线。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支</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41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1、信息参数：17簧，传统笙，音域G3-C6，含笙斗，音色甜美，演奏时除单音外，大都用二音、三音或四音配成和音，可演奏和声、复调，表现力强。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支</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民乐社-智能钢琴</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1.规格 119型或以上立式钢琴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2.外观尺寸 长≥149cm，宽≥60cm，高≥119cm；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3.五金件 钢琴外观可见的五金件采用银色不易氧化的金属；顶盖铰链有加强筋的结构，能更稳定安全支撑顶盖。</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4.外壳 哑光黑色，采用新型环保材料。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5.上门 上门板固定卡扣采用精密模具加工的高分子材料固定件（非弹簧结构），结构牢固，安全耐用；上门板内侧安装金属方管长梁，能防止上门板长时间受温湿度变化影响导致的变形，且方便上门板拆装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6.下门 采用下门边框装配结构，使下门板开合时避免与琴腿碰撞。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7.谱架 采用实木制作。谱架铰链有插销固定结构，使谱架在闭合时可通过插销固定，防止时间长了之后铰链松动导致谱架闭合不紧，从而影响键盘盖关闭受阻。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8.铁板工艺 翻砂工艺铸铁板。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9.铁板高度 ≥109.5cm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10.琴弦 圆形弦（截面为正圆形），镀锡防锈钢线；最大有效弦长不少于118cm，30#音有效弦长不小于94cm。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11.音板 采用寒带地区缓慢生长的鱼鳞松制作的实木音板；音板须有防开裂防变形的特殊工艺或结构。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12.肋木 使用与音板相同材质木材，数量不少于10根。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13.弦轴板 由15-17层坚硬的榉木交错压榨制成。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14.弦码 采用多层榉木制作。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15.背柱 实木制作，五背柱设计，且背柱截面尺寸≥80*70mm；背柱整体严密牢固，无明显缝隙或粘贴痕迹。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16.键盘 键板采用不易变形的杨木层积材制作，含水率要求：6-12%；中座板采用椴木或杨木，含水率要求6-14%；使用铁粒代替传统铅粒配重，减少重金属使用，保证环保无污染。</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17.中盘 使用稳定不易变形的木材制作而成。除螺丝外中盘上面不加装任何金属加固或金属链接结构。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18.弦槌 要求用纯羊毛毡及鹅耳枥木制作。弦槌木芯采用数控设备成形，加以铆钉夹具装配，使弦槌整体更牢固。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19.击弦机木制部件 转击器、联动杆、制音杆要求使用鹅耳枥木制作；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20.击弦机顶杆 要求使用ABS材质的顶杆，顶杆轴架的粘合面底部增加藏胶槽，使组件装配更稳固，增加粘连的稳定性。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21.调节档 鹅耳枥木实木（非多层）制作的调节档，不得有金属包裹。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22.踏瓣系统 使用拉杆结构。结构装配稳定，不受环境因素影响而变形，保持长期稳定的状态。</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类型：聚酯纤维涂层遮光卷帘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尺寸规格：标准幅宽1500mm/1800mm/2000mm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高度范围：2000-3000mm（含10cm包边）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遮光率：70%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颜色：灰白色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材质：面料100%聚酯纤维，表面覆PVC涂层（厚度0.3-0.5mm）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辅料：铝合金静音轨道（壁厚1.2mm）、POM塑料拉珠、棉质布带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社团活动基地公共区-艺术造型展览板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1、信息参数：1400*2000mm，主体结构组件采用18mm实木多层基材，表面采用环保油漆，喷漆时需保持无尘空间，每道工序需充分干燥(通常24小时，含水率≤8%），（甲醛释放量≤0.025mg/m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³，气候箱法检测）。自办展示版面部件，饰面类型：三聚氰胺纸/木皮/喷绘布，压纹工艺：条纹（3cm/5cm宽）、方格、竹纹（误差≤±0.5mm），邵氏硬度：≥60 HA（GB/T 531.1），热压成型：温度180-220℃，压力≥8MPa。高分子涂层复合艺术雕刻装饰。艺术浅浮雕。异形艺术雕刻装饰。定制成品浮雕纹油画饰面板。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社团活动基地公共区-底部轻质饰面</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1、信息参数：2mm复合卷材地板。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材质：聚氯乙烯。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产品结构：上下五层：UV涂层、印花彩膜层、0.45mm耐磨层、玻璃纤维稳定层、1.65mm密实层。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产品规格：产品2mm厚度，卷材，宽幅2米，长度20米，克重3.3±0.5千克每平方米。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性能要点：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外观质量：无裂纹、分层、断裂，无折皱、气泡、漏印、缺膜、图案变形，无明显套印偏差、色差、污染等缺陷；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加热尺寸变化率：纵向≤0.40；横向≤0.40；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w:t>
            </w:r>
            <w:r>
              <w:rPr>
                <w:rFonts w:hint="eastAsia" w:ascii="宋体" w:hAnsi="宋体" w:eastAsia="宋体" w:cs="宋体"/>
                <w:color w:val="auto"/>
                <w:sz w:val="20"/>
                <w:szCs w:val="20"/>
                <w:highlight w:val="none"/>
                <w:lang w:val="en-US" w:eastAsia="zh-CN"/>
              </w:rPr>
              <w:t xml:space="preserve">依据GB/T19889.3-2005标准进行</w:t>
            </w:r>
            <w:r>
              <w:rPr>
                <w:rFonts w:hint="eastAsia" w:ascii="宋体" w:hAnsi="宋体" w:eastAsia="宋体" w:cs="宋体"/>
                <w:color w:val="auto"/>
                <w:sz w:val="20"/>
                <w:szCs w:val="20"/>
                <w:lang w:eastAsia="zh-CN"/>
              </w:rPr>
              <w:t xml:space="preserve">PVC地板隔声性能</w:t>
            </w:r>
            <w:r>
              <w:rPr>
                <w:rFonts w:hint="eastAsia" w:ascii="宋体" w:hAnsi="宋体" w:eastAsia="宋体" w:cs="宋体"/>
                <w:color w:val="auto"/>
                <w:sz w:val="20"/>
                <w:szCs w:val="20"/>
                <w:lang w:val="en-US" w:eastAsia="zh-CN"/>
              </w:rPr>
              <w:t xml:space="preserve">试验</w:t>
            </w:r>
            <w:r>
              <w:rPr>
                <w:rFonts w:hint="eastAsia" w:ascii="宋体" w:hAnsi="宋体" w:eastAsia="宋体" w:cs="宋体"/>
                <w:color w:val="auto"/>
                <w:sz w:val="20"/>
                <w:szCs w:val="20"/>
                <w:highlight w:val="none"/>
                <w:lang w:val="en-US" w:eastAsia="zh-CN"/>
              </w:rPr>
              <w:t xml:space="preserve">，</w:t>
            </w:r>
            <w:r>
              <w:rPr>
                <w:rFonts w:hint="eastAsia" w:ascii="宋体" w:hAnsi="宋体" w:eastAsia="宋体" w:cs="宋体"/>
                <w:color w:val="auto"/>
                <w:sz w:val="20"/>
                <w:szCs w:val="20"/>
                <w:lang w:eastAsia="zh-CN"/>
              </w:rPr>
              <w:t xml:space="preserve">试验</w:t>
            </w:r>
            <w:r>
              <w:rPr>
                <w:rFonts w:hint="eastAsia" w:ascii="宋体" w:hAnsi="宋体" w:eastAsia="宋体" w:cs="宋体"/>
                <w:color w:val="auto"/>
                <w:sz w:val="20"/>
                <w:szCs w:val="20"/>
                <w:highlight w:val="none"/>
                <w:lang w:val="en-US" w:eastAsia="zh-CN"/>
              </w:rPr>
              <w:t xml:space="preserve">结果：</w:t>
            </w:r>
            <w:r>
              <w:rPr>
                <w:rFonts w:hint="eastAsia" w:ascii="宋体" w:hAnsi="宋体" w:eastAsia="宋体" w:cs="宋体"/>
                <w:i w:val="0"/>
                <w:iCs w:val="0"/>
                <w:color w:val="auto"/>
                <w:sz w:val="20"/>
                <w:szCs w:val="20"/>
                <w:u w:val="none"/>
                <w:lang w:val="en-US" w:eastAsia="zh-CN" w:bidi="ar"/>
              </w:rPr>
              <w:t xml:space="preserve">PVC地板隔声性能≥24dB；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w:t>
            </w:r>
            <w:r>
              <w:rPr>
                <w:rFonts w:hint="eastAsia" w:ascii="宋体" w:hAnsi="宋体" w:eastAsia="宋体" w:cs="宋体"/>
                <w:color w:val="auto"/>
                <w:sz w:val="20"/>
                <w:szCs w:val="20"/>
                <w:lang w:eastAsia="zh-CN"/>
              </w:rPr>
              <w:t xml:space="preserve">依据GB/T6739-2022标准</w:t>
            </w:r>
            <w:r>
              <w:rPr>
                <w:rFonts w:hint="eastAsia" w:ascii="宋体" w:hAnsi="宋体" w:eastAsia="宋体" w:cs="宋体"/>
                <w:color w:val="auto"/>
                <w:sz w:val="20"/>
                <w:szCs w:val="20"/>
                <w:lang w:val="en-US" w:eastAsia="zh-CN"/>
              </w:rPr>
              <w:t xml:space="preserve">进行</w:t>
            </w:r>
            <w:r>
              <w:rPr>
                <w:rFonts w:hint="eastAsia" w:ascii="宋体" w:hAnsi="宋体" w:eastAsia="宋体" w:cs="宋体"/>
                <w:color w:val="auto"/>
                <w:sz w:val="20"/>
                <w:szCs w:val="20"/>
                <w:lang w:eastAsia="zh-CN"/>
              </w:rPr>
              <w:t xml:space="preserve">PVC地板铅笔硬度</w:t>
            </w:r>
            <w:r>
              <w:rPr>
                <w:rFonts w:hint="eastAsia" w:ascii="宋体" w:hAnsi="宋体" w:eastAsia="宋体" w:cs="宋体"/>
                <w:color w:val="auto"/>
                <w:sz w:val="20"/>
                <w:szCs w:val="20"/>
                <w:lang w:val="en-US" w:eastAsia="zh-CN"/>
              </w:rPr>
              <w:t xml:space="preserve">试验</w:t>
            </w:r>
            <w:r>
              <w:rPr>
                <w:rFonts w:hint="eastAsia" w:ascii="宋体" w:hAnsi="宋体" w:eastAsia="宋体" w:cs="宋体"/>
                <w:color w:val="auto"/>
                <w:sz w:val="20"/>
                <w:szCs w:val="20"/>
                <w:lang w:eastAsia="zh-CN"/>
              </w:rPr>
              <w:t xml:space="preserve">，试验</w:t>
            </w:r>
            <w:r>
              <w:rPr>
                <w:rFonts w:hint="eastAsia" w:ascii="宋体" w:hAnsi="宋体" w:eastAsia="宋体" w:cs="宋体"/>
                <w:color w:val="auto"/>
                <w:sz w:val="20"/>
                <w:szCs w:val="20"/>
                <w:highlight w:val="none"/>
                <w:lang w:val="en-US" w:eastAsia="zh-CN"/>
              </w:rPr>
              <w:t xml:space="preserve">结果：</w:t>
            </w:r>
            <w:r>
              <w:rPr>
                <w:rFonts w:hint="eastAsia" w:ascii="宋体" w:hAnsi="宋体" w:eastAsia="宋体" w:cs="宋体"/>
                <w:i w:val="0"/>
                <w:iCs w:val="0"/>
                <w:color w:val="auto"/>
                <w:sz w:val="20"/>
                <w:szCs w:val="20"/>
                <w:u w:val="none"/>
                <w:lang w:val="en-US" w:eastAsia="zh-CN" w:bidi="ar"/>
              </w:rPr>
              <w:t xml:space="preserve">PVC地板铅笔硬度≥3B；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w:t>
            </w:r>
            <w:r>
              <w:rPr>
                <w:rFonts w:hint="eastAsia" w:ascii="宋体" w:hAnsi="宋体" w:eastAsia="宋体" w:cs="宋体"/>
                <w:color w:val="auto"/>
                <w:sz w:val="20"/>
                <w:szCs w:val="20"/>
                <w:highlight w:val="none"/>
              </w:rPr>
              <w:t xml:space="preserve">依据GB/T2160</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-2008</w:t>
            </w:r>
            <w:r>
              <w:rPr>
                <w:rFonts w:hint="eastAsia" w:ascii="宋体" w:hAnsi="宋体" w:eastAsia="宋体" w:cs="宋体"/>
                <w:color w:val="auto"/>
                <w:sz w:val="20"/>
                <w:szCs w:val="20"/>
                <w:highlight w:val="none"/>
                <w:lang w:eastAsia="zh-CN"/>
              </w:rPr>
              <w:t xml:space="preserve">标准</w:t>
            </w:r>
            <w:r>
              <w:rPr>
                <w:rFonts w:hint="eastAsia" w:ascii="宋体" w:hAnsi="宋体" w:eastAsia="宋体" w:cs="宋体"/>
                <w:color w:val="auto"/>
                <w:sz w:val="20"/>
                <w:szCs w:val="20"/>
                <w:highlight w:val="none"/>
              </w:rPr>
              <w:t xml:space="preserve">化学品急性吸入毒性试验</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i w:val="0"/>
                <w:iCs w:val="0"/>
                <w:color w:val="auto"/>
                <w:sz w:val="20"/>
                <w:szCs w:val="20"/>
                <w:u w:val="none"/>
                <w:lang w:val="en-US" w:eastAsia="zh-CN" w:bidi="ar"/>
              </w:rPr>
              <w:t xml:space="preserve">试验结果对ICR小鼠的急性吸入LC50＞2000mg/ m</w:t>
            </w:r>
            <w:r>
              <w:rPr>
                <w:rFonts w:hint="eastAsia" w:ascii="宋体" w:hAnsi="宋体" w:eastAsia="宋体" w:cs="宋体"/>
                <w:color w:val="auto"/>
                <w:sz w:val="20"/>
                <w:szCs w:val="20"/>
                <w:u w:val="none"/>
                <w:lang w:val="en-US" w:eastAsia="zh-CN" w:bidi="ar"/>
              </w:rPr>
              <w:t xml:space="preserve">³。依据毒性分级，产品属于低毒级；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★依据GB/T11982.1-2015标准进行PVC地板焊接强度试验，试验结果：PVC地板焊接强度≥240；</w:t>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（投标文件中提供由国家行政管理部门认定的省级及省级以上国家检测机构出具的（具有CMA、CNAS标识）出具的完整的PVC地板检测报告，测试内容需完全符合参数要求，不得缺项、漏项，否则视为负偏离。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2、包含货物生产、运输、铺装。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350</w:t>
            </w:r>
            <w:r/>
          </w:p>
        </w:tc>
      </w:tr>
      <w:tr>
        <w:trPr>
          <w:jc w:val="center"/>
          <w:trHeight w:val="155"/>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社团活动基地公共区-卫生间整体改造</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一、拆除项目：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原隔断拆除</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材料：轻钢龙骨隔断框架（1.2m×0.6m，12mm厚防潮板）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工具：切割机、撬棍、防护网，断电断水后施工，垃圾外运至指定地点。</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原洗手台及水池拆除​</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材料：拆除台下盆底座（含水管接口）</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工具：角磨机、手锤，检查下水管道是否堵塞，清理基层。</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二、新装设施​</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厕所隔断​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材料：轻钢龙骨+防潮板（1.2m×0.6m，12mm厚）</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配件：不锈钢合页、门锁（带紧急开关）、防撞角码</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参数：隔断高度1.8m，门宽0.8m，底部离地150mm挡水条。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洗手台及台下盆​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材料：人造石台面（600×450mm，厚度25mm）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配件：台下盆（PP材质，直径400mm）、冷热水龙头（节水型，DN15接口）</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水路：PPR冷热水管（DN25，左热右冷，间距15cm），下水器（防臭存水弯，深度≥50mm）。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蹲便器及小便池​</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蹲便器​：陶瓷一体式，带冲水阀（DN50接口），存水弯深度≥50mm。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小便池​：陶瓷一体式，存水弯深度≥50mm，防臭阀（DN25接口）。</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配件：感应冲水器。</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三、水路系统改造​</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给水管​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材料：PPR管（冷水管DN25，热水管DN20，耐温≥95℃）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阀门：铜质角阀（DN15，耐压0.6MPa），水表（DN25）。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坡度：排水管坡度≥2%（坡向地漏）。</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排水系统​</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材料：PVC-U双壁波纹管（DN110，环刚度≥8kN/m²）</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配件：45°斜三通、存水弯（水封深度≥50mm）。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排水坡度：主管道坡度≥1%，支管道≥0.5%。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四、排风系统​</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排风机​</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型号：轴流式低噪音风机（功率50W，风量≥450m³/h，噪音≤40dB）。</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风管：镀锌钢板（厚度0.75mm，坡度1%）。</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风口：百叶风口（面积≥0.3m²，安装高度距顶板≤300mm）。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补风系统​</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进风口：外墙百叶（面积≥0.2m²），与排风量匹配。</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控制：联动开关（排风开启时补风自动启动）。</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五、辅材及设备​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防水工程​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材料：高分子丙纶防水卷材（厚度≥0.8mm），防水涂料（JS-II型）。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工艺：基层处理→涂刷2遍防水→闭水试验（48小时）。</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地面及墙面​</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地砖：防滑陶瓷砖（300×300mm，吸水率≤0.5%）。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墙砖：釉面砖（300×450mm，耐污等级≥A级）。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其他配件​</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密封胶：中性防霉硅酮胶（耐候性≥20年）。</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灯具：LED吸顶灯（功率18W，色温4000K）。</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五金：不锈钢毛巾架（φ38mm，承重≥5kg）。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2、包含货物生产、运输、铺装。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社团活动基地公共区-门套及原门处理</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旧门修复改色喷漆：原始钢质门及周边做保护。原始钢质门基层处理打磨，选用水性UV漆（固含量37.89%，密度1.06g/cm</w:t>
            </w:r>
            <w:r>
              <w:rPr>
                <w:rFonts w:hint="eastAsia" w:ascii="宋体" w:hAnsi="宋体" w:eastAsia="宋体" w:cs="宋体"/>
                <w:color w:val="auto"/>
                <w:sz w:val="20"/>
                <w:szCs w:val="20"/>
                <w:u w:val="none"/>
                <w:lang w:val="en-US" w:eastAsia="zh-CN" w:bidi="ar"/>
              </w:rPr>
              <w:t xml:space="preserve">³），确保环保性与附着力。底漆需为环氧富锌防锈漆（干膜厚度30-50μm），面漆为聚氨酯磁漆（干膜厚度40μm），颜色需与设计样板色差≤30%。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门口修复：填补石膏+同色乳胶漆（与墙面颜色匹配）。</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定制门套系统​</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门套板：材质：25mm厚多层胶合板。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颜色：胡桃木色，与门扇木皮同色系。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厚度：门套线宽80mm（含防撞圆角设计）。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2、包含货物生产、运输、铺装。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w:t>
            </w:r>
            <w:r/>
          </w:p>
        </w:tc>
      </w:tr>
      <w:tr>
        <w:trPr>
          <w:jc w:val="center"/>
          <w:trHeight w:val="164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148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社团活动基地公共区-智能锁</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锁体结构：冷轧钢板面板+铝合金把手，适配门厚40-120mm，支持180°把手方向调节，兼容左/右开门。</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lang w:val="en-US" w:eastAsia="zh-CN" w:bidi="ar"/>
              </w:rPr>
              <w:t xml:space="preserve">2、</w:t>
            </w:r>
            <w:r>
              <w:rPr>
                <w:rFonts w:hint="eastAsia" w:ascii="宋体" w:hAnsi="宋体" w:eastAsia="宋体" w:cs="宋体"/>
                <w:i w:val="0"/>
                <w:iCs w:val="0"/>
                <w:color w:val="auto"/>
                <w:sz w:val="20"/>
                <w:szCs w:val="20"/>
                <w:u w:val="none"/>
                <w:lang w:val="en-US" w:eastAsia="zh-CN" w:bidi="ar"/>
              </w:rPr>
              <w:t xml:space="preserve">锁芯等级：直插式C级锁芯，五防锁体设计</w:t>
            </w:r>
            <w:r>
              <w:rPr>
                <w:rFonts w:hint="eastAsia" w:ascii="宋体" w:hAnsi="宋体" w:eastAsia="宋体" w:cs="宋体"/>
                <w:i w:val="0"/>
                <w:iCs w:val="0"/>
                <w:color w:val="auto"/>
                <w:sz w:val="20"/>
                <w:szCs w:val="20"/>
                <w:lang w:val="en-US" w:eastAsia="zh-CN" w:bidi="ar"/>
              </w:rPr>
              <w:t xml:space="preserve">4</w:t>
            </w:r>
            <w:r>
              <w:rPr>
                <w:rFonts w:hint="eastAsia" w:ascii="宋体" w:hAnsi="宋体" w:eastAsia="宋体" w:cs="宋体"/>
                <w:i w:val="0"/>
                <w:iCs w:val="0"/>
                <w:color w:val="auto"/>
                <w:sz w:val="20"/>
                <w:szCs w:val="20"/>
                <w:u w:val="none"/>
                <w:lang w:val="en-US" w:eastAsia="zh-CN" w:bidi="ar"/>
              </w:rPr>
              <w:t xml:space="preserve">。</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lang w:val="en-US" w:eastAsia="zh-CN" w:bidi="ar"/>
              </w:rPr>
              <w:t xml:space="preserve">3、</w:t>
            </w:r>
            <w:r>
              <w:rPr>
                <w:rFonts w:hint="eastAsia" w:ascii="宋体" w:hAnsi="宋体" w:eastAsia="宋体" w:cs="宋体"/>
                <w:i w:val="0"/>
                <w:iCs w:val="0"/>
                <w:color w:val="auto"/>
                <w:sz w:val="20"/>
                <w:szCs w:val="20"/>
                <w:u w:val="none"/>
                <w:lang w:val="en-US" w:eastAsia="zh-CN" w:bidi="ar"/>
              </w:rPr>
              <w:t xml:space="preserve">供电方式：4节5号电池（续航8-12个月），配备Type-C应急供电接口，支持充电宝临时供电。</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lang w:val="en-US" w:eastAsia="zh-CN" w:bidi="ar"/>
              </w:rPr>
              <w:t xml:space="preserve">4、</w:t>
            </w:r>
            <w:r>
              <w:rPr>
                <w:rFonts w:hint="eastAsia" w:ascii="宋体" w:hAnsi="宋体" w:eastAsia="宋体" w:cs="宋体"/>
                <w:i w:val="0"/>
                <w:iCs w:val="0"/>
                <w:color w:val="auto"/>
                <w:sz w:val="20"/>
                <w:szCs w:val="20"/>
                <w:u w:val="none"/>
                <w:lang w:val="en-US" w:eastAsia="zh-CN" w:bidi="ar"/>
              </w:rPr>
              <w:t xml:space="preserve">解锁模块：半导体指纹识别（认假率&lt;0.001%），支持100组指纹/密码/IC卡存储，虚位密码功能（防窥视）</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5、远程管理：通过微信小程序生成一次性临时密码，支持远程授权开锁及操作记录查询。</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6、智能告警：实时推送撬锁、试错（5次失败锁定90秒）、低电量等异常状态至手机端。</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7、模式设置：独有“常开模式”，可设定时段允许自由进出。</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lang w:val="en-US" w:eastAsia="zh-CN" w:bidi="ar"/>
              </w:rPr>
              <w:t xml:space="preserve">8、</w:t>
            </w:r>
            <w:r>
              <w:rPr>
                <w:rFonts w:hint="eastAsia" w:ascii="宋体" w:hAnsi="宋体" w:eastAsia="宋体" w:cs="宋体"/>
                <w:color w:val="auto"/>
                <w:sz w:val="20"/>
                <w:szCs w:val="20"/>
                <w:u w:val="none"/>
                <w:lang w:val="en-US" w:eastAsia="zh-CN" w:bidi="ar"/>
              </w:rPr>
              <w:t xml:space="preserve">包含货物生产、运输、铺装。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43</w:t>
            </w:r>
            <w:r/>
          </w:p>
        </w:tc>
      </w:tr>
    </w:tbl>
    <w:p>
      <w:pPr>
        <w:pStyle w:val="659"/>
        <w:jc w:val="both"/>
        <w:spacing w:beforeAutospacing="0" w:afterAutospacing="0"/>
        <w:rPr>
          <w:rFonts w:hint="eastAsia" w:ascii="宋体" w:hAnsi="宋体" w:eastAsia="宋体" w:cs="宋体"/>
          <w:i/>
          <w:color w:val="auto"/>
          <w:sz w:val="24"/>
          <w:szCs w:val="24"/>
          <w:highlight w:val="none"/>
          <w:u w:val="single"/>
          <w:shd w:val="clear" w:color="auto" w:fill="auto"/>
          <w:lang w:eastAsia="zh-CN"/>
        </w:rPr>
      </w:pPr>
      <w:r>
        <w:rPr>
          <w:rFonts w:hint="eastAsia" w:ascii="宋体" w:hAnsi="宋体" w:eastAsia="宋体" w:cs="宋体"/>
          <w:i/>
          <w:color w:val="auto"/>
          <w:sz w:val="24"/>
          <w:szCs w:val="24"/>
          <w:highlight w:val="none"/>
          <w:u w:val="single"/>
          <w:shd w:val="clear" w:color="auto" w:fill="auto"/>
          <w:lang w:eastAsia="zh-CN"/>
        </w:rPr>
      </w:r>
      <w:r/>
    </w:p>
    <w:p>
      <w:pPr>
        <w:pStyle w:val="659"/>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lang w:eastAsia="zh-CN"/>
        </w:rPr>
        <w:t xml:space="preserve">（</w:t>
      </w:r>
      <w:r>
        <w:rPr>
          <w:rFonts w:hint="eastAsia" w:ascii="宋体" w:hAnsi="宋体" w:eastAsia="宋体" w:cs="宋体"/>
          <w:i/>
          <w:color w:val="auto"/>
          <w:sz w:val="24"/>
          <w:szCs w:val="24"/>
          <w:highlight w:val="none"/>
          <w:u w:val="single"/>
          <w:shd w:val="clear" w:color="auto" w:fill="auto"/>
          <w:lang w:val="en-US" w:eastAsia="zh-CN"/>
        </w:rPr>
        <w:t xml:space="preserve">四</w:t>
      </w:r>
      <w:r>
        <w:rPr>
          <w:rFonts w:hint="eastAsia" w:ascii="宋体" w:hAnsi="宋体" w:eastAsia="宋体" w:cs="宋体"/>
          <w:i/>
          <w:color w:val="auto"/>
          <w:sz w:val="24"/>
          <w:szCs w:val="24"/>
          <w:highlight w:val="none"/>
          <w:u w:val="single"/>
          <w:shd w:val="clear" w:color="auto" w:fill="auto"/>
          <w:lang w:eastAsia="zh-CN"/>
        </w:rPr>
        <w:t xml:space="preserve">）</w:t>
      </w:r>
      <w:r>
        <w:rPr>
          <w:rFonts w:hint="eastAsia" w:ascii="宋体" w:hAnsi="宋体" w:eastAsia="宋体" w:cs="宋体"/>
          <w:i/>
          <w:color w:val="auto"/>
          <w:sz w:val="24"/>
          <w:szCs w:val="24"/>
          <w:highlight w:val="none"/>
          <w:u w:val="single"/>
          <w:shd w:val="clear" w:color="auto" w:fill="auto"/>
        </w:rPr>
        <w:t xml:space="preserve">本项目</w:t>
      </w:r>
      <w:r>
        <w:rPr>
          <w:rFonts w:hint="eastAsia" w:ascii="宋体" w:hAnsi="宋体" w:eastAsia="宋体" w:cs="宋体"/>
          <w:i/>
          <w:color w:val="auto"/>
          <w:sz w:val="24"/>
          <w:szCs w:val="24"/>
          <w:highlight w:val="none"/>
          <w:u w:val="single"/>
          <w:shd w:val="clear" w:color="auto" w:fill="auto"/>
          <w:lang w:val="en-US" w:eastAsia="zh-CN"/>
        </w:rPr>
        <w:t xml:space="preserve">不接受</w:t>
      </w:r>
      <w:r>
        <w:rPr>
          <w:rFonts w:hint="eastAsia" w:ascii="宋体" w:hAnsi="宋体" w:eastAsia="宋体" w:cs="宋体"/>
          <w:i/>
          <w:color w:val="auto"/>
          <w:sz w:val="24"/>
          <w:szCs w:val="24"/>
          <w:highlight w:val="none"/>
          <w:u w:val="single"/>
          <w:shd w:val="clear" w:color="auto" w:fill="auto"/>
        </w:rPr>
        <w:t xml:space="preserve">进口产品投标</w:t>
      </w:r>
      <w:r/>
    </w:p>
    <w:p>
      <w:pPr>
        <w:pStyle w:val="659"/>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五</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采购标的对应的中小企业划分标准所属行业一览表</w:t>
      </w:r>
      <w:r/>
    </w:p>
    <w:tbl>
      <w:tblPr>
        <w:tblStyle w:val="638"/>
        <w:tblW w:w="867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4835"/>
        <w:gridCol w:w="2860"/>
      </w:tblGrid>
      <w:tr>
        <w:trPr>
          <w:jc w:val="center"/>
          <w:tblCellSpacing w:w="0" w:type="dxa"/>
        </w:trPr>
        <w:tc>
          <w:tcPr>
            <w:shd w:val="clear" w:color="auto" w:fill="auto"/>
            <w:tcW w:w="976" w:type="dxa"/>
            <w:vAlign w:val="center"/>
            <w:textDirection w:val="lrTb"/>
            <w:noWrap w:val="false"/>
          </w:tcPr>
          <w:p>
            <w:pPr>
              <w:pStyle w:val="659"/>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rPr>
              <w:t xml:space="preserve">序号</w:t>
            </w:r>
            <w:r/>
          </w:p>
        </w:tc>
        <w:tc>
          <w:tcPr>
            <w:shd w:val="clear" w:color="auto" w:fill="auto"/>
            <w:tcW w:w="4835" w:type="dxa"/>
            <w:vAlign w:val="center"/>
            <w:textDirection w:val="lrTb"/>
            <w:noWrap w:val="false"/>
          </w:tcPr>
          <w:p>
            <w:pPr>
              <w:pStyle w:val="659"/>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rPr>
              <w:t xml:space="preserve">采购标的</w:t>
            </w:r>
            <w:r/>
          </w:p>
        </w:tc>
        <w:tc>
          <w:tcPr>
            <w:shd w:val="clear" w:color="auto" w:fill="auto"/>
            <w:tcW w:w="2860" w:type="dxa"/>
            <w:vAlign w:val="center"/>
            <w:textDirection w:val="lrTb"/>
            <w:noWrap w:val="false"/>
          </w:tcPr>
          <w:p>
            <w:pPr>
              <w:pStyle w:val="659"/>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rPr>
              <w:t xml:space="preserve">对应中小企业划分标准所属行业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书画社-顶部艺术装配</w:t>
            </w:r>
            <w:r/>
          </w:p>
        </w:tc>
        <w:tc>
          <w:tcPr>
            <w:shd w:val="clear" w:color="auto" w:fill="auto"/>
            <w:tcW w:w="2860" w:type="dxa"/>
            <w:vAlign w:val="center"/>
            <w:textDirection w:val="lrTb"/>
            <w:noWrap w:val="false"/>
          </w:tcPr>
          <w:p>
            <w:pPr>
              <w:jc w:val="center"/>
              <w:keepLines w:val="0"/>
              <w:keepNext w:val="0"/>
              <w:widowControl/>
              <w:rPr>
                <w:rFonts w:hint="default" w:asciiTheme="majorEastAsia" w:hAnsiTheme="majorEastAsia" w:eastAsiaTheme="majorEastAsia" w:cstheme="majorEastAsia"/>
                <w:color w:val="auto"/>
                <w:sz w:val="22"/>
                <w:szCs w:val="22"/>
                <w:highlight w:val="none"/>
                <w:shd w:val="clear" w:color="auto" w:fill="auto"/>
                <w:lang w:val="en-US" w:eastAsia="zh-CN"/>
              </w:rPr>
              <w:suppressLineNumbers w:val="0"/>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书画社-灯光系统</w:t>
            </w:r>
            <w:r/>
          </w:p>
        </w:tc>
        <w:tc>
          <w:tcPr>
            <w:shd w:val="clear" w:color="auto" w:fill="auto"/>
            <w:tcW w:w="2860" w:type="dxa"/>
            <w:vAlign w:val="center"/>
            <w:textDirection w:val="lrTb"/>
            <w:noWrap w:val="false"/>
          </w:tcPr>
          <w:p>
            <w:pPr>
              <w:jc w:val="center"/>
              <w:keepLines w:val="0"/>
              <w:keepNext w:val="0"/>
              <w:widowControl/>
              <w:rPr>
                <w:rFonts w:hint="default" w:asciiTheme="majorEastAsia" w:hAnsiTheme="majorEastAsia" w:eastAsiaTheme="majorEastAsia" w:cstheme="majorEastAsia"/>
                <w:color w:val="auto"/>
                <w:sz w:val="22"/>
                <w:szCs w:val="22"/>
                <w:highlight w:val="none"/>
                <w:shd w:val="clear" w:color="auto" w:fill="auto"/>
                <w:lang w:val="en-US" w:eastAsia="zh-CN"/>
              </w:rPr>
              <w:suppressLineNumbers w:val="0"/>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书画社-木制艺术造型</w:t>
            </w:r>
            <w:r/>
          </w:p>
        </w:tc>
        <w:tc>
          <w:tcPr>
            <w:shd w:val="clear" w:color="auto" w:fill="auto"/>
            <w:tcW w:w="2860" w:type="dxa"/>
            <w:vAlign w:val="center"/>
            <w:textDirection w:val="lrTb"/>
            <w:noWrap w:val="false"/>
          </w:tcPr>
          <w:p>
            <w:pPr>
              <w:pStyle w:val="659"/>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书画社-木制艺术展览板</w:t>
            </w:r>
            <w:r/>
          </w:p>
        </w:tc>
        <w:tc>
          <w:tcPr>
            <w:shd w:val="clear" w:color="auto" w:fill="auto"/>
            <w:tcW w:w="2860" w:type="dxa"/>
            <w:vAlign w:val="center"/>
            <w:textDirection w:val="lrTb"/>
            <w:noWrap w:val="false"/>
          </w:tcPr>
          <w:p>
            <w:pPr>
              <w:pStyle w:val="659"/>
              <w:jc w:val="center"/>
              <w:spacing w:beforeAutospacing="0" w:afterAutospacing="0" w:line="0" w:lineRule="atLeast"/>
              <w:rPr>
                <w:rFonts w:hint="default"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书画社-木制书法用具陈列区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书画社-中式仿古书画桌椅套装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书画社-桌面画架</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书画社-学生级素描套装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书画社-书画专用护眼灯</w:t>
            </w:r>
            <w:r/>
          </w:p>
        </w:tc>
        <w:tc>
          <w:tcPr>
            <w:shd w:val="clear" w:color="auto" w:fill="auto"/>
            <w:tcW w:w="2860" w:type="dxa"/>
            <w:vAlign w:val="center"/>
            <w:textDirection w:val="lrTb"/>
            <w:noWrap w:val="false"/>
          </w:tcPr>
          <w:p>
            <w:pPr>
              <w:jc w:val="center"/>
              <w:keepLines w:val="0"/>
              <w:keepNext w:val="0"/>
              <w:pageBreakBefore w:val="0"/>
              <w:spacing w:beforeAutospacing="0" w:afterAutospacing="0" w:line="240" w:lineRule="auto"/>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书画社-毛笔套装（进阶级）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书画社-宣纸与毛边纸套装（进阶级）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书画社-墨汁与砚台（进阶级）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35"/>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书画社-书画基础配置包套装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书画社-交互式书画桌系统（含书画椅）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bookmarkStart w:id="172" w:name="_Toc120614281"/>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书画社-底部轻质饰面</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党校/团室/志愿者社团-会议桌</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党校/团室/志愿者社团-会议椅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党校/团室/志愿者社团-置物架</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党校/团室/志愿者社团-木制艺术造型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党校/团室/志愿者社团-木质艺术展览板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党校/团室/志愿者社团-木质志愿者文化陈列区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棋社-围棋象棋二合一棋盘套装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棋社-智能交互磁吸教学棋盘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棋社-电子棋钟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棋社-​棋盘清洁套装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棋社-智能对弈系统套装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棋社-传统中式棋艺桌</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棋社-传统中式棋艺椅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棋社-传统中式观棋椅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棋社-木制艺术造型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棋社-木制艺术展览板A</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棋社-木制艺术展览板B</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棋社-古典棋谱造型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无线教学扩声主机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无线麦克风</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无线教学扩声音箱</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发绣制作社-艺术造型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发绣制作社-艺术氛围展示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发绣制作社-木制艺术展览板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发绣制作社-多功能储物柜</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发绣制作社-便携式绣架</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发绣制作社-可调式刺绣台</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发绣制作社-针线收纳盒</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发绣制作社-发绣工作台套装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发绣制作社-发绣工作椅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发绣制作社-传统技艺百科知识系统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发绣制作社-发绣技艺基础配置包套装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发绣制作社-定制竹帘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非遗手工社-非遗手工基础配置包套装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非遗手工社-多功能操作台</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非遗手工社-多功能操作台凳</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非遗手工社-多功能储物台</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非遗手工社-陶艺拉坯机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非遗手工社-木刻刀套装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非遗手工社-电动雕刻机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非遗手工社-篆刻刀</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非遗手工社-印床</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非遗手工社-拓印工具包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非遗手工社-手摇缝纫机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非遗手工社-非遗文化智能交互系统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非遗手工社-艺术氛围展示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非遗手工社-木制艺术展览板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非遗手工社-定制竹帘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default"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摄影社-艺术造型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摄影社-木制艺术展览板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摄影社-入门级相机（学生级）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摄影社-摄影基础配置包套装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摄影社-艺术展示画框</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摄影社-摄影幕布</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摄影社-洽谈桌</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摄影社-洽谈椅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锡剧社-中式仿古座椅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锡剧社-中式花架</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锡剧社-木制艺术造型</w:t>
            </w:r>
            <w:r/>
          </w:p>
        </w:tc>
        <w:tc>
          <w:tcPr>
            <w:shd w:val="clear" w:color="auto" w:fill="auto"/>
            <w:tcW w:w="2860" w:type="dxa"/>
            <w:vAlign w:val="center"/>
            <w:textDirection w:val="lrTb"/>
            <w:noWrap w:val="false"/>
          </w:tcPr>
          <w:p>
            <w:pPr>
              <w:jc w:val="center"/>
              <w:spacing w:beforeAutospacing="0" w:afterAutospacing="0" w:line="0" w:lineRule="atLeast"/>
              <w:rPr>
                <w:rFonts w:hint="default"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锡剧社-锡剧舞台氛围展示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锡剧社-文化戏曲交互系统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锡剧社-木制艺术展览板A</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锡剧社-木制艺术展览板B</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锡剧社-锡剧化妆台组合套装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锡剧社-移动舞台车</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锡剧社-锡剧基础配置包套装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锡剧社-定制竹帘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非遗美食社-木制艺术造型展览板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非遗美食社-厨房电子秤</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非遗美食社-量杯套装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非遗美食社-食品级清洁刷</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非遗美食社-​传统模具套装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非遗美食社-密封保鲜盒</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非遗美食社-小型高压锅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非遗美食社-小型绞肉机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非遗美食社-螺旋破碎榨汁机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非遗美食社-小型微波炉</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非遗美食社-多功能蒸煮一体机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非遗美食社-电炸锅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非遗美食社-和面机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非遗美食社-传统石磨</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非遗美食社-非遗美食基础配置包套装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非遗美食社-仿古桌凳套装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非遗美食社-非遗美食操作台</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民乐社-民乐演奏地台</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民乐社-木制艺术造型展览板A</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民乐社-木制艺术造型展览板B</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民乐社-乐器陈列艺术造型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民乐社-音响与扩音系统套装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民乐社-民乐基础配置包套装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民乐社-凳子</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民乐社-二胡（学生级）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民乐社-琵琶（学生级）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民乐社-古筝（学生级）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民乐社-竹笛（学生级）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民乐社-笙（学生级）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民乐社-智能钢琴</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社团活动基地公共区-艺术造型展览板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社团活动基地公共区-底部轻质饰面</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社团活动基地公共区-卫生间整体改造</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社团活动基地公共区-门套及原门处理</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社团活动基地公共区-智能锁</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bl>
    <w:p>
      <w:pPr>
        <w:pStyle w:val="6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9"/>
        <w:ind w:firstLine="602"/>
        <w:jc w:val="both"/>
        <w:spacing w:beforeAutospacing="0" w:afterAutospacing="0"/>
        <w:rPr>
          <w:highlight w:val="none"/>
        </w:rPr>
      </w:pPr>
      <w:r>
        <w:rPr>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59"/>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59"/>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6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819"/>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p>
    <w:p>
      <w:pPr>
        <w:pStyle w:val="659"/>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659"/>
        <w:ind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819"/>
        <w:ind w:firstLine="36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注：本项目为货物类项目，货物应当全部由中小企业制造且使用该中小企业商号或者注册商标，方可享受中小企业扶持政策，不对其中涉及的工程承建商作出要求。</w:t>
      </w:r>
      <w:r/>
    </w:p>
    <w:p>
      <w:pPr>
        <w:pStyle w:val="6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659"/>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59"/>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659"/>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6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659"/>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6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659"/>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pStyle w:val="659"/>
        <w:ind w:firstLine="480"/>
        <w:spacing w:before="120" w:beforeAutospacing="0" w:after="120" w:afterAutospacing="0"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000000"/>
          <w:sz w:val="24"/>
          <w:szCs w:val="24"/>
          <w:highlight w:val="none"/>
        </w:rPr>
        <w:t xml:space="preserve">6、联合体各方均为小型、微型企业（残疾人福利单位、监狱企业）的，联合</w:t>
      </w:r>
      <w:r>
        <w:rPr>
          <w:rFonts w:hint="eastAsia" w:ascii="宋体" w:hAnsi="宋体" w:eastAsia="宋体" w:cs="宋体"/>
          <w:color w:val="auto"/>
          <w:sz w:val="24"/>
          <w:szCs w:val="24"/>
          <w:highlight w:val="none"/>
        </w:rPr>
        <w:t xml:space="preserve">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59"/>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638"/>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236"/>
        <w:gridCol w:w="1495"/>
        <w:gridCol w:w="993"/>
        <w:gridCol w:w="4838"/>
      </w:tblGrid>
      <w:tr>
        <w:trPr>
          <w:jc w:val="center"/>
          <w:trHeight w:val="574"/>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分部内容</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打分要求</w:t>
            </w:r>
            <w:r/>
          </w:p>
        </w:tc>
      </w:tr>
      <w:tr>
        <w:trPr>
          <w:jc w:val="center"/>
          <w:trHeight w:val="867"/>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价格部分</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ff0000"/>
                <w:sz w:val="21"/>
                <w:szCs w:val="21"/>
                <w:highlight w:val="none"/>
                <w:lang w:val="en-US"/>
              </w:rPr>
            </w:pPr>
            <w:r>
              <w:rPr>
                <w:rFonts w:hint="eastAsia" w:ascii="宋体" w:hAnsi="宋体" w:eastAsia="宋体" w:cs="宋体"/>
                <w:b w:val="0"/>
                <w:bCs w:val="0"/>
                <w:color w:val="ff0000"/>
                <w:sz w:val="21"/>
                <w:szCs w:val="21"/>
                <w:highlight w:val="none"/>
                <w:lang w:val="en-US" w:eastAsia="zh-CN"/>
              </w:rPr>
              <w:t xml:space="preserve">32分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满足招标文件要求且投标价格最低的投标报价为基准价，其价格分为满分。报价得分=(评标基准价/投标报价)×32。</w:t>
            </w:r>
            <w:r/>
          </w:p>
        </w:tc>
      </w:tr>
      <w:tr>
        <w:trPr>
          <w:jc w:val="center"/>
          <w:trHeight w:val="90"/>
        </w:trPr>
        <w:tc>
          <w:tcPr>
            <w:tcBorders>
              <w:top w:val="single" w:color="auto" w:sz="4" w:space="0"/>
              <w:left w:val="single" w:color="auto" w:sz="4" w:space="0"/>
              <w:right w:val="single" w:color="auto" w:sz="4" w:space="0"/>
            </w:tcBorders>
            <w:tcW w:w="63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二</w:t>
            </w:r>
            <w:r/>
          </w:p>
        </w:tc>
        <w:tc>
          <w:tcPr>
            <w:tcBorders>
              <w:top w:val="single" w:color="auto" w:sz="4" w:space="0"/>
              <w:left w:val="single" w:color="auto" w:sz="4" w:space="0"/>
              <w:right w:val="single" w:color="auto" w:sz="4" w:space="0"/>
            </w:tcBorders>
            <w:tcW w:w="1236"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技术部分</w:t>
            </w:r>
            <w:r/>
          </w:p>
        </w:tc>
        <w:tc>
          <w:tcPr>
            <w:shd w:val="clear" w:color="auto" w:fill="auto"/>
            <w:tcBorders>
              <w:top w:val="single" w:color="auto" w:sz="4" w:space="0"/>
              <w:left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技术参数</w:t>
            </w:r>
            <w:r/>
          </w:p>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响应情况</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rPr>
              <w:t xml:space="preserve">34分</w:t>
            </w:r>
            <w:r/>
          </w:p>
        </w:tc>
        <w:tc>
          <w:tcPr>
            <w:tcBorders>
              <w:top w:val="single" w:color="auto" w:sz="4" w:space="0"/>
              <w:left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对招标需求书的要求进行评审（基础分34分），完全满足招标文件要求的不扣分；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其中：标“★”指标为重点响应项，每发现一处负偏离扣2分，扣完为止。</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注：对于采购文件中需提供证明材料作为佐证的参数，供应商应按要求提供，否则视为负偏离。</w:t>
            </w:r>
            <w:r/>
          </w:p>
        </w:tc>
      </w:tr>
      <w:tr>
        <w:trPr>
          <w:jc w:val="center"/>
          <w:trHeight w:val="665"/>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售后服务</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对投标人提供售后服务人员社保、售后服务计划、售后服务响应时间、售后服务方式方面进行综合评审，无任何缺项得8分，有任意一缺项扣2分。</w:t>
            </w:r>
            <w:r/>
          </w:p>
        </w:tc>
      </w:tr>
      <w:tr>
        <w:trPr>
          <w:jc w:val="center"/>
          <w:trHeight w:val="781"/>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技术服务方案</w:t>
            </w:r>
            <w:r/>
          </w:p>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numPr>
                <w:ilvl w:val="0"/>
                <w:numId w:val="0"/>
              </w:num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投标人提供的方案，需</w:t>
            </w:r>
            <w:r>
              <w:rPr>
                <w:rFonts w:hint="eastAsia" w:ascii="宋体" w:hAnsi="宋体" w:eastAsia="宋体" w:cs="宋体"/>
                <w:b w:val="0"/>
                <w:bCs w:val="0"/>
                <w:sz w:val="21"/>
                <w:szCs w:val="21"/>
              </w:rPr>
              <w:t xml:space="preserve">全面涵盖项目需求分析、服务内容规划、进度管理、质量管理</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全面涵盖得8分，有任意一缺项扣2分，扣完为止。</w:t>
            </w:r>
            <w:r/>
          </w:p>
        </w:tc>
      </w:tr>
      <w:tr>
        <w:trPr>
          <w:jc w:val="center"/>
          <w:trHeight w:val="247"/>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项目实施方案</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（1）提供对于物流环节和货物到达现场后分配环节的控制方案得2分，不提供不得分。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（2）对照招标文件内的清单，提供相应产品的安装说明和使用说明得2分，不提供不得分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（3）根据项目实际情况，结合本次采购产品清单，为采购人推荐有效的安装布置方案得2分，不提供不得分。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（4）针对本项目的产品，制定确保安装、调试、验收环节的质量保证措施的方案得2分，不提供不得分。</w:t>
            </w:r>
            <w:r/>
          </w:p>
        </w:tc>
      </w:tr>
      <w:tr>
        <w:trPr>
          <w:jc w:val="center"/>
          <w:trHeight w:val="6764"/>
        </w:trPr>
        <w:tc>
          <w:tcPr>
            <w:tcBorders>
              <w:left w:val="single" w:color="auto" w:sz="4" w:space="0"/>
              <w:right w:val="single" w:color="auto" w:sz="4" w:space="0"/>
            </w:tcBorders>
            <w:tcW w:w="6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三</w:t>
            </w:r>
            <w:r/>
          </w:p>
        </w:tc>
        <w:tc>
          <w:tcPr>
            <w:tcBorders>
              <w:left w:val="single" w:color="auto" w:sz="4" w:space="0"/>
              <w:right w:val="single" w:color="auto" w:sz="4" w:space="0"/>
            </w:tcBorders>
            <w:tcW w:w="12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商务部分</w:t>
            </w:r>
            <w:r/>
          </w:p>
        </w:tc>
        <w:tc>
          <w:tcPr>
            <w:tcBorders>
              <w:top w:val="single" w:color="auto" w:sz="4" w:space="0"/>
              <w:left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功能演示</w:t>
            </w:r>
            <w:r/>
          </w:p>
        </w:tc>
        <w:tc>
          <w:tcPr>
            <w:tcBorders>
              <w:top w:val="single" w:color="auto" w:sz="4" w:space="0"/>
              <w:left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发绣制作社-传统技艺百科知识软件系统演示：</w:t>
            </w:r>
            <w:r/>
          </w:p>
          <w:p>
            <w:pPr>
              <w:numPr>
                <w:ilvl w:val="0"/>
                <w:numId w:val="2"/>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触摸屏报纸选择：支持读者在触摸屏上进行图书选择，图书列表的展现以最新的头版版面缩略图为导航。读者选择阅读某本图书，触摸屏通过“双页浏览”模式展现图书各版面缩略图，读者可通过触摸点击版面导航进行翻页操作，或通过触摸移动方式进行翻页阅读。（2分）</w:t>
            </w:r>
            <w:r/>
          </w:p>
          <w:p>
            <w:pPr>
              <w:numPr>
                <w:ilvl w:val="0"/>
                <w:numId w:val="2"/>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版面需要有报纸,图书,期刊,视频,音频,党建网站,视频广告,公告新闻等模块。支持手机微信或者其它扫码方式直接扫二维码下载阅读报纸，期刊，图书，视频，音频文件到手机阅读。可以支持手机APP阅读和平板墨水屏阅读本阅读。（2分）</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锡剧社-文化戏曲交互软件系统演示：</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戏曲欣赏：丰富的戏曲欣赏内容，含有京剧、越剧、黄梅戏、评剧、豫剧，锡剧等精选经典曲目片段，海量资源，按类别分类，便于学习。（2分）</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虚拟拍照：人脸追踪识别技术与戏曲的结合，通过数字互动，实现传统与科技的结合，有趣的表现形式，更能引起体验者的兴趣，更有利于戏曲的传播。（2分）</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数据统计：设备运转情况，数据分析；每月每周每日体验总人次数据图；五大戏剧独立的学习观看人次；互动体验人次；朋友圈分享数据；可以与第三方数据平台共享数据，实现数据嫁接。（2分）</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注：禁止使用多个软件叠加实现以上功能。</w:t>
            </w:r>
            <w:r/>
          </w:p>
          <w:p>
            <w:pPr>
              <w:numPr>
                <w:ilvl w:val="0"/>
                <w:numId w:val="0"/>
              </w:numPr>
              <w:jc w:val="left"/>
              <w:keepLines w:val="0"/>
              <w:keepNext w:val="0"/>
              <w:widowControl/>
              <w:rPr>
                <w:rFonts w:hint="eastAsia"/>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功能演示文件单个视频大小及格式符合系统要求。演示视频时间控制在10分钟以内。</w:t>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659"/>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659"/>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9"/>
        <w:jc w:val="center"/>
        <w:keepLines w:val="0"/>
        <w:keepNext/>
        <w:pageBreakBefore w:val="0"/>
        <w:spacing w:beforeAutospacing="0" w:after="313" w:afterAutospacing="0"/>
        <w:widowControl w:val="off"/>
        <w:rPr>
          <w:highlight w:val="none"/>
        </w:rPr>
      </w:pPr>
      <w:r>
        <w:rPr>
          <w:rFonts w:hint="eastAsia" w:ascii="黑体" w:hAnsi="宋体" w:eastAsia="黑体" w:cs="黑体"/>
          <w:color w:val="000000"/>
          <w:sz w:val="44"/>
          <w:szCs w:val="44"/>
          <w:highlight w:val="none"/>
        </w:rPr>
        <w:t xml:space="preserve"> </w:t>
      </w:r>
      <w:r/>
    </w:p>
    <w:p>
      <w:pPr>
        <w:pStyle w:val="659"/>
        <w:jc w:val="center"/>
        <w:spacing w:beforeAutospacing="0" w:afterAutospacing="0"/>
        <w:rPr>
          <w:highlight w:val="none"/>
        </w:rPr>
      </w:pPr>
      <w:r/>
      <w:bookmarkStart w:id="173" w:name="_Toc120614282"/>
      <w:r/>
      <w:bookmarkEnd w:id="173"/>
      <w:r/>
      <w:bookmarkStart w:id="174" w:name="_Toc49090576"/>
      <w:r/>
      <w:bookmarkEnd w:id="174"/>
      <w:r/>
      <w:bookmarkStart w:id="175" w:name="_Hlt26955039"/>
      <w:r/>
      <w:bookmarkStart w:id="176" w:name="_Toc26554094"/>
      <w:r/>
      <w:bookmarkStart w:id="177" w:name="_Hlt26671244"/>
      <w:r>
        <w:rPr>
          <w:rFonts w:hint="eastAsia" w:ascii="宋体" w:hAnsi="宋体" w:eastAsia="宋体" w:cs="宋体"/>
          <w:b/>
          <w:color w:val="000000"/>
          <w:sz w:val="72"/>
          <w:szCs w:val="72"/>
          <w:highlight w:val="none"/>
        </w:rPr>
        <w:t xml:space="preserve">投  标  文  件</w:t>
      </w:r>
      <w:r/>
    </w:p>
    <w:p>
      <w:pPr>
        <w:pStyle w:val="659"/>
        <w:jc w:val="center"/>
        <w:spacing w:beforeAutospacing="0" w:afterAutospacing="0"/>
        <w:rPr>
          <w:highlight w:val="none"/>
        </w:rPr>
      </w:pPr>
      <w:r>
        <w:rPr>
          <w:highlight w:val="none"/>
        </w:rPr>
        <w:t xml:space="preserve"> </w:t>
      </w:r>
      <w:r/>
    </w:p>
    <w:p>
      <w:pPr>
        <w:pStyle w:val="659"/>
        <w:jc w:val="center"/>
        <w:spacing w:beforeAutospacing="0" w:afterAutospacing="0"/>
        <w:rPr>
          <w:highlight w:val="none"/>
        </w:rPr>
      </w:pPr>
      <w:r>
        <w:rPr>
          <w:highlight w:val="none"/>
        </w:rPr>
        <w:t xml:space="preserve"> </w:t>
      </w:r>
      <w:r/>
    </w:p>
    <w:p>
      <w:pPr>
        <w:pStyle w:val="659"/>
        <w:jc w:val="center"/>
        <w:spacing w:beforeAutospacing="0" w:afterAutospacing="0"/>
        <w:rPr>
          <w:highlight w:val="none"/>
        </w:rPr>
      </w:pPr>
      <w:r>
        <w:rPr>
          <w:highlight w:val="none"/>
        </w:rPr>
        <w:t xml:space="preserve"> </w:t>
      </w:r>
      <w:r/>
    </w:p>
    <w:p>
      <w:pPr>
        <w:pStyle w:val="659"/>
        <w:jc w:val="center"/>
        <w:spacing w:beforeAutospacing="0" w:afterAutospacing="0"/>
        <w:rPr>
          <w:highlight w:val="none"/>
        </w:rPr>
      </w:pPr>
      <w:r>
        <w:rPr>
          <w:highlight w:val="none"/>
        </w:rPr>
        <w:t xml:space="preserve"> </w:t>
      </w:r>
      <w:r/>
    </w:p>
    <w:p>
      <w:pPr>
        <w:pStyle w:val="659"/>
        <w:jc w:val="center"/>
        <w:spacing w:beforeAutospacing="0" w:afterAutospacing="0"/>
        <w:rPr>
          <w:highlight w:val="none"/>
        </w:rPr>
      </w:pPr>
      <w:r>
        <w:rPr>
          <w:highlight w:val="none"/>
        </w:rPr>
        <w:t xml:space="preserve"> </w:t>
      </w:r>
      <w:r/>
    </w:p>
    <w:p>
      <w:pPr>
        <w:pStyle w:val="659"/>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659"/>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659"/>
        <w:jc w:val="both"/>
        <w:spacing w:beforeAutospacing="0" w:afterAutospacing="0"/>
        <w:rPr>
          <w:rFonts w:hint="default" w:eastAsia="宋体"/>
          <w:highlight w:val="none"/>
          <w:lang w:val="en-US" w:eastAsia="zh-CN"/>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b/>
          <w:color w:val="000000"/>
          <w:sz w:val="36"/>
          <w:szCs w:val="36"/>
          <w:highlight w:val="none"/>
          <w:u w:val="single"/>
          <w:lang w:val="en-US" w:eastAsia="zh-CN"/>
        </w:rPr>
        <w:t xml:space="preserve">      </w:t>
      </w:r>
      <w:r/>
    </w:p>
    <w:p>
      <w:pPr>
        <w:pStyle w:val="659"/>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59"/>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59"/>
        <w:jc w:val="center"/>
        <w:spacing w:beforeAutospacing="0" w:afterAutospacing="0" w:line="0" w:lineRule="atLeast"/>
        <w:rPr>
          <w:highlight w:val="none"/>
        </w:rPr>
      </w:pPr>
      <w:r>
        <w:rPr>
          <w:highlight w:val="none"/>
        </w:rPr>
        <w:t xml:space="preserve"> </w:t>
      </w:r>
      <w:r/>
    </w:p>
    <w:p>
      <w:pPr>
        <w:pStyle w:val="659"/>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left="0" w:firstLine="480"/>
        <w:jc w:val="left"/>
        <w:keepLines w:val="0"/>
        <w:keepNext w:val="0"/>
        <w:pageBreakBefore w:val="0"/>
        <w:spacing w:line="360" w:lineRule="auto"/>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659"/>
        <w:ind w:left="0"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59"/>
        <w:ind w:left="0"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9"/>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59"/>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59"/>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659"/>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八、投标函</w:t>
      </w:r>
      <w:r/>
    </w:p>
    <w:p>
      <w:pPr>
        <w:pStyle w:val="659"/>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59"/>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59"/>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十一、投标分项报价表</w:t>
      </w:r>
      <w:r/>
    </w:p>
    <w:p>
      <w:pPr>
        <w:pStyle w:val="659"/>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659"/>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659"/>
        <w:ind w:left="0" w:firstLine="480"/>
        <w:jc w:val="both"/>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ind w:left="0" w:firstLine="480"/>
        <w:keepLines w:val="0"/>
        <w:keepNext w:val="0"/>
        <w:pageBreakBefore w:val="0"/>
        <w:spacing w:line="360" w:lineRule="auto"/>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五</w:t>
      </w:r>
      <w:r>
        <w:rPr>
          <w:rFonts w:hint="eastAsia" w:ascii="宋体" w:hAnsi="宋体" w:eastAsia="宋体" w:cs="宋体"/>
          <w:i w:val="0"/>
          <w:iCs/>
          <w:color w:val="000000"/>
          <w:sz w:val="24"/>
          <w:highlight w:val="none"/>
          <w:u w:val="none"/>
        </w:rPr>
        <w:t xml:space="preserve">、技术方案、服务承诺、培训承诺等</w:t>
      </w:r>
      <w:r/>
    </w:p>
    <w:p>
      <w:pPr>
        <w:pStyle w:val="659"/>
        <w:ind w:left="0" w:firstLine="480"/>
        <w:jc w:val="both"/>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、盐城市政府采购事前信用承诺书</w:t>
      </w:r>
      <w:r/>
    </w:p>
    <w:p>
      <w:pPr>
        <w:pStyle w:val="659"/>
        <w:ind w:firstLine="480"/>
        <w:jc w:val="both"/>
        <w:spacing w:beforeAutospacing="0" w:afterAutospacing="0" w:line="0" w:lineRule="atLeast"/>
        <w:rPr>
          <w:highlight w:val="none"/>
        </w:rPr>
      </w:pPr>
      <w:r>
        <w:rPr>
          <w:highlight w:val="none"/>
        </w:rPr>
        <w:t xml:space="preserve"> </w:t>
      </w:r>
      <w:r/>
    </w:p>
    <w:p>
      <w:pPr>
        <w:pStyle w:val="659"/>
        <w:ind w:firstLine="480"/>
        <w:jc w:val="both"/>
        <w:spacing w:beforeAutospacing="0" w:afterAutospacing="0" w:line="0" w:lineRule="atLeast"/>
        <w:rPr>
          <w:highlight w:val="none"/>
        </w:rPr>
      </w:pPr>
      <w:r>
        <w:rPr>
          <w:highlight w:val="none"/>
        </w:rPr>
        <w:t xml:space="preserve"> </w:t>
      </w:r>
      <w:r/>
    </w:p>
    <w:p>
      <w:pPr>
        <w:pStyle w:val="659"/>
        <w:ind w:firstLine="480"/>
        <w:jc w:val="both"/>
        <w:spacing w:beforeAutospacing="0" w:afterAutospacing="0" w:line="0" w:lineRule="atLeast"/>
        <w:rPr>
          <w:highlight w:val="none"/>
        </w:rPr>
      </w:pPr>
      <w:r>
        <w:rPr>
          <w:highlight w:val="none"/>
        </w:rPr>
        <w:t xml:space="preserve"> </w:t>
      </w:r>
      <w:r/>
    </w:p>
    <w:p>
      <w:pPr>
        <w:pStyle w:val="659"/>
        <w:ind w:firstLine="480"/>
        <w:jc w:val="both"/>
        <w:spacing w:beforeAutospacing="0" w:afterAutospacing="0" w:line="0" w:lineRule="atLeast"/>
        <w:rPr>
          <w:highlight w:val="none"/>
        </w:rPr>
      </w:pPr>
      <w:r>
        <w:rPr>
          <w:highlight w:val="none"/>
        </w:rPr>
        <w:t xml:space="preserve"> </w:t>
      </w:r>
      <w:r/>
    </w:p>
    <w:p>
      <w:pPr>
        <w:pStyle w:val="659"/>
        <w:ind w:firstLine="480"/>
        <w:jc w:val="both"/>
        <w:spacing w:beforeAutospacing="0" w:afterAutospacing="0" w:line="0" w:lineRule="atLeast"/>
        <w:rPr>
          <w:highlight w:val="none"/>
        </w:rPr>
      </w:pPr>
      <w:r>
        <w:rPr>
          <w:highlight w:val="none"/>
        </w:rPr>
        <w:t xml:space="preserve"> </w:t>
      </w:r>
      <w:r/>
    </w:p>
    <w:p>
      <w:pPr>
        <w:pStyle w:val="659"/>
        <w:ind w:firstLine="480"/>
        <w:jc w:val="both"/>
        <w:spacing w:beforeAutospacing="0" w:afterAutospacing="0" w:line="0" w:lineRule="atLeast"/>
        <w:rPr>
          <w:highlight w:val="none"/>
        </w:rPr>
      </w:pPr>
      <w:r>
        <w:rPr>
          <w:highlight w:val="none"/>
        </w:rPr>
        <w:t xml:space="preserve"> </w:t>
      </w:r>
      <w:r/>
    </w:p>
    <w:p>
      <w:pPr>
        <w:pStyle w:val="659"/>
        <w:ind w:firstLine="480"/>
        <w:jc w:val="both"/>
        <w:spacing w:beforeAutospacing="0" w:afterAutospacing="0" w:line="0" w:lineRule="atLeast"/>
        <w:rPr>
          <w:highlight w:val="none"/>
        </w:rPr>
      </w:pPr>
      <w:r>
        <w:rPr>
          <w:highlight w:val="none"/>
        </w:rPr>
        <w:t xml:space="preserve"> </w:t>
      </w:r>
      <w:r/>
    </w:p>
    <w:p>
      <w:pPr>
        <w:pStyle w:val="659"/>
        <w:ind w:firstLine="480"/>
        <w:jc w:val="both"/>
        <w:spacing w:beforeAutospacing="0" w:afterAutospacing="0" w:line="0" w:lineRule="atLeast"/>
        <w:rPr>
          <w:highlight w:val="none"/>
        </w:rPr>
      </w:pPr>
      <w:r>
        <w:rPr>
          <w:highlight w:val="none"/>
        </w:rPr>
        <w:t xml:space="preserve"> </w:t>
      </w:r>
      <w:r/>
    </w:p>
    <w:p>
      <w:pPr>
        <w:pStyle w:val="659"/>
        <w:ind w:firstLine="480"/>
        <w:jc w:val="both"/>
        <w:spacing w:beforeAutospacing="0" w:afterAutospacing="0" w:line="0" w:lineRule="atLeast"/>
        <w:rPr>
          <w:highlight w:val="none"/>
        </w:rPr>
      </w:pPr>
      <w:r>
        <w:rPr>
          <w:highlight w:val="none"/>
        </w:rPr>
      </w:r>
      <w:r/>
    </w:p>
    <w:p>
      <w:pPr>
        <w:pStyle w:val="659"/>
        <w:ind w:firstLine="480"/>
        <w:jc w:val="both"/>
        <w:spacing w:beforeAutospacing="0" w:afterAutospacing="0" w:line="0" w:lineRule="atLeast"/>
        <w:rPr>
          <w:highlight w:val="none"/>
        </w:rPr>
      </w:pPr>
      <w:r>
        <w:rPr>
          <w:highlight w:val="none"/>
        </w:rPr>
      </w:r>
      <w:r/>
    </w:p>
    <w:p>
      <w:pPr>
        <w:pStyle w:val="659"/>
        <w:ind w:firstLine="480"/>
        <w:jc w:val="both"/>
        <w:spacing w:beforeAutospacing="0" w:afterAutospacing="0" w:line="0" w:lineRule="atLeast"/>
        <w:rPr>
          <w:highlight w:val="none"/>
        </w:rPr>
      </w:pPr>
      <w:r>
        <w:rPr>
          <w:highlight w:val="none"/>
        </w:rPr>
      </w:r>
      <w:r/>
    </w:p>
    <w:p>
      <w:pPr>
        <w:pStyle w:val="659"/>
        <w:ind w:firstLine="480"/>
        <w:jc w:val="both"/>
        <w:spacing w:beforeAutospacing="0" w:afterAutospacing="0" w:line="0" w:lineRule="atLeast"/>
        <w:rPr>
          <w:highlight w:val="none"/>
        </w:rPr>
      </w:pPr>
      <w:r>
        <w:rPr>
          <w:highlight w:val="none"/>
        </w:rPr>
      </w:r>
      <w:r/>
    </w:p>
    <w:p>
      <w:pPr>
        <w:pStyle w:val="659"/>
        <w:ind w:firstLine="480"/>
        <w:jc w:val="both"/>
        <w:spacing w:beforeAutospacing="0" w:afterAutospacing="0" w:line="0" w:lineRule="atLeast"/>
        <w:rPr>
          <w:highlight w:val="none"/>
        </w:rPr>
      </w:pPr>
      <w:r>
        <w:rPr>
          <w:highlight w:val="none"/>
        </w:rPr>
      </w:r>
      <w:r/>
    </w:p>
    <w:p>
      <w:pPr>
        <w:pStyle w:val="65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59"/>
        <w:ind w:firstLine="480"/>
        <w:jc w:val="both"/>
        <w:spacing w:beforeAutospacing="0" w:afterAutospacing="0" w:line="0" w:lineRule="atLeast"/>
        <w:rPr>
          <w:highlight w:val="none"/>
        </w:rPr>
      </w:pPr>
      <w:r>
        <w:rPr>
          <w:highlight w:val="none"/>
        </w:rPr>
        <w:t xml:space="preserve"> </w:t>
      </w:r>
      <w:r/>
    </w:p>
    <w:p>
      <w:pPr>
        <w:pStyle w:val="659"/>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59"/>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59"/>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59"/>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59"/>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59"/>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59"/>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659"/>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59"/>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59"/>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59"/>
        <w:jc w:val="center"/>
        <w:spacing w:beforeAutospacing="0" w:afterAutospacing="0"/>
        <w:rPr>
          <w:rFonts w:ascii="黑体" w:hAnsi="宋体" w:eastAsia="黑体" w:cs="黑体"/>
          <w:i/>
          <w:color w:val="000000"/>
          <w:sz w:val="32"/>
          <w:szCs w:val="32"/>
          <w:highlight w:val="none"/>
          <w:u w:val="single"/>
        </w:rPr>
      </w:pPr>
      <w:r/>
      <w:bookmarkStart w:id="178" w:name="_Toc120614284"/>
      <w:r/>
      <w:r/>
    </w:p>
    <w:p>
      <w:pPr>
        <w:pStyle w:val="659"/>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9"/>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9"/>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59"/>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59"/>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59"/>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59"/>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59"/>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59"/>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59"/>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59"/>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79" w:name="_Hlt26955070"/>
      <w:r/>
      <w:bookmarkStart w:id="180" w:name="_格式3__银行出具的资信证明"/>
      <w:r/>
      <w:bookmarkStart w:id="181" w:name="_Hlt26671380"/>
      <w:r>
        <w:rPr>
          <w:rFonts w:ascii="Times New Roman" w:hAnsi="Times New Roman"/>
          <w:color w:val="000000"/>
          <w:highlight w:val="none"/>
          <w:u w:val="single"/>
        </w:rPr>
        <w:t xml:space="preserve">                                         </w:t>
      </w:r>
      <w:r/>
    </w:p>
    <w:p>
      <w:pPr>
        <w:pStyle w:val="659"/>
        <w:ind w:firstLine="420"/>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line="0" w:lineRule="atLeast"/>
        <w:rPr>
          <w:highlight w:val="none"/>
          <w:shd w:val="clear" w:color="auto" w:fill="auto"/>
        </w:rPr>
      </w:pPr>
      <w:r>
        <w:rPr>
          <w:highlight w:val="none"/>
          <w:shd w:val="clear" w:color="auto" w:fill="auto"/>
        </w:rPr>
        <w:t xml:space="preserve"> </w:t>
      </w:r>
      <w:r/>
    </w:p>
    <w:p>
      <w:pPr>
        <w:pStyle w:val="659"/>
        <w:ind w:firstLine="360"/>
        <w:jc w:val="both"/>
        <w:spacing w:beforeAutospacing="0" w:afterAutospacing="0" w:line="0" w:lineRule="atLeast"/>
        <w:rPr>
          <w:highlight w:val="none"/>
          <w:shd w:val="clear" w:color="auto" w:fill="auto"/>
        </w:rPr>
      </w:pPr>
      <w:r>
        <w:rPr>
          <w:rFonts w:ascii="楷体" w:hAnsi="楷体" w:eastAsia="楷体" w:cs="楷体"/>
          <w:color w:val="000000"/>
          <w:highlight w:val="none"/>
          <w:shd w:val="clear" w:color="auto" w:fill="auto"/>
        </w:rPr>
        <w:t xml:space="preserve">备注 我公司（单位）委托进行现场演示的人员为（本项目如果无现场演示要求，请项目经办人自行删除备注）</w:t>
      </w:r>
      <w:r/>
    </w:p>
    <w:p>
      <w:pPr>
        <w:pStyle w:val="659"/>
        <w:jc w:val="both"/>
        <w:spacing w:beforeAutospacing="0" w:afterAutospacing="0" w:line="0" w:lineRule="atLeast"/>
        <w:rPr>
          <w:highlight w:val="none"/>
          <w:shd w:val="clear" w:color="auto" w:fill="auto"/>
        </w:rPr>
      </w:pP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（人员姓名），身份证号</w:t>
      </w: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w:t>
      </w:r>
      <w:r/>
    </w:p>
    <w:p>
      <w:pPr>
        <w:pStyle w:val="659"/>
        <w:jc w:val="both"/>
        <w:spacing w:beforeAutospacing="0" w:afterAutospacing="0" w:line="0" w:lineRule="atLeast"/>
        <w:rPr>
          <w:highlight w:val="none"/>
          <w:shd w:val="clear" w:color="auto" w:fill="auto"/>
        </w:rPr>
      </w:pPr>
      <w:r>
        <w:rPr>
          <w:rFonts w:hint="eastAsia" w:ascii="宋体" w:hAnsi="宋体" w:eastAsia="宋体" w:cs="宋体"/>
          <w:color w:val="000000"/>
          <w:highlight w:val="none"/>
          <w:shd w:val="clear" w:color="auto" w:fill="auto"/>
        </w:rPr>
        <w:t xml:space="preserve">……</w:t>
      </w:r>
      <w:r/>
    </w:p>
    <w:p>
      <w:pPr>
        <w:pStyle w:val="659"/>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659"/>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江苏省东台中学</w:t>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59"/>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59"/>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59"/>
        <w:ind w:firstLine="240"/>
        <w:jc w:val="center"/>
        <w:spacing w:beforeAutospacing="0" w:afterAutospacing="0" w:line="0" w:lineRule="atLeast"/>
        <w:rPr>
          <w:highlight w:val="none"/>
        </w:rPr>
      </w:pPr>
      <w:r>
        <w:rPr>
          <w:highlight w:val="none"/>
        </w:rPr>
        <w:t xml:space="preserve"> </w:t>
      </w:r>
      <w:r/>
    </w:p>
    <w:p>
      <w:pPr>
        <w:pStyle w:val="659"/>
        <w:ind w:firstLine="240"/>
        <w:jc w:val="center"/>
        <w:spacing w:beforeAutospacing="0" w:afterAutospacing="0" w:line="0" w:lineRule="atLeast"/>
        <w:rPr>
          <w:highlight w:val="none"/>
        </w:rPr>
      </w:pPr>
      <w:r>
        <w:rPr>
          <w:highlight w:val="none"/>
        </w:rPr>
        <w:t xml:space="preserve"> </w:t>
      </w:r>
      <w:r/>
    </w:p>
    <w:p>
      <w:pPr>
        <w:pStyle w:val="659"/>
        <w:ind w:firstLine="240"/>
        <w:jc w:val="center"/>
        <w:spacing w:beforeAutospacing="0" w:afterAutospacing="0" w:line="0" w:lineRule="atLeast"/>
        <w:rPr>
          <w:highlight w:val="none"/>
        </w:rPr>
      </w:pPr>
      <w:r>
        <w:rPr>
          <w:highlight w:val="none"/>
        </w:rPr>
        <w:t xml:space="preserve"> </w:t>
      </w:r>
      <w:r/>
    </w:p>
    <w:p>
      <w:pPr>
        <w:pStyle w:val="659"/>
        <w:ind w:firstLine="240"/>
        <w:jc w:val="center"/>
        <w:spacing w:beforeAutospacing="0" w:afterAutospacing="0" w:line="0" w:lineRule="atLeast"/>
        <w:rPr>
          <w:highlight w:val="none"/>
        </w:rPr>
      </w:pPr>
      <w:r>
        <w:rPr>
          <w:highlight w:val="none"/>
        </w:rPr>
        <w:t xml:space="preserve"> </w:t>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r>
      <w:r/>
    </w:p>
    <w:p>
      <w:pPr>
        <w:pStyle w:val="659"/>
        <w:ind w:firstLine="240"/>
        <w:jc w:val="center"/>
        <w:spacing w:beforeAutospacing="0" w:afterAutospacing="0" w:line="0" w:lineRule="atLeast"/>
        <w:rPr>
          <w:highlight w:val="none"/>
        </w:rPr>
      </w:pPr>
      <w:r>
        <w:rPr>
          <w:highlight w:val="none"/>
        </w:rPr>
        <w:t xml:space="preserve"> </w:t>
      </w:r>
      <w:r/>
    </w:p>
    <w:p>
      <w:pPr>
        <w:pStyle w:val="659"/>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u w:val="single"/>
          <w:lang w:val="en-US" w:eastAsia="zh-CN"/>
        </w:rPr>
        <w:t xml:space="preserve">江苏省东台中学</w:t>
      </w:r>
      <w:r>
        <w:rPr>
          <w:rFonts w:hint="eastAsia"/>
          <w:color w:val="auto"/>
          <w:sz w:val="24"/>
          <w:highlight w:val="none"/>
        </w:rPr>
        <w:t xml:space="preserve">组织的采购编号为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5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5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5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65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5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59"/>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59"/>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659"/>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659"/>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659"/>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659"/>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65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9"/>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 十、残疾人福利性单位声明函</w:t>
      </w:r>
      <w:r/>
    </w:p>
    <w:p>
      <w:pPr>
        <w:pStyle w:val="65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65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59"/>
        <w:ind w:firstLine="480"/>
        <w:jc w:val="both"/>
        <w:spacing w:beforeAutospacing="0" w:afterAutospacing="0" w:line="0" w:lineRule="atLeast"/>
        <w:rPr>
          <w:highlight w:val="none"/>
        </w:rPr>
      </w:pPr>
      <w:r>
        <w:rPr>
          <w:highlight w:val="none"/>
        </w:rPr>
        <w:t xml:space="preserve"> </w:t>
      </w:r>
      <w:r/>
    </w:p>
    <w:p>
      <w:pPr>
        <w:pStyle w:val="65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659"/>
        <w:ind w:firstLine="624"/>
        <w:jc w:val="both"/>
        <w:spacing w:beforeAutospacing="0" w:afterAutospacing="0" w:line="0" w:lineRule="atLeast"/>
        <w:rPr>
          <w:highlight w:val="none"/>
        </w:rPr>
      </w:pPr>
      <w:r>
        <w:rPr>
          <w:highlight w:val="none"/>
        </w:rPr>
        <w:t xml:space="preserve"> </w:t>
      </w:r>
      <w:r/>
    </w:p>
    <w:p>
      <w:pPr>
        <w:pStyle w:val="659"/>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59"/>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59"/>
        <w:jc w:val="center"/>
        <w:spacing w:beforeAutospacing="0" w:afterAutospacing="0" w:line="0" w:lineRule="atLeast"/>
        <w:rPr>
          <w:highlight w:val="none"/>
        </w:rPr>
      </w:pPr>
      <w:r>
        <w:rPr>
          <w:highlight w:val="none"/>
        </w:rPr>
        <w:t xml:space="preserve"> </w:t>
      </w:r>
      <w:r/>
    </w:p>
    <w:p>
      <w:pPr>
        <w:pStyle w:val="659"/>
        <w:jc w:val="center"/>
        <w:spacing w:beforeAutospacing="0" w:afterAutospacing="0" w:line="0" w:lineRule="atLeast"/>
        <w:rPr>
          <w:highlight w:val="none"/>
        </w:rPr>
      </w:pPr>
      <w:r>
        <w:rPr>
          <w:highlight w:val="none"/>
        </w:rPr>
        <w:t xml:space="preserve"> </w:t>
      </w:r>
      <w:r/>
    </w:p>
    <w:p>
      <w:pPr>
        <w:pStyle w:val="659"/>
        <w:jc w:val="center"/>
        <w:spacing w:beforeAutospacing="0" w:afterAutospacing="0" w:line="0" w:lineRule="atLeast"/>
        <w:rPr>
          <w:highlight w:val="none"/>
        </w:rPr>
      </w:pPr>
      <w:r>
        <w:rPr>
          <w:highlight w:val="none"/>
        </w:rPr>
        <w:t xml:space="preserve"> </w:t>
      </w:r>
      <w:r/>
    </w:p>
    <w:p>
      <w:pPr>
        <w:pStyle w:val="659"/>
        <w:jc w:val="center"/>
        <w:spacing w:beforeAutospacing="0" w:afterAutospacing="0" w:line="0" w:lineRule="atLeast"/>
        <w:rPr>
          <w:highlight w:val="none"/>
        </w:rPr>
      </w:pPr>
      <w:r>
        <w:rPr>
          <w:highlight w:val="none"/>
        </w:rPr>
        <w:t xml:space="preserve"> </w:t>
      </w:r>
      <w:r/>
    </w:p>
    <w:p>
      <w:pPr>
        <w:pStyle w:val="659"/>
        <w:jc w:val="center"/>
        <w:spacing w:beforeAutospacing="0" w:afterAutospacing="0" w:line="0" w:lineRule="atLeast"/>
        <w:rPr>
          <w:highlight w:val="none"/>
        </w:rPr>
      </w:pPr>
      <w:r>
        <w:rPr>
          <w:highlight w:val="none"/>
        </w:rPr>
        <w:t xml:space="preserve"> </w:t>
      </w:r>
      <w:r/>
    </w:p>
    <w:p>
      <w:pPr>
        <w:pStyle w:val="659"/>
        <w:jc w:val="center"/>
        <w:spacing w:beforeAutospacing="0" w:afterAutospacing="0" w:line="0" w:lineRule="atLeast"/>
        <w:rPr>
          <w:highlight w:val="none"/>
        </w:rPr>
      </w:pPr>
      <w:r>
        <w:rPr>
          <w:highlight w:val="none"/>
        </w:rPr>
        <w:t xml:space="preserve"> </w:t>
      </w:r>
      <w:r/>
    </w:p>
    <w:p>
      <w:pPr>
        <w:pStyle w:val="659"/>
        <w:jc w:val="center"/>
        <w:spacing w:beforeAutospacing="0" w:afterAutospacing="0" w:line="0" w:lineRule="atLeast"/>
        <w:rPr>
          <w:highlight w:val="none"/>
        </w:rPr>
      </w:pPr>
      <w:r>
        <w:rPr>
          <w:highlight w:val="none"/>
        </w:rPr>
        <w:t xml:space="preserve"> </w:t>
      </w:r>
      <w:r/>
    </w:p>
    <w:p>
      <w:pPr>
        <w:pStyle w:val="659"/>
        <w:jc w:val="center"/>
        <w:spacing w:beforeAutospacing="0" w:afterAutospacing="0" w:line="0" w:lineRule="atLeast"/>
        <w:rPr>
          <w:highlight w:val="none"/>
        </w:rPr>
      </w:pPr>
      <w:r>
        <w:rPr>
          <w:highlight w:val="none"/>
        </w:rPr>
        <w:t xml:space="preserve"> </w:t>
      </w:r>
      <w:r/>
    </w:p>
    <w:p>
      <w:pPr>
        <w:pStyle w:val="659"/>
        <w:jc w:val="center"/>
        <w:spacing w:beforeAutospacing="0" w:afterAutospacing="0" w:line="0" w:lineRule="atLeast"/>
        <w:rPr>
          <w:highlight w:val="none"/>
        </w:rPr>
      </w:pPr>
      <w:r>
        <w:rPr>
          <w:highlight w:val="none"/>
        </w:rPr>
        <w:t xml:space="preserve"> </w:t>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r>
      <w:r/>
    </w:p>
    <w:p>
      <w:pPr>
        <w:pStyle w:val="659"/>
        <w:jc w:val="center"/>
        <w:spacing w:beforeAutospacing="0" w:afterAutospacing="0" w:line="0" w:lineRule="atLeast"/>
        <w:rPr>
          <w:highlight w:val="none"/>
        </w:rPr>
      </w:pPr>
      <w:r>
        <w:rPr>
          <w:highlight w:val="none"/>
        </w:rPr>
        <w:t xml:space="preserve"> </w:t>
      </w:r>
      <w:r/>
    </w:p>
    <w:p>
      <w:pPr>
        <w:pStyle w:val="659"/>
        <w:jc w:val="center"/>
        <w:spacing w:beforeAutospacing="0" w:afterAutospacing="0" w:line="0" w:lineRule="atLeast"/>
        <w:rPr>
          <w:highlight w:val="none"/>
        </w:rPr>
      </w:pPr>
      <w:r>
        <w:rPr>
          <w:highlight w:val="none"/>
        </w:rPr>
        <w:t xml:space="preserve"> </w:t>
      </w:r>
      <w:r/>
    </w:p>
    <w:p>
      <w:pPr>
        <w:pStyle w:val="659"/>
        <w:jc w:val="center"/>
        <w:spacing w:beforeAutospacing="0" w:afterAutospacing="0"/>
        <w:rPr>
          <w:highlight w:val="none"/>
        </w:rPr>
      </w:pPr>
      <w:r>
        <w:rPr>
          <w:rFonts w:hint="eastAsia" w:ascii="黑体" w:hAnsi="宋体" w:eastAsia="黑体" w:cs="黑体"/>
          <w:b/>
          <w:color w:val="000000"/>
          <w:sz w:val="32"/>
          <w:szCs w:val="32"/>
          <w:highlight w:val="none"/>
        </w:rPr>
        <w:t xml:space="preserve">十一、投标分项报价表</w:t>
      </w:r>
      <w:r/>
    </w:p>
    <w:tbl>
      <w:tblPr>
        <w:tblStyle w:val="63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9"/>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9"/>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9"/>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9"/>
              <w:jc w:val="both"/>
              <w:spacing w:beforeAutospacing="0" w:afterAutospacing="0"/>
              <w:rPr>
                <w:highlight w:val="none"/>
              </w:rPr>
            </w:pPr>
            <w:r>
              <w:rPr>
                <w:highlight w:val="none"/>
              </w:rPr>
              <w:t xml:space="preserve"> </w:t>
            </w:r>
            <w:r/>
          </w:p>
        </w:tc>
      </w:tr>
    </w:tbl>
    <w:p>
      <w:pPr>
        <w:pStyle w:val="659"/>
        <w:jc w:val="both"/>
        <w:spacing w:beforeAutospacing="0" w:afterAutospacing="0"/>
        <w:rPr>
          <w:highlight w:val="none"/>
          <w:shd w:val="clear" w:color="auto" w:fill="auto"/>
        </w:rPr>
      </w:pPr>
      <w:r>
        <w:rPr>
          <w:rFonts w:hint="eastAsia" w:ascii="宋体" w:hAnsi="宋体" w:eastAsia="宋体" w:cs="宋体"/>
          <w:color w:val="000000"/>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pStyle w:val="659"/>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（备注：该表仅适用于项目采用货币报价的情形。项目采用折扣率报价的，如需要填写投标分项报价表，请项目经办人自行设计表格。招标文件定稿后该备注删除。）</w:t>
      </w:r>
      <w:r/>
    </w:p>
    <w:p>
      <w:pPr>
        <w:pStyle w:val="659"/>
        <w:jc w:val="both"/>
        <w:spacing w:beforeAutospacing="0" w:afterAutospacing="0"/>
        <w:rPr>
          <w:highlight w:val="none"/>
          <w:shd w:val="clear" w:color="auto" w:fill="auto"/>
        </w:rPr>
      </w:pPr>
      <w:r>
        <w:rPr>
          <w:highlight w:val="none"/>
          <w:shd w:val="clear" w:color="auto" w:fill="auto"/>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、技术要求响应及偏离表</w:t>
      </w:r>
      <w:r/>
    </w:p>
    <w:tbl>
      <w:tblPr>
        <w:tblStyle w:val="6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59"/>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bl>
    <w:p>
      <w:pPr>
        <w:pStyle w:val="659"/>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59"/>
        <w:jc w:val="center"/>
        <w:spacing w:beforeAutospacing="0" w:afterAutospacing="0"/>
        <w:rPr>
          <w:highlight w:val="none"/>
        </w:rPr>
      </w:pPr>
      <w:r>
        <w:rPr>
          <w:highlight w:val="none"/>
        </w:rPr>
        <w:t xml:space="preserve"> </w:t>
      </w:r>
      <w:r/>
    </w:p>
    <w:p>
      <w:pPr>
        <w:pStyle w:val="659"/>
        <w:jc w:val="center"/>
        <w:spacing w:beforeAutospacing="0" w:afterAutospacing="0"/>
        <w:rPr>
          <w:highlight w:val="none"/>
        </w:rPr>
      </w:pPr>
      <w:r>
        <w:rPr>
          <w:highlight w:val="none"/>
        </w:rPr>
        <w:t xml:space="preserve"> </w:t>
      </w:r>
      <w:r/>
    </w:p>
    <w:p>
      <w:pPr>
        <w:pStyle w:val="659"/>
        <w:jc w:val="center"/>
        <w:spacing w:beforeAutospacing="0" w:afterAutospacing="0"/>
        <w:rPr>
          <w:highlight w:val="none"/>
        </w:rPr>
      </w:pPr>
      <w:r>
        <w:rPr>
          <w:highlight w:val="none"/>
        </w:rPr>
        <w:t xml:space="preserve"> </w:t>
      </w:r>
      <w:r/>
    </w:p>
    <w:p>
      <w:pPr>
        <w:pStyle w:val="659"/>
        <w:jc w:val="center"/>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pStyle w:val="659"/>
        <w:jc w:val="both"/>
        <w:spacing w:beforeAutospacing="0" w:afterAutospacing="0"/>
        <w:rPr>
          <w:highlight w:val="none"/>
        </w:rPr>
      </w:pPr>
      <w:r>
        <w:rPr>
          <w:highlight w:val="none"/>
        </w:rPr>
        <w:t xml:space="preserve"> </w:t>
      </w:r>
      <w:r/>
    </w:p>
    <w:p>
      <w:pPr>
        <w:rPr>
          <w:rFonts w:hint="eastAsia" w:ascii="黑体" w:hAnsi="宋体" w:eastAsia="黑体" w:cs="黑体"/>
          <w:b/>
          <w:color w:val="000000"/>
          <w:sz w:val="32"/>
          <w:szCs w:val="32"/>
          <w:highlight w:val="none"/>
        </w:rPr>
      </w:pPr>
      <w:r/>
      <w:bookmarkStart w:id="182" w:name="_Hlt26955054"/>
      <w:r>
        <w:rPr>
          <w:rFonts w:hint="eastAsia" w:ascii="黑体" w:hAnsi="宋体" w:eastAsia="黑体" w:cs="黑体"/>
          <w:b/>
          <w:color w:val="000000"/>
          <w:sz w:val="32"/>
          <w:szCs w:val="32"/>
          <w:highlight w:val="none"/>
        </w:rPr>
        <w:br w:type="page" w:clear="all"/>
      </w:r>
      <w:r/>
    </w:p>
    <w:p>
      <w:pPr>
        <w:pStyle w:val="659"/>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、商务要求响应及偏离表</w:t>
      </w:r>
      <w:r/>
    </w:p>
    <w:tbl>
      <w:tblPr>
        <w:tblStyle w:val="6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bookmarkStart w:id="183" w:name="_Hlt26609391"/>
            <w:r/>
            <w:bookmarkStart w:id="184" w:name="_Hlt26671372"/>
            <w:r/>
            <w:bookmarkStart w:id="185" w:name="_Hlt26955064"/>
            <w:r/>
            <w:bookmarkStart w:id="186" w:name="_Hlt26955056"/>
            <w:r/>
            <w:bookmarkStart w:id="187" w:name="_Hlt26580838"/>
            <w:r/>
            <w:bookmarkStart w:id="188" w:name="_Hlt24879081"/>
            <w:r/>
            <w:bookmarkStart w:id="189" w:name="_Hlt26671343"/>
            <w:r/>
            <w:bookmarkStart w:id="190" w:name="_Hlt26782999"/>
            <w:r>
              <w:rPr>
                <w:rFonts w:hint="eastAsia" w:ascii="宋体" w:hAnsi="宋体" w:eastAsia="宋体" w:cs="宋体"/>
                <w:color w:val="000000"/>
                <w:highlight w:val="none"/>
              </w:rPr>
              <w:t xml:space="preserve">序号</w:t>
            </w:r>
            <w:bookmarkEnd w:id="183"/>
            <w:r/>
            <w:bookmarkEnd w:id="184"/>
            <w:r/>
            <w:bookmarkEnd w:id="185"/>
            <w:r/>
            <w:bookmarkEnd w:id="186"/>
            <w:r/>
            <w:bookmarkEnd w:id="187"/>
            <w:r/>
            <w:bookmarkEnd w:id="188"/>
            <w:r/>
            <w:bookmarkEnd w:id="189"/>
            <w:r/>
            <w:bookmarkEnd w:id="19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59"/>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9"/>
              <w:jc w:val="center"/>
              <w:spacing w:beforeAutospacing="0" w:afterAutospacing="0"/>
              <w:rPr>
                <w:highlight w:val="none"/>
              </w:rPr>
            </w:pPr>
            <w:r>
              <w:rPr>
                <w:highlight w:val="none"/>
              </w:rPr>
              <w:t xml:space="preserve"> </w:t>
            </w:r>
            <w:r/>
          </w:p>
        </w:tc>
      </w:tr>
    </w:tbl>
    <w:p>
      <w:pPr>
        <w:pStyle w:val="659"/>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59"/>
        <w:jc w:val="both"/>
        <w:spacing w:beforeAutospacing="0" w:afterAutospacing="0" w:line="480" w:lineRule="auto"/>
        <w:rPr>
          <w:highlight w:val="none"/>
        </w:rPr>
      </w:pPr>
      <w:r>
        <w:rPr>
          <w:highlight w:val="none"/>
        </w:rPr>
        <w:t xml:space="preserve"> </w:t>
      </w:r>
      <w:r/>
    </w:p>
    <w:p>
      <w:pPr>
        <w:pStyle w:val="659"/>
        <w:jc w:val="both"/>
        <w:spacing w:beforeAutospacing="0" w:afterAutospacing="0" w:line="480" w:lineRule="auto"/>
        <w:rPr>
          <w:highlight w:val="none"/>
        </w:rPr>
      </w:pPr>
      <w:r>
        <w:rPr>
          <w:highlight w:val="none"/>
        </w:rPr>
        <w:t xml:space="preserve"> </w:t>
      </w:r>
      <w:r/>
    </w:p>
    <w:p>
      <w:pPr>
        <w:pStyle w:val="659"/>
        <w:jc w:val="center"/>
        <w:spacing w:beforeAutospacing="0" w:afterAutospacing="0"/>
        <w:rPr>
          <w:highlight w:val="none"/>
        </w:rPr>
      </w:pPr>
      <w:r/>
      <w:bookmarkStart w:id="191" w:name="_Toc462564146"/>
      <w:r/>
      <w:bookmarkStart w:id="192" w:name="_Hlt26955066"/>
      <w:r/>
      <w:bookmarkStart w:id="193" w:name="_Hlt26671374"/>
      <w:r/>
      <w:bookmarkStart w:id="194" w:name="_Hlt26609389"/>
      <w:r/>
      <w:bookmarkStart w:id="195" w:name="_格式2__法定代表人授权书"/>
      <w:r>
        <w:rPr>
          <w:highlight w:val="none"/>
        </w:rPr>
        <w:t xml:space="preserve"> </w:t>
      </w:r>
      <w:r/>
    </w:p>
    <w:p>
      <w:pPr>
        <w:pStyle w:val="659"/>
        <w:jc w:val="center"/>
        <w:spacing w:beforeAutospacing="0" w:afterAutospacing="0"/>
        <w:rPr>
          <w:highlight w:val="none"/>
        </w:rPr>
      </w:pPr>
      <w:r>
        <w:rPr>
          <w:highlight w:val="none"/>
        </w:rPr>
        <w:t xml:space="preserve"> </w:t>
      </w:r>
      <w:r/>
    </w:p>
    <w:p>
      <w:pPr>
        <w:pStyle w:val="659"/>
        <w:jc w:val="center"/>
        <w:spacing w:beforeAutospacing="0" w:afterAutospacing="0"/>
        <w:rPr>
          <w:highlight w:val="none"/>
        </w:rPr>
      </w:pPr>
      <w:r>
        <w:rPr>
          <w:highlight w:val="none"/>
        </w:rPr>
        <w:t xml:space="preserve"> </w:t>
      </w:r>
      <w:r/>
    </w:p>
    <w:p>
      <w:pPr>
        <w:pStyle w:val="659"/>
        <w:jc w:val="center"/>
        <w:spacing w:beforeAutospacing="0" w:afterAutospacing="0"/>
        <w:rPr>
          <w:highlight w:val="none"/>
        </w:rPr>
      </w:pPr>
      <w:r>
        <w:rPr>
          <w:highlight w:val="none"/>
        </w:rPr>
        <w:t xml:space="preserve"> </w:t>
      </w:r>
      <w:r/>
    </w:p>
    <w:p>
      <w:pPr>
        <w:pStyle w:val="659"/>
        <w:jc w:val="center"/>
        <w:spacing w:beforeAutospacing="0" w:afterAutospacing="0"/>
        <w:rPr>
          <w:highlight w:val="none"/>
        </w:rPr>
      </w:pPr>
      <w:r>
        <w:rPr>
          <w:highlight w:val="none"/>
        </w:rPr>
        <w:t xml:space="preserve"> </w:t>
      </w:r>
      <w:r/>
    </w:p>
    <w:p>
      <w:pPr>
        <w:pStyle w:val="659"/>
        <w:jc w:val="center"/>
        <w:spacing w:beforeAutospacing="0" w:afterAutospacing="0"/>
        <w:rPr>
          <w:highlight w:val="none"/>
        </w:rPr>
      </w:pPr>
      <w:r>
        <w:rPr>
          <w:highlight w:val="none"/>
        </w:rPr>
        <w:t xml:space="preserve"> </w:t>
      </w:r>
      <w:r/>
    </w:p>
    <w:p>
      <w:pPr>
        <w:pStyle w:val="659"/>
        <w:jc w:val="center"/>
        <w:spacing w:beforeAutospacing="0" w:afterAutospacing="0"/>
        <w:rPr>
          <w:highlight w:val="none"/>
        </w:rPr>
      </w:pPr>
      <w:r>
        <w:rPr>
          <w:highlight w:val="none"/>
        </w:rPr>
      </w:r>
      <w:r/>
    </w:p>
    <w:p>
      <w:pPr>
        <w:pStyle w:val="659"/>
        <w:jc w:val="center"/>
        <w:spacing w:beforeAutospacing="0" w:afterAutospacing="0"/>
        <w:rPr>
          <w:highlight w:val="none"/>
        </w:rPr>
      </w:pPr>
      <w:r>
        <w:rPr>
          <w:highlight w:val="none"/>
        </w:rPr>
      </w:r>
      <w:r/>
    </w:p>
    <w:p>
      <w:pPr>
        <w:pStyle w:val="659"/>
        <w:jc w:val="center"/>
        <w:spacing w:beforeAutospacing="0" w:afterAutospacing="0"/>
        <w:rPr>
          <w:highlight w:val="none"/>
        </w:rPr>
      </w:pPr>
      <w:r>
        <w:rPr>
          <w:highlight w:val="none"/>
        </w:rPr>
      </w:r>
      <w:r/>
    </w:p>
    <w:p>
      <w:pPr>
        <w:pStyle w:val="659"/>
        <w:jc w:val="center"/>
        <w:spacing w:beforeAutospacing="0" w:afterAutospacing="0"/>
        <w:rPr>
          <w:highlight w:val="none"/>
        </w:rPr>
      </w:pPr>
      <w:r>
        <w:rPr>
          <w:highlight w:val="none"/>
        </w:rPr>
      </w:r>
      <w:r/>
    </w:p>
    <w:p>
      <w:pPr>
        <w:pStyle w:val="659"/>
        <w:jc w:val="center"/>
        <w:spacing w:beforeAutospacing="0" w:afterAutospacing="0"/>
        <w:rPr>
          <w:highlight w:val="none"/>
        </w:rPr>
      </w:pPr>
      <w:r>
        <w:rPr>
          <w:highlight w:val="none"/>
        </w:rPr>
      </w:r>
      <w:r/>
    </w:p>
    <w:p>
      <w:pPr>
        <w:pStyle w:val="659"/>
        <w:jc w:val="center"/>
        <w:spacing w:beforeAutospacing="0" w:afterAutospacing="0"/>
        <w:rPr>
          <w:highlight w:val="none"/>
        </w:rPr>
      </w:pPr>
      <w:r>
        <w:rPr>
          <w:highlight w:val="none"/>
        </w:rPr>
      </w:r>
      <w:r/>
    </w:p>
    <w:p>
      <w:pPr>
        <w:pStyle w:val="659"/>
        <w:jc w:val="center"/>
        <w:spacing w:beforeAutospacing="0" w:afterAutospacing="0"/>
        <w:rPr>
          <w:highlight w:val="none"/>
        </w:rPr>
      </w:pPr>
      <w:r>
        <w:rPr>
          <w:highlight w:val="none"/>
        </w:rPr>
      </w:r>
      <w:r/>
    </w:p>
    <w:p>
      <w:pPr>
        <w:pStyle w:val="659"/>
        <w:jc w:val="center"/>
        <w:spacing w:beforeAutospacing="0" w:afterAutospacing="0"/>
        <w:rPr>
          <w:highlight w:val="none"/>
        </w:rPr>
      </w:pPr>
      <w:r>
        <w:rPr>
          <w:highlight w:val="none"/>
        </w:rPr>
      </w:r>
      <w:r/>
    </w:p>
    <w:p>
      <w:pPr>
        <w:pStyle w:val="659"/>
        <w:jc w:val="center"/>
        <w:spacing w:beforeAutospacing="0" w:afterAutospacing="0"/>
        <w:rPr>
          <w:highlight w:val="none"/>
        </w:rPr>
      </w:pPr>
      <w:r>
        <w:rPr>
          <w:highlight w:val="none"/>
        </w:rPr>
      </w:r>
      <w:r/>
    </w:p>
    <w:p>
      <w:pPr>
        <w:pStyle w:val="659"/>
        <w:jc w:val="center"/>
        <w:spacing w:beforeAutospacing="0" w:afterAutospacing="0"/>
        <w:rPr>
          <w:highlight w:val="none"/>
        </w:rPr>
      </w:pPr>
      <w:r>
        <w:rPr>
          <w:highlight w:val="none"/>
        </w:rPr>
        <w:t xml:space="preserve"> </w:t>
      </w:r>
      <w:r/>
    </w:p>
    <w:p>
      <w:pPr>
        <w:pStyle w:val="659"/>
        <w:jc w:val="center"/>
        <w:spacing w:beforeAutospacing="0" w:afterAutospacing="0"/>
        <w:rPr>
          <w:highlight w:val="none"/>
        </w:rPr>
      </w:pPr>
      <w:r>
        <w:rPr>
          <w:highlight w:val="none"/>
        </w:rPr>
        <w:t xml:space="preserve"> </w:t>
      </w:r>
      <w:r/>
    </w:p>
    <w:p>
      <w:pPr>
        <w:pStyle w:val="659"/>
        <w:jc w:val="center"/>
        <w:spacing w:beforeAutospacing="0" w:afterAutospacing="0"/>
        <w:rPr>
          <w:highlight w:val="none"/>
        </w:rPr>
      </w:pPr>
      <w:r>
        <w:rPr>
          <w:highlight w:val="none"/>
        </w:rPr>
        <w:t xml:space="preserve"> </w:t>
      </w:r>
      <w:r/>
    </w:p>
    <w:p>
      <w:pPr>
        <w:rPr>
          <w:rFonts w:hint="eastAsia" w:ascii="黑体" w:hAnsi="宋体" w:eastAsia="黑体" w:cs="黑体"/>
          <w:b/>
          <w:i/>
          <w:color w:val="ff0000"/>
          <w:sz w:val="32"/>
          <w:szCs w:val="32"/>
          <w:highlight w:val="none"/>
          <w:u w:val="single"/>
        </w:rPr>
      </w:pPr>
      <w:r>
        <w:rPr>
          <w:rFonts w:hint="eastAsia" w:ascii="黑体" w:hAnsi="宋体" w:eastAsia="黑体" w:cs="黑体"/>
          <w:b/>
          <w:i/>
          <w:color w:val="ff0000"/>
          <w:sz w:val="32"/>
          <w:szCs w:val="32"/>
          <w:highlight w:val="none"/>
          <w:u w:val="single"/>
        </w:rPr>
        <w:br w:type="page" w:clear="all"/>
      </w:r>
      <w:r/>
    </w:p>
    <w:p>
      <w:pPr>
        <w:pStyle w:val="659"/>
        <w:jc w:val="center"/>
        <w:spacing w:beforeAutospacing="0" w:afterAutospacing="0"/>
        <w:rPr>
          <w:color w:val="auto"/>
          <w:highlight w:val="none"/>
          <w:shd w:val="clear" w:color="auto" w:fill="auto"/>
        </w:rPr>
      </w:pPr>
      <w:r>
        <w:rPr>
          <w:rFonts w:hint="eastAsia" w:ascii="黑体" w:hAnsi="宋体" w:eastAsia="黑体" w:cs="黑体"/>
          <w:b/>
          <w:i/>
          <w:color w:val="auto"/>
          <w:sz w:val="32"/>
          <w:szCs w:val="32"/>
          <w:highlight w:val="none"/>
          <w:u w:val="single"/>
        </w:rPr>
        <w:t xml:space="preserve">十五、开标一览表</w:t>
      </w:r>
      <w:r/>
    </w:p>
    <w:p>
      <w:pPr>
        <w:pStyle w:val="659"/>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659"/>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659"/>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659"/>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638"/>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9"/>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9"/>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9"/>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59"/>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59"/>
              <w:spacing w:beforeAutospacing="0" w:afterAutospacing="0" w:line="0" w:lineRule="atLeast"/>
              <w:rPr>
                <w:highlight w:val="none"/>
              </w:rPr>
            </w:pPr>
            <w:r>
              <w:rPr>
                <w:highlight w:val="none"/>
              </w:rPr>
              <w:t xml:space="preserve"> </w:t>
            </w:r>
            <w:r/>
          </w:p>
        </w:tc>
      </w:tr>
    </w:tbl>
    <w:p>
      <w:pPr>
        <w:pStyle w:val="659"/>
        <w:jc w:val="both"/>
        <w:spacing w:beforeAutospacing="0" w:afterAutospacing="0"/>
        <w:rPr>
          <w:highlight w:val="none"/>
        </w:rPr>
      </w:pPr>
      <w:r>
        <w:rPr>
          <w:highlight w:val="none"/>
        </w:rPr>
        <w:t xml:space="preserve"> </w:t>
      </w:r>
      <w:r/>
    </w:p>
    <w:p>
      <w:pPr>
        <w:pStyle w:val="659"/>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659"/>
        <w:jc w:val="both"/>
        <w:spacing w:beforeAutospacing="0" w:afterAutospacing="0"/>
        <w:rPr>
          <w:highlight w:val="none"/>
        </w:rPr>
      </w:pPr>
      <w:r>
        <w:rPr>
          <w:highlight w:val="none"/>
        </w:rPr>
        <w:t xml:space="preserve"> </w:t>
      </w:r>
      <w:r/>
    </w:p>
    <w:p>
      <w:pPr>
        <w:rPr>
          <w:highlight w:val="none"/>
        </w:rPr>
      </w:pPr>
      <w:r>
        <w:rPr>
          <w:highlight w:val="none"/>
        </w:rPr>
        <w:br w:type="page" w:clear="all"/>
      </w:r>
      <w:r/>
    </w:p>
    <w:p>
      <w:pPr>
        <w:jc w:val="center"/>
        <w:spacing w:before="50" w:after="50"/>
        <w:widowControl/>
        <w:rPr>
          <w:rFonts w:ascii="宋体" w:hAnsi="宋体" w:eastAsia="宋体" w:cs="宋体"/>
          <w:sz w:val="24"/>
          <w:highlight w:val="none"/>
        </w:rPr>
      </w:pPr>
      <w:r>
        <w:rPr>
          <w:highlight w:val="none"/>
        </w:rPr>
        <w:tab/>
      </w:r>
      <w:r>
        <w:rPr>
          <w:rFonts w:hint="eastAsia" w:ascii="宋体" w:hAnsi="宋体" w:eastAsia="宋体" w:cs="宋体"/>
          <w:color w:val="000000"/>
          <w:sz w:val="32"/>
          <w:szCs w:val="32"/>
          <w:highlight w:val="none"/>
        </w:rPr>
        <w:t xml:space="preserve">十六、技术方案、服务承诺、培训承诺等</w:t>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2"/>
      <w:r/>
      <w:bookmarkEnd w:id="175"/>
      <w:r/>
      <w:bookmarkEnd w:id="176"/>
      <w:r/>
      <w:bookmarkEnd w:id="177"/>
      <w:r/>
      <w:bookmarkEnd w:id="178"/>
      <w:r/>
      <w:bookmarkEnd w:id="179"/>
      <w:r/>
      <w:bookmarkEnd w:id="180"/>
      <w:r/>
      <w:bookmarkEnd w:id="181"/>
      <w:r/>
      <w:bookmarkEnd w:id="182"/>
      <w:r/>
      <w:bookmarkEnd w:id="191"/>
      <w:r/>
      <w:bookmarkEnd w:id="192"/>
      <w:r/>
      <w:bookmarkEnd w:id="193"/>
      <w:r/>
      <w:bookmarkEnd w:id="194"/>
      <w:r/>
      <w:bookmarkEnd w:id="195"/>
      <w:r/>
      <w:r/>
    </w:p>
    <w:p>
      <w:pPr>
        <w:pStyle w:val="659"/>
        <w:jc w:val="center"/>
        <w:spacing w:beforeAutospacing="0" w:afterAutospacing="0"/>
        <w:rPr>
          <w:highlight w:val="none"/>
        </w:rPr>
      </w:pPr>
      <w:r>
        <w:rPr>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59"/>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59"/>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59"/>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5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59"/>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9"/>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MS Gothic">
    <w:panose1 w:val="020B0609070205080204"/>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7" w:default="1">
    <w:name w:val="Normal"/>
    <w:next w:val="639"/>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28">
    <w:name w:val="Heading 1"/>
    <w:basedOn w:val="627"/>
    <w:next w:val="627"/>
    <w:link w:val="666"/>
    <w:uiPriority w:val="9"/>
    <w:qFormat/>
    <w:pPr>
      <w:keepLines/>
      <w:keepNext/>
      <w:spacing w:before="480" w:after="200"/>
      <w:outlineLvl w:val="0"/>
    </w:pPr>
    <w:rPr>
      <w:rFonts w:ascii="Arial" w:hAnsi="Arial" w:eastAsia="Arial" w:cs="Arial"/>
      <w:sz w:val="40"/>
      <w:szCs w:val="40"/>
    </w:rPr>
  </w:style>
  <w:style w:type="paragraph" w:styleId="629">
    <w:name w:val="Heading 2"/>
    <w:basedOn w:val="627"/>
    <w:next w:val="62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30">
    <w:name w:val="Heading 3"/>
    <w:basedOn w:val="627"/>
    <w:next w:val="627"/>
    <w:link w:val="668"/>
    <w:uiPriority w:val="9"/>
    <w:unhideWhenUsed/>
    <w:qFormat/>
    <w:pPr>
      <w:keepLines/>
      <w:keepNext/>
      <w:spacing w:before="320" w:after="200"/>
      <w:outlineLvl w:val="2"/>
    </w:pPr>
    <w:rPr>
      <w:rFonts w:ascii="Arial" w:hAnsi="Arial" w:eastAsia="Arial" w:cs="Arial"/>
      <w:sz w:val="30"/>
      <w:szCs w:val="30"/>
    </w:rPr>
  </w:style>
  <w:style w:type="paragraph" w:styleId="631">
    <w:name w:val="Heading 4"/>
    <w:basedOn w:val="627"/>
    <w:next w:val="627"/>
    <w:link w:val="669"/>
    <w:uiPriority w:val="9"/>
    <w:unhideWhenUsed/>
    <w:qFormat/>
    <w:pPr>
      <w:keepLines/>
      <w:keepNext/>
      <w:spacing w:before="320" w:after="200"/>
      <w:outlineLvl w:val="3"/>
    </w:pPr>
    <w:rPr>
      <w:rFonts w:ascii="Arial" w:hAnsi="Arial" w:eastAsia="Arial" w:cs="Arial"/>
      <w:b/>
      <w:bCs/>
      <w:sz w:val="26"/>
      <w:szCs w:val="26"/>
    </w:rPr>
  </w:style>
  <w:style w:type="paragraph" w:styleId="632">
    <w:name w:val="Heading 5"/>
    <w:basedOn w:val="627"/>
    <w:next w:val="627"/>
    <w:link w:val="670"/>
    <w:uiPriority w:val="9"/>
    <w:unhideWhenUsed/>
    <w:qFormat/>
    <w:pPr>
      <w:keepLines/>
      <w:keepNext/>
      <w:spacing w:before="320" w:after="200"/>
      <w:outlineLvl w:val="4"/>
    </w:pPr>
    <w:rPr>
      <w:rFonts w:ascii="Arial" w:hAnsi="Arial" w:eastAsia="Arial" w:cs="Arial"/>
      <w:b/>
      <w:bCs/>
      <w:sz w:val="24"/>
      <w:szCs w:val="24"/>
    </w:rPr>
  </w:style>
  <w:style w:type="paragraph" w:styleId="633">
    <w:name w:val="Heading 6"/>
    <w:basedOn w:val="627"/>
    <w:next w:val="627"/>
    <w:link w:val="671"/>
    <w:uiPriority w:val="9"/>
    <w:unhideWhenUsed/>
    <w:qFormat/>
    <w:pPr>
      <w:keepLines/>
      <w:keepNext/>
      <w:spacing w:before="320" w:after="200"/>
      <w:outlineLvl w:val="5"/>
    </w:pPr>
    <w:rPr>
      <w:rFonts w:ascii="Arial" w:hAnsi="Arial" w:eastAsia="Arial" w:cs="Arial"/>
      <w:b/>
      <w:bCs/>
      <w:sz w:val="22"/>
      <w:szCs w:val="22"/>
    </w:rPr>
  </w:style>
  <w:style w:type="paragraph" w:styleId="634">
    <w:name w:val="Heading 7"/>
    <w:basedOn w:val="627"/>
    <w:next w:val="627"/>
    <w:link w:val="672"/>
    <w:uiPriority w:val="9"/>
    <w:unhideWhenUsed/>
    <w:qFormat/>
    <w:pPr>
      <w:keepLines/>
      <w:keepNext/>
      <w:spacing w:before="320" w:after="200"/>
      <w:outlineLvl w:val="6"/>
    </w:pPr>
    <w:rPr>
      <w:rFonts w:ascii="Arial" w:hAnsi="Arial" w:eastAsia="Arial" w:cs="Arial"/>
      <w:b/>
      <w:bCs/>
      <w:i/>
      <w:iCs/>
      <w:sz w:val="22"/>
      <w:szCs w:val="22"/>
    </w:rPr>
  </w:style>
  <w:style w:type="paragraph" w:styleId="635">
    <w:name w:val="Heading 8"/>
    <w:basedOn w:val="627"/>
    <w:next w:val="627"/>
    <w:link w:val="673"/>
    <w:uiPriority w:val="9"/>
    <w:unhideWhenUsed/>
    <w:qFormat/>
    <w:pPr>
      <w:keepLines/>
      <w:keepNext/>
      <w:spacing w:before="320" w:after="200"/>
      <w:outlineLvl w:val="7"/>
    </w:pPr>
    <w:rPr>
      <w:rFonts w:ascii="Arial" w:hAnsi="Arial" w:eastAsia="Arial" w:cs="Arial"/>
      <w:i/>
      <w:iCs/>
      <w:sz w:val="22"/>
      <w:szCs w:val="22"/>
    </w:rPr>
  </w:style>
  <w:style w:type="paragraph" w:styleId="636">
    <w:name w:val="Heading 9"/>
    <w:basedOn w:val="627"/>
    <w:next w:val="627"/>
    <w:link w:val="674"/>
    <w:uiPriority w:val="9"/>
    <w:unhideWhenUsed/>
    <w:qFormat/>
    <w:pPr>
      <w:keepLines/>
      <w:keepNext/>
      <w:spacing w:before="320" w:after="200"/>
      <w:outlineLvl w:val="8"/>
    </w:pPr>
    <w:rPr>
      <w:rFonts w:ascii="Arial" w:hAnsi="Arial" w:eastAsia="Arial" w:cs="Arial"/>
      <w:i/>
      <w:iCs/>
      <w:sz w:val="21"/>
      <w:szCs w:val="21"/>
    </w:rPr>
  </w:style>
  <w:style w:type="character" w:styleId="637" w:default="1">
    <w:name w:val="Default Paragraph Font"/>
    <w:uiPriority w:val="1"/>
    <w:semiHidden/>
    <w:unhideWhenUsed/>
    <w:qFormat/>
  </w:style>
  <w:style w:type="table" w:styleId="638" w:default="1">
    <w:name w:val="Normal Table"/>
    <w:uiPriority w:val="99"/>
    <w:semiHidden/>
    <w:unhideWhenUsed/>
    <w:qFormat/>
    <w:tblPr>
      <w:tblCellMar>
        <w:left w:w="108" w:type="dxa"/>
        <w:top w:w="0" w:type="dxa"/>
        <w:right w:w="108" w:type="dxa"/>
        <w:bottom w:w="0" w:type="dxa"/>
      </w:tblCellMar>
    </w:tblPr>
  </w:style>
  <w:style w:type="paragraph" w:styleId="639">
    <w:name w:val="Body Text First Indent"/>
    <w:basedOn w:val="640"/>
    <w:uiPriority w:val="0"/>
    <w:qFormat/>
    <w:pPr>
      <w:ind w:firstLine="200"/>
      <w:spacing w:line="360" w:lineRule="auto"/>
    </w:pPr>
    <w:rPr>
      <w:rFonts w:ascii="仿宋_GB2312" w:eastAsia="仿宋_GB2312"/>
      <w:sz w:val="30"/>
      <w:szCs w:val="30"/>
    </w:rPr>
  </w:style>
  <w:style w:type="paragraph" w:styleId="640">
    <w:name w:val="Body Text"/>
    <w:basedOn w:val="627"/>
    <w:uiPriority w:val="0"/>
    <w:unhideWhenUsed/>
    <w:qFormat/>
    <w:pPr>
      <w:spacing w:after="120"/>
    </w:pPr>
    <w:rPr>
      <w:rFonts w:ascii="Calibri" w:hAnsi="Calibri"/>
      <w:szCs w:val="22"/>
    </w:rPr>
  </w:style>
  <w:style w:type="paragraph" w:styleId="641">
    <w:name w:val="toc 7"/>
    <w:basedOn w:val="627"/>
    <w:next w:val="627"/>
    <w:uiPriority w:val="39"/>
    <w:unhideWhenUsed/>
    <w:qFormat/>
    <w:pPr>
      <w:ind w:left="1701" w:right="0" w:firstLine="0"/>
      <w:spacing w:after="57"/>
    </w:pPr>
  </w:style>
  <w:style w:type="paragraph" w:styleId="642">
    <w:name w:val="Caption"/>
    <w:basedOn w:val="627"/>
    <w:next w:val="62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43">
    <w:name w:val="annotation text"/>
    <w:basedOn w:val="627"/>
    <w:uiPriority w:val="0"/>
    <w:qFormat/>
    <w:pPr>
      <w:jc w:val="left"/>
    </w:pPr>
  </w:style>
  <w:style w:type="paragraph" w:styleId="644">
    <w:name w:val="toc 5"/>
    <w:basedOn w:val="627"/>
    <w:next w:val="627"/>
    <w:uiPriority w:val="39"/>
    <w:unhideWhenUsed/>
    <w:qFormat/>
    <w:pPr>
      <w:ind w:left="1134" w:right="0" w:firstLine="0"/>
      <w:spacing w:after="57"/>
    </w:pPr>
  </w:style>
  <w:style w:type="paragraph" w:styleId="645">
    <w:name w:val="toc 3"/>
    <w:basedOn w:val="627"/>
    <w:next w:val="627"/>
    <w:uiPriority w:val="39"/>
    <w:unhideWhenUsed/>
    <w:qFormat/>
    <w:pPr>
      <w:ind w:left="567" w:right="0" w:firstLine="0"/>
      <w:spacing w:after="57"/>
    </w:pPr>
  </w:style>
  <w:style w:type="paragraph" w:styleId="646">
    <w:name w:val="Plain Text"/>
    <w:basedOn w:val="627"/>
    <w:uiPriority w:val="0"/>
    <w:unhideWhenUsed/>
    <w:qFormat/>
    <w:rPr>
      <w:rFonts w:ascii="宋体" w:hAnsi="Courier New" w:cs="Courier New"/>
      <w:szCs w:val="21"/>
    </w:rPr>
  </w:style>
  <w:style w:type="paragraph" w:styleId="647">
    <w:name w:val="toc 8"/>
    <w:basedOn w:val="627"/>
    <w:next w:val="627"/>
    <w:uiPriority w:val="39"/>
    <w:unhideWhenUsed/>
    <w:qFormat/>
    <w:pPr>
      <w:ind w:left="1984" w:right="0" w:firstLine="0"/>
      <w:spacing w:after="57"/>
    </w:pPr>
  </w:style>
  <w:style w:type="paragraph" w:styleId="648">
    <w:name w:val="endnote text"/>
    <w:basedOn w:val="627"/>
    <w:link w:val="812"/>
    <w:uiPriority w:val="99"/>
    <w:semiHidden/>
    <w:unhideWhenUsed/>
    <w:qFormat/>
    <w:pPr>
      <w:spacing w:after="0" w:line="240" w:lineRule="auto"/>
    </w:pPr>
    <w:rPr>
      <w:sz w:val="20"/>
    </w:rPr>
  </w:style>
  <w:style w:type="paragraph" w:styleId="649">
    <w:name w:val="Footer"/>
    <w:basedOn w:val="627"/>
    <w:link w:val="816"/>
    <w:uiPriority w:val="0"/>
    <w:qFormat/>
    <w:pPr>
      <w:jc w:val="left"/>
      <w:tabs>
        <w:tab w:val="center" w:pos="4153" w:leader="none"/>
        <w:tab w:val="right" w:pos="8306" w:leader="none"/>
      </w:tabs>
    </w:pPr>
    <w:rPr>
      <w:sz w:val="18"/>
      <w:szCs w:val="18"/>
    </w:rPr>
  </w:style>
  <w:style w:type="paragraph" w:styleId="650">
    <w:name w:val="Header"/>
    <w:basedOn w:val="627"/>
    <w:link w:val="815"/>
    <w:uiPriority w:val="0"/>
    <w:qFormat/>
    <w:pPr>
      <w:jc w:val="center"/>
      <w:tabs>
        <w:tab w:val="center" w:pos="4153" w:leader="none"/>
        <w:tab w:val="right" w:pos="8306" w:leader="none"/>
      </w:tabs>
      <w:pBdr>
        <w:bottom w:val="single" w:color="auto" w:sz="6" w:space="1"/>
      </w:pBdr>
    </w:pPr>
    <w:rPr>
      <w:sz w:val="18"/>
      <w:szCs w:val="18"/>
    </w:rPr>
  </w:style>
  <w:style w:type="paragraph" w:styleId="651">
    <w:name w:val="toc 1"/>
    <w:basedOn w:val="627"/>
    <w:next w:val="627"/>
    <w:uiPriority w:val="39"/>
    <w:unhideWhenUsed/>
    <w:qFormat/>
    <w:pPr>
      <w:ind w:left="0" w:right="0" w:firstLine="0"/>
      <w:spacing w:after="57"/>
    </w:pPr>
  </w:style>
  <w:style w:type="paragraph" w:styleId="652">
    <w:name w:val="toc 4"/>
    <w:basedOn w:val="627"/>
    <w:next w:val="627"/>
    <w:uiPriority w:val="39"/>
    <w:unhideWhenUsed/>
    <w:qFormat/>
    <w:pPr>
      <w:ind w:left="850" w:right="0" w:firstLine="0"/>
      <w:spacing w:after="57"/>
    </w:pPr>
  </w:style>
  <w:style w:type="paragraph" w:styleId="653">
    <w:name w:val="Subtitle"/>
    <w:basedOn w:val="627"/>
    <w:next w:val="627"/>
    <w:link w:val="678"/>
    <w:uiPriority w:val="11"/>
    <w:qFormat/>
    <w:pPr>
      <w:spacing w:before="200" w:after="200"/>
    </w:pPr>
    <w:rPr>
      <w:sz w:val="24"/>
      <w:szCs w:val="24"/>
    </w:rPr>
  </w:style>
  <w:style w:type="paragraph" w:styleId="654">
    <w:name w:val="footnote text"/>
    <w:basedOn w:val="627"/>
    <w:link w:val="811"/>
    <w:uiPriority w:val="99"/>
    <w:semiHidden/>
    <w:unhideWhenUsed/>
    <w:qFormat/>
    <w:pPr>
      <w:spacing w:after="40" w:line="240" w:lineRule="auto"/>
    </w:pPr>
    <w:rPr>
      <w:sz w:val="18"/>
    </w:rPr>
  </w:style>
  <w:style w:type="paragraph" w:styleId="655">
    <w:name w:val="toc 6"/>
    <w:basedOn w:val="627"/>
    <w:next w:val="627"/>
    <w:uiPriority w:val="39"/>
    <w:unhideWhenUsed/>
    <w:qFormat/>
    <w:pPr>
      <w:ind w:left="1417" w:right="0" w:firstLine="0"/>
      <w:spacing w:after="57"/>
    </w:pPr>
  </w:style>
  <w:style w:type="paragraph" w:styleId="656">
    <w:name w:val="table of figures"/>
    <w:basedOn w:val="627"/>
    <w:next w:val="627"/>
    <w:uiPriority w:val="99"/>
    <w:unhideWhenUsed/>
    <w:qFormat/>
    <w:pPr>
      <w:spacing w:after="0" w:afterAutospacing="0"/>
    </w:pPr>
  </w:style>
  <w:style w:type="paragraph" w:styleId="657">
    <w:name w:val="toc 2"/>
    <w:basedOn w:val="627"/>
    <w:next w:val="627"/>
    <w:uiPriority w:val="39"/>
    <w:unhideWhenUsed/>
    <w:qFormat/>
    <w:pPr>
      <w:ind w:left="283" w:right="0" w:firstLine="0"/>
      <w:spacing w:after="57"/>
    </w:pPr>
  </w:style>
  <w:style w:type="paragraph" w:styleId="658">
    <w:name w:val="toc 9"/>
    <w:basedOn w:val="627"/>
    <w:next w:val="627"/>
    <w:uiPriority w:val="39"/>
    <w:unhideWhenUsed/>
    <w:qFormat/>
    <w:pPr>
      <w:ind w:left="2268" w:right="0" w:firstLine="0"/>
      <w:spacing w:after="57"/>
    </w:pPr>
  </w:style>
  <w:style w:type="paragraph" w:styleId="659">
    <w:name w:val="Normal (Web)"/>
    <w:basedOn w:val="627"/>
    <w:uiPriority w:val="0"/>
    <w:qFormat/>
    <w:pPr>
      <w:jc w:val="left"/>
      <w:spacing w:beforeAutospacing="1" w:afterAutospacing="1"/>
    </w:pPr>
    <w:rPr>
      <w:rFonts w:cs="Times New Roman"/>
      <w:sz w:val="24"/>
    </w:rPr>
  </w:style>
  <w:style w:type="paragraph" w:styleId="660">
    <w:name w:val="Title"/>
    <w:basedOn w:val="627"/>
    <w:next w:val="627"/>
    <w:link w:val="677"/>
    <w:uiPriority w:val="10"/>
    <w:qFormat/>
    <w:pPr>
      <w:contextualSpacing/>
      <w:spacing w:before="300" w:after="200"/>
    </w:pPr>
    <w:rPr>
      <w:sz w:val="48"/>
      <w:szCs w:val="48"/>
    </w:rPr>
  </w:style>
  <w:style w:type="table" w:styleId="661">
    <w:name w:val="Table Grid"/>
    <w:basedOn w:val="63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2">
    <w:name w:val="Strong"/>
    <w:basedOn w:val="637"/>
    <w:uiPriority w:val="0"/>
    <w:qFormat/>
    <w:rPr>
      <w:b/>
    </w:rPr>
  </w:style>
  <w:style w:type="character" w:styleId="663">
    <w:name w:val="endnote reference"/>
    <w:basedOn w:val="637"/>
    <w:uiPriority w:val="99"/>
    <w:semiHidden/>
    <w:unhideWhenUsed/>
    <w:qFormat/>
    <w:rPr>
      <w:vertAlign w:val="superscript"/>
    </w:rPr>
  </w:style>
  <w:style w:type="character" w:styleId="664">
    <w:name w:val="Hyperlink"/>
    <w:uiPriority w:val="99"/>
    <w:unhideWhenUsed/>
    <w:qFormat/>
    <w:rPr>
      <w:color w:val="0563c1" w:themeColor="hyperlink"/>
      <w:u w:val="single"/>
      <w14:textFill>
        <w14:solidFill>
          <w14:schemeClr w14:val="hlink"/>
        </w14:solidFill>
      </w14:textFill>
    </w:rPr>
  </w:style>
  <w:style w:type="character" w:styleId="665">
    <w:name w:val="footnote reference"/>
    <w:basedOn w:val="637"/>
    <w:uiPriority w:val="99"/>
    <w:unhideWhenUsed/>
    <w:qFormat/>
    <w:rPr>
      <w:vertAlign w:val="superscript"/>
    </w:rPr>
  </w:style>
  <w:style w:type="character" w:styleId="666" w:customStyle="1">
    <w:name w:val="Heading 1 Char"/>
    <w:basedOn w:val="637"/>
    <w:link w:val="628"/>
    <w:uiPriority w:val="9"/>
    <w:qFormat/>
    <w:rPr>
      <w:rFonts w:ascii="Arial" w:hAnsi="Arial" w:eastAsia="Arial" w:cs="Arial"/>
      <w:sz w:val="40"/>
      <w:szCs w:val="40"/>
    </w:rPr>
  </w:style>
  <w:style w:type="character" w:styleId="667" w:customStyle="1">
    <w:name w:val="Heading 2 Char"/>
    <w:basedOn w:val="637"/>
    <w:uiPriority w:val="9"/>
    <w:qFormat/>
    <w:rPr>
      <w:rFonts w:ascii="Arial" w:hAnsi="Arial" w:eastAsia="Arial" w:cs="Arial"/>
      <w:sz w:val="34"/>
    </w:rPr>
  </w:style>
  <w:style w:type="character" w:styleId="668" w:customStyle="1">
    <w:name w:val="Heading 3 Char"/>
    <w:basedOn w:val="637"/>
    <w:link w:val="630"/>
    <w:uiPriority w:val="9"/>
    <w:qFormat/>
    <w:rPr>
      <w:rFonts w:ascii="Arial" w:hAnsi="Arial" w:eastAsia="Arial" w:cs="Arial"/>
      <w:sz w:val="30"/>
      <w:szCs w:val="30"/>
    </w:rPr>
  </w:style>
  <w:style w:type="character" w:styleId="669" w:customStyle="1">
    <w:name w:val="Heading 4 Char"/>
    <w:basedOn w:val="637"/>
    <w:link w:val="631"/>
    <w:uiPriority w:val="9"/>
    <w:qFormat/>
    <w:rPr>
      <w:rFonts w:ascii="Arial" w:hAnsi="Arial" w:eastAsia="Arial" w:cs="Arial"/>
      <w:b/>
      <w:bCs/>
      <w:sz w:val="26"/>
      <w:szCs w:val="26"/>
    </w:rPr>
  </w:style>
  <w:style w:type="character" w:styleId="670" w:customStyle="1">
    <w:name w:val="Heading 5 Char"/>
    <w:basedOn w:val="637"/>
    <w:link w:val="632"/>
    <w:uiPriority w:val="9"/>
    <w:qFormat/>
    <w:rPr>
      <w:rFonts w:ascii="Arial" w:hAnsi="Arial" w:eastAsia="Arial" w:cs="Arial"/>
      <w:b/>
      <w:bCs/>
      <w:sz w:val="24"/>
      <w:szCs w:val="24"/>
    </w:rPr>
  </w:style>
  <w:style w:type="character" w:styleId="671" w:customStyle="1">
    <w:name w:val="Heading 6 Char"/>
    <w:basedOn w:val="637"/>
    <w:link w:val="633"/>
    <w:uiPriority w:val="9"/>
    <w:qFormat/>
    <w:rPr>
      <w:rFonts w:ascii="Arial" w:hAnsi="Arial" w:eastAsia="Arial" w:cs="Arial"/>
      <w:b/>
      <w:bCs/>
      <w:sz w:val="22"/>
      <w:szCs w:val="22"/>
    </w:rPr>
  </w:style>
  <w:style w:type="character" w:styleId="672" w:customStyle="1">
    <w:name w:val="Heading 7 Char"/>
    <w:basedOn w:val="637"/>
    <w:link w:val="634"/>
    <w:uiPriority w:val="9"/>
    <w:qFormat/>
    <w:rPr>
      <w:rFonts w:ascii="Arial" w:hAnsi="Arial" w:eastAsia="Arial" w:cs="Arial"/>
      <w:b/>
      <w:bCs/>
      <w:i/>
      <w:iCs/>
      <w:sz w:val="22"/>
      <w:szCs w:val="22"/>
    </w:rPr>
  </w:style>
  <w:style w:type="character" w:styleId="673" w:customStyle="1">
    <w:name w:val="Heading 8 Char"/>
    <w:basedOn w:val="637"/>
    <w:link w:val="635"/>
    <w:uiPriority w:val="9"/>
    <w:qFormat/>
    <w:rPr>
      <w:rFonts w:ascii="Arial" w:hAnsi="Arial" w:eastAsia="Arial" w:cs="Arial"/>
      <w:i/>
      <w:iCs/>
      <w:sz w:val="22"/>
      <w:szCs w:val="22"/>
    </w:rPr>
  </w:style>
  <w:style w:type="character" w:styleId="674" w:customStyle="1">
    <w:name w:val="Heading 9 Char"/>
    <w:basedOn w:val="637"/>
    <w:link w:val="636"/>
    <w:uiPriority w:val="9"/>
    <w:qFormat/>
    <w:rPr>
      <w:rFonts w:ascii="Arial" w:hAnsi="Arial" w:eastAsia="Arial" w:cs="Arial"/>
      <w:i/>
      <w:iCs/>
      <w:sz w:val="21"/>
      <w:szCs w:val="21"/>
    </w:rPr>
  </w:style>
  <w:style w:type="paragraph" w:styleId="675">
    <w:name w:val="List Paragraph"/>
    <w:basedOn w:val="627"/>
    <w:uiPriority w:val="34"/>
    <w:qFormat/>
    <w:pPr>
      <w:contextualSpacing/>
      <w:ind w:left="720"/>
    </w:pPr>
  </w:style>
  <w:style w:type="paragraph" w:styleId="676">
    <w:name w:val="No Spacing"/>
    <w:uiPriority w:val="1"/>
    <w:qFormat/>
    <w:pPr>
      <w:spacing w:before="0" w:after="0" w:line="240" w:lineRule="auto"/>
    </w:pPr>
    <w:rPr>
      <w:rFonts w:hint="default" w:ascii="Times New Roman" w:hAnsi="Times New Roman" w:eastAsia="宋体" w:cs="Times New Roman"/>
    </w:rPr>
  </w:style>
  <w:style w:type="character" w:styleId="677" w:customStyle="1">
    <w:name w:val="Title Char"/>
    <w:basedOn w:val="637"/>
    <w:link w:val="660"/>
    <w:uiPriority w:val="10"/>
    <w:qFormat/>
    <w:rPr>
      <w:sz w:val="48"/>
      <w:szCs w:val="48"/>
    </w:rPr>
  </w:style>
  <w:style w:type="character" w:styleId="678" w:customStyle="1">
    <w:name w:val="Subtitle Char"/>
    <w:basedOn w:val="637"/>
    <w:link w:val="653"/>
    <w:uiPriority w:val="11"/>
    <w:qFormat/>
    <w:rPr>
      <w:sz w:val="24"/>
      <w:szCs w:val="24"/>
    </w:rPr>
  </w:style>
  <w:style w:type="paragraph" w:styleId="679">
    <w:name w:val="Quote"/>
    <w:basedOn w:val="627"/>
    <w:next w:val="627"/>
    <w:link w:val="680"/>
    <w:uiPriority w:val="29"/>
    <w:qFormat/>
    <w:pPr>
      <w:ind w:left="720" w:right="720"/>
    </w:pPr>
    <w:rPr>
      <w:i/>
    </w:rPr>
  </w:style>
  <w:style w:type="character" w:styleId="680" w:customStyle="1">
    <w:name w:val="Quote Char"/>
    <w:link w:val="679"/>
    <w:uiPriority w:val="29"/>
    <w:qFormat/>
    <w:rPr>
      <w:i/>
    </w:rPr>
  </w:style>
  <w:style w:type="paragraph" w:styleId="681">
    <w:name w:val="Intense Quote"/>
    <w:basedOn w:val="627"/>
    <w:next w:val="627"/>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customStyle="1">
    <w:name w:val="Intense Quote Char"/>
    <w:link w:val="681"/>
    <w:uiPriority w:val="30"/>
    <w:qFormat/>
    <w:rPr>
      <w:i/>
    </w:rPr>
  </w:style>
  <w:style w:type="character" w:styleId="683" w:customStyle="1">
    <w:name w:val="Header Char"/>
    <w:basedOn w:val="637"/>
    <w:uiPriority w:val="99"/>
    <w:qFormat/>
  </w:style>
  <w:style w:type="character" w:styleId="684" w:customStyle="1">
    <w:name w:val="Footer Char"/>
    <w:basedOn w:val="637"/>
    <w:uiPriority w:val="99"/>
    <w:qFormat/>
  </w:style>
  <w:style w:type="character" w:styleId="685" w:customStyle="1">
    <w:name w:val="Caption Char"/>
    <w:uiPriority w:val="99"/>
    <w:qFormat/>
  </w:style>
  <w:style w:type="table" w:styleId="686" w:customStyle="1">
    <w:name w:val="Table Grid Light"/>
    <w:basedOn w:val="6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7" w:customStyle="1">
    <w:name w:val="Plain Table 1"/>
    <w:basedOn w:val="6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customStyle="1">
    <w:name w:val="Plain Table 2"/>
    <w:basedOn w:val="6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Plain Table 3"/>
    <w:basedOn w:val="6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customStyle="1">
    <w:name w:val="Plain Table 4"/>
    <w:basedOn w:val="6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customStyle="1">
    <w:name w:val="Plain Table 5"/>
    <w:basedOn w:val="6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2" w:customStyle="1">
    <w:name w:val="Grid Table 1 Light"/>
    <w:basedOn w:val="6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1"/>
    <w:basedOn w:val="63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2"/>
    <w:basedOn w:val="63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3"/>
    <w:basedOn w:val="63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4"/>
    <w:basedOn w:val="63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5"/>
    <w:basedOn w:val="63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6"/>
    <w:basedOn w:val="63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699" w:customStyle="1">
    <w:name w:val="Grid Table 2"/>
    <w:basedOn w:val="6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0" w:customStyle="1">
    <w:name w:val="Grid Table 2 - Accent 1"/>
    <w:basedOn w:val="63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01" w:customStyle="1">
    <w:name w:val="Grid Table 2 - Accent 2"/>
    <w:basedOn w:val="63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02" w:customStyle="1">
    <w:name w:val="Grid Table 2 - Accent 3"/>
    <w:basedOn w:val="63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03" w:customStyle="1">
    <w:name w:val="Grid Table 2 - Accent 4"/>
    <w:basedOn w:val="63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04" w:customStyle="1">
    <w:name w:val="Grid Table 2 - Accent 5"/>
    <w:basedOn w:val="63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05" w:customStyle="1">
    <w:name w:val="Grid Table 2 - Accent 6"/>
    <w:basedOn w:val="63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06" w:customStyle="1">
    <w:name w:val="Grid Table 3"/>
    <w:basedOn w:val="6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1"/>
    <w:basedOn w:val="63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2"/>
    <w:basedOn w:val="63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3"/>
    <w:basedOn w:val="63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4"/>
    <w:basedOn w:val="63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5"/>
    <w:basedOn w:val="63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6"/>
    <w:basedOn w:val="63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4"/>
    <w:basedOn w:val="6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customStyle="1">
    <w:name w:val="Grid Table 4 - Accent 1"/>
    <w:basedOn w:val="63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15" w:customStyle="1">
    <w:name w:val="Grid Table 4 - Accent 2"/>
    <w:basedOn w:val="63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16" w:customStyle="1">
    <w:name w:val="Grid Table 4 - Accent 3"/>
    <w:basedOn w:val="63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17" w:customStyle="1">
    <w:name w:val="Grid Table 4 - Accent 4"/>
    <w:basedOn w:val="63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18" w:customStyle="1">
    <w:name w:val="Grid Table 4 - Accent 5"/>
    <w:basedOn w:val="63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19" w:customStyle="1">
    <w:name w:val="Grid Table 4 - Accent 6"/>
    <w:basedOn w:val="63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20" w:customStyle="1">
    <w:name w:val="Grid Table 5 Dark"/>
    <w:basedOn w:val="6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1" w:customStyle="1">
    <w:name w:val="Grid Table 5 Dark- Accent 1"/>
    <w:basedOn w:val="6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22" w:customStyle="1">
    <w:name w:val="Grid Table 5 Dark - Accent 2"/>
    <w:basedOn w:val="6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23" w:customStyle="1">
    <w:name w:val="Grid Table 5 Dark - Accent 3"/>
    <w:basedOn w:val="6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24" w:customStyle="1">
    <w:name w:val="Grid Table 5 Dark- Accent 4"/>
    <w:basedOn w:val="6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25" w:customStyle="1">
    <w:name w:val="Grid Table 5 Dark - Accent 5"/>
    <w:basedOn w:val="6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26" w:customStyle="1">
    <w:name w:val="Grid Table 5 Dark - Accent 6"/>
    <w:basedOn w:val="6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27" w:customStyle="1">
    <w:name w:val="Grid Table 6 Colorful"/>
    <w:basedOn w:val="6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8" w:customStyle="1">
    <w:name w:val="Grid Table 6 Colorful - Accent 1"/>
    <w:basedOn w:val="63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29" w:customStyle="1">
    <w:name w:val="Grid Table 6 Colorful - Accent 2"/>
    <w:basedOn w:val="63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30" w:customStyle="1">
    <w:name w:val="Grid Table 6 Colorful - Accent 3"/>
    <w:basedOn w:val="63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31" w:customStyle="1">
    <w:name w:val="Grid Table 6 Colorful - Accent 4"/>
    <w:basedOn w:val="63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32" w:customStyle="1">
    <w:name w:val="Grid Table 6 Colorful - Accent 5"/>
    <w:basedOn w:val="63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33" w:customStyle="1">
    <w:name w:val="Grid Table 6 Colorful - Accent 6"/>
    <w:basedOn w:val="63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34" w:customStyle="1">
    <w:name w:val="Grid Table 7 Colorful"/>
    <w:basedOn w:val="6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Grid Table 7 Colorful - Accent 1"/>
    <w:basedOn w:val="63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36" w:customStyle="1">
    <w:name w:val="Grid Table 7 Colorful - Accent 2"/>
    <w:basedOn w:val="63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37" w:customStyle="1">
    <w:name w:val="Grid Table 7 Colorful - Accent 3"/>
    <w:basedOn w:val="63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38" w:customStyle="1">
    <w:name w:val="Grid Table 7 Colorful - Accent 4"/>
    <w:basedOn w:val="63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39" w:customStyle="1">
    <w:name w:val="Grid Table 7 Colorful - Accent 5"/>
    <w:basedOn w:val="63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40" w:customStyle="1">
    <w:name w:val="Grid Table 7 Colorful - Accent 6"/>
    <w:basedOn w:val="63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41" w:customStyle="1">
    <w:name w:val="List Table 1 Light"/>
    <w:basedOn w:val="6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1 Light - Accent 1"/>
    <w:basedOn w:val="63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43" w:customStyle="1">
    <w:name w:val="List Table 1 Light - Accent 2"/>
    <w:basedOn w:val="63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44" w:customStyle="1">
    <w:name w:val="List Table 1 Light - Accent 3"/>
    <w:basedOn w:val="63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45" w:customStyle="1">
    <w:name w:val="List Table 1 Light - Accent 4"/>
    <w:basedOn w:val="63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46" w:customStyle="1">
    <w:name w:val="List Table 1 Light - Accent 5"/>
    <w:basedOn w:val="63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47" w:customStyle="1">
    <w:name w:val="List Table 1 Light - Accent 6"/>
    <w:basedOn w:val="63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48" w:customStyle="1">
    <w:name w:val="List Table 2"/>
    <w:basedOn w:val="6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2 - Accent 1"/>
    <w:basedOn w:val="63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50" w:customStyle="1">
    <w:name w:val="List Table 2 - Accent 2"/>
    <w:basedOn w:val="63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51" w:customStyle="1">
    <w:name w:val="List Table 2 - Accent 3"/>
    <w:basedOn w:val="63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52" w:customStyle="1">
    <w:name w:val="List Table 2 - Accent 4"/>
    <w:basedOn w:val="63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53" w:customStyle="1">
    <w:name w:val="List Table 2 - Accent 5"/>
    <w:basedOn w:val="63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54" w:customStyle="1">
    <w:name w:val="List Table 2 - Accent 6"/>
    <w:basedOn w:val="63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55" w:customStyle="1">
    <w:name w:val="List Table 3"/>
    <w:basedOn w:val="6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3 - Accent 1"/>
    <w:basedOn w:val="63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57" w:customStyle="1">
    <w:name w:val="List Table 3 - Accent 2"/>
    <w:basedOn w:val="63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58" w:customStyle="1">
    <w:name w:val="List Table 3 - Accent 3"/>
    <w:basedOn w:val="63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59" w:customStyle="1">
    <w:name w:val="List Table 3 - Accent 4"/>
    <w:basedOn w:val="63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60" w:customStyle="1">
    <w:name w:val="List Table 3 - Accent 5"/>
    <w:basedOn w:val="63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61" w:customStyle="1">
    <w:name w:val="List Table 3 - Accent 6"/>
    <w:basedOn w:val="63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62" w:customStyle="1">
    <w:name w:val="List Table 4"/>
    <w:basedOn w:val="6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 Accent 1"/>
    <w:basedOn w:val="63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4" w:customStyle="1">
    <w:name w:val="List Table 4 - Accent 2"/>
    <w:basedOn w:val="63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65" w:customStyle="1">
    <w:name w:val="List Table 4 - Accent 3"/>
    <w:basedOn w:val="63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66" w:customStyle="1">
    <w:name w:val="List Table 4 - Accent 4"/>
    <w:basedOn w:val="63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67" w:customStyle="1">
    <w:name w:val="List Table 4 - Accent 5"/>
    <w:basedOn w:val="63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68" w:customStyle="1">
    <w:name w:val="List Table 4 - Accent 6"/>
    <w:basedOn w:val="63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69" w:customStyle="1">
    <w:name w:val="List Table 5 Dark"/>
    <w:basedOn w:val="6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1"/>
    <w:basedOn w:val="63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5 Dark - Accent 2"/>
    <w:basedOn w:val="63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5 Dark - Accent 3"/>
    <w:basedOn w:val="63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5 Dark - Accent 4"/>
    <w:basedOn w:val="63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5"/>
    <w:basedOn w:val="63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6"/>
    <w:basedOn w:val="63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6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6 Colorful - Accent 1"/>
    <w:basedOn w:val="63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78" w:customStyle="1">
    <w:name w:val="List Table 6 Colorful - Accent 2"/>
    <w:basedOn w:val="63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79" w:customStyle="1">
    <w:name w:val="List Table 6 Colorful - Accent 3"/>
    <w:basedOn w:val="63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80" w:customStyle="1">
    <w:name w:val="List Table 6 Colorful - Accent 4"/>
    <w:basedOn w:val="63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81" w:customStyle="1">
    <w:name w:val="List Table 6 Colorful - Accent 5"/>
    <w:basedOn w:val="63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82" w:customStyle="1">
    <w:name w:val="List Table 6 Colorful - Accent 6"/>
    <w:basedOn w:val="63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83" w:customStyle="1">
    <w:name w:val="List Table 7 Colorful"/>
    <w:basedOn w:val="6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7 Colorful - Accent 1"/>
    <w:basedOn w:val="63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85" w:customStyle="1">
    <w:name w:val="List Table 7 Colorful - Accent 2"/>
    <w:basedOn w:val="63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6" w:customStyle="1">
    <w:name w:val="List Table 7 Colorful - Accent 3"/>
    <w:basedOn w:val="63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87" w:customStyle="1">
    <w:name w:val="List Table 7 Colorful - Accent 4"/>
    <w:basedOn w:val="63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8" w:customStyle="1">
    <w:name w:val="List Table 7 Colorful - Accent 5"/>
    <w:basedOn w:val="63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89" w:customStyle="1">
    <w:name w:val="List Table 7 Colorful - Accent 6"/>
    <w:basedOn w:val="63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90" w:customStyle="1">
    <w:name w:val="Lined - Accent"/>
    <w:basedOn w:val="6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1" w:customStyle="1">
    <w:name w:val="Lined - Accent 1"/>
    <w:basedOn w:val="6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92" w:customStyle="1">
    <w:name w:val="Lined - Accent 2"/>
    <w:basedOn w:val="6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93" w:customStyle="1">
    <w:name w:val="Lined - Accent 3"/>
    <w:basedOn w:val="6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94" w:customStyle="1">
    <w:name w:val="Lined - Accent 4"/>
    <w:basedOn w:val="6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95" w:customStyle="1">
    <w:name w:val="Lined - Accent 5"/>
    <w:basedOn w:val="6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96" w:customStyle="1">
    <w:name w:val="Lined - Accent 6"/>
    <w:basedOn w:val="6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97" w:customStyle="1">
    <w:name w:val="Bordered &amp; Lined - Accent"/>
    <w:basedOn w:val="63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8" w:customStyle="1">
    <w:name w:val="Bordered &amp; Lined - Accent 1"/>
    <w:basedOn w:val="63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99" w:customStyle="1">
    <w:name w:val="Bordered &amp; Lined - Accent 2"/>
    <w:basedOn w:val="63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0" w:customStyle="1">
    <w:name w:val="Bordered &amp; Lined - Accent 3"/>
    <w:basedOn w:val="63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1" w:customStyle="1">
    <w:name w:val="Bordered &amp; Lined - Accent 4"/>
    <w:basedOn w:val="63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2" w:customStyle="1">
    <w:name w:val="Bordered &amp; Lined - Accent 5"/>
    <w:basedOn w:val="63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3" w:customStyle="1">
    <w:name w:val="Bordered &amp; Lined - Accent 6"/>
    <w:basedOn w:val="63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4" w:customStyle="1">
    <w:name w:val="Bordered"/>
    <w:basedOn w:val="63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5" w:customStyle="1">
    <w:name w:val="Bordered - Accent 1"/>
    <w:basedOn w:val="63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06" w:customStyle="1">
    <w:name w:val="Bordered - Accent 2"/>
    <w:basedOn w:val="63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07" w:customStyle="1">
    <w:name w:val="Bordered - Accent 3"/>
    <w:basedOn w:val="63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08" w:customStyle="1">
    <w:name w:val="Bordered - Accent 4"/>
    <w:basedOn w:val="63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09" w:customStyle="1">
    <w:name w:val="Bordered - Accent 5"/>
    <w:basedOn w:val="63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10" w:customStyle="1">
    <w:name w:val="Bordered - Accent 6"/>
    <w:basedOn w:val="63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11" w:customStyle="1">
    <w:name w:val="Footnote Text Char"/>
    <w:link w:val="654"/>
    <w:uiPriority w:val="99"/>
    <w:qFormat/>
    <w:rPr>
      <w:sz w:val="18"/>
    </w:rPr>
  </w:style>
  <w:style w:type="character" w:styleId="812" w:customStyle="1">
    <w:name w:val="Endnote Text Char"/>
    <w:link w:val="648"/>
    <w:uiPriority w:val="99"/>
    <w:qFormat/>
    <w:rPr>
      <w:sz w:val="20"/>
    </w:rPr>
  </w:style>
  <w:style w:type="paragraph" w:styleId="813" w:customStyle="1">
    <w:name w:val="TOC Heading"/>
    <w:uiPriority w:val="39"/>
    <w:unhideWhenUsed/>
    <w:qFormat/>
    <w:rPr>
      <w:rFonts w:hint="default" w:ascii="Times New Roman" w:hAnsi="Times New Roman" w:eastAsia="宋体" w:cs="Times New Roman"/>
    </w:rPr>
  </w:style>
  <w:style w:type="paragraph" w:styleId="814" w:customStyle="1">
    <w:name w:val="Default"/>
    <w:basedOn w:val="627"/>
    <w:uiPriority w:val="0"/>
    <w:semiHidden/>
    <w:qFormat/>
    <w:pPr>
      <w:jc w:val="left"/>
    </w:pPr>
    <w:rPr>
      <w:rFonts w:ascii="宋体" w:hAnsi="Calibri" w:cs="宋体"/>
      <w:color w:val="000000"/>
      <w:sz w:val="24"/>
    </w:rPr>
  </w:style>
  <w:style w:type="character" w:styleId="815" w:customStyle="1">
    <w:name w:val="页眉 Char"/>
    <w:basedOn w:val="637"/>
    <w:link w:val="650"/>
    <w:uiPriority w:val="0"/>
    <w:qFormat/>
    <w:rPr>
      <w:rFonts w:asciiTheme="minorHAnsi" w:hAnsiTheme="minorHAnsi" w:eastAsiaTheme="minorEastAsia" w:cstheme="minorBidi"/>
      <w:sz w:val="18"/>
      <w:szCs w:val="18"/>
    </w:rPr>
  </w:style>
  <w:style w:type="character" w:styleId="816" w:customStyle="1">
    <w:name w:val="页脚 Char"/>
    <w:basedOn w:val="637"/>
    <w:link w:val="649"/>
    <w:uiPriority w:val="0"/>
    <w:qFormat/>
    <w:rPr>
      <w:rFonts w:asciiTheme="minorHAnsi" w:hAnsiTheme="minorHAnsi" w:eastAsiaTheme="minorEastAsia" w:cstheme="minorBidi"/>
      <w:sz w:val="18"/>
      <w:szCs w:val="18"/>
    </w:rPr>
  </w:style>
  <w:style w:type="paragraph" w:styleId="81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18" w:customStyle="1">
    <w:name w:val="页脚1"/>
    <w:basedOn w:val="627"/>
    <w:uiPriority w:val="99"/>
    <w:unhideWhenUsed/>
    <w:qFormat/>
    <w:pPr>
      <w:jc w:val="left"/>
      <w:tabs>
        <w:tab w:val="center" w:pos="4153" w:leader="none"/>
        <w:tab w:val="right" w:pos="8306" w:leader="none"/>
      </w:tabs>
    </w:pPr>
    <w:rPr>
      <w:sz w:val="18"/>
      <w:szCs w:val="18"/>
    </w:rPr>
  </w:style>
  <w:style w:type="paragraph" w:styleId="819" w:customStyle="1">
    <w:name w:val="普通正文"/>
    <w:basedOn w:val="627"/>
    <w:uiPriority w:val="0"/>
    <w:qFormat/>
    <w:pPr>
      <w:ind w:firstLine="480"/>
      <w:jc w:val="left"/>
      <w:spacing w:before="120" w:after="120" w:line="360" w:lineRule="auto"/>
    </w:pPr>
    <w:rPr>
      <w:rFonts w:ascii="Arial" w:hAnsi="Arial" w:eastAsia="等线" w:cs="Arial"/>
      <w:sz w:val="24"/>
      <w:szCs w:val="24"/>
    </w:rPr>
  </w:style>
  <w:style w:type="paragraph" w:styleId="820" w:customStyle="1">
    <w:name w:val="正文首行缩进 21"/>
    <w:basedOn w:val="821"/>
    <w:uiPriority w:val="0"/>
    <w:qFormat/>
    <w:pPr>
      <w:ind w:firstLine="420"/>
    </w:pPr>
  </w:style>
  <w:style w:type="paragraph" w:styleId="821" w:customStyle="1">
    <w:name w:val="正文文本缩进1"/>
    <w:basedOn w:val="627"/>
    <w:uiPriority w:val="0"/>
    <w:qFormat/>
    <w:pPr>
      <w:ind w:left="420"/>
      <w:spacing w:after="120"/>
    </w:pPr>
  </w:style>
  <w:style w:type="character" w:styleId="822" w:customStyle="1">
    <w:name w:val="NormalCharacter"/>
    <w:uiPriority w:val="0"/>
    <w:qFormat/>
  </w:style>
  <w:style w:type="character" w:styleId="823" w:customStyle="1">
    <w:name w:val="font41"/>
    <w:basedOn w:val="637"/>
    <w:uiPriority w:val="0"/>
    <w:qFormat/>
    <w:rPr>
      <w:rFonts w:hint="default" w:ascii="Times New Roman" w:hAnsi="Times New Roman" w:cs="Times New Roman"/>
      <w:color w:val="000000"/>
      <w:sz w:val="20"/>
      <w:szCs w:val="20"/>
      <w:u w:val="none"/>
    </w:rPr>
  </w:style>
  <w:style w:type="character" w:styleId="824" w:customStyle="1">
    <w:name w:val="font31"/>
    <w:basedOn w:val="637"/>
    <w:uiPriority w:val="0"/>
    <w:qFormat/>
    <w:rPr>
      <w:rFonts w:hint="eastAsia" w:ascii="宋体" w:hAnsi="宋体" w:eastAsia="宋体" w:cs="宋体"/>
      <w:color w:val="000000"/>
      <w:sz w:val="20"/>
      <w:szCs w:val="20"/>
      <w:u w:val="none"/>
    </w:rPr>
  </w:style>
  <w:style w:type="character" w:styleId="825" w:customStyle="1">
    <w:name w:val="font21"/>
    <w:basedOn w:val="637"/>
    <w:uiPriority w:val="0"/>
    <w:qFormat/>
    <w:rPr>
      <w:rFonts w:hint="eastAsia" w:ascii="黑体" w:hAnsi="宋体" w:eastAsia="黑体" w:cs="黑体"/>
      <w:color w:val="000000"/>
      <w:sz w:val="20"/>
      <w:szCs w:val="20"/>
      <w:u w:val="none"/>
    </w:rPr>
  </w:style>
  <w:style w:type="character" w:styleId="826" w:customStyle="1">
    <w:name w:val="font51"/>
    <w:basedOn w:val="637"/>
    <w:uiPriority w:val="0"/>
    <w:qFormat/>
    <w:rPr>
      <w:rFonts w:hint="default" w:ascii="Times New Roman" w:hAnsi="Times New Roman" w:cs="Times New Roman"/>
      <w:color w:val="000000"/>
      <w:sz w:val="20"/>
      <w:szCs w:val="20"/>
      <w:u w:val="none"/>
    </w:rPr>
  </w:style>
  <w:style w:type="character" w:styleId="827" w:customStyle="1">
    <w:name w:val="font61"/>
    <w:basedOn w:val="637"/>
    <w:uiPriority w:val="0"/>
    <w:qFormat/>
    <w:rPr>
      <w:rFonts w:ascii="MS Gothic" w:hAnsi="MS Gothic" w:eastAsia="MS Gothic" w:cs="MS Gothic"/>
      <w:color w:val="000000"/>
      <w:sz w:val="20"/>
      <w:szCs w:val="20"/>
      <w:u w:val="none"/>
    </w:rPr>
  </w:style>
  <w:style w:type="character" w:styleId="828" w:customStyle="1">
    <w:name w:val="font71"/>
    <w:basedOn w:val="637"/>
    <w:uiPriority w:val="0"/>
    <w:qFormat/>
    <w:rPr>
      <w:rFonts w:ascii="Arial" w:hAnsi="Arial" w:cs="Arial"/>
      <w:color w:val="000000"/>
      <w:sz w:val="20"/>
      <w:szCs w:val="20"/>
      <w:u w:val="none"/>
    </w:rPr>
  </w:style>
  <w:style w:type="numbering" w:styleId="226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李翠兰</cp:lastModifiedBy>
  <cp:revision>125</cp:revision>
  <dcterms:created xsi:type="dcterms:W3CDTF">2014-10-29T12:08:00Z</dcterms:created>
  <dcterms:modified xsi:type="dcterms:W3CDTF">2025-10-24T08:23:52Z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2CE725C660F74BC6B9F9F213959B39C7_13</vt:lpwstr>
  </property>
  <property fmtid="{D5CDD505-2E9C-101B-9397-08002B2CF9AE}" pid="4" name="KSOTemplateDocerSaveRecord">
    <vt:lpwstr>eyJoZGlkIjoiNDM4NDY5MzMzNGM0YTk0NWMyNzUxYjgyOTYwNjdmZGMiLCJ1c2VySWQiOiIxMjgxNjg1NzA3In0=</vt:lpwstr>
  </property>
</Properties>
</file>