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5" w:right="0" w:hanging="245"/>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245" w:right="0" w:hanging="245"/>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淮安市涟水县政府采购项目</w:t>
      </w:r>
      <w:r/>
    </w:p>
    <w:p>
      <w:pPr>
        <w:ind w:left="245" w:right="0" w:hanging="245"/>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“苏采云全流程不见面交易”</w:t>
      </w:r>
      <w:r/>
    </w:p>
    <w:p>
      <w:pPr>
        <w:ind w:left="245" w:right="0" w:hanging="245"/>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招标文件</w:t>
      </w:r>
      <w:r/>
    </w:p>
    <w:p>
      <w:pPr>
        <w:ind w:left="0" w:right="0" w:firstLine="0"/>
        <w:jc w:val="center"/>
        <w:spacing w:before="0" w:after="0"/>
        <w:tabs>
          <w:tab w:val="left" w:pos="46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(二次)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61"/>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涟水县村庄规划编制服务采购项目</w:t>
      </w:r>
      <w:r/>
    </w:p>
    <w:p>
      <w:pPr>
        <w:ind w:left="0" w:right="0" w:firstLine="354"/>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Times New Roman" w:hAnsi="Times New Roman" w:eastAsia="Times New Roman" w:cs="Times New Roman"/>
          <w:sz w:val="22"/>
        </w:rPr>
      </w:r>
      <w:r/>
    </w:p>
    <w:p>
      <w:pPr>
        <w:ind w:left="0" w:right="0" w:firstLine="354"/>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项目编号：JSZC-320826-ZYJS-G2024-0017</w:t>
      </w:r>
      <w:r/>
    </w:p>
    <w:p>
      <w:pPr>
        <w:ind w:left="0" w:right="0" w:firstLine="354"/>
        <w:spacing w:before="0" w:after="0" w:line="7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采购人名称：</w:t>
      </w:r>
      <w:r>
        <w:rPr>
          <w:rFonts w:ascii="SimSun" w:hAnsi="SimSun" w:eastAsia="SimSun" w:cs="SimSun"/>
          <w:b/>
          <w:color w:val="000000"/>
          <w:sz w:val="36"/>
          <w:u w:val="single"/>
        </w:rPr>
        <w:t xml:space="preserve">涟水县自然资源和规划局</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代理机构名称：</w:t>
      </w:r>
      <w:r>
        <w:rPr>
          <w:rFonts w:ascii="SimSun" w:hAnsi="SimSun" w:eastAsia="SimSun" w:cs="SimSun"/>
          <w:b/>
          <w:color w:val="000000"/>
          <w:sz w:val="36"/>
          <w:u w:val="single"/>
        </w:rPr>
        <w:t xml:space="preserve">江苏卓越建设项目管理有限公司</w:t>
      </w:r>
      <w:r/>
    </w:p>
    <w:p>
      <w:pPr>
        <w:ind w:left="0" w:right="0" w:firstLine="215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5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二〇二四年四月二十八日</w:t>
      </w:r>
      <w:r/>
    </w:p>
    <w:p>
      <w:pPr>
        <w:ind w:left="0" w:right="0" w:firstLine="0"/>
        <w:jc w:val="center"/>
        <w:spacing w:before="0" w:after="0" w:line="113"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r/>
    </w:p>
    <w:p>
      <w:pPr>
        <w:ind w:left="0" w:right="0" w:firstLine="0"/>
        <w:jc w:val="center"/>
        <w:spacing w:before="0" w:after="0" w:line="113" w:lineRule="atLeast"/>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162447252" w:history="1">
        <w:r>
          <w:rPr>
            <w:rStyle w:val="792"/>
            <w:rFonts w:ascii="SimSun" w:hAnsi="SimSun" w:eastAsia="SimSun" w:cs="SimSun"/>
            <w:color w:val="5c5c5c"/>
            <w:sz w:val="22"/>
          </w:rPr>
          <w:t xml:space="preserve">第一部分  投标邀请</w:t>
        </w:r>
        <w:r>
          <w:rPr>
            <w:rStyle w:val="792"/>
            <w:rFonts w:ascii="Times New Roman" w:hAnsi="Times New Roman" w:eastAsia="Times New Roman" w:cs="Times New Roman"/>
            <w:color w:val="000000"/>
            <w:sz w:val="22"/>
          </w:rPr>
          <w:tab/>
          <w:t xml:space="preserve">2</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62447253" w:history="1">
        <w:r>
          <w:rPr>
            <w:rStyle w:val="792"/>
            <w:rFonts w:ascii="SimSun" w:hAnsi="SimSun" w:eastAsia="SimSun" w:cs="SimSun"/>
            <w:color w:val="5c5c5c"/>
            <w:sz w:val="22"/>
          </w:rPr>
          <w:t xml:space="preserve">第二部分  投标人须知</w:t>
        </w:r>
        <w:r>
          <w:rPr>
            <w:rStyle w:val="792"/>
            <w:rFonts w:ascii="Times New Roman" w:hAnsi="Times New Roman" w:eastAsia="Times New Roman" w:cs="Times New Roman"/>
            <w:color w:val="000000"/>
            <w:sz w:val="22"/>
          </w:rPr>
          <w:tab/>
          <w:t xml:space="preserve">7</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62447254" w:history="1">
        <w:r>
          <w:rPr>
            <w:rStyle w:val="792"/>
            <w:rFonts w:ascii="SimSun" w:hAnsi="SimSun" w:eastAsia="SimSun" w:cs="SimSun"/>
            <w:color w:val="5c5c5c"/>
            <w:sz w:val="22"/>
          </w:rPr>
          <w:t xml:space="preserve">第三部分  评标标准</w:t>
        </w:r>
        <w:r>
          <w:rPr>
            <w:rStyle w:val="792"/>
            <w:rFonts w:ascii="Times New Roman" w:hAnsi="Times New Roman" w:eastAsia="Times New Roman" w:cs="Times New Roman"/>
            <w:color w:val="000000"/>
            <w:sz w:val="22"/>
          </w:rPr>
          <w:tab/>
          <w:t xml:space="preserve">23</w:t>
        </w:r>
      </w:hyperlink>
      <w:r/>
      <w:r/>
    </w:p>
    <w:p>
      <w:pPr>
        <w:ind w:left="0" w:right="0" w:firstLine="42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62447255" w:history="1">
        <w:r>
          <w:rPr>
            <w:rStyle w:val="792"/>
            <w:rFonts w:ascii="SimSun" w:hAnsi="SimSun" w:eastAsia="SimSun" w:cs="SimSun"/>
            <w:color w:val="5c5c5c"/>
            <w:sz w:val="22"/>
          </w:rPr>
          <w:t xml:space="preserve">第四部分　合同格式及条款</w:t>
        </w:r>
        <w:r>
          <w:rPr>
            <w:rStyle w:val="792"/>
            <w:rFonts w:ascii="Times New Roman" w:hAnsi="Times New Roman" w:eastAsia="Times New Roman" w:cs="Times New Roman"/>
            <w:color w:val="5c5c5c"/>
            <w:sz w:val="22"/>
          </w:rPr>
          <w:t xml:space="preserve">………………………………………………………………………………………</w:t>
        </w:r>
        <w:r>
          <w:rPr>
            <w:rStyle w:val="792"/>
            <w:rFonts w:ascii="Times New Roman" w:hAnsi="Times New Roman" w:eastAsia="Times New Roman" w:cs="Times New Roman"/>
            <w:color w:val="000000"/>
            <w:sz w:val="22"/>
          </w:rPr>
          <w:t xml:space="preserve">26</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62447257" w:history="1">
        <w:r>
          <w:rPr>
            <w:rStyle w:val="792"/>
            <w:rFonts w:ascii="SimSun" w:hAnsi="SimSun" w:eastAsia="SimSun" w:cs="SimSun"/>
            <w:color w:val="5c5c5c"/>
            <w:sz w:val="22"/>
          </w:rPr>
          <w:t xml:space="preserve">第五部分  项目采购需求</w:t>
        </w:r>
        <w:r>
          <w:rPr>
            <w:rStyle w:val="792"/>
            <w:rFonts w:ascii="Times New Roman" w:hAnsi="Times New Roman" w:eastAsia="Times New Roman" w:cs="Times New Roman"/>
            <w:color w:val="000000"/>
            <w:sz w:val="22"/>
          </w:rPr>
          <w:tab/>
          <w:t xml:space="preserve">31</w:t>
        </w:r>
      </w:hyperlink>
      <w:r/>
      <w:r/>
    </w:p>
    <w:p>
      <w:pPr>
        <w:ind w:left="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2447262" w:history="1">
        <w:r>
          <w:rPr>
            <w:rStyle w:val="792"/>
            <w:rFonts w:ascii="SimSun" w:hAnsi="SimSun" w:eastAsia="SimSun" w:cs="SimSun"/>
            <w:color w:val="5c5c5c"/>
            <w:sz w:val="22"/>
          </w:rPr>
          <w:t xml:space="preserve">第二章   投  标  文  件  格  式</w:t>
        </w:r>
        <w:r>
          <w:rPr>
            <w:rStyle w:val="792"/>
            <w:rFonts w:ascii="Times New Roman" w:hAnsi="Times New Roman" w:eastAsia="Times New Roman" w:cs="Times New Roman"/>
            <w:color w:val="000000"/>
            <w:sz w:val="22"/>
          </w:rPr>
          <w:tab/>
          <w:t xml:space="preserve">35</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2447263" w:history="1">
        <w:r>
          <w:rPr>
            <w:rStyle w:val="792"/>
            <w:rFonts w:ascii="SimSun" w:hAnsi="SimSun" w:eastAsia="SimSun" w:cs="SimSun"/>
            <w:color w:val="5c5c5c"/>
            <w:sz w:val="22"/>
          </w:rPr>
          <w:t xml:space="preserve">一、投标函（标段  ）</w:t>
        </w:r>
        <w:r>
          <w:rPr>
            <w:rStyle w:val="792"/>
            <w:rFonts w:ascii="Times New Roman" w:hAnsi="Times New Roman" w:eastAsia="Times New Roman" w:cs="Times New Roman"/>
            <w:color w:val="000000"/>
            <w:sz w:val="22"/>
          </w:rPr>
          <w:tab/>
          <w:t xml:space="preserve">37</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62447264" w:history="1">
        <w:r>
          <w:rPr>
            <w:rStyle w:val="792"/>
            <w:rFonts w:ascii="SimSun" w:hAnsi="SimSun" w:eastAsia="SimSun" w:cs="SimSun"/>
            <w:color w:val="5c5c5c"/>
            <w:sz w:val="22"/>
          </w:rPr>
          <w:t xml:space="preserve">二、开标一览表（标段  ）</w:t>
        </w:r>
        <w:r>
          <w:rPr>
            <w:rStyle w:val="792"/>
            <w:rFonts w:ascii="Times New Roman" w:hAnsi="Times New Roman" w:eastAsia="Times New Roman" w:cs="Times New Roman"/>
            <w:color w:val="000000"/>
            <w:sz w:val="22"/>
          </w:rPr>
          <w:tab/>
          <w:t xml:space="preserve">39</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62447265" w:history="1">
        <w:r>
          <w:rPr>
            <w:rStyle w:val="792"/>
            <w:rFonts w:ascii="SimSun" w:hAnsi="SimSun" w:eastAsia="SimSun" w:cs="SimSun"/>
            <w:color w:val="5c5c5c"/>
            <w:sz w:val="22"/>
          </w:rPr>
          <w:t xml:space="preserve">三、报价明细表（标段  ）</w:t>
        </w:r>
        <w:r>
          <w:rPr>
            <w:rStyle w:val="792"/>
            <w:rFonts w:ascii="Times New Roman" w:hAnsi="Times New Roman" w:eastAsia="Times New Roman" w:cs="Times New Roman"/>
            <w:color w:val="000000"/>
            <w:sz w:val="22"/>
          </w:rPr>
          <w:tab/>
          <w:t xml:space="preserve">40</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62447266" w:history="1">
        <w:r>
          <w:rPr>
            <w:rStyle w:val="792"/>
            <w:rFonts w:ascii="SimSun" w:hAnsi="SimSun" w:eastAsia="SimSun" w:cs="SimSun"/>
            <w:color w:val="5c5c5c"/>
            <w:sz w:val="22"/>
          </w:rPr>
          <w:t xml:space="preserve">四、拟派项目负责人及主要人员基本情况表（标段  ）</w:t>
        </w:r>
        <w:r>
          <w:rPr>
            <w:rStyle w:val="792"/>
            <w:rFonts w:ascii="Times New Roman" w:hAnsi="Times New Roman" w:eastAsia="Times New Roman" w:cs="Times New Roman"/>
            <w:color w:val="000000"/>
            <w:sz w:val="22"/>
          </w:rPr>
          <w:tab/>
          <w:t xml:space="preserve">41</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62447267" w:history="1">
        <w:r>
          <w:rPr>
            <w:rStyle w:val="792"/>
            <w:rFonts w:ascii="SimSun" w:hAnsi="SimSun" w:eastAsia="SimSun" w:cs="SimSun"/>
            <w:color w:val="5c5c5c"/>
            <w:sz w:val="22"/>
          </w:rPr>
          <w:t xml:space="preserve">六、服务承诺（标段  ）</w:t>
        </w:r>
        <w:r>
          <w:rPr>
            <w:rStyle w:val="792"/>
            <w:rFonts w:ascii="Times New Roman" w:hAnsi="Times New Roman" w:eastAsia="Times New Roman" w:cs="Times New Roman"/>
            <w:color w:val="000000"/>
            <w:sz w:val="22"/>
          </w:rPr>
          <w:tab/>
          <w:t xml:space="preserve">43</w:t>
        </w:r>
      </w:hyperlink>
      <w:r/>
      <w:r/>
    </w:p>
    <w:p>
      <w:pPr>
        <w:ind w:left="0" w:right="0" w:firstLine="42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62447268" w:history="1">
        <w:r>
          <w:rPr>
            <w:rStyle w:val="792"/>
            <w:rFonts w:ascii="SimSun" w:hAnsi="SimSun" w:eastAsia="SimSun" w:cs="SimSun"/>
            <w:color w:val="5c5c5c"/>
            <w:sz w:val="22"/>
          </w:rPr>
          <w:t xml:space="preserve">（格式由投标人自定，加盖投标人电子签章。）</w:t>
        </w:r>
        <w:r>
          <w:rPr>
            <w:rStyle w:val="792"/>
            <w:rFonts w:ascii="Times New Roman" w:hAnsi="Times New Roman" w:eastAsia="Times New Roman" w:cs="Times New Roman"/>
            <w:color w:val="000000"/>
            <w:sz w:val="22"/>
          </w:rPr>
          <w:tab/>
          <w:t xml:space="preserve">43</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62447269" w:history="1">
        <w:r>
          <w:rPr>
            <w:rStyle w:val="792"/>
            <w:rFonts w:ascii="SimSun" w:hAnsi="SimSun" w:eastAsia="SimSun" w:cs="SimSun"/>
            <w:color w:val="5c5c5c"/>
            <w:sz w:val="22"/>
          </w:rPr>
          <w:t xml:space="preserve">七、资质审查时投标人必须提供的资格证明文件</w:t>
        </w:r>
        <w:r>
          <w:rPr>
            <w:rStyle w:val="792"/>
            <w:rFonts w:ascii="Times New Roman" w:hAnsi="Times New Roman" w:eastAsia="Times New Roman" w:cs="Times New Roman"/>
            <w:color w:val="000000"/>
            <w:sz w:val="22"/>
          </w:rPr>
          <w:tab/>
          <w:t xml:space="preserve">44</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62447270" w:history="1">
        <w:r>
          <w:rPr>
            <w:rStyle w:val="792"/>
            <w:rFonts w:ascii="SimSun" w:hAnsi="SimSun" w:eastAsia="SimSun" w:cs="SimSun"/>
            <w:color w:val="5c5c5c"/>
            <w:sz w:val="22"/>
          </w:rPr>
          <w:t xml:space="preserve">八、投标人参与综合评审时需提供的证明文件</w:t>
        </w:r>
        <w:r>
          <w:rPr>
            <w:rStyle w:val="792"/>
            <w:rFonts w:ascii="Times New Roman" w:hAnsi="Times New Roman" w:eastAsia="Times New Roman" w:cs="Times New Roman"/>
            <w:color w:val="000000"/>
            <w:sz w:val="22"/>
          </w:rPr>
          <w:tab/>
          <w:t xml:space="preserve">45</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62447271" w:history="1">
        <w:r>
          <w:rPr>
            <w:rStyle w:val="792"/>
            <w:rFonts w:ascii="SimSun" w:hAnsi="SimSun" w:eastAsia="SimSun" w:cs="SimSun"/>
            <w:color w:val="5c5c5c"/>
            <w:sz w:val="22"/>
          </w:rPr>
          <w:t xml:space="preserve">九、投标人认为有必要提供并说明的其它资料</w:t>
        </w:r>
        <w:r>
          <w:rPr>
            <w:rStyle w:val="792"/>
            <w:rFonts w:ascii="Times New Roman" w:hAnsi="Times New Roman" w:eastAsia="Times New Roman" w:cs="Times New Roman"/>
            <w:color w:val="000000"/>
            <w:sz w:val="22"/>
          </w:rPr>
          <w:tab/>
          <w:t xml:space="preserve">45</w:t>
        </w:r>
      </w:hyperlink>
      <w:r/>
      <w:r/>
    </w:p>
    <w:p>
      <w:pPr>
        <w:ind w:left="420" w:right="0" w:firstLine="0"/>
        <w:jc w:val="both"/>
        <w:spacing w:before="0" w:after="0" w:line="400" w:lineRule="atLeast"/>
        <w:tabs>
          <w:tab w:val="left" w:pos="10109"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62447272" w:history="1">
        <w:r>
          <w:rPr>
            <w:rStyle w:val="792"/>
            <w:rFonts w:ascii="SimSun" w:hAnsi="SimSun" w:eastAsia="SimSun" w:cs="SimSun"/>
            <w:color w:val="5c5c5c"/>
            <w:sz w:val="22"/>
          </w:rPr>
          <w:t xml:space="preserve">十、示范格式</w:t>
        </w:r>
        <w:r>
          <w:rPr>
            <w:rStyle w:val="792"/>
            <w:rFonts w:ascii="Times New Roman" w:hAnsi="Times New Roman" w:eastAsia="Times New Roman" w:cs="Times New Roman"/>
            <w:color w:val="000000"/>
            <w:sz w:val="22"/>
          </w:rPr>
          <w:tab/>
          <w:t xml:space="preserve">46</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4"/>
        <w:ind w:left="0" w:right="0" w:firstLine="3614"/>
        <w:spacing w:before="0" w:after="0" w:line="85" w:lineRule="atLeast"/>
        <w:tabs>
          <w:tab w:val="left" w:pos="5386" w:leader="none"/>
          <w:tab w:val="left" w:pos="94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4"/>
        <w:ind w:left="0" w:right="0" w:firstLine="3614"/>
        <w:spacing w:before="0" w:after="0" w:line="85" w:lineRule="atLeast"/>
        <w:tabs>
          <w:tab w:val="left" w:pos="5386" w:leader="none"/>
          <w:tab w:val="left" w:pos="94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ab/>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37"/>
        <w:jc w:val="center"/>
        <w:spacing w:before="0" w:after="0" w:line="51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537"/>
        <w:jc w:val="center"/>
        <w:spacing w:before="0" w:after="0" w:line="519"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招标文件</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第一部分  投标邀请</w:t>
      </w:r>
      <w:r/>
    </w:p>
    <w:p>
      <w:pPr>
        <w:ind w:left="0" w:right="0" w:firstLine="0"/>
        <w:jc w:val="both"/>
        <w:spacing w:before="0" w:after="0" w:line="559" w:lineRule="atLeast"/>
        <w:tabs>
          <w:tab w:val="left" w:pos="77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559" w:lineRule="atLeast"/>
        <w:tabs>
          <w:tab w:val="left" w:pos="77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涟水县村庄规划编制服务采购项目JSZC-320826-ZYJS-G2024-0017的采购项目潜在投标人应在“江苏政府采购网”或者“淮安市政府采购网”获取招标文件，并于2024年5月20日09时00分（北京时间）前提交投标文件。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JSZC-320826-ZYJS-G2024-0017 </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项目名称:涟水县村庄规划编制服务采购项目</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预算金额:人民币275万元。</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最高限价:共计3个标段，二标段最高限价：125万；三标段最高限价75万；五标段最高限价：75万。</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标段划分：本项目共分三个标段，明细如下：</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77"/>
        <w:gridCol w:w="4817"/>
        <w:gridCol w:w="1216"/>
        <w:gridCol w:w="1088"/>
      </w:tblGrid>
      <w:tr>
        <w:trPr>
          <w:trHeight w:val="3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红窑、岔庙、朱码单元村庄规划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梁岔、成集、陈师单元村庄规划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黄营、南集、大东、涟城单元村庄规划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75万元</w:t>
            </w:r>
            <w:r/>
          </w:p>
        </w:tc>
      </w:tr>
    </w:tbl>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各单位投标报价不得超过各标段分项预算及最高限价，否则为无效投标。</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招标需求:涟水县村庄规划编制服务采购项目，详见招标文件第一章第五部分。</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合同履行期限：180日历天（具体进度根据要求合理安排，必须在2024年10月30日前完成全部工作。）</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ff0000"/>
          <w:sz w:val="24"/>
        </w:rPr>
        <w:t xml:space="preserve">不接受</w:t>
      </w:r>
      <w:r>
        <w:rPr>
          <w:rFonts w:ascii="SimSun" w:hAnsi="SimSun" w:eastAsia="SimSun" w:cs="SimSun"/>
          <w:color w:val="000000"/>
          <w:sz w:val="24"/>
        </w:rPr>
        <w:t xml:space="preserve">联合体投标。</w:t>
      </w:r>
      <w:r/>
    </w:p>
    <w:p>
      <w:pPr>
        <w:ind w:left="0" w:right="0" w:firstLine="53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本项目招标标的对应的中小企业划分标准所属行业为</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（一）符合《中华人民共和国政府采购法》第二十二条规定的条件；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1.符合《中华人民共和国政府采购法》第二十二条规定的六项条件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2.落实政府采购政策需满足的资格要求:（提供以下材料之一） 1）企业声明函（详见示范格式三）； 2）《残疾人福利性单位声明函》（详见示范格式四）； 3）由省级以上监狱管理局、戒毒管理局（含新疆生产建设兵团）出具的属于监狱企业的证明文件）（加盖出具单位公章的原件扫描上传）。   注:监狱企业、残疾人福利性单位视同小微企业。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本项目不接受联合体参加</w:t>
      </w:r>
      <w:r>
        <w:rPr>
          <w:rFonts w:ascii="SimSun" w:hAnsi="SimSun" w:eastAsia="SimSun" w:cs="SimSun"/>
          <w:color w:val="000000"/>
          <w:sz w:val="24"/>
        </w:rPr>
        <w:t xml:space="preserve">投标</w:t>
      </w:r>
      <w:r/>
    </w:p>
    <w:p>
      <w:pPr>
        <w:ind w:left="0" w:right="0" w:firstLine="56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条件的投标人参加本次招标活动:1、投标人单位负责人为同一人或者存在直接控股、管理关系的不同投标人，不得同时参加同一合同项下的政府招标活动。2、凡为招标项目提供整体设计、规范编制或者项目管理、监理、检测等服务的投标人，不得再参加本项目的招标活动。3、投标人被“信用中国”网站、“中国政府采购网”列入失信被执行人、重大税收违法案件当事人名单、政府采购严重违法失信行为记录名单。4.供应商未提供《失信行为“双公示”承诺书》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投标人提供下列之一（提供相关材料）1、投标人法定代表人参加投标的，提供法定代表人资格证明（格式按照示范格式一要求）和法定代表人有效身份证；（原件扫描件上传） 2、投标人授权委托人参加投标的，提供授权委托书（格式按照示范格式二要求）和受托人有效身份证。（原件扫描件上传）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（二）落实政府招标政策需满足的资格要求: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 </w:t>
      </w:r>
      <w:r>
        <w:rPr>
          <w:rFonts w:ascii="SimSun" w:hAnsi="SimSun" w:eastAsia="SimSun" w:cs="SimSun"/>
          <w:color w:val="000000"/>
          <w:sz w:val="24"/>
          <w:u w:val="single"/>
        </w:rPr>
        <w:t xml:space="preserve">3 </w:t>
      </w:r>
      <w:r>
        <w:rPr>
          <w:rFonts w:ascii="SimSun" w:hAnsi="SimSun" w:eastAsia="SimSun" w:cs="SimSun"/>
          <w:color w:val="000000"/>
          <w:sz w:val="24"/>
        </w:rPr>
        <w:t xml:space="preserve">种方式落实政府采购促进中小企业发展的要求：</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（1）本项目要求投标人以联合体形式参加，中小企业合同金额应当达到的比例为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w:t>
      </w:r>
      <w:r>
        <w:rPr>
          <w:rFonts w:ascii="SimSun" w:hAnsi="SimSun" w:eastAsia="SimSun" w:cs="SimSun"/>
          <w:color w:val="000000"/>
          <w:sz w:val="24"/>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（2）本项目要求投标人进行合同分包，中小企业合同金额应当达到的比例为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w:t>
      </w:r>
      <w:r>
        <w:rPr>
          <w:rFonts w:ascii="SimSun" w:hAnsi="SimSun" w:eastAsia="SimSun" w:cs="SimSun"/>
          <w:color w:val="000000"/>
          <w:sz w:val="24"/>
        </w:rPr>
        <w:t xml:space="preserve">%（两项比例均应符合《政府采购促进中小企业发展管理办法》第八条规定）。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3、本项目为非预留份额的采购项目，对小微企业报价给予扣除，用扣除后的价格参加评审，具体详见第二章“投标人须知”第31.1项。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标段二、标段三、标段</w:t>
      </w:r>
      <w:r>
        <w:rPr>
          <w:rFonts w:ascii="SimSun" w:hAnsi="SimSun" w:eastAsia="SimSun" w:cs="SimSun"/>
          <w:b/>
          <w:color w:val="000000"/>
          <w:sz w:val="24"/>
        </w:rPr>
        <w:t xml:space="preserve">五</w:t>
      </w:r>
      <w:r>
        <w:rPr>
          <w:rFonts w:ascii="SimSun" w:hAnsi="SimSun" w:eastAsia="SimSun" w:cs="SimSun"/>
          <w:b/>
          <w:color w:val="000000"/>
          <w:sz w:val="24"/>
        </w:rPr>
        <w:t xml:space="preserve">：具有有效期内的城乡规划编制乙级及以上资质。（提供相应的资质证书扫描件，并加盖供应商电子签章）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时间:2024年4月29日至2024年5月19日。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地点：江苏政府采购网或淮安市政府采购网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方式：网上获取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 投标文件递交</w:t>
      </w:r>
      <w:r/>
    </w:p>
    <w:p>
      <w:pPr>
        <w:ind w:left="-141" w:right="0" w:firstLine="61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截止时间:2024—5—20   09:00（北京时间）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 http://jszfcg.jscz.gov.cn/jszc/login［江苏省政府采购一体化不见面开标（采购）大厅］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时间：2024—5—20   09:00（北京时间）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地点：淮安市公共资源交易中心涟水分中心（政务中心东三楼政府采购不见面开标大厅）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1、投标保证金:根据苏财购〔2020〕52号文件要求，为进一步降低投标人投标成本，本项目不收取投标保证金。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2、有关本次招标的事项若存在变动或修改，敬请及时关注“淮安市政府采购网”发布的更正公告。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称：涟水县自然资源和规划局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址：涟水县红日大道22号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联系方式：戴先生　　　　电话：　13951477517</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名称：江苏卓越建设项目管理有限公司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地址：涟水县阳光嘉园南门西侧</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联系人：蒋先生　　　电话：13915114779</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项目联系人：蒋先生　　　电话：13915114779</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九、“全流程不见面交易采购”注意事项</w:t>
      </w:r>
      <w:r/>
    </w:p>
    <w:p>
      <w:pPr>
        <w:ind w:left="0" w:right="0" w:firstLine="56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本项目采用“全流程不见面交易”模式，通过不见面交易系统及相应的配套硬件设备（摄像头、话筒、麦克风等）完成远程解密、公布报价、澄清等交互环节。相关要求和说明详见第二章“投标人须知”第19条。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  投标人须知</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本招标文件仅适用于本次投标邀请中所述项目的采购。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2.1投标人必须符合第一部分投标邀请中投标人资质要求；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2.2凡有能力按照本招标文件规定要求交付货物、工程和服务的投标单位均可成为合格的投标人。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3.1投标人应自行承担所有与参加投标有关的费用。不论投标的结果如何，采购人或代理机构在任何情况下均无义务和责任承担这些费用。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4.招标文件构成包括：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招标文件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投标文件格式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任何要求对招标文件进行澄清的投标人，均应在投标文件提交截止时间十日前以书面或电子件形式通知采购人或代理机构（以电子件形式发送的，请投标人同时将纸质文档一并邮寄给采购人或代理机构）。采购人或代理机构对投标截止时间前十日收到的任何澄清要求将以书面或电子件形式予以答复。由于投标人所留联系方式有问题而导致采购人或代理机构无法通知的其责任由投标人自行承担（逾期递交对招标文件要求进行澄清的采购人或代理机构将不予受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6.招标文件的更正或补充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6.1在投标截止时间五日前，采购人或代理机构可主动或在解答投标人提出的澄清问题时对招标文件用更正公告的方式进行修正。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6.2对招标文件的更正将在淮安市政府采购网进行公告。更正公告将作为招标文件的组成部分，对所有参加本次投标的投标人都具有约束力。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6.3为使投标人有足够的时间按招标文件的更正要求修正投标文件，采购人或代理机构有权按照相关法定的要求推迟投标截止时间和开标日期。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7.投标文件的语言及度量衡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7.1投标文件以及投标人与采购人或代理机构之间的所有书面往来均应使用简体中文书写。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7.2除招标文件中另有规定外，投标文件所使用的计量单位均应用国家法定计量单位。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8.投标文件编制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8.1投标人编写的投标文件应按招标文件第二章“投标文件格式”中的要求进行编写。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8.2电子投标文件编制必须按“苏采云政府采购一体化平台”要求制作。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9.1投标人必须按照招标文件中提供的开标一览表的规定格式完整、清晰、正确填写,不得自行增减内容。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9.2开标一览表中不得填报有选择性报价方案，表中内容应与投标文件中的内容完全一致，如不一致的，以开标一览表内容为准。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10.1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10.2采购人或代理机构不接受备选的投标方案或有选择的报价。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采购代理服务费：收费标准按《招标代理服务收费管理暂行办法》（计价格[2002]1980号）文件规定的服务类标准计取，此项费用含在报价中但不单独立项，由中标单位在中标结果公示结束后领取中标通知书前支付给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10.4投标报价应以人民币为货币单位。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11.技术规格的响应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11.1投标人应对招标文件中的技术要求逐项作出实质性响应，否则该投标将被拒绝。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12.1投标人作出的服务承诺应按不低于招标文件中基本服务要求的标准作出响应。</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13.证明投标人资格的文件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13.1投标人应上传证明其有资格参加投标和中标后有能力履行合同的文件，并作为其投标文件的一部分。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13.2投标人除必须具有履行合同所必需的提供货物和服务的能力外，还必须具备相应的财务、技术方面的能力；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投标人应填写并上传招标文件所附的“资格证明文件”。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本项目无需缴纳投标保证金。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tab/>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15.1投标有效期为从开标之日起计算的90天。投标有效期比规定短的将被视为非响应投标而予以拒绝。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16.投标文件的上传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16.1投标人应当按照《操作手册》的规定，在投标邀请规定的投标截止时间前制作并上传电子投标文件。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16.2投标人上传的电子投标文件内容不清楚或不清晰的（含扫描件），造成无法评审或部分影响评审的，责任由投标人自负。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16.3投标人上传电子投标文件的时间不得迟于投标邀请中规定的截止时间。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16.4采购人或代理机构可以按第6条规定，通过修改招标文件有权酌情延长投标文件接收截止时间。在此情况下，投标人的所有权利和义务以及投标人受制约的截止日期均应以延长后新的截止日期为准。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16.5中标供应商在领取中标通知书之前，必须提供四份与电子投标文件一致的纸质打印投标文件。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16.6本招标文件所表述的公章是指刻有投标人法定名称的印章，不包括合同、财务、税务、发票等形式的业务专用章。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17.投标文件被拒绝接收的情形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17.1在招标文件规定的投标截止时间后上传的电子投标文件。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18.投标文件的修改和撤回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18.1投标人在上传投标文件后可以对其修改或撤回，但这种修改和撤回，必须在规定的投标截止时间前。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18.2对于电子投标文件的修改，投标人可在投标截止时间前登录“苏采云政府采购一体化平台”撤回电子投标文件，并上传新的投标文件。投标文件以最终完成上传的为准。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18.3投标人不得在投标截止时间以后修改投标文件。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18.4投标人不得在投标截止时间起至投标有效期满前撤回投标文件，否则将接受相应处罚。</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五、开标及评标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全流程不见面交易”模式，通过“苏采云政府采购一体化平台”及相应的配套硬件设备（摄像头、话筒、麦克风等）完成远程解密、公布报价、澄清等交互环节。代理机构将按照第19.5条的要求组织本项目的“不见面交易”活动。投标人仅需在任意地点通过登录“苏采云政府采购一体化平台”，进入“江苏省政府采购一体化不见面开标（采购）大厅”观看项目的活动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19.2不见面开标程序：主持人按下列程序进行开标。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19.2.1项目简介；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19.2.2投标人对电子投标文件解密；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19.2.3唱标；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19.2.4投标人对其报价进行确认（投标人在规定时间内未确认的，视同其默认报价）；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19.2.5开标结束。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19.3开标一览表内容与投标报价表内容不一致的，一律以开标一览表内容为准。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19.4投标截止时间结束后参加投标的投标人不足三家情况的，除采购任务取消情形外，按财政部令第87号第四十三条条款进行处理。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19.5全流程不见面交易采购说明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19.5.1由于“苏采云政府采购一体化平台”自身原因导致项目不能正常进行的，项目作废标处理。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19.5.2本项目中的时间均以国家授时中心发布的时间为准。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19.5.3本项目的下载招标文件、上传投标文件均通过互联网操作，请投标人充分考虑网络拥堵及平台操作所需时间等因素。因投标人自身原因导致操作失败的，其责任自负。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19.5.4本项目投标文件的编制使用“苏采云政府采购一体化平台”客户端，投标人投标文件的编制和上传，应按照招标文件的规定进行。如未按招标文件要求编制、上传电子投标文件，将可能作无效投标文件处理，其后果由投标人自负。投标人如对正确使用“苏采云政府采购一体化平台”客户端有疑问的，请与软件公司技术人员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19.5.5“全流程不见面交易”活动当日，投标人不必抵达现场，仅需在任意地点登录“苏采云政府采购一体化平台”，进入“江苏省政府采购一体化不见面开标（采购）大厅”观看项目的活动组织。为保障投标人权益以及避免围标串标的情况，投标人必须插CA锁登录“苏采云政府采购一体化平台”。具体操作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19.5.6电子投标文件开启时间前，各投标人的授权委托人或法人代表提前进入“江苏省政府采购一体化不见面开标（采购）大厅”，根据操作手册验证CA与签章是否正常，以免影响投标文件的解密。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19.5.7电子投标文件开启后，代理机构将在“江苏省政府采购一体化不见面开标（采购）大厅”内公布投标人名单，然后通过大厅操作区发出投标文件解密的指令，投标人在各自地点按规定时间自行实施远程解密，投标人解密限定在主持人发布解密指令后30分钟内完成。因投标人网络与电源不稳定、未按《操作手册》要求解密CA锁发生故障或用错、故意不在要求时限内完成解密等自身原因，导致投标文件在规定时间内未能解密、解密失败或解密超时，作无效投标文件处理。因“苏采云政府采购一体化平台”发生故障，导致无法按时完成投标文件解密，可根据实际情</w:t>
      </w:r>
      <w:r>
        <w:rPr>
          <w:rFonts w:ascii="SimSun" w:hAnsi="SimSun" w:eastAsia="SimSun" w:cs="SimSun"/>
          <w:color w:val="000000"/>
          <w:sz w:val="24"/>
        </w:rPr>
        <w:t xml:space="preserve">况相应延迟解密时间。本项目在限定的解密时间内，只要有任一家投标人解密成功，即视为“苏采云政府采购一体化平台”运行无故障。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19.5.9为顺利实现本项目交易活动组织的远程交互，建议投标人配置相关软硬件设施，具体包括: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19.5.9.1软件设施：谷歌浏览器或360安全浏览器，同时必须安装“苏采云政府采购一体化平台”客户端所要求的驱动。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19.5.9.2硬件设施:高配置电脑（内存4G以上，建议屏幕分辨率用1024*768像素或以上，不要使用上网本）、高速稳定的网络、CA锁、音视频设备［话筒、耳麦、高清摄像头（支持分辨率720P及以上）、音响］等。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19.5.9.3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19.5.10投标人在制作上传电子投标文件、观看活动组织、投标文件解密等技术方面遇到问题时，请与软件公司技术人员咨询，联系电话：0519-83638013。</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20.评标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20.1.1评标工作由代理机构负责组织，具体评标事务由依法组建的评标委员会负责，并独立履行下列职责: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（4）确定中标候选人名单，根据采购人委托协议直接确定中标人；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（5）向采购人、财政部门报告评标中发现的违法行为。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20.1.2评标委员会由采购人代表和有关技术、经济等方面的专家组成，独立开展评审工作。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20.2评标程序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20.2.1投标人资格审查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20.2.1.1开标结束后，采购人或采购代理机构依法根据招标文件的规定对投标人的资格进行审查。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20.2.1.2资格审查:依据法律法规和招标文件的规定，对投标文件中的资格证明文件进行审查，以确定投标投标人是否具备投标资格。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20.2.1.3 投标文件有下列情况之一的，在资格性审查时按照无效投标处理: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（1）不具备招标文件中规定的资格要求的；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（2）投标人被“信用中国”网站、“中国政府采购网”列入失信被执行人、重大税收违法失信主体、政府采购严重违法失信行为记录名单。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20.2.2投标文件符合性审查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20.2.2.1评委会将依据法律法规和招标文件的规定，对投标文件的有效性、完整性和对招标文件的响应程度进行审查，以确定是否对招标文件的实质性要求作出响应。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20.2.2.2实质性要求是指经三分之二以上评委认定为重要商务和技术要求。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20.2.2.4评委会将对确定为实质性响应的投标进行进一步审核，看其是否有计算上或累加上的算术错误，修正错误的原则如下: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评委会将按上述修正错误的方法调整投标文件中的投标报价，调整后的价格应对投标人具有约束力。如果投标人不同意修正的，其投标无效。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20.2.3投标文件的澄清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20.2.3.1在评标期间，为有助于对投标文件的审查、评价和比较，评委会有权要求投标人对其投标文件中含义不明确、同类问题表述不一致或者有明显文字和计算错误的内容进行澄清。但并非对每个投标人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20.2.3.2对投标文件中含义不明确、同类问题表述不一致或者明显文字错误的内容，评委会将通过“苏采云政府采购一体化平台”进行视频交流并要求投标人作出必要的澄清、说明或者补正</w:t>
      </w:r>
      <w:r>
        <w:rPr>
          <w:rFonts w:ascii="SimSun" w:hAnsi="SimSun" w:eastAsia="SimSun" w:cs="SimSun"/>
          <w:b/>
          <w:color w:val="000000"/>
          <w:sz w:val="24"/>
        </w:rPr>
        <w:t xml:space="preserve">（在视频交流时，评委会首先会核实授权委托人或法人代表的身份信息，如身份信息不符则视同投标人放弃澄清、说明或者补正的权利）</w:t>
      </w:r>
      <w:r>
        <w:rPr>
          <w:rFonts w:ascii="SimSun" w:hAnsi="SimSun" w:eastAsia="SimSun" w:cs="SimSun"/>
          <w:color w:val="000000"/>
          <w:sz w:val="24"/>
        </w:rPr>
        <w:t xml:space="preserve">。投标人的澄清、说明、补正要通过“苏采云政府采购一体化平台”向评标委员会进行澄清回复，同时必须将澄清、说明、补正的内容形成电子文件加盖电子签章通过“苏采云政府采购一体化平台”上传。投标人的澄清、说明、补正不得超出投标文件的范围或者改变投标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20.2.3.3接到评委会澄清要求的投标人如未按第20.2.3.2条的规定做出澄清，将视为放弃该权利。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采用最低评标价法的采购项目，提供相同品牌产品的不同投标人参加同一合同项下投标的，以其中通过资格审查、符合性审查且报价最低的参加评标；报价相同的，由评标委员会通过随机抽取的方式确定一个参加评标的投标人，其他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通过随机抽取的方式确定一个中标候选人，其他同品牌投标人不作为中标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非单一产品采购项目，招标文件中将载明其中的核心产品（如未载明则按所投产品类型分项报价从高到低累计占总报价50%的产品为核心产品）。多家投标人提供的核心产品品牌相同的，按前两款规定处理。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20.2.5投标文件有下列情况之一的，在符合性审查时按照无效投标处理：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（1）未按照招标文件规定要求进行电子签字、电子签章的；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（2）已上传电子投标文件但因投标人原因未在规定时间前进行系统签到的；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因投标人网络与电源不稳定、未按操作手册要求配置软硬件、解密锁发生故障或用错、故意不在要求时限内完成解密等自身原因，导致投标文件在规定时间内未能解密、解密失败或解密超时的或未在规定时间内电子签章以确认其未在规定时间内成功解密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（4）投标总价超出招标文件规定的预算金额或者最高限价的；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（5）不同投标人的投标文件由同一单位或者个人编制；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（6）不同投标人委托同一单位或者个人办理投标事宜；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（7）不同投标人的投标文件载明的项目管理成员或者联系人员为同一人；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（8）不同投标人的投标文件异常一致或者投标报价呈规律性差异；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（11）不符合法律、法规和招标文件规定的其他无效情形；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（12）不符合招标文件中规定的其他实质性要求和条件的【经三分之二以上评委认定为重要商务和技术要求】。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20.2.6在评标期间，出现符合专业条件的投标人或者对招标文件作出实质性响应的投标人不足三家情形的，比照19.4款执行。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20.2.7有下列情形之一的予以废标，同时将废标理由通知所有投标人: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（1）符合专业条件的投标人或者对招标文件作实质性响应的投标人不足三家的；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（3）投标人的报价均超过了采购预算或最高限价的，采购人不能支付的；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（4）因重大变故，采购任务取消的；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（5）招标文件存在歧义、重大缺陷，或者招标文件内容违反国家有关强制性规定的。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21.评审及中标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21.1评委会将对通过资格性审查和符合性审查的投标文件进行评价和比较。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21.2评委会按招标文件第一章第三部分中公布的评标标准对每份合格投标文件进行评审，确定中标投标人，任何单项因素的最优不能作为中标的保证。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22.评标过程的保密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22.1在宣布中标结果之前，凡属于审查、澄清、评价、比较投标文件和中标意向等有关信息，相关当事人均不得泄露给任何投标人或与评审工作无关的人员。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22.2采购人或代理机构和评审委员会不向未中标的投标人解释未中标原因，也不公布评审过程中的相关细节。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22.3评标委员会名单在开标前确定，并在招标结果确定前保密。</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六、定标及合同签订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23.确定中标供应商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23.1评委会根据招标文件中规定的评标标准对投标人进行综合评审，最终按综合评审得分由高到低的顺序推荐出中标候选人。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23.2采购人应根据评委会推荐的中标候选人确认中标人。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23.3采购人或代理机构将在淮安市政府采购网发布中标公告，公告期限为1个工作日。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23.4中标候选人在合同签订前，如经查实从参加该中标项目之日起计算所参加的政府采购活动前三年内，在经营活动中有行贿犯罪记录的，采购人或代理机构将报财政部门取消其中标候选人资格。</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24.中标通知书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24.1中标结果公示的同时，采购人或代理机构将通过“苏采云政府采购一体化平台”向中标人发布中标通知书。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24.2中标人在接到采购人或代理机构通知后，五个工作日内必须到代理机构领取书面中标通知书并办理相关交费手续，逾期未办理作自动放弃处理。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24.3中标通知书将是合同的一个组成部分。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25.签订合同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25.1采购人与中标人应在中标通知书发出之日起十五日内，及时使用CA锁登录“苏采云政府采购一体化平台”完成政府采购合同签订工作。招标文件、中标人的投标文件及澄清文件等均为签订合同依据。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25.2中标人自中标通知书发出之日起十五日内无正当理由不与采购人签订合同，将按财政部第87号令相关规定进行处理。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25.3如果中标人没有按照24条或25条的规定去做，采购人或代理机构可报财政部门取消中标资格。在此情况下采购人可将标授予下一个中标候选人，或重新招标。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26.货物和服务的减少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27.履约保证金（本项目按下列第 27.1条执行）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27.1本项目无需缴纳履约保证金。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27.2为保证合同的顺利执行，中标单位在领取中标通知书后，签订合同之前，向采购单位缴纳中标价1%的履约保证金。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27.3中标单位提供的履约保证金可以是人民币形式（银行本票、汇票、支票、电汇），或银行保函、担保公司的保证担保或保险公司的保证保险等多种形式。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27.4中标单位选取银行保函、担保公司的保证担保或保险公司的保证保险等形式的向采购人缴纳的，如保函（担保、保险等）的约定期到期但中标单位履约仍未结束的，中标单位须进行续保。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中标单位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27.6如中标单位未能履行合同规定的义务，采购人有权从履约保证金中取得补偿。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27.7履约保证金在合同约定期间内不予退还或者应完全有效，约定期间届满之日起 5个工作日内，采购人应将履约保证金退还中标单位；逾期退还的，按中国人民银行同期贷款基利率上浮20%后的利率支付超期资金占用费，但因中标单位自身原因导致无法及时退还的除外。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27.8履约保证金在合同约定期间内不予退还或者应完全有效，履约保证金在项目验收合格后无息退还给中标单位。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人认为采购文件、采购过程和中标结果使自己的权益受到损害的，可以在知道或者应知其权益受到损害之日起七个工作日内，以书面形式向采购人或代理机构提出质疑。非书面形式、七个工作日之外以及未按28.6条的要求提供质疑的均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（1）对招标文件提出质疑的，为收到采购文件之日或者采购文件公告期限届满之日起计算；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（3）对中标结果提出质疑的，为中标结果公告期限届满之日起计算。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28.3质疑投标人是指直接参加本次投标活动的投标人，未参加投标活动的投标人或在投标活动中自身权益未受到损害的投标人所提出的质疑不予受理。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28.4质疑投标人在法定质疑期内应当一次性提出针对同一采购环节提出质疑。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质疑函必须以参加投标投标人法定代表人（签署本人姓名或印章）或授权代表[签署本人姓名或印章，应当同时提供法定代表人授权其办理质疑事项的授权书（授权中必须载明具体权限、期限和事项）]以送达或邮寄的方式提交，未按上述要求提交的质疑函采购人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28.6质疑函应当包括以下主要内容，附上相关证明材料。否则，采购人不予受理。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（1）质疑投标人的名称、地址、邮编、联系人及联系电话；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（7）质疑函应当署名:应当由法定代表人签字并加盖单位公章。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28.8对于内容、格式符合规定的质疑函，采购人将在七个工作日内以书面形式作出答复。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29.根据《江苏省政府采购信用管理暂行办法》有关规定。供应商有下列情形之一的，属于失信行为，将其失信情形推送到公共信用信息系统。</w:t>
        <w:br/>
        <w:t xml:space="preserve"> 29.1投标、响应、开标、谈判、磋商和评标、评审环节：29.1.1提供虚假证明材料谋取中标、成交；29.1.2采取不正当手段诋毁、排挤其他供应商；29.1.3与采购人、采购代理机构或者其他供应商恶意串通；29.1.4向采购人或者采购代理机构行贿或者提供其他不正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29.1.5在采购过程中与采购人进行协商谈判；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29.1.6向评标委员会、竞争性谈判小组、磋商小组或者询价小组成员行贿或者提供其他不正当利益；</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29.1.7资格预审合格的供应商在评审阶段资格发生变化时未通知采购人和采购代理机构；29.1.8存在视为串通投标的情形。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29.2中标、成交和合同签订、履约环节：</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29.2.1中标或者成交后无正当理由拒不与采购人签订政府采购合同；</w:t>
        <w:br/>
        <w:t xml:space="preserve"> 29.2.2未按照采购文件确定的事项签订政府采购合同，或者与采购人另行订立背离合同实质性内容的协议；</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29.2.3将政府采购合同转包，或者采用分包方式履行合同，将合同的主体和关键部分分包给其他供应商；</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29.2.4擅自变更、中止或者终止政府采购合同；</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29.2.5提供假冒伪劣产品；</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29.2.6拒绝履行合同义务。</w:t>
      </w:r>
      <w:r/>
    </w:p>
    <w:p>
      <w:pPr>
        <w:ind w:left="42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29.3质疑投诉环节：</w:t>
        <w:br/>
        <w:t xml:space="preserve"> 29.3.1在全国范围12个月内三次以上投诉查无实据；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29.3.2采用捏造事实、提供虚假材料或者以非法手段取得证明材料等方式进行虚假、恶意投诉；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29.3.3证据来源的合法性存在明显疑问，投诉人无法证明其取得方式合法的，视为以非法手段取得证明材料。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29.4监督检查环节：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29.4.1拒绝有关部门监督检查或者提供虚假情况。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29.5供应商由下列情形之一的，按失信行为记入该注册供应商诚信档案中：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29.5.1开标后擅自撤回采购响应文件，影响采购活动继续进行的；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29.5.2不遵守开标现场纪律，故意扰乱开标评标现场秩序的；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29.5.3已响应参加政府采购活动而无故不参加的；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29.5.4未按合同规定履行合同义务的；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29.5.5不按规定或不及时变更供应商库中的有关信息的；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29.5.6在江苏省范围内一年内累计三次以上质疑，均查无实据的；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29.5.7捏造事实，提供虚假材料进行恶意举报的；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29.5.8不配合或采用不正当手段干扰政府采购质疑、投诉处理工作的；</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29.5.9各级政府采购监管部门认定的其他失信行为。</w:t>
      </w:r>
      <w:r/>
    </w:p>
    <w:p>
      <w:pPr>
        <w:ind w:left="0" w:right="0" w:firstLine="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30.有下列情形之一的，视为投标人串通投标，其投标无效：</w:t>
      </w:r>
      <w:r/>
    </w:p>
    <w:p>
      <w:pPr>
        <w:ind w:left="0" w:right="0" w:firstLine="482"/>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（一）不同投标人的投标文件由同一单位或者个人编制（注：同一台电脑生成投标文件或同一台电脑上传投标文件等情况均视为投标文件由同一单位或者个人编制）；</w:t>
      </w:r>
      <w:r/>
    </w:p>
    <w:p>
      <w:pPr>
        <w:ind w:left="0" w:right="0" w:firstLine="482"/>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（二）不同投标人委托同一单位或者个人办理投标事宜；</w:t>
      </w:r>
      <w:r/>
    </w:p>
    <w:p>
      <w:pPr>
        <w:ind w:left="0" w:right="0" w:firstLine="482"/>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（三）不同投标人的投标文件载明的项目管理成员或者联系人员为同一人；</w:t>
      </w:r>
      <w:r/>
    </w:p>
    <w:p>
      <w:pPr>
        <w:ind w:left="0" w:right="0" w:firstLine="482"/>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（四）不同投标人的投标文件异常一致或者投标报价呈规律性差异；</w:t>
      </w:r>
      <w:r/>
    </w:p>
    <w:p>
      <w:pPr>
        <w:ind w:left="0" w:right="0" w:firstLine="482"/>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（五）不同投标人的投标文件相互混装。</w:t>
      </w:r>
      <w:r/>
    </w:p>
    <w:p>
      <w:pPr>
        <w:ind w:left="0" w:right="0" w:firstLine="482"/>
        <w:jc w:val="center"/>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七、政府采购政策功能落实</w:t>
      </w:r>
      <w:r/>
    </w:p>
    <w:p>
      <w:pPr>
        <w:ind w:left="0" w:right="0" w:firstLine="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31.政策功能落实</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31.1小微型企业价格扣除</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31.1.1对于未预留份额专门面向中小企业采购的采购项目，供应商提供的货物或者服务符合下列情形的，享受本办法规定的中小企业扶持政策给予小微企业报价15%的扣除，用扣除后的价格参与评审：</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（1）在货物采购项目中，货物由中小企业制造，即货a物由中小企业生产且使用该中小企业商号或者注册商标；</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31.1.2在货物采购项目中，供应商提供的货物既有中小企业制造货物，也有大型企业制造货物的，不享受本办法规定的中小企业扶持政策。</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31.2联合体及分包</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31.2.1以联合体形式参加政府采购活动，联合体各方均为中小企业的，联合体视同中小企业。其中，联合体各方均为小微企业的，联合体视同小微企业。</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31.2.2享受扶持政策获得政府采购合同的，小微企业不得将合同分包给大中型企业，中型企业不得将合同分包给大型企业。</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4%的扣除，用扣除后的价格参加评审。</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31.3小微型企业</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（1）投标人须按照招标文件的要求提供相应的《中小企业声明函》，详见招标文件第二章 “九、示范格式”。</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31.4残疾人福利单位价格扣除</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（1）本项目对残疾人福利性单位视同小型、微型企业，给予15%的价格扣除，用扣除后的价格参与评审。</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（2）残疾人福利单位需按照招标文件的要求提供《残疾人福利性单位声明函》，详见招标文件第二章 “九、示范格式”。</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31.5监狱和戒毒企业价格扣除</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（1）本项目对监狱和戒毒企业（简称监狱企业）视同小型、微型企业，给予15%的价格扣除，用扣除后的价格参与评审。</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31.6对于同时属于小型、微型企业、残疾人福利单位、监狱企业的视同小微企业。不重复享受政策。</w:t>
      </w:r>
      <w:r/>
    </w:p>
    <w:p>
      <w:pPr>
        <w:ind w:left="0" w:right="0" w:firstLine="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32.采购单位及中标供应商必须落实国家、省出台的助力企业的有关政策要求：</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32.1采购单位及中标供应商须在中标、成交通知书发出之日起15日内与供应商签订采购合同；</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32.2采购单位须自采购合同签订之日起1.5个工作日内，将采购合同在指定媒体上公告；</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32.3采购单位须在采购合同约定的时间内组织对供应商履约情况进行验收，并出具验收书；</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32.4采购单位须在货物和服务项目采购合同中设定预付款，并及时支付预付款；</w:t>
      </w:r>
      <w:r/>
    </w:p>
    <w:p>
      <w:pPr>
        <w:ind w:left="0" w:right="0" w:firstLine="480"/>
        <w:jc w:val="both"/>
        <w:spacing w:before="0" w:after="0" w:line="51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32.5采购单位须对满足合同约定支付条件的项目，自收到发票后15日内将资金支付到合同约定的供应商账户。</w:t>
      </w:r>
      <w:r/>
    </w:p>
    <w:p>
      <w:pPr>
        <w:pStyle w:val="636"/>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评标标准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二、评委会将依据下列评标标准进行评标，本评标标准的总分为100分。按评审后得分由高到低顺序排列。得分相同的，按投标报价由低到高顺序排列。得分且投标报价相同并列的, 由采购人通过随机抽取的方式确定一个中标候选人。投标文件满足招标文件全部实质性要求，且按照评审因素的量化指标评审得分最高的投标人为排名第一的中标候选人。</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三、具体标准：</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（一）价格分（10分）</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价格分统一采用低价优先法计算，即满足招标文件要求且最后报价最低的投标人的价格为评标基准价，其价格分为满分。其他投标人的价格分统一按照下列公式</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计算：投标报价得分=（评标基准价/投标报价）× 10 分</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注：报价得分精确到小数点后两位。</w:t>
      </w:r>
      <w:r/>
    </w:p>
    <w:p>
      <w:pPr>
        <w:ind w:left="0" w:right="0" w:firstLine="53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（二）技术方案部分（56分）</w:t>
      </w:r>
      <w:r/>
    </w:p>
    <w:p>
      <w:pPr>
        <w:ind w:left="525"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方案应具备下列要求，如无重大偏差，每项评分应不少于该项目分值的70%，不提供分项方案的或者经三分之二评审小组认定分项方案存在重大偏差的该分项不得分。</w:t>
      </w:r>
      <w:r/>
    </w:p>
    <w:p>
      <w:pPr>
        <w:ind w:left="0" w:right="0" w:firstLine="8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1、项目认知（14分）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（1）政策及规划解析：对相关政策、上位规划等解析全面详细，深入准确；（7分）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（2）现状分析解读总结：对规划范围内乡村现状资源特质、发展现状分析全面准确、有针对性，分析合理。（7分）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2、技术思路（15分）</w:t>
      </w:r>
      <w:r/>
    </w:p>
    <w:p>
      <w:pPr>
        <w:ind w:left="525"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（1）策划研究：对涟水乡村片区整体发展策划，村庄分类布局引导科学合理，可实施性强；（5分）</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（2）编制思路：思路明晰、技术路线详细、合理、可操作；（5分）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（3）内容深度：内容全面，涵盖任务书要求的策划-规划-设计-跟踪服务等方面，阐述具体深入；（5分）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3、重点、难点分析（27分）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（1）片区统筹：对片区统筹提出创新思路和有效策略，内容详细，可操作性强；（5分）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（2）规划设计融合：对开发边界内外详细规划、单元划分整合等相关规划理解整合提出有效方案科学合理，有较强的指导意义；（5分）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划政策集成：结合农村集体经营性建设用地入市试点工作，加强规划与土地政策集成，调控用地规模，探索空间腾挪、鼓励用地混合的土地集约利用范式，提出具有前瞻性、合理性和可操作性的规划思路；（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（4）组织进度及质量保证：项目实施进度及质量保障计划安排具体合理，质量控制措施有效可行；（5分）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（5）驻村服务相应：对驻村服务进行计划，并对驻村的优缺点进行分析，对驻村难点应对措施切实可行的；（7分）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注：在技术方案部分评审中评委根据提供方案的政策解读以及现状科学分析、技术思路、重点难点、科学合理性，可实施性等等方面进行评审打分。</w:t>
      </w:r>
      <w:r/>
    </w:p>
    <w:p>
      <w:pPr>
        <w:ind w:left="7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（三）综合实力（34分）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1、投标人具有有效期内的ISO9001质量管理体系认证证书、ISO14001环境管理体系认证证书、ISO45001职业健康安全管理体系认证证书，每提供一个得2分，本项最高得6分，不提供不得分。</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【注：须提供上述证书原件扫描件加盖电子公章上传至电子投标文件。】</w:t>
      </w:r>
      <w:r/>
    </w:p>
    <w:p>
      <w:pPr>
        <w:ind w:left="585" w:right="0" w:hanging="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2、投标人业绩：2019年1月1日以来，投标人获得过市级及以上主管部门颁发的城乡规划设计奖项的，每提供一个得2分，本项最高得10分。</w:t>
      </w:r>
      <w:r/>
    </w:p>
    <w:p>
      <w:pPr>
        <w:ind w:left="750" w:right="0" w:hanging="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【注：须提供获奖证书扫描件加盖投标人电子签章上传至电子投标文件，时间以证书颁发日期为准，同一业绩不重复计分，行业协会颁发的获奖证书不得分。】</w:t>
      </w:r>
      <w:r/>
    </w:p>
    <w:p>
      <w:pPr>
        <w:ind w:left="0" w:right="0" w:firstLine="7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3、拟派项目负责人（10分）：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（1）项目负责人具有规划类高级职称得4分；或规划类中级职称的的2分；本项最高为4分；</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（2）2019年1月1日以来，项目负责人承担过村庄规划编制工作的，每提供一项得1分，本项最高得6分。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项项目负责人必须为本单位人员，专业以职称证为准，且在投标时提供开标前任意1个月由人社部门出具的养老保险证明；若投标人为事业单位，不能为职工提供社保缴纳证明的，则须提供上级主管部门的证明；业绩以签订合同日期为准，同一业绩不重复计分。提供上述证明材料原件扫描件加盖电子公章上传至电子投标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4、拟派项目组人员(8分)：（项目负责人除外）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项目组成员中具有土地类、建筑工程类、市政类、交通工程类、给水排水类、景观类专业获得高级职称的，每一类别得2分，获得中级职称的，每一类别得1分，最高为8分。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职称证为准（若职称证书不能体现专业的，以毕业证为准），同一人员证书不重复计分，需提供技术职称证书或毕业证书，同时提供开标前以来任意1个月由人社部门出具的养老保险证明；若投标人为事业单位，不能为职工提供社保缴纳证明的，则须提供上级主管部门的证明；提供上述证明材料原件扫描件加盖电子公章上传至电子投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注：1.以上所有要求提供的证明材料需以扫描件形式上传，扫描件必须清晰、辨识度高，否则视为未提供。造成的一切后果由投标人自行负责。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说明：甲、乙双方通过苏采云政府采购一体化平台签订电子合同，并加盖电子签章，网址：http://jszfcg.jscz.gov.cn/jszc/login。</w:t>
      </w:r>
      <w:r/>
    </w:p>
    <w:p>
      <w:pPr>
        <w:pStyle w:val="636"/>
        <w:ind w:left="0" w:right="0" w:firstLine="309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合同格式及条款</w:t>
      </w:r>
      <w:r/>
    </w:p>
    <w:p>
      <w:pPr>
        <w:ind w:left="0" w:right="0" w:firstLine="0"/>
        <w:jc w:val="both"/>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9"/>
          <w:sz w:val="48"/>
        </w:rPr>
        <w:t xml:space="preserve"> </w:t>
      </w:r>
      <w:r/>
    </w:p>
    <w:p>
      <w:pPr>
        <w:ind w:left="0" w:right="0" w:firstLine="0"/>
        <w:jc w:val="both"/>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9"/>
          <w:sz w:val="48"/>
        </w:rPr>
        <w:t xml:space="preserve"> </w:t>
      </w:r>
      <w:r/>
    </w:p>
    <w:p>
      <w:pPr>
        <w:ind w:left="225" w:right="0" w:hanging="225"/>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9"/>
          <w:sz w:val="36"/>
        </w:rPr>
        <w:t xml:space="preserve">涟水县村庄规划编制服务采购项目</w:t>
      </w:r>
      <w:r/>
    </w:p>
    <w:p>
      <w:pPr>
        <w:ind w:left="266" w:right="0" w:hanging="26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 </w:t>
      </w:r>
      <w:r/>
    </w:p>
    <w:p>
      <w:pPr>
        <w:ind w:left="266" w:right="0" w:hanging="26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 </w:t>
      </w:r>
      <w:r/>
    </w:p>
    <w:p>
      <w:pPr>
        <w:ind w:left="266" w:right="0" w:hanging="26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合</w:t>
      </w:r>
      <w:r/>
    </w:p>
    <w:p>
      <w:pPr>
        <w:ind w:left="266" w:right="0" w:hanging="26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同</w:t>
      </w:r>
      <w:r/>
    </w:p>
    <w:p>
      <w:pPr>
        <w:ind w:left="266" w:right="0" w:hanging="26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2"/>
          <w:sz w:val="48"/>
        </w:rPr>
        <w:t xml:space="preserve">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96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
        <w:gridCol w:w="2265"/>
        <w:gridCol w:w="1451"/>
        <w:gridCol w:w="4326"/>
        <w:gridCol w:w="434"/>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6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0"/>
              </w:rPr>
              <w:t xml:space="preserve"> </w:t>
            </w:r>
            <w:r/>
          </w:p>
        </w:tc>
      </w:tr>
      <w:tr>
        <w:trPr>
          <w:gridAfter w:val="1"/>
          <w:trHeight w:val="81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gridAfter w:val="1"/>
          <w:trHeight w:val="81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2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6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2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4" w:type="dxa"/>
            <w:vAlign w:val="center"/>
            <w:textDirection w:val="lrTb"/>
            <w:noWrap w:val="false"/>
          </w:tcPr>
          <w:p>
            <w:pPr>
              <w:spacing w:before="0" w:after="0" w:line="57" w:lineRule="atLeast"/>
            </w:pPr>
            <w:r/>
            <w:r/>
          </w:p>
        </w:tc>
      </w:tr>
    </w:tbl>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根据《中华人民共和国民法典》、《中华人民共和国政府采购法》及项目行业相关的法律法规，以及</w:t>
      </w:r>
      <w:r>
        <w:rPr>
          <w:rFonts w:ascii="SimSun" w:hAnsi="SimSun" w:eastAsia="SimSun" w:cs="SimSun"/>
          <w:b/>
          <w:color w:val="000000"/>
          <w:sz w:val="24"/>
          <w:u w:val="single"/>
        </w:rPr>
        <w:t xml:space="preserve">采购项目</w:t>
      </w:r>
      <w:r>
        <w:rPr>
          <w:rFonts w:ascii="SimSun" w:hAnsi="SimSun" w:eastAsia="SimSun" w:cs="SimSun"/>
          <w:b/>
          <w:color w:val="000000"/>
          <w:sz w:val="24"/>
        </w:rPr>
        <w:t xml:space="preserve">（采购项目编号：</w:t>
      </w:r>
      <w:r>
        <w:rPr>
          <w:rFonts w:ascii="SimSun" w:hAnsi="SimSun" w:eastAsia="SimSun" w:cs="SimSun"/>
          <w:color w:val="000000"/>
          <w:sz w:val="24"/>
        </w:rPr>
        <w:t xml:space="preserve">的招标文件，乙方的投标文件及中标通知书，经双方协商一致，签订本合同。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1.1项目名称：　　　　　　　　　　　　　　　（标段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1.3项目概况、主要内容、成果要求、时间进度、深度：详见招标采购文件。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1.4下列文件为本合同不可分割部分：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（1）中标通知书；（2）乙方的投标文件；（3）招标文件；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1.5其他:乙方承担标段内已批和美乡村的村庄规划数据库备案。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二、合同价款及付款步骤及方式：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合同金额按此次中标金额执行：　　￥　　　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费用包括：全部服务所需的人工费、通讯费、交通费、资料费、调查费、规划报告及规划编制费（含印刷费）、咨询费、后续服务费、利润、税金、政策性文件规定及合同包含的所有风险、责任等完成本项目的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付款步骤及方式：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村庄规划经费按工作进度，具体支付方式如下：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合同签订后支付合同款的40%；通过专家论证，修改完善后付合同价款的20%；县政府批准后付合同价款的10%；数据汇交并报省厅备案成功后付合同价款的20%；驻村服务至2025年底付清尾款。若进入省厅巡回指导组认定的黑榜，将按照进度不再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规划费用的调整：在合同实施期间，规划费用不随国家政策或法规、标准及市场因素的变化而进行调整。也不因实际规划周期的延长或缩短而调整。由于乙方的失误或按照相关文件规定对规划方案进行优化、细化等工作，不属于变更，甲方不另行支付相关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（3）付款方式：银行汇票或转账。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三、甲方、乙方责任与义务：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rPr>
          <w:rFonts w:ascii="SimSun" w:hAnsi="SimSun" w:eastAsia="SimSun" w:cs="SimSun"/>
          <w:color w:val="000000"/>
          <w:sz w:val="24"/>
        </w:rPr>
        <w:t xml:space="preserve">在项目实施服务期间，服务人员不得随意变更，如确需调整须经甲方书面同意。对于乙方工作人员确因患病、与乙方解除或终止劳动关系、工伤等乙方不可控原因更换乙方人员的，甲方应当同意更换。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w:t>
      </w:r>
      <w:r>
        <w:rPr>
          <w:rFonts w:ascii="SimSun" w:hAnsi="SimSun" w:eastAsia="SimSun" w:cs="SimSun"/>
          <w:b/>
          <w:color w:val="000000"/>
          <w:sz w:val="24"/>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本项目无需缴纳履约保证金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6.1甲方的违约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（1）甲方未按合同的约定支付项目款给乙方或未给乙方提供合同约定的必要工作条件而造成停窝工时，时间顺延。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（2）在项目过程中，因甲方更改已确定的技术要求或设计方案引起工作量的增加，给乙方造成窝工、人工及材料的损失，应承担补偿责任，同时工期顺延。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（3）在合同履行期间，甲方要求终止或解除合同（仅指非乙方原因造成），应及时书面通知乙方；乙方已开始工作的，按实际工作进度进行支付。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6.2乙方的违约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需保证项目实施过程中设备、人员的数量和工作进度，由于乙方自身原因而导致工期延误的，拖延时间超过30天的，甲方有权解除合同；但甲方同意或甲方延期提供资料、未办理相关许可、临时变更设计方案，逾期付款、推迟或延误验收、评审时间等甲方原因引起的工期延误，乙方不负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（2）乙方未派任投标文件中提供的主要项目负责人进场作业，或主要技术人员相关职称证书及其主持承办的重大项目相关证明为假的，从而造成服务质量无法保证的情况，甲方有权终止合同。</w:t>
      </w:r>
      <w:r/>
    </w:p>
    <w:p>
      <w:pPr>
        <w:ind w:left="15" w:right="0" w:firstLine="480"/>
        <w:jc w:val="both"/>
        <w:spacing w:before="0" w:after="0" w:line="85" w:lineRule="atLeast"/>
        <w:tabs>
          <w:tab w:val="left" w:pos="2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保证团队工作人员不低于招标文件的要求；其中项目负责人及主要技术负责人不得更换（甲方经事实证明其无法胜任所在职务，可要求更换）；其他技术人员必须保证80%不更换；前述条款，如有违反，甲方有权终止合同。但乙方人员确因患病、与乙方解除或终止劳动人事关系、工伤等乙方不可控原因确需更换的，甲方应当同意更换，不视为乙方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乙方原因，未按合同时间提供成果文件和有关资料时，拖延时间超过30天的，甲方有权解除合同。但甲方同意或甲方延期提供资料、未办理相关许可、临时变更设计方案，逾期付款、推迟或延误验收、评审时间等甲方原因引起的逾期交付，乙方不负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6.3如果发生了第5.1款或第5.2款所述的情况，则利益受到损害的一方有权向另一方提出索赔，但赔偿应限于下列情况：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（1）赔偿应是因违约或人员失职、渎职所造成的可合理预见的损失或损害的数额，而不是其它；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（2）如果认为任一方与第三方共同对另一方负有责任时，负有责任的一方所支付的赔偿比例应限于由于其违约所应负责的那部分比例。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6.4责任的期限：乙方与甲方双方的责任与义务期限为合同协议书或合同条款规定的时间范围。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7.1法律和法规：本合同必须服从国家的现行法律和法规，对合同的解释应以国家的现行法律和法规为准。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7.2转让和分包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（1）禁止乙方将本合同规定的规划任务转让出去。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（2）没有甲方的同意，乙方不能将任何规划部分分包出去。即使得到了甲方的同意，也不应解除乙方根据合同规定应承担的全部责任和义务，乙方应对其分包人的工作负全部责任。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7.3乙方提交的规划研究成果有下列情形之一的，甲方有权终止合同：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（1）提交的成果不符合本任务书规定的。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（2）提交的成果图纸和文字辨认不清，内容不全或粗制滥造的。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（3）未经甲方同意，逾期上报规划成果的。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7.4版权：甲方按合同约定完全支付乙方各阶段的报酬后，本合同成果的知识产权属甲方所有，乙方享有署名权，并可以在征得甲方同意的前提下，以下列方式使用项目规划设计成果：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（1）定期或不定期进行规划设计工作总结；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（2）撰写项目研究论文、报告或参加规划设计课题研究报告；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（3）将项目研究论文或规划设计课题研究报告编辑出版及在国内外公开发行；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（4）在国内外举办规划设计成果展览展示；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（5）参加国内外规划设计成果交流、研讨和评优评奖活动。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权在规划审定后公开展示规划成果，并通过传播、媒介、专业杂志、书刊及其他形式介绍、展示、评价规划方案。规划方案批准实施前，任何单位和个人未经同意都无权以任何形式向社会公开展示规划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7.5争端的解决：因本合同或与本合同有关的一切事项发生争议，由双方友好协商解决。协商不成的，任何一方均可向甲方所在地的人民法院起诉。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保密性：除了根据合同履行义务和遵守适用法律以外，双方应将合同的详情视为秘密，规划编制单位应对业主提供的基础资料负保密责任。除为完成本项目使用外，没有甲方事先同意，不得在任何商业或技术论文或其它场合发表或允许发表、或透露项目的任何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7.7合同生效：本合同经双方法定（授权）代表人签字（或盖章）并盖单位公章后生效，同时须政府采购监督管理部门电子备案。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7.8合同份数：本合同一式  份，甲方  份、乙方  份，送（政府采购监督管理部门）备案壹份，采购代理机构壹份。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7.9要求每次汇报由投标文件中提供的项目负责人进行汇报。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八、未尽事宜：按《中华人民共和国民法典》及有关的法律法规执行。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1"/>
        <w:gridCol w:w="4613"/>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3"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3"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1"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13"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tabs>
          <w:tab w:val="left" w:pos="3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32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56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第五部分</w:t>
      </w:r>
      <w:r>
        <w:rPr>
          <w:rFonts w:ascii="SimSun" w:hAnsi="SimSun" w:eastAsia="SimSun" w:cs="SimSun"/>
          <w:b/>
          <w:color w:val="000000"/>
          <w:sz w:val="28"/>
        </w:rPr>
        <w:t xml:space="preserve">  </w:t>
      </w:r>
      <w:r>
        <w:rPr>
          <w:rFonts w:ascii="SimSun" w:hAnsi="SimSun" w:eastAsia="SimSun" w:cs="SimSun"/>
          <w:b/>
          <w:color w:val="000000"/>
          <w:sz w:val="28"/>
          <w:u w:val="none"/>
        </w:rPr>
        <w:t xml:space="preserve">项目采购需求</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一、项目基本情况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、项目名称：涟水县村庄规划编制服务采购项目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、采购预算：人民币柒佰万元整（275万元）</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2"/>
        <w:gridCol w:w="4849"/>
        <w:gridCol w:w="1134"/>
        <w:gridCol w:w="13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红窑、岔庙、朱码单元村庄规划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梁岔、成集、陈师单元村庄规划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cyan"/>
              </w:rPr>
              <w:t xml:space="preserve">标段五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cyan"/>
              </w:rPr>
              <w:t xml:space="preserve">黄营、南集、大东、涟城单元村庄规划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cyan"/>
              </w:rPr>
              <w:t xml:space="preserve">75万元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cyan"/>
              </w:rPr>
              <w:t xml:space="preserve">75万元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二、采购需求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《中共中央 国务院关于建立国土空间规划体系并监督实施的若干意见》明确指出，详细规划是对具体地块用途和开发建设强度等作出的实施性安排，是开展国土空间开发保护活动、实施国土空间用途管制、核发城乡建设项目规划许可、进行各项建设等的法定依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县国土空间总体规划已于2023年11月17日经省政府批准实施，为落实《自然资源部关于加强国土空间详细规划工作的通知》（自然资发〔2023〕43号）、《市政府办公室关于进一步加强村庄规划工作的通知》(淮府办文电〔2023〕6号) 等文件要求，加快推进我县详细规划全覆盖，确保按时完成省定目标任务，拟开展本次村庄编制工作。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（二）项目具体范围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本次规划范围为全县74个行政村，具体分为3个标段：</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829"/>
        <w:gridCol w:w="923"/>
        <w:gridCol w:w="606"/>
        <w:gridCol w:w="3690"/>
        <w:gridCol w:w="1320"/>
      </w:tblGrid>
      <w:tr>
        <w:trPr>
          <w:trHeight w:val="3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计划编制规划数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尚未开展编制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行政村</w:t>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红窑镇（16）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五房、大埝、义兴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苗戴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浅集、</w:t>
            </w:r>
            <w:r>
              <w:rPr>
                <w:rFonts w:ascii="SimSun" w:hAnsi="SimSun" w:eastAsia="SimSun" w:cs="SimSun"/>
                <w:b/>
                <w:color w:val="4472c4"/>
                <w:sz w:val="22"/>
                <w:u w:val="single"/>
              </w:rPr>
              <w:t xml:space="preserve">李庄、黄锅甄、小金圩、大金圩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新编，镇村调整</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朱集、颜下庄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金城村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王刘、花庄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岔庙镇（8）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荣锦村、新河村、原种场村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百子村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西集村、夜合村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鹤友村、纪集村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朱码街道（8）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潘刘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韩陈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柴市、嵇陆、殷庄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笪巷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4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周庄居委会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梁岔镇（8）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马棚村、胜利村、左圩村、梁岔居委会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金码村、洪码村、卜圩村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费庄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成集镇（7）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永锋村、余圩居委会、裕丰村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朱前村、六塘村、余何村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法华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陈师街道（5）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跨河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官荡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悦来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朱楼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沈费村、兴旺村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黄营镇（5）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旗杆村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张桥村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北集居委会、潘闸村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大飞村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南集镇（5）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码头村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南集镇南集居委会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下营村、朱陈村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大东镇（8）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大东居委会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干东村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皇圩村、南严村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镇南村、客堂村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u w:val="single"/>
              </w:rPr>
              <w:t xml:space="preserve">瓦滩村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修编</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涟城街道（4）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徐集、上营、季庵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林场村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spacing w:before="0" w:after="0" w:line="57" w:lineRule="atLeast"/>
            </w:pPr>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cyan"/>
        </w:rPr>
        <w:t xml:space="preserve"> </w:t>
      </w:r>
      <w:r/>
    </w:p>
    <w:p>
      <w:pPr>
        <w:ind w:left="0" w:right="0" w:firstLine="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cyan"/>
        </w:rPr>
        <w:t xml:space="preserve">注：蓝色为片区内宜居宜业和美乡村，红色为片区外宜居宜业和美乡村。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cyan"/>
        </w:rPr>
        <w:t xml:space="preserve">宜居宜业和美乡村名单（最终以县农业农村局核定为准）：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1、2022—2023年待省复核（10个）：高沟扁担、成集条河、唐集月塔、红窑夏楼、岔庙洪滨、大东施洼、高沟盐店、黄营朱桥、南集范荡、五港前营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2、片区内培育村名单：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2024年培育：高沟镇墩南村、红窑镇大金圩村、高沟镇大胡村、高沟镇许庄村、红窑镇小金圩村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2025年培育：高沟镇荀庄村、红窑镇李庄村、高沟镇南元村、高沟镇灰墩村、高沟镇三丰村、高沟镇常园村、常兴村、张圩村、红窑镇黄锅甑村）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3、片区外培育村名单：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2024年培育：南集镇南集居委会、保滩街道周集村、梁岔镇费庄村、成集镇法华村、高沟镇苗荡村、红窑镇金城村、五港镇港北村、朱码街道韩陈村、红窑镇苗戴村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2025年培育：唐集镇联富村、五港镇港南村、石湖镇方圩村、东胡集镇鲁渡村、大东镇瓦滩村、保滩街道张渡村、五港镇港西村、黄营镇张桥村</w:t>
      </w:r>
      <w:r/>
    </w:p>
    <w:p>
      <w:pPr>
        <w:ind w:left="0" w:right="0" w:firstLine="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①工作内容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编制村庄规划：按照省市“多规合一”实用性村庄规划编制指南，开展各个行政村村庄规划编制，落实刚性管控要求，细化用地分类布局，形成具有科学性、前瞻性、可实施性的规划成果，实现乡村规划“一张图”管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前未编制村庄规划的行政村须开展村庄规划编制，内容涵盖村庄发展定位、产业布局、用地布局、国土空间综合整治、生态环境保护和修复、乡村公共服务设施配置、村庄基础设施建设、村庄风貌管控引导（居民点规划）等。此前已编制村庄规划的行政村须比对上位规划及当前村庄发展实际，对原规划成果进行校核，并结合新的上位规划要求和周围在编的其他村庄规划、相关规划内容进行全面更新修编。</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以上两类村庄中和美乡村，需达到和美乡村培育的相关考核要求。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2.开展村庄设计：跟据统筹策划研究和村庄发展实际需求，选取重点发展类村庄开展不同深度的村庄设计，其他村庄需制定管控引导通则用于指导实际建设。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3.报批及数据汇交：</w:t>
      </w:r>
      <w:r>
        <w:rPr>
          <w:rFonts w:ascii="SimSun" w:hAnsi="SimSun" w:eastAsia="SimSun" w:cs="SimSun"/>
          <w:b/>
          <w:color w:val="000000"/>
          <w:sz w:val="24"/>
        </w:rPr>
        <w:t xml:space="preserve">村庄规划编制完成后，设计团队须开展论证、公示、报批、批后公布等流程工作；汇交数据库及相关成果，并向上级部门备案等工作。标段中涉及镇街的镇村布局优化调整。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驻村跟踪服务：村庄规划编制完成后，由设计团队（乙方）与村庄所在镇街签订跟踪指导服务协议，持续开展规划师下乡服务，指导服务须以项目负责人牵头，包括团队城乡规划、建筑设计、园林景观、市政工程、土地资源管理及地理信息系统（GIS方面）等主要专业人员。</w:t>
      </w:r>
      <w:r>
        <w:rPr>
          <w:rFonts w:ascii="SimSun" w:hAnsi="SimSun" w:eastAsia="SimSun" w:cs="SimSun"/>
          <w:b/>
          <w:color w:val="000000"/>
          <w:sz w:val="24"/>
        </w:rPr>
        <w:t xml:space="preserve">跟踪服务时间原则上到2025年底截止</w:t>
      </w:r>
      <w:r>
        <w:rPr>
          <w:rFonts w:ascii="SimSun" w:hAnsi="SimSun" w:eastAsia="SimSun" w:cs="SimSun"/>
          <w:color w:val="000000"/>
          <w:sz w:val="24"/>
        </w:rPr>
        <w:t xml:space="preserve">，具体工作方案及时间要求在项目合同中详细约定。服务指导需结合村庄建设实施等实际情况，不突破法律法规要求的情况下对村庄规划成果结合各阶段、各层次项目汇报进行必要的修订完善。</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w:t>
      </w:r>
      <w:r>
        <w:rPr>
          <w:rFonts w:ascii="SimSun" w:hAnsi="SimSun" w:eastAsia="SimSun" w:cs="SimSun"/>
          <w:b/>
          <w:color w:val="000000"/>
          <w:sz w:val="24"/>
        </w:rPr>
        <w:t xml:space="preserve">工作重点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1、厘清底数：落实“多规合一”编制国土空间详细规划的要求，深度梳理村庄各类用地的底图底数，统计村庄打开和不打开的建设用地规模，并针对性地提出乡村地区减量化发展背景下村庄集约发展的策略。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2、片区统筹：按照村庄片区化发展和城乡统筹的要求，结合核心空间资源进行乡村布局，提出村庄在片区化发展中的功能定位、空间融合、设施布局等内容。</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③成果要求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1、符合江苏省村庄规划编制指南的要求，</w:t>
      </w:r>
      <w:r>
        <w:rPr>
          <w:rFonts w:ascii="SimSun" w:hAnsi="SimSun" w:eastAsia="SimSun" w:cs="SimSun"/>
          <w:color w:val="000000"/>
          <w:sz w:val="24"/>
          <w:highlight w:val="cyan"/>
        </w:rPr>
        <w:t xml:space="preserve">和美乡村要达到深化版村庄规划要求</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2、村庄规划成果按内容形成以下独立成果，矢量数据纳入国土空间基础信息平台和一体化业务管理。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（1）以单元片区为单位：将本单元内所有村庄规划成果整合形成《涟水县**单元村庄规划（202*-2035年）》。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（2）以行政村为单位：以单个完整的行政村（社区）为单位，形成《涟水县**镇**村村庄规划（202*-2035年）》，范围涵盖所有新编、修编和零星地块所在村（社区）。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（3）村民手册： 以单个完整的行政村（社区）为单位，参照《成集条河杰勋村庄规划》（由采购人提供），制作向村民宣传使用和监督村庄规划实施的宣传手册。</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④时间要求：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1、调研阶段：2024年 5月-6月，开展项目启动对接及区域乡村调研、底账梳理，形成规划初步方案。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2、中期阶段：2024年7月-8月中旬，形成项目中期成果，进行中期方案汇报。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3、审查阶段：2024年8月中旬-9月，开展部门联审，专家论证，规划公示等工作。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4、提交成果：2024年9月-10月，按照专家、部门及县规委会审查意见深化完善，提交完整成果。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pStyle w:val="634"/>
        <w:ind w:left="0" w:right="0" w:firstLine="0"/>
        <w:jc w:val="center"/>
        <w:spacing w:before="0" w:after="0" w:line="85" w:lineRule="atLeast"/>
        <w:rPr>
          <w:rFonts w:ascii="SimSun" w:hAnsi="SimSun" w:eastAsia="SimSun" w:cs="SimSun"/>
          <w:b/>
          <w:bCs/>
          <w:color w:val="000000"/>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none"/>
        </w:rPr>
      </w:r>
      <w:r>
        <w:rPr>
          <w:rFonts w:ascii="SimSun" w:hAnsi="SimSun" w:eastAsia="SimSun" w:cs="SimSun"/>
          <w:b/>
          <w:color w:val="000000"/>
          <w:sz w:val="36"/>
          <w:highlight w:val="none"/>
          <w:u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084"/>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u w:val="none"/>
        </w:rPr>
        <w:t xml:space="preserve">第二章</w:t>
      </w:r>
      <w:r>
        <w:rPr>
          <w:rFonts w:ascii="SimSun" w:hAnsi="SimSun" w:eastAsia="SimSun" w:cs="SimSun"/>
          <w:b/>
          <w:color w:val="000000"/>
          <w:sz w:val="36"/>
        </w:rPr>
        <w:t xml:space="preserve">   </w:t>
      </w:r>
      <w:r>
        <w:rPr>
          <w:rFonts w:ascii="SimSun" w:hAnsi="SimSun" w:eastAsia="SimSun" w:cs="SimSun"/>
          <w:b/>
          <w:color w:val="000000"/>
          <w:sz w:val="36"/>
          <w:u w:val="none"/>
        </w:rPr>
        <w:t xml:space="preserve">投</w:t>
      </w:r>
      <w:r>
        <w:rPr>
          <w:rFonts w:ascii="SimSun" w:hAnsi="SimSun" w:eastAsia="SimSun" w:cs="SimSun"/>
          <w:b/>
          <w:color w:val="000000"/>
          <w:sz w:val="36"/>
        </w:rPr>
        <w:t xml:space="preserve">  </w:t>
      </w:r>
      <w:r>
        <w:rPr>
          <w:rFonts w:ascii="SimSun" w:hAnsi="SimSun" w:eastAsia="SimSun" w:cs="SimSun"/>
          <w:b/>
          <w:color w:val="000000"/>
          <w:sz w:val="36"/>
          <w:u w:val="none"/>
        </w:rPr>
        <w:t xml:space="preserve">标</w:t>
      </w:r>
      <w:r>
        <w:rPr>
          <w:rFonts w:ascii="SimSun" w:hAnsi="SimSun" w:eastAsia="SimSun" w:cs="SimSun"/>
          <w:b/>
          <w:color w:val="000000"/>
          <w:sz w:val="36"/>
        </w:rPr>
        <w:t xml:space="preserve">  </w:t>
      </w:r>
      <w:r>
        <w:rPr>
          <w:rFonts w:ascii="SimSun" w:hAnsi="SimSun" w:eastAsia="SimSun" w:cs="SimSun"/>
          <w:b/>
          <w:color w:val="000000"/>
          <w:sz w:val="36"/>
          <w:u w:val="none"/>
        </w:rPr>
        <w:t xml:space="preserve">文</w:t>
      </w:r>
      <w:r>
        <w:rPr>
          <w:rFonts w:ascii="SimSun" w:hAnsi="SimSun" w:eastAsia="SimSun" w:cs="SimSun"/>
          <w:b/>
          <w:color w:val="000000"/>
          <w:sz w:val="36"/>
        </w:rPr>
        <w:t xml:space="preserve">  </w:t>
      </w:r>
      <w:r>
        <w:rPr>
          <w:rFonts w:ascii="SimSun" w:hAnsi="SimSun" w:eastAsia="SimSun" w:cs="SimSun"/>
          <w:b/>
          <w:color w:val="000000"/>
          <w:sz w:val="36"/>
          <w:u w:val="none"/>
        </w:rPr>
        <w:t xml:space="preserve">件</w:t>
      </w:r>
      <w:r>
        <w:rPr>
          <w:rFonts w:ascii="SimSun" w:hAnsi="SimSun" w:eastAsia="SimSun" w:cs="SimSun"/>
          <w:b/>
          <w:color w:val="000000"/>
          <w:sz w:val="36"/>
        </w:rPr>
        <w:t xml:space="preserve">  </w:t>
      </w:r>
      <w:r>
        <w:rPr>
          <w:rFonts w:ascii="SimSun" w:hAnsi="SimSun" w:eastAsia="SimSun" w:cs="SimSun"/>
          <w:b/>
          <w:color w:val="000000"/>
          <w:sz w:val="36"/>
          <w:u w:val="none"/>
        </w:rPr>
        <w:t xml:space="preserve">格</w:t>
      </w:r>
      <w:r>
        <w:rPr>
          <w:rFonts w:ascii="SimSun" w:hAnsi="SimSun" w:eastAsia="SimSun" w:cs="SimSun"/>
          <w:b/>
          <w:color w:val="000000"/>
          <w:sz w:val="36"/>
        </w:rPr>
        <w:t xml:space="preserve">  </w:t>
      </w:r>
      <w:r>
        <w:rPr>
          <w:rFonts w:ascii="SimSun" w:hAnsi="SimSun" w:eastAsia="SimSun" w:cs="SimSun"/>
          <w:b/>
          <w:color w:val="000000"/>
          <w:sz w:val="36"/>
          <w:u w:val="none"/>
        </w:rPr>
        <w:t xml:space="preserve">式</w:t>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1084"/>
        <w:jc w:val="both"/>
        <w:spacing w:before="0" w:after="0" w:line="4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6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06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 标 人：</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9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1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年    月    日</w:t>
      </w:r>
      <w:r/>
    </w:p>
    <w:p>
      <w:pPr>
        <w:ind w:left="0" w:right="0" w:firstLine="18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尊敬的供应商：</w:t>
      </w:r>
      <w:r/>
    </w:p>
    <w:p>
      <w:pPr>
        <w:ind w:left="0" w:right="0" w:firstLine="523"/>
        <w:jc w:val="both"/>
        <w:spacing w:before="19"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请按照以下文件的格式要求、内容制作投标文件，并请编制目录及页码，否则可能将影响对投标文件的评价。</w:t>
      </w:r>
      <w:r/>
    </w:p>
    <w:p>
      <w:pPr>
        <w:ind w:left="0" w:right="0" w:firstLine="44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投标文件格式中所有要求电子签字和电子签章的部分，电子投标文件中必须加盖电子签章。</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6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一、投标函（标段</w:t>
      </w:r>
      <w:r>
        <w:rPr>
          <w:rFonts w:ascii="SimSun" w:hAnsi="SimSun" w:eastAsia="SimSun" w:cs="SimSun"/>
          <w:b/>
          <w:color w:val="000000"/>
          <w:sz w:val="28"/>
          <w:u w:val="single"/>
        </w:rPr>
        <w:t xml:space="preserve">  </w:t>
      </w:r>
      <w:r>
        <w:rPr>
          <w:rFonts w:ascii="SimSun" w:hAnsi="SimSun" w:eastAsia="SimSun" w:cs="SimSun"/>
          <w:b/>
          <w:color w:val="000000"/>
          <w:sz w:val="28"/>
          <w:u w:val="none"/>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）招标文件（包括更正公告、如果有的话）收悉，我们经详细审阅和研究，现决定参加投标。同时，正式授权下述签字人（姓名和职务）代表（投标人单位名称），全权处理本次项目投标的有关事宜。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1、参加本次政府采购活动前三年内，我公司在经营活动中没有因违法经营受到刑事处罚或者责令停产停业、吊销许可证或者执照、较大数额罚款等行政处罚。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2、我公司负责人为同一人或者存在直接控股、管理关系的不同供应商，没有同时参加同一合同项下的政府采购活动；我公司没有为本项目提供整体设计、规范编制或者项目管理、监理、检测等服务。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3、参加本次采购活动前，我方没有被“信用中国”网站、“中国政府采购网”列入失信被执行人名单、重大税收违法失信主体、政府采购严重违法失信行为记录名单。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4、我公司郑重承诺:我公司具备履行合同所必需的设备和专业技术能力。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5、我公司郑重承诺:我公司具备《中华人民共和国政府采购法》第二十二条第一款规定的六项条件。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6、我们接受招标文件的所有的条款和规定。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同意按照招标文件第一章第二部分第15条的规定，本投标文件的有效期为从开标之日期起计算的九十天，在此期间，本投标文件将始终对我们具有约束力，并可随时被接受。如果我们中标，本投标文件在此期间之后将继续保持有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8、我们理解，你们无义务必须接受投标价最低的投标。同时也理解你们不承担我们本次投标的费用。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9、我们同意向贵方提供贵方可能要求的与投标有关的任何证据或资料，并保证所提供的都是真实的、准确的。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10、一旦我方中标，我方将根据招标文件的规定，严格履行合同的责任和义务，并保证在按招标文件中规定的时间内完成服务。否则我们的履约保证金将被贵方没收。</w:t>
      </w:r>
      <w:r/>
    </w:p>
    <w:p>
      <w:pPr>
        <w:ind w:left="0" w:right="560" w:firstLine="2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投标人名称（电子签章）：</w:t>
      </w:r>
      <w:r/>
    </w:p>
    <w:p>
      <w:pPr>
        <w:ind w:left="0" w:right="560" w:firstLine="25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560" w:firstLine="2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560" w:firstLine="2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法定代表人（电子签章或电子签字）：</w:t>
      </w:r>
      <w:r/>
    </w:p>
    <w:p>
      <w:pPr>
        <w:ind w:left="0" w:right="560" w:firstLine="25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560" w:firstLine="36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56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二、开标一览表（标段</w:t>
      </w:r>
      <w:r>
        <w:rPr>
          <w:rFonts w:ascii="SimSun" w:hAnsi="SimSun" w:eastAsia="SimSun" w:cs="SimSun"/>
          <w:b/>
          <w:color w:val="000000"/>
          <w:sz w:val="28"/>
          <w:u w:val="single"/>
        </w:rPr>
        <w:t xml:space="preserve">  </w:t>
      </w:r>
      <w:r>
        <w:rPr>
          <w:rFonts w:ascii="SimSun" w:hAnsi="SimSun" w:eastAsia="SimSun" w:cs="SimSun"/>
          <w:b/>
          <w:color w:val="000000"/>
          <w:sz w:val="28"/>
          <w:u w:val="none"/>
        </w:rPr>
        <w:t xml:space="preserve">）</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0"/>
        <w:gridCol w:w="7020"/>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center"/>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佰 拾 万 仟佰 拾 元整</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（电子签章）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（1）投标报价总计为招标文件中投标人须知第10条所述内容。</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（2）开标一览表格式不得自行改动。</w:t>
      </w:r>
      <w:r/>
    </w:p>
    <w:p>
      <w:pPr>
        <w:ind w:left="0" w:right="0" w:firstLine="2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7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三、报价明细表（标段</w:t>
      </w:r>
      <w:r>
        <w:rPr>
          <w:rFonts w:ascii="SimSun" w:hAnsi="SimSun" w:eastAsia="SimSun" w:cs="SimSun"/>
          <w:b/>
          <w:color w:val="000000"/>
          <w:sz w:val="28"/>
          <w:u w:val="single"/>
        </w:rPr>
        <w:t xml:space="preserve">  </w:t>
      </w:r>
      <w:r>
        <w:rPr>
          <w:rFonts w:ascii="SimSun" w:hAnsi="SimSun" w:eastAsia="SimSun" w:cs="SimSun"/>
          <w:b/>
          <w:color w:val="000000"/>
          <w:sz w:val="28"/>
          <w:u w:val="none"/>
        </w:rPr>
        <w:t xml:space="preserve">）</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0"/>
        <w:gridCol w:w="1791"/>
        <w:gridCol w:w="1148"/>
        <w:gridCol w:w="1331"/>
        <w:gridCol w:w="1435"/>
        <w:gridCol w:w="912"/>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1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4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62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vAlign w:val="top"/>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（电子签章）     </w:t>
      </w:r>
      <w:r/>
    </w:p>
    <w:p>
      <w:pPr>
        <w:ind w:left="-178" w:right="0" w:firstLine="10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w:t>
      </w:r>
      <w:r>
        <w:rPr>
          <w:rFonts w:ascii="SimSun" w:hAnsi="SimSun" w:eastAsia="SimSun" w:cs="SimSun"/>
          <w:color w:val="000000"/>
          <w:sz w:val="24"/>
        </w:rPr>
        <w:t xml:space="preserve">“投标报价明细表”合计金额应当与“开标一览表”（投标总价）相等，如不相等，投标总价以“开标一览表”为准。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8" w:right="0" w:firstLine="10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178" w:right="0" w:firstLine="10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1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四、拟派项目负责人及主要人员基本情况表（标段</w:t>
      </w:r>
      <w:r>
        <w:rPr>
          <w:rFonts w:ascii="SimSun" w:hAnsi="SimSun" w:eastAsia="SimSun" w:cs="SimSun"/>
          <w:b/>
          <w:color w:val="000000"/>
          <w:sz w:val="28"/>
          <w:u w:val="single"/>
        </w:rPr>
        <w:t xml:space="preserve">  </w:t>
      </w:r>
      <w:r>
        <w:rPr>
          <w:rFonts w:ascii="SimSun" w:hAnsi="SimSun" w:eastAsia="SimSun" w:cs="SimSun"/>
          <w:b/>
          <w:color w:val="000000"/>
          <w:sz w:val="28"/>
          <w:u w:val="none"/>
        </w:rPr>
        <w:t xml:space="preserve">）</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87"/>
        <w:gridCol w:w="1111"/>
        <w:gridCol w:w="1112"/>
        <w:gridCol w:w="1471"/>
        <w:gridCol w:w="1471"/>
        <w:gridCol w:w="1471"/>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资格证书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现任职务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及职称</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59" w:right="0" w:firstLine="17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（电子签章）     </w:t>
      </w:r>
      <w:r/>
    </w:p>
    <w:p>
      <w:pPr>
        <w:ind w:left="-178"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21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ind w:left="0" w:right="34" w:firstLine="2715"/>
        <w:spacing w:before="1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rPr>
          <w:rFonts w:ascii="SimSun" w:hAnsi="SimSun" w:eastAsia="SimSun" w:cs="SimSun"/>
          <w:b/>
          <w:color w:val="000000"/>
          <w:sz w:val="28"/>
        </w:rPr>
        <w:t xml:space="preserve">类似项目成功案例一览表（标段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TCaiyun" w:hAnsi="STCaiyun" w:eastAsia="STCaiyun" w:cs="STCaiyun"/>
          <w:color w:val="000000"/>
          <w:sz w:val="22"/>
        </w:rPr>
        <w:t xml:space="preserve"> </w:t>
      </w:r>
      <w:r/>
    </w:p>
    <w:tbl>
      <w:tblPr>
        <w:tblStyle w:val="6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862"/>
        <w:gridCol w:w="945"/>
        <w:gridCol w:w="1050"/>
        <w:gridCol w:w="1604"/>
        <w:gridCol w:w="1398"/>
        <w:gridCol w:w="746"/>
        <w:gridCol w:w="1390"/>
      </w:tblGrid>
      <w:tr>
        <w:trPr>
          <w:trHeight w:val="56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项目简介</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总投资（项目额）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开始/完成日期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成果评审结论及获奖情况</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4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59" w:right="0" w:firstLine="17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（电子签章）     </w:t>
      </w:r>
      <w:r/>
    </w:p>
    <w:p>
      <w:pPr>
        <w:ind w:left="-178"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六、服务</w:t>
      </w:r>
      <w:r>
        <w:rPr>
          <w:rFonts w:ascii="SimSun" w:hAnsi="SimSun" w:eastAsia="SimSun" w:cs="SimSun"/>
          <w:b/>
          <w:color w:val="000000"/>
          <w:sz w:val="28"/>
        </w:rPr>
        <w:t xml:space="preserve">承诺（标段</w:t>
      </w:r>
      <w:r>
        <w:rPr>
          <w:rFonts w:ascii="SimSun" w:hAnsi="SimSun" w:eastAsia="SimSun" w:cs="SimSun"/>
          <w:b/>
          <w:color w:val="000000"/>
          <w:sz w:val="28"/>
          <w:u w:val="single"/>
        </w:rPr>
        <w:t xml:space="preserve">  </w:t>
      </w:r>
      <w:r>
        <w:rPr>
          <w:rFonts w:ascii="SimSun" w:hAnsi="SimSun" w:eastAsia="SimSun" w:cs="SimSun"/>
          <w:b/>
          <w:color w:val="000000"/>
          <w:sz w:val="28"/>
        </w:rPr>
        <w:t xml:space="preserve">）</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（格式由投标人自定，加盖投标人电子签章。）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七、资质审查时投标人必须提供的资格证明文件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1、提供下列材料之一：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（1）投标人提供法定代表人资格证明（扫描件加盖投标人电子签章，必须提供，格式详见第九部分示范格式一）和法定代表人身份证（扫描件加盖投标人电子签章，必须提供）；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（2）投标人提供授权委托书（扫描件加盖投标人电子签章，必须提供，格式详见第九部分示范格式二）和受托人身份证（扫描件加盖投标人电子签章，必须提供）。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2、提供营业执照或事业单位法人证书。（扫描件加盖投标人电子签章，必须提供）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3、提供《失信行为“双公示”承诺书》（详见示范格式五）。（扫描件并加盖投标人和法定代表人电子签章，必须提供）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4、采购人根据采购项目的特殊要求，规定投标人还须具备的特定条件：</w:t>
      </w:r>
      <w:r>
        <w:rPr>
          <w:rFonts w:ascii="SimSun" w:hAnsi="SimSun" w:eastAsia="SimSun" w:cs="SimSun"/>
          <w:b/>
          <w:color w:val="000000"/>
          <w:sz w:val="24"/>
        </w:rPr>
        <w:t xml:space="preserve">具有城乡规划编制乙级及以上资质。（提供证书扫描件，并加盖投标人电子签章）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5、落实政府采购政策需满足的资格要求（提供下列任一项材料即可，非专门面向中小企业或者预留份额的采购项目，本项无需提供）：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（1）中小企业声明函（详见示范格式三）；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（3）由省级以上监狱管理局、戒毒管理局（含新疆生产建设兵团）出具的属于监狱企业的证明文件）（加盖出具单位公章的电子件）。</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color w:val="000000"/>
          <w:sz w:val="24"/>
        </w:rPr>
        <w:t xml:space="preserve">1、上述相关原件，中标人必须在签订合同时提交采购人审查，中标人未能提供上述所有原件的，则取消其中标资格。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2、上述是在对投标人资质审查时，投标人所必须要提供的资格证明文件，如投标人未能提供上述资格证明文件以及发现投标人的资质条件不符合招标文件要求，可随时取消其投标或中标资格。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3、投标人所提供的资格证明材料应真实、有效，代理机构及采购人保留对投标人提供的资格证明材料进行核查的权利。如发现投标人提供虚假资格证明材料，政府采购监管部门将对其进行严肃处理。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八、投标人参与综合评审时需提供的证明文件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（如果有的话，格式由投标人自定，提供扫描件并加盖投标人电子签章。）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26"/>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26"/>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26"/>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九、投标人认为有必要提供并说明的其它资料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（格式由投标人自定，加盖投标人电子签章。）</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pStyle w:val="636"/>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十、示范格式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                 </w:t>
      </w:r>
      <w:r/>
    </w:p>
    <w:p>
      <w:pPr>
        <w:ind w:left="0" w:right="0" w:firstLine="2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的法定代表人。为参与项目，签署上述项目的投标文件、进行招标、签署合同和处理与之有关的一切事务。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47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注：投标人法定代表人参加投标的，必须附法定代表人身份证扫描件并加盖委托单位电子签章。法定代表人授权其他人参加投标的，仅需填写“授权委托书”。</w:t>
      </w:r>
      <w:r/>
    </w:p>
    <w:p>
      <w:pPr>
        <w:ind w:left="-359" w:right="0" w:firstLine="63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359" w:right="0" w:firstLine="63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359" w:right="0" w:firstLine="63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spacing w:before="0" w:after="0" w:line="640"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21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 性别： 出生日期：年月日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　　（采购人）组织的（项目编号: 　）采购项目的政府采购活动，受托人有权在该招标活动中，以我单位的名义签署投标函和投标文件，与采购人或代理机构协商、澄清、解释，签订合同书并执行一切与此有关的事项。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5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50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59"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注：投标人委托受托人参加投标的，必须附受托人身份证扫描件并加盖委托单位电子签章。法定代表人直接参加投标的，仅需填写“法定代表人资格证明”。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59" w:right="0" w:firstLine="35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359" w:right="0" w:firstLine="357"/>
        <w:jc w:val="both"/>
        <w:spacing w:before="0" w:after="0" w:line="640"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（采购项目名称）</w:t>
      </w:r>
      <w:r>
        <w:rPr>
          <w:rFonts w:ascii="SimSun" w:hAnsi="SimSun" w:eastAsia="SimSun" w:cs="SimSun"/>
          <w:color w:val="000000"/>
          <w:sz w:val="24"/>
        </w:rPr>
        <w:t xml:space="preserve">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（电子签章）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8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420"/>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失信行为“双公示”承诺书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1、严格遵守《中华人民共和国政府采购法》和《中华人民共和国政府采购法实施条例》以及政府采购有关法律法规，依法依规参与本项目竞标。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2、公平竞标，不借用他人资质或以他人名义骗取中标。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3、不组织、不参与任何形式的围标串标。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4、不弄虚作假，所提供的一切材料均是真实、有效、合法的。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5、如果我单位中标，将严格履行合同，绝不将工程违法分包、转包他人，不随意更换项目管理人员。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投标人（签电子章）：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法定代表人（签电子章）：</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Caiyun">
    <w:panose1 w:val="02010800040101010101"/>
  </w:font>
  <w:font w:name="KaiTi">
    <w:panose1 w:val="02010609060101010101"/>
  </w:font>
  <w:font w:name="FangSong">
    <w:panose1 w:val="02010609060101010101"/>
  </w:font>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basedOn w:val="810"/>
    <w:next w:val="810"/>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basedOn w:val="810"/>
    <w:next w:val="810"/>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basedOn w:val="810"/>
    <w:next w:val="810"/>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basedOn w:val="810"/>
    <w:next w:val="810"/>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basedOn w:val="810"/>
    <w:next w:val="810"/>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basedOn w:val="810"/>
    <w:next w:val="810"/>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basedOn w:val="810"/>
    <w:next w:val="810"/>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basedOn w:val="810"/>
    <w:next w:val="810"/>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basedOn w:val="810"/>
    <w:next w:val="810"/>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Title"/>
    <w:basedOn w:val="810"/>
    <w:next w:val="810"/>
    <w:link w:val="653"/>
    <w:uiPriority w:val="10"/>
    <w:qFormat/>
    <w:pPr>
      <w:contextualSpacing/>
      <w:spacing w:before="300" w:after="200"/>
    </w:pPr>
    <w:rPr>
      <w:sz w:val="48"/>
      <w:szCs w:val="48"/>
    </w:rPr>
  </w:style>
  <w:style w:type="character" w:styleId="653">
    <w:name w:val="Title Char"/>
    <w:link w:val="652"/>
    <w:uiPriority w:val="10"/>
    <w:rPr>
      <w:sz w:val="48"/>
      <w:szCs w:val="48"/>
    </w:rPr>
  </w:style>
  <w:style w:type="paragraph" w:styleId="654">
    <w:name w:val="Subtitle"/>
    <w:basedOn w:val="810"/>
    <w:next w:val="810"/>
    <w:link w:val="655"/>
    <w:uiPriority w:val="11"/>
    <w:qFormat/>
    <w:pPr>
      <w:spacing w:before="200" w:after="200"/>
    </w:pPr>
    <w:rPr>
      <w:sz w:val="24"/>
      <w:szCs w:val="24"/>
    </w:rPr>
  </w:style>
  <w:style w:type="character" w:styleId="655">
    <w:name w:val="Subtitle Char"/>
    <w:link w:val="654"/>
    <w:uiPriority w:val="11"/>
    <w:rPr>
      <w:sz w:val="24"/>
      <w:szCs w:val="24"/>
    </w:rPr>
  </w:style>
  <w:style w:type="paragraph" w:styleId="656">
    <w:name w:val="Quote"/>
    <w:basedOn w:val="810"/>
    <w:next w:val="810"/>
    <w:link w:val="657"/>
    <w:uiPriority w:val="29"/>
    <w:qFormat/>
    <w:pPr>
      <w:ind w:left="720" w:right="720"/>
    </w:pPr>
    <w:rPr>
      <w:i/>
    </w:rPr>
  </w:style>
  <w:style w:type="character" w:styleId="657">
    <w:name w:val="Quote Char"/>
    <w:link w:val="656"/>
    <w:uiPriority w:val="29"/>
    <w:rPr>
      <w:i/>
    </w:rPr>
  </w:style>
  <w:style w:type="paragraph" w:styleId="658">
    <w:name w:val="Intense Quote"/>
    <w:basedOn w:val="810"/>
    <w:next w:val="810"/>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9">
    <w:name w:val="Intense Quote Char"/>
    <w:link w:val="658"/>
    <w:uiPriority w:val="30"/>
    <w:rPr>
      <w:i/>
    </w:rPr>
  </w:style>
  <w:style w:type="paragraph" w:styleId="660">
    <w:name w:val="Header"/>
    <w:basedOn w:val="810"/>
    <w:link w:val="661"/>
    <w:uiPriority w:val="99"/>
    <w:unhideWhenUsed/>
    <w:pPr>
      <w:spacing w:after="0" w:line="240" w:lineRule="auto"/>
      <w:tabs>
        <w:tab w:val="center" w:pos="7143" w:leader="none"/>
        <w:tab w:val="right" w:pos="14287" w:leader="none"/>
      </w:tabs>
    </w:pPr>
  </w:style>
  <w:style w:type="character" w:styleId="661">
    <w:name w:val="Header Char"/>
    <w:link w:val="660"/>
    <w:uiPriority w:val="99"/>
  </w:style>
  <w:style w:type="paragraph" w:styleId="662">
    <w:name w:val="Footer"/>
    <w:basedOn w:val="810"/>
    <w:link w:val="665"/>
    <w:uiPriority w:val="99"/>
    <w:unhideWhenUsed/>
    <w:pPr>
      <w:spacing w:after="0" w:line="240" w:lineRule="auto"/>
      <w:tabs>
        <w:tab w:val="center" w:pos="7143" w:leader="none"/>
        <w:tab w:val="right" w:pos="14287" w:leader="none"/>
      </w:tabs>
    </w:pPr>
  </w:style>
  <w:style w:type="character" w:styleId="663">
    <w:name w:val="Footer Char"/>
    <w:link w:val="662"/>
    <w:uiPriority w:val="99"/>
  </w:style>
  <w:style w:type="paragraph" w:styleId="664">
    <w:name w:val="Caption"/>
    <w:basedOn w:val="810"/>
    <w:next w:val="810"/>
    <w:uiPriority w:val="35"/>
    <w:semiHidden/>
    <w:unhideWhenUsed/>
    <w:qFormat/>
    <w:pPr>
      <w:spacing w:line="276" w:lineRule="auto"/>
    </w:pPr>
    <w:rPr>
      <w:b/>
      <w:bCs/>
      <w:color w:val="4f81bd" w:themeColor="accent1"/>
      <w:sz w:val="18"/>
      <w:szCs w:val="18"/>
    </w:rPr>
  </w:style>
  <w:style w:type="character" w:styleId="665">
    <w:name w:val="Caption Char"/>
    <w:basedOn w:val="664"/>
    <w:link w:val="662"/>
    <w:uiPriority w:val="99"/>
  </w:style>
  <w:style w:type="table" w:styleId="666">
    <w:name w:val="Table Grid"/>
    <w:basedOn w:val="8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7">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8">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5">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6">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7">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8">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9">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0">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2">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3">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4">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5">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6">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7">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5">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6">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7">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8">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9">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0">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1">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2">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3">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4">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5">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6">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7">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8">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0">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1">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2">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3">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4">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7">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1">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2">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4">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5">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6">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7">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8">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9">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1">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2">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3">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4">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5">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6">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8">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39">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0">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1">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2">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3">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5">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6">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7">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8">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49">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0">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59">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0">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1">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2">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3">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4">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5">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6">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7">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8">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69">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0">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1">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2">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3">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4">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5">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6">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7">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8">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9">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0">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1">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2">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3">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4">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5">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6">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7">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8">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9">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0">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1">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2">
    <w:name w:val="Hyperlink"/>
    <w:uiPriority w:val="99"/>
    <w:unhideWhenUsed/>
    <w:rPr>
      <w:color w:val="0000ff" w:themeColor="hyperlink"/>
      <w:u w:val="single"/>
    </w:rPr>
  </w:style>
  <w:style w:type="paragraph" w:styleId="793">
    <w:name w:val="footnote text"/>
    <w:basedOn w:val="810"/>
    <w:link w:val="794"/>
    <w:uiPriority w:val="99"/>
    <w:semiHidden/>
    <w:unhideWhenUsed/>
    <w:pPr>
      <w:spacing w:after="40" w:line="240" w:lineRule="auto"/>
    </w:pPr>
    <w:rPr>
      <w:sz w:val="18"/>
    </w:rPr>
  </w:style>
  <w:style w:type="character" w:styleId="794">
    <w:name w:val="Footnote Text Char"/>
    <w:link w:val="793"/>
    <w:uiPriority w:val="99"/>
    <w:rPr>
      <w:sz w:val="18"/>
    </w:rPr>
  </w:style>
  <w:style w:type="character" w:styleId="795">
    <w:name w:val="footnote reference"/>
    <w:uiPriority w:val="99"/>
    <w:unhideWhenUsed/>
    <w:rPr>
      <w:vertAlign w:val="superscript"/>
    </w:rPr>
  </w:style>
  <w:style w:type="paragraph" w:styleId="796">
    <w:name w:val="endnote text"/>
    <w:basedOn w:val="810"/>
    <w:link w:val="797"/>
    <w:uiPriority w:val="99"/>
    <w:semiHidden/>
    <w:unhideWhenUsed/>
    <w:pPr>
      <w:spacing w:after="0" w:line="240" w:lineRule="auto"/>
    </w:pPr>
    <w:rPr>
      <w:sz w:val="20"/>
    </w:rPr>
  </w:style>
  <w:style w:type="character" w:styleId="797">
    <w:name w:val="Endnote Text Char"/>
    <w:link w:val="796"/>
    <w:uiPriority w:val="99"/>
    <w:rPr>
      <w:sz w:val="20"/>
    </w:rPr>
  </w:style>
  <w:style w:type="character" w:styleId="798">
    <w:name w:val="endnote reference"/>
    <w:uiPriority w:val="99"/>
    <w:semiHidden/>
    <w:unhideWhenUsed/>
    <w:rPr>
      <w:vertAlign w:val="superscript"/>
    </w:rPr>
  </w:style>
  <w:style w:type="paragraph" w:styleId="799">
    <w:name w:val="toc 1"/>
    <w:basedOn w:val="810"/>
    <w:next w:val="810"/>
    <w:uiPriority w:val="39"/>
    <w:unhideWhenUsed/>
    <w:pPr>
      <w:ind w:left="0" w:right="0" w:firstLine="0"/>
      <w:spacing w:after="57"/>
    </w:pPr>
  </w:style>
  <w:style w:type="paragraph" w:styleId="800">
    <w:name w:val="toc 2"/>
    <w:basedOn w:val="810"/>
    <w:next w:val="810"/>
    <w:uiPriority w:val="39"/>
    <w:unhideWhenUsed/>
    <w:pPr>
      <w:ind w:left="283" w:right="0" w:firstLine="0"/>
      <w:spacing w:after="57"/>
    </w:pPr>
  </w:style>
  <w:style w:type="paragraph" w:styleId="801">
    <w:name w:val="toc 3"/>
    <w:basedOn w:val="810"/>
    <w:next w:val="810"/>
    <w:uiPriority w:val="39"/>
    <w:unhideWhenUsed/>
    <w:pPr>
      <w:ind w:left="567" w:right="0" w:firstLine="0"/>
      <w:spacing w:after="57"/>
    </w:pPr>
  </w:style>
  <w:style w:type="paragraph" w:styleId="802">
    <w:name w:val="toc 4"/>
    <w:basedOn w:val="810"/>
    <w:next w:val="810"/>
    <w:uiPriority w:val="39"/>
    <w:unhideWhenUsed/>
    <w:pPr>
      <w:ind w:left="850" w:right="0" w:firstLine="0"/>
      <w:spacing w:after="57"/>
    </w:pPr>
  </w:style>
  <w:style w:type="paragraph" w:styleId="803">
    <w:name w:val="toc 5"/>
    <w:basedOn w:val="810"/>
    <w:next w:val="810"/>
    <w:uiPriority w:val="39"/>
    <w:unhideWhenUsed/>
    <w:pPr>
      <w:ind w:left="1134" w:right="0" w:firstLine="0"/>
      <w:spacing w:after="57"/>
    </w:pPr>
  </w:style>
  <w:style w:type="paragraph" w:styleId="804">
    <w:name w:val="toc 6"/>
    <w:basedOn w:val="810"/>
    <w:next w:val="810"/>
    <w:uiPriority w:val="39"/>
    <w:unhideWhenUsed/>
    <w:pPr>
      <w:ind w:left="1417" w:right="0" w:firstLine="0"/>
      <w:spacing w:after="57"/>
    </w:pPr>
  </w:style>
  <w:style w:type="paragraph" w:styleId="805">
    <w:name w:val="toc 7"/>
    <w:basedOn w:val="810"/>
    <w:next w:val="810"/>
    <w:uiPriority w:val="39"/>
    <w:unhideWhenUsed/>
    <w:pPr>
      <w:ind w:left="1701" w:right="0" w:firstLine="0"/>
      <w:spacing w:after="57"/>
    </w:pPr>
  </w:style>
  <w:style w:type="paragraph" w:styleId="806">
    <w:name w:val="toc 8"/>
    <w:basedOn w:val="810"/>
    <w:next w:val="810"/>
    <w:uiPriority w:val="39"/>
    <w:unhideWhenUsed/>
    <w:pPr>
      <w:ind w:left="1984" w:right="0" w:firstLine="0"/>
      <w:spacing w:after="57"/>
    </w:pPr>
  </w:style>
  <w:style w:type="paragraph" w:styleId="807">
    <w:name w:val="toc 9"/>
    <w:basedOn w:val="810"/>
    <w:next w:val="810"/>
    <w:uiPriority w:val="39"/>
    <w:unhideWhenUsed/>
    <w:pPr>
      <w:ind w:left="2268" w:right="0" w:firstLine="0"/>
      <w:spacing w:after="57"/>
    </w:pPr>
  </w:style>
  <w:style w:type="paragraph" w:styleId="808">
    <w:name w:val="TOC Heading"/>
    <w:uiPriority w:val="39"/>
    <w:unhideWhenUsed/>
  </w:style>
  <w:style w:type="paragraph" w:styleId="809">
    <w:name w:val="table of figures"/>
    <w:basedOn w:val="810"/>
    <w:next w:val="810"/>
    <w:uiPriority w:val="99"/>
    <w:unhideWhenUsed/>
    <w:pPr>
      <w:spacing w:after="0" w:afterAutospacing="0"/>
    </w:pPr>
  </w:style>
  <w:style w:type="paragraph" w:styleId="810" w:default="1">
    <w:name w:val="Normal"/>
    <w:qFormat/>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paragraph" w:styleId="813">
    <w:name w:val="No Spacing"/>
    <w:basedOn w:val="810"/>
    <w:uiPriority w:val="1"/>
    <w:qFormat/>
    <w:pPr>
      <w:spacing w:after="0" w:line="240" w:lineRule="auto"/>
    </w:pPr>
  </w:style>
  <w:style w:type="paragraph" w:styleId="814">
    <w:name w:val="List Paragraph"/>
    <w:basedOn w:val="810"/>
    <w:uiPriority w:val="34"/>
    <w:qFormat/>
    <w:pPr>
      <w:contextualSpacing/>
      <w:ind w:left="720"/>
    </w:pPr>
  </w:style>
  <w:style w:type="character" w:styleId="815"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52"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5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5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55"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5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6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7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71"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44727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蒋士武</cp:lastModifiedBy>
  <cp:revision>7</cp:revision>
  <dcterms:modified xsi:type="dcterms:W3CDTF">2024-04-29T07:10:01Z</dcterms:modified>
</cp:coreProperties>
</file>