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项目名称：江苏省海州高级中学物理数字化实验室</w:t>
      </w:r>
      <w:r/>
    </w:p>
    <w:p>
      <w:pPr>
        <w:ind w:firstLine="1285"/>
        <w:spacing w:line="480" w:lineRule="auto"/>
        <w:rPr>
          <w:rFonts w:hint="default" w:ascii="黑体" w:hAnsi="Arial" w:eastAsia="黑体" w:cs="Times New Roman"/>
          <w:b/>
          <w:color w:val="000000"/>
          <w:sz w:val="44"/>
          <w:szCs w:val="21"/>
          <w:highlight w:val="none"/>
          <w:lang w:val="en-US"/>
        </w:rPr>
      </w:pPr>
      <w:r>
        <w:rPr>
          <w:rFonts w:hint="eastAsia" w:ascii="Arial" w:hAnsi="Arial" w:eastAsia="宋体" w:cs="Times New Roman"/>
          <w:b/>
          <w:bCs/>
          <w:sz w:val="32"/>
          <w:szCs w:val="24"/>
          <w:highlight w:val="none"/>
        </w:rPr>
        <w:t xml:space="preserve">项目编号：JSZC-320700-JZCG-G2024-0229</w:t>
      </w:r>
      <w:r>
        <w:rPr>
          <w:rFonts w:hint="eastAsia" w:ascii="黑体" w:hAnsi="Arial" w:eastAsia="宋体" w:cs="Times New Roman"/>
          <w:b/>
          <w:color w:val="000000"/>
          <w:sz w:val="44"/>
          <w:szCs w:val="21"/>
          <w:highlight w:val="none"/>
          <w:lang w:val="en-US" w:eastAsia="zh-CN"/>
        </w:rPr>
        <w:t xml:space="preserve">      </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highlight w:val="none"/>
        </w:rPr>
        <w:t xml:space="preserve">2024年</w:t>
      </w:r>
      <w:r>
        <w:rPr>
          <w:rFonts w:hint="eastAsia" w:ascii="Arial" w:hAnsi="Arial" w:eastAsia="宋体" w:cs="Times New Roman"/>
          <w:b/>
          <w:bCs/>
          <w:color w:val="000000"/>
          <w:sz w:val="32"/>
          <w:szCs w:val="24"/>
          <w:highlight w:val="none"/>
          <w:lang w:val="en-US" w:eastAsia="zh-CN"/>
        </w:rPr>
        <w:t xml:space="preserve">12</w:t>
      </w:r>
      <w:r>
        <w:rPr>
          <w:rFonts w:hint="eastAsia" w:ascii="Arial" w:hAnsi="Arial" w:eastAsia="宋体" w:cs="Times New Roman"/>
          <w:b/>
          <w:bCs/>
          <w:color w:val="000000"/>
          <w:sz w:val="32"/>
          <w:szCs w:val="24"/>
          <w:highlight w:val="none"/>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75"/>
        <w:rPr>
          <w:b w:val="0"/>
        </w:rPr>
      </w:pPr>
      <w:r>
        <w:rPr>
          <w:rFonts w:hint="eastAsia"/>
          <w:b w:val="0"/>
        </w:rPr>
        <w:t xml:space="preserve">目  录</w:t>
      </w:r>
      <w:r/>
    </w:p>
    <w:p>
      <w:pPr>
        <w:pStyle w:val="875"/>
      </w:pPr>
      <w:r/>
      <w:r/>
    </w:p>
    <w:p>
      <w:pPr>
        <w:pStyle w:val="875"/>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b w:val="0"/>
          <w:sz w:val="32"/>
        </w:rPr>
        <w:tab/>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75"/>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b w:val="0"/>
          <w:sz w:val="32"/>
        </w:rPr>
        <w:tab/>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4</w:t>
      </w:r>
      <w:r>
        <w:rPr>
          <w:b w:val="0"/>
          <w:sz w:val="32"/>
        </w:rPr>
        <w:fldChar w:fldCharType="end"/>
      </w:r>
      <w:r/>
    </w:p>
    <w:p>
      <w:pPr>
        <w:pStyle w:val="875"/>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b w:val="0"/>
          <w:sz w:val="32"/>
        </w:rPr>
        <w:tab/>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18</w:t>
      </w:r>
      <w:r>
        <w:rPr>
          <w:b w:val="0"/>
          <w:sz w:val="32"/>
        </w:rPr>
        <w:fldChar w:fldCharType="end"/>
      </w:r>
      <w:r/>
    </w:p>
    <w:p>
      <w:pPr>
        <w:pStyle w:val="875"/>
        <w:rPr>
          <w:rFonts w:hint="eastAsia"/>
          <w:b w:val="0"/>
          <w:sz w:val="32"/>
          <w:lang w:val="en-US" w:eastAsia="zh-CN"/>
        </w:rPr>
      </w:pPr>
      <w:r>
        <w:rPr>
          <w:rFonts w:hint="eastAsia"/>
          <w:b w:val="0"/>
          <w:sz w:val="32"/>
        </w:rPr>
        <w:t xml:space="preserve">第四章</w:t>
      </w:r>
      <w:r>
        <w:rPr>
          <w:b w:val="0"/>
          <w:sz w:val="32"/>
        </w:rPr>
        <w:t xml:space="preserve">  </w:t>
      </w:r>
      <w:r>
        <w:rPr>
          <w:rFonts w:hint="eastAsia"/>
          <w:b w:val="0"/>
          <w:sz w:val="32"/>
        </w:rPr>
        <w:t xml:space="preserve">采购需求</w:t>
      </w:r>
      <w:r>
        <w:rPr>
          <w:b w:val="0"/>
          <w:sz w:val="32"/>
        </w:rPr>
        <w:tab/>
      </w:r>
      <w:r>
        <w:rPr>
          <w:rFonts w:hint="eastAsia"/>
          <w:b w:val="0"/>
          <w:sz w:val="32"/>
          <w:lang w:val="en-US" w:eastAsia="zh-CN"/>
        </w:rPr>
        <w:t xml:space="preserve">36</w:t>
      </w:r>
      <w:r/>
    </w:p>
    <w:p>
      <w:pPr>
        <w:pStyle w:val="875"/>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b w:val="0"/>
          <w:sz w:val="32"/>
        </w:rPr>
        <w:tab/>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93</w:t>
      </w:r>
      <w:r>
        <w:rPr>
          <w:b w:val="0"/>
          <w:sz w:val="32"/>
        </w:rPr>
        <w:fldChar w:fldCharType="end"/>
      </w:r>
      <w:r/>
    </w:p>
    <w:p>
      <w:pPr>
        <w:pStyle w:val="875"/>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b w:val="0"/>
          <w:sz w:val="32"/>
        </w:rPr>
        <w:tab/>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96</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62"/>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862"/>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Theme="minorEastAsia" w:hAnsiTheme="minorEastAsia"/>
          <w:sz w:val="24"/>
          <w:szCs w:val="24"/>
          <w:highlight w:val="none"/>
          <w:lang w:val="en-US" w:eastAsia="zh-CN"/>
        </w:rPr>
        <w:t xml:space="preserve">江苏省海州高级中学</w:t>
      </w:r>
      <w:r>
        <w:rPr>
          <w:rFonts w:hint="eastAsia" w:asciiTheme="minorEastAsia" w:hAnsiTheme="minorEastAsia"/>
          <w:sz w:val="24"/>
          <w:szCs w:val="24"/>
          <w:highlight w:val="none"/>
        </w:rPr>
        <w:t xml:space="preserve">的委托，连云港市公共资源交易中心就江苏省海州高级中学物理数字化实验室（</w:t>
      </w:r>
      <w:r>
        <w:rPr>
          <w:rFonts w:hint="eastAsia" w:asciiTheme="minorEastAsia" w:hAnsiTheme="minorEastAsia"/>
          <w:sz w:val="24"/>
          <w:szCs w:val="24"/>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JSZC-320700-JZCG-G2024-0229</w:t>
      </w:r>
      <w:r>
        <w:rPr>
          <w:rFonts w:hint="eastAsia" w:asciiTheme="minorEastAsia" w:hAnsiTheme="minorEastAsia"/>
          <w:sz w:val="24"/>
          <w:szCs w:val="24"/>
          <w:highlight w:val="none"/>
        </w:rPr>
        <w:t xml:space="preserve">）项目进行公开招标采购，欢迎符合条件的供应商投标。</w:t>
      </w:r>
      <w:r/>
    </w:p>
    <w:tbl>
      <w:tblPr>
        <w:tblStyle w:val="8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江苏省海州高级中学物理数字化实验室招标项目的潜在投标人应在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2024年</w:t>
            </w:r>
            <w:r>
              <w:rPr>
                <w:rFonts w:hint="eastAsia" w:asciiTheme="minorEastAsia" w:hAnsiTheme="minorEastAsia"/>
                <w:b/>
                <w:sz w:val="24"/>
                <w:szCs w:val="24"/>
                <w:highlight w:val="none"/>
                <w:u w:val="single"/>
                <w:lang w:val="en-US" w:eastAsia="zh-CN"/>
              </w:rPr>
              <w:t xml:space="preserve">12</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30</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p>
        </w:tc>
      </w:tr>
    </w:tbl>
    <w:p>
      <w:pPr>
        <w:pStyle w:val="863"/>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一、项目基本情况</w:t>
      </w:r>
      <w:r/>
    </w:p>
    <w:p>
      <w:pPr>
        <w:ind w:firstLine="480"/>
        <w:spacing w:line="500" w:lineRule="exact"/>
        <w:rPr>
          <w:rFonts w:ascii="Segoe UI" w:hAnsi="Segoe UI" w:eastAsia="Segoe UI" w:cs="Segoe UI"/>
          <w:i w:val="0"/>
          <w:iCs w:val="0"/>
          <w:caps w:val="0"/>
          <w:spacing w:val="0"/>
          <w:sz w:val="21"/>
          <w:szCs w:val="21"/>
          <w:shd w:val="clear" w:color="auto" w:fill="ffffff"/>
        </w:rPr>
      </w:pPr>
      <w:r>
        <w:rPr>
          <w:rFonts w:hint="eastAsia" w:asciiTheme="minorEastAsia" w:hAnsiTheme="minorEastAsia"/>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JSZC-320700-JZCG-G2024-0229</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项目名称：江苏省海州高级中学物理数字化实验室</w:t>
      </w:r>
      <w:r/>
    </w:p>
    <w:p>
      <w:pPr>
        <w:ind w:firstLine="480"/>
        <w:spacing w:line="500" w:lineRule="exact"/>
        <w:rPr>
          <w:rFonts w:hint="eastAsia"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80</w:t>
      </w:r>
      <w:r>
        <w:rPr>
          <w:rFonts w:hint="eastAsia" w:asciiTheme="minorEastAsia" w:hAnsiTheme="minorEastAsia"/>
          <w:sz w:val="24"/>
          <w:szCs w:val="24"/>
          <w:highlight w:val="none"/>
        </w:rPr>
        <w:t xml:space="preserve">万元，</w:t>
      </w:r>
      <w:r>
        <w:rPr>
          <w:rFonts w:hint="eastAsia" w:cs="Times New Roman" w:asciiTheme="minorEastAsia" w:hAnsiTheme="minorEastAsia"/>
          <w:color w:val="000000"/>
          <w:sz w:val="24"/>
          <w:szCs w:val="24"/>
          <w:highlight w:val="none"/>
        </w:rPr>
        <w:t xml:space="preserve">投标报价超</w:t>
      </w:r>
      <w:r>
        <w:rPr>
          <w:rFonts w:hint="eastAsia" w:cs="Times New Roman" w:asciiTheme="minorEastAsia" w:hAnsiTheme="minorEastAsia"/>
          <w:b w:val="0"/>
          <w:bCs w:val="0"/>
          <w:color w:val="000000"/>
          <w:sz w:val="24"/>
          <w:szCs w:val="24"/>
          <w:highlight w:val="none"/>
        </w:rPr>
        <w:t xml:space="preserve">过预算金额的</w:t>
      </w:r>
      <w:r>
        <w:rPr>
          <w:rFonts w:hint="eastAsia" w:cs="Times New Roman" w:asciiTheme="minorEastAsia" w:hAnsiTheme="minorEastAsia"/>
          <w:color w:val="000000"/>
          <w:sz w:val="24"/>
          <w:szCs w:val="24"/>
          <w:highlight w:val="none"/>
        </w:rPr>
        <w:t xml:space="preserve">投标无效。</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sz w:val="24"/>
          <w:szCs w:val="24"/>
        </w:rPr>
        <w:t xml:space="preserve">最高限价：</w:t>
      </w:r>
      <w:r>
        <w:rPr>
          <w:rFonts w:hint="eastAsia"/>
          <w:sz w:val="24"/>
          <w:szCs w:val="24"/>
          <w:lang w:eastAsia="zh-CN"/>
        </w:rPr>
        <w:t xml:space="preserve">无</w:t>
      </w:r>
      <w:r/>
    </w:p>
    <w:p>
      <w:pPr>
        <w:ind w:firstLine="480"/>
        <w:spacing w:line="500" w:lineRule="exact"/>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采购方式：公开招标</w:t>
      </w:r>
      <w:r/>
    </w:p>
    <w:p>
      <w:pPr>
        <w:ind w:firstLine="480"/>
        <w:spacing w:line="500" w:lineRule="exact"/>
        <w:rPr>
          <w:rFonts w:hint="default"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采购需求：江苏省海州高级中学物理数字化实验室</w:t>
      </w:r>
      <w:r>
        <w:rPr>
          <w:rFonts w:hint="eastAsia" w:asciiTheme="minorEastAsia" w:hAnsiTheme="minorEastAsia"/>
          <w:sz w:val="24"/>
          <w:szCs w:val="24"/>
          <w:highlight w:val="none"/>
          <w:lang w:eastAsia="zh-CN"/>
        </w:rPr>
        <w:t xml:space="preserve">建设</w:t>
      </w:r>
      <w:r>
        <w:rPr>
          <w:rFonts w:hint="eastAsia" w:asciiTheme="minorEastAsia" w:hAnsiTheme="minorEastAsia"/>
          <w:sz w:val="24"/>
          <w:szCs w:val="24"/>
          <w:highlight w:val="none"/>
        </w:rPr>
        <w:t xml:space="preserve">，包括但不限于</w:t>
      </w:r>
      <w:r>
        <w:rPr>
          <w:rFonts w:hint="eastAsia" w:ascii="宋体" w:hAnsi="宋体" w:eastAsia="宋体" w:cs="Times New Roman"/>
          <w:color w:val="000000"/>
          <w:sz w:val="24"/>
          <w:szCs w:val="24"/>
          <w:highlight w:val="none"/>
          <w:lang w:val="en-US" w:eastAsia="zh-CN"/>
        </w:rPr>
        <w:t xml:space="preserve">实验用电脑、采集器、传感器等货物</w:t>
      </w:r>
      <w:r>
        <w:rPr>
          <w:rFonts w:hint="eastAsia" w:asciiTheme="minorEastAsia" w:hAnsiTheme="minorEastAsia"/>
          <w:sz w:val="24"/>
          <w:szCs w:val="24"/>
          <w:highlight w:val="none"/>
          <w:lang w:val="en-US" w:eastAsia="zh-CN"/>
        </w:rPr>
        <w:t xml:space="preserve">的供货、运输、安装、调试、验收等内容。</w:t>
      </w:r>
      <w:r/>
    </w:p>
    <w:p>
      <w:pPr>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合同履行期限：合同签订后</w:t>
      </w:r>
      <w:r>
        <w:rPr>
          <w:rFonts w:hint="eastAsia" w:asciiTheme="minorEastAsia" w:hAnsiTheme="minorEastAsia"/>
          <w:sz w:val="24"/>
          <w:szCs w:val="24"/>
          <w:highlight w:val="none"/>
          <w:lang w:val="en-US" w:eastAsia="zh-CN"/>
        </w:rPr>
        <w:t xml:space="preserve">60</w:t>
      </w:r>
      <w:r>
        <w:rPr>
          <w:rFonts w:hint="eastAsia" w:asciiTheme="minorEastAsia" w:hAnsiTheme="minorEastAsia"/>
          <w:sz w:val="24"/>
          <w:szCs w:val="24"/>
          <w:highlight w:val="none"/>
        </w:rPr>
        <w:t xml:space="preserve">天内完成</w:t>
      </w:r>
      <w:r>
        <w:rPr>
          <w:rFonts w:hint="eastAsia" w:asciiTheme="minorEastAsia" w:hAnsiTheme="minorEastAsia"/>
          <w:sz w:val="24"/>
          <w:szCs w:val="24"/>
          <w:highlight w:val="none"/>
          <w:lang w:val="en-US" w:eastAsia="zh-CN"/>
        </w:rPr>
        <w:t xml:space="preserve">改造</w:t>
      </w:r>
      <w:r>
        <w:rPr>
          <w:rFonts w:hint="eastAsia" w:asciiTheme="minorEastAsia" w:hAnsiTheme="minorEastAsia"/>
          <w:sz w:val="24"/>
          <w:szCs w:val="24"/>
          <w:highlight w:val="none"/>
        </w:rPr>
        <w:t xml:space="preserve">安装调试，达到预期效果</w:t>
      </w:r>
      <w:r>
        <w:rPr>
          <w:rFonts w:hint="eastAsia" w:asciiTheme="minorEastAsia" w:hAnsiTheme="minorEastAsia"/>
          <w:sz w:val="24"/>
          <w:szCs w:val="24"/>
          <w:highlight w:val="none"/>
          <w:lang w:eastAsia="zh-CN"/>
        </w:rPr>
        <w:t xml:space="preserve">。</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本项目不接受联合体投标。</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hint="eastAsia"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及具有其他不符合《中华人民共和国政府采购法》第二十二条规定情形的，拒绝其参与政府采购活动。（投标文件中无需提供证明材料）</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属于预留部分份额专门面向中小微企业采购。项目属性为货物，对于预留份额，要求投标人提供的货物由符合政策要求的中小微企业制造，且中小微企业承担的合同份额占合同金额的比例不低于90%（其中预留给小微企业的部分不低于60%）。具体符合条件的情形详见《政府采购促进中小企业发展管理办法》。</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投标人投标文件中同时提供：1.符合上述比例的《投标分项报价表》；2.《中小企业声明函》或《残疾人福利性单位声明函》或属于监狱企业的证明文件。上述1-2项证明材料未提供或缺项均投标无效，详见第六章 投标文件格式）</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注：</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1.上述中小微企业应符合本项目采购标的对应的行业（工业）的政策划分标准，依据《关于印发中小企业划型标准规定的通知》（工信部联企业〔2011〕300号）行业划型标准如下：（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2.享受扶持政策获得政府采购合同的，小微企业不得将合同分包给大中型企业，中型企业不得将合同分包给大型企业。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时间：自招标公告发布之日起至2024年</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16</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提交投标文件截止时间：2024年</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30</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江苏省海州高级中学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址：连云港市海州经济技术开发区青圃路1号</w:t>
      </w:r>
      <w:r/>
    </w:p>
    <w:p>
      <w:pPr>
        <w:ind w:firstLine="480"/>
        <w:spacing w:line="500" w:lineRule="exact"/>
        <w:rPr>
          <w:sz w:val="24"/>
          <w:szCs w:val="24"/>
        </w:rPr>
      </w:pPr>
      <w:r>
        <w:rPr>
          <w:rFonts w:hint="eastAsia"/>
          <w:sz w:val="24"/>
          <w:szCs w:val="24"/>
        </w:rPr>
        <w:t xml:space="preserve">联 系 人：</w:t>
      </w:r>
      <w:r>
        <w:rPr>
          <w:rFonts w:hint="eastAsia" w:asciiTheme="minorEastAsia" w:hAnsiTheme="minorEastAsia"/>
          <w:sz w:val="24"/>
          <w:szCs w:val="24"/>
          <w:highlight w:val="none"/>
          <w:lang w:val="en-US" w:eastAsia="zh-CN"/>
        </w:rPr>
        <w:t xml:space="preserve">刘主任</w:t>
      </w:r>
      <w:r/>
    </w:p>
    <w:p>
      <w:pPr>
        <w:ind w:firstLine="480"/>
        <w:jc w:val="left"/>
        <w:spacing w:line="500" w:lineRule="exact"/>
        <w:rPr>
          <w:rFonts w:hint="default"/>
          <w:sz w:val="24"/>
          <w:szCs w:val="24"/>
          <w:lang w:val="en-US"/>
        </w:rPr>
      </w:pPr>
      <w:r>
        <w:rPr>
          <w:rFonts w:hint="eastAsia"/>
          <w:sz w:val="24"/>
          <w:szCs w:val="24"/>
        </w:rPr>
        <w:t xml:space="preserve">联系电话：</w:t>
      </w:r>
      <w:r>
        <w:rPr>
          <w:rFonts w:hint="eastAsia" w:asciiTheme="minorEastAsia" w:hAnsiTheme="minorEastAsia"/>
          <w:sz w:val="24"/>
          <w:szCs w:val="24"/>
          <w:highlight w:val="none"/>
          <w:lang w:val="en-US" w:eastAsia="zh-CN"/>
        </w:rPr>
        <w:t xml:space="preserve">18061382850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jc w:val="left"/>
        <w:spacing w:line="500" w:lineRule="exact"/>
        <w:rPr>
          <w:rFonts w:hint="eastAsia" w:eastAsiaTheme="minorEastAsia"/>
          <w:sz w:val="24"/>
          <w:szCs w:val="24"/>
          <w:lang w:eastAsia="zh-CN"/>
        </w:rPr>
      </w:pPr>
      <w:r>
        <w:rPr>
          <w:rFonts w:hint="eastAsia"/>
          <w:sz w:val="24"/>
          <w:szCs w:val="24"/>
        </w:rPr>
        <w:t xml:space="preserve">联 系 人：</w:t>
      </w:r>
      <w:r>
        <w:rPr>
          <w:rFonts w:hint="eastAsia"/>
          <w:sz w:val="24"/>
          <w:szCs w:val="24"/>
          <w:lang w:eastAsia="zh-CN"/>
        </w:rPr>
        <w:t xml:space="preserve">吴蕾</w:t>
      </w:r>
      <w:r/>
    </w:p>
    <w:p>
      <w:pPr>
        <w:ind w:firstLine="480"/>
        <w:jc w:val="left"/>
        <w:spacing w:line="500" w:lineRule="exact"/>
        <w:rPr>
          <w:rFonts w:hint="default" w:cs="Times New Roman" w:asciiTheme="minorEastAsia" w:hAnsiTheme="minorEastAsia" w:eastAsiaTheme="minorEastAsia"/>
          <w:sz w:val="24"/>
          <w:szCs w:val="24"/>
          <w:lang w:val="en-US" w:eastAsia="zh-CN"/>
        </w:rPr>
      </w:pPr>
      <w:r>
        <w:rPr>
          <w:rFonts w:hint="eastAsia"/>
          <w:sz w:val="24"/>
          <w:szCs w:val="24"/>
        </w:rPr>
        <w:t xml:space="preserve">联系电话：</w:t>
      </w:r>
      <w:r>
        <w:rPr>
          <w:rFonts w:cs="Times New Roman" w:asciiTheme="minorEastAsia" w:hAnsiTheme="minorEastAsia"/>
          <w:sz w:val="24"/>
          <w:szCs w:val="24"/>
        </w:rPr>
        <w:t xml:space="preserve">0518-8586</w:t>
      </w:r>
      <w:r>
        <w:rPr>
          <w:rFonts w:hint="eastAsia" w:cs="Times New Roman" w:asciiTheme="minorEastAsia" w:hAnsiTheme="minorEastAsia"/>
          <w:sz w:val="24"/>
          <w:szCs w:val="24"/>
          <w:lang w:val="en-US" w:eastAsia="zh-CN"/>
        </w:rPr>
        <w:t xml:space="preserve">8285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sz w:val="24"/>
          <w:szCs w:val="24"/>
        </w:rPr>
      </w:pPr>
      <w:r>
        <w:rPr>
          <w:rFonts w:hint="eastAsia"/>
          <w:sz w:val="24"/>
          <w:szCs w:val="24"/>
        </w:rPr>
        <w:t xml:space="preserve">联 系 人：</w:t>
      </w:r>
      <w:r>
        <w:rPr>
          <w:rFonts w:hint="eastAsia"/>
          <w:sz w:val="24"/>
          <w:szCs w:val="24"/>
          <w:lang w:eastAsia="zh-CN"/>
        </w:rPr>
        <w:t xml:space="preserve">吴蕾</w:t>
      </w:r>
      <w:r>
        <w:rPr>
          <w:rFonts w:hint="eastAsia" w:asciiTheme="minorEastAsia" w:hAnsiTheme="minorEastAsia"/>
          <w:sz w:val="24"/>
          <w:szCs w:val="24"/>
          <w:highlight w:val="none"/>
          <w:lang w:val="en-US" w:eastAsia="zh-CN"/>
        </w:rPr>
      </w:r>
      <w:r/>
    </w:p>
    <w:p>
      <w:pPr>
        <w:ind w:firstLine="480"/>
        <w:jc w:val="left"/>
        <w:spacing w:line="500" w:lineRule="exact"/>
        <w:rPr>
          <w:rFonts w:hint="default"/>
          <w:sz w:val="24"/>
          <w:szCs w:val="24"/>
          <w:lang w:val="en-US"/>
        </w:rPr>
      </w:pPr>
      <w:r>
        <w:rPr>
          <w:rFonts w:hint="eastAsia"/>
          <w:sz w:val="24"/>
          <w:szCs w:val="24"/>
        </w:rPr>
        <w:t xml:space="preserve">联系电话：</w:t>
      </w:r>
      <w:r>
        <w:rPr>
          <w:rFonts w:cs="Times New Roman" w:asciiTheme="minorEastAsia" w:hAnsiTheme="minorEastAsia"/>
          <w:sz w:val="24"/>
          <w:szCs w:val="24"/>
        </w:rPr>
        <w:t xml:space="preserve">0518-8586</w:t>
      </w:r>
      <w:r>
        <w:rPr>
          <w:rFonts w:hint="eastAsia" w:cs="Times New Roman" w:asciiTheme="minorEastAsia" w:hAnsiTheme="minorEastAsia"/>
          <w:sz w:val="24"/>
          <w:szCs w:val="24"/>
          <w:lang w:val="en-US" w:eastAsia="zh-CN"/>
        </w:rPr>
        <w:t xml:space="preserve">8285</w:t>
      </w:r>
      <w:r>
        <w:rPr>
          <w:rFonts w:hint="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br w:type="page" w:clear="all"/>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pStyle w:val="862"/>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一、总则</w:t>
      </w:r>
      <w:r/>
    </w:p>
    <w:p>
      <w:pPr>
        <w:ind w:firstLine="482"/>
        <w:spacing w:line="500" w:lineRule="exact"/>
        <w:rPr>
          <w:rFonts w:asciiTheme="minorEastAsia" w:hAnsiTheme="minorEastAsia"/>
          <w:b/>
          <w:sz w:val="40"/>
          <w:szCs w:val="32"/>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sz w:val="24"/>
          <w:szCs w:val="24"/>
        </w:rPr>
      </w:pPr>
      <w:r>
        <w:rPr>
          <w:rFonts w:hint="eastAsia" w:asciiTheme="minorEastAsia" w:hAnsiTheme="minorEastAsia"/>
          <w:sz w:val="24"/>
        </w:rPr>
        <w:t xml:space="preserve">5.1 投标人一旦参加本项目采购活动，即被认为接受了</w:t>
      </w:r>
      <w:r>
        <w:rPr>
          <w:rFonts w:hint="eastAsia"/>
          <w:sz w:val="24"/>
          <w:szCs w:val="24"/>
        </w:rPr>
        <w:t xml:space="preserve">本招标文件的规定和约束。</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（1）投标的货物总价；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（2）货物的标准附件、备品备件、专用工具、运输、装卸等各种费用；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（3）必要的保险费用和各项税金；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（4）投标总价要求包含安装维保费用。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13.2 投标人应按照招标文件规定格式填报投标分项报价表。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rPr>
        <w:t xml:space="preserve">14.1 技术要求是指对采购标的的功能和质量要求，包括性能、材料、结构</w:t>
      </w:r>
      <w:r>
        <w:rPr>
          <w:rFonts w:hint="eastAsia" w:asciiTheme="minorEastAsia" w:hAnsiTheme="minorEastAsia"/>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26、对投标文件的初审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 投标文件初审分为资格审查和符合性审查。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本招标文件中斜体且有下划线部分为实质性要求和条件，投标人必须逐条做出满足实质性要求和条件的响应，否则将按无效响应处理。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Theme="minorEastAsia" w:hAnsiTheme="minorEastAsia"/>
          <w:sz w:val="24"/>
          <w:szCs w:val="24"/>
        </w:rPr>
        <w:t xml:space="preserve">限制了合同中买方和交易中心的权利或投标人的义务，纠正这些偏离或保留将会对其他实质性响应要求的投标人的竞争地位产生不公正的影响。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6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asciiTheme="minorEastAsia" w:hAnsiTheme="minorEastAsia"/>
          <w:sz w:val="24"/>
          <w:szCs w:val="24"/>
        </w:rPr>
        <w:t xml:space="preserve">29.3 中标人在中标后七个工作日内，需向采购人和交易中心</w:t>
      </w:r>
      <w:r>
        <w:rPr>
          <w:rFonts w:hint="eastAsia"/>
          <w:sz w:val="24"/>
          <w:szCs w:val="24"/>
        </w:rPr>
        <w:t xml:space="preserve">各提供一份与电子投标文件一致的纸质打印胶装投标文件，封面、骑缝需加盖公章。</w:t>
      </w:r>
      <w:r/>
    </w:p>
    <w:p>
      <w:pPr>
        <w:pStyle w:val="863"/>
        <w:spacing w:before="0" w:after="0" w:line="360" w:lineRule="auto"/>
        <w:rPr>
          <w:rFonts w:ascii="黑体" w:hAnsi="黑体" w:eastAsia="黑体"/>
          <w:b w:val="0"/>
        </w:rPr>
      </w:pPr>
      <w:r>
        <w:rPr>
          <w:rFonts w:hint="eastAsia" w:ascii="黑体" w:hAnsi="黑体" w:eastAsia="黑体"/>
          <w:b w:val="0"/>
        </w:rPr>
        <w:t xml:space="preserve">七、授予合同</w:t>
      </w:r>
      <w:r/>
    </w:p>
    <w:p>
      <w:pPr>
        <w:pStyle w:val="864"/>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rPr>
        <w:t xml:space="preserve">30.3 履约保证金自合同生效之日起至合同约定的中标人主要义务履行完毕止，采购人应</w:t>
      </w:r>
      <w:r>
        <w:rPr>
          <w:rFonts w:hint="eastAsia"/>
          <w:sz w:val="24"/>
          <w:szCs w:val="24"/>
          <w:highlight w:val="none"/>
        </w:rPr>
        <w:t xml:space="preserve">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864"/>
        <w:ind w:firstLine="562"/>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4"/>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4"/>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63"/>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64"/>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64"/>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64"/>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64"/>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863"/>
        <w:spacing w:before="0" w:after="0" w:line="360" w:lineRule="auto"/>
        <w:rPr>
          <w:rFonts w:ascii="黑体" w:hAnsi="黑体" w:eastAsia="黑体"/>
          <w:b w:val="0"/>
        </w:rPr>
      </w:pPr>
      <w:r/>
      <w:bookmarkStart w:id="2" w:name="_Toc163482575"/>
      <w:r>
        <w:rPr>
          <w:rFonts w:hint="eastAsia" w:ascii="黑体" w:hAnsi="黑体" w:eastAsia="黑体"/>
          <w:b w:val="0"/>
        </w:rPr>
        <w:t xml:space="preserve">九、政府采购政策功能</w:t>
      </w:r>
      <w:r/>
    </w:p>
    <w:p>
      <w:pPr>
        <w:pStyle w:val="864"/>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rFonts w:hint="eastAsia" w:eastAsiaTheme="minorEastAsia"/>
          <w:b w:val="0"/>
          <w:bCs/>
          <w:sz w:val="24"/>
          <w:szCs w:val="24"/>
          <w:highlight w:val="none"/>
          <w:lang w:eastAsia="zh-CN"/>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Theme="minorEastAsia" w:hAnsiTheme="minorEastAsia"/>
          <w:b w:val="0"/>
          <w:bCs/>
          <w:color w:val="000000"/>
          <w:sz w:val="24"/>
          <w:szCs w:val="24"/>
          <w:highlight w:val="none"/>
          <w:shd w:val="clear" w:color="auto" w:fill="ffffff"/>
          <w:lang w:eastAsia="zh-CN"/>
        </w:rPr>
        <w:t xml:space="preserve">。</w:t>
      </w:r>
      <w:r>
        <w:rPr>
          <w:rFonts w:hint="eastAsia" w:asciiTheme="minorEastAsia" w:hAnsiTheme="minorEastAsia"/>
          <w:b w:val="0"/>
          <w:bCs/>
          <w:color w:val="000000"/>
          <w:sz w:val="24"/>
          <w:szCs w:val="24"/>
          <w:highlight w:val="none"/>
          <w:shd w:val="clear" w:color="auto" w:fill="ffffff"/>
        </w:rPr>
        <w:t xml:space="preserve">本项目预留部分份额专门面向中小微企业采购。</w:t>
      </w:r>
      <w:r/>
    </w:p>
    <w:p>
      <w:pPr>
        <w:ind w:firstLine="482"/>
        <w:spacing w:line="500" w:lineRule="exact"/>
        <w:rPr>
          <w:rFonts w:asciiTheme="minorEastAsia" w:hAnsiTheme="minorEastAsia"/>
          <w:b w:val="0"/>
          <w:bCs/>
          <w:sz w:val="24"/>
          <w:szCs w:val="24"/>
          <w:highlight w:val="none"/>
        </w:rPr>
      </w:pPr>
      <w:r>
        <w:rPr>
          <w:rFonts w:hint="eastAsia"/>
          <w:sz w:val="24"/>
          <w:szCs w:val="24"/>
          <w:highlight w:val="none"/>
        </w:rPr>
        <w:t xml:space="preserve">38.2</w:t>
      </w:r>
      <w:r>
        <w:rPr>
          <w:rFonts w:hint="eastAsia" w:asciiTheme="minorEastAsia" w:hAnsiTheme="minorEastAsia"/>
          <w:b w:val="0"/>
          <w:bCs/>
          <w:color w:val="000000"/>
          <w:sz w:val="24"/>
          <w:szCs w:val="24"/>
          <w:highlight w:val="none"/>
          <w:shd w:val="clear" w:color="auto" w:fill="ffffff"/>
        </w:rPr>
        <w:t xml:space="preserve">本项目</w:t>
      </w:r>
      <w:r>
        <w:rPr>
          <w:rFonts w:hint="eastAsia"/>
          <w:b w:val="0"/>
          <w:bCs/>
          <w:sz w:val="24"/>
          <w:highlight w:val="none"/>
        </w:rPr>
        <w:t xml:space="preserve">不执行价格评审优惠措施。</w:t>
      </w:r>
      <w:r/>
    </w:p>
    <w:p>
      <w:pPr>
        <w:ind w:firstLine="480"/>
        <w:jc w:val="left"/>
        <w:spacing w:line="500" w:lineRule="exact"/>
        <w:rPr>
          <w:rFonts w:hint="eastAsia"/>
          <w:sz w:val="24"/>
          <w:szCs w:val="24"/>
          <w:highlight w:val="none"/>
        </w:rPr>
      </w:pPr>
      <w:r>
        <w:rPr>
          <w:rFonts w:hint="eastAsia"/>
          <w:sz w:val="24"/>
          <w:szCs w:val="24"/>
          <w:highlight w:val="none"/>
        </w:rPr>
        <w:t xml:space="preserve">38.</w:t>
      </w:r>
      <w:r>
        <w:rPr>
          <w:rFonts w:hint="eastAsia"/>
          <w:sz w:val="24"/>
          <w:szCs w:val="24"/>
          <w:highlight w:val="none"/>
          <w:lang w:val="en-US" w:eastAsia="zh-CN"/>
        </w:rPr>
        <w:t xml:space="preserve">3</w:t>
      </w:r>
      <w:r>
        <w:rPr>
          <w:rFonts w:hint="eastAsia"/>
          <w:sz w:val="24"/>
          <w:szCs w:val="24"/>
          <w:highlight w:val="none"/>
        </w:rPr>
        <w:t xml:space="preserve">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（1）投标人提供的货物由中型企业、小型企业、微型企业制造的，提供《中小企业声明函》（第六章 投标文</w:t>
      </w:r>
      <w:r>
        <w:rPr>
          <w:rFonts w:hint="eastAsia"/>
          <w:b w:val="0"/>
          <w:bCs w:val="0"/>
          <w:sz w:val="24"/>
          <w:szCs w:val="24"/>
          <w:highlight w:val="none"/>
        </w:rPr>
        <w:t xml:space="preserve">件格式）</w:t>
      </w:r>
      <w:r>
        <w:rPr>
          <w:rFonts w:hint="eastAsia" w:asciiTheme="minorEastAsia" w:hAnsiTheme="minorEastAsia"/>
          <w:b w:val="0"/>
          <w:bCs w:val="0"/>
          <w:color w:val="000000"/>
          <w:sz w:val="24"/>
          <w:szCs w:val="24"/>
          <w:highlight w:val="none"/>
          <w:shd w:val="clear" w:color="auto" w:fill="ffffff"/>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w:t>
      </w:r>
      <w:r>
        <w:rPr>
          <w:rFonts w:hint="eastAsia"/>
          <w:sz w:val="24"/>
          <w:szCs w:val="24"/>
          <w:highlight w:val="none"/>
          <w:lang w:val="en-US" w:eastAsia="zh-CN"/>
        </w:rPr>
        <w:t xml:space="preserve">4</w:t>
      </w:r>
      <w:r>
        <w:rPr>
          <w:rFonts w:hint="eastAsia"/>
          <w:sz w:val="24"/>
          <w:szCs w:val="24"/>
          <w:highlight w:val="none"/>
        </w:rPr>
        <w:t xml:space="preserve"> 享受扶持政策获得政府采购合同的，小微型企业不得将合同分包给大中型企业，中型企业不得将合同分包给大型企业。</w:t>
      </w:r>
      <w:r/>
    </w:p>
    <w:p>
      <w:pPr>
        <w:pStyle w:val="864"/>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4"/>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rFonts w:hint="eastAsia"/>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rPr>
          <w:rFonts w:hint="eastAsia"/>
          <w:sz w:val="24"/>
          <w:szCs w:val="24"/>
        </w:rPr>
      </w:pPr>
      <w:r>
        <w:rPr>
          <w:rFonts w:hint="eastAsia"/>
          <w:sz w:val="24"/>
          <w:szCs w:val="24"/>
        </w:rPr>
        <w:br w:type="page" w:clear="all"/>
      </w:r>
      <w:r/>
    </w:p>
    <w:p>
      <w:pPr>
        <w:ind w:firstLine="480"/>
        <w:jc w:val="left"/>
        <w:spacing w:line="500" w:lineRule="exact"/>
        <w:rPr>
          <w:rFonts w:hint="eastAsia"/>
          <w:sz w:val="24"/>
          <w:szCs w:val="24"/>
        </w:rPr>
      </w:pPr>
      <w:r>
        <w:rPr>
          <w:rFonts w:hint="eastAsia"/>
          <w:sz w:val="24"/>
          <w:szCs w:val="24"/>
        </w:rPr>
      </w:r>
      <w:r/>
    </w:p>
    <w:p>
      <w:pPr>
        <w:pStyle w:val="862"/>
        <w:jc w:val="center"/>
        <w:spacing w:line="360" w:lineRule="auto"/>
        <w:rPr>
          <w:rFonts w:ascii="黑体" w:hAnsi="黑体" w:eastAsia="黑体"/>
          <w:b w:val="0"/>
        </w:rPr>
      </w:pPr>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1"/>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6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2"/>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866"/>
        <w:tblW w:w="9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5174"/>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2"/>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w:t>
      </w:r>
      <w:r>
        <w:rPr>
          <w:rFonts w:hint="eastAsia" w:asciiTheme="minorEastAsia" w:hAnsiTheme="minorEastAsia"/>
          <w:b/>
          <w:bCs/>
          <w:sz w:val="24"/>
          <w:szCs w:val="24"/>
        </w:rPr>
        <w:t xml:space="preserve">斜体且有下划线部分</w:t>
      </w:r>
      <w:r>
        <w:rPr>
          <w:rFonts w:hint="eastAsia" w:asciiTheme="minorEastAsia" w:hAnsiTheme="minorEastAsia"/>
          <w:sz w:val="24"/>
          <w:szCs w:val="24"/>
        </w:rPr>
        <w:t xml:space="preserve">为实质性要求和条件，由采购人根据实际情况设置，投标人必须逐条明确作出满足实质性要求和条件的响应，否则将按无效投标处理。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u w:val="single"/>
        </w:rPr>
        <w:t xml:space="preserve"> </w:t>
      </w:r>
      <w:r>
        <w:rPr>
          <w:rFonts w:hint="eastAsia" w:asciiTheme="minorEastAsia" w:hAnsiTheme="minorEastAsia"/>
          <w:b/>
          <w:sz w:val="24"/>
          <w:szCs w:val="24"/>
          <w:u w:val="single"/>
          <w:lang w:val="en-US" w:eastAsia="zh-CN"/>
        </w:rPr>
        <w:t xml:space="preserve">实验学生电脑</w:t>
      </w:r>
      <w:r>
        <w:rPr>
          <w:rFonts w:hint="eastAsia" w:asciiTheme="minorEastAsia" w:hAnsiTheme="minorEastAsia"/>
          <w:b/>
          <w:sz w:val="24"/>
          <w:szCs w:val="24"/>
          <w:u w:val="single"/>
        </w:rPr>
        <w:t xml:space="preserve">  </w:t>
      </w:r>
      <w:r>
        <w:rPr>
          <w:rFonts w:hint="eastAsia" w:asciiTheme="minorEastAsia" w:hAnsiTheme="minorEastAsia"/>
          <w:b/>
          <w:sz w:val="24"/>
          <w:szCs w:val="24"/>
        </w:rPr>
        <w:t xml:space="preserve">。</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77"/>
      </w:pPr>
      <w:r/>
      <w:r/>
    </w:p>
    <w:p>
      <w:pPr>
        <w:pStyle w:val="877"/>
        <w:ind w:left="0" w:firstLine="0"/>
        <w:jc w:val="center"/>
      </w:pPr>
      <w:r>
        <w:rPr>
          <w:rFonts w:ascii="黑体" w:hAnsi="黑体" w:eastAsia="黑体"/>
          <w:color w:val="000000" w:themeColor="text1"/>
          <w:sz w:val="24"/>
          <w14:textFill>
            <w14:solidFill>
              <w14:schemeClr w14:val="tx1"/>
            </w14:solidFill>
          </w14:textFill>
        </w:rPr>
        <w:t xml:space="preserve">采购需求中须满足的实质性要求和条件</w:t>
      </w:r>
      <w:r/>
    </w:p>
    <w:tbl>
      <w:tblPr>
        <w:tblStyle w:val="866"/>
        <w:tblW w:w="92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2160"/>
        <w:gridCol w:w="6449"/>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实质性要求和条件</w:t>
            </w:r>
            <w:r/>
          </w:p>
        </w:tc>
      </w:tr>
      <w:tr>
        <w:trPr>
          <w:trHeight w:val="18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机械硬盘容量：≥2TB。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机械硬盘转速</w:t>
            </w:r>
            <w:r>
              <w:rPr>
                <w:rFonts w:hint="eastAsia" w:ascii="宋体" w:hAnsi="宋体" w:cs="宋体"/>
                <w:b/>
                <w:bCs/>
                <w:i/>
                <w:iCs/>
                <w:color w:val="000000"/>
                <w:sz w:val="22"/>
                <w:szCs w:val="22"/>
                <w:highlight w:val="none"/>
                <w:u w:val="single"/>
                <w:lang w:val="en-US" w:eastAsia="zh-CN" w:bidi="ar"/>
              </w:rPr>
              <w:t xml:space="preserve">:≥5400rpm;</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机械硬盘形态</w:t>
            </w:r>
            <w:r>
              <w:rPr>
                <w:rFonts w:hint="eastAsia" w:ascii="宋体" w:hAnsi="宋体" w:cs="宋体"/>
                <w:b/>
                <w:bCs/>
                <w:i/>
                <w:iCs/>
                <w:color w:val="000000"/>
                <w:sz w:val="22"/>
                <w:szCs w:val="22"/>
                <w:highlight w:val="none"/>
                <w:u w:val="single"/>
                <w:lang w:val="en-US" w:eastAsia="zh-CN"/>
              </w:rPr>
              <w:t xml:space="preserve">:2.5 英寸或 3.5 英寸等;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显示屏尺寸:≥27 英寸;</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rPr>
                <w:rFonts w:hint="eastAsia" w:ascii="宋体" w:hAnsi="宋体" w:eastAsia="宋体" w:cs="宋体"/>
                <w:b/>
                <w:bCs/>
                <w:i/>
                <w:iCs/>
                <w:color w:val="000000"/>
                <w:sz w:val="22"/>
                <w:szCs w:val="22"/>
                <w:highlight w:val="none"/>
                <w:u w:val="single"/>
                <w:lang w:val="en-US" w:eastAsia="zh-CN" w:bidi="ar-SA"/>
              </w:rPr>
            </w:r>
            <w:r/>
          </w:p>
          <w:p>
            <w:pPr>
              <w:numPr>
                <w:ilvl w:val="0"/>
                <w:numId w:val="0"/>
              </w:num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rPr>
                <w:sz w:val="20"/>
                <w:szCs w:val="22"/>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4"/>
                <w:szCs w:val="24"/>
                <w:u w:val="singl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w:t>
            </w:r>
            <w:r>
              <w:rPr>
                <w:rFonts w:hint="eastAsia" w:ascii="宋体" w:hAnsi="宋体" w:cs="宋体"/>
                <w:b/>
                <w:bCs/>
                <w:i/>
                <w:iCs/>
                <w:color w:val="000000"/>
                <w:sz w:val="22"/>
                <w:szCs w:val="22"/>
                <w:highlight w:val="none"/>
                <w:u w:val="single"/>
                <w:lang w:val="en-US" w:eastAsia="zh-CN" w:bidi="ar"/>
              </w:rPr>
              <w:t xml:space="preserve">3.8</w:t>
            </w:r>
            <w:r>
              <w:rPr>
                <w:rFonts w:hint="eastAsia" w:ascii="宋体" w:hAnsi="宋体" w:eastAsia="宋体" w:cs="宋体"/>
                <w:b/>
                <w:bCs/>
                <w:i/>
                <w:iCs/>
                <w:color w:val="000000"/>
                <w:sz w:val="22"/>
                <w:szCs w:val="22"/>
                <w:highlight w:val="none"/>
                <w:u w:val="single"/>
                <w:lang w:val="en-US" w:eastAsia="zh-CN" w:bidi="ar"/>
              </w:rPr>
              <w:t xml:space="preserve">英寸;</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p>
          <w:p>
            <w:pPr>
              <w:numPr>
                <w:ilvl w:val="0"/>
                <w:numId w:val="0"/>
              </w:num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jc w:val="left"/>
              <w:spacing w:line="360" w:lineRule="auto"/>
              <w:rPr>
                <w:rFonts w:hint="eastAsia" w:ascii="宋体" w:hAnsi="宋体" w:eastAsia="宋体" w:cs="宋体"/>
                <w:b/>
                <w:bCs/>
                <w:i/>
                <w:iCs/>
                <w:color w:val="000000"/>
                <w:sz w:val="22"/>
                <w:szCs w:val="22"/>
                <w:highlight w:val="none"/>
                <w:u w:val="single"/>
                <w:lang w:val="en-US" w:eastAsia="zh-CN" w:bidi="ar"/>
              </w:rPr>
            </w:pPr>
            <w:r>
              <w:rPr>
                <w:rFonts w:ascii="Calibri" w:hAnsi="Calibri" w:cs="Calibri"/>
                <w:b/>
                <w:bCs/>
                <w:i/>
                <w:iCs/>
                <w:color w:val="000000"/>
                <w:sz w:val="22"/>
                <w:szCs w:val="22"/>
                <w:highlight w:val="none"/>
                <w:u w:val="single"/>
              </w:rPr>
              <w:t xml:space="preserve">合同签订后</w:t>
            </w:r>
            <w:r>
              <w:rPr>
                <w:rFonts w:hint="eastAsia" w:ascii="Calibri" w:hAnsi="Calibri" w:cs="Calibri"/>
                <w:b/>
                <w:bCs/>
                <w:i/>
                <w:iCs/>
                <w:color w:val="000000"/>
                <w:sz w:val="22"/>
                <w:szCs w:val="22"/>
                <w:highlight w:val="none"/>
                <w:u w:val="single"/>
                <w:lang w:val="en-US" w:eastAsia="zh-CN"/>
              </w:rPr>
              <w:t xml:space="preserve">6</w:t>
            </w:r>
            <w:r>
              <w:rPr>
                <w:rFonts w:ascii="Calibri" w:hAnsi="Calibri" w:cs="Calibri"/>
                <w:b/>
                <w:bCs/>
                <w:i/>
                <w:iCs/>
                <w:color w:val="000000"/>
                <w:sz w:val="22"/>
                <w:szCs w:val="22"/>
                <w:highlight w:val="none"/>
                <w:u w:val="single"/>
              </w:rPr>
              <w:t xml:space="preserve">0天内完成安装调试，达到预期效果。</w:t>
            </w:r>
            <w:r>
              <w:rPr>
                <w:rFonts w:hint="eastAsia"/>
                <w:b/>
                <w:bCs/>
                <w:i/>
                <w:iCs/>
                <w:sz w:val="22"/>
                <w:szCs w:val="22"/>
                <w:highlight w:val="none"/>
                <w:u w:val="single"/>
              </w:rPr>
              <w:t xml:space="preserve">（投标文件中提供加盖投标人公章的承诺函，格式自拟，否则投标无效）</w:t>
            </w:r>
            <w:r/>
          </w:p>
        </w:tc>
      </w:tr>
    </w:tbl>
    <w:p>
      <w:pPr>
        <w:jc w:val="left"/>
        <w:spacing w:line="360" w:lineRule="auto"/>
        <w:widowControl/>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ind w:firstLine="281"/>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hint="default" w:ascii="宋体" w:hAnsi="宋体" w:eastAsia="宋体" w:cs="Times New Roman"/>
          <w:color w:val="000000"/>
          <w:sz w:val="24"/>
          <w:szCs w:val="24"/>
          <w:highlight w:val="none"/>
          <w:lang w:val="en-US" w:eastAsia="zh-CN"/>
        </w:rPr>
      </w:pPr>
      <w:r>
        <w:rPr>
          <w:rFonts w:hint="eastAsia" w:asciiTheme="minorEastAsia" w:hAnsiTheme="minorEastAsia"/>
          <w:sz w:val="24"/>
          <w:szCs w:val="24"/>
          <w:highlight w:val="none"/>
        </w:rPr>
        <w:t xml:space="preserve">江苏省海州高级中学物理数字化实验室</w:t>
      </w:r>
      <w:r>
        <w:rPr>
          <w:rFonts w:hint="eastAsia" w:ascii="宋体" w:hAnsi="宋体" w:eastAsia="宋体" w:cs="Times New Roman"/>
          <w:color w:val="000000"/>
          <w:sz w:val="24"/>
          <w:szCs w:val="24"/>
          <w:highlight w:val="none"/>
          <w:lang w:val="en-US" w:eastAsia="zh-CN"/>
        </w:rPr>
        <w:t xml:space="preserve">建设，目前物理实验室已建设十多年，设备老化、破损，已经满足不了目前学生日常上课、学业考试考场需求，急需改造建设。需采购一批新的实验用电脑、</w:t>
      </w:r>
      <w:r>
        <w:rPr>
          <w:rFonts w:hint="eastAsia" w:ascii="宋体" w:hAnsi="宋体" w:eastAsia="宋体" w:cs="宋体"/>
          <w:i w:val="0"/>
          <w:iCs w:val="0"/>
          <w:color w:val="000000"/>
          <w:sz w:val="24"/>
          <w:szCs w:val="24"/>
          <w:u w:val="none"/>
          <w:lang w:val="en-US" w:eastAsia="zh-CN" w:bidi="ar"/>
        </w:rPr>
        <w:t xml:space="preserve">实验器材</w:t>
      </w:r>
      <w:r>
        <w:rPr>
          <w:rFonts w:hint="eastAsia" w:ascii="宋体" w:hAnsi="宋体" w:eastAsia="宋体" w:cs="Times New Roman"/>
          <w:color w:val="000000"/>
          <w:sz w:val="24"/>
          <w:szCs w:val="24"/>
          <w:highlight w:val="none"/>
          <w:lang w:val="en-US" w:eastAsia="zh-CN"/>
        </w:rPr>
        <w:t xml:space="preserve">、传感器等货物</w:t>
      </w:r>
      <w:r>
        <w:rPr>
          <w:rFonts w:hint="eastAsia" w:asciiTheme="minorEastAsia" w:hAnsiTheme="minorEastAsia"/>
          <w:sz w:val="24"/>
          <w:szCs w:val="24"/>
          <w:highlight w:val="none"/>
          <w:lang w:val="en-US" w:eastAsia="zh-CN"/>
        </w:rPr>
        <w:t xml:space="preserve">的供货、运输、安装、调试、验收等内容，以此满足师生日常上课以及学业考试使用。</w:t>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6"/>
        <w:tblW w:w="79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3026"/>
        <w:gridCol w:w="1303"/>
        <w:gridCol w:w="1303"/>
        <w:gridCol w:w="1678"/>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8" w:name="_Toc139966432"/>
            <w:r/>
            <w:bookmarkStart w:id="9" w:name="_Toc139967216"/>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中小企业划分标准所属行业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实验室标配基础设施</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有源音响</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实验室安全监控</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静电地板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教师用加强型传感器部分（可无线及有线采集数据）</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数据采集分析仪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蓝牙接收器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传感器数据显示模块(通用)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三维磁感应强度传感器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声波/声级传感器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加速度传感器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数字静电实验器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G-M传感器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频率传感器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电子罗盘传感器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集中充电装置</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教师用加强型配套器材</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智能力盘实验器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多用力学轨道</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智能机械能守恒实验器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斜面上力的分解实验器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环形线圈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通电螺线管</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远红外实验用加热器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电磁定位系统</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魔板-单摆实验器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魔板—自由落体运动实验器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魔板—圆周运动实验器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方块电路</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法拉第电磁感应（定律）实验器Ⅰ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法拉第电磁感应（定律）实验器Ⅱ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智能电源</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查理定律实验器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玻璃导电实验器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温差电流实验器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电磁感应与楞次定律实验器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无线智能小车（红色）</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无线智能小车（蓝色）</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智能风扇模块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智能弹射模块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矢量显示模块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智能驱动模块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轨道及附件</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w:t>
            </w:r>
            <w:r>
              <w:rPr>
                <w:rStyle w:val="906"/>
                <w:lang w:val="en-US" w:eastAsia="zh-CN" w:bidi="ar"/>
              </w:rPr>
              <w:t xml:space="preserve">凹凸桥实验器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测力板</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等势线描绘仪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光学实验系统-高中版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Mini牛顿管实验器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无线向心力实验器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学生用基本配置传感器部分</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传感器数据显示模块(通用)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磁感应强度传感器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学生用标准配套实验器材部分</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多用力学轨道</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斜面上力的分解实验器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机械能守恒实验器I</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环形线圈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通电螺线管</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电磁感应与楞次定律实验器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向心力实验器V2.0</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平抛运动实验器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电阻定律实验器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Style w:val="866"/>
        <w:tblW w:w="97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2318"/>
        <w:gridCol w:w="6726"/>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技术参数及功能指标</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实验室标配基础设施</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交流50HZ/60HZ，额定电流0~80A的电路中，当发生电路漏电、过载、雷击、火灾、短路以及火线、零线单独或同时受潮，甚至浸入水中时“保护器”应能自动检测到异常，并在0.01秒时间内进入保护状态，从而避免人身伤害和设备损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保护器”外壳采用ABS工程阻燃塑料模压制成。固定在实验室电器控制器右侧。对各项功能应有明显的标注。功能设置采用按键式。所有参数均由液晶（带背景灯光）显示屏显示。具有声、光故障报警功能。电流从1~80A线性调节，漏电流10~90MA线性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2、技术参数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额定电压：AC220V50Hz/60Hz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工作电源范围：AC40V~AC320V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本机功耗： ＜3W</w:t>
            </w:r>
            <w:r>
              <w:rPr>
                <w:rFonts w:hint="eastAsia" w:ascii="宋体" w:hAnsi="宋体" w:eastAsia="宋体" w:cs="宋体"/>
                <w:i w:val="0"/>
                <w:iCs w:val="0"/>
                <w:color w:val="000000"/>
                <w:sz w:val="24"/>
                <w:szCs w:val="24"/>
                <w:u w:val="none"/>
                <w:lang w:val="en-US" w:eastAsia="zh-CN" w:bidi="ar"/>
              </w:rPr>
              <w:br/>
            </w:r>
            <w:r>
              <w:rPr>
                <w:rStyle w:val="897"/>
                <w:rFonts w:hint="eastAsia" w:ascii="宋体" w:hAnsi="宋体" w:eastAsia="宋体" w:cs="宋体"/>
                <w:sz w:val="24"/>
                <w:szCs w:val="24"/>
                <w:lang w:val="en-US" w:eastAsia="zh-CN" w:bidi="ar"/>
              </w:rPr>
              <w:t xml:space="preserve">额定输出电流：IN80A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漏电动作时间：≤0.01S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过压设定范围：AC220~280V</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过压动作时间：≤0.01S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欠压设定范围：AC145~220V</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欠压动作时间：≤0.01S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过流设定范围：1A~80A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过流动作时间：2~5S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短路保护电流：≥3IN</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短路动作时间：≤0.1S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故障信息保存数：≥9999</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RS485波特率：≥9600</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通讯地址范围：1~247</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显示误差：≤5%</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漏电设定范围：10~90mA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浸水保护时间：≤0.01S 火、零线单独或同时浸水保证无触电现象发生。</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工作环境：温度 -20℃~55℃</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湿度：≤95%Rh</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大气压力：90KPa~106KPa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▲3、</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Style w:val="898"/>
                <w:rFonts w:hint="eastAsia" w:ascii="宋体" w:hAnsi="宋体" w:eastAsia="宋体" w:cs="宋体"/>
                <w:sz w:val="24"/>
                <w:szCs w:val="24"/>
                <w:lang w:val="en-US" w:eastAsia="zh-CN" w:bidi="ar"/>
              </w:rPr>
              <w:t xml:space="preserve">提供CQC标志认证证书扫描件并加盖投标人公章。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机械硬盘容量：≥2TB。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机械硬盘转速</w:t>
            </w:r>
            <w:r>
              <w:rPr>
                <w:rFonts w:hint="eastAsia" w:ascii="宋体" w:hAnsi="宋体" w:cs="宋体"/>
                <w:b/>
                <w:bCs/>
                <w:i/>
                <w:iCs/>
                <w:color w:val="000000"/>
                <w:sz w:val="22"/>
                <w:szCs w:val="22"/>
                <w:highlight w:val="none"/>
                <w:u w:val="single"/>
                <w:lang w:val="en-US" w:eastAsia="zh-CN" w:bidi="ar"/>
              </w:rPr>
              <w:t xml:space="preserve">:≥5400rpm;</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机械硬盘形态</w:t>
            </w:r>
            <w:r>
              <w:rPr>
                <w:rFonts w:hint="eastAsia" w:ascii="宋体" w:hAnsi="宋体" w:cs="宋体"/>
                <w:b/>
                <w:bCs/>
                <w:i/>
                <w:iCs/>
                <w:color w:val="000000"/>
                <w:sz w:val="22"/>
                <w:szCs w:val="22"/>
                <w:highlight w:val="none"/>
                <w:u w:val="single"/>
                <w:lang w:val="en-US" w:eastAsia="zh-CN"/>
              </w:rPr>
              <w:t xml:space="preserve">:2.5 英寸或 3.5 英寸等;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显示屏尺寸:≥27 英寸;</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4"/>
                <w:szCs w:val="24"/>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8"/>
              </w:numPr>
              <w:ind w:left="425" w:hanging="425"/>
              <w:jc w:val="left"/>
              <w:keepLines w:val="0"/>
              <w:keepNext w:val="0"/>
              <w:widowControl/>
              <w:rPr>
                <w:rFonts w:hint="eastAsia" w:ascii="宋体" w:hAnsi="宋体" w:eastAsia="宋体" w:cs="宋体"/>
                <w:b/>
                <w:bCs/>
                <w:i/>
                <w:iCs/>
                <w:color w:val="000000"/>
                <w:sz w:val="24"/>
                <w:szCs w:val="24"/>
                <w:u w:val="single"/>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p>
          <w:p>
            <w:pPr>
              <w:numPr>
                <w:ilvl w:val="0"/>
                <w:numId w:val="0"/>
              </w:numPr>
              <w:jc w:val="left"/>
              <w:keepLines w:val="0"/>
              <w:keepNext w:val="0"/>
              <w:widowControl/>
              <w:rPr>
                <w:rFonts w:hint="eastAsia" w:ascii="宋体" w:hAnsi="宋体" w:eastAsia="宋体" w:cs="宋体"/>
                <w:b/>
                <w:bCs/>
                <w:i/>
                <w:iCs/>
                <w:color w:val="000000"/>
                <w:sz w:val="24"/>
                <w:szCs w:val="24"/>
                <w:u w:val="single"/>
              </w:rPr>
              <w:suppressLineNumbers w:val="0"/>
            </w:pPr>
            <w:r>
              <w:rPr>
                <w:rFonts w:hint="eastAsia" w:ascii="宋体" w:hAnsi="宋体" w:eastAsia="宋体" w:cs="宋体"/>
                <w:b/>
                <w:bCs/>
                <w:i/>
                <w:iCs/>
                <w:color w:val="000000"/>
                <w:sz w:val="24"/>
                <w:szCs w:val="24"/>
                <w:highlight w:val="none"/>
                <w:u w:val="single"/>
                <w:lang w:val="en-US" w:eastAsia="zh-CN" w:bidi="ar"/>
              </w:rPr>
              <w:t xml:space="preserve">提供节能产品认证证书扫描件并加盖投标人公章。</w:t>
            </w:r>
            <w:r/>
          </w:p>
        </w:tc>
      </w:tr>
      <w:tr>
        <w:trPr>
          <w:trHeight w:val="295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w:t>
            </w:r>
            <w:r>
              <w:rPr>
                <w:rFonts w:hint="eastAsia" w:ascii="宋体" w:hAnsi="宋体" w:cs="宋体"/>
                <w:b/>
                <w:bCs/>
                <w:i/>
                <w:iCs/>
                <w:color w:val="000000"/>
                <w:sz w:val="22"/>
                <w:szCs w:val="22"/>
                <w:highlight w:val="none"/>
                <w:u w:val="single"/>
                <w:lang w:val="en-US" w:eastAsia="zh-CN" w:bidi="ar"/>
              </w:rPr>
              <w:t xml:space="preserve">3.8</w:t>
            </w:r>
            <w:r>
              <w:rPr>
                <w:rFonts w:hint="eastAsia" w:ascii="宋体" w:hAnsi="宋体" w:eastAsia="宋体" w:cs="宋体"/>
                <w:b/>
                <w:bCs/>
                <w:i/>
                <w:iCs/>
                <w:color w:val="000000"/>
                <w:sz w:val="22"/>
                <w:szCs w:val="22"/>
                <w:highlight w:val="none"/>
                <w:u w:val="single"/>
                <w:lang w:val="en-US" w:eastAsia="zh-CN" w:bidi="ar"/>
              </w:rPr>
              <w:t xml:space="preserve">英寸;</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p>
          <w:p>
            <w:pPr>
              <w:numPr>
                <w:ilvl w:val="0"/>
                <w:numId w:val="0"/>
              </w:num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有源音响</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（一）电声部分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1、扬声器单元：4×4英寸 25芯 80磁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2、阻抗：4×8欧姆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3、灵敏度：94dB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4、失真度：＜0.1%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5、谐振频率（Fo）：75HZ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6、频率响应：75Hz～17KHZ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（二）电子部分：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1、功率通道：4*20W（独立）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2、DSP芯片：两进四出音频DSP处理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3、输入通道：3.5/Bluetooth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4、支持微信小程序</w:t>
            </w:r>
            <w:r>
              <w:rPr>
                <w:rFonts w:hint="eastAsia" w:ascii="宋体" w:hAnsi="宋体" w:eastAsia="宋体" w:cs="宋体"/>
                <w:i w:val="0"/>
                <w:iCs w:val="0"/>
                <w:color w:val="000000"/>
                <w:sz w:val="24"/>
                <w:szCs w:val="24"/>
                <w:u w:val="none"/>
                <w:lang w:val="en-US" w:eastAsia="zh-CN" w:bidi="ar"/>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(三）音箱部分：</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1.为控制教室内坐在前排与后排学生之间听觉差异，声场不均匀度要求室内各学生座位测量点（至少选取8个测试点）的稳态声压级最大值与最小值差值范围为4dB之内；</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▲2.为保证教师授课过程中扩声语音的清晰度，扩声系统语言传输指数STIPA：调制传递函数MTF测量值大于0.6；（投标文件中提供具有CMA标识的第三方检测机构出具的检测报告扫描件并加盖投标人公章）</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▲3.为控制相邻教室的声波干涉：相邻教室声串扰的声压级应不大于40 dB（A)；（投标文件中提供具有CMA标识的第三方检测机构出具的检测报告扫描件并加盖投标人公章）</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4.为保证师生的听觉的安全健康声压，学生座位的听音面(1.2 米等高线位置)最大声压级应小于 82 dB(A)。</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5.扬声器指向性：360度全指向覆盖。</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6.总谐波失真：应符合GB 50371的有关规定，系统所产生的所有谐波幅度的均方根除以基波幅度，THD&lt;0.1%.</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7.噪声比：信号噪声比S/N＞75 dB。</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8.系统噪声功率级：系统噪声功率级应不大于 30 dB(A)。</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9.蓝牙功能：蓝牙5.0版本，支持蓝牙无线接收，方便老师分享移动设备（手机/电脑）上的音频，蓝牙支持密码模式，防止学生连接，支持手机通过蓝牙无线连接音箱，实现控制有源音箱的音量，方便教师对音箱的管控。</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10.无线麦克风发射功率应小于20mW，单次充电后可使用不少于6小时。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实验室安全监控</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1、400万1/1.8′CMOS 3寸4倍红外半球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2、内置电动云台和一体化变焦镜头。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3、用深度学习算法，以海量图片及视频资源为路基，通过机器自身提取目标特征，形成深层可供学习的图像，极大的提升了目标的检出率。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4、人脸抓拍（正脸抓拍）： a)支持对运动人脸进行检测、抓拍、评分、筛选，输出最优的人脸 b)支持人脸去误报、快速抓拍人脸 c)支持快速抓拍和最佳抓拍两种模式，并支持2种模式同时开启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5、传感器类型：≥1/1.8＂ progressive scan CMOS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6、最低照度：彩色：≤0.001 Lux @（F1.2，AGC ON）；黑白：≤0.0001 Lux @（F1.2，AGC ON）；0 Lux with IR</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7、宽动态：≥120dB超宽动态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8、焦距：2.8~12 mm，4倍光学变倍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9、水平范围：≥355°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10、垂直范围：0°-90°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11、水平速度：水平键控速度：0.1°-60°/s,速度可设;水平预置点速度：60°/s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12、垂直速度：垂直键控速度：0.1°-50°/s,速度可设;垂直预置点速度：50°/s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13、音频输入：内置mic，1路音频输入，音频峰值:2-2.4V[p-p]，输入阻抗:1KΩ±10%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▲14、支持人脸区域自动曝光功能，可根据人脸区域的光照变化自动调节曝光参数。（</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u w:val="none"/>
                <w:lang w:val="en-US" w:eastAsia="zh-CN" w:bidi="ar"/>
              </w:rPr>
              <w:t xml:space="preserve">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▲15、当红外灯开启后，透明罩出现水雾、灰尘、刮痕时，采集的图像不应出现重影。（</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u w:val="none"/>
                <w:lang w:val="en-US" w:eastAsia="zh-CN" w:bidi="ar"/>
              </w:rPr>
              <w:t xml:space="preserve">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16、支持声音报警功能，自定义语音，报警重复次数可设置。</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24口全千兆交换机，不少于24个自适应百兆/千兆端口，不小于2个千兆上行SFP光口</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静电地板 </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支架承载能力不低于200KN，龙骨厚度不低与0.8,地板规格600mm×600mm×35mm。</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教师用加强型传感器部分（可无线及有线采集数据）</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1.半透明外壳设计，内含状态、电源指示灯。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2.科学实验专用采集器，四通道并行采集，全数字通道，采样频率80K。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3.采集器支持USB即插即用，自动监测传感器接入或拔出，无须外接电源。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4.可根据实验教学需要，选择接插有线接口或无线接收实现与传感器通讯。支持有线/无线状态下的四通道并行采集。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5.可进行四路声波传感器同步显示的高频采集实验。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数据采集分析仪</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接收实验数据并进行数据汇总、处理、分析，完成中学物理探究实验。内存8G或以上，存储容量256G或以上。</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蓝牙接收器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适配器搭载高性能蓝牙5.0芯片，内置天线。实现20米无障碍环境下远距离传输，连接稳定顺畅，响应迅速，支持同时连接6个蓝牙设备。自动向下兼容4.0/4.1/4.2设备，可配合带有蓝牙4.0及以上的产品（例如无线向心力实验器、静电计等）。蓝牙适配器使用USB接口，即插即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1.通过与各种传感器组合，使之具备独立数据显示功能。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2.自带1.77寸（±0.1寸）彩屏。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3.BT自锁接头，支持热插拔连接，接入任一可识别传感器，屏幕会显示该传感器的实时数据和单位并且显示数据应有变化。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4.具备自锁功能防止传感器脱落，并且可与计算机直接通讯。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5.可充电锂电池供电，可充电电池（3.6V）供电。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6.模块具备保存至少7万组数据的功能，可对保存的实验数据进行导出到计算机内、查看和处理数据。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7.屏幕可切换二维码，与安卓、苹果、Windows系统移动采集终端无线数据同步传输。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1.量程：-5μA~+5μA；分度：0.01μA。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三维磁感应强度传感器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1.量程：-50mT~+50 mT；分度：0.01 mT。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2.可测量三个方向磁感应强度大小，可显示分值和合值。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▲8.低温存储试验、高温存储试验、恒定湿热试验检验合格。（</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可测量三维（以显示X轴、Y轴、Z轴磁场数据）空间磁场分布；支持有线通讯、无线通讯和屏幕数据显示工作方式；连接插口采用BT接口，具有方向性和自锁功能，支持硬件调零和软件调零。（</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10"/>
              </w:num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量程：-20N~+20N；分度：0.01N。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▲8.低温存储试验、高温存储试验、恒定湿热试验检验合格。（投标文件中提供具有CMA标识的第三方检测机构出具的检测报告扫描件并加盖投标人公章）</w:t>
            </w:r>
            <w:r/>
          </w:p>
          <w:p>
            <w:pPr>
              <w:numPr>
                <w:ilvl w:val="0"/>
                <w:numId w:val="0"/>
              </w:num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支持有线通讯、无线通讯和屏幕数据显示工作方式；连接插口采用BT接口，具有方向性和自锁功能，支持硬件调零和软件调零。（</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6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1.量程：-2N~+2N；分度：0.001N。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1.量程：0cm ~200cm，分度：1mm。无测量盲区。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2.由发射器和接收器构成，接收器与采集器连接，发射器由电池供电。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3.传感器易与现有实验装置（运动小车、弹簧振子等）组合。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1.分度：2μs，用于测量挡光片（U型、I型）的挡光时间。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1.声波频率测量范围：20Hz~20kHz。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2.声级测量范围：20 dB ~130dB，分度：0.1dB。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3.传感器通过自带硬件，按钮切换测量声音的波形和强度，研究声音的频率、周期、振幅等特征。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5.同时无线接入4只声波传感器，可观察到4路声音波形，同步采集无延迟。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1.量程：-50℃~+200℃；分度：0.1℃。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2.不锈钢探针，可测各种物体或溶液的温度。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 kPa ~700 kPa；分度：0.1 kPa。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2.可用于直接测量气体的绝对压强，配件：20mL注射器。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1.量程-50m/s2~+50m/s2，三维；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2.支持与采集器的有线通讯、无线通讯两种工作方式；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3.传感器自带M6螺纹孔，实现与多种实验装置的组装固定；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1.量程：0.15m~6m，分度：1mm。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2。传感器支持与采集器的有线通讯、无线通讯两种工作方式。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1.测量范围：-3A~+3A；分度：0.01A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测量范围：-300mA~+300mA；分度：1mA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测量范围：-30mA ~+30mA；分度：0.1 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1.量程1：-20V~+20V、分度：0.01V；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量程2：-2V~+2V、分度：0.001V；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量程3：-0.2V~+0.2V、分度：0.0001V；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数字静电实验器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1.测量范围：±100nC，分辨率：1nC。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2.产品尺寸：11cm*11.4cm*2.8cm,偏差不大于0.5cm。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w:t>
            </w:r>
            <w:r>
              <w:rPr>
                <w:rFonts w:hint="eastAsia" w:ascii="宋体" w:hAnsi="宋体" w:eastAsia="宋体" w:cs="宋体"/>
                <w:i w:val="0"/>
                <w:iCs w:val="0"/>
                <w:color w:val="000000"/>
                <w:sz w:val="24"/>
                <w:szCs w:val="24"/>
                <w:highlight w:val="none"/>
                <w:u w:val="none"/>
                <w:lang w:val="en-US" w:eastAsia="zh-CN" w:bidi="ar"/>
              </w:rPr>
              <w:t xml:space="preserve">5寸液晶</w:t>
            </w:r>
            <w:r>
              <w:rPr>
                <w:rFonts w:hint="eastAsia" w:ascii="宋体" w:hAnsi="宋体" w:eastAsia="宋体" w:cs="宋体"/>
                <w:i w:val="0"/>
                <w:iCs w:val="0"/>
                <w:color w:val="000000"/>
                <w:sz w:val="24"/>
                <w:szCs w:val="24"/>
                <w:u w:val="none"/>
                <w:lang w:val="en-US" w:eastAsia="zh-CN" w:bidi="ar"/>
              </w:rPr>
              <w:t xml:space="preserve">屏一体化设计，屏幕尺寸偏差不大于0.2吋。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4.自配锂电池供电，带电量1100mAh。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配专用充电</w:t>
            </w:r>
            <w:r>
              <w:rPr>
                <w:rFonts w:hint="eastAsia" w:ascii="宋体" w:hAnsi="宋体" w:eastAsia="宋体" w:cs="宋体"/>
                <w:i w:val="0"/>
                <w:iCs w:val="0"/>
                <w:color w:val="000000"/>
                <w:sz w:val="24"/>
                <w:szCs w:val="24"/>
                <w:u w:val="none"/>
                <w:lang w:val="en-US" w:eastAsia="zh-CN" w:bidi="ar"/>
              </w:rPr>
              <w:t xml:space="preserve">器、静电器底座、无线接收器、专用软件、导电小球（直径不小于0.5cm）。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6.可测量带电物体的电荷量和极性，具有硬件调零的功能。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7.输入端可连接金属小球或法拉第冰桶，以无线方式与计算机进行同步通讯显示，断电后数据无丢失。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8.可完成静电感应、电荷守</w:t>
            </w:r>
            <w:r>
              <w:rPr>
                <w:rFonts w:hint="eastAsia" w:ascii="宋体" w:hAnsi="宋体" w:eastAsia="宋体" w:cs="宋体"/>
                <w:i w:val="0"/>
                <w:iCs w:val="0"/>
                <w:color w:val="000000"/>
                <w:sz w:val="24"/>
                <w:szCs w:val="24"/>
                <w:highlight w:val="none"/>
                <w:u w:val="none"/>
                <w:lang w:val="en-US" w:eastAsia="zh-CN" w:bidi="ar"/>
              </w:rPr>
              <w:t xml:space="preserve">恒等势体</w:t>
            </w:r>
            <w:r>
              <w:rPr>
                <w:rFonts w:hint="eastAsia" w:ascii="宋体" w:hAnsi="宋体" w:eastAsia="宋体" w:cs="宋体"/>
                <w:i w:val="0"/>
                <w:iCs w:val="0"/>
                <w:color w:val="000000"/>
                <w:sz w:val="24"/>
                <w:szCs w:val="24"/>
                <w:u w:val="none"/>
                <w:lang w:val="en-US" w:eastAsia="zh-CN" w:bidi="ar"/>
              </w:rPr>
              <w:t xml:space="preserve">研究、静电屏蔽、光电效应等实验。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G-M传感器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测量范围：0~40000次/分；用于测量β、γ粒子脉冲数，支持与采集器的有线通讯、无线通讯工作方式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频率传感器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测量范围：1Hz~1MHz；分度：1 Hz，用于测量交流电压信号。支持与采集器的有线通讯、无线通讯和独立数据显示三种工作方式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测量范围：0～36V；分度：0.1V。用于测量交流电压的有效值，支持与采集器的有线通讯、无线通讯和独立数据显示三种工作方式。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注意：本传感器所测电压需在安全电压（36V）范围内，严禁测量220V交流电压；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测量范围：0～2A；分度：0.01A。用于测量交流电流的有效值，支持与采集器的有线通讯、无线通讯和独立数据显示三种工作方式。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注意：本传感器所测电压需在安全电压（36V）范围内，严禁测量220V交流电流</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电子罗盘传感器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测量范围：0~359°；分度：1°，支持与采集器的有线通讯、无线通讯和独立数据显示三种工作方式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集中充电装置</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1.支持为数据收集与中转组件中子模块等提供集中充电功能。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2.单口最大充电功率≥10W。</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由铝合金主架、铝塑板面构成，内设隔断海绵内衬</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根据实验教学需求及学生的认知心理特征，提供中学版物理、化学、生物专用软件和通用软件；专用软件采用了图形化的设计理念，软件平台里面包含了大量专用实验模板，预设了操作流程，方便学生操作使用，通用软件具备视频区域。可进行数据处理，满足学科教材与课外探究的要求；传感器插入后能自动识别和运行；软</w:t>
            </w:r>
            <w:r>
              <w:rPr>
                <w:rFonts w:hint="eastAsia" w:ascii="宋体" w:hAnsi="宋体" w:eastAsia="宋体" w:cs="宋体"/>
                <w:i w:val="0"/>
                <w:iCs w:val="0"/>
                <w:color w:val="000000"/>
                <w:sz w:val="24"/>
                <w:szCs w:val="24"/>
                <w:highlight w:val="none"/>
                <w:u w:val="none"/>
                <w:lang w:val="en-US" w:eastAsia="zh-CN" w:bidi="ar"/>
              </w:rPr>
              <w:t xml:space="preserve">件无需设</w:t>
            </w:r>
            <w:r>
              <w:rPr>
                <w:rFonts w:hint="eastAsia" w:ascii="宋体" w:hAnsi="宋体" w:eastAsia="宋体" w:cs="宋体"/>
                <w:i w:val="0"/>
                <w:iCs w:val="0"/>
                <w:color w:val="000000"/>
                <w:sz w:val="24"/>
                <w:szCs w:val="24"/>
                <w:u w:val="none"/>
                <w:lang w:val="en-US" w:eastAsia="zh-CN" w:bidi="ar"/>
              </w:rPr>
              <w:t xml:space="preserve">置参数自动检测传感器，并提供仪表、数值、曲线多种显示风格；软件须具有双组合曲线功能及完整的可对数据图线进行拟合的功能（一次函数、二次函数、三次函数、反比函数、反比平方、对数、正弦函数、指数、复合指数等），并自动显示拟合的函数表达式；具有中学常用的预设公式，并</w:t>
            </w:r>
            <w:r>
              <w:rPr>
                <w:rFonts w:hint="eastAsia" w:ascii="宋体" w:hAnsi="宋体" w:eastAsia="宋体" w:cs="宋体"/>
                <w:i w:val="0"/>
                <w:iCs w:val="0"/>
                <w:color w:val="000000"/>
                <w:sz w:val="24"/>
                <w:szCs w:val="24"/>
                <w:u w:val="none"/>
                <w:lang w:val="en-US" w:eastAsia="zh-CN" w:bidi="ar"/>
              </w:rPr>
              <w:t xml:space="preserve">可根据实验需求自由定义公式；软件内设可调整采样频率范围是0.1~20K;具有完善的数据处理功能（可对图线中数据进行求导、积分、平均值、绘制包络线、最大值、最小值的计算），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具备同时录制实验操作及数据显示、处理功能。</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教师用加强型配套器材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智能力盘实验器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1.由力/倾角传感器(双测量传感器须一体化设计，测量范围：-20N~+20N/-180°~+180°；分度：0.01N/0.1°；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2.直柄式结构，同时可测得力与倾角数据，测力时拉力显示正值、压力显示负值；测倾角时，竖直向下方向定为0°，顺时针方向的角度为正值，逆时针方向的角度为负值；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3.支持与采集器的有线通讯、无线通讯工作方式)、精密力盘、挂臂、固定装置组成；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4.与铁架台、数据采集器配合使用。可同时测量两个方向的分力大小与角度值，完成动态条件下力的分解实验。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多用力学轨道</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1.基本配置：含1.2m铝合金轨道一条、轨道小车（滚轴）两台；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2.弹簧两根、50克配重片四块、挡光片四片（宽度分别为2、4、6、8cm）；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3.轨道座架一套、L型挂架两个及I型支架四个、滑轮一套、小车收集器一套；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4.小沙筒及4个5克配重块一组、小车缓冲装置一套、碰撞弹簧圈两个；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5.紧固件一套，受迫振动配套策动源一套。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1.由铝合金底座、合金机械能实验板、释放器、圆柱型摆、固定臂、螺栓等构成。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2.实验器固定装置上的USB口与计算机可通过USB数据线建立通讯。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3.释放装置可固定及释放摆锤，摆锤落下后可以被收纳装置接收住。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4.软件表格中显示挡光片高度依次为0.15m、0.12m、0.09m、0.06m、0.03m、0m，显示挡光片宽度d=0.01m、物体质量M=0.03kg。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5.软件可记录摆锤通过不同高度挡光片时的速度，计算出摆锤位于不同挡光片位置时的动能、势能与机械能并绘制相应的曲线变化。</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斜面上力的分解实验器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1.由主架和环形重物块构成。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2.环形物块质量：78g±5g。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3.外形尺寸：389mm*71mm*261mm(±5mm)。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4.标尺角度：0、30、45、60、90。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5.内置力传感器连接滚轴转动自然。能通过两个内置力传感器测量重物在两个垂直方向上分离的大小。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1.高灵敏度、无源、塑壳封装、带屏蔽；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2.与微电流传感器配合，可测得切割地磁场产生的感生电流，也可测得不同电器的电磁辐射强度。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1.外形尺寸：112mm*40mm*45mm(±1mm)；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2.可接学生电源，通过磁传感器测量，螺线管中间位置可产生匀强磁场。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1.由60cm铝合金轨道、摩擦台底座、多种摩擦块、匀速电机组成（无需外接电源）。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2.与力传感器配合使用，可实现探究摩擦面、物体重量、运动速度、接触面积等因素对摩擦力大小的影响，配合力传感器可实现有线方式、无线方式、数据独立显示模式。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远红外实验用加热器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1.外形尺寸：161mm*125mm*136.5mm(±1mm),由炉体、底座和电源线构成；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2.220V交流供电，功率80W，加热半小时后炉腔内温度不低于120℃；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3.圆筒型远红外辐射加热炉芯，便于对加热体均匀加热。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4.可完成查理定律、晶体熔解和凝固、比热容等高精度热学定量实验。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由底座、磁铁组、标有角度的转盘、矩形线框、挂钩、支架组成，配合电流传感器和</w:t>
            </w:r>
            <w:r>
              <w:rPr>
                <w:rFonts w:hint="eastAsia" w:ascii="宋体" w:hAnsi="宋体" w:eastAsia="宋体" w:cs="宋体"/>
                <w:i w:val="0"/>
                <w:iCs w:val="0"/>
                <w:color w:val="000000"/>
                <w:sz w:val="24"/>
                <w:szCs w:val="24"/>
                <w:highlight w:val="none"/>
                <w:u w:val="none"/>
                <w:lang w:val="en-US" w:eastAsia="zh-CN" w:bidi="ar"/>
              </w:rPr>
              <w:t xml:space="preserve">微力传</w:t>
            </w:r>
            <w:r>
              <w:rPr>
                <w:rFonts w:hint="eastAsia" w:ascii="宋体" w:hAnsi="宋体" w:eastAsia="宋体" w:cs="宋体"/>
                <w:i w:val="0"/>
                <w:iCs w:val="0"/>
                <w:color w:val="000000"/>
                <w:sz w:val="24"/>
                <w:szCs w:val="24"/>
                <w:u w:val="none"/>
                <w:lang w:val="en-US" w:eastAsia="zh-CN" w:bidi="ar"/>
              </w:rPr>
              <w:t xml:space="preserve">感器使用，研究安培力与导线长度、供电电流大小以及电流方向与磁场夹角的关系。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1.实验装置由信号发射器、定位板、弹射器、软件及附件构成。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2.产品通讯供电方式为US</w:t>
            </w:r>
            <w:r>
              <w:rPr>
                <w:rFonts w:hint="eastAsia" w:ascii="宋体" w:hAnsi="宋体" w:eastAsia="宋体" w:cs="宋体"/>
                <w:i w:val="0"/>
                <w:iCs w:val="0"/>
                <w:color w:val="000000"/>
                <w:sz w:val="24"/>
                <w:szCs w:val="24"/>
                <w:highlight w:val="none"/>
                <w:u w:val="none"/>
                <w:lang w:val="en-US" w:eastAsia="zh-CN" w:bidi="ar"/>
              </w:rPr>
              <w:t xml:space="preserve">B接口</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3.定位板尺寸:640mm*390mm(±2mm)；定位范围：500*300cm（±2mm）。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4.定位</w:t>
            </w:r>
            <w:r>
              <w:rPr>
                <w:rFonts w:hint="eastAsia" w:ascii="宋体" w:hAnsi="宋体" w:eastAsia="宋体" w:cs="宋体"/>
                <w:i w:val="0"/>
                <w:iCs w:val="0"/>
                <w:color w:val="000000"/>
                <w:sz w:val="24"/>
                <w:szCs w:val="24"/>
                <w:highlight w:val="none"/>
                <w:u w:val="none"/>
                <w:lang w:val="en-US" w:eastAsia="zh-CN" w:bidi="ar"/>
              </w:rPr>
              <w:t xml:space="preserve">板有气</w:t>
            </w:r>
            <w:r>
              <w:rPr>
                <w:rFonts w:hint="eastAsia" w:ascii="宋体" w:hAnsi="宋体" w:eastAsia="宋体" w:cs="宋体"/>
                <w:i w:val="0"/>
                <w:iCs w:val="0"/>
                <w:color w:val="000000"/>
                <w:sz w:val="24"/>
                <w:szCs w:val="24"/>
                <w:u w:val="none"/>
                <w:lang w:val="en-US" w:eastAsia="zh-CN" w:bidi="ar"/>
              </w:rPr>
              <w:t xml:space="preserve">泡水平仪，可根据气泡位置调整定位板水平状态。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5.弹射器可根据需要上下调节位置。弹射器具有三档弹力调节功能，可使弹射出的信号发射器具有不同的初速度。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6.弹射器的弹射角度可调，并有角度指示功能。发射器的定位偏差为±0.05mm。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7.软件可设定坐标零点，软件可实时显示信号发射器在定位板上的位置及动态坐标值变化。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8.可将所得数据“导出”及“导入”至Excel表格中。可完成平抛运动、自由落体、斜抛、单摆、离心轨道、运动合成、圆周运动、惯性定律等研究二维平面内运动规律的实验。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9.为便于实验操作，实验器可通过USB线直接接入计算机，实验器研究对象直径不应大于3cm。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▲10.低温存储试验、高温存储试验、恒定湿热试验检验合格。（投标文件中提供具有CMA标识的第三方检测机构出具的检测报告扫描件并加盖投标人公章）；</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采样频率可设置50HZ、100HZ、150HZ、200HZ；可记录信号源位置且进行运动轨迹曲线绘制；具有数据计算、清屏功能；软件至少包括平抛、斜抛、离心轨道、伽利略斜面、自由落体、圆周、阻尼、运动的合成、单摆、机械能守恒实验。 （</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魔板-单摆实验器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由立柱、支架、摆杆（含转轴、T型连接杆、碳纤维杆、信号源夹、配重块）、刻度盘、角码及紧固件构成。与电磁定位板、信号源配合使用，可进行单摆实验。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器由释放装置总成（含翻盖牌、释放装置、释放按钮、信号源夹）、接收筐、接收筐固定装置及紧固件构成。与电磁定位板、信号源配合使用，可进行“自由落体运动”实验，系统自动记录信号源的运动轨迹，软件自动绘制“s-t图线”、“v-t图线”，并根据实验数据计算出加速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实验器由旋臂支架总成（含支架、旋臂、挡柱、水平泡、圆心定位器、信号源固定</w:t>
            </w:r>
            <w:r>
              <w:rPr>
                <w:rFonts w:hint="eastAsia" w:ascii="宋体" w:hAnsi="宋体" w:eastAsia="宋体" w:cs="宋体"/>
                <w:i w:val="0"/>
                <w:iCs w:val="0"/>
                <w:color w:val="000000"/>
                <w:sz w:val="24"/>
                <w:szCs w:val="24"/>
                <w:highlight w:val="none"/>
                <w:u w:val="none"/>
                <w:lang w:val="en-US" w:eastAsia="zh-CN" w:bidi="ar"/>
              </w:rPr>
              <w:t xml:space="preserve">夹、香蕉</w:t>
            </w:r>
            <w:bookmarkStart w:id="25" w:name="_GoBack"/>
            <w:r/>
            <w:bookmarkEnd w:id="25"/>
            <w:r>
              <w:rPr>
                <w:rFonts w:hint="eastAsia" w:ascii="宋体" w:hAnsi="宋体" w:eastAsia="宋体" w:cs="宋体"/>
                <w:i w:val="0"/>
                <w:iCs w:val="0"/>
                <w:color w:val="000000"/>
                <w:sz w:val="24"/>
                <w:szCs w:val="24"/>
                <w:u w:val="none"/>
                <w:lang w:val="en-US" w:eastAsia="zh-CN" w:bidi="ar"/>
              </w:rPr>
              <w:t xml:space="preserve">插孔）、底座支架及附件（含导线、紧固件）构成。配合电磁定位板、信号源、多功能学生电源使用，可进行实验一“圆周运动速度的方向”，系统自动记录整个过程中信号源进行圆周运动及被抛出后的运动轨迹；实验二“圆周运动的投影”，实验软件自动绘制出信号源进行圆周运动时的投影曲线，并自动计算出信号源旋转半径，以及圆周运动的“角速度”、“转速”和“周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方块电路</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块电路系一种方便进行各种电路连接实验和演示，并可反复使用的实验系统。由12类27种共43块电路模块及配套齐全的配件组成，包含扩展插片、柱形磁铁、充电器、USB数据线等附件组成。各个模块可通过磁吸方式拼接在一起，模块表面印有电子元件的标志，可实现对应电子元件的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压表、电流表可同时由数据线连接至电脑，通过PC端软件展示分析实验数据；也可通过扫描屏显二维码的方式连接到移动终端（安卓或IOS系统），进行实验数据采集；电流表、电压表模块支持一键调取二维码，支持硬件调零、软件调零，支持电表小数点显示位数的手动调整；电流表模块支持三种测量范围自由切换±2A、±200mA、±20mA，满足不同实验的测量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可完成小灯泡的电压电流曲线描绘、测电池的电动势和内阻、研究电容充放电与串并联、验证欧姆定律、电动势和电源内、外电压的关系、楞次定律、调光电路、调速电路、温控电路、光控电路、楼道灯、测量小灯泡的额定功率、二极管特性曲线描绘、三极管特性曲线描绘等电学实验，满足学生课程及课外自主研究电路的需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法拉第电磁感应（定律）实验器Ⅰ</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底座、可变3种匝数的活动线圈、可调距离的强磁铁组成、竖直运动轨道、光电门传感器及支架、挡光杆、固定螺栓等组成，通过内置传感器测量数据，直接与计算机USB口通讯；可完成探究磁场变化率或线圈匝数与感生电动势关系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法拉第电磁感应（定律）实验器Ⅱ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由铝合金底座、原副线圈、通过内置传感器测量感生电动势数据，直接与计算机USB口连接通讯，与磁感强度传感器、智能电源配合使用，完成电磁感应实验。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智能电源</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不小于2吋带屏设计，可实时显示输出波形模式；分为手动模式和智能模式输出。手动模式地流输出：1.5V~16V连续可调。智能模式输出：可分别调节单周期的梯形波、单周期三角波及至少五种周期三角波三种模式输出，波形上升与下降斜率分别可调。是法拉第电磁感应定律实验器Ⅱ的必备模块，二者组合使用，可完成研究磁通量的变化率与感生电动势的关系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查理定律实验器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由试管、快速温度探头、压强传感器连接器组成，结合温度与压强传感器，探究气体压强与温度的关系.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由底座、专用实验板组成，外形尺寸：104mm*114mm*172mm(±5mm)，底座上设有两个接线柱，与微电流传感器配合使用能够完成玻璃导电实验。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温差电流实验器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由底座、不同材料金属框组成，与微电流传感器配合使用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电磁感应与楞次定律实验器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1.该实验器由档位开关、线圈、接线柱和电路板组成。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2.与电流传感器配合使用，用于研究电磁感应现象。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3.档位开关分别与不同匝数相的线圈连接，探究线圈匝数与感应电流的关系。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4.可根据曲线的变化趋势分析感应电流的方向，并由此验证楞次定律。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无线智能小车（红色）</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含智能小车</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辆（红色）、</w:t>
            </w:r>
            <w:r>
              <w:rPr>
                <w:rStyle w:val="900"/>
                <w:rFonts w:hint="eastAsia" w:ascii="宋体" w:hAnsi="宋体" w:eastAsia="宋体" w:cs="宋体"/>
                <w:sz w:val="24"/>
                <w:szCs w:val="24"/>
                <w:lang w:val="en-US" w:eastAsia="zh-CN" w:bidi="ar"/>
              </w:rPr>
              <w:t xml:space="preserve">USB</w:t>
            </w:r>
            <w:r>
              <w:rPr>
                <w:rStyle w:val="901"/>
                <w:rFonts w:hint="eastAsia" w:ascii="宋体" w:hAnsi="宋体" w:eastAsia="宋体" w:cs="宋体"/>
                <w:sz w:val="24"/>
                <w:szCs w:val="24"/>
                <w:lang w:val="en-US" w:eastAsia="zh-CN" w:bidi="ar"/>
              </w:rPr>
              <w:t xml:space="preserve">充电线</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智能小车有</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个智能附件连接接口，可连接智能风扇模块、智能弹射模块、智能驱动模块、矢量显示模块。可在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机专用软件上编程，对智能模块进行参数设置和控制。包含在计算机运行的专用软件及在移动设备上运行的APP，配合智能小车及配套装置完成力学、运动学的多个实验。</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智能小车主要技术参数：</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1、力：测量范围：±20N；分辨率：0.001N；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2、位移：分度：0.1cm；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3、速度：最大速度：±3m/S；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4、加速度：测量范围：±156.8m/S2 （±16g）；分度0.01m/S2；</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5、陀螺仪：测量范围：±2000°/S，分度1°/S；</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以上数据无线最高采样率：200Hz。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无线智能小车（蓝色）</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含智能小车</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辆（蓝色）、</w:t>
            </w:r>
            <w:r>
              <w:rPr>
                <w:rStyle w:val="900"/>
                <w:rFonts w:hint="eastAsia" w:ascii="宋体" w:hAnsi="宋体" w:eastAsia="宋体" w:cs="宋体"/>
                <w:sz w:val="24"/>
                <w:szCs w:val="24"/>
                <w:lang w:val="en-US" w:eastAsia="zh-CN" w:bidi="ar"/>
              </w:rPr>
              <w:t xml:space="preserve">USB</w:t>
            </w:r>
            <w:r>
              <w:rPr>
                <w:rStyle w:val="901"/>
                <w:rFonts w:hint="eastAsia" w:ascii="宋体" w:hAnsi="宋体" w:eastAsia="宋体" w:cs="宋体"/>
                <w:sz w:val="24"/>
                <w:szCs w:val="24"/>
                <w:lang w:val="en-US" w:eastAsia="zh-CN" w:bidi="ar"/>
              </w:rPr>
              <w:t xml:space="preserve">充电线</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智能小车有</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个智能附件连接接口，可连接智能风扇模块、智能弹射模块、智能驱动模块、矢量显示模块。可在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机专用软件上编程，对智能模块进行参数设置和控制。包含在计算机运行的专用软件及在移动设备上运行的APP，配合智能小车及配套装置完成力学、运动学的多个实验。</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智能小车主要技术参数：</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1、力：测量范围：±20N；分辨率：0.001N；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2、位移：分度：0.1cm；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3、速度：最大速度：±3m/S；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4、加速度：测量范围：±156.8m/S2 （±16g）；分度0.01m/S2；</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5、陀螺仪：测量范围：±2000°/S，分度1°/S；</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以上数据无线最高采样率：200Hz。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智能风扇模块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含风扇装置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套、挡风板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个及固定柱</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条。风扇装置通过专用连接线与智能小车连接，可在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机专用软件上进行运行控制和参数设置。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风速：3档；</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风向：正向或反向。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智能弹射模块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含弹射装置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套、调平螺栓</w:t>
            </w:r>
            <w:r>
              <w:rPr>
                <w:rStyle w:val="900"/>
                <w:rFonts w:hint="eastAsia" w:ascii="宋体" w:hAnsi="宋体" w:eastAsia="宋体" w:cs="宋体"/>
                <w:sz w:val="24"/>
                <w:szCs w:val="24"/>
                <w:lang w:val="en-US" w:eastAsia="zh-CN" w:bidi="ar"/>
              </w:rPr>
              <w:t xml:space="preserve">4</w:t>
            </w:r>
            <w:r>
              <w:rPr>
                <w:rStyle w:val="901"/>
                <w:rFonts w:hint="eastAsia" w:ascii="宋体" w:hAnsi="宋体" w:eastAsia="宋体" w:cs="宋体"/>
                <w:sz w:val="24"/>
                <w:szCs w:val="24"/>
                <w:lang w:val="en-US" w:eastAsia="zh-CN" w:bidi="ar"/>
              </w:rPr>
              <w:t xml:space="preserve">只、紧固螺栓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只、弹簧</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条、专用连接线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条。弹射装置通过专用连接线与智能小车连接，可在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机专用软件上进行弹射控制和参数设置。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弹射高度：50cm；</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弹射方式：可编程连续弹射次数及弹射间隔时间。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矢量显示模块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含矢量显示装置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条。矢量模块通过专用连接线与智能小车连接，并在专用软件上进行显示设置。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显示数据：力、加速度或速度；</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显示方式：红色或绿色LED指示数据大小和方向，LED点亮的多少与小车的数据大小成正比，红色或绿色显示数据的方向；OLED屏显示当前数据类型；</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设置方式：按键或专用软件设置显示数据类型。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智能驱动模块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含驱动装置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条。驱动装置通过专用连接线与智能小车连接，可在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机专用软件上进行运动控制和参数设置。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速度范围：0~100；分度：1；</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运行方向：正向或反向。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轨道及附件</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w:t>
            </w:r>
            <w:r>
              <w:rPr>
                <w:rStyle w:val="900"/>
                <w:rFonts w:hint="eastAsia" w:ascii="宋体" w:hAnsi="宋体" w:eastAsia="宋体" w:cs="宋体"/>
                <w:sz w:val="24"/>
                <w:szCs w:val="24"/>
                <w:lang w:val="en-US" w:eastAsia="zh-CN" w:bidi="ar"/>
              </w:rPr>
              <w:t xml:space="preserve">1.2m</w:t>
            </w:r>
            <w:r>
              <w:rPr>
                <w:rStyle w:val="901"/>
                <w:rFonts w:hint="eastAsia" w:ascii="宋体" w:hAnsi="宋体" w:eastAsia="宋体" w:cs="宋体"/>
                <w:sz w:val="24"/>
                <w:szCs w:val="24"/>
                <w:lang w:val="en-US" w:eastAsia="zh-CN" w:bidi="ar"/>
              </w:rPr>
              <w:t xml:space="preserve">专用轨道</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条、、弹簧</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条、固定柱</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5</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4</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50</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块、</w:t>
            </w:r>
            <w:r>
              <w:rPr>
                <w:rStyle w:val="900"/>
                <w:rFonts w:hint="eastAsia" w:ascii="宋体" w:hAnsi="宋体" w:eastAsia="宋体" w:cs="宋体"/>
                <w:sz w:val="24"/>
                <w:szCs w:val="24"/>
                <w:lang w:val="en-US" w:eastAsia="zh-CN" w:bidi="ar"/>
              </w:rPr>
              <w:t xml:space="preserve">100</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块、沙桶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只、滑轮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套、磁碰座架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只、轨道倾角调节器</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w:t>
            </w:r>
            <w:r>
              <w:rPr>
                <w:rStyle w:val="900"/>
                <w:rFonts w:hint="eastAsia" w:ascii="宋体" w:hAnsi="宋体" w:eastAsia="宋体" w:cs="宋体"/>
                <w:sz w:val="24"/>
                <w:szCs w:val="24"/>
                <w:lang w:val="en-US" w:eastAsia="zh-CN" w:bidi="ar"/>
              </w:rPr>
              <w:t xml:space="preserve">T</w:t>
            </w:r>
            <w:r>
              <w:rPr>
                <w:rStyle w:val="901"/>
                <w:rFonts w:hint="eastAsia" w:ascii="宋体" w:hAnsi="宋体" w:eastAsia="宋体" w:cs="宋体"/>
                <w:sz w:val="24"/>
                <w:szCs w:val="24"/>
                <w:lang w:val="en-US" w:eastAsia="zh-CN" w:bidi="ar"/>
              </w:rPr>
              <w:t xml:space="preserve">型支撑架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L</w:t>
            </w:r>
            <w:r>
              <w:rPr>
                <w:rStyle w:val="901"/>
                <w:rFonts w:hint="eastAsia" w:ascii="宋体" w:hAnsi="宋体" w:eastAsia="宋体" w:cs="宋体"/>
                <w:sz w:val="24"/>
                <w:szCs w:val="24"/>
                <w:lang w:val="en-US" w:eastAsia="zh-CN" w:bidi="ar"/>
              </w:rPr>
              <w:t xml:space="preserve">型支架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I</w:t>
            </w:r>
            <w:r>
              <w:rPr>
                <w:rStyle w:val="901"/>
                <w:rFonts w:hint="eastAsia" w:ascii="宋体" w:hAnsi="宋体" w:eastAsia="宋体" w:cs="宋体"/>
                <w:sz w:val="24"/>
                <w:szCs w:val="24"/>
                <w:lang w:val="en-US" w:eastAsia="zh-CN" w:bidi="ar"/>
              </w:rPr>
              <w:t xml:space="preserve">型支架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只、策动源</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套、紧固件一宗。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w:t>
            </w:r>
            <w:r>
              <w:rPr>
                <w:rStyle w:val="900"/>
                <w:rFonts w:hint="eastAsia" w:ascii="宋体" w:hAnsi="宋体" w:eastAsia="宋体" w:cs="宋体"/>
                <w:sz w:val="24"/>
                <w:szCs w:val="24"/>
                <w:lang w:val="en-US" w:eastAsia="zh-CN" w:bidi="ar"/>
              </w:rPr>
              <w:t xml:space="preserve">-</w:t>
            </w:r>
            <w:r>
              <w:rPr>
                <w:rStyle w:val="901"/>
                <w:rFonts w:hint="eastAsia" w:ascii="宋体" w:hAnsi="宋体" w:eastAsia="宋体" w:cs="宋体"/>
                <w:sz w:val="24"/>
                <w:szCs w:val="24"/>
                <w:lang w:val="en-US" w:eastAsia="zh-CN" w:bidi="ar"/>
              </w:rPr>
              <w:t xml:space="preserve">凹凸桥实验器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由桥形支架、滚轮、条形锁紧装置、</w:t>
            </w:r>
            <w:r>
              <w:rPr>
                <w:rStyle w:val="900"/>
                <w:rFonts w:hint="eastAsia" w:ascii="宋体" w:hAnsi="宋体" w:eastAsia="宋体" w:cs="宋体"/>
                <w:sz w:val="24"/>
                <w:szCs w:val="24"/>
                <w:lang w:val="en-US" w:eastAsia="zh-CN" w:bidi="ar"/>
              </w:rPr>
              <w:t xml:space="preserve">USB Type-C</w:t>
            </w:r>
            <w:r>
              <w:rPr>
                <w:rStyle w:val="901"/>
                <w:rFonts w:hint="eastAsia" w:ascii="宋体" w:hAnsi="宋体" w:eastAsia="宋体" w:cs="宋体"/>
                <w:sz w:val="24"/>
                <w:szCs w:val="24"/>
                <w:lang w:val="en-US" w:eastAsia="zh-CN" w:bidi="ar"/>
              </w:rPr>
              <w:t xml:space="preserve">数据线构成，是魔板系统的拓展实验装置之一，与魔板配合使用，可用于探究物体运动过程中受力与所处位置之间的关系，能够定量展示物体在凹桥、凸桥上的超重、失重状态，可以测量轨道任意位置的受力情况。</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测力板</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w:t>
            </w:r>
            <w:r>
              <w:rPr>
                <w:rStyle w:val="902"/>
                <w:rFonts w:hint="eastAsia" w:ascii="宋体" w:hAnsi="宋体" w:eastAsia="宋体" w:cs="宋体"/>
                <w:sz w:val="24"/>
                <w:szCs w:val="24"/>
                <w:lang w:val="en-US" w:eastAsia="zh-CN" w:bidi="ar"/>
              </w:rPr>
              <w:t xml:space="preserve">-200N~+850N / -850N~+3500N</w:t>
            </w:r>
            <w:r>
              <w:rPr>
                <w:rFonts w:hint="eastAsia" w:ascii="宋体" w:hAnsi="宋体" w:eastAsia="宋体" w:cs="宋体"/>
                <w:i w:val="0"/>
                <w:iCs w:val="0"/>
                <w:color w:val="000000"/>
                <w:sz w:val="24"/>
                <w:szCs w:val="24"/>
                <w:u w:val="none"/>
                <w:lang w:val="en-US" w:eastAsia="zh-CN" w:bidi="ar"/>
              </w:rPr>
              <w:t xml:space="preserve">，分度：</w:t>
            </w:r>
            <w:r>
              <w:rPr>
                <w:rStyle w:val="902"/>
                <w:rFonts w:hint="eastAsia" w:ascii="宋体" w:hAnsi="宋体" w:eastAsia="宋体" w:cs="宋体"/>
                <w:sz w:val="24"/>
                <w:szCs w:val="24"/>
                <w:lang w:val="en-US" w:eastAsia="zh-CN" w:bidi="ar"/>
              </w:rPr>
              <w:t xml:space="preserve">0.1N</w:t>
            </w:r>
            <w:r>
              <w:rPr>
                <w:rFonts w:hint="eastAsia" w:ascii="宋体" w:hAnsi="宋体" w:eastAsia="宋体" w:cs="宋体"/>
                <w:i w:val="0"/>
                <w:iCs w:val="0"/>
                <w:color w:val="000000"/>
                <w:sz w:val="24"/>
                <w:szCs w:val="24"/>
                <w:u w:val="none"/>
                <w:lang w:val="en-US" w:eastAsia="zh-CN" w:bidi="ar"/>
              </w:rPr>
              <w:t xml:space="preserve">；用于人体称重、人体跳跃过程中的超重失重现象等实验。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等势线描绘仪</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由智能定位板、导电纸（耗材）、测量笔、负极连线、正电极柱、负电极柱、电极定位助手、强磁铁、条形电极、环形电极、USB Type-C数据线构成。电压测量范围：-20V~+20V；分度：0.01V。与等势线描绘专用软件配套使用，可完成等量异种点电荷电场、匀强电场、点电荷电场中的等势线描绘等实验。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光学实验系统-高中版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由长度1.2米轨道、可调光源座、光缝座、光屏座、相对光照度分布传感器、单缝、双缝、USB数据线构成。可完成高中物理中光的干涉、衍射实验。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Mini牛顿管实验器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i牛顿管实验器由牛顿管（含透明管、微型无线压强传感器、抽气阀门）、抽气装置、观测物体（金属、泡沫或羽毛）等构成。可以观察物体在空气中、近似真空状态下以及其他压强状态情况的下落过程。用于完成探究自由落体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通过安装移动终端，实时显示牛顿管内的压强及压强变化。</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无线向心力实验器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1、由三角稳固底座、金属支架、旋臂、配重杆、平衡杆、挡光臂、旋臂座、砝码、连接装置、紧固件、蓝牙适配器、电机控制系统构成。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2、旋臂内置光电门传感器测量系统、力传感器测量系统及无线发射电路，可自由旋转。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3、无线接收器与计算机USB接口通讯，无需另配数据采集器与传感器测量系统，内置光电门传感器测量系统可以精确记录每次挡光时间，并通过软件计算出旋臂的角速度；力传感器同步测量向心力的大小。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4、可以选择手动与电机驱动两种旋转模式；电机转动速度（0~30挡位）及转动方向可调。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5、可通过控制变量法，可描绘向心力与质量、角速度、运动半径的关系曲线，探究向心力与质量、角速度、角速度、运动半径的关系。</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学生用基本配置传感器部分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1.半透明外壳设计，内含状态、电源指示灯。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2.科学实验专用采集器，四通道并行采集，全数字通道，采样频率80K。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3.采集器支持USB即插即用，自动监测传感器接入或拔出，无须外接电源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4.可根据实验教学需要，选择接插有线接口或无线接收实现与传感器通讯。支持有线/无线状态下的四通道并行采集。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5.可进行四路声波传感器同步显示的高频采集实验。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功能检测至少包含：采集器支持采集器级联，可以实现不低于10套数据采集器同时连接；有线通讯下各路通道采样频率可达20K,满足不低于10通道声波/声级传感器数据并行采集，采集器可通过更换有线接口或无线接口实现有线通讯和无线通讯两种数据通讯方式。（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1.通过与各种传感器组合，使之具备独立数据显示功能。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2.自带1.77寸（±0.1寸）彩屏。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3.BT自锁接头，支持热插拔连接，接入任一可识别传感器，屏幕会显示该传感器的实时数据和单位并且显示数据应有变化。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4.具备自锁功能防止传感器脱落，并且可与计算机直接通讯。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5.可充电锂电池供电，可充电电池（3.6V）供电。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6.模块具备保存7万组数据的功能，可对保存的实验数据进行导出到计算机内、查看和处理数据。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7.带二维码可以与安卓、苹果系统移动采集终端无线数据同步传输。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1.量程：-5μA~+5μA；分度：0.01μA。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1.量程：-15mT~+15 mT；分度：0.01 mT；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4.传感器自带M6螺纹孔，轻松实现与多种实验装置的组装固定；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1.量程：-2N~+2N；分度：0.001N。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1.量程：-20N~+20N；分度：0.01N。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1.量程：0cm ~200cm，分度：1mm。无测量盲区。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2.由发射器和接收器构成，接收器与采集器连接，发射器由电池供电。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3.传感器易与现有实验装置（运动小车、弹簧振子等）组合。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1.分度：2μs，用于测量挡光片（U型、I型）的挡光时间。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1.量程：-50℃~+200℃；分度：0.1℃。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2.不锈钢探针，可测各种物体或溶液的温度。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 kPa ~700 kPa；分度：0.1 kPa。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2.可用于直接测量气体的绝对压强，配件：20mL注射器。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1.测量范围：-3A~+3A；分度：0.01A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测量范围：-300mA~+300mA；分度：1mA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测量范围：-30mA ~+30mA；分度：0.1 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▲8.低温存储试验、高温存储试验、恒定湿热试验检验合格。</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t xml:space="preserve">；</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▲9.功能检测至少包含：支持有线通讯、无线通讯和屏幕数据显示工作方式，连接插口采用BT接口，具有方向性和自锁功能，支持硬件调零和软件调零，满足Windows、Android、iOS平台。</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1.量程1：-20V~+20V、分度：0.01V；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量程2：-2V~+2V、分度：0.001V；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量程3：-0.2V~+0.2V、分度：0.0001V；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由铝合金主架、铝塑板面构成，内设隔断海棉内衬</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学生用标准配套实验器材部分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多用力学轨道</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1.基本配置：含1.2m铝合金轨道一条、轨道小车（滚轴）两台；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2.弹簧两根、50克配重片四块、挡光片四片（宽度分别为2、4、6、8cm）；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3.轨道座架一套、L型挂架两个及I型支架四个、滑轮一套、小车收集器一套；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4.小沙筒及4个5克配重块一组、小车缓冲装置一套、碰撞弹簧圈两个；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5.紧固件一套，受迫振动配套策动源一套。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▲6.铅、汞、砷、甲醛释放未检出。</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斜面上力的分解实验器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1.由主架和环形重物块构成。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2.环形物块质量：78g±5g。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3.外形尺寸：389mm*71mm*261mm(±5mm)。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4.标尺角度：0、30、45、60、90。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5.内置力传感器连接滚轴转动自然。能通过两个内置力传感器测量重物在两个垂直方向上分离的大小。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机械能守恒实验器I</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1.由主板、副板、光电门传感器固定臂、磁铁夹固定臂（含磁铁夹）、摆锤（含摆锤线）、定位档、中央螺母、中央螺栓、摆锤线固定栓、测平器、蝶形螺栓、通用螺栓构成。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2.主板标尺刻度：0mm、50mm、100mm、150mm，误差为±1mm；副板标尺刻度：0mm、50mm、100mm、150mm，误差为±1mm。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3.光电门固定在主板的后方，当调节中心螺栓和螺母的紧度时，固定臂既能任意调节，又能根据实验要求固定在主板的任意位置。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4.光电门传感器固定臂长454mm ±2mm。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5.磁铁夹固定臂长404 mm ±2mm。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6.摆锤的材质为金属铁质，摆锤直径：8mm±0.5mm，质量：8.2g±0.5g。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7.定位档片，能够准确定位，精确改变摆长。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8.测平器测平器外侧边缘应齐平，光滑，以便将光电门传感器精确定位。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9.与光电门传感器配合使用，可完成对机械能守恒定律定性和定量的探究。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1.高灵敏度、无源、塑壳封装、带屏蔽；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2.与微电流传感器配合，可测得切割地磁场产生的感生电流，也可测得不同电器的电磁辐射强度。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1.外形尺寸：112mm*40mm*45mm(±1mm)；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2.可接学生电源，通过磁传感器测量，螺线管中间位置可产生匀强磁场。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电磁感应与楞次定律实验器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1.该实验器由档位开关、线圈、接线柱和电路板组成。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2.与电流传感器配合使用，用于研究电磁感应现象。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3.档位开关分别与不同匝数相的线圈连接，探究线圈匝数与感应电流的关系。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4.可根据曲线的变化趋势分析感应电流的方向，并由此验证楞次定律。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1.由60cm铝合金轨道、摩擦台底座、多种摩擦块、匀速电机组成（无需外接电源）。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2.与力传感器配合使用，可实现探究摩擦面、物体重量、运动速度、接触面积等因素对摩擦力大小的影响，配合力传感器可实现有线方式、无线方式、数据独立显示模式。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▲3.铅、汞、砷、甲醛释放未检出。（投标文件中提供具有CMA标识的第三方检测机构出具的检测报告扫描件并加盖投标人公章）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向心力实验器</w:t>
            </w:r>
            <w:r>
              <w:rPr>
                <w:rStyle w:val="902"/>
                <w:rFonts w:hint="eastAsia" w:ascii="宋体" w:hAnsi="宋体" w:eastAsia="宋体" w:cs="宋体"/>
                <w:sz w:val="24"/>
                <w:szCs w:val="24"/>
                <w:lang w:val="en-US" w:eastAsia="zh-CN" w:bidi="ar"/>
              </w:rPr>
              <w:t xml:space="preserve">V2.0</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由主梁架、底座、砝码、旋臂、连接装置、紧固件与电机控制系统等构成。可以选择手动与电机驱动两种旋转模式；电机转动速度（</w:t>
            </w:r>
            <w:r>
              <w:rPr>
                <w:rStyle w:val="904"/>
                <w:rFonts w:hint="eastAsia" w:ascii="宋体" w:hAnsi="宋体" w:eastAsia="宋体" w:cs="宋体"/>
                <w:sz w:val="24"/>
                <w:szCs w:val="24"/>
                <w:lang w:val="en-US" w:eastAsia="zh-CN" w:bidi="ar"/>
              </w:rPr>
              <w:t xml:space="preserve">0~30rad/s</w:t>
            </w:r>
            <w:r>
              <w:rPr>
                <w:rStyle w:val="905"/>
                <w:rFonts w:hint="eastAsia" w:ascii="宋体" w:hAnsi="宋体" w:eastAsia="宋体" w:cs="宋体"/>
                <w:sz w:val="24"/>
                <w:szCs w:val="24"/>
                <w:lang w:val="en-US" w:eastAsia="zh-CN" w:bidi="ar"/>
              </w:rPr>
              <w:t xml:space="preserve">）及转动方向可调。可通过控制变量法，研究向心力分别与角速度、质量以及旋转半径的关系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由座架、支架、平抛轨道、光电门支架、内置式触碰传感器、小球、标尺游标、磁性回收器等组成。与光电门传感器配合，可测量平抛运动小球的初速度、运行时间与水平距离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由底座、磁铁组、标有角度的转盘、矩形线框、挂钩、支架组成，配合电流传感器和微力传感器使用，研究安培力与导线长度、供电电流大小以及电流方向与磁场夹角的关系。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由直径不同的铁、铁铬、镍铬三种金属丝组成，配合电流、电压传感器使用，探究导体的电阻与长度、截面积的关系</w:t>
            </w:r>
            <w:r/>
          </w:p>
        </w:tc>
      </w:tr>
    </w:tbl>
    <w:p>
      <w:pPr>
        <w:numPr>
          <w:ilvl w:val="0"/>
          <w:numId w:val="0"/>
        </w:numPr>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numPr>
          <w:ilvl w:val="0"/>
          <w:numId w:val="0"/>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四、</w:t>
      </w:r>
      <w:r>
        <w:rPr>
          <w:rFonts w:hint="eastAsia" w:ascii="Times New Roman" w:hAnsi="Times New Roman" w:eastAsia="宋体" w:cs="Times New Roman"/>
          <w:b/>
          <w:sz w:val="28"/>
          <w:szCs w:val="28"/>
        </w:rPr>
        <w:t xml:space="preserve">辅材、配件</w:t>
      </w:r>
      <w:r/>
    </w:p>
    <w:p>
      <w:pPr>
        <w:numPr>
          <w:ilvl w:val="0"/>
          <w:numId w:val="0"/>
        </w:numPr>
        <w:ind w:firstLine="480"/>
        <w:jc w:val="left"/>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2"/>
        <w:jc w:val="left"/>
        <w:spacing w:line="360" w:lineRule="auto"/>
        <w:rPr>
          <w:rFonts w:hint="eastAsia"/>
          <w:b/>
          <w:bCs w:val="0"/>
          <w:i/>
          <w:iCs w:val="0"/>
          <w:szCs w:val="21"/>
          <w:u w:val="single"/>
        </w:rPr>
      </w:pPr>
      <w:r>
        <w:rPr>
          <w:rFonts w:hint="eastAsia"/>
          <w:b/>
          <w:bCs w:val="0"/>
          <w:i/>
          <w:iCs w:val="0"/>
          <w:sz w:val="24"/>
          <w:szCs w:val="24"/>
          <w:u w:val="single"/>
        </w:rPr>
        <w:t xml:space="preserve">1</w:t>
      </w:r>
      <w:r>
        <w:rPr>
          <w:rFonts w:hint="eastAsia"/>
          <w:b/>
          <w:bCs w:val="0"/>
          <w:i/>
          <w:iCs w:val="0"/>
          <w:sz w:val="24"/>
          <w:szCs w:val="24"/>
          <w:u w:val="single"/>
          <w:lang w:eastAsia="zh-CN"/>
        </w:rPr>
        <w:t xml:space="preserve">.</w:t>
      </w:r>
      <w:r>
        <w:rPr>
          <w:rFonts w:hint="eastAsia"/>
          <w:b/>
          <w:bCs w:val="0"/>
          <w:i/>
          <w:iCs w:val="0"/>
          <w:sz w:val="24"/>
          <w:szCs w:val="24"/>
          <w:u w:val="single"/>
        </w:rPr>
        <w:t xml:space="preserve">交货期：</w:t>
      </w:r>
      <w:r>
        <w:rPr>
          <w:rFonts w:ascii="Calibri" w:hAnsi="Calibri" w:cs="Calibri"/>
          <w:b/>
          <w:bCs w:val="0"/>
          <w:i/>
          <w:iCs w:val="0"/>
          <w:color w:val="000000"/>
          <w:sz w:val="24"/>
          <w:szCs w:val="24"/>
          <w:u w:val="single"/>
        </w:rPr>
        <w:t xml:space="preserve">合同签订后</w:t>
      </w:r>
      <w:r>
        <w:rPr>
          <w:rFonts w:hint="eastAsia" w:ascii="Calibri" w:hAnsi="Calibri" w:cs="Calibri"/>
          <w:b/>
          <w:bCs w:val="0"/>
          <w:i/>
          <w:iCs w:val="0"/>
          <w:color w:val="000000"/>
          <w:sz w:val="24"/>
          <w:szCs w:val="24"/>
          <w:u w:val="single"/>
          <w:lang w:val="en-US" w:eastAsia="zh-CN"/>
        </w:rPr>
        <w:t xml:space="preserve">6</w:t>
      </w:r>
      <w:r>
        <w:rPr>
          <w:rFonts w:ascii="Calibri" w:hAnsi="Calibri" w:cs="Calibri"/>
          <w:b/>
          <w:bCs w:val="0"/>
          <w:i/>
          <w:iCs w:val="0"/>
          <w:color w:val="000000"/>
          <w:sz w:val="24"/>
          <w:szCs w:val="24"/>
          <w:u w:val="single"/>
        </w:rPr>
        <w:t xml:space="preserve">0天内完成安装调试，达到预期效果。</w:t>
      </w:r>
      <w:r>
        <w:rPr>
          <w:rFonts w:hint="eastAsia"/>
          <w:b/>
          <w:bCs w:val="0"/>
          <w:i/>
          <w:iCs w:val="0"/>
          <w:sz w:val="24"/>
          <w:szCs w:val="24"/>
          <w:u w:val="single"/>
        </w:rPr>
        <w:t xml:space="preserve">（投标文件中提供加盖投标人公章的承诺函，格式自拟，否则投标无效）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交货方式：现场交货。</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交货地点：</w:t>
      </w:r>
      <w:r>
        <w:rPr>
          <w:rFonts w:hint="eastAsia" w:ascii="宋体" w:hAnsi="宋体" w:eastAsia="宋体" w:cs="Times New Roman"/>
          <w:sz w:val="24"/>
          <w:szCs w:val="24"/>
          <w:highlight w:val="none"/>
          <w:lang w:val="en-US" w:eastAsia="zh-CN"/>
        </w:rPr>
        <w:t xml:space="preserve">江苏省海州高级中学</w:t>
      </w:r>
      <w:r>
        <w:rPr>
          <w:rFonts w:hint="eastAsia" w:ascii="宋体" w:hAnsi="宋体" w:eastAsia="宋体" w:cs="Times New Roman"/>
          <w:sz w:val="24"/>
          <w:szCs w:val="24"/>
          <w:highlight w:val="none"/>
        </w:rPr>
        <w:t xml:space="preserve">，具体地点以合同书约定为准。</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1</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2</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3</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采购人使用该货物的任何一部分，当受第三方提出的侵犯其专利权、商标权或工业设计权的投诉时，一切后果由中标人负责。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4</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安装和调试：中标供应商按采购人要求时间及地点负责全过程的施工、安装、调试、试运行工作</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5</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实施进度要求：</w:t>
      </w:r>
      <w:r>
        <w:rPr>
          <w:rFonts w:hint="eastAsia" w:ascii="Times New Roman" w:hAnsi="Times New Roman" w:cs="Times New Roman"/>
          <w:b w:val="0"/>
          <w:bCs/>
          <w:i w:val="0"/>
          <w:sz w:val="24"/>
          <w:szCs w:val="24"/>
          <w:u w:val="none"/>
          <w:lang w:val="en-US" w:eastAsia="zh-CN" w:bidi="ar-SA"/>
        </w:rPr>
        <w:t xml:space="preserve">中标人</w:t>
      </w:r>
      <w:r>
        <w:rPr>
          <w:rFonts w:hint="eastAsia" w:ascii="Times New Roman" w:hAnsi="Times New Roman" w:eastAsia="宋体" w:cs="Times New Roman"/>
          <w:b w:val="0"/>
          <w:bCs/>
          <w:i w:val="0"/>
          <w:sz w:val="24"/>
          <w:szCs w:val="24"/>
          <w:u w:val="none"/>
          <w:lang w:val="en-US" w:eastAsia="zh-CN" w:bidi="ar-SA"/>
        </w:rPr>
        <w:t xml:space="preserve">进场</w:t>
      </w:r>
      <w:r>
        <w:rPr>
          <w:rFonts w:hint="eastAsia" w:ascii="Times New Roman" w:hAnsi="Times New Roman" w:cs="Times New Roman"/>
          <w:b w:val="0"/>
          <w:bCs/>
          <w:i w:val="0"/>
          <w:sz w:val="24"/>
          <w:szCs w:val="24"/>
          <w:u w:val="none"/>
          <w:lang w:val="en-US" w:eastAsia="zh-CN" w:bidi="ar-SA"/>
        </w:rPr>
        <w:t xml:space="preserve">组织项目实施</w:t>
      </w:r>
      <w:r>
        <w:rPr>
          <w:rFonts w:hint="eastAsia" w:ascii="Times New Roman" w:hAnsi="Times New Roman" w:eastAsia="宋体" w:cs="Times New Roman"/>
          <w:b w:val="0"/>
          <w:bCs/>
          <w:i w:val="0"/>
          <w:sz w:val="24"/>
          <w:szCs w:val="24"/>
          <w:u w:val="none"/>
          <w:lang w:val="en-US" w:eastAsia="zh-CN" w:bidi="ar-SA"/>
        </w:rPr>
        <w:t xml:space="preserve">要提供</w:t>
      </w:r>
      <w:r>
        <w:rPr>
          <w:rFonts w:hint="eastAsia" w:ascii="Times New Roman" w:hAnsi="Times New Roman" w:cs="Times New Roman"/>
          <w:b w:val="0"/>
          <w:bCs/>
          <w:i w:val="0"/>
          <w:sz w:val="24"/>
          <w:szCs w:val="24"/>
          <w:u w:val="none"/>
          <w:lang w:val="en-US" w:eastAsia="zh-CN" w:bidi="ar-SA"/>
        </w:rPr>
        <w:t xml:space="preserve">项目</w:t>
      </w:r>
      <w:r>
        <w:rPr>
          <w:rFonts w:hint="eastAsia" w:ascii="Times New Roman" w:hAnsi="Times New Roman" w:eastAsia="宋体" w:cs="Times New Roman"/>
          <w:b w:val="0"/>
          <w:bCs/>
          <w:i w:val="0"/>
          <w:sz w:val="24"/>
          <w:szCs w:val="24"/>
          <w:u w:val="none"/>
          <w:lang w:val="en-US" w:eastAsia="zh-CN" w:bidi="ar-SA"/>
        </w:rPr>
        <w:t xml:space="preserve">进度计划表，</w:t>
      </w:r>
      <w:r>
        <w:rPr>
          <w:rFonts w:hint="eastAsia" w:ascii="Times New Roman" w:hAnsi="Times New Roman" w:cs="Times New Roman"/>
          <w:b w:val="0"/>
          <w:bCs/>
          <w:i w:val="0"/>
          <w:sz w:val="24"/>
          <w:szCs w:val="24"/>
          <w:u w:val="none"/>
          <w:lang w:val="en-US" w:eastAsia="zh-CN" w:bidi="ar-SA"/>
        </w:rPr>
        <w:t xml:space="preserve">项目</w:t>
      </w:r>
      <w:r>
        <w:rPr>
          <w:rFonts w:hint="eastAsia" w:ascii="Times New Roman" w:hAnsi="Times New Roman" w:eastAsia="宋体" w:cs="Times New Roman"/>
          <w:b w:val="0"/>
          <w:bCs/>
          <w:i w:val="0"/>
          <w:sz w:val="24"/>
          <w:szCs w:val="24"/>
          <w:u w:val="none"/>
          <w:lang w:val="en-US" w:eastAsia="zh-CN" w:bidi="ar-SA"/>
        </w:rPr>
        <w:t xml:space="preserve">进度计划表需要</w:t>
      </w:r>
      <w:r>
        <w:rPr>
          <w:rFonts w:hint="eastAsia" w:ascii="Times New Roman" w:hAnsi="Times New Roman" w:cs="Times New Roman"/>
          <w:b w:val="0"/>
          <w:bCs/>
          <w:i w:val="0"/>
          <w:sz w:val="24"/>
          <w:szCs w:val="24"/>
          <w:u w:val="none"/>
          <w:lang w:val="en-US" w:eastAsia="zh-CN" w:bidi="ar-SA"/>
        </w:rPr>
        <w:t xml:space="preserve">提前提交采购人</w:t>
      </w:r>
      <w:r>
        <w:rPr>
          <w:rFonts w:hint="eastAsia" w:ascii="Times New Roman" w:hAnsi="Times New Roman" w:eastAsia="宋体" w:cs="Times New Roman"/>
          <w:b w:val="0"/>
          <w:bCs/>
          <w:i w:val="0"/>
          <w:sz w:val="24"/>
          <w:szCs w:val="24"/>
          <w:u w:val="none"/>
          <w:lang w:val="en-US" w:eastAsia="zh-CN" w:bidi="ar-SA"/>
        </w:rPr>
        <w:t xml:space="preserve">确认。</w:t>
      </w:r>
      <w:r>
        <w:rPr>
          <w:rFonts w:hint="eastAsia" w:ascii="Times New Roman" w:hAnsi="Times New Roman" w:cs="Times New Roman"/>
          <w:b w:val="0"/>
          <w:bCs/>
          <w:i w:val="0"/>
          <w:sz w:val="24"/>
          <w:szCs w:val="24"/>
          <w:u w:val="none"/>
          <w:lang w:val="en-US" w:eastAsia="zh-CN" w:bidi="ar-SA"/>
        </w:rPr>
        <w:t xml:space="preserve">中标人</w:t>
      </w:r>
      <w:r>
        <w:rPr>
          <w:rFonts w:hint="eastAsia" w:ascii="Times New Roman" w:hAnsi="Times New Roman" w:eastAsia="宋体" w:cs="Times New Roman"/>
          <w:b w:val="0"/>
          <w:bCs/>
          <w:i w:val="0"/>
          <w:sz w:val="24"/>
          <w:szCs w:val="24"/>
          <w:u w:val="none"/>
          <w:lang w:val="en-US" w:eastAsia="zh-CN" w:bidi="ar-SA"/>
        </w:rPr>
        <w:t xml:space="preserve">保证</w:t>
      </w:r>
      <w:r>
        <w:rPr>
          <w:rFonts w:hint="eastAsia" w:ascii="Times New Roman" w:hAnsi="Times New Roman" w:cs="Times New Roman"/>
          <w:b w:val="0"/>
          <w:bCs/>
          <w:i w:val="0"/>
          <w:sz w:val="24"/>
          <w:szCs w:val="24"/>
          <w:u w:val="none"/>
          <w:lang w:val="en-US" w:eastAsia="zh-CN" w:bidi="ar-SA"/>
        </w:rPr>
        <w:t xml:space="preserve">拟派的</w:t>
      </w:r>
      <w:r>
        <w:rPr>
          <w:rFonts w:hint="eastAsia" w:ascii="Times New Roman" w:hAnsi="Times New Roman" w:eastAsia="宋体" w:cs="Times New Roman"/>
          <w:b w:val="0"/>
          <w:bCs/>
          <w:i w:val="0"/>
          <w:sz w:val="24"/>
          <w:szCs w:val="24"/>
          <w:u w:val="none"/>
          <w:lang w:val="en-US" w:eastAsia="zh-CN" w:bidi="ar-SA"/>
        </w:rPr>
        <w:t xml:space="preserve">项目实施</w:t>
      </w:r>
      <w:r>
        <w:rPr>
          <w:rFonts w:hint="eastAsia" w:ascii="Times New Roman" w:hAnsi="Times New Roman" w:cs="Times New Roman"/>
          <w:b w:val="0"/>
          <w:bCs/>
          <w:i w:val="0"/>
          <w:sz w:val="24"/>
          <w:szCs w:val="24"/>
          <w:u w:val="none"/>
          <w:lang w:val="en-US" w:eastAsia="zh-CN" w:bidi="ar-SA"/>
        </w:rPr>
        <w:t xml:space="preserve">人员及</w:t>
      </w:r>
      <w:r>
        <w:rPr>
          <w:rFonts w:hint="eastAsia" w:ascii="Times New Roman" w:hAnsi="Times New Roman" w:eastAsia="宋体" w:cs="Times New Roman"/>
          <w:b w:val="0"/>
          <w:bCs/>
          <w:i w:val="0"/>
          <w:sz w:val="24"/>
          <w:szCs w:val="24"/>
          <w:u w:val="none"/>
          <w:lang w:val="en-US" w:eastAsia="zh-CN" w:bidi="ar-SA"/>
        </w:rPr>
        <w:t xml:space="preserve">技术力量</w:t>
      </w:r>
      <w:r>
        <w:rPr>
          <w:rFonts w:hint="eastAsia" w:ascii="Times New Roman" w:hAnsi="Times New Roman" w:cs="Times New Roman"/>
          <w:b w:val="0"/>
          <w:bCs/>
          <w:i w:val="0"/>
          <w:sz w:val="24"/>
          <w:szCs w:val="24"/>
          <w:u w:val="none"/>
          <w:lang w:val="en-US" w:eastAsia="zh-CN" w:bidi="ar-SA"/>
        </w:rPr>
        <w:t xml:space="preserve">符合项目要求，确保项目</w:t>
      </w:r>
      <w:r>
        <w:rPr>
          <w:rFonts w:hint="eastAsia" w:ascii="Times New Roman" w:hAnsi="Times New Roman" w:eastAsia="宋体" w:cs="Times New Roman"/>
          <w:b w:val="0"/>
          <w:bCs/>
          <w:i w:val="0"/>
          <w:sz w:val="24"/>
          <w:szCs w:val="24"/>
          <w:u w:val="none"/>
          <w:lang w:val="en-US" w:eastAsia="zh-CN" w:bidi="ar-SA"/>
        </w:rPr>
        <w:t xml:space="preserve">按时完工</w:t>
      </w:r>
      <w:r>
        <w:rPr>
          <w:rFonts w:hint="eastAsia" w:ascii="Times New Roman" w:hAnsi="Times New Roman" w:cs="Times New Roman"/>
          <w:b w:val="0"/>
          <w:bCs/>
          <w:i w:val="0"/>
          <w:sz w:val="24"/>
          <w:szCs w:val="24"/>
          <w:u w:val="none"/>
          <w:lang w:val="en-US" w:eastAsia="zh-CN" w:bidi="ar-SA"/>
        </w:rPr>
        <w:t xml:space="preserve">。</w:t>
      </w:r>
      <w:r/>
    </w:p>
    <w:p>
      <w:pPr>
        <w:pStyle w:val="893"/>
        <w:rPr>
          <w:rFonts w:hint="eastAsia" w:ascii="宋体" w:hAnsi="宋体" w:eastAsia="宋体" w:cs="宋体"/>
          <w:b w:val="0"/>
          <w:bCs/>
          <w:i w:val="0"/>
          <w:sz w:val="24"/>
          <w:szCs w:val="24"/>
          <w:highlight w:val="none"/>
          <w:u w:val="none"/>
          <w:lang w:val="en-US" w:eastAsia="zh-CN" w:bidi="ar-SA"/>
        </w:rPr>
      </w:pPr>
      <w:r>
        <w:rPr>
          <w:rFonts w:hint="eastAsia" w:ascii="宋体" w:hAnsi="宋体" w:eastAsia="宋体" w:cs="宋体"/>
          <w:b w:val="0"/>
          <w:bCs/>
          <w:i w:val="0"/>
          <w:sz w:val="24"/>
          <w:szCs w:val="24"/>
          <w:highlight w:val="none"/>
          <w:u w:val="none"/>
          <w:lang w:val="en-US" w:eastAsia="zh-CN" w:bidi="ar-SA"/>
        </w:rPr>
        <w:t xml:space="preserve">6.项目实施安全要求：中标人在项目实施过程中，应严格遵守安全工作的相关规范，应按相应安全规程操作，如在项目实施过程中发生安全事故，责任由中标人自负。</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1.《家具表面漆膜理化性能试验第1部分：耐冷液测定法》GB/T4893.1-2021</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2.《增强塑料巴柯尔硬度试验方法》GB/T3854-2017</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3.《绿色产品评价人造板和木质地板》GB/T35601-2017</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4.《塑料家具通用技术条件》GB/T32487-2016</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5.《建筑材料放射性核素限量》GB6566-2010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6.《建筑材料及制品燃烧性能分级》GB8624-2012</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7.《建筑材料或制品的单体燃烧试验》GB/T20284-2006</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8.《建筑材料可燃性试验方法》GB/T8626-2007</w:t>
      </w:r>
      <w:r/>
    </w:p>
    <w:p>
      <w:pPr>
        <w:ind w:firstLine="480"/>
        <w:spacing w:line="360" w:lineRule="auto"/>
        <w:rPr>
          <w:rFonts w:hint="eastAsia" w:ascii="Times New Roman" w:hAnsi="Times New Roman" w:eastAsia="宋体" w:cs="Times New Roman"/>
          <w:b/>
          <w:sz w:val="28"/>
          <w:szCs w:val="28"/>
          <w:lang w:eastAsia="zh-CN"/>
        </w:rPr>
      </w:pPr>
      <w:r>
        <w:rPr>
          <w:rFonts w:ascii="宋体" w:hAnsi="宋体" w:eastAsia="宋体" w:cs="宋体"/>
          <w:bCs/>
          <w:color w:val="000000" w:themeColor="text1"/>
          <w:sz w:val="24"/>
          <w:szCs w:val="24"/>
          <w14:textFill>
            <w14:solidFill>
              <w14:schemeClr w14:val="tx1"/>
            </w14:solidFill>
          </w14:textFill>
        </w:rPr>
        <w:t xml:space="preserve">本项目严格遵守并执行国家及行业现行的规范、标准及法律法规</w:t>
      </w:r>
      <w:r>
        <w:rPr>
          <w:rFonts w:hint="eastAsia" w:ascii="宋体" w:hAnsi="宋体" w:eastAsia="宋体" w:cs="宋体"/>
          <w:bCs/>
          <w:color w:val="000000" w:themeColor="text1"/>
          <w:sz w:val="24"/>
          <w:szCs w:val="24"/>
          <w14:textFill>
            <w14:solidFill>
              <w14:schemeClr w14:val="tx1"/>
            </w14:solidFill>
          </w14:textFill>
        </w:rPr>
        <w:t xml:space="preserve">，若项目执行期间有新标准发布，则投标人应主动更新并遵循最新标准执行，以确保项目质量、安全及环保性能达到最高水平。</w:t>
      </w:r>
      <w:r/>
    </w:p>
    <w:p>
      <w:pPr>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八、人员配备要求</w:t>
      </w:r>
      <w:r/>
    </w:p>
    <w:p>
      <w:pPr>
        <w:ind w:firstLine="562"/>
        <w:jc w:val="left"/>
        <w:spacing w:line="360" w:lineRule="auto"/>
        <w:rPr>
          <w:rFonts w:ascii="宋体" w:hAnsi="宋体"/>
          <w:b/>
          <w:bCs/>
          <w:color w:val="000000"/>
          <w:sz w:val="24"/>
          <w:szCs w:val="21"/>
        </w:rPr>
      </w:pPr>
      <w:r>
        <w:rPr>
          <w:rFonts w:hint="eastAsia" w:ascii="宋体" w:hAnsi="宋体" w:cs="宋体"/>
          <w:sz w:val="24"/>
          <w:szCs w:val="24"/>
          <w:highlight w:val="none"/>
        </w:rPr>
        <w:t xml:space="preserve">为保证项目实施，本项目需配</w:t>
      </w:r>
      <w:r>
        <w:rPr>
          <w:rFonts w:hint="eastAsia" w:ascii="宋体" w:hAnsi="宋体" w:cs="宋体"/>
          <w:sz w:val="24"/>
          <w:szCs w:val="24"/>
        </w:rPr>
        <w:t xml:space="preserve">备</w:t>
      </w:r>
      <w:r>
        <w:rPr>
          <w:rFonts w:hint="eastAsia" w:ascii="宋体" w:hAnsi="宋体" w:cs="宋体"/>
          <w:sz w:val="24"/>
          <w:szCs w:val="24"/>
          <w:lang w:eastAsia="zh-CN"/>
        </w:rPr>
        <w:t xml:space="preserve">专业的</w:t>
      </w:r>
      <w:r>
        <w:rPr>
          <w:rFonts w:hint="eastAsia" w:ascii="宋体" w:hAnsi="宋体" w:cs="宋体"/>
          <w:sz w:val="24"/>
          <w:szCs w:val="24"/>
        </w:rPr>
        <w:t xml:space="preserve">项目实施团队，包含项目负责人1名，及若干专业技术人员。</w:t>
      </w:r>
      <w:r>
        <w:rPr>
          <w:rFonts w:hint="eastAsia" w:ascii="宋体" w:hAnsi="宋体" w:eastAsia="宋体" w:cs="Times New Roman"/>
          <w:sz w:val="24"/>
          <w:szCs w:val="24"/>
        </w:rPr>
        <w:t xml:space="preserve">拟派</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rPr>
        <w:t xml:space="preserve">项目负责人具体负责项目全过程的各项工作，把握项目进度、质量把控、产品验收、包装运输、指导安装、调试及验收等，</w:t>
      </w:r>
      <w:r>
        <w:rPr>
          <w:rFonts w:hint="eastAsia" w:ascii="宋体" w:hAnsi="宋体"/>
          <w:color w:val="000000"/>
          <w:sz w:val="24"/>
          <w:szCs w:val="21"/>
          <w:highlight w:val="none"/>
        </w:rPr>
        <w:t xml:space="preserve">具有信息系统项目管理、</w:t>
      </w:r>
      <w:r>
        <w:rPr>
          <w:rFonts w:hint="eastAsia" w:ascii="宋体" w:hAnsi="宋体"/>
          <w:color w:val="000000"/>
          <w:sz w:val="24"/>
          <w:szCs w:val="21"/>
          <w:highlight w:val="none"/>
          <w:lang w:val="en-US" w:eastAsia="zh-CN"/>
        </w:rPr>
        <w:t xml:space="preserve">电子信息、</w:t>
      </w:r>
      <w:r>
        <w:rPr>
          <w:rFonts w:hint="eastAsia" w:ascii="宋体" w:hAnsi="宋体"/>
          <w:color w:val="000000"/>
          <w:sz w:val="24"/>
          <w:szCs w:val="21"/>
          <w:highlight w:val="none"/>
        </w:rPr>
        <w:t xml:space="preserve">信息安全管理</w:t>
      </w:r>
      <w:r>
        <w:rPr>
          <w:rFonts w:hint="eastAsia" w:ascii="宋体" w:hAnsi="宋体"/>
          <w:color w:val="000000"/>
          <w:sz w:val="24"/>
          <w:szCs w:val="21"/>
          <w:highlight w:val="none"/>
          <w:lang w:eastAsia="zh-CN"/>
        </w:rPr>
        <w:t xml:space="preserve">等方面的专业技术，</w:t>
      </w:r>
      <w:r>
        <w:rPr>
          <w:rFonts w:hint="eastAsia" w:ascii="宋体" w:hAnsi="宋体" w:eastAsia="宋体" w:cs="Times New Roman"/>
          <w:sz w:val="24"/>
          <w:szCs w:val="24"/>
        </w:rPr>
        <w:t xml:space="preserve">有实验室设备</w:t>
      </w:r>
      <w:r>
        <w:rPr>
          <w:rFonts w:hint="eastAsia" w:ascii="宋体" w:hAnsi="宋体" w:eastAsia="宋体" w:cs="Times New Roman"/>
          <w:sz w:val="24"/>
          <w:szCs w:val="24"/>
          <w:lang w:eastAsia="zh-CN"/>
        </w:rPr>
        <w:t xml:space="preserve">建设改造</w:t>
      </w:r>
      <w:r>
        <w:rPr>
          <w:rFonts w:hint="eastAsia" w:ascii="宋体" w:hAnsi="宋体" w:eastAsia="宋体" w:cs="Times New Roman"/>
          <w:sz w:val="24"/>
          <w:szCs w:val="24"/>
        </w:rPr>
        <w:t xml:space="preserve">、相关软件运行维护等经验，</w:t>
      </w:r>
      <w:r>
        <w:rPr>
          <w:rFonts w:hint="eastAsia" w:ascii="宋体" w:hAnsi="宋体" w:eastAsia="宋体" w:cs="Times New Roman"/>
          <w:sz w:val="24"/>
          <w:szCs w:val="24"/>
          <w:lang w:eastAsia="zh-CN"/>
        </w:rPr>
        <w:t xml:space="preserve">能够</w:t>
      </w:r>
      <w:r>
        <w:rPr>
          <w:rFonts w:hint="eastAsia" w:ascii="宋体" w:hAnsi="宋体" w:eastAsia="宋体" w:cs="Times New Roman"/>
          <w:sz w:val="24"/>
          <w:szCs w:val="24"/>
        </w:rPr>
        <w:t xml:space="preserve">及时与采购人对接工作，指导项目团队成员认真完成每一项工作。拟派的</w:t>
      </w:r>
      <w:r>
        <w:rPr>
          <w:rFonts w:hint="eastAsia" w:ascii="宋体" w:hAnsi="宋体" w:cs="宋体"/>
          <w:color w:val="000000"/>
          <w:sz w:val="24"/>
          <w:szCs w:val="24"/>
        </w:rPr>
        <w:t xml:space="preserve">项目团队成员</w:t>
      </w:r>
      <w:r>
        <w:rPr>
          <w:rFonts w:hint="eastAsia" w:ascii="宋体" w:hAnsi="宋体" w:eastAsia="宋体" w:cs="Times New Roman"/>
          <w:sz w:val="24"/>
          <w:szCs w:val="24"/>
        </w:rPr>
        <w:t xml:space="preserve">需为专业人员，且具有参与类似项目的经验，具有</w:t>
      </w:r>
      <w:r>
        <w:rPr>
          <w:rFonts w:hint="eastAsia" w:ascii="宋体" w:hAnsi="宋体"/>
          <w:color w:val="000000"/>
          <w:sz w:val="24"/>
          <w:szCs w:val="21"/>
        </w:rPr>
        <w:t xml:space="preserve">网络工程、IT服务、信息安全、系统集成项目管理</w:t>
      </w:r>
      <w:r>
        <w:rPr>
          <w:rFonts w:hint="eastAsia" w:ascii="宋体" w:hAnsi="宋体"/>
          <w:color w:val="000000"/>
          <w:sz w:val="24"/>
          <w:szCs w:val="21"/>
          <w:lang w:eastAsia="zh-CN"/>
        </w:rPr>
        <w:t xml:space="preserve">等方面的专业技术</w:t>
      </w:r>
      <w:r>
        <w:rPr>
          <w:rFonts w:hint="eastAsia" w:ascii="宋体" w:hAnsi="宋体"/>
          <w:color w:val="000000"/>
          <w:sz w:val="24"/>
          <w:szCs w:val="21"/>
        </w:rPr>
        <w:t xml:space="preserve">，</w:t>
      </w:r>
      <w:r>
        <w:rPr>
          <w:rFonts w:hint="eastAsia" w:ascii="宋体" w:hAnsi="宋体" w:eastAsia="宋体" w:cs="Times New Roman"/>
          <w:sz w:val="24"/>
          <w:szCs w:val="24"/>
        </w:rPr>
        <w:t xml:space="preserve">保证项目实施质量</w:t>
      </w:r>
      <w:r>
        <w:rPr>
          <w:rFonts w:hint="eastAsia" w:ascii="宋体" w:hAnsi="宋体" w:eastAsia="宋体" w:cs="Times New Roman"/>
          <w:sz w:val="24"/>
          <w:szCs w:val="24"/>
          <w:lang w:eastAsia="zh-CN"/>
        </w:rPr>
        <w:t xml:space="preserve">和相关信息数据安全</w:t>
      </w:r>
      <w:r>
        <w:rPr>
          <w:rFonts w:hint="eastAsia" w:ascii="宋体" w:hAnsi="宋体" w:eastAsia="宋体" w:cs="Times New Roman"/>
          <w:sz w:val="24"/>
          <w:szCs w:val="24"/>
        </w:rPr>
        <w:t xml:space="preserve">。</w:t>
      </w:r>
      <w:r/>
    </w:p>
    <w:p>
      <w:p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九</w:t>
      </w:r>
      <w:r>
        <w:rPr>
          <w:rFonts w:hint="eastAsia" w:ascii="Times New Roman" w:hAnsi="Times New Roman" w:eastAsia="宋体" w:cs="Times New Roman"/>
          <w:b/>
          <w:sz w:val="28"/>
          <w:szCs w:val="28"/>
        </w:rPr>
        <w:t xml:space="preserve">、履约验收要求</w:t>
      </w:r>
      <w:r/>
    </w:p>
    <w:p>
      <w:pPr>
        <w:ind w:firstLine="480"/>
        <w:jc w:val="left"/>
        <w:spacing w:line="360" w:lineRule="auto"/>
        <w:rPr>
          <w:rFonts w:hint="eastAsia"/>
          <w:b w:val="0"/>
          <w:bCs/>
          <w:i w:val="0"/>
          <w:iCs/>
          <w:sz w:val="24"/>
          <w:szCs w:val="24"/>
          <w:u w:val="none"/>
        </w:rPr>
      </w:pPr>
      <w:r>
        <w:rPr>
          <w:rFonts w:hint="eastAsia"/>
          <w:b w:val="0"/>
          <w:bCs/>
          <w:i w:val="0"/>
          <w:iCs/>
          <w:sz w:val="24"/>
          <w:szCs w:val="24"/>
          <w:u w:val="none"/>
          <w:lang w:val="en-US" w:eastAsia="zh-CN"/>
        </w:rPr>
        <w:t xml:space="preserve">1.</w:t>
      </w:r>
      <w:r>
        <w:rPr>
          <w:rFonts w:hint="eastAsia"/>
          <w:b w:val="0"/>
          <w:bCs/>
          <w:i w:val="0"/>
          <w:iCs/>
          <w:sz w:val="24"/>
          <w:szCs w:val="24"/>
          <w:u w:val="none"/>
        </w:rPr>
        <w:t xml:space="preserve">中标人须在合同签订后</w:t>
      </w:r>
      <w:r>
        <w:rPr>
          <w:rFonts w:hint="eastAsia"/>
          <w:b w:val="0"/>
          <w:bCs/>
          <w:i w:val="0"/>
          <w:iCs/>
          <w:sz w:val="24"/>
          <w:szCs w:val="24"/>
          <w:u w:val="none"/>
          <w:lang w:val="en-US" w:eastAsia="zh-CN"/>
        </w:rPr>
        <w:t xml:space="preserve">6</w:t>
      </w:r>
      <w:r>
        <w:rPr>
          <w:rFonts w:hint="eastAsia"/>
          <w:b w:val="0"/>
          <w:bCs/>
          <w:i w:val="0"/>
          <w:iCs/>
          <w:sz w:val="24"/>
          <w:szCs w:val="24"/>
          <w:u w:val="none"/>
        </w:rPr>
        <w:t xml:space="preserve">0天内完成合同内软硬件的安装、调试、试运行等工作，由采购人单位组织现场验收，设备按国家行业标准和招标文件、投标文件及合同约定的技术参数及功能指标要求进行验收，并出具项目验收报告。对于中标人未按合同约定提供设备或服务的，采购人具有依法追究其违约责任的权利。对于中标人提供虚假材料谋取中标、成交的，取消中标资格并依法予以处理。</w:t>
      </w:r>
      <w:r/>
    </w:p>
    <w:p>
      <w:pPr>
        <w:ind w:firstLine="420"/>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2.</w:t>
      </w:r>
      <w:r>
        <w:rPr>
          <w:rFonts w:hint="eastAsia" w:asciiTheme="minorHAnsi" w:hAnsiTheme="minorHAnsi" w:eastAsiaTheme="minorEastAsia" w:cstheme="minorBidi"/>
          <w:i w:val="0"/>
          <w:sz w:val="24"/>
          <w:szCs w:val="22"/>
          <w:u w:val="none"/>
          <w:lang w:val="en-US" w:eastAsia="zh-CN" w:bidi="ar-SA"/>
        </w:rPr>
        <w:t xml:space="preserve">中标人提供的货物在免费质保期内因货物本身的质量问题发生故障，中标人负责免费更换。</w:t>
      </w:r>
      <w:r/>
    </w:p>
    <w:p>
      <w:pPr>
        <w:ind w:firstLine="420"/>
        <w:jc w:val="left"/>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3.采购人对中标人</w:t>
      </w:r>
      <w:r>
        <w:rPr>
          <w:rFonts w:hint="eastAsia" w:asciiTheme="minorHAnsi" w:hAnsiTheme="minorHAnsi" w:eastAsiaTheme="minorEastAsia" w:cstheme="minorBidi"/>
          <w:i w:val="0"/>
          <w:sz w:val="24"/>
          <w:szCs w:val="22"/>
          <w:u w:val="none"/>
          <w:lang w:val="en-US" w:eastAsia="zh-CN" w:bidi="ar-SA"/>
        </w:rPr>
        <w:t xml:space="preserve">提交的货物依据招标文件上的技术规格要求和国家有关质量标准进行现场初步验收。</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交货前应对产品作出全面检查和对验收文件进行整理，并列出清单，作为</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收货验收和使用的技术条件依据，检验的结果应随货物交</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w:t>
      </w:r>
      <w:r>
        <w:rPr>
          <w:rFonts w:hint="eastAsia" w:cstheme="minorBidi"/>
          <w:i w:val="0"/>
          <w:sz w:val="24"/>
          <w:szCs w:val="22"/>
          <w:u w:val="none"/>
          <w:lang w:val="en-US" w:eastAsia="zh-CN" w:bidi="ar-SA"/>
        </w:rPr>
        <w:t xml:space="preserve">采购人对中标人</w:t>
      </w:r>
      <w:r>
        <w:rPr>
          <w:rFonts w:hint="eastAsia" w:asciiTheme="minorHAnsi" w:hAnsiTheme="minorHAnsi" w:eastAsiaTheme="minorEastAsia" w:cstheme="minorBidi"/>
          <w:i w:val="0"/>
          <w:sz w:val="24"/>
          <w:szCs w:val="22"/>
          <w:u w:val="none"/>
          <w:lang w:val="en-US" w:eastAsia="zh-CN" w:bidi="ar-SA"/>
        </w:rPr>
        <w:t xml:space="preserve">提供的货物在交付验收前，</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需负责安装并培训</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的使用操作人员，上述工作完成后</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应予最终验收。</w:t>
      </w:r>
      <w:r/>
    </w:p>
    <w:p>
      <w:pPr>
        <w:ind w:firstLine="420"/>
        <w:jc w:val="left"/>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4.</w:t>
      </w:r>
      <w:r>
        <w:rPr>
          <w:rFonts w:hint="eastAsia" w:asciiTheme="minorHAnsi" w:hAnsiTheme="minorHAnsi" w:eastAsiaTheme="minorEastAsia" w:cstheme="minorBidi"/>
          <w:i w:val="0"/>
          <w:sz w:val="24"/>
          <w:szCs w:val="22"/>
          <w:u w:val="none"/>
          <w:lang w:val="en-US" w:eastAsia="zh-CN" w:bidi="ar-SA"/>
        </w:rPr>
        <w:t xml:space="preserve">硬件设备验收要求：相关硬件设备安装完成后，提交设备清单及说明书等资料，</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可申请进行硬件设备验收。采购人收到完整的材料后一个月内完成验收，形成</w:t>
      </w:r>
      <w:r>
        <w:rPr>
          <w:rFonts w:hint="eastAsia" w:cstheme="minorBidi"/>
          <w:i w:val="0"/>
          <w:sz w:val="24"/>
          <w:szCs w:val="22"/>
          <w:u w:val="none"/>
          <w:lang w:val="en-US" w:eastAsia="zh-CN" w:bidi="ar-SA"/>
        </w:rPr>
        <w:t xml:space="preserve">验收</w:t>
      </w:r>
      <w:r>
        <w:rPr>
          <w:rFonts w:hint="eastAsia" w:asciiTheme="minorHAnsi" w:hAnsiTheme="minorHAnsi" w:eastAsiaTheme="minorEastAsia" w:cstheme="minorBidi"/>
          <w:i w:val="0"/>
          <w:sz w:val="24"/>
          <w:szCs w:val="22"/>
          <w:u w:val="none"/>
          <w:lang w:val="en-US" w:eastAsia="zh-CN" w:bidi="ar-SA"/>
        </w:rPr>
        <w:t xml:space="preserve">意见，验收书双方共同签署。对于不满足要求的，提出整改，整改完成后再重新进行验收，直至符合招标文件要求。</w:t>
      </w:r>
      <w:r/>
    </w:p>
    <w:p>
      <w:pPr>
        <w:ind w:firstLine="420"/>
        <w:jc w:val="left"/>
        <w:spacing w:line="360" w:lineRule="auto"/>
        <w:rPr>
          <w:rFonts w:ascii="宋体" w:hAnsi="宋体" w:eastAsia="宋体" w:cs="Times New Roman"/>
          <w:sz w:val="24"/>
          <w:szCs w:val="24"/>
        </w:rPr>
      </w:pPr>
      <w:r>
        <w:rPr>
          <w:rFonts w:hint="eastAsia" w:cstheme="minorBidi"/>
          <w:i w:val="0"/>
          <w:sz w:val="24"/>
          <w:szCs w:val="22"/>
          <w:u w:val="none"/>
          <w:lang w:val="en-US" w:eastAsia="zh-CN" w:bidi="ar-SA"/>
        </w:rPr>
        <w:t xml:space="preserve">5.</w:t>
      </w:r>
      <w:r>
        <w:rPr>
          <w:rFonts w:hint="eastAsia" w:asciiTheme="minorHAnsi" w:hAnsiTheme="minorHAnsi" w:eastAsiaTheme="minorEastAsia" w:cstheme="minorBidi"/>
          <w:i w:val="0"/>
          <w:sz w:val="24"/>
          <w:szCs w:val="22"/>
          <w:u w:val="none"/>
          <w:lang w:val="en-US" w:eastAsia="zh-CN" w:bidi="ar-SA"/>
        </w:rPr>
        <w:t xml:space="preserve">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十</w:t>
      </w:r>
      <w:r>
        <w:rPr>
          <w:rFonts w:hint="eastAsia" w:ascii="Times New Roman" w:hAnsi="Times New Roman" w:eastAsia="宋体" w:cs="Times New Roman"/>
          <w:b/>
          <w:sz w:val="28"/>
          <w:szCs w:val="28"/>
        </w:rPr>
        <w:t xml:space="preserve">、培训要求</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保证项目建设质量，更好地满足采购人的需要，制定以下培训方案要求：</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1</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2</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培训对象：培训对象包括但不限于以下人员：设备使用人员、系统运行维护管理人员等。</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3</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培训方式：集中授课、现场应用操作指导等。</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4</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培训内容：内容包含但不限于系统总体情况进行介绍、应用操作、常见故障分析、系统运维工作等。</w:t>
      </w:r>
      <w:r/>
    </w:p>
    <w:p>
      <w:pPr>
        <w:ind w:firstLine="420"/>
        <w:jc w:val="left"/>
        <w:spacing w:line="360" w:lineRule="auto"/>
        <w:rPr>
          <w:rFonts w:ascii="Times New Roman" w:hAnsi="Times New Roman" w:eastAsia="宋体" w:cs="Times New Roman"/>
          <w:b/>
          <w:sz w:val="28"/>
          <w:szCs w:val="28"/>
        </w:rPr>
      </w:pPr>
      <w:r>
        <w:rPr>
          <w:rFonts w:hint="eastAsia" w:asciiTheme="minorHAnsi" w:hAnsiTheme="minorHAnsi" w:eastAsiaTheme="minorEastAsia" w:cstheme="minorBidi"/>
          <w:i w:val="0"/>
          <w:sz w:val="24"/>
          <w:szCs w:val="22"/>
          <w:u w:val="none"/>
          <w:lang w:val="en-US" w:eastAsia="zh-CN" w:bidi="ar-SA"/>
        </w:rPr>
        <w:t xml:space="preserve">5</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培训师资：原厂专业资深工程师、专业资格人员等。</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eastAsia="zh-CN"/>
        </w:rPr>
        <w:t xml:space="preserve">一</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b w:val="0"/>
          <w:bCs w:val="0"/>
          <w:i w:val="0"/>
          <w:iCs w:val="0"/>
          <w:sz w:val="24"/>
          <w:szCs w:val="24"/>
          <w:highlight w:val="none"/>
          <w:u w:val="none"/>
        </w:rPr>
      </w:pPr>
      <w:r>
        <w:rPr>
          <w:rFonts w:hint="eastAsia" w:ascii="Times New Roman" w:hAnsi="Times New Roman" w:eastAsia="宋体" w:cs="Times New Roman"/>
          <w:b w:val="0"/>
          <w:bCs w:val="0"/>
          <w:i w:val="0"/>
          <w:iCs w:val="0"/>
          <w:sz w:val="24"/>
          <w:szCs w:val="24"/>
          <w:highlight w:val="none"/>
          <w:u w:val="none"/>
          <w:lang w:val="en-US" w:eastAsia="zh-CN"/>
        </w:rPr>
        <w:t xml:space="preserve">1.</w:t>
      </w:r>
      <w:r>
        <w:rPr>
          <w:rFonts w:hint="eastAsia"/>
          <w:b w:val="0"/>
          <w:bCs w:val="0"/>
          <w:i w:val="0"/>
          <w:iCs w:val="0"/>
          <w:sz w:val="24"/>
          <w:szCs w:val="24"/>
          <w:highlight w:val="none"/>
          <w:u w:val="none"/>
        </w:rPr>
        <w:t xml:space="preserve">质保期：三年。</w:t>
      </w:r>
      <w:r/>
    </w:p>
    <w:p>
      <w:pPr>
        <w:ind w:firstLine="480"/>
        <w:jc w:val="left"/>
        <w:spacing w:line="360" w:lineRule="auto"/>
        <w:rPr>
          <w:rFonts w:hint="eastAsia"/>
          <w:b w:val="0"/>
          <w:bCs w:val="0"/>
          <w:i w:val="0"/>
          <w:iCs w:val="0"/>
          <w:sz w:val="24"/>
          <w:szCs w:val="24"/>
          <w:highlight w:val="none"/>
          <w:u w:val="none"/>
        </w:rPr>
      </w:pPr>
      <w:r>
        <w:rPr>
          <w:rFonts w:hint="eastAsia" w:ascii="Times New Roman" w:hAnsi="Times New Roman" w:eastAsia="宋体" w:cs="Times New Roman"/>
          <w:b w:val="0"/>
          <w:bCs w:val="0"/>
          <w:i w:val="0"/>
          <w:iCs w:val="0"/>
          <w:sz w:val="24"/>
          <w:szCs w:val="24"/>
          <w:highlight w:val="none"/>
          <w:u w:val="none"/>
          <w:lang w:val="en-US" w:eastAsia="zh-CN"/>
        </w:rPr>
        <w:t xml:space="preserve">2.</w:t>
      </w:r>
      <w:r>
        <w:rPr>
          <w:rFonts w:hint="eastAsia"/>
          <w:b w:val="0"/>
          <w:bCs w:val="0"/>
          <w:i w:val="0"/>
          <w:iCs w:val="0"/>
          <w:sz w:val="24"/>
          <w:szCs w:val="24"/>
          <w:highlight w:val="none"/>
          <w:u w:val="none"/>
        </w:rPr>
        <w:t xml:space="preserve">质保期间，中标人承担维修、保养、安检、调换、软件平台升级更新维护相关费用包含在预算内，采购方不再支付任何费用；对于采购方人为原因造成的故障，中标人只收取质保成本费用。</w:t>
      </w:r>
      <w:r/>
    </w:p>
    <w:p>
      <w:pPr>
        <w:ind w:firstLine="480"/>
        <w:jc w:val="left"/>
        <w:spacing w:line="360" w:lineRule="auto"/>
        <w:rPr>
          <w:rFonts w:hint="eastAsia" w:hAnsi="Times New Roman"/>
          <w:bCs/>
          <w:color w:val="000000"/>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hAnsi="Times New Roman"/>
          <w:bCs/>
          <w:color w:val="000000"/>
          <w:sz w:val="24"/>
          <w:szCs w:val="24"/>
          <w:highlight w:val="none"/>
        </w:rPr>
        <w:t xml:space="preserve">质保期内，一旦发生故障或质量问题，</w:t>
      </w:r>
      <w:r>
        <w:rPr>
          <w:rFonts w:hint="eastAsia" w:hAnsi="Times New Roman"/>
          <w:bCs/>
          <w:color w:val="000000"/>
          <w:sz w:val="24"/>
          <w:szCs w:val="24"/>
          <w:highlight w:val="none"/>
          <w:lang w:eastAsia="zh-CN"/>
        </w:rPr>
        <w:t xml:space="preserve">须</w:t>
      </w:r>
      <w:r>
        <w:rPr>
          <w:rStyle w:val="895"/>
          <w:rFonts w:hint="eastAsia" w:ascii="宋体" w:hAnsi="宋体" w:eastAsia="宋体" w:cs="宋体"/>
          <w:sz w:val="24"/>
          <w:szCs w:val="24"/>
          <w:highlight w:val="none"/>
          <w:lang w:val="en-US" w:eastAsia="zh-CN" w:bidi="ar"/>
        </w:rPr>
        <w:t xml:space="preserve">48小时内响应并解决问题。</w:t>
      </w:r>
      <w:r>
        <w:rPr>
          <w:rFonts w:hint="eastAsia" w:hAnsi="Times New Roman"/>
          <w:bCs/>
          <w:color w:val="000000"/>
          <w:sz w:val="24"/>
          <w:szCs w:val="24"/>
          <w:highlight w:val="none"/>
        </w:rPr>
        <w:t xml:space="preserve">如需要到现场解决的，12小时内组织人员到达现场，及时进行维修、更换或退货处理，费用由中标人负责。产品出现故障</w:t>
      </w:r>
      <w:r>
        <w:rPr>
          <w:rFonts w:hint="eastAsia" w:hAnsi="Times New Roman"/>
          <w:bCs/>
          <w:color w:val="000000"/>
          <w:sz w:val="24"/>
          <w:szCs w:val="24"/>
          <w:highlight w:val="none"/>
          <w:lang w:val="en-US" w:eastAsia="zh-CN"/>
        </w:rPr>
        <w:t xml:space="preserve">48</w:t>
      </w:r>
      <w:r>
        <w:rPr>
          <w:rFonts w:hint="eastAsia" w:hAnsi="Times New Roman"/>
          <w:bCs/>
          <w:color w:val="000000"/>
          <w:sz w:val="24"/>
          <w:szCs w:val="24"/>
          <w:highlight w:val="none"/>
        </w:rPr>
        <w:t xml:space="preserve">小时不能修复的，提供同等功能的货物供采购人使用，直至故障修复。</w:t>
      </w:r>
      <w:r>
        <w:rPr>
          <w:rFonts w:hint="eastAsia" w:hAnsi="Times New Roman"/>
          <w:bCs/>
          <w:color w:val="000000"/>
          <w:sz w:val="24"/>
          <w:szCs w:val="24"/>
          <w:highlight w:val="none"/>
          <w:lang w:eastAsia="zh-CN"/>
        </w:rPr>
        <w:t xml:space="preserve">质保期内因</w:t>
      </w:r>
      <w:r>
        <w:rPr>
          <w:rFonts w:hint="eastAsia" w:hAnsi="Times New Roman"/>
          <w:bCs/>
          <w:color w:val="000000"/>
          <w:sz w:val="24"/>
          <w:szCs w:val="24"/>
          <w:highlight w:val="none"/>
        </w:rPr>
        <w:t xml:space="preserve">产品本身质量原因造成的直接经济损失应由中标人负责。</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（1）商品包装层数不得超过3层，空隙率不大于40%；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（3）商品包装中铅、汞、镉、六价铬的总含量应不大于100mg/kg；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（4）商品包装印刷使用的油墨中挥发性有机化合物(VOCs)含量应不大于 5%（以重量计）；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（5）塑料材质商品包装上呈现的印刷颜色不得超过6色；</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（6）纸质商品包装应使用75%以上的可再生纤维原料生产；</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（7）木质商品包装的原料应来源于可持续性森林。</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2.快递包装环保要求：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（1）快递包装中重金属（铅、汞、镉、六价铬）总量应不大于100mg/kg；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（3）快递包装中使用纸基材的包装材料，纸基材中的有机氯的含量应不大于150mg/kg；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（5）快递中使用的塑料包装袋不得使用聚氯乙烯作为原料，且原料应为单一材质制成，生物分解率大于60%；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（6）快递中使用的充气类填充物不得使用聚氯乙烯作为原料，且原料为单一材质制成，生物分解率大于60%；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（7）快递中使用的集装袋应为单一材质制成，其重复使用次数应不小于 80 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（8）快递中应使用幅宽不大于45mm 的生物降解胶带；</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（9）快递包装中不得使用溶剂型胶粘剂；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（10）快递应使用电子面单；</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（11）直接使用商品包装作为快递包装的商品，其商品包装满足《商品包装政府采购需求标准（试行）》即可；</w:t>
      </w:r>
      <w:r/>
    </w:p>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（12）快递包装产品质量和封装方式应符合相关国家或行业标准技术指标要求。</w:t>
      </w:r>
      <w:r/>
    </w:p>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十三、投标报价要求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供应商的任何错漏、优惠、竞争性报价不得作为减轻责任、减少服务、增加收费、降低服务质量的理由；</w:t>
      </w:r>
      <w:r/>
    </w:p>
    <w:p>
      <w:pPr>
        <w:ind w:firstLine="480"/>
        <w:jc w:val="left"/>
        <w:spacing w:line="360" w:lineRule="auto"/>
        <w:rPr>
          <w:rFonts w:hint="eastAsia" w:ascii="Times New Roman" w:hAnsi="Times New Roman" w:cs="Times New Roman" w:eastAsiaTheme="minorEastAsia"/>
          <w:sz w:val="24"/>
          <w:szCs w:val="24"/>
          <w:lang w:eastAsia="zh-CN"/>
        </w:rPr>
      </w:pPr>
      <w:r>
        <w:rPr>
          <w:rFonts w:hint="eastAsia" w:ascii="Times New Roman" w:hAnsi="Times New Roman" w:cs="Times New Roman"/>
          <w:sz w:val="24"/>
          <w:szCs w:val="24"/>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Times New Roman" w:hAnsi="Times New Roman" w:cs="Times New Roman"/>
          <w:sz w:val="24"/>
          <w:szCs w:val="24"/>
          <w:lang w:eastAsia="zh-CN"/>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sz w:val="24"/>
          <w:szCs w:val="24"/>
          <w:highlight w:val="none"/>
          <w:lang w:val="en-US" w:eastAsia="zh-CN"/>
        </w:rPr>
        <w:t xml:space="preserve">.</w:t>
      </w:r>
      <w:r>
        <w:rPr>
          <w:rFonts w:hint="eastAsia" w:cs="Times New Roman" w:asciiTheme="minorEastAsia" w:hAnsiTheme="minorEastAsia"/>
          <w:sz w:val="24"/>
          <w:szCs w:val="24"/>
          <w:highlight w:val="none"/>
        </w:rPr>
        <w:t xml:space="preserve">付款方式</w:t>
      </w:r>
      <w:r/>
    </w:p>
    <w:p>
      <w:pPr>
        <w:ind w:firstLine="200"/>
        <w:spacing w:line="360" w:lineRule="auto"/>
        <w:rPr>
          <w:rFonts w:cs="Times New Roman" w:asciiTheme="minorEastAsia" w:hAnsiTheme="minorEastAsia"/>
          <w:sz w:val="24"/>
          <w:szCs w:val="24"/>
          <w:highlight w:val="none"/>
        </w:rPr>
      </w:pPr>
      <w:r>
        <w:rPr>
          <w:rFonts w:ascii="Times New Roman" w:hAnsi="Times New Roman" w:eastAsia="宋体" w:cs="Times New Roman"/>
          <w:sz w:val="24"/>
          <w:szCs w:val="24"/>
          <w:highlight w:val="none"/>
        </w:rPr>
        <w:t xml:space="preserve">本项目无预付款，合同签订后，供应商按规定期限供货，不得逾期，安装调试，达到预期效果</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供应商交货完毕申请验收，采购人组织验收，经验收合格后，供应商开具发票，并交付</w:t>
      </w:r>
      <w:r>
        <w:rPr>
          <w:rFonts w:hint="eastAsia" w:ascii="Times New Roman" w:hAnsi="Times New Roman" w:eastAsia="宋体" w:cs="Times New Roman"/>
          <w:sz w:val="24"/>
          <w:szCs w:val="24"/>
          <w:highlight w:val="none"/>
        </w:rPr>
        <w:t xml:space="preserve">产品</w:t>
      </w:r>
      <w:r>
        <w:rPr>
          <w:rFonts w:ascii="Times New Roman" w:hAnsi="Times New Roman" w:eastAsia="宋体" w:cs="Times New Roman"/>
          <w:sz w:val="24"/>
          <w:szCs w:val="24"/>
          <w:highlight w:val="none"/>
        </w:rPr>
        <w:t xml:space="preserve">说明书等相关资料，</w:t>
      </w:r>
      <w:r>
        <w:rPr>
          <w:rFonts w:hint="eastAsia" w:ascii="Times New Roman" w:hAnsi="Times New Roman" w:eastAsia="宋体" w:cs="Times New Roman"/>
          <w:sz w:val="24"/>
          <w:szCs w:val="24"/>
          <w:highlight w:val="none"/>
        </w:rPr>
        <w:t xml:space="preserve">采购人按合同约定一次性支付合同总款的100%。</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w:t>
      </w:r>
      <w:r>
        <w:rPr>
          <w:rFonts w:hint="eastAsia" w:cs="Times New Roman" w:asciiTheme="minorEastAsia" w:hAnsiTheme="minorEastAsia"/>
          <w:sz w:val="24"/>
          <w:szCs w:val="24"/>
          <w:highlight w:val="none"/>
          <w:lang w:val="en-US" w:eastAsia="zh-CN"/>
        </w:rPr>
        <w:t xml:space="preserve">.</w:t>
      </w:r>
      <w:r>
        <w:rPr>
          <w:rFonts w:hint="eastAsia" w:cs="Times New Roman" w:asciiTheme="minorEastAsia" w:hAnsiTheme="minorEastAsia"/>
          <w:sz w:val="24"/>
          <w:szCs w:val="24"/>
          <w:highlight w:val="none"/>
        </w:rPr>
        <w:t xml:space="preserve">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pStyle w:val="862"/>
        <w:jc w:val="center"/>
        <w:spacing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b/>
          <w:sz w:val="24"/>
          <w:szCs w:val="24"/>
        </w:rPr>
        <w:t xml:space="preserve">1.价格分</w:t>
      </w:r>
      <w:r>
        <w:rPr>
          <w:rFonts w:hint="eastAsia" w:asciiTheme="minorEastAsia" w:hAnsiTheme="minorEastAsia"/>
          <w:b/>
          <w:sz w:val="24"/>
          <w:szCs w:val="24"/>
        </w:rPr>
        <w:t xml:space="preserve">（30分）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p>
    <w:p>
      <w:pPr>
        <w:ind w:firstLine="482"/>
        <w:jc w:val="left"/>
        <w:spacing w:line="360" w:lineRule="auto"/>
        <w:rPr>
          <w:rFonts w:hint="eastAsia" w:eastAsiaTheme="minorEastAsia"/>
          <w:b/>
          <w:sz w:val="24"/>
          <w:szCs w:val="24"/>
          <w:highlight w:val="none"/>
          <w:lang w:eastAsia="zh-CN"/>
        </w:rPr>
      </w:pPr>
      <w:r>
        <w:rPr>
          <w:rFonts w:hint="eastAsia"/>
          <w:b/>
          <w:sz w:val="24"/>
          <w:szCs w:val="24"/>
          <w:highlight w:val="none"/>
          <w:lang w:eastAsia="zh-CN"/>
        </w:rPr>
        <w:t xml:space="preserve">本项目不享受价格折扣。</w:t>
      </w:r>
      <w:r/>
    </w:p>
    <w:p>
      <w:pPr>
        <w:ind w:firstLine="482"/>
        <w:jc w:val="left"/>
        <w:spacing w:line="360" w:lineRule="auto"/>
        <w:rPr>
          <w:rFonts w:asciiTheme="minorEastAsia" w:hAnsiTheme="minorEastAsia"/>
          <w:b/>
          <w:sz w:val="24"/>
          <w:szCs w:val="24"/>
        </w:rPr>
      </w:pPr>
      <w:r>
        <w:rPr>
          <w:rFonts w:hint="eastAsia"/>
          <w:b/>
          <w:sz w:val="24"/>
          <w:szCs w:val="24"/>
        </w:rPr>
        <w:t xml:space="preserve">2.商务技术分</w:t>
      </w:r>
      <w:r>
        <w:rPr>
          <w:rFonts w:hint="eastAsia" w:asciiTheme="minorEastAsia" w:hAnsiTheme="minorEastAsia"/>
          <w:b/>
          <w:sz w:val="24"/>
          <w:szCs w:val="24"/>
        </w:rPr>
        <w:t xml:space="preserve">（70分）</w:t>
      </w:r>
      <w:r/>
    </w:p>
    <w:tbl>
      <w:tblPr>
        <w:tblStyle w:val="866"/>
        <w:tblW w:w="9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9"/>
        <w:gridCol w:w="7423"/>
      </w:tblGrid>
      <w:tr>
        <w:trPr>
          <w:jc w:val="center"/>
          <w:trHeight w:val="621"/>
        </w:trPr>
        <w:tc>
          <w:tcPr>
            <w:tcW w:w="20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4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039" w:type="dxa"/>
            <w:vAlign w:val="center"/>
            <w:textDirection w:val="lrTb"/>
            <w:noWrap w:val="false"/>
          </w:tcPr>
          <w:p>
            <w:pPr>
              <w:jc w:val="center"/>
              <w:spacing w:line="480" w:lineRule="exact"/>
              <w:widowControl/>
              <w:rPr>
                <w:rFonts w:hint="eastAsia" w:asciiTheme="minorEastAsia" w:hAnsiTheme="minorEastAsia"/>
                <w:sz w:val="24"/>
                <w:szCs w:val="24"/>
              </w:rPr>
            </w:pPr>
            <w:r>
              <w:rPr>
                <w:rFonts w:hint="eastAsia" w:asciiTheme="minorEastAsia" w:hAnsiTheme="minorEastAsia"/>
                <w:sz w:val="24"/>
                <w:szCs w:val="24"/>
              </w:rPr>
              <w:t xml:space="preserve">技术参数响应</w:t>
            </w:r>
            <w:r/>
          </w:p>
          <w:p>
            <w:pPr>
              <w:jc w:val="center"/>
              <w:spacing w:line="480" w:lineRule="exact"/>
              <w:widowControl/>
            </w:pPr>
            <w:r>
              <w:rPr>
                <w:rFonts w:hint="eastAsia" w:cs="Times New Roman Regular" w:asciiTheme="minorEastAsia" w:hAnsiTheme="minorEastAsia"/>
                <w:color w:val="000000"/>
                <w:sz w:val="24"/>
              </w:rPr>
              <w:t xml:space="preserve">（3</w:t>
            </w:r>
            <w:r>
              <w:rPr>
                <w:rFonts w:hint="eastAsia" w:cs="Times New Roman Regular" w:asciiTheme="minorEastAsia" w:hAnsiTheme="minorEastAsia"/>
                <w:color w:val="000000"/>
                <w:sz w:val="24"/>
                <w:lang w:val="en-US" w:eastAsia="zh-CN"/>
              </w:rPr>
              <w:t xml:space="preserve">2</w:t>
            </w:r>
            <w:r>
              <w:rPr>
                <w:rFonts w:hint="eastAsia" w:cs="Times New Roman Regular" w:asciiTheme="minorEastAsia" w:hAnsiTheme="minorEastAsia"/>
                <w:color w:val="000000"/>
                <w:sz w:val="24"/>
              </w:rPr>
              <w:t xml:space="preserve">分）</w:t>
            </w:r>
            <w:r/>
          </w:p>
        </w:tc>
        <w:tc>
          <w:tcPr>
            <w:tcW w:w="7423" w:type="dxa"/>
            <w:textDirection w:val="lrTb"/>
            <w:noWrap w:val="false"/>
          </w:tcPr>
          <w:p>
            <w:pPr>
              <w:spacing w:line="440" w:lineRule="exact"/>
              <w:rPr>
                <w:rFonts w:asciiTheme="minorEastAsia" w:hAnsiTheme="minorEastAsia"/>
                <w:sz w:val="24"/>
                <w:szCs w:val="24"/>
              </w:rPr>
            </w:pPr>
            <w:r>
              <w:rPr>
                <w:rFonts w:hint="eastAsia" w:asciiTheme="minorEastAsia" w:hAnsiTheme="minorEastAsia"/>
                <w:sz w:val="24"/>
                <w:szCs w:val="24"/>
              </w:rPr>
              <w:t xml:space="preserve">技术参数响应评审基准分3</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分，标注“▲”项的参数每有一项负偏离扣2分，扣完为止。</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b/>
                <w:sz w:val="24"/>
                <w:szCs w:val="24"/>
              </w:rPr>
            </w:pPr>
            <w:r>
              <w:rPr>
                <w:rFonts w:hint="eastAsia" w:asciiTheme="minorEastAsia" w:hAnsiTheme="minorEastAsia"/>
                <w:b/>
                <w:sz w:val="24"/>
                <w:szCs w:val="24"/>
              </w:rPr>
              <w:t xml:space="preserve">（投标文件中详细填写技术要求响应及偏离表，须逐条响应。标注“▲”项要求提供证明材料的未提供证明材料或所提供材料与招标文件要求不符的视为负偏离。功能相近但</w:t>
            </w:r>
            <w:r>
              <w:rPr>
                <w:rFonts w:hint="eastAsia" w:asciiTheme="minorEastAsia" w:hAnsiTheme="minorEastAsia"/>
                <w:b/>
                <w:sz w:val="24"/>
                <w:szCs w:val="24"/>
                <w:lang w:val="zh-CN"/>
              </w:rPr>
              <w:t xml:space="preserve">名称、表述不完全一致的</w:t>
            </w:r>
            <w:r>
              <w:rPr>
                <w:rFonts w:hint="eastAsia" w:asciiTheme="minorEastAsia" w:hAnsiTheme="minorEastAsia"/>
                <w:b/>
                <w:sz w:val="24"/>
                <w:szCs w:val="24"/>
              </w:rPr>
              <w:t xml:space="preserve">，</w:t>
            </w:r>
            <w:r>
              <w:rPr>
                <w:rFonts w:hint="eastAsia" w:asciiTheme="minorEastAsia" w:hAnsiTheme="minorEastAsia"/>
                <w:b/>
                <w:sz w:val="24"/>
                <w:szCs w:val="24"/>
                <w:lang w:val="zh-CN"/>
              </w:rPr>
              <w:t xml:space="preserve">由评委现场统一认定后给予得分。</w:t>
            </w:r>
            <w:r>
              <w:rPr>
                <w:rFonts w:hint="eastAsia" w:asciiTheme="minorEastAsia" w:hAnsiTheme="minorEastAsia"/>
                <w:b/>
                <w:sz w:val="24"/>
                <w:szCs w:val="24"/>
              </w:rPr>
              <w:t xml:space="preserve">投标人可在证明材料中</w:t>
            </w:r>
            <w:r>
              <w:rPr>
                <w:rFonts w:hint="eastAsia" w:asciiTheme="minorEastAsia" w:hAnsiTheme="minorEastAsia"/>
                <w:b/>
                <w:sz w:val="24"/>
                <w:szCs w:val="24"/>
                <w:lang w:eastAsia="zh-CN"/>
              </w:rPr>
              <w:t xml:space="preserve">作</w:t>
            </w:r>
            <w:r>
              <w:rPr>
                <w:rFonts w:hint="eastAsia" w:asciiTheme="minorEastAsia" w:hAnsiTheme="minorEastAsia"/>
                <w:b/>
                <w:sz w:val="24"/>
                <w:szCs w:val="24"/>
              </w:rPr>
              <w:t xml:space="preserve">明显标识及说明，便于评审）</w:t>
            </w:r>
            <w:r/>
          </w:p>
        </w:tc>
      </w:tr>
      <w:tr>
        <w:trPr>
          <w:jc w:val="center"/>
          <w:trHeight w:val="621"/>
        </w:trPr>
        <w:tc>
          <w:tcPr>
            <w:tcW w:w="2039" w:type="dxa"/>
            <w:vAlign w:val="center"/>
            <w:textDirection w:val="lrTb"/>
            <w:noWrap w:val="false"/>
          </w:tcPr>
          <w:p>
            <w:pPr>
              <w:jc w:val="center"/>
              <w:spacing w:line="48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项目履约能力</w:t>
            </w:r>
            <w:r/>
          </w:p>
          <w:p>
            <w:pPr>
              <w:jc w:val="center"/>
              <w:spacing w:line="480" w:lineRule="atLeast"/>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7423" w:type="dxa"/>
            <w:textDirection w:val="lrTb"/>
            <w:noWrap w:val="false"/>
          </w:tcPr>
          <w:p>
            <w:pPr>
              <w:spacing w:line="48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1.投标人具有信息安全管理体系认证证书的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投标人具有信息技术服务管理体系认证证书的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投标人具有质量管理体系认证证书的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pPr>
            <w:r>
              <w:rPr>
                <w:rFonts w:hint="eastAsia" w:ascii="宋体" w:hAnsi="宋体" w:eastAsia="宋体" w:cs="Times New Roman"/>
                <w:b/>
                <w:bCs/>
                <w:sz w:val="24"/>
                <w:szCs w:val="24"/>
                <w:highlight w:val="none"/>
              </w:rPr>
              <w:t xml:space="preserve">（上述1-</w:t>
            </w:r>
            <w:r>
              <w:rPr>
                <w:rFonts w:hint="eastAsia" w:ascii="宋体" w:hAnsi="宋体" w:eastAsia="宋体" w:cs="Times New Roman"/>
                <w:b/>
                <w:bCs/>
                <w:sz w:val="24"/>
                <w:szCs w:val="24"/>
                <w:highlight w:val="none"/>
                <w:lang w:val="en-US" w:eastAsia="zh-CN"/>
              </w:rPr>
              <w:t xml:space="preserve">3</w:t>
            </w:r>
            <w:r>
              <w:rPr>
                <w:rFonts w:ascii="宋体" w:hAnsi="宋体" w:eastAsia="宋体" w:cs="Times New Roman"/>
                <w:b/>
                <w:bCs/>
                <w:sz w:val="24"/>
                <w:szCs w:val="24"/>
                <w:highlight w:val="none"/>
              </w:rPr>
              <w:t xml:space="preserve">项</w:t>
            </w:r>
            <w:r>
              <w:rPr>
                <w:rFonts w:hint="eastAsia" w:ascii="宋体" w:hAnsi="宋体" w:eastAsia="宋体" w:cs="Times New Roman"/>
                <w:b/>
                <w:bCs/>
                <w:sz w:val="24"/>
                <w:szCs w:val="24"/>
              </w:rPr>
              <w:t xml:space="preserve">投标</w:t>
            </w:r>
            <w:r>
              <w:rPr>
                <w:rFonts w:ascii="宋体" w:hAnsi="宋体" w:eastAsia="宋体" w:cs="Times New Roman"/>
                <w:b/>
                <w:bCs/>
                <w:sz w:val="24"/>
                <w:szCs w:val="24"/>
              </w:rPr>
              <w:t xml:space="preserve">文件中提供有效证书扫描件并加盖</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公章，否则不得分）</w:t>
            </w:r>
            <w:r/>
          </w:p>
        </w:tc>
      </w:tr>
      <w:tr>
        <w:trPr>
          <w:jc w:val="center"/>
          <w:trHeight w:val="621"/>
        </w:trPr>
        <w:tc>
          <w:tcPr>
            <w:tcW w:w="2039"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项目团队成员</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color w:val="000000"/>
                <w:sz w:val="24"/>
                <w:szCs w:val="24"/>
              </w:rPr>
              <w:t xml:space="preserve">（7分）</w:t>
            </w:r>
            <w:r/>
          </w:p>
        </w:tc>
        <w:tc>
          <w:tcPr>
            <w:tcW w:w="7423" w:type="dxa"/>
            <w:vAlign w:val="center"/>
            <w:textDirection w:val="lrTb"/>
            <w:noWrap w:val="false"/>
          </w:tcPr>
          <w:p>
            <w:pPr>
              <w:spacing w:line="480" w:lineRule="atLeast"/>
              <w:rPr>
                <w:rFonts w:ascii="宋体" w:hAnsi="宋体"/>
                <w:b/>
                <w:color w:val="000000"/>
                <w:sz w:val="24"/>
                <w:szCs w:val="21"/>
                <w:highlight w:val="none"/>
              </w:rPr>
            </w:pPr>
            <w:r>
              <w:rPr>
                <w:rFonts w:hint="eastAsia" w:ascii="宋体" w:hAnsi="宋体"/>
                <w:color w:val="000000"/>
                <w:sz w:val="24"/>
                <w:szCs w:val="21"/>
              </w:rPr>
              <w:t xml:space="preserve">1.</w:t>
            </w:r>
            <w:r>
              <w:rPr>
                <w:rFonts w:hint="eastAsia" w:ascii="宋体" w:hAnsi="宋体"/>
                <w:color w:val="000000"/>
                <w:sz w:val="24"/>
                <w:szCs w:val="21"/>
                <w:highlight w:val="none"/>
              </w:rPr>
              <w:t xml:space="preserve">拟派项目负责人具有信息系统项目管理师、高级工程师</w:t>
            </w:r>
            <w:r>
              <w:rPr>
                <w:rFonts w:hint="eastAsia" w:ascii="宋体" w:hAnsi="宋体"/>
                <w:color w:val="000000"/>
                <w:sz w:val="24"/>
                <w:szCs w:val="21"/>
                <w:highlight w:val="none"/>
                <w:lang w:val="en-US" w:eastAsia="zh-CN"/>
              </w:rPr>
              <w:t xml:space="preserve">(电子信息专业)</w:t>
            </w:r>
            <w:r>
              <w:rPr>
                <w:rFonts w:hint="eastAsia" w:ascii="宋体" w:hAnsi="宋体"/>
                <w:color w:val="000000"/>
                <w:sz w:val="24"/>
                <w:szCs w:val="21"/>
                <w:highlight w:val="none"/>
              </w:rPr>
              <w:t xml:space="preserve">和注册信息安全管理人员证书(CISP)的，每提供一个得1分，</w:t>
            </w:r>
            <w:r>
              <w:rPr>
                <w:rFonts w:hint="eastAsia" w:ascii="宋体" w:hAnsi="宋体"/>
                <w:b/>
                <w:color w:val="000000"/>
                <w:sz w:val="24"/>
                <w:szCs w:val="21"/>
                <w:highlight w:val="none"/>
              </w:rPr>
              <w:t xml:space="preserve">最高得3分。</w:t>
            </w:r>
            <w:r/>
          </w:p>
          <w:p>
            <w:pPr>
              <w:spacing w:line="480" w:lineRule="atLeast"/>
              <w:rPr>
                <w:rFonts w:ascii="宋体" w:hAnsi="宋体"/>
                <w:b/>
                <w:bCs/>
                <w:color w:val="000000"/>
                <w:sz w:val="24"/>
                <w:szCs w:val="21"/>
              </w:rPr>
            </w:pPr>
            <w:r>
              <w:rPr>
                <w:rFonts w:hint="eastAsia" w:ascii="宋体" w:hAnsi="宋体"/>
                <w:color w:val="000000"/>
                <w:sz w:val="24"/>
                <w:szCs w:val="21"/>
                <w:highlight w:val="none"/>
              </w:rPr>
              <w:t xml:space="preserve">2.拟派项目团队成员（不包含项目负责</w:t>
            </w:r>
            <w:r>
              <w:rPr>
                <w:rFonts w:hint="eastAsia" w:ascii="宋体" w:hAnsi="宋体"/>
                <w:color w:val="000000"/>
                <w:sz w:val="24"/>
                <w:szCs w:val="21"/>
              </w:rPr>
              <w:t xml:space="preserve">人）中具有网络工程师、IT服务工程师、注册信息安全专业人员（CISP）、系统集成项目管理工程师的，每提供一个得1 </w:t>
            </w:r>
            <w:r>
              <w:rPr>
                <w:rFonts w:hint="eastAsia" w:ascii="宋体" w:hAnsi="宋体"/>
                <w:color w:val="000000"/>
                <w:sz w:val="24"/>
                <w:szCs w:val="21"/>
                <w:highlight w:val="none"/>
              </w:rPr>
              <w:t xml:space="preserve">分</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一人多证不重复得分</w:t>
            </w:r>
            <w:r>
              <w:rPr>
                <w:rFonts w:hint="eastAsia" w:ascii="宋体" w:hAnsi="宋体"/>
                <w:color w:val="000000"/>
                <w:sz w:val="24"/>
                <w:szCs w:val="21"/>
                <w:highlight w:val="none"/>
                <w:lang w:eastAsia="zh-CN"/>
              </w:rPr>
              <w:t xml:space="preserve">），</w:t>
            </w:r>
            <w:r>
              <w:rPr>
                <w:rFonts w:hint="eastAsia" w:ascii="宋体" w:hAnsi="宋体"/>
                <w:b/>
                <w:color w:val="000000"/>
                <w:sz w:val="24"/>
                <w:szCs w:val="21"/>
              </w:rPr>
              <w:t xml:space="preserve">最高得4分。</w:t>
            </w:r>
            <w:r/>
          </w:p>
          <w:p>
            <w:pPr>
              <w:spacing w:line="480" w:lineRule="atLeast"/>
              <w:rPr>
                <w:rFonts w:ascii="宋体" w:hAnsi="宋体" w:eastAsia="宋体" w:cs="Times New Roman"/>
                <w:b/>
                <w:bCs/>
                <w:sz w:val="24"/>
                <w:szCs w:val="24"/>
              </w:rPr>
            </w:pPr>
            <w:r>
              <w:rPr>
                <w:rFonts w:hint="eastAsia" w:ascii="宋体" w:hAnsi="宋体"/>
                <w:b/>
                <w:bCs/>
                <w:color w:val="000000"/>
                <w:sz w:val="24"/>
                <w:szCs w:val="21"/>
              </w:rPr>
              <w:t xml:space="preserve">（上述1-2项投标文件中提供有效证书及2024年1月（含）以来任意一个月由投标人为其缴纳的社保证明材料扫描件并加盖投标人公章，否则不得分。）</w:t>
            </w:r>
            <w:r/>
          </w:p>
        </w:tc>
      </w:tr>
      <w:tr>
        <w:trPr>
          <w:jc w:val="center"/>
          <w:trHeight w:val="621"/>
        </w:trPr>
        <w:tc>
          <w:tcPr>
            <w:tcW w:w="2039"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业绩</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b/>
                <w:color w:val="000000"/>
                <w:sz w:val="24"/>
                <w:szCs w:val="21"/>
              </w:rPr>
            </w:pPr>
            <w:r>
              <w:rPr>
                <w:rFonts w:hint="eastAsia" w:ascii="宋体" w:hAnsi="宋体"/>
                <w:color w:val="000000"/>
                <w:sz w:val="24"/>
                <w:szCs w:val="21"/>
              </w:rPr>
              <w:t xml:space="preserve">自2021年1月1日（含）以来，投标人具有类似项目业绩（合同内容至少包含</w:t>
            </w:r>
            <w:r>
              <w:rPr>
                <w:rFonts w:hint="eastAsia" w:ascii="宋体" w:hAnsi="宋体"/>
                <w:color w:val="000000"/>
                <w:sz w:val="24"/>
                <w:szCs w:val="21"/>
                <w:highlight w:val="none"/>
                <w:lang w:eastAsia="zh-CN"/>
              </w:rPr>
              <w:t xml:space="preserve">采集器</w:t>
            </w:r>
            <w:r>
              <w:rPr>
                <w:rFonts w:hint="eastAsia" w:ascii="宋体" w:hAnsi="宋体"/>
                <w:color w:val="000000"/>
                <w:sz w:val="24"/>
                <w:szCs w:val="21"/>
              </w:rPr>
              <w:t xml:space="preserve">相关</w:t>
            </w:r>
            <w:r>
              <w:rPr>
                <w:rFonts w:hint="eastAsia" w:ascii="宋体" w:hAnsi="宋体"/>
                <w:color w:val="000000"/>
                <w:sz w:val="24"/>
                <w:szCs w:val="21"/>
                <w:lang w:eastAsia="zh-CN"/>
              </w:rPr>
              <w:t xml:space="preserve">内容</w:t>
            </w:r>
            <w:r>
              <w:rPr>
                <w:rFonts w:hint="eastAsia" w:ascii="宋体" w:hAnsi="宋体"/>
                <w:color w:val="000000"/>
                <w:sz w:val="24"/>
                <w:szCs w:val="21"/>
              </w:rPr>
              <w:t xml:space="preserve">）的，每提供一个得2分，</w:t>
            </w:r>
            <w:r>
              <w:rPr>
                <w:rFonts w:hint="eastAsia" w:ascii="宋体" w:hAnsi="宋体"/>
                <w:b/>
                <w:color w:val="000000"/>
                <w:sz w:val="24"/>
                <w:szCs w:val="21"/>
              </w:rPr>
              <w:t xml:space="preserve">最高得</w:t>
            </w:r>
            <w:r>
              <w:rPr>
                <w:rFonts w:hint="eastAsia" w:ascii="宋体" w:hAnsi="宋体"/>
                <w:b/>
                <w:color w:val="000000"/>
                <w:sz w:val="24"/>
                <w:szCs w:val="21"/>
                <w:lang w:val="en-US" w:eastAsia="zh-CN"/>
              </w:rPr>
              <w:t xml:space="preserve">8</w:t>
            </w:r>
            <w:r>
              <w:rPr>
                <w:rFonts w:hint="eastAsia" w:ascii="宋体" w:hAnsi="宋体"/>
                <w:b/>
                <w:color w:val="000000"/>
                <w:sz w:val="24"/>
                <w:szCs w:val="21"/>
              </w:rPr>
              <w:t xml:space="preserve">分。</w:t>
            </w:r>
            <w:r/>
          </w:p>
          <w:p>
            <w:pPr>
              <w:spacing w:line="480" w:lineRule="exact"/>
              <w:rPr>
                <w:rFonts w:ascii="宋体" w:hAnsi="宋体"/>
                <w:color w:val="000000"/>
                <w:sz w:val="24"/>
                <w:szCs w:val="21"/>
              </w:rPr>
            </w:pPr>
            <w:r>
              <w:rPr>
                <w:rFonts w:hint="eastAsia" w:ascii="宋体" w:hAnsi="宋体"/>
                <w:b/>
                <w:bCs/>
                <w:color w:val="000000"/>
                <w:sz w:val="24"/>
                <w:szCs w:val="21"/>
              </w:rPr>
              <w:t xml:space="preserve">（投标文件中提供合同扫描件并加盖投标人公章，否则不得分。时间、内容以合同为准。合同中</w:t>
            </w:r>
            <w:r>
              <w:rPr>
                <w:rFonts w:hint="eastAsia" w:ascii="宋体" w:hAnsi="宋体"/>
                <w:b/>
                <w:bCs/>
                <w:color w:val="000000"/>
                <w:sz w:val="24"/>
                <w:szCs w:val="21"/>
                <w:lang w:eastAsia="zh-CN"/>
              </w:rPr>
              <w:t xml:space="preserve">功能相近</w:t>
            </w:r>
            <w:r>
              <w:rPr>
                <w:rFonts w:hint="eastAsia" w:ascii="宋体" w:hAnsi="宋体"/>
                <w:b/>
                <w:bCs/>
                <w:color w:val="000000"/>
                <w:sz w:val="24"/>
                <w:szCs w:val="21"/>
              </w:rPr>
              <w:t xml:space="preserve">名称</w:t>
            </w:r>
            <w:r>
              <w:rPr>
                <w:rFonts w:hint="eastAsia" w:ascii="宋体" w:hAnsi="宋体"/>
                <w:b/>
                <w:bCs/>
                <w:color w:val="000000"/>
                <w:sz w:val="24"/>
                <w:szCs w:val="21"/>
                <w:lang w:eastAsia="zh-CN"/>
              </w:rPr>
              <w:t xml:space="preserve">表述不完全一致的</w:t>
            </w:r>
            <w:r>
              <w:rPr>
                <w:rFonts w:hint="eastAsia" w:ascii="宋体" w:hAnsi="宋体"/>
                <w:b/>
                <w:bCs/>
                <w:color w:val="000000"/>
                <w:sz w:val="24"/>
                <w:szCs w:val="21"/>
              </w:rPr>
              <w:t xml:space="preserve">，由评审委员会统一认定）</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（6分）</w:t>
            </w:r>
            <w:r/>
          </w:p>
        </w:tc>
        <w:tc>
          <w:tcPr>
            <w:tcW w:w="7423" w:type="dxa"/>
            <w:vAlign w:val="center"/>
            <w:textDirection w:val="lrTb"/>
            <w:noWrap w:val="false"/>
          </w:tcPr>
          <w:p>
            <w:pPr>
              <w:spacing w:line="440" w:lineRule="exact"/>
              <w:rPr>
                <w:rFonts w:ascii="宋体" w:hAnsi="宋体"/>
                <w:color w:val="000000"/>
                <w:sz w:val="24"/>
                <w:szCs w:val="21"/>
              </w:rPr>
            </w:pPr>
            <w:r>
              <w:rPr>
                <w:rFonts w:hint="eastAsia" w:ascii="宋体" w:hAnsi="宋体" w:eastAsia="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方案包含上述全部内容，实施流程清晰，安装及进度计划内容详细，措施完善，预案可操作性强，贴合项目需求的</w:t>
            </w:r>
            <w:r>
              <w:rPr>
                <w:rFonts w:hint="eastAsia" w:ascii="宋体" w:hAnsi="宋体"/>
                <w:b/>
                <w:color w:val="000000"/>
                <w:sz w:val="24"/>
                <w:szCs w:val="21"/>
              </w:rPr>
              <w:t xml:space="preserve">得6分；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方案基本包含上述内容，流程较清晰，安装及进度计划内容较详细，有对应措施，预案可操作性较强，较能够满足本项目需求的</w:t>
            </w:r>
            <w:r>
              <w:rPr>
                <w:rFonts w:hint="eastAsia" w:ascii="宋体" w:hAnsi="宋体"/>
                <w:b/>
                <w:color w:val="000000"/>
                <w:sz w:val="24"/>
                <w:szCs w:val="21"/>
              </w:rPr>
              <w:t xml:space="preserve">得5分；</w:t>
            </w:r>
            <w:r/>
          </w:p>
          <w:p>
            <w:pPr>
              <w:spacing w:line="440" w:lineRule="exact"/>
              <w:rPr>
                <w:rFonts w:ascii="宋体" w:hAnsi="宋体"/>
                <w:b/>
                <w:color w:val="000000"/>
                <w:sz w:val="24"/>
                <w:szCs w:val="21"/>
              </w:rPr>
            </w:pPr>
            <w:r>
              <w:rPr>
                <w:rFonts w:hint="eastAsia" w:ascii="宋体" w:hAnsi="宋体"/>
                <w:color w:val="000000"/>
                <w:sz w:val="24"/>
                <w:szCs w:val="21"/>
              </w:rPr>
              <w:t xml:space="preserve">方案</w:t>
            </w:r>
            <w:r>
              <w:rPr>
                <w:rFonts w:hint="eastAsia" w:ascii="宋体" w:hAnsi="宋体"/>
                <w:color w:val="000000"/>
                <w:sz w:val="24"/>
                <w:szCs w:val="21"/>
                <w:lang w:eastAsia="zh-CN"/>
              </w:rPr>
              <w:t xml:space="preserve">中</w:t>
            </w:r>
            <w:r>
              <w:rPr>
                <w:rFonts w:hint="eastAsia" w:ascii="宋体" w:hAnsi="宋体"/>
                <w:color w:val="000000"/>
                <w:sz w:val="24"/>
                <w:szCs w:val="21"/>
              </w:rPr>
              <w:t xml:space="preserve">上述内容有缺项，阐述不详细，安装及进度计划内容简单，有对应措施，预案可操作性一般，基本</w:t>
            </w:r>
            <w:r>
              <w:rPr>
                <w:rFonts w:hint="eastAsia" w:ascii="宋体" w:hAnsi="宋体"/>
                <w:color w:val="000000"/>
                <w:sz w:val="24"/>
                <w:szCs w:val="21"/>
                <w:lang w:eastAsia="zh-CN"/>
              </w:rPr>
              <w:t xml:space="preserve">能够</w:t>
            </w:r>
            <w:r>
              <w:rPr>
                <w:rFonts w:hint="eastAsia" w:ascii="宋体" w:hAnsi="宋体"/>
                <w:color w:val="000000"/>
                <w:sz w:val="24"/>
                <w:szCs w:val="21"/>
              </w:rPr>
              <w:t xml:space="preserve">满足本项目需求的</w:t>
            </w:r>
            <w:r>
              <w:rPr>
                <w:rFonts w:hint="eastAsia" w:ascii="宋体" w:hAnsi="宋体"/>
                <w:b/>
                <w:color w:val="000000"/>
                <w:sz w:val="24"/>
                <w:szCs w:val="21"/>
              </w:rPr>
              <w:t xml:space="preserve">得3分；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售后服务方案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color w:val="000000"/>
                <w:sz w:val="24"/>
                <w:szCs w:val="21"/>
              </w:rPr>
            </w:pPr>
            <w:r>
              <w:rPr>
                <w:rFonts w:hint="eastAsia" w:ascii="宋体" w:hAnsi="宋体"/>
                <w:color w:val="000000"/>
                <w:sz w:val="24"/>
                <w:szCs w:val="21"/>
              </w:rPr>
              <w:t xml:space="preserve">根据投标人提供的售后服务方案进行评分，内容包括但不限于服务内容、响应时间、故障处理、恢复时效、人员力量、支撑保障、是否具备完善的服务保障体系等：</w:t>
            </w:r>
            <w:r/>
          </w:p>
          <w:p>
            <w:pPr>
              <w:spacing w:line="480" w:lineRule="exact"/>
              <w:rPr>
                <w:rFonts w:ascii="宋体" w:hAnsi="宋体"/>
                <w:b/>
                <w:color w:val="000000"/>
                <w:sz w:val="24"/>
                <w:szCs w:val="21"/>
              </w:rPr>
            </w:pPr>
            <w:r>
              <w:rPr>
                <w:rFonts w:hint="eastAsia" w:ascii="宋体" w:hAnsi="宋体"/>
                <w:color w:val="000000"/>
                <w:sz w:val="24"/>
                <w:szCs w:val="21"/>
              </w:rPr>
              <w:t xml:space="preserve">方案阐述详细，响应时间及故障处理及时，人员配备合理，支撑保障措施完善，具备完善的服务保障体系的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80" w:lineRule="exact"/>
              <w:rPr>
                <w:rFonts w:ascii="宋体" w:hAnsi="宋体"/>
                <w:color w:val="000000"/>
                <w:sz w:val="24"/>
                <w:szCs w:val="21"/>
                <w:highlight w:val="none"/>
              </w:rPr>
            </w:pPr>
            <w:r>
              <w:rPr>
                <w:rFonts w:hint="eastAsia" w:ascii="宋体" w:hAnsi="宋体"/>
                <w:color w:val="000000"/>
                <w:sz w:val="24"/>
                <w:szCs w:val="21"/>
              </w:rPr>
              <w:t xml:space="preserve">方案阐述较详细，响应时间及故障处理较及</w:t>
            </w:r>
            <w:r>
              <w:rPr>
                <w:rFonts w:hint="eastAsia" w:ascii="宋体" w:hAnsi="宋体"/>
                <w:color w:val="000000"/>
                <w:sz w:val="24"/>
                <w:szCs w:val="21"/>
                <w:highlight w:val="none"/>
              </w:rPr>
              <w:t xml:space="preserve">时，人员配备较合理，支撑保障措施较完善，具有一定的服务保障体系的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5</w:t>
            </w:r>
            <w:r>
              <w:rPr>
                <w:rFonts w:hint="eastAsia" w:ascii="宋体" w:hAnsi="宋体"/>
                <w:b/>
                <w:color w:val="000000"/>
                <w:sz w:val="24"/>
                <w:szCs w:val="21"/>
                <w:highlight w:val="none"/>
              </w:rPr>
              <w:t xml:space="preserve">分；</w:t>
            </w:r>
            <w:r/>
          </w:p>
          <w:p>
            <w:pPr>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方案内容简单粗糙，上述内容有缺项，可实施性一般的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3</w:t>
            </w:r>
            <w:r>
              <w:rPr>
                <w:rFonts w:hint="eastAsia" w:ascii="宋体" w:hAnsi="宋体"/>
                <w:b/>
                <w:color w:val="000000"/>
                <w:sz w:val="24"/>
                <w:szCs w:val="21"/>
                <w:highlight w:val="none"/>
              </w:rPr>
              <w:t xml:space="preserve">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培训方案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color w:val="000000"/>
                <w:sz w:val="24"/>
                <w:szCs w:val="21"/>
              </w:rPr>
            </w:pPr>
            <w:r>
              <w:rPr>
                <w:rFonts w:hint="eastAsia" w:ascii="宋体" w:hAnsi="宋体"/>
                <w:color w:val="000000"/>
                <w:sz w:val="24"/>
                <w:szCs w:val="21"/>
              </w:rPr>
              <w:t xml:space="preserve">根据投标人提供的培训方案进行评分，内容包括但不限于培训计划、培训内容、培训对象等：</w:t>
            </w:r>
            <w:r/>
          </w:p>
          <w:p>
            <w:pPr>
              <w:spacing w:line="480" w:lineRule="exact"/>
              <w:rPr>
                <w:rFonts w:ascii="宋体" w:hAnsi="宋体"/>
                <w:color w:val="000000"/>
                <w:sz w:val="24"/>
                <w:szCs w:val="21"/>
              </w:rPr>
            </w:pPr>
            <w:r>
              <w:rPr>
                <w:rFonts w:hint="eastAsia" w:ascii="宋体" w:hAnsi="宋体"/>
                <w:color w:val="000000"/>
                <w:sz w:val="24"/>
                <w:szCs w:val="21"/>
              </w:rPr>
              <w:t xml:space="preserve">内容丰富，科学合理，培训形式多样，具有可操作性的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80" w:lineRule="exact"/>
              <w:rPr>
                <w:rFonts w:ascii="宋体" w:hAnsi="宋体"/>
                <w:b/>
                <w:color w:val="000000"/>
                <w:sz w:val="24"/>
                <w:szCs w:val="21"/>
              </w:rPr>
            </w:pPr>
            <w:r>
              <w:rPr>
                <w:rFonts w:hint="eastAsia" w:ascii="宋体" w:hAnsi="宋体"/>
                <w:color w:val="000000"/>
                <w:sz w:val="24"/>
                <w:szCs w:val="21"/>
              </w:rPr>
              <w:t xml:space="preserve">内容较丰富，较合理，培训形式较多样，可操作性较强的</w:t>
            </w:r>
            <w:r>
              <w:rPr>
                <w:rFonts w:hint="eastAsia" w:ascii="宋体" w:hAnsi="宋体"/>
                <w:b/>
                <w:color w:val="000000"/>
                <w:sz w:val="24"/>
                <w:szCs w:val="21"/>
              </w:rPr>
              <w:t xml:space="preserve">得3分；</w:t>
            </w:r>
            <w:r/>
          </w:p>
          <w:p>
            <w:pPr>
              <w:spacing w:line="480" w:lineRule="exact"/>
              <w:rPr>
                <w:rFonts w:ascii="宋体" w:hAnsi="宋体"/>
                <w:color w:val="000000"/>
                <w:sz w:val="24"/>
                <w:szCs w:val="21"/>
              </w:rPr>
            </w:pPr>
            <w:r>
              <w:rPr>
                <w:rFonts w:hint="eastAsia" w:ascii="宋体" w:hAnsi="宋体"/>
                <w:color w:val="000000"/>
                <w:sz w:val="24"/>
                <w:szCs w:val="21"/>
              </w:rPr>
              <w:t xml:space="preserve">内容简单，合理性一般，形式单一，可操作性一般的</w:t>
            </w:r>
            <w:r>
              <w:rPr>
                <w:rFonts w:hint="eastAsia" w:ascii="宋体" w:hAnsi="宋体"/>
                <w:b/>
                <w:color w:val="000000"/>
                <w:sz w:val="24"/>
                <w:szCs w:val="21"/>
              </w:rPr>
              <w:t xml:space="preserve">得1分；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bl>
    <w:p>
      <w:pPr>
        <w:jc w:val="left"/>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sz w:val="24"/>
          <w:szCs w:val="24"/>
        </w:rPr>
      </w:pPr>
      <w:r>
        <w:rPr>
          <w:sz w:val="24"/>
          <w:szCs w:val="24"/>
        </w:rPr>
        <w:br w:type="page" w:clear="all"/>
      </w:r>
      <w:r/>
    </w:p>
    <w:p>
      <w:pPr>
        <w:pStyle w:val="862"/>
        <w:jc w:val="center"/>
        <w:spacing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hint="eastAsia"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66"/>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01"/>
        <w:gridCol w:w="756"/>
        <w:gridCol w:w="794"/>
        <w:gridCol w:w="701"/>
        <w:gridCol w:w="607"/>
        <w:gridCol w:w="513"/>
        <w:gridCol w:w="701"/>
        <w:gridCol w:w="701"/>
        <w:gridCol w:w="1120"/>
        <w:gridCol w:w="1194"/>
      </w:tblGrid>
      <w:tr>
        <w:trPr>
          <w:jc w:val="center"/>
          <w:trHeight w:val="663"/>
        </w:trPr>
        <w:tc>
          <w:tcPr>
            <w:tcW w:w="922"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756"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11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548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22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十五、技术要求响应及偏离表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十六、商务要求响应及偏离表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rPr>
            </w:pPr>
            <w:r/>
            <w:bookmarkStart w:id="13" w:name="_Hlt24879081"/>
            <w:r/>
            <w:bookmarkEnd w:id="13"/>
            <w:r/>
            <w:bookmarkStart w:id="14" w:name="_Hlt26955056"/>
            <w:r/>
            <w:bookmarkEnd w:id="14"/>
            <w:r/>
            <w:bookmarkStart w:id="15" w:name="_Hlt26671372"/>
            <w:r/>
            <w:bookmarkEnd w:id="15"/>
            <w:r/>
            <w:bookmarkStart w:id="16" w:name="_Hlt26782999"/>
            <w:r/>
            <w:bookmarkEnd w:id="16"/>
            <w:r/>
            <w:bookmarkStart w:id="17" w:name="_Hlt26609391"/>
            <w:r/>
            <w:bookmarkEnd w:id="17"/>
            <w:r/>
            <w:bookmarkStart w:id="18" w:name="_Hlt26955064"/>
            <w:r/>
            <w:bookmarkEnd w:id="18"/>
            <w:r/>
            <w:bookmarkStart w:id="19" w:name="_Hlt26580838"/>
            <w:r/>
            <w:bookmarkEnd w:id="19"/>
            <w:r/>
            <w:bookmarkStart w:id="20" w:name="_Hlt26671343"/>
            <w:r/>
            <w:bookmarkEnd w:id="20"/>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格式2__法定代表人授权书"/>
      <w:r/>
      <w:bookmarkEnd w:id="22"/>
      <w:r/>
      <w:bookmarkStart w:id="23" w:name="_Hlt26671374"/>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序号</w:t>
            </w:r>
            <w:r/>
          </w:p>
        </w:tc>
        <w:tc>
          <w:tcPr>
            <w:tcW w:w="255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6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78"/>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Times New Roman Regular">
    <w:panose1 w:val="02020603050405020304"/>
  </w:font>
  <w:font w:name="MS Mincho">
    <w:panose1 w:val="02020603050405090304"/>
  </w:font>
  <w:font w:name="汉仪书宋二S">
    <w:panose1 w:val="020B0503020202020204"/>
  </w:font>
  <w:font w:name="仿宋">
    <w:panose1 w:val="02010609060101010101"/>
  </w:font>
  <w:font w:name="Segoe UI">
    <w:panose1 w:val="020B0502040204020203"/>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73"/>
          <w:jc w:val="center"/>
        </w:pPr>
        <w:r>
          <w:fldChar w:fldCharType="begin"/>
        </w:r>
        <w:r>
          <w:instrText xml:space="preserve"> PAGE   \* MERGEFORMAT </w:instrText>
        </w:r>
        <w:r>
          <w:fldChar w:fldCharType="separate"/>
        </w:r>
        <w:r>
          <w:rPr>
            <w:lang w:val="zh-CN"/>
          </w:rPr>
          <w:t xml:space="preserve">12</w:t>
        </w:r>
        <w:r>
          <w:rPr>
            <w:lang w:val="zh-CN"/>
          </w:rPr>
          <w:fldChar w:fldCharType="end"/>
        </w:r>
        <w:r/>
      </w:p>
    </w:sdtContent>
  </w:sdt>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4"/>
  </w:num>
  <w:num w:numId="4">
    <w:abstractNumId w:val="3"/>
  </w:num>
  <w:num w:numId="5">
    <w:abstractNumId w:val="6"/>
  </w:num>
  <w:num w:numId="6">
    <w:abstractNumId w:val="8"/>
  </w:num>
  <w:num w:numId="7">
    <w:abstractNumId w:val="0"/>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5"/>
    <w:link w:val="862"/>
    <w:uiPriority w:val="9"/>
    <w:rPr>
      <w:rFonts w:ascii="Arial" w:hAnsi="Arial" w:eastAsia="Arial" w:cs="Arial"/>
      <w:sz w:val="40"/>
      <w:szCs w:val="40"/>
    </w:rPr>
  </w:style>
  <w:style w:type="character" w:styleId="693">
    <w:name w:val="Heading 2 Char"/>
    <w:basedOn w:val="865"/>
    <w:link w:val="863"/>
    <w:uiPriority w:val="9"/>
    <w:rPr>
      <w:rFonts w:ascii="Arial" w:hAnsi="Arial" w:eastAsia="Arial" w:cs="Arial"/>
      <w:sz w:val="34"/>
    </w:rPr>
  </w:style>
  <w:style w:type="character" w:styleId="694">
    <w:name w:val="Heading 3 Char"/>
    <w:basedOn w:val="865"/>
    <w:link w:val="864"/>
    <w:uiPriority w:val="9"/>
    <w:rPr>
      <w:rFonts w:ascii="Arial" w:hAnsi="Arial" w:eastAsia="Arial" w:cs="Arial"/>
      <w:sz w:val="30"/>
      <w:szCs w:val="30"/>
    </w:rPr>
  </w:style>
  <w:style w:type="paragraph" w:styleId="695">
    <w:name w:val="Heading 4"/>
    <w:basedOn w:val="861"/>
    <w:next w:val="861"/>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5"/>
    <w:link w:val="695"/>
    <w:uiPriority w:val="9"/>
    <w:rPr>
      <w:rFonts w:ascii="Arial" w:hAnsi="Arial" w:eastAsia="Arial" w:cs="Arial"/>
      <w:b/>
      <w:bCs/>
      <w:sz w:val="26"/>
      <w:szCs w:val="26"/>
    </w:rPr>
  </w:style>
  <w:style w:type="paragraph" w:styleId="697">
    <w:name w:val="Heading 5"/>
    <w:basedOn w:val="861"/>
    <w:next w:val="861"/>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5"/>
    <w:link w:val="697"/>
    <w:uiPriority w:val="9"/>
    <w:rPr>
      <w:rFonts w:ascii="Arial" w:hAnsi="Arial" w:eastAsia="Arial" w:cs="Arial"/>
      <w:b/>
      <w:bCs/>
      <w:sz w:val="24"/>
      <w:szCs w:val="24"/>
    </w:rPr>
  </w:style>
  <w:style w:type="paragraph" w:styleId="699">
    <w:name w:val="Heading 6"/>
    <w:basedOn w:val="861"/>
    <w:next w:val="861"/>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5"/>
    <w:link w:val="699"/>
    <w:uiPriority w:val="9"/>
    <w:rPr>
      <w:rFonts w:ascii="Arial" w:hAnsi="Arial" w:eastAsia="Arial" w:cs="Arial"/>
      <w:b/>
      <w:bCs/>
      <w:sz w:val="22"/>
      <w:szCs w:val="22"/>
    </w:rPr>
  </w:style>
  <w:style w:type="paragraph" w:styleId="701">
    <w:name w:val="Heading 7"/>
    <w:basedOn w:val="861"/>
    <w:next w:val="861"/>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5"/>
    <w:link w:val="701"/>
    <w:uiPriority w:val="9"/>
    <w:rPr>
      <w:rFonts w:ascii="Arial" w:hAnsi="Arial" w:eastAsia="Arial" w:cs="Arial"/>
      <w:b/>
      <w:bCs/>
      <w:i/>
      <w:iCs/>
      <w:sz w:val="22"/>
      <w:szCs w:val="22"/>
    </w:rPr>
  </w:style>
  <w:style w:type="paragraph" w:styleId="703">
    <w:name w:val="Heading 8"/>
    <w:basedOn w:val="861"/>
    <w:next w:val="861"/>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5"/>
    <w:link w:val="703"/>
    <w:uiPriority w:val="9"/>
    <w:rPr>
      <w:rFonts w:ascii="Arial" w:hAnsi="Arial" w:eastAsia="Arial" w:cs="Arial"/>
      <w:i/>
      <w:iCs/>
      <w:sz w:val="22"/>
      <w:szCs w:val="22"/>
    </w:rPr>
  </w:style>
  <w:style w:type="paragraph" w:styleId="705">
    <w:name w:val="Heading 9"/>
    <w:basedOn w:val="861"/>
    <w:next w:val="861"/>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5"/>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1"/>
    <w:next w:val="861"/>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1"/>
    <w:next w:val="861"/>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1"/>
    <w:next w:val="861"/>
    <w:link w:val="713"/>
    <w:uiPriority w:val="29"/>
    <w:qFormat/>
    <w:pPr>
      <w:ind w:left="720" w:right="720"/>
    </w:pPr>
    <w:rPr>
      <w:i/>
    </w:rPr>
  </w:style>
  <w:style w:type="character" w:styleId="713">
    <w:name w:val="Quote Char"/>
    <w:link w:val="712"/>
    <w:uiPriority w:val="29"/>
    <w:rPr>
      <w:i/>
    </w:rPr>
  </w:style>
  <w:style w:type="paragraph" w:styleId="714">
    <w:name w:val="Intense Quote"/>
    <w:basedOn w:val="861"/>
    <w:next w:val="861"/>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4"/>
    <w:uiPriority w:val="99"/>
  </w:style>
  <w:style w:type="character" w:styleId="717">
    <w:name w:val="Footer Char"/>
    <w:basedOn w:val="865"/>
    <w:link w:val="873"/>
    <w:uiPriority w:val="99"/>
  </w:style>
  <w:style w:type="paragraph" w:styleId="718">
    <w:name w:val="Caption"/>
    <w:basedOn w:val="861"/>
    <w:next w:val="861"/>
    <w:uiPriority w:val="35"/>
    <w:semiHidden/>
    <w:unhideWhenUsed/>
    <w:qFormat/>
    <w:pPr>
      <w:spacing w:line="276" w:lineRule="auto"/>
    </w:pPr>
    <w:rPr>
      <w:b/>
      <w:bCs/>
      <w:color w:val="4f81bd" w:themeColor="accent1"/>
      <w:sz w:val="18"/>
      <w:szCs w:val="18"/>
    </w:rPr>
  </w:style>
  <w:style w:type="character" w:styleId="719">
    <w:name w:val="Caption Char"/>
    <w:basedOn w:val="718"/>
    <w:link w:val="873"/>
    <w:uiPriority w:val="99"/>
  </w:style>
  <w:style w:type="table" w:styleId="720">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5"/>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5"/>
    <w:uiPriority w:val="99"/>
    <w:semiHidden/>
    <w:unhideWhenUsed/>
    <w:rPr>
      <w:vertAlign w:val="superscript"/>
    </w:r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2">
    <w:name w:val="Heading 1"/>
    <w:basedOn w:val="861"/>
    <w:next w:val="861"/>
    <w:link w:val="887"/>
    <w:uiPriority w:val="9"/>
    <w:qFormat/>
    <w:pPr>
      <w:keepLines/>
      <w:keepNext/>
      <w:spacing w:before="340" w:after="330" w:line="578" w:lineRule="auto"/>
      <w:outlineLvl w:val="0"/>
    </w:pPr>
    <w:rPr>
      <w:b/>
      <w:bCs/>
      <w:sz w:val="44"/>
      <w:szCs w:val="44"/>
    </w:rPr>
  </w:style>
  <w:style w:type="paragraph" w:styleId="863">
    <w:name w:val="Heading 2"/>
    <w:basedOn w:val="861"/>
    <w:next w:val="861"/>
    <w:link w:val="88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4">
    <w:name w:val="Heading 3"/>
    <w:basedOn w:val="861"/>
    <w:next w:val="861"/>
    <w:link w:val="889"/>
    <w:uiPriority w:val="9"/>
    <w:unhideWhenUsed/>
    <w:qFormat/>
    <w:pPr>
      <w:keepLines/>
      <w:keepNext/>
      <w:spacing w:before="260" w:after="260" w:line="416" w:lineRule="auto"/>
      <w:outlineLvl w:val="2"/>
    </w:pPr>
    <w:rPr>
      <w:b/>
      <w:bCs/>
      <w:sz w:val="32"/>
      <w:szCs w:val="32"/>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Document Map"/>
    <w:basedOn w:val="861"/>
    <w:link w:val="888"/>
    <w:uiPriority w:val="99"/>
    <w:semiHidden/>
    <w:unhideWhenUsed/>
    <w:qFormat/>
    <w:rPr>
      <w:rFonts w:ascii="宋体" w:eastAsia="宋体"/>
      <w:sz w:val="18"/>
      <w:szCs w:val="18"/>
    </w:rPr>
  </w:style>
  <w:style w:type="paragraph" w:styleId="868">
    <w:name w:val="annotation text"/>
    <w:basedOn w:val="861"/>
    <w:link w:val="891"/>
    <w:uiPriority w:val="0"/>
    <w:qFormat/>
    <w:pPr>
      <w:ind w:firstLine="922"/>
      <w:jc w:val="left"/>
      <w:spacing w:line="360" w:lineRule="auto"/>
    </w:pPr>
    <w:rPr>
      <w:rFonts w:ascii="Times New Roman" w:hAnsi="Times New Roman" w:eastAsia="宋体" w:cs="Times New Roman"/>
      <w:szCs w:val="24"/>
    </w:rPr>
  </w:style>
  <w:style w:type="paragraph" w:styleId="869">
    <w:name w:val="Body Text Indent"/>
    <w:basedOn w:val="861"/>
    <w:next w:val="870"/>
    <w:uiPriority w:val="0"/>
    <w:qFormat/>
    <w:pPr>
      <w:ind w:left="420"/>
      <w:spacing w:after="120"/>
    </w:pPr>
    <w:rPr>
      <w:rFonts w:ascii="Times New Roman" w:hAnsi="Times New Roman" w:eastAsia="宋体" w:cs="Times New Roman"/>
      <w:szCs w:val="24"/>
    </w:rPr>
  </w:style>
  <w:style w:type="paragraph" w:styleId="870">
    <w:name w:val="envelope return"/>
    <w:basedOn w:val="861"/>
    <w:uiPriority w:val="0"/>
    <w:qFormat/>
    <w:rPr>
      <w:rFonts w:ascii="Arial" w:hAnsi="Arial" w:eastAsia="宋体" w:cs="Times New Roman"/>
    </w:rPr>
  </w:style>
  <w:style w:type="paragraph" w:styleId="871">
    <w:name w:val="Date"/>
    <w:basedOn w:val="861"/>
    <w:next w:val="861"/>
    <w:link w:val="890"/>
    <w:uiPriority w:val="99"/>
    <w:semiHidden/>
    <w:unhideWhenUsed/>
    <w:qFormat/>
    <w:pPr>
      <w:ind w:left="100"/>
    </w:pPr>
  </w:style>
  <w:style w:type="paragraph" w:styleId="872">
    <w:name w:val="Balloon Text"/>
    <w:basedOn w:val="861"/>
    <w:link w:val="892"/>
    <w:uiPriority w:val="99"/>
    <w:semiHidden/>
    <w:unhideWhenUsed/>
    <w:qFormat/>
    <w:rPr>
      <w:sz w:val="18"/>
      <w:szCs w:val="18"/>
    </w:rPr>
  </w:style>
  <w:style w:type="paragraph" w:styleId="873">
    <w:name w:val="Footer"/>
    <w:basedOn w:val="861"/>
    <w:link w:val="886"/>
    <w:uiPriority w:val="99"/>
    <w:unhideWhenUsed/>
    <w:qFormat/>
    <w:pPr>
      <w:jc w:val="left"/>
      <w:tabs>
        <w:tab w:val="center" w:pos="4153" w:leader="none"/>
        <w:tab w:val="right" w:pos="8306" w:leader="none"/>
      </w:tabs>
    </w:pPr>
    <w:rPr>
      <w:sz w:val="18"/>
      <w:szCs w:val="18"/>
    </w:rPr>
  </w:style>
  <w:style w:type="paragraph" w:styleId="874">
    <w:name w:val="Header"/>
    <w:basedOn w:val="861"/>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61"/>
    <w:next w:val="861"/>
    <w:uiPriority w:val="39"/>
    <w:unhideWhenUsed/>
    <w:qFormat/>
    <w:pPr>
      <w:jc w:val="center"/>
      <w:spacing w:line="480" w:lineRule="auto"/>
      <w:tabs>
        <w:tab w:val="right" w:pos="9628" w:leader="dot"/>
      </w:tabs>
    </w:pPr>
    <w:rPr>
      <w:b/>
      <w:sz w:val="44"/>
      <w:szCs w:val="44"/>
    </w:rPr>
  </w:style>
  <w:style w:type="paragraph" w:styleId="876">
    <w:name w:val="Normal (Web)"/>
    <w:basedOn w:val="861"/>
    <w:uiPriority w:val="0"/>
    <w:qFormat/>
    <w:pPr>
      <w:ind w:left="0" w:right="0"/>
      <w:jc w:val="left"/>
      <w:spacing w:before="0" w:beforeAutospacing="1" w:after="0" w:afterAutospacing="1"/>
    </w:pPr>
    <w:rPr>
      <w:sz w:val="24"/>
      <w:lang w:val="en-US" w:eastAsia="zh-CN" w:bidi="ar"/>
    </w:rPr>
  </w:style>
  <w:style w:type="paragraph" w:styleId="877">
    <w:name w:val="Body Text First Indent 2"/>
    <w:basedOn w:val="869"/>
    <w:uiPriority w:val="99"/>
    <w:unhideWhenUsed/>
    <w:qFormat/>
    <w:pPr>
      <w:ind w:firstLine="420"/>
    </w:pPr>
  </w:style>
  <w:style w:type="table" w:styleId="878">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65"/>
    <w:uiPriority w:val="0"/>
    <w:qFormat/>
    <w:rPr>
      <w:b/>
    </w:rPr>
  </w:style>
  <w:style w:type="character" w:styleId="880">
    <w:name w:val="Hyperlink"/>
    <w:uiPriority w:val="99"/>
    <w:qFormat/>
    <w:rPr>
      <w:color w:val="0000ff"/>
      <w:u w:val="none"/>
    </w:rPr>
  </w:style>
  <w:style w:type="character" w:styleId="881">
    <w:name w:val="annotation reference"/>
    <w:uiPriority w:val="0"/>
    <w:qFormat/>
    <w:rPr>
      <w:sz w:val="21"/>
      <w:szCs w:val="21"/>
    </w:rPr>
  </w:style>
  <w:style w:type="paragraph" w:styleId="882" w:customStyle="1">
    <w:name w:val="正文首行缩进11"/>
    <w:basedOn w:val="883"/>
    <w:uiPriority w:val="0"/>
    <w:qFormat/>
    <w:pPr>
      <w:ind w:firstLine="200"/>
      <w:spacing w:line="360" w:lineRule="auto"/>
    </w:pPr>
    <w:rPr>
      <w:rFonts w:ascii="仿宋_GB2312" w:hAnsi="Times New Roman" w:eastAsia="仿宋_GB2312"/>
      <w:sz w:val="30"/>
      <w:szCs w:val="30"/>
    </w:rPr>
  </w:style>
  <w:style w:type="paragraph" w:styleId="883" w:customStyle="1">
    <w:name w:val="正文文本11"/>
    <w:basedOn w:val="861"/>
    <w:next w:val="861"/>
    <w:uiPriority w:val="0"/>
    <w:qFormat/>
    <w:rPr>
      <w:rFonts w:ascii="楷体_GB2312" w:hAnsi="Arial" w:eastAsia="楷体_GB2312"/>
      <w:sz w:val="28"/>
      <w:szCs w:val="28"/>
      <w:lang w:eastAsia="en-US"/>
    </w:rPr>
  </w:style>
  <w:style w:type="character" w:styleId="884" w:customStyle="1">
    <w:name w:val="标题 2 Char"/>
    <w:basedOn w:val="865"/>
    <w:link w:val="863"/>
    <w:uiPriority w:val="9"/>
    <w:qFormat/>
    <w:rPr>
      <w:rFonts w:asciiTheme="majorHAnsi" w:hAnsiTheme="majorHAnsi" w:eastAsiaTheme="majorEastAsia" w:cstheme="majorBidi"/>
      <w:b/>
      <w:bCs/>
      <w:sz w:val="32"/>
      <w:szCs w:val="32"/>
    </w:rPr>
  </w:style>
  <w:style w:type="character" w:styleId="885" w:customStyle="1">
    <w:name w:val="页眉 Char"/>
    <w:basedOn w:val="865"/>
    <w:link w:val="874"/>
    <w:uiPriority w:val="99"/>
    <w:semiHidden/>
    <w:qFormat/>
    <w:rPr>
      <w:sz w:val="18"/>
      <w:szCs w:val="18"/>
    </w:rPr>
  </w:style>
  <w:style w:type="character" w:styleId="886" w:customStyle="1">
    <w:name w:val="页脚 Char"/>
    <w:basedOn w:val="865"/>
    <w:link w:val="873"/>
    <w:uiPriority w:val="99"/>
    <w:qFormat/>
    <w:rPr>
      <w:sz w:val="18"/>
      <w:szCs w:val="18"/>
    </w:rPr>
  </w:style>
  <w:style w:type="character" w:styleId="887" w:customStyle="1">
    <w:name w:val="标题 1 Char"/>
    <w:basedOn w:val="865"/>
    <w:link w:val="862"/>
    <w:uiPriority w:val="9"/>
    <w:qFormat/>
    <w:rPr>
      <w:b/>
      <w:bCs/>
      <w:sz w:val="44"/>
      <w:szCs w:val="44"/>
    </w:rPr>
  </w:style>
  <w:style w:type="character" w:styleId="888" w:customStyle="1">
    <w:name w:val="文档结构图 Char"/>
    <w:basedOn w:val="865"/>
    <w:link w:val="867"/>
    <w:uiPriority w:val="99"/>
    <w:semiHidden/>
    <w:qFormat/>
    <w:rPr>
      <w:rFonts w:ascii="宋体" w:eastAsia="宋体"/>
      <w:sz w:val="18"/>
      <w:szCs w:val="18"/>
    </w:rPr>
  </w:style>
  <w:style w:type="character" w:styleId="889" w:customStyle="1">
    <w:name w:val="标题 3 Char"/>
    <w:basedOn w:val="865"/>
    <w:link w:val="864"/>
    <w:uiPriority w:val="9"/>
    <w:qFormat/>
    <w:rPr>
      <w:b/>
      <w:bCs/>
      <w:sz w:val="32"/>
      <w:szCs w:val="32"/>
    </w:rPr>
  </w:style>
  <w:style w:type="character" w:styleId="890" w:customStyle="1">
    <w:name w:val="日期 Char"/>
    <w:basedOn w:val="865"/>
    <w:link w:val="871"/>
    <w:uiPriority w:val="99"/>
    <w:semiHidden/>
    <w:qFormat/>
  </w:style>
  <w:style w:type="character" w:styleId="891" w:customStyle="1">
    <w:name w:val="批注文字 Char"/>
    <w:basedOn w:val="865"/>
    <w:link w:val="868"/>
    <w:uiPriority w:val="0"/>
    <w:qFormat/>
    <w:rPr>
      <w:rFonts w:ascii="Times New Roman" w:hAnsi="Times New Roman" w:eastAsia="宋体" w:cs="Times New Roman"/>
      <w:szCs w:val="24"/>
    </w:rPr>
  </w:style>
  <w:style w:type="character" w:styleId="892" w:customStyle="1">
    <w:name w:val="批注框文本 Char"/>
    <w:basedOn w:val="865"/>
    <w:link w:val="872"/>
    <w:uiPriority w:val="99"/>
    <w:semiHidden/>
    <w:qFormat/>
    <w:rPr>
      <w:sz w:val="18"/>
      <w:szCs w:val="18"/>
    </w:rPr>
  </w:style>
  <w:style w:type="paragraph" w:styleId="893" w:customStyle="1">
    <w:name w:val="Default"/>
    <w:uiPriority w:val="99"/>
    <w:qFormat/>
    <w:pPr>
      <w:ind w:firstLine="420"/>
      <w:spacing w:line="360" w:lineRule="auto"/>
      <w:widowControl w:val="off"/>
    </w:pPr>
    <w:rPr>
      <w:rFonts w:ascii="宋体" w:hAnsi="宋体" w:eastAsia="宋体" w:cs="Times New Roman"/>
      <w:i/>
      <w:sz w:val="21"/>
      <w:szCs w:val="24"/>
      <w:u w:val="single"/>
      <w:lang w:val="en-US" w:eastAsia="zh-CN" w:bidi="ar-SA"/>
    </w:rPr>
  </w:style>
  <w:style w:type="paragraph" w:styleId="894">
    <w:name w:val="List Paragraph"/>
    <w:basedOn w:val="861"/>
    <w:uiPriority w:val="0"/>
    <w:qFormat/>
    <w:pPr>
      <w:ind w:firstLine="420"/>
    </w:pPr>
  </w:style>
  <w:style w:type="character" w:styleId="895" w:customStyle="1">
    <w:name w:val="font21"/>
    <w:basedOn w:val="865"/>
    <w:uiPriority w:val="0"/>
    <w:qFormat/>
    <w:rPr>
      <w:rFonts w:hint="eastAsia" w:ascii="宋体" w:hAnsi="宋体" w:eastAsia="宋体" w:cs="宋体"/>
      <w:color w:val="000000"/>
      <w:sz w:val="21"/>
      <w:szCs w:val="21"/>
      <w:u w:val="none"/>
    </w:rPr>
  </w:style>
  <w:style w:type="character" w:styleId="896" w:customStyle="1">
    <w:name w:val="font31"/>
    <w:basedOn w:val="865"/>
    <w:uiPriority w:val="0"/>
    <w:qFormat/>
    <w:rPr>
      <w:rFonts w:hint="default" w:ascii="Calibri" w:hAnsi="Calibri" w:cs="Calibri"/>
      <w:color w:val="000000"/>
      <w:sz w:val="21"/>
      <w:szCs w:val="21"/>
      <w:u w:val="none"/>
    </w:rPr>
  </w:style>
  <w:style w:type="character" w:styleId="897" w:customStyle="1">
    <w:name w:val="font91"/>
    <w:basedOn w:val="865"/>
    <w:uiPriority w:val="0"/>
    <w:qFormat/>
    <w:rPr>
      <w:rFonts w:hint="eastAsia" w:ascii="宋体" w:hAnsi="宋体" w:eastAsia="宋体" w:cs="宋体"/>
      <w:color w:val="000000"/>
      <w:sz w:val="20"/>
      <w:szCs w:val="20"/>
      <w:u w:val="none"/>
    </w:rPr>
  </w:style>
  <w:style w:type="character" w:styleId="898" w:customStyle="1">
    <w:name w:val="font51"/>
    <w:basedOn w:val="865"/>
    <w:uiPriority w:val="0"/>
    <w:qFormat/>
    <w:rPr>
      <w:rFonts w:hint="eastAsia" w:ascii="宋体" w:hAnsi="宋体" w:eastAsia="宋体" w:cs="宋体"/>
      <w:color w:val="000000"/>
      <w:sz w:val="20"/>
      <w:szCs w:val="20"/>
      <w:u w:val="none"/>
    </w:rPr>
  </w:style>
  <w:style w:type="character" w:styleId="899" w:customStyle="1">
    <w:name w:val="font131"/>
    <w:basedOn w:val="865"/>
    <w:uiPriority w:val="0"/>
    <w:qFormat/>
    <w:rPr>
      <w:rFonts w:hint="eastAsia" w:ascii="宋体" w:hAnsi="宋体" w:eastAsia="宋体" w:cs="宋体"/>
      <w:color w:val="ff0000"/>
      <w:sz w:val="20"/>
      <w:szCs w:val="20"/>
      <w:u w:val="none"/>
    </w:rPr>
  </w:style>
  <w:style w:type="character" w:styleId="900" w:customStyle="1">
    <w:name w:val="font141"/>
    <w:basedOn w:val="865"/>
    <w:uiPriority w:val="0"/>
    <w:qFormat/>
    <w:rPr>
      <w:rFonts w:hint="eastAsia" w:ascii="宋体" w:hAnsi="宋体" w:eastAsia="宋体" w:cs="宋体"/>
      <w:color w:val="000000"/>
      <w:sz w:val="20"/>
      <w:szCs w:val="20"/>
      <w:u w:val="none"/>
    </w:rPr>
  </w:style>
  <w:style w:type="character" w:styleId="901" w:customStyle="1">
    <w:name w:val="font101"/>
    <w:basedOn w:val="865"/>
    <w:uiPriority w:val="0"/>
    <w:qFormat/>
    <w:rPr>
      <w:rFonts w:hint="eastAsia" w:ascii="宋体" w:hAnsi="宋体" w:eastAsia="宋体" w:cs="宋体"/>
      <w:color w:val="000000"/>
      <w:sz w:val="20"/>
      <w:szCs w:val="20"/>
      <w:u w:val="none"/>
    </w:rPr>
  </w:style>
  <w:style w:type="character" w:styleId="902" w:customStyle="1">
    <w:name w:val="font112"/>
    <w:basedOn w:val="865"/>
    <w:uiPriority w:val="0"/>
    <w:qFormat/>
    <w:rPr>
      <w:rFonts w:hint="eastAsia" w:ascii="宋体" w:hAnsi="宋体" w:eastAsia="宋体" w:cs="宋体"/>
      <w:color w:val="000000"/>
      <w:sz w:val="20"/>
      <w:szCs w:val="20"/>
      <w:u w:val="none"/>
    </w:rPr>
  </w:style>
  <w:style w:type="character" w:styleId="903" w:customStyle="1">
    <w:name w:val="font41"/>
    <w:basedOn w:val="865"/>
    <w:uiPriority w:val="0"/>
    <w:qFormat/>
    <w:rPr>
      <w:rFonts w:hint="eastAsia" w:ascii="宋体" w:hAnsi="宋体" w:eastAsia="宋体" w:cs="宋体"/>
      <w:b/>
      <w:bCs/>
      <w:color w:val="ff0000"/>
      <w:sz w:val="20"/>
      <w:szCs w:val="20"/>
      <w:u w:val="none"/>
    </w:rPr>
  </w:style>
  <w:style w:type="character" w:styleId="904" w:customStyle="1">
    <w:name w:val="font151"/>
    <w:basedOn w:val="865"/>
    <w:uiPriority w:val="0"/>
    <w:qFormat/>
    <w:rPr>
      <w:rFonts w:hint="eastAsia" w:ascii="宋体" w:hAnsi="宋体" w:eastAsia="宋体" w:cs="宋体"/>
      <w:color w:val="000000"/>
      <w:sz w:val="20"/>
      <w:szCs w:val="20"/>
      <w:u w:val="none"/>
    </w:rPr>
  </w:style>
  <w:style w:type="character" w:styleId="905" w:customStyle="1">
    <w:name w:val="font121"/>
    <w:basedOn w:val="865"/>
    <w:uiPriority w:val="0"/>
    <w:qFormat/>
    <w:rPr>
      <w:rFonts w:hint="eastAsia" w:ascii="宋体" w:hAnsi="宋体" w:eastAsia="宋体" w:cs="宋体"/>
      <w:color w:val="000000"/>
      <w:sz w:val="20"/>
      <w:szCs w:val="20"/>
      <w:u w:val="none"/>
    </w:rPr>
  </w:style>
  <w:style w:type="character" w:styleId="906" w:customStyle="1">
    <w:name w:val="font81"/>
    <w:basedOn w:val="865"/>
    <w:uiPriority w:val="0"/>
    <w:qFormat/>
    <w:rPr>
      <w:rFonts w:hint="eastAsia" w:ascii="宋体" w:hAnsi="宋体" w:eastAsia="宋体" w:cs="宋体"/>
      <w:color w:val="000000"/>
      <w:sz w:val="20"/>
      <w:szCs w:val="20"/>
      <w:u w:val="none"/>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吴蕾</cp:lastModifiedBy>
  <cp:revision>97</cp:revision>
  <dcterms:created xsi:type="dcterms:W3CDTF">2024-01-04T03:50:00Z</dcterms:created>
  <dcterms:modified xsi:type="dcterms:W3CDTF">2024-12-09T08:22:46Z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F9FF36A953864068BF258809D86EE4A8_13</vt:lpwstr>
  </property>
</Properties>
</file>