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ind w:firstLine="0"/>
        <w:jc w:val="center"/>
        <w:rPr>
          <w:rFonts w:hint="eastAsia" w:eastAsia="黑体"/>
          <w:b/>
          <w:bCs/>
          <w:sz w:val="84"/>
          <w:shd w:val="clear" w:color="ffffff" w:fill="d9d9d9"/>
        </w:rPr>
      </w:pPr>
      <w:r>
        <w:rPr>
          <w:rFonts w:hint="eastAsia" w:eastAsia="黑体"/>
          <w:b/>
          <w:bCs/>
          <w:sz w:val="84"/>
          <w:shd w:val="clear" w:color="ffffff" w:fill="d9d9d9"/>
        </w:rPr>
      </w:r>
      <w:r/>
    </w:p>
    <w:p>
      <w:pPr>
        <w:pStyle w:val="93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3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3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JSZC-320213-JZCG-G2024-0066</w:t>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梁溪区徐巷智慧体育公园健身设备采购项目</w:t>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无锡市梁溪区文化体育和旅游局（本级）</w:t>
      </w:r>
      <w:r/>
    </w:p>
    <w:p>
      <w:pPr>
        <w:jc w:val="center"/>
        <w:rPr>
          <w:rFonts w:ascii="黑体" w:hAnsi="华文中宋" w:eastAsia="黑体"/>
          <w:bCs/>
          <w:sz w:val="30"/>
          <w:szCs w:val="30"/>
        </w:rPr>
      </w:pPr>
      <w:r>
        <w:rPr>
          <w:rFonts w:ascii="黑体" w:hAnsi="华文中宋" w:eastAsia="黑体"/>
          <w:bCs/>
          <w:sz w:val="30"/>
          <w:szCs w:val="30"/>
        </w:rPr>
      </w:r>
      <w:r/>
    </w:p>
    <w:p>
      <w:pPr>
        <w:pStyle w:val="93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3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3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34"/>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sz w:val="32"/>
          <w:szCs w:val="32"/>
        </w:rPr>
        <w:t xml:space="preserve">采购代理机构：</w:t>
      </w:r>
      <w:r>
        <w:rPr>
          <w:rFonts w:hint="eastAsia" w:ascii="黑体" w:hAnsi="华文中宋" w:eastAsia="黑体"/>
          <w:bCs/>
          <w:sz w:val="32"/>
          <w:szCs w:val="32"/>
          <w:lang w:eastAsia="zh-CN"/>
        </w:rPr>
        <w:t xml:space="preserve">无锡市公共资源交易中心梁溪分中心</w:t>
      </w:r>
      <w:r/>
    </w:p>
    <w:p>
      <w:pPr>
        <w:pStyle w:val="934"/>
        <w:ind w:firstLine="0"/>
        <w:jc w:val="center"/>
        <w:rPr>
          <w:rFonts w:ascii="黑体" w:hAnsi="华文中宋" w:eastAsia="黑体"/>
          <w:bCs/>
          <w:sz w:val="32"/>
          <w:szCs w:val="32"/>
        </w:rPr>
      </w:pPr>
      <w:r>
        <w:rPr>
          <w:rFonts w:hint="eastAsia" w:ascii="黑体" w:hAnsi="华文中宋" w:eastAsia="黑体"/>
          <w:bCs/>
          <w:sz w:val="32"/>
          <w:szCs w:val="32"/>
        </w:rPr>
        <w:t xml:space="preserve">二○二四年十</w:t>
      </w:r>
      <w:r>
        <w:rPr>
          <w:rFonts w:hint="eastAsia" w:ascii="黑体" w:hAnsi="华文中宋" w:eastAsia="黑体"/>
          <w:bCs/>
          <w:sz w:val="32"/>
          <w:szCs w:val="32"/>
          <w:lang w:val="en-US" w:eastAsia="zh-CN"/>
        </w:rPr>
        <w:t xml:space="preserve">二</w:t>
      </w:r>
      <w:r>
        <w:rPr>
          <w:rFonts w:hint="eastAsia" w:ascii="黑体" w:hAnsi="华文中宋" w:eastAsia="黑体"/>
          <w:bCs/>
          <w:sz w:val="32"/>
          <w:szCs w:val="32"/>
        </w:rPr>
        <w:t xml:space="preserve">月</w:t>
      </w:r>
      <w:r/>
    </w:p>
    <w:p>
      <w:pPr>
        <w:pStyle w:val="934"/>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val="en-US" w:eastAsia="zh-CN"/>
        </w:rPr>
        <w:t xml:space="preserve">3</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投标人须知----------------------------------7</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43</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48</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无锡市梁溪区文化体育和旅游局（本级）</w:t>
      </w:r>
      <w:r>
        <w:rPr>
          <w:rFonts w:hint="eastAsia" w:ascii="宋体" w:hAnsi="宋体"/>
          <w:sz w:val="24"/>
          <w:szCs w:val="24"/>
        </w:rPr>
        <w:t xml:space="preserve">的委托，</w:t>
      </w:r>
      <w:r>
        <w:rPr>
          <w:rFonts w:hint="eastAsia" w:ascii="宋体" w:hAnsi="宋体"/>
          <w:sz w:val="24"/>
          <w:szCs w:val="24"/>
          <w:lang w:eastAsia="zh-CN"/>
        </w:rPr>
        <w:t xml:space="preserve">无锡市公共资源交易中心梁溪分中心</w:t>
      </w:r>
      <w:r>
        <w:rPr>
          <w:rFonts w:hint="eastAsia" w:ascii="宋体" w:hAnsi="宋体"/>
          <w:sz w:val="24"/>
          <w:szCs w:val="24"/>
        </w:rPr>
        <w:t xml:space="preserve">就</w:t>
      </w:r>
      <w:r>
        <w:rPr>
          <w:rFonts w:hint="eastAsia" w:ascii="宋体" w:hAnsi="宋体"/>
          <w:sz w:val="24"/>
          <w:szCs w:val="24"/>
          <w:lang w:eastAsia="zh-CN"/>
        </w:rPr>
        <w:t xml:space="preserve">梁溪区徐巷智慧体育公园健身设备采购项目</w:t>
      </w:r>
      <w:r>
        <w:rPr>
          <w:rFonts w:hint="eastAsia" w:ascii="宋体" w:hAnsi="宋体"/>
          <w:sz w:val="24"/>
          <w:szCs w:val="24"/>
        </w:rPr>
        <w:t xml:space="preserve">（</w:t>
      </w:r>
      <w:r>
        <w:rPr>
          <w:rFonts w:hint="eastAsia" w:ascii="宋体" w:hAnsi="宋体"/>
          <w:sz w:val="24"/>
          <w:szCs w:val="24"/>
          <w:lang w:eastAsia="zh-CN"/>
        </w:rPr>
        <w:t xml:space="preserve">JSZC-320213-JZCG-G2024-0066</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梁溪区徐巷智慧体育公园健身设备采购项目</w:t>
      </w:r>
      <w:r>
        <w:rPr>
          <w:rFonts w:hint="eastAsia" w:ascii="宋体" w:hAnsi="宋体"/>
          <w:sz w:val="24"/>
          <w:szCs w:val="24"/>
        </w:rPr>
        <w:t xml:space="preserve">的潜在投标人应在“无锡政府采购网”“江苏政府采购网”自行浏览招标文件，如有投标意向须在本招标文件有效获取期内通过登录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sz w:val="24"/>
          <w:szCs w:val="24"/>
          <w:highlight w:val="none"/>
        </w:rPr>
        <w:t xml:space="preserve">20</w:t>
      </w:r>
      <w:r>
        <w:rPr>
          <w:rFonts w:hint="eastAsia" w:ascii="宋体" w:hAnsi="宋体"/>
          <w:sz w:val="24"/>
          <w:szCs w:val="24"/>
          <w:highlight w:val="none"/>
          <w:lang w:val="en-US" w:eastAsia="zh-CN"/>
        </w:rPr>
        <w:t xml:space="preserve">25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日09点30分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51"/>
        <w:ind w:firstLine="452"/>
        <w:keepLines w:val="0"/>
        <w:keepNext w:val="0"/>
        <w:spacing w:before="0" w:after="0" w:line="500" w:lineRule="exact"/>
        <w:rPr>
          <w:sz w:val="30"/>
          <w:szCs w:val="30"/>
          <w:highlight w:val="none"/>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JSZC-320213-JZCG-G2024-0066</w:t>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梁溪区徐巷智慧体育公园健身设备采购项目</w:t>
      </w:r>
      <w:bookmarkEnd w:id="11"/>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3.项目预算金额：</w:t>
      </w:r>
      <w:r>
        <w:rPr>
          <w:rFonts w:hint="eastAsia" w:ascii="宋体" w:hAnsi="宋体"/>
          <w:sz w:val="24"/>
          <w:szCs w:val="24"/>
          <w:highlight w:val="none"/>
          <w:lang w:val="en-US" w:eastAsia="zh-CN"/>
        </w:rPr>
        <w:t xml:space="preserve">110</w:t>
      </w:r>
      <w:r>
        <w:rPr>
          <w:rFonts w:hint="eastAsia" w:ascii="宋体" w:hAnsi="宋体"/>
          <w:sz w:val="24"/>
          <w:szCs w:val="24"/>
          <w:highlight w:val="none"/>
        </w:rPr>
        <w:t xml:space="preserve">万元</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4.项目最高限价：</w:t>
      </w:r>
      <w:r>
        <w:rPr>
          <w:rFonts w:hint="eastAsia" w:ascii="宋体" w:hAnsi="宋体"/>
          <w:sz w:val="24"/>
          <w:szCs w:val="24"/>
          <w:highlight w:val="none"/>
          <w:lang w:val="en-US" w:eastAsia="zh-CN"/>
        </w:rPr>
        <w:t xml:space="preserve">110</w:t>
      </w:r>
      <w:r>
        <w:rPr>
          <w:rFonts w:hint="eastAsia" w:ascii="宋体" w:hAnsi="宋体"/>
          <w:sz w:val="24"/>
          <w:szCs w:val="24"/>
          <w:highlight w:val="none"/>
        </w:rPr>
        <w:t xml:space="preserve">万元</w:t>
      </w:r>
      <w:bookmarkStart w:id="206" w:name="_GoBack"/>
      <w:r/>
      <w:bookmarkEnd w:id="206"/>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5.采购方式：公开招标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8.本项目不接受联合体投标。</w:t>
      </w:r>
      <w:r/>
    </w:p>
    <w:p>
      <w:pPr>
        <w:pStyle w:val="851"/>
        <w:ind w:firstLine="452"/>
        <w:keepLines w:val="0"/>
        <w:keepNext w:val="0"/>
        <w:spacing w:before="0" w:after="0" w:line="500" w:lineRule="exact"/>
        <w:rPr>
          <w:sz w:val="30"/>
          <w:szCs w:val="30"/>
          <w:highlight w:val="none"/>
        </w:rPr>
      </w:pPr>
      <w:r/>
      <w:bookmarkStart w:id="12" w:name="_Toc28359003"/>
      <w:r/>
      <w:bookmarkStart w:id="13" w:name="_Toc28359080"/>
      <w:r/>
      <w:bookmarkStart w:id="14" w:name="_Toc35393791"/>
      <w:r/>
      <w:bookmarkStart w:id="15" w:name="_Toc38985264"/>
      <w:r/>
      <w:bookmarkStart w:id="16" w:name="_Toc35393622"/>
      <w:r>
        <w:rPr>
          <w:rFonts w:hint="eastAsia"/>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sz w:val="24"/>
          <w:szCs w:val="24"/>
          <w:highlight w:val="none"/>
        </w:rPr>
        <w:t xml:space="preserve">1.满足《中华人民共和国政府采购法》第二十二条规定；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2.1中小企业政策：本项目专门面向中小企业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highlight w:val="none"/>
        </w:rPr>
      </w:pPr>
      <w:r>
        <w:rPr>
          <w:rFonts w:hint="eastAsia" w:ascii="宋体" w:hAnsi="宋体"/>
          <w:sz w:val="24"/>
          <w:szCs w:val="24"/>
          <w:highlight w:val="none"/>
        </w:rPr>
        <w:t xml:space="preserve">3.本项目的特定资格要求：无。</w:t>
      </w:r>
      <w:r/>
    </w:p>
    <w:p>
      <w:pPr>
        <w:pStyle w:val="851"/>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p>
    <w:p>
      <w:pPr>
        <w:ind w:firstLine="540"/>
        <w:spacing w:line="500" w:lineRule="exact"/>
        <w:rPr>
          <w:rStyle w:val="923"/>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“江苏省政府采购（苏采云）平台”（http://jszfcg.jscz.gov.cn/jszc/login）获取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851"/>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1.时间：202</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年</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日09点30分（北京时间）</w:t>
      </w:r>
      <w:r/>
    </w:p>
    <w:p>
      <w:pPr>
        <w:ind w:firstLine="480"/>
        <w:spacing w:line="500" w:lineRule="exact"/>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851"/>
        <w:ind w:firstLine="452"/>
        <w:keepLines w:val="0"/>
        <w:keepNext w:val="0"/>
        <w:spacing w:before="0" w:after="0" w:line="500" w:lineRule="exact"/>
        <w:rPr>
          <w:sz w:val="30"/>
          <w:szCs w:val="30"/>
        </w:rPr>
      </w:pPr>
      <w:r/>
      <w:bookmarkStart w:id="27" w:name="_Toc35393794"/>
      <w:r/>
      <w:bookmarkStart w:id="28" w:name="_Toc28359007"/>
      <w:r/>
      <w:bookmarkStart w:id="29" w:name="_Toc35393625"/>
      <w:r/>
      <w:bookmarkStart w:id="30" w:name="_Toc3898526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85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51"/>
        <w:ind w:firstLine="452"/>
        <w:keepLines w:val="0"/>
        <w:keepNext w:val="0"/>
        <w:spacing w:before="0" w:after="0" w:line="500" w:lineRule="exact"/>
        <w:rPr>
          <w:sz w:val="30"/>
          <w:szCs w:val="30"/>
        </w:rPr>
      </w:pPr>
      <w:r/>
      <w:bookmarkStart w:id="35" w:name="_Toc35393796"/>
      <w:r/>
      <w:bookmarkStart w:id="36" w:name="_Toc28359008"/>
      <w:r/>
      <w:bookmarkStart w:id="37" w:name="_Toc35393627"/>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无锡市梁溪区文化体育和旅游局（本级）</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地    址：无锡市梁溪区</w:t>
      </w:r>
      <w:r>
        <w:rPr>
          <w:rFonts w:hint="eastAsia" w:ascii="宋体" w:hAnsi="宋体" w:cs="宋体"/>
          <w:sz w:val="24"/>
          <w:szCs w:val="24"/>
          <w:highlight w:val="none"/>
          <w:lang w:eastAsia="zh-CN"/>
        </w:rPr>
        <w:t xml:space="preserve">金钩桥南路</w:t>
      </w:r>
      <w:r>
        <w:rPr>
          <w:rFonts w:hint="eastAsia" w:ascii="宋体" w:hAnsi="宋体" w:cs="宋体"/>
          <w:sz w:val="24"/>
          <w:szCs w:val="24"/>
          <w:highlight w:val="none"/>
          <w:lang w:val="en-US" w:eastAsia="zh-CN"/>
        </w:rPr>
        <w:t xml:space="preserve">55号4楼</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无锡市公共资源交易中心梁溪分中心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梁溪区清名路380号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hAnsi="宋体" w:cs="宋体"/>
          <w:sz w:val="24"/>
          <w:szCs w:val="24"/>
          <w:lang w:eastAsia="zh-CN"/>
        </w:rPr>
        <w:t xml:space="preserve">过婵珺</w:t>
      </w:r>
      <w:r>
        <w:rPr>
          <w:rFonts w:hint="eastAsia" w:ascii="宋体" w:hAnsi="宋体" w:cs="宋体"/>
          <w:sz w:val="24"/>
          <w:szCs w:val="24"/>
        </w:rPr>
        <w:t xml:space="preserve">；电话：0510-8</w:t>
      </w:r>
      <w:r>
        <w:rPr>
          <w:rFonts w:hint="eastAsia" w:ascii="宋体" w:hAnsi="宋体" w:cs="宋体"/>
          <w:sz w:val="24"/>
          <w:szCs w:val="24"/>
          <w:lang w:val="en-US" w:eastAsia="zh-CN"/>
        </w:rPr>
        <w:t xml:space="preserve">5033189</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lang w:eastAsia="zh-CN"/>
        </w:rPr>
        <w:t xml:space="preserve">过婵珺</w:t>
      </w:r>
      <w:r>
        <w:rPr>
          <w:rFonts w:hint="eastAsia" w:ascii="宋体" w:hAnsi="宋体" w:cs="宋体"/>
          <w:sz w:val="24"/>
          <w:szCs w:val="24"/>
        </w:rPr>
        <w:t xml:space="preserve">；电话：0510-8</w:t>
      </w:r>
      <w:r>
        <w:rPr>
          <w:rFonts w:hint="eastAsia" w:ascii="宋体" w:hAnsi="宋体" w:cs="宋体"/>
          <w:sz w:val="24"/>
          <w:szCs w:val="24"/>
          <w:lang w:val="en-US" w:eastAsia="zh-CN"/>
        </w:rPr>
        <w:t xml:space="preserve">5033189</w:t>
      </w:r>
      <w:r>
        <w:rPr>
          <w:rFonts w:hint="eastAsia" w:ascii="宋体" w:hAnsi="宋体" w:cs="宋体"/>
          <w:sz w:val="24"/>
          <w:szCs w:val="24"/>
        </w:rPr>
        <w:t xml:space="preserve">；</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sz w:val="24"/>
          <w:szCs w:val="24"/>
          <w:lang w:val="en-US" w:eastAsia="zh-CN"/>
        </w:rPr>
        <w:t xml:space="preserve">王湉湉</w:t>
      </w:r>
      <w:r>
        <w:rPr>
          <w:rFonts w:hint="eastAsia" w:ascii="宋体" w:hAnsi="宋体" w:cs="宋体"/>
          <w:sz w:val="24"/>
          <w:szCs w:val="24"/>
        </w:rPr>
        <w:t xml:space="preserve">；电话：0510-</w:t>
      </w:r>
      <w:r>
        <w:rPr>
          <w:rFonts w:hint="eastAsia" w:ascii="宋体" w:hAnsi="宋体" w:cs="宋体"/>
          <w:sz w:val="24"/>
          <w:szCs w:val="24"/>
          <w:lang w:val="en-US" w:eastAsia="zh-CN"/>
        </w:rPr>
        <w:t xml:space="preserve">85058802</w:t>
      </w:r>
      <w:r/>
    </w:p>
    <w:p>
      <w:pPr>
        <w:pStyle w:val="851"/>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w:t>
      </w:r>
      <w:r>
        <w:rPr>
          <w:rFonts w:hint="eastAsia" w:ascii="宋体" w:hAnsi="宋体"/>
          <w:sz w:val="24"/>
          <w:szCs w:val="24"/>
          <w:lang w:eastAsia="zh-CN"/>
        </w:rPr>
        <w:t xml:space="preserve">“</w:t>
      </w:r>
      <w:r>
        <w:rPr>
          <w:rFonts w:hint="eastAsia" w:ascii="宋体" w:hAnsi="宋体"/>
          <w:sz w:val="24"/>
          <w:szCs w:val="24"/>
        </w:rPr>
        <w:t xml:space="preserve">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在“无锡政府采购网”“江苏政府采购网”发布的更正公告。</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851"/>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
    </w:p>
    <w:p>
      <w:pPr>
        <w:pStyle w:val="85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52"/>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w:t>
      </w:r>
      <w:r>
        <w:rPr>
          <w:rFonts w:hint="eastAsia" w:ascii="宋体" w:hAnsi="宋体"/>
          <w:sz w:val="24"/>
          <w:szCs w:val="24"/>
          <w:lang w:eastAsia="zh-CN"/>
        </w:rPr>
        <w:t xml:space="preserve">”“</w:t>
      </w:r>
      <w:r>
        <w:rPr>
          <w:rFonts w:hint="eastAsia" w:ascii="宋体" w:hAnsi="宋体"/>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2"/>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52"/>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无锡市公共资源交易中心梁溪分中心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51"/>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120614215"/>
      <w:r/>
      <w:bookmarkStart w:id="68" w:name="_Toc20823281"/>
      <w:r>
        <w:rPr>
          <w:rFonts w:hint="eastAsia"/>
          <w:sz w:val="30"/>
          <w:szCs w:val="30"/>
        </w:rPr>
        <w:t xml:space="preserve">二、招标文件</w:t>
      </w:r>
      <w:bookmarkEnd w:id="65"/>
      <w:r/>
      <w:bookmarkEnd w:id="66"/>
      <w:r/>
      <w:bookmarkEnd w:id="67"/>
      <w:r/>
      <w:bookmarkEnd w:id="68"/>
      <w:r/>
      <w:r/>
    </w:p>
    <w:p>
      <w:pPr>
        <w:pStyle w:val="85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bookmarkStart w:id="76" w:name="_Toc513029212"/>
      <w:r/>
      <w:bookmarkStart w:id="77" w:name="_Toc20823284"/>
      <w:r/>
      <w:bookmarkStart w:id="78" w:name="_Toc16938528"/>
      <w:r/>
      <w:bookmarkStart w:id="79" w:name="_Toc462564071"/>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答疑会时间：202</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20</w:t>
      </w:r>
      <w:r>
        <w:rPr>
          <w:rFonts w:hint="eastAsia" w:ascii="宋体" w:hAnsi="宋体"/>
          <w:bCs/>
          <w:color w:val="000000"/>
          <w:sz w:val="24"/>
          <w:szCs w:val="24"/>
          <w:highlight w:val="none"/>
        </w:rPr>
        <w:t xml:space="preserve">日10:30</w:t>
      </w:r>
      <w:r/>
    </w:p>
    <w:p>
      <w:pPr>
        <w:ind w:firstLine="480"/>
        <w:spacing w:line="500" w:lineRule="exact"/>
        <w:rPr>
          <w:rFonts w:ascii="宋体" w:hAnsi="宋体"/>
          <w:bCs/>
          <w:color w:val="000000"/>
          <w:sz w:val="24"/>
          <w:szCs w:val="24"/>
        </w:rPr>
      </w:pPr>
      <w:r>
        <w:rPr>
          <w:rFonts w:hint="eastAsia" w:ascii="宋体" w:hAnsi="宋体"/>
          <w:bCs/>
          <w:color w:val="000000"/>
          <w:sz w:val="24"/>
          <w:szCs w:val="24"/>
          <w:highlight w:val="none"/>
        </w:rPr>
        <w:t xml:space="preserve">答疑会地点：无锡市公共资源交易中心梁溪分中心开标</w:t>
      </w:r>
      <w:r>
        <w:rPr>
          <w:rFonts w:hint="eastAsia" w:ascii="宋体" w:hAnsi="宋体"/>
          <w:bCs/>
          <w:color w:val="000000"/>
          <w:sz w:val="24"/>
          <w:szCs w:val="24"/>
        </w:rPr>
        <w:t xml:space="preserve">一室（清名路380号6楼）</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51"/>
        <w:ind w:firstLine="452"/>
        <w:keepLines w:val="0"/>
        <w:keepNext w:val="0"/>
        <w:spacing w:before="0" w:after="0" w:line="500" w:lineRule="exact"/>
        <w:rPr>
          <w:rFonts w:hint="eastAsia"/>
          <w:sz w:val="30"/>
          <w:szCs w:val="30"/>
        </w:rPr>
      </w:pPr>
      <w:r/>
      <w:bookmarkStart w:id="80" w:name="_Toc20823285"/>
      <w:r/>
      <w:bookmarkStart w:id="81" w:name="_Toc462564072"/>
      <w:r/>
      <w:bookmarkStart w:id="82" w:name="_Toc513029213"/>
      <w:r/>
      <w:bookmarkStart w:id="83" w:name="_Toc16938529"/>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852"/>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52"/>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5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w:t>
      </w:r>
      <w:r>
        <w:rPr>
          <w:rFonts w:hint="eastAsia" w:ascii="宋体" w:hAnsi="宋体"/>
          <w:bCs/>
          <w:sz w:val="24"/>
          <w:lang w:eastAsia="zh-CN"/>
        </w:rPr>
        <w:t xml:space="preserve">法律法规</w:t>
      </w:r>
      <w:r>
        <w:rPr>
          <w:rFonts w:hint="eastAsia" w:ascii="宋体" w:hAnsi="宋体"/>
          <w:bCs/>
          <w:sz w:val="24"/>
        </w:rPr>
        <w:t xml:space="preserve">、规章和规范性文件以及招标文件要求提交证明文件，证明其及投标标的符合招标文</w:t>
      </w:r>
      <w:r>
        <w:rPr>
          <w:rFonts w:hint="eastAsia" w:ascii="宋体" w:hAnsi="宋体"/>
          <w:bCs/>
          <w:sz w:val="24"/>
          <w:lang w:eastAsia="zh-CN"/>
        </w:rPr>
        <w:t xml:space="preserve">件的</w:t>
      </w:r>
      <w:r>
        <w:rPr>
          <w:rFonts w:hint="eastAsia" w:ascii="宋体" w:hAnsi="宋体"/>
          <w:bCs/>
          <w:sz w:val="24"/>
        </w:rPr>
        <w:t xml:space="preserve">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2"/>
        <w:ind w:firstLine="422"/>
        <w:keepLines w:val="0"/>
        <w:keepNext w:val="0"/>
        <w:spacing w:before="0" w:after="0" w:line="500" w:lineRule="exact"/>
        <w:rPr>
          <w:rFonts w:hint="eastAsia" w:ascii="宋体" w:hAnsi="宋体" w:eastAsia="宋体"/>
          <w:bCs w:val="0"/>
        </w:rPr>
      </w:pPr>
      <w:r/>
      <w:bookmarkStart w:id="108" w:name="_Hlt26670425"/>
      <w:r/>
      <w:bookmarkEnd w:id="108"/>
      <w:r/>
      <w:bookmarkStart w:id="109" w:name="_Hlt26954842"/>
      <w:r/>
      <w:bookmarkEnd w:id="109"/>
      <w:r/>
      <w:bookmarkStart w:id="110" w:name="_Hlt26670403"/>
      <w:r/>
      <w:bookmarkEnd w:id="110"/>
      <w:r/>
      <w:bookmarkStart w:id="111" w:name="_Hlt26954846"/>
      <w:r/>
      <w:bookmarkEnd w:id="111"/>
      <w:r/>
      <w:bookmarkStart w:id="112" w:name="_Hlt26670482"/>
      <w:r/>
      <w:bookmarkEnd w:id="112"/>
      <w:r/>
      <w:bookmarkStart w:id="113" w:name="_Hlt26668983"/>
      <w:r/>
      <w:bookmarkEnd w:id="113"/>
      <w:r/>
      <w:bookmarkStart w:id="114" w:name="_Hlt26954731"/>
      <w:r/>
      <w:bookmarkEnd w:id="114"/>
      <w:r/>
      <w:bookmarkStart w:id="115" w:name="_Hlt26954848"/>
      <w:r/>
      <w:bookmarkEnd w:id="115"/>
      <w:r/>
      <w:bookmarkStart w:id="116" w:name="_Hlt26670486"/>
      <w:r/>
      <w:bookmarkEnd w:id="116"/>
      <w:r/>
      <w:bookmarkStart w:id="117" w:name="_Hlt26954844"/>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52"/>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1"/>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
    </w:p>
    <w:p>
      <w:pPr>
        <w:pStyle w:val="852"/>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5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52"/>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52"/>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1"/>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
    </w:p>
    <w:p>
      <w:pPr>
        <w:pStyle w:val="852"/>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52"/>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w:t>
      </w:r>
      <w:r>
        <w:rPr>
          <w:rFonts w:hint="eastAsia" w:ascii="宋体" w:hAnsi="宋体"/>
          <w:bCs/>
          <w:sz w:val="24"/>
          <w:lang w:eastAsia="zh-CN"/>
        </w:rPr>
        <w:t xml:space="preserve">投标</w:t>
      </w:r>
      <w:r>
        <w:rPr>
          <w:rFonts w:hint="eastAsia" w:ascii="宋体" w:hAnsi="宋体"/>
          <w:bCs/>
          <w:sz w:val="24"/>
        </w:rPr>
        <w:t xml:space="preserve">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52"/>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w:t>
      </w:r>
      <w:r>
        <w:rPr>
          <w:rFonts w:hint="eastAsia" w:ascii="宋体" w:hAnsi="宋体"/>
          <w:sz w:val="24"/>
          <w:szCs w:val="24"/>
          <w:lang w:eastAsia="zh-CN"/>
        </w:rPr>
        <w:t xml:space="preserve">作出</w:t>
      </w:r>
      <w:r>
        <w:rPr>
          <w:rFonts w:hint="eastAsia" w:ascii="宋体" w:hAnsi="宋体"/>
          <w:sz w:val="24"/>
          <w:szCs w:val="24"/>
        </w:rPr>
        <w:t xml:space="preserve">澄清、说明和补正，其风险由投标人自行承担。</w:t>
      </w:r>
      <w:r/>
    </w:p>
    <w:p>
      <w:pPr>
        <w:pStyle w:val="852"/>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w:t>
      </w:r>
      <w:r>
        <w:rPr>
          <w:rFonts w:hint="eastAsia" w:ascii="宋体" w:hAnsi="宋体" w:cs="宋体"/>
          <w:bCs/>
          <w:sz w:val="24"/>
          <w:szCs w:val="24"/>
          <w:lang w:eastAsia="zh-CN"/>
        </w:rPr>
        <w:t xml:space="preserve">投标单位</w:t>
      </w:r>
      <w:r>
        <w:rPr>
          <w:rFonts w:hint="eastAsia" w:ascii="宋体" w:hAnsi="宋体" w:cs="宋体"/>
          <w:bCs/>
          <w:sz w:val="24"/>
          <w:szCs w:val="24"/>
        </w:rPr>
        <w:t xml:space="preserve">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w:t>
      </w:r>
      <w:r>
        <w:rPr>
          <w:rFonts w:hint="eastAsia" w:ascii="宋体" w:hAnsi="宋体" w:cs="宋体"/>
          <w:bCs/>
          <w:sz w:val="24"/>
          <w:lang w:eastAsia="zh-CN"/>
        </w:rPr>
        <w:t xml:space="preserve">投标单位</w:t>
      </w:r>
      <w:r>
        <w:rPr>
          <w:rFonts w:hint="eastAsia" w:ascii="宋体" w:hAnsi="宋体" w:cs="宋体"/>
          <w:bCs/>
          <w:sz w:val="24"/>
        </w:rPr>
        <w:t xml:space="preserve">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w:t>
      </w:r>
      <w:r>
        <w:rPr>
          <w:rFonts w:hint="eastAsia" w:ascii="宋体" w:hAnsi="宋体"/>
          <w:bCs/>
          <w:sz w:val="24"/>
          <w:lang w:eastAsia="zh-CN"/>
        </w:rPr>
        <w:t xml:space="preserve">法律法规</w:t>
      </w:r>
      <w:r>
        <w:rPr>
          <w:rFonts w:hint="eastAsia" w:ascii="宋体" w:hAnsi="宋体"/>
          <w:bCs/>
          <w:sz w:val="24"/>
        </w:rPr>
        <w:t xml:space="preserve">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w:t>
      </w:r>
      <w:r>
        <w:rPr>
          <w:rFonts w:hint="eastAsia" w:ascii="宋体" w:hAnsi="宋体"/>
          <w:bCs/>
          <w:sz w:val="24"/>
          <w:lang w:eastAsia="zh-CN"/>
        </w:rPr>
        <w:t xml:space="preserve">做</w:t>
      </w:r>
      <w:r>
        <w:rPr>
          <w:rFonts w:hint="eastAsia" w:ascii="宋体" w:hAnsi="宋体"/>
          <w:bCs/>
          <w:sz w:val="24"/>
        </w:rPr>
        <w:t xml:space="preserve">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5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w:t>
      </w:r>
      <w:r>
        <w:rPr>
          <w:rFonts w:hint="eastAsia" w:ascii="宋体" w:hAnsi="宋体"/>
          <w:sz w:val="24"/>
          <w:szCs w:val="24"/>
          <w:lang w:eastAsia="zh-CN"/>
        </w:rPr>
        <w:t xml:space="preserve">投标单位</w:t>
      </w:r>
      <w:r>
        <w:rPr>
          <w:rFonts w:hint="eastAsia" w:ascii="宋体" w:hAnsi="宋体"/>
          <w:sz w:val="24"/>
          <w:szCs w:val="24"/>
        </w:rPr>
        <w:t xml:space="preserve">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sz w:val="24"/>
          <w:szCs w:val="24"/>
          <w:lang w:eastAsia="zh-CN"/>
        </w:rPr>
        <w:t xml:space="preserve">质疑</w:t>
      </w:r>
      <w:r>
        <w:rPr>
          <w:rFonts w:hint="eastAsia" w:ascii="宋体" w:hAnsi="宋体"/>
          <w:sz w:val="24"/>
          <w:szCs w:val="24"/>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1"/>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852"/>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ascii="宋体" w:hAnsi="宋体"/>
          <w:b/>
          <w:color w:val="000000"/>
          <w:sz w:val="28"/>
          <w:szCs w:val="28"/>
        </w:rPr>
      </w:pPr>
      <w:r>
        <w:rPr>
          <w:rFonts w:hint="eastAsia" w:ascii="宋体" w:hAnsi="宋体"/>
          <w:b/>
          <w:color w:val="000000"/>
          <w:sz w:val="28"/>
          <w:szCs w:val="28"/>
        </w:rPr>
        <w:t xml:space="preserve">31. 货物（包含与货物相关的服务）的追加</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Times New Roman"/>
          <w:color w:val="auto"/>
          <w:sz w:val="24"/>
          <w:szCs w:val="24"/>
          <w:highlight w:val="none"/>
          <w:lang w:eastAsia="zh-CN"/>
        </w:rPr>
        <w:t xml:space="preserve">额的</w:t>
      </w:r>
      <w:r>
        <w:rPr>
          <w:rFonts w:hint="eastAsia" w:ascii="宋体" w:hAnsi="宋体" w:eastAsia="宋体" w:cs="Times New Roman"/>
          <w:color w:val="auto"/>
          <w:sz w:val="24"/>
          <w:szCs w:val="24"/>
          <w:highlight w:val="none"/>
        </w:rPr>
        <w:t xml:space="preserve">10%。</w:t>
      </w:r>
      <w:r/>
    </w:p>
    <w:p>
      <w:pPr>
        <w:pStyle w:val="850"/>
        <w:jc w:val="center"/>
        <w:spacing w:line="500" w:lineRule="exact"/>
        <w:rPr>
          <w:rFonts w:hint="eastAsia" w:ascii="黑体" w:eastAsia="黑体"/>
          <w:sz w:val="36"/>
          <w:szCs w:val="36"/>
        </w:rPr>
      </w:pPr>
      <w:r>
        <w:rPr>
          <w:rFonts w:hint="eastAsia" w:ascii="黑体" w:eastAsia="黑体"/>
          <w:sz w:val="36"/>
          <w:szCs w:val="36"/>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ind w:left="0" w:firstLine="0"/>
        <w:jc w:val="both"/>
        <w:spacing w:line="500" w:lineRule="exact"/>
        <w:rPr>
          <w:rFonts w:hint="eastAsia" w:ascii="黑体" w:eastAsia="黑体"/>
          <w:sz w:val="36"/>
          <w:szCs w:val="36"/>
          <w:highlight w:val="none"/>
        </w:rPr>
      </w:pPr>
      <w:r>
        <w:rPr>
          <w:rFonts w:hint="eastAsia" w:ascii="黑体" w:eastAsia="黑体"/>
          <w:sz w:val="36"/>
          <w:szCs w:val="36"/>
          <w:highlight w:val="none"/>
        </w:rPr>
      </w:r>
      <w:bookmarkEnd w:id="173"/>
      <w:bookmarkEnd w:id="174"/>
      <w:bookmarkEnd w:id="175"/>
      <w:r/>
    </w:p>
    <w:p>
      <w:pPr>
        <w:pStyle w:val="850"/>
        <w:jc w:val="center"/>
        <w:spacing w:line="500" w:lineRule="exact"/>
        <w:rPr>
          <w:rFonts w:hint="eastAsia" w:ascii="黑体" w:eastAsia="黑体"/>
          <w:sz w:val="36"/>
          <w:szCs w:val="36"/>
          <w:highlight w:val="none"/>
        </w:rPr>
      </w:pPr>
      <w:r/>
      <w:bookmarkStart w:id="176" w:name="_Toc479757207"/>
      <w:r/>
      <w:bookmarkStart w:id="177" w:name="_Toc120614221"/>
      <w:r/>
      <w:bookmarkStart w:id="178" w:name="_Toc16938558"/>
      <w:r/>
      <w:bookmarkStart w:id="179" w:name="_Toc20823314"/>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p>
    <w:p>
      <w:pPr>
        <w:spacing w:line="400" w:lineRule="exact"/>
        <w:rPr>
          <w:rFonts w:ascii="宋体" w:hAnsi="宋体" w:cs="Courier New"/>
          <w:sz w:val="24"/>
          <w:szCs w:val="24"/>
        </w:rPr>
      </w:pPr>
      <w:r>
        <w:rPr>
          <w:rFonts w:ascii="宋体" w:hAnsi="宋体" w:cs="Courier New"/>
          <w:sz w:val="24"/>
          <w:szCs w:val="24"/>
        </w:rPr>
        <w:t xml:space="preserve">项目名称：                                       项目编号：</w:t>
      </w:r>
      <w:r/>
    </w:p>
    <w:p>
      <w:pPr>
        <w:spacing w:line="400" w:lineRule="exact"/>
        <w:rPr>
          <w:rFonts w:ascii="宋体" w:hAnsi="宋体" w:cs="Courier New"/>
          <w:sz w:val="24"/>
          <w:szCs w:val="24"/>
        </w:rPr>
      </w:pPr>
      <w:r>
        <w:rPr>
          <w:rFonts w:ascii="宋体" w:hAnsi="宋体" w:cs="Courier New"/>
          <w:sz w:val="24"/>
          <w:szCs w:val="24"/>
        </w:rPr>
        <w:t xml:space="preserve">甲方：（买方、需方、采购人）_________</w:t>
      </w:r>
      <w:r/>
    </w:p>
    <w:p>
      <w:pPr>
        <w:spacing w:line="400" w:lineRule="exact"/>
        <w:rPr>
          <w:rFonts w:hint="eastAsia" w:ascii="宋体" w:hAnsi="宋体" w:cs="Courier New"/>
          <w:sz w:val="24"/>
          <w:szCs w:val="24"/>
        </w:rPr>
      </w:pPr>
      <w:r>
        <w:rPr>
          <w:rFonts w:ascii="宋体" w:hAnsi="宋体" w:cs="Courier New"/>
          <w:sz w:val="24"/>
          <w:szCs w:val="24"/>
        </w:rPr>
        <w:t xml:space="preserve">乙方：（卖方、供方、供应商）_________</w:t>
      </w:r>
      <w:r/>
    </w:p>
    <w:p>
      <w:pPr>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lang w:eastAsia="zh-CN"/>
        </w:rPr>
        <w:t xml:space="preserve">无锡市公共资源交易中心梁溪分中心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p>
    <w:p>
      <w:pPr>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0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1.3 标的数量（规模）：</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1.4 履行时间（期限）：</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1.5 履行地点：</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1.7 包装方式：</w:t>
      </w:r>
      <w:r/>
    </w:p>
    <w:p>
      <w:pPr>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00" w:lineRule="exact"/>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lang w:eastAsia="zh-CN"/>
        </w:rPr>
        <w:t xml:space="preserve">（</w:t>
      </w:r>
      <w:r>
        <w:rPr>
          <w:rFonts w:hint="eastAsia" w:ascii="宋体" w:hAnsi="宋体" w:cs="Courier New"/>
          <w:sz w:val="24"/>
          <w:szCs w:val="24"/>
        </w:rPr>
        <w:t xml:space="preserve">包含与货物相关的服务</w:t>
      </w:r>
      <w:r>
        <w:rPr>
          <w:rFonts w:hint="eastAsia" w:ascii="宋体" w:hAnsi="宋体" w:cs="Courier New"/>
          <w:sz w:val="24"/>
          <w:szCs w:val="24"/>
          <w:lang w:eastAsia="zh-CN"/>
        </w:rPr>
        <w:t xml:space="preserve">）</w:t>
      </w:r>
      <w:r>
        <w:rPr>
          <w:rFonts w:ascii="宋体" w:hAnsi="宋体" w:cs="Courier New"/>
          <w:sz w:val="24"/>
          <w:szCs w:val="24"/>
        </w:rPr>
        <w:t xml:space="preserve">的有关技术资料。</w:t>
      </w:r>
      <w:r/>
    </w:p>
    <w:p>
      <w:pPr>
        <w:ind w:firstLine="480"/>
        <w:spacing w:line="4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w:t>
      </w:r>
      <w:r>
        <w:rPr>
          <w:rFonts w:hint="eastAsia" w:ascii="宋体" w:hAnsi="宋体" w:cs="Courier New"/>
          <w:sz w:val="24"/>
          <w:szCs w:val="24"/>
          <w:lang w:eastAsia="zh-CN"/>
        </w:rPr>
        <w:t xml:space="preserve">给予</w:t>
      </w:r>
      <w:r>
        <w:rPr>
          <w:rFonts w:ascii="宋体" w:hAnsi="宋体" w:cs="Courier New"/>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00" w:lineRule="exact"/>
        <w:rPr>
          <w:rFonts w:hint="eastAsia"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p>
    <w:p>
      <w:pPr>
        <w:ind w:firstLine="480"/>
        <w:spacing w:line="400" w:lineRule="exact"/>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p>
    <w:p>
      <w:pPr>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00" w:lineRule="exact"/>
        <w:rPr>
          <w:rFonts w:hint="eastAsia"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6.2.1履约保证金退还方式：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6.2.2履约保证金退还时间：</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6.2.3履约保证金退还条件：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 xml:space="preserve">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8.1.2尾款支付时间：产品验收通过</w:t>
      </w:r>
      <w:r>
        <w:rPr>
          <w:rFonts w:hint="eastAsia" w:ascii="宋体" w:hAnsi="宋体" w:cs="Courier New"/>
          <w:bCs/>
          <w:sz w:val="24"/>
          <w:szCs w:val="24"/>
          <w:lang w:eastAsia="zh-CN"/>
        </w:rPr>
        <w:t xml:space="preserve">，</w:t>
      </w:r>
      <w:r>
        <w:rPr>
          <w:rFonts w:hint="eastAsia" w:ascii="宋体" w:hAnsi="宋体" w:cs="Courier New"/>
          <w:bCs/>
          <w:sz w:val="24"/>
          <w:szCs w:val="24"/>
        </w:rPr>
        <w:t xml:space="preserve">采购人收到发票后10个工作日内，尾款支付比例：合同金额的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spacing w:line="400" w:lineRule="exact"/>
        <w:rPr>
          <w:rFonts w:ascii="宋体" w:hAnsi="宋体" w:cs="Courier New"/>
          <w:bCs/>
          <w:sz w:val="24"/>
          <w:szCs w:val="24"/>
        </w:rPr>
      </w:pPr>
      <w:r>
        <w:rPr>
          <w:rFonts w:hint="eastAsia" w:hAnsi="宋体"/>
          <w:bCs/>
          <w:sz w:val="24"/>
          <w:szCs w:val="24"/>
        </w:rPr>
        <w:t xml:space="preserve">（注：根据《关于做好政府采购支持企业发展有关事项的通知》</w:t>
      </w:r>
      <w:r>
        <w:rPr>
          <w:rFonts w:hint="eastAsia" w:hAnsi="宋体"/>
          <w:bCs/>
          <w:sz w:val="24"/>
          <w:szCs w:val="24"/>
          <w:lang w:eastAsia="zh-CN"/>
        </w:rPr>
        <w:t xml:space="preserve">（</w:t>
      </w:r>
      <w:r>
        <w:rPr>
          <w:rFonts w:hint="eastAsia" w:hAnsi="宋体"/>
          <w:bCs/>
          <w:sz w:val="24"/>
          <w:szCs w:val="24"/>
        </w:rPr>
        <w:t xml:space="preserve">苏采购</w:t>
      </w:r>
      <w:r>
        <w:rPr>
          <w:rFonts w:hint="eastAsia" w:hAnsi="宋体"/>
          <w:bCs/>
          <w:sz w:val="24"/>
          <w:szCs w:val="24"/>
          <w:lang w:eastAsia="zh-CN"/>
        </w:rPr>
        <w:t xml:space="preserve">〔2020〕52号）</w:t>
      </w:r>
      <w:r>
        <w:rPr>
          <w:rFonts w:hint="eastAsia" w:hAnsi="宋体"/>
          <w:bCs/>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w:t>
      </w:r>
      <w:r>
        <w:rPr>
          <w:rFonts w:hint="eastAsia" w:ascii="宋体" w:hAnsi="宋体" w:cs="Courier New"/>
          <w:sz w:val="24"/>
          <w:szCs w:val="24"/>
          <w:lang w:eastAsia="zh-CN"/>
        </w:rPr>
        <w:t xml:space="preserve">贷款利息</w:t>
      </w:r>
      <w:r>
        <w:rPr>
          <w:rFonts w:ascii="宋体" w:hAnsi="宋体" w:cs="Courier New"/>
          <w:sz w:val="24"/>
          <w:szCs w:val="24"/>
        </w:rPr>
        <w:t xml:space="preserve">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w:t>
      </w:r>
      <w:r>
        <w:rPr>
          <w:rFonts w:hint="eastAsia" w:ascii="宋体" w:hAnsi="宋体" w:cs="Courier New"/>
          <w:sz w:val="24"/>
          <w:szCs w:val="24"/>
          <w:lang w:eastAsia="zh-CN"/>
        </w:rPr>
        <w:t xml:space="preserve">终身维修</w:t>
      </w:r>
      <w:r>
        <w:rPr>
          <w:rFonts w:ascii="宋体" w:hAnsi="宋体" w:cs="Courier New"/>
          <w:sz w:val="24"/>
          <w:szCs w:val="24"/>
        </w:rPr>
        <w:t xml:space="preserve">，维修时只收部件成本费。</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w:t>
      </w:r>
      <w:r>
        <w:rPr>
          <w:rFonts w:hint="eastAsia" w:ascii="宋体" w:hAnsi="宋体" w:cs="Courier New"/>
          <w:sz w:val="24"/>
          <w:szCs w:val="24"/>
          <w:lang w:eastAsia="zh-CN"/>
        </w:rPr>
        <w:t xml:space="preserve">，</w:t>
      </w:r>
      <w:r>
        <w:rPr>
          <w:rFonts w:hint="eastAsia" w:ascii="宋体" w:hAnsi="宋体" w:cs="Courier New"/>
          <w:sz w:val="24"/>
          <w:szCs w:val="24"/>
        </w:rPr>
        <w:t xml:space="preserve">甲方按照采购合同的约定对每一项技术、商务要求的履约情况进行确认。验收结束后</w:t>
      </w:r>
      <w:r>
        <w:rPr>
          <w:rFonts w:hint="eastAsia" w:ascii="宋体" w:hAnsi="宋体" w:cs="Courier New"/>
          <w:sz w:val="24"/>
          <w:szCs w:val="24"/>
          <w:lang w:eastAsia="zh-CN"/>
        </w:rPr>
        <w:t xml:space="preserve">，</w:t>
      </w:r>
      <w:r>
        <w:rPr>
          <w:rFonts w:hint="eastAsia" w:ascii="宋体" w:hAnsi="宋体" w:cs="Courier New"/>
          <w:sz w:val="24"/>
          <w:szCs w:val="24"/>
        </w:rPr>
        <w:t xml:space="preserve">验收小组出具验收书</w:t>
      </w:r>
      <w:r>
        <w:rPr>
          <w:rFonts w:hint="eastAsia" w:ascii="宋体" w:hAnsi="宋体" w:cs="Courier New"/>
          <w:sz w:val="24"/>
          <w:szCs w:val="24"/>
          <w:lang w:eastAsia="zh-CN"/>
        </w:rPr>
        <w:t xml:space="preserve">，</w:t>
      </w:r>
      <w:r>
        <w:rPr>
          <w:rFonts w:hint="eastAsia" w:ascii="宋体" w:hAnsi="宋体" w:cs="Courier New"/>
          <w:sz w:val="24"/>
          <w:szCs w:val="24"/>
        </w:rPr>
        <w:t xml:space="preserve">列明各项标准的验收情况及项目总体评价</w:t>
      </w:r>
      <w:r>
        <w:rPr>
          <w:rFonts w:hint="eastAsia" w:ascii="宋体" w:hAnsi="宋体" w:cs="Courier New"/>
          <w:sz w:val="24"/>
          <w:szCs w:val="24"/>
          <w:lang w:eastAsia="zh-CN"/>
        </w:rPr>
        <w:t xml:space="preserve">，</w:t>
      </w:r>
      <w:r>
        <w:rPr>
          <w:rFonts w:hint="eastAsia" w:ascii="宋体" w:hAnsi="宋体" w:cs="Courier New"/>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11.6 验收合格的项目</w:t>
      </w:r>
      <w:r>
        <w:rPr>
          <w:rFonts w:hint="eastAsia" w:ascii="宋体" w:hAnsi="宋体" w:cs="Courier New"/>
          <w:sz w:val="24"/>
          <w:szCs w:val="24"/>
          <w:lang w:eastAsia="zh-CN"/>
        </w:rPr>
        <w:t xml:space="preserve">，</w:t>
      </w:r>
      <w:r>
        <w:rPr>
          <w:rFonts w:hint="eastAsia"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sz w:val="24"/>
          <w:szCs w:val="24"/>
          <w:lang w:eastAsia="zh-CN"/>
        </w:rPr>
        <w:t xml:space="preserve">，</w:t>
      </w:r>
      <w:r>
        <w:rPr>
          <w:rFonts w:hint="eastAsia" w:ascii="宋体" w:hAnsi="宋体" w:cs="Courier New"/>
          <w:sz w:val="24"/>
          <w:szCs w:val="24"/>
        </w:rPr>
        <w:t xml:space="preserve">甲方将及时报告本级财政部门。</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w:t>
      </w:r>
      <w:r>
        <w:rPr>
          <w:rFonts w:hint="eastAsia" w:ascii="宋体" w:hAnsi="宋体" w:cs="Courier New"/>
          <w:sz w:val="24"/>
          <w:szCs w:val="24"/>
          <w:lang w:eastAsia="zh-CN"/>
        </w:rPr>
        <w:t xml:space="preserve">，</w:t>
      </w:r>
      <w:r>
        <w:rPr>
          <w:rFonts w:ascii="宋体" w:hAnsi="宋体" w:cs="Courier New"/>
          <w:sz w:val="24"/>
          <w:szCs w:val="24"/>
        </w:rPr>
        <w:t xml:space="preserve">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、合同生效及其</w:t>
      </w:r>
      <w:r>
        <w:rPr>
          <w:rFonts w:hint="eastAsia" w:ascii="宋体" w:hAnsi="宋体" w:cs="Courier New"/>
          <w:b/>
          <w:sz w:val="24"/>
          <w:szCs w:val="24"/>
          <w:lang w:eastAsia="zh-CN"/>
        </w:rPr>
        <w:t xml:space="preserve">他</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《中华人民共和国民法典</w:t>
      </w:r>
      <w:r>
        <w:rPr>
          <w:rFonts w:hint="eastAsia" w:ascii="宋体" w:hAnsi="宋体" w:cs="Courier New"/>
          <w:sz w:val="24"/>
          <w:szCs w:val="24"/>
          <w:lang w:eastAsia="zh-CN"/>
        </w:rPr>
        <w:t xml:space="preserve">》《</w:t>
      </w:r>
      <w:r>
        <w:rPr>
          <w:rFonts w:hint="eastAsia" w:ascii="宋体" w:hAnsi="宋体" w:cs="Courier New"/>
          <w:sz w:val="24"/>
          <w:szCs w:val="24"/>
        </w:rPr>
        <w:t xml:space="preserve">中华人民共和国政府采购法》</w:t>
      </w:r>
      <w:r>
        <w:rPr>
          <w:rFonts w:ascii="宋体" w:hAnsi="宋体" w:cs="Courier New"/>
          <w:sz w:val="24"/>
          <w:szCs w:val="24"/>
        </w:rPr>
        <w:t xml:space="preserve">有关条文执行。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line="400" w:lineRule="exact"/>
        <w:rPr>
          <w:rFonts w:ascii="宋体" w:hAnsi="宋体" w:cs="Courier New"/>
          <w:sz w:val="24"/>
          <w:szCs w:val="24"/>
        </w:rPr>
      </w:pPr>
      <w:r>
        <w:rPr>
          <w:rFonts w:ascii="宋体" w:hAnsi="宋体" w:cs="Courier New"/>
          <w:sz w:val="24"/>
          <w:szCs w:val="24"/>
        </w:rPr>
        <w:t xml:space="preserve">  甲方：                        乙方： </w:t>
      </w:r>
      <w:r/>
    </w:p>
    <w:p>
      <w:pPr>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line="400" w:lineRule="exact"/>
        <w:rPr>
          <w:rFonts w:hint="eastAsia" w:ascii="宋体" w:hAnsi="Courier New" w:cs="Courier New"/>
        </w:rPr>
      </w:pPr>
      <w:r>
        <w:rPr>
          <w:rFonts w:hint="eastAsia" w:ascii="宋体" w:hAnsi="宋体" w:cs="Courier New"/>
          <w:sz w:val="24"/>
          <w:szCs w:val="24"/>
        </w:rPr>
        <w:t xml:space="preserve">联系电话：                    联系电话：          </w:t>
      </w:r>
      <w:r/>
    </w:p>
    <w:p>
      <w:pPr>
        <w:jc w:val="center"/>
        <w:spacing w:line="400" w:lineRule="exact"/>
        <w:rPr>
          <w:rFonts w:hint="eastAsia"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jc w:val="center"/>
        <w:spacing w:line="400" w:lineRule="exact"/>
        <w:rPr>
          <w:rFonts w:hint="eastAsia" w:ascii="宋体" w:hAnsi="宋体" w:cs="Courier New"/>
          <w:sz w:val="24"/>
          <w:szCs w:val="24"/>
        </w:rPr>
      </w:pPr>
      <w:r>
        <w:rPr>
          <w:rFonts w:hint="eastAsia" w:ascii="宋体" w:hAnsi="宋体" w:cs="Courier New"/>
          <w:sz w:val="24"/>
          <w:szCs w:val="24"/>
        </w:rPr>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p>
    <w:p>
      <w:pPr>
        <w:spacing w:line="400" w:lineRule="exact"/>
        <w:rPr>
          <w:rFonts w:hint="eastAsia" w:ascii="宋体" w:hAnsi="宋体" w:cs="Courier New"/>
          <w:sz w:val="24"/>
          <w:szCs w:val="24"/>
        </w:rPr>
      </w:pPr>
      <w:r>
        <w:rPr>
          <w:rFonts w:hint="eastAsia" w:ascii="宋体" w:hAnsi="宋体" w:cs="Courier New"/>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jc w:val="center"/>
        <w:spacing w:line="400" w:lineRule="exact"/>
        <w:rPr>
          <w:rFonts w:ascii="黑体" w:eastAsia="黑体"/>
          <w:bCs/>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
    </w:p>
    <w:p>
      <w:pPr>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本项目属性：货物类项目</w:t>
      </w:r>
      <w:r/>
    </w:p>
    <w:p>
      <w:pPr>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rPr>
        <w:t xml:space="preserve">本项目标的物所属行业： </w:t>
      </w:r>
      <w:r>
        <w:rPr>
          <w:rFonts w:hint="eastAsia" w:ascii="宋体" w:hAnsi="宋体"/>
          <w:bCs/>
          <w:sz w:val="24"/>
          <w:szCs w:val="24"/>
          <w:highlight w:val="none"/>
          <w:lang w:val="en-US" w:eastAsia="zh-CN"/>
        </w:rPr>
        <w:t xml:space="preserve">工业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本项目中的</w:t>
      </w:r>
      <w:r>
        <w:rPr>
          <w:rFonts w:hint="eastAsia" w:ascii="宋体" w:hAnsi="宋体" w:eastAsia="宋体" w:cs="宋体"/>
          <w:b/>
          <w:bCs/>
          <w:i w:val="0"/>
          <w:iCs w:val="0"/>
          <w:color w:val="000000"/>
          <w:sz w:val="24"/>
          <w:szCs w:val="24"/>
          <w:highlight w:val="none"/>
          <w:u w:val="none"/>
          <w:lang w:val="en-US" w:eastAsia="zh-CN" w:bidi="ar"/>
        </w:rPr>
        <w:t xml:space="preserve">数字终端交互大屏</w:t>
      </w:r>
      <w:r>
        <w:rPr>
          <w:rFonts w:hint="eastAsia" w:ascii="宋体" w:hAnsi="宋体"/>
          <w:sz w:val="24"/>
          <w:szCs w:val="24"/>
          <w:highlight w:val="none"/>
        </w:rPr>
        <w:t xml:space="preserve">为核心产品。</w:t>
      </w:r>
      <w:r/>
    </w:p>
    <w:p>
      <w:pPr>
        <w:ind w:firstLine="602"/>
        <w:spacing w:line="360" w:lineRule="auto"/>
        <w:rPr>
          <w:rFonts w:hint="eastAsia" w:ascii="宋体" w:hAnsi="宋体"/>
          <w:b/>
          <w:sz w:val="30"/>
          <w:szCs w:val="30"/>
          <w:highlight w:val="none"/>
        </w:rPr>
      </w:pPr>
      <w:r>
        <w:rPr>
          <w:rFonts w:hint="eastAsia" w:ascii="宋体" w:hAnsi="宋体"/>
          <w:b/>
          <w:sz w:val="30"/>
          <w:szCs w:val="30"/>
          <w:highlight w:val="none"/>
        </w:rPr>
        <w:t xml:space="preserve">第一部分  项目技术要求</w:t>
      </w:r>
      <w:r/>
    </w:p>
    <w:p>
      <w:pPr>
        <w:spacing w:line="360" w:lineRule="auto"/>
        <w:tabs>
          <w:tab w:val="left" w:pos="945" w:leader="none"/>
        </w:tabs>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rPr>
        <w:t xml:space="preserve">、本项目采购标的概况</w:t>
      </w:r>
      <w:r/>
    </w:p>
    <w:p>
      <w:pPr>
        <w:ind w:firstLine="482"/>
        <w:spacing w:line="360" w:lineRule="auto"/>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1</w:t>
      </w:r>
      <w:r>
        <w:rPr>
          <w:rFonts w:hint="eastAsia" w:ascii="宋体" w:hAnsi="宋体" w:eastAsia="宋体"/>
          <w:b/>
          <w:bCs/>
          <w:color w:val="000000"/>
          <w:sz w:val="24"/>
          <w:highlight w:val="none"/>
        </w:rPr>
        <w:t xml:space="preserve">.项目名称：</w:t>
      </w:r>
      <w:r>
        <w:rPr>
          <w:rFonts w:hint="eastAsia" w:ascii="宋体" w:hAnsi="宋体" w:eastAsia="宋体"/>
          <w:b/>
          <w:bCs/>
          <w:color w:val="000000"/>
          <w:sz w:val="24"/>
          <w:highlight w:val="none"/>
          <w:lang w:eastAsia="zh-CN"/>
        </w:rPr>
        <w:t xml:space="preserve">梁溪区徐巷智慧体育公园健身设备采购项目</w:t>
      </w:r>
      <w:r/>
    </w:p>
    <w:p>
      <w:pPr>
        <w:ind w:firstLine="482"/>
        <w:spacing w:line="360" w:lineRule="auto"/>
        <w:rPr>
          <w:rFonts w:ascii="宋体" w:hAnsi="宋体" w:eastAsia="宋体"/>
          <w:bCs/>
          <w:color w:val="000000"/>
          <w:sz w:val="24"/>
          <w:highlight w:val="none"/>
        </w:rPr>
      </w:pPr>
      <w:r>
        <w:rPr>
          <w:rFonts w:hint="eastAsia" w:ascii="宋体" w:hAnsi="宋体"/>
          <w:b/>
          <w:bCs/>
          <w:color w:val="000000"/>
          <w:sz w:val="24"/>
          <w:highlight w:val="none"/>
          <w:lang w:val="en-US" w:eastAsia="zh-CN"/>
        </w:rPr>
        <w:t xml:space="preserve">2</w:t>
      </w:r>
      <w:r>
        <w:rPr>
          <w:rFonts w:hint="eastAsia" w:ascii="宋体" w:hAnsi="宋体" w:eastAsia="宋体"/>
          <w:b/>
          <w:bCs/>
          <w:color w:val="000000"/>
          <w:sz w:val="24"/>
          <w:highlight w:val="none"/>
        </w:rPr>
        <w:t xml:space="preserve">.项目概况：</w:t>
      </w:r>
      <w:r>
        <w:rPr>
          <w:sz w:val="24"/>
          <w:szCs w:val="24"/>
          <w:highlight w:val="none"/>
          <w:lang w:val="en-US"/>
        </w:rPr>
        <w:t xml:space="preserve">抢抓数字化改革新机遇，充分展现数字化改革在提升群众生活、民生品质等方面的生动实践。徐巷公园数智化优化提升将打造全年覆盖、全区域参与、全人群共享的数智化公园活动体系，引导市民进一步发掘梁溪区丰富的假日活动，开启“科技＋体育＋文旅”全新模式，为无锡促进数字融合发展和建设AI梁溪的目标添砖加瓦。徐巷公园数智化提升将全面围绕高频使用效率、全龄参与、可持续供给服务内容等为广大市民提供优质的生活运动空间，成为无锡独一无二的亮点。</w:t>
      </w:r>
      <w:r/>
    </w:p>
    <w:p>
      <w:pPr>
        <w:ind w:firstLine="482"/>
        <w:spacing w:line="360" w:lineRule="auto"/>
        <w:rPr>
          <w:rFonts w:hint="eastAsia" w:ascii="宋体" w:hAnsi="宋体" w:eastAsia="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eastAsia="宋体"/>
          <w:b/>
          <w:color w:val="000000"/>
          <w:sz w:val="24"/>
          <w:highlight w:val="none"/>
        </w:rPr>
        <w:t xml:space="preserve">.</w:t>
      </w:r>
      <w:r>
        <w:rPr>
          <w:rFonts w:hint="eastAsia" w:ascii="宋体" w:hAnsi="宋体" w:eastAsia="宋体"/>
          <w:b/>
          <w:bCs/>
          <w:color w:val="000000"/>
          <w:sz w:val="24"/>
          <w:highlight w:val="none"/>
        </w:rPr>
        <w:t xml:space="preserve">交货期：</w:t>
      </w:r>
      <w:r>
        <w:rPr>
          <w:rFonts w:hint="eastAsia" w:ascii="宋体" w:hAnsi="宋体" w:eastAsia="宋体"/>
          <w:color w:val="000000"/>
          <w:sz w:val="24"/>
          <w:highlight w:val="none"/>
        </w:rPr>
        <w:t xml:space="preserve">合同签订后，</w:t>
      </w:r>
      <w:r>
        <w:rPr>
          <w:rFonts w:hint="eastAsia" w:ascii="宋体" w:hAnsi="宋体"/>
          <w:color w:val="000000"/>
          <w:sz w:val="24"/>
          <w:highlight w:val="none"/>
          <w:lang w:val="en-US" w:eastAsia="zh-CN"/>
        </w:rPr>
        <w:t xml:space="preserve">25</w:t>
      </w:r>
      <w:r>
        <w:rPr>
          <w:rFonts w:hint="eastAsia" w:ascii="宋体" w:hAnsi="宋体" w:eastAsia="宋体"/>
          <w:color w:val="000000"/>
          <w:sz w:val="24"/>
          <w:highlight w:val="none"/>
        </w:rPr>
        <w:t xml:space="preserve">天内货物全部到场、安装、调试。</w:t>
      </w:r>
      <w:r/>
    </w:p>
    <w:p>
      <w:pPr>
        <w:ind w:firstLine="482"/>
        <w:spacing w:line="360" w:lineRule="auto"/>
        <w:rPr>
          <w:rFonts w:hint="eastAsia" w:ascii="宋体" w:hAnsi="宋体" w:eastAsia="宋体"/>
          <w:bCs/>
          <w:color w:val="000000"/>
          <w:sz w:val="24"/>
          <w:highlight w:val="none"/>
        </w:rPr>
      </w:pPr>
      <w:r>
        <w:rPr>
          <w:rFonts w:hint="eastAsia" w:ascii="宋体" w:hAnsi="宋体"/>
          <w:b/>
          <w:bCs/>
          <w:color w:val="000000"/>
          <w:sz w:val="24"/>
          <w:highlight w:val="none"/>
          <w:lang w:val="en-US" w:eastAsia="zh-CN"/>
        </w:rPr>
        <w:t xml:space="preserve">4</w:t>
      </w:r>
      <w:r>
        <w:rPr>
          <w:rFonts w:hint="eastAsia" w:ascii="宋体" w:hAnsi="宋体" w:eastAsia="宋体"/>
          <w:b/>
          <w:bCs/>
          <w:color w:val="000000"/>
          <w:sz w:val="24"/>
          <w:highlight w:val="none"/>
        </w:rPr>
        <w:t xml:space="preserve">.质量要求：</w:t>
      </w:r>
      <w:r>
        <w:rPr>
          <w:rFonts w:hint="eastAsia" w:ascii="宋体" w:hAnsi="宋体" w:eastAsia="宋体"/>
          <w:bCs/>
          <w:color w:val="000000"/>
          <w:sz w:val="24"/>
          <w:highlight w:val="none"/>
        </w:rPr>
        <w:t xml:space="preserve">质量达到国家及行业合格标准</w:t>
      </w:r>
      <w:r>
        <w:rPr>
          <w:rFonts w:hint="eastAsia" w:ascii="宋体" w:hAnsi="宋体"/>
          <w:bCs/>
          <w:color w:val="000000"/>
          <w:sz w:val="24"/>
          <w:szCs w:val="24"/>
          <w:highlight w:val="none"/>
        </w:rPr>
        <w:t xml:space="preserve">，满足</w:t>
      </w:r>
      <w:r>
        <w:rPr>
          <w:rFonts w:hint="eastAsia" w:ascii="宋体" w:hAnsi="宋体"/>
          <w:bCs/>
          <w:color w:val="000000"/>
          <w:sz w:val="24"/>
          <w:szCs w:val="24"/>
          <w:highlight w:val="none"/>
          <w:lang w:val="en-US" w:eastAsia="zh-CN"/>
        </w:rPr>
        <w:t xml:space="preserve">采购人要求</w:t>
      </w:r>
      <w:r>
        <w:rPr>
          <w:rFonts w:hint="eastAsia" w:ascii="宋体" w:hAnsi="宋体" w:eastAsia="宋体"/>
          <w:bCs/>
          <w:color w:val="000000"/>
          <w:sz w:val="24"/>
          <w:highlight w:val="none"/>
        </w:rPr>
        <w:t xml:space="preserve">。</w:t>
      </w:r>
      <w:r/>
    </w:p>
    <w:p>
      <w:pPr>
        <w:numPr>
          <w:ilvl w:val="0"/>
          <w:numId w:val="0"/>
        </w:numPr>
        <w:ind w:firstLine="482"/>
        <w:spacing w:line="360" w:lineRule="auto"/>
        <w:rPr>
          <w:rFonts w:hint="eastAsia" w:eastAsia="宋体"/>
          <w:sz w:val="24"/>
          <w:szCs w:val="24"/>
          <w:highlight w:val="none"/>
          <w:lang w:val="en-US" w:eastAsia="zh-CN"/>
        </w:rPr>
      </w:pPr>
      <w:r>
        <w:rPr>
          <w:rFonts w:hint="eastAsia" w:ascii="宋体" w:hAnsi="宋体"/>
          <w:b/>
          <w:bCs/>
          <w:color w:val="000000"/>
          <w:sz w:val="24"/>
          <w:highlight w:val="none"/>
          <w:lang w:val="en-US" w:eastAsia="zh-CN"/>
        </w:rPr>
        <w:t xml:space="preserve">5.质保期：</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eastAsia="zh-CN"/>
        </w:rPr>
        <w:t xml:space="preserve">年</w:t>
      </w: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rPr>
        <w:t xml:space="preserve">自所有货物最终验收合格之日起算</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highlight w:val="none"/>
          <w:lang w:eastAsia="zh-CN"/>
        </w:rPr>
        <w:t xml:space="preserve">在质保期内相关设施出现故障，中标单位必须在</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eastAsia="zh-CN"/>
        </w:rPr>
        <w:t xml:space="preserve">小时内响应</w:t>
      </w:r>
      <w:r>
        <w:rPr>
          <w:rFonts w:hint="eastAsia" w:ascii="宋体" w:hAnsi="宋体" w:eastAsia="宋体" w:cs="Times New Roman"/>
          <w:color w:val="000000"/>
          <w:sz w:val="24"/>
          <w:highlight w:val="none"/>
          <w:lang w:val="en-US" w:eastAsia="zh-CN"/>
        </w:rPr>
        <w:t xml:space="preserve">维修</w:t>
      </w:r>
      <w:r>
        <w:rPr>
          <w:rFonts w:hint="eastAsia" w:ascii="宋体" w:hAnsi="宋体" w:eastAsia="宋体" w:cs="Times New Roman"/>
          <w:color w:val="000000"/>
          <w:sz w:val="24"/>
          <w:highlight w:val="none"/>
          <w:lang w:eastAsia="zh-CN"/>
        </w:rPr>
        <w:t xml:space="preserve">，72小时内修复或更换零部件，</w:t>
      </w:r>
      <w:r>
        <w:rPr>
          <w:rFonts w:hint="eastAsia" w:ascii="宋体" w:hAnsi="宋体" w:eastAsia="宋体" w:cs="Times New Roman"/>
          <w:color w:val="000000"/>
          <w:sz w:val="24"/>
          <w:highlight w:val="none"/>
          <w:lang w:val="en-US" w:eastAsia="zh-CN"/>
        </w:rPr>
        <w:t xml:space="preserve">所需费用由中标单位承担。</w:t>
      </w:r>
      <w:r/>
    </w:p>
    <w:p>
      <w:pPr>
        <w:ind w:firstLine="482"/>
        <w:spacing w:line="360" w:lineRule="auto"/>
        <w:rPr>
          <w:rFonts w:hint="eastAsia" w:ascii="宋体" w:hAnsi="宋体" w:eastAsia="宋体" w:cs="Times New Roman"/>
          <w:b/>
          <w:bCs/>
          <w:color w:val="000000"/>
          <w:sz w:val="24"/>
          <w:highlight w:val="none"/>
          <w:u w:val="single"/>
        </w:rPr>
      </w:pPr>
      <w:r>
        <w:rPr>
          <w:rFonts w:hint="eastAsia" w:ascii="宋体" w:hAnsi="宋体"/>
          <w:b/>
          <w:bCs/>
          <w:color w:val="000000"/>
          <w:sz w:val="24"/>
          <w:highlight w:val="none"/>
          <w:lang w:val="en-US" w:eastAsia="zh-CN"/>
        </w:rPr>
        <w:t xml:space="preserve">6</w:t>
      </w:r>
      <w:r>
        <w:rPr>
          <w:rFonts w:hint="eastAsia" w:ascii="宋体" w:hAnsi="宋体" w:eastAsia="宋体"/>
          <w:b/>
          <w:bCs/>
          <w:color w:val="000000"/>
          <w:sz w:val="24"/>
          <w:highlight w:val="none"/>
        </w:rPr>
        <w:t xml:space="preserve">.付款方式：</w:t>
      </w:r>
      <w:bookmarkStart w:id="193" w:name="_Toc35780514"/>
      <w:r>
        <w:rPr>
          <w:rFonts w:hint="eastAsia" w:ascii="宋体" w:hAnsi="宋体" w:eastAsia="宋体"/>
          <w:b/>
          <w:bCs/>
          <w:color w:val="000000"/>
          <w:sz w:val="24"/>
          <w:highlight w:val="none"/>
          <w:u w:val="single"/>
        </w:rPr>
        <w:t xml:space="preserve">合同签订生效后，采购人预付合同价款的30%；全部货物供货完毕并经采</w:t>
      </w:r>
      <w:r>
        <w:rPr>
          <w:rFonts w:hint="eastAsia" w:ascii="宋体" w:hAnsi="宋体" w:eastAsia="宋体" w:cs="Times New Roman"/>
          <w:b/>
          <w:bCs/>
          <w:color w:val="000000"/>
          <w:sz w:val="24"/>
          <w:highlight w:val="none"/>
          <w:u w:val="single"/>
        </w:rPr>
        <w:t xml:space="preserve">购人验收合格的，采购人支付至合同价款的</w:t>
      </w:r>
      <w:r>
        <w:rPr>
          <w:rFonts w:hint="eastAsia" w:ascii="宋体" w:hAnsi="宋体" w:eastAsia="宋体" w:cs="Times New Roman"/>
          <w:b/>
          <w:bCs/>
          <w:color w:val="000000"/>
          <w:sz w:val="24"/>
          <w:highlight w:val="none"/>
          <w:u w:val="single"/>
          <w:lang w:val="en-US" w:eastAsia="zh-CN"/>
        </w:rPr>
        <w:t xml:space="preserve">10</w:t>
      </w:r>
      <w:r>
        <w:rPr>
          <w:rFonts w:hint="eastAsia" w:ascii="宋体" w:hAnsi="宋体" w:eastAsia="宋体" w:cs="Times New Roman"/>
          <w:b/>
          <w:bCs/>
          <w:color w:val="000000"/>
          <w:sz w:val="24"/>
          <w:highlight w:val="none"/>
          <w:u w:val="single"/>
        </w:rPr>
        <w:t xml:space="preserve">0%；每次付款时中标供应商须提供符合采购人财务要求的税金发票</w:t>
      </w:r>
      <w:r>
        <w:rPr>
          <w:rFonts w:hint="eastAsia" w:ascii="宋体" w:hAnsi="宋体" w:eastAsia="宋体" w:cs="Times New Roman"/>
          <w:b/>
          <w:bCs/>
          <w:color w:val="000000"/>
          <w:sz w:val="24"/>
          <w:highlight w:val="none"/>
          <w:u w:val="single"/>
          <w:lang w:eastAsia="zh-CN"/>
        </w:rPr>
        <w:t xml:space="preserve">，</w:t>
      </w:r>
      <w:r>
        <w:rPr>
          <w:rFonts w:ascii="宋体" w:hAnsi="宋体" w:eastAsia="宋体" w:cs="Times New Roman"/>
          <w:b/>
          <w:bCs/>
          <w:color w:val="000000"/>
          <w:sz w:val="24"/>
          <w:highlight w:val="none"/>
          <w:u w:val="single"/>
          <w:lang w:val="en-US" w:eastAsia="zh-CN"/>
        </w:rPr>
        <w:t xml:space="preserve">所有款项在发票提供后1</w:t>
      </w:r>
      <w:r>
        <w:rPr>
          <w:rFonts w:hint="eastAsia" w:ascii="宋体" w:hAnsi="宋体" w:eastAsia="宋体" w:cs="Times New Roman"/>
          <w:b/>
          <w:bCs/>
          <w:color w:val="000000"/>
          <w:sz w:val="24"/>
          <w:highlight w:val="none"/>
          <w:u w:val="single"/>
          <w:lang w:val="en-US" w:eastAsia="zh-CN"/>
        </w:rPr>
        <w:t xml:space="preserve">0</w:t>
      </w:r>
      <w:r>
        <w:rPr>
          <w:rFonts w:ascii="宋体" w:hAnsi="宋体" w:eastAsia="宋体" w:cs="Times New Roman"/>
          <w:b/>
          <w:bCs/>
          <w:color w:val="000000"/>
          <w:sz w:val="24"/>
          <w:highlight w:val="none"/>
          <w:u w:val="single"/>
          <w:lang w:val="en-US" w:eastAsia="zh-CN"/>
        </w:rPr>
        <w:t xml:space="preserve">日内一次性付清</w:t>
      </w:r>
      <w:r>
        <w:rPr>
          <w:rFonts w:hint="eastAsia" w:ascii="宋体" w:hAnsi="宋体" w:eastAsia="宋体" w:cs="Times New Roman"/>
          <w:b/>
          <w:bCs/>
          <w:color w:val="000000"/>
          <w:sz w:val="24"/>
          <w:highlight w:val="none"/>
          <w:u w:val="single"/>
        </w:rPr>
        <w:t xml:space="preserve">。</w:t>
      </w:r>
      <w:bookmarkEnd w:id="193"/>
      <w:r/>
    </w:p>
    <w:p>
      <w:pPr>
        <w:keepLines w:val="0"/>
        <w:keepNext w:val="0"/>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二</w:t>
      </w:r>
      <w:r>
        <w:rPr>
          <w:rFonts w:hint="eastAsia" w:ascii="宋体" w:hAnsi="宋体" w:eastAsia="宋体"/>
          <w:b/>
          <w:color w:val="000000"/>
          <w:sz w:val="24"/>
          <w:szCs w:val="24"/>
          <w:highlight w:val="none"/>
        </w:rPr>
        <w:t xml:space="preserve">、本项目采购标的要求</w:t>
      </w:r>
      <w:r/>
    </w:p>
    <w:p>
      <w:pPr>
        <w:jc w:val="center"/>
        <w:spacing w:line="360" w:lineRule="auto"/>
        <w:rPr>
          <w:rFonts w:hint="eastAsia"/>
          <w:sz w:val="22"/>
          <w:szCs w:val="22"/>
          <w:highlight w:val="none"/>
          <w:lang w:val="en-US" w:eastAsia="zh-CN"/>
        </w:rPr>
      </w:pPr>
      <w:r>
        <w:rPr>
          <w:rFonts w:hint="eastAsia"/>
          <w:b/>
          <w:bCs/>
          <w:sz w:val="28"/>
          <w:szCs w:val="28"/>
          <w:highlight w:val="none"/>
          <w:lang w:val="en-US" w:eastAsia="zh-CN"/>
        </w:rPr>
        <w:t xml:space="preserve">采购清单</w:t>
      </w:r>
      <w:r/>
    </w:p>
    <w:tbl>
      <w:tblPr>
        <w:tblStyle w:val="677"/>
        <w:tblW w:w="6120" w:type="dxa"/>
        <w:tblInd w:w="118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53"/>
        <w:gridCol w:w="1067"/>
        <w:gridCol w:w="2360"/>
      </w:tblGrid>
      <w:tr>
        <w:trPr>
          <w:trHeight w:val="312"/>
        </w:trPr>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853"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p>
        </w:tc>
        <w:tc>
          <w:tcPr>
            <w:tcW w:w="1067"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236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312"/>
        </w:trPr>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85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智能追光跑道</w:t>
            </w:r>
            <w:r/>
          </w:p>
        </w:tc>
        <w:tc>
          <w:tcPr>
            <w:tcW w:w="10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23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r>
      <w:tr>
        <w:trPr>
          <w:trHeight w:val="480"/>
        </w:trPr>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85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智慧体测一体机</w:t>
            </w:r>
            <w:r/>
          </w:p>
        </w:tc>
        <w:tc>
          <w:tcPr>
            <w:tcW w:w="10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23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312"/>
        </w:trPr>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85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AI运动设施</w:t>
            </w:r>
            <w:r/>
          </w:p>
        </w:tc>
        <w:tc>
          <w:tcPr>
            <w:tcW w:w="10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23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4</w:t>
            </w:r>
            <w:r/>
          </w:p>
        </w:tc>
      </w:tr>
      <w:tr>
        <w:trPr>
          <w:trHeight w:val="528"/>
        </w:trPr>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85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数字步道</w:t>
            </w:r>
            <w:r/>
          </w:p>
        </w:tc>
        <w:tc>
          <w:tcPr>
            <w:tcW w:w="10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23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312"/>
        </w:trPr>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85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篮球架</w:t>
            </w:r>
            <w:r/>
          </w:p>
        </w:tc>
        <w:tc>
          <w:tcPr>
            <w:tcW w:w="10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tcW w:w="23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984"/>
        </w:trPr>
        <w:tc>
          <w:tcPr>
            <w:tcW w:w="8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853"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AI远程管理系统</w:t>
            </w:r>
            <w:r/>
          </w:p>
        </w:tc>
        <w:tc>
          <w:tcPr>
            <w:tcW w:w="1067"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w:t>
            </w:r>
            <w:r/>
          </w:p>
        </w:tc>
        <w:tc>
          <w:tcPr>
            <w:tcW w:w="236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r>
    </w:tbl>
    <w:p>
      <w:pPr>
        <w:jc w:val="left"/>
        <w:spacing w:line="276"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bl>
      <w:tblPr>
        <w:tblStyle w:val="677"/>
        <w:tblW w:w="9371"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78"/>
        <w:gridCol w:w="1609"/>
        <w:gridCol w:w="4457"/>
        <w:gridCol w:w="1014"/>
        <w:gridCol w:w="1013"/>
      </w:tblGrid>
      <w:tr>
        <w:trPr>
          <w:trHeight w:val="978"/>
        </w:trPr>
        <w:tc>
          <w:tcPr>
            <w:tcW w:w="1278" w:type="dxa"/>
            <w:vAlign w:val="center"/>
            <w:textDirection w:val="lrTb"/>
            <w:noWrap w:val="false"/>
          </w:tcPr>
          <w:p>
            <w:pPr>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名称</w:t>
            </w:r>
            <w:r/>
          </w:p>
        </w:tc>
        <w:tc>
          <w:tcPr>
            <w:tcW w:w="1609" w:type="dxa"/>
            <w:vAlign w:val="center"/>
            <w:textDirection w:val="lrTb"/>
            <w:noWrap w:val="false"/>
          </w:tcPr>
          <w:p>
            <w:pPr>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分类名称</w:t>
            </w:r>
            <w:r/>
          </w:p>
        </w:tc>
        <w:tc>
          <w:tcPr>
            <w:tcW w:w="4457" w:type="dxa"/>
            <w:vAlign w:val="center"/>
            <w:textDirection w:val="lrTb"/>
            <w:noWrap w:val="false"/>
          </w:tcPr>
          <w:p>
            <w:pPr>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参数</w:t>
            </w:r>
            <w:r/>
          </w:p>
        </w:tc>
        <w:tc>
          <w:tcPr>
            <w:tcW w:w="1014" w:type="dxa"/>
            <w:vAlign w:val="center"/>
            <w:textDirection w:val="lrTb"/>
            <w:noWrap w:val="false"/>
          </w:tcPr>
          <w:p>
            <w:pPr>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数量</w:t>
            </w:r>
            <w:r/>
          </w:p>
        </w:tc>
        <w:tc>
          <w:tcPr>
            <w:tcW w:w="1013" w:type="dxa"/>
            <w:vAlign w:val="center"/>
            <w:textDirection w:val="lrTb"/>
            <w:noWrap w:val="false"/>
          </w:tcPr>
          <w:p>
            <w:pPr>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单位</w:t>
            </w:r>
            <w:r/>
          </w:p>
        </w:tc>
      </w:tr>
      <w:tr>
        <w:trPr>
          <w:trHeight w:val="2424"/>
        </w:trPr>
        <w:tc>
          <w:tcPr>
            <w:tcW w:w="12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智能追光跑道（双侧各200米）</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智能步道灯</w:t>
            </w:r>
            <w:r/>
          </w:p>
        </w:tc>
        <w:tc>
          <w:tcPr>
            <w:tcW w:w="44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1030*50*60毫米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颜色：七彩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芯片：晶元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电压：DC24V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功率：12瓦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防护级别：IP66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感应方式：红外感应+感应延时5秒左右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材质：不锈钢底座+钢化玻璃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控制方式：外控512</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1457"/>
        </w:trPr>
        <w:tc>
          <w:tcPr>
            <w:tcW w:w="1278"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智能开关电源</w:t>
            </w:r>
            <w:r/>
          </w:p>
        </w:tc>
        <w:tc>
          <w:tcPr>
            <w:tcW w:w="44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198*114*45毫米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功率：400W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输入电压：AC220V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输出电压：DC24V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功率：400瓦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防护级别：IP65</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1135"/>
        </w:trPr>
        <w:tc>
          <w:tcPr>
            <w:tcW w:w="1278"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控制器</w:t>
            </w:r>
            <w:r/>
          </w:p>
        </w:tc>
        <w:tc>
          <w:tcPr>
            <w:tcW w:w="44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192*122*43毫米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输入电压：AC220V</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90"/>
        </w:trPr>
        <w:tc>
          <w:tcPr>
            <w:tcW w:w="12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智慧体测一体机</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体测机</w:t>
            </w:r>
            <w:r/>
          </w:p>
        </w:tc>
        <w:tc>
          <w:tcPr>
            <w:tcW w:w="44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户外智能体检一体机自动测量人体身高、体重、标准体重范围、BMI（</w:t>
            </w:r>
            <w:r>
              <w:rPr>
                <w:rFonts w:hint="eastAsia" w:ascii="宋体" w:hAnsi="宋体" w:cs="宋体"/>
                <w:i w:val="0"/>
                <w:iCs w:val="0"/>
                <w:color w:val="000000"/>
                <w:sz w:val="21"/>
                <w:szCs w:val="21"/>
                <w:highlight w:val="none"/>
                <w:u w:val="none"/>
                <w:lang w:val="en-US" w:eastAsia="zh-CN" w:bidi="ar"/>
              </w:rPr>
              <w:t xml:space="preserve">体重指数</w:t>
            </w:r>
            <w:r>
              <w:rPr>
                <w:rFonts w:hint="eastAsia" w:ascii="宋体" w:hAnsi="宋体" w:eastAsia="宋体" w:cs="宋体"/>
                <w:i w:val="0"/>
                <w:iCs w:val="0"/>
                <w:color w:val="000000"/>
                <w:sz w:val="21"/>
                <w:szCs w:val="21"/>
                <w:highlight w:val="none"/>
                <w:u w:val="none"/>
                <w:lang w:val="en-US" w:eastAsia="zh-CN" w:bidi="ar"/>
              </w:rPr>
              <w:t xml:space="preserve">）、体型胖瘦提示；心率、平衡力、人体成分（15项）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脂肪含量、脂肪率、基础代谢、体水分含量、体水分率、体肌肉量、体肌肉率、蛋白质量、蛋白质率、骨盐重量、去脂体重、细胞内液量、细胞内液率、细胞外液量、细胞外液率等，膳食营养分析，运动指导，健康指导等多项体检服务。性能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定时开关机，一体化设计，多个体检项目一站式完成。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结构：人性化设计，整机不锈钢材质，雨雪等恶劣天气情况下设备能够正常使用，不受潮湿环境影响，结实耐用，外形美观，耐腐蚀，耐冲击。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数据功能：测量结果可以通过无线WIFI或RJ45实现网络互联，方便用户接入系统。支持云平台掌控设备数据，查看体检者报告信息；对接至各数据平台系统，实现信息互联。支持远程升级。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待机状态可自动循环播放图片、视频等宣传健康知识或卫生医疗政策，支持本地U盘更新节目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远程更新节目。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远程截屏设备画面便于查看设备运动状况。</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r>
      <w:tr>
        <w:trPr>
          <w:trHeight w:val="6758"/>
        </w:trPr>
        <w:tc>
          <w:tcPr>
            <w:gridSpan w:val="2"/>
            <w:tcW w:w="288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b/>
                <w:bCs/>
                <w:i w:val="0"/>
                <w:iCs w:val="0"/>
                <w:color w:val="000000"/>
                <w:sz w:val="20"/>
                <w:szCs w:val="20"/>
                <w:highlight w:val="none"/>
                <w:u w:val="none"/>
                <w:lang w:val="en-US" w:eastAsia="zh-CN"/>
              </w:rPr>
              <w:t xml:space="preserve">地埋篮球架</w:t>
            </w:r>
            <w:r/>
          </w:p>
        </w:tc>
        <w:tc>
          <w:tcPr>
            <w:tcW w:w="445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产品的主要技术参数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1、规格：2585*1800*3947mm，立柱采用普通碳素钢管φ165×4mm；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2、篮板采用SMC材质，尺寸为1800×1050m，在篮板中心面积为1100mm×250mm上施加500N的力，1min后，中心挠度≤6mm，取消外力1min后篮板恢复原状；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3、长下拉杆均采用φ48×3mm的普通碳素钢管；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篮圈采用φ20实心圆钢制作，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5、篮板与立柱采用五支点固定，可通过上下拉杆及篮板连接头调节篮圈与地面的平行度，篮板与地面的垂直度；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6、篮板到立柱距离为1800mm，篮圈上沿离地面高3050mm；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7、地埋深度为900mm；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8、紧固件材质为不锈钢，具有防盗</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防锈</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防松功能，需专用工具方可拆卸；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9、涂层、橡胶、塑料件有害物质限量应符合GB 19272-2011中5.2.6的要求；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10、器材安全警示牌有图示方式的安全提示</w:t>
            </w:r>
            <w:r>
              <w:rPr>
                <w:rFonts w:hint="eastAsia" w:ascii="宋体" w:hAnsi="宋体" w:cs="宋体"/>
                <w:i w:val="0"/>
                <w:iCs w:val="0"/>
                <w:color w:val="000000"/>
                <w:sz w:val="20"/>
                <w:szCs w:val="20"/>
                <w:highlight w:val="none"/>
                <w:u w:val="none"/>
                <w:lang w:val="en-US" w:eastAsia="zh-CN" w:bidi="ar"/>
              </w:rPr>
              <w:t xml:space="preserve">。</w:t>
            </w:r>
            <w:r/>
          </w:p>
        </w:tc>
        <w:tc>
          <w:tcPr>
            <w:tcW w:w="101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bl>
    <w:tbl>
      <w:tblPr>
        <w:tblStyle w:val="677"/>
        <w:tblpPr w:horzAnchor="page" w:tblpX="1320" w:vertAnchor="text" w:tblpY="775" w:leftFromText="180" w:topFromText="0" w:rightFromText="180" w:bottomFromText="0"/>
        <w:tblW w:w="937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78"/>
        <w:gridCol w:w="1609"/>
        <w:gridCol w:w="4457"/>
        <w:gridCol w:w="1014"/>
        <w:gridCol w:w="1013"/>
      </w:tblGrid>
      <w:tr>
        <w:trPr>
          <w:trHeight w:val="90"/>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AI跳远软件系统</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1.支持立定跳远自动识别，成绩实时展示；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2.支持AI人脸识别登录认证；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3.支持对测试的违规动作进行检测并进行语音播报提示；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4.支持游客进行注册测试和自由测试两种模式选择；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5.支持登录模式和游客登录模式进行测试训练；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6.支持项目排行</w:t>
            </w:r>
            <w:r>
              <w:rPr>
                <w:rFonts w:hint="eastAsia" w:ascii="宋体" w:hAnsi="宋体" w:cs="宋体"/>
                <w:i w:val="0"/>
                <w:iCs w:val="0"/>
                <w:color w:val="000000"/>
                <w:sz w:val="20"/>
                <w:szCs w:val="20"/>
                <w:highlight w:val="none"/>
                <w:u w:val="none"/>
                <w:lang w:val="en-US" w:eastAsia="zh-CN" w:bidi="ar"/>
              </w:rPr>
              <w:t xml:space="preserve">榜</w:t>
            </w:r>
            <w:r>
              <w:rPr>
                <w:rFonts w:hint="eastAsia" w:ascii="宋体" w:hAnsi="宋体" w:eastAsia="宋体" w:cs="宋体"/>
                <w:i w:val="0"/>
                <w:iCs w:val="0"/>
                <w:color w:val="000000"/>
                <w:sz w:val="20"/>
                <w:szCs w:val="20"/>
                <w:highlight w:val="none"/>
                <w:u w:val="none"/>
                <w:lang w:val="en-US" w:eastAsia="zh-CN" w:bidi="ar"/>
              </w:rPr>
              <w:t xml:space="preserve">数据展示，支持前三名个性化数据展示；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7.支持通过AI人脸识别登录</w:t>
            </w:r>
            <w:r>
              <w:rPr>
                <w:rFonts w:hint="eastAsia" w:ascii="宋体" w:hAnsi="宋体" w:cs="宋体"/>
                <w:i w:val="0"/>
                <w:iCs w:val="0"/>
                <w:color w:val="000000"/>
                <w:sz w:val="20"/>
                <w:szCs w:val="20"/>
                <w:highlight w:val="none"/>
                <w:u w:val="none"/>
                <w:lang w:val="en-US" w:eastAsia="zh-CN" w:bidi="ar"/>
              </w:rPr>
              <w:t xml:space="preserve">进行</w:t>
            </w:r>
            <w:r>
              <w:rPr>
                <w:rFonts w:hint="eastAsia" w:ascii="宋体" w:hAnsi="宋体" w:eastAsia="宋体" w:cs="宋体"/>
                <w:i w:val="0"/>
                <w:iCs w:val="0"/>
                <w:color w:val="000000"/>
                <w:sz w:val="20"/>
                <w:szCs w:val="20"/>
                <w:highlight w:val="none"/>
                <w:u w:val="none"/>
                <w:lang w:val="en-US" w:eastAsia="zh-CN" w:bidi="ar"/>
              </w:rPr>
              <w:t xml:space="preserve">当前项目的测试排名查询；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8.支持对个人测试任务一键开始，支持测试结果实时展示；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9.支持测试项目记录查看；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10.支持测试记录详情查看；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11、精确度1cm内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12.支持数据上传对接平台</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26"/>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超脑设备</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1.计算主机搭载高性能GPU</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支持多个并发AI推理模型部署；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2.支持DL加速、支持视觉加速，支持高性能解码支持；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3.一体式散热风扇，HDMI接口，USB接口，千兆网口，支持固态硬盘</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984"/>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精准算法</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1.骨骼算法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2.图形识别视频算法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3.动态成像角度、幅度、抛物线等算法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4.人脸识别算法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5.大模型对脚、手、成人、儿童脚数据识别算法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6.违规算法，判断踩线、抢跳、处境等违规算法判断</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14"/>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AI识别设备</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1.户外智慧大屏≥21.5寸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2.显示尺寸：≥2150mm(H)*400mm(L)*220mm(D)（±10mm）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3.外壳≥1.5mm高强度镀锌钢板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4.表面：喷户外专用喷塑漆、防护等级7的防尘，防潮，防水、抗老化提供</w:t>
            </w:r>
            <w:r>
              <w:rPr>
                <w:rFonts w:hint="eastAsia" w:ascii="宋体" w:hAnsi="宋体" w:cs="宋体"/>
                <w:i w:val="0"/>
                <w:iCs w:val="0"/>
                <w:color w:val="000000"/>
                <w:sz w:val="20"/>
                <w:szCs w:val="20"/>
                <w:highlight w:val="none"/>
                <w:u w:val="none"/>
                <w:lang w:val="en-US" w:eastAsia="zh-CN" w:bidi="ar"/>
              </w:rPr>
              <w:t xml:space="preserve">防锈</w:t>
            </w:r>
            <w:r>
              <w:rPr>
                <w:rFonts w:hint="eastAsia" w:ascii="宋体" w:hAnsi="宋体" w:eastAsia="宋体" w:cs="宋体"/>
                <w:i w:val="0"/>
                <w:iCs w:val="0"/>
                <w:color w:val="000000"/>
                <w:sz w:val="20"/>
                <w:szCs w:val="20"/>
                <w:highlight w:val="none"/>
                <w:u w:val="none"/>
                <w:lang w:val="en-US" w:eastAsia="zh-CN" w:bidi="ar"/>
              </w:rPr>
              <w:t xml:space="preserve">以上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5.防护：具有室外高性能防护等级，为各类</w:t>
            </w:r>
            <w:r>
              <w:rPr>
                <w:rFonts w:hint="eastAsia" w:ascii="宋体" w:hAnsi="宋体" w:cs="宋体"/>
                <w:i w:val="0"/>
                <w:iCs w:val="0"/>
                <w:color w:val="000000"/>
                <w:sz w:val="20"/>
                <w:szCs w:val="20"/>
                <w:highlight w:val="none"/>
                <w:u w:val="none"/>
                <w:lang w:val="en-US" w:eastAsia="zh-CN" w:bidi="ar"/>
              </w:rPr>
              <w:t xml:space="preserve">元件</w:t>
            </w:r>
            <w:r>
              <w:rPr>
                <w:rFonts w:hint="eastAsia" w:ascii="宋体" w:hAnsi="宋体" w:eastAsia="宋体" w:cs="宋体"/>
                <w:i w:val="0"/>
                <w:iCs w:val="0"/>
                <w:color w:val="000000"/>
                <w:sz w:val="20"/>
                <w:szCs w:val="20"/>
                <w:highlight w:val="none"/>
                <w:u w:val="none"/>
                <w:lang w:val="en-US" w:eastAsia="zh-CN" w:bidi="ar"/>
              </w:rPr>
              <w:t xml:space="preserve">护。防护等级整机防护等级达到≥IP65；高效多层过滤系统，隔离有害灰尘进入机器内。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6.高透玻璃</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整机屏前保护玻璃采用≥6mm高透钢化玻璃防眩玻璃，透光率≥97%，高透光。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7.维护</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整机采用后开门，气压支撑杆开门方式，可方便维护内部显示屏、</w:t>
            </w:r>
            <w:r>
              <w:rPr>
                <w:rFonts w:hint="eastAsia" w:ascii="宋体" w:hAnsi="宋体" w:cs="宋体"/>
                <w:i w:val="0"/>
                <w:iCs w:val="0"/>
                <w:color w:val="000000"/>
                <w:sz w:val="20"/>
                <w:szCs w:val="20"/>
                <w:highlight w:val="none"/>
                <w:u w:val="none"/>
                <w:lang w:val="en-US" w:eastAsia="zh-CN" w:bidi="ar"/>
              </w:rPr>
              <w:t xml:space="preserve">玻</w:t>
            </w:r>
            <w:r>
              <w:rPr>
                <w:rFonts w:hint="eastAsia" w:ascii="宋体" w:hAnsi="宋体" w:eastAsia="宋体" w:cs="宋体"/>
                <w:i w:val="0"/>
                <w:iCs w:val="0"/>
                <w:color w:val="000000"/>
                <w:sz w:val="20"/>
                <w:szCs w:val="20"/>
                <w:highlight w:val="none"/>
                <w:u w:val="none"/>
                <w:lang w:val="en-US" w:eastAsia="zh-CN" w:bidi="ar"/>
              </w:rPr>
              <w:t xml:space="preserve">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8.散热：组件和电子件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整机采用模块化设计，智能风扇控制</w:t>
            </w:r>
            <w:r>
              <w:rPr>
                <w:rFonts w:hint="eastAsia" w:ascii="宋体" w:hAnsi="宋体" w:cs="宋体"/>
                <w:i w:val="0"/>
                <w:iCs w:val="0"/>
                <w:color w:val="000000"/>
                <w:sz w:val="20"/>
                <w:szCs w:val="20"/>
                <w:highlight w:val="none"/>
                <w:u w:val="none"/>
                <w:lang w:val="en-US" w:eastAsia="zh-CN" w:bidi="ar"/>
              </w:rPr>
              <w:t xml:space="preserve">散热</w:t>
            </w:r>
            <w:r>
              <w:rPr>
                <w:rFonts w:hint="eastAsia" w:ascii="宋体" w:hAnsi="宋体" w:eastAsia="宋体" w:cs="宋体"/>
                <w:i w:val="0"/>
                <w:iCs w:val="0"/>
                <w:color w:val="000000"/>
                <w:sz w:val="20"/>
                <w:szCs w:val="20"/>
                <w:highlight w:val="none"/>
                <w:u w:val="none"/>
                <w:lang w:val="en-US" w:eastAsia="zh-CN" w:bidi="ar"/>
              </w:rPr>
              <w:t xml:space="preserve">、方便安装维护。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防盗设计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底座/柜架采用内锁式设计，防止从外部可以拆卸螺丝移动机器设备，做到安全防盗。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10.其他：曲线设计、工艺为钣金焊接、组装模块。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11.具有科技感、设计氛围适配所有场景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12.设备整体具备：抗静电测试、抗电磁干扰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13.步道大屏具有：耐久性、稳定性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14.产品整体防腐蚀（防腐蚀≥10级）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1.时控开关：可按天、周、月设置定制开关机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2.继电器：交流85V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265V/直流8V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28V,4G网络信号传输、助燃ABS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3.触电器：≥220v触电器、有防漏电保护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4.开关电源：工业级户外专业电源、单相交流电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5.防水喇叭：防水高品质10W喇叭（播放语音介绍）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6.防雷器：三级防雷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7.散热：智能防水设计风散热制冷风扇、智能控制主板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识别柱智能屏幕：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1.显示尺寸≥475mm*267mm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2.分辨率≥1920*1080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3.亮度≥ 1200cd/㎡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对比度 1400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4.系统：</w:t>
            </w:r>
            <w:r>
              <w:rPr>
                <w:rFonts w:hint="eastAsia" w:ascii="宋体" w:hAnsi="宋体" w:cs="宋体"/>
                <w:i w:val="0"/>
                <w:iCs w:val="0"/>
                <w:color w:val="000000"/>
                <w:sz w:val="20"/>
                <w:szCs w:val="20"/>
                <w:highlight w:val="none"/>
                <w:u w:val="none"/>
                <w:lang w:val="en-US" w:eastAsia="zh-CN" w:bidi="ar"/>
              </w:rPr>
              <w:t xml:space="preserve">国产</w:t>
            </w:r>
            <w:r>
              <w:rPr>
                <w:rFonts w:hint="eastAsia" w:ascii="宋体" w:hAnsi="宋体" w:eastAsia="宋体" w:cs="宋体"/>
                <w:i w:val="0"/>
                <w:iCs w:val="0"/>
                <w:color w:val="000000"/>
                <w:sz w:val="20"/>
                <w:szCs w:val="20"/>
                <w:highlight w:val="none"/>
                <w:u w:val="none"/>
                <w:lang w:val="en-US" w:eastAsia="zh-CN" w:bidi="ar"/>
              </w:rPr>
              <w:t xml:space="preserve">系统、内存≥4G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储存≥32G,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5.配置：风扇、喇叭、网络支持 4G（选配）、以太网、支持WiFi/蓝牙4.0、无线外设扩展等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6.触摸：10点纳米触摸、灵敏度强、触控屏防水、防紫外线干扰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7.亮度感光：自动感光屏亮度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8.AI智能互动软件植入功能、本地前端算法处理展示等</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26"/>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1.设备运输：物流运输周期约4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2.设备指导安装：对设备安装进行指导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3.硬件集成：设备互通互联，完成设备现场物联网联通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4.联调测试：测试设备可用性</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050"/>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AI双杠、单杠（引体向上）系统</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1.支持仰卧起坐自动识别，成绩实时展示；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2.支持AI人脸识别登录认证；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3.支持对测试的违规动作进行检测并进行语音播报提示；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4.支持游客进行注册测试和自由测试两种模式选择；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5.支持登录模式和游客登录模式进行测试训练；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6.支持项目排行</w:t>
            </w:r>
            <w:r>
              <w:rPr>
                <w:rFonts w:hint="eastAsia" w:ascii="宋体" w:hAnsi="宋体" w:cs="宋体"/>
                <w:i w:val="0"/>
                <w:iCs w:val="0"/>
                <w:color w:val="000000"/>
                <w:sz w:val="20"/>
                <w:szCs w:val="20"/>
                <w:highlight w:val="none"/>
                <w:u w:val="none"/>
                <w:lang w:val="en-US" w:eastAsia="zh-CN" w:bidi="ar"/>
              </w:rPr>
              <w:t xml:space="preserve">榜</w:t>
            </w:r>
            <w:r>
              <w:rPr>
                <w:rFonts w:hint="eastAsia" w:ascii="宋体" w:hAnsi="宋体" w:eastAsia="宋体" w:cs="宋体"/>
                <w:i w:val="0"/>
                <w:iCs w:val="0"/>
                <w:color w:val="000000"/>
                <w:sz w:val="20"/>
                <w:szCs w:val="20"/>
                <w:highlight w:val="none"/>
                <w:u w:val="none"/>
                <w:lang w:val="en-US" w:eastAsia="zh-CN" w:bidi="ar"/>
              </w:rPr>
              <w:t xml:space="preserve">数据展示，支持前三名个性化数据展示；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7.支持通过AI人脸识别登录</w:t>
            </w:r>
            <w:r>
              <w:rPr>
                <w:rFonts w:hint="eastAsia" w:ascii="宋体" w:hAnsi="宋体" w:cs="宋体"/>
                <w:i w:val="0"/>
                <w:iCs w:val="0"/>
                <w:color w:val="000000"/>
                <w:sz w:val="20"/>
                <w:szCs w:val="20"/>
                <w:highlight w:val="none"/>
                <w:u w:val="none"/>
                <w:lang w:val="en-US" w:eastAsia="zh-CN" w:bidi="ar"/>
              </w:rPr>
              <w:t xml:space="preserve">进行</w:t>
            </w:r>
            <w:r>
              <w:rPr>
                <w:rFonts w:hint="eastAsia" w:ascii="宋体" w:hAnsi="宋体" w:eastAsia="宋体" w:cs="宋体"/>
                <w:i w:val="0"/>
                <w:iCs w:val="0"/>
                <w:color w:val="000000"/>
                <w:sz w:val="20"/>
                <w:szCs w:val="20"/>
                <w:highlight w:val="none"/>
                <w:u w:val="none"/>
                <w:lang w:val="en-US" w:eastAsia="zh-CN" w:bidi="ar"/>
              </w:rPr>
              <w:t xml:space="preserve">当前项目的测试排名查询；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8.支持对个人测试任务一键开始，支持测试结果实时展示；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9.支持测试项目记录查看；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10.支持测试记录详情查看；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11、精确度1cm内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12.支持数据上传对接平台</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26"/>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超脑设备</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1.计算主机搭载高性能GPU</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支持多个并发AI推理模型部署；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2.支持DL加速、支持视觉加速，支持高性能解码支持；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3.一体式散热风扇，HDMI接口，USB接口，千兆网口，支持固态硬盘</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0"/>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精准算法</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1.骨骼算法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2.图形识别视频算法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3.动态成像角度、幅度、抛物线等算法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4.人脸识别算法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5.大模型对脚、手、成人、儿童脚数据识别算法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6.违规算法，判断踩线、抢跳、处境等违规算法判断</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95"/>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AI识别设备</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1.户外智慧大屏≥21.5寸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2.显示尺寸：≥2150mm(H)*400mm(L)*220mm(D)（±10mm）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3.外壳≥1.5mm高强度镀锌钢板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4.表面：喷户外专用喷塑漆、防护等级7年以上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5.防护：具有室外高性能防护等级，为各类</w:t>
            </w:r>
            <w:r>
              <w:rPr>
                <w:rFonts w:hint="eastAsia" w:ascii="宋体" w:hAnsi="宋体" w:cs="宋体"/>
                <w:i w:val="0"/>
                <w:iCs w:val="0"/>
                <w:color w:val="000000"/>
                <w:sz w:val="20"/>
                <w:szCs w:val="20"/>
                <w:highlight w:val="none"/>
                <w:u w:val="none"/>
                <w:lang w:val="en-US" w:eastAsia="zh-CN" w:bidi="ar"/>
              </w:rPr>
              <w:t xml:space="preserve">元</w:t>
            </w:r>
            <w:r>
              <w:rPr>
                <w:rFonts w:hint="eastAsia" w:ascii="宋体" w:hAnsi="宋体" w:eastAsia="宋体" w:cs="宋体"/>
                <w:i w:val="0"/>
                <w:iCs w:val="0"/>
                <w:color w:val="000000"/>
                <w:sz w:val="20"/>
                <w:szCs w:val="20"/>
                <w:highlight w:val="none"/>
                <w:u w:val="none"/>
                <w:lang w:val="en-US" w:eastAsia="zh-CN" w:bidi="ar"/>
              </w:rPr>
              <w:t xml:space="preserve">件的防尘，防潮，防水、抗老化提供防护。防护等级 整机防护等级达到≥IP65；高效多层过滤系统，隔离有害灰尘进入机器内。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6.高透玻璃</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整机屏前保护玻璃采用≥6mm高透钢化玻璃防眩玻璃，透光率≥97%，高透光。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7.维护</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整机采用后开门，气压支撑杆开门方式，可方便维护内部显示屏、</w:t>
            </w:r>
            <w:r>
              <w:rPr>
                <w:rFonts w:hint="eastAsia" w:ascii="宋体" w:hAnsi="宋体" w:cs="宋体"/>
                <w:i w:val="0"/>
                <w:iCs w:val="0"/>
                <w:color w:val="000000"/>
                <w:sz w:val="20"/>
                <w:szCs w:val="20"/>
                <w:highlight w:val="none"/>
                <w:u w:val="none"/>
                <w:lang w:val="en-US" w:eastAsia="zh-CN" w:bidi="ar"/>
              </w:rPr>
              <w:t xml:space="preserve">玻</w:t>
            </w:r>
            <w:r>
              <w:rPr>
                <w:rFonts w:hint="eastAsia" w:ascii="宋体" w:hAnsi="宋体" w:eastAsia="宋体" w:cs="宋体"/>
                <w:i w:val="0"/>
                <w:iCs w:val="0"/>
                <w:color w:val="000000"/>
                <w:sz w:val="20"/>
                <w:szCs w:val="20"/>
                <w:highlight w:val="none"/>
                <w:u w:val="none"/>
                <w:lang w:val="en-US" w:eastAsia="zh-CN" w:bidi="ar"/>
              </w:rPr>
              <w:t xml:space="preserve">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8.散热：组件和电子件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整机采用模块化设计，智能风扇控制</w:t>
            </w:r>
            <w:r>
              <w:rPr>
                <w:rFonts w:hint="eastAsia" w:ascii="宋体" w:hAnsi="宋体" w:cs="宋体"/>
                <w:i w:val="0"/>
                <w:iCs w:val="0"/>
                <w:color w:val="000000"/>
                <w:sz w:val="20"/>
                <w:szCs w:val="20"/>
                <w:highlight w:val="none"/>
                <w:u w:val="none"/>
                <w:lang w:val="en-US" w:eastAsia="zh-CN" w:bidi="ar"/>
              </w:rPr>
              <w:t xml:space="preserve">散热</w:t>
            </w:r>
            <w:r>
              <w:rPr>
                <w:rFonts w:hint="eastAsia" w:ascii="宋体" w:hAnsi="宋体" w:eastAsia="宋体" w:cs="宋体"/>
                <w:i w:val="0"/>
                <w:iCs w:val="0"/>
                <w:color w:val="000000"/>
                <w:sz w:val="20"/>
                <w:szCs w:val="20"/>
                <w:highlight w:val="none"/>
                <w:u w:val="none"/>
                <w:lang w:val="en-US" w:eastAsia="zh-CN" w:bidi="ar"/>
              </w:rPr>
              <w:t xml:space="preserve">、方便安装维护。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防盗设计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底座/柜架采用内锁式设计，防止从外部可以拆卸螺丝移动机器设备，真正做到安全防盗。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10.其他：曲线设计、工艺为钣金焊接、组装模块。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11.具有科技感、设计氛围适配所有场景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12.设备整体具备：抗静电测试、抗电磁干扰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13.步道大屏具有：耐久性、稳定性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14.产品整体防腐蚀（防腐蚀≥10级）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1.时控开关：可按天、周、月设置定制开关机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2.继电器：交流85V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265V/直流8V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28V,4G网络信号传输、助燃ABS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3.触电器：≥220v触电器、有防漏电保护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4.开关电源：工业级户外专业电源、单相交流电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5.防水喇叭：防水高品质10W喇叭（播放语音介绍）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6.防雷器：三级防雷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7.散热：智能防水设计风散热制冷风扇、智能控制主板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识别柱智能屏幕：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1.显示尺寸≥475mm*267mm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2.分辨率≥1920*1080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3.亮度≥ 1200cd/㎡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对比度 1400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4.系统：</w:t>
            </w:r>
            <w:r>
              <w:rPr>
                <w:rFonts w:hint="eastAsia" w:ascii="宋体" w:hAnsi="宋体" w:cs="宋体"/>
                <w:i w:val="0"/>
                <w:iCs w:val="0"/>
                <w:color w:val="000000"/>
                <w:sz w:val="20"/>
                <w:szCs w:val="20"/>
                <w:highlight w:val="none"/>
                <w:u w:val="none"/>
                <w:lang w:val="en-US" w:eastAsia="zh-CN" w:bidi="ar"/>
              </w:rPr>
              <w:t xml:space="preserve">国产</w:t>
            </w:r>
            <w:r>
              <w:rPr>
                <w:rFonts w:hint="eastAsia" w:ascii="宋体" w:hAnsi="宋体" w:eastAsia="宋体" w:cs="宋体"/>
                <w:i w:val="0"/>
                <w:iCs w:val="0"/>
                <w:color w:val="000000"/>
                <w:sz w:val="20"/>
                <w:szCs w:val="20"/>
                <w:highlight w:val="none"/>
                <w:u w:val="none"/>
                <w:lang w:val="en-US" w:eastAsia="zh-CN" w:bidi="ar"/>
              </w:rPr>
              <w:t xml:space="preserve">系统、内存≥4G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储存≥32G,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5.配置：风扇、喇叭、网络支持 4G（选配）、以太网、支持WiFi/蓝牙4.0、无线外设扩展等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6.触摸：10点纳米触摸、灵敏度强、触控屏防水、防紫外线干扰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7.亮度感光：自动感光屏亮度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8.AI智能互动软件植入功能、本地前端算法处理展示等</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765"/>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1.设备运输：物流运输周期约4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2.设备指导安装：对设备安装进行指导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3.硬件集成：设备互通互联，完成设备现场物联网联通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4.联调测试：测试设备可用性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5.维保服务：包含</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年质保服务、软件更换维护</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年</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716"/>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AI仰卧起坐软件系统</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w:t>
            </w:r>
            <w:r>
              <w:rPr>
                <w:rFonts w:hint="eastAsia" w:ascii="宋体" w:hAnsi="宋体" w:cs="宋体"/>
                <w:i w:val="0"/>
                <w:iCs w:val="0"/>
                <w:color w:val="000000"/>
                <w:sz w:val="20"/>
                <w:szCs w:val="20"/>
                <w:highlight w:val="none"/>
                <w:u w:val="none"/>
                <w:lang w:val="en-US" w:eastAsia="zh-CN" w:bidi="ar"/>
              </w:rPr>
              <w:t xml:space="preserve">座位</w:t>
            </w:r>
            <w:r>
              <w:rPr>
                <w:rFonts w:hint="eastAsia" w:ascii="宋体" w:hAnsi="宋体" w:eastAsia="宋体" w:cs="宋体"/>
                <w:i w:val="0"/>
                <w:iCs w:val="0"/>
                <w:color w:val="000000"/>
                <w:sz w:val="20"/>
                <w:szCs w:val="20"/>
                <w:highlight w:val="none"/>
                <w:u w:val="none"/>
                <w:lang w:val="en-US" w:eastAsia="zh-CN" w:bidi="ar"/>
              </w:rPr>
              <w:t xml:space="preserve">体前屈自动识别，成绩实时展示；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2.支持AI人脸识别登录认证；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3.支持对测试的违规动作进行检测并进行语音播报提示；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4.支持游客进行注册测试和自由测试两种模式选择；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5.支持登录模式和游客登录模式进行测试训练；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6.支持项目</w:t>
            </w:r>
            <w:r>
              <w:rPr>
                <w:rFonts w:hint="eastAsia" w:ascii="宋体" w:hAnsi="宋体" w:cs="宋体"/>
                <w:i w:val="0"/>
                <w:iCs w:val="0"/>
                <w:color w:val="000000"/>
                <w:sz w:val="20"/>
                <w:szCs w:val="20"/>
                <w:highlight w:val="none"/>
                <w:u w:val="none"/>
                <w:lang w:val="en-US" w:eastAsia="zh-CN" w:bidi="ar"/>
              </w:rPr>
              <w:t xml:space="preserve">排行榜</w:t>
            </w:r>
            <w:r>
              <w:rPr>
                <w:rFonts w:hint="eastAsia" w:ascii="宋体" w:hAnsi="宋体" w:eastAsia="宋体" w:cs="宋体"/>
                <w:i w:val="0"/>
                <w:iCs w:val="0"/>
                <w:color w:val="000000"/>
                <w:sz w:val="20"/>
                <w:szCs w:val="20"/>
                <w:highlight w:val="none"/>
                <w:u w:val="none"/>
                <w:lang w:val="en-US" w:eastAsia="zh-CN" w:bidi="ar"/>
              </w:rPr>
              <w:t xml:space="preserve">数据展示，支持前三名个性化数据展示；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7.支持通过AI人脸识别登录</w:t>
            </w:r>
            <w:r>
              <w:rPr>
                <w:rFonts w:hint="eastAsia" w:ascii="宋体" w:hAnsi="宋体" w:cs="宋体"/>
                <w:i w:val="0"/>
                <w:iCs w:val="0"/>
                <w:color w:val="000000"/>
                <w:sz w:val="20"/>
                <w:szCs w:val="20"/>
                <w:highlight w:val="none"/>
                <w:u w:val="none"/>
                <w:lang w:val="en-US" w:eastAsia="zh-CN" w:bidi="ar"/>
              </w:rPr>
              <w:t xml:space="preserve">进行</w:t>
            </w:r>
            <w:r>
              <w:rPr>
                <w:rFonts w:hint="eastAsia" w:ascii="宋体" w:hAnsi="宋体" w:eastAsia="宋体" w:cs="宋体"/>
                <w:i w:val="0"/>
                <w:iCs w:val="0"/>
                <w:color w:val="000000"/>
                <w:sz w:val="20"/>
                <w:szCs w:val="20"/>
                <w:highlight w:val="none"/>
                <w:u w:val="none"/>
                <w:lang w:val="en-US" w:eastAsia="zh-CN" w:bidi="ar"/>
              </w:rPr>
              <w:t xml:space="preserve">当前项目的测试排名查询；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8.支持对个人测试任务一键开始，支持测试结果实时展示；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9.支持测试项目记录查看；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10.支持测试记录详情查看；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11、精确度1cm内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12.支持数据上传对接平台</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26"/>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超脑设备</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1.计算主机搭载高性能GPU</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支持多个并发AI推理模型部署；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2.支持DL加速、支持视觉加速，支持高性能解码支持；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3.一体式散热风扇，HDMI接口，USB接口，千兆网口，支持固态硬盘</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984"/>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精准算法</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1.骨骼算法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2.图形识别视频算法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3.动态成像角度、幅度、抛物线等算法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4.人脸识别算法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5.大模型对脚、手、成人、儿童脚数据识别算法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6.违规算法，判断踩线、抢跳、处境等违规算法判断</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61"/>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AI识别设备</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1.户外智慧大屏≥21.5寸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2.显示尺寸：≥2150mm(H)*400mm(L)*220mm(D)（±10mm）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3.外壳≥1.5mm高强度镀锌钢板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4.表面：喷户外专用喷塑漆、防护等级7年以上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5.防护：具有室外高性能防护等级，为各类</w:t>
            </w:r>
            <w:r>
              <w:rPr>
                <w:rFonts w:hint="eastAsia" w:ascii="宋体" w:hAnsi="宋体" w:cs="宋体"/>
                <w:i w:val="0"/>
                <w:iCs w:val="0"/>
                <w:color w:val="000000"/>
                <w:sz w:val="20"/>
                <w:szCs w:val="20"/>
                <w:highlight w:val="none"/>
                <w:u w:val="none"/>
                <w:lang w:val="en-US" w:eastAsia="zh-CN" w:bidi="ar"/>
              </w:rPr>
              <w:t xml:space="preserve">元</w:t>
            </w:r>
            <w:r>
              <w:rPr>
                <w:rFonts w:hint="eastAsia" w:ascii="宋体" w:hAnsi="宋体" w:eastAsia="宋体" w:cs="宋体"/>
                <w:i w:val="0"/>
                <w:iCs w:val="0"/>
                <w:color w:val="000000"/>
                <w:sz w:val="20"/>
                <w:szCs w:val="20"/>
                <w:highlight w:val="none"/>
                <w:u w:val="none"/>
                <w:lang w:val="en-US" w:eastAsia="zh-CN" w:bidi="ar"/>
              </w:rPr>
              <w:t xml:space="preserve">件的防尘，防潮，防水、抗老化提供防护。防护等级 整机防护等级达到≥IP65；高效多层过滤系统，隔离有害灰尘进入机器内。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6.高透玻璃</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整机屏前保护玻璃采用≥6mm高透钢化玻璃防眩玻璃，透光率≥97%，高透光。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7.维护</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整机采用后开门，气压支撑杆开门方式，可方便维护内部显示屏、</w:t>
            </w:r>
            <w:r>
              <w:rPr>
                <w:rFonts w:hint="eastAsia" w:ascii="宋体" w:hAnsi="宋体" w:cs="宋体"/>
                <w:i w:val="0"/>
                <w:iCs w:val="0"/>
                <w:color w:val="000000"/>
                <w:sz w:val="20"/>
                <w:szCs w:val="20"/>
                <w:highlight w:val="none"/>
                <w:u w:val="none"/>
                <w:lang w:val="en-US" w:eastAsia="zh-CN" w:bidi="ar"/>
              </w:rPr>
              <w:t xml:space="preserve">玻</w:t>
            </w:r>
            <w:r>
              <w:rPr>
                <w:rFonts w:hint="eastAsia" w:ascii="宋体" w:hAnsi="宋体" w:eastAsia="宋体" w:cs="宋体"/>
                <w:i w:val="0"/>
                <w:iCs w:val="0"/>
                <w:color w:val="000000"/>
                <w:sz w:val="20"/>
                <w:szCs w:val="20"/>
                <w:highlight w:val="none"/>
                <w:u w:val="none"/>
                <w:lang w:val="en-US" w:eastAsia="zh-CN" w:bidi="ar"/>
              </w:rPr>
              <w:t xml:space="preserve">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8.散热：组件和电子件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整机采用模块化设计，智能风扇控制</w:t>
            </w:r>
            <w:r>
              <w:rPr>
                <w:rFonts w:hint="eastAsia" w:ascii="宋体" w:hAnsi="宋体" w:cs="宋体"/>
                <w:i w:val="0"/>
                <w:iCs w:val="0"/>
                <w:color w:val="000000"/>
                <w:sz w:val="20"/>
                <w:szCs w:val="20"/>
                <w:highlight w:val="none"/>
                <w:u w:val="none"/>
                <w:lang w:val="en-US" w:eastAsia="zh-CN" w:bidi="ar"/>
              </w:rPr>
              <w:t xml:space="preserve">散热</w:t>
            </w:r>
            <w:r>
              <w:rPr>
                <w:rFonts w:hint="eastAsia" w:ascii="宋体" w:hAnsi="宋体" w:eastAsia="宋体" w:cs="宋体"/>
                <w:i w:val="0"/>
                <w:iCs w:val="0"/>
                <w:color w:val="000000"/>
                <w:sz w:val="20"/>
                <w:szCs w:val="20"/>
                <w:highlight w:val="none"/>
                <w:u w:val="none"/>
                <w:lang w:val="en-US" w:eastAsia="zh-CN" w:bidi="ar"/>
              </w:rPr>
              <w:t xml:space="preserve">、方便安装维护。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防盗设计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底座/柜架采用内锁式设计，防止从外部可以拆卸螺丝移动机器设备，真正做到安全防盗。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10.其他：曲线设计、工艺为钣金焊接、组装模块。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11.具有科技感、设计氛围适配所有场景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12.设备整体具备：抗静电测试、抗电磁干扰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13.步道大屏具有：耐久性、稳定性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14.产品整体防腐蚀（防腐蚀≥10级）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1.时控开关：可按天、周、月设置定制开关机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2.继电器：交流85V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265V/直流8V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28V,4G网络信号传输、助燃ABS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3.触电器：≥220v触电器、有防漏电保护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4.开关电源：工业级户外专业电源、单相交流电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5.防水喇叭：防水高品质10W喇叭（播放语音介绍）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6.防雷器：三级防雷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7.散热：智能防水设计风散热制冷风扇、智能控制主板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识别柱智能屏幕：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1.显示尺寸≥475mm*267mm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2.分辨率≥1920*1080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3.亮度≥ 1200cd/㎡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对比度 1400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4.系统：</w:t>
            </w:r>
            <w:r>
              <w:rPr>
                <w:rFonts w:hint="eastAsia" w:ascii="宋体" w:hAnsi="宋体" w:cs="宋体"/>
                <w:i w:val="0"/>
                <w:iCs w:val="0"/>
                <w:color w:val="000000"/>
                <w:sz w:val="20"/>
                <w:szCs w:val="20"/>
                <w:highlight w:val="none"/>
                <w:u w:val="none"/>
                <w:lang w:val="en-US" w:eastAsia="zh-CN" w:bidi="ar"/>
              </w:rPr>
              <w:t xml:space="preserve">国产</w:t>
            </w:r>
            <w:r>
              <w:rPr>
                <w:rFonts w:hint="eastAsia" w:ascii="宋体" w:hAnsi="宋体" w:eastAsia="宋体" w:cs="宋体"/>
                <w:i w:val="0"/>
                <w:iCs w:val="0"/>
                <w:color w:val="000000"/>
                <w:sz w:val="20"/>
                <w:szCs w:val="20"/>
                <w:highlight w:val="none"/>
                <w:u w:val="none"/>
                <w:lang w:val="en-US" w:eastAsia="zh-CN" w:bidi="ar"/>
              </w:rPr>
              <w:t xml:space="preserve">系统、内存≥4G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储存≥32G,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5.配置：风扇、喇叭、网络支持 4G（选配）、以太网、支持WiFi/蓝牙4.0、无线外设扩展等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6.触摸：10点纳米触摸、灵敏度强、触控屏防水、防紫外线干扰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7.亮度感光：自动感光屏亮度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8.AI智能互动软件植入功能、本地前端算法处理展示等</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765"/>
        </w:trPr>
        <w:tc>
          <w:tcPr>
            <w:tcW w:w="127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w:t>
            </w:r>
            <w:r/>
          </w:p>
        </w:tc>
        <w:tc>
          <w:tcPr>
            <w:tcW w:w="445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1.设备运输：物流运输周期约4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2.设备指导安装：对设备安装进行指导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3.硬件集成：设备互通互联，完成设备现场物联网联通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4.联调测试：测试设备可用性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5.维保服务：包含</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年质保服务、软件更换维护</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年</w: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jc w:val="left"/>
        <w:spacing w:line="276"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276" w:lineRule="auto"/>
        <w:widowControl/>
        <w:rPr>
          <w:rFonts w:hint="eastAsia" w:ascii="宋体" w:hAnsi="宋体" w:eastAsia="宋体" w:cs="宋体"/>
          <w:b/>
          <w:bCs/>
          <w:color w:val="000000"/>
          <w:sz w:val="28"/>
          <w:szCs w:val="28"/>
          <w:highlight w:val="none"/>
        </w:rPr>
      </w:pPr>
      <w:r>
        <w:rPr>
          <w:rFonts w:hint="eastAsia" w:ascii="宋体" w:hAnsi="宋体" w:eastAsia="宋体" w:cs="宋体"/>
          <w:b/>
          <w:bCs/>
          <w:i w:val="0"/>
          <w:iCs w:val="0"/>
          <w:color w:val="000000"/>
          <w:sz w:val="28"/>
          <w:szCs w:val="28"/>
          <w:highlight w:val="none"/>
          <w:u w:val="none"/>
          <w:lang w:val="en-US" w:eastAsia="zh-CN" w:bidi="ar"/>
        </w:rPr>
        <w:t xml:space="preserve">AI运动设施</w:t>
      </w:r>
      <w:r/>
    </w:p>
    <w:p>
      <w:pPr>
        <w:jc w:val="center"/>
        <w:spacing w:line="276" w:lineRule="auto"/>
        <w:widowControl/>
        <w:rPr>
          <w:rFonts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数字跑道</w:t>
      </w:r>
      <w:r/>
    </w:p>
    <w:tbl>
      <w:tblPr>
        <w:tblStyle w:val="677"/>
        <w:tblW w:w="1006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9"/>
        <w:gridCol w:w="581"/>
        <w:gridCol w:w="825"/>
        <w:gridCol w:w="1206"/>
        <w:gridCol w:w="6335"/>
        <w:gridCol w:w="370"/>
        <w:gridCol w:w="394"/>
      </w:tblGrid>
      <w:tr>
        <w:trPr>
          <w:trHeight w:val="447"/>
        </w:trPr>
        <w:tc>
          <w:tcPr>
            <w:tcW w:w="3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tcW w:w="5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tcW w:w="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部件名称</w:t>
            </w:r>
            <w:r/>
          </w:p>
        </w:tc>
        <w:tc>
          <w:tcPr>
            <w:tcW w:w="12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分类名称</w:t>
            </w:r>
            <w:r/>
          </w:p>
        </w:tc>
        <w:tc>
          <w:tcPr>
            <w:tcW w:w="6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tcW w:w="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tcW w:w="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860"/>
        </w:trPr>
        <w:tc>
          <w:tcPr>
            <w:tcW w:w="34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w:t>
            </w:r>
            <w:r/>
          </w:p>
        </w:tc>
        <w:tc>
          <w:tcPr>
            <w:tcW w:w="5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数字终端交互大屏</w:t>
            </w:r>
            <w:r/>
          </w:p>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color w:val="000000"/>
                <w:sz w:val="24"/>
                <w:szCs w:val="24"/>
                <w:highlight w:val="none"/>
              </w:rPr>
              <w:t xml:space="preserve">★</w:t>
            </w:r>
            <w:r/>
          </w:p>
        </w:tc>
        <w:tc>
          <w:tcPr>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箱体结构</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钣金外壳采用1.5mmSGCC镀锌钢板，内层喷涂</w:t>
            </w:r>
            <w:r>
              <w:rPr>
                <w:rFonts w:hint="eastAsia" w:ascii="宋体" w:hAnsi="宋体" w:cs="宋体"/>
                <w:i w:val="0"/>
                <w:iCs w:val="0"/>
                <w:color w:val="000000"/>
                <w:sz w:val="20"/>
                <w:szCs w:val="20"/>
                <w:highlight w:val="none"/>
                <w:u w:val="none"/>
                <w:lang w:val="en-US" w:eastAsia="zh-CN" w:bidi="ar"/>
              </w:rPr>
              <w:t xml:space="preserve">富锌底漆</w:t>
            </w:r>
            <w:r>
              <w:rPr>
                <w:rFonts w:hint="eastAsia" w:ascii="宋体" w:hAnsi="宋体" w:eastAsia="宋体" w:cs="宋体"/>
                <w:i w:val="0"/>
                <w:iCs w:val="0"/>
                <w:color w:val="000000"/>
                <w:sz w:val="20"/>
                <w:szCs w:val="20"/>
                <w:highlight w:val="none"/>
                <w:u w:val="none"/>
                <w:lang w:val="en-US" w:eastAsia="zh-CN" w:bidi="ar"/>
              </w:rPr>
              <w:t xml:space="preserve">，表层喷涂杜邦户外塑粉保护，使用年限确保7年以上，防护等级IP66</w:t>
            </w:r>
            <w:r/>
          </w:p>
        </w:tc>
        <w:tc>
          <w:tcPr>
            <w:tcW w:w="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1108"/>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防盗设计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箱体采用户外专用三点防盗机械锁，防盗防破坏，门上锁后无晃动现象，锁具安装牢固，防盗防偷，钥匙孔采用隐藏设计，同时箱体外观无可见可拆卸螺丝。</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15"/>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防水设计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箱体与机箱门边缘接触的四周设计有防水槽，并采用跟汽车同等级防水密封胶条进行防水。雨水进入防水槽后靠自身的重力从箱体两侧落下。</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31"/>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散热设计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箱体采用密封结构，可采用风冷散热，空调散热两种，箱体内有温控探头能随时显示箱体内温度、通过热仿真技术及自主研发软件，使箱体内</w:t>
            </w:r>
            <w:r>
              <w:rPr>
                <w:rFonts w:hint="eastAsia" w:ascii="宋体" w:hAnsi="宋体" w:cs="宋体"/>
                <w:i w:val="0"/>
                <w:iCs w:val="0"/>
                <w:color w:val="000000"/>
                <w:sz w:val="20"/>
                <w:szCs w:val="20"/>
                <w:highlight w:val="none"/>
                <w:u w:val="none"/>
                <w:lang w:val="en-US" w:eastAsia="zh-CN" w:bidi="ar"/>
              </w:rPr>
              <w:t xml:space="preserve">温</w:t>
            </w:r>
            <w:r>
              <w:rPr>
                <w:rFonts w:hint="eastAsia" w:ascii="宋体" w:hAnsi="宋体" w:eastAsia="宋体" w:cs="宋体"/>
                <w:i w:val="0"/>
                <w:iCs w:val="0"/>
                <w:color w:val="000000"/>
                <w:sz w:val="20"/>
                <w:szCs w:val="20"/>
                <w:highlight w:val="none"/>
                <w:u w:val="none"/>
                <w:lang w:val="en-US" w:eastAsia="zh-CN" w:bidi="ar"/>
              </w:rPr>
              <w:t xml:space="preserve">度保持在-20℃～+65℃工作环境温度以内</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74"/>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防尘设计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防尘采用汽车同等级滤芯防尘网，起到过滤灰尘并且通风散热功能。</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53"/>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防爆玻璃</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6mm超白钢化玻璃：透光率达到97%左右，抗弯，抗撞击，使用安全，</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6"/>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专业防护</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具有室外高性能防护等级，整机防护等级达到IP66；</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850"/>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液晶屏体</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面板参数</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面板类型：65寸工业级户外高亮液晶屏；显示尺寸≥1428(W)×803(H) mm， 显示比例16:9；背光类型 LED；分 辨 率 1920*1080；亮度≥2000cd/m2；对比度1400:1；可视角度 178°(H) / 178°(V)；使用寿命≥ 60000 小时；支持显示屏亮度自动调节功能，节能省电低功耗，减少光污染</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23"/>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电控系统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漏电保护开关</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产品设计有漏电、短路保护装置，全部达到户外级别整体内部所有结构件全部导通对地漏电流不超过30mA正弦交流有效值。</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07"/>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防雷器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箱体及电源部分设计三级防雷装置，并配置电源防雷浪涌保护模块。</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31"/>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时控开关</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可按天、周、月设置定制开关机</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6"/>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工业电源</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工业级电源，供电稳定可靠；电源支持过负载、过电压、过温度保护功能，具有指示灯故障报警显示。电源支持宽温工作环境，满足-20℃~+70℃工作范围。</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77"/>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4G远程控制器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4G远程控制器，远程网络控制开关机，分时段定时控制机器启停；</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93"/>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防水喇叭</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内置2个户外防水低噪高音喇叭，立体音效</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4"/>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集中控制系统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集中控制管理器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采用工业级嵌入式系统</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可靠性更强，并可以分路控制各个模块，实时回传运行状态数据；工业级控制主板，2G运存 8G存储，可扩展外置存储，可升级配置，采用</w:t>
            </w:r>
            <w:r>
              <w:rPr>
                <w:rFonts w:hint="eastAsia" w:ascii="宋体" w:hAnsi="宋体" w:cs="宋体"/>
                <w:i w:val="0"/>
                <w:iCs w:val="0"/>
                <w:color w:val="000000"/>
                <w:sz w:val="20"/>
                <w:szCs w:val="20"/>
                <w:highlight w:val="none"/>
                <w:u w:val="none"/>
                <w:lang w:val="en-US" w:eastAsia="zh-CN" w:bidi="ar"/>
              </w:rPr>
              <w:t xml:space="preserve">国产系统</w:t>
            </w:r>
            <w:r>
              <w:rPr>
                <w:rFonts w:hint="eastAsia" w:ascii="宋体" w:hAnsi="宋体" w:eastAsia="宋体" w:cs="宋体"/>
                <w:i w:val="0"/>
                <w:iCs w:val="0"/>
                <w:color w:val="000000"/>
                <w:sz w:val="20"/>
                <w:szCs w:val="20"/>
                <w:highlight w:val="none"/>
                <w:u w:val="none"/>
                <w:lang w:val="en-US" w:eastAsia="zh-CN" w:bidi="ar"/>
              </w:rPr>
              <w:t xml:space="preserve">嵌入式平台，适合户外使用，更加稳定可靠</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80"/>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散热系统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风冷散热</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风扇一体化控温，满足-30-+50度的户外环境下显示屏不黑化，整机正常工作；采用进口风机，配套风扇调速板，自动感温，自动调节风扇转速，节能省电，延长风扇使用寿命；高效多层过滤系统，隔离有害灰尘进入机器内部，整机防护等级达到IP66</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69"/>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AI识别系统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人脸识别摄像头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内置200W像素人脸识别摄像头模块，支持夜间识别，专利智能背光补偿技术，夜间条件下高精度识别；200万像素 CMOS 彩色图像和强化视觉效果的图像处理 DSP 芯片，以 USB 视 频信号输出；GH-A5PK-B2 具有宽动态、灰度、锐度、γ校 正，自动曝光、自适应背光补偿、ETPZ 等功能</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59"/>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AI人脸识别处理器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4G网络模块，使用边缘计算，采用前端运算处理技术，无需向服务端传送或保存图像、视频等可能侵犯他人隐私的信息，仅生成小字节特征码，以极低的通讯量实现用户身份和运动数据实时传输。支持同时多人人脸识别认证</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85"/>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通讯系统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网络通讯</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内置工业级物联网无线通信路由器，支持4G全网通通讯，支持有线和WIFI数据传输</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7"/>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工作环境</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工作环境</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工作温度 -30°C～55°C</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13"/>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大屏前端配套软件</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运动展示系统</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注册用户与非注册用户的运动展示系统，包含热量消耗、当日里程、当日运动时长、运动速率、每天运动状态、每周运动状态、每月运动状态、性别、年龄、热量消耗对应图示、运动排行、注册用户特有的数据多维度分析图、注册用户特有的其他户外体测设备的数据详情</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33"/>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数据展示系统</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通过运动健康服务云平台获得目标人群运动方式、运动量、运动位置分布等数据，并进行大数据分析</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信息注册系统</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线下用户信息注册系统</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95"/>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实时动</w:t>
            </w:r>
            <w:r>
              <w:rPr>
                <w:rFonts w:hint="eastAsia" w:ascii="宋体" w:hAnsi="宋体" w:cs="宋体"/>
                <w:i w:val="0"/>
                <w:iCs w:val="0"/>
                <w:color w:val="000000"/>
                <w:sz w:val="20"/>
                <w:szCs w:val="20"/>
                <w:highlight w:val="none"/>
                <w:u w:val="none"/>
                <w:lang w:val="en-US" w:eastAsia="zh-CN" w:bidi="ar"/>
              </w:rPr>
              <w:t xml:space="preserve">态</w:t>
            </w:r>
            <w:r>
              <w:rPr>
                <w:rFonts w:hint="eastAsia" w:ascii="宋体" w:hAnsi="宋体" w:eastAsia="宋体" w:cs="宋体"/>
                <w:i w:val="0"/>
                <w:iCs w:val="0"/>
                <w:color w:val="000000"/>
                <w:sz w:val="20"/>
                <w:szCs w:val="20"/>
                <w:highlight w:val="none"/>
                <w:u w:val="none"/>
                <w:lang w:val="en-US" w:eastAsia="zh-CN" w:bidi="ar"/>
              </w:rPr>
              <w:t xml:space="preserve">数据展示功能</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具备用户实</w:t>
            </w:r>
            <w:r>
              <w:rPr>
                <w:rFonts w:hint="eastAsia" w:ascii="宋体" w:hAnsi="宋体" w:cs="宋体"/>
                <w:i w:val="0"/>
                <w:iCs w:val="0"/>
                <w:color w:val="000000"/>
                <w:sz w:val="20"/>
                <w:szCs w:val="20"/>
                <w:highlight w:val="none"/>
                <w:u w:val="none"/>
                <w:lang w:val="en-US" w:eastAsia="zh-CN" w:bidi="ar"/>
              </w:rPr>
              <w:t xml:space="preserve">时运</w:t>
            </w:r>
            <w:r>
              <w:rPr>
                <w:rFonts w:hint="eastAsia" w:ascii="宋体" w:hAnsi="宋体" w:eastAsia="宋体" w:cs="宋体"/>
                <w:i w:val="0"/>
                <w:iCs w:val="0"/>
                <w:color w:val="000000"/>
                <w:sz w:val="20"/>
                <w:szCs w:val="20"/>
                <w:highlight w:val="none"/>
                <w:u w:val="none"/>
                <w:lang w:val="en-US" w:eastAsia="zh-CN" w:bidi="ar"/>
              </w:rPr>
              <w:t xml:space="preserve">动数据展示功能（跑步距离、运动时长、能量消耗等）</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6"/>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人脸识别注册功能</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具备用户通过手机端小程序人脸识别注册功能（人脸注册、性别、年龄、身高、体重等）</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55"/>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项目定制平台</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链接定制大数据共享、隔空社交实现</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80"/>
        </w:trPr>
        <w:tc>
          <w:tcPr>
            <w:tcW w:w="34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w:t>
            </w:r>
            <w:r/>
          </w:p>
        </w:tc>
        <w:tc>
          <w:tcPr>
            <w:tcW w:w="5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AI数据采集器</w:t>
            </w:r>
            <w:r/>
          </w:p>
        </w:tc>
        <w:tc>
          <w:tcPr>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箱体结构</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钣金外壳采用1.5mmSGCC镀锌钢板，内层喷涂</w:t>
            </w:r>
            <w:r>
              <w:rPr>
                <w:rFonts w:hint="eastAsia" w:ascii="宋体" w:hAnsi="宋体" w:cs="宋体"/>
                <w:i w:val="0"/>
                <w:iCs w:val="0"/>
                <w:color w:val="000000"/>
                <w:sz w:val="20"/>
                <w:szCs w:val="20"/>
                <w:highlight w:val="none"/>
                <w:u w:val="none"/>
                <w:lang w:val="en-US" w:eastAsia="zh-CN" w:bidi="ar"/>
              </w:rPr>
              <w:t xml:space="preserve">富锌底漆</w:t>
            </w:r>
            <w:r>
              <w:rPr>
                <w:rFonts w:hint="eastAsia" w:ascii="宋体" w:hAnsi="宋体" w:eastAsia="宋体" w:cs="宋体"/>
                <w:i w:val="0"/>
                <w:iCs w:val="0"/>
                <w:color w:val="000000"/>
                <w:sz w:val="20"/>
                <w:szCs w:val="20"/>
                <w:highlight w:val="none"/>
                <w:u w:val="none"/>
                <w:lang w:val="en-US" w:eastAsia="zh-CN" w:bidi="ar"/>
              </w:rPr>
              <w:t xml:space="preserve">，表层喷涂杜邦户外塑粉保护，使用年限确保7年以上，防护等级IP66</w:t>
            </w:r>
            <w:r/>
          </w:p>
        </w:tc>
        <w:tc>
          <w:tcPr>
            <w:tcW w:w="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847"/>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防盗设计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箱体采用户外专用三点防盗机械锁，防盗防破坏，门上锁后无晃动现象，锁具安装牢固，防盗防偷，钥匙孔采用隐藏设计，同时箱体外观无可见可拆卸螺丝。</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13"/>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防水设计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箱体与机箱门边相接触的四周设计有防水槽，并采用跟汽车同等级防水密封胶条进行防水。雨水进入防水槽后靠自身的重力从箱体两侧落下。</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18"/>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散热设计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箱体采用密封结构，可采用风冷散热，空调散热两种，箱体内有温控探头能随时显示箱体内温度、通过热仿真技术及自主研发软件，使箱体内</w:t>
            </w:r>
            <w:r>
              <w:rPr>
                <w:rFonts w:hint="eastAsia" w:ascii="宋体" w:hAnsi="宋体" w:cs="宋体"/>
                <w:i w:val="0"/>
                <w:iCs w:val="0"/>
                <w:color w:val="000000"/>
                <w:sz w:val="20"/>
                <w:szCs w:val="20"/>
                <w:highlight w:val="none"/>
                <w:u w:val="none"/>
                <w:lang w:val="en-US" w:eastAsia="zh-CN" w:bidi="ar"/>
              </w:rPr>
              <w:t xml:space="preserve">温</w:t>
            </w:r>
            <w:r>
              <w:rPr>
                <w:rFonts w:hint="eastAsia" w:ascii="宋体" w:hAnsi="宋体" w:eastAsia="宋体" w:cs="宋体"/>
                <w:i w:val="0"/>
                <w:iCs w:val="0"/>
                <w:color w:val="000000"/>
                <w:sz w:val="20"/>
                <w:szCs w:val="20"/>
                <w:highlight w:val="none"/>
                <w:u w:val="none"/>
                <w:lang w:val="en-US" w:eastAsia="zh-CN" w:bidi="ar"/>
              </w:rPr>
              <w:t xml:space="preserve">度保持在-20℃～+65℃工作环境温度以内</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51"/>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防尘设计</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防尘采用汽车同等级滤芯防尘网，起到过滤灰尘并且通风散热功能。</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9"/>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防爆玻璃</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6mm超白钢化玻璃：透光率达到97%左右，抗弯，抗撞击，使用安全，</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51"/>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专业防护</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具有室外高性能防护等级，整机防护等级达到IP66；</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89"/>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液晶屏体</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面板参数</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面板类型：21.5寸工业级户外高亮液晶屏；显示尺寸：≥465*267mm 显示比例16:9；背光类型 LED；分 辨 率 1920*1080；亮度≥2000cd/m2；对比度1000:1；可视角度 178°(H) / 178°(V)；使用寿命≥ 60000 小时；支持显示屏亮度自动调节功能，节能省电低功耗，减少光污染</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69"/>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电控系统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漏电保护开关</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产品设计有漏电、短路保护装置，全部达到户外级别整体内部所有结构件全部导通对地漏电流不超过30mA正弦交流有效值。</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防雷器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箱体及电源部分设计三级防雷装置，并配置电源防雷浪涌保护模块。</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99"/>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工业电源</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工业级电源，供电稳定可靠；电源支持过负载、过电压、过温度保护功能，具有指示灯故障报警显示。电源支持宽温工作环境，满足-20℃~+70℃工作范围。</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42"/>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4G远程控制器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4G远程控制器，远程网络控制开关机，分时段定时控制机器启停；</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2"/>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防水喇叭</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内置2个户外防水低噪高音喇叭，立体音效</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46"/>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集中控制系统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集中控制管理器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采用工业级嵌入式系统</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可靠性更强，并可以分路控制各个模块，实时回传运行状态数据；工业级控制主板，2G运存 8G存储，可扩展外置存储，可升级配置，采用</w:t>
            </w:r>
            <w:r>
              <w:rPr>
                <w:rFonts w:hint="eastAsia" w:ascii="宋体" w:hAnsi="宋体" w:cs="宋体"/>
                <w:i w:val="0"/>
                <w:iCs w:val="0"/>
                <w:color w:val="000000"/>
                <w:sz w:val="20"/>
                <w:szCs w:val="20"/>
                <w:highlight w:val="none"/>
                <w:u w:val="none"/>
                <w:lang w:val="en-US" w:eastAsia="zh-CN" w:bidi="ar"/>
              </w:rPr>
              <w:t xml:space="preserve">国产</w:t>
            </w:r>
            <w:r>
              <w:rPr>
                <w:rFonts w:hint="eastAsia" w:ascii="宋体" w:hAnsi="宋体" w:eastAsia="宋体" w:cs="宋体"/>
                <w:i w:val="0"/>
                <w:iCs w:val="0"/>
                <w:color w:val="000000"/>
                <w:sz w:val="20"/>
                <w:szCs w:val="20"/>
                <w:highlight w:val="none"/>
                <w:u w:val="none"/>
                <w:lang w:val="en-US" w:eastAsia="zh-CN" w:bidi="ar"/>
              </w:rPr>
              <w:t xml:space="preserve">嵌入式平台，适合户外使用，更加稳定可靠</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02"/>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散热系统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风冷散热</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风扇一体化控温，满足-30-+50度的户外环境下显示屏不黑化，整机正常工作；采用进口风机，配套风扇调速板，自动感温，自动调节风扇转速，节能省电，延长风扇使用寿命；高效多层过滤系统，隔离有害灰尘进入机器内部，整机防护等级达到IP66</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74"/>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AI识别系统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人脸识别摄像头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内置200W像素人脸识别摄像头模块，支持夜间识别，专利智能背光补偿技术，夜间条件下高精度识别；200万像素 CMOS 彩色图像和强化视觉效果的图像处理 DSP 芯片，以 USB 视 频信号输出；GH-A5PK-B2 具有宽动态、灰度、锐度、γ校 正，自动曝光、自适应背光补偿、ETPZ 等功能</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97"/>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AI人脸识别处理器</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4G网络模块，使用边缘计算，采用前端运算处理技术，无需向服务端传送或保存图像、视频等可能侵犯他人隐私的信息，仅生成小字节特征码，以极低的通讯量实现用户身份和运动数据实时传输。支持同时多人人脸识别认证</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59"/>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AI人脸识别抓拍系统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AI人脸识别摄像机（枪机2个）</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采用深度学习硬件及算法，支持对人脸抓拍功能；支持ROI感兴趣区域增强编码，支持Smar</w:t>
            </w:r>
            <w:r>
              <w:rPr>
                <w:rFonts w:hint="eastAsia" w:ascii="宋体" w:hAnsi="宋体" w:eastAsia="宋体" w:cs="宋体"/>
                <w:i w:val="0"/>
                <w:iCs w:val="0"/>
                <w:color w:val="000000"/>
                <w:sz w:val="20"/>
                <w:szCs w:val="20"/>
                <w:highlight w:val="none"/>
                <w:u w:val="none"/>
                <w:lang w:val="en-US" w:eastAsia="zh-CN" w:bidi="ar"/>
              </w:rPr>
              <w:t xml:space="preserve">t265/264编码，400万像素，可根据场景情况自适应调整码率分配，有效节省存储成本；最高分辨率可达2560 × 1440@25 fps，在该分辨率下可输出实时图像；支持电动变焦；支持白光/红外双补光，红外光最远可达50 m；白光：2.7~12 mm，最远可达30 m，7~35 mm，最远可达40 m；支持最大256 GB Micro SD/Micro SDHC/Micro SDXC卡本地存储；支持背光补偿，强光抑制，3D数字降噪，120 dB宽动态，适应不同监控环境；符合IP67防尘防水设计，可靠性高。</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01"/>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应用系统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基于AI的数字跑道应用系统</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以快速捕捉用户的运动状态和数据，如跑步速度、距离、心率、消耗的卡路里等，再将采集到的信息迅速上传至云端，人工智能对这些信息数据进行解析后，向用户提供运动成果的反馈（反馈的信息可永久性储存在平台端和现场设置的数字终端互动大屏）。</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21"/>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通讯系统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网络通讯</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内置工业级物联网无线通信路由器，支持4G全网通通讯，支持有线和WIFI数据传输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内置工业级网络交换机</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44"/>
        </w:trPr>
        <w:tc>
          <w:tcPr>
            <w:tcW w:w="34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工作环境</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工作环境</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工作温度 -30°C～50°C</w:t>
            </w:r>
            <w:r/>
          </w:p>
        </w:tc>
        <w:tc>
          <w:tcPr>
            <w:tcW w:w="37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8"/>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标识标牌</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定制指引标牌</w:t>
            </w:r>
            <w:r/>
          </w:p>
        </w:tc>
        <w:tc>
          <w:tcPr>
            <w:tcW w:w="120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在起终点、采集点等位置设置，要求对跑道路线做出明确清晰引导。（结合地方特色进行定制设计）</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667"/>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前台后端服务器</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云储存</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1U机架式服务器主机、至强4核3.4GHz、32G内存、2*2T SATA企业</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年</w:t>
            </w:r>
            <w:r/>
          </w:p>
        </w:tc>
      </w:tr>
      <w:tr>
        <w:trPr>
          <w:trHeight w:val="1902"/>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服务器端软件定制开发</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项目定制系统</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数字跑道系统集成及数据运维，定制开发系统。</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667"/>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自动摄影机</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AI捕捉器</w:t>
            </w:r>
            <w:r/>
          </w:p>
        </w:tc>
        <w:tc>
          <w:tcPr>
            <w:tcW w:w="120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自动拍摄，集成至赛事软件系统界面，后端大数据分析反馈至软件端进行传输</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669"/>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整体维保</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硬件软件</w:t>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硬件软件维护</w:t>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质保</w:t>
            </w:r>
            <w:r>
              <w:rPr>
                <w:rFonts w:hint="eastAsia" w:ascii="宋体" w:hAnsi="宋体" w:eastAsia="宋体" w:cs="宋体"/>
                <w:i w:val="0"/>
                <w:iCs w:val="0"/>
                <w:color w:val="000000"/>
                <w:sz w:val="20"/>
                <w:szCs w:val="20"/>
                <w:highlight w:val="none"/>
                <w:u w:val="none"/>
                <w:lang w:val="en-US" w:eastAsia="zh-CN" w:bidi="ar"/>
              </w:rPr>
              <w:t xml:space="preserve">期间免费响应</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860"/>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视频生成系统</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视频分析系统</w:t>
            </w:r>
            <w:r/>
          </w:p>
        </w:tc>
        <w:tc>
          <w:tcPr>
            <w:tcW w:w="120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AI采集器上的摄像头可以快速捕捉用户的运动状态和数据，如跑步速度、距离、心率、消耗的卡路里等，再将采集到的信息迅速上传至云端，人工智能对这些信息数据进行解析后，向用户提供运动成果的反馈。</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506"/>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软件平台整体运维</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整体软件系统</w:t>
            </w:r>
            <w:r/>
          </w:p>
        </w:tc>
        <w:tc>
          <w:tcPr>
            <w:tcW w:w="120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确保软件系统匹配硬件，满足所有团体活动正常运转</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年</w:t>
            </w:r>
            <w:r/>
          </w:p>
        </w:tc>
      </w:tr>
      <w:tr>
        <w:trPr>
          <w:trHeight w:val="957"/>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项目功能满足</w:t>
            </w:r>
            <w:r/>
          </w:p>
        </w:tc>
        <w:tc>
          <w:tcPr>
            <w:tcW w:w="8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跑步、徒步、骑行功能均实现</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664"/>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十一</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主控台</w:t>
            </w:r>
            <w:r/>
          </w:p>
        </w:tc>
        <w:tc>
          <w:tcPr>
            <w:tcW w:w="8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主控电脑（服务器型）*1；光电路由；中继器（内置式）*1；含数据本地存储与运算终端服务器一台，网络服务器根据需求配置。</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1028"/>
        </w:trPr>
        <w:tc>
          <w:tcPr>
            <w:tcW w:w="3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十二</w:t>
            </w:r>
            <w:r/>
          </w:p>
        </w:tc>
        <w:tc>
          <w:tcPr>
            <w:tcW w:w="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平台功能</w:t>
            </w:r>
            <w:r/>
          </w:p>
        </w:tc>
        <w:tc>
          <w:tcPr>
            <w:tcW w:w="8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0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用户在赛场上的成绩、排行榜、风采照片、视频和生成健康数据报告，可实现永久性储存、随时查看（用户也可自行选择删除、保存、转发朋友圈）。三年功能迭代更新。</w:t>
            </w:r>
            <w:r/>
          </w:p>
        </w:tc>
        <w:tc>
          <w:tcPr>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bl>
    <w:p>
      <w:pPr>
        <w:jc w:val="left"/>
        <w:spacing w:line="276"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p>
    <w:p>
      <w:pPr>
        <w:ind w:firstLine="482"/>
        <w:jc w:val="left"/>
        <w:spacing w:line="276"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）中标供应商须确保所投产品规格完全满足现场实际要求，保证采购人正常使用；如不符合要求，由中标供应商整改到位，所产生的费用由中标供应商自行承担。</w:t>
      </w:r>
      <w:r/>
    </w:p>
    <w:p>
      <w:pPr>
        <w:ind w:firstLine="482"/>
        <w:jc w:val="left"/>
        <w:spacing w:line="276"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t xml:space="preserve">）中标供应商须确保本项目能通过采购人及相关职能部门的验收。若验收不通过，采购人书面通知中标供应商限期进行整改，整改所需费用全部由中标供应商承担；若中标供应商未按时完成整改或整改后再次验收不通过的，则采购人有权解除合同，并有权委托第三方进行整改，整改所需费用全部由中标供应商承担。给采购人造成损失的，中标供应商需予以赔偿。</w:t>
      </w:r>
      <w:r/>
    </w:p>
    <w:p>
      <w:pPr>
        <w:ind w:firstLine="482"/>
        <w:spacing w:line="276"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t xml:space="preserve">）本项目中所有产品均须符合国家环保标准。</w:t>
      </w:r>
      <w:r>
        <w:rPr>
          <w:rFonts w:hint="eastAsia" w:ascii="宋体" w:hAnsi="宋体" w:cs="宋体"/>
          <w:b/>
          <w:bCs/>
          <w:color w:val="000000"/>
          <w:sz w:val="24"/>
          <w:szCs w:val="24"/>
          <w:highlight w:val="none"/>
          <w:lang w:eastAsia="zh-CN"/>
        </w:rPr>
        <w:t xml:space="preserve">投标单位</w:t>
      </w:r>
      <w:r>
        <w:rPr>
          <w:rFonts w:hint="eastAsia" w:ascii="宋体" w:hAnsi="宋体" w:eastAsia="宋体" w:cs="宋体"/>
          <w:b/>
          <w:bCs/>
          <w:color w:val="000000"/>
          <w:sz w:val="24"/>
          <w:szCs w:val="24"/>
          <w:highlight w:val="none"/>
        </w:rPr>
        <w:t xml:space="preserve">所投货物技术参数应达到技术参数要求</w:t>
      </w:r>
      <w:r>
        <w:rPr>
          <w:rFonts w:hint="eastAsia" w:ascii="宋体" w:hAnsi="宋体" w:cs="宋体"/>
          <w:b/>
          <w:bCs/>
          <w:color w:val="000000"/>
          <w:sz w:val="24"/>
          <w:szCs w:val="24"/>
          <w:highlight w:val="none"/>
          <w:lang w:eastAsia="zh-CN"/>
        </w:rPr>
        <w:t xml:space="preserve">。</w:t>
      </w:r>
      <w:r/>
    </w:p>
    <w:p>
      <w:pPr>
        <w:pStyle w:val="912"/>
        <w:ind w:left="0" w:firstLine="0"/>
        <w:rPr>
          <w:b/>
          <w:bCs/>
          <w:sz w:val="24"/>
          <w:szCs w:val="24"/>
          <w:highlight w:val="none"/>
          <w:lang w:val="en-US" w:eastAsia="zh-CN"/>
        </w:rPr>
      </w:pPr>
      <w:r>
        <w:rPr>
          <w:rFonts w:hint="eastAsia"/>
          <w:b/>
          <w:bCs/>
          <w:sz w:val="24"/>
          <w:szCs w:val="24"/>
          <w:highlight w:val="none"/>
          <w:lang w:val="en-US" w:eastAsia="zh-CN"/>
        </w:rPr>
        <w:t xml:space="preserve">三、服务要求</w:t>
      </w:r>
      <w:r/>
    </w:p>
    <w:p>
      <w:pPr>
        <w:spacing w:line="360" w:lineRule="auto"/>
        <w:rPr>
          <w:sz w:val="24"/>
          <w:szCs w:val="24"/>
          <w:highlight w:val="none"/>
          <w:lang w:val="en-US"/>
        </w:rPr>
      </w:pPr>
      <w:r>
        <w:rPr>
          <w:rFonts w:hint="eastAsia"/>
          <w:sz w:val="24"/>
          <w:szCs w:val="24"/>
          <w:highlight w:val="none"/>
          <w:lang w:val="en-US" w:eastAsia="zh-CN"/>
        </w:rPr>
        <w:t xml:space="preserve">1.</w:t>
      </w:r>
      <w:r>
        <w:rPr>
          <w:sz w:val="24"/>
          <w:szCs w:val="24"/>
          <w:highlight w:val="none"/>
          <w:lang w:val="en-US"/>
        </w:rPr>
        <w:t xml:space="preserve">围绕徐巷智慧体育公园周边居住人群，满足人群需求和今后可持续性服务，需求包括AI运动设施、智能追光跑道、数字步道、智慧体测一体机、管理软件系统和技术支持、运营维护等集创新化、智能化、人本化产品服务和运维配置，助力无锡创建全国全民运动健身模范市。</w:t>
      </w:r>
      <w:r/>
    </w:p>
    <w:p>
      <w:pPr>
        <w:spacing w:line="360" w:lineRule="auto"/>
        <w:rPr>
          <w:sz w:val="24"/>
          <w:szCs w:val="24"/>
          <w:highlight w:val="none"/>
          <w:lang w:val="en-US"/>
        </w:rPr>
      </w:pPr>
      <w:r>
        <w:rPr>
          <w:rFonts w:hint="eastAsia"/>
          <w:sz w:val="24"/>
          <w:szCs w:val="24"/>
          <w:highlight w:val="none"/>
          <w:lang w:val="en-US" w:eastAsia="zh-CN"/>
        </w:rPr>
        <w:t xml:space="preserve">1</w:t>
      </w:r>
      <w:r>
        <w:rPr>
          <w:sz w:val="24"/>
          <w:szCs w:val="24"/>
          <w:highlight w:val="none"/>
          <w:lang w:val="en-US"/>
        </w:rPr>
        <w:t xml:space="preserve">.1健康公益活动组织：定期组织线下或线上健康公益活动，免费向市民推荐参与。</w:t>
      </w:r>
      <w:r/>
    </w:p>
    <w:p>
      <w:pPr>
        <w:spacing w:line="360" w:lineRule="auto"/>
        <w:rPr>
          <w:sz w:val="24"/>
          <w:szCs w:val="24"/>
          <w:highlight w:val="none"/>
          <w:lang w:val="en-US"/>
        </w:rPr>
      </w:pPr>
      <w:r>
        <w:rPr>
          <w:rFonts w:hint="eastAsia"/>
          <w:sz w:val="24"/>
          <w:szCs w:val="24"/>
          <w:highlight w:val="none"/>
          <w:lang w:val="en-US" w:eastAsia="zh-CN"/>
        </w:rPr>
        <w:t xml:space="preserve">1</w:t>
      </w:r>
      <w:r>
        <w:rPr>
          <w:sz w:val="24"/>
          <w:szCs w:val="24"/>
          <w:highlight w:val="none"/>
          <w:lang w:val="en-US"/>
        </w:rPr>
        <w:t xml:space="preserve">.2场地规划与投入：对公园进行所需设备投入，包括但不限于智能设备、管理系统、氛围布置等；落实公园的氛围布置，包括软件系统投入、智能监控等。</w:t>
      </w:r>
      <w:r/>
    </w:p>
    <w:p>
      <w:pPr>
        <w:spacing w:line="360" w:lineRule="auto"/>
        <w:rPr>
          <w:sz w:val="24"/>
          <w:szCs w:val="24"/>
          <w:highlight w:val="none"/>
          <w:lang w:val="en-US"/>
        </w:rPr>
      </w:pPr>
      <w:r>
        <w:rPr>
          <w:rFonts w:hint="eastAsia"/>
          <w:sz w:val="24"/>
          <w:szCs w:val="24"/>
          <w:highlight w:val="none"/>
          <w:lang w:val="en-US" w:eastAsia="zh-CN"/>
        </w:rPr>
        <w:t xml:space="preserve">1</w:t>
      </w:r>
      <w:r>
        <w:rPr>
          <w:sz w:val="24"/>
          <w:szCs w:val="24"/>
          <w:highlight w:val="none"/>
          <w:lang w:val="en-US"/>
        </w:rPr>
        <w:t xml:space="preserve">.3设备维护与修缮：针对投入设备的维护和修缮进行日常运维，确保设备完好率95%以上；若出现故障，3小时内响应维修，72小时内修复或更换零部件。</w:t>
      </w:r>
      <w:r/>
    </w:p>
    <w:p>
      <w:pPr>
        <w:spacing w:line="360" w:lineRule="auto"/>
        <w:rPr>
          <w:sz w:val="24"/>
          <w:szCs w:val="24"/>
          <w:highlight w:val="none"/>
          <w:lang w:val="en-US"/>
        </w:rPr>
      </w:pPr>
      <w:r>
        <w:rPr>
          <w:rFonts w:hint="eastAsia"/>
          <w:sz w:val="24"/>
          <w:szCs w:val="24"/>
          <w:highlight w:val="none"/>
          <w:lang w:val="en-US" w:eastAsia="zh-CN"/>
        </w:rPr>
        <w:t xml:space="preserve">3</w:t>
      </w:r>
      <w:r>
        <w:rPr>
          <w:sz w:val="24"/>
          <w:szCs w:val="24"/>
          <w:highlight w:val="none"/>
          <w:lang w:val="en-US"/>
        </w:rPr>
        <w:t xml:space="preserve">.4合理规划与服务设置：做好设施设备的正常使用，遵从行业规范合理规划服务，避免投诉事件，否则将面临处罚，情节严重者将被吊销经营许可。</w:t>
      </w:r>
      <w:r/>
    </w:p>
    <w:p>
      <w:pPr>
        <w:spacing w:line="360" w:lineRule="auto"/>
        <w:rPr>
          <w:sz w:val="24"/>
          <w:szCs w:val="24"/>
          <w:highlight w:val="none"/>
          <w:lang w:val="en-US"/>
        </w:rPr>
      </w:pPr>
      <w:r>
        <w:rPr>
          <w:rFonts w:hint="eastAsia"/>
          <w:sz w:val="24"/>
          <w:szCs w:val="24"/>
          <w:highlight w:val="none"/>
          <w:lang w:val="en-US" w:eastAsia="zh-CN"/>
        </w:rPr>
        <w:t xml:space="preserve">1</w:t>
      </w:r>
      <w:r>
        <w:rPr>
          <w:sz w:val="24"/>
          <w:szCs w:val="24"/>
          <w:highlight w:val="none"/>
          <w:lang w:val="en-US"/>
        </w:rPr>
        <w:t xml:space="preserve">.5管理软件（前端）：确保项目管理软件前端（小程序/APP）在合同签订后2个月内落实，如未落实将视为违约；软件由采购单位（或其指定第三方）监管实施。</w:t>
      </w:r>
      <w:r/>
    </w:p>
    <w:p>
      <w:pPr>
        <w:spacing w:line="360" w:lineRule="auto"/>
        <w:rPr>
          <w:sz w:val="24"/>
          <w:szCs w:val="24"/>
          <w:highlight w:val="none"/>
          <w:lang w:val="en-US"/>
        </w:rPr>
      </w:pPr>
      <w:r>
        <w:rPr>
          <w:rFonts w:hint="eastAsia"/>
          <w:sz w:val="24"/>
          <w:szCs w:val="24"/>
          <w:highlight w:val="none"/>
          <w:lang w:val="en-US" w:eastAsia="zh-CN"/>
        </w:rPr>
        <w:t xml:space="preserve">1</w:t>
      </w:r>
      <w:r>
        <w:rPr>
          <w:sz w:val="24"/>
          <w:szCs w:val="24"/>
          <w:highlight w:val="none"/>
          <w:lang w:val="en-US"/>
        </w:rPr>
        <w:t xml:space="preserve">.6宣传活动：根据实际要求参与或执行与无锡城市宣传相关的体育论坛、体育会议等活动，做好相关宣传策划执行。</w:t>
      </w:r>
      <w:r/>
    </w:p>
    <w:p>
      <w:pPr>
        <w:spacing w:line="360" w:lineRule="auto"/>
        <w:rPr>
          <w:rFonts w:hint="eastAsia"/>
          <w:sz w:val="24"/>
          <w:szCs w:val="24"/>
          <w:highlight w:val="none"/>
          <w:lang w:val="en-US"/>
        </w:rPr>
      </w:pPr>
      <w:r>
        <w:rPr>
          <w:rFonts w:hint="eastAsia"/>
          <w:sz w:val="24"/>
          <w:szCs w:val="24"/>
          <w:highlight w:val="none"/>
          <w:lang w:val="en-US" w:eastAsia="zh-CN"/>
        </w:rPr>
        <w:t xml:space="preserve">1</w:t>
      </w:r>
      <w:r>
        <w:rPr>
          <w:sz w:val="24"/>
          <w:szCs w:val="24"/>
          <w:highlight w:val="none"/>
          <w:lang w:val="en-US"/>
        </w:rPr>
        <w:t xml:space="preserve">.7做好开放时的宣传工作，开放时邀请不少于三家媒体采访报道本项目，户外宣传等一并落实到位。如宣传工作未达到需求承诺标准，将视为违约，按质量违约处理。</w:t>
      </w:r>
      <w:r/>
    </w:p>
    <w:p>
      <w:pPr>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2</w:t>
      </w:r>
      <w:r>
        <w:rPr>
          <w:rFonts w:hint="eastAsia"/>
          <w:b/>
          <w:bCs/>
          <w:sz w:val="24"/>
          <w:szCs w:val="24"/>
          <w:highlight w:val="none"/>
          <w:lang w:val="en-US"/>
        </w:rPr>
        <w:t xml:space="preserve">.宣传标准</w:t>
      </w:r>
      <w:r>
        <w:rPr>
          <w:rFonts w:hint="eastAsia"/>
          <w:b/>
          <w:bCs/>
          <w:sz w:val="24"/>
          <w:szCs w:val="24"/>
          <w:highlight w:val="none"/>
          <w:lang w:val="en-US" w:eastAsia="zh-CN"/>
        </w:rPr>
        <w:t xml:space="preserve">：</w:t>
      </w:r>
      <w:r/>
    </w:p>
    <w:p>
      <w:pPr>
        <w:spacing w:line="360" w:lineRule="auto"/>
        <w:rPr>
          <w:rFonts w:eastAsia="宋体"/>
          <w:sz w:val="24"/>
          <w:szCs w:val="24"/>
          <w:highlight w:val="none"/>
          <w:lang w:val="en-US" w:eastAsia="zh-CN"/>
        </w:rPr>
      </w:pPr>
      <w:r>
        <w:rPr>
          <w:rFonts w:ascii="宋体" w:hAnsi="宋体" w:cs="Times New Roman"/>
          <w:color w:val="000000"/>
          <w:sz w:val="24"/>
          <w:szCs w:val="24"/>
          <w:highlight w:val="none"/>
          <w:lang w:val="en-US" w:eastAsia="zh-CN"/>
        </w:rPr>
        <w:t xml:space="preserve">根据</w:t>
      </w:r>
      <w:r>
        <w:rPr>
          <w:rFonts w:hint="eastAsia" w:ascii="宋体" w:hAnsi="宋体" w:cs="Times New Roman"/>
          <w:color w:val="000000"/>
          <w:sz w:val="24"/>
          <w:szCs w:val="24"/>
          <w:highlight w:val="none"/>
          <w:lang w:val="en-US" w:eastAsia="zh-CN"/>
        </w:rPr>
        <w:t xml:space="preserve">实际</w:t>
      </w:r>
      <w:r>
        <w:rPr>
          <w:rFonts w:ascii="宋体" w:hAnsi="宋体" w:cs="Times New Roman"/>
          <w:color w:val="000000"/>
          <w:sz w:val="24"/>
          <w:szCs w:val="24"/>
          <w:highlight w:val="none"/>
          <w:lang w:val="en-US" w:eastAsia="zh-CN"/>
        </w:rPr>
        <w:t xml:space="preserve">要求参与或执行与</w:t>
      </w:r>
      <w:r>
        <w:rPr>
          <w:rFonts w:hint="eastAsia" w:ascii="宋体" w:hAnsi="宋体" w:cs="Times New Roman"/>
          <w:color w:val="000000"/>
          <w:sz w:val="24"/>
          <w:szCs w:val="24"/>
          <w:highlight w:val="none"/>
          <w:lang w:val="en-US" w:eastAsia="zh-CN"/>
        </w:rPr>
        <w:t xml:space="preserve">无锡</w:t>
      </w:r>
      <w:r>
        <w:rPr>
          <w:rFonts w:ascii="宋体" w:hAnsi="宋体" w:cs="Times New Roman"/>
          <w:color w:val="000000"/>
          <w:sz w:val="24"/>
          <w:szCs w:val="24"/>
          <w:highlight w:val="none"/>
          <w:lang w:val="en-US" w:eastAsia="zh-CN"/>
        </w:rPr>
        <w:t xml:space="preserve">城市宣传相关的体育论坛、体育会议等活动</w:t>
      </w:r>
      <w:r>
        <w:rPr>
          <w:rFonts w:hint="eastAsia" w:ascii="宋体" w:hAnsi="宋体" w:cs="Times New Roman"/>
          <w:color w:val="000000"/>
          <w:sz w:val="24"/>
          <w:szCs w:val="24"/>
          <w:highlight w:val="none"/>
          <w:lang w:val="en-US" w:eastAsia="zh-CN"/>
        </w:rPr>
        <w:t xml:space="preserve">，</w:t>
      </w:r>
      <w:r>
        <w:rPr>
          <w:rFonts w:ascii="宋体" w:hAnsi="宋体" w:cs="Times New Roman"/>
          <w:color w:val="000000"/>
          <w:sz w:val="24"/>
          <w:szCs w:val="24"/>
          <w:highlight w:val="none"/>
          <w:lang w:val="en-US" w:eastAsia="zh-CN"/>
        </w:rPr>
        <w:t xml:space="preserve">做好相关宣传策划执行</w:t>
      </w:r>
      <w:r>
        <w:rPr>
          <w:rFonts w:hint="eastAsia" w:ascii="宋体" w:hAnsi="宋体" w:cs="Times New Roman"/>
          <w:color w:val="000000"/>
          <w:sz w:val="24"/>
          <w:szCs w:val="24"/>
          <w:highlight w:val="none"/>
          <w:lang w:val="en-US" w:eastAsia="zh-CN"/>
        </w:rPr>
        <w:t xml:space="preserve">。</w:t>
      </w:r>
      <w:r/>
    </w:p>
    <w:p>
      <w:pPr>
        <w:jc w:val="left"/>
        <w:spacing w:line="360" w:lineRule="auto"/>
        <w:widowControl/>
        <w:rPr>
          <w:rFonts w:hint="eastAsia"/>
          <w:b/>
          <w:bCs/>
          <w:sz w:val="24"/>
          <w:szCs w:val="24"/>
          <w:highlight w:val="none"/>
          <w:lang w:val="en-US" w:eastAsia="zh-CN"/>
        </w:rPr>
      </w:pPr>
      <w:r>
        <w:rPr>
          <w:rFonts w:hint="eastAsia"/>
          <w:b/>
          <w:bCs/>
          <w:sz w:val="24"/>
          <w:szCs w:val="24"/>
          <w:highlight w:val="none"/>
          <w:lang w:val="en-US" w:eastAsia="zh-CN"/>
        </w:rPr>
        <w:t xml:space="preserve">3</w:t>
      </w:r>
      <w:r>
        <w:rPr>
          <w:rFonts w:hint="eastAsia"/>
          <w:b/>
          <w:bCs/>
          <w:sz w:val="24"/>
          <w:szCs w:val="24"/>
          <w:highlight w:val="none"/>
          <w:lang w:val="en-US"/>
        </w:rPr>
        <w:t xml:space="preserve">.安装标准</w:t>
      </w:r>
      <w:r>
        <w:rPr>
          <w:rFonts w:hint="eastAsia"/>
          <w:b/>
          <w:bCs/>
          <w:sz w:val="24"/>
          <w:szCs w:val="24"/>
          <w:highlight w:val="none"/>
          <w:lang w:val="en-US" w:eastAsia="zh-CN"/>
        </w:rPr>
        <w:t xml:space="preserve">：</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1、乙方应遵守现场的规章制度，按照甲方要求文明施工、安全施工。乙方施工人员的人身安全和施工现场的财产安全均由乙方负责。乙方应确保合同期内不发生人身伤亡事故和火灾事故，并应参加建筑、安装工程保险，合同期内发生的质量、安全事故及责任和经济损失均由乙方自行负责。</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2、施工现场的协调工作由乙方负责，甲方予以配合。</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3、乙方负责运抵现场的标的物、安装设备</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工具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等的适当保护、保管、包装或覆盖等处理，直至验收合格，以免受损。</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4、在安装、调试期间或保修过程中，乙方应负责及时清理现场垃圾。</w:t>
      </w:r>
      <w:r/>
    </w:p>
    <w:p>
      <w:pPr>
        <w:jc w:val="left"/>
        <w:spacing w:line="360" w:lineRule="auto"/>
        <w:widowControl/>
        <w:rPr>
          <w:rFonts w:hint="eastAsia" w:eastAsia="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5、自货物运抵约定地点后完成安装调试。安装调试完毕后，乙方应提请甲方进行最终验收。</w:t>
      </w:r>
      <w:r/>
    </w:p>
    <w:p>
      <w:pPr>
        <w:spacing w:line="360" w:lineRule="auto"/>
        <w:rPr>
          <w:rFonts w:hint="eastAsia"/>
          <w:b/>
          <w:bCs/>
          <w:sz w:val="24"/>
          <w:szCs w:val="24"/>
          <w:highlight w:val="none"/>
          <w:lang w:val="en-US"/>
        </w:rPr>
      </w:pPr>
      <w:r>
        <w:rPr>
          <w:rFonts w:hint="eastAsia"/>
          <w:b/>
          <w:bCs/>
          <w:sz w:val="24"/>
          <w:szCs w:val="24"/>
          <w:highlight w:val="none"/>
          <w:lang w:val="en-US" w:eastAsia="zh-CN"/>
        </w:rPr>
        <w:t xml:space="preserve">4</w:t>
      </w:r>
      <w:r>
        <w:rPr>
          <w:rFonts w:hint="eastAsia"/>
          <w:b/>
          <w:bCs/>
          <w:sz w:val="24"/>
          <w:szCs w:val="24"/>
          <w:highlight w:val="none"/>
          <w:lang w:val="en-US"/>
        </w:rPr>
        <w:t xml:space="preserve">.售后服务</w:t>
      </w:r>
      <w:r/>
    </w:p>
    <w:p>
      <w:pPr>
        <w:ind w:firstLine="20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1、乙方为本次供货的货物及系统运维提供自验收合格之日起硬件</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年免费质保，软件</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w:t>
      </w:r>
      <w:r>
        <w:rPr>
          <w:rFonts w:hint="eastAsia" w:ascii="宋体" w:hAnsi="宋体" w:cs="宋体"/>
          <w:sz w:val="24"/>
          <w:szCs w:val="24"/>
          <w:highlight w:val="none"/>
        </w:rPr>
        <w:t xml:space="preserve">年免费升级维保服务的质保期，质保期从产品验收合格并移交甲方之日起计算。质保期内提供免费保修等三包服务，质保期内维修、更换零配件、维修人工费均免费。货物及系统在质量保证期内发生的任何故障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乙方均应负责免费修复，无法修复的产品或零部件应免费更换。如存在质量问题不能修复且在 7 天内不予更换或退货的，甲方有权自行委托他人维修，所有费用由乙方承担，同时乙方应向甲方支付该货物合同价5%的违约金。</w:t>
      </w:r>
      <w:r/>
    </w:p>
    <w:p>
      <w:pPr>
        <w:ind w:firstLine="20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2、质保期内乙方提供无偿上门服务，若出现故障30分钟内积极响应12小时内赶到现场，24 小时内恢复正常使用。举办活动期间，乙方无偿安排维修工程师驻场，若出现故障三十分钟内积极响应并按照甲方要求恢复或 解决，一切以满足活动顺利举办为准，所涉及费用含在合同总价中，乙方不再计取。</w:t>
      </w:r>
      <w:r/>
    </w:p>
    <w:p>
      <w:pPr>
        <w:ind w:firstLine="20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3、本项目采集的各类数据归甲方所有，乙方对本项目采集的各类数据及其他单位的数据负有保密义务。 在技术及制度上做好防止泄密工作。因泄密造成损失将追究相关单位和人员的责任。对因为泄密或者安全防范不到位给对方造成的损失将由过错方承担一切责任。 保密期限按照国家相关法律法规执行。</w:t>
      </w:r>
      <w:r/>
    </w:p>
    <w:p>
      <w:pPr>
        <w:ind w:firstLine="20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4、其他服务内容按招标文件要求及乙方投标文件执行。</w:t>
      </w:r>
      <w:r/>
    </w:p>
    <w:p>
      <w:pPr>
        <w:ind w:firstLine="20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eastAsia="宋体" w:cs="Times New Roman"/>
          <w:bCs/>
          <w:sz w:val="24"/>
          <w:szCs w:val="24"/>
        </w:rPr>
        <w:t xml:space="preserve">投</w:t>
      </w:r>
      <w:r>
        <w:rPr>
          <w:rFonts w:hint="eastAsia" w:ascii="宋体" w:hAnsi="宋体" w:cs="Times New Roman"/>
          <w:bCs/>
          <w:sz w:val="24"/>
          <w:szCs w:val="24"/>
          <w:lang w:eastAsia="zh-CN"/>
        </w:rPr>
        <w:t xml:space="preserve">标</w:t>
      </w:r>
      <w:r>
        <w:rPr>
          <w:rFonts w:hint="eastAsia" w:ascii="宋体" w:hAnsi="宋体" w:eastAsia="宋体" w:cs="Times New Roman"/>
          <w:bCs/>
          <w:sz w:val="24"/>
          <w:szCs w:val="24"/>
        </w:rPr>
        <w:t xml:space="preserve">报价包含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中标（成交）供应商以履约保函（保险）形式按签约合同价的2%提供履约担保。中标（成交）供应商可采用电子履约保函（保险）形式</w:t>
      </w:r>
      <w:r>
        <w:rPr>
          <w:rFonts w:hint="eastAsia" w:ascii="宋体"/>
          <w:bCs/>
          <w:sz w:val="24"/>
          <w:szCs w:val="24"/>
          <w:lang w:eastAsia="zh-CN"/>
        </w:rPr>
        <w:t xml:space="preserve">，</w:t>
      </w:r>
      <w:r>
        <w:rPr>
          <w:rFonts w:hint="eastAsia" w:ascii="宋体"/>
          <w:bCs/>
          <w:sz w:val="24"/>
          <w:szCs w:val="24"/>
        </w:rPr>
        <w:t xml:space="preserve">具体操作可登录江苏政府采购网的保险保函模块进行办理。</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lang w:eastAsia="zh-CN"/>
        </w:rPr>
        <w:t xml:space="preserve">无锡市梁溪区文化体育和旅游局（本级）</w:t>
      </w:r>
      <w:r>
        <w:rPr>
          <w:rFonts w:hint="eastAsia" w:ascii="宋体" w:hAnsi="宋体"/>
          <w:bCs/>
          <w:sz w:val="24"/>
          <w:szCs w:val="24"/>
        </w:rPr>
        <w:t xml:space="preserve"> ，具体地点以合同书约定为准。中标方必须按采购人要求将本项目中货物送到指定地点</w:t>
      </w:r>
      <w:r>
        <w:rPr>
          <w:rFonts w:hint="eastAsia" w:ascii="宋体" w:hAnsi="宋体"/>
          <w:bCs/>
          <w:sz w:val="24"/>
          <w:szCs w:val="24"/>
          <w:lang w:eastAsia="zh-CN"/>
        </w:rPr>
        <w:t xml:space="preserve">（</w:t>
      </w:r>
      <w:r>
        <w:rPr>
          <w:rFonts w:hint="eastAsia" w:ascii="宋体" w:hAnsi="宋体"/>
          <w:bCs/>
          <w:sz w:val="24"/>
          <w:szCs w:val="24"/>
        </w:rPr>
        <w:t xml:space="preserve">包括可能的分布范围</w:t>
      </w:r>
      <w:r>
        <w:rPr>
          <w:rFonts w:hint="eastAsia" w:ascii="宋体" w:hAnsi="宋体"/>
          <w:bCs/>
          <w:sz w:val="24"/>
          <w:szCs w:val="24"/>
          <w:lang w:eastAsia="zh-CN"/>
        </w:rPr>
        <w:t xml:space="preserve">）</w:t>
      </w:r>
      <w:r>
        <w:rPr>
          <w:rFonts w:hint="eastAsia" w:ascii="宋体" w:hAnsi="宋体"/>
          <w:bCs/>
          <w:sz w:val="24"/>
          <w:szCs w:val="24"/>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jc w:val="left"/>
        <w:spacing w:line="44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1</w:t>
      </w: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spacing w:line="360" w:lineRule="auto"/>
        <w:rPr>
          <w:rFonts w:hint="eastAsia" w:ascii="宋体"/>
          <w:bCs/>
          <w:sz w:val="24"/>
          <w:szCs w:val="24"/>
        </w:rPr>
      </w:pPr>
      <w:r>
        <w:rPr>
          <w:rFonts w:hint="eastAsia"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w:t>
      </w:r>
      <w:r>
        <w:rPr>
          <w:rFonts w:hint="eastAsia"/>
          <w:sz w:val="24"/>
          <w:szCs w:val="24"/>
          <w:lang w:eastAsia="zh-CN"/>
        </w:rPr>
        <w:t xml:space="preserve">按照</w:t>
      </w:r>
      <w:r>
        <w:rPr>
          <w:rFonts w:hint="eastAsia"/>
          <w:sz w:val="24"/>
          <w:szCs w:val="24"/>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w:t>
      </w:r>
      <w:r>
        <w:rPr>
          <w:rFonts w:hint="eastAsia" w:ascii="宋体"/>
          <w:bCs/>
          <w:sz w:val="24"/>
          <w:szCs w:val="24"/>
          <w:lang w:eastAsia="zh-CN"/>
        </w:rPr>
        <w:t xml:space="preserve">）</w:t>
      </w:r>
      <w:r>
        <w:rPr>
          <w:rFonts w:hint="eastAsia" w:ascii="宋体"/>
          <w:bCs/>
          <w:sz w:val="24"/>
          <w:szCs w:val="24"/>
        </w:rPr>
        <w:t xml:space="preserve">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4"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934"/>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34"/>
        <w:spacing w:before="0" w:after="0" w:line="500" w:lineRule="exact"/>
        <w:rPr>
          <w:rFonts w:hint="eastAsia" w:cs="Arial"/>
        </w:rPr>
      </w:pPr>
      <w:r>
        <w:rPr>
          <w:rFonts w:hint="eastAsia" w:cs="Arial"/>
        </w:rPr>
        <w:t xml:space="preserve">投标人通过初审的，方可进入比较与评价程序。</w:t>
      </w:r>
      <w:r/>
    </w:p>
    <w:p>
      <w:pPr>
        <w:pStyle w:val="934"/>
        <w:spacing w:before="0" w:after="0" w:line="500" w:lineRule="exact"/>
        <w:rPr>
          <w:rFonts w:hint="eastAsia" w:cs="Arial"/>
        </w:rPr>
      </w:pPr>
      <w:r>
        <w:rPr>
          <w:rFonts w:hint="eastAsia" w:cs="Arial"/>
        </w:rPr>
        <w:t xml:space="preserve">比较与评价采用综合评分法。</w:t>
      </w:r>
      <w:r/>
    </w:p>
    <w:p>
      <w:pPr>
        <w:pStyle w:val="93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4"/>
        <w:spacing w:before="0" w:after="0" w:line="500" w:lineRule="exact"/>
        <w:rPr>
          <w:rFonts w:hint="eastAsia" w:cs="Arial"/>
          <w:b/>
          <w:bCs/>
          <w:sz w:val="30"/>
          <w:szCs w:val="30"/>
        </w:rPr>
      </w:pPr>
      <w:r>
        <w:rPr>
          <w:rFonts w:hint="eastAsia" w:cs="Arial"/>
          <w:b/>
          <w:bCs/>
          <w:sz w:val="30"/>
          <w:szCs w:val="30"/>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bCs/>
          <w:sz w:val="30"/>
          <w:szCs w:val="30"/>
          <w:highlight w:val="none"/>
        </w:rPr>
      </w:r>
      <w:r/>
    </w:p>
    <w:p>
      <w:pPr>
        <w:pStyle w:val="934"/>
        <w:spacing w:before="0" w:after="0" w:line="500" w:lineRule="exact"/>
        <w:rPr>
          <w:rFonts w:hint="eastAsia" w:cs="Arial"/>
          <w:b/>
          <w:bCs/>
          <w:sz w:val="30"/>
          <w:szCs w:val="30"/>
          <w:highlight w:val="none"/>
        </w:rPr>
      </w:pPr>
      <w:r>
        <w:rPr>
          <w:rFonts w:hint="eastAsia" w:cs="Arial"/>
          <w:b/>
          <w:sz w:val="30"/>
          <w:szCs w:val="30"/>
        </w:rPr>
        <w:t xml:space="preserve">第二部分  评标标准</w:t>
      </w:r>
      <w:r/>
    </w:p>
    <w:p>
      <w:pPr>
        <w:pStyle w:val="93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34"/>
        <w:ind w:firstLine="360"/>
        <w:spacing w:before="0" w:after="0" w:line="500" w:lineRule="exact"/>
        <w:rPr>
          <w:rFonts w:hint="eastAsia" w:ascii="宋体" w:hAnsi="宋体"/>
        </w:rPr>
      </w:pPr>
      <w:r>
        <w:rPr>
          <w:rFonts w:hint="eastAsia" w:ascii="宋体" w:hAnsi="宋体"/>
        </w:rPr>
      </w:r>
      <w:r/>
    </w:p>
    <w:p>
      <w:pPr>
        <w:pStyle w:val="934"/>
        <w:ind w:firstLine="360"/>
        <w:spacing w:before="0" w:after="0" w:line="500" w:lineRule="exact"/>
        <w:rPr>
          <w:rFonts w:hint="eastAsia" w:ascii="宋体" w:hAnsi="宋体"/>
          <w:b/>
          <w:sz w:val="28"/>
          <w:szCs w:val="28"/>
        </w:rPr>
      </w:pPr>
      <w:r>
        <w:rPr>
          <w:rFonts w:hint="eastAsia" w:ascii="宋体" w:hAnsi="宋体"/>
          <w:b/>
          <w:sz w:val="28"/>
          <w:szCs w:val="28"/>
        </w:rPr>
      </w:r>
      <w:r/>
    </w:p>
    <w:p>
      <w:pPr>
        <w:pStyle w:val="934"/>
        <w:ind w:firstLine="360"/>
        <w:spacing w:before="0" w:after="0" w:line="500" w:lineRule="exact"/>
        <w:rPr>
          <w:rFonts w:hint="eastAsia" w:ascii="宋体" w:hAnsi="宋体"/>
          <w:b/>
          <w:bCs/>
          <w:sz w:val="28"/>
          <w:szCs w:val="28"/>
          <w:highlight w:val="none"/>
          <w:shd w:val="clear" w:color="ffffff" w:fill="d9d9d9"/>
        </w:rPr>
      </w:pPr>
      <w:r>
        <w:rPr>
          <w:rFonts w:hint="eastAsia" w:ascii="宋体" w:hAnsi="宋体"/>
          <w:b/>
          <w:sz w:val="28"/>
          <w:szCs w:val="28"/>
        </w:rPr>
        <w:t xml:space="preserve">二、评分标准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价格（30分）：</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lang w:eastAsia="zh-CN"/>
        </w:rPr>
        <w:t xml:space="preserve">（</w:t>
      </w:r>
      <w:r>
        <w:rPr>
          <w:rFonts w:hint="eastAsia" w:ascii="宋体" w:hAnsi="宋体"/>
          <w:bCs/>
          <w:sz w:val="24"/>
          <w:szCs w:val="24"/>
        </w:rPr>
        <w:t xml:space="preserve">评标基准价／投标报价</w:t>
      </w:r>
      <w:r>
        <w:rPr>
          <w:rFonts w:hint="eastAsia" w:ascii="宋体" w:hAnsi="宋体"/>
          <w:bCs/>
          <w:sz w:val="24"/>
          <w:szCs w:val="24"/>
          <w:lang w:eastAsia="zh-CN"/>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lang w:val="en-US" w:eastAsia="zh-CN"/>
        </w:rPr>
        <w:t xml:space="preserve">18</w:t>
      </w:r>
      <w:r>
        <w:rPr>
          <w:rFonts w:hint="eastAsia" w:ascii="宋体" w:hAnsi="宋体"/>
          <w:b/>
          <w:bCs/>
          <w:sz w:val="24"/>
          <w:szCs w:val="24"/>
        </w:rPr>
        <w:t xml:space="preserve">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 xml:space="preserve">2.1</w:t>
      </w:r>
      <w:r>
        <w:rPr>
          <w:rFonts w:hint="eastAsia" w:ascii="宋体" w:hAnsi="宋体" w:eastAsia="宋体" w:cs="Times New Roman"/>
          <w:b w:val="0"/>
          <w:bCs w:val="0"/>
          <w:sz w:val="24"/>
          <w:szCs w:val="24"/>
          <w:highlight w:val="none"/>
          <w:lang w:val="en-US" w:eastAsia="zh-CN"/>
        </w:rPr>
        <w:t xml:space="preserve">投标</w:t>
      </w:r>
      <w:r>
        <w:rPr>
          <w:rFonts w:hint="eastAsia" w:ascii="宋体" w:hAnsi="宋体" w:cs="Times New Roman"/>
          <w:b w:val="0"/>
          <w:bCs w:val="0"/>
          <w:sz w:val="24"/>
          <w:szCs w:val="24"/>
          <w:highlight w:val="none"/>
          <w:lang w:val="en-US" w:eastAsia="zh-CN"/>
        </w:rPr>
        <w:t xml:space="preserve">单位</w:t>
      </w:r>
      <w:r>
        <w:rPr>
          <w:rFonts w:ascii="宋体" w:hAnsi="宋体" w:eastAsia="宋体" w:cs="Times New Roman"/>
          <w:b w:val="0"/>
          <w:bCs w:val="0"/>
          <w:sz w:val="24"/>
          <w:szCs w:val="24"/>
          <w:lang w:val="en-US"/>
        </w:rPr>
        <w:t xml:space="preserve">具备体育相关的微信小程序</w:t>
      </w:r>
      <w:r>
        <w:rPr>
          <w:rFonts w:hint="eastAsia" w:ascii="宋体" w:hAnsi="宋体" w:eastAsia="宋体" w:cs="Times New Roman"/>
          <w:b w:val="0"/>
          <w:bCs w:val="0"/>
          <w:sz w:val="24"/>
          <w:szCs w:val="24"/>
          <w:lang w:val="en-US" w:eastAsia="zh-CN"/>
        </w:rPr>
        <w:t xml:space="preserve">和APP</w:t>
      </w:r>
      <w:r>
        <w:rPr>
          <w:rFonts w:ascii="宋体" w:hAnsi="宋体" w:eastAsia="宋体" w:cs="Times New Roman"/>
          <w:b w:val="0"/>
          <w:bCs w:val="0"/>
          <w:sz w:val="24"/>
          <w:szCs w:val="24"/>
          <w:lang w:val="en-US"/>
        </w:rPr>
        <w:t xml:space="preserve">且持续运营</w:t>
      </w:r>
      <w:r>
        <w:rPr>
          <w:rFonts w:hint="eastAsia" w:ascii="宋体" w:hAnsi="宋体" w:eastAsia="宋体" w:cs="Times New Roman"/>
          <w:b w:val="0"/>
          <w:bCs w:val="0"/>
          <w:sz w:val="24"/>
          <w:szCs w:val="24"/>
          <w:lang w:val="en-US" w:eastAsia="zh-CN"/>
        </w:rPr>
        <w:t xml:space="preserve">2</w:t>
      </w:r>
      <w:r>
        <w:rPr>
          <w:rFonts w:ascii="宋体" w:hAnsi="宋体" w:eastAsia="宋体" w:cs="Times New Roman"/>
          <w:b w:val="0"/>
          <w:bCs w:val="0"/>
          <w:sz w:val="24"/>
          <w:szCs w:val="24"/>
          <w:lang w:val="en-US"/>
        </w:rPr>
        <w:t xml:space="preserve">年及以上得</w:t>
      </w:r>
      <w:r>
        <w:rPr>
          <w:rFonts w:hint="eastAsia" w:ascii="宋体" w:hAnsi="宋体" w:eastAsia="宋体" w:cs="Times New Roman"/>
          <w:b w:val="0"/>
          <w:bCs w:val="0"/>
          <w:sz w:val="24"/>
          <w:szCs w:val="24"/>
          <w:lang w:val="en-US" w:eastAsia="zh-CN"/>
        </w:rPr>
        <w:t xml:space="preserve">4</w:t>
      </w:r>
      <w:r>
        <w:rPr>
          <w:rFonts w:ascii="宋体" w:hAnsi="宋体" w:eastAsia="宋体" w:cs="Times New Roman"/>
          <w:b w:val="0"/>
          <w:bCs w:val="0"/>
          <w:sz w:val="24"/>
          <w:szCs w:val="24"/>
          <w:lang w:val="en-US"/>
        </w:rPr>
        <w:t xml:space="preserve">分，</w:t>
      </w:r>
      <w:r>
        <w:rPr>
          <w:rFonts w:hint="eastAsia" w:ascii="宋体" w:hAnsi="宋体" w:eastAsia="宋体" w:cs="Times New Roman"/>
          <w:b w:val="0"/>
          <w:bCs w:val="0"/>
          <w:sz w:val="24"/>
          <w:szCs w:val="24"/>
          <w:lang w:val="en-US" w:eastAsia="zh-CN"/>
        </w:rPr>
        <w:t xml:space="preserve">2</w:t>
      </w:r>
      <w:r>
        <w:rPr>
          <w:rFonts w:ascii="宋体" w:hAnsi="宋体" w:eastAsia="宋体" w:cs="Times New Roman"/>
          <w:b w:val="0"/>
          <w:bCs w:val="0"/>
          <w:sz w:val="24"/>
          <w:szCs w:val="24"/>
          <w:lang w:val="en-US"/>
        </w:rPr>
        <w:t xml:space="preserve"> 年以下得</w:t>
      </w:r>
      <w:r>
        <w:rPr>
          <w:rFonts w:hint="eastAsia" w:ascii="宋体" w:hAnsi="宋体" w:eastAsia="宋体" w:cs="Times New Roman"/>
          <w:b w:val="0"/>
          <w:bCs w:val="0"/>
          <w:sz w:val="24"/>
          <w:szCs w:val="24"/>
          <w:lang w:val="en-US" w:eastAsia="zh-CN"/>
        </w:rPr>
        <w:t xml:space="preserve">2</w:t>
      </w:r>
      <w:r>
        <w:rPr>
          <w:rFonts w:ascii="宋体" w:hAnsi="宋体" w:eastAsia="宋体" w:cs="Times New Roman"/>
          <w:b w:val="0"/>
          <w:bCs w:val="0"/>
          <w:sz w:val="24"/>
          <w:szCs w:val="24"/>
          <w:lang w:val="en-US"/>
        </w:rPr>
        <w:t xml:space="preserve">分</w:t>
      </w:r>
      <w:r>
        <w:rPr>
          <w:rFonts w:hint="eastAsia" w:ascii="宋体" w:hAnsi="宋体" w:eastAsia="宋体" w:cs="Times New Roman"/>
          <w:b w:val="0"/>
          <w:bCs w:val="0"/>
          <w:sz w:val="24"/>
          <w:szCs w:val="24"/>
          <w:lang w:val="en-US" w:eastAsia="zh-CN"/>
        </w:rPr>
        <w:t xml:space="preserve">。注：</w:t>
      </w:r>
      <w:r>
        <w:rPr>
          <w:rFonts w:ascii="宋体" w:hAnsi="宋体" w:eastAsia="宋体" w:cs="Times New Roman"/>
          <w:b w:val="0"/>
          <w:bCs w:val="0"/>
          <w:sz w:val="24"/>
          <w:szCs w:val="24"/>
          <w:lang w:val="en-US"/>
        </w:rPr>
        <w:t xml:space="preserve">提供开发产权证明或委托开发协议及微信小程序</w:t>
      </w:r>
      <w:r>
        <w:rPr>
          <w:rFonts w:hint="eastAsia" w:ascii="宋体" w:hAnsi="宋体" w:eastAsia="宋体" w:cs="Times New Roman"/>
          <w:b w:val="0"/>
          <w:bCs w:val="0"/>
          <w:sz w:val="24"/>
          <w:szCs w:val="24"/>
          <w:lang w:val="en-US" w:eastAsia="zh-CN"/>
        </w:rPr>
        <w:t xml:space="preserve">、</w:t>
      </w:r>
      <w:r>
        <w:rPr>
          <w:rFonts w:ascii="宋体" w:hAnsi="宋体" w:eastAsia="宋体" w:cs="Times New Roman"/>
          <w:b w:val="0"/>
          <w:bCs w:val="0"/>
          <w:sz w:val="24"/>
          <w:szCs w:val="24"/>
          <w:lang w:val="en-US"/>
        </w:rPr>
        <w:t xml:space="preserve">APP链接、截图</w:t>
      </w:r>
      <w:r>
        <w:rPr>
          <w:rFonts w:hint="eastAsia" w:ascii="宋体" w:hAnsi="宋体" w:eastAsia="宋体" w:cs="Times New Roman"/>
          <w:b w:val="0"/>
          <w:bCs w:val="0"/>
          <w:sz w:val="24"/>
          <w:szCs w:val="24"/>
          <w:lang w:val="en-US" w:eastAsia="zh-CN"/>
        </w:rPr>
        <w:t xml:space="preserve">扫描件签章并上传至系统</w:t>
      </w:r>
      <w:r>
        <w:rPr>
          <w:rFonts w:ascii="宋体" w:hAnsi="宋体" w:eastAsia="宋体" w:cs="Times New Roman"/>
          <w:b w:val="0"/>
          <w:bCs w:val="0"/>
          <w:sz w:val="24"/>
          <w:szCs w:val="24"/>
          <w:lang w:val="en-US"/>
        </w:rPr>
        <w:t xml:space="preserve">，提供不全或未提供不得</w:t>
      </w:r>
      <w:r>
        <w:rPr>
          <w:rFonts w:hint="eastAsia" w:ascii="宋体" w:hAnsi="宋体" w:eastAsia="宋体" w:cs="Times New Roman"/>
          <w:b w:val="0"/>
          <w:bCs w:val="0"/>
          <w:sz w:val="24"/>
          <w:szCs w:val="24"/>
          <w:lang w:val="en-US" w:eastAsia="zh-CN"/>
        </w:rPr>
        <w:t xml:space="preserve">分。</w:t>
      </w:r>
      <w:r/>
    </w:p>
    <w:p>
      <w:pPr>
        <w:numPr>
          <w:ilvl w:val="0"/>
          <w:numId w:val="0"/>
        </w:numPr>
        <w:ind w:firstLine="480"/>
        <w:spacing w:line="500" w:lineRule="exact"/>
        <w:tabs>
          <w:tab w:val="left" w:pos="525" w:leader="none"/>
          <w:tab w:val="left" w:pos="945" w:leader="none"/>
          <w:tab w:val="left" w:pos="1155" w:leader="none"/>
          <w:tab w:val="left" w:pos="3823" w:leader="none"/>
        </w:tabs>
        <w:rPr>
          <w:rFonts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2.2投标</w:t>
      </w:r>
      <w:r>
        <w:rPr>
          <w:rFonts w:hint="eastAsia" w:ascii="宋体" w:hAnsi="宋体" w:cs="Times New Roman"/>
          <w:b w:val="0"/>
          <w:bCs w:val="0"/>
          <w:sz w:val="24"/>
          <w:szCs w:val="24"/>
          <w:highlight w:val="none"/>
          <w:lang w:val="en-US" w:eastAsia="zh-CN"/>
        </w:rPr>
        <w:t xml:space="preserve">单位</w:t>
      </w:r>
      <w:r>
        <w:rPr>
          <w:rFonts w:hint="eastAsia" w:ascii="宋体" w:hAnsi="宋体" w:eastAsia="宋体" w:cs="Times New Roman"/>
          <w:b w:val="0"/>
          <w:bCs w:val="0"/>
          <w:sz w:val="24"/>
          <w:szCs w:val="24"/>
          <w:highlight w:val="none"/>
          <w:lang w:val="en-US" w:eastAsia="zh-CN"/>
        </w:rPr>
        <w:t xml:space="preserve">负责中标后提供项目运维服务，承诺</w:t>
      </w:r>
      <w:r>
        <w:rPr>
          <w:rFonts w:hint="eastAsia" w:ascii="宋体" w:hAnsi="宋体" w:cs="Times New Roman"/>
          <w:b w:val="0"/>
          <w:bCs w:val="0"/>
          <w:sz w:val="24"/>
          <w:szCs w:val="24"/>
          <w:highlight w:val="none"/>
          <w:lang w:val="en-US" w:eastAsia="zh-CN"/>
        </w:rPr>
        <w:t xml:space="preserve">额外增加</w:t>
      </w:r>
      <w:r>
        <w:rPr>
          <w:rFonts w:hint="eastAsia" w:ascii="宋体" w:hAnsi="宋体" w:eastAsia="宋体" w:cs="Times New Roman"/>
          <w:b w:val="0"/>
          <w:bCs w:val="0"/>
          <w:sz w:val="24"/>
          <w:szCs w:val="24"/>
          <w:highlight w:val="none"/>
          <w:lang w:val="en-US" w:eastAsia="zh-CN"/>
        </w:rPr>
        <w:t xml:space="preserve">运维1年得2</w:t>
      </w:r>
      <w:r>
        <w:rPr>
          <w:rFonts w:hint="eastAsia" w:ascii="宋体" w:hAnsi="宋体" w:cs="Times New Roman"/>
          <w:b w:val="0"/>
          <w:bCs w:val="0"/>
          <w:sz w:val="24"/>
          <w:szCs w:val="24"/>
          <w:highlight w:val="none"/>
          <w:lang w:val="en-US" w:eastAsia="zh-CN"/>
        </w:rPr>
        <w:t xml:space="preserve">.5</w:t>
      </w:r>
      <w:r>
        <w:rPr>
          <w:rFonts w:hint="eastAsia" w:ascii="宋体" w:hAnsi="宋体" w:eastAsia="宋体" w:cs="Times New Roman"/>
          <w:b w:val="0"/>
          <w:bCs w:val="0"/>
          <w:sz w:val="24"/>
          <w:szCs w:val="24"/>
          <w:highlight w:val="none"/>
          <w:lang w:val="en-US" w:eastAsia="zh-CN"/>
        </w:rPr>
        <w:t xml:space="preserve">分，最高</w:t>
      </w:r>
      <w:r>
        <w:rPr>
          <w:rFonts w:hint="eastAsia" w:ascii="宋体" w:hAnsi="宋体" w:cs="Times New Roman"/>
          <w:b w:val="0"/>
          <w:bCs w:val="0"/>
          <w:sz w:val="24"/>
          <w:szCs w:val="24"/>
          <w:highlight w:val="none"/>
          <w:lang w:val="en-US" w:eastAsia="zh-CN"/>
        </w:rPr>
        <w:t xml:space="preserve">5</w:t>
      </w:r>
      <w:r>
        <w:rPr>
          <w:rFonts w:hint="eastAsia" w:ascii="宋体" w:hAnsi="宋体" w:eastAsia="宋体" w:cs="Times New Roman"/>
          <w:b w:val="0"/>
          <w:bCs w:val="0"/>
          <w:sz w:val="24"/>
          <w:szCs w:val="24"/>
          <w:highlight w:val="none"/>
          <w:lang w:val="en-US" w:eastAsia="zh-CN"/>
        </w:rPr>
        <w:t xml:space="preserve">分。注：提供承诺书（格式自拟）签章并上传至系统</w:t>
      </w:r>
      <w:r>
        <w:rPr>
          <w:rFonts w:ascii="宋体" w:hAnsi="宋体" w:eastAsia="宋体" w:cs="Times New Roman"/>
          <w:b w:val="0"/>
          <w:bCs w:val="0"/>
          <w:sz w:val="24"/>
          <w:szCs w:val="24"/>
          <w:highlight w:val="none"/>
          <w:lang w:val="en-US"/>
        </w:rPr>
        <w:t xml:space="preserve">，提供不全或未提供不得</w:t>
      </w:r>
      <w:r>
        <w:rPr>
          <w:rFonts w:hint="eastAsia" w:ascii="宋体" w:hAnsi="宋体" w:eastAsia="宋体" w:cs="Times New Roman"/>
          <w:b w:val="0"/>
          <w:bCs w:val="0"/>
          <w:sz w:val="24"/>
          <w:szCs w:val="24"/>
          <w:highlight w:val="none"/>
          <w:lang w:val="en-US" w:eastAsia="zh-CN"/>
        </w:rPr>
        <w:t xml:space="preserve">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2.3投标</w:t>
      </w:r>
      <w:r>
        <w:rPr>
          <w:rFonts w:hint="eastAsia" w:ascii="宋体" w:hAnsi="宋体" w:cs="Times New Roman"/>
          <w:b w:val="0"/>
          <w:bCs w:val="0"/>
          <w:sz w:val="24"/>
          <w:szCs w:val="24"/>
          <w:highlight w:val="none"/>
          <w:lang w:val="en-US" w:eastAsia="zh-CN"/>
        </w:rPr>
        <w:t xml:space="preserve">单位</w:t>
      </w:r>
      <w:r>
        <w:rPr>
          <w:rFonts w:hint="eastAsia" w:ascii="宋体" w:hAnsi="宋体" w:eastAsia="宋体" w:cs="Times New Roman"/>
          <w:b w:val="0"/>
          <w:bCs w:val="0"/>
          <w:sz w:val="24"/>
          <w:szCs w:val="24"/>
          <w:highlight w:val="none"/>
        </w:rPr>
        <w:t xml:space="preserve">自2021年1月1日以来（时间以合同签订日期为准）承担过类似项目的，有一个得</w:t>
      </w:r>
      <w:r>
        <w:rPr>
          <w:rFonts w:hint="eastAsia" w:ascii="宋体" w:hAnsi="宋体" w:eastAsia="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分，最多得</w:t>
      </w:r>
      <w:r>
        <w:rPr>
          <w:rFonts w:hint="eastAsia" w:ascii="宋体" w:hAnsi="宋体" w:eastAsia="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val="en-US" w:eastAsia="zh-CN"/>
        </w:rPr>
        <w:t xml:space="preserve">注：</w:t>
      </w:r>
      <w:r>
        <w:rPr>
          <w:rFonts w:hint="eastAsia" w:ascii="宋体" w:hAnsi="宋体" w:eastAsia="宋体" w:cs="Times New Roman"/>
          <w:b w:val="0"/>
          <w:bCs w:val="0"/>
          <w:sz w:val="24"/>
          <w:szCs w:val="24"/>
          <w:highlight w:val="none"/>
          <w:lang w:val="zh-CN" w:eastAsia="zh-CN"/>
        </w:rPr>
        <w:t xml:space="preserve">提供相关合同</w:t>
      </w:r>
      <w:r>
        <w:rPr>
          <w:rFonts w:hint="eastAsia" w:ascii="宋体" w:hAnsi="宋体" w:eastAsia="宋体" w:cs="Times New Roman"/>
          <w:b w:val="0"/>
          <w:bCs w:val="0"/>
          <w:sz w:val="24"/>
          <w:szCs w:val="24"/>
          <w:highlight w:val="none"/>
          <w:lang w:val="en-US" w:eastAsia="zh-CN"/>
        </w:rPr>
        <w:t xml:space="preserve">扫描件签章并上传至系统，不提供不得分</w:t>
      </w:r>
      <w:r>
        <w:rPr>
          <w:rFonts w:hint="eastAsia" w:ascii="宋体" w:hAnsi="宋体" w:eastAsia="宋体" w:cs="Times New Roman"/>
          <w:b w:val="0"/>
          <w:bCs w:val="0"/>
          <w:sz w:val="24"/>
          <w:szCs w:val="24"/>
          <w:highlight w:val="none"/>
          <w:lang w:val="zh-CN" w:eastAsia="zh-CN"/>
        </w:rPr>
        <w:t xml:space="preserve">。</w:t>
      </w:r>
      <w:r/>
    </w:p>
    <w:p>
      <w:pPr>
        <w:ind w:firstLine="480"/>
        <w:jc w:val="left"/>
        <w:spacing w:line="500" w:lineRule="exact"/>
        <w:tabs>
          <w:tab w:val="left" w:pos="1401" w:leader="none"/>
        </w:tabs>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en-US" w:eastAsia="zh-CN"/>
        </w:rPr>
        <w:t xml:space="preserve">2.4投标</w:t>
      </w:r>
      <w:r>
        <w:rPr>
          <w:rFonts w:hint="eastAsia" w:ascii="宋体" w:hAnsi="宋体" w:cs="Times New Roman"/>
          <w:b w:val="0"/>
          <w:bCs w:val="0"/>
          <w:sz w:val="24"/>
          <w:szCs w:val="24"/>
          <w:highlight w:val="none"/>
          <w:lang w:val="en-US" w:eastAsia="zh-CN"/>
        </w:rPr>
        <w:t xml:space="preserve">单位</w:t>
      </w:r>
      <w:r>
        <w:rPr>
          <w:rFonts w:hint="eastAsia" w:ascii="宋体" w:hAnsi="宋体" w:eastAsia="宋体" w:cs="Times New Roman"/>
          <w:b w:val="0"/>
          <w:bCs w:val="0"/>
          <w:sz w:val="24"/>
          <w:szCs w:val="24"/>
          <w:highlight w:val="none"/>
        </w:rPr>
        <w:t xml:space="preserve">获得</w:t>
      </w:r>
      <w:r>
        <w:rPr>
          <w:rFonts w:hint="eastAsia" w:ascii="宋体" w:hAnsi="宋体" w:cs="宋体"/>
          <w:sz w:val="24"/>
          <w:szCs w:val="24"/>
          <w:highlight w:val="none"/>
          <w:lang w:val="en-US" w:eastAsia="zh-CN"/>
        </w:rPr>
        <w:t xml:space="preserve">相关部门或主管单位颁发的荣誉或奖项</w:t>
      </w:r>
      <w:r>
        <w:rPr>
          <w:rFonts w:hint="eastAsia" w:ascii="宋体" w:hAnsi="宋体" w:cs="Times New Roman"/>
          <w:b w:val="0"/>
          <w:bCs w:val="0"/>
          <w:sz w:val="24"/>
          <w:szCs w:val="24"/>
          <w:highlight w:val="none"/>
          <w:lang w:eastAsia="zh-CN"/>
        </w:rPr>
        <w:t xml:space="preserve">，</w:t>
      </w:r>
      <w:r>
        <w:rPr>
          <w:rFonts w:hint="eastAsia" w:ascii="宋体" w:hAnsi="宋体" w:cs="Times New Roman"/>
          <w:b w:val="0"/>
          <w:bCs w:val="0"/>
          <w:sz w:val="24"/>
          <w:szCs w:val="24"/>
          <w:highlight w:val="none"/>
          <w:lang w:val="en-US" w:eastAsia="zh-CN"/>
        </w:rPr>
        <w:t xml:space="preserve">有一个得1.5分，最高得3分</w:t>
      </w:r>
      <w:r>
        <w:rPr>
          <w:rFonts w:hint="eastAsia"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注：上述证书原件扫描件上传至系统，不提供不得分。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lang w:val="en-US" w:eastAsia="zh-CN"/>
        </w:rPr>
        <w:t xml:space="preserve">50</w:t>
      </w:r>
      <w:r>
        <w:rPr>
          <w:rFonts w:hint="eastAsia" w:ascii="宋体" w:hAnsi="宋体"/>
          <w:b/>
          <w:bCs/>
          <w:sz w:val="24"/>
          <w:szCs w:val="24"/>
        </w:rPr>
        <w:t xml:space="preserve">分）</w:t>
      </w:r>
      <w:r/>
    </w:p>
    <w:p>
      <w:pPr>
        <w:ind w:firstLine="482"/>
        <w:spacing w:line="360" w:lineRule="auto"/>
        <w:rPr>
          <w:rFonts w:hint="eastAsia" w:ascii="宋体" w:hAnsi="宋体" w:eastAsia="宋体" w:cs="宋体"/>
          <w:b/>
          <w:bCs/>
          <w:sz w:val="24"/>
          <w:szCs w:val="24"/>
          <w:highlight w:val="none"/>
          <w:lang w:val="en-US"/>
        </w:rPr>
      </w:pPr>
      <w:r>
        <w:rPr>
          <w:rFonts w:hint="eastAsia" w:ascii="宋体" w:hAnsi="宋体" w:cs="宋体"/>
          <w:b/>
          <w:bCs/>
          <w:sz w:val="24"/>
          <w:szCs w:val="24"/>
          <w:highlight w:val="none"/>
          <w:lang w:val="en-US" w:eastAsia="zh-CN"/>
        </w:rPr>
        <w:t xml:space="preserve">3.1</w:t>
      </w:r>
      <w:r>
        <w:rPr>
          <w:rFonts w:hint="eastAsia" w:ascii="宋体" w:hAnsi="宋体" w:eastAsia="宋体" w:cs="宋体"/>
          <w:b/>
          <w:bCs/>
          <w:sz w:val="24"/>
          <w:szCs w:val="24"/>
          <w:highlight w:val="none"/>
          <w:lang w:val="en-US"/>
        </w:rPr>
        <w:t xml:space="preserve">针对本项目总体建设方案</w:t>
      </w:r>
      <w:r>
        <w:rPr>
          <w:rFonts w:hint="eastAsia" w:ascii="宋体" w:hAnsi="宋体" w:cs="宋体"/>
          <w:b/>
          <w:bCs/>
          <w:sz w:val="24"/>
          <w:szCs w:val="24"/>
          <w:highlight w:val="none"/>
          <w:lang w:val="en-US" w:eastAsia="zh-CN"/>
        </w:rPr>
        <w:t xml:space="preserve">（12分）：</w:t>
      </w:r>
      <w:r>
        <w:rPr>
          <w:rFonts w:hint="eastAsia" w:ascii="宋体" w:hAnsi="宋体" w:eastAsia="宋体" w:cs="宋体"/>
          <w:b/>
          <w:bCs/>
          <w:color w:val="000000"/>
          <w:sz w:val="24"/>
          <w:highlight w:val="none"/>
          <w:lang w:val="en-US" w:eastAsia="zh-CN"/>
        </w:rPr>
        <w:t xml:space="preserve">①器材安装方案</w:t>
      </w:r>
      <w:r>
        <w:rPr>
          <w:rFonts w:hint="eastAsia" w:ascii="宋体" w:hAnsi="宋体" w:cs="宋体"/>
          <w:b/>
          <w:bCs/>
          <w:color w:val="000000"/>
          <w:sz w:val="24"/>
          <w:highlight w:val="none"/>
          <w:lang w:val="en-US" w:eastAsia="zh-CN"/>
        </w:rPr>
        <w:t xml:space="preserve">（4分）</w:t>
      </w:r>
      <w:r>
        <w:rPr>
          <w:rFonts w:hint="eastAsia" w:ascii="宋体" w:hAnsi="宋体" w:eastAsia="宋体" w:cs="宋体"/>
          <w:b/>
          <w:bCs/>
          <w:color w:val="000000"/>
          <w:sz w:val="24"/>
          <w:highlight w:val="none"/>
          <w:lang w:val="en-US" w:eastAsia="zh-CN"/>
        </w:rPr>
        <w:t xml:space="preserve">②安装进度安排</w:t>
      </w:r>
      <w:r>
        <w:rPr>
          <w:rFonts w:hint="eastAsia" w:ascii="宋体" w:hAnsi="宋体" w:cs="宋体"/>
          <w:b/>
          <w:bCs/>
          <w:color w:val="000000"/>
          <w:sz w:val="24"/>
          <w:highlight w:val="none"/>
          <w:lang w:val="en-US" w:eastAsia="zh-CN"/>
        </w:rPr>
        <w:t xml:space="preserve">（4分）</w:t>
      </w:r>
      <w:r>
        <w:rPr>
          <w:rFonts w:hint="eastAsia" w:ascii="宋体" w:hAnsi="宋体" w:eastAsia="宋体" w:cs="宋体"/>
          <w:b/>
          <w:bCs/>
          <w:color w:val="000000"/>
          <w:sz w:val="24"/>
          <w:highlight w:val="none"/>
          <w:lang w:val="en-US" w:eastAsia="zh-CN"/>
        </w:rPr>
        <w:t xml:space="preserve">③安装质量保障措施</w:t>
      </w:r>
      <w:r>
        <w:rPr>
          <w:rFonts w:hint="eastAsia" w:ascii="宋体" w:hAnsi="宋体" w:cs="宋体"/>
          <w:b/>
          <w:bCs/>
          <w:color w:val="000000"/>
          <w:sz w:val="24"/>
          <w:highlight w:val="none"/>
          <w:lang w:val="en-US" w:eastAsia="zh-CN"/>
        </w:rPr>
        <w:t xml:space="preserve">（4分）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投标单位</w:t>
      </w:r>
      <w:r>
        <w:rPr>
          <w:rFonts w:hint="eastAsia" w:ascii="宋体" w:hAnsi="宋体" w:cs="宋体"/>
          <w:bCs/>
          <w:sz w:val="24"/>
          <w:szCs w:val="24"/>
          <w:highlight w:val="none"/>
        </w:rPr>
        <w:t xml:space="preserve">须针对每条内容进行阐述，阐述内容须满足采购需求。内容详实、需求贴合度高且条理清晰的该条得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分；内容简单、可行、细节有待完善的该条得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分；内容粗略、无针对性、基本满足采购需求的该条得1分。本项最多得</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分，每缺少一条内容或内容存在不能满足采购需求，或存在逻辑错误、前后矛盾，或存在违反现行相关规范的，该条不得分。</w:t>
      </w:r>
      <w:r/>
    </w:p>
    <w:p>
      <w:pPr>
        <w:numPr>
          <w:ilvl w:val="0"/>
          <w:numId w:val="0"/>
        </w:numPr>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cs="宋体"/>
          <w:b/>
          <w:bCs/>
          <w:sz w:val="24"/>
          <w:szCs w:val="24"/>
          <w:highlight w:val="none"/>
          <w:lang w:val="en-US" w:eastAsia="zh-CN"/>
        </w:rPr>
        <w:t xml:space="preserve">3.2</w:t>
      </w:r>
      <w:r>
        <w:rPr>
          <w:rFonts w:hint="eastAsia" w:ascii="宋体" w:hAnsi="宋体" w:eastAsia="宋体" w:cs="宋体"/>
          <w:b/>
          <w:bCs/>
          <w:sz w:val="24"/>
          <w:szCs w:val="24"/>
          <w:highlight w:val="none"/>
          <w:lang w:val="en-US"/>
        </w:rPr>
        <w:t xml:space="preserve">针对本项目运营服务方案</w:t>
      </w:r>
      <w:r>
        <w:rPr>
          <w:rFonts w:hint="eastAsia" w:ascii="宋体" w:hAnsi="宋体" w:cs="宋体"/>
          <w:b/>
          <w:bCs/>
          <w:sz w:val="24"/>
          <w:szCs w:val="24"/>
          <w:highlight w:val="none"/>
          <w:lang w:val="en-US" w:eastAsia="zh-CN"/>
        </w:rPr>
        <w:t xml:space="preserve">（12分）：</w:t>
      </w:r>
      <w:r>
        <w:rPr>
          <w:rFonts w:hint="eastAsia" w:ascii="宋体" w:hAnsi="宋体" w:eastAsia="宋体" w:cs="宋体"/>
          <w:b/>
          <w:bCs/>
          <w:color w:val="000000"/>
          <w:sz w:val="24"/>
          <w:highlight w:val="none"/>
          <w:lang w:val="en-US" w:eastAsia="zh-CN"/>
        </w:rPr>
        <w:t xml:space="preserve">①运营方式</w:t>
      </w:r>
      <w:r>
        <w:rPr>
          <w:rFonts w:hint="eastAsia" w:ascii="宋体" w:hAnsi="宋体" w:cs="宋体"/>
          <w:b/>
          <w:bCs/>
          <w:color w:val="000000"/>
          <w:sz w:val="24"/>
          <w:highlight w:val="none"/>
          <w:lang w:val="en-US" w:eastAsia="zh-CN"/>
        </w:rPr>
        <w:t xml:space="preserve">（4分）</w:t>
      </w:r>
      <w:r>
        <w:rPr>
          <w:rFonts w:hint="eastAsia" w:ascii="宋体" w:hAnsi="宋体" w:eastAsia="宋体" w:cs="宋体"/>
          <w:b/>
          <w:bCs/>
          <w:color w:val="000000"/>
          <w:sz w:val="24"/>
          <w:highlight w:val="none"/>
          <w:lang w:val="en-US" w:eastAsia="zh-CN"/>
        </w:rPr>
        <w:t xml:space="preserve">②宣传方式</w:t>
      </w:r>
      <w:r>
        <w:rPr>
          <w:rFonts w:hint="eastAsia" w:ascii="宋体" w:hAnsi="宋体" w:cs="宋体"/>
          <w:b/>
          <w:bCs/>
          <w:color w:val="000000"/>
          <w:sz w:val="24"/>
          <w:highlight w:val="none"/>
          <w:lang w:val="en-US" w:eastAsia="zh-CN"/>
        </w:rPr>
        <w:t xml:space="preserve">（4分）</w:t>
      </w:r>
      <w:r/>
    </w:p>
    <w:p>
      <w:pPr>
        <w:numPr>
          <w:ilvl w:val="0"/>
          <w:numId w:val="0"/>
        </w:numPr>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color w:val="000000"/>
          <w:sz w:val="24"/>
          <w:highlight w:val="none"/>
          <w:lang w:val="en-US" w:eastAsia="zh-CN"/>
        </w:rPr>
        <w:t xml:space="preserve">③服务保障措施</w:t>
      </w:r>
      <w:r>
        <w:rPr>
          <w:rFonts w:hint="eastAsia" w:ascii="宋体" w:hAnsi="宋体" w:cs="宋体"/>
          <w:b/>
          <w:bCs/>
          <w:color w:val="000000"/>
          <w:sz w:val="24"/>
          <w:highlight w:val="none"/>
          <w:lang w:val="en-US" w:eastAsia="zh-CN"/>
        </w:rPr>
        <w:t xml:space="preserve">（4分）</w:t>
      </w:r>
      <w:r/>
    </w:p>
    <w:p>
      <w:pPr>
        <w:ind w:firstLine="480"/>
        <w:spacing w:line="360" w:lineRule="auto"/>
        <w:tabs>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投标单位</w:t>
      </w:r>
      <w:r>
        <w:rPr>
          <w:rFonts w:hint="eastAsia" w:ascii="宋体" w:hAnsi="宋体" w:cs="宋体"/>
          <w:bCs/>
          <w:sz w:val="24"/>
          <w:szCs w:val="24"/>
          <w:highlight w:val="none"/>
        </w:rPr>
        <w:t xml:space="preserve">须针对每条内容进行阐述，阐述内容须满足采购需求。内容详实、需求贴合度高且条理清晰的该条得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分；内容简单、可行、细节有待完善的该条得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分；内容粗略、无针对性、基本满足采购需求的该条得1分。本项最多得</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分，每缺少一条内容或内容存在不能满足采购需求，或存在逻辑错误、前后矛盾，或存在违反现行相关规范的，该条不得分。</w:t>
      </w:r>
      <w:r/>
    </w:p>
    <w:p>
      <w:pPr>
        <w:ind w:firstLine="480"/>
        <w:spacing w:line="360" w:lineRule="auto"/>
        <w:tabs>
          <w:tab w:val="left" w:pos="1365" w:leader="none"/>
        </w:tabs>
        <w:rPr>
          <w:rFonts w:hint="eastAsia" w:ascii="宋体" w:hAnsi="宋体" w:eastAsia="宋体" w:cs="宋体"/>
          <w:b/>
          <w:bCs w:val="0"/>
          <w:sz w:val="24"/>
          <w:szCs w:val="24"/>
          <w:highlight w:val="none"/>
          <w:lang w:val="en-US"/>
        </w:rPr>
      </w:pPr>
      <w:r>
        <w:rPr>
          <w:rFonts w:hint="eastAsia" w:ascii="宋体" w:hAnsi="宋体" w:cs="宋体"/>
          <w:b/>
          <w:bCs w:val="0"/>
          <w:sz w:val="24"/>
          <w:szCs w:val="24"/>
          <w:highlight w:val="none"/>
          <w:lang w:val="en-US" w:eastAsia="zh-CN"/>
        </w:rPr>
        <w:t xml:space="preserve">3.3</w:t>
      </w:r>
      <w:r>
        <w:rPr>
          <w:rFonts w:hint="eastAsia" w:ascii="宋体" w:hAnsi="宋体" w:eastAsia="宋体" w:cs="宋体"/>
          <w:b/>
          <w:bCs w:val="0"/>
          <w:sz w:val="24"/>
          <w:szCs w:val="24"/>
          <w:highlight w:val="none"/>
          <w:lang w:val="en-US"/>
        </w:rPr>
        <w:t xml:space="preserve">针对本项目</w:t>
      </w:r>
      <w:r>
        <w:rPr>
          <w:rFonts w:hint="eastAsia" w:ascii="宋体" w:hAnsi="宋体" w:eastAsia="宋体" w:cs="宋体"/>
          <w:b/>
          <w:bCs/>
          <w:sz w:val="24"/>
          <w:szCs w:val="24"/>
          <w:highlight w:val="none"/>
          <w:lang w:val="en-US"/>
        </w:rPr>
        <w:t xml:space="preserve">场地布局规划</w:t>
      </w:r>
      <w:r>
        <w:rPr>
          <w:rFonts w:hint="eastAsia" w:ascii="宋体" w:hAnsi="宋体" w:cs="宋体"/>
          <w:b/>
          <w:bCs/>
          <w:sz w:val="24"/>
          <w:szCs w:val="24"/>
          <w:highlight w:val="none"/>
          <w:lang w:val="en-US" w:eastAsia="zh-CN"/>
        </w:rPr>
        <w:t xml:space="preserve">（8分）：</w:t>
      </w:r>
      <w:r>
        <w:rPr>
          <w:rFonts w:hint="eastAsia" w:ascii="宋体" w:hAnsi="宋体" w:eastAsia="宋体" w:cs="宋体"/>
          <w:b/>
          <w:bCs w:val="0"/>
          <w:color w:val="000000"/>
          <w:sz w:val="24"/>
          <w:highlight w:val="none"/>
          <w:lang w:val="en-US" w:eastAsia="zh-CN"/>
        </w:rPr>
        <w:t xml:space="preserve">①</w:t>
      </w:r>
      <w:r>
        <w:rPr>
          <w:rFonts w:hint="eastAsia" w:ascii="宋体" w:hAnsi="宋体" w:eastAsia="宋体" w:cs="宋体"/>
          <w:b/>
          <w:bCs w:val="0"/>
          <w:sz w:val="24"/>
          <w:szCs w:val="24"/>
          <w:highlight w:val="none"/>
          <w:lang w:val="en-US"/>
        </w:rPr>
        <w:t xml:space="preserve">场地配置</w:t>
      </w:r>
      <w:r>
        <w:rPr>
          <w:rFonts w:hint="eastAsia" w:ascii="宋体" w:hAnsi="宋体" w:cs="宋体"/>
          <w:b/>
          <w:bCs w:val="0"/>
          <w:color w:val="000000"/>
          <w:sz w:val="24"/>
          <w:highlight w:val="none"/>
          <w:lang w:val="en-US" w:eastAsia="zh-CN"/>
        </w:rPr>
        <w:t xml:space="preserve">（4分）</w:t>
      </w:r>
      <w:r>
        <w:rPr>
          <w:rFonts w:hint="eastAsia" w:ascii="宋体" w:hAnsi="宋体" w:eastAsia="宋体" w:cs="宋体"/>
          <w:b/>
          <w:bCs w:val="0"/>
          <w:color w:val="000000"/>
          <w:sz w:val="24"/>
          <w:highlight w:val="none"/>
          <w:lang w:val="en-US" w:eastAsia="zh-CN"/>
        </w:rPr>
        <w:t xml:space="preserve">②</w:t>
      </w:r>
      <w:r>
        <w:rPr>
          <w:rFonts w:hint="eastAsia" w:ascii="宋体" w:hAnsi="宋体" w:eastAsia="宋体" w:cs="宋体"/>
          <w:b/>
          <w:bCs w:val="0"/>
          <w:sz w:val="24"/>
          <w:szCs w:val="24"/>
          <w:highlight w:val="none"/>
          <w:lang w:val="en-US"/>
        </w:rPr>
        <w:t xml:space="preserve">氛围营造</w:t>
      </w:r>
      <w:r>
        <w:rPr>
          <w:rFonts w:hint="eastAsia" w:ascii="宋体" w:hAnsi="宋体" w:cs="宋体"/>
          <w:b/>
          <w:bCs w:val="0"/>
          <w:color w:val="000000"/>
          <w:sz w:val="24"/>
          <w:highlight w:val="none"/>
          <w:lang w:val="en-US" w:eastAsia="zh-CN"/>
        </w:rPr>
        <w:t xml:space="preserve">（4分）</w:t>
      </w:r>
      <w:r/>
    </w:p>
    <w:p>
      <w:pPr>
        <w:ind w:firstLine="480"/>
        <w:spacing w:line="360" w:lineRule="auto"/>
        <w:tabs>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投标单位</w:t>
      </w:r>
      <w:r>
        <w:rPr>
          <w:rFonts w:hint="eastAsia" w:ascii="宋体" w:hAnsi="宋体" w:cs="宋体"/>
          <w:bCs/>
          <w:sz w:val="24"/>
          <w:szCs w:val="24"/>
          <w:highlight w:val="none"/>
        </w:rPr>
        <w:t xml:space="preserve">须针对每条内容进行阐述，阐述内容须满足采购需求。内容详实、需求贴合度高且条理清晰的该条得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分；内容简单、可行、细节有待完善的该条得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分；内容粗略、无针对性、基本满足采购需求的该条得1分。本项最多得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分，每缺少一条内容或内容存在不能满足采购需求，或存在逻辑错误、前后矛盾，或存在违反现行相关规范的，该条不得分。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
          <w:bCs w:val="0"/>
          <w:sz w:val="24"/>
          <w:szCs w:val="24"/>
          <w:highlight w:val="none"/>
          <w:lang w:val="en-US" w:eastAsia="zh-CN"/>
        </w:rPr>
        <w:t xml:space="preserve">3.4</w:t>
      </w:r>
      <w:r>
        <w:rPr>
          <w:rFonts w:hint="eastAsia" w:ascii="宋体" w:hAnsi="宋体" w:eastAsia="宋体" w:cs="宋体"/>
          <w:b/>
          <w:bCs w:val="0"/>
          <w:sz w:val="24"/>
          <w:szCs w:val="24"/>
          <w:highlight w:val="none"/>
          <w:lang w:val="en-US"/>
        </w:rPr>
        <w:t xml:space="preserve">针对本项目人员管</w:t>
      </w:r>
      <w:r>
        <w:rPr>
          <w:rFonts w:hint="eastAsia" w:ascii="宋体" w:hAnsi="宋体" w:eastAsia="宋体" w:cs="宋体"/>
          <w:b/>
          <w:bCs/>
          <w:sz w:val="24"/>
          <w:szCs w:val="24"/>
          <w:highlight w:val="none"/>
          <w:lang w:val="en-US"/>
        </w:rPr>
        <w:t xml:space="preserve">理配备方案</w:t>
      </w:r>
      <w:r>
        <w:rPr>
          <w:rFonts w:hint="eastAsia" w:ascii="宋体" w:hAnsi="宋体" w:cs="宋体"/>
          <w:b/>
          <w:bCs w:val="0"/>
          <w:color w:val="000000"/>
          <w:sz w:val="24"/>
          <w:highlight w:val="none"/>
          <w:lang w:val="en-US" w:eastAsia="zh-CN"/>
        </w:rPr>
        <w:t xml:space="preserve">（3分）</w:t>
      </w:r>
      <w:r/>
    </w:p>
    <w:p>
      <w:pPr>
        <w:numPr>
          <w:ilvl w:val="0"/>
          <w:numId w:val="0"/>
        </w:num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eastAsia="zh-CN"/>
        </w:rPr>
        <w:t xml:space="preserve">投标单位</w:t>
      </w:r>
      <w:r>
        <w:rPr>
          <w:rFonts w:hint="eastAsia" w:ascii="宋体" w:hAnsi="宋体" w:cs="宋体"/>
          <w:bCs/>
          <w:sz w:val="24"/>
          <w:szCs w:val="24"/>
          <w:highlight w:val="none"/>
        </w:rPr>
        <w:t xml:space="preserve">须针对每条内容进行阐述，阐述内容须满足采购需求。内容详实、需求贴合度高且条理清晰的该条得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分；内容简单、可行、细节有待完善的该条得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分；内容粗略、无针对性、基本满足采购需求的该条得1分。本项最多得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分，每缺少一条内容或内容存在不能满足采购需求，或存在逻辑错误、前后矛盾，或存在违反现行相关规范的，该条不得分。</w:t>
      </w:r>
      <w:r/>
    </w:p>
    <w:p>
      <w:pPr>
        <w:numPr>
          <w:ilvl w:val="0"/>
          <w:numId w:val="0"/>
        </w:numPr>
        <w:ind w:firstLine="482"/>
        <w:spacing w:line="360" w:lineRule="auto"/>
        <w:rPr>
          <w:rFonts w:hint="eastAsia" w:ascii="宋体" w:hAnsi="宋体" w:eastAsia="宋体" w:cs="宋体"/>
          <w:b/>
          <w:bCs/>
          <w:sz w:val="24"/>
          <w:szCs w:val="24"/>
          <w:highlight w:val="none"/>
          <w:lang w:val="en-US"/>
        </w:rPr>
      </w:pPr>
      <w:r>
        <w:rPr>
          <w:rFonts w:hint="eastAsia" w:ascii="宋体" w:hAnsi="宋体" w:cs="宋体"/>
          <w:b/>
          <w:bCs/>
          <w:sz w:val="24"/>
          <w:szCs w:val="24"/>
          <w:highlight w:val="none"/>
          <w:lang w:val="en-US" w:eastAsia="zh-CN"/>
        </w:rPr>
        <w:t xml:space="preserve">3.5</w:t>
      </w:r>
      <w:r>
        <w:rPr>
          <w:rFonts w:hint="eastAsia" w:ascii="宋体" w:hAnsi="宋体" w:eastAsia="宋体" w:cs="宋体"/>
          <w:b/>
          <w:bCs/>
          <w:sz w:val="24"/>
          <w:szCs w:val="24"/>
          <w:highlight w:val="none"/>
          <w:lang w:val="en-US"/>
        </w:rPr>
        <w:t xml:space="preserve">针对本项目应急预案</w:t>
      </w:r>
      <w:r>
        <w:rPr>
          <w:rFonts w:hint="eastAsia" w:ascii="宋体" w:hAnsi="宋体" w:cs="宋体"/>
          <w:b/>
          <w:bCs w:val="0"/>
          <w:color w:val="000000"/>
          <w:sz w:val="24"/>
          <w:highlight w:val="none"/>
          <w:lang w:val="en-US" w:eastAsia="zh-CN"/>
        </w:rPr>
        <w:t xml:space="preserve">（3分）</w:t>
      </w:r>
      <w:r/>
    </w:p>
    <w:p>
      <w:pPr>
        <w:numPr>
          <w:ilvl w:val="0"/>
          <w:numId w:val="0"/>
        </w:num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eastAsia="zh-CN"/>
        </w:rPr>
        <w:t xml:space="preserve">投标单位</w:t>
      </w:r>
      <w:r>
        <w:rPr>
          <w:rFonts w:hint="eastAsia" w:ascii="宋体" w:hAnsi="宋体" w:cs="宋体"/>
          <w:bCs/>
          <w:sz w:val="24"/>
          <w:szCs w:val="24"/>
          <w:highlight w:val="none"/>
        </w:rPr>
        <w:t xml:space="preserve">须针对每条内容进行阐述，阐述内容须满足采购需求。内容详实、需求贴合度高且条理清晰的该条得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分；内容简单、可行、细节有待完善的该条得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分；内容粗略、无针对性、基本满足采购需求的该条得1分。本项最多得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分，每缺少一条内容或内容存在不能满足采购需求，或存在逻辑错误、前后矛盾，或存在违反现行相关规范的，该条不得分。</w:t>
      </w:r>
      <w:r/>
    </w:p>
    <w:p>
      <w:pPr>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sz w:val="24"/>
          <w:szCs w:val="24"/>
          <w:highlight w:val="none"/>
          <w:lang w:val="en-US" w:eastAsia="zh-CN"/>
        </w:rPr>
        <w:t xml:space="preserve">3.6</w:t>
      </w:r>
      <w:r>
        <w:rPr>
          <w:rFonts w:hint="eastAsia" w:ascii="宋体" w:hAnsi="宋体" w:eastAsia="宋体" w:cs="宋体"/>
          <w:b/>
          <w:bCs/>
          <w:sz w:val="24"/>
          <w:szCs w:val="24"/>
          <w:highlight w:val="none"/>
          <w:lang w:val="en-US"/>
        </w:rPr>
        <w:t xml:space="preserve">针对本项目服务响应方案</w:t>
      </w:r>
      <w:r>
        <w:rPr>
          <w:rFonts w:hint="eastAsia" w:ascii="宋体" w:hAnsi="宋体" w:cs="宋体"/>
          <w:b/>
          <w:bCs/>
          <w:sz w:val="24"/>
          <w:szCs w:val="24"/>
          <w:highlight w:val="none"/>
          <w:lang w:val="en-US" w:eastAsia="zh-CN"/>
        </w:rPr>
        <w:t xml:space="preserve">（9分）：</w:t>
      </w:r>
      <w:r>
        <w:rPr>
          <w:rFonts w:hint="eastAsia" w:ascii="宋体" w:hAnsi="宋体" w:eastAsia="宋体" w:cs="宋体"/>
          <w:b/>
          <w:bCs/>
          <w:color w:val="000000"/>
          <w:sz w:val="24"/>
          <w:szCs w:val="24"/>
          <w:highlight w:val="none"/>
          <w:lang w:val="en-US" w:eastAsia="zh-CN"/>
        </w:rPr>
        <w:t xml:space="preserve">①具有能提供配件常备数量和品种目录，符合售后需要</w:t>
      </w:r>
      <w:r>
        <w:rPr>
          <w:rFonts w:hint="eastAsia" w:ascii="宋体" w:hAnsi="宋体" w:cs="宋体"/>
          <w:b/>
          <w:bCs/>
          <w:color w:val="000000"/>
          <w:sz w:val="24"/>
          <w:highlight w:val="none"/>
          <w:lang w:val="en-US" w:eastAsia="zh-CN"/>
        </w:rPr>
        <w:t xml:space="preserve">（3分）</w:t>
      </w:r>
      <w:r>
        <w:rPr>
          <w:rFonts w:hint="eastAsia" w:ascii="宋体" w:hAnsi="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质保期内的售后方案</w:t>
      </w:r>
      <w:r>
        <w:rPr>
          <w:rFonts w:hint="eastAsia" w:ascii="宋体" w:hAnsi="宋体" w:cs="宋体"/>
          <w:b/>
          <w:bCs/>
          <w:color w:val="000000"/>
          <w:sz w:val="24"/>
          <w:highlight w:val="none"/>
          <w:lang w:val="en-US" w:eastAsia="zh-CN"/>
        </w:rPr>
        <w:t xml:space="preserve">（3分）</w:t>
      </w:r>
      <w:r>
        <w:rPr>
          <w:rFonts w:hint="eastAsia" w:ascii="宋体" w:hAnsi="宋体" w:eastAsia="宋体" w:cs="宋体"/>
          <w:b/>
          <w:bCs/>
          <w:color w:val="000000"/>
          <w:sz w:val="24"/>
          <w:szCs w:val="24"/>
          <w:highlight w:val="none"/>
          <w:lang w:val="en-US" w:eastAsia="zh-CN"/>
        </w:rPr>
        <w:t xml:space="preserve">③质保期结束后的售后方案</w:t>
      </w:r>
      <w:r>
        <w:rPr>
          <w:rFonts w:hint="eastAsia" w:ascii="宋体" w:hAnsi="宋体" w:cs="宋体"/>
          <w:b/>
          <w:bCs/>
          <w:color w:val="000000"/>
          <w:sz w:val="24"/>
          <w:highlight w:val="none"/>
          <w:lang w:val="en-US" w:eastAsia="zh-CN"/>
        </w:rPr>
        <w:t xml:space="preserve">（3分）</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bCs/>
          <w:sz w:val="24"/>
          <w:szCs w:val="24"/>
          <w:highlight w:val="none"/>
          <w:lang w:eastAsia="zh-CN"/>
        </w:rPr>
        <w:t xml:space="preserve">投标单位</w:t>
      </w:r>
      <w:r>
        <w:rPr>
          <w:rFonts w:hint="eastAsia" w:ascii="宋体" w:hAnsi="宋体" w:cs="宋体"/>
          <w:bCs/>
          <w:sz w:val="24"/>
          <w:szCs w:val="24"/>
          <w:highlight w:val="none"/>
        </w:rPr>
        <w:t xml:space="preserve">须针对每条内容进行阐述，阐述内容须满足采购需求。内容详实、需求贴合度高且条理清晰的该条得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分；内容简单、可行、细节有待完善的该条得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分；内容粗略、无针对性、基本满足采购需求的该条得1分。本项最多得</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分，每缺少一条内容或内容存在不能满足采购需求，或存在逻辑错误、前后矛盾，或存在违反现行相关规范的，该条不得分。</w:t>
      </w:r>
      <w:r/>
    </w:p>
    <w:p>
      <w:pPr>
        <w:numPr>
          <w:ilvl w:val="0"/>
          <w:numId w:val="0"/>
        </w:numPr>
        <w:ind w:firstLine="482"/>
        <w:spacing w:line="360" w:lineRule="auto"/>
        <w:rPr>
          <w:rFonts w:ascii="宋体" w:hAnsi="宋体" w:cs="宋体"/>
          <w:bCs/>
          <w:sz w:val="24"/>
          <w:szCs w:val="24"/>
          <w:highlight w:val="none"/>
        </w:rPr>
      </w:pPr>
      <w:r>
        <w:rPr>
          <w:rFonts w:hint="eastAsia" w:ascii="宋体" w:hAnsi="宋体" w:cs="宋体"/>
          <w:b/>
          <w:bCs/>
          <w:sz w:val="24"/>
          <w:szCs w:val="24"/>
          <w:highlight w:val="none"/>
          <w:lang w:val="en-US" w:eastAsia="zh-CN"/>
        </w:rPr>
        <w:t xml:space="preserve">3.7</w:t>
      </w:r>
      <w:r>
        <w:rPr>
          <w:rFonts w:hint="eastAsia" w:ascii="宋体" w:hAnsi="宋体" w:eastAsia="宋体" w:cs="宋体"/>
          <w:b/>
          <w:bCs/>
          <w:sz w:val="24"/>
          <w:szCs w:val="24"/>
          <w:highlight w:val="none"/>
          <w:lang w:val="en-US" w:eastAsia="zh-CN"/>
        </w:rPr>
        <w:t xml:space="preserve">培训方案</w:t>
      </w:r>
      <w:r>
        <w:rPr>
          <w:rFonts w:hint="eastAsia" w:ascii="宋体" w:hAnsi="宋体" w:cs="宋体"/>
          <w:b/>
          <w:bCs/>
          <w:color w:val="000000"/>
          <w:sz w:val="24"/>
          <w:highlight w:val="none"/>
          <w:lang w:val="en-US" w:eastAsia="zh-CN"/>
        </w:rPr>
        <w:t xml:space="preserve">（3分）</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eastAsia="zh-CN"/>
        </w:rPr>
        <w:t xml:space="preserve">投标单位</w:t>
      </w:r>
      <w:r>
        <w:rPr>
          <w:rFonts w:hint="eastAsia" w:ascii="宋体" w:hAnsi="宋体" w:cs="宋体"/>
          <w:bCs/>
          <w:sz w:val="24"/>
          <w:szCs w:val="24"/>
          <w:highlight w:val="none"/>
        </w:rPr>
        <w:t xml:space="preserve">须针对每条内容进行阐述，阐述内容须满足采购需求。内容详实、需求贴合度高且条理清晰的该条得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分；内容简单、可行、细节有待完善的该条得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分；内容粗略、无针对性、基本满足采购需求的该条得1分。本项最多得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分，每缺少一条内容或内容存在不能满足采购需求，或存在逻辑错误、前后矛盾，或存在违反现行相关规范的，该条不得分。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sz w:val="24"/>
        </w:rPr>
        <w:t xml:space="preserve">依据财政部、发展改革委发布的《节能产品政府采购品目清单》和财政部、生态环境部发布的《</w:t>
      </w:r>
      <w:r>
        <w:rPr>
          <w:rFonts w:ascii="宋体" w:hAnsi="宋体"/>
          <w:sz w:val="24"/>
        </w:rPr>
        <w:t xml:space="preserve">环境标志产品政府采购品目清单</w:t>
      </w:r>
      <w:r>
        <w:rPr>
          <w:rFonts w:hint="eastAsia" w:ascii="宋体" w:hAnsi="宋体"/>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sz w:val="24"/>
        </w:rPr>
        <w:t xml:space="preserve">）</w:t>
      </w:r>
      <w:r>
        <w:rPr>
          <w:rFonts w:hint="eastAsia" w:ascii="宋体" w:hAnsi="宋体"/>
          <w:sz w:val="24"/>
        </w:rPr>
        <w:t xml:space="preserve">。</w:t>
      </w:r>
      <w:r/>
    </w:p>
    <w:p>
      <w:pPr>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spacing w:line="500" w:lineRule="exact"/>
        <w:tabs>
          <w:tab w:val="left" w:pos="945" w:leader="none"/>
          <w:tab w:val="left" w:pos="1155" w:leader="none"/>
          <w:tab w:val="left" w:pos="3823" w:leader="none"/>
        </w:tabs>
        <w:rPr>
          <w:rFonts w:ascii="宋体" w:hAnsi="宋体"/>
          <w:b/>
          <w:bCs/>
          <w:sz w:val="24"/>
          <w:szCs w:val="24"/>
        </w:rPr>
      </w:pPr>
      <w:r>
        <w:rPr>
          <w:rFonts w:ascii="宋体" w:hAnsi="宋体"/>
          <w:b/>
          <w:bCs/>
          <w:sz w:val="24"/>
          <w:szCs w:val="24"/>
        </w:rPr>
      </w:r>
      <w:r/>
    </w:p>
    <w:p>
      <w:pPr>
        <w:jc w:val="left"/>
        <w:spacing w:line="500" w:lineRule="exact"/>
        <w:rPr>
          <w:rFonts w:hint="eastAsia" w:ascii="黑体" w:eastAsia="黑体"/>
          <w:sz w:val="36"/>
          <w:szCs w:val="36"/>
        </w:rPr>
      </w:pPr>
      <w:r>
        <w:rPr>
          <w:rFonts w:hint="eastAsia" w:ascii="黑体" w:eastAsia="黑体"/>
          <w:sz w:val="36"/>
          <w:szCs w:val="36"/>
        </w:rPr>
      </w:r>
      <w:r/>
    </w:p>
    <w:p>
      <w:pPr>
        <w:pStyle w:val="678"/>
        <w:rPr>
          <w:rFonts w:hint="eastAsia" w:ascii="黑体" w:eastAsia="黑体"/>
          <w:sz w:val="36"/>
          <w:szCs w:val="36"/>
        </w:rPr>
      </w:pPr>
      <w:r>
        <w:rPr>
          <w:rFonts w:hint="eastAsia" w:ascii="黑体" w:eastAsia="黑体"/>
          <w:sz w:val="36"/>
          <w:szCs w:val="36"/>
        </w:rPr>
      </w:r>
      <w:r/>
    </w:p>
    <w:p>
      <w:pPr>
        <w:rPr>
          <w:rFonts w:hint="eastAsia" w:ascii="黑体" w:eastAsia="黑体"/>
          <w:sz w:val="36"/>
          <w:szCs w:val="36"/>
        </w:rPr>
      </w:pPr>
      <w:r>
        <w:rPr>
          <w:rFonts w:hint="eastAsia" w:ascii="黑体" w:eastAsia="黑体"/>
          <w:sz w:val="36"/>
          <w:szCs w:val="36"/>
        </w:rPr>
      </w:r>
      <w:r/>
    </w:p>
    <w:p>
      <w:pPr>
        <w:pStyle w:val="678"/>
        <w:rPr>
          <w:rFonts w:hint="eastAsia" w:ascii="黑体" w:eastAsia="黑体"/>
          <w:sz w:val="36"/>
          <w:szCs w:val="36"/>
        </w:rPr>
      </w:pPr>
      <w:r>
        <w:rPr>
          <w:rFonts w:hint="eastAsia" w:ascii="黑体" w:eastAsia="黑体"/>
          <w:sz w:val="36"/>
          <w:szCs w:val="36"/>
        </w:rPr>
      </w:r>
      <w:r/>
    </w:p>
    <w:p>
      <w:pPr>
        <w:rPr>
          <w:rFonts w:hint="eastAsia" w:ascii="黑体" w:eastAsia="黑体"/>
          <w:sz w:val="36"/>
          <w:szCs w:val="36"/>
        </w:rPr>
      </w:pPr>
      <w:r>
        <w:rPr>
          <w:rFonts w:hint="eastAsia" w:ascii="黑体" w:eastAsia="黑体"/>
          <w:sz w:val="36"/>
          <w:szCs w:val="36"/>
        </w:rPr>
      </w:r>
      <w:r/>
    </w:p>
    <w:p>
      <w:pPr>
        <w:pStyle w:val="678"/>
        <w:rPr>
          <w:rFonts w:hint="eastAsia" w:ascii="黑体" w:eastAsia="黑体"/>
          <w:sz w:val="36"/>
          <w:szCs w:val="36"/>
        </w:rPr>
      </w:pPr>
      <w:r>
        <w:rPr>
          <w:rFonts w:hint="eastAsia" w:ascii="黑体" w:eastAsia="黑体"/>
          <w:sz w:val="36"/>
          <w:szCs w:val="36"/>
        </w:rPr>
      </w:r>
      <w:r/>
    </w:p>
    <w:p>
      <w:pPr>
        <w:rPr>
          <w:rFonts w:hint="eastAsia" w:ascii="黑体" w:eastAsia="黑体"/>
          <w:sz w:val="36"/>
          <w:szCs w:val="36"/>
        </w:rPr>
      </w:pPr>
      <w:r>
        <w:rPr>
          <w:rFonts w:hint="eastAsia" w:ascii="黑体" w:eastAsia="黑体"/>
          <w:sz w:val="36"/>
          <w:szCs w:val="36"/>
        </w:rPr>
      </w:r>
      <w:r/>
    </w:p>
    <w:p>
      <w:pPr>
        <w:pStyle w:val="678"/>
        <w:rPr>
          <w:rFonts w:hint="eastAsia" w:ascii="黑体" w:eastAsia="黑体"/>
          <w:sz w:val="36"/>
          <w:szCs w:val="36"/>
        </w:rPr>
      </w:pPr>
      <w:r>
        <w:rPr>
          <w:rFonts w:hint="eastAsia" w:ascii="黑体" w:eastAsia="黑体"/>
          <w:sz w:val="36"/>
          <w:szCs w:val="36"/>
        </w:rPr>
      </w:r>
      <w:r/>
    </w:p>
    <w:p>
      <w:pPr>
        <w:rPr>
          <w:rFonts w:hint="eastAsia" w:ascii="黑体" w:eastAsia="黑体"/>
          <w:sz w:val="36"/>
          <w:szCs w:val="36"/>
        </w:rPr>
      </w:pPr>
      <w:r>
        <w:rPr>
          <w:rFonts w:hint="eastAsia" w:ascii="黑体" w:eastAsia="黑体"/>
          <w:sz w:val="36"/>
          <w:szCs w:val="36"/>
        </w:rPr>
      </w:r>
      <w:r/>
    </w:p>
    <w:p>
      <w:pPr>
        <w:pStyle w:val="678"/>
        <w:rPr>
          <w:rFonts w:hint="eastAsia" w:ascii="黑体" w:eastAsia="黑体"/>
          <w:sz w:val="36"/>
          <w:szCs w:val="36"/>
        </w:rPr>
      </w:pPr>
      <w:r>
        <w:rPr>
          <w:rFonts w:hint="eastAsia" w:ascii="黑体" w:eastAsia="黑体"/>
          <w:sz w:val="36"/>
          <w:szCs w:val="36"/>
        </w:rPr>
      </w:r>
      <w:r/>
    </w:p>
    <w:p>
      <w:pPr>
        <w:rPr>
          <w:rFonts w:hint="eastAsia"/>
        </w:rPr>
      </w:pPr>
      <w:r>
        <w:rPr>
          <w:rFonts w:hint="eastAsia"/>
        </w:rPr>
      </w:r>
      <w:r/>
    </w:p>
    <w:p>
      <w:pPr>
        <w:pStyle w:val="678"/>
        <w:rPr>
          <w:rFonts w:hint="eastAsia"/>
        </w:rPr>
      </w:pPr>
      <w:r>
        <w:rPr>
          <w:rFonts w:hint="eastAsia"/>
        </w:rPr>
      </w:r>
      <w:r/>
    </w:p>
    <w:p>
      <w:pPr>
        <w:jc w:val="center"/>
        <w:spacing w:line="500" w:lineRule="exact"/>
        <w:rPr>
          <w:rFonts w:hint="eastAsia" w:ascii="黑体" w:eastAsia="黑体"/>
          <w:sz w:val="36"/>
          <w:szCs w:val="36"/>
          <w:highlight w:val="none"/>
        </w:rPr>
      </w:pPr>
      <w:r>
        <w:rPr>
          <w:rFonts w:hint="eastAsia" w:ascii="黑体" w:eastAsia="黑体"/>
          <w:bCs/>
          <w:sz w:val="36"/>
          <w:szCs w:val="36"/>
        </w:rPr>
        <w:t xml:space="preserve">第六章  </w:t>
      </w:r>
      <w:bookmarkEnd w:id="191"/>
      <w:r/>
      <w:bookmarkEnd w:id="192"/>
      <w:r/>
      <w:bookmarkEnd w:id="194"/>
      <w:r>
        <w:rPr>
          <w:rFonts w:hint="eastAsia" w:ascii="黑体" w:eastAsia="黑体"/>
          <w:bCs/>
          <w:sz w:val="36"/>
          <w:szCs w:val="36"/>
        </w:rPr>
        <w:t xml:space="preserve">投标文件内容与格式</w:t>
      </w:r>
      <w:r/>
    </w:p>
    <w:p>
      <w:pPr>
        <w:pStyle w:val="934"/>
        <w:ind w:firstLine="602"/>
        <w:spacing w:before="0" w:after="0" w:line="500" w:lineRule="exact"/>
        <w:rPr>
          <w:rFonts w:hint="eastAsia" w:cs="Arial"/>
          <w:b/>
          <w:sz w:val="30"/>
          <w:szCs w:val="30"/>
        </w:rPr>
      </w:pPr>
      <w:r/>
      <w:bookmarkStart w:id="195" w:name="_Hlt26955039"/>
      <w:r/>
      <w:bookmarkEnd w:id="195"/>
      <w:r/>
      <w:bookmarkStart w:id="196" w:name="_Hlt26671244"/>
      <w:r/>
      <w:bookmarkEnd w:id="196"/>
      <w:r/>
      <w:bookmarkStart w:id="197" w:name="_Toc120614282"/>
      <w:r/>
      <w:bookmarkStart w:id="198" w:name="_Toc26554094"/>
      <w:r/>
      <w:bookmarkStart w:id="199" w:name="_Toc49090576"/>
      <w:r>
        <w:rPr>
          <w:rFonts w:hint="eastAsia" w:cs="Arial"/>
          <w:b/>
          <w:sz w:val="30"/>
          <w:szCs w:val="30"/>
        </w:rPr>
        <w:t xml:space="preserve">第一部分  投标文件内容</w:t>
      </w:r>
      <w:r/>
    </w:p>
    <w:p>
      <w:pPr>
        <w:pStyle w:val="93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4"/>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34"/>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34"/>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934"/>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3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w:t>
            </w:r>
            <w:r>
              <w:rPr>
                <w:rFonts w:hint="eastAsia" w:ascii="宋体" w:hAnsi="宋体" w:cs="宋体"/>
                <w:lang w:eastAsia="zh-CN"/>
              </w:rPr>
              <w:t xml:space="preserve">如</w:t>
            </w:r>
            <w:r>
              <w:rPr>
                <w:rFonts w:hint="eastAsia" w:ascii="宋体" w:hAnsi="宋体" w:cs="宋体"/>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34"/>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3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34"/>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934"/>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3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3"/>
                <w:rFonts w:hint="eastAsia" w:ascii="宋体" w:hAnsi="宋体" w:cs="宋体"/>
                <w:sz w:val="24"/>
                <w:szCs w:val="24"/>
              </w:rPr>
              <w:t xml:space="preserve">。</w:t>
            </w:r>
            <w:r/>
          </w:p>
        </w:tc>
        <w:tc>
          <w:tcPr>
            <w:tcW w:w="2449" w:type="dxa"/>
            <w:vAlign w:val="center"/>
            <w:vMerge w:val="continue"/>
            <w:textDirection w:val="lrTb"/>
            <w:noWrap w:val="false"/>
          </w:tcPr>
          <w:p>
            <w:pPr>
              <w:pStyle w:val="934"/>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934"/>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3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34"/>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934"/>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3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34"/>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34"/>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3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34"/>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34"/>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3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3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4"/>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3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3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34"/>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3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4"/>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34"/>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34"/>
              <w:ind w:firstLine="0"/>
              <w:jc w:val="center"/>
              <w:spacing w:before="0" w:after="0" w:line="240" w:lineRule="auto"/>
              <w:rPr>
                <w:rFonts w:hint="eastAsia"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934"/>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34"/>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34"/>
              <w:ind w:firstLine="0"/>
              <w:jc w:val="center"/>
              <w:spacing w:before="0" w:after="0" w:line="240" w:lineRule="auto"/>
              <w:rPr>
                <w:rFonts w:hint="eastAsia" w:cs="Arial"/>
              </w:rPr>
            </w:pPr>
            <w:r>
              <w:rPr>
                <w:rFonts w:hint="eastAsia" w:cs="Arial"/>
              </w:rPr>
              <w:t xml:space="preserve">商务符合性</w:t>
            </w:r>
            <w:r/>
          </w:p>
        </w:tc>
      </w:tr>
      <w:tr>
        <w:trPr>
          <w:cantSplit/>
          <w:jc w:val="center"/>
          <w:trHeight w:val="567"/>
        </w:trPr>
        <w:tc>
          <w:tcPr>
            <w:tcW w:w="823" w:type="dxa"/>
            <w:vAlign w:val="center"/>
            <w:textDirection w:val="lrTb"/>
            <w:noWrap w:val="false"/>
          </w:tcPr>
          <w:p>
            <w:pPr>
              <w:pStyle w:val="934"/>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34"/>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34"/>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934"/>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3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34"/>
              <w:ind w:firstLine="0"/>
              <w:jc w:val="center"/>
              <w:spacing w:before="0" w:after="0" w:line="240" w:lineRule="auto"/>
              <w:rPr>
                <w:rFonts w:hint="eastAsia" w:cs="Arial"/>
              </w:rPr>
            </w:pPr>
            <w:r>
              <w:rPr>
                <w:rFonts w:hint="eastAsia" w:cs="Arial"/>
              </w:rPr>
              <w:t xml:space="preserve">报价符合性</w:t>
            </w:r>
            <w:r/>
          </w:p>
        </w:tc>
      </w:tr>
      <w:tr>
        <w:trPr>
          <w:cantSplit/>
          <w:jc w:val="center"/>
          <w:trHeight w:val="567"/>
        </w:trPr>
        <w:tc>
          <w:tcPr>
            <w:tcW w:w="823" w:type="dxa"/>
            <w:vAlign w:val="center"/>
            <w:textDirection w:val="lrTb"/>
            <w:noWrap w:val="false"/>
          </w:tcPr>
          <w:p>
            <w:pPr>
              <w:pStyle w:val="934"/>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34"/>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34"/>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934"/>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34"/>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34"/>
              <w:ind w:firstLine="0"/>
              <w:jc w:val="center"/>
              <w:spacing w:before="0" w:after="0" w:line="240" w:lineRule="auto"/>
              <w:rPr>
                <w:rFonts w:hint="eastAsia" w:cs="Arial"/>
              </w:rPr>
            </w:pPr>
            <w:r>
              <w:rPr>
                <w:rFonts w:hint="eastAsia" w:cs="Arial"/>
              </w:rPr>
              <w:t xml:space="preserve">技术符合性</w:t>
            </w:r>
            <w:r/>
          </w:p>
        </w:tc>
      </w:tr>
      <w:tr>
        <w:trPr>
          <w:cantSplit/>
          <w:jc w:val="center"/>
          <w:trHeight w:val="567"/>
        </w:trPr>
        <w:tc>
          <w:tcPr>
            <w:tcW w:w="823" w:type="dxa"/>
            <w:vAlign w:val="center"/>
            <w:textDirection w:val="lrTb"/>
            <w:noWrap w:val="false"/>
          </w:tcPr>
          <w:p>
            <w:pPr>
              <w:pStyle w:val="934"/>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3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34"/>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34"/>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JSZC-320213-JZCG-G2024-0066</w:t>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梁溪区徐巷智慧体育公园健身设备采购项目</w:t>
      </w:r>
      <w:r/>
    </w:p>
    <w:p>
      <w:pPr>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932"/>
        <w:ind w:firstLine="480"/>
        <w:rPr>
          <w:rFonts w:hint="eastAsia"/>
          <w:sz w:val="24"/>
          <w:szCs w:val="24"/>
        </w:rPr>
      </w:pPr>
      <w:r>
        <w:rPr>
          <w:rFonts w:hint="eastAsia"/>
          <w:sz w:val="24"/>
          <w:szCs w:val="24"/>
        </w:rPr>
        <w:t xml:space="preserve">我公司（单位、联合体）针对</w:t>
      </w:r>
      <w:r>
        <w:rPr>
          <w:rFonts w:hint="eastAsia" w:ascii="宋体" w:hAnsi="宋体"/>
          <w:bCs/>
          <w:sz w:val="24"/>
          <w:szCs w:val="24"/>
          <w:lang w:eastAsia="zh-CN"/>
        </w:rPr>
        <w:t xml:space="preserve">JSZC-320213-JZCG-G2024-0066</w:t>
      </w:r>
      <w:r>
        <w:rPr>
          <w:rFonts w:hint="eastAsia" w:ascii="宋体" w:hAnsi="宋体"/>
          <w:bCs/>
          <w:sz w:val="24"/>
          <w:szCs w:val="24"/>
        </w:rPr>
        <w:t xml:space="preserve">项目，兹授权：</w:t>
      </w:r>
      <w:r/>
    </w:p>
    <w:p>
      <w:pPr>
        <w:pStyle w:val="932"/>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32"/>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32"/>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32"/>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32"/>
        <w:ind w:firstLine="480"/>
        <w:rPr>
          <w:rFonts w:hint="eastAsia"/>
          <w:sz w:val="24"/>
          <w:szCs w:val="24"/>
        </w:rPr>
      </w:pPr>
      <w:r>
        <w:rPr>
          <w:rFonts w:hint="eastAsia"/>
          <w:sz w:val="24"/>
          <w:szCs w:val="24"/>
        </w:rPr>
        <w:t xml:space="preserve">特此授权委托。</w:t>
      </w:r>
      <w:r/>
    </w:p>
    <w:p>
      <w:pPr>
        <w:pStyle w:val="932"/>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p>
    <w:p>
      <w:pPr>
        <w:pStyle w:val="932"/>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32"/>
        <w:ind w:firstLine="0"/>
        <w:rPr>
          <w:rFonts w:hint="eastAsia"/>
          <w:sz w:val="24"/>
          <w:szCs w:val="24"/>
        </w:rPr>
      </w:pPr>
      <w:r>
        <w:rPr>
          <w:rFonts w:hint="eastAsia" w:ascii="宋体" w:hAnsi="宋体" w:cs="宋体"/>
          <w:b/>
          <w:sz w:val="30"/>
          <w:lang w:eastAsia="zh-CN"/>
        </w:rPr>
        <w:t xml:space="preserve">（</w:t>
      </w:r>
      <w:r>
        <w:rPr>
          <w:rFonts w:hint="eastAsia" w:ascii="宋体" w:hAnsi="宋体" w:cs="宋体"/>
          <w:b/>
          <w:sz w:val="30"/>
        </w:rPr>
        <w:t xml:space="preserve">被授权人身份证原件扫描件附后</w:t>
      </w:r>
      <w:r>
        <w:rPr>
          <w:rFonts w:hint="eastAsia" w:ascii="宋体" w:hAnsi="宋体" w:cs="宋体"/>
          <w:b/>
          <w:sz w:val="30"/>
          <w:lang w:eastAsia="zh-CN"/>
        </w:rPr>
        <w:t xml:space="preserve">）</w:t>
      </w:r>
      <w:r/>
    </w:p>
    <w:p>
      <w:pPr>
        <w:pStyle w:val="932"/>
        <w:ind w:firstLine="0"/>
        <w:rPr>
          <w:rFonts w:hint="eastAsia"/>
          <w:sz w:val="24"/>
          <w:szCs w:val="24"/>
        </w:rPr>
      </w:pPr>
      <w:r>
        <w:rPr>
          <w:rFonts w:hint="eastAsia"/>
          <w:sz w:val="24"/>
          <w:szCs w:val="24"/>
        </w:rPr>
        <w:t xml:space="preserve">说明：</w:t>
      </w:r>
      <w:r/>
    </w:p>
    <w:p>
      <w:pPr>
        <w:pStyle w:val="932"/>
        <w:numPr>
          <w:ilvl w:val="0"/>
          <w:numId w:val="10"/>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32"/>
        <w:numPr>
          <w:ilvl w:val="0"/>
          <w:numId w:val="10"/>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32"/>
        <w:numPr>
          <w:ilvl w:val="0"/>
          <w:numId w:val="10"/>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32"/>
        <w:numPr>
          <w:ilvl w:val="0"/>
          <w:numId w:val="10"/>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w:t>
      </w:r>
      <w:r>
        <w:rPr>
          <w:rFonts w:hint="eastAsia" w:ascii="宋体" w:hAnsi="宋体"/>
          <w:bCs/>
          <w:sz w:val="24"/>
          <w:szCs w:val="24"/>
          <w:lang w:eastAsia="zh-CN"/>
        </w:rPr>
        <w:t xml:space="preserve">其他</w:t>
      </w:r>
      <w:r>
        <w:rPr>
          <w:rFonts w:hint="eastAsia" w:ascii="宋体" w:hAnsi="宋体"/>
          <w:bCs/>
          <w:sz w:val="24"/>
          <w:szCs w:val="24"/>
        </w:rPr>
        <w:t xml:space="preserve">可在中国大陆有效居留的许可证明。</w:t>
      </w:r>
      <w:r/>
    </w:p>
    <w:p>
      <w:pPr>
        <w:pStyle w:val="932"/>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200" w:name="报价方关于资格的声明函（格式）"/>
      <w:r/>
      <w:bookmarkEnd w:id="200"/>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lang w:eastAsia="zh-CN"/>
        </w:rPr>
        <w:t xml:space="preserve">JSZC-320213-JZCG-G2024-0066</w:t>
      </w:r>
      <w:r>
        <w:rPr>
          <w:rFonts w:hint="eastAsia" w:ascii="宋体" w:hAnsi="宋体"/>
          <w:bCs/>
          <w:sz w:val="24"/>
          <w:szCs w:val="24"/>
        </w:rPr>
        <w:t xml:space="preserve">进行投标，并</w:t>
      </w:r>
      <w:r>
        <w:rPr>
          <w:rFonts w:hint="eastAsia" w:ascii="宋体" w:hAnsi="宋体"/>
          <w:bCs/>
          <w:sz w:val="24"/>
          <w:szCs w:val="24"/>
          <w:lang w:eastAsia="zh-CN"/>
        </w:rPr>
        <w:t xml:space="preserve">做</w:t>
      </w:r>
      <w:r>
        <w:rPr>
          <w:rFonts w:hint="eastAsia" w:ascii="宋体" w:hAnsi="宋体"/>
          <w:bCs/>
          <w:sz w:val="24"/>
          <w:szCs w:val="24"/>
        </w:rPr>
        <w:t xml:space="preserve">如下声明</w:t>
      </w:r>
      <w:r/>
    </w:p>
    <w:p>
      <w:pPr>
        <w:ind w:firstLine="480"/>
        <w:spacing w:line="480" w:lineRule="auto"/>
        <w:rPr>
          <w:rFonts w:hint="eastAsia"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ind w:firstLine="480"/>
        <w:spacing w:line="480" w:lineRule="auto"/>
        <w:rPr>
          <w:rFonts w:hint="eastAsia" w:ascii="宋体" w:hAnsi="宋体"/>
          <w:bCs/>
          <w:sz w:val="24"/>
          <w:szCs w:val="24"/>
        </w:rPr>
      </w:pPr>
      <w:r>
        <w:rPr>
          <w:rFonts w:hint="eastAsia" w:ascii="宋体" w:hAnsi="宋体"/>
          <w:bCs/>
          <w:sz w:val="24"/>
          <w:szCs w:val="24"/>
        </w:rPr>
        <w:t xml:space="preserve">3.本公司（单位、联合体）无被“信用中国”网站（www.creditchina.gov.cn）、中国政府采购网</w:t>
      </w:r>
      <w:r>
        <w:rPr>
          <w:rFonts w:hint="eastAsia" w:ascii="宋体" w:hAnsi="宋体"/>
          <w:bCs/>
          <w:sz w:val="24"/>
          <w:szCs w:val="24"/>
          <w:lang w:eastAsia="zh-CN"/>
        </w:rPr>
        <w:t xml:space="preserve">（</w:t>
      </w:r>
      <w:r>
        <w:rPr>
          <w:rFonts w:hint="eastAsia" w:ascii="宋体" w:hAnsi="宋体"/>
          <w:bCs/>
          <w:sz w:val="24"/>
          <w:szCs w:val="24"/>
        </w:rPr>
        <w:t xml:space="preserve">www.ccgp.gov.cn</w:t>
      </w:r>
      <w:r>
        <w:rPr>
          <w:rFonts w:hint="eastAsia" w:ascii="宋体" w:hAnsi="宋体"/>
          <w:bCs/>
          <w:sz w:val="24"/>
          <w:szCs w:val="24"/>
          <w:lang w:eastAsia="zh-CN"/>
        </w:rPr>
        <w:t xml:space="preserve">）</w:t>
      </w:r>
      <w:r>
        <w:rPr>
          <w:rFonts w:hint="eastAsia" w:ascii="宋体" w:hAnsi="宋体"/>
          <w:bCs/>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黑体" w:eastAsia="黑体"/>
          <w:bCs/>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ascii="宋体" w:hAnsi="宋体"/>
          <w:bCs/>
          <w:sz w:val="24"/>
          <w:szCs w:val="24"/>
        </w:rPr>
      </w:pPr>
      <w:r>
        <w:rPr>
          <w:rFonts w:ascii="宋体" w:hAnsi="宋体"/>
          <w:bCs/>
          <w:sz w:val="24"/>
          <w:szCs w:val="24"/>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lang w:eastAsia="zh-CN"/>
        </w:rPr>
        <w:t xml:space="preserve">只需</w:t>
      </w:r>
      <w:r>
        <w:rPr>
          <w:rFonts w:hint="eastAsia"/>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w:t>
      </w:r>
      <w:r>
        <w:rPr>
          <w:rFonts w:hint="eastAsia"/>
          <w:lang w:eastAsia="zh-CN"/>
        </w:rPr>
        <w:t xml:space="preserve">不能</w:t>
      </w:r>
      <w:r>
        <w:rPr>
          <w:rFonts w:hint="eastAsia"/>
        </w:rPr>
        <w:t xml:space="preserve">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w:t>
      </w:r>
      <w:r>
        <w:rPr>
          <w:rFonts w:hint="eastAsia"/>
          <w:lang w:eastAsia="zh-CN"/>
        </w:rPr>
        <w:t xml:space="preserve">，可</w:t>
      </w:r>
      <w:r>
        <w:rPr>
          <w:rFonts w:hint="eastAsia"/>
        </w:rPr>
        <w:t xml:space="preserve">依照《中华人民共和国政府采购法》等国家有关规定追究相应责任。</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w:t>
      </w:r>
      <w:r>
        <w:rPr>
          <w:rFonts w:hint="eastAsia" w:ascii="宋体" w:hAnsi="宋体"/>
          <w:bCs/>
          <w:sz w:val="24"/>
          <w:szCs w:val="24"/>
          <w:lang w:eastAsia="zh-CN"/>
        </w:rPr>
        <w:t xml:space="preserve">〔2017〕141号</w:t>
      </w:r>
      <w:r>
        <w:rPr>
          <w:rFonts w:hint="eastAsia" w:ascii="宋体" w:hAnsi="宋体"/>
          <w:bCs/>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w:t>
      </w: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JSZC-320213-JZCG-G2024-0066</w:t>
      </w:r>
      <w:r>
        <w:rPr>
          <w:rFonts w:hint="eastAsia" w:ascii="宋体" w:hAnsi="宋体"/>
          <w:bCs/>
          <w:sz w:val="24"/>
          <w:szCs w:val="24"/>
        </w:rPr>
        <w:t xml:space="preserve">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21"/>
          <w:bCs/>
        </w:rPr>
      </w:pPr>
      <w:r>
        <w:rPr>
          <w:rFonts w:hint="eastAsia" w:ascii="宋体" w:hAnsi="宋体"/>
          <w:bCs/>
          <w:sz w:val="24"/>
          <w:szCs w:val="24"/>
        </w:rPr>
        <w:t xml:space="preserve">我方愿意提供</w:t>
      </w: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w:t>
      </w:r>
      <w:r>
        <w:rPr>
          <w:rFonts w:hint="eastAsia" w:ascii="宋体" w:hAnsi="宋体"/>
          <w:bCs/>
          <w:sz w:val="24"/>
          <w:szCs w:val="24"/>
          <w:lang w:eastAsia="zh-CN"/>
        </w:rPr>
        <w:t xml:space="preserve">按照</w:t>
      </w:r>
      <w:r>
        <w:rPr>
          <w:rFonts w:hint="eastAsia" w:ascii="宋体" w:hAnsi="宋体"/>
          <w:bCs/>
          <w:sz w:val="24"/>
          <w:szCs w:val="24"/>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w:t>
      </w:r>
      <w:r>
        <w:rPr>
          <w:rFonts w:hint="eastAsia" w:ascii="宋体" w:hAnsi="宋体"/>
          <w:bCs/>
          <w:sz w:val="24"/>
          <w:szCs w:val="24"/>
          <w:lang w:eastAsia="zh-CN"/>
        </w:rPr>
        <w:t xml:space="preserve">缴纳</w:t>
      </w:r>
      <w:r>
        <w:rPr>
          <w:rFonts w:hint="eastAsia" w:ascii="宋体" w:hAnsi="宋体"/>
          <w:bCs/>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hint="eastAsia" w:ascii="宋体" w:hAnsi="宋体"/>
          <w:bCs/>
          <w:sz w:val="24"/>
          <w:szCs w:val="24"/>
          <w:lang w:eastAsia="zh-CN"/>
        </w:rPr>
        <w:t xml:space="preserve">其他</w:t>
      </w:r>
      <w:r>
        <w:rPr>
          <w:rFonts w:hint="eastAsia" w:ascii="宋体" w:hAnsi="宋体"/>
          <w:bCs/>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spacing w:line="460" w:lineRule="exact"/>
        <w:rPr>
          <w:rFonts w:hint="eastAsia" w:ascii="宋体" w:hAnsi="宋体"/>
          <w:bCs/>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JSZC-320213-JZCG-G2024-0066</w:t>
      </w:r>
      <w:r>
        <w:rPr>
          <w:rFonts w:hint="eastAsia" w:ascii="宋体" w:hAnsi="宋体"/>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w:t>
      </w:r>
      <w:r>
        <w:rPr>
          <w:rFonts w:hint="eastAsia" w:ascii="宋体"/>
          <w:bCs/>
          <w:sz w:val="24"/>
          <w:szCs w:val="24"/>
          <w:lang w:eastAsia="zh-CN"/>
        </w:rPr>
        <w:t xml:space="preserve">按照</w:t>
      </w:r>
      <w:r>
        <w:rPr>
          <w:rFonts w:hint="eastAsia" w:ascii="宋体"/>
          <w:bCs/>
          <w:sz w:val="24"/>
          <w:szCs w:val="24"/>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sz w:val="24"/>
          <w:szCs w:val="24"/>
        </w:rPr>
      </w:pPr>
      <w:r>
        <w:rPr>
          <w:rFonts w:hint="eastAsia" w:ascii="宋体"/>
          <w:bCs/>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sz w:val="24"/>
          <w:szCs w:val="24"/>
        </w:rPr>
      </w:pPr>
      <w:r>
        <w:rPr>
          <w:rFonts w:hint="eastAsia" w:ascii="宋体"/>
          <w:bCs/>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投标人名称（盖章）：</w:t>
      </w:r>
      <w:r/>
    </w:p>
    <w:p>
      <w:pPr>
        <w:rPr>
          <w:rFonts w:ascii="宋体"/>
          <w:bCs/>
          <w:sz w:val="24"/>
          <w:szCs w:val="24"/>
        </w:rPr>
        <w:outlineLvl w:val="0"/>
      </w:pPr>
      <w:r>
        <w:rPr>
          <w:rFonts w:ascii="宋体"/>
          <w:bCs/>
          <w:sz w:val="24"/>
          <w:szCs w:val="24"/>
        </w:rPr>
        <w:t xml:space="preserve"> </w:t>
      </w:r>
      <w:r/>
    </w:p>
    <w:p>
      <w:pPr>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rPr>
      </w:pPr>
      <w:r>
        <w:rPr>
          <w:rFonts w:hint="eastAsia" w:ascii="黑体" w:eastAsia="黑体"/>
          <w:bCs/>
          <w:sz w:val="24"/>
          <w:szCs w:val="24"/>
        </w:rPr>
        <w:t xml:space="preserve"> </w:t>
      </w:r>
      <w:r/>
    </w:p>
    <w:p>
      <w:pPr>
        <w:spacing w:line="360" w:lineRule="auto"/>
        <w:rPr>
          <w:rFonts w:hint="eastAsia" w:ascii="黑体" w:eastAsia="黑体"/>
          <w:bCs/>
          <w:sz w:val="24"/>
          <w:szCs w:val="24"/>
        </w:rPr>
      </w:pPr>
      <w:r>
        <w:rPr>
          <w:rFonts w:hint="eastAsia" w:ascii="黑体" w:eastAsia="黑体"/>
          <w:bCs/>
          <w:sz w:val="24"/>
          <w:szCs w:val="24"/>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JSZC-320213-JZCG-G2024-0066</w:t>
      </w:r>
      <w:r/>
    </w:p>
    <w:tbl>
      <w:tblPr>
        <w:tblStyle w:val="67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hint="eastAsia" w:ascii="宋体" w:hAnsi="宋体"/>
                <w:b/>
                <w:bCs/>
                <w:sz w:val="24"/>
                <w:szCs w:val="24"/>
                <w:lang w:eastAsia="zh-CN"/>
              </w:rPr>
              <w:t xml:space="preserve">（</w:t>
            </w:r>
            <w:r>
              <w:rPr>
                <w:rFonts w:hint="eastAsia" w:ascii="宋体" w:hAnsi="宋体"/>
                <w:b/>
                <w:bCs/>
                <w:sz w:val="24"/>
                <w:szCs w:val="24"/>
              </w:rPr>
              <w:t xml:space="preserve">小写</w:t>
            </w:r>
            <w:r>
              <w:rPr>
                <w:rFonts w:hint="eastAsia" w:ascii="宋体" w:hAnsi="宋体"/>
                <w:b/>
                <w:bCs/>
                <w:sz w:val="24"/>
                <w:szCs w:val="24"/>
                <w:lang w:eastAsia="zh-CN"/>
              </w:rPr>
              <w:t xml:space="preserve">）</w:t>
            </w:r>
            <w:r/>
          </w:p>
        </w:tc>
      </w:tr>
      <w:tr>
        <w:trPr>
          <w:cantSplit/>
          <w:trHeight w:val="1630"/>
        </w:trPr>
        <w:tc>
          <w:tcPr>
            <w:tcW w:w="5697" w:type="dxa"/>
            <w:vAlign w:val="center"/>
            <w:textDirection w:val="lrTb"/>
            <w:noWrap w:val="false"/>
          </w:tcPr>
          <w:p>
            <w:pPr>
              <w:pStyle w:val="960"/>
              <w:jc w:val="center"/>
              <w:spacing w:line="400" w:lineRule="exact"/>
              <w:rPr>
                <w:rFonts w:hint="eastAsia" w:hAnsi="宋体" w:eastAsia="宋体"/>
                <w:bCs/>
                <w:szCs w:val="24"/>
                <w:lang w:eastAsia="zh-CN"/>
              </w:rPr>
            </w:pPr>
            <w:r>
              <w:rPr>
                <w:rFonts w:hint="eastAsia" w:hAnsi="宋体"/>
                <w:bCs/>
                <w:szCs w:val="24"/>
                <w:lang w:eastAsia="zh-CN"/>
              </w:rPr>
              <w:t xml:space="preserve">梁溪区徐巷智慧体育公园健身设备采购项目</w:t>
            </w:r>
            <w:r/>
          </w:p>
        </w:tc>
        <w:tc>
          <w:tcPr>
            <w:tcW w:w="3188" w:type="dxa"/>
            <w:vAlign w:val="center"/>
            <w:textDirection w:val="lrTb"/>
            <w:noWrap w:val="false"/>
          </w:tcPr>
          <w:p>
            <w:pPr>
              <w:pStyle w:val="960"/>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p>
        </w:tc>
      </w:tr>
    </w:tbl>
    <w:p>
      <w:pPr>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spacing w:line="400" w:lineRule="exact"/>
        <w:rPr>
          <w:rFonts w:hint="eastAsia" w:ascii="黑体" w:eastAsia="黑体"/>
          <w:bCs/>
          <w:sz w:val="24"/>
          <w:szCs w:val="24"/>
        </w:rPr>
      </w:pPr>
      <w:r>
        <w:rPr>
          <w:rFonts w:hint="eastAsia" w:ascii="黑体" w:eastAsia="黑体"/>
          <w:bCs/>
          <w:sz w:val="24"/>
          <w:szCs w:val="24"/>
        </w:rPr>
      </w:r>
      <w:r/>
    </w:p>
    <w:p>
      <w:pPr>
        <w:spacing w:line="400" w:lineRule="exact"/>
        <w:rPr>
          <w:rFonts w:hint="eastAsia" w:ascii="黑体" w:eastAsia="黑体"/>
          <w:bCs/>
          <w:sz w:val="24"/>
          <w:szCs w:val="24"/>
        </w:rPr>
      </w:pPr>
      <w:r>
        <w:rPr>
          <w:rFonts w:hint="eastAsia" w:ascii="黑体" w:eastAsia="黑体"/>
          <w:bCs/>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JSZC-320213-JZCG-G2024-0066</w:t>
      </w:r>
      <w:r/>
    </w:p>
    <w:tbl>
      <w:tblPr>
        <w:tblStyle w:val="67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95"/>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p>
        </w:tc>
        <w:tc>
          <w:tcPr>
            <w:tcMar>
              <w:left w:w="15" w:type="dxa"/>
              <w:top w:w="15" w:type="dxa"/>
              <w:right w:w="15" w:type="dxa"/>
              <w:bottom w:w="0" w:type="dxa"/>
            </w:tcMar>
            <w:tcW w:w="1050" w:type="dxa"/>
            <w:vAlign w:val="center"/>
            <w:textDirection w:val="lrTb"/>
            <w:noWrap/>
          </w:tcPr>
          <w:p>
            <w:pPr>
              <w:pStyle w:val="895"/>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945" w:type="dxa"/>
            <w:vAlign w:val="center"/>
            <w:textDirection w:val="lrTb"/>
            <w:noWrap w:val="false"/>
          </w:tcPr>
          <w:p>
            <w:pPr>
              <w:pStyle w:val="895"/>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895"/>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895"/>
              <w:tabs>
                <w:tab w:val="clear" w:pos="4153" w:leader="none"/>
                <w:tab w:val="clear" w:pos="8306" w:leader="none"/>
              </w:tabs>
              <w:rPr>
                <w:rFonts w:ascii="宋体"/>
                <w:bCs/>
                <w:lang w:val="en-US" w:eastAsia="zh-CN"/>
              </w:rPr>
              <w:pBdr>
                <w:bottom w:val="none" w:color="000000" w:sz="0" w:space="0"/>
              </w:pBdr>
            </w:pPr>
            <w:r>
              <w:rPr>
                <w:rFonts w:ascii="宋体"/>
                <w:bCs/>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rPr>
            </w:pPr>
            <w:r>
              <w:rPr>
                <w:rFonts w:hint="eastAsia" w:ascii="黑体" w:eastAsia="黑体"/>
                <w:b/>
                <w:bCs/>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hint="eastAsia" w:ascii="宋体" w:hAnsi="宋体"/>
          <w:b/>
        </w:rPr>
        <w:outlineLvl w:val="0"/>
      </w:pPr>
      <w:r>
        <w:rPr>
          <w:rFonts w:hint="eastAsia" w:ascii="宋体" w:hAnsi="宋体"/>
          <w:b/>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w:t>
      </w:r>
      <w:r>
        <w:rPr>
          <w:rFonts w:hint="eastAsia" w:ascii="宋体"/>
          <w:bCs/>
          <w:lang w:eastAsia="zh-CN"/>
        </w:rPr>
        <w:t xml:space="preserve">（</w:t>
      </w:r>
      <w:r>
        <w:rPr>
          <w:rFonts w:hint="eastAsia" w:ascii="宋体"/>
          <w:bCs/>
        </w:rPr>
        <w:t xml:space="preserve">货物</w:t>
      </w:r>
      <w:r>
        <w:rPr>
          <w:rFonts w:hint="eastAsia" w:ascii="宋体"/>
          <w:bCs/>
          <w:lang w:eastAsia="zh-CN"/>
        </w:rPr>
        <w:t xml:space="preserve">）</w:t>
      </w:r>
      <w:r>
        <w:rPr>
          <w:rFonts w:hint="eastAsia" w:ascii="宋体"/>
          <w:bCs/>
        </w:rPr>
        <w:t xml:space="preserve">相应内容须与上表填列内容保持一致）；或提供由省级以上监狱管理局、戒毒管理局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无锡市公共资源交易中心梁溪分中心</w:t>
      </w:r>
      <w:r>
        <w:rPr>
          <w:rFonts w:hint="eastAsia" w:asci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7"/>
      <w:r/>
      <w:bookmarkEnd w:id="198"/>
      <w:r/>
      <w:bookmarkEnd w:id="199"/>
      <w:r/>
      <w:bookmarkStart w:id="201" w:name="_Toc120614284"/>
      <w:r/>
      <w:r/>
    </w:p>
    <w:p>
      <w:pPr>
        <w:spacing w:line="400" w:lineRule="exact"/>
        <w:rPr>
          <w:rFonts w:ascii="宋体" w:hAnsi="宋体" w:cs="宋体"/>
          <w:lang w:val="zh-CN"/>
        </w:rPr>
        <w:outlineLvl w:val="0"/>
      </w:pPr>
      <w:r>
        <w:rPr>
          <w:rFonts w:ascii="宋体" w:hAnsi="宋体" w:cs="宋体"/>
          <w:lang w:val="zh-CN"/>
        </w:rPr>
        <w:t xml:space="preserve"> </w:t>
      </w:r>
      <w:r/>
    </w:p>
    <w:p>
      <w:pPr>
        <w:spacing w:line="360" w:lineRule="auto"/>
        <w:rPr>
          <w:rFonts w:hint="eastAsia"/>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JSZC-320213-JZCG-G2024-0066</w:t>
      </w:r>
      <w:r/>
    </w:p>
    <w:tbl>
      <w:tblPr>
        <w:tblStyle w:val="67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hint="eastAsia" w:ascii="宋体" w:eastAsia="黑体"/>
          <w:b/>
          <w:sz w:val="24"/>
          <w:szCs w:val="24"/>
        </w:rPr>
      </w:pPr>
      <w:r>
        <w:rPr>
          <w:rFonts w:hint="eastAsia" w:ascii="黑体" w:eastAsia="黑体"/>
          <w:bCs/>
          <w:sz w:val="24"/>
          <w:szCs w:val="24"/>
        </w:rPr>
        <w:t xml:space="preserve">投标人名称（盖章）：</w:t>
      </w:r>
      <w:r/>
    </w:p>
    <w:p>
      <w:pPr>
        <w:rPr>
          <w:rFonts w:ascii="宋体"/>
          <w:bCs/>
          <w:sz w:val="30"/>
        </w:rPr>
      </w:pPr>
      <w:r>
        <w:rPr>
          <w:rFonts w:ascii="宋体"/>
          <w:bCs/>
          <w:sz w:val="30"/>
        </w:rPr>
      </w:r>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01"/>
      <w:r/>
      <w:bookmarkStart w:id="202" w:name="_Hlt26955066"/>
      <w:r/>
      <w:bookmarkEnd w:id="202"/>
      <w:r/>
      <w:bookmarkStart w:id="203" w:name="_Hlt26671374"/>
      <w:r/>
      <w:bookmarkEnd w:id="203"/>
      <w:r/>
      <w:bookmarkStart w:id="204" w:name="_格式2__法定代表人授权书"/>
      <w:r/>
      <w:bookmarkEnd w:id="204"/>
      <w:r/>
      <w:bookmarkStart w:id="205" w:name="_Hlt26609389"/>
      <w:r/>
      <w:bookmarkEnd w:id="205"/>
      <w:r/>
      <w:r/>
    </w:p>
    <w:p>
      <w:pPr>
        <w:ind w:firstLine="420"/>
        <w:rPr>
          <w:rFonts w:hint="eastAsia" w:ascii="宋体" w:hAnsi="宋体"/>
          <w:bCs/>
          <w:sz w:val="24"/>
          <w:szCs w:val="24"/>
        </w:rPr>
        <w:outlineLvl w:val="0"/>
      </w:pPr>
      <w:r>
        <w:rPr>
          <w:rFonts w:hint="eastAsia"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spacing w:line="360" w:lineRule="auto"/>
      </w:pPr>
      <w:r>
        <w:t xml:space="preserve"> </w:t>
      </w:r>
      <w:r/>
    </w:p>
    <w:p>
      <w:pPr>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9"/>
        <w:rFonts w:ascii="宋体" w:hAnsi="宋体"/>
      </w:rPr>
      <w:framePr w:wrap="around" w:vAnchor="text" w:hAnchor="margin" w:xAlign="center" w:y="1"/>
    </w:pPr>
    <w:r>
      <w:rPr>
        <w:rFonts w:ascii="宋体" w:hAnsi="宋体"/>
      </w:rPr>
      <w:fldChar w:fldCharType="begin"/>
    </w:r>
    <w:r>
      <w:rPr>
        <w:rStyle w:val="919"/>
        <w:rFonts w:ascii="宋体" w:hAnsi="宋体"/>
      </w:rPr>
      <w:instrText xml:space="preserve">PAGE  </w:instrText>
    </w:r>
    <w:r>
      <w:rPr>
        <w:rFonts w:ascii="宋体" w:hAnsi="宋体"/>
      </w:rPr>
      <w:fldChar w:fldCharType="separate"/>
    </w:r>
    <w:r>
      <w:rPr>
        <w:rStyle w:val="919"/>
        <w:rFonts w:ascii="宋体" w:hAnsi="宋体"/>
      </w:rPr>
      <w:t xml:space="preserve">３４</w:t>
    </w:r>
    <w:r>
      <w:rPr>
        <w:rFonts w:ascii="宋体" w:hAnsi="宋体"/>
      </w:rPr>
      <w:fldChar w:fldCharType="end"/>
    </w:r>
    <w:r/>
  </w:p>
  <w:p>
    <w:pPr>
      <w:pStyle w:val="89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4"/>
      <w:isLgl w:val="false"/>
      <w:suff w:val="nothing"/>
      <w:lvlText w:val=""/>
      <w:lvlJc w:val="left"/>
      <w:pPr>
        <w:ind w:left="0" w:firstLine="0"/>
      </w:pPr>
      <w:rPr>
        <w:rFonts w:hint="eastAsia"/>
      </w:rPr>
    </w:lvl>
    <w:lvl w:ilvl="6">
      <w:start w:val="1"/>
      <w:numFmt w:val="decimal"/>
      <w:pStyle w:val="855"/>
      <w:isLgl w:val="false"/>
      <w:suff w:val="nothing"/>
      <w:lvlText w:val=""/>
      <w:lvlJc w:val="left"/>
      <w:pPr>
        <w:ind w:left="0" w:firstLine="0"/>
      </w:pPr>
      <w:rPr>
        <w:rFonts w:hint="eastAsia"/>
      </w:rPr>
    </w:lvl>
    <w:lvl w:ilvl="7">
      <w:start w:val="1"/>
      <w:numFmt w:val="decimal"/>
      <w:pStyle w:val="856"/>
      <w:isLgl w:val="false"/>
      <w:suff w:val="nothing"/>
      <w:lvlText w:val=""/>
      <w:lvlJc w:val="left"/>
      <w:pPr>
        <w:ind w:left="0" w:firstLine="0"/>
      </w:pPr>
      <w:rPr>
        <w:rFonts w:hint="eastAsia"/>
      </w:rPr>
    </w:lvl>
    <w:lvl w:ilvl="8">
      <w:start w:val="1"/>
      <w:numFmt w:val="decimal"/>
      <w:pStyle w:val="85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3"/>
  </w:num>
  <w:num w:numId="2">
    <w:abstractNumId w:val="2"/>
  </w:num>
  <w:num w:numId="3">
    <w:abstractNumId w:val="8"/>
  </w:num>
  <w:num w:numId="4">
    <w:abstractNumId w:val="1"/>
  </w:num>
  <w:num w:numId="5">
    <w:abstractNumId w:val="5"/>
  </w:num>
  <w:num w:numId="6">
    <w:abstractNumId w:val="6"/>
  </w:num>
  <w:num w:numId="7">
    <w:abstractNumId w:val="10"/>
  </w:num>
  <w:num w:numId="8">
    <w:abstractNumId w:val="4"/>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link w:val="96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7">
    <w:name w:val="Heading 1"/>
    <w:basedOn w:val="666"/>
    <w:next w:val="666"/>
    <w:link w:val="700"/>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1"/>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2"/>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0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0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文本1"/>
    <w:basedOn w:val="666"/>
    <w:next w:val="666"/>
    <w:link w:val="878"/>
    <w:uiPriority w:val="0"/>
    <w:qFormat/>
    <w:rPr>
      <w:rFonts w:ascii="楷体_GB2312" w:hAnsi="Arial" w:eastAsia="楷体_GB2312"/>
      <w:sz w:val="28"/>
      <w:szCs w:val="28"/>
      <w:lang w:val="en-US" w:eastAsia="en-US"/>
    </w:rPr>
  </w:style>
  <w:style w:type="paragraph" w:styleId="679">
    <w:name w:val="toc 7"/>
    <w:basedOn w:val="666"/>
    <w:next w:val="666"/>
    <w:uiPriority w:val="39"/>
    <w:unhideWhenUsed/>
    <w:qFormat/>
    <w:pPr>
      <w:ind w:left="1701" w:right="0" w:firstLine="0"/>
      <w:spacing w:after="57"/>
    </w:p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toc 5"/>
    <w:basedOn w:val="666"/>
    <w:next w:val="666"/>
    <w:uiPriority w:val="39"/>
    <w:unhideWhenUsed/>
    <w:qFormat/>
    <w:pPr>
      <w:ind w:left="1134" w:right="0" w:firstLine="0"/>
      <w:spacing w:after="57"/>
    </w:pPr>
  </w:style>
  <w:style w:type="paragraph" w:styleId="682">
    <w:name w:val="toc 3"/>
    <w:basedOn w:val="666"/>
    <w:next w:val="666"/>
    <w:uiPriority w:val="39"/>
    <w:unhideWhenUsed/>
    <w:qFormat/>
    <w:pPr>
      <w:ind w:left="567" w:right="0" w:firstLine="0"/>
      <w:spacing w:after="57"/>
    </w:pPr>
  </w:style>
  <w:style w:type="paragraph" w:styleId="683">
    <w:name w:val="toc 8"/>
    <w:basedOn w:val="666"/>
    <w:next w:val="666"/>
    <w:uiPriority w:val="39"/>
    <w:unhideWhenUsed/>
    <w:qFormat/>
    <w:pPr>
      <w:ind w:left="1984" w:right="0" w:firstLine="0"/>
      <w:spacing w:after="57"/>
    </w:pPr>
  </w:style>
  <w:style w:type="paragraph" w:styleId="684">
    <w:name w:val="endnote text"/>
    <w:basedOn w:val="666"/>
    <w:link w:val="846"/>
    <w:uiPriority w:val="99"/>
    <w:semiHidden/>
    <w:unhideWhenUsed/>
    <w:qFormat/>
    <w:pPr>
      <w:spacing w:after="0" w:line="240" w:lineRule="auto"/>
    </w:pPr>
    <w:rPr>
      <w:sz w:val="20"/>
    </w:rPr>
  </w:style>
  <w:style w:type="paragraph" w:styleId="685">
    <w:name w:val="Footer"/>
    <w:basedOn w:val="666"/>
    <w:next w:val="666"/>
    <w:link w:val="719"/>
    <w:uiPriority w:val="99"/>
    <w:unhideWhenUsed/>
    <w:qFormat/>
    <w:pPr>
      <w:spacing w:after="0" w:line="240" w:lineRule="auto"/>
      <w:tabs>
        <w:tab w:val="center" w:pos="7143" w:leader="none"/>
        <w:tab w:val="right" w:pos="14287" w:leader="none"/>
      </w:tabs>
    </w:pPr>
  </w:style>
  <w:style w:type="paragraph" w:styleId="686">
    <w:name w:val="Header"/>
    <w:basedOn w:val="666"/>
    <w:link w:val="717"/>
    <w:uiPriority w:val="99"/>
    <w:unhideWhenUsed/>
    <w:qFormat/>
    <w:pPr>
      <w:spacing w:after="0" w:line="240" w:lineRule="auto"/>
      <w:tabs>
        <w:tab w:val="center" w:pos="7143" w:leader="none"/>
        <w:tab w:val="right" w:pos="14287" w:leader="none"/>
      </w:tabs>
    </w:pPr>
  </w:style>
  <w:style w:type="paragraph" w:styleId="687">
    <w:name w:val="toc 1"/>
    <w:basedOn w:val="666"/>
    <w:next w:val="666"/>
    <w:uiPriority w:val="39"/>
    <w:unhideWhenUsed/>
    <w:qFormat/>
    <w:pPr>
      <w:ind w:left="0" w:right="0" w:firstLine="0"/>
      <w:spacing w:after="57"/>
    </w:pPr>
  </w:style>
  <w:style w:type="paragraph" w:styleId="688">
    <w:name w:val="toc 4"/>
    <w:basedOn w:val="666"/>
    <w:next w:val="666"/>
    <w:uiPriority w:val="39"/>
    <w:unhideWhenUsed/>
    <w:qFormat/>
    <w:pPr>
      <w:ind w:left="850" w:right="0" w:firstLine="0"/>
      <w:spacing w:after="57"/>
    </w:pPr>
  </w:style>
  <w:style w:type="paragraph" w:styleId="689">
    <w:name w:val="Subtitle"/>
    <w:basedOn w:val="666"/>
    <w:next w:val="666"/>
    <w:link w:val="712"/>
    <w:uiPriority w:val="11"/>
    <w:qFormat/>
    <w:pPr>
      <w:spacing w:before="200" w:after="200"/>
    </w:pPr>
    <w:rPr>
      <w:sz w:val="24"/>
      <w:szCs w:val="24"/>
    </w:rPr>
  </w:style>
  <w:style w:type="paragraph" w:styleId="690">
    <w:name w:val="footnote text"/>
    <w:basedOn w:val="666"/>
    <w:link w:val="845"/>
    <w:uiPriority w:val="99"/>
    <w:semiHidden/>
    <w:unhideWhenUsed/>
    <w:qFormat/>
    <w:pPr>
      <w:spacing w:after="40" w:line="240" w:lineRule="auto"/>
    </w:pPr>
    <w:rPr>
      <w:sz w:val="18"/>
    </w:rPr>
  </w:style>
  <w:style w:type="paragraph" w:styleId="691">
    <w:name w:val="toc 6"/>
    <w:basedOn w:val="666"/>
    <w:next w:val="666"/>
    <w:uiPriority w:val="39"/>
    <w:unhideWhenUsed/>
    <w:qFormat/>
    <w:pPr>
      <w:ind w:left="1417" w:right="0" w:firstLine="0"/>
      <w:spacing w:after="57"/>
    </w:pPr>
  </w:style>
  <w:style w:type="paragraph" w:styleId="692">
    <w:name w:val="table of figures"/>
    <w:basedOn w:val="666"/>
    <w:next w:val="666"/>
    <w:uiPriority w:val="99"/>
    <w:unhideWhenUsed/>
    <w:qFormat/>
    <w:pPr>
      <w:spacing w:after="0" w:afterAutospacing="0"/>
    </w:pPr>
  </w:style>
  <w:style w:type="paragraph" w:styleId="693">
    <w:name w:val="toc 2"/>
    <w:basedOn w:val="666"/>
    <w:next w:val="666"/>
    <w:uiPriority w:val="39"/>
    <w:unhideWhenUsed/>
    <w:qFormat/>
    <w:pPr>
      <w:ind w:left="283" w:right="0" w:firstLine="0"/>
      <w:spacing w:after="57"/>
    </w:pPr>
  </w:style>
  <w:style w:type="paragraph" w:styleId="694">
    <w:name w:val="toc 9"/>
    <w:basedOn w:val="666"/>
    <w:next w:val="666"/>
    <w:uiPriority w:val="39"/>
    <w:unhideWhenUsed/>
    <w:qFormat/>
    <w:pPr>
      <w:ind w:left="2268" w:right="0" w:firstLine="0"/>
      <w:spacing w:after="57"/>
    </w:pPr>
  </w:style>
  <w:style w:type="paragraph" w:styleId="695">
    <w:name w:val="Title"/>
    <w:basedOn w:val="666"/>
    <w:next w:val="666"/>
    <w:link w:val="711"/>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character" w:styleId="700" w:customStyle="1">
    <w:name w:val="Heading 1 Char"/>
    <w:link w:val="667"/>
    <w:uiPriority w:val="9"/>
    <w:qFormat/>
    <w:rPr>
      <w:rFonts w:ascii="Arial" w:hAnsi="Arial" w:eastAsia="Arial" w:cs="Arial"/>
      <w:sz w:val="40"/>
      <w:szCs w:val="40"/>
    </w:rPr>
  </w:style>
  <w:style w:type="character" w:styleId="701" w:customStyle="1">
    <w:name w:val="Heading 2 Char"/>
    <w:link w:val="668"/>
    <w:uiPriority w:val="9"/>
    <w:qFormat/>
    <w:rPr>
      <w:rFonts w:ascii="Arial" w:hAnsi="Arial" w:eastAsia="Arial" w:cs="Arial"/>
      <w:sz w:val="34"/>
    </w:rPr>
  </w:style>
  <w:style w:type="character" w:styleId="702" w:customStyle="1">
    <w:name w:val="Heading 3 Char"/>
    <w:link w:val="669"/>
    <w:uiPriority w:val="9"/>
    <w:qFormat/>
    <w:rPr>
      <w:rFonts w:ascii="Arial" w:hAnsi="Arial" w:eastAsia="Arial" w:cs="Arial"/>
      <w:sz w:val="30"/>
      <w:szCs w:val="30"/>
    </w:rPr>
  </w:style>
  <w:style w:type="character" w:styleId="703" w:customStyle="1">
    <w:name w:val="Heading 4 Char"/>
    <w:link w:val="670"/>
    <w:uiPriority w:val="9"/>
    <w:qFormat/>
    <w:rPr>
      <w:rFonts w:ascii="Arial" w:hAnsi="Arial" w:eastAsia="Arial" w:cs="Arial"/>
      <w:b/>
      <w:bCs/>
      <w:sz w:val="26"/>
      <w:szCs w:val="26"/>
    </w:rPr>
  </w:style>
  <w:style w:type="character" w:styleId="704" w:customStyle="1">
    <w:name w:val="Heading 5 Char"/>
    <w:link w:val="671"/>
    <w:uiPriority w:val="9"/>
    <w:qFormat/>
    <w:rPr>
      <w:rFonts w:ascii="Arial" w:hAnsi="Arial" w:eastAsia="Arial" w:cs="Arial"/>
      <w:b/>
      <w:bCs/>
      <w:sz w:val="24"/>
      <w:szCs w:val="24"/>
    </w:rPr>
  </w:style>
  <w:style w:type="character" w:styleId="705" w:customStyle="1">
    <w:name w:val="Heading 6 Char"/>
    <w:link w:val="672"/>
    <w:uiPriority w:val="9"/>
    <w:qFormat/>
    <w:rPr>
      <w:rFonts w:ascii="Arial" w:hAnsi="Arial" w:eastAsia="Arial" w:cs="Arial"/>
      <w:b/>
      <w:bCs/>
      <w:sz w:val="22"/>
      <w:szCs w:val="22"/>
    </w:rPr>
  </w:style>
  <w:style w:type="character" w:styleId="706" w:customStyle="1">
    <w:name w:val="Heading 7 Char"/>
    <w:link w:val="673"/>
    <w:uiPriority w:val="9"/>
    <w:qFormat/>
    <w:rPr>
      <w:rFonts w:ascii="Arial" w:hAnsi="Arial" w:eastAsia="Arial" w:cs="Arial"/>
      <w:b/>
      <w:bCs/>
      <w:i/>
      <w:iCs/>
      <w:sz w:val="22"/>
      <w:szCs w:val="22"/>
    </w:rPr>
  </w:style>
  <w:style w:type="character" w:styleId="707" w:customStyle="1">
    <w:name w:val="Heading 8 Char"/>
    <w:link w:val="674"/>
    <w:uiPriority w:val="9"/>
    <w:qFormat/>
    <w:rPr>
      <w:rFonts w:ascii="Arial" w:hAnsi="Arial" w:eastAsia="Arial" w:cs="Arial"/>
      <w:i/>
      <w:iCs/>
      <w:sz w:val="22"/>
      <w:szCs w:val="22"/>
    </w:rPr>
  </w:style>
  <w:style w:type="character" w:styleId="708" w:customStyle="1">
    <w:name w:val="Heading 9 Char"/>
    <w:link w:val="675"/>
    <w:uiPriority w:val="9"/>
    <w:rPr>
      <w:rFonts w:ascii="Arial" w:hAnsi="Arial" w:eastAsia="Arial" w:cs="Arial"/>
      <w:i/>
      <w:iCs/>
      <w:sz w:val="21"/>
      <w:szCs w:val="21"/>
    </w:rPr>
  </w:style>
  <w:style w:type="paragraph" w:styleId="709">
    <w:name w:val="List Paragraph"/>
    <w:basedOn w:val="666"/>
    <w:uiPriority w:val="34"/>
    <w:qFormat/>
    <w:pPr>
      <w:contextualSpacing/>
      <w:ind w:left="720"/>
    </w:pPr>
  </w:style>
  <w:style w:type="paragraph" w:styleId="710">
    <w:name w:val="No Spacing"/>
    <w:uiPriority w:val="1"/>
    <w:qFormat/>
    <w:pPr>
      <w:spacing w:before="0" w:after="0" w:line="240" w:lineRule="auto"/>
    </w:pPr>
    <w:rPr>
      <w:rFonts w:hint="default" w:ascii="Calibri" w:hAnsi="Calibri" w:eastAsia="宋体" w:cs="Times New Roman"/>
    </w:rPr>
  </w:style>
  <w:style w:type="character" w:styleId="711" w:customStyle="1">
    <w:name w:val="Title Char"/>
    <w:link w:val="695"/>
    <w:uiPriority w:val="10"/>
    <w:qFormat/>
    <w:rPr>
      <w:sz w:val="48"/>
      <w:szCs w:val="48"/>
    </w:rPr>
  </w:style>
  <w:style w:type="character" w:styleId="712" w:customStyle="1">
    <w:name w:val="Subtitle Char"/>
    <w:link w:val="689"/>
    <w:uiPriority w:val="11"/>
    <w:qFormat/>
    <w:rPr>
      <w:sz w:val="24"/>
      <w:szCs w:val="24"/>
    </w:rPr>
  </w:style>
  <w:style w:type="paragraph" w:styleId="713">
    <w:name w:val="Quote"/>
    <w:basedOn w:val="666"/>
    <w:next w:val="666"/>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6"/>
    <w:next w:val="666"/>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link w:val="686"/>
    <w:uiPriority w:val="99"/>
    <w:qFormat/>
  </w:style>
  <w:style w:type="character" w:styleId="718" w:customStyle="1">
    <w:name w:val="Footer Char"/>
    <w:link w:val="685"/>
    <w:uiPriority w:val="99"/>
    <w:qFormat/>
  </w:style>
  <w:style w:type="character" w:styleId="719" w:customStyle="1">
    <w:name w:val="Caption Char"/>
    <w:link w:val="685"/>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90"/>
    <w:uiPriority w:val="99"/>
    <w:qFormat/>
    <w:rPr>
      <w:sz w:val="18"/>
    </w:rPr>
  </w:style>
  <w:style w:type="character" w:styleId="846" w:customStyle="1">
    <w:name w:val="Endnote Text Char"/>
    <w:link w:val="684"/>
    <w:uiPriority w:val="99"/>
    <w:qFormat/>
    <w:rPr>
      <w:sz w:val="20"/>
    </w:rPr>
  </w:style>
  <w:style w:type="paragraph" w:styleId="847" w:customStyle="1">
    <w:name w:val="TOC Heading"/>
    <w:uiPriority w:val="39"/>
    <w:unhideWhenUsed/>
    <w:qFormat/>
    <w:rPr>
      <w:rFonts w:hint="default" w:ascii="Calibri" w:hAnsi="Calibri" w:eastAsia="宋体" w:cs="Times New Roman"/>
    </w:rPr>
  </w:style>
  <w:style w:type="paragraph" w:styleId="848" w:customStyle="1">
    <w:name w:val="标题 11"/>
    <w:basedOn w:val="666"/>
    <w:next w:val="666"/>
    <w:link w:val="860"/>
    <w:uiPriority w:val="0"/>
    <w:qFormat/>
    <w:pPr>
      <w:jc w:val="center"/>
      <w:keepNext/>
      <w:outlineLvl w:val="0"/>
    </w:pPr>
    <w:rPr>
      <w:rFonts w:ascii="楷体_GB2312" w:eastAsia="楷体_GB2312"/>
      <w:sz w:val="28"/>
      <w:szCs w:val="28"/>
      <w:lang w:val="en-US" w:eastAsia="en-US"/>
    </w:rPr>
  </w:style>
  <w:style w:type="paragraph" w:styleId="849" w:customStyle="1">
    <w:name w:val="标题 21"/>
    <w:basedOn w:val="666"/>
    <w:next w:val="850"/>
    <w:link w:val="861"/>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50" w:customStyle="1">
    <w:name w:val="正文缩进1"/>
    <w:basedOn w:val="666"/>
    <w:link w:val="862"/>
    <w:uiPriority w:val="0"/>
    <w:qFormat/>
    <w:pPr>
      <w:ind w:firstLine="420"/>
    </w:pPr>
    <w:rPr>
      <w:sz w:val="20"/>
      <w:lang w:val="en-US" w:eastAsia="en-US"/>
    </w:rPr>
  </w:style>
  <w:style w:type="paragraph" w:styleId="851" w:customStyle="1">
    <w:name w:val="标题 31"/>
    <w:basedOn w:val="666"/>
    <w:next w:val="850"/>
    <w:link w:val="863"/>
    <w:uiPriority w:val="0"/>
    <w:qFormat/>
    <w:pPr>
      <w:keepLines/>
      <w:keepNext/>
      <w:spacing w:before="260" w:after="260" w:line="416" w:lineRule="auto"/>
      <w:outlineLvl w:val="2"/>
    </w:pPr>
    <w:rPr>
      <w:b/>
      <w:bCs/>
      <w:sz w:val="32"/>
      <w:szCs w:val="32"/>
      <w:lang w:val="en-US" w:eastAsia="en-US"/>
    </w:rPr>
  </w:style>
  <w:style w:type="paragraph" w:styleId="852" w:customStyle="1">
    <w:name w:val="标题 41"/>
    <w:basedOn w:val="666"/>
    <w:next w:val="850"/>
    <w:link w:val="864"/>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53" w:customStyle="1">
    <w:name w:val="标题 51"/>
    <w:basedOn w:val="666"/>
    <w:next w:val="850"/>
    <w:link w:val="865"/>
    <w:uiPriority w:val="0"/>
    <w:qFormat/>
    <w:pPr>
      <w:keepNext/>
      <w:outlineLvl w:val="4"/>
    </w:pPr>
    <w:rPr>
      <w:rFonts w:ascii="宋体"/>
      <w:color w:val="000000"/>
      <w:sz w:val="28"/>
      <w:szCs w:val="28"/>
      <w:lang w:val="en-US" w:eastAsia="en-US"/>
    </w:rPr>
  </w:style>
  <w:style w:type="paragraph" w:styleId="854" w:customStyle="1">
    <w:name w:val="标题 61"/>
    <w:basedOn w:val="666"/>
    <w:next w:val="666"/>
    <w:link w:val="866"/>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55" w:customStyle="1">
    <w:name w:val="标题 71"/>
    <w:basedOn w:val="666"/>
    <w:next w:val="666"/>
    <w:link w:val="867"/>
    <w:uiPriority w:val="0"/>
    <w:qFormat/>
    <w:pPr>
      <w:numPr>
        <w:ilvl w:val="6"/>
        <w:numId w:val="1"/>
      </w:numPr>
      <w:keepLines/>
      <w:keepNext/>
      <w:spacing w:before="240" w:after="64" w:line="320" w:lineRule="auto"/>
      <w:outlineLvl w:val="6"/>
    </w:pPr>
    <w:rPr>
      <w:b/>
      <w:bCs/>
      <w:sz w:val="24"/>
      <w:szCs w:val="24"/>
      <w:lang w:val="en-US" w:eastAsia="en-US"/>
    </w:rPr>
  </w:style>
  <w:style w:type="paragraph" w:styleId="856" w:customStyle="1">
    <w:name w:val="标题 81"/>
    <w:basedOn w:val="666"/>
    <w:next w:val="666"/>
    <w:link w:val="868"/>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57" w:customStyle="1">
    <w:name w:val="标题 91"/>
    <w:basedOn w:val="666"/>
    <w:next w:val="666"/>
    <w:link w:val="869"/>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58" w:customStyle="1">
    <w:name w:val="默认段落字体1"/>
    <w:link w:val="666"/>
    <w:uiPriority w:val="1"/>
    <w:unhideWhenUsed/>
    <w:qFormat/>
  </w:style>
  <w:style w:type="table" w:styleId="859" w:customStyle="1">
    <w:name w:val="普通表格11"/>
    <w:uiPriority w:val="99"/>
    <w:unhideWhenUsed/>
    <w:qFormat/>
    <w:tblPr/>
  </w:style>
  <w:style w:type="character" w:styleId="860" w:customStyle="1">
    <w:name w:val="标题 1 Char"/>
    <w:link w:val="848"/>
    <w:uiPriority w:val="0"/>
    <w:qFormat/>
    <w:rPr>
      <w:rFonts w:ascii="楷体_GB2312" w:hAnsi="Times New Roman" w:eastAsia="楷体_GB2312" w:cs="Times New Roman"/>
      <w:sz w:val="28"/>
      <w:szCs w:val="28"/>
    </w:rPr>
  </w:style>
  <w:style w:type="character" w:styleId="861" w:customStyle="1">
    <w:name w:val="标题 2 Char"/>
    <w:link w:val="849"/>
    <w:uiPriority w:val="0"/>
    <w:qFormat/>
    <w:rPr>
      <w:rFonts w:ascii="Arial" w:hAnsi="Arial" w:eastAsia="幼圆" w:cs="Arial"/>
      <w:b/>
      <w:bCs/>
      <w:sz w:val="44"/>
      <w:szCs w:val="44"/>
    </w:rPr>
  </w:style>
  <w:style w:type="character" w:styleId="862" w:customStyle="1">
    <w:name w:val="正文缩进 Char"/>
    <w:link w:val="850"/>
    <w:uiPriority w:val="0"/>
    <w:qFormat/>
    <w:rPr>
      <w:rFonts w:ascii="Times New Roman" w:hAnsi="Times New Roman" w:eastAsia="宋体" w:cs="Times New Roman"/>
      <w:szCs w:val="21"/>
    </w:rPr>
  </w:style>
  <w:style w:type="character" w:styleId="863" w:customStyle="1">
    <w:name w:val="标题 3 Char"/>
    <w:link w:val="851"/>
    <w:uiPriority w:val="0"/>
    <w:qFormat/>
    <w:rPr>
      <w:rFonts w:ascii="Times New Roman" w:hAnsi="Times New Roman" w:eastAsia="宋体" w:cs="Times New Roman"/>
      <w:b/>
      <w:bCs/>
      <w:sz w:val="32"/>
      <w:szCs w:val="32"/>
    </w:rPr>
  </w:style>
  <w:style w:type="character" w:styleId="864" w:customStyle="1">
    <w:name w:val="标题 4 Char"/>
    <w:link w:val="852"/>
    <w:uiPriority w:val="0"/>
    <w:qFormat/>
    <w:rPr>
      <w:rFonts w:ascii="Arial" w:hAnsi="Arial" w:eastAsia="黑体" w:cs="Arial"/>
      <w:b/>
      <w:bCs/>
      <w:sz w:val="28"/>
      <w:szCs w:val="28"/>
    </w:rPr>
  </w:style>
  <w:style w:type="character" w:styleId="865" w:customStyle="1">
    <w:name w:val="标题 5 Char"/>
    <w:link w:val="853"/>
    <w:uiPriority w:val="0"/>
    <w:qFormat/>
    <w:rPr>
      <w:rFonts w:ascii="宋体" w:hAnsi="Times New Roman" w:eastAsia="宋体" w:cs="Times New Roman"/>
      <w:color w:val="000000"/>
      <w:sz w:val="28"/>
      <w:szCs w:val="28"/>
    </w:rPr>
  </w:style>
  <w:style w:type="character" w:styleId="866" w:customStyle="1">
    <w:name w:val="标题 6 Char"/>
    <w:link w:val="854"/>
    <w:uiPriority w:val="0"/>
    <w:qFormat/>
    <w:rPr>
      <w:rFonts w:ascii="Arial" w:hAnsi="Arial" w:eastAsia="黑体" w:cs="Times New Roman"/>
      <w:b/>
      <w:bCs/>
      <w:sz w:val="24"/>
      <w:szCs w:val="24"/>
    </w:rPr>
  </w:style>
  <w:style w:type="character" w:styleId="867" w:customStyle="1">
    <w:name w:val="标题 7 Char"/>
    <w:link w:val="855"/>
    <w:uiPriority w:val="0"/>
    <w:qFormat/>
    <w:rPr>
      <w:rFonts w:ascii="Times New Roman" w:hAnsi="Times New Roman" w:eastAsia="宋体" w:cs="Times New Roman"/>
      <w:b/>
      <w:bCs/>
      <w:sz w:val="24"/>
      <w:szCs w:val="24"/>
    </w:rPr>
  </w:style>
  <w:style w:type="character" w:styleId="868" w:customStyle="1">
    <w:name w:val="标题 8 Char"/>
    <w:link w:val="856"/>
    <w:uiPriority w:val="0"/>
    <w:qFormat/>
    <w:rPr>
      <w:rFonts w:ascii="Arial" w:hAnsi="Arial" w:eastAsia="黑体" w:cs="Times New Roman"/>
      <w:sz w:val="24"/>
      <w:szCs w:val="24"/>
    </w:rPr>
  </w:style>
  <w:style w:type="character" w:styleId="869" w:customStyle="1">
    <w:name w:val="标题 9 Char"/>
    <w:link w:val="857"/>
    <w:uiPriority w:val="0"/>
    <w:qFormat/>
    <w:rPr>
      <w:rFonts w:ascii="Arial" w:hAnsi="Arial" w:eastAsia="黑体" w:cs="Times New Roman"/>
      <w:szCs w:val="21"/>
    </w:rPr>
  </w:style>
  <w:style w:type="paragraph" w:styleId="870" w:customStyle="1">
    <w:name w:val="列表 31"/>
    <w:basedOn w:val="666"/>
    <w:uiPriority w:val="0"/>
    <w:qFormat/>
    <w:pPr>
      <w:ind w:left="100" w:hanging="200"/>
    </w:pPr>
  </w:style>
  <w:style w:type="paragraph" w:styleId="871" w:customStyle="1">
    <w:name w:val="目录 71"/>
    <w:basedOn w:val="666"/>
    <w:next w:val="666"/>
    <w:uiPriority w:val="0"/>
    <w:semiHidden/>
    <w:qFormat/>
    <w:pPr>
      <w:ind w:left="1260"/>
      <w:jc w:val="left"/>
    </w:pPr>
  </w:style>
  <w:style w:type="paragraph" w:styleId="872" w:customStyle="1">
    <w:name w:val="文档结构图1"/>
    <w:basedOn w:val="666"/>
    <w:link w:val="873"/>
    <w:uiPriority w:val="0"/>
    <w:semiHidden/>
    <w:qFormat/>
    <w:pPr>
      <w:shd w:val="clear" w:color="auto" w:fill="000080"/>
    </w:pPr>
    <w:rPr>
      <w:sz w:val="20"/>
      <w:lang w:val="en-US" w:eastAsia="en-US"/>
    </w:rPr>
  </w:style>
  <w:style w:type="character" w:styleId="873" w:customStyle="1">
    <w:name w:val="文档结构图 Char"/>
    <w:link w:val="872"/>
    <w:uiPriority w:val="0"/>
    <w:semiHidden/>
    <w:qFormat/>
    <w:rPr>
      <w:rFonts w:ascii="Times New Roman" w:hAnsi="Times New Roman" w:eastAsia="宋体" w:cs="Times New Roman"/>
      <w:szCs w:val="21"/>
      <w:shd w:val="clear" w:color="auto" w:fill="000080"/>
    </w:rPr>
  </w:style>
  <w:style w:type="paragraph" w:styleId="874" w:customStyle="1">
    <w:name w:val="批注文字1"/>
    <w:basedOn w:val="666"/>
    <w:link w:val="875"/>
    <w:uiPriority w:val="0"/>
    <w:semiHidden/>
    <w:qFormat/>
    <w:pPr>
      <w:jc w:val="left"/>
    </w:pPr>
    <w:rPr>
      <w:sz w:val="20"/>
      <w:lang w:val="en-US" w:eastAsia="en-US"/>
    </w:rPr>
  </w:style>
  <w:style w:type="character" w:styleId="875" w:customStyle="1">
    <w:name w:val="批注文字 Char"/>
    <w:link w:val="874"/>
    <w:uiPriority w:val="0"/>
    <w:semiHidden/>
    <w:qFormat/>
    <w:rPr>
      <w:rFonts w:ascii="Times New Roman" w:hAnsi="Times New Roman" w:eastAsia="宋体" w:cs="Times New Roman"/>
      <w:szCs w:val="21"/>
    </w:rPr>
  </w:style>
  <w:style w:type="paragraph" w:styleId="876" w:customStyle="1">
    <w:name w:val="正文文本 31"/>
    <w:basedOn w:val="666"/>
    <w:link w:val="877"/>
    <w:uiPriority w:val="0"/>
    <w:qFormat/>
    <w:rPr>
      <w:rFonts w:ascii="仿宋_GB2312" w:hAnsi="Arial" w:eastAsia="仿宋_GB2312"/>
      <w:sz w:val="32"/>
      <w:szCs w:val="32"/>
      <w:lang w:val="en-US" w:eastAsia="en-US"/>
    </w:rPr>
  </w:style>
  <w:style w:type="character" w:styleId="877" w:customStyle="1">
    <w:name w:val="正文文本 3 Char"/>
    <w:link w:val="876"/>
    <w:uiPriority w:val="0"/>
    <w:qFormat/>
    <w:rPr>
      <w:rFonts w:ascii="仿宋_GB2312" w:hAnsi="Arial" w:eastAsia="仿宋_GB2312" w:cs="Times New Roman"/>
      <w:sz w:val="32"/>
      <w:szCs w:val="32"/>
    </w:rPr>
  </w:style>
  <w:style w:type="character" w:styleId="878" w:customStyle="1">
    <w:name w:val="正文文本 Char"/>
    <w:link w:val="678"/>
    <w:uiPriority w:val="0"/>
    <w:qFormat/>
    <w:rPr>
      <w:rFonts w:ascii="楷体_GB2312" w:hAnsi="Arial" w:eastAsia="楷体_GB2312" w:cs="Times New Roman"/>
      <w:sz w:val="28"/>
      <w:szCs w:val="28"/>
    </w:rPr>
  </w:style>
  <w:style w:type="paragraph" w:styleId="879" w:customStyle="1">
    <w:name w:val="正文文本缩进1"/>
    <w:basedOn w:val="666"/>
    <w:link w:val="880"/>
    <w:uiPriority w:val="0"/>
    <w:qFormat/>
    <w:pPr>
      <w:ind w:firstLine="645"/>
    </w:pPr>
    <w:rPr>
      <w:rFonts w:ascii="楷体_GB2312" w:eastAsia="楷体_GB2312"/>
      <w:sz w:val="32"/>
      <w:szCs w:val="32"/>
      <w:lang w:val="en-US" w:eastAsia="en-US"/>
    </w:rPr>
  </w:style>
  <w:style w:type="character" w:styleId="880" w:customStyle="1">
    <w:name w:val="正文文本缩进 Char"/>
    <w:link w:val="879"/>
    <w:uiPriority w:val="0"/>
    <w:qFormat/>
    <w:rPr>
      <w:rFonts w:ascii="楷体_GB2312" w:hAnsi="Times New Roman" w:eastAsia="楷体_GB2312" w:cs="Times New Roman"/>
      <w:sz w:val="32"/>
      <w:szCs w:val="32"/>
    </w:rPr>
  </w:style>
  <w:style w:type="paragraph" w:styleId="881" w:customStyle="1">
    <w:name w:val="列表 21"/>
    <w:basedOn w:val="666"/>
    <w:uiPriority w:val="0"/>
    <w:qFormat/>
    <w:pPr>
      <w:ind w:left="100" w:hanging="200"/>
    </w:pPr>
  </w:style>
  <w:style w:type="paragraph" w:styleId="882" w:customStyle="1">
    <w:name w:val="目录 51"/>
    <w:basedOn w:val="666"/>
    <w:next w:val="666"/>
    <w:uiPriority w:val="0"/>
    <w:semiHidden/>
    <w:qFormat/>
    <w:pPr>
      <w:ind w:left="840"/>
      <w:jc w:val="left"/>
    </w:pPr>
  </w:style>
  <w:style w:type="paragraph" w:styleId="883" w:customStyle="1">
    <w:name w:val="目录 31"/>
    <w:basedOn w:val="666"/>
    <w:next w:val="666"/>
    <w:uiPriority w:val="0"/>
    <w:semiHidden/>
    <w:qFormat/>
    <w:pPr>
      <w:ind w:left="420"/>
      <w:jc w:val="left"/>
    </w:pPr>
    <w:rPr>
      <w:i/>
      <w:iCs/>
      <w:szCs w:val="24"/>
    </w:rPr>
  </w:style>
  <w:style w:type="paragraph" w:styleId="884" w:customStyle="1">
    <w:name w:val="纯文本1"/>
    <w:basedOn w:val="666"/>
    <w:link w:val="885"/>
    <w:uiPriority w:val="0"/>
    <w:qFormat/>
    <w:rPr>
      <w:rFonts w:ascii="宋体" w:hAnsi="Courier New"/>
      <w:sz w:val="20"/>
      <w:lang w:val="en-US" w:eastAsia="en-US"/>
    </w:rPr>
  </w:style>
  <w:style w:type="character" w:styleId="885" w:customStyle="1">
    <w:name w:val="纯文本 Char"/>
    <w:link w:val="884"/>
    <w:uiPriority w:val="0"/>
    <w:qFormat/>
    <w:rPr>
      <w:rFonts w:ascii="宋体" w:hAnsi="Courier New" w:eastAsia="宋体" w:cs="Courier New"/>
      <w:szCs w:val="21"/>
    </w:rPr>
  </w:style>
  <w:style w:type="paragraph" w:styleId="886" w:customStyle="1">
    <w:name w:val="目录 81"/>
    <w:basedOn w:val="666"/>
    <w:next w:val="666"/>
    <w:uiPriority w:val="0"/>
    <w:semiHidden/>
    <w:qFormat/>
    <w:pPr>
      <w:ind w:left="1470"/>
      <w:jc w:val="left"/>
    </w:pPr>
  </w:style>
  <w:style w:type="paragraph" w:styleId="887" w:customStyle="1">
    <w:name w:val="日期1"/>
    <w:basedOn w:val="666"/>
    <w:next w:val="666"/>
    <w:link w:val="888"/>
    <w:uiPriority w:val="0"/>
    <w:qFormat/>
    <w:rPr>
      <w:sz w:val="24"/>
      <w:szCs w:val="24"/>
      <w:lang w:val="en-US" w:eastAsia="en-US"/>
    </w:rPr>
  </w:style>
  <w:style w:type="character" w:styleId="888" w:customStyle="1">
    <w:name w:val="日期 Char"/>
    <w:link w:val="887"/>
    <w:uiPriority w:val="0"/>
    <w:qFormat/>
    <w:rPr>
      <w:rFonts w:ascii="Times New Roman" w:hAnsi="Times New Roman" w:eastAsia="宋体" w:cs="Times New Roman"/>
      <w:sz w:val="24"/>
      <w:szCs w:val="24"/>
    </w:rPr>
  </w:style>
  <w:style w:type="paragraph" w:styleId="889" w:customStyle="1">
    <w:name w:val="正文文本缩进 21"/>
    <w:basedOn w:val="666"/>
    <w:link w:val="890"/>
    <w:uiPriority w:val="0"/>
    <w:qFormat/>
    <w:pPr>
      <w:ind w:left="630" w:firstLine="645"/>
    </w:pPr>
    <w:rPr>
      <w:rFonts w:ascii="Arial" w:hAnsi="Arial" w:eastAsia="仿宋_GB2312"/>
      <w:sz w:val="32"/>
      <w:szCs w:val="32"/>
      <w:lang w:val="en-US" w:eastAsia="en-US"/>
    </w:rPr>
  </w:style>
  <w:style w:type="character" w:styleId="890" w:customStyle="1">
    <w:name w:val="正文文本缩进 2 Char"/>
    <w:link w:val="889"/>
    <w:uiPriority w:val="0"/>
    <w:qFormat/>
    <w:rPr>
      <w:rFonts w:ascii="Arial" w:hAnsi="Arial" w:eastAsia="仿宋_GB2312" w:cs="Arial"/>
      <w:sz w:val="32"/>
      <w:szCs w:val="32"/>
    </w:rPr>
  </w:style>
  <w:style w:type="paragraph" w:styleId="891" w:customStyle="1">
    <w:name w:val="批注框文本1"/>
    <w:basedOn w:val="666"/>
    <w:link w:val="892"/>
    <w:uiPriority w:val="0"/>
    <w:semiHidden/>
    <w:qFormat/>
    <w:rPr>
      <w:sz w:val="18"/>
      <w:szCs w:val="18"/>
      <w:lang w:val="en-US" w:eastAsia="en-US"/>
    </w:rPr>
  </w:style>
  <w:style w:type="character" w:styleId="892" w:customStyle="1">
    <w:name w:val="批注框文本 Char"/>
    <w:link w:val="891"/>
    <w:uiPriority w:val="0"/>
    <w:semiHidden/>
    <w:qFormat/>
    <w:rPr>
      <w:rFonts w:ascii="Times New Roman" w:hAnsi="Times New Roman" w:eastAsia="宋体" w:cs="Times New Roman"/>
      <w:sz w:val="18"/>
      <w:szCs w:val="18"/>
    </w:rPr>
  </w:style>
  <w:style w:type="paragraph" w:styleId="893" w:customStyle="1">
    <w:name w:val="页脚1"/>
    <w:basedOn w:val="666"/>
    <w:link w:val="894"/>
    <w:uiPriority w:val="0"/>
    <w:qFormat/>
    <w:pPr>
      <w:jc w:val="left"/>
      <w:tabs>
        <w:tab w:val="center" w:pos="4153" w:leader="none"/>
        <w:tab w:val="right" w:pos="8306" w:leader="none"/>
      </w:tabs>
    </w:pPr>
    <w:rPr>
      <w:sz w:val="18"/>
      <w:szCs w:val="18"/>
      <w:lang w:val="en-US" w:eastAsia="en-US"/>
    </w:rPr>
  </w:style>
  <w:style w:type="character" w:styleId="894" w:customStyle="1">
    <w:name w:val="页脚 Char"/>
    <w:link w:val="893"/>
    <w:uiPriority w:val="0"/>
    <w:qFormat/>
    <w:rPr>
      <w:rFonts w:ascii="Times New Roman" w:hAnsi="Times New Roman" w:eastAsia="宋体" w:cs="Times New Roman"/>
      <w:sz w:val="18"/>
      <w:szCs w:val="18"/>
    </w:rPr>
  </w:style>
  <w:style w:type="paragraph" w:styleId="895" w:customStyle="1">
    <w:name w:val="页眉1"/>
    <w:basedOn w:val="666"/>
    <w:link w:val="89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96" w:customStyle="1">
    <w:name w:val="页眉 Char"/>
    <w:link w:val="895"/>
    <w:uiPriority w:val="99"/>
    <w:qFormat/>
    <w:rPr>
      <w:rFonts w:ascii="Times New Roman" w:hAnsi="Times New Roman" w:eastAsia="宋体" w:cs="Times New Roman"/>
      <w:sz w:val="18"/>
      <w:szCs w:val="18"/>
    </w:rPr>
  </w:style>
  <w:style w:type="paragraph" w:styleId="897" w:customStyle="1">
    <w:name w:val="目录 1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898" w:customStyle="1">
    <w:name w:val="目录 41"/>
    <w:basedOn w:val="666"/>
    <w:next w:val="666"/>
    <w:uiPriority w:val="0"/>
    <w:semiHidden/>
    <w:qFormat/>
    <w:pPr>
      <w:ind w:left="630"/>
      <w:jc w:val="left"/>
    </w:pPr>
  </w:style>
  <w:style w:type="paragraph" w:styleId="899" w:customStyle="1">
    <w:name w:val="列表1"/>
    <w:basedOn w:val="666"/>
    <w:uiPriority w:val="0"/>
    <w:qFormat/>
    <w:pPr>
      <w:ind w:left="200" w:hanging="200"/>
    </w:pPr>
  </w:style>
  <w:style w:type="paragraph" w:styleId="900" w:customStyle="1">
    <w:name w:val="目录 61"/>
    <w:basedOn w:val="666"/>
    <w:next w:val="666"/>
    <w:uiPriority w:val="0"/>
    <w:semiHidden/>
    <w:qFormat/>
    <w:pPr>
      <w:ind w:left="1050"/>
      <w:jc w:val="left"/>
    </w:pPr>
  </w:style>
  <w:style w:type="paragraph" w:styleId="901" w:customStyle="1">
    <w:name w:val="正文文本缩进 31"/>
    <w:basedOn w:val="666"/>
    <w:link w:val="902"/>
    <w:uiPriority w:val="0"/>
    <w:qFormat/>
    <w:pPr>
      <w:ind w:left="645" w:firstLine="645"/>
    </w:pPr>
    <w:rPr>
      <w:rFonts w:ascii="Arial" w:hAnsi="Arial" w:eastAsia="仿宋_GB2312"/>
      <w:color w:val="ffff00"/>
      <w:sz w:val="32"/>
      <w:szCs w:val="32"/>
      <w:lang w:val="en-US" w:eastAsia="en-US"/>
    </w:rPr>
  </w:style>
  <w:style w:type="character" w:styleId="902" w:customStyle="1">
    <w:name w:val="正文文本缩进 3 Char"/>
    <w:link w:val="901"/>
    <w:uiPriority w:val="0"/>
    <w:qFormat/>
    <w:rPr>
      <w:rFonts w:ascii="Arial" w:hAnsi="Arial" w:eastAsia="仿宋_GB2312" w:cs="Arial"/>
      <w:color w:val="ffff00"/>
      <w:sz w:val="32"/>
      <w:szCs w:val="32"/>
    </w:rPr>
  </w:style>
  <w:style w:type="paragraph" w:styleId="903" w:customStyle="1">
    <w:name w:val="图表目录1"/>
    <w:basedOn w:val="666"/>
    <w:next w:val="666"/>
    <w:uiPriority w:val="0"/>
    <w:semiHidden/>
    <w:qFormat/>
    <w:pPr>
      <w:ind w:left="840" w:hanging="420"/>
    </w:pPr>
  </w:style>
  <w:style w:type="paragraph" w:styleId="904" w:customStyle="1">
    <w:name w:val="目录 21"/>
    <w:basedOn w:val="666"/>
    <w:next w:val="666"/>
    <w:uiPriority w:val="0"/>
    <w:semiHidden/>
    <w:qFormat/>
    <w:pPr>
      <w:ind w:left="210"/>
      <w:jc w:val="left"/>
    </w:pPr>
    <w:rPr>
      <w:smallCaps/>
      <w:szCs w:val="24"/>
    </w:rPr>
  </w:style>
  <w:style w:type="paragraph" w:styleId="905" w:customStyle="1">
    <w:name w:val="目录 91"/>
    <w:basedOn w:val="666"/>
    <w:next w:val="666"/>
    <w:uiPriority w:val="0"/>
    <w:semiHidden/>
    <w:qFormat/>
    <w:pPr>
      <w:ind w:left="1680"/>
      <w:jc w:val="left"/>
    </w:pPr>
  </w:style>
  <w:style w:type="paragraph" w:styleId="906" w:customStyle="1">
    <w:name w:val="正文文本 21"/>
    <w:basedOn w:val="666"/>
    <w:link w:val="907"/>
    <w:uiPriority w:val="0"/>
    <w:qFormat/>
    <w:pPr>
      <w:jc w:val="center"/>
      <w:widowControl/>
    </w:pPr>
    <w:rPr>
      <w:rFonts w:ascii="楷体_GB2312" w:eastAsia="楷体_GB2312"/>
      <w:sz w:val="28"/>
      <w:szCs w:val="28"/>
      <w:lang w:val="en-US" w:eastAsia="en-US"/>
    </w:rPr>
  </w:style>
  <w:style w:type="character" w:styleId="907" w:customStyle="1">
    <w:name w:val="正文文本 2 Char"/>
    <w:link w:val="906"/>
    <w:uiPriority w:val="0"/>
    <w:qFormat/>
    <w:rPr>
      <w:rFonts w:ascii="楷体_GB2312" w:hAnsi="Times New Roman" w:eastAsia="楷体_GB2312" w:cs="Times New Roman"/>
      <w:sz w:val="28"/>
      <w:szCs w:val="28"/>
    </w:rPr>
  </w:style>
  <w:style w:type="paragraph" w:styleId="908" w:customStyle="1">
    <w:name w:val="普通(网站)1"/>
    <w:basedOn w:val="666"/>
    <w:uiPriority w:val="99"/>
    <w:qFormat/>
    <w:pPr>
      <w:jc w:val="left"/>
      <w:spacing w:before="100" w:beforeAutospacing="1" w:after="100" w:afterAutospacing="1"/>
      <w:widowControl/>
    </w:pPr>
    <w:rPr>
      <w:rFonts w:ascii="宋体" w:hAnsi="宋体" w:cs="宋体"/>
      <w:sz w:val="24"/>
      <w:szCs w:val="24"/>
    </w:rPr>
  </w:style>
  <w:style w:type="paragraph" w:styleId="909" w:customStyle="1">
    <w:name w:val="索引 11"/>
    <w:basedOn w:val="666"/>
    <w:next w:val="666"/>
    <w:uiPriority w:val="0"/>
    <w:semiHidden/>
    <w:qFormat/>
    <w:pPr>
      <w:spacing w:line="240" w:lineRule="atLeast"/>
    </w:pPr>
    <w:rPr>
      <w:b/>
      <w:bCs/>
    </w:rPr>
  </w:style>
  <w:style w:type="paragraph" w:styleId="910" w:customStyle="1">
    <w:name w:val="批注主题1"/>
    <w:basedOn w:val="874"/>
    <w:next w:val="874"/>
    <w:link w:val="911"/>
    <w:uiPriority w:val="0"/>
    <w:semiHidden/>
    <w:qFormat/>
    <w:rPr>
      <w:b/>
      <w:bCs/>
    </w:rPr>
  </w:style>
  <w:style w:type="character" w:styleId="911" w:customStyle="1">
    <w:name w:val="批注主题 Char"/>
    <w:link w:val="910"/>
    <w:uiPriority w:val="0"/>
    <w:semiHidden/>
    <w:qFormat/>
    <w:rPr>
      <w:rFonts w:ascii="Times New Roman" w:hAnsi="Times New Roman" w:eastAsia="宋体" w:cs="Times New Roman"/>
      <w:b/>
      <w:bCs/>
      <w:szCs w:val="21"/>
    </w:rPr>
  </w:style>
  <w:style w:type="paragraph" w:styleId="912" w:customStyle="1">
    <w:name w:val="正文首行缩进1"/>
    <w:basedOn w:val="913"/>
    <w:link w:val="914"/>
    <w:uiPriority w:val="0"/>
    <w:qFormat/>
    <w:pPr>
      <w:ind w:firstLine="200"/>
      <w:spacing w:line="360" w:lineRule="auto"/>
    </w:pPr>
    <w:rPr>
      <w:rFonts w:ascii="仿宋_GB2312" w:eastAsia="仿宋_GB2312"/>
      <w:sz w:val="30"/>
      <w:szCs w:val="30"/>
      <w:lang w:val="en-US" w:eastAsia="en-US"/>
    </w:rPr>
  </w:style>
  <w:style w:type="paragraph" w:styleId="913" w:customStyle="1">
    <w:name w:val="正文文本2"/>
    <w:basedOn w:val="666"/>
    <w:next w:val="895"/>
    <w:uiPriority w:val="99"/>
    <w:qFormat/>
    <w:rPr>
      <w:rFonts w:ascii="华文中宋" w:eastAsia="华文中宋"/>
      <w:bCs/>
      <w:sz w:val="28"/>
      <w:lang w:val="zh-CN"/>
    </w:rPr>
  </w:style>
  <w:style w:type="character" w:styleId="914" w:customStyle="1">
    <w:name w:val="正文首行缩进 Char"/>
    <w:link w:val="912"/>
    <w:uiPriority w:val="0"/>
    <w:qFormat/>
    <w:rPr>
      <w:rFonts w:ascii="仿宋_GB2312" w:hAnsi="Times New Roman" w:eastAsia="仿宋_GB2312" w:cs="Times New Roman"/>
      <w:sz w:val="30"/>
      <w:szCs w:val="30"/>
    </w:rPr>
  </w:style>
  <w:style w:type="paragraph" w:styleId="915" w:customStyle="1">
    <w:name w:val="正文首行缩进 211"/>
    <w:basedOn w:val="879"/>
    <w:link w:val="916"/>
    <w:uiPriority w:val="0"/>
    <w:qFormat/>
    <w:pPr>
      <w:ind w:firstLine="420"/>
      <w:spacing w:line="360" w:lineRule="auto"/>
    </w:pPr>
    <w:rPr>
      <w:rFonts w:ascii="宋体" w:hAnsi="宋体" w:eastAsia="宋体"/>
      <w:szCs w:val="20"/>
    </w:rPr>
  </w:style>
  <w:style w:type="character" w:styleId="916" w:customStyle="1">
    <w:name w:val="正文首行缩进 2 Char"/>
    <w:link w:val="915"/>
    <w:uiPriority w:val="0"/>
    <w:qFormat/>
    <w:rPr>
      <w:rFonts w:ascii="宋体" w:hAnsi="宋体" w:eastAsia="宋体" w:cs="Times New Roman"/>
      <w:sz w:val="32"/>
      <w:szCs w:val="20"/>
    </w:rPr>
  </w:style>
  <w:style w:type="table" w:styleId="917" w:customStyle="1">
    <w:name w:val="网格型1"/>
    <w:basedOn w:val="859"/>
    <w:uiPriority w:val="0"/>
    <w:qFormat/>
    <w:pPr>
      <w:jc w:val="both"/>
      <w:widowControl w:val="off"/>
    </w:pPr>
    <w:rPr>
      <w:rFonts w:ascii="Times New Roman" w:hAnsi="Times New Roman" w:eastAsia="宋体" w:cs="Times New Roman"/>
      <w:sz w:val="20"/>
      <w:szCs w:val="20"/>
    </w:rPr>
    <w:tblPr/>
  </w:style>
  <w:style w:type="character" w:styleId="918" w:customStyle="1">
    <w:name w:val="要点1"/>
    <w:link w:val="666"/>
    <w:uiPriority w:val="0"/>
    <w:qFormat/>
    <w:rPr>
      <w:b/>
      <w:bCs/>
    </w:rPr>
  </w:style>
  <w:style w:type="character" w:styleId="919" w:customStyle="1">
    <w:name w:val="页码1"/>
    <w:link w:val="666"/>
    <w:uiPriority w:val="0"/>
    <w:qFormat/>
  </w:style>
  <w:style w:type="character" w:styleId="920" w:customStyle="1">
    <w:name w:val="已访问的超链接1"/>
    <w:link w:val="666"/>
    <w:uiPriority w:val="0"/>
    <w:qFormat/>
    <w:rPr>
      <w:color w:val="800080"/>
      <w:u w:val="single"/>
    </w:rPr>
  </w:style>
  <w:style w:type="character" w:styleId="921" w:customStyle="1">
    <w:name w:val="HTML 打字机1"/>
    <w:link w:val="666"/>
    <w:uiPriority w:val="99"/>
    <w:qFormat/>
    <w:rPr>
      <w:rFonts w:ascii="宋体" w:hAnsi="宋体" w:eastAsia="宋体" w:cs="宋体"/>
      <w:sz w:val="24"/>
      <w:szCs w:val="24"/>
    </w:rPr>
  </w:style>
  <w:style w:type="character" w:styleId="922" w:customStyle="1">
    <w:name w:val="超链接1"/>
    <w:link w:val="666"/>
    <w:uiPriority w:val="0"/>
    <w:qFormat/>
    <w:rPr>
      <w:color w:val="0000ff"/>
      <w:u w:val="single"/>
    </w:rPr>
  </w:style>
  <w:style w:type="character" w:styleId="923" w:customStyle="1">
    <w:name w:val="批注引用1"/>
    <w:link w:val="666"/>
    <w:uiPriority w:val="0"/>
    <w:semiHidden/>
    <w:qFormat/>
    <w:rPr>
      <w:sz w:val="21"/>
      <w:szCs w:val="21"/>
    </w:rPr>
  </w:style>
  <w:style w:type="character" w:styleId="924" w:customStyle="1">
    <w:name w:val="font5 Char"/>
    <w:link w:val="666"/>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lang w:val="en-US" w:eastAsia="zh-CN" w:bidi="ar-SA"/>
    </w:rPr>
  </w:style>
  <w:style w:type="paragraph" w:styleId="926" w:customStyle="1">
    <w:name w:val="二级目录"/>
    <w:next w:val="666"/>
    <w:link w:val="92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666"/>
    <w:link w:val="927"/>
    <w:uiPriority w:val="0"/>
    <w:qFormat/>
    <w:pPr>
      <w:contextualSpacing/>
      <w:ind w:left="720"/>
      <w:jc w:val="left"/>
      <w:widowControl/>
    </w:pPr>
    <w:rPr>
      <w:rFonts w:ascii="Calibri" w:hAnsi="Calibri"/>
      <w:sz w:val="24"/>
      <w:szCs w:val="24"/>
      <w:lang w:val="en-US" w:eastAsia="en-US" w:bidi="en-US"/>
    </w:rPr>
  </w:style>
  <w:style w:type="paragraph" w:styleId="929" w:customStyle="1">
    <w:name w:val="Body Text(ch)"/>
    <w:basedOn w:val="666"/>
    <w:next w:val="678"/>
    <w:uiPriority w:val="0"/>
    <w:qFormat/>
    <w:pPr>
      <w:spacing w:after="120"/>
    </w:pPr>
    <w:rPr>
      <w:rFonts w:ascii="宋体" w:hAnsi="Arial"/>
      <w:bCs/>
      <w:iCs/>
      <w:szCs w:val="24"/>
    </w:rPr>
  </w:style>
  <w:style w:type="paragraph" w:styleId="930" w:customStyle="1">
    <w:name w:val="xl27"/>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1" w:customStyle="1">
    <w:name w:val="xl2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2" w:customStyle="1">
    <w:name w:val="Char"/>
    <w:basedOn w:val="666"/>
    <w:uiPriority w:val="0"/>
    <w:qFormat/>
    <w:pPr>
      <w:ind w:firstLine="200"/>
      <w:tabs>
        <w:tab w:val="left" w:pos="360" w:leader="none"/>
      </w:tabs>
    </w:pPr>
    <w:rPr>
      <w:sz w:val="28"/>
      <w:szCs w:val="30"/>
    </w:rPr>
  </w:style>
  <w:style w:type="paragraph" w:styleId="933" w:customStyle="1">
    <w:name w:val=" Char"/>
    <w:basedOn w:val="872"/>
    <w:uiPriority w:val="0"/>
    <w:rPr>
      <w:rFonts w:ascii="Tahoma" w:hAnsi="Tahoma"/>
      <w:sz w:val="24"/>
      <w:szCs w:val="24"/>
    </w:rPr>
  </w:style>
  <w:style w:type="paragraph" w:styleId="934"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35" w:customStyle="1">
    <w:name w:val="table_lines"/>
    <w:basedOn w:val="666"/>
    <w:uiPriority w:val="0"/>
    <w:pPr>
      <w:jc w:val="left"/>
      <w:widowControl/>
    </w:pPr>
    <w:rPr>
      <w:sz w:val="20"/>
      <w:szCs w:val="20"/>
      <w:lang w:val="de-DE" w:eastAsia="de-DE"/>
    </w:rPr>
  </w:style>
  <w:style w:type="paragraph" w:styleId="9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7" w:customStyle="1">
    <w:name w:val="font7"/>
    <w:basedOn w:val="666"/>
    <w:uiPriority w:val="0"/>
    <w:pPr>
      <w:jc w:val="left"/>
      <w:spacing w:before="100" w:beforeAutospacing="1" w:after="100" w:afterAutospacing="1"/>
      <w:widowControl/>
    </w:pPr>
    <w:rPr>
      <w:rFonts w:hint="eastAsia" w:ascii="宋体" w:hAnsi="宋体"/>
      <w:sz w:val="18"/>
      <w:szCs w:val="18"/>
    </w:rPr>
  </w:style>
  <w:style w:type="paragraph" w:styleId="938" w:customStyle="1">
    <w:name w:val=" Char Char Char Char"/>
    <w:basedOn w:val="872"/>
    <w:uiPriority w:val="0"/>
    <w:pPr>
      <w:spacing w:line="360" w:lineRule="auto"/>
    </w:pPr>
    <w:rPr>
      <w:rFonts w:ascii="Tahoma" w:hAnsi="Tahoma"/>
      <w:sz w:val="24"/>
      <w:szCs w:val="24"/>
    </w:rPr>
  </w:style>
  <w:style w:type="paragraph" w:styleId="939" w:customStyle="1">
    <w:name w:val="列出段落"/>
    <w:basedOn w:val="666"/>
    <w:uiPriority w:val="99"/>
    <w:qFormat/>
    <w:pPr>
      <w:contextualSpacing/>
      <w:ind w:left="720"/>
      <w:jc w:val="left"/>
      <w:widowControl/>
    </w:pPr>
    <w:rPr>
      <w:rFonts w:ascii="Calibri" w:hAnsi="Calibri"/>
      <w:sz w:val="24"/>
      <w:szCs w:val="24"/>
      <w:lang w:eastAsia="en-US" w:bidi="en-US"/>
    </w:rPr>
  </w:style>
  <w:style w:type="paragraph" w:styleId="940" w:customStyle="1">
    <w:name w:val="4"/>
    <w:basedOn w:val="666"/>
    <w:next w:val="901"/>
    <w:uiPriority w:val="0"/>
    <w:pPr>
      <w:ind w:firstLine="420"/>
      <w:spacing w:line="360" w:lineRule="auto"/>
    </w:pPr>
    <w:rPr>
      <w:color w:val="ff0000"/>
      <w:sz w:val="24"/>
      <w:szCs w:val="24"/>
    </w:rPr>
  </w:style>
  <w:style w:type="paragraph" w:styleId="941"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42" w:customStyle="1">
    <w:name w:val=" Char Char Char Char Char Char Char Char Char Char"/>
    <w:basedOn w:val="666"/>
    <w:uiPriority w:val="0"/>
    <w:pPr>
      <w:spacing w:line="360" w:lineRule="auto"/>
    </w:pPr>
    <w:rPr>
      <w:sz w:val="24"/>
      <w:szCs w:val="20"/>
    </w:rPr>
  </w:style>
  <w:style w:type="paragraph" w:styleId="943" w:customStyle="1">
    <w:name w:val="样式1"/>
    <w:basedOn w:val="666"/>
    <w:uiPriority w:val="0"/>
    <w:qFormat/>
    <w:pPr>
      <w:numPr>
        <w:ilvl w:val="0"/>
        <w:numId w:val="3"/>
      </w:numPr>
    </w:pPr>
    <w:rPr>
      <w:rFonts w:ascii="宋体" w:hAnsi="宋体"/>
    </w:rPr>
  </w:style>
  <w:style w:type="paragraph" w:styleId="944"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45"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48" w:customStyle="1">
    <w:name w:val="xl24"/>
    <w:basedOn w:val="66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xl29"/>
    <w:basedOn w:val="666"/>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0" w:customStyle="1">
    <w:name w:val="Char Char Char Char Char Char Char Char"/>
    <w:basedOn w:val="666"/>
    <w:uiPriority w:val="0"/>
    <w:pPr>
      <w:jc w:val="left"/>
      <w:spacing w:after="160" w:line="240" w:lineRule="exact"/>
      <w:widowControl/>
    </w:pPr>
    <w:rPr>
      <w:rFonts w:ascii="Verdana" w:hAnsi="Verdana"/>
      <w:sz w:val="20"/>
      <w:szCs w:val="20"/>
      <w:lang w:eastAsia="en-US"/>
    </w:rPr>
  </w:style>
  <w:style w:type="paragraph" w:styleId="951" w:customStyle="1">
    <w:name w:val="xl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2" w:customStyle="1">
    <w:name w:val=" Char Char Char Char Char Char Char Char"/>
    <w:basedOn w:val="666"/>
    <w:uiPriority w:val="0"/>
    <w:pPr>
      <w:jc w:val="left"/>
      <w:spacing w:after="160" w:line="240" w:lineRule="exact"/>
      <w:widowControl/>
    </w:pPr>
    <w:rPr>
      <w:rFonts w:ascii="Verdana" w:hAnsi="Verdana"/>
      <w:sz w:val="20"/>
      <w:szCs w:val="20"/>
      <w:lang w:eastAsia="en-US"/>
    </w:rPr>
  </w:style>
  <w:style w:type="paragraph" w:styleId="953"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54" w:customStyle="1">
    <w:name w:val="Char Char Char Char"/>
    <w:basedOn w:val="872"/>
    <w:uiPriority w:val="0"/>
    <w:pPr>
      <w:spacing w:line="360" w:lineRule="auto"/>
    </w:pPr>
    <w:rPr>
      <w:rFonts w:ascii="Tahoma" w:hAnsi="Tahoma"/>
      <w:sz w:val="24"/>
      <w:szCs w:val="24"/>
    </w:rPr>
  </w:style>
  <w:style w:type="paragraph" w:styleId="955" w:customStyle="1">
    <w:name w:val="table_1stline"/>
    <w:basedOn w:val="666"/>
    <w:uiPriority w:val="0"/>
    <w:qFormat/>
    <w:pPr>
      <w:jc w:val="left"/>
      <w:spacing w:before="120"/>
      <w:widowControl/>
    </w:pPr>
    <w:rPr>
      <w:bCs/>
      <w:sz w:val="20"/>
      <w:szCs w:val="20"/>
      <w:lang w:val="de-DE" w:eastAsia="de-DE"/>
    </w:rPr>
  </w:style>
  <w:style w:type="paragraph" w:styleId="956" w:customStyle="1">
    <w:name w:val="font5"/>
    <w:basedOn w:val="666"/>
    <w:uiPriority w:val="0"/>
    <w:pPr>
      <w:jc w:val="left"/>
      <w:spacing w:before="100" w:beforeAutospacing="1" w:after="100" w:afterAutospacing="1"/>
      <w:widowControl/>
    </w:pPr>
    <w:rPr>
      <w:rFonts w:hint="eastAsia" w:ascii="宋体" w:hAnsi="宋体"/>
      <w:sz w:val="28"/>
      <w:szCs w:val="28"/>
    </w:rPr>
  </w:style>
  <w:style w:type="paragraph" w:styleId="957"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修订"/>
    <w:uiPriority w:val="99"/>
    <w:semiHidden/>
    <w:rPr>
      <w:rFonts w:hint="default" w:ascii="Times New Roman" w:hAnsi="Times New Roman" w:eastAsia="宋体" w:cs="Times New Roman"/>
      <w:sz w:val="21"/>
      <w:szCs w:val="21"/>
      <w:lang w:val="en-US" w:eastAsia="zh-CN" w:bidi="ar-SA"/>
    </w:rPr>
  </w:style>
  <w:style w:type="paragraph" w:styleId="95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0" w:customStyle="1">
    <w:name w:val="普通文字"/>
    <w:basedOn w:val="666"/>
    <w:next w:val="666"/>
    <w:uiPriority w:val="99"/>
    <w:rPr>
      <w:rFonts w:ascii="宋体" w:hAnsi="Times New Roman" w:eastAsia="宋体" w:cs="Times New Roman"/>
      <w:sz w:val="24"/>
      <w:szCs w:val="20"/>
      <w:u w:val="none"/>
    </w:rPr>
  </w:style>
  <w:style w:type="paragraph" w:styleId="961" w:customStyle="1">
    <w:name w:val="目录 111"/>
    <w:basedOn w:val="666"/>
    <w:next w:val="666"/>
    <w:uiPriority w:val="39"/>
    <w:unhideWhenUsed/>
    <w:qFormat/>
    <w:pPr>
      <w:jc w:val="left"/>
      <w:spacing w:after="100" w:line="259" w:lineRule="auto"/>
      <w:widowControl/>
    </w:pPr>
    <w:rPr>
      <w:rFonts w:ascii="Calibri" w:hAnsi="Calibri" w:eastAsia="宋体"/>
      <w:sz w:val="22"/>
      <w:szCs w:val="22"/>
    </w:rPr>
  </w:style>
  <w:style w:type="character" w:styleId="962" w:customStyle="1">
    <w:name w:val="font11"/>
    <w:link w:val="666"/>
    <w:uiPriority w:val="0"/>
    <w:qFormat/>
    <w:rPr>
      <w:rFonts w:hint="eastAsia" w:ascii="宋体" w:hAnsi="宋体" w:eastAsia="宋体" w:cs="宋体"/>
      <w:b/>
      <w:bCs/>
      <w:color w:val="000000"/>
      <w:sz w:val="24"/>
      <w:szCs w:val="24"/>
      <w:u w:val="none"/>
    </w:rPr>
  </w:style>
  <w:style w:type="character" w:styleId="963" w:customStyle="1">
    <w:name w:val="font01"/>
    <w:link w:val="666"/>
    <w:uiPriority w:val="0"/>
    <w:qFormat/>
    <w:rPr>
      <w:rFonts w:hint="eastAsia" w:ascii="宋体" w:hAnsi="宋体" w:eastAsia="宋体" w:cs="宋体"/>
      <w:color w:val="000000"/>
      <w:sz w:val="24"/>
      <w:szCs w:val="24"/>
      <w:u w:val="none"/>
    </w:rPr>
  </w:style>
  <w:style w:type="paragraph" w:styleId="964" w:customStyle="1">
    <w:name w:val="正文文本11"/>
    <w:basedOn w:val="666"/>
    <w:next w:val="666"/>
    <w:uiPriority w:val="0"/>
    <w:semiHidden/>
    <w:qFormat/>
    <w:rPr>
      <w:rFonts w:ascii="宋体" w:hAnsi="宋体" w:cs="宋体"/>
      <w:sz w:val="24"/>
      <w:szCs w:val="24"/>
      <w:lang w:eastAsia="en-US"/>
    </w:rPr>
  </w:style>
  <w:style w:type="paragraph" w:styleId="965" w:customStyle="1">
    <w:name w:val="Body text|2"/>
    <w:basedOn w:val="666"/>
    <w:uiPriority w:val="0"/>
    <w:qFormat/>
    <w:pPr>
      <w:ind w:firstLine="540"/>
      <w:spacing w:line="487" w:lineRule="exact"/>
    </w:pPr>
    <w:rPr>
      <w:rFonts w:ascii="宋体" w:hAnsi="宋体" w:cs="宋体"/>
      <w:szCs w:val="24"/>
      <w:lang w:val="zh-TW" w:eastAsia="zh-TW" w:bidi="zh-TW"/>
    </w:rPr>
  </w:style>
  <w:style w:type="table" w:styleId="966" w:customStyle="1">
    <w:name w:val="普通表格1"/>
    <w:uiPriority w:val="99"/>
    <w:unhideWhenUsed/>
    <w:qFormat/>
    <w:rPr>
      <w:lang w:val="en-US" w:eastAsia="zh-CN" w:bidi="ar-SA"/>
    </w:rPr>
    <w:tblPr/>
  </w:style>
  <w:style w:type="paragraph" w:styleId="967" w:customStyle="1">
    <w:name w:val="正文首行缩进 21"/>
    <w:basedOn w:val="666"/>
    <w:uiPriority w:val="0"/>
    <w:qFormat/>
    <w:pPr>
      <w:ind w:firstLine="420"/>
      <w:spacing w:line="360" w:lineRule="auto"/>
    </w:pPr>
    <w:rPr>
      <w:rFonts w:ascii="宋体" w:hAnsi="宋体"/>
      <w:sz w:val="32"/>
      <w:szCs w:val="20"/>
    </w:rPr>
  </w:style>
  <w:style w:type="numbering" w:styleId="12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王湉湉</cp:lastModifiedBy>
  <cp:revision>594</cp:revision>
  <dcterms:created xsi:type="dcterms:W3CDTF">2023-03-16T02:16:00Z</dcterms:created>
  <dcterms:modified xsi:type="dcterms:W3CDTF">2024-12-10T07:19:37Z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C2D1BA48AFD9463CAB900DE396DEC2EB_13</vt:lpwstr>
  </property>
</Properties>
</file>