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rPr>
          <w:rFonts w:hint="eastAsia" w:ascii="宋体" w:hAnsi="宋体"/>
          <w:b/>
          <w:bCs/>
          <w:color w:val="auto"/>
          <w:sz w:val="36"/>
          <w:highlight w:val="none"/>
        </w:rPr>
      </w:pPr>
      <w:r>
        <w:rPr>
          <w:rFonts w:hint="eastAsia" w:ascii="宋体" w:hAnsi="宋体"/>
          <w:b/>
          <w:bCs/>
          <w:color w:val="auto"/>
          <w:sz w:val="36"/>
          <w:highlight w:val="none"/>
        </w:rPr>
        <w:t xml:space="preserve">编号：</w:t>
      </w:r>
      <w:r>
        <w:rPr>
          <w:rFonts w:hint="eastAsia" w:ascii="宋体" w:hAnsi="宋体"/>
          <w:b/>
          <w:bCs/>
          <w:color w:val="auto"/>
          <w:sz w:val="36"/>
          <w:highlight w:val="none"/>
          <w:lang w:eastAsia="zh-CN"/>
        </w:rPr>
        <w:t xml:space="preserve">JSZC-321000-HCZX-G2024-0118</w:t>
      </w:r>
      <w:r>
        <w:rPr>
          <w:rFonts w:hint="eastAsia" w:ascii="宋体" w:hAnsi="宋体"/>
          <w:b/>
          <w:bCs/>
          <w:color w:val="auto"/>
          <w:sz w:val="36"/>
          <w:highlight w:val="none"/>
        </w:rPr>
        <w:t xml:space="preserve">号</w:t>
      </w:r>
      <w:r/>
    </w:p>
    <w:p>
      <w:pPr>
        <w:jc w:val="center"/>
        <w:rPr>
          <w:rFonts w:hint="eastAsia" w:ascii="宋体" w:hAnsi="宋体"/>
          <w:b/>
          <w:bCs/>
          <w:color w:val="auto"/>
          <w:sz w:val="36"/>
          <w:highlight w:val="none"/>
        </w:rPr>
      </w:pPr>
      <w:r>
        <w:rPr>
          <w:rFonts w:hint="eastAsia" w:ascii="宋体" w:hAnsi="宋体"/>
          <w:b/>
          <w:bCs/>
          <w:color w:val="auto"/>
          <w:sz w:val="36"/>
          <w:highlight w:val="none"/>
        </w:rPr>
      </w:r>
      <w:r/>
    </w:p>
    <w:p>
      <w:pPr>
        <w:jc w:val="center"/>
        <w:spacing w:line="360" w:lineRule="auto"/>
        <w:rPr>
          <w:rFonts w:hint="eastAsia" w:ascii="宋体" w:hAnsi="宋体" w:eastAsia="宋体" w:cs="Times New Roman"/>
          <w:b/>
          <w:bCs/>
          <w:color w:val="auto"/>
          <w:sz w:val="36"/>
          <w:highlight w:val="none"/>
          <w:lang w:eastAsia="zh-CN"/>
        </w:rPr>
      </w:pPr>
      <w:r/>
      <w:bookmarkStart w:id="67" w:name="_GoBack"/>
      <w:r/>
      <w:bookmarkEnd w:id="67"/>
      <w:r/>
      <w:r/>
    </w:p>
    <w:p>
      <w:pPr>
        <w:jc w:val="center"/>
        <w:spacing w:line="360" w:lineRule="auto"/>
        <w:rPr>
          <w:rFonts w:hint="eastAsia" w:ascii="宋体" w:hAnsi="宋体" w:eastAsia="宋体" w:cs="Times New Roman"/>
          <w:b/>
          <w:bCs/>
          <w:color w:val="auto"/>
          <w:sz w:val="36"/>
          <w:highlight w:val="none"/>
          <w:lang w:eastAsia="zh-CN"/>
        </w:rPr>
      </w:pPr>
      <w:r>
        <w:rPr>
          <w:rFonts w:hint="eastAsia" w:ascii="宋体" w:hAnsi="宋体" w:cs="Times New Roman"/>
          <w:b/>
          <w:bCs/>
          <w:color w:val="auto"/>
          <w:sz w:val="36"/>
          <w:highlight w:val="none"/>
          <w:lang w:eastAsia="zh-CN"/>
        </w:rPr>
        <w:t xml:space="preserve">扬州市市场监督管理局2025年扬州市食品生产企业专项抽检</w:t>
      </w:r>
      <w:r>
        <w:rPr>
          <w:rFonts w:hint="eastAsia" w:ascii="宋体" w:hAnsi="宋体" w:eastAsia="宋体" w:cs="Times New Roman"/>
          <w:b/>
          <w:bCs/>
          <w:color w:val="auto"/>
          <w:sz w:val="36"/>
          <w:highlight w:val="none"/>
          <w:lang w:eastAsia="zh-CN"/>
        </w:rPr>
        <w:t xml:space="preserve">项目公开招标文件</w:t>
      </w:r>
      <w:r/>
    </w:p>
    <w:p>
      <w:pPr>
        <w:pStyle w:val="793"/>
        <w:rPr>
          <w:color w:val="auto"/>
          <w:highlight w:val="none"/>
        </w:rPr>
      </w:pPr>
      <w:r>
        <w:rPr>
          <w:color w:val="auto"/>
          <w:highlight w:val="none"/>
        </w:rPr>
      </w:r>
      <w:r/>
    </w:p>
    <w:p>
      <w:pPr>
        <w:jc w:val="center"/>
        <w:rPr>
          <w:rFonts w:ascii="宋体" w:hAnsi="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571490" cy="3817620"/>
                <wp:effectExtent l="0" t="0" r="6350" b="762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8"/>
                        <a:stretch/>
                      </pic:blipFill>
                      <pic:spPr bwMode="auto">
                        <a:xfrm>
                          <a:off x="0" y="0"/>
                          <a:ext cx="5571490" cy="3817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8.7pt;height:300.6pt;mso-wrap-distance-left:0.0pt;mso-wrap-distance-top:0.0pt;mso-wrap-distance-right:0.0pt;mso-wrap-distance-bottom:0.0pt;" stroked="f">
                <v:path textboxrect="0,0,0,0"/>
                <v:imagedata r:id="rId18" o:title=""/>
              </v:shape>
            </w:pict>
          </mc:Fallback>
        </mc:AlternateContent>
      </w:r>
      <w:r/>
    </w:p>
    <w:p>
      <w:pPr>
        <w:pStyle w:val="965"/>
        <w:rPr>
          <w:color w:val="auto"/>
          <w:highlight w:val="none"/>
        </w:rPr>
      </w:pPr>
      <w:r>
        <w:rPr>
          <w:color w:val="auto"/>
          <w:highlight w:val="none"/>
        </w:rPr>
      </w:r>
      <w:r/>
    </w:p>
    <w:p>
      <w:pPr>
        <w:jc w:val="center"/>
        <w:rPr>
          <w:rFonts w:hint="eastAsia" w:ascii="宋体" w:hAnsi="宋体" w:eastAsia="宋体"/>
          <w:b/>
          <w:bCs/>
          <w:color w:val="auto"/>
          <w:sz w:val="36"/>
          <w:highlight w:val="none"/>
          <w:lang w:eastAsia="zh-CN"/>
        </w:rPr>
      </w:pPr>
      <w:r>
        <w:rPr>
          <w:rFonts w:hint="eastAsia" w:ascii="宋体" w:hAnsi="宋体"/>
          <w:b/>
          <w:bCs/>
          <w:color w:val="auto"/>
          <w:sz w:val="36"/>
          <w:highlight w:val="none"/>
          <w:lang w:eastAsia="zh-CN"/>
        </w:rPr>
        <w:t xml:space="preserve">江苏汇诚投资咨询管理有限公司</w:t>
      </w:r>
      <w:r/>
    </w:p>
    <w:p>
      <w:pPr>
        <w:jc w:val="center"/>
        <w:rPr>
          <w:rFonts w:ascii="宋体" w:hAnsi="宋体"/>
          <w:color w:val="auto"/>
          <w:sz w:val="36"/>
          <w:highlight w:val="none"/>
        </w:rPr>
      </w:pPr>
      <w:r>
        <w:rPr>
          <w:rFonts w:hint="eastAsia" w:ascii="宋体" w:hAnsi="宋体"/>
          <w:b/>
          <w:bCs/>
          <w:color w:val="auto"/>
          <w:sz w:val="36"/>
          <w:highlight w:val="none"/>
        </w:rPr>
        <w:t xml:space="preserve">2024年</w:t>
      </w:r>
      <w:r>
        <w:rPr>
          <w:rFonts w:hint="eastAsia" w:ascii="宋体" w:hAnsi="宋体"/>
          <w:b/>
          <w:bCs/>
          <w:color w:val="auto"/>
          <w:sz w:val="36"/>
          <w:highlight w:val="none"/>
          <w:lang w:val="en-US" w:eastAsia="zh-CN"/>
        </w:rPr>
        <w:t xml:space="preserve">12</w:t>
      </w:r>
      <w:r>
        <w:rPr>
          <w:rFonts w:ascii="宋体" w:hAnsi="宋体"/>
          <w:b/>
          <w:bCs/>
          <w:color w:val="auto"/>
          <w:sz w:val="36"/>
          <w:highlight w:val="none"/>
        </w:rPr>
        <w:t xml:space="preserve">月</w:t>
      </w:r>
      <w:r>
        <w:rPr>
          <w:rFonts w:hint="eastAsia" w:ascii="宋体" w:hAnsi="宋体"/>
          <w:b/>
          <w:bCs/>
          <w:color w:val="auto"/>
          <w:sz w:val="36"/>
          <w:highlight w:val="none"/>
          <w:lang w:val="en-US" w:eastAsia="zh-CN"/>
        </w:rPr>
        <w:t xml:space="preserve">27</w:t>
      </w:r>
      <w:r>
        <w:rPr>
          <w:rFonts w:hint="eastAsia" w:ascii="宋体" w:hAnsi="宋体"/>
          <w:b/>
          <w:bCs/>
          <w:color w:val="auto"/>
          <w:sz w:val="36"/>
          <w:highlight w:val="none"/>
        </w:rPr>
        <w:t xml:space="preserve">日</w:t>
      </w:r>
      <w:r/>
    </w:p>
    <w:p>
      <w:pPr>
        <w:pStyle w:val="965"/>
        <w:rPr>
          <w:color w:val="auto"/>
          <w:highlight w:val="none"/>
        </w:rPr>
      </w:pPr>
      <w:r>
        <w:rPr>
          <w:color w:val="auto"/>
          <w:highlight w:val="none"/>
        </w:rPr>
      </w:r>
      <w:r/>
    </w:p>
    <w:p>
      <w:pPr>
        <w:jc w:val="both"/>
        <w:rPr>
          <w:rFonts w:hint="eastAsia" w:ascii="宋体" w:hAnsi="宋体"/>
          <w:color w:val="auto"/>
          <w:sz w:val="32"/>
          <w:highlight w:val="none"/>
        </w:rPr>
        <w:sectPr>
          <w:headerReference w:type="default" r:id="rId9"/>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auto"/>
          <w:sz w:val="32"/>
          <w:highlight w:val="none"/>
        </w:rPr>
      </w:r>
      <w:r/>
    </w:p>
    <w:p>
      <w:pPr>
        <w:jc w:val="both"/>
        <w:rPr>
          <w:rFonts w:hint="eastAsia" w:ascii="宋体" w:hAnsi="宋体"/>
          <w:color w:val="auto"/>
          <w:sz w:val="32"/>
          <w:highlight w:val="none"/>
        </w:rPr>
      </w:pPr>
      <w:r>
        <w:rPr>
          <w:rFonts w:hint="eastAsia" w:ascii="宋体" w:hAnsi="宋体"/>
          <w:color w:val="auto"/>
          <w:sz w:val="32"/>
          <w:highlight w:val="none"/>
        </w:rPr>
      </w:r>
      <w:r/>
    </w:p>
    <w:p>
      <w:pPr>
        <w:jc w:val="center"/>
        <w:rPr>
          <w:rFonts w:hint="eastAsia" w:ascii="宋体" w:hAnsi="宋体"/>
          <w:color w:val="auto"/>
          <w:sz w:val="32"/>
          <w:highlight w:val="none"/>
        </w:rPr>
      </w:pPr>
      <w:r>
        <w:rPr>
          <w:rFonts w:hint="eastAsia" w:ascii="宋体" w:hAnsi="宋体"/>
          <w:color w:val="auto"/>
          <w:sz w:val="32"/>
          <w:highlight w:val="none"/>
        </w:rPr>
      </w:r>
      <w:r/>
    </w:p>
    <w:p>
      <w:pPr>
        <w:jc w:val="center"/>
        <w:spacing w:line="480" w:lineRule="auto"/>
        <w:rPr>
          <w:rFonts w:ascii="宋体" w:hAnsi="宋体"/>
          <w:color w:val="auto"/>
          <w:sz w:val="32"/>
          <w:highlight w:val="none"/>
        </w:rPr>
      </w:pPr>
      <w:r>
        <w:rPr>
          <w:rFonts w:hint="eastAsia" w:ascii="宋体" w:hAnsi="宋体"/>
          <w:color w:val="auto"/>
          <w:sz w:val="32"/>
          <w:highlight w:val="none"/>
        </w:rPr>
        <w:t xml:space="preserve">目 录</w:t>
      </w:r>
      <w:r/>
    </w:p>
    <w:p>
      <w:pPr>
        <w:pStyle w:val="988"/>
        <w:spacing w:line="480" w:lineRule="auto"/>
        <w:tabs>
          <w:tab w:val="right" w:pos="8296" w:leader="dot"/>
        </w:tabs>
        <w:rPr>
          <w:rFonts w:hint="eastAsia"/>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 </w:t>
      </w:r>
      <w:r>
        <w:rPr>
          <w:rFonts w:hint="eastAsia" w:ascii="宋体" w:hAnsi="宋体"/>
          <w:color w:val="auto"/>
          <w:szCs w:val="36"/>
          <w:highlight w:val="none"/>
          <w:lang w:eastAsia="zh-CN"/>
        </w:rPr>
        <w:t xml:space="preserve">扬州市市场监督管理局2025年扬州市食品生产企业专项抽检</w:t>
      </w:r>
      <w:r>
        <w:rPr>
          <w:rFonts w:hint="eastAsia" w:ascii="宋体" w:hAnsi="宋体"/>
          <w:color w:val="auto"/>
          <w:szCs w:val="36"/>
          <w:highlight w:val="none"/>
        </w:rPr>
        <w:t xml:space="preserve">项目采购公告</w:t>
      </w:r>
      <w:r>
        <w:rPr>
          <w:rFonts w:hint="eastAsia"/>
          <w:color w:val="auto"/>
          <w:highlight w:val="none"/>
        </w:rPr>
        <w:tab/>
      </w:r>
      <w:r>
        <w:rPr>
          <w:rFonts w:hint="eastAsia"/>
          <w:color w:val="auto"/>
          <w:highlight w:val="none"/>
        </w:rPr>
        <w:t xml:space="preserve">3</w:t>
      </w:r>
      <w:r/>
    </w:p>
    <w:p>
      <w:pPr>
        <w:pStyle w:val="988"/>
        <w:spacing w:line="480" w:lineRule="auto"/>
        <w:tabs>
          <w:tab w:val="right" w:pos="8296" w:leader="dot"/>
        </w:tabs>
        <w:rPr>
          <w:rFonts w:hint="eastAsia"/>
          <w:color w:val="auto"/>
          <w:highlight w:val="none"/>
        </w:rPr>
      </w:pPr>
      <w:r>
        <w:rPr>
          <w:rFonts w:hint="eastAsia" w:ascii="宋体" w:hAnsi="宋体"/>
          <w:color w:val="auto"/>
          <w:highlight w:val="none"/>
        </w:rPr>
        <w:t xml:space="preserve">第二章 投标人须知</w:t>
      </w:r>
      <w:r>
        <w:rPr>
          <w:rFonts w:hint="eastAsia"/>
          <w:color w:val="auto"/>
          <w:highlight w:val="none"/>
        </w:rPr>
        <w:tab/>
      </w:r>
      <w:r>
        <w:rPr>
          <w:rFonts w:hint="eastAsia"/>
          <w:color w:val="auto"/>
          <w:highlight w:val="none"/>
        </w:rPr>
        <w:t xml:space="preserve">7</w:t>
      </w:r>
      <w:r/>
    </w:p>
    <w:p>
      <w:pPr>
        <w:pStyle w:val="988"/>
        <w:spacing w:line="480" w:lineRule="auto"/>
        <w:tabs>
          <w:tab w:val="right" w:pos="8296" w:leader="dot"/>
        </w:tabs>
        <w:rPr>
          <w:rFonts w:hint="eastAsia"/>
          <w:color w:val="auto"/>
          <w:highlight w:val="none"/>
        </w:rPr>
      </w:pPr>
      <w:r>
        <w:rPr>
          <w:rFonts w:hint="eastAsia" w:ascii="宋体" w:hAnsi="宋体"/>
          <w:color w:val="auto"/>
          <w:highlight w:val="none"/>
        </w:rPr>
        <w:t xml:space="preserve">第三章 合同条款及格式</w:t>
      </w:r>
      <w:r>
        <w:rPr>
          <w:rFonts w:hint="eastAsia"/>
          <w:color w:val="auto"/>
          <w:highlight w:val="none"/>
        </w:rPr>
        <w:tab/>
      </w:r>
      <w:r>
        <w:rPr>
          <w:rFonts w:hint="eastAsia"/>
          <w:color w:val="auto"/>
          <w:highlight w:val="none"/>
        </w:rPr>
        <w:t xml:space="preserve">18</w:t>
      </w:r>
      <w:r/>
    </w:p>
    <w:p>
      <w:pPr>
        <w:pStyle w:val="988"/>
        <w:spacing w:line="480" w:lineRule="auto"/>
        <w:tabs>
          <w:tab w:val="right" w:pos="8296" w:leader="dot"/>
        </w:tabs>
        <w:rPr>
          <w:rFonts w:hint="eastAsia" w:eastAsia="宋体"/>
          <w:color w:val="auto"/>
          <w:highlight w:val="none"/>
          <w:lang w:eastAsia="zh-CN"/>
        </w:rPr>
      </w:pPr>
      <w:r>
        <w:rPr>
          <w:rFonts w:hint="eastAsia"/>
          <w:color w:val="auto"/>
          <w:highlight w:val="none"/>
        </w:rPr>
        <w:t xml:space="preserve">第四章 项目需求</w:t>
      </w:r>
      <w:r>
        <w:rPr>
          <w:rFonts w:hint="eastAsia"/>
          <w:color w:val="auto"/>
          <w:highlight w:val="none"/>
        </w:rPr>
        <w:tab/>
      </w:r>
      <w:r>
        <w:rPr>
          <w:rFonts w:hint="eastAsia"/>
          <w:color w:val="auto"/>
          <w:highlight w:val="none"/>
        </w:rPr>
        <w:t xml:space="preserve">2</w:t>
      </w:r>
      <w:r>
        <w:rPr>
          <w:rFonts w:hint="eastAsia"/>
          <w:color w:val="auto"/>
          <w:highlight w:val="none"/>
          <w:lang w:val="en-US" w:eastAsia="zh-CN"/>
        </w:rPr>
        <w:t xml:space="preserve">4</w:t>
      </w:r>
      <w:r/>
    </w:p>
    <w:p>
      <w:pPr>
        <w:pStyle w:val="988"/>
        <w:spacing w:line="480" w:lineRule="auto"/>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第五章 评标方法及评标标准</w:t>
      </w:r>
      <w:r>
        <w:rPr>
          <w:rFonts w:hint="eastAsia"/>
          <w:color w:val="auto"/>
          <w:highlight w:val="none"/>
        </w:rPr>
        <w:tab/>
      </w:r>
      <w:r>
        <w:rPr>
          <w:rFonts w:hint="eastAsia"/>
          <w:color w:val="auto"/>
          <w:highlight w:val="none"/>
          <w:lang w:val="en-US" w:eastAsia="zh-CN"/>
        </w:rPr>
        <w:t xml:space="preserve">75</w:t>
      </w:r>
      <w:r/>
    </w:p>
    <w:p>
      <w:pPr>
        <w:pStyle w:val="988"/>
        <w:spacing w:line="480" w:lineRule="auto"/>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第六章 投标文件格式</w:t>
      </w:r>
      <w:r>
        <w:rPr>
          <w:rFonts w:hint="eastAsia"/>
          <w:color w:val="auto"/>
          <w:highlight w:val="none"/>
        </w:rPr>
        <w:tab/>
      </w:r>
      <w:r>
        <w:rPr>
          <w:rFonts w:hint="eastAsia"/>
          <w:color w:val="auto"/>
          <w:highlight w:val="none"/>
          <w:lang w:val="en-US" w:eastAsia="zh-CN"/>
        </w:rPr>
        <w:t xml:space="preserve">80</w:t>
      </w:r>
      <w:r/>
    </w:p>
    <w:p>
      <w:pPr>
        <w:spacing w:line="480" w:lineRule="auto"/>
        <w:rPr>
          <w:rFonts w:ascii="宋体" w:hAnsi="宋体"/>
          <w:color w:val="auto"/>
          <w:sz w:val="28"/>
          <w:highlight w:val="none"/>
        </w:rPr>
      </w:pPr>
      <w:r>
        <w:rPr>
          <w:rFonts w:hint="eastAsia" w:ascii="宋体" w:hAnsi="宋体"/>
          <w:color w:val="auto"/>
          <w:sz w:val="28"/>
          <w:highlight w:val="none"/>
        </w:rPr>
        <w:fldChar w:fldCharType="end"/>
      </w:r>
      <w:r/>
    </w:p>
    <w:p>
      <w:pPr>
        <w:rPr>
          <w:color w:val="auto"/>
          <w:highlight w:val="none"/>
        </w:rPr>
      </w:pPr>
      <w:r>
        <w:rPr>
          <w:rFonts w:hint="eastAsia" w:ascii="宋体" w:hAnsi="宋体"/>
          <w:color w:val="auto"/>
          <w:sz w:val="28"/>
          <w:highlight w:val="none"/>
        </w:rPr>
        <w:br w:type="page" w:clear="all"/>
      </w:r>
      <w:r/>
    </w:p>
    <w:p>
      <w:pPr>
        <w:pStyle w:val="962"/>
        <w:numPr>
          <w:ilvl w:val="0"/>
          <w:numId w:val="2"/>
        </w:numPr>
        <w:jc w:val="center"/>
        <w:spacing w:line="240" w:lineRule="auto"/>
        <w:rPr>
          <w:rFonts w:ascii="宋体" w:hAnsi="宋体"/>
          <w:color w:val="auto"/>
          <w:szCs w:val="36"/>
          <w:highlight w:val="none"/>
        </w:rPr>
      </w:pPr>
      <w:r/>
      <w:bookmarkStart w:id="0" w:name="_Toc55204177"/>
      <w:r>
        <w:rPr>
          <w:rFonts w:hint="eastAsia" w:ascii="宋体" w:hAnsi="宋体"/>
          <w:color w:val="auto"/>
          <w:szCs w:val="36"/>
          <w:highlight w:val="none"/>
          <w:lang w:eastAsia="zh-CN"/>
        </w:rPr>
        <w:t xml:space="preserve">扬州市市场监督管理局2025年扬州市食品生产企业专项抽检</w:t>
      </w:r>
      <w:r>
        <w:rPr>
          <w:rFonts w:hint="eastAsia" w:ascii="宋体" w:hAnsi="宋体"/>
          <w:color w:val="auto"/>
          <w:szCs w:val="36"/>
          <w:highlight w:val="none"/>
        </w:rPr>
        <w:t xml:space="preserve">项目采购公告</w:t>
      </w:r>
      <w:bookmarkEnd w:id="0"/>
      <w:r/>
      <w:r/>
    </w:p>
    <w:p>
      <w:pPr>
        <w:ind w:firstLine="420"/>
        <w:keepLines w:val="0"/>
        <w:keepNext w:val="0"/>
        <w:pageBreakBefore w:val="0"/>
        <w:spacing w:line="430" w:lineRule="exact"/>
        <w:widowControl w:val="off"/>
        <w:tabs>
          <w:tab w:val="left" w:pos="26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受</w:t>
      </w:r>
      <w:r>
        <w:rPr>
          <w:rFonts w:hint="eastAsia" w:ascii="宋体" w:hAnsi="宋体" w:eastAsia="宋体" w:cs="宋体"/>
          <w:color w:val="auto"/>
          <w:sz w:val="21"/>
          <w:szCs w:val="21"/>
          <w:highlight w:val="none"/>
          <w:lang w:eastAsia="zh-CN"/>
        </w:rPr>
        <w:t xml:space="preserve">扬州市市场监督管理局</w:t>
      </w:r>
      <w:r>
        <w:rPr>
          <w:rFonts w:hint="eastAsia" w:ascii="宋体" w:hAnsi="宋体" w:eastAsia="宋体" w:cs="宋体"/>
          <w:color w:val="auto"/>
          <w:sz w:val="21"/>
          <w:szCs w:val="21"/>
          <w:highlight w:val="none"/>
        </w:rPr>
        <w:t xml:space="preserve">的委托，</w:t>
      </w:r>
      <w:r>
        <w:rPr>
          <w:rFonts w:hint="eastAsia" w:ascii="宋体" w:hAnsi="宋体" w:eastAsia="宋体" w:cs="宋体"/>
          <w:color w:val="auto"/>
          <w:sz w:val="21"/>
          <w:szCs w:val="21"/>
          <w:highlight w:val="none"/>
          <w:lang w:eastAsia="zh-CN"/>
        </w:rPr>
        <w:t xml:space="preserve">江苏汇诚投资咨询管理有限公司</w:t>
      </w:r>
      <w:r>
        <w:rPr>
          <w:rFonts w:hint="eastAsia" w:ascii="宋体" w:hAnsi="宋体" w:eastAsia="宋体" w:cs="宋体"/>
          <w:color w:val="auto"/>
          <w:sz w:val="21"/>
          <w:szCs w:val="21"/>
          <w:highlight w:val="none"/>
        </w:rPr>
        <w:t xml:space="preserve">就</w:t>
      </w:r>
      <w:r>
        <w:rPr>
          <w:rFonts w:hint="eastAsia" w:ascii="宋体" w:hAnsi="宋体" w:eastAsia="宋体" w:cs="宋体"/>
          <w:color w:val="auto"/>
          <w:sz w:val="21"/>
          <w:szCs w:val="21"/>
          <w:highlight w:val="none"/>
          <w:lang w:eastAsia="zh-CN"/>
        </w:rPr>
        <w:t xml:space="preserve">扬州市市场监督管理局</w:t>
      </w:r>
      <w:r>
        <w:rPr>
          <w:rFonts w:hint="eastAsia" w:ascii="宋体" w:hAnsi="宋体" w:cs="宋体"/>
          <w:color w:val="auto"/>
          <w:sz w:val="21"/>
          <w:szCs w:val="21"/>
          <w:highlight w:val="none"/>
          <w:lang w:eastAsia="zh-CN"/>
        </w:rPr>
        <w:t xml:space="preserve">2025年食品生产企业专项抽检</w:t>
      </w:r>
      <w:r>
        <w:rPr>
          <w:rFonts w:hint="eastAsia" w:ascii="宋体" w:hAnsi="宋体" w:eastAsia="宋体" w:cs="宋体"/>
          <w:color w:val="auto"/>
          <w:sz w:val="21"/>
          <w:szCs w:val="21"/>
          <w:highlight w:val="none"/>
        </w:rPr>
        <w:t xml:space="preserve">项目进行公开招标采购，欢迎符合条件的供应商投标。</w:t>
      </w:r>
      <w:r/>
    </w:p>
    <w:p>
      <w:pPr>
        <w:ind w:firstLine="422"/>
        <w:keepLines w:val="0"/>
        <w:keepNext w:val="0"/>
        <w:pageBreakBefore w:val="0"/>
        <w:spacing w:line="430" w:lineRule="exact"/>
        <w:widowControl w:val="off"/>
        <w:rPr>
          <w:rFonts w:hint="eastAsia" w:ascii="宋体" w:hAnsi="宋体" w:eastAsia="宋体" w:cs="宋体"/>
          <w:b/>
          <w:bCs/>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auto"/>
          <w:sz w:val="21"/>
          <w:szCs w:val="21"/>
          <w:highlight w:val="none"/>
        </w:rPr>
        <w:t xml:space="preserve">项目概况</w:t>
      </w:r>
      <w:r/>
    </w:p>
    <w:p>
      <w:pPr>
        <w:ind w:firstLine="420"/>
        <w:keepLines w:val="0"/>
        <w:keepNext w:val="0"/>
        <w:pageBreakBefore w:val="0"/>
        <w:spacing w:line="430" w:lineRule="exact"/>
        <w:widowControl w:val="off"/>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1"/>
          <w:szCs w:val="21"/>
          <w:highlight w:val="none"/>
          <w:u w:val="single"/>
          <w:lang w:eastAsia="zh-CN"/>
        </w:rPr>
        <w:t xml:space="preserve">扬州市市场监督管理局</w:t>
      </w:r>
      <w:r>
        <w:rPr>
          <w:rFonts w:hint="eastAsia" w:ascii="宋体" w:hAnsi="宋体" w:cs="宋体"/>
          <w:color w:val="auto"/>
          <w:sz w:val="21"/>
          <w:szCs w:val="21"/>
          <w:highlight w:val="none"/>
          <w:u w:val="single"/>
          <w:lang w:eastAsia="zh-CN"/>
        </w:rPr>
        <w:t xml:space="preserve">2025年扬州市食品生产企业专项抽检</w:t>
      </w:r>
      <w:r>
        <w:rPr>
          <w:rFonts w:hint="eastAsia" w:ascii="宋体" w:hAnsi="宋体" w:eastAsia="宋体" w:cs="宋体"/>
          <w:color w:val="auto"/>
          <w:sz w:val="21"/>
          <w:szCs w:val="21"/>
          <w:highlight w:val="none"/>
          <w:u w:val="single"/>
        </w:rPr>
        <w:t xml:space="preserve">项目</w:t>
      </w:r>
      <w:r>
        <w:rPr>
          <w:rFonts w:hint="eastAsia" w:ascii="宋体" w:hAnsi="宋体" w:eastAsia="宋体" w:cs="宋体"/>
          <w:color w:val="auto"/>
          <w:sz w:val="21"/>
          <w:szCs w:val="21"/>
          <w:highlight w:val="none"/>
        </w:rPr>
        <w:t xml:space="preserve">的潜在投标人可在</w:t>
      </w:r>
      <w:r>
        <w:rPr>
          <w:rFonts w:hint="eastAsia" w:ascii="宋体" w:hAnsi="宋体" w:eastAsia="宋体" w:cs="宋体"/>
          <w:color w:val="auto"/>
          <w:sz w:val="21"/>
          <w:szCs w:val="21"/>
          <w:highlight w:val="none"/>
          <w:u w:val="single"/>
        </w:rPr>
        <w:t xml:space="preserve">“扬州市政府采购网”、“江苏省政府采购网”</w:t>
      </w:r>
      <w:r>
        <w:rPr>
          <w:rFonts w:hint="eastAsia" w:ascii="宋体" w:hAnsi="宋体" w:eastAsia="宋体" w:cs="宋体"/>
          <w:color w:val="auto"/>
          <w:sz w:val="21"/>
          <w:szCs w:val="21"/>
          <w:highlight w:val="none"/>
        </w:rPr>
        <w:t xml:space="preserve">自行免费下载招标文件，并于</w:t>
      </w:r>
      <w:r>
        <w:rPr>
          <w:rFonts w:hint="eastAsia" w:ascii="宋体" w:hAnsi="宋体" w:eastAsia="宋体" w:cs="宋体"/>
          <w:bCs/>
          <w:color w:val="auto"/>
          <w:sz w:val="21"/>
          <w:szCs w:val="21"/>
          <w:highlight w:val="none"/>
          <w:u w:val="single"/>
        </w:rPr>
        <w:t xml:space="preserve">202</w:t>
      </w:r>
      <w:r>
        <w:rPr>
          <w:rFonts w:hint="eastAsia" w:ascii="宋体" w:hAnsi="宋体" w:eastAsia="宋体" w:cs="宋体"/>
          <w:bCs/>
          <w:color w:val="auto"/>
          <w:sz w:val="21"/>
          <w:szCs w:val="21"/>
          <w:highlight w:val="none"/>
          <w:u w:val="single"/>
          <w:lang w:val="en-US" w:eastAsia="zh-CN"/>
        </w:rPr>
        <w:t xml:space="preserve">5</w:t>
      </w:r>
      <w:r>
        <w:rPr>
          <w:rFonts w:hint="eastAsia" w:ascii="宋体" w:hAnsi="宋体" w:eastAsia="宋体" w:cs="宋体"/>
          <w:bCs/>
          <w:color w:val="auto"/>
          <w:sz w:val="21"/>
          <w:szCs w:val="21"/>
          <w:highlight w:val="none"/>
          <w:u w:val="single"/>
        </w:rPr>
        <w:t xml:space="preserve">年</w:t>
      </w:r>
      <w:r>
        <w:rPr>
          <w:rFonts w:hint="eastAsia" w:ascii="宋体" w:hAnsi="宋体" w:eastAsia="宋体" w:cs="宋体"/>
          <w:bCs/>
          <w:color w:val="auto"/>
          <w:sz w:val="21"/>
          <w:szCs w:val="21"/>
          <w:highlight w:val="none"/>
          <w:u w:val="single"/>
          <w:lang w:val="en-US" w:eastAsia="zh-CN"/>
        </w:rPr>
        <w:t xml:space="preserve">1</w:t>
      </w:r>
      <w:r>
        <w:rPr>
          <w:rFonts w:hint="eastAsia" w:ascii="宋体" w:hAnsi="宋体" w:eastAsia="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17</w:t>
      </w:r>
      <w:r>
        <w:rPr>
          <w:rFonts w:hint="eastAsia" w:ascii="宋体" w:hAnsi="宋体" w:eastAsia="宋体" w:cs="宋体"/>
          <w:bCs/>
          <w:color w:val="auto"/>
          <w:sz w:val="21"/>
          <w:szCs w:val="21"/>
          <w:highlight w:val="none"/>
          <w:u w:val="single"/>
        </w:rPr>
        <w:t xml:space="preserve">日</w:t>
      </w:r>
      <w:r>
        <w:rPr>
          <w:rFonts w:hint="eastAsia" w:ascii="宋体" w:hAnsi="宋体" w:cs="宋体"/>
          <w:bCs/>
          <w:color w:val="auto"/>
          <w:sz w:val="21"/>
          <w:szCs w:val="21"/>
          <w:highlight w:val="none"/>
          <w:u w:val="single"/>
          <w:lang w:val="en-US" w:eastAsia="zh-CN"/>
        </w:rPr>
        <w:t xml:space="preserve">下</w:t>
      </w:r>
      <w:r>
        <w:rPr>
          <w:rFonts w:hint="eastAsia" w:ascii="宋体" w:hAnsi="宋体" w:eastAsia="宋体" w:cs="宋体"/>
          <w:bCs/>
          <w:color w:val="auto"/>
          <w:sz w:val="21"/>
          <w:szCs w:val="21"/>
          <w:highlight w:val="none"/>
          <w:u w:val="single"/>
        </w:rPr>
        <w:t xml:space="preserve">午</w:t>
      </w:r>
      <w:r>
        <w:rPr>
          <w:rFonts w:hint="eastAsia" w:ascii="宋体" w:hAnsi="宋体" w:cs="宋体"/>
          <w:bCs/>
          <w:color w:val="auto"/>
          <w:sz w:val="21"/>
          <w:szCs w:val="21"/>
          <w:highlight w:val="none"/>
          <w:u w:val="single"/>
          <w:lang w:val="en-US" w:eastAsia="zh-CN"/>
        </w:rPr>
        <w:t xml:space="preserve">14</w:t>
      </w:r>
      <w:r>
        <w:rPr>
          <w:rFonts w:hint="eastAsia" w:ascii="宋体" w:hAnsi="宋体" w:eastAsia="宋体" w:cs="宋体"/>
          <w:bCs/>
          <w:color w:val="auto"/>
          <w:sz w:val="21"/>
          <w:szCs w:val="21"/>
          <w:highlight w:val="none"/>
          <w:u w:val="single"/>
        </w:rPr>
        <w:t xml:space="preserve">:30</w:t>
      </w:r>
      <w:r>
        <w:rPr>
          <w:rFonts w:hint="eastAsia" w:ascii="宋体" w:hAnsi="宋体" w:eastAsia="宋体" w:cs="宋体"/>
          <w:bCs/>
          <w:color w:val="auto"/>
          <w:sz w:val="21"/>
          <w:szCs w:val="21"/>
          <w:highlight w:val="none"/>
        </w:rPr>
        <w:t xml:space="preserve">（北京时间）前递交投标文件</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430" w:lineRule="exact"/>
        <w:widowControl w:val="off"/>
        <w:tabs>
          <w:tab w:val="left" w:pos="266" w:leader="none"/>
        </w:tabs>
        <w:rPr>
          <w:rFonts w:hint="eastAsia" w:ascii="宋体" w:hAnsi="宋体" w:eastAsia="宋体" w:cs="宋体"/>
          <w:b/>
          <w:bCs/>
          <w:color w:val="auto"/>
          <w:sz w:val="21"/>
          <w:szCs w:val="21"/>
          <w:highlight w:val="none"/>
        </w:rPr>
      </w:pPr>
      <w:r/>
      <w:bookmarkStart w:id="1" w:name="_Toc35393621"/>
      <w:r/>
      <w:bookmarkStart w:id="2" w:name="_Toc35393790"/>
      <w:r/>
      <w:bookmarkStart w:id="3" w:name="_Toc28359079"/>
      <w:r/>
      <w:bookmarkStart w:id="4" w:name="_Toc38985263"/>
      <w:r/>
      <w:bookmarkStart w:id="5" w:name="_Toc28359002"/>
      <w:r/>
      <w:bookmarkStart w:id="6" w:name="_Hlk24379207"/>
      <w:r>
        <w:rPr>
          <w:rFonts w:hint="eastAsia" w:ascii="宋体" w:hAnsi="宋体" w:eastAsia="宋体" w:cs="宋体"/>
          <w:b/>
          <w:bCs/>
          <w:color w:val="auto"/>
          <w:sz w:val="21"/>
          <w:szCs w:val="21"/>
          <w:highlight w:val="none"/>
        </w:rPr>
        <w:t xml:space="preserve">一、项目基本情况</w:t>
      </w:r>
      <w:bookmarkEnd w:id="1"/>
      <w:r/>
      <w:bookmarkEnd w:id="2"/>
      <w:r/>
      <w:bookmarkEnd w:id="3"/>
      <w:r/>
      <w:bookmarkEnd w:id="4"/>
      <w:r/>
      <w:bookmarkEnd w:id="5"/>
      <w:r/>
      <w:r/>
    </w:p>
    <w:p>
      <w:pPr>
        <w:ind w:firstLine="420"/>
        <w:keepLines w:val="0"/>
        <w:keepNext w:val="0"/>
        <w:pageBreakBefore w:val="0"/>
        <w:spacing w:line="43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JSZC-321000-HCZX-G2024-0118</w:t>
      </w:r>
      <w:r>
        <w:rPr>
          <w:rFonts w:hint="eastAsia" w:ascii="宋体" w:hAnsi="宋体" w:eastAsia="宋体" w:cs="宋体"/>
          <w:color w:val="auto"/>
          <w:sz w:val="21"/>
          <w:szCs w:val="21"/>
          <w:highlight w:val="none"/>
        </w:rPr>
        <w:t xml:space="preserve">号</w:t>
      </w:r>
      <w:r/>
    </w:p>
    <w:p>
      <w:pPr>
        <w:ind w:firstLine="420"/>
        <w:keepLines w:val="0"/>
        <w:keepNext w:val="0"/>
        <w:pageBreakBefore w:val="0"/>
        <w:spacing w:line="43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2.项目名称：</w:t>
      </w:r>
      <w:r>
        <w:rPr>
          <w:rFonts w:hint="eastAsia" w:ascii="宋体" w:hAnsi="宋体" w:eastAsia="宋体" w:cs="宋体"/>
          <w:color w:val="auto"/>
          <w:sz w:val="21"/>
          <w:szCs w:val="21"/>
          <w:highlight w:val="none"/>
          <w:lang w:eastAsia="zh-CN"/>
        </w:rPr>
        <w:t xml:space="preserve">扬州市市场监督管理局</w:t>
      </w:r>
      <w:r>
        <w:rPr>
          <w:rFonts w:hint="eastAsia" w:ascii="宋体" w:hAnsi="宋体" w:cs="宋体"/>
          <w:color w:val="auto"/>
          <w:sz w:val="21"/>
          <w:szCs w:val="21"/>
          <w:highlight w:val="none"/>
          <w:lang w:eastAsia="zh-CN"/>
        </w:rPr>
        <w:t xml:space="preserve">2025年扬州市食品生产企业专项抽检</w:t>
      </w:r>
      <w:r>
        <w:rPr>
          <w:rFonts w:hint="eastAsia" w:ascii="宋体" w:hAnsi="宋体" w:eastAsia="宋体" w:cs="宋体"/>
          <w:color w:val="auto"/>
          <w:sz w:val="21"/>
          <w:szCs w:val="21"/>
          <w:highlight w:val="none"/>
        </w:rPr>
        <w:t xml:space="preserve">项目</w:t>
      </w:r>
      <w:bookmarkEnd w:id="6"/>
      <w:r/>
      <w:r/>
    </w:p>
    <w:p>
      <w:pPr>
        <w:ind w:firstLine="420"/>
        <w:keepLines w:val="0"/>
        <w:keepNext w:val="0"/>
        <w:pageBreakBefore w:val="0"/>
        <w:spacing w:line="430" w:lineRule="exact"/>
        <w:widowControl w:val="off"/>
        <w:rPr>
          <w:rFonts w:hint="eastAsia" w:ascii="宋体" w:hAnsi="宋体" w:eastAsia="宋体" w:cs="宋体"/>
          <w:color w:val="auto"/>
          <w:sz w:val="21"/>
          <w:szCs w:val="21"/>
          <w:highlight w:val="none"/>
          <w:lang w:val="en-US" w:eastAsia="zh-CN"/>
        </w:rPr>
      </w:pPr>
      <w:r/>
      <w:bookmarkStart w:id="7" w:name="_Toc28359080"/>
      <w:r/>
      <w:bookmarkStart w:id="8" w:name="_Toc28359003"/>
      <w:r/>
      <w:bookmarkStart w:id="9" w:name="_Toc35393791"/>
      <w:r/>
      <w:bookmarkStart w:id="10" w:name="_Toc38985264"/>
      <w:r/>
      <w:bookmarkStart w:id="11" w:name="_Toc35393622"/>
      <w:r>
        <w:rPr>
          <w:rFonts w:hint="eastAsia" w:ascii="宋体" w:hAnsi="宋体" w:eastAsia="宋体" w:cs="宋体"/>
          <w:color w:val="auto"/>
          <w:sz w:val="21"/>
          <w:szCs w:val="21"/>
          <w:highlight w:val="none"/>
        </w:rPr>
        <w:t xml:space="preserve">3.预算金额</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不低于</w:t>
      </w:r>
      <w:r>
        <w:rPr>
          <w:rFonts w:hint="eastAsia" w:ascii="宋体" w:hAnsi="宋体" w:cs="宋体"/>
          <w:color w:val="auto"/>
          <w:sz w:val="21"/>
          <w:szCs w:val="21"/>
          <w:highlight w:val="none"/>
          <w:lang w:val="en-US" w:eastAsia="zh-CN"/>
        </w:rPr>
        <w:t xml:space="preserve">1104</w:t>
      </w:r>
      <w:r>
        <w:rPr>
          <w:rFonts w:hint="eastAsia" w:ascii="宋体" w:hAnsi="宋体" w:eastAsia="宋体" w:cs="宋体"/>
          <w:color w:val="auto"/>
          <w:sz w:val="21"/>
          <w:szCs w:val="21"/>
          <w:highlight w:val="none"/>
          <w:lang w:val="en-US" w:eastAsia="zh-CN"/>
        </w:rPr>
        <w:t xml:space="preserve">批次，900元/批次，共计994000元</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3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4.本项目设置最高折扣，折扣报价，</w:t>
      </w:r>
      <w:r>
        <w:rPr>
          <w:rFonts w:hint="eastAsia" w:ascii="宋体" w:hAnsi="宋体" w:eastAsia="宋体" w:cs="宋体"/>
          <w:color w:val="auto"/>
          <w:sz w:val="21"/>
          <w:szCs w:val="21"/>
          <w:highlight w:val="none"/>
        </w:rPr>
        <w:t xml:space="preserve">最高折扣100%</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超过最高折扣为无效报价，做无效投标处理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firstLine="420"/>
        <w:keepLines w:val="0"/>
        <w:keepNext w:val="0"/>
        <w:pageBreakBefore w:val="0"/>
        <w:spacing w:line="430" w:lineRule="exact"/>
        <w:widowControl w:val="off"/>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rPr>
        <w:t xml:space="preserve">5.采购需求：</w:t>
      </w:r>
      <w:r>
        <w:rPr>
          <w:rFonts w:hint="eastAsia" w:ascii="宋体" w:hAnsi="宋体" w:eastAsia="宋体" w:cs="宋体"/>
          <w:color w:val="auto"/>
          <w:sz w:val="21"/>
          <w:szCs w:val="21"/>
          <w:highlight w:val="none"/>
        </w:rPr>
        <w:t xml:space="preserve">为确保扬州市2025年扬州市食品生产企业监督抽检工作顺利开展，现向全国范围内进行检测机构资质公开招标，入围的检测机构有资格承担入围后2025年扬州市食品生产企业监督抽检工作。本次招标只招承担扬州市市场监督管理局2025年扬州市食品生产企业专项抽检任务的承检机构资格。抽检承检服务内容:负责扬州市全市获证食品生产企业及不合格生产企业跟踪抽检工作，抽检品类依据国家市场监督管理总局核准的粮食及粮食制品、蔬菜及其制品、水果及其制品、水产品及其制品、食用油(油脂)及其制品等33大类产品</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具体内容详见招标文件第四章。</w:t>
      </w:r>
      <w:r/>
    </w:p>
    <w:p>
      <w:pPr>
        <w:ind w:firstLine="420"/>
        <w:keepLines w:val="0"/>
        <w:keepNext w:val="0"/>
        <w:pageBreakBefore w:val="0"/>
        <w:spacing w:line="430" w:lineRule="exact"/>
        <w:widowControl w:val="off"/>
        <w:rPr>
          <w:rFonts w:hint="eastAsia" w:ascii="宋体" w:hAnsi="宋体" w:eastAsia="宋体" w:cs="宋体"/>
          <w:color w:val="auto"/>
          <w:sz w:val="21"/>
          <w:szCs w:val="21"/>
          <w:highlight w:val="none"/>
          <w:lang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6.合同履行期限：</w:t>
      </w:r>
      <w:r>
        <w:rPr>
          <w:rFonts w:hint="eastAsia" w:ascii="宋体" w:hAnsi="宋体" w:eastAsia="宋体" w:cs="宋体"/>
          <w:color w:val="auto"/>
          <w:sz w:val="21"/>
          <w:szCs w:val="21"/>
          <w:highlight w:val="none"/>
        </w:rPr>
        <w:t xml:space="preserve">2025年12月20日前完成抽检服务</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43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7.本项目</w:t>
      </w:r>
      <w:r>
        <w:rPr>
          <w:rFonts w:hint="eastAsia" w:ascii="宋体" w:hAnsi="宋体" w:eastAsia="宋体" w:cs="宋体"/>
          <w:color w:val="auto"/>
          <w:sz w:val="21"/>
          <w:szCs w:val="21"/>
          <w:highlight w:val="none"/>
          <w:u w:val="single"/>
          <w:lang w:eastAsia="zh-CN"/>
        </w:rPr>
        <w:t xml:space="preserve">不接受</w:t>
      </w:r>
      <w:r>
        <w:rPr>
          <w:rFonts w:hint="eastAsia" w:ascii="宋体" w:hAnsi="宋体" w:eastAsia="宋体" w:cs="宋体"/>
          <w:color w:val="auto"/>
          <w:sz w:val="21"/>
          <w:szCs w:val="21"/>
          <w:highlight w:val="none"/>
        </w:rPr>
        <w:t xml:space="preserve">联合体投标</w:t>
      </w:r>
      <w:r/>
    </w:p>
    <w:p>
      <w:pPr>
        <w:ind w:firstLine="420"/>
        <w:keepLines w:val="0"/>
        <w:keepNext w:val="0"/>
        <w:pageBreakBefore w:val="0"/>
        <w:spacing w:line="43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8.本项目</w:t>
      </w:r>
      <w:r>
        <w:rPr>
          <w:rFonts w:hint="eastAsia" w:ascii="宋体" w:hAnsi="宋体" w:eastAsia="宋体" w:cs="宋体"/>
          <w:color w:val="auto"/>
          <w:sz w:val="21"/>
          <w:szCs w:val="21"/>
          <w:highlight w:val="none"/>
          <w:u w:val="single"/>
          <w:lang w:eastAsia="zh-CN"/>
        </w:rPr>
        <w:t xml:space="preserve">不接受</w:t>
      </w:r>
      <w:r>
        <w:rPr>
          <w:rFonts w:hint="eastAsia" w:ascii="宋体" w:hAnsi="宋体" w:eastAsia="宋体" w:cs="宋体"/>
          <w:color w:val="auto"/>
          <w:sz w:val="21"/>
          <w:szCs w:val="21"/>
          <w:highlight w:val="none"/>
        </w:rPr>
        <w:t xml:space="preserve">进口产品投标</w:t>
      </w:r>
      <w:r/>
    </w:p>
    <w:p>
      <w:pPr>
        <w:ind w:firstLine="422"/>
        <w:keepLines w:val="0"/>
        <w:keepNext w:val="0"/>
        <w:pageBreakBefore w:val="0"/>
        <w:spacing w:line="430" w:lineRule="exact"/>
        <w:widowControl w:val="off"/>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二、申请人的资格要求：</w:t>
      </w:r>
      <w:bookmarkEnd w:id="7"/>
      <w:r/>
      <w:bookmarkEnd w:id="8"/>
      <w:r/>
      <w:bookmarkEnd w:id="9"/>
      <w:r/>
      <w:bookmarkEnd w:id="10"/>
      <w:r/>
      <w:bookmarkEnd w:id="11"/>
      <w:r/>
      <w:r/>
    </w:p>
    <w:p>
      <w:pPr>
        <w:ind w:firstLine="420"/>
        <w:keepLines w:val="0"/>
        <w:keepNext w:val="0"/>
        <w:pageBreakBefore w:val="0"/>
        <w:spacing w:line="430" w:lineRule="exact"/>
        <w:widowControl w:val="off"/>
        <w:rPr>
          <w:rFonts w:hint="eastAsia" w:ascii="宋体" w:hAnsi="宋体" w:eastAsia="宋体" w:cs="宋体"/>
          <w:color w:val="auto"/>
          <w:sz w:val="21"/>
          <w:szCs w:val="21"/>
          <w:highlight w:val="none"/>
        </w:rPr>
      </w:pPr>
      <w:r/>
      <w:bookmarkStart w:id="12" w:name="_Toc28359081"/>
      <w:r/>
      <w:bookmarkStart w:id="13" w:name="_Toc38985265"/>
      <w:r/>
      <w:bookmarkStart w:id="14" w:name="_Toc35393792"/>
      <w:r/>
      <w:bookmarkStart w:id="15" w:name="_Toc35393623"/>
      <w:r/>
      <w:bookmarkStart w:id="16" w:name="_Toc28359004"/>
      <w:r>
        <w:rPr>
          <w:rFonts w:hint="eastAsia" w:ascii="宋体" w:hAnsi="宋体" w:eastAsia="宋体" w:cs="宋体"/>
          <w:color w:val="auto"/>
          <w:sz w:val="21"/>
          <w:szCs w:val="21"/>
          <w:highlight w:val="none"/>
        </w:rPr>
        <w:t xml:space="preserve">1.满足《中华人民共和国政府采购法》第二十二条规定： </w:t>
      </w:r>
      <w:r/>
    </w:p>
    <w:p>
      <w:pPr>
        <w:ind w:firstLine="420"/>
        <w:keepLines w:val="0"/>
        <w:keepNext w:val="0"/>
        <w:pageBreakBefore w:val="0"/>
        <w:spacing w:line="430" w:lineRule="exact"/>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1.1法人或者其他组织的营业执照等证明文件，自然人的身份证明</w:t>
      </w:r>
      <w:r/>
    </w:p>
    <w:p>
      <w:pPr>
        <w:ind w:firstLine="420"/>
        <w:keepLines w:val="0"/>
        <w:keepNext w:val="0"/>
        <w:pageBreakBefore w:val="0"/>
        <w:spacing w:line="430" w:lineRule="exact"/>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 依法缴纳税收和社会保障资金的相关材料</w:t>
      </w:r>
      <w:r>
        <w:rPr>
          <w:rFonts w:hint="eastAsia" w:ascii="宋体" w:hAnsi="宋体" w:eastAsia="宋体" w:cs="宋体"/>
          <w:b/>
          <w:bCs/>
          <w:i/>
          <w:iCs/>
          <w:color w:val="auto"/>
          <w:sz w:val="21"/>
          <w:szCs w:val="21"/>
          <w:highlight w:val="none"/>
          <w:u w:val="single"/>
        </w:rPr>
        <w:t xml:space="preserve">（提供提交投标文件截止时间前一年内至少一个月依法缴纳税收及缴纳社会保障资金的证明材料。供应商依法享受缓缴、免缴税收、社会保障资金的提供证明材料。）</w:t>
      </w:r>
      <w:r/>
    </w:p>
    <w:p>
      <w:pPr>
        <w:ind w:firstLine="420"/>
        <w:keepLines w:val="0"/>
        <w:keepNext w:val="0"/>
        <w:pageBreakBefore w:val="0"/>
        <w:spacing w:line="430" w:lineRule="exact"/>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 上一年度的财务状况报告</w:t>
      </w:r>
      <w:r>
        <w:rPr>
          <w:rFonts w:hint="eastAsia" w:ascii="宋体" w:hAnsi="宋体" w:eastAsia="宋体" w:cs="宋体"/>
          <w:b/>
          <w:bCs/>
          <w:i/>
          <w:iCs/>
          <w:color w:val="auto"/>
          <w:sz w:val="21"/>
          <w:szCs w:val="21"/>
          <w:highlight w:val="none"/>
          <w:u w:val="single"/>
        </w:rPr>
        <w:t xml:space="preserve">（成立不满一年不需提供）</w:t>
      </w:r>
      <w:r/>
    </w:p>
    <w:p>
      <w:pPr>
        <w:ind w:firstLine="420"/>
        <w:keepLines w:val="0"/>
        <w:keepNext w:val="0"/>
        <w:pageBreakBefore w:val="0"/>
        <w:spacing w:line="430" w:lineRule="exact"/>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 具备履行合同所必需的设备和专业技术能力的证明材料</w:t>
      </w:r>
      <w:r/>
    </w:p>
    <w:p>
      <w:pPr>
        <w:ind w:firstLine="420"/>
        <w:keepLines w:val="0"/>
        <w:keepNext w:val="0"/>
        <w:pageBreakBefore w:val="0"/>
        <w:spacing w:line="430" w:lineRule="exact"/>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1.5 参加本次政府采购活动前3年内在经营活动中没有重大违法记录的书面声明</w:t>
      </w:r>
      <w:r/>
    </w:p>
    <w:p>
      <w:pPr>
        <w:ind w:firstLine="420"/>
        <w:keepLines w:val="0"/>
        <w:keepNext w:val="0"/>
        <w:pageBreakBefore w:val="0"/>
        <w:spacing w:line="430" w:lineRule="exact"/>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1.6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eastAsia="宋体" w:cs="宋体"/>
          <w:b/>
          <w:bCs/>
          <w:i/>
          <w:iCs/>
          <w:color w:val="auto"/>
          <w:sz w:val="21"/>
          <w:szCs w:val="21"/>
          <w:highlight w:val="none"/>
          <w:u w:val="single"/>
        </w:rPr>
        <w:t xml:space="preserve">（投标文件中无需提供证明材料）</w:t>
      </w:r>
      <w:r/>
    </w:p>
    <w:p>
      <w:pPr>
        <w:ind w:firstLine="420"/>
        <w:keepLines w:val="0"/>
        <w:keepNext w:val="0"/>
        <w:pageBreakBefore w:val="0"/>
        <w:spacing w:line="430" w:lineRule="exact"/>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1.7供应商信用承诺函</w:t>
      </w:r>
      <w:r/>
    </w:p>
    <w:p>
      <w:pPr>
        <w:numPr>
          <w:ilvl w:val="0"/>
          <w:numId w:val="3"/>
        </w:numPr>
        <w:ind w:firstLine="420"/>
        <w:keepLines w:val="0"/>
        <w:keepNext w:val="0"/>
        <w:pageBreakBefore w:val="0"/>
        <w:spacing w:line="430" w:lineRule="exact"/>
        <w:widowControl w:val="off"/>
        <w:rPr>
          <w:rFonts w:hint="eastAsia" w:ascii="宋体" w:hAnsi="宋体" w:eastAsia="宋体" w:cs="宋体"/>
          <w:b/>
          <w:i/>
          <w:color w:val="auto"/>
          <w:sz w:val="21"/>
          <w:szCs w:val="21"/>
          <w:highlight w:val="none"/>
          <w:u w:val="single"/>
        </w:rPr>
      </w:pPr>
      <w:r>
        <w:rPr>
          <w:rFonts w:hint="eastAsia" w:ascii="宋体" w:hAnsi="宋体" w:eastAsia="宋体" w:cs="宋体"/>
          <w:color w:val="auto"/>
          <w:sz w:val="21"/>
          <w:szCs w:val="21"/>
          <w:highlight w:val="none"/>
        </w:rPr>
        <w:t xml:space="preserve">落实政府采购政策需满足的资格要求：</w:t>
      </w:r>
      <w:r>
        <w:rPr>
          <w:rFonts w:hint="eastAsia" w:ascii="宋体" w:hAnsi="宋体" w:eastAsia="宋体" w:cs="宋体"/>
          <w:i/>
          <w:iCs/>
          <w:color w:val="auto"/>
          <w:sz w:val="21"/>
          <w:szCs w:val="21"/>
          <w:highlight w:val="none"/>
          <w:u w:val="single"/>
        </w:rPr>
        <w:t xml:space="preserve">根据《政府采购促进中小企业发展管理办法》（财库〔2020〕46 号），本项目对小型和微型企业、残疾人福利单位、监狱和戒毒企业提供的货物、服务给予20%的价格扣除。</w:t>
      </w:r>
      <w:r/>
    </w:p>
    <w:p>
      <w:pPr>
        <w:numPr>
          <w:ilvl w:val="0"/>
          <w:numId w:val="3"/>
        </w:numPr>
        <w:ind w:firstLine="420"/>
        <w:keepLines w:val="0"/>
        <w:keepNext w:val="0"/>
        <w:pageBreakBefore w:val="0"/>
        <w:spacing w:line="430" w:lineRule="exact"/>
        <w:widowControl w:val="off"/>
        <w:rPr>
          <w:rFonts w:hint="eastAsia" w:ascii="宋体" w:hAnsi="宋体" w:eastAsia="宋体" w:cs="宋体"/>
          <w:b/>
          <w:i/>
          <w:color w:val="auto"/>
          <w:sz w:val="21"/>
          <w:szCs w:val="21"/>
          <w:highlight w:val="none"/>
          <w:u w:val="single"/>
        </w:rPr>
      </w:pPr>
      <w:r>
        <w:rPr>
          <w:rFonts w:hint="eastAsia" w:ascii="宋体" w:hAnsi="宋体" w:eastAsia="宋体" w:cs="宋体"/>
          <w:color w:val="auto"/>
          <w:sz w:val="21"/>
          <w:szCs w:val="21"/>
          <w:highlight w:val="none"/>
        </w:rPr>
        <w:t xml:space="preserve">本项目的特定资格要求：</w:t>
      </w:r>
      <w:r>
        <w:rPr>
          <w:rFonts w:hint="eastAsia" w:ascii="宋体" w:hAnsi="宋体" w:eastAsia="宋体" w:cs="宋体"/>
          <w:i/>
          <w:color w:val="auto"/>
          <w:sz w:val="21"/>
          <w:szCs w:val="21"/>
          <w:highlight w:val="none"/>
          <w:u w:val="single"/>
          <w:lang w:bidi="ar"/>
        </w:rPr>
        <w:t xml:space="preserve">供应商具有行政主管部门颁发的有效期内食品检验检测机构资质认定证书（提供</w:t>
      </w:r>
      <w:r>
        <w:rPr>
          <w:rFonts w:hint="eastAsia" w:ascii="宋体" w:hAnsi="宋体" w:eastAsia="宋体" w:cs="宋体"/>
          <w:i/>
          <w:color w:val="auto"/>
          <w:sz w:val="21"/>
          <w:szCs w:val="21"/>
          <w:highlight w:val="none"/>
          <w:u w:val="single"/>
          <w:lang w:val="en-US" w:eastAsia="zh-CN" w:bidi="ar"/>
        </w:rPr>
        <w:t xml:space="preserve">有效</w:t>
      </w:r>
      <w:r>
        <w:rPr>
          <w:rFonts w:hint="eastAsia" w:ascii="宋体" w:hAnsi="宋体" w:eastAsia="宋体" w:cs="宋体"/>
          <w:i/>
          <w:color w:val="auto"/>
          <w:sz w:val="21"/>
          <w:szCs w:val="21"/>
          <w:highlight w:val="none"/>
          <w:u w:val="single"/>
          <w:lang w:bidi="ar"/>
        </w:rPr>
        <w:t xml:space="preserve">证书</w:t>
      </w:r>
      <w:r>
        <w:rPr>
          <w:rFonts w:hint="eastAsia" w:ascii="宋体" w:hAnsi="宋体" w:eastAsia="宋体" w:cs="宋体"/>
          <w:i/>
          <w:color w:val="auto"/>
          <w:sz w:val="21"/>
          <w:szCs w:val="21"/>
          <w:highlight w:val="none"/>
          <w:u w:val="single"/>
          <w:lang w:val="en-US" w:eastAsia="zh-CN" w:bidi="ar"/>
        </w:rPr>
        <w:t xml:space="preserve">原件扫描</w:t>
      </w:r>
      <w:r>
        <w:rPr>
          <w:rFonts w:hint="eastAsia" w:ascii="宋体" w:hAnsi="宋体" w:eastAsia="宋体" w:cs="宋体"/>
          <w:i/>
          <w:color w:val="auto"/>
          <w:sz w:val="21"/>
          <w:szCs w:val="21"/>
          <w:highlight w:val="none"/>
          <w:u w:val="single"/>
          <w:lang w:bidi="ar"/>
        </w:rPr>
        <w:t xml:space="preserve">上传系统）</w:t>
      </w:r>
      <w:r>
        <w:rPr>
          <w:rFonts w:hint="eastAsia" w:ascii="宋体" w:hAnsi="宋体" w:eastAsia="宋体" w:cs="宋体"/>
          <w:b w:val="0"/>
          <w:bCs/>
          <w:i/>
          <w:color w:val="auto"/>
          <w:sz w:val="21"/>
          <w:szCs w:val="21"/>
          <w:highlight w:val="none"/>
          <w:u w:val="single"/>
          <w:lang w:eastAsia="zh-CN" w:bidi="ar"/>
        </w:rPr>
        <w:t xml:space="preserve">。</w:t>
      </w:r>
      <w:r/>
    </w:p>
    <w:p>
      <w:pPr>
        <w:ind w:firstLine="422"/>
        <w:keepLines w:val="0"/>
        <w:keepNext w:val="0"/>
        <w:pageBreakBefore w:val="0"/>
        <w:spacing w:line="430" w:lineRule="exact"/>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三、获取招标文件</w:t>
      </w:r>
      <w:bookmarkEnd w:id="12"/>
      <w:r/>
      <w:bookmarkEnd w:id="13"/>
      <w:r/>
      <w:bookmarkEnd w:id="14"/>
      <w:r/>
      <w:bookmarkEnd w:id="15"/>
      <w:r/>
      <w:bookmarkEnd w:id="16"/>
      <w:r/>
      <w:r/>
    </w:p>
    <w:p>
      <w:pPr>
        <w:ind w:firstLine="420"/>
        <w:keepLines w:val="0"/>
        <w:keepNext w:val="0"/>
        <w:pageBreakBefore w:val="0"/>
        <w:spacing w:line="430" w:lineRule="exact"/>
        <w:rPr>
          <w:rFonts w:hint="eastAsia" w:ascii="宋体" w:hAnsi="宋体" w:eastAsia="宋体" w:cs="宋体"/>
          <w:color w:val="auto"/>
          <w:sz w:val="21"/>
          <w:szCs w:val="21"/>
          <w:highlight w:val="none"/>
        </w:rPr>
      </w:pPr>
      <w:r/>
      <w:bookmarkStart w:id="17" w:name="_Toc35393793"/>
      <w:r/>
      <w:bookmarkStart w:id="18" w:name="_Toc38985266"/>
      <w:r/>
      <w:bookmarkStart w:id="19" w:name="_Toc35393624"/>
      <w:r/>
      <w:bookmarkStart w:id="20" w:name="_Toc28359082"/>
      <w:r/>
      <w:bookmarkStart w:id="21" w:name="_Toc28359005"/>
      <w:r>
        <w:rPr>
          <w:rFonts w:hint="eastAsia" w:ascii="宋体" w:hAnsi="宋体" w:eastAsia="宋体" w:cs="宋体"/>
          <w:color w:val="auto"/>
          <w:sz w:val="21"/>
          <w:szCs w:val="21"/>
          <w:highlight w:val="none"/>
        </w:rPr>
        <w:t xml:space="preserve">1.时间：自招标文件公告发布之日起5个工作日。5个工作日后仍可下载招标文件，但不作为供应商权益受到损害的证明材料和依据。</w:t>
      </w:r>
      <w:r/>
    </w:p>
    <w:p>
      <w:pPr>
        <w:ind w:firstLine="422"/>
        <w:keepLines w:val="0"/>
        <w:keepNext w:val="0"/>
        <w:pageBreakBefore w:val="0"/>
        <w:spacing w:line="43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2.获取方式：本项目采用网上注册登记方式。</w:t>
      </w:r>
      <w:bookmarkEnd w:id="17"/>
      <w:r/>
      <w:bookmarkEnd w:id="18"/>
      <w:r/>
      <w:bookmarkEnd w:id="19"/>
      <w:r/>
      <w:bookmarkEnd w:id="20"/>
      <w:r/>
      <w:bookmarkEnd w:id="21"/>
      <w:r/>
      <w:r/>
    </w:p>
    <w:p>
      <w:pPr>
        <w:ind w:firstLine="422"/>
        <w:keepLines w:val="0"/>
        <w:keepNext w:val="0"/>
        <w:pageBreakBefore w:val="0"/>
        <w:spacing w:line="430" w:lineRule="exact"/>
        <w:rPr>
          <w:rFonts w:hint="eastAsia" w:ascii="宋体" w:hAnsi="宋体" w:eastAsia="宋体" w:cs="宋体"/>
          <w:b/>
          <w:bCs/>
          <w:color w:val="auto"/>
          <w:sz w:val="21"/>
          <w:szCs w:val="21"/>
          <w:highlight w:val="none"/>
        </w:rPr>
      </w:pPr>
      <w:r/>
      <w:bookmarkStart w:id="22" w:name="_Toc35393794"/>
      <w:r/>
      <w:bookmarkStart w:id="23" w:name="_Toc28359007"/>
      <w:r/>
      <w:bookmarkStart w:id="24" w:name="_Toc28359084"/>
      <w:r/>
      <w:bookmarkStart w:id="25" w:name="_Toc35393625"/>
      <w:r/>
      <w:bookmarkStart w:id="26" w:name="_Toc38985267"/>
      <w:r>
        <w:rPr>
          <w:rFonts w:hint="eastAsia" w:ascii="宋体" w:hAnsi="宋体" w:eastAsia="宋体" w:cs="宋体"/>
          <w:b/>
          <w:bCs/>
          <w:color w:val="auto"/>
          <w:sz w:val="21"/>
          <w:szCs w:val="21"/>
          <w:highlight w:val="none"/>
        </w:rPr>
        <w:t xml:space="preserve">3.潜在供应商访问政府采购管理交易系统（苏采云）的网络地址和方法：</w:t>
      </w:r>
      <w:r/>
    </w:p>
    <w:p>
      <w:pPr>
        <w:ind w:firstLine="422"/>
        <w:keepLines w:val="0"/>
        <w:keepNext w:val="0"/>
        <w:pageBreakBefore w:val="0"/>
        <w:spacing w:line="43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43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43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（3）“CA数字证书”的办理材料以及供应商操作手册详见：</w:t>
      </w:r>
      <w:r/>
    </w:p>
    <w:p>
      <w:pPr>
        <w:ind w:firstLine="422"/>
        <w:keepLines w:val="0"/>
        <w:keepNext w:val="0"/>
        <w:pageBreakBefore w:val="0"/>
        <w:spacing w:line="43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http://zfcg.yangzhou.gov.cn/zfcg/xzzx/202309/4d7de1f7865f4a2894fc22bc452f94d8.shtml。</w:t>
      </w:r>
      <w:r/>
    </w:p>
    <w:p>
      <w:pPr>
        <w:ind w:firstLine="422"/>
        <w:keepLines w:val="0"/>
        <w:keepNext w:val="0"/>
        <w:pageBreakBefore w:val="0"/>
        <w:spacing w:line="43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（4）潜在供应商访问“苏采云”系统的网络地址和方法：“苏采云”系统的网址：http://jszfcg.jsczt.cn/。</w:t>
      </w:r>
      <w:r/>
    </w:p>
    <w:p>
      <w:pPr>
        <w:ind w:firstLine="422"/>
        <w:keepLines w:val="0"/>
        <w:keepNext w:val="0"/>
        <w:pageBreakBefore w:val="0"/>
        <w:spacing w:line="43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43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（6）招标代理机构（采购代理机构）将数据电文形式的采购文件加载至“苏采云”系统，供潜在供应商下载或者查阅。     </w:t>
      </w:r>
      <w:r/>
    </w:p>
    <w:p>
      <w:pPr>
        <w:ind w:firstLine="422"/>
        <w:keepLines w:val="0"/>
        <w:keepNext w:val="0"/>
        <w:pageBreakBefore w:val="0"/>
        <w:spacing w:line="43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（7）苏采云系统使用谷歌浏览器参与不见面开标。</w:t>
      </w:r>
      <w:r/>
    </w:p>
    <w:p>
      <w:pPr>
        <w:ind w:firstLine="422"/>
        <w:keepLines w:val="0"/>
        <w:keepNext w:val="0"/>
        <w:pageBreakBefore w:val="0"/>
        <w:spacing w:line="43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四、提交投标文件截止时间、开标时间和地点</w:t>
      </w:r>
      <w:r/>
    </w:p>
    <w:p>
      <w:pPr>
        <w:ind w:firstLine="420"/>
        <w:keepLines w:val="0"/>
        <w:keepNext w:val="0"/>
        <w:pageBreakBefore w:val="0"/>
        <w:spacing w:line="430" w:lineRule="exact"/>
        <w:rPr>
          <w:rFonts w:hint="eastAsia" w:ascii="宋体" w:hAnsi="宋体" w:eastAsia="宋体" w:cs="宋体"/>
          <w:bCs/>
          <w:color w:val="auto"/>
          <w:sz w:val="21"/>
          <w:szCs w:val="21"/>
          <w:highlight w:val="none"/>
          <w:u w:val="single"/>
        </w:rPr>
      </w:pPr>
      <w:r>
        <w:rPr>
          <w:rFonts w:hint="eastAsia" w:ascii="宋体" w:hAnsi="宋体" w:eastAsia="宋体" w:cs="宋体"/>
          <w:color w:val="auto"/>
          <w:sz w:val="21"/>
          <w:szCs w:val="21"/>
          <w:highlight w:val="none"/>
        </w:rPr>
        <w:t xml:space="preserve">1.时间：</w:t>
      </w:r>
      <w:r>
        <w:rPr>
          <w:rFonts w:hint="eastAsia" w:ascii="宋体" w:hAnsi="宋体" w:eastAsia="宋体" w:cs="宋体"/>
          <w:bCs/>
          <w:color w:val="auto"/>
          <w:sz w:val="21"/>
          <w:szCs w:val="21"/>
          <w:highlight w:val="none"/>
          <w:u w:val="single"/>
        </w:rPr>
        <w:t xml:space="preserve">202</w:t>
      </w:r>
      <w:r>
        <w:rPr>
          <w:rFonts w:hint="eastAsia" w:ascii="宋体" w:hAnsi="宋体" w:eastAsia="宋体" w:cs="宋体"/>
          <w:bCs/>
          <w:color w:val="auto"/>
          <w:sz w:val="21"/>
          <w:szCs w:val="21"/>
          <w:highlight w:val="none"/>
          <w:u w:val="single"/>
          <w:lang w:val="en-US" w:eastAsia="zh-CN"/>
        </w:rPr>
        <w:t xml:space="preserve">5</w:t>
      </w:r>
      <w:r>
        <w:rPr>
          <w:rFonts w:hint="eastAsia" w:ascii="宋体" w:hAnsi="宋体" w:eastAsia="宋体" w:cs="宋体"/>
          <w:bCs/>
          <w:color w:val="auto"/>
          <w:sz w:val="21"/>
          <w:szCs w:val="21"/>
          <w:highlight w:val="none"/>
          <w:u w:val="single"/>
        </w:rPr>
        <w:t xml:space="preserve">年</w:t>
      </w:r>
      <w:r>
        <w:rPr>
          <w:rFonts w:hint="eastAsia" w:ascii="宋体" w:hAnsi="宋体" w:eastAsia="宋体" w:cs="宋体"/>
          <w:bCs/>
          <w:color w:val="auto"/>
          <w:sz w:val="21"/>
          <w:szCs w:val="21"/>
          <w:highlight w:val="none"/>
          <w:u w:val="single"/>
          <w:lang w:val="en-US" w:eastAsia="zh-CN"/>
        </w:rPr>
        <w:t xml:space="preserve">1</w:t>
      </w:r>
      <w:r>
        <w:rPr>
          <w:rFonts w:hint="eastAsia" w:ascii="宋体" w:hAnsi="宋体" w:eastAsia="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17</w:t>
      </w:r>
      <w:r>
        <w:rPr>
          <w:rFonts w:hint="eastAsia" w:ascii="宋体" w:hAnsi="宋体" w:eastAsia="宋体" w:cs="宋体"/>
          <w:bCs/>
          <w:color w:val="auto"/>
          <w:sz w:val="21"/>
          <w:szCs w:val="21"/>
          <w:highlight w:val="none"/>
          <w:u w:val="single"/>
        </w:rPr>
        <w:t xml:space="preserve">日 </w:t>
      </w:r>
      <w:r>
        <w:rPr>
          <w:rFonts w:hint="eastAsia" w:ascii="宋体" w:hAnsi="宋体" w:cs="宋体"/>
          <w:bCs/>
          <w:color w:val="auto"/>
          <w:sz w:val="21"/>
          <w:szCs w:val="21"/>
          <w:highlight w:val="none"/>
          <w:u w:val="single"/>
          <w:lang w:val="en-US" w:eastAsia="zh-CN"/>
        </w:rPr>
        <w:t xml:space="preserve">下</w:t>
      </w:r>
      <w:r>
        <w:rPr>
          <w:rFonts w:hint="eastAsia" w:ascii="宋体" w:hAnsi="宋体" w:eastAsia="宋体" w:cs="宋体"/>
          <w:bCs/>
          <w:color w:val="auto"/>
          <w:sz w:val="21"/>
          <w:szCs w:val="21"/>
          <w:highlight w:val="none"/>
          <w:u w:val="single"/>
        </w:rPr>
        <w:t xml:space="preserve">午</w:t>
      </w:r>
      <w:r>
        <w:rPr>
          <w:rFonts w:hint="eastAsia" w:ascii="宋体" w:hAnsi="宋体" w:cs="宋体"/>
          <w:bCs/>
          <w:color w:val="auto"/>
          <w:sz w:val="21"/>
          <w:szCs w:val="21"/>
          <w:highlight w:val="none"/>
          <w:u w:val="single"/>
          <w:lang w:val="en-US" w:eastAsia="zh-CN"/>
        </w:rPr>
        <w:t xml:space="preserve">14</w:t>
      </w:r>
      <w:r>
        <w:rPr>
          <w:rFonts w:hint="eastAsia" w:ascii="宋体" w:hAnsi="宋体" w:eastAsia="宋体" w:cs="宋体"/>
          <w:bCs/>
          <w:color w:val="auto"/>
          <w:sz w:val="21"/>
          <w:szCs w:val="21"/>
          <w:highlight w:val="none"/>
          <w:u w:val="single"/>
        </w:rPr>
        <w:t xml:space="preserve">:30</w:t>
      </w:r>
      <w:r>
        <w:rPr>
          <w:rFonts w:hint="eastAsia" w:ascii="宋体" w:hAnsi="宋体" w:eastAsia="宋体" w:cs="宋体"/>
          <w:bCs/>
          <w:color w:val="auto"/>
          <w:sz w:val="21"/>
          <w:szCs w:val="21"/>
          <w:highlight w:val="none"/>
        </w:rPr>
        <w:t xml:space="preserve">（北京时间）</w:t>
      </w:r>
      <w:r/>
    </w:p>
    <w:p>
      <w:pPr>
        <w:ind w:firstLine="420"/>
        <w:keepLines w:val="0"/>
        <w:keepNext w:val="0"/>
        <w:pageBreakBefore w:val="0"/>
        <w:spacing w:line="430" w:lineRule="exact"/>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2.开标地点：</w:t>
      </w:r>
      <w:r>
        <w:rPr>
          <w:rFonts w:hint="eastAsia" w:ascii="宋体" w:hAnsi="宋体" w:eastAsia="宋体" w:cs="宋体"/>
          <w:b/>
          <w:color w:val="auto"/>
          <w:sz w:val="21"/>
          <w:szCs w:val="21"/>
          <w:highlight w:val="none"/>
        </w:rPr>
        <w:t xml:space="preserve">“苏采云”系统（网址：</w:t>
      </w:r>
      <w:r>
        <w:rPr>
          <w:rFonts w:hint="eastAsia" w:ascii="宋体" w:hAnsi="宋体" w:eastAsia="宋体" w:cs="宋体"/>
          <w:b/>
          <w:color w:val="auto"/>
          <w:sz w:val="21"/>
          <w:szCs w:val="21"/>
          <w:highlight w:val="none"/>
        </w:rPr>
        <w:fldChar w:fldCharType="begin"/>
      </w:r>
      <w:r>
        <w:rPr>
          <w:rFonts w:hint="eastAsia" w:ascii="宋体" w:hAnsi="宋体" w:eastAsia="宋体" w:cs="宋体"/>
          <w:b/>
          <w:color w:val="auto"/>
          <w:sz w:val="21"/>
          <w:szCs w:val="21"/>
          <w:highlight w:val="none"/>
        </w:rPr>
        <w:instrText xml:space="preserve"> HYPERLINK "http://jszfcg.jsczt.cn/）\“开标大厅\”" </w:instrText>
      </w:r>
      <w:r>
        <w:rPr>
          <w:rFonts w:hint="eastAsia" w:ascii="宋体" w:hAnsi="宋体" w:eastAsia="宋体" w:cs="宋体"/>
          <w:b/>
          <w:color w:val="auto"/>
          <w:sz w:val="21"/>
          <w:szCs w:val="21"/>
          <w:highlight w:val="none"/>
        </w:rPr>
        <w:fldChar w:fldCharType="separate"/>
      </w:r>
      <w:r>
        <w:rPr>
          <w:rFonts w:hint="eastAsia" w:ascii="宋体" w:hAnsi="宋体" w:eastAsia="宋体" w:cs="宋体"/>
          <w:b/>
          <w:color w:val="auto"/>
          <w:sz w:val="21"/>
          <w:szCs w:val="21"/>
          <w:highlight w:val="none"/>
        </w:rPr>
        <w:t xml:space="preserve">http://jszfcg.jsczt.cn/）“开标大厅”</w:t>
      </w:r>
      <w:r>
        <w:rPr>
          <w:rFonts w:hint="eastAsia" w:ascii="宋体" w:hAnsi="宋体" w:eastAsia="宋体" w:cs="宋体"/>
          <w:b/>
          <w:color w:val="auto"/>
          <w:sz w:val="21"/>
          <w:szCs w:val="21"/>
          <w:highlight w:val="none"/>
        </w:rPr>
        <w:fldChar w:fldCharType="end"/>
      </w:r>
      <w:bookmarkEnd w:id="22"/>
      <w:r/>
      <w:bookmarkEnd w:id="23"/>
      <w:r/>
      <w:bookmarkEnd w:id="24"/>
      <w:r/>
      <w:bookmarkEnd w:id="25"/>
      <w:r/>
      <w:bookmarkEnd w:id="26"/>
      <w:r/>
      <w:r/>
    </w:p>
    <w:p>
      <w:pPr>
        <w:ind w:firstLine="422"/>
        <w:keepLines w:val="0"/>
        <w:keepNext w:val="0"/>
        <w:pageBreakBefore w:val="0"/>
        <w:spacing w:line="430" w:lineRule="exact"/>
        <w:tabs>
          <w:tab w:val="left" w:pos="266" w:leader="none"/>
        </w:tabs>
        <w:rPr>
          <w:rFonts w:hint="eastAsia" w:ascii="宋体" w:hAnsi="宋体" w:eastAsia="宋体" w:cs="宋体"/>
          <w:b/>
          <w:bCs/>
          <w:color w:val="auto"/>
          <w:sz w:val="21"/>
          <w:szCs w:val="21"/>
          <w:highlight w:val="none"/>
        </w:rPr>
      </w:pPr>
      <w:r/>
      <w:bookmarkStart w:id="27" w:name="_Toc38985268"/>
      <w:r/>
      <w:bookmarkStart w:id="28" w:name="_Toc35393626"/>
      <w:r/>
      <w:bookmarkStart w:id="29" w:name="_Toc35393795"/>
      <w:r>
        <w:rPr>
          <w:rFonts w:hint="eastAsia" w:ascii="宋体" w:hAnsi="宋体" w:eastAsia="宋体" w:cs="宋体"/>
          <w:b/>
          <w:bCs/>
          <w:color w:val="auto"/>
          <w:sz w:val="21"/>
          <w:szCs w:val="21"/>
          <w:highlight w:val="none"/>
        </w:rPr>
        <w:t xml:space="preserve">五、公告期限</w:t>
      </w:r>
      <w:r/>
    </w:p>
    <w:p>
      <w:pPr>
        <w:ind w:firstLine="420"/>
        <w:keepLines w:val="0"/>
        <w:keepNext w:val="0"/>
        <w:pageBreakBefore w:val="0"/>
        <w:spacing w:line="43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招标公告及招标文件公告期限为自本公告发布之日起5个工作日。</w:t>
      </w:r>
      <w:r/>
    </w:p>
    <w:p>
      <w:pPr>
        <w:ind w:firstLine="422"/>
        <w:keepLines w:val="0"/>
        <w:keepNext w:val="0"/>
        <w:pageBreakBefore w:val="0"/>
        <w:spacing w:line="430" w:lineRule="exact"/>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六、其他补充事宜</w:t>
      </w:r>
      <w:bookmarkEnd w:id="27"/>
      <w:r/>
      <w:bookmarkEnd w:id="28"/>
      <w:r/>
      <w:bookmarkEnd w:id="29"/>
      <w:r/>
      <w:r/>
    </w:p>
    <w:p>
      <w:pPr>
        <w:ind w:firstLine="422"/>
        <w:keepLines w:val="0"/>
        <w:keepNext w:val="0"/>
        <w:pageBreakBefore w:val="0"/>
        <w:spacing w:line="430" w:lineRule="exact"/>
        <w:rPr>
          <w:rFonts w:hint="eastAsia" w:ascii="宋体" w:hAnsi="宋体" w:eastAsia="宋体" w:cs="宋体"/>
          <w:b/>
          <w:bCs/>
          <w:color w:val="auto"/>
          <w:sz w:val="21"/>
          <w:szCs w:val="21"/>
          <w:highlight w:val="none"/>
        </w:rPr>
      </w:pPr>
      <w:r/>
      <w:bookmarkStart w:id="30" w:name="_Toc35393796"/>
      <w:r/>
      <w:bookmarkStart w:id="31" w:name="_Toc35393627"/>
      <w:r/>
      <w:bookmarkStart w:id="32" w:name="_Toc28359085"/>
      <w:r/>
      <w:bookmarkStart w:id="33" w:name="_Toc28359008"/>
      <w:r/>
      <w:bookmarkStart w:id="34" w:name="_Toc38985269"/>
      <w:r>
        <w:rPr>
          <w:rFonts w:hint="eastAsia" w:ascii="宋体" w:hAnsi="宋体" w:eastAsia="宋体" w:cs="宋体"/>
          <w:b/>
          <w:bCs/>
          <w:color w:val="auto"/>
          <w:sz w:val="21"/>
          <w:szCs w:val="21"/>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keepLines w:val="0"/>
        <w:keepNext w:val="0"/>
        <w:pageBreakBefore w:val="0"/>
        <w:spacing w:line="430" w:lineRule="exact"/>
        <w:shd w:val="clear" w:color="auto" w:fill="ffff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keepLines w:val="0"/>
        <w:keepNext w:val="0"/>
        <w:pageBreakBefore w:val="0"/>
        <w:spacing w:line="43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rPr>
          <w:rFonts w:hint="eastAsia" w:ascii="宋体" w:hAnsi="宋体" w:eastAsia="宋体" w:cs="宋体"/>
          <w:color w:val="auto"/>
          <w:sz w:val="21"/>
          <w:szCs w:val="21"/>
          <w:highlight w:val="none"/>
        </w:rPr>
        <w:t xml:space="preserve">本次招标不收取投标保证金。</w:t>
      </w:r>
      <w:r/>
    </w:p>
    <w:p>
      <w:pPr>
        <w:ind w:firstLine="420"/>
        <w:keepLines w:val="0"/>
        <w:keepNext w:val="0"/>
        <w:pageBreakBefore w:val="0"/>
        <w:spacing w:line="430" w:lineRule="exac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bCs/>
          <w:color w:val="auto"/>
          <w:sz w:val="21"/>
          <w:szCs w:val="21"/>
          <w:highlight w:val="none"/>
        </w:rPr>
        <w:t xml:space="preserve">有关本次招标的事项若存在变动或修改，敬请及时关注“扬州市政府采购网”、“江苏省政府采购网”发布的信息。</w:t>
      </w:r>
      <w:r/>
    </w:p>
    <w:p>
      <w:pPr>
        <w:ind w:firstLine="422"/>
        <w:keepLines w:val="0"/>
        <w:keepNext w:val="0"/>
        <w:pageBreakBefore w:val="0"/>
        <w:spacing w:line="430" w:lineRule="exact"/>
        <w:rPr>
          <w:rFonts w:hint="eastAsia" w:ascii="宋体" w:hAnsi="宋体" w:eastAsia="宋体" w:cs="宋体"/>
          <w:b/>
          <w:i/>
          <w:iCs/>
          <w:color w:val="auto"/>
          <w:sz w:val="21"/>
          <w:szCs w:val="21"/>
          <w:highlight w:val="none"/>
          <w:u w:val="single"/>
        </w:rPr>
      </w:pPr>
      <w:r>
        <w:rPr>
          <w:rFonts w:hint="eastAsia" w:ascii="宋体" w:hAnsi="宋体" w:eastAsia="宋体" w:cs="宋体"/>
          <w:b/>
          <w:i/>
          <w:iCs/>
          <w:color w:val="auto"/>
          <w:sz w:val="21"/>
          <w:szCs w:val="21"/>
          <w:highlight w:val="none"/>
          <w:u w:val="single"/>
        </w:rPr>
        <w:t xml:space="preserve">5.本项目招标文件中所有斜体下划线部分为实质性条款，如不满足，则为无效投标。</w:t>
      </w:r>
      <w:r/>
    </w:p>
    <w:p>
      <w:pPr>
        <w:ind w:firstLine="420"/>
        <w:keepLines w:val="0"/>
        <w:keepNext w:val="0"/>
        <w:pageBreakBefore w:val="0"/>
        <w:spacing w:line="430" w:lineRule="exact"/>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6.如在开标时间发生系统崩溃等不可预见的情况，造成开评标活动无法正常进行的，将延迟开评标，具体开评标时间另行通知。</w:t>
      </w:r>
      <w:r/>
    </w:p>
    <w:p>
      <w:pPr>
        <w:ind w:firstLine="420"/>
        <w:keepLines w:val="0"/>
        <w:keepNext w:val="0"/>
        <w:pageBreakBefore w:val="0"/>
        <w:spacing w:line="430" w:lineRule="exact"/>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7.为落实好政府采购履约资金扶持政策，中标/成交供应商可凭政府采购合同办理融资贷款，详见江苏政府采购网“政采贷”专栏。</w:t>
      </w:r>
      <w:r/>
    </w:p>
    <w:p>
      <w:pPr>
        <w:ind w:firstLine="420"/>
        <w:keepLines w:val="0"/>
        <w:keepNext w:val="0"/>
        <w:pageBreakBefore w:val="0"/>
        <w:spacing w:line="430" w:lineRule="exact"/>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8.本项目严格执行政府采购关于支持节能产品</w:t>
      </w:r>
      <w:r>
        <w:rPr>
          <w:rFonts w:hint="eastAsia" w:ascii="宋体" w:hAnsi="宋体" w:eastAsia="宋体" w:cs="宋体"/>
          <w:bCs/>
          <w:color w:val="auto"/>
          <w:sz w:val="21"/>
          <w:szCs w:val="21"/>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430" w:lineRule="exact"/>
        <w:tabs>
          <w:tab w:val="left" w:pos="266"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9.供应商对于所投产品的包装应按照“财办库〔2020〕123号《关于印发《商品包装政府采购需求标准（试行）》、《快递包装政府采购需求标准（试行）》的通知》”执行。</w:t>
      </w:r>
      <w:r/>
    </w:p>
    <w:p>
      <w:pPr>
        <w:ind w:firstLine="422"/>
        <w:keepLines w:val="0"/>
        <w:keepNext w:val="0"/>
        <w:pageBreakBefore w:val="0"/>
        <w:spacing w:line="430" w:lineRule="exact"/>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七、本次招标联系方式</w:t>
      </w:r>
      <w:bookmarkEnd w:id="30"/>
      <w:r/>
      <w:bookmarkEnd w:id="31"/>
      <w:r/>
      <w:bookmarkEnd w:id="32"/>
      <w:r/>
      <w:bookmarkEnd w:id="33"/>
      <w:r/>
      <w:bookmarkEnd w:id="34"/>
      <w:r/>
      <w:r/>
    </w:p>
    <w:p>
      <w:pPr>
        <w:ind w:firstLine="420"/>
        <w:jc w:val="left"/>
        <w:keepLines w:val="0"/>
        <w:keepNext w:val="0"/>
        <w:pageBreakBefore w:val="0"/>
        <w:spacing w:line="43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ind w:firstLine="420"/>
        <w:jc w:val="left"/>
        <w:keepLines w:val="0"/>
        <w:keepNext w:val="0"/>
        <w:pageBreakBefore w:val="0"/>
        <w:spacing w:line="43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扬州市市场监督管理局</w:t>
      </w:r>
      <w:r/>
    </w:p>
    <w:p>
      <w:pPr>
        <w:ind w:firstLine="420"/>
        <w:jc w:val="left"/>
        <w:keepLines w:val="0"/>
        <w:keepNext w:val="0"/>
        <w:pageBreakBefore w:val="0"/>
        <w:spacing w:line="43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址：扬州市邗江区文昌西路525号 </w:t>
      </w:r>
      <w:r/>
    </w:p>
    <w:p>
      <w:pPr>
        <w:ind w:firstLine="420"/>
        <w:jc w:val="left"/>
        <w:keepLines w:val="0"/>
        <w:keepNext w:val="0"/>
        <w:pageBreakBefore w:val="0"/>
        <w:spacing w:line="43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联系方式：0514-89332671</w:t>
      </w:r>
      <w:r/>
    </w:p>
    <w:p>
      <w:pPr>
        <w:ind w:firstLine="420"/>
        <w:jc w:val="left"/>
        <w:keepLines w:val="0"/>
        <w:keepNext w:val="0"/>
        <w:pageBreakBefore w:val="0"/>
        <w:spacing w:line="43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2.代理机构信息</w:t>
      </w:r>
      <w:r/>
    </w:p>
    <w:p>
      <w:pPr>
        <w:ind w:firstLine="420"/>
        <w:jc w:val="left"/>
        <w:keepLines w:val="0"/>
        <w:keepNext w:val="0"/>
        <w:pageBreakBefore w:val="0"/>
        <w:spacing w:line="43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江苏汇诚投资咨询管理有限公司</w:t>
      </w:r>
      <w:r/>
    </w:p>
    <w:p>
      <w:pPr>
        <w:ind w:firstLine="420"/>
        <w:keepLines w:val="0"/>
        <w:keepNext w:val="0"/>
        <w:pageBreakBefore w:val="0"/>
        <w:spacing w:line="43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eastAsia="zh-CN"/>
        </w:rPr>
        <w:t xml:space="preserve">扬州市邗江区邗江北路68号三楼西入口</w:t>
      </w:r>
      <w:r/>
    </w:p>
    <w:p>
      <w:pPr>
        <w:ind w:firstLine="420"/>
        <w:keepLines w:val="0"/>
        <w:keepNext w:val="0"/>
        <w:pageBreakBefore w:val="0"/>
        <w:spacing w:line="430" w:lineRule="exact"/>
        <w:rPr>
          <w:rFonts w:hint="eastAsia" w:ascii="宋体" w:hAnsi="宋体" w:eastAsia="宋体" w:cs="宋体"/>
          <w:color w:val="auto"/>
          <w:sz w:val="21"/>
          <w:szCs w:val="21"/>
          <w:highlight w:val="none"/>
          <w:lang w:eastAsia="zh-CN"/>
        </w:rPr>
      </w:pPr>
      <w:r/>
      <w:bookmarkStart w:id="35" w:name="_Toc28359087"/>
      <w:r/>
      <w:bookmarkStart w:id="36" w:name="_Toc28359010"/>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eastAsia="zh-CN"/>
        </w:rPr>
        <w:t xml:space="preserve">唐磊</w:t>
      </w:r>
      <w:r/>
    </w:p>
    <w:p>
      <w:pPr>
        <w:ind w:firstLine="420"/>
        <w:keepLines w:val="0"/>
        <w:keepNext w:val="0"/>
        <w:pageBreakBefore w:val="0"/>
        <w:spacing w:line="430" w:lineRule="exact"/>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联系方式：</w:t>
      </w:r>
      <w:r>
        <w:rPr>
          <w:rFonts w:hint="eastAsia" w:ascii="宋体" w:hAnsi="宋体" w:eastAsia="宋体" w:cs="宋体"/>
          <w:color w:val="auto"/>
          <w:sz w:val="21"/>
          <w:szCs w:val="21"/>
          <w:highlight w:val="none"/>
          <w:lang w:eastAsia="zh-CN"/>
        </w:rPr>
        <w:t xml:space="preserve">0514-89787281</w:t>
      </w:r>
      <w:bookmarkEnd w:id="35"/>
      <w:r/>
      <w:bookmarkEnd w:id="36"/>
      <w:r/>
      <w:r/>
    </w:p>
    <w:p>
      <w:pPr>
        <w:ind w:firstLine="422"/>
        <w:keepLines w:val="0"/>
        <w:keepNext w:val="0"/>
        <w:pageBreakBefore w:val="0"/>
        <w:spacing w:line="430" w:lineRule="exact"/>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0"/>
        <w:jc w:val="right"/>
        <w:keepLines w:val="0"/>
        <w:keepNext w:val="0"/>
        <w:pageBreakBefore w:val="0"/>
        <w:spacing w:line="43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right"/>
        <w:keepLines w:val="0"/>
        <w:keepNext w:val="0"/>
        <w:pageBreakBefore w:val="0"/>
        <w:spacing w:line="43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江苏汇诚投资咨询管理有限公司</w:t>
      </w:r>
      <w:r/>
    </w:p>
    <w:p>
      <w:pPr>
        <w:ind w:firstLine="420"/>
        <w:jc w:val="right"/>
        <w:keepLines w:val="0"/>
        <w:keepNext w:val="0"/>
        <w:pageBreakBefore w:val="0"/>
        <w:spacing w:line="430" w:lineRule="exact"/>
        <w:rPr>
          <w:rFonts w:hint="eastAsia" w:ascii="宋体" w:hAnsi="宋体" w:eastAsia="宋体" w:cs="宋体"/>
          <w:color w:val="auto"/>
          <w:sz w:val="21"/>
          <w:szCs w:val="21"/>
          <w:highlight w:val="none"/>
        </w:rPr>
        <w:sectPr>
          <w:footerReference w:type="default" r:id="rId14"/>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eastAsia="宋体" w:cs="宋体"/>
          <w:color w:val="auto"/>
          <w:sz w:val="21"/>
          <w:szCs w:val="21"/>
          <w:highlight w:val="none"/>
        </w:rPr>
        <w:t xml:space="preserve">2024年</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rPr>
        <w:t xml:space="preserve">日</w:t>
      </w:r>
      <w:r/>
    </w:p>
    <w:p>
      <w:pPr>
        <w:rPr>
          <w:color w:val="auto"/>
          <w:highlight w:val="none"/>
        </w:rPr>
      </w:pPr>
      <w:r>
        <w:rPr>
          <w:color w:val="auto"/>
          <w:highlight w:val="none"/>
        </w:rPr>
      </w:r>
      <w:r/>
    </w:p>
    <w:p>
      <w:pPr>
        <w:pStyle w:val="962"/>
        <w:numPr>
          <w:ilvl w:val="0"/>
          <w:numId w:val="2"/>
        </w:numPr>
        <w:jc w:val="center"/>
        <w:spacing w:line="240" w:lineRule="auto"/>
        <w:rPr>
          <w:rFonts w:hint="eastAsia" w:ascii="宋体" w:hAnsi="宋体"/>
          <w:color w:val="auto"/>
          <w:szCs w:val="36"/>
          <w:highlight w:val="none"/>
          <w:lang w:eastAsia="zh-CN"/>
        </w:rPr>
      </w:pPr>
      <w:r/>
      <w:bookmarkStart w:id="37" w:name="_Toc55204178"/>
      <w:r>
        <w:rPr>
          <w:rFonts w:hint="eastAsia" w:ascii="宋体" w:hAnsi="宋体"/>
          <w:color w:val="auto"/>
          <w:szCs w:val="36"/>
          <w:highlight w:val="none"/>
          <w:lang w:eastAsia="zh-CN"/>
        </w:rPr>
        <w:t xml:space="preserve">投标人须知</w:t>
      </w:r>
      <w:bookmarkEnd w:id="37"/>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1、招标方式</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1.1本次招标采取公开招标方式，本招标文件仅适用于</w:t>
      </w:r>
      <w:r>
        <w:rPr>
          <w:rFonts w:hint="eastAsia" w:ascii="宋体" w:hAnsi="宋体" w:cs="宋体"/>
          <w:bCs/>
          <w:color w:val="auto"/>
          <w:sz w:val="21"/>
          <w:szCs w:val="21"/>
          <w:highlight w:val="none"/>
          <w:lang w:eastAsia="zh-CN"/>
        </w:rPr>
        <w:t xml:space="preserve">JSZC-321000-HCZX-G2024-0118</w:t>
      </w:r>
      <w:r>
        <w:rPr>
          <w:rFonts w:hint="eastAsia" w:ascii="宋体" w:hAnsi="宋体" w:eastAsia="宋体" w:cs="宋体"/>
          <w:bCs/>
          <w:color w:val="auto"/>
          <w:sz w:val="21"/>
          <w:szCs w:val="21"/>
          <w:highlight w:val="none"/>
        </w:rPr>
        <w:t xml:space="preserve">号项目。</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2、投标人</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 本招标文件中“供应商”，即“投标人”，是指参加投标竞争，并符合招标文件规定资格条件的法人、其他组织或者自然人。</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2.2合格的投标人</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2.2.1 满足招标公告中供应商的资格条件要求的规定。</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2.2.2 满足本文件实质性条款的规定。</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3、适用法律</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 本次招标及由此产生的合同受中华人民共和国有关的法律法规制约和保护。</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4、投标费用</w:t>
      </w:r>
      <w:r/>
    </w:p>
    <w:p>
      <w:pPr>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投标人应自行承担所有与参加投标有关的费用，无论投标过程中的做法和结果如 何，代理机构在任何情况下均无义务和责任承担这些费用。 </w:t>
      </w:r>
      <w:r/>
    </w:p>
    <w:p>
      <w:pPr>
        <w:ind w:left="0" w:firstLine="422"/>
        <w:jc w:val="left"/>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4.2</w:t>
      </w:r>
      <w:r>
        <w:rPr>
          <w:rFonts w:hint="eastAsia" w:ascii="宋体" w:hAnsi="宋体" w:eastAsia="宋体" w:cs="宋体"/>
          <w:b/>
          <w:bCs/>
          <w:color w:val="auto"/>
          <w:sz w:val="21"/>
          <w:szCs w:val="21"/>
          <w:highlight w:val="none"/>
        </w:rPr>
        <w:t xml:space="preserve">本次采购由中标人在领取中标通知书前按照</w:t>
      </w:r>
      <w:r>
        <w:rPr>
          <w:rFonts w:hint="eastAsia" w:ascii="宋体" w:hAnsi="宋体" w:cs="宋体"/>
          <w:b/>
          <w:bCs/>
          <w:color w:val="auto"/>
          <w:sz w:val="21"/>
          <w:szCs w:val="21"/>
          <w:highlight w:val="none"/>
          <w:lang w:val="en-US" w:eastAsia="zh-CN"/>
        </w:rPr>
        <w:t xml:space="preserve">1000元</w:t>
      </w:r>
      <w:r>
        <w:rPr>
          <w:rFonts w:hint="eastAsia" w:ascii="宋体" w:hAnsi="宋体" w:eastAsia="宋体" w:cs="宋体"/>
          <w:b/>
          <w:bCs/>
          <w:color w:val="auto"/>
          <w:sz w:val="21"/>
          <w:szCs w:val="21"/>
          <w:highlight w:val="none"/>
        </w:rPr>
        <w:t xml:space="preserve">一次性支付给招标代理机构代理服务费。</w:t>
      </w:r>
      <w:r/>
    </w:p>
    <w:p>
      <w:pPr>
        <w:ind w:left="0" w:firstLine="422"/>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（1）代理服务费以人民币支付；</w:t>
      </w:r>
      <w:r/>
    </w:p>
    <w:p>
      <w:pPr>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（2）代理服务费一次性以电汇、转账等非现金形式支付；</w:t>
      </w:r>
      <w:r/>
    </w:p>
    <w:p>
      <w:pPr>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（3）招标代理服务费不在投标报价中单列，包含在投标总价中，由中标单位支付给代理机构。</w:t>
      </w:r>
      <w:r/>
    </w:p>
    <w:p>
      <w:pPr>
        <w:ind w:left="0" w:firstLine="632"/>
        <w:jc w:val="left"/>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招标代理服务费开户银行：中国工商银行扬州雍华府支行</w:t>
      </w:r>
      <w:r>
        <w:rPr>
          <w:rFonts w:hint="eastAsia" w:ascii="宋体" w:hAnsi="宋体" w:eastAsia="宋体" w:cs="宋体"/>
          <w:b/>
          <w:bCs/>
          <w:color w:val="auto"/>
          <w:sz w:val="21"/>
          <w:szCs w:val="21"/>
          <w:highlight w:val="none"/>
        </w:rPr>
        <w:br w:type="textWrapping" w:clear="all"/>
      </w:r>
      <w:r>
        <w:rPr>
          <w:rFonts w:hint="eastAsia" w:ascii="宋体" w:hAnsi="宋体" w:eastAsia="宋体" w:cs="宋体"/>
          <w:b/>
          <w:bCs/>
          <w:color w:val="auto"/>
          <w:sz w:val="21"/>
          <w:szCs w:val="21"/>
          <w:highlight w:val="none"/>
        </w:rPr>
        <w:t xml:space="preserve">    开户名称：</w:t>
      </w:r>
      <w:r>
        <w:rPr>
          <w:rFonts w:hint="eastAsia" w:ascii="宋体" w:hAnsi="宋体" w:eastAsia="宋体" w:cs="宋体"/>
          <w:b/>
          <w:bCs/>
          <w:color w:val="auto"/>
          <w:sz w:val="21"/>
          <w:szCs w:val="21"/>
          <w:highlight w:val="none"/>
          <w:lang w:eastAsia="zh-CN"/>
        </w:rPr>
        <w:t xml:space="preserve">江苏汇诚投资咨询管理有限公司邗江分公司</w:t>
      </w:r>
      <w:r>
        <w:rPr>
          <w:rFonts w:hint="eastAsia" w:ascii="宋体" w:hAnsi="宋体" w:eastAsia="宋体" w:cs="宋体"/>
          <w:b/>
          <w:bCs/>
          <w:color w:val="auto"/>
          <w:sz w:val="21"/>
          <w:szCs w:val="21"/>
          <w:highlight w:val="none"/>
        </w:rPr>
        <w:br w:type="textWrapping" w:clear="all"/>
      </w:r>
      <w:r>
        <w:rPr>
          <w:rFonts w:hint="eastAsia" w:ascii="宋体" w:hAnsi="宋体" w:eastAsia="宋体" w:cs="宋体"/>
          <w:b/>
          <w:bCs/>
          <w:color w:val="auto"/>
          <w:sz w:val="21"/>
          <w:szCs w:val="21"/>
          <w:highlight w:val="none"/>
        </w:rPr>
        <w:t xml:space="preserve">    开户帐号：1108020809100091782</w:t>
      </w:r>
      <w:r/>
    </w:p>
    <w:p>
      <w:pPr>
        <w:ind w:left="0" w:firstLine="422"/>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4.3专家评审费按《扬州市财政局关于进一步规范扬州市政府采购专家评审费标准的通知》（扬财购〔2020〕40号）执行。</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5、招标文件的约束力</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5.1 投标人一旦参加本项目采购活动，即被认为接受了本招标文件的规定和约束。</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6、招标文件构成</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6.1 招标文件有以下部分组成：</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（1）招标公告</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（2）投标人须知</w:t>
      </w:r>
      <w:r>
        <w:rPr>
          <w:rFonts w:hint="eastAsia" w:ascii="宋体" w:hAnsi="宋体" w:eastAsia="宋体" w:cs="宋体"/>
          <w:bCs/>
          <w:color w:val="auto"/>
          <w:sz w:val="21"/>
          <w:szCs w:val="21"/>
          <w:highlight w:val="none"/>
        </w:rPr>
        <w:tab/>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（3）合同条款及格式</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（4）项目需求</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（5）评标方法与评标标准</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（6）投标文件格式</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请仔细检查招标文件是否齐全，如有缺漏请立即与代理机构联系解决。</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6.3 招标文件如果要求供应商提交备选投标方案的，供应商可以提交备选方案；否则，备选方案将被拒绝。</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7、招标文件的澄清</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7.1 任何要求对招标文件进行澄清的投标人，应在投标截止日期的十日前按招标公告中的通讯地址，以书面形式通知代理机构。</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8、招标文件的修改</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8.1 在投标截止时间前，代理机构可以对招标文件进行修改。</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8.2代理机构在招标文件要求提交投标文件截止时间前，有权按照法定要求推迟投标截止时间和开标时间。</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8.3招标文件的修改将在“扬州市政府采购网”、“江苏省政府采购网”公布，补充文件将作为招标文件的组成部分，并对投标人具有约束力。</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9、投标文件的语言、度量衡单位、货币</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9.1投标人提交的投标文件以及投标人与代理机构就有关投标的所有来往通知、函件和文件均应使用简体中文。</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9.2 除技术性能另有规定外，投标文件所使用的度量衡单位，均须采用国家法定计量单位。</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9.3投标人应使用人民币报价。</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10、投标文件构成</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10.1投标文件由以下部分组成</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（1）资格审查响应对照表</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（2）符合性审查响应对照表</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（3）非实质性响应对照表</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（4）开标一览表 </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（5）分项报价表 </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（6）技术参数响应及偏离表 </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（7）商务条款响应及偏离表 </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（8）其他 （投标人认为有必要提供的声明和文件，如有自拟并自行添加）</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10.2投标人应当根据招标文件要求编制投标文件，投标文件应对招标文件提出的要求和条件作出响应，并在相应的投标文件中逐条标明满足与否。</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11、证明投标人资格及符合招标文件规定的文件</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11.1投标人应按要求提交资格证明文件及符合招标文件规定的文件。</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11.2投标人应提交证明其有资格参加投标和中标后有能力独立履行合同的文件。</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11.3投标人除必须具有履行合同所需提供的产品或服务的能力外，还必须具备相应的财务、技术方面的能力。</w:t>
      </w:r>
      <w:r/>
    </w:p>
    <w:p>
      <w:pPr>
        <w:ind w:left="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11.4投标人应提交根据合同要求提供的证明服务质量合格以及符合招标文件规定的证明文件。</w:t>
      </w:r>
      <w:r/>
    </w:p>
    <w:p>
      <w:pPr>
        <w:ind w:left="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11.5证明投标人所提供服务与招标文件的要求相一致的文件可以是手册、图纸、文字资料和数据。</w:t>
      </w:r>
      <w:r/>
    </w:p>
    <w:p>
      <w:pPr>
        <w:ind w:left="0"/>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12、</w:t>
      </w:r>
      <w:r>
        <w:rPr>
          <w:rFonts w:hint="eastAsia" w:ascii="宋体" w:hAnsi="宋体" w:eastAsia="宋体" w:cs="宋体"/>
          <w:b/>
          <w:bCs/>
          <w:color w:val="auto"/>
          <w:sz w:val="21"/>
          <w:szCs w:val="21"/>
          <w:highlight w:val="none"/>
        </w:rPr>
        <w:t xml:space="preserve">分项报价表</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12.2 标的物</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采购人需求的服务供应、安装，调试及有关技术服务等。</w:t>
      </w:r>
      <w:r/>
    </w:p>
    <w:p>
      <w:pPr>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12.3其它费用处理</w:t>
      </w:r>
      <w:r/>
    </w:p>
    <w:p>
      <w:pPr>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招标文件未列明，而投标人认为必需的费用也需列入报价。</w:t>
      </w:r>
      <w:r/>
    </w:p>
    <w:p>
      <w:pPr>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12.4投标货币</w:t>
      </w:r>
      <w:r/>
    </w:p>
    <w:p>
      <w:pPr>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投标文件中的服务单价和总价无特殊规定的采用人民币报价，以元为单位标注。招标文件中另有规定的按规定执行。</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13、技术参数响应及偏离表、商务条款响应及偏离表及投标货物说明</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13.1 对招标文件中的技术与商务条款要求逐项作出响应或偏离，并说明原因；</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13.2 提供参加本项目类似案例简介；</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13.3 培训计划；</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13.4 投标人认为需要的其他技术文件或说明。</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14、服务承诺及售后服务机构、人员的情况介绍</w:t>
      </w:r>
      <w:r/>
    </w:p>
    <w:p>
      <w:pPr>
        <w:ind w:left="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14.1投标人的服务承诺应按不低于招标文件中商务要求的标准。</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14.2提供投标人有关售后服务的管理制度、售后服务机构的分布情况、售后服务人员的数量、素质、技术水平及售后服务的反应能力。</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15、投标函和开标一览表</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15.1 投标人应按照招标文件中提供的格式完整、正确填写投标函、开标一览表。</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15.2 开标一览表中的价格应与投标文件中分项报价表中的价格一致，如不一致，不作为无效投标处理，但评标时按开标一览表中价格为准。</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16、投标有效期</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16.1 投标有效期为开标之日起六十（60）天。投标有效期比规定短的将被视为非响应性投标而予以拒绝。</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bookmarkStart w:id="38" w:name="_Toc462564084"/>
      <w:r/>
      <w:bookmarkStart w:id="39" w:name="_Toc513029225"/>
      <w:r/>
      <w:bookmarkStart w:id="40" w:name="_Toc20823297"/>
      <w:r/>
      <w:bookmarkStart w:id="41" w:name="_Toc16938541"/>
      <w:r>
        <w:rPr>
          <w:rFonts w:hint="eastAsia" w:ascii="宋体" w:hAnsi="宋体" w:eastAsia="宋体" w:cs="宋体"/>
          <w:b/>
          <w:color w:val="auto"/>
          <w:sz w:val="21"/>
          <w:szCs w:val="21"/>
          <w:highlight w:val="none"/>
        </w:rPr>
        <w:t xml:space="preserve">17、投标文件</w:t>
      </w:r>
      <w:bookmarkEnd w:id="38"/>
      <w:r/>
      <w:bookmarkEnd w:id="39"/>
      <w:r/>
      <w:bookmarkEnd w:id="40"/>
      <w:r/>
      <w:bookmarkEnd w:id="41"/>
      <w:r>
        <w:rPr>
          <w:rFonts w:hint="eastAsia" w:ascii="宋体" w:hAnsi="宋体" w:eastAsia="宋体" w:cs="宋体"/>
          <w:b/>
          <w:color w:val="auto"/>
          <w:sz w:val="21"/>
          <w:szCs w:val="21"/>
          <w:highlight w:val="none"/>
        </w:rPr>
        <w:t xml:space="preserve">的递交</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17.1 电子投标文件的递交投标人应当按照《操作手册》规定，在投标截止时间前制作并上传电子投标文件。</w:t>
      </w:r>
      <w:bookmarkStart w:id="42" w:name="_Toc16938542"/>
      <w:r/>
      <w:bookmarkStart w:id="43" w:name="_Toc513029226"/>
      <w:r/>
      <w:bookmarkStart w:id="44" w:name="_Toc20823298"/>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17.2</w:t>
      </w:r>
      <w:r>
        <w:rPr>
          <w:rFonts w:hint="eastAsia" w:ascii="宋体" w:hAnsi="宋体" w:eastAsia="宋体" w:cs="宋体"/>
          <w:b/>
          <w:bCs/>
          <w:color w:val="auto"/>
          <w:sz w:val="21"/>
          <w:szCs w:val="21"/>
          <w:highlight w:val="none"/>
        </w:rPr>
        <w:t xml:space="preserve">政府采购管理交易系统（苏采云）</w:t>
      </w:r>
      <w:r>
        <w:rPr>
          <w:rFonts w:hint="eastAsia" w:ascii="宋体" w:hAnsi="宋体" w:eastAsia="宋体" w:cs="宋体"/>
          <w:b/>
          <w:color w:val="auto"/>
          <w:sz w:val="21"/>
          <w:szCs w:val="21"/>
          <w:highlight w:val="none"/>
        </w:rPr>
        <w:t xml:space="preserve">相关要求是本招标文件的组成部分。</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17.3投标人应对 CA 证书妥善保管，如被他人盗用投标，因此带来的结果均由投标人自行承担。</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17.4投标人应当对招标文件提出的要求和条件作出实质性响应，并在电子投标系统逐条应答。</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17.5投标人应对要求提供的资格证明文件（如资质证书、资格证书）、技术资料（如白皮书、彩页、手册、检测报告等）扫描上传至投标系统。</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17.6投标人应当在招标文件要求提交投标文件的截止时间前，将投标文件提交至“苏采云”系统，逾期提交的投标文件，“苏采云”系统将自动拒收。</w:t>
      </w:r>
      <w:r/>
    </w:p>
    <w:p>
      <w:pPr>
        <w:ind w:left="0" w:firstLine="422"/>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17.7各投标人应在规定时间内凭CA证书进行网上解密。</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18、投标截止日期</w:t>
      </w:r>
      <w:bookmarkEnd w:id="42"/>
      <w:r/>
      <w:bookmarkEnd w:id="43"/>
      <w:r/>
      <w:bookmarkEnd w:id="44"/>
      <w:r/>
      <w:r/>
    </w:p>
    <w:p>
      <w:pPr>
        <w:ind w:left="0" w:firstLine="420"/>
        <w:keepLines w:val="0"/>
        <w:keepNext w:val="0"/>
        <w:pageBreakBefore w:val="0"/>
        <w:spacing w:line="440" w:lineRule="exact"/>
        <w:widowControl w:val="off"/>
        <w:rPr>
          <w:rFonts w:hint="eastAsia" w:ascii="宋体" w:hAnsi="宋体" w:eastAsia="宋体" w:cs="宋体"/>
          <w:bCs/>
          <w:i/>
          <w:iCs/>
          <w:color w:val="auto"/>
          <w:sz w:val="21"/>
          <w:szCs w:val="21"/>
          <w:highlight w:val="none"/>
          <w:u w:val="single"/>
        </w:rPr>
      </w:pPr>
      <w:r>
        <w:rPr>
          <w:rFonts w:hint="eastAsia" w:ascii="宋体" w:hAnsi="宋体" w:eastAsia="宋体" w:cs="宋体"/>
          <w:bCs/>
          <w:i/>
          <w:iCs/>
          <w:color w:val="auto"/>
          <w:sz w:val="21"/>
          <w:szCs w:val="21"/>
          <w:highlight w:val="none"/>
          <w:u w:val="single"/>
        </w:rPr>
        <w:t xml:space="preserve">18.1 投标人上传电子投标文件的时间不得迟于招标公告中规定的投标截止时间。</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投标人应充分考虑到网络环境、网络带宽等风险因素，如因投标人自身原因造成的电子投标文件上传不成功由投标人自行承担全部责任。</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bookmarkStart w:id="45" w:name="_Toc16938543"/>
      <w:r/>
      <w:bookmarkStart w:id="46" w:name="_Toc20823299"/>
      <w:r/>
      <w:bookmarkStart w:id="47" w:name="_Toc513029227"/>
      <w:r>
        <w:rPr>
          <w:rFonts w:hint="eastAsia" w:ascii="宋体" w:hAnsi="宋体" w:eastAsia="宋体" w:cs="宋体"/>
          <w:b/>
          <w:color w:val="auto"/>
          <w:sz w:val="21"/>
          <w:szCs w:val="21"/>
          <w:highlight w:val="none"/>
        </w:rPr>
        <w:t xml:space="preserve">19、投标文件</w:t>
      </w:r>
      <w:bookmarkEnd w:id="45"/>
      <w:r/>
      <w:bookmarkEnd w:id="46"/>
      <w:r/>
      <w:bookmarkEnd w:id="47"/>
      <w:r>
        <w:rPr>
          <w:rFonts w:hint="eastAsia" w:ascii="宋体" w:hAnsi="宋体" w:eastAsia="宋体" w:cs="宋体"/>
          <w:b/>
          <w:color w:val="auto"/>
          <w:sz w:val="21"/>
          <w:szCs w:val="21"/>
          <w:highlight w:val="none"/>
        </w:rPr>
        <w:t xml:space="preserve">的拒收</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19.1代理机构拒绝接收在其规定的投标截止时间后上传的任何投标文件。</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bookmarkStart w:id="48" w:name="_Toc16938544"/>
      <w:r/>
      <w:bookmarkStart w:id="49" w:name="_Toc513029228"/>
      <w:r/>
      <w:bookmarkStart w:id="50" w:name="_Toc20823300"/>
      <w:r>
        <w:rPr>
          <w:rFonts w:hint="eastAsia" w:ascii="宋体" w:hAnsi="宋体" w:eastAsia="宋体" w:cs="宋体"/>
          <w:b/>
          <w:color w:val="auto"/>
          <w:sz w:val="21"/>
          <w:szCs w:val="21"/>
          <w:highlight w:val="none"/>
        </w:rPr>
        <w:t xml:space="preserve">20、投标文件的撤回和修改</w:t>
      </w:r>
      <w:bookmarkEnd w:id="48"/>
      <w:r/>
      <w:bookmarkEnd w:id="49"/>
      <w:r/>
      <w:bookmarkEnd w:id="50"/>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20.1 投标文件的撤回</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20.1.1 电子投标文件的撤回</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投标人可在投标截止时间前，撤回其电子投标文件，具体操作方法见《操作手册》。</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20.1.2 投标人撤回电子投标文件，则认为其不再参与本项目投标活动。</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20.2 投标文件的修改</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投标人可在投标截止时间前，对其电子投标文件进行修改，具体操作方法见《操作手册》。</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20.3 在投标截止时间之后，投标人不得对其电子投标文件作任何修改。</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20.4 在投标截止时间至招标文件中规定的投标有效期满之间的这段时间内，投标人不得撤回其投标。</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21、开标</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21.1 代理机构将在招标公告中规定的时间和地点组织公开开标。投标人应当按照《操作手册》规定，参加开标活动。投标人未参加开标的，视同认可开标结果。</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21.2投标人不足3家的，不得开标。</w:t>
      </w:r>
      <w:r/>
    </w:p>
    <w:p>
      <w:pPr>
        <w:ind w:left="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b/>
          <w:color w:val="auto"/>
          <w:sz w:val="21"/>
          <w:szCs w:val="21"/>
          <w:highlight w:val="none"/>
        </w:rPr>
        <w:t xml:space="preserve">21.3开标仪式由代理机构主持。“政府采购管理交易系统（苏采云）”将自动对项目进行开标，并宣读各投标人的《开标一览表》。</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21.4投标人在开标过程中涉及到的投标文件解密、开标结果确认等工作，应按照《操作手册》规定执行。</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22、评标委员会</w:t>
      </w:r>
      <w:r/>
    </w:p>
    <w:p>
      <w:pPr>
        <w:ind w:left="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22.1 开标后，代理机构将立即组织评标委员会（以下简称评委会）进行评标。</w:t>
      </w:r>
      <w:r/>
    </w:p>
    <w:p>
      <w:pPr>
        <w:ind w:left="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22.2 评委会由采购人代表和有关技术、经济等方面的专家组成，且人员构成符合政府采购有关规定。</w:t>
      </w:r>
      <w:r/>
    </w:p>
    <w:p>
      <w:pPr>
        <w:ind w:left="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22.3评委会独立工作，负责评审所有投标文件并确定中标候选人。</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23、评标过程的保密与公正</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23.2在评标过程中，投标人不得以任何行为影响评标过程，否则其投标文件将被作为无效投标文件。</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23.3 在评标期间，代理机构将设专门工作人员与投标人联系。</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23.4 代理机构和评委会不向未中标的投标人解释未中标原因，也不公布评标过程中的相关细节。</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23.5 采用综合评分法的项目，未中标的投标人可于中标结果公告期限届满之日起通过“政府采购管理交易系统（苏采云）”查看自己的评审得分及排序情况。</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24、投标的澄清</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24.1评标期间，为有助于对投标文件的审查、评价和比较，评委会有权以电子函件形式要求投标人对其投标文件进行澄清，但并非对每个投标人都作澄清要求。</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left="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24.3 接到评委会澄清要求的投标人如未按规定做出澄清，其风险由投标人自行承担。</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25、对投标文件的初审</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25.1投标文件初审分为资格审查和符合性审查。</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25.1.1资格审查：依据法律法规和招标文件的规定，由采购人对投标文件中的资格证明文件进行审查。并将审查结论以书面形式向评委会反馈。</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25.4评委会将对确定为实质性响应的投标进行进一步审核，看其是否有计算上或累加上的算术错误，修正错误的原则如下：</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（1）投标文件中开标一览表内容与投标文件中相应内容不一致的，以开标一览表为准。</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（2）大写金额与小写金额不一致的，以大写金额为准。</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（3）单价金额小数点或者百分比有明显错位的，以开标一览表的总价为准，并修改单价。</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（4）总价金额与按单价汇总金额不一致的，以单价金额计算结果为准。</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同时出现两种以上错误的，按照前款规定的顺序修正。</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25.6评委会将允许修正投标文件中不构成重大偏离的、微小的、非正规的、不一致的或不规则的地方，但这些修改不能影响任何投标人相应的名次排列。</w:t>
      </w:r>
      <w:r/>
    </w:p>
    <w:p>
      <w:pPr>
        <w:ind w:left="0"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25.7 投标人在开、评标全过程中应保持通讯畅通，并安排专人与代理机构及评委会联系。</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26、无效投标、废标及投标人不足三家的处理</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26.1无效投标条款</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 投标人未成功解密电子投标文件的。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26.1.2 投标人未按照招标文件要求上传电子投标文件的。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26.1.3投标人在报价时采用选择性报价的。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26.1.4投标人不具备招标文件中规定资格要求的。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26.1.5投标人的报价超过了采购预算或最高限价的。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26.1.6未通过符合性审查的。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26.1.7不符合招标文件中规定的其他实质性要求和条件的（</w:t>
      </w:r>
      <w:r>
        <w:rPr>
          <w:rFonts w:hint="eastAsia" w:ascii="宋体" w:hAnsi="宋体" w:eastAsia="宋体" w:cs="宋体"/>
          <w:bCs/>
          <w:i/>
          <w:iCs/>
          <w:color w:val="auto"/>
          <w:sz w:val="21"/>
          <w:szCs w:val="21"/>
          <w:highlight w:val="none"/>
          <w:u w:val="single"/>
        </w:rPr>
        <w:t xml:space="preserve">本招标文件中斜体且有下划线部分为实质性要求和条件</w:t>
      </w:r>
      <w:r>
        <w:rPr>
          <w:rFonts w:hint="eastAsia" w:ascii="宋体" w:hAnsi="宋体" w:eastAsia="宋体" w:cs="宋体"/>
          <w:bCs/>
          <w:color w:val="auto"/>
          <w:sz w:val="21"/>
          <w:szCs w:val="21"/>
          <w:highlight w:val="none"/>
        </w:rPr>
        <w:t xml:space="preserve">）。</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26.1.9  投标文件含有采购人不能接受的附加条件的。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26.1.12 投标文件未按照招标文件要求加盖电子签章。</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26.1.13其他法律、法规及本招标文件规定的属无效投标的情形。</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26.2废标条款：</w:t>
      </w:r>
      <w:r/>
    </w:p>
    <w:p>
      <w:pPr>
        <w:ind w:left="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26.2.1符合专业条件的供应商或者对招标文件作实质响应的供应商不足三家的。26.2.2出现影响采购公正的违法、违规行为的。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26.2.3因重大变故，采购任务取消的。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26.2.4评委会认定招标文件存在歧义、重大缺陷导致评审工作无法进行。</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 投标截止时间结束后参加投标的供应商不足三家的处理：</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26.3.1如出现投标截止时间结束后参加投标的供应商或者在评标期间对招标文件做出实质性响应的供应商不足三家情况，按政府采购相关规定执行。</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27、确定中标单位</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27.1评委会根据本招标文件规定评标方法与评标标准向采购人推荐出中标候选人。</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27.2 采购人应根据评委会推荐的中标候选人确定中标人。</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27.3代理机构将在“扬州市政府采购网”、“江苏省政府采购网”发布中标公告，公告期限为1个工作日。</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27.4若有充分证据证明，中标人出现下列情况之一的，一经查实，将被取消中标资格：</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27.4.1提供虚假材料谋取中标的；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27.4.2向采购人、代理机构行贿或者提供其他不正当利益的；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27.4.3恶意竞争，投标总报价明显低于其自身合理成本且又无法提供证明的；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27.4.4属于本文件规定的无效条件，但在评标过程中又未被评委会发现的；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27.4.5与采购人或者其他投标人恶意串通的；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27.4.6采取不正当手段诋毁、排挤其他供应商的；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27.4.7不符合法律、法规的规定的。</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27.5. 有下列情形之一的，视为投标人串通投标，投标无效：</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27.5.1不同投标人的投标文件由同一单位或者个人编制。</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27.5.2不同投标人委托同一单位或者个人办理投标事宜。</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27.5.3 不同投标人的投标文件载明的项目管理成员或者联系人员为同一人。</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27.5.4不同投标人的投标文件异常一致或者投标报价呈规律性差异。</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27.5.5不同投标人的投标文件相互混装。</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28、质疑处理</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28.1提出质疑的供应商应当是参与所质疑项目采购活动的供应商。潜在供应商依法获取其可质疑的采购文件的，可以对采购文件提出质疑。</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对项目需求部分的质疑，潜在供应商应向采购人提出，由采购人负责答复。</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left="0" w:firstLine="420"/>
        <w:jc w:val="left"/>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28.2.1对采购文件提出质疑的，应当在获取采购文件之日或者采购文件公告期限届满之日起7个工作日内提出。</w:t>
      </w:r>
      <w:r>
        <w:rPr>
          <w:rFonts w:hint="eastAsia" w:ascii="宋体" w:hAnsi="宋体" w:eastAsia="宋体" w:cs="宋体"/>
          <w:bCs/>
          <w:color w:val="auto"/>
          <w:sz w:val="21"/>
          <w:szCs w:val="21"/>
          <w:highlight w:val="none"/>
        </w:rPr>
        <w:br w:type="textWrapping" w:clear="all"/>
      </w:r>
      <w:r>
        <w:rPr>
          <w:rFonts w:hint="eastAsia" w:ascii="宋体" w:hAnsi="宋体" w:eastAsia="宋体" w:cs="宋体"/>
          <w:bCs/>
          <w:color w:val="auto"/>
          <w:sz w:val="21"/>
          <w:szCs w:val="21"/>
          <w:highlight w:val="none"/>
        </w:rPr>
        <w:t xml:space="preserve">    28.2.2对采购过程提出质疑的，为各采购程序环节结束之日起7个工作日内提出。</w:t>
      </w:r>
      <w:r>
        <w:rPr>
          <w:rFonts w:hint="eastAsia" w:ascii="宋体" w:hAnsi="宋体" w:eastAsia="宋体" w:cs="宋体"/>
          <w:bCs/>
          <w:color w:val="auto"/>
          <w:sz w:val="21"/>
          <w:szCs w:val="21"/>
          <w:highlight w:val="none"/>
        </w:rPr>
        <w:br w:type="textWrapping" w:clear="all"/>
      </w:r>
      <w:r>
        <w:rPr>
          <w:rFonts w:hint="eastAsia" w:ascii="宋体" w:hAnsi="宋体" w:eastAsia="宋体" w:cs="宋体"/>
          <w:bCs/>
          <w:color w:val="auto"/>
          <w:sz w:val="21"/>
          <w:szCs w:val="21"/>
          <w:highlight w:val="none"/>
        </w:rPr>
        <w:t xml:space="preserve">    28.2.3对中标结果提出质疑的，为中标结果公告期限届满之日起7个工作日内提出。</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28.5 代理机构及采购人只接收以纸质原件形式送达的质疑，</w:t>
      </w:r>
      <w:r>
        <w:rPr>
          <w:rFonts w:hint="eastAsia" w:ascii="宋体" w:hAnsi="宋体" w:eastAsia="宋体" w:cs="宋体"/>
          <w:b/>
          <w:color w:val="auto"/>
          <w:sz w:val="21"/>
          <w:szCs w:val="21"/>
          <w:highlight w:val="none"/>
          <w:u w:val="single"/>
        </w:rPr>
        <w:t xml:space="preserve">同时需与采购代理机构经办人确认是否收到《质疑函》，如供应商未按上述要求去做，将自行承担所产生的风险。</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采购人质疑接收人及联系方式见招标文件第一章。</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28.6代理机构收到质疑申请后，将对质疑的形式和内容进行审查，如质疑内容、格式不符合规定，代理机构将告知质疑人进行补正。</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28.7质疑人应当在法定质疑期限内进行补正并重新提交质疑函。</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28.8 以下情形的质疑不予受理</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28.8.1 内容不符合《政府采购质疑和投诉办法》第十二条规定的质疑。</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28.8.2 超出政府采购法定期限的质疑。</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28.8.3 以传真、电子邮件等方式递交的非原件形式的质疑。</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28.8.4 未参加投标活动的供应商或在投标活动中自身权益未受到损害的供应商所提出的质疑。</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28.8.5供应商组成联合体参加投标，联合体中任何一方或多方未按要求签字、盖章、加盖公章的质疑。</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28.10代理机构应当在收到供应商的书面质疑后7个工作日内作出答复，并以书面形式通知质疑供应商和其他有关供应商，但答复的内容不得涉及商业秘密。</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29、中标通知书</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29.l 中标结果确定后，代理机构将向中标人发出中标通知书。</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29.2 中标人可在“政府采购管理交易系统（苏采云）”中标通知书下载模块中自行下载中标通知书。</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30、 签订合同</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30.l中标人应在中标通知书发出之日起十五日内，按照招标文件确定的事项与采购人签订政府采购合同。</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30.2 招标文件、中标人的投标文件及招标过程中有关澄清、承诺文件均应作为合同附件。</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30.3 合同在“政府采购管理交易系统（苏采云）”中签订，签订合同后，</w:t>
      </w:r>
      <w:r>
        <w:rPr>
          <w:rFonts w:hint="eastAsia" w:ascii="宋体" w:hAnsi="宋体" w:eastAsia="宋体" w:cs="宋体"/>
          <w:bCs/>
          <w:i/>
          <w:iCs/>
          <w:color w:val="auto"/>
          <w:sz w:val="21"/>
          <w:szCs w:val="21"/>
          <w:highlight w:val="none"/>
          <w:u w:val="single"/>
        </w:rPr>
        <w:t xml:space="preserve">中标人不得将货物或服务及其他服务进行转包</w:t>
      </w:r>
      <w:r>
        <w:rPr>
          <w:rFonts w:hint="eastAsia" w:ascii="宋体" w:hAnsi="宋体" w:eastAsia="宋体" w:cs="宋体"/>
          <w:bCs/>
          <w:color w:val="auto"/>
          <w:sz w:val="21"/>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left="0"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left="0" w:firstLine="422"/>
        <w:jc w:val="left"/>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 xml:space="preserve">31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其他</w:t>
      </w:r>
      <w:r>
        <w:rPr>
          <w:rFonts w:hint="eastAsia" w:ascii="宋体" w:hAnsi="宋体" w:eastAsia="宋体" w:cs="宋体"/>
          <w:color w:val="auto"/>
          <w:sz w:val="21"/>
          <w:szCs w:val="21"/>
          <w:highlight w:val="none"/>
        </w:rPr>
        <w:br w:type="textWrapping" w:clear="all"/>
      </w:r>
      <w:r>
        <w:rPr>
          <w:rFonts w:hint="eastAsia" w:ascii="宋体" w:hAnsi="宋体" w:eastAsia="宋体" w:cs="宋体"/>
          <w:color w:val="auto"/>
          <w:sz w:val="21"/>
          <w:szCs w:val="21"/>
          <w:highlight w:val="none"/>
        </w:rPr>
        <w:t xml:space="preserve">    31.1 依据《政府采购促进中小企业发展管理办法》享受享受扶持政策获得政府采购合同的，小微企业不得将合同分包给大中型企业，中型企业不得将合同分包给大型企业。</w:t>
      </w:r>
      <w:r/>
    </w:p>
    <w:p>
      <w:pPr>
        <w:pStyle w:val="962"/>
        <w:jc w:val="center"/>
        <w:rPr>
          <w:rFonts w:hint="eastAsia" w:ascii="宋体" w:hAnsi="宋体"/>
          <w:color w:val="auto"/>
          <w:szCs w:val="36"/>
          <w:highlight w:val="none"/>
        </w:rPr>
        <w:sectPr>
          <w:headerReference w:type="default" r:id="rId10"/>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bookmarkStart w:id="51" w:name="_Toc55204179"/>
      <w:r/>
      <w:bookmarkStart w:id="52" w:name="_Hlk69392822"/>
      <w:r/>
      <w:r/>
    </w:p>
    <w:p>
      <w:pPr>
        <w:pStyle w:val="962"/>
        <w:jc w:val="center"/>
        <w:rPr>
          <w:rFonts w:ascii="宋体" w:hAnsi="宋体"/>
          <w:color w:val="auto"/>
          <w:szCs w:val="36"/>
          <w:highlight w:val="none"/>
        </w:rPr>
      </w:pPr>
      <w:r>
        <w:rPr>
          <w:rFonts w:hint="eastAsia" w:ascii="宋体" w:hAnsi="宋体"/>
          <w:color w:val="auto"/>
          <w:szCs w:val="36"/>
          <w:highlight w:val="none"/>
        </w:rPr>
        <w:t xml:space="preserve">第三章 合同条款及格式</w:t>
      </w:r>
      <w:bookmarkEnd w:id="51"/>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990"/>
        <w:ind w:firstLine="422"/>
        <w:jc w:val="center"/>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扬州市政府采购合同（服务)（合同编号）（包号）</w:t>
      </w:r>
      <w:r/>
    </w:p>
    <w:p>
      <w:pPr>
        <w:pStyle w:val="990"/>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项目名称：</w:t>
      </w:r>
      <w:r>
        <w:rPr>
          <w:rFonts w:hint="eastAsia" w:hAnsi="宋体"/>
          <w:color w:val="auto"/>
          <w:sz w:val="21"/>
          <w:highlight w:val="none"/>
          <w:lang w:eastAsia="zh-CN"/>
        </w:rPr>
        <w:t xml:space="preserve">扬州市市场监督管理局2025年扬州市食品生产企业专项抽检</w:t>
      </w:r>
      <w:r>
        <w:rPr>
          <w:rFonts w:hint="eastAsia" w:hAnsi="宋体"/>
          <w:color w:val="auto"/>
          <w:sz w:val="21"/>
          <w:highlight w:val="none"/>
        </w:rPr>
        <w:t xml:space="preserve">项目               </w:t>
      </w:r>
      <w:r/>
    </w:p>
    <w:p>
      <w:pPr>
        <w:pStyle w:val="990"/>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项目编号：</w:t>
      </w:r>
      <w:r>
        <w:rPr>
          <w:rFonts w:hint="eastAsia" w:hAnsi="宋体"/>
          <w:color w:val="auto"/>
          <w:sz w:val="21"/>
          <w:highlight w:val="none"/>
          <w:lang w:eastAsia="zh-CN"/>
        </w:rPr>
        <w:t xml:space="preserve">JSZC-321000-HCZX-G2024-0118</w:t>
      </w:r>
      <w:r>
        <w:rPr>
          <w:rFonts w:hint="eastAsia" w:hAnsi="宋体"/>
          <w:color w:val="auto"/>
          <w:sz w:val="21"/>
          <w:highlight w:val="none"/>
        </w:rPr>
        <w:t xml:space="preserve">号</w:t>
      </w:r>
      <w:r/>
    </w:p>
    <w:p>
      <w:pPr>
        <w:pStyle w:val="990"/>
        <w:ind w:firstLine="42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甲方：（买方）</w:t>
      </w:r>
      <w:r>
        <w:rPr>
          <w:rFonts w:hint="eastAsia" w:hAnsi="宋体"/>
          <w:color w:val="auto"/>
          <w:sz w:val="21"/>
          <w:highlight w:val="none"/>
          <w:lang w:eastAsia="zh-CN"/>
        </w:rPr>
        <w:t xml:space="preserve">扬州市市场监督管理局</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乙方：（卖方）_________</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见证方：</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甲、乙双方根据</w:t>
      </w:r>
      <w:r>
        <w:rPr>
          <w:rFonts w:hint="eastAsia" w:hAnsi="宋体"/>
          <w:color w:val="auto"/>
          <w:sz w:val="21"/>
          <w:highlight w:val="none"/>
          <w:lang w:eastAsia="zh-CN"/>
        </w:rPr>
        <w:t xml:space="preserve">江苏汇诚投资咨询管理有限公司</w:t>
      </w:r>
      <w:r>
        <w:rPr>
          <w:rFonts w:hint="eastAsia" w:hAnsi="宋体"/>
          <w:color w:val="auto"/>
          <w:sz w:val="21"/>
          <w:highlight w:val="none"/>
          <w:u w:val="single"/>
        </w:rPr>
        <w:t xml:space="preserve">         </w:t>
      </w:r>
      <w:r>
        <w:rPr>
          <w:rFonts w:hint="eastAsia" w:hAnsi="宋体"/>
          <w:color w:val="auto"/>
          <w:sz w:val="21"/>
          <w:highlight w:val="none"/>
        </w:rPr>
        <w:t xml:space="preserve">项目公开招标的结果，签署本合同。</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一、服务及货物</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1.1 服务及货物名称：</w:t>
      </w:r>
      <w:r/>
    </w:p>
    <w:p>
      <w:pPr>
        <w:pStyle w:val="990"/>
        <w:ind w:firstLine="420"/>
        <w:spacing w:before="120" w:after="120" w:line="360" w:lineRule="auto"/>
        <w:rPr>
          <w:rFonts w:hAnsi="宋体"/>
          <w:color w:val="auto"/>
          <w:sz w:val="21"/>
          <w:highlight w:val="none"/>
        </w:rPr>
      </w:pPr>
      <w:r>
        <w:rPr>
          <w:rFonts w:hAnsi="宋体"/>
          <w:color w:val="auto"/>
          <w:sz w:val="21"/>
          <w:highlight w:val="none"/>
        </w:rPr>
        <w:t xml:space="preserve">1.2 型号规格：</w:t>
      </w:r>
      <w:r/>
    </w:p>
    <w:p>
      <w:pPr>
        <w:pStyle w:val="990"/>
        <w:ind w:firstLine="420"/>
        <w:spacing w:before="120" w:after="120" w:line="360" w:lineRule="auto"/>
        <w:rPr>
          <w:rFonts w:hAnsi="宋体"/>
          <w:color w:val="auto"/>
          <w:sz w:val="21"/>
          <w:highlight w:val="none"/>
        </w:rPr>
      </w:pPr>
      <w:r>
        <w:rPr>
          <w:rFonts w:hAnsi="宋体"/>
          <w:color w:val="auto"/>
          <w:sz w:val="21"/>
          <w:highlight w:val="none"/>
        </w:rPr>
        <w:t xml:space="preserve">1.3 数量（单位）</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二、合同金额</w:t>
      </w:r>
      <w:r/>
    </w:p>
    <w:p>
      <w:pPr>
        <w:pStyle w:val="990"/>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2.1 本合同金额为（大写）：________圆（__________元）人民币。</w:t>
      </w:r>
      <w:r/>
    </w:p>
    <w:p>
      <w:pPr>
        <w:pStyle w:val="990"/>
        <w:ind w:firstLine="420"/>
        <w:spacing w:before="120" w:after="120" w:line="360" w:lineRule="auto"/>
        <w:rPr>
          <w:rFonts w:hint="default" w:hAnsi="宋体" w:eastAsia="宋体"/>
          <w:color w:val="auto"/>
          <w:sz w:val="21"/>
          <w:highlight w:val="none"/>
          <w:u w:val="none"/>
          <w:lang w:val="en-US" w:eastAsia="zh-CN"/>
        </w:rPr>
      </w:pPr>
      <w:r>
        <w:rPr>
          <w:rFonts w:hint="eastAsia" w:hAnsi="宋体"/>
          <w:color w:val="auto"/>
          <w:sz w:val="21"/>
          <w:highlight w:val="none"/>
          <w:lang w:val="en-US" w:eastAsia="zh-CN"/>
        </w:rPr>
        <w:t xml:space="preserve">2.2 本合同单价折扣为：</w:t>
      </w:r>
      <w:r>
        <w:rPr>
          <w:rFonts w:hint="eastAsia" w:hAnsi="宋体"/>
          <w:color w:val="auto"/>
          <w:sz w:val="21"/>
          <w:highlight w:val="none"/>
          <w:u w:val="single"/>
          <w:lang w:val="en-US" w:eastAsia="zh-CN"/>
        </w:rPr>
        <w:t xml:space="preserve">          </w:t>
      </w:r>
      <w:r>
        <w:rPr>
          <w:rFonts w:hint="eastAsia" w:hAnsi="宋体"/>
          <w:color w:val="auto"/>
          <w:sz w:val="21"/>
          <w:highlight w:val="none"/>
          <w:u w:val="none"/>
          <w:lang w:val="en-US" w:eastAsia="zh-CN"/>
        </w:rPr>
        <w:t xml:space="preserve">%</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三、技术资料</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3.1乙方应按招标文件规定的时间向甲方提供使用货物及服务的有关技术资料。</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四、知识产权</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五、产权担保</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5.1 乙方保证所交付的货物及服务的所有权完全属于乙方且无任何抵押、查封等产权瑕疵。</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六、履约保证金</w:t>
      </w:r>
      <w:r/>
    </w:p>
    <w:p>
      <w:pPr>
        <w:pStyle w:val="990"/>
        <w:ind w:firstLine="420"/>
        <w:spacing w:before="120" w:after="120" w:line="360" w:lineRule="auto"/>
        <w:rPr>
          <w:rFonts w:hAnsi="宋体"/>
          <w:color w:val="auto"/>
          <w:sz w:val="21"/>
          <w:highlight w:val="none"/>
        </w:rPr>
      </w:pPr>
      <w:r>
        <w:rPr>
          <w:rFonts w:hAnsi="宋体"/>
          <w:color w:val="auto"/>
          <w:sz w:val="21"/>
          <w:highlight w:val="none"/>
        </w:rPr>
        <w:t xml:space="preserve">6.1 收取履约保证金的，</w:t>
      </w:r>
      <w:r>
        <w:rPr>
          <w:rFonts w:hint="eastAsia" w:hAnsi="宋体"/>
          <w:color w:val="auto"/>
          <w:sz w:val="21"/>
          <w:highlight w:val="none"/>
        </w:rPr>
        <w:t xml:space="preserve">允许中标人自主选择支票、汇票、本票、保函等非现金形式缴纳或提交，</w:t>
      </w:r>
      <w:r>
        <w:rPr>
          <w:rFonts w:hAnsi="宋体"/>
          <w:color w:val="auto"/>
          <w:sz w:val="21"/>
          <w:highlight w:val="none"/>
        </w:rPr>
        <w:t xml:space="preserve">应当在采购合同中约定履约保证金退还的方式、时间、条件和不予退还的情形，明确逾期退还履约保证金的违约责任。</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90"/>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6.4 履约保证金收取：无</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七、转包或分包</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7.1本合同范围的货物及服务，应由乙方直接供应，不得转让他人供应；</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7.2 除非得到甲方的书面同意，乙方不得部分分包给他人供应。</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990"/>
        <w:ind w:left="315" w:firstLine="105"/>
        <w:spacing w:before="120" w:after="120" w:line="360" w:lineRule="auto"/>
        <w:rPr>
          <w:rFonts w:hAnsi="宋体"/>
          <w:b/>
          <w:bCs/>
          <w:color w:val="auto"/>
          <w:sz w:val="21"/>
          <w:highlight w:val="none"/>
        </w:rPr>
      </w:pPr>
      <w:r>
        <w:rPr>
          <w:rFonts w:hint="eastAsia" w:hAnsi="宋体"/>
          <w:b/>
          <w:bCs/>
          <w:color w:val="auto"/>
          <w:sz w:val="21"/>
          <w:highlight w:val="none"/>
        </w:rPr>
        <w:t xml:space="preserve">八、服务期</w:t>
      </w:r>
      <w:r/>
    </w:p>
    <w:p>
      <w:pPr>
        <w:pStyle w:val="990"/>
        <w:ind w:firstLine="420"/>
        <w:spacing w:before="120" w:after="120" w:line="360" w:lineRule="auto"/>
        <w:rPr>
          <w:rFonts w:hint="default" w:hAnsi="宋体" w:eastAsia="宋体"/>
          <w:color w:val="auto"/>
          <w:sz w:val="21"/>
          <w:highlight w:val="none"/>
          <w:u w:val="single"/>
          <w:lang w:val="en-US" w:eastAsia="zh-CN"/>
        </w:rPr>
      </w:pPr>
      <w:r>
        <w:rPr>
          <w:rFonts w:hint="eastAsia" w:hAnsi="宋体"/>
          <w:color w:val="auto"/>
          <w:sz w:val="21"/>
          <w:highlight w:val="none"/>
        </w:rPr>
        <w:t xml:space="preserve">8.1 服务期：</w:t>
      </w:r>
      <w:r>
        <w:rPr>
          <w:rFonts w:hint="eastAsia" w:hAnsi="宋体"/>
          <w:color w:val="auto"/>
          <w:sz w:val="21"/>
          <w:highlight w:val="none"/>
          <w:u w:val="single"/>
          <w:lang w:val="en-US" w:eastAsia="zh-CN"/>
        </w:rPr>
        <w:t xml:space="preserve">2025年12月20日前完成抽检服务</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九、交付期、交付方式及交付地点</w:t>
      </w:r>
      <w:r/>
    </w:p>
    <w:p>
      <w:pPr>
        <w:pStyle w:val="990"/>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9.1 交付期：</w:t>
      </w:r>
      <w:r>
        <w:rPr>
          <w:rFonts w:hint="eastAsia" w:hAnsi="宋体"/>
          <w:color w:val="auto"/>
          <w:sz w:val="21"/>
          <w:highlight w:val="none"/>
          <w:u w:val="single"/>
        </w:rPr>
        <w:t xml:space="preserve">每份报告20个工作日内出具，所有报告202</w:t>
      </w:r>
      <w:r>
        <w:rPr>
          <w:rFonts w:hint="eastAsia" w:hAnsi="宋体"/>
          <w:color w:val="auto"/>
          <w:sz w:val="21"/>
          <w:highlight w:val="none"/>
          <w:u w:val="single"/>
          <w:lang w:val="en-US" w:eastAsia="zh-CN"/>
        </w:rPr>
        <w:t xml:space="preserve">5</w:t>
      </w:r>
      <w:r>
        <w:rPr>
          <w:rFonts w:hint="eastAsia" w:hAnsi="宋体"/>
          <w:color w:val="auto"/>
          <w:sz w:val="21"/>
          <w:highlight w:val="none"/>
          <w:u w:val="single"/>
        </w:rPr>
        <w:t xml:space="preserve">年12月20日前出具。</w:t>
      </w:r>
      <w:r/>
    </w:p>
    <w:p>
      <w:pPr>
        <w:pStyle w:val="990"/>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9.2 交付方式：</w:t>
      </w:r>
      <w:r>
        <w:rPr>
          <w:rFonts w:hint="eastAsia" w:ascii="宋体" w:hAnsi="宋体" w:eastAsia="宋体"/>
          <w:color w:val="auto"/>
          <w:sz w:val="21"/>
          <w:highlight w:val="none"/>
          <w:u w:val="single"/>
        </w:rPr>
        <w:t xml:space="preserve">在国家二级站提交全部检测报告数据，任务完成后三日内报送检测分析报告、全要素汇总表、PDF格式检测报告供存档。</w:t>
      </w:r>
      <w:r/>
    </w:p>
    <w:p>
      <w:pPr>
        <w:pStyle w:val="990"/>
        <w:ind w:firstLine="420"/>
        <w:spacing w:before="120" w:after="120" w:line="360" w:lineRule="auto"/>
        <w:rPr>
          <w:rFonts w:hint="eastAsia" w:ascii="宋体" w:hAnsi="宋体" w:eastAsia="宋体"/>
          <w:color w:val="auto"/>
          <w:sz w:val="21"/>
          <w:highlight w:val="none"/>
          <w:u w:val="single"/>
        </w:rPr>
      </w:pPr>
      <w:r>
        <w:rPr>
          <w:rFonts w:hint="eastAsia" w:hAnsi="宋体"/>
          <w:color w:val="auto"/>
          <w:sz w:val="21"/>
          <w:highlight w:val="none"/>
        </w:rPr>
        <w:t xml:space="preserve">9.3 交付地点：</w:t>
      </w:r>
      <w:r>
        <w:rPr>
          <w:rFonts w:hint="eastAsia" w:ascii="宋体" w:hAnsi="宋体" w:eastAsia="宋体"/>
          <w:color w:val="auto"/>
          <w:sz w:val="21"/>
          <w:highlight w:val="none"/>
          <w:u w:val="single"/>
        </w:rPr>
        <w:t xml:space="preserve">甲方指定地点</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pStyle w:val="990"/>
        <w:ind w:firstLine="420"/>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10.3 甲方付款方式：</w:t>
      </w:r>
      <w:r/>
    </w:p>
    <w:p>
      <w:pPr>
        <w:pStyle w:val="990"/>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合同签订后（财政资金拨付到位），乙方向甲方开具发票，甲方自收到发票之日起</w:t>
      </w:r>
      <w:r>
        <w:rPr>
          <w:rFonts w:hint="eastAsia" w:hAnsi="宋体" w:cs="宋体"/>
          <w:color w:val="auto"/>
          <w:sz w:val="21"/>
          <w:szCs w:val="21"/>
          <w:highlight w:val="none"/>
          <w:lang w:val="en-US" w:eastAsia="zh-CN"/>
        </w:rPr>
        <w:t xml:space="preserve">10个工作日</w:t>
      </w:r>
      <w:r>
        <w:rPr>
          <w:rFonts w:hint="eastAsia" w:ascii="宋体" w:hAnsi="宋体" w:eastAsia="宋体" w:cs="宋体"/>
          <w:color w:val="auto"/>
          <w:sz w:val="21"/>
          <w:szCs w:val="21"/>
          <w:highlight w:val="none"/>
        </w:rPr>
        <w:t xml:space="preserve">内支付合同总价的30%；</w:t>
      </w:r>
      <w:r/>
    </w:p>
    <w:p>
      <w:pPr>
        <w:pStyle w:val="990"/>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全部检验任务完成后报送检测分析报告、全要素汇总表、PDF格式检测报告，经检查合格出具项目验收报告后，乙方向甲方开具发票，甲方自收到发票之日起</w:t>
      </w:r>
      <w:r>
        <w:rPr>
          <w:rFonts w:hint="eastAsia" w:hAnsi="宋体" w:cs="宋体"/>
          <w:color w:val="auto"/>
          <w:sz w:val="21"/>
          <w:szCs w:val="21"/>
          <w:highlight w:val="none"/>
          <w:lang w:val="en-US" w:eastAsia="zh-CN"/>
        </w:rPr>
        <w:t xml:space="preserve">10个工作日</w:t>
      </w:r>
      <w:r>
        <w:rPr>
          <w:rFonts w:hint="eastAsia" w:ascii="宋体" w:hAnsi="宋体" w:eastAsia="宋体" w:cs="宋体"/>
          <w:color w:val="auto"/>
          <w:sz w:val="21"/>
          <w:szCs w:val="21"/>
          <w:highlight w:val="none"/>
        </w:rPr>
        <w:t xml:space="preserve">内支付合同总价的70%。</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十一、税费</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11.1本合同执行中相关的一切税费均由乙方负担。</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十二、质量保证及售后服务</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12.1 乙方应按招标文件规定及投标文件承诺的技术性能、技术要求、质量标准向甲方提供服务；若无特殊说明，则按国家有关部门最新颁布的标准及规范为准。</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12.2乙方应保证其提供的服务是全面和规范的，并完全符合招投标文件。如因乙方提供的服务有瑕疵造成甲方损失的，所需费用由乙方承担。</w:t>
      </w:r>
      <w:r/>
    </w:p>
    <w:p>
      <w:pPr>
        <w:ind w:firstLine="420"/>
        <w:spacing w:line="360" w:lineRule="auto"/>
        <w:rPr>
          <w:rFonts w:hAnsi="宋体"/>
          <w:color w:val="auto"/>
          <w:highlight w:val="none"/>
        </w:rPr>
      </w:pPr>
      <w:r>
        <w:rPr>
          <w:rFonts w:hint="eastAsia" w:ascii="宋体" w:hAnsi="宋体" w:cs="宋体"/>
          <w:color w:val="auto"/>
          <w:szCs w:val="21"/>
          <w:highlight w:val="none"/>
        </w:rPr>
        <w:t xml:space="preserve">12.3 如在使用过程中发生质量问题，乙方在接到甲方通知后在___小时内到达甲方现场。</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十三、交付和验收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13.1 乙方应当在合同签订后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天内完成服务事项，招标文件有约定的，从其约定。</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在交付前，乙方应作出全面检查和对验收文件进行整理，并列出清单，作为甲方初验收和使用的技术条件依据，检验的结果交甲方。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13.2 验收标准：按乙方投标文件的承诺，并不低于国家相关标准。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对于乙方要交付的服务，甲乙双方须在</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工作日内初验收，甲方对乙方提交的服务依据招标文件上的技术要求和国家有关质量标准进行现场初步验收，外观、说明书、包装符合招标文件技术要求的，给予签收，初步验收不合格的不予签收。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13.3 乙方按照招标文件要求负责安装并培训甲方的使用操作人员，乙方在甲方使用前进行调试，调试直到符合技术要求的甲方才做最终验收。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rPr>
        <w:t xml:space="preserve">13.5 甲乙双方关于调试和验收的其他约定：</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十四、包装、发运及运输</w:t>
      </w:r>
      <w:r/>
    </w:p>
    <w:p>
      <w:pPr>
        <w:pStyle w:val="990"/>
        <w:ind w:firstLine="420"/>
        <w:spacing w:line="360" w:lineRule="auto"/>
        <w:rPr>
          <w:rFonts w:hAnsi="宋体"/>
          <w:color w:val="auto"/>
          <w:sz w:val="21"/>
          <w:highlight w:val="none"/>
        </w:rPr>
      </w:pPr>
      <w:r>
        <w:rPr>
          <w:rFonts w:hint="eastAsia" w:hAnsi="宋体"/>
          <w:color w:val="auto"/>
          <w:sz w:val="21"/>
          <w:highlight w:val="none"/>
        </w:rPr>
        <w:t xml:space="preserve">14.1 乙方应对其提供的服务所涉及物品在发运前对其进行满足运输距离、防潮、防震、防锈和防破损装卸等要求包装，以保证安全运达甲方指定地点。</w:t>
      </w:r>
      <w:r/>
    </w:p>
    <w:p>
      <w:pPr>
        <w:pStyle w:val="990"/>
        <w:ind w:firstLine="420"/>
        <w:spacing w:line="360" w:lineRule="auto"/>
        <w:rPr>
          <w:rFonts w:hAnsi="宋体"/>
          <w:color w:val="auto"/>
          <w:sz w:val="21"/>
          <w:highlight w:val="none"/>
        </w:rPr>
      </w:pPr>
      <w:r>
        <w:rPr>
          <w:rFonts w:hint="eastAsia" w:hAnsi="宋体"/>
          <w:color w:val="auto"/>
          <w:sz w:val="21"/>
          <w:highlight w:val="none"/>
        </w:rPr>
        <w:t xml:space="preserve">14.2 乙方交付时，使用说明书、检验证明书、随配附件和工具以及清单一并附于内。</w:t>
      </w:r>
      <w:r/>
    </w:p>
    <w:p>
      <w:pPr>
        <w:pStyle w:val="990"/>
        <w:ind w:firstLine="420"/>
        <w:spacing w:line="360" w:lineRule="auto"/>
        <w:rPr>
          <w:rFonts w:hAnsi="宋体"/>
          <w:color w:val="auto"/>
          <w:sz w:val="21"/>
          <w:highlight w:val="none"/>
        </w:rPr>
      </w:pPr>
      <w:r>
        <w:rPr>
          <w:rFonts w:hint="eastAsia" w:hAnsi="宋体"/>
          <w:color w:val="auto"/>
          <w:sz w:val="21"/>
          <w:highlight w:val="none"/>
        </w:rPr>
        <w:t xml:space="preserve">14.3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990"/>
        <w:ind w:firstLine="420"/>
        <w:spacing w:line="360" w:lineRule="auto"/>
        <w:rPr>
          <w:rFonts w:hAnsi="宋体"/>
          <w:color w:val="auto"/>
          <w:sz w:val="21"/>
          <w:highlight w:val="none"/>
        </w:rPr>
      </w:pPr>
      <w:r>
        <w:rPr>
          <w:rFonts w:hint="eastAsia" w:hAnsi="宋体"/>
          <w:color w:val="auto"/>
          <w:sz w:val="21"/>
          <w:highlight w:val="none"/>
        </w:rPr>
        <w:t xml:space="preserve">14.4 服务在交付甲方前发生的风险均由乙方负责。</w:t>
      </w:r>
      <w:r/>
    </w:p>
    <w:p>
      <w:pPr>
        <w:pStyle w:val="990"/>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14.5 服务在规定的交付期限内由乙方送达甲方指定的地点。</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十五、违约责任</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15.1 甲方无正当理由拒收服务的，甲方向乙方偿付拒收款项总值的百分之五违约金。</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15.2 甲方无故逾期验收和办理款项支付手续的,甲方应按逾期付款总额每日万分之五向乙方支付违约金。</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15.4 乙方所交的服务数量、质量不符合合同规定及招标文件规定标准的，甲方有权拒收该服务，乙方愿意更换服务但逾期交付的，按乙方逾期交付处理。乙方拒绝更换服务的，甲方可单方面解除合同。</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十六、不可抗力事件处理</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16.1 在合同有效期内，任何一方因不可抗力事件导致不能履行合同，则合同履行期可延长，其延长期与不可抗力影响期相同。</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16.2 不可抗力事件发生后，应立即通知对方，并寄送有关权威机构出具的证明。</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16.3 不可抗力事件延续120天以上，双方应通过友好协商，确定是否继续履行合同。</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十七、诉讼</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Ansi="宋体"/>
          <w:color w:val="auto"/>
          <w:szCs w:val="21"/>
          <w:highlight w:val="none"/>
        </w:rPr>
      </w:pPr>
      <w:r>
        <w:rPr>
          <w:rFonts w:hint="eastAsia" w:ascii="宋体" w:hAnsi="宋体"/>
          <w:b/>
          <w:bCs/>
          <w:color w:val="auto"/>
          <w:szCs w:val="21"/>
          <w:highlight w:val="none"/>
        </w:rPr>
        <w:t xml:space="preserve">十八、</w:t>
      </w:r>
      <w:r>
        <w:rPr>
          <w:rFonts w:hint="eastAsia" w:ascii="宋体" w:hAnsi="宋体" w:cs="宋体"/>
          <w:bCs/>
          <w:color w:val="auto"/>
          <w:highlight w:val="none"/>
        </w:rPr>
        <w:t xml:space="preserve">为落实好政府采购履约资金扶持政策，乙方可凭政府采购合同办理融资贷款，详见江苏政府采购网“政采贷”专栏。</w:t>
      </w:r>
      <w:r/>
    </w:p>
    <w:p>
      <w:pPr>
        <w:pStyle w:val="99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十九、合同生效及其它</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19.1 合同经双方法定代表人签章并加盖单位公章，并经</w:t>
      </w:r>
      <w:r>
        <w:rPr>
          <w:rFonts w:hint="eastAsia" w:hAnsi="宋体"/>
          <w:color w:val="auto"/>
          <w:sz w:val="21"/>
          <w:highlight w:val="none"/>
          <w:lang w:eastAsia="zh-CN"/>
        </w:rPr>
        <w:t xml:space="preserve">江苏汇诚投资咨询管理有限公司</w:t>
      </w:r>
      <w:r>
        <w:rPr>
          <w:rFonts w:hint="eastAsia" w:hAnsi="宋体"/>
          <w:color w:val="auto"/>
          <w:sz w:val="21"/>
          <w:highlight w:val="none"/>
        </w:rPr>
        <w:t xml:space="preserve">见证盖章后生效。</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19.2本合同未尽事宜，遵照《民法典》有关条文执行。</w:t>
      </w:r>
      <w:r/>
    </w:p>
    <w:p>
      <w:pPr>
        <w:pStyle w:val="990"/>
        <w:ind w:firstLine="420"/>
        <w:spacing w:before="120" w:after="120" w:line="360" w:lineRule="auto"/>
        <w:rPr>
          <w:rFonts w:hAnsi="宋体"/>
          <w:color w:val="auto"/>
          <w:sz w:val="21"/>
          <w:highlight w:val="none"/>
        </w:rPr>
      </w:pPr>
      <w:r>
        <w:rPr>
          <w:rFonts w:hint="eastAsia" w:hAnsi="宋体"/>
          <w:color w:val="auto"/>
          <w:sz w:val="21"/>
          <w:highlight w:val="none"/>
        </w:rPr>
        <w:t xml:space="preserve">19.3 本合同正本一式四份，具有同等法律效力，甲方、乙方、见证方及财政监管部门各执一份。  </w:t>
      </w:r>
      <w:r/>
    </w:p>
    <w:tbl>
      <w:tblPr>
        <w:tblStyle w:val="789"/>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 </w:t>
            </w:r>
            <w:r>
              <w:rPr>
                <w:rFonts w:hint="eastAsia" w:hAnsi="宋体"/>
                <w:color w:val="auto"/>
                <w:sz w:val="21"/>
                <w:highlight w:val="none"/>
                <w:lang w:eastAsia="zh-CN"/>
              </w:rPr>
              <w:t xml:space="preserve">扬州市市场监督管理局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0"/>
              <w:spacing w:before="120" w:after="120" w:line="360" w:lineRule="auto"/>
              <w:rPr>
                <w:rFonts w:hAnsi="宋体"/>
                <w:color w:val="auto"/>
                <w:sz w:val="21"/>
                <w:highlight w:val="none"/>
              </w:rPr>
            </w:pPr>
            <w:r>
              <w:rPr>
                <w:rFonts w:hint="eastAsia" w:hAnsi="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0"/>
              <w:spacing w:before="120" w:after="120" w:line="360" w:lineRule="auto"/>
              <w:rPr>
                <w:rFonts w:hint="eastAsia" w:hAnsi="宋体"/>
                <w:color w:val="auto"/>
                <w:sz w:val="21"/>
                <w:highlight w:val="none"/>
              </w:rPr>
            </w:pPr>
            <w:r>
              <w:rPr>
                <w:rFonts w:hint="eastAsia" w:hAnsi="宋体"/>
                <w:color w:val="auto"/>
                <w:sz w:val="21"/>
                <w:highlight w:val="none"/>
              </w:rPr>
              <w:t xml:space="preserve">地址： 扬州市邗江区文昌西路525号</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0"/>
              <w:spacing w:before="120" w:after="120" w:line="360" w:lineRule="auto"/>
              <w:rPr>
                <w:rFonts w:hAnsi="宋体"/>
                <w:color w:val="auto"/>
                <w:sz w:val="21"/>
                <w:highlight w:val="none"/>
              </w:rPr>
            </w:pPr>
            <w:r>
              <w:rPr>
                <w:rFonts w:hint="eastAsia" w:hAnsi="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0"/>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0"/>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0"/>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0"/>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0"/>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0"/>
              <w:spacing w:before="120" w:after="120" w:line="360" w:lineRule="auto"/>
              <w:rPr>
                <w:rFonts w:hAnsi="宋体"/>
                <w:color w:val="auto"/>
                <w:sz w:val="21"/>
                <w:highlight w:val="none"/>
              </w:rPr>
            </w:pPr>
            <w:r>
              <w:rPr>
                <w:rFonts w:hint="eastAsia" w:hAnsi="宋体"/>
                <w:color w:val="auto"/>
                <w:sz w:val="21"/>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见证方：</w:t>
            </w:r>
            <w:r>
              <w:rPr>
                <w:rFonts w:hint="eastAsia" w:hAnsi="宋体"/>
                <w:color w:val="auto"/>
                <w:sz w:val="21"/>
                <w:highlight w:val="none"/>
                <w:lang w:eastAsia="zh-CN"/>
              </w:rPr>
              <w:t xml:space="preserve">江苏汇诚投资咨询管理有限公司</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0"/>
              <w:spacing w:before="120" w:after="120" w:line="360" w:lineRule="auto"/>
              <w:rPr>
                <w:rFonts w:hint="eastAsia" w:hAnsi="宋体"/>
                <w:color w:val="auto"/>
                <w:sz w:val="21"/>
                <w:highlight w:val="none"/>
              </w:rPr>
            </w:pPr>
            <w:r>
              <w:rPr>
                <w:rFonts w:hint="eastAsia"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0"/>
              <w:spacing w:before="120" w:after="120" w:line="360" w:lineRule="auto"/>
              <w:rPr>
                <w:rFonts w:hint="eastAsia" w:hAnsi="宋体"/>
                <w:color w:val="auto"/>
                <w:sz w:val="21"/>
                <w:highlight w:val="none"/>
              </w:rPr>
            </w:pPr>
            <w:r>
              <w:rPr>
                <w:rFonts w:hint="eastAsia" w:hAnsi="宋体"/>
                <w:color w:val="auto"/>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0"/>
              <w:spacing w:before="120" w:after="120" w:line="360" w:lineRule="auto"/>
              <w:rPr>
                <w:rFonts w:hint="eastAsia" w:hAnsi="宋体"/>
                <w:color w:val="auto"/>
                <w:sz w:val="21"/>
                <w:highlight w:val="none"/>
              </w:rPr>
            </w:pPr>
            <w:r>
              <w:rPr>
                <w:rFonts w:hint="eastAsia"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90"/>
              <w:spacing w:before="120" w:after="120" w:line="360" w:lineRule="auto"/>
              <w:rPr>
                <w:rFonts w:hint="eastAsia"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90"/>
              <w:spacing w:before="120" w:after="120" w:line="360" w:lineRule="auto"/>
              <w:rPr>
                <w:rFonts w:hint="eastAsia" w:hAnsi="宋体"/>
                <w:color w:val="auto"/>
                <w:sz w:val="21"/>
                <w:highlight w:val="none"/>
              </w:rPr>
            </w:pPr>
            <w:r>
              <w:rPr>
                <w:rFonts w:hint="eastAsia" w:hAnsi="宋体"/>
                <w:color w:val="auto"/>
                <w:sz w:val="21"/>
                <w:highlight w:val="none"/>
              </w:rPr>
            </w:r>
            <w:r/>
          </w:p>
        </w:tc>
      </w:tr>
    </w:tbl>
    <w:p>
      <w:pPr>
        <w:pStyle w:val="990"/>
        <w:spacing w:before="120" w:after="120" w:line="360" w:lineRule="auto"/>
        <w:rPr>
          <w:rFonts w:hAnsi="宋体"/>
          <w:color w:val="auto"/>
          <w:sz w:val="21"/>
          <w:highlight w:val="none"/>
        </w:rPr>
      </w:pPr>
      <w:r>
        <w:rPr>
          <w:rFonts w:hint="eastAsia" w:hAnsi="宋体"/>
          <w:color w:val="auto"/>
          <w:sz w:val="21"/>
          <w:highlight w:val="none"/>
        </w:rPr>
        <w:t xml:space="preserve"> </w:t>
      </w:r>
      <w:r/>
    </w:p>
    <w:p>
      <w:pPr>
        <w:pStyle w:val="990"/>
        <w:spacing w:before="120" w:after="120" w:line="360" w:lineRule="auto"/>
        <w:rPr>
          <w:rFonts w:hint="eastAsia" w:hAnsi="宋体"/>
          <w:color w:val="auto"/>
          <w:sz w:val="21"/>
          <w:highlight w:val="none"/>
        </w:rPr>
      </w:pPr>
      <w:r>
        <w:rPr>
          <w:rFonts w:hint="eastAsia" w:hAnsi="宋体"/>
          <w:color w:val="auto"/>
          <w:sz w:val="21"/>
          <w:highlight w:val="none"/>
        </w:rPr>
        <w:t xml:space="preserve">  </w:t>
      </w:r>
      <w:r/>
    </w:p>
    <w:p>
      <w:pPr>
        <w:rPr>
          <w:color w:val="auto"/>
          <w:highlight w:val="none"/>
        </w:rPr>
      </w:pPr>
      <w:r>
        <w:rPr>
          <w:color w:val="auto"/>
          <w:highlight w:val="none"/>
        </w:rPr>
        <w:br w:type="page" w:clear="all"/>
      </w:r>
      <w:bookmarkEnd w:id="52"/>
      <w:r/>
      <w:r/>
    </w:p>
    <w:p>
      <w:pPr>
        <w:pStyle w:val="962"/>
        <w:numPr>
          <w:ilvl w:val="0"/>
          <w:numId w:val="0"/>
        </w:numPr>
        <w:jc w:val="center"/>
        <w:spacing w:line="240" w:lineRule="auto"/>
        <w:rPr>
          <w:color w:val="auto"/>
          <w:highlight w:val="none"/>
        </w:rPr>
      </w:pPr>
      <w:r>
        <w:rPr>
          <w:rFonts w:hint="eastAsia"/>
          <w:color w:val="auto"/>
          <w:highlight w:val="none"/>
          <w:lang w:val="en-US" w:eastAsia="zh-CN"/>
        </w:rPr>
        <w:t xml:space="preserve">第四章 </w:t>
      </w:r>
      <w:r>
        <w:rPr>
          <w:rFonts w:hint="eastAsia"/>
          <w:color w:val="auto"/>
          <w:highlight w:val="none"/>
        </w:rPr>
        <w:t xml:space="preserve">项目需求</w:t>
      </w:r>
      <w:r/>
    </w:p>
    <w:p>
      <w:pPr>
        <w:rPr>
          <w:color w:val="auto"/>
          <w:highlight w:val="none"/>
        </w:rPr>
      </w:pPr>
      <w:r>
        <w:rPr>
          <w:color w:val="auto"/>
          <w:highlight w:val="none"/>
        </w:rPr>
      </w:r>
      <w:r/>
    </w:p>
    <w:p>
      <w:pPr>
        <w:spacing w:line="360" w:lineRule="auto"/>
        <w:rPr>
          <w:color w:val="auto"/>
          <w:highlight w:val="none"/>
        </w:rPr>
      </w:pPr>
      <w:r>
        <w:rPr>
          <w:rFonts w:hint="eastAsia"/>
          <w:b/>
          <w:bCs/>
          <w:color w:val="auto"/>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color w:val="auto"/>
          <w:highlight w:val="none"/>
        </w:rPr>
        <w:t xml:space="preserve">“</w:t>
      </w:r>
      <w:r>
        <w:rPr>
          <w:rFonts w:hint="eastAsia"/>
          <w:b/>
          <w:bCs/>
          <w:color w:val="auto"/>
          <w:highlight w:val="none"/>
        </w:rPr>
        <w:t xml:space="preserve">符合证明文件格式</w:t>
      </w:r>
      <w:r>
        <w:rPr>
          <w:b/>
          <w:bCs/>
          <w:color w:val="auto"/>
          <w:highlight w:val="none"/>
        </w:rPr>
        <w:t xml:space="preserve">”</w:t>
      </w:r>
      <w:r>
        <w:rPr>
          <w:rFonts w:hint="eastAsia"/>
          <w:b/>
          <w:bCs/>
          <w:color w:val="auto"/>
          <w:highlight w:val="none"/>
        </w:rPr>
        <w:t xml:space="preserve">中准确填写或上传。</w:t>
      </w:r>
      <w:r/>
    </w:p>
    <w:p>
      <w:pPr>
        <w:rPr>
          <w:color w:val="auto"/>
          <w:highlight w:val="none"/>
        </w:rPr>
      </w:pPr>
      <w:r>
        <w:rPr>
          <w:color w:val="auto"/>
          <w:highlight w:val="none"/>
        </w:rPr>
      </w:r>
      <w:r/>
    </w:p>
    <w:p>
      <w:pPr>
        <w:ind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一、项目简介</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为确保扬州市2025年扬州市食品生产企业</w:t>
      </w:r>
      <w:r>
        <w:rPr>
          <w:rFonts w:hint="eastAsia" w:ascii="宋体" w:hAnsi="宋体" w:eastAsia="宋体" w:cs="宋体"/>
          <w:color w:val="auto"/>
          <w:sz w:val="21"/>
          <w:szCs w:val="21"/>
          <w:highlight w:val="none"/>
          <w:lang w:val="en-US" w:eastAsia="zh-CN"/>
        </w:rPr>
        <w:t xml:space="preserve">监督抽检</w:t>
      </w:r>
      <w:r>
        <w:rPr>
          <w:rFonts w:hint="eastAsia" w:ascii="宋体" w:hAnsi="宋体" w:eastAsia="宋体" w:cs="宋体"/>
          <w:color w:val="auto"/>
          <w:sz w:val="21"/>
          <w:szCs w:val="21"/>
          <w:highlight w:val="none"/>
        </w:rPr>
        <w:t xml:space="preserve">工作顺利开展，现向全国范围内进行检测机构资质公开招标，入围</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检测机构有资格承担入围后2025年扬州市食品生产企业监督抽检工作。本次招标只招承担扬州市市场监督管理局2025年扬州市食品生产企业专项抽检任务的承检机构资格。抽检承检服务内容:</w:t>
      </w:r>
      <w:r>
        <w:rPr>
          <w:rFonts w:hint="eastAsia" w:ascii="宋体" w:hAnsi="宋体" w:eastAsia="宋体" w:cs="宋体"/>
          <w:color w:val="auto"/>
          <w:sz w:val="21"/>
          <w:szCs w:val="21"/>
          <w:highlight w:val="none"/>
          <w:lang w:val="en-US" w:eastAsia="zh-CN"/>
        </w:rPr>
        <w:t xml:space="preserve">负责扬州市全市获证食品生产企业及不合格生产企业跟踪抽检工作，抽检品类依据</w:t>
      </w:r>
      <w:r>
        <w:rPr>
          <w:rFonts w:hint="eastAsia" w:ascii="宋体" w:hAnsi="宋体" w:eastAsia="宋体" w:cs="宋体"/>
          <w:color w:val="auto"/>
          <w:sz w:val="21"/>
          <w:szCs w:val="21"/>
          <w:highlight w:val="none"/>
        </w:rPr>
        <w:t xml:space="preserve">国家市场监督管理总局核准的粮食及粮食制品、蔬菜及其制品、水果及其制品、水产品及其制品、食用油(油脂)及其制品等3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大类产品</w:t>
      </w:r>
      <w:r>
        <w:rPr>
          <w:rFonts w:hint="eastAsia" w:ascii="宋体" w:hAnsi="宋体" w:eastAsia="宋体" w:cs="宋体"/>
          <w:color w:val="auto"/>
          <w:sz w:val="21"/>
          <w:szCs w:val="21"/>
          <w:highlight w:val="none"/>
          <w:lang w:eastAsia="zh-CN"/>
        </w:rPr>
        <w:t xml:space="preserve">。</w:t>
      </w:r>
      <w:r/>
    </w:p>
    <w:p>
      <w:pPr>
        <w:ind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二、项目要求</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1、基本要求</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1.1严格遵守《中华人民共和国食品安全法》、《食品安全抽样检验管理办法》、《江苏省食品安全监督抽检工作实施办法》等相关法律、法规、规章的规定。</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1.2按照国家法律、法规、国家标准规定和采购人要求开展抽样、检验等各项任务， 并根据承担的检验任务出具检验实施方案交采购人审查确定。 </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服务步骤</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中标供应商应按以下主要步骤开展相关工作：</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.1由采购方根据对应分包中标供应商确定该承检机构承担的检测范围；</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承检机构负责抽样；</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.3承检机构负责检验、检验报告出具以及检验结果的确认；</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.4承检机构负责通过</w:t>
      </w:r>
      <w:bookmarkStart w:id="53" w:name="_Hlk86768829"/>
      <w:r>
        <w:rPr>
          <w:rFonts w:hint="eastAsia" w:ascii="宋体" w:hAnsi="宋体" w:eastAsia="宋体" w:cs="宋体"/>
          <w:color w:val="auto"/>
          <w:sz w:val="21"/>
          <w:szCs w:val="21"/>
          <w:highlight w:val="none"/>
        </w:rPr>
        <w:t xml:space="preserve">采购人指定系统</w:t>
      </w:r>
      <w:bookmarkEnd w:id="53"/>
      <w:r>
        <w:rPr>
          <w:rFonts w:hint="eastAsia" w:ascii="宋体" w:hAnsi="宋体" w:eastAsia="宋体" w:cs="宋体"/>
          <w:color w:val="auto"/>
          <w:sz w:val="21"/>
          <w:szCs w:val="21"/>
          <w:highlight w:val="none"/>
        </w:rPr>
        <w:t xml:space="preserve">录入上传数据；</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.5承检机构负责协助采购人办理异议处理和复检工作；</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.6承检机构负责汇总材料及上报；</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.7承检机构负责协助拟定、发布公告。</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服务内容</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承检机构应在规定时间内完成采购方部署的抽检监测工作，并对抽样环节全程录像。按采购人要求予以检测并依法出具检验报告，上报数据至指定的数据平台，汇总样品抽检监测结果信息，提交抽检监测工作分析总结报告，未经采购方同意不得擅自发布抽检监测结果。</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.2为确保抽检监测结果的有效性和公信力，减少争议，避免样品发生变化影响检验结果的情形，供应商在抽样后应及时将样品送达检测实验室，采取合理的储运方式并做好各项指标记录，保证转运过程可追溯。</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 承检机构应当收集分析抽检监测中遇到的各类问题并加以研究分析，在报告中提出有关制度性建设性的建议，能够有助于食品安全标准、食品补充检验方法或食品快速检测方法等制度修订与研究。</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.4承检机构应建立抽检合格备份样品再利用工作机制，并积极开展抽检合格备份样品再利用管理工作。</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承检机构应按照采购方要求及时通过采购人指定系统上传录入数据。</w:t>
      </w:r>
      <w:r/>
    </w:p>
    <w:p>
      <w:pPr>
        <w:ind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三、服务要求</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严格按照《国家食品安全监督抽检实施细则》（最新版）规定的检验方法进行检验，不得擅自变更检验方法、增加或者减少检验项目，不得擅自修改判定原则，承检机构对其出具的检验报告的真实性和准确性负责。采购人通过现场检查和盲样考核等方式对各承检机构所做出的检验数据进行考核，发现存在上述问题或者弄虚作假、擅自修改检验数据等情形的，将取消承检机构的食品抽检任务资格，并对所造成的损失和不良影响承担法律责任，剩余任务由采购人分配给其他承检机构。</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2、投标人应制定明确规范、科学有效的内控制度，明确各岗位业务操作规范和操作流程，涵盖采样、送检、检测、复核、签署报告、录入信息、上报结果、发布公告等业务流程涉及的所有环节。</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3、中标供应商按照法律法规和采购人要求抽样并完成检测任务后，所有备样不得自行处置，按采购人有关备样处置的要求处置。</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4、投标人对抽检信息、数据等负有保密义务，未经采购人授权，不得向除采购人外的任何单位与个人透露任何信息。</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5、检验项目由采购人确定，投标人应按照采购人要求，及时将抽样检验相关资料准确录入采购人指定的信息管理系统。</w:t>
      </w:r>
      <w:r/>
    </w:p>
    <w:p>
      <w:pPr>
        <w:ind w:firstLine="420"/>
        <w:jc w:val="both"/>
        <w:keepLines w:val="0"/>
        <w:keepNext w:val="0"/>
        <w:pageBreakBefore w:val="0"/>
        <w:spacing w:after="0" w:line="44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★6、抽样检验的工作人员必须为投标人在职员工，投标人不得将检验任务转包给其他检验机构，一经发现，立即终止承检任务</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（供应商提供书面承诺函上传响应并加盖投标人公章，格式自拟，内容应完全响应招标文件要求。）</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7、投标人应按照采购人要求，严格遵守抽样工作规范，保证抽样工作有效。样品抽取要由专门人员完成，样品运输要符合样品管理规定，鼓励派专人专车送达。</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8、投标人应在规定时间内完成采购人部署的抽样检验工作，必须保证抽检过程公平、公正，依法出具检验报告，汇总样品抽检结果信息，提交抽检工作分析总结报告。出现检验事故的，立即终止承检任务。</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为保证检验任务高效优质地完成，投标人须接受采购人组织的各种形式的检查和考核，对于采购人在考核中提出的问题要及时进行整改，并提交整改报告。整改不到位的，采购人有权终止合同并保留追究其经济赔偿责任和法律责任的权利。</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10、若违反抽样、检验、信息披露等相关规定的，采购人有权终止合同，取消中标人承检任务并追究其经济赔偿责任和法律责任。</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11、中标人不得拒绝采购人委托的抽检任务，否则视为违约。</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12、采购人有权按服务响应、履约情况、考核情况等因素综合评定后调整服务任务。</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★13、中标的承检机构有下列情形之一的，采购人有权终止、解除合同，收回按照合同支付的抽样检验费用，供应商还须赔偿采购人因此遭受的损失：</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bookmarkStart w:id="54" w:name="_Hlk162876826"/>
      <w:r>
        <w:rPr>
          <w:rFonts w:hint="eastAsia" w:ascii="宋体" w:hAnsi="宋体" w:eastAsia="宋体" w:cs="宋体"/>
          <w:color w:val="auto"/>
          <w:sz w:val="21"/>
          <w:szCs w:val="21"/>
          <w:highlight w:val="none"/>
          <w:lang w:val="en-US" w:eastAsia="zh-CN"/>
        </w:rPr>
        <w:t xml:space="preserve">13.1出具虚假检验报告、不实检验报告的；</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13.2利用抽样检验工作之便牟取不正当利益的；</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13.3违反规定事先通知被抽检食品生产经营者的；</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13.4谎报、瞒报、擅自发布食品安全抽样检验信息的；</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13.5因自身原因，未按照规定的时限和程序报告不合格检验结论，造成严重后果的；</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13.6超资质范围出具检验报告的；</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13.7存在物料不平衡情况的；</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13.8有其他违法违规行为的。</w:t>
      </w:r>
      <w:bookmarkEnd w:id="54"/>
      <w:r/>
      <w:r/>
    </w:p>
    <w:p>
      <w:pPr>
        <w:ind w:firstLine="422"/>
        <w:jc w:val="both"/>
        <w:keepLines w:val="0"/>
        <w:keepNext w:val="0"/>
        <w:pageBreakBefore w:val="0"/>
        <w:spacing w:after="0" w:line="440" w:lineRule="exact"/>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针对上述</w:t>
      </w:r>
      <w:r>
        <w:rPr>
          <w:rFonts w:hint="eastAsia" w:ascii="宋体" w:hAnsi="宋体" w:eastAsia="宋体" w:cs="宋体"/>
          <w:b/>
          <w:bCs w:val="0"/>
          <w:color w:val="auto"/>
          <w:sz w:val="21"/>
          <w:szCs w:val="21"/>
          <w:highlight w:val="none"/>
          <w:lang w:val="en-US" w:eastAsia="zh-CN"/>
        </w:rPr>
        <w:t xml:space="preserve">★</w:t>
      </w:r>
      <w:r>
        <w:rPr>
          <w:rFonts w:hint="eastAsia" w:ascii="宋体" w:hAnsi="宋体" w:eastAsia="宋体" w:cs="宋体"/>
          <w:b/>
          <w:bCs w:val="0"/>
          <w:color w:val="auto"/>
          <w:sz w:val="21"/>
          <w:szCs w:val="21"/>
          <w:highlight w:val="none"/>
        </w:rPr>
        <w:t xml:space="preserve">终止、解除合同有关情形，供应商提供书面承诺函</w:t>
      </w:r>
      <w:r>
        <w:rPr>
          <w:rFonts w:hint="eastAsia" w:ascii="宋体" w:hAnsi="宋体" w:eastAsia="宋体" w:cs="宋体"/>
          <w:b/>
          <w:bCs w:val="0"/>
          <w:color w:val="auto"/>
          <w:sz w:val="21"/>
          <w:szCs w:val="21"/>
          <w:highlight w:val="none"/>
          <w:lang w:val="en-US" w:eastAsia="zh-CN"/>
        </w:rPr>
        <w:t xml:space="preserve">上传</w:t>
      </w:r>
      <w:r>
        <w:rPr>
          <w:rFonts w:hint="eastAsia" w:ascii="宋体" w:hAnsi="宋体" w:eastAsia="宋体" w:cs="宋体"/>
          <w:b/>
          <w:bCs w:val="0"/>
          <w:color w:val="auto"/>
          <w:sz w:val="21"/>
          <w:szCs w:val="21"/>
          <w:highlight w:val="none"/>
        </w:rPr>
        <w:t xml:space="preserve">响应并加盖</w:t>
      </w:r>
      <w:r>
        <w:rPr>
          <w:rFonts w:hint="eastAsia" w:ascii="宋体" w:hAnsi="宋体" w:eastAsia="宋体" w:cs="宋体"/>
          <w:b/>
          <w:bCs w:val="0"/>
          <w:color w:val="auto"/>
          <w:sz w:val="21"/>
          <w:szCs w:val="21"/>
          <w:highlight w:val="none"/>
          <w:lang w:val="en-US" w:eastAsia="zh-CN"/>
        </w:rPr>
        <w:t xml:space="preserve">投标人</w:t>
      </w:r>
      <w:r>
        <w:rPr>
          <w:rFonts w:hint="eastAsia" w:ascii="宋体" w:hAnsi="宋体" w:eastAsia="宋体" w:cs="宋体"/>
          <w:b/>
          <w:bCs w:val="0"/>
          <w:color w:val="auto"/>
          <w:sz w:val="21"/>
          <w:szCs w:val="21"/>
          <w:highlight w:val="none"/>
        </w:rPr>
        <w:t xml:space="preserve">公章，格式自拟，内容应完全响应招标文件要求。</w:t>
      </w:r>
      <w:r/>
    </w:p>
    <w:p>
      <w:pPr>
        <w:ind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四</w:t>
      </w:r>
      <w:r>
        <w:rPr>
          <w:rFonts w:hint="eastAsia" w:ascii="宋体" w:hAnsi="宋体" w:eastAsia="宋体" w:cs="宋体"/>
          <w:b/>
          <w:color w:val="auto"/>
          <w:sz w:val="21"/>
          <w:szCs w:val="21"/>
          <w:highlight w:val="none"/>
        </w:rPr>
        <w:t xml:space="preserve">、保密要求</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中标供应商及其服务人员应做好保密工作。在项目实施过程中要建立工作登记单实现可追溯并确保相关档案实体及电子档信息的安全。未经允许不得对接触到的各种资料、文件拍照、拍摄，各种实体及电子资料等不得损坏、丢失和泄密。否则由此造成的一切后果供应商需承担相关法律责任和赔偿责任。</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2、服务人员不得以任何形式将档案资料（包括纸质档和电子档）带出指定工作现场，不得以任何形式进行泄漏、传播。</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sectPr>
          <w:headerReference w:type="default" r:id="rId11"/>
          <w:footerReference w:type="default" r:id="rId16"/>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color w:val="auto"/>
          <w:sz w:val="21"/>
          <w:szCs w:val="21"/>
          <w:highlight w:val="none"/>
          <w:lang w:val="en-US" w:eastAsia="zh-CN"/>
        </w:rPr>
        <w:t xml:space="preserve">3、供应商应对其服务人员保密义务承担责任，如因其服务人员违反保密义务导致采购</w:t>
      </w:r>
      <w:r/>
    </w:p>
    <w:p>
      <w:pPr>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人产生损失或支出费用的，采购人有权要求供应商承担责任。</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4、供应商及其服务人员的保密期限为永久，不因本项目所签订的文件或合同的终止而终止。</w:t>
      </w:r>
      <w:r/>
    </w:p>
    <w:p>
      <w:pPr>
        <w:ind w:firstLine="422"/>
        <w:jc w:val="both"/>
        <w:keepLines w:val="0"/>
        <w:keepNext w:val="0"/>
        <w:pageBreakBefore w:val="0"/>
        <w:spacing w:after="0" w:line="440" w:lineRule="exact"/>
        <w:widowControl w:val="off"/>
        <w:rPr>
          <w:rFonts w:hint="eastAsia" w:ascii="宋体" w:hAnsi="宋体" w:eastAsia="宋体" w:cs="宋体"/>
          <w:b/>
          <w:bCs w:val="0"/>
          <w:color w:val="auto"/>
          <w:sz w:val="21"/>
          <w:szCs w:val="21"/>
          <w:highlight w:val="none"/>
        </w:rPr>
      </w:pPr>
      <w:r/>
      <w:bookmarkStart w:id="55" w:name="_Hlk86432632"/>
      <w:r>
        <w:rPr>
          <w:rFonts w:hint="eastAsia" w:ascii="宋体" w:hAnsi="宋体" w:eastAsia="宋体" w:cs="宋体"/>
          <w:b/>
          <w:bCs w:val="0"/>
          <w:color w:val="auto"/>
          <w:sz w:val="21"/>
          <w:szCs w:val="21"/>
          <w:highlight w:val="none"/>
        </w:rPr>
        <w:t xml:space="preserve">针对上述★保密要求内容，投标人须提供书面承诺函原件</w:t>
      </w:r>
      <w:r>
        <w:rPr>
          <w:rFonts w:hint="eastAsia" w:ascii="宋体" w:hAnsi="宋体" w:eastAsia="宋体" w:cs="宋体"/>
          <w:b/>
          <w:bCs w:val="0"/>
          <w:color w:val="auto"/>
          <w:sz w:val="21"/>
          <w:szCs w:val="21"/>
          <w:highlight w:val="none"/>
          <w:lang w:val="en-US" w:eastAsia="zh-CN"/>
        </w:rPr>
        <w:t xml:space="preserve">扫描上传</w:t>
      </w:r>
      <w:r>
        <w:rPr>
          <w:rFonts w:hint="eastAsia" w:ascii="宋体" w:hAnsi="宋体" w:eastAsia="宋体" w:cs="宋体"/>
          <w:b/>
          <w:bCs w:val="0"/>
          <w:color w:val="auto"/>
          <w:sz w:val="21"/>
          <w:szCs w:val="21"/>
          <w:highlight w:val="none"/>
        </w:rPr>
        <w:t xml:space="preserve">并加盖</w:t>
      </w:r>
      <w:r>
        <w:rPr>
          <w:rFonts w:hint="eastAsia" w:ascii="宋体" w:hAnsi="宋体" w:eastAsia="宋体" w:cs="宋体"/>
          <w:b/>
          <w:bCs w:val="0"/>
          <w:color w:val="auto"/>
          <w:sz w:val="21"/>
          <w:szCs w:val="21"/>
          <w:highlight w:val="none"/>
          <w:lang w:val="en-US" w:eastAsia="zh-CN"/>
        </w:rPr>
        <w:t xml:space="preserve">投标人</w:t>
      </w:r>
      <w:r>
        <w:rPr>
          <w:rFonts w:hint="eastAsia" w:ascii="宋体" w:hAnsi="宋体" w:eastAsia="宋体" w:cs="宋体"/>
          <w:b/>
          <w:bCs w:val="0"/>
          <w:color w:val="auto"/>
          <w:sz w:val="21"/>
          <w:szCs w:val="21"/>
          <w:highlight w:val="none"/>
        </w:rPr>
        <w:t xml:space="preserve">公章，格式自拟，内容应完全响应招标文件要求。</w:t>
      </w:r>
      <w:bookmarkEnd w:id="55"/>
      <w:r/>
      <w:r/>
    </w:p>
    <w:p>
      <w:pPr>
        <w:ind w:left="0" w:firstLine="422"/>
        <w:keepLines w:val="0"/>
        <w:keepNext w:val="0"/>
        <w:pageBreakBefore w:val="0"/>
        <w:spacing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五、服务期限</w:t>
      </w:r>
      <w:r/>
    </w:p>
    <w:p>
      <w:pPr>
        <w:ind w:left="0"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服务期限：自合同生效之日起至2025年12月20日。</w:t>
      </w:r>
      <w:r/>
    </w:p>
    <w:p>
      <w:pPr>
        <w:ind w:left="0" w:firstLine="422"/>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、项目内容</w:t>
      </w:r>
      <w:r/>
    </w:p>
    <w:p>
      <w:pPr>
        <w:pStyle w:val="1008"/>
        <w:ind w:left="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标的物为33个大类、267个食品细类的食品抽检。食品品种抽检基准价格包含了检验费用、抽样费和买样费。（注：抽检品种及项目范围根据国家市场监管总局下发的《2024年食品安全监督抽检实施细则》中规定的2024年食品安全抽检品种、项目表全项目检测开展检测工作。如国家市场监管总局下发的抽检计划有更新，招标人有权按照实际情况进行调整。）</w:t>
      </w:r>
      <w:r/>
    </w:p>
    <w:p>
      <w:pPr>
        <w:pStyle w:val="779"/>
        <w:jc w:val="center"/>
        <w:keepLines/>
        <w:keepNext/>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年食品安全监督抽检品种与项目表</w:t>
      </w:r>
      <w:r/>
    </w:p>
    <w:p>
      <w:pPr>
        <w:pStyle w:val="1010"/>
        <w:numPr>
          <w:ilvl w:val="0"/>
          <w:numId w:val="0"/>
        </w:numPr>
        <w:rPr>
          <w:color w:val="auto"/>
          <w:highlight w:val="none"/>
        </w:rPr>
      </w:pPr>
      <w:r>
        <w:rPr>
          <w:color w:val="auto"/>
          <w:highlight w:val="none"/>
        </w:rPr>
      </w:r>
      <w:r/>
    </w:p>
    <w:tbl>
      <w:tblPr>
        <w:tblStyle w:val="789"/>
        <w:tblW w:w="1432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6"/>
        <w:gridCol w:w="1116"/>
        <w:gridCol w:w="1104"/>
        <w:gridCol w:w="1272"/>
        <w:gridCol w:w="1164"/>
        <w:gridCol w:w="1272"/>
        <w:gridCol w:w="7673"/>
      </w:tblGrid>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食品大类（一级）</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食品亚类（二级）</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食品品种（三级）</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食品细类 </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风险等级</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抽检项目</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粮食加工品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小麦粉</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小麦粉</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小麦粉</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镉（以Cd计）、苯并[a]芘、玉米赤霉烯酮、脱氧雪腐镰刀菌烯醇、赭曲霉毒素A、黄曲霉毒素B1、偶氮甲酰胺、过氧化苯甲酰</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大米</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大米</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大米</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铅（以Pb计）、镉（以Cd计）、无机砷（以As计）、苯并[a]芘、黄曲霉毒素B1、赭曲霉毒素A</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挂面</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挂面</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挂面</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铅（以Pb计）、黄曲霉毒素B1、脱氢乙酸及其钠盐（以脱氢乙酸计）、合成着色剂（柠檬黄、日落黄）</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其他粮食加工品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谷物加工品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谷物加工品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 Pb 计）、镉（以Cd计）、黄曲霉毒素B1、赭曲霉毒素A</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谷物碾磨加工品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玉米粉（片、渣）</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苯并</w:t>
            </w:r>
            <w:r>
              <w:rPr>
                <w:rFonts w:hint="eastAsia" w:ascii="宋体" w:hAnsi="宋体" w:eastAsia="宋体" w:cs="宋体"/>
                <w:i w:val="0"/>
                <w:iCs w:val="0"/>
                <w:color w:val="auto"/>
                <w:sz w:val="21"/>
                <w:szCs w:val="21"/>
                <w:highlight w:val="none"/>
                <w:u w:val="none"/>
                <w:lang w:val="en-US" w:eastAsia="zh-CN" w:bidi="ar"/>
              </w:rPr>
              <w:t xml:space="preserve">[a]</w:t>
            </w:r>
            <w:r>
              <w:rPr>
                <w:rStyle w:val="1012"/>
                <w:rFonts w:hint="eastAsia" w:ascii="宋体" w:hAnsi="宋体" w:eastAsia="宋体" w:cs="宋体"/>
                <w:color w:val="auto"/>
                <w:sz w:val="21"/>
                <w:szCs w:val="21"/>
                <w:highlight w:val="none"/>
                <w:lang w:val="en-US" w:eastAsia="zh-CN" w:bidi="ar"/>
              </w:rPr>
              <w:t xml:space="preserve">芘、黄曲霉毒素</w:t>
            </w:r>
            <w:r>
              <w:rPr>
                <w:rFonts w:hint="eastAsia" w:ascii="宋体" w:hAnsi="宋体" w:eastAsia="宋体" w:cs="宋体"/>
                <w:i w:val="0"/>
                <w:iCs w:val="0"/>
                <w:color w:val="auto"/>
                <w:sz w:val="21"/>
                <w:szCs w:val="21"/>
                <w:highlight w:val="none"/>
                <w:u w:val="none"/>
                <w:lang w:val="en-US" w:eastAsia="zh-CN" w:bidi="ar"/>
              </w:rPr>
              <w:t xml:space="preserve">B1</w:t>
            </w:r>
            <w:r>
              <w:rPr>
                <w:rStyle w:val="1012"/>
                <w:rFonts w:hint="eastAsia" w:ascii="宋体" w:hAnsi="宋体" w:eastAsia="宋体" w:cs="宋体"/>
                <w:color w:val="auto"/>
                <w:sz w:val="21"/>
                <w:szCs w:val="21"/>
                <w:highlight w:val="none"/>
                <w:lang w:val="en-US" w:eastAsia="zh-CN" w:bidi="ar"/>
              </w:rPr>
              <w:t xml:space="preserve">、赭曲霉毒素</w:t>
            </w:r>
            <w:r>
              <w:rPr>
                <w:rFonts w:hint="eastAsia" w:ascii="宋体" w:hAnsi="宋体" w:eastAsia="宋体" w:cs="宋体"/>
                <w:i w:val="0"/>
                <w:iCs w:val="0"/>
                <w:color w:val="auto"/>
                <w:sz w:val="21"/>
                <w:szCs w:val="21"/>
                <w:highlight w:val="none"/>
                <w:u w:val="none"/>
                <w:lang w:val="en-US" w:eastAsia="zh-CN" w:bidi="ar"/>
              </w:rPr>
              <w:t xml:space="preserve">A</w:t>
            </w:r>
            <w:r>
              <w:rPr>
                <w:rStyle w:val="1012"/>
                <w:rFonts w:hint="eastAsia" w:ascii="宋体" w:hAnsi="宋体" w:eastAsia="宋体" w:cs="宋体"/>
                <w:color w:val="auto"/>
                <w:sz w:val="21"/>
                <w:szCs w:val="21"/>
                <w:highlight w:val="none"/>
                <w:lang w:val="en-US" w:eastAsia="zh-CN" w:bidi="ar"/>
              </w:rPr>
              <w:t xml:space="preserve">、玉米赤霉烯酮、脱氧雪腐镰刀菌烯醇</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米粉</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铅（以Pb计）、镉（以Cd计）、总汞（以Hg计）、无机砷（以As计）、苯并[a]芘</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其他谷物碾磨加工品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铅（以Pb计）、铬（以Cr计）、赭曲霉毒素A</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谷物粉类制成品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生湿面制品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铅（以Pb计）、苯甲酸及其钠盐（以苯甲酸计）、山梨酸及其钾盐（以山梨酸计）、脱氢乙酸及其钠盐（以脱氢乙酸计）、二氧化硫残留量、柠檬黄</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发酵面制品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苯甲酸及其钠盐（以苯甲酸计）、山梨酸及其钾盐（以山梨酸计）、脱氢乙酸及其钠盐（以脱氢乙酸计）、糖精钠（以糖精计）、甜蜜素（以环己基氨基磺酸计）、安赛蜜、合成着色剂（柠檬黄、胭脂红）、菌落总数、大肠菌群、沙门氏菌、金黄色葡萄球菌</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米粉制品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苯甲酸及其钠盐（以苯甲酸计）、山梨酸及其钾盐（以山梨酸计）、脱氢乙酸及其钠盐（以脱氢乙酸计）、二氧化硫残留量、菌落总数、大肠菌群、沙门氏菌、金黄色葡萄球菌</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粮食加工品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其他粮食加工品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谷物粉类制成品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其他谷物粉类制成品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黄曲霉毒素B1、苯甲酸及其钠盐（以苯甲酸计）、山梨酸及其钾盐（以山梨酸计）、脱氢乙酸及其钠盐（以脱氢乙酸计）、菌落总数、大肠菌群、沙门氏菌、金黄色葡萄球菌</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食用油、油脂及其制品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食用植物油</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食用植物油</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花生油</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酸值/酸价、过氧化值、黄曲霉毒素B1、铅（以Pb计）、苯并[a]芘、溶剂残留量、特丁基对苯二酚（TBHQ）</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玉米油</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酸值/酸价、过氧化值、黄曲霉毒素B1、铅（以Pb计）、苯并[a]芘、特丁基对苯二酚（TBHQ）</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芝麻油</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酸值/酸价、过氧化值、铅（以Pb计）、苯并[a]芘、溶剂残留量、乙基麦芽酚</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橄榄油、油橄榄果渣油</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酸值/酸价、过氧化值、铅（以Pb计）、溶剂残留量、特丁基对苯二酚（TBHQ）</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菜籽油</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酸值/酸价、过氧化值、铅（以Pb计）、苯并[a]芘、溶剂残留量、特丁基对苯二酚（TBHQ）、乙基麦芽酚</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大豆油</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酸值/酸价、过氧化值、铅（以Pb计）、苯并[a]芘、溶剂残留量、特丁基对苯二酚（TBHQ）</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食用植物调和油</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酸价、过氧化值、铅（以Pb计）、苯并[a]芘、溶剂残留量、特丁基对苯二酚（TBHQ）、乙基麦芽酚</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油茶籽油</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酸值/酸价、过氧化值、铅（以Pb计）、苯并[a]芘、溶剂残留量、特丁基对苯二酚（TBHQ）</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其他食用植物油</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酸值/酸价、过氧化值、铅（以Pb计）、苯并[a]芘、溶剂残留量、特丁基对苯二酚（TBHQ）</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食用动物油脂</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食用动物油脂</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食用动物油脂</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酸价、过氧化值、丙二醛、铅（以Pb计）、苯并[a]芘</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食用油脂制品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食用油脂制品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食用油脂制品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酸价（以脂肪计）、过氧化值（以脂肪计）、铅（以Pb计）、大肠菌群、霉菌</w:t>
            </w:r>
            <w:r/>
          </w:p>
        </w:tc>
      </w:tr>
      <w:tr>
        <w:trPr>
          <w:jc w:val="center"/>
          <w:trHeight w:val="59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调味品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酱油</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酱油</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酱油</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氨基酸态氮、全氮（以氮计）、铵盐（以占氨基酸态氮的百分比计）、苯甲酸及其钠盐（以苯甲酸计）、山梨酸及其钾盐（以山梨酸计）、脱氢乙酸及其钠盐（以脱氢乙酸计）、对羟基苯甲酸酯类及其钠盐（以对羟基苯甲酸计）、防腐剂混合使用时各自用量占其最大使用量的比例之和、糖精钠（以糖精计）、三氯蔗糖、甜蜜素（以环己基氨基磺酸计）、菌落总数、大肠菌群</w:t>
            </w:r>
            <w:r/>
          </w:p>
        </w:tc>
      </w:tr>
      <w:tr>
        <w:trPr>
          <w:jc w:val="center"/>
          <w:trHeight w:val="922"/>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食醋</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食醋</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食醋</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酸（以乙酸计）、不挥发酸（以乳酸计）、苯甲酸及其钠盐（以苯甲酸计）、山梨酸及其钾盐（以山梨酸计）、脱氢乙酸及其钠盐（以脱氢乙酸计）、对羟基苯甲酸酯类及其钠盐（以对羟基苯甲酸计）、防腐剂混合使用时各自用量占其最大使用量的比例之和、糖精钠（以糖精计）、三氯蔗糖、甜蜜素（以环己基氨基磺酸计）、菌落总数</w:t>
            </w:r>
            <w:r/>
          </w:p>
        </w:tc>
      </w:tr>
      <w:tr>
        <w:trPr>
          <w:jc w:val="center"/>
          <w:trHeight w:val="922"/>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酱类</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酱类</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黄豆酱、甜面酱等</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氨基酸态氮、黄曲霉毒素B1、苯甲酸及其钠盐（以苯甲酸计）、山梨酸及其钾盐（以山梨酸计）、脱氢乙酸及其钠盐（以脱氢乙酸计）、防腐剂混合使用时各自用量占其最大使用量的比例之和、糖精钠（以糖精计）、三氯蔗糖、甜蜜素（以环己基氨基磺酸计）、安赛蜜、大肠菌群</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调味料酒</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调味料酒</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料酒</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氨基酸态氮（以氮计）、苯甲酸及其钠盐（以苯甲酸计）、山梨酸及其钾盐（以山梨酸计）、脱氢乙酸及其钠盐（以脱氢乙酸计）、糖精钠（以糖精计）、甜蜜素（以环己基氨基磺酸计）、三氯蔗糖</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香辛料类</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香辛料类</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香辛料调味油</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酸价/酸值、过氧化值、铅（以Pb计）</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辣椒、花椒、辣椒粉、花椒粉</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铅（以Pb计）、罗丹明B、苏丹红Ⅰ、苏丹红Ⅱ、苏丹用Ⅲ、苏丹红Ⅳ、脱氢乙酸及其钠盐（以脱氢乙酸计）、二氧化硫残留量、合成着色剂（柠檬黄、日落黄、胭脂红）、沙门氏菌</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其他香辛料调味品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脱氢乙酸及其钠盐（以脱氢乙酸计）、二氧化硫残留量、甜蜜素（以环己基氨基磺酸计）、合成着色剂（柠檬黄、日落黄、苋菜红、胭脂红、亮蓝）、丙溴磷、氯氰菊酯和高效氯氰菊酯、多菌灵、沙门氏菌</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调味料</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固体复合调味料</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鸡粉、鸡精调味料</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谷氨酸钠、呈味核苷酸二钠、铅（以Pb计）、糖精钠（以糖精计）、甜蜜素（以环己基氨基磺酸计）、菌落总数、大肠菌群</w:t>
            </w:r>
            <w:r/>
          </w:p>
        </w:tc>
      </w:tr>
      <w:tr>
        <w:trPr>
          <w:jc w:val="center"/>
          <w:trHeight w:val="59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调味品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调味料</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固体复合调味料</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其他固体调味料</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苏丹红Ⅰ、苏丹红Ⅱ、苏丹用Ⅲ、苏丹红Ⅳ、罂粟碱、吗啡、可待因、那可丁、苯甲酸及其钠盐（以苯甲酸计）、山梨酸及其钾盐（以山梨酸计）、脱氢乙酸及其钠盐（以脱氢乙酸计）、防腐剂混合使用时各自用量占其最大使用量的比例之和、糖精钠（以糖精计）、甜蜜素（以环己基氨基磺酸计）、安赛蜜、阿斯巴甜、二氧化硫残留量</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半固体复合调味料</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蛋黄酱、沙拉酱</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二氧化钛</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坚果与籽类的泥（酱）</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酸价/酸值、过氧化值、铅（以Pb计）、黄曲霉毒素B1</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辣椒酱</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苯甲酸及其钠盐（以苯甲酸计）、山梨酸及其钾盐（以山梨酸计）、脱氢乙酸及其钠盐（以脱氢乙酸计）、防腐剂混合使用时各自用量占其最大使用量的比例之和、甜蜜素（以环己基氨基磺酸计）、二氧化硫残留量</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火锅底料、麻辣烫底料</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罂粟碱、吗啡、可待因、那可丁、苯甲酸及其钠盐（以苯甲酸计）、山梨酸及其钾盐（以山梨酸计）、脱氢乙酸及其钠盐（以脱氢乙酸计）、防腐剂混合使用时各自用量占其最大使用量的比例之和</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其他半固体调味料</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罗丹明B、罂粟碱、吗啡、可待因、那可丁、苯甲酸及其钠盐（以苯甲酸计）、山梨酸及其钾盐（以山梨酸计）、脱氢乙酸及其钠盐（以脱氢乙酸计）、防腐剂混合使用时各自用量占其最大使用量的比例之和、甜蜜素（以环己基氨基磺酸计）、安赛蜜</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液体复合调味料</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蚝油、虾油、鱼露</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氨基酸态氮、苯甲酸及其钠盐（以苯甲酸计）、山梨酸及其钾盐（以山梨酸计）、脱氢乙酸及其钠盐（以脱氢乙酸计）、防腐剂混合使用时各自用量占其最大使用量的比例之和、菌落总数、大肠菌群</w:t>
            </w:r>
            <w:r/>
          </w:p>
        </w:tc>
      </w:tr>
      <w:tr>
        <w:trPr>
          <w:jc w:val="center"/>
          <w:trHeight w:val="922"/>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其他液体调味料</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苯甲酸及其钠盐（以苯甲酸计）、山梨酸及其钾盐（以山梨酸计）、脱氢乙酸及其钠盐（以脱氢乙酸计）、防腐剂混合使用时各自用量占其最大使用量的比例之和、糖精钠（以糖精计）、甜蜜素（以环己基氨基磺酸计）、合成着色剂（柠檬黄、日落黄、胭脂红、诱惑红）、相同色泽着色剂混合使用时各自用量占其最大使用量的比例之和、菌落总数</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调味品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谷氨酸钠</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食盐</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食用盐</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普通食用盐</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氯化钠、钡（以Ba计）、碘（以I计）、铅（以Pb计）、总砷（以As计）、镉（以Cd计）、总汞（以Hg计）、亚铁氰化钾/亚铁氰化钠（以亚铁氰根计）</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低钠食用盐</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氯化钾、钡（以Ba计）、碘（以I计）、铅（以Pb计）、总砷（以As计）、镉（以Cd计）、总汞（以Hg计）、亚铁氰化钾/亚铁氰化钠（以亚铁氰根计）</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风味食用盐</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钡（以Ba计）、铅（以Pb计）、总砷（以As计）、镉（以Cd计）、总汞（以Hg计）、亚铁氰化钾/亚铁氰化钠（以亚铁氰根计）</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特殊工艺食用盐</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氯化钠、钡（以Ba计）、碘（以I计）、铅（以Pb计）、总砷（以As计）、镉（以Cd计）、总汞（以Hg计）、亚铁氰化钾/亚铁氰化钠（以亚铁氰根计）</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食品生产加工用盐</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食品生产加工用盐</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铅（以Pb计）、总砷（以As计）、镉（以Cd计）、总汞（以Hg计）、亚铁氰化钾/亚铁氰化钠（以亚铁氰根计）、亚硝酸盐（以NaNO2计）</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肉制品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预制肉制品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调理肉制品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调理肉制品（非速冻）</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铅（以Pb计）、苯甲酸及其钠盐（以苯甲酸计）、山梨酸及其钾盐（以山梨酸计）、脱氢乙酸及其钠盐（以脱氢乙酸计）、氯霉素</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腌腊肉制品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腌腊肉制品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过氧化值（以脂肪计）、铅（以Pb计）、总砷（以As计）、亚硝酸盐（以亚硝酸钠计）、苯甲酸及其钠盐（以苯甲酸计）、山梨酸及其钾盐（以山梨酸计）、胭脂红、诱惑红、苋菜红、酸性红、氯霉素</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熟肉制品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发酵肉制品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发酵肉制品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亚硝酸盐（以亚硝酸钠计）、纳他霉素、氯霉素、大肠菌群、沙门氏菌、金黄色葡萄球菌、单核细胞增生李斯特氏菌、致泻大肠埃希氏菌</w:t>
            </w:r>
            <w:r/>
          </w:p>
        </w:tc>
      </w:tr>
      <w:tr>
        <w:trPr>
          <w:jc w:val="center"/>
          <w:trHeight w:val="137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酱卤肉制品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酱卤肉制品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镉（以Cd计）、铬（以Cr计）、总砷（以As计）、N-二甲基亚硝胺、亚硝酸盐（以亚硝酸钠计）、苯甲酸及其钠盐（以苯甲酸计）、山梨酸及其钾盐（以山梨酸计）、脱氢乙酸及其钠盐（以脱氢乙酸计）、纳他霉素、防腐剂混合使用时各自用量占其最大使用量的比例之和、柠檬黄、日落黄、胭脂红、糖精钠（以糖精计）、氯霉素、酸性橙Ⅱ、菌落总数、大肠菌群、沙门氏菌、金黄色葡萄球菌、单核细胞增生李斯特氏菌、致泻大肠埃希氏菌、商业无菌</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肉制品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熟肉制品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油炸肉制品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油炸肉制品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N-二甲基亚硝胺、亚硝酸盐（以亚硝酸钠计）、苯甲酸及其钠盐（以苯甲酸计）、山梨酸及其钾盐（以山梨酸计）、沙门氏菌、金黄色葡萄球菌、单核细胞增生李斯特氏菌、致泻大肠埃希氏菌</w:t>
            </w:r>
            <w:r/>
          </w:p>
        </w:tc>
      </w:tr>
      <w:tr>
        <w:trPr>
          <w:jc w:val="center"/>
          <w:trHeight w:val="922"/>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熟肉干制品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熟肉干制品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铬（以Cr计）、N-二甲基亚硝胺、苯甲酸及其钠盐（以苯甲酸计）、山梨酸及其钾盐（以山梨酸计）、脱氢乙酸及其钠盐（以脱氢乙酸计）、防腐剂混合使用时各自用量占其最大使用量的比例之和、胭脂红、氯霉素、菌落总数、大肠菌群、沙门氏菌、金黄色葡萄球菌、单核细胞增生李斯特氏菌、致泻大肠埃希氏菌</w:t>
            </w:r>
            <w:r/>
          </w:p>
        </w:tc>
      </w:tr>
      <w:tr>
        <w:trPr>
          <w:jc w:val="center"/>
          <w:trHeight w:val="922"/>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熏烧烤肉制品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熏烧烤肉制品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苯并[a]芘、N-二甲基亚硝胺、亚硝酸盐（以亚硝酸钠计）、苯甲酸及其钠盐（以苯甲酸计）、山梨酸及其钾盐（以山梨酸计）、纳他霉素、糖精钠（以糖精计）、柠檬黄、日落黄、胭脂红、氯霉素、菌落总数、大肠菌群、沙门氏菌、金黄色葡萄球菌、单核细胞增生李斯特氏菌、致泻大肠埃希氏菌</w:t>
            </w:r>
            <w:r/>
          </w:p>
        </w:tc>
      </w:tr>
      <w:tr>
        <w:trPr>
          <w:jc w:val="center"/>
          <w:trHeight w:val="922"/>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熏煮香肠火腿制品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熏煮香肠火腿制品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亚硝酸盐（以亚硝酸钠计）、苯甲酸及其钠盐（以苯甲酸计）、山梨酸及其钾盐（以山梨酸计）、脱氢乙酸及其钠盐（以脱氢乙酸计）、纳他霉素、防腐剂混合使用时各自用量占其最大使用量的比例之和、胭脂红、诱惑红、氯霉素、菌落总数、大肠菌群、沙门氏菌、金黄色葡萄球菌、单核细胞增生李斯特氏菌、致泻大肠埃希氏菌</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乳制品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乳制品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液体乳</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巴氏杀菌乳</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蛋白质、酸度、三聚氰胺、铅（以Pb计）、丙二醇、沙门氏菌、金黄色葡萄球菌、菌落总数、大肠菌群</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灭菌乳</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蛋白质、非脂乳固体、酸度、脂肪、三聚氰胺、铅（以Pb计）、丙二醇、商业无菌</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高温杀菌乳</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蛋白质、酸度、三聚氰胺、沙门氏菌、菌落总数、大肠菌群</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发酵乳</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脂肪、蛋白质、酸度、乳酸菌数、山梨酸及其钾盐（以山梨酸计）、三聚氰胺、铅（以Pb计）、金黄色葡萄球菌、沙门氏菌、大肠菌群、酵母、霉菌</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调制乳</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蛋白质、三聚氰胺、铅（以Pb计）、商业无菌、菌落总数、大肠菌群</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乳制品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乳制品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乳粉</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全脂乳粉、脱脂乳粉、部分脱脂乳粉、调制乳粉</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蛋白质、脂肪、三聚氰胺、铅（以Pb计）、菌落总数、大肠菌群</w:t>
            </w:r>
            <w:r/>
          </w:p>
        </w:tc>
      </w:tr>
      <w:tr>
        <w:trPr>
          <w:jc w:val="center"/>
          <w:trHeight w:val="792"/>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乳清粉和乳清蛋白粉（企业原料）</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脱盐乳清粉、非脱盐乳清粉、浓缩乳清蛋白粉、分离乳清蛋白粉</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蛋白质、三聚氰胺</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其他乳制品（浓缩乳制品、奶油、干酪、固态成型产品）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浓缩乳制品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蛋白质、三聚氰胺、商业无菌、菌落总数、大肠菌群</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稀奶油、奶油和无水奶油</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脂肪、酸度、三聚氰胺、沙门氏菌、商业无菌、菌落总数、大肠菌群、霉菌</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干酪、再制干酪、干酪制品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三聚氰胺、金黄色葡萄球菌、沙门氏菌、单核细胞增生李斯特氏菌、菌落总数、大肠菌群、霉菌</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奶片、奶条等固态成型产品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蛋白质、脱氢乙酸及其钠盐（以脱氢乙酸计）、三聚氰胺、沙门氏菌</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饮料</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饮料</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包装饮用水</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饮用天然矿泉水</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界限指标、铅（以Pb计）、总砷（以As计）、镉（以Cd计）、总汞（以Hg计）、镍、溴酸盐、硝酸盐（以NO3-计）、亚硝酸盐（以NO2-计）、大肠菌群、铜绿假单胞菌</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饮用纯净水</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电导率、耗氧量（以O2计）、铅（以Pb计）、总砷（以As计）、镉（以Cd计）、亚硝酸盐（以NO2-计）、余氯（游离氯）、溴酸盐、三氯甲烷、大肠菌群、铜绿假单胞菌</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其他类饮用水</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耗氧量（以O2计）、铅（以Pb计）、总砷（以As计）、镉（以Cd计）、亚硝酸盐（以NO2-计）、余氯（游离氯）、溴酸盐、三氯甲烷、大肠菌群、铜绿假单胞菌</w:t>
            </w:r>
            <w:r/>
          </w:p>
        </w:tc>
      </w:tr>
      <w:tr>
        <w:trPr>
          <w:jc w:val="center"/>
          <w:trHeight w:val="922"/>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饮料</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饮料</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果蔬汁类及其饮料</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果蔬汁类及其饮料</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展青霉素、苯甲酸及其钠盐（以苯甲酸计）、山梨酸及其钾盐（以山梨酸计）、脱氢乙酸及其钠盐（以脱氢乙酸计）、防腐剂混合使用时各自用量占其最大使用量的比例之和、安赛蜜、甜蜜素（以环己基氨基磺酸计）、合成着色剂（苋菜红、胭脂红、柠檬黄、日落黄、亮蓝）、菌落总数、大肠菌群、霉菌、酵母</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蛋白饮料</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蛋白饮料</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蛋白质、乳酸菌数、三聚氰胺、苯甲酸及其钠盐（以苯甲酸计）、山梨酸及其钾盐（以山梨酸计）、脱氢乙酸及其钠盐（以脱氢乙酸计）、防腐剂混合使用时各自用量占其最大使用量的比例之和、菌落总数、大肠菌群、霉菌、酵母、商业无菌</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碳酸饮料（汽水）</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碳酸饮料（汽水）</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二氧化碳气容量、苯甲酸及其钠盐（以苯甲酸计）、山梨酸及其钾盐（以山梨酸计）、防腐剂混合使用时各自用量占其最大使用量的比例之和、甜蜜素（以环己基氨基磺酸计）、阿斯巴甜、菌落总数、霉菌、酵母</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茶饮料</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茶饮料</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茶多酚、咖啡因、脱氢乙酸及其钠盐（以脱氢乙酸计）、菌落总数</w:t>
            </w:r>
            <w:r/>
          </w:p>
        </w:tc>
      </w:tr>
      <w:tr>
        <w:trPr>
          <w:jc w:val="center"/>
          <w:trHeight w:val="922"/>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固体饮料</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固体饮料</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蛋白质、铅（以Pb计）、苯甲酸及其钠盐（以苯甲酸计）、山梨酸及其钾盐（以山梨酸计）、防腐剂混合使用时各自用量占其最大使用量的比例之和、糖精钠（以糖精计）、合成着色剂（苋菜红、胭脂红、柠檬黄、日落黄、亮蓝）、相同色泽着色剂混合使用时各自用量占其最大使用量的比例之和、菌落总数、大肠菌群、霉菌</w:t>
            </w:r>
            <w:r/>
          </w:p>
        </w:tc>
      </w:tr>
      <w:tr>
        <w:trPr>
          <w:jc w:val="center"/>
          <w:trHeight w:val="922"/>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其他饮料</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其他饮料</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苯甲酸及其钠盐（以苯甲酸计）、山梨酸及其钾盐（以山梨酸计）、脱氢乙酸及其钠盐（以脱氢乙酸计）、防腐剂混合使用时各自用量占其最大使用量的比例之和、糖精钠（以糖精计）、甜蜜素（以环己基氨基磺酸计）、安赛蜜、合成着色剂（苋菜红、胭脂红、柠檬黄、日落黄、亮蓝）、菌落总数、大肠菌群、霉菌、酵母</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方便食品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方便食品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方便面</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油炸面、非油炸面、方便米粉（米线）、方便粉丝</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水分、酸价（以脂肪计）（KOH）、过氧化值（以脂肪计）、菌落总数、大肠菌群、霉菌</w:t>
            </w:r>
            <w:r/>
          </w:p>
        </w:tc>
      </w:tr>
      <w:tr>
        <w:trPr>
          <w:jc w:val="center"/>
          <w:trHeight w:val="922"/>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方便食品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方便食品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调味面制品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调味面制品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价（以脂肪计）（KOH）、过氧化值（以脂肪计）、苯甲酸及其钠盐（以苯甲酸计）、山梨酸及其钾盐（以山梨酸计）、脱氢乙酸及其钠盐（以脱氢乙酸计）、糖精钠（以糖精计）、甜蜜素（以环己基氨基磺酸计）、安赛蜜、三氯蔗糖、合成着色剂（柠檬黄、日落黄）、菌落总数、大肠菌群、霉菌、沙门氏菌、金黄色葡萄球菌</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其他方便食品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方便粥、方便盒饭、冷面及其他熟制方便食品等</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价（以脂肪计）（KOH）、过氧化值（以脂肪计）、铅（以Pb计）、黄曲霉毒素B1、苯甲酸及其钠盐（以苯甲酸计）、山梨酸及其钾盐（以山梨酸计）、糖精钠（以糖精计）、菌落总数、大肠菌群、霉菌、沙门氏菌、金黄色葡萄球菌</w:t>
            </w:r>
            <w:r/>
          </w:p>
        </w:tc>
      </w:tr>
      <w:tr>
        <w:trPr>
          <w:jc w:val="center"/>
          <w:trHeight w:val="115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饼干</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饼干</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饼干</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饼干</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价（以脂肪计）（KOH）、过氧化值（以脂肪计）、山梨酸及其钾盐（以山梨酸计）、铝的残留量（干样品，以Al计）、脱氢乙酸及其钠盐（以脱氢乙酸计）、甜蜜素（以环己基氨基磺酸计）、糖精钠（以糖精计）、二氧化硫残留量、苯甲酸及其钠盐（以苯甲酸计）、合成着色剂（柠檬黄、日落黄、胭脂红、苋菜红、亮蓝、新红、赤藓红、靛蓝、诱惑红、酸性红、喹啉黄）、菌落总数、大肠菌群、金黄色葡萄球菌、沙门氏菌、霉菌</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罐头</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罐头</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畜禽水产罐头</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畜禽肉类罐头</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铅（以Pb计）、镉（以Cd计）、苯甲酸及其钠盐（以苯甲酸计）、山梨酸及其钾盐（以山梨酸计）、糖精钠（以糖精计）、商业无菌</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水产动物类罐头</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胺、铅（以Pb计）、无机砷（以As计）、脱氢乙酸及其钠盐（以脱氢乙酸计）、苯甲酸及其钠盐（以苯甲酸计）、山梨酸及其钾盐（以山梨酸计）、糖精钠（以糖精计）、甜蜜素（以环己基氨基磺酸计）、商业无菌</w:t>
            </w:r>
            <w:r/>
          </w:p>
        </w:tc>
      </w:tr>
      <w:tr>
        <w:trPr>
          <w:jc w:val="center"/>
          <w:trHeight w:val="922"/>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果蔬罐头</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水果类罐头</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合成着色剂（柠檬黄、日落黄、苋菜红、胭脂红、赤藓红、诱惑红、亮蓝）、脱氢乙酸及其钠盐（以脱氢乙酸计）、苯甲酸及其钠盐（以苯甲酸计）、山梨酸及其钾盐（以山梨酸计）、糖精钠（以糖精计）、甜蜜素（以环己基氨基磺酸计）、二氧化硫残留量、商业无菌</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蔬菜类罐头</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铅（以Pb计）、合成着色剂（柠檬黄、日落黄、亮蓝）、脱氢乙酸及其钠盐（以脱氢乙酸计）、苯甲酸及其钠盐（以苯甲酸计）、山梨酸及其钾盐（以山梨酸计）、乙二胺四乙酸二钠、二氧化硫残留量、商业无菌</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罐头</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罐头</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果蔬罐头</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食用菌罐头</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铅（以Pb计）、脱氢乙酸及其钠盐（以脱氢乙酸计）、苯甲酸及其钠盐（以苯甲酸计）、乙二胺四乙酸二钠、二氧化硫残留量、商业无菌</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其他罐头</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其他罐头</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黄曲霉毒素B1、脱氢乙酸及其钠盐（以脱氢乙酸计）、苯甲酸及其钠盐（以苯甲酸计）、山梨酸及其钾盐（以山梨酸计）、乙二胺四乙酸二钠、商业无菌</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冷冻饮品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冷冻饮品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冷冻饮品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冰淇淋、雪糕、雪泥、冰棍、食用冰、甜味冰、其他类</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蛋白质、甜蜜素（以环己基氨基磺酸计）、糖精钠（以糖精计）、安赛蜜、三氯蔗糖、菌落总数、大肠菌群、沙门氏菌、单核细胞增生李斯特氏菌</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速冻食品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速冻面米食品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速冻面米食品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速冻面米生制品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过氧化值（以脂肪计）、黄曲霉毒素B1、铅（以Pb计）、糖精钠（以糖精计）、甜蜜素（以环己基氨基磺酸计）、柠檬黄、日落黄、苋菜红、亮蓝</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速冻面米熟制品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过氧化值（以脂肪计）、黄曲霉毒素B1、铅（以Pb计）、糖精钠（以糖精计）、甜蜜素（以环己基氨基磺酸计）、柠檬黄、日落黄、苋菜红、亮蓝、菌落总数、大肠菌群、沙门氏菌、金黄色葡萄球菌、</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速冻调制食品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速冻调理肉制品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速冻调理肉制品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过氧化值（以脂肪计）、铅（以Pb计）、铬（以Cr计）、氯霉素、胭脂红、柠檬黄、日落黄、诱惑红、亚硝酸盐、菌落总数、大肠菌群、沙门氏菌、金黄色葡萄球菌、单核细胞增生李斯特氏菌</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速冻调制水产制品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速冻调制水产制品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挥发性盐基氮、苯甲酸及其钠盐（以苯甲酸计）、山梨酸及其钾盐（以山梨酸计）、菌落总数、大肠菌群、沙门氏菌、副溶血性弧菌、单核细胞增生李斯特氏菌</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速冻其他食品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速冻谷物食品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速冻谷物食品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铅（以Pb计）、黄曲霉毒素B1</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速冻蔬菜制品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速冻蔬菜制品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铅（以Pb计）、镉（以Cd计）、糖精钠（以糖精计）</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速冻水果制品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速冻水果制品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铅（以Pb计）、镉（以Cd计）、菌落总数、大肠菌群、霉菌、沙门氏菌、金黄色葡萄球菌</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薯类和膨化食品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薯类和膨化食品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膨化食品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含油型膨化食品和非含油型膨化食品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分、酸价（以脂肪计）（KOH）、过氧化值（以脂肪计）、黄曲霉毒素B1、糖精钠（以糖精计）、苯甲酸及其钠盐（以苯甲酸计）、山梨酸及其钾盐（以山梨酸计）、甜蜜素（以环己基氨基磺酸计）、菌落总数、大肠菌群、沙门氏菌、金黄色葡萄球菌</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薯类食品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干制薯类</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酸价（以脂肪计）（KOH）、过氧化值（以脂肪计）、菌落总数、大肠菌群、铅（以Pb计）、沙门氏菌、金黄色葡萄球菌</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冷冻薯类</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薯泥（酱）类</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铅（以Pb计）、苯甲酸及其钠盐（以苯甲酸计）、山梨酸及其钾盐（以山梨酸计）、商业无菌、沙门氏菌、金黄色葡萄球菌</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薯粉类</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其他薯类食品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铅（以Pb计）、沙门氏菌、金黄色葡萄球菌</w:t>
            </w:r>
            <w:r/>
          </w:p>
        </w:tc>
      </w:tr>
      <w:tr>
        <w:trPr>
          <w:jc w:val="center"/>
          <w:trHeight w:val="922"/>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糖果制品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糖果制品（含巧克力及制品）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糖果</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糖果</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糖精钠（以糖精计）、甜蜜素（以环己基氨基磺酸计）、合成着色剂（柠檬黄、新红、苋菜红、靛蓝、胭脂红、日落黄、诱惑红、亮蓝、酸性红、喹啉黄、赤藓红）、相同色泽着色剂混合使用时各自用量占其最大使用量的比例之和、二氧化硫残留量、菌落总数、大肠菌群</w:t>
            </w:r>
            <w:r/>
          </w:p>
        </w:tc>
      </w:tr>
      <w:tr>
        <w:trPr>
          <w:jc w:val="center"/>
          <w:trHeight w:val="922"/>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巧克力及巧克力制品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巧克力、巧克力制品、代可可脂巧克力及代可可脂巧克力制品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铅（以Pb计）、沙门氏菌</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果冻</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果冻</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铅（以Pb计）、山梨酸及其钾盐（以山梨酸计）、苯甲酸及其钠盐（以苯甲酸计）、糖精钠（以糖精计）、甜蜜素（以环己基氨基磺酸计）、菌落总数、大肠菌群、霉菌、酵母</w:t>
            </w:r>
            <w:r/>
          </w:p>
        </w:tc>
      </w:tr>
      <w:tr>
        <w:trPr>
          <w:jc w:val="center"/>
          <w:trHeight w:val="922"/>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茶叶及相关制品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茶叶</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茶叶</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绿茶、红茶、乌龙茶、黄茶、白茶、黑茶、花茶、袋泡茶、紧压茶</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铅（以Pb计）、草甘膦、吡虫啉、乙酰甲胺磷、联苯菊酯、灭多威、三氯杀螨醇、氰戊菊酯和S-氰戊菊酯、甲拌磷、克百威、水胺硫磷、氧乐果、毒死蜱、啶虫脒、多菌灵、茚虫威、柠檬黄、日落黄</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含茶制品和代用茶</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含茶制品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速溶茶类、其它含茶制品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铅（以Pb计）、菌落总数、大肠菌群、霉菌、霉菌及酵母</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代用茶</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代用茶</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铅（以Pb计）、二氧化硫残留量、啶虫脒、克百威、毒死蜱、吡虫啉、氯氟氰菊酯和高效氯氟氰菊酯、霉菌</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酒类</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蒸馏酒</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白酒</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白酒、白酒（液态）、白酒（原酒）</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酒精度、铅（以Pb计）、甲醇、氰化物（以HCN计）、糖精钠（以糖精计）、甜蜜素（以环己基氨基磺酸计）、三氯蔗糖、安赛蜜</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发酵酒</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黄酒</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黄酒</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酒精度、氨基酸态氮、苯甲酸及其钠盐（以苯甲酸计）、山梨酸及其钾盐（以山梨酸计）、糖精钠（以糖精计）、甜蜜素（以环己基氨基磺酸计）</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啤酒</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啤酒</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酒精度、甲醛</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葡萄酒</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葡萄酒</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度、甲醇、苯甲酸及其钠盐（以苯甲酸计）、山梨酸及其钾盐（以山梨酸计）、糖精钠（以糖精计）、二氧化硫残留量、甜蜜素（以环己基氨基磺酸计）、三氯蔗糖、柠檬黄、日落黄、新红、胭脂红、赤藓红、苋菜红、诱惑红、酸性红、亮蓝</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果酒</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果酒</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酒精度、展青霉素、糖精钠（以糖精计）、甜蜜素（以环己基氨基磺酸计）、安赛蜜、二氧化硫残留量、酸性红</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其他酒</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配制酒</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以蒸馏酒及食用酒精为酒基的配制酒</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酒精度、甲醇、氰化物（以HCN计）、甜蜜素（以环己基氨基磺酸计）、安赛蜜</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酒类</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其他酒</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配制酒</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以发酵酒为酒基的配制酒</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酒精度、苯甲酸及其钠盐（以苯甲酸计）、山梨酸及其钾盐（以山梨酸计）、甜蜜素（以环己基氨基磺酸计）、防腐剂混合使用时各自用量占其最大使用量的比例之和、安赛蜜</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其他蒸馏酒</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其他蒸馏酒</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酒精度、铅（以Pb计）、甲醇、氰化物（以HCN计）、三氯蔗糖</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其他发酵酒</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其他发酵酒</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酒精度、苯甲酸及其钠盐（以苯甲酸计）、山梨酸及其钾盐（以山梨酸计）、糖精钠（以糖精计）、甜蜜素（以环己基氨基磺酸计）、安赛蜜</w:t>
            </w:r>
            <w:r/>
          </w:p>
        </w:tc>
      </w:tr>
      <w:tr>
        <w:trPr>
          <w:jc w:val="center"/>
          <w:trHeight w:val="922"/>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蔬菜制品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蔬菜制品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酱腌菜</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酱腌菜</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亚硝酸盐（以NaNO2计）、苯甲酸及其钠盐（以苯甲酸计）、山梨酸及其钾盐（以山梨酸计）、脱氢乙酸及其钠盐（以脱氢乙酸计）、糖精钠（以糖精计）、甜蜜素（以环己基氨基磺酸计）、二氧化硫残留量、防腐剂混合使用时各自用量占其最大使用量的比例之和、安赛蜜、合成着色剂（柠檬黄、日落黄）、大肠菌群</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蔬菜干制品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蔬菜干制品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铅（以Pb计）、苯甲酸及其钠盐（以苯甲酸计）、山梨酸及其钾盐（以山梨酸计）、二氧化硫残留量、合成着色剂（柠檬黄、日落黄、胭脂红、苋菜红、亮蓝）</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其他蔬菜制品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其他蔬菜制品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铅（以Pb计）、苯甲酸及其钠盐（以苯甲酸计）、山梨酸及其钾盐（以山梨酸计）、二氧化硫残留量</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食用菌制品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干制食用菌</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铅（以Pb计）、总砷（以As计）、镉（以Cd计）、总汞（以Hg计）、甲基汞（以Hg计）、苯甲酸及其钠盐（以苯甲酸计）</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腌渍食用菌</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苯甲酸及其钠盐（以苯甲酸计）、山梨酸及其钾盐（以山梨酸计）、脱氢乙酸及其钠盐（以脱氢乙酸计）、防腐剂混合使用时各自用量占其最大使用量的比例之和</w:t>
            </w:r>
            <w:r/>
          </w:p>
        </w:tc>
      </w:tr>
      <w:tr>
        <w:trPr>
          <w:jc w:val="center"/>
          <w:trHeight w:val="115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水果制品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水果制品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蜜饯</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蜜饯类、凉果类、果脯类、话化类、果糕类</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苯甲酸及其钠盐（以苯甲酸计）、山梨酸及其钾盐（以山梨酸计）、脱氢乙酸及其钠盐（以脱氢乙酸计）、防腐剂混合使用时各自用量占其最大使用量的比例之和、糖精钠（以糖精计）、甜蜜素（以环己基氨基磺酸计）、安赛蜜、二氧化硫残留量、亮蓝、柠檬黄、日落黄、苋菜红、胭脂红、相同色泽着色剂混合使用时各自用量占其最大使用量的比例之和、乙二胺四乙酸二钠、菌落总数、大肠菌群、霉菌</w:t>
            </w:r>
            <w:r/>
          </w:p>
        </w:tc>
      </w:tr>
      <w:tr>
        <w:trPr>
          <w:jc w:val="center"/>
          <w:trHeight w:val="922"/>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水果制品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水果制品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水果干制品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水果干制品（含干枸杞）</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啶虫脒、吡虫啉、克百威、炔螨特、毒死蜱、氯氟氰菊酯和高效氯氟氰菊酯、氯氰菊酯和高效氯氰菊酯、苯甲酸及其钠盐（以苯甲酸计）、山梨酸及其钾盐（以山梨酸计）、脱氢乙酸及其钠盐（以脱氢乙酸计）、糖精钠（以糖精计）、二氧化硫残留量、亮蓝、柠檬黄、日落黄、苋菜红、胭脂红、菌落总数、大肠菌群、霉菌</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果酱</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果酱</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铅（以Pb计）、脱氢乙酸及其钠盐（以脱氢乙酸计）、菌落总数、大肠菌群、霉菌、商业无菌</w:t>
            </w:r>
            <w:r/>
          </w:p>
        </w:tc>
      </w:tr>
      <w:tr>
        <w:trPr>
          <w:jc w:val="center"/>
          <w:trHeight w:val="137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炒货食品及坚果制品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炒货食品及坚果制品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炒货食品及坚果制品（烘炒类、油炸类、其他类）</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开心果、杏仁、扁桃仁、松仁、瓜子</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价（以脂肪计）（KOH）、过氧化值（以脂肪计）、铅（以Pb计）、黄曲霉毒素B1、苯甲酸及其钠盐（以苯甲酸计）、山梨酸及其钾盐（以山梨酸计）、脱氢乙酸及其钠盐（以脱氢乙酸计）、二氧化硫残留量、糖精钠（以糖精计）、甜蜜素（以环己基氨基磺酸计）、安赛蜜、大肠菌群、霉菌</w:t>
            </w:r>
            <w:r/>
          </w:p>
        </w:tc>
      </w:tr>
      <w:tr>
        <w:trPr>
          <w:jc w:val="center"/>
          <w:trHeight w:val="137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炒货食品及坚果制品（烘炒类、油炸类、其他类）</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其他炒货食品及坚果制品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价（以脂肪计）（KOH）、过氧化值（以脂肪计）、铅（以Pb计）、黄曲霉毒素B1、苯甲酸及其钠盐（以苯甲酸计）、山梨酸及其钾盐（以山梨酸计）、脱氢乙酸及其钠盐（以脱氢乙酸计）、二氧化硫残留量、糖精钠（以糖精计）、甜蜜素（以环己基氨基磺酸计）、安赛蜜、大肠菌群、霉菌</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蛋制品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蛋制品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再制蛋</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再制蛋</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铅（以Pb计）、苯甲酸及其钠盐（以苯甲酸计）、山梨酸及其钾盐（以山梨酸计）、菌落总数、大肠菌群、沙门氏菌</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干蛋类</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干蛋类</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菌落总数、大肠菌群、沙门氏菌</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冰蛋类</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冰蛋类</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菌落总数、大肠菌群、沙门氏菌</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其他类</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其他类</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铅（以Pb计）、苯甲酸及其钠盐（以苯甲酸计）、山梨酸及其钾盐（以山梨酸计）、脱氢乙酸及其钠盐（以脱氢乙酸计）、菌落总数、大肠菌群、沙门氏菌</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可可及焙烤咖啡产品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焙炒咖啡</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焙炒咖啡</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焙炒咖啡</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咖啡因、铅（以Pb计）、赭曲霉毒素A</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可可制品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可可制品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可可制品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铅（以Pb计）、沙门氏菌</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食糖</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食糖</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食糖</w:t>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白砂糖</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蔗糖分、还原糖分、色值、干燥失重、二氧化硫残留量、螨</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绵白糖</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总糖分、还原糖分、色值、干燥失重、二氧化硫残留量、螨</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赤砂糖</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总糖分、不溶于水杂质、干燥失重、二氧化硫残留量、螨、合成着色剂（柠檬黄、新红、苋菜红、胭脂红、日落黄、诱惑红、酸性红、喹啉黄、赤藓红）</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红糖</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总糖分、不溶于水杂质、干燥失重、二氧化硫残留量、螨、合成着色剂（柠檬黄、新红、苋菜红、胭脂红、日落黄、诱惑红、酸性红、喹啉黄、赤藓红）</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冰糖</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蔗糖分、还原糖分、色值、干燥失重、二氧化硫残留量、螨、合成着色剂（柠檬黄、新红、苋菜红、胭脂红、日落黄、诱惑红、酸性红、喹啉黄、赤藓红）</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冰片糖</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总糖分、还原糖分、干燥失重、二氧化硫残留量、螨、合成着色剂（柠檬黄、新红、苋菜红、胭脂红、日落黄、诱惑红、酸性红、喹啉黄、赤藓红）</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方糖</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蔗糖分、还原糖分、色值、干燥失重、二氧化硫残留量、螨</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其他糖</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蔗糖分、总糖分、色值、还原糖分、干燥失重、二氧化硫残留量、螨、合成着色剂（柠檬黄、新红、苋菜红、胭脂红、日落黄、诱惑红、酸性红、喹啉黄、赤藓红）</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水产制品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水产制品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干制水产品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藻类干制品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铅（以Pb计）、菌落总数、大肠菌群</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预制动物性水产干制品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过氧化值（以脂肪计）、铅（以Pb计）、镉（以Cd计）、多氯联苯、N-二甲基亚硝胺、苯甲酸及其钠盐（以苯甲酸计）、山梨酸及其钾盐（以山梨酸计）、合成着色剂（柠檬黄、胭脂红、日落黄）</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盐渍水产品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盐渍鱼</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过氧化值（以脂肪计）、组胺、铅（以Pb计）、镉（以Cd计）、多氯联苯、N-二甲基亚硝胺、苯甲酸及其钠盐（以苯甲酸计）、山梨酸及其钾盐（以山梨酸计）</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盐渍藻</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铅（以Pb计）、苯甲酸及其钠盐（以苯甲酸计）、山梨酸及其钾盐（以山梨酸计）</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水产制品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水产制品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盐渍水产品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其他盐渍水产品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铅（以Pb计），苯甲酸及其钠盐（以苯甲酸计）、山梨酸及其钾盐（以山梨酸计）</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鱼糜制品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预制鱼糜制品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挥发性盐基氮、铅（以Pb计）、多氯联苯、苯甲酸及其钠盐（以苯甲酸计）、山梨酸及其钾盐（以山梨酸计）、脱氢乙酸及其钠盐（以脱氢乙酸计）</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熟制动物性水产制品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熟制动物性水产制品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铅（以Pb计）、镉（以Cd计）、多氯联苯、N-二甲基亚硝胺、苯甲酸及其钠盐（以苯甲酸计）、山梨酸及其钾盐（以山梨酸计）、甜蜜素（以环己基氨基磺酸计）、脱氢乙酸及其钠盐（以脱氢乙酸计）</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生食水产品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生食动物性水产品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挥发性盐基氮、铅（以Pb计）、多氯联苯、苯甲酸及其钠盐（以苯甲酸计）、山梨酸及其钾盐（以山梨酸计）、铝的残留量（以即食海蜇中Al计）、菌落总数、大肠菌群、沙门氏菌、副溶血性弧菌、单核细胞增生李斯特氏菌</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其他水产制品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其他水产制品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铅（以Pb计）、苯甲酸及其钠盐（以苯甲酸计）、山梨酸及其钾盐（以山梨酸计）、脱氢乙酸及其钠盐（以脱氢乙酸计）、柠檬黄、防腐剂混合使用时各自用量占其最大使用量的比例之和、菌落总数</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淀粉及淀粉制品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淀粉及淀粉制品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淀粉</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淀粉</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铅（以Pb计）、菌落总数、大肠菌群、霉菌和酵母、二氧化硫残留量、脱氢乙酸及其钠盐（以脱氢乙酸计）、葛根素</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淀粉制品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粉丝粉条</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苯甲酸及其钠盐（以苯甲酸计）、山梨酸及其钾盐（以山梨酸计）、铝的残留量（干样品，以Al计）、二氧化硫残留量、合成着色剂（柠檬黄、新红、苋菜红、靛蓝、胭脂红、日落黄、诱惑红、亮蓝、酸性红、喹啉黄、赤藓红）</w:t>
            </w:r>
            <w:r/>
          </w:p>
        </w:tc>
      </w:tr>
      <w:tr>
        <w:trPr>
          <w:jc w:val="center"/>
          <w:trHeight w:val="922"/>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其他淀粉制品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苯甲酸及其钠盐（以苯甲酸计）、山梨酸及其钾盐（以山梨酸计）、铝的残留量（干样品，以Al计）、二氧化硫残留量、合成着色剂（柠檬黄、新红、苋菜红、靛蓝、胭脂红、日落黄、诱惑红、亮蓝、酸性红、喹啉黄、赤藓红）、相同色泽着色剂混合使用时各自用量占其最大使用量的比例之和</w:t>
            </w:r>
            <w:r/>
          </w:p>
        </w:tc>
      </w:tr>
      <w:tr>
        <w:trPr>
          <w:jc w:val="center"/>
          <w:trHeight w:val="115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淀粉糖</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淀粉糖</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总砷（以As计）、葡萄糖含量（以干基计，质量分数）、IMO含量（占干物质，质量分数）、IG2+P+IG3含量（占干物质，质量分数）、果糖（占干基比）、果糖+葡萄糖（占干基比）、5-羟甲基糠醛（以吸光度计）、果糖+葡萄糖含量（以干物质计）、果糖含量（以干物质计）、麦芽糖含量（以干物质计，质量分数）、干物质（固形物）、硫酸灰分</w:t>
            </w:r>
            <w:r/>
          </w:p>
        </w:tc>
      </w:tr>
      <w:tr>
        <w:trPr>
          <w:jc w:val="center"/>
          <w:trHeight w:val="1607"/>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糕点</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价（以脂肪计）（KOH）、过氧化值（以脂肪计）、铅（以Pb计）、苯甲酸及其钠盐（以苯甲酸计）、山梨酸及其钾盐（以山梨酸计）、糖精钠（以糖精计）、甜蜜素（以环己基氨基磺酸计）、安赛蜜、铝的残留量（干样品，以Al计）、丙酸及其钠盐、钙盐（以丙酸计）、脱氢乙酸及其钠盐（以脱氢乙酸计）、纳他霉素、三氯蔗糖、丙二醇、合成着色剂（柠檬黄、日落黄、胭脂红、苋菜红、亮蓝、新红、赤藓红、靛蓝、诱惑红、酸性红、喹啉黄）、防腐剂混合使用时各自用量占其最大使用量的比例之和、菌落总数、大肠菌群、金黄色葡萄球菌、沙门氏菌、霉菌</w:t>
            </w:r>
            <w:r/>
          </w:p>
        </w:tc>
      </w:tr>
      <w:tr>
        <w:trPr>
          <w:jc w:val="center"/>
          <w:trHeight w:val="1379"/>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月饼</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月饼</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价（以脂肪计）（KOH）、过氧化值（以脂肪计）、糖精钠（以糖精计）、苯甲酸及其钠盐（以苯甲酸计）、山梨酸及其钾盐（以山梨酸计）、铝的残留量（干样品，以Al计）、丙酸及其钠盐、钙盐（以丙酸计）、脱氢乙酸及其钠盐（以脱氢乙酸计）、纳他霉素、甜蜜素（以环己基氨基磺酸计）、合成着色剂（柠檬黄、日落黄、胭脂红、苋菜红、亮蓝、新红、赤藓红、靛蓝、诱惑红、酸性红、喹啉黄）、防腐剂混合使用时各自用量占其最大使用量的比例之和、菌落总数、大肠菌群、金黄色葡萄球菌、沙门氏菌、霉菌</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粽子</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粽子</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粽子</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过氧化值（以脂肪计）、甜蜜素（以环己基氨基磺酸计）、山梨酸及其钾盐（以山梨酸计）、脱氢乙酸及其钠盐（以脱氢乙酸计）、糖精钠（以糖精计）、安赛蜜、菌落总数、大肠菌群、金黄色葡萄球菌、沙门氏菌、霉菌、商业无菌</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发酵性豆制品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腐乳、豆豉、纳豆等</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黄曲霉毒素B₁、苯甲酸及其钠盐（以苯甲酸计）、山梨酸及其钾盐（以山梨酸计）、脱氢乙酸及其钠盐（以脱氢乙酸计）、糖精钠（以糖精计）、甜蜜素（以环己基氨基磺酸计）、铝的残留量（干样品，以Al计）、大肠菌群</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非发酵性豆制品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腐竹、油皮及其再制品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蛋白质、铅（以Pb计）、碱性嫩黄、苯甲酸及其钠盐（以苯甲酸计）、山梨酸及其钾盐（以山梨酸计）、脱氢乙酸及其钠盐（以脱氢乙酸计）、二氧化硫残留量、铝的残留量（干样品，以Al计）、柠檬黄、日落黄</w:t>
            </w:r>
            <w:r/>
          </w:p>
        </w:tc>
      </w:tr>
      <w:tr>
        <w:trPr>
          <w:jc w:val="center"/>
          <w:trHeight w:val="115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豆干、豆腐、豆皮等</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苯甲酸及其钠盐（以苯甲酸计）、山梨酸及其钾盐（以山梨酸计）、脱氢乙酸及其钠盐（以脱氢乙酸计）、丙酸及其钠盐、钙盐（以丙酸计）、防腐剂混合使用时各自用量占其最大使用量的比例之和、糖精钠（以糖精计）、三氯蔗糖、甜蜜素（以环己基氨基磺酸计）、铝的残留量（干样品，以Al计）、柠檬黄、日落黄、大肠菌群、金黄色葡萄球菌</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其他豆制品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大豆蛋白类制品等</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铅（以Pb计）、苯甲酸及其钠盐（以苯甲酸计）、山梨酸及其钾盐（以山梨酸计）、脱氢乙酸及其钠盐（以脱氢乙酸计）、糖精钠（以糖精计）、三氯蔗糖、铝的残留量（干样品，以Al计）、大肠菌群</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蜂产品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蜂产品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蜂蜜</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蜂蜜</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果糖和葡萄糖、蔗糖、铅（以Pb计）、山梨酸及其钾盐（以山梨酸计）、氯霉素、呋喃西林代谢物、呋喃唑酮代谢物、甲硝唑、双甲脒、氟胺氰菊酯、诺氟沙星、氧氟沙星、培氟沙星、菌落总数、霉菌计数、嗜渗酵母计数</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蜂王浆（含蜂王浆冻干品）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蜂王浆（含蜂王浆冻干品）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rPr>
                <w:rStyle w:val="1011"/>
                <w:rFonts w:hint="eastAsia" w:ascii="宋体" w:hAnsi="宋体" w:eastAsia="宋体" w:cs="宋体"/>
                <w:color w:val="auto"/>
                <w:sz w:val="21"/>
                <w:szCs w:val="21"/>
                <w:highlight w:val="none"/>
                <w:lang w:val="en-US" w:eastAsia="zh-CN" w:bidi="ar"/>
              </w:rPr>
              <w:t xml:space="preserve">羟基</w:t>
            </w:r>
            <w:r>
              <w:rPr>
                <w:rFonts w:hint="eastAsia" w:ascii="宋体" w:hAnsi="宋体" w:eastAsia="宋体" w:cs="宋体"/>
                <w:i w:val="0"/>
                <w:iCs w:val="0"/>
                <w:color w:val="auto"/>
                <w:sz w:val="21"/>
                <w:szCs w:val="21"/>
                <w:highlight w:val="none"/>
                <w:u w:val="none"/>
                <w:lang w:val="en-US" w:eastAsia="zh-CN" w:bidi="ar"/>
              </w:rPr>
              <w:t xml:space="preserve">-2-</w:t>
            </w:r>
            <w:r>
              <w:rPr>
                <w:rStyle w:val="1011"/>
                <w:rFonts w:hint="eastAsia" w:ascii="宋体" w:hAnsi="宋体" w:eastAsia="宋体" w:cs="宋体"/>
                <w:color w:val="auto"/>
                <w:sz w:val="21"/>
                <w:szCs w:val="21"/>
                <w:highlight w:val="none"/>
                <w:lang w:val="en-US" w:eastAsia="zh-CN" w:bidi="ar"/>
              </w:rPr>
              <w:t xml:space="preserve">癸烯酸、酸度、呋喃西林代谢物</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蜂花粉</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蜂花粉</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铅（以Pb计）、菌落总数、大肠菌群、霉菌</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蜂产品制品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蜂产品制品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山梨酸及其钾盐（以山梨酸计）、菌落总数、合成着色剂（柠檬黄、日落黄）</w:t>
            </w:r>
            <w:r/>
          </w:p>
        </w:tc>
      </w:tr>
      <w:tr>
        <w:trPr>
          <w:jc w:val="center"/>
          <w:trHeight w:val="1181"/>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保健食品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保健食品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保健食品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保健食品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氨基酸、10-羟基-2-癸烯酸、蛋白质、二十二碳六烯酸、二十碳五烯酸、泛酸、钙、还原糖、肌醇、赖氨酸、绿原酸、铁、维生素A、维生素B1、维生素B12、维生素B2、维生素B6、维生素C、维生素D、维生素D3、维生素E、硒、锌、烟酸、烟酰胺、叶酸、免疫球蛋白IgG、总黄酮、总皂苷、总蒽醌、吡啶甲酸铬、水分、可溶性固形物、酸价、过氧化值、崩解时限、灰分、铅（Pb）、总砷（As）、总汞（Hg）、硬胶囊壳中的铬、菌落总数、大肠菌群、霉菌和酵母、金黄色葡萄球菌、沙门氏菌</w:t>
            </w:r>
            <w:r/>
          </w:p>
        </w:tc>
      </w:tr>
      <w:tr>
        <w:trPr>
          <w:jc w:val="center"/>
          <w:trHeight w:val="18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特殊膳食食品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婴幼儿辅助食品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婴幼儿谷类辅助食品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婴幼儿谷物辅助食品、婴幼儿高蛋白谷物辅助食品、婴幼儿生制类谷物辅助食品、婴幼儿饼干或其他婴幼儿谷物辅助食品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能量、蛋白质、脂肪、亚油酸、月桂酸占总脂肪的比值、肉豆蔻酸占总脂肪的比值、维生素A、维生素D、维生素B1、钙、铁、锌、钠、维生素E、维生素B2、维生素B6、维生素B12、烟酸、叶酸、泛酸、维生素C、生物素、磷、碘、钾、水分、不溶性膳食纤维、脲酶活性定性测定、铅（以Pb计）、无机砷（以As计）、锡（以Sn计）、镉（以Cd计）、黄曲霉毒素B1、硝酸盐（以NaNO3计）、亚硝酸盐（以NaNO2计）、菌落总数、大肠菌群、沙门氏菌、二十二碳六烯酸、花生四烯酸、金黄色葡萄球菌</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特殊膳食食品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婴幼儿辅助食品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婴幼儿罐装辅助食品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泥（糊）状罐装食品、颗粒状罐装食品、汁类罐装食品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蛋白质、脂肪、总钠、铅（以Pb计）、无机砷（以As计）、总汞（以Hg计）、锡（以Sn计）、硝酸盐（以NaNO3计）、亚硝酸盐（以NaNO2计）、商业无菌、霉菌</w:t>
            </w:r>
            <w:r/>
          </w:p>
        </w:tc>
      </w:tr>
      <w:tr>
        <w:trPr>
          <w:jc w:val="center"/>
          <w:trHeight w:val="115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营养补充品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营养补充品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辅食营养素补充食品、辅食营养素补充片、辅食营养素撒剂</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蛋白质、钙、铁、锌、维生素A、维生素D、维生素B1、维生素B2、维生素K1、烟酸（烟酰胺）、维生素B6、叶酸、维生素B12、泛酸、胆碱、生物素、维生素C、二十二碳六烯酸、脲酶活性定性、铅（以Pb计）、总砷（以As计）、黄曲霉毒素M1、黄曲霉毒素B1、硝酸盐（以NaNO3计）、亚硝酸盐（以NaNO2计）、菌落总数、大肠菌群、沙门氏菌、金黄色葡萄球菌</w:t>
            </w:r>
            <w:r/>
          </w:p>
        </w:tc>
      </w:tr>
      <w:tr>
        <w:trPr>
          <w:jc w:val="center"/>
          <w:trHeight w:val="98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孕妇及乳母营养补充食品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铁、维生素A、维生素D、叶酸、维生素B12、钙、镁、锌、硒、维生素E、维生素K、维生素B1、维生素B2、维生素B6、烟酸（烟酰胺）、泛酸、胆碱、生物素、维生素C、二十二碳六烯酸、脲酶活性定性、铅（以Pb计）、总砷（以As计）、硝酸盐（以NaNO3计）、亚硝酸盐（以NaNO2计）、黄曲霉毒素M1、黄曲霉毒素B1、大肠菌群、沙门氏菌、金黄色葡萄球菌</w:t>
            </w:r>
            <w:r/>
          </w:p>
        </w:tc>
      </w:tr>
      <w:tr>
        <w:trPr>
          <w:jc w:val="center"/>
          <w:trHeight w:val="922"/>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运动营养食品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咖啡因、肌酸、肽类、维生素A、维生素D、维生素E、维生素B1、维生素B2、维生素B6、维生素B12、维生素C、叶酸、烟酸、生物素、泛酸、钙、钠、钾、镁、铁、锌、硒、铜、碘、锰、磷、钼、铬、左旋肉碱、牛磺酸、铅（以Pb计）、总砷（以As计）、黄曲霉毒素M1、黄曲霉毒素B1、沙门氏菌、金黄色葡萄球菌</w:t>
            </w:r>
            <w:r/>
          </w:p>
        </w:tc>
      </w:tr>
      <w:tr>
        <w:trPr>
          <w:jc w:val="center"/>
          <w:trHeight w:val="275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特殊医学用途配方食品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特殊医学用途配方食品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特殊医学用途婴儿配方食品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特殊医学用途婴儿配方食品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蛋白质、脂肪、亚油酸、α-亚麻酸、亚油酸与α-亚麻酸比值、终产品脂肪中月桂酸和肉豆蔻酸（十四烷酸）总量占总脂肪酸的比值、芥酸与总脂肪酸比值、反式脂肪酸与总脂肪酸比值、碳水化合物、维生素A、维生素D、维生素E、维生素K1、维生素B1、维生素B2、维生素B6、维生素B12、烟酸（烟酰胺）、叶酸、泛酸、维生素C、生物素、钠、钾、铜、镁、铁、锌、锰、钙、磷、钙磷比值、碘、氯、硒、铬、钼、胆碱、肌醇、牛磺酸、左旋肉碱</w:t>
            </w:r>
            <w:r>
              <w:rPr>
                <w:rFonts w:hint="eastAsia" w:ascii="宋体" w:hAnsi="宋体" w:eastAsia="宋体" w:cs="宋体"/>
                <w:i w:val="0"/>
                <w:iCs w:val="0"/>
                <w:color w:val="auto"/>
                <w:sz w:val="21"/>
                <w:szCs w:val="21"/>
                <w:highlight w:val="none"/>
                <w:u w:val="none"/>
                <w:lang w:val="en-US" w:eastAsia="zh-CN" w:bidi="ar"/>
              </w:rPr>
              <w:t xml:space="preserve">、二十二碳六烯酸与总脂肪酸比、二十碳四烯酸与总脂肪酸比、二十二碳六烯酸（22:6 n-3）与二十碳四烯酸（20:4 n-6）的比、长链不饱和脂肪酸中二十碳五烯酸（20:5 n-3）的量与二十二碳六烯酸的量的比、二十二碳六烯酸、二十碳四烯酸、水分、灰分、杂质度、脲酶活性定性测定、核苷酸、叶黄素、铅（以Pb计）、锡（以Sn计）、黄曲霉毒素M1、黄曲霉毒素B1、硝酸盐（以NaNO3计）、亚硝酸盐（以NaNO2计）、三聚氰胺、菌落总数、大肠菌群、沙门氏菌、金黄色葡萄球菌、克罗诺杆菌属（阪崎肠杆菌）、商业无菌、果聚糖</w:t>
            </w:r>
            <w:r/>
          </w:p>
        </w:tc>
      </w:tr>
      <w:tr>
        <w:trPr>
          <w:jc w:val="center"/>
          <w:trHeight w:val="115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特殊医学用途配方食品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特殊医学用途配方食品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特殊医学用途配方食品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全营养配方食品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蛋白质、亚油酸供能比、α-亚麻</w:t>
            </w:r>
            <w:r>
              <w:rPr>
                <w:rFonts w:hint="eastAsia" w:ascii="宋体" w:hAnsi="宋体" w:eastAsia="宋体" w:cs="宋体"/>
                <w:i w:val="0"/>
                <w:iCs w:val="0"/>
                <w:color w:val="auto"/>
                <w:sz w:val="21"/>
                <w:szCs w:val="21"/>
                <w:highlight w:val="none"/>
                <w:u w:val="none"/>
                <w:lang w:val="en-US" w:eastAsia="zh-CN" w:bidi="ar"/>
              </w:rPr>
              <w:t xml:space="preserve">酸供能比、维生素A、维生素D、维生素E、维生素K1、维生素B1、维生素B2、维生素B6、维生素B12、烟酸（烟酰胺）、叶酸、泛酸、维生素C、生物素、钠、钾、铜、镁、铁、锌、锰、钙、磷、碘、氯、硒、铬、钼、氟、胆碱、肌醇、牛磺酸、左旋肉碱、二十二碳六烯酸与总脂肪酸比、二十碳四烯酸与总脂肪酸比、二十二碳六烯酸、二十碳四烯酸、核苷酸、铅（以Pb计）、锡（以Sn计）、黄曲霉毒素M1、黄曲霉毒素B1、硝酸盐（以NaNO3计）、亚硝酸盐（以NaNO2计）、三聚氰胺、菌落总数、大肠菌群、沙门氏菌、金黄色葡萄球菌、商业无菌</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非全营养配方食品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锡（以Sn计）、黄曲霉毒素M1、黄曲霉毒素B1、硝酸盐（以NaNO3计）、亚硝酸盐（以NaNO2计）、三聚氰胺、菌落总数、大肠菌群、沙门氏菌、金黄色葡萄球菌、商业无菌、企业标准/注册的产品技术要求中规定的质量指标</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特定全营养配方食品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以Pb计）、锡（以Sn计）、黄曲霉毒素M1、黄曲霉毒素B1、硝酸盐（以NaNO3计）、亚硝酸盐（以NaNO2计）、三聚氰胺、菌落总数、大肠菌群、沙门氏菌、金黄色葡萄球菌、商业无菌、企业标准/注册的产品技术要求中规定的质量指标</w:t>
            </w:r>
            <w:r/>
          </w:p>
        </w:tc>
      </w:tr>
      <w:tr>
        <w:trPr>
          <w:jc w:val="center"/>
          <w:trHeight w:val="275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婴幼儿配方食品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婴幼儿配方食品（湿法工艺、干法工艺、干湿法混合工艺）</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婴儿配方食品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乳基婴儿配方食品、豆基婴儿配方食品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蛋白质、脂肪、碳水化合物、乳糖占碳水化合物总量、亚油酸、α-亚麻酸、亚油酸与α-亚麻酸比值、终产品脂肪中月桂酸和肉豆蔻酸（十四烷酸）总量占总脂肪酸的比值、芥酸与总脂肪酸比值、反式脂肪酸与总脂肪酸比值、维生素A、维生素D、维生素E、维生素K1、维生素B1、维生素B2、维生素B6、维生素B12、烟酸（烟酰胺）、叶酸、泛酸、维生素C、生物素、钠、钾、铜、镁、铁、锌、锰、钙、磷、钙磷比值、碘、氯、硒、胆碱、肌醇、牛磺酸、左旋肉碱、二十二碳六烯酸（DHA）、二十二碳六烯酸（22:6 n-3）与总脂肪</w:t>
            </w:r>
            <w:r>
              <w:rPr>
                <w:rFonts w:hint="eastAsia" w:ascii="宋体" w:hAnsi="宋体" w:eastAsia="宋体" w:cs="宋体"/>
                <w:i w:val="0"/>
                <w:iCs w:val="0"/>
                <w:color w:val="auto"/>
                <w:sz w:val="21"/>
                <w:szCs w:val="21"/>
                <w:highlight w:val="none"/>
                <w:u w:val="none"/>
                <w:lang w:val="en-US" w:eastAsia="zh-CN" w:bidi="ar"/>
              </w:rPr>
              <w:t xml:space="preserve">酸比、二十碳四烯酸（AA/ARA）、二十碳四烯酸与总脂肪酸比、二十二碳六烯酸（22:6 n-3）与二十碳四烯酸（20:4 n-6）的比、二十碳五烯酸（20:5 n-3）的量与二十二碳六烯酸（22:6 n-3）的量的比、果聚糖、水分、灰分、杂质度、叶黄素、核苷酸、脲酶活性定性测定、铅（以Pb计）、黄曲霉毒素B1或黄曲霉毒素M1、硝酸盐（以NaNO3计）、亚硝酸盐（以NaNO2计）、三聚氰胺、香兰素、乙基香兰素、菌落总数、大肠菌群、金黄色葡萄球菌、沙门氏菌、阪崎肠杆菌/克罗诺杆菌属（阪崎肠杆菌）、锡、果糖、蔗糖</w:t>
            </w:r>
            <w:r/>
          </w:p>
        </w:tc>
      </w:tr>
      <w:tr>
        <w:trPr>
          <w:jc w:val="center"/>
          <w:trHeight w:val="115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婴幼儿配方食品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婴幼儿配方食品（湿法工艺、干法工艺、干湿法混合工艺）</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较大婴儿配方食品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乳基较大婴儿配方食品、豆基较大婴儿配方食品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蛋白质、脂肪、亚油酸、α-亚麻酸、亚油酸与α-亚麻酸比值、终产品脂肪中月桂酸和肉豆蔻酸（十四烷酸）总量占总脂肪酸的比值、反式脂肪酸与总脂肪酸比值、芥酸与总脂肪酸比值、碳水化合物、乳糖占碳水化合物总量、维生素A、维生素D、维生素E、维生素K1、维生素B1、维生素B2、维生素B6、维生素B12、烟酸（烟酰胺）、叶酸、泛酸、维生素C、生物素、钠、钾、铜、镁、铁、锌、钙、磷、钙磷比值、碘、氯、锰、硒、胆碱、肌醇、牛磺酸、左旋肉碱、二十二碳</w:t>
            </w:r>
            <w:r>
              <w:rPr>
                <w:rFonts w:hint="eastAsia" w:ascii="宋体" w:hAnsi="宋体" w:eastAsia="宋体" w:cs="宋体"/>
                <w:i w:val="0"/>
                <w:iCs w:val="0"/>
                <w:color w:val="auto"/>
                <w:sz w:val="21"/>
                <w:szCs w:val="21"/>
                <w:highlight w:val="none"/>
                <w:u w:val="none"/>
                <w:lang w:val="en-US" w:eastAsia="zh-CN" w:bidi="ar"/>
              </w:rPr>
              <w:t xml:space="preserve">六烯酸（DHA）、二十二碳六烯酸（22:6 n-3）与总脂肪酸比、二十碳四烯酸（AA/ARA）、二十碳四烯酸与总脂肪酸比、二十二碳六烯酸（22:6 n-3）与二十碳四烯酸（20:4 n-6）的比、二十碳五烯酸（20:5 n-3）的量与二十二碳六烯酸（22:6 n-3）的量的比、水分、灰分、杂质度、叶黄素、核苷酸、果聚糖、三聚氰胺、铅（以Pb计）、硝酸盐（以NaNO3计）、亚硝酸盐（以NaNO2计）、脲酶活性定性测定、黄曲霉毒素B1或黄曲霉毒素M1、菌落总数、大肠菌群、沙门氏菌、金黄色葡萄球菌、锡、果糖、蔗糖</w:t>
            </w:r>
            <w:r/>
          </w:p>
        </w:tc>
      </w:tr>
      <w:tr>
        <w:trPr>
          <w:jc w:val="center"/>
          <w:trHeight w:val="2064"/>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幼儿配方食品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幼儿配方食品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蛋白质、脂肪、亚油酸、α-亚麻酸、亚油酸与α-亚麻酸比值、乳糖占碳水化合物总量、反式脂肪酸与总脂肪酸比值、碳水化合物、维生素A、维生素D、维生素E、维生素K1、维生素B1、维生素B2、</w:t>
            </w:r>
            <w:r>
              <w:rPr>
                <w:rFonts w:hint="eastAsia" w:ascii="宋体" w:hAnsi="宋体" w:eastAsia="宋体" w:cs="宋体"/>
                <w:i w:val="0"/>
                <w:iCs w:val="0"/>
                <w:color w:val="auto"/>
                <w:sz w:val="21"/>
                <w:szCs w:val="21"/>
                <w:highlight w:val="none"/>
                <w:u w:val="none"/>
                <w:lang w:val="en-US" w:eastAsia="zh-CN" w:bidi="ar"/>
              </w:rPr>
              <w:t xml:space="preserve">维生素B6、维生素B12、烟酸（烟酰胺）、叶酸、泛酸、维生素C、生物素、钠、钾、铜、镁、铁、锌、钙、磷、钙磷比值、碘、氯、锰、硒、胆碱、肌醇、牛磺酸、左旋肉碱、二十二碳六烯酸（DHA）、二十二碳六烯酸（22:6 n-3）与总脂肪酸比、二十碳四烯酸（AA/ARA）、二十碳四烯酸与总脂肪酸比、水分、灰分、杂质度、叶黄素、核苷酸、果聚糖、三聚氰胺、铅（以Pb计）、硝酸盐（以NaNO3计）、亚硝酸盐（以NaNO2计）、脲酶活性定性测定、黄曲霉毒素B1或黄曲霉毒素M1、菌落总数、大肠菌群、沙门氏菌、金黄色葡萄球菌、锡</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餐饮食品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米面及其制品（自制）</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小麦粉制品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馒头花卷（自制）</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苯甲酸及其钠盐（以苯甲酸计）、山梨酸及其钾盐（以山梨酸计）、糖精钠（以糖精计）、脱氢乙酸及其钠盐（以脱氢乙酸计）、甜蜜素（以环己基氨基磺酸计）</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包子（自制）</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苯甲酸及其钠盐（以苯甲酸计）、山梨酸及其钾盐（以山梨酸计）、糖精钠（以糖精计）、脱氢乙酸及其钠盐（以脱氢乙酸计）、甜蜜素（以环己基氨基磺酸计）</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油饼油条（自制）</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铝的残留量（干样品,以Al计）</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餐饮食品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肉制品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熟肉制品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肉冻皮冻（自制）</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铬（以Cr计）</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熏烧烤肉类（自制）</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N-二甲基亚硝胺、苯并[α]芘、铅（以Pb计）</w:t>
            </w:r>
            <w:r/>
          </w:p>
        </w:tc>
      </w:tr>
      <w:tr>
        <w:trPr>
          <w:jc w:val="center"/>
          <w:trHeight w:val="40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调味料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调味料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火锅麻辣烫底料（自制）</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罂粟碱、吗啡、可待因、那可丁</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水产制品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预制水产制品（自制）</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生食动物性水产品（自制）</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铝的残留量（以即食海蜇中Al计）</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坚果及籽类食品（自制）</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坚果及籽类食品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花生制品（自制）</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黄曲霉毒素B1 、苯甲酸及其钠盐（以苯甲酸计）、山梨酸及其钾盐（以山梨酸计）、脱氢乙酸及其钠盐（以脱氢乙酸计）</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餐饮具</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复用餐饮具</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复用餐饮具（餐馆自行消毒）</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阴离子合成洗涤剂（以十二烷基苯磺酸钠计）、大肠菌群</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复用餐饮具（集中清洗消毒服务单位消毒）</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阴离子合成洗涤剂（以十二烷基苯磺酸钠计）、大肠菌群</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焙烤食品（自制）</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焙烤食品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（自制）</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糕点（自制）</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酸价（以脂肪计）（KOH）、过氧化值（以脂肪计）、山梨酸及其钾盐（以山梨酸计）、脱氢乙酸及其钠盐（以脱氢乙酸计）、防腐剂混合使用时各自用量占其最大使用量的比例之和、铝的残留量（干样品，以Al计）</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食用油、油脂及其制品（自制）</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食用油、油脂及其制品（自制）</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煎炸过程用油</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极性组分、酸价（以脂肪计）（KOH）</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淀粉制品（自制）</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粉丝粉条（自制）</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粉丝粉条（自制）</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铝的残留量（干样品，以Al计）</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餐饮食品</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54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除上述类别的餐饮食品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根据各省实际情况而定</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复配食品添加剂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复配食品添加剂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铅（Pb）、砷（以As计）、致病性微生物</w:t>
            </w:r>
            <w:r/>
          </w:p>
        </w:tc>
      </w:tr>
      <w:tr>
        <w:trPr>
          <w:jc w:val="center"/>
          <w:trHeight w:val="40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食品用香精</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食品用香精</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砷（以As计）含量/无机砷含量、菌落总数</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单一食品添加剂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明胶</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铬（Cr）、铅（Pb）、总砷（As）、二氧化硫、过氧化物</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山梨酸钾</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山梨酸钾（以C6H7KO2计）（以干基计）、干燥减量、氯化物（以Cl计）、硫酸盐（以SO4计）、醛（以HCHO计）、重金属（以Pb计）、砷（As）、铅（Pb）、澄清度、游离碱</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糖精钠</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糖精钠含量、干燥失重、总砷（以As计）、铅（Pb）、酸度和碱度、苯甲酸盐和水杨酸盐</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环己基氨基磺酸钠（又名甜蜜素）</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环己基氨基磺酸钠含量（以干基计）、硫酸盐（以SO4计）、pH（100g/L水溶液）、干燥减量、氨基磺酸、环己胺、双环己胺、吸光值（100g/L溶液）、透明度（以100g/L溶液的透光率表示）、重金属（以Pb计）、砷（As）</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赤藓糖醇</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赤藓糖醇（以C4H10O4计，以干基计）、干燥减量、灼烧残渣、还原糖（以葡萄糖计）、核糖醇和丙三醇（以干基计）、铅（Pb）</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碳酸钠</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总碱量（以Na2CO3计）（以干基计）、总碱量（以Na2CO3计）（以湿基计）、水不溶物（以干基计）、氯化物（以NaCl计）（以干基计）、铁（Fe）（以干基计）、铅（Pb）（以干基计）、砷（As）（以干基计）</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碳酸氢钠</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总碱量（以NaHCO3计）、干燥减量、pH（10g/L水溶液）、铵盐、澄清度、氯化物（以Cl计）、白度、砷（As）、重金属（以Pb计）</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氢氧化钠</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总碱量（以NaOH计）、碳酸钠（Na2CO3）、砷（As）、重金属（以Pb计）、不溶物及有机杂质</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单一食品添加剂</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三氯蔗糖</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三氯蔗糖（以干基计）、比旋光度αm（20℃，D）、水分、灼烧残渣、水解产物、相关物质、甲醇、铅（Pb）</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胶基</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胶基</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铅（Pb）、总砷（以As计）</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食品工业用酶制剂</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食品工业用酶制剂</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铅（Pb）、总砷（以As计）、菌落总数、大肠菌群、大肠埃希氏菌、沙门氏菌、抗菌活性</w:t>
            </w:r>
            <w:r/>
          </w:p>
        </w:tc>
      </w:tr>
      <w:tr>
        <w:trPr>
          <w:jc w:val="center"/>
          <w:trHeight w:val="922"/>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食用农产品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畜禽肉及副产品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畜肉</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猪肉</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挥发性盐基氮、呋喃唑酮代谢物、呋喃西林代谢物、氯霉素、五氯酚酸钠（以五氯酚计）、克伦特罗、莱克多巴胺、沙丁胺醇、喹乙醇、恩诺沙星、替米考星、磺胺类（总量）、甲氧苄啶、氟苯尼考、多西环素、地塞米松、甲硝唑、氯丙嗪、土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金霉素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四环素（组合含量）</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牛肉</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挥发性盐基氮、呋喃唑酮代谢物、呋喃西林代谢物、氯霉素、五氯酚酸钠（以五氯酚计）、克伦特罗、莱克多巴胺、沙丁胺醇、恩诺沙星、磺胺类（总量）、甲氧苄啶、氟苯尼考、多西环素、地塞米松、林可霉素、倍他米松、土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金霉素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四环素（组合含量）</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羊肉</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呋喃唑酮代谢物、呋喃西林代谢物、氯霉素、五氯酚酸钠（以五氯酚计）、克伦特罗、莱克多巴胺、沙丁胺醇、恩诺沙星、磺胺类（总量）、氟苯尼考、林可霉素、环丙氨嗪、土霉素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金霉素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四环素（组合含量）</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其他畜肉</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呋喃唑酮代谢物、氯霉素、五氯酚酸钠（以五氯酚计）、克伦特罗、莱克多巴胺、沙丁胺醇、氧氟沙星、恩诺沙星</w:t>
            </w:r>
            <w:r/>
          </w:p>
        </w:tc>
      </w:tr>
      <w:tr>
        <w:trPr>
          <w:jc w:val="center"/>
          <w:trHeight w:val="922"/>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禽肉</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鸡肉</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挥发性盐基氮、呋喃唑酮代谢物、呋喃西林代谢物、呋喃它酮代谢物、氯霉素、五氯酚酸钠（以五氯酚计）、氧氟沙星、培氟沙星、诺氟沙星、恩诺沙星、沙拉沙星、替米考星、磺胺类（总量）、甲氧苄啶、氟苯尼考、多西环素、甲硝唑、尼卡巴嗪、环丙氨嗪、土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金霉素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四环素（组合含量）</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鸭肉</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呋喃唑酮代谢物、呋喃妥因代谢物、氯霉素、五氯酚酸钠（以五氯酚计）、氧氟沙星、恩诺沙星、磺胺类（总量）、甲氧苄啶、氟苯尼考、多西环素、甲硝唑、环丙氨嗪、土霉素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金霉素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四环素（组合含量）</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其他禽肉</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呋喃唑酮代谢物、氯霉素、五氯酚酸钠（以五氯酚计）、氧氟沙星、诺氟沙星、恩诺沙星、磺胺类（总量）、氟苯尼考、多西环素、甲硝唑、环丙氨嗪、土霉素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金霉素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四环素（组合含量）</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食用农产品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畜禽肉及副产品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畜副产品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猪肝</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计）、呋喃唑酮代谢物、呋喃西林代谢物、氯霉素、五氯酚酸钠（以五氯酚计）、克伦特罗、莱克多巴胺、沙丁胺醇、恩诺沙星、磺胺类（总量）、甲氧苄啶、多西环素、氯丙嗪、土霉素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金霉素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四环素（组合含量）</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牛肝</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克伦特罗、莱克多巴胺、沙丁胺醇</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羊肝</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克伦特罗、莱克多巴胺、沙丁胺醇、磺胺类（总量）、环丙氨嗪</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猪肾</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呋喃西林代谢物、氯霉素、五氯酚酸钠（以五氯酚计）、克伦特罗、莱克多巴胺、沙丁胺醇、恩诺沙星、磺胺类（总量）、甲氧苄啶、土霉素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金霉素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四环素（组合含量）</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牛肾</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克伦特罗、莱克多巴胺、沙丁胺醇、恩诺沙星</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羊肾</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计）、克伦特罗、莱克多巴胺、沙丁胺醇、恩诺沙星、环丙氨嗪</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其他畜副产品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呋喃唑酮代谢物、呋喃西林代谢物、氯霉素、五氯酚酸钠（以五氯酚计）、克伦特罗、莱克多巴胺、沙丁胺醇、氧氟沙星、诺氟沙星、磺胺类（总量）</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禽副产品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鸡肝</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呋喃唑酮代谢物、呋喃西林代谢物、氯霉素、五氯酚酸钠（以五氯酚计）、氧氟沙星、恩诺沙星、环丙氨嗪</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其他禽副产品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呋喃唑酮代谢物、呋喃西林代谢物、氯霉素、五氯酚酸钠（以五氯酚计）、氧氟沙星、诺氟沙星、恩诺沙星、环丙氨嗪</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蔬菜</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豆芽</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豆芽</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铅（以</w:t>
            </w:r>
            <w:r>
              <w:rPr>
                <w:rFonts w:hint="eastAsia" w:ascii="宋体" w:hAnsi="宋体" w:eastAsia="宋体" w:cs="宋体"/>
                <w:i w:val="0"/>
                <w:iCs w:val="0"/>
                <w:color w:val="auto"/>
                <w:sz w:val="21"/>
                <w:szCs w:val="21"/>
                <w:highlight w:val="none"/>
                <w:u w:val="none"/>
                <w:lang w:val="en-US" w:eastAsia="zh-CN" w:bidi="ar"/>
              </w:rPr>
              <w:t xml:space="preserve">Pb</w:t>
            </w:r>
            <w:r>
              <w:rPr>
                <w:rStyle w:val="1012"/>
                <w:rFonts w:hint="eastAsia" w:ascii="宋体" w:hAnsi="宋体" w:eastAsia="宋体" w:cs="宋体"/>
                <w:color w:val="auto"/>
                <w:sz w:val="21"/>
                <w:szCs w:val="21"/>
                <w:highlight w:val="none"/>
                <w:lang w:val="en-US" w:eastAsia="zh-CN" w:bidi="ar"/>
              </w:rPr>
              <w:t xml:space="preserve">计）、</w:t>
            </w:r>
            <w:r>
              <w:rPr>
                <w:rFonts w:hint="eastAsia" w:ascii="宋体" w:hAnsi="宋体" w:eastAsia="宋体" w:cs="宋体"/>
                <w:i w:val="0"/>
                <w:iCs w:val="0"/>
                <w:color w:val="auto"/>
                <w:sz w:val="21"/>
                <w:szCs w:val="21"/>
                <w:highlight w:val="none"/>
                <w:u w:val="none"/>
                <w:lang w:val="en-US" w:eastAsia="zh-CN" w:bidi="ar"/>
              </w:rPr>
              <w:t xml:space="preserve">4-</w:t>
            </w:r>
            <w:r>
              <w:rPr>
                <w:rStyle w:val="1012"/>
                <w:rFonts w:hint="eastAsia" w:ascii="宋体" w:hAnsi="宋体" w:eastAsia="宋体" w:cs="宋体"/>
                <w:color w:val="auto"/>
                <w:sz w:val="21"/>
                <w:szCs w:val="21"/>
                <w:highlight w:val="none"/>
                <w:lang w:val="en-US" w:eastAsia="zh-CN" w:bidi="ar"/>
              </w:rPr>
              <w:t xml:space="preserve">氯苯氧乙酸钠（以</w:t>
            </w:r>
            <w:r>
              <w:rPr>
                <w:rFonts w:hint="eastAsia" w:ascii="宋体" w:hAnsi="宋体" w:eastAsia="宋体" w:cs="宋体"/>
                <w:i w:val="0"/>
                <w:iCs w:val="0"/>
                <w:color w:val="auto"/>
                <w:sz w:val="21"/>
                <w:szCs w:val="21"/>
                <w:highlight w:val="none"/>
                <w:u w:val="none"/>
                <w:lang w:val="en-US" w:eastAsia="zh-CN" w:bidi="ar"/>
              </w:rPr>
              <w:t xml:space="preserve">4-</w:t>
            </w:r>
            <w:r>
              <w:rPr>
                <w:rStyle w:val="1012"/>
                <w:rFonts w:hint="eastAsia" w:ascii="宋体" w:hAnsi="宋体" w:eastAsia="宋体" w:cs="宋体"/>
                <w:color w:val="auto"/>
                <w:sz w:val="21"/>
                <w:szCs w:val="21"/>
                <w:highlight w:val="none"/>
                <w:lang w:val="en-US" w:eastAsia="zh-CN" w:bidi="ar"/>
              </w:rPr>
              <w:t xml:space="preserve">氯苯氧乙酸计）、</w:t>
            </w:r>
            <w:r>
              <w:rPr>
                <w:rFonts w:hint="eastAsia" w:ascii="宋体" w:hAnsi="宋体" w:eastAsia="宋体" w:cs="宋体"/>
                <w:i w:val="0"/>
                <w:iCs w:val="0"/>
                <w:color w:val="auto"/>
                <w:sz w:val="21"/>
                <w:szCs w:val="21"/>
                <w:highlight w:val="none"/>
                <w:u w:val="none"/>
                <w:lang w:val="en-US" w:eastAsia="zh-CN" w:bidi="ar"/>
              </w:rPr>
              <w:t xml:space="preserve">6-</w:t>
            </w:r>
            <w:r>
              <w:rPr>
                <w:rStyle w:val="1012"/>
                <w:rFonts w:hint="eastAsia" w:ascii="宋体" w:hAnsi="宋体" w:eastAsia="宋体" w:cs="宋体"/>
                <w:color w:val="auto"/>
                <w:sz w:val="21"/>
                <w:szCs w:val="21"/>
                <w:highlight w:val="none"/>
                <w:lang w:val="en-US" w:eastAsia="zh-CN" w:bidi="ar"/>
              </w:rPr>
              <w:t xml:space="preserve">苄基腺嘌呤（</w:t>
            </w:r>
            <w:r>
              <w:rPr>
                <w:rFonts w:hint="eastAsia" w:ascii="宋体" w:hAnsi="宋体" w:eastAsia="宋体" w:cs="宋体"/>
                <w:i w:val="0"/>
                <w:iCs w:val="0"/>
                <w:color w:val="auto"/>
                <w:sz w:val="21"/>
                <w:szCs w:val="21"/>
                <w:highlight w:val="none"/>
                <w:u w:val="none"/>
                <w:lang w:val="en-US" w:eastAsia="zh-CN" w:bidi="ar"/>
              </w:rPr>
              <w:t xml:space="preserve">6-BA</w:t>
            </w:r>
            <w:r>
              <w:rPr>
                <w:rStyle w:val="1012"/>
                <w:rFonts w:hint="eastAsia" w:ascii="宋体" w:hAnsi="宋体" w:eastAsia="宋体" w:cs="宋体"/>
                <w:color w:val="auto"/>
                <w:sz w:val="21"/>
                <w:szCs w:val="21"/>
                <w:highlight w:val="none"/>
                <w:lang w:val="en-US" w:eastAsia="zh-CN" w:bidi="ar"/>
              </w:rPr>
              <w:t xml:space="preserve">）、亚硫酸盐（以</w:t>
            </w:r>
            <w:r>
              <w:rPr>
                <w:rFonts w:hint="eastAsia" w:ascii="宋体" w:hAnsi="宋体" w:eastAsia="宋体" w:cs="宋体"/>
                <w:i w:val="0"/>
                <w:iCs w:val="0"/>
                <w:color w:val="auto"/>
                <w:sz w:val="21"/>
                <w:szCs w:val="21"/>
                <w:highlight w:val="none"/>
                <w:u w:val="none"/>
                <w:lang w:val="en-US" w:eastAsia="zh-CN" w:bidi="ar"/>
              </w:rPr>
              <w:t xml:space="preserve">SO₂</w:t>
            </w:r>
            <w:r>
              <w:rPr>
                <w:rStyle w:val="1012"/>
                <w:rFonts w:hint="eastAsia" w:ascii="宋体" w:hAnsi="宋体" w:eastAsia="宋体" w:cs="宋体"/>
                <w:color w:val="auto"/>
                <w:sz w:val="21"/>
                <w:szCs w:val="21"/>
                <w:highlight w:val="none"/>
                <w:lang w:val="en-US" w:eastAsia="zh-CN" w:bidi="ar"/>
              </w:rPr>
              <w:t xml:space="preserve">计）、总汞（以</w:t>
            </w:r>
            <w:r>
              <w:rPr>
                <w:rFonts w:hint="eastAsia" w:ascii="宋体" w:hAnsi="宋体" w:eastAsia="宋体" w:cs="宋体"/>
                <w:i w:val="0"/>
                <w:iCs w:val="0"/>
                <w:color w:val="auto"/>
                <w:sz w:val="21"/>
                <w:szCs w:val="21"/>
                <w:highlight w:val="none"/>
                <w:u w:val="none"/>
                <w:lang w:val="en-US" w:eastAsia="zh-CN" w:bidi="ar"/>
              </w:rPr>
              <w:t xml:space="preserve">Hg</w:t>
            </w:r>
            <w:r>
              <w:rPr>
                <w:rStyle w:val="1012"/>
                <w:rFonts w:hint="eastAsia" w:ascii="宋体" w:hAnsi="宋体" w:eastAsia="宋体" w:cs="宋体"/>
                <w:color w:val="auto"/>
                <w:sz w:val="21"/>
                <w:szCs w:val="21"/>
                <w:highlight w:val="none"/>
                <w:lang w:val="en-US" w:eastAsia="zh-CN" w:bidi="ar"/>
              </w:rPr>
              <w:t xml:space="preserve">计）</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鲜食用菌</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鲜食用菌</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计）、百菌清、除虫脲、氯氟氰菊酯和高效氯氟氰菊酯、氯氰菊酯和高效氯氰菊酯、咪鲜胺和咪鲜胺锰盐</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食用农产品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蔬菜</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鳞茎类蔬菜</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葱</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铅（以</w:t>
            </w:r>
            <w:r>
              <w:rPr>
                <w:rFonts w:hint="eastAsia" w:ascii="宋体" w:hAnsi="宋体" w:eastAsia="宋体" w:cs="宋体"/>
                <w:i w:val="0"/>
                <w:iCs w:val="0"/>
                <w:color w:val="auto"/>
                <w:sz w:val="21"/>
                <w:szCs w:val="21"/>
                <w:highlight w:val="none"/>
                <w:u w:val="none"/>
                <w:lang w:val="en-US" w:eastAsia="zh-CN" w:bidi="ar"/>
              </w:rPr>
              <w:t xml:space="preserve">Pb</w:t>
            </w:r>
            <w:r>
              <w:rPr>
                <w:rStyle w:val="1012"/>
                <w:rFonts w:hint="eastAsia" w:ascii="宋体" w:hAnsi="宋体" w:eastAsia="宋体" w:cs="宋体"/>
                <w:color w:val="auto"/>
                <w:sz w:val="21"/>
                <w:szCs w:val="21"/>
                <w:highlight w:val="none"/>
                <w:lang w:val="en-US" w:eastAsia="zh-CN" w:bidi="ar"/>
              </w:rPr>
              <w:t xml:space="preserve">计）、镉（以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计）、丙环唑、毒死蜱、甲拌磷、甲基异柳磷、克百威、氯氟氰菊酯和高效氯氟氰菊酯、噻虫嗪、三唑磷、水胺硫磷、戊唑醇、氧乐果</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韭菜</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铅（以</w:t>
            </w:r>
            <w:r>
              <w:rPr>
                <w:rFonts w:hint="eastAsia" w:ascii="宋体" w:hAnsi="宋体" w:eastAsia="宋体" w:cs="宋体"/>
                <w:i w:val="0"/>
                <w:iCs w:val="0"/>
                <w:color w:val="auto"/>
                <w:sz w:val="21"/>
                <w:szCs w:val="21"/>
                <w:highlight w:val="none"/>
                <w:u w:val="none"/>
                <w:lang w:val="en-US" w:eastAsia="zh-CN" w:bidi="ar"/>
              </w:rPr>
              <w:t xml:space="preserve">Pb</w:t>
            </w:r>
            <w:r>
              <w:rPr>
                <w:rStyle w:val="1012"/>
                <w:rFonts w:hint="eastAsia" w:ascii="宋体" w:hAnsi="宋体" w:eastAsia="宋体" w:cs="宋体"/>
                <w:color w:val="auto"/>
                <w:sz w:val="21"/>
                <w:szCs w:val="21"/>
                <w:highlight w:val="none"/>
                <w:lang w:val="en-US" w:eastAsia="zh-CN" w:bidi="ar"/>
              </w:rPr>
              <w:t xml:space="preserve">计）、镉（以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阿维菌素、敌敌畏、毒死蜱、多菌灵、二甲戊灵、氟虫腈、腐霉利、甲胺磷、甲拌磷、甲基异柳磷、克百威、乐果、六六六、氯氟氰菊酯和高效氯氟氰菊酯、氯氰菊酯和高效氯氰菊酯、三唑磷、水胺硫磷、辛硫磷、氧乐果、乙酰甲胺磷</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芸薹属类蔬菜</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菜薹</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计）、吡虫啉、啶虫脒、毒死蜱、氟虫腈、甲拌磷、联苯菊酯</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结球甘蓝</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毒死蜱、甲胺磷、甲基异柳磷、克百威、乐果、灭线磷、噻虫嗪、三唑磷、氧乐果、乙酰甲胺磷</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叶菜类蔬菜</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菠菜</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铅（以</w:t>
            </w:r>
            <w:r>
              <w:rPr>
                <w:rFonts w:hint="eastAsia" w:ascii="宋体" w:hAnsi="宋体" w:eastAsia="宋体" w:cs="宋体"/>
                <w:i w:val="0"/>
                <w:iCs w:val="0"/>
                <w:color w:val="auto"/>
                <w:sz w:val="21"/>
                <w:szCs w:val="21"/>
                <w:highlight w:val="none"/>
                <w:u w:val="none"/>
                <w:lang w:val="en-US" w:eastAsia="zh-CN" w:bidi="ar"/>
              </w:rPr>
              <w:t xml:space="preserve">Pb</w:t>
            </w:r>
            <w:r>
              <w:rPr>
                <w:rStyle w:val="1012"/>
                <w:rFonts w:hint="eastAsia" w:ascii="宋体" w:hAnsi="宋体" w:eastAsia="宋体" w:cs="宋体"/>
                <w:color w:val="auto"/>
                <w:sz w:val="21"/>
                <w:szCs w:val="21"/>
                <w:highlight w:val="none"/>
                <w:lang w:val="en-US" w:eastAsia="zh-CN" w:bidi="ar"/>
              </w:rPr>
              <w:t xml:space="preserve">计）、镉（以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计）、铬（以</w:t>
            </w:r>
            <w:r>
              <w:rPr>
                <w:rFonts w:hint="eastAsia" w:ascii="宋体" w:hAnsi="宋体" w:eastAsia="宋体" w:cs="宋体"/>
                <w:i w:val="0"/>
                <w:iCs w:val="0"/>
                <w:color w:val="auto"/>
                <w:sz w:val="21"/>
                <w:szCs w:val="21"/>
                <w:highlight w:val="none"/>
                <w:u w:val="none"/>
                <w:lang w:val="en-US" w:eastAsia="zh-CN" w:bidi="ar"/>
              </w:rPr>
              <w:t xml:space="preserve">Cr</w:t>
            </w:r>
            <w:r>
              <w:rPr>
                <w:rStyle w:val="1012"/>
                <w:rFonts w:hint="eastAsia" w:ascii="宋体" w:hAnsi="宋体" w:eastAsia="宋体" w:cs="宋体"/>
                <w:color w:val="auto"/>
                <w:sz w:val="21"/>
                <w:szCs w:val="21"/>
                <w:highlight w:val="none"/>
                <w:lang w:val="en-US" w:eastAsia="zh-CN" w:bidi="ar"/>
              </w:rPr>
              <w:t xml:space="preserve">计）、阿维菌素、毒死蜱、氟虫腈、腐霉利、甲氨基阿维菌素苯甲酸盐、甲拌磷、克百威、乐果、六六六、氯氟氰菊酯和高效氯氟氰菊酯、氯氰菊酯和高效氯氰菊酯、氧乐果、乙酰甲胺磷</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大白菜</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计）、阿维菌素、吡虫啉、敌敌畏、毒死蜱、氟虫腈、甲胺磷、甲拌磷、克百威、乐果、水胺硫磷、氧乐果、乙酰甲胺磷</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普通白菜（小白菜、小油菜、青菜）</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阿维菌素、吡虫啉、啶虫脒、毒死蜱、氟虫腈、甲氨基阿维菌素苯甲酸盐、甲胺磷、甲拌磷、甲基异柳磷、克百威、氯氟氰菊酯和高效氯氟氰菊酯、氯氰菊酯和高效氯氰菊酯、水胺硫磷、氧乐果、乙酰甲胺磷</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芹菜</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铅（以</w:t>
            </w:r>
            <w:r>
              <w:rPr>
                <w:rFonts w:hint="eastAsia" w:ascii="宋体" w:hAnsi="宋体" w:eastAsia="宋体" w:cs="宋体"/>
                <w:i w:val="0"/>
                <w:iCs w:val="0"/>
                <w:color w:val="auto"/>
                <w:sz w:val="21"/>
                <w:szCs w:val="21"/>
                <w:highlight w:val="none"/>
                <w:u w:val="none"/>
                <w:lang w:val="en-US" w:eastAsia="zh-CN" w:bidi="ar"/>
              </w:rPr>
              <w:t xml:space="preserve">Pb</w:t>
            </w:r>
            <w:r>
              <w:rPr>
                <w:rStyle w:val="1012"/>
                <w:rFonts w:hint="eastAsia" w:ascii="宋体" w:hAnsi="宋体" w:eastAsia="宋体" w:cs="宋体"/>
                <w:color w:val="auto"/>
                <w:sz w:val="21"/>
                <w:szCs w:val="21"/>
                <w:highlight w:val="none"/>
                <w:lang w:val="en-US" w:eastAsia="zh-CN" w:bidi="ar"/>
              </w:rPr>
              <w:t xml:space="preserve">计）、镉（以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阿维菌素、百菌清、苯醚甲环唑、敌敌畏、啶虫脒、毒死蜱、二甲戊灵、氟虫腈、甲拌磷、甲基异柳磷、腈菌唑、克百威、乐果、氯氟氰菊酯和高效氯氟氰菊酯、噻虫胺、噻虫嗪、三氯杀螨醇、水胺硫磷、辛硫磷、氧乐果、乙酰甲胺磷</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油麦菜</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阿维菌素、吡虫啉、啶虫脒、毒死蜱、氟虫腈、甲氨基阿维菌素苯甲酸盐、甲胺磷、甲拌磷、腈菌唑、克百威、氯氟氰菊酯和高效氯氟氰菊酯、灭多威、噻虫嗪、三氯杀螨醇、水胺硫磷、氧乐果、乙酰甲胺磷</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食用农产品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蔬菜</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茄果类蔬菜</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番茄</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铅（以</w:t>
            </w:r>
            <w:r>
              <w:rPr>
                <w:rFonts w:hint="eastAsia" w:ascii="宋体" w:hAnsi="宋体" w:eastAsia="宋体" w:cs="宋体"/>
                <w:i w:val="0"/>
                <w:iCs w:val="0"/>
                <w:color w:val="auto"/>
                <w:sz w:val="21"/>
                <w:szCs w:val="21"/>
                <w:highlight w:val="none"/>
                <w:u w:val="none"/>
                <w:lang w:val="en-US" w:eastAsia="zh-CN" w:bidi="ar"/>
              </w:rPr>
              <w:t xml:space="preserve">Pb</w:t>
            </w:r>
            <w:r>
              <w:rPr>
                <w:rStyle w:val="1012"/>
                <w:rFonts w:hint="eastAsia" w:ascii="宋体" w:hAnsi="宋体" w:eastAsia="宋体" w:cs="宋体"/>
                <w:color w:val="auto"/>
                <w:sz w:val="21"/>
                <w:szCs w:val="21"/>
                <w:highlight w:val="none"/>
                <w:lang w:val="en-US" w:eastAsia="zh-CN" w:bidi="ar"/>
              </w:rPr>
              <w:t xml:space="preserve">计）、镉（以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计）、吡唑醚菌酯、敌敌畏、毒死蜱、腐霉利、甲拌磷、氯氟氰菊酯和高效氯氟氰菊酯、噻虫嗪、烯酰吗啉、氧乐果、乙酰甲胺磷</w:t>
            </w:r>
            <w:r/>
          </w:p>
        </w:tc>
      </w:tr>
      <w:tr>
        <w:trPr>
          <w:jc w:val="center"/>
          <w:trHeight w:val="922"/>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辣椒</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铅（以</w:t>
            </w:r>
            <w:r>
              <w:rPr>
                <w:rFonts w:hint="eastAsia" w:ascii="宋体" w:hAnsi="宋体" w:eastAsia="宋体" w:cs="宋体"/>
                <w:i w:val="0"/>
                <w:iCs w:val="0"/>
                <w:color w:val="auto"/>
                <w:sz w:val="21"/>
                <w:szCs w:val="21"/>
                <w:highlight w:val="none"/>
                <w:u w:val="none"/>
                <w:lang w:val="en-US" w:eastAsia="zh-CN" w:bidi="ar"/>
              </w:rPr>
              <w:t xml:space="preserve">Pb</w:t>
            </w:r>
            <w:r>
              <w:rPr>
                <w:rStyle w:val="1012"/>
                <w:rFonts w:hint="eastAsia" w:ascii="宋体" w:hAnsi="宋体" w:eastAsia="宋体" w:cs="宋体"/>
                <w:color w:val="auto"/>
                <w:sz w:val="21"/>
                <w:szCs w:val="21"/>
                <w:highlight w:val="none"/>
                <w:lang w:val="en-US" w:eastAsia="zh-CN" w:bidi="ar"/>
              </w:rPr>
              <w:t xml:space="preserve">计）、镉（以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倍硫磷、吡虫啉、吡唑醚菌酯、敌敌畏、啶虫脒、毒死蜱、氟虫腈、甲氨基阿维菌素苯甲酸盐、甲胺磷、甲拌磷、克百威、乐果、联苯菊酯、氯氟氰菊酯和高效氯氟氰菊酯、噻虫胺、噻虫嗪、三唑磷、杀扑磷、水胺硫磷、氧乐果、乙酰甲胺磷</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茄子</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铅（以</w:t>
            </w:r>
            <w:r>
              <w:rPr>
                <w:rFonts w:hint="eastAsia" w:ascii="宋体" w:hAnsi="宋体" w:eastAsia="宋体" w:cs="宋体"/>
                <w:i w:val="0"/>
                <w:iCs w:val="0"/>
                <w:color w:val="auto"/>
                <w:sz w:val="21"/>
                <w:szCs w:val="21"/>
                <w:highlight w:val="none"/>
                <w:u w:val="none"/>
                <w:lang w:val="en-US" w:eastAsia="zh-CN" w:bidi="ar"/>
              </w:rPr>
              <w:t xml:space="preserve">Pb</w:t>
            </w:r>
            <w:r>
              <w:rPr>
                <w:rStyle w:val="1012"/>
                <w:rFonts w:hint="eastAsia" w:ascii="宋体" w:hAnsi="宋体" w:eastAsia="宋体" w:cs="宋体"/>
                <w:color w:val="auto"/>
                <w:sz w:val="21"/>
                <w:szCs w:val="21"/>
                <w:highlight w:val="none"/>
                <w:lang w:val="en-US" w:eastAsia="zh-CN" w:bidi="ar"/>
              </w:rPr>
              <w:t xml:space="preserve">计）、镉（以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计）、吡唑醚菌酯、毒死蜱、氟虫腈、甲氨基阿维菌素苯甲酸盐、甲胺磷、甲拌磷、克百威、噻虫胺、噻虫嗪、霜霉威和霜霉威盐酸盐、水胺硫磷、氧乐果、乙酰甲胺磷</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甜椒</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计）、阿维菌素、倍硫磷、吡虫啉、吡唑醚菌酯、毒死蜱、氟虫腈、克百威、噻虫胺、噻虫嗪、水胺硫磷、氧乐果</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瓜类蔬菜</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黄瓜</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阿维菌素、哒螨灵、敌敌畏、毒死蜱、腐霉利、甲氨基阿维菌素苯甲酸盐、甲拌磷、克百威、乐果、噻虫嗪、氧乐果、乙螨唑、乙酰甲胺磷、异丙威</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豆类蔬菜</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菜豆</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吡虫啉、毒死蜱、多菌灵、甲氨基阿维菌素苯甲酸盐、甲胺磷、克百威、氯氟氰菊酯和高效氯氟氰菊酯、灭蝇胺、噻虫胺、三唑磷、水胺硫磷、氧乐果、乙酰甲胺磷</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豇豆</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阿维菌素、倍硫磷、啶虫脒、毒死蜱、氟虫腈、甲氨基阿维菌素苯甲酸盐、甲胺磷、甲拌磷、甲基异柳磷、克百威、乐果、氯氟氰菊酯和高效氯氟氰菊酯、氯唑磷、灭多威、灭蝇胺、噻虫胺、噻虫嗪、三唑磷、水胺硫磷、氧乐果、乙酰甲胺磷</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食荚豌豆</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吡唑醚菌酯、毒死蜱、多菌灵、甲氨基阿维菌素苯甲酸盐、灭蝇胺、噻虫胺、噻虫嗪、烯酰吗啉、氧乐果、乙酰甲胺磷</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根茎类和薯芋类蔬菜</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胡萝卜</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铅（以</w:t>
            </w:r>
            <w:r>
              <w:rPr>
                <w:rFonts w:hint="eastAsia" w:ascii="宋体" w:hAnsi="宋体" w:eastAsia="宋体" w:cs="宋体"/>
                <w:i w:val="0"/>
                <w:iCs w:val="0"/>
                <w:color w:val="auto"/>
                <w:sz w:val="21"/>
                <w:szCs w:val="21"/>
                <w:highlight w:val="none"/>
                <w:u w:val="none"/>
                <w:lang w:val="en-US" w:eastAsia="zh-CN" w:bidi="ar"/>
              </w:rPr>
              <w:t xml:space="preserve">Pb</w:t>
            </w:r>
            <w:r>
              <w:rPr>
                <w:rStyle w:val="1012"/>
                <w:rFonts w:hint="eastAsia" w:ascii="宋体" w:hAnsi="宋体" w:eastAsia="宋体" w:cs="宋体"/>
                <w:color w:val="auto"/>
                <w:sz w:val="21"/>
                <w:szCs w:val="21"/>
                <w:highlight w:val="none"/>
                <w:lang w:val="en-US" w:eastAsia="zh-CN" w:bidi="ar"/>
              </w:rPr>
              <w:t xml:space="preserve">计）、毒死蜱、氟虫腈、甲拌磷、氯氟氰菊酯和高效氯氟氰菊酯、噻虫胺、乙酰甲胺磷</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姜</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铅（以</w:t>
            </w:r>
            <w:r>
              <w:rPr>
                <w:rFonts w:hint="eastAsia" w:ascii="宋体" w:hAnsi="宋体" w:eastAsia="宋体" w:cs="宋体"/>
                <w:i w:val="0"/>
                <w:iCs w:val="0"/>
                <w:color w:val="auto"/>
                <w:sz w:val="21"/>
                <w:szCs w:val="21"/>
                <w:highlight w:val="none"/>
                <w:u w:val="none"/>
                <w:lang w:val="en-US" w:eastAsia="zh-CN" w:bidi="ar"/>
              </w:rPr>
              <w:t xml:space="preserve">Pb</w:t>
            </w:r>
            <w:r>
              <w:rPr>
                <w:rStyle w:val="1012"/>
                <w:rFonts w:hint="eastAsia" w:ascii="宋体" w:hAnsi="宋体" w:eastAsia="宋体" w:cs="宋体"/>
                <w:color w:val="auto"/>
                <w:sz w:val="21"/>
                <w:szCs w:val="21"/>
                <w:highlight w:val="none"/>
                <w:lang w:val="en-US" w:eastAsia="zh-CN" w:bidi="ar"/>
              </w:rPr>
              <w:t xml:space="preserve">计）、镉（以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计）、吡虫啉、敌敌畏、毒死蜱、甲拌磷、克百威、六六六、氯氟氰菊酯和高效氯氟氰菊酯、氯氰菊酯和高效氯氰菊酯、氯唑磷、噻虫胺、噻虫嗪、氧乐果、二氧化硫残留量</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食用农产品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蔬菜</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根茎类和薯芋类蔬菜</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萝卜</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铅（以</w:t>
            </w:r>
            <w:r>
              <w:rPr>
                <w:rFonts w:hint="eastAsia" w:ascii="宋体" w:hAnsi="宋体" w:eastAsia="宋体" w:cs="宋体"/>
                <w:i w:val="0"/>
                <w:iCs w:val="0"/>
                <w:color w:val="auto"/>
                <w:sz w:val="21"/>
                <w:szCs w:val="21"/>
                <w:highlight w:val="none"/>
                <w:u w:val="none"/>
                <w:lang w:val="en-US" w:eastAsia="zh-CN" w:bidi="ar"/>
              </w:rPr>
              <w:t xml:space="preserve">Pb</w:t>
            </w:r>
            <w:r>
              <w:rPr>
                <w:rStyle w:val="1012"/>
                <w:rFonts w:hint="eastAsia" w:ascii="宋体" w:hAnsi="宋体" w:eastAsia="宋体" w:cs="宋体"/>
                <w:color w:val="auto"/>
                <w:sz w:val="21"/>
                <w:szCs w:val="21"/>
                <w:highlight w:val="none"/>
                <w:lang w:val="en-US" w:eastAsia="zh-CN" w:bidi="ar"/>
              </w:rPr>
              <w:t xml:space="preserve">计）、毒死蜱、甲胺磷、甲拌磷、甲基对硫磷、乐果、氯氟氰菊酯和高效氯氟氰菊酯、噻虫嗪、水胺硫磷、氧乐果</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山药</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较高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铅（以</w:t>
            </w:r>
            <w:r>
              <w:rPr>
                <w:rFonts w:hint="eastAsia" w:ascii="宋体" w:hAnsi="宋体" w:eastAsia="宋体" w:cs="宋体"/>
                <w:i w:val="0"/>
                <w:iCs w:val="0"/>
                <w:color w:val="auto"/>
                <w:sz w:val="21"/>
                <w:szCs w:val="21"/>
                <w:highlight w:val="none"/>
                <w:u w:val="none"/>
                <w:lang w:val="en-US" w:eastAsia="zh-CN" w:bidi="ar"/>
              </w:rPr>
              <w:t xml:space="preserve">Pb</w:t>
            </w:r>
            <w:r>
              <w:rPr>
                <w:rStyle w:val="1012"/>
                <w:rFonts w:hint="eastAsia" w:ascii="宋体" w:hAnsi="宋体" w:eastAsia="宋体" w:cs="宋体"/>
                <w:color w:val="auto"/>
                <w:sz w:val="21"/>
                <w:szCs w:val="21"/>
                <w:highlight w:val="none"/>
                <w:lang w:val="en-US" w:eastAsia="zh-CN" w:bidi="ar"/>
              </w:rPr>
              <w:t xml:space="preserve">计）、毒死蜱、克百威、氯氟氰菊酯和高效氯氟氰菊酯、咪鲜胺和咪鲜胺锰盐、涕灭威</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水产品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淡水产品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淡水鱼</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挥发性盐基氮、镉（以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多氯联苯、孔雀石绿、氯霉素、氟苯尼考、呋喃唑酮代谢物、呋喃西林代谢物、呋喃妥因代谢物、恩诺沙星、磺胺类（总量）、甲氧苄啶、甲硝唑、地西泮、五氯酚酸钠（以五氯酚计）、氧氟沙星、诺氟沙星、培氟沙星</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淡水虾</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计）、孔雀石绿、氯霉素、呋喃唑酮代谢物、呋喃妥因代谢物、恩诺沙星、磺胺类（总量）、土霉素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金霉素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四环素（组合含量）、五氯酚酸钠（以五氯酚计）、氧氟沙星、诺氟沙星</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淡水蟹</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计）、孔雀石绿、氯霉素、五氯酚酸钠（以五氯酚计）、呋喃唑酮代谢物、氧氟沙星</w:t>
            </w:r>
            <w:r/>
          </w:p>
        </w:tc>
      </w:tr>
      <w:tr>
        <w:trPr>
          <w:jc w:val="center"/>
          <w:trHeight w:val="922"/>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海水产品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海水鱼</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挥发性盐基氮、组胺、镉（以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计）、多氯联苯、孔雀石绿、氯霉素、呋喃唑酮代谢物、呋喃它酮代谢物、呋喃西林代谢物、恩诺沙星、磺胺类（总量）、土霉素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金霉素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四环素（组合含量）、甲氧苄啶、甲硝唑、五氯酚酸钠（以五氯酚计）、氧氟沙星</w:t>
            </w:r>
            <w:r>
              <w:rPr>
                <w:rFonts w:hint="eastAsia" w:ascii="宋体" w:hAnsi="宋体" w:eastAsia="宋体" w:cs="宋体"/>
                <w:i w:val="0"/>
                <w:iCs w:val="0"/>
                <w:color w:val="auto"/>
                <w:sz w:val="21"/>
                <w:szCs w:val="21"/>
                <w:highlight w:val="none"/>
                <w:u w:val="none"/>
                <w:lang w:val="en-US" w:eastAsia="zh-CN" w:bidi="ar"/>
              </w:rPr>
              <w:t xml:space="preserve">b</w:t>
            </w:r>
            <w:r>
              <w:rPr>
                <w:rStyle w:val="1012"/>
                <w:rFonts w:hint="eastAsia" w:ascii="宋体" w:hAnsi="宋体" w:eastAsia="宋体" w:cs="宋体"/>
                <w:color w:val="auto"/>
                <w:sz w:val="21"/>
                <w:szCs w:val="21"/>
                <w:highlight w:val="none"/>
                <w:lang w:val="en-US" w:eastAsia="zh-CN" w:bidi="ar"/>
              </w:rPr>
              <w:t xml:space="preserve">、培氟沙星、诺氟沙星</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海水虾</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挥发性盐基氮、镉（以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计）、二氧化硫残留量、孔雀石绿、氯霉素、呋喃唑酮代谢物、呋喃它酮代谢物、呋喃妥因代谢物、恩诺沙星、土霉素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金霉素</w:t>
            </w:r>
            <w:r>
              <w:rPr>
                <w:rFonts w:hint="eastAsia" w:ascii="宋体" w:hAnsi="宋体" w:eastAsia="宋体" w:cs="宋体"/>
                <w:i w:val="0"/>
                <w:iCs w:val="0"/>
                <w:color w:val="auto"/>
                <w:sz w:val="21"/>
                <w:szCs w:val="21"/>
                <w:highlight w:val="none"/>
                <w:u w:val="none"/>
                <w:lang w:val="en-US" w:eastAsia="zh-CN" w:bidi="ar"/>
              </w:rPr>
              <w:t xml:space="preserve">/</w:t>
            </w:r>
            <w:r>
              <w:rPr>
                <w:rStyle w:val="1012"/>
                <w:rFonts w:hint="eastAsia" w:ascii="宋体" w:hAnsi="宋体" w:eastAsia="宋体" w:cs="宋体"/>
                <w:color w:val="auto"/>
                <w:sz w:val="21"/>
                <w:szCs w:val="21"/>
                <w:highlight w:val="none"/>
                <w:lang w:val="en-US" w:eastAsia="zh-CN" w:bidi="ar"/>
              </w:rPr>
              <w:t xml:space="preserve">四环素（组合含量）、磺胺类（总量）、五氯酚酸钠（以五氯酚计）、诺氟沙星</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海水蟹</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计）、二氧化硫残留量、孔雀石绿、氯霉素、呋喃妥因代谢物、诺氟沙星</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贝类</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贝类</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计）、无机砷（以</w:t>
            </w:r>
            <w:r>
              <w:rPr>
                <w:rFonts w:hint="eastAsia" w:ascii="宋体" w:hAnsi="宋体" w:eastAsia="宋体" w:cs="宋体"/>
                <w:i w:val="0"/>
                <w:iCs w:val="0"/>
                <w:color w:val="auto"/>
                <w:sz w:val="21"/>
                <w:szCs w:val="21"/>
                <w:highlight w:val="none"/>
                <w:u w:val="none"/>
                <w:lang w:val="en-US" w:eastAsia="zh-CN" w:bidi="ar"/>
              </w:rPr>
              <w:t xml:space="preserve">As</w:t>
            </w:r>
            <w:r>
              <w:rPr>
                <w:rStyle w:val="1012"/>
                <w:rFonts w:hint="eastAsia" w:ascii="宋体" w:hAnsi="宋体" w:eastAsia="宋体" w:cs="宋体"/>
                <w:color w:val="auto"/>
                <w:sz w:val="21"/>
                <w:szCs w:val="21"/>
                <w:highlight w:val="none"/>
                <w:lang w:val="en-US" w:eastAsia="zh-CN" w:bidi="ar"/>
              </w:rPr>
              <w:t xml:space="preserve">计）、多氯联苯、孔雀石绿、氯霉素、氟苯尼考、呋喃唑酮代谢物、呋喃西林代谢物、呋喃妥因代谢物、恩诺沙星、磺胺类（总量）、氧氟沙星、五氯酚酸钠（以五氯酚计）</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食用农产品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水产品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其他水产品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其他水产品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计）、孔雀石绿、氯霉素、呋喃唑酮代谢物、呋喃西林代谢物、呋喃妥因代谢物、恩诺沙星、磺胺类（总量）、氟苯尼考、甲硝唑、氧氟沙星、诺氟沙星</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水果类</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仁果类水果</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苹果</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none" w:color="000000" w:sz="4" w:space="0"/>
              <w:left w:val="none" w:color="000000" w:sz="4" w:space="0"/>
              <w:bottom w:val="none" w:color="000000" w:sz="4" w:space="0"/>
              <w:right w:val="none" w:color="000000" w:sz="4" w:space="0"/>
            </w:tcBorders>
            <w:tcW w:w="7673" w:type="dxa"/>
            <w:vAlign w:val="center"/>
            <w:textDirection w:val="lrTb"/>
            <w:noWrap/>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敌敌畏、啶虫脒、毒死蜱、甲拌磷、克百威、氧乐果、三氯杀螨醇</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164" w:type="dxa"/>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梨</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吡虫啉、敌敌畏、毒死蜱、多菌灵、克百威、氯氟氰菊酯和高效氯氟氰菊酯、氧乐果、水胺硫磷、苯醚甲环唑、咪鲜胺和咪鲜胺锰盐、噻虫嗪、乙螨唑</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核果类水果</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枣</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多菌灵、氟虫腈、氰戊菊酯和</w:t>
            </w:r>
            <w:r>
              <w:rPr>
                <w:rFonts w:hint="eastAsia" w:ascii="宋体" w:hAnsi="宋体" w:eastAsia="宋体" w:cs="宋体"/>
                <w:i w:val="0"/>
                <w:iCs w:val="0"/>
                <w:color w:val="auto"/>
                <w:sz w:val="21"/>
                <w:szCs w:val="21"/>
                <w:highlight w:val="none"/>
                <w:u w:val="none"/>
                <w:lang w:val="en-US" w:eastAsia="zh-CN" w:bidi="ar"/>
              </w:rPr>
              <w:t xml:space="preserve">S-</w:t>
            </w:r>
            <w:r>
              <w:rPr>
                <w:rStyle w:val="1011"/>
                <w:rFonts w:hint="eastAsia" w:ascii="宋体" w:hAnsi="宋体" w:eastAsia="宋体" w:cs="宋体"/>
                <w:color w:val="auto"/>
                <w:sz w:val="21"/>
                <w:szCs w:val="21"/>
                <w:highlight w:val="none"/>
                <w:lang w:val="en-US" w:eastAsia="zh-CN" w:bidi="ar"/>
              </w:rPr>
              <w:t xml:space="preserve">氰戊菊酯、氧乐果、糖精钠（以糖精计）</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桃</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苯醚甲环唑、敌敌畏、多菌灵、氟硅唑、甲胺磷、克百威、氧乐果、溴氰菊酯、吡虫啉</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油桃</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多菌灵、甲胺磷、克百威、氧乐果、敌敌畏、苯醚甲环唑、噻虫胺</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柑橘类水果</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柑、橘</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苯醚甲环唑、丙溴磷、克百威、联苯菊酯、氯唑磷、三唑磷、水胺硫磷、氧乐果、氯氟氰菊酯和高效氯氟氰菊酯、甲拌磷、</w:t>
            </w:r>
            <w:r>
              <w:rPr>
                <w:rFonts w:hint="eastAsia" w:ascii="宋体" w:hAnsi="宋体" w:eastAsia="宋体" w:cs="宋体"/>
                <w:i w:val="0"/>
                <w:iCs w:val="0"/>
                <w:color w:val="auto"/>
                <w:sz w:val="21"/>
                <w:szCs w:val="21"/>
                <w:highlight w:val="none"/>
                <w:u w:val="none"/>
                <w:lang w:val="en-US" w:eastAsia="zh-CN" w:bidi="ar"/>
              </w:rPr>
              <w:t xml:space="preserve">2,4-</w:t>
            </w:r>
            <w:r>
              <w:rPr>
                <w:rStyle w:val="1011"/>
                <w:rFonts w:hint="eastAsia" w:ascii="宋体" w:hAnsi="宋体" w:eastAsia="宋体" w:cs="宋体"/>
                <w:color w:val="auto"/>
                <w:sz w:val="21"/>
                <w:szCs w:val="21"/>
                <w:highlight w:val="none"/>
                <w:lang w:val="en-US" w:eastAsia="zh-CN" w:bidi="ar"/>
              </w:rPr>
              <w:t xml:space="preserve">滴和</w:t>
            </w:r>
            <w:r>
              <w:rPr>
                <w:rFonts w:hint="eastAsia" w:ascii="宋体" w:hAnsi="宋体" w:eastAsia="宋体" w:cs="宋体"/>
                <w:i w:val="0"/>
                <w:iCs w:val="0"/>
                <w:color w:val="auto"/>
                <w:sz w:val="21"/>
                <w:szCs w:val="21"/>
                <w:highlight w:val="none"/>
                <w:u w:val="none"/>
                <w:lang w:val="en-US" w:eastAsia="zh-CN" w:bidi="ar"/>
              </w:rPr>
              <w:t xml:space="preserve">2,4-</w:t>
            </w:r>
            <w:r>
              <w:rPr>
                <w:rStyle w:val="1011"/>
                <w:rFonts w:hint="eastAsia" w:ascii="宋体" w:hAnsi="宋体" w:eastAsia="宋体" w:cs="宋体"/>
                <w:color w:val="auto"/>
                <w:sz w:val="21"/>
                <w:szCs w:val="21"/>
                <w:highlight w:val="none"/>
                <w:lang w:val="en-US" w:eastAsia="zh-CN" w:bidi="ar"/>
              </w:rPr>
              <w:t xml:space="preserve">滴钠盐、狄氏剂、毒死蜱、杀扑磷</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柚</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水胺硫磷、联苯菊酯、氯氟氰菊酯和高效氯氟氰菊酯、氯唑磷、多菌灵、克百威</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柠檬</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多菌灵、克百威、联苯菊酯、水胺硫磷、乙螨唑、氯唑磷</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橙</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丙溴磷、克百威、联苯菊酯、三唑磷、杀扑磷、水胺硫磷、氧乐果、</w:t>
            </w:r>
            <w:r>
              <w:rPr>
                <w:rFonts w:hint="eastAsia" w:ascii="宋体" w:hAnsi="宋体" w:eastAsia="宋体" w:cs="宋体"/>
                <w:i w:val="0"/>
                <w:iCs w:val="0"/>
                <w:color w:val="auto"/>
                <w:sz w:val="21"/>
                <w:szCs w:val="21"/>
                <w:highlight w:val="none"/>
                <w:u w:val="none"/>
                <w:lang w:val="en-US" w:eastAsia="zh-CN" w:bidi="ar"/>
              </w:rPr>
              <w:t xml:space="preserve">2,4-</w:t>
            </w:r>
            <w:r>
              <w:rPr>
                <w:rStyle w:val="1011"/>
                <w:rFonts w:hint="eastAsia" w:ascii="宋体" w:hAnsi="宋体" w:eastAsia="宋体" w:cs="宋体"/>
                <w:color w:val="auto"/>
                <w:sz w:val="21"/>
                <w:szCs w:val="21"/>
                <w:highlight w:val="none"/>
                <w:lang w:val="en-US" w:eastAsia="zh-CN" w:bidi="ar"/>
              </w:rPr>
              <w:t xml:space="preserve">滴和</w:t>
            </w:r>
            <w:r>
              <w:rPr>
                <w:rFonts w:hint="eastAsia" w:ascii="宋体" w:hAnsi="宋体" w:eastAsia="宋体" w:cs="宋体"/>
                <w:i w:val="0"/>
                <w:iCs w:val="0"/>
                <w:color w:val="auto"/>
                <w:sz w:val="21"/>
                <w:szCs w:val="21"/>
                <w:highlight w:val="none"/>
                <w:u w:val="none"/>
                <w:lang w:val="en-US" w:eastAsia="zh-CN" w:bidi="ar"/>
              </w:rPr>
              <w:t xml:space="preserve">2,4-</w:t>
            </w:r>
            <w:r>
              <w:rPr>
                <w:rStyle w:val="1011"/>
                <w:rFonts w:hint="eastAsia" w:ascii="宋体" w:hAnsi="宋体" w:eastAsia="宋体" w:cs="宋体"/>
                <w:color w:val="auto"/>
                <w:sz w:val="21"/>
                <w:szCs w:val="21"/>
                <w:highlight w:val="none"/>
                <w:lang w:val="en-US" w:eastAsia="zh-CN" w:bidi="ar"/>
              </w:rPr>
              <w:t xml:space="preserve">滴钠盐、苯醚甲环唑、狄氏剂、氯唑磷</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浆果和其他小型水果</w:t>
            </w:r>
            <w:r/>
          </w:p>
        </w:tc>
        <w:tc>
          <w:tcPr>
            <w:shd w:val="clear" w:color="auto" w:fill="auto"/>
            <w:tcBorders>
              <w:top w:val="single" w:color="000000" w:sz="4" w:space="0"/>
              <w:left w:val="non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葡萄</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苯醚甲环唑、己唑醇、克百威、氯氰菊酯和高效氯氰菊酯、霜霉威和霜霉威盐酸盐、氧乐果、氯氟氰菊酯和高效氯氟氰菊酯、氟虫腈、氯吡脲、联苯菊酯</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草莓</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阿维菌素、敌敌畏、多菌灵、克百威、烯酰吗啉、氧乐果、戊菌唑、吡虫啉、乙酰甲胺磷</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食用农产品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水果类</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浆果和其他小型水果</w:t>
            </w:r>
            <w:r/>
          </w:p>
        </w:tc>
        <w:tc>
          <w:tcPr>
            <w:shd w:val="clear" w:color="auto" w:fill="auto"/>
            <w:tcBorders>
              <w:top w:val="single" w:color="000000" w:sz="4" w:space="0"/>
              <w:left w:val="non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猕猴桃</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敌敌畏、多菌灵、氯吡脲、氧乐果</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桑葚</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脱氢乙酸及其钠盐（以脱氢乙酸计）、苯甲酸及其钠盐（以苯甲酸计）、山梨酸及其钾盐（以山梨酸计）、糖精钠（以糖精计）、三氯蔗糖、甜蜜素（以环己基氨基磺酸计）、多菌灵</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热带和亚热带水果</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香蕉</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苯醚甲环唑、吡唑醚菌酯、多菌灵、氟虫腈、甲拌磷、腈苯唑、吡虫啉、噻虫胺、噻虫嗪、氟环唑、联苯菊酯、烯唑醇、百菌清、噻唑膦、狄氏剂</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芒果</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苯醚甲环唑、多菌灵、戊唑醇、氧乐果、吡唑醚菌酯、噻虫胺、乙酰甲胺磷、吡虫啉、噻虫嗪、噻嗪酮</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火龙果</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氟虫腈、甲胺磷、克百威、氧乐果、乙酰甲胺磷</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荔枝</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tcPr>
          <w:p>
            <w:pPr>
              <w:jc w:val="both"/>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多菌灵、氧乐果、毒死蜱、苯醚甲环唑、氯氰菊酯和高效氯氰菊酯、氯氟氰菊酯和高效氯氟氰菊酯、吡唑醚菌酯、除虫脲、氰霜唑、氟吗啉</w:t>
            </w:r>
            <w:r/>
          </w:p>
        </w:tc>
      </w:tr>
      <w:tr>
        <w:trPr>
          <w:jc w:val="center"/>
          <w:trHeight w:val="693"/>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杨梅</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脱氢乙酸及其钠盐（以脱氢乙酸计）、苯甲酸及其钠盐（以苯甲酸计）、山梨酸及其钾盐（以山梨酸计）、糖精钠（以糖精计）、三氯蔗糖、甜蜜素（以环己基氨基磺酸计）、敌敌畏、氧乐果</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龙眼</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二氧化硫残留量、克百威、氯氰菊酯和高效氯氰菊酯、氧乐果</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橄榄</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三氯蔗糖、糖精钠（以糖精计）、甜蜜素（以环己基氨基磺酸计）、多菌灵</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番木瓜</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噻虫胺、噻虫嗪、乙酰甲胺磷</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瓜果类水果</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西瓜</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克百威、噻虫嗪、氧乐果、乙酰甲胺磷、苯醚甲环唑</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甜瓜类</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克百威、烯酰吗啉、氧乐果、乙酰甲胺磷</w:t>
            </w:r>
            <w:r/>
          </w:p>
        </w:tc>
      </w:tr>
      <w:tr>
        <w:trPr>
          <w:jc w:val="center"/>
          <w:trHeight w:val="4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食用农产品</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鲜蛋</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鸡蛋</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鸡蛋</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甲硝唑、地美硝唑、呋喃唑酮代谢物、氟虫腈、氯霉素、氟苯尼考、甲砜霉素、恩诺沙星、氧氟沙星、沙拉沙星、甲氧苄啶、磺胺类（总量）、多西环素、地克珠利、托曲珠利</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其他禽蛋</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其他禽蛋</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高</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呋喃唑酮代谢物、磺胺类（总量）、多西环素</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豆类</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豆类</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豆类</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铅（以</w:t>
            </w:r>
            <w:r>
              <w:rPr>
                <w:rFonts w:hint="eastAsia" w:ascii="宋体" w:hAnsi="宋体" w:eastAsia="宋体" w:cs="宋体"/>
                <w:i w:val="0"/>
                <w:iCs w:val="0"/>
                <w:color w:val="auto"/>
                <w:sz w:val="21"/>
                <w:szCs w:val="21"/>
                <w:highlight w:val="none"/>
                <w:u w:val="none"/>
                <w:lang w:val="en-US" w:eastAsia="zh-CN" w:bidi="ar"/>
              </w:rPr>
              <w:t xml:space="preserve">Pb</w:t>
            </w:r>
            <w:r>
              <w:rPr>
                <w:rStyle w:val="1011"/>
                <w:rFonts w:hint="eastAsia" w:ascii="宋体" w:hAnsi="宋体" w:eastAsia="宋体" w:cs="宋体"/>
                <w:color w:val="auto"/>
                <w:sz w:val="21"/>
                <w:szCs w:val="21"/>
                <w:highlight w:val="none"/>
                <w:lang w:val="en-US" w:eastAsia="zh-CN" w:bidi="ar"/>
              </w:rPr>
              <w:t xml:space="preserve">计）、铬（以</w:t>
            </w:r>
            <w:r>
              <w:rPr>
                <w:rFonts w:hint="eastAsia" w:ascii="宋体" w:hAnsi="宋体" w:eastAsia="宋体" w:cs="宋体"/>
                <w:i w:val="0"/>
                <w:iCs w:val="0"/>
                <w:color w:val="auto"/>
                <w:sz w:val="21"/>
                <w:szCs w:val="21"/>
                <w:highlight w:val="none"/>
                <w:u w:val="none"/>
                <w:lang w:val="en-US" w:eastAsia="zh-CN" w:bidi="ar"/>
              </w:rPr>
              <w:t xml:space="preserve">Cr</w:t>
            </w:r>
            <w:r>
              <w:rPr>
                <w:rStyle w:val="1011"/>
                <w:rFonts w:hint="eastAsia" w:ascii="宋体" w:hAnsi="宋体" w:eastAsia="宋体" w:cs="宋体"/>
                <w:color w:val="auto"/>
                <w:sz w:val="21"/>
                <w:szCs w:val="21"/>
                <w:highlight w:val="none"/>
                <w:lang w:val="en-US" w:eastAsia="zh-CN" w:bidi="ar"/>
              </w:rPr>
              <w:t xml:space="preserve">计）、赭曲霉毒素</w:t>
            </w:r>
            <w:r>
              <w:rPr>
                <w:rFonts w:hint="eastAsia" w:ascii="宋体" w:hAnsi="宋体" w:eastAsia="宋体" w:cs="宋体"/>
                <w:i w:val="0"/>
                <w:iCs w:val="0"/>
                <w:color w:val="auto"/>
                <w:sz w:val="21"/>
                <w:szCs w:val="21"/>
                <w:highlight w:val="none"/>
                <w:u w:val="none"/>
                <w:lang w:val="en-US" w:eastAsia="zh-CN" w:bidi="ar"/>
              </w:rPr>
              <w:t xml:space="preserve">A</w:t>
            </w:r>
            <w:r>
              <w:rPr>
                <w:rStyle w:val="1011"/>
                <w:rFonts w:hint="eastAsia" w:ascii="宋体" w:hAnsi="宋体" w:eastAsia="宋体" w:cs="宋体"/>
                <w:color w:val="auto"/>
                <w:sz w:val="21"/>
                <w:szCs w:val="21"/>
                <w:highlight w:val="none"/>
                <w:lang w:val="en-US" w:eastAsia="zh-CN" w:bidi="ar"/>
              </w:rPr>
              <w:t xml:space="preserve">、吡虫啉、环丙唑醇</w:t>
            </w:r>
            <w:r/>
          </w:p>
        </w:tc>
      </w:tr>
      <w:tr>
        <w:trPr>
          <w:jc w:val="center"/>
          <w:trHeight w:val="236"/>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生干坚果与籽类食品</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生干坚果与籽类食品</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生干坚果</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酸价（以脂肪计）（</w:t>
            </w:r>
            <w:r>
              <w:rPr>
                <w:rFonts w:hint="eastAsia" w:ascii="宋体" w:hAnsi="宋体" w:eastAsia="宋体" w:cs="宋体"/>
                <w:i w:val="0"/>
                <w:iCs w:val="0"/>
                <w:color w:val="auto"/>
                <w:sz w:val="21"/>
                <w:szCs w:val="21"/>
                <w:highlight w:val="none"/>
                <w:u w:val="none"/>
                <w:lang w:val="en-US" w:eastAsia="zh-CN" w:bidi="ar"/>
              </w:rPr>
              <w:t xml:space="preserve">KOH</w:t>
            </w:r>
            <w:r>
              <w:rPr>
                <w:rStyle w:val="1012"/>
                <w:rFonts w:hint="eastAsia" w:ascii="宋体" w:hAnsi="宋体" w:eastAsia="宋体" w:cs="宋体"/>
                <w:color w:val="auto"/>
                <w:sz w:val="21"/>
                <w:szCs w:val="21"/>
                <w:highlight w:val="none"/>
                <w:lang w:val="en-US" w:eastAsia="zh-CN" w:bidi="ar"/>
              </w:rPr>
              <w:t xml:space="preserve">）、过氧化值（以脂肪计）、铅（以</w:t>
            </w:r>
            <w:r>
              <w:rPr>
                <w:rFonts w:hint="eastAsia" w:ascii="宋体" w:hAnsi="宋体" w:eastAsia="宋体" w:cs="宋体"/>
                <w:i w:val="0"/>
                <w:iCs w:val="0"/>
                <w:color w:val="auto"/>
                <w:sz w:val="21"/>
                <w:szCs w:val="21"/>
                <w:highlight w:val="none"/>
                <w:u w:val="none"/>
                <w:lang w:val="en-US" w:eastAsia="zh-CN" w:bidi="ar"/>
              </w:rPr>
              <w:t xml:space="preserve">Pb</w:t>
            </w:r>
            <w:r>
              <w:rPr>
                <w:rStyle w:val="1012"/>
                <w:rFonts w:hint="eastAsia" w:ascii="宋体" w:hAnsi="宋体" w:eastAsia="宋体" w:cs="宋体"/>
                <w:color w:val="auto"/>
                <w:sz w:val="21"/>
                <w:szCs w:val="21"/>
                <w:highlight w:val="none"/>
                <w:lang w:val="en-US" w:eastAsia="zh-CN" w:bidi="ar"/>
              </w:rPr>
              <w:t xml:space="preserve">计）、吡虫啉</w:t>
            </w:r>
            <w:r/>
          </w:p>
        </w:tc>
      </w:tr>
      <w:tr>
        <w:trPr>
          <w:jc w:val="center"/>
          <w:trHeight w:val="472"/>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keepLines w:val="0"/>
              <w:keepNext w:val="0"/>
              <w:pageBreakBefore w:val="0"/>
              <w:spacing w:line="440" w:lineRule="exac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生干籽类</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1"/>
                <w:rFonts w:hint="eastAsia" w:ascii="宋体" w:hAnsi="宋体" w:eastAsia="宋体" w:cs="宋体"/>
                <w:color w:val="auto"/>
                <w:sz w:val="21"/>
                <w:szCs w:val="21"/>
                <w:highlight w:val="none"/>
                <w:lang w:val="en-US" w:eastAsia="zh-CN"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7673" w:type="dxa"/>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Style w:val="1012"/>
                <w:rFonts w:hint="eastAsia" w:ascii="宋体" w:hAnsi="宋体" w:eastAsia="宋体" w:cs="宋体"/>
                <w:color w:val="auto"/>
                <w:sz w:val="21"/>
                <w:szCs w:val="21"/>
                <w:highlight w:val="none"/>
                <w:lang w:val="en-US" w:eastAsia="zh-CN" w:bidi="ar"/>
              </w:rPr>
              <w:t xml:space="preserve">酸价（以脂肪计）（</w:t>
            </w:r>
            <w:r>
              <w:rPr>
                <w:rFonts w:hint="eastAsia" w:ascii="宋体" w:hAnsi="宋体" w:eastAsia="宋体" w:cs="宋体"/>
                <w:i w:val="0"/>
                <w:iCs w:val="0"/>
                <w:color w:val="auto"/>
                <w:sz w:val="21"/>
                <w:szCs w:val="21"/>
                <w:highlight w:val="none"/>
                <w:u w:val="none"/>
                <w:lang w:val="en-US" w:eastAsia="zh-CN" w:bidi="ar"/>
              </w:rPr>
              <w:t xml:space="preserve">KOH</w:t>
            </w:r>
            <w:r>
              <w:rPr>
                <w:rStyle w:val="1012"/>
                <w:rFonts w:hint="eastAsia" w:ascii="宋体" w:hAnsi="宋体" w:eastAsia="宋体" w:cs="宋体"/>
                <w:color w:val="auto"/>
                <w:sz w:val="21"/>
                <w:szCs w:val="21"/>
                <w:highlight w:val="none"/>
                <w:lang w:val="en-US" w:eastAsia="zh-CN" w:bidi="ar"/>
              </w:rPr>
              <w:t xml:space="preserve">）、过氧化值（以脂肪计）、铅（以</w:t>
            </w:r>
            <w:r>
              <w:rPr>
                <w:rFonts w:hint="eastAsia" w:ascii="宋体" w:hAnsi="宋体" w:eastAsia="宋体" w:cs="宋体"/>
                <w:i w:val="0"/>
                <w:iCs w:val="0"/>
                <w:color w:val="auto"/>
                <w:sz w:val="21"/>
                <w:szCs w:val="21"/>
                <w:highlight w:val="none"/>
                <w:u w:val="none"/>
                <w:lang w:val="en-US" w:eastAsia="zh-CN" w:bidi="ar"/>
              </w:rPr>
              <w:t xml:space="preserve">Pb</w:t>
            </w:r>
            <w:r>
              <w:rPr>
                <w:rStyle w:val="1012"/>
                <w:rFonts w:hint="eastAsia" w:ascii="宋体" w:hAnsi="宋体" w:eastAsia="宋体" w:cs="宋体"/>
                <w:color w:val="auto"/>
                <w:sz w:val="21"/>
                <w:szCs w:val="21"/>
                <w:highlight w:val="none"/>
                <w:lang w:val="en-US" w:eastAsia="zh-CN" w:bidi="ar"/>
              </w:rPr>
              <w:t xml:space="preserve">计）、镉（以</w:t>
            </w:r>
            <w:r>
              <w:rPr>
                <w:rFonts w:hint="eastAsia" w:ascii="宋体" w:hAnsi="宋体" w:eastAsia="宋体" w:cs="宋体"/>
                <w:i w:val="0"/>
                <w:iCs w:val="0"/>
                <w:color w:val="auto"/>
                <w:sz w:val="21"/>
                <w:szCs w:val="21"/>
                <w:highlight w:val="none"/>
                <w:u w:val="none"/>
                <w:lang w:val="en-US" w:eastAsia="zh-CN" w:bidi="ar"/>
              </w:rPr>
              <w:t xml:space="preserve">Cd</w:t>
            </w:r>
            <w:r>
              <w:rPr>
                <w:rStyle w:val="1012"/>
                <w:rFonts w:hint="eastAsia" w:ascii="宋体" w:hAnsi="宋体" w:eastAsia="宋体" w:cs="宋体"/>
                <w:color w:val="auto"/>
                <w:sz w:val="21"/>
                <w:szCs w:val="21"/>
                <w:highlight w:val="none"/>
                <w:lang w:val="en-US" w:eastAsia="zh-CN" w:bidi="ar"/>
              </w:rPr>
              <w:t xml:space="preserve">计）、黄曲霉毒素</w:t>
            </w:r>
            <w:r>
              <w:rPr>
                <w:rFonts w:hint="eastAsia" w:ascii="宋体" w:hAnsi="宋体" w:eastAsia="宋体" w:cs="宋体"/>
                <w:i w:val="0"/>
                <w:iCs w:val="0"/>
                <w:color w:val="auto"/>
                <w:sz w:val="21"/>
                <w:szCs w:val="21"/>
                <w:highlight w:val="none"/>
                <w:u w:val="none"/>
                <w:lang w:val="en-US" w:eastAsia="zh-CN" w:bidi="ar"/>
              </w:rPr>
              <w:t xml:space="preserve">B1</w:t>
            </w:r>
            <w:r>
              <w:rPr>
                <w:rStyle w:val="1012"/>
                <w:rFonts w:hint="eastAsia" w:ascii="宋体" w:hAnsi="宋体" w:eastAsia="宋体" w:cs="宋体"/>
                <w:color w:val="auto"/>
                <w:sz w:val="21"/>
                <w:szCs w:val="21"/>
                <w:highlight w:val="none"/>
                <w:lang w:val="en-US" w:eastAsia="zh-CN" w:bidi="ar"/>
              </w:rPr>
              <w:t xml:space="preserve">、噻虫嗪</w:t>
            </w:r>
            <w:r/>
          </w:p>
        </w:tc>
      </w:tr>
    </w:tbl>
    <w:p>
      <w:pPr>
        <w:rPr>
          <w:rFonts w:hint="eastAsia"/>
          <w:color w:val="auto"/>
          <w:highlight w:val="none"/>
          <w:lang w:val="en-US" w:eastAsia="zh-CN"/>
        </w:rPr>
        <w:sectPr>
          <w:footnotePr/>
          <w:endnotePr/>
          <w:type w:val="nextPage"/>
          <w:pgSz w:w="16838" w:h="11906" w:orient="landscape"/>
          <w:pgMar w:top="1803" w:right="1440" w:bottom="1803" w:left="1440" w:header="851" w:footer="992" w:gutter="0"/>
          <w:cols w:num="1" w:sep="0" w:space="0" w:equalWidth="1"/>
          <w:docGrid w:linePitch="360"/>
        </w:sectPr>
      </w:pPr>
      <w:r>
        <w:rPr>
          <w:rFonts w:hint="eastAsia"/>
          <w:color w:val="auto"/>
          <w:highlight w:val="none"/>
          <w:lang w:val="en-US" w:eastAsia="zh-CN"/>
        </w:rPr>
      </w:r>
      <w:r/>
    </w:p>
    <w:p>
      <w:pPr>
        <w:rPr>
          <w:rFonts w:hint="eastAsia"/>
          <w:color w:val="auto"/>
          <w:highlight w:val="none"/>
        </w:rPr>
      </w:pPr>
      <w:r>
        <w:rPr>
          <w:rFonts w:hint="eastAsia"/>
          <w:color w:val="auto"/>
          <w:highlight w:val="none"/>
        </w:rPr>
      </w:r>
      <w:r/>
    </w:p>
    <w:p>
      <w:pPr>
        <w:pStyle w:val="962"/>
        <w:numPr>
          <w:ilvl w:val="0"/>
          <w:numId w:val="0"/>
        </w:numPr>
        <w:jc w:val="center"/>
        <w:spacing w:line="240" w:lineRule="auto"/>
        <w:rPr>
          <w:rFonts w:hint="eastAsia"/>
          <w:color w:val="auto"/>
          <w:highlight w:val="none"/>
        </w:rPr>
      </w:pPr>
      <w:r/>
      <w:bookmarkStart w:id="56" w:name="_Toc55204181"/>
      <w:r>
        <w:rPr>
          <w:rFonts w:hint="eastAsia"/>
          <w:color w:val="auto"/>
          <w:highlight w:val="none"/>
        </w:rPr>
        <w:t xml:space="preserve">第五章 评标方法及评标标准</w:t>
      </w:r>
      <w:bookmarkEnd w:id="56"/>
      <w:r/>
      <w:r/>
    </w:p>
    <w:p>
      <w:pPr>
        <w:pStyle w:val="1004"/>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1004"/>
        <w:ind w:firstLine="42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Times New Roman" w:hAnsi="Times New Roman"/>
          <w:b/>
          <w:color w:val="auto"/>
          <w:szCs w:val="21"/>
          <w:highlight w:val="none"/>
        </w:rPr>
      </w:pPr>
      <w:r/>
      <w:bookmarkStart w:id="57" w:name="_Toc449017024"/>
      <w:r/>
      <w:bookmarkStart w:id="58" w:name="_Toc449016388"/>
      <w:r>
        <w:rPr>
          <w:rFonts w:ascii="Times New Roman" w:hAnsi="Times New Roman"/>
          <w:b/>
          <w:color w:val="auto"/>
          <w:szCs w:val="21"/>
          <w:highlight w:val="none"/>
        </w:rPr>
        <w:t xml:space="preserve">二、</w:t>
      </w:r>
      <w:r>
        <w:rPr>
          <w:rFonts w:hint="eastAsia" w:ascii="Times New Roman" w:hAnsi="Times New Roman"/>
          <w:b/>
          <w:color w:val="auto"/>
          <w:szCs w:val="21"/>
          <w:highlight w:val="none"/>
        </w:rPr>
        <w:t xml:space="preserve">政府采购政策功能落实</w:t>
      </w:r>
      <w:bookmarkEnd w:id="57"/>
      <w:r/>
      <w:bookmarkEnd w:id="58"/>
      <w:r/>
      <w:r/>
    </w:p>
    <w:p>
      <w:pPr>
        <w:ind w:firstLine="420"/>
        <w:spacing w:line="360" w:lineRule="auto"/>
        <w:rPr>
          <w:rFonts w:ascii="Times New Roman" w:hAnsi="Times New Roman"/>
          <w:b/>
          <w:color w:val="auto"/>
          <w:szCs w:val="21"/>
          <w:highlight w:val="none"/>
        </w:rPr>
      </w:pPr>
      <w:r>
        <w:rPr>
          <w:rFonts w:ascii="Times New Roman" w:hAnsi="Times New Roman"/>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04"/>
        <w:ind w:left="315" w:firstLine="105"/>
        <w:rPr>
          <w:rFonts w:ascii="Times New Roman" w:hAnsi="Times New Roman"/>
          <w:color w:val="auto"/>
          <w:sz w:val="21"/>
          <w:szCs w:val="21"/>
          <w:highlight w:val="none"/>
        </w:rPr>
      </w:pPr>
      <w:r>
        <w:rPr>
          <w:rFonts w:ascii="Times New Roman" w:hAnsi="Times New Roman"/>
          <w:color w:val="auto"/>
          <w:sz w:val="21"/>
          <w:szCs w:val="21"/>
          <w:highlight w:val="none"/>
        </w:rPr>
        <w:t xml:space="preserve">1、小微型企业价格扣除</w:t>
      </w:r>
      <w:r/>
    </w:p>
    <w:p>
      <w:pPr>
        <w:pStyle w:val="1004"/>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（1）本项目对小型和微型企业产品给予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%的扣除价格，用扣除后的价格参与评审。</w:t>
      </w:r>
      <w:r/>
    </w:p>
    <w:p>
      <w:pPr>
        <w:pStyle w:val="1004"/>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（2）供应商需按照采购文件的要求提供相应的《</w:t>
      </w:r>
      <w:r>
        <w:rPr>
          <w:rFonts w:hint="eastAsia" w:ascii="Times New Roman" w:hAnsi="Times New Roman"/>
          <w:color w:val="auto"/>
          <w:sz w:val="21"/>
          <w:szCs w:val="21"/>
          <w:highlight w:val="none"/>
        </w:rPr>
        <w:t xml:space="preserve">中小</w:t>
      </w:r>
      <w:r>
        <w:rPr>
          <w:rFonts w:ascii="Times New Roman" w:hAnsi="Times New Roman"/>
          <w:color w:val="auto"/>
          <w:sz w:val="21"/>
          <w:szCs w:val="21"/>
          <w:highlight w:val="none"/>
        </w:rPr>
        <w:t xml:space="preserve">企业声明函》。</w:t>
      </w:r>
      <w:r/>
    </w:p>
    <w:p>
      <w:pPr>
        <w:pStyle w:val="1004"/>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2、残疾人福利单位价格扣除</w:t>
      </w:r>
      <w:r/>
    </w:p>
    <w:p>
      <w:pPr>
        <w:pStyle w:val="1004"/>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（1）本项目对残疾人福利性单位视同小型、微型企业，给予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%的价格扣除，用扣除后的价格参与评审。</w:t>
      </w:r>
      <w:r/>
    </w:p>
    <w:p>
      <w:pPr>
        <w:pStyle w:val="1004"/>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（2）残疾人福利单位需按照采购文件的要求提供《残疾人福利性单位声明函》。</w:t>
      </w:r>
      <w:r/>
    </w:p>
    <w:p>
      <w:pPr>
        <w:pStyle w:val="1004"/>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（3）残疾人福利单位标准请参照《关于促进残疾人就业政府采购政策的通知》（财库2017〕141号）。</w:t>
      </w:r>
      <w:r/>
    </w:p>
    <w:p>
      <w:pPr>
        <w:pStyle w:val="1004"/>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3、监狱和戒毒企业价格扣除</w:t>
      </w:r>
      <w:r/>
    </w:p>
    <w:p>
      <w:pPr>
        <w:pStyle w:val="1004"/>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（1）本项目对监狱和戒毒企业（简称监狱企业）视同小型、微型企业，给予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%的价格扣除，用扣除后的价格参与评审。</w:t>
      </w:r>
      <w:r/>
    </w:p>
    <w:p>
      <w:pPr>
        <w:pStyle w:val="1004"/>
        <w:rPr>
          <w:rFonts w:ascii="Times New Roman" w:hAnsi="Times New Roman"/>
          <w:color w:val="auto"/>
          <w:sz w:val="21"/>
          <w:szCs w:val="21"/>
          <w:highlight w:val="none"/>
        </w:rPr>
      </w:pPr>
      <w:r>
        <w:rPr>
          <w:rFonts w:ascii="Times New Roman" w:hAnsi="Times New Roman"/>
          <w:color w:val="auto"/>
          <w:sz w:val="21"/>
          <w:szCs w:val="21"/>
          <w:highlight w:val="none"/>
        </w:rPr>
        <w:t xml:space="preserve">（2）监狱企业参加政府采购活动时，需提供由省级以上监狱管理局、戒毒管理局</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含新疆生产建设兵团</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出具的属于监狱企业的证明文件。供应商如不提供上述证明文件，价格将不做相应扣除。</w:t>
      </w:r>
      <w:r/>
    </w:p>
    <w:p>
      <w:pPr>
        <w:pStyle w:val="1004"/>
        <w:rPr>
          <w:rFonts w:ascii="Times New Roman" w:hAnsi="Times New Roman"/>
          <w:color w:val="auto"/>
          <w:sz w:val="21"/>
          <w:szCs w:val="21"/>
          <w:highlight w:val="none"/>
        </w:rPr>
      </w:pPr>
      <w:r>
        <w:rPr>
          <w:rFonts w:ascii="Times New Roman" w:hAnsi="Times New Roman"/>
          <w:color w:val="auto"/>
          <w:sz w:val="21"/>
          <w:szCs w:val="21"/>
          <w:highlight w:val="none"/>
        </w:rPr>
        <w:t xml:space="preserve">（3）监狱企业标准请参照《关于政府采购支持监狱企业发展有关问题的通知》（财库[2014]68号）。</w:t>
      </w:r>
      <w:r/>
    </w:p>
    <w:p>
      <w:pPr>
        <w:pStyle w:val="1004"/>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4、残疾人福利单位、监狱企业属于小型、微型企业的，不重复享受政策。</w:t>
      </w:r>
      <w:r/>
    </w:p>
    <w:p>
      <w:pPr>
        <w:pStyle w:val="1004"/>
        <w:rPr>
          <w:rFonts w:ascii="Times New Roman" w:hAnsi="Times New Roman"/>
          <w:color w:val="auto"/>
          <w:sz w:val="21"/>
          <w:szCs w:val="21"/>
          <w:highlight w:val="none"/>
        </w:rPr>
      </w:pPr>
      <w:r>
        <w:rPr>
          <w:rFonts w:ascii="Times New Roman" w:hAnsi="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auto"/>
          <w:sz w:val="21"/>
          <w:szCs w:val="21"/>
          <w:highlight w:val="none"/>
        </w:rPr>
        <w:t xml:space="preserve">6</w:t>
      </w:r>
      <w:r>
        <w:rPr>
          <w:rFonts w:ascii="Times New Roman" w:hAnsi="Times New Roman"/>
          <w:color w:val="auto"/>
          <w:sz w:val="21"/>
          <w:szCs w:val="21"/>
          <w:highlight w:val="none"/>
        </w:rPr>
        <w:t xml:space="preserve">%的价格扣除，用扣除后的价格参与评审。</w:t>
      </w:r>
      <w:r/>
    </w:p>
    <w:p>
      <w:pPr>
        <w:pStyle w:val="1004"/>
        <w:rPr>
          <w:rFonts w:ascii="Times New Roman" w:hAnsi="Times New Roman"/>
          <w:color w:val="auto"/>
          <w:sz w:val="21"/>
          <w:szCs w:val="21"/>
          <w:highlight w:val="none"/>
        </w:rPr>
      </w:pPr>
      <w:r>
        <w:rPr>
          <w:rFonts w:ascii="Times New Roman" w:hAnsi="Times New Roman"/>
          <w:color w:val="auto"/>
          <w:sz w:val="21"/>
          <w:szCs w:val="21"/>
          <w:highlight w:val="none"/>
        </w:rPr>
        <w:t xml:space="preserve">6、联合体各方均为小型、微型企业（残疾人福利单位、监狱企业）的，联合体享受</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%价格扣除，用扣除后的价格参与评审。</w:t>
      </w:r>
      <w:r/>
    </w:p>
    <w:p>
      <w:pPr>
        <w:ind w:firstLine="420"/>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t xml:space="preserve">7、大中型企业向小型、微型企业分包的，分包意向协议约定小型、微型企业合同份额占到合同总金额30%以上的，给予6%的价格扣除，用扣除后的价格参与评审。</w:t>
      </w:r>
      <w:r/>
    </w:p>
    <w:p>
      <w:pPr>
        <w:ind w:firstLine="211"/>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三、评标标准</w:t>
      </w:r>
      <w:r/>
    </w:p>
    <w:tbl>
      <w:tblPr>
        <w:tblStyle w:val="789"/>
        <w:tblW w:w="9729" w:type="dxa"/>
        <w:jc w:val="center"/>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1365"/>
        <w:gridCol w:w="8364"/>
      </w:tblGrid>
      <w:tr>
        <w:trPr>
          <w:jc w:val="center"/>
          <w:trHeight w:val="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  目</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评分标准</w:t>
            </w:r>
            <w:r/>
          </w:p>
        </w:tc>
      </w:tr>
      <w:tr>
        <w:trPr>
          <w:jc w:val="center"/>
          <w:trHeight w:val="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w:t>
            </w:r>
            <w:r/>
          </w:p>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ind w:firstLine="0"/>
              <w:jc w:val="both"/>
              <w:keepLines w:val="0"/>
              <w:keepNext w:val="0"/>
              <w:pageBreakBefore w:val="0"/>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以满足招标文件要求的且投标折扣最低的投标报价为评标基准价，得满分</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分，其他投标报价得分=（评标基准价/其他投标报价）×1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×100%。</w:t>
            </w:r>
            <w:r/>
          </w:p>
          <w:p>
            <w:pPr>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lang w:val="en-US" w:eastAsia="zh-CN"/>
              </w:rPr>
              <w:t xml:space="preserve">投标折扣</w:t>
            </w:r>
            <w:r>
              <w:rPr>
                <w:rFonts w:hint="eastAsia" w:ascii="宋体" w:hAnsi="宋体" w:eastAsia="宋体" w:cs="宋体"/>
                <w:b/>
                <w:bCs/>
                <w:color w:val="auto"/>
                <w:sz w:val="21"/>
                <w:szCs w:val="21"/>
                <w:highlight w:val="none"/>
              </w:rPr>
              <w:t xml:space="preserve">七折以下（含七折）需提供合理性说明上传系统</w:t>
            </w:r>
            <w:r>
              <w:rPr>
                <w:rFonts w:hint="eastAsia" w:ascii="宋体" w:hAnsi="宋体" w:eastAsia="宋体" w:cs="宋体"/>
                <w:b/>
                <w:bCs/>
                <w:color w:val="auto"/>
                <w:sz w:val="21"/>
                <w:szCs w:val="21"/>
                <w:highlight w:val="none"/>
                <w:lang w:eastAsia="zh-CN"/>
              </w:rPr>
              <w:t xml:space="preserve">。</w:t>
            </w:r>
            <w:r/>
          </w:p>
        </w:tc>
      </w:tr>
      <w:tr>
        <w:trPr>
          <w:jc w:val="center"/>
          <w:trHeight w:val="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拟投入本项目人员</w:t>
            </w:r>
            <w:r/>
          </w:p>
          <w:p>
            <w:pPr>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分）</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具有与食品抽检工作相匹配的专职抽样人员和检验人员。</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1、人员数量（</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其</w:t>
            </w:r>
            <w:r>
              <w:rPr>
                <w:rFonts w:hint="eastAsia" w:ascii="宋体" w:hAnsi="宋体" w:eastAsia="宋体" w:cs="宋体"/>
                <w:color w:val="auto"/>
                <w:sz w:val="21"/>
                <w:szCs w:val="21"/>
                <w:highlight w:val="none"/>
              </w:rPr>
              <w:t xml:space="preserve">中食品抽样人员10名以上（含）得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分，不足按比例得分；食品检验人员40名以上（含）得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分，不足按比例得分。</w:t>
            </w:r>
            <w:r>
              <w:rPr>
                <w:rFonts w:hint="eastAsia" w:ascii="宋体" w:hAnsi="宋体" w:eastAsia="宋体" w:cs="宋体"/>
                <w:b/>
                <w:bCs/>
                <w:color w:val="auto"/>
                <w:sz w:val="21"/>
                <w:szCs w:val="21"/>
                <w:highlight w:val="none"/>
              </w:rPr>
              <w:t xml:space="preserve">（提供人员食品岗位证明、相关学历证明、职称证明、投标人近</w:t>
            </w:r>
            <w:r>
              <w:rPr>
                <w:rFonts w:hint="eastAsia" w:ascii="宋体" w:hAnsi="宋体" w:eastAsia="宋体" w:cs="宋体"/>
                <w:b/>
                <w:bCs/>
                <w:color w:val="auto"/>
                <w:sz w:val="21"/>
                <w:szCs w:val="21"/>
                <w:highlight w:val="none"/>
                <w:lang w:val="en-US" w:eastAsia="zh-CN"/>
              </w:rPr>
              <w:t xml:space="preserve">三个月任意一个月</w:t>
            </w:r>
            <w:r>
              <w:rPr>
                <w:rFonts w:hint="eastAsia" w:ascii="宋体" w:hAnsi="宋体" w:eastAsia="宋体" w:cs="宋体"/>
                <w:b/>
                <w:bCs/>
                <w:color w:val="auto"/>
                <w:sz w:val="21"/>
                <w:szCs w:val="21"/>
                <w:highlight w:val="none"/>
              </w:rPr>
              <w:t xml:space="preserve">为其缴纳社保证</w:t>
            </w:r>
            <w:r>
              <w:rPr>
                <w:rFonts w:hint="eastAsia" w:ascii="宋体" w:hAnsi="宋体" w:eastAsia="宋体" w:cs="宋体"/>
                <w:b/>
                <w:bCs/>
                <w:color w:val="auto"/>
                <w:sz w:val="21"/>
                <w:szCs w:val="21"/>
                <w:highlight w:val="none"/>
              </w:rPr>
              <w:t xml:space="preserve">明</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提供承诺函原件，承诺函承诺投标文件中拟投入的所有人员为本次项目服务人员且均为本单位在职成员</w:t>
            </w:r>
            <w:r>
              <w:rPr>
                <w:rFonts w:hint="eastAsia" w:ascii="宋体" w:hAnsi="宋体" w:eastAsia="宋体" w:cs="宋体"/>
                <w:b/>
                <w:bCs/>
                <w:color w:val="auto"/>
                <w:sz w:val="21"/>
                <w:szCs w:val="21"/>
                <w:highlight w:val="none"/>
              </w:rPr>
              <w:t xml:space="preserve">等加盖投标人公章</w:t>
            </w:r>
            <w:r>
              <w:rPr>
                <w:rFonts w:hint="eastAsia" w:ascii="宋体" w:hAnsi="宋体" w:eastAsia="宋体" w:cs="宋体"/>
                <w:b/>
                <w:bCs/>
                <w:color w:val="auto"/>
                <w:sz w:val="21"/>
                <w:szCs w:val="21"/>
                <w:highlight w:val="none"/>
                <w:lang w:val="en-US" w:eastAsia="zh-CN"/>
              </w:rPr>
              <w:t xml:space="preserve">上传系统</w:t>
            </w:r>
            <w:r>
              <w:rPr>
                <w:rFonts w:hint="eastAsia" w:ascii="宋体" w:hAnsi="宋体" w:eastAsia="宋体" w:cs="宋体"/>
                <w:b/>
                <w:bCs/>
                <w:color w:val="auto"/>
                <w:sz w:val="21"/>
                <w:szCs w:val="21"/>
                <w:highlight w:val="none"/>
              </w:rPr>
              <w:t xml:space="preserve">，抽样人员和检验人员不能同时申报）</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2、人员实力（5分）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拟投入食品检验人员中每有一名具有高级及以上职称或博士学位的得1分，满分5分。</w:t>
            </w:r>
            <w:r>
              <w:rPr>
                <w:rFonts w:hint="eastAsia" w:ascii="宋体" w:hAnsi="宋体" w:eastAsia="宋体" w:cs="宋体"/>
                <w:b/>
                <w:bCs/>
                <w:color w:val="auto"/>
                <w:sz w:val="21"/>
                <w:szCs w:val="21"/>
                <w:highlight w:val="none"/>
              </w:rPr>
              <w:t xml:space="preserve">（须提供职称证书</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学位证书、投标人</w:t>
            </w:r>
            <w:r>
              <w:rPr>
                <w:rFonts w:hint="eastAsia" w:ascii="宋体" w:hAnsi="宋体" w:eastAsia="宋体" w:cs="宋体"/>
                <w:color w:val="auto"/>
                <w:sz w:val="21"/>
                <w:szCs w:val="21"/>
                <w:highlight w:val="none"/>
              </w:rPr>
              <w:t xml:space="preserve">近</w:t>
            </w:r>
            <w:r>
              <w:rPr>
                <w:rFonts w:hint="eastAsia" w:ascii="宋体" w:hAnsi="宋体" w:eastAsia="宋体" w:cs="宋体"/>
                <w:color w:val="auto"/>
                <w:sz w:val="21"/>
                <w:szCs w:val="21"/>
                <w:highlight w:val="none"/>
                <w:lang w:val="en-US" w:eastAsia="zh-CN"/>
              </w:rPr>
              <w:t xml:space="preserve">三个月任意一个月</w:t>
            </w:r>
            <w:r>
              <w:rPr>
                <w:rFonts w:hint="eastAsia" w:ascii="宋体" w:hAnsi="宋体" w:eastAsia="宋体" w:cs="宋体"/>
                <w:b/>
                <w:bCs/>
                <w:color w:val="auto"/>
                <w:sz w:val="21"/>
                <w:szCs w:val="21"/>
                <w:highlight w:val="none"/>
              </w:rPr>
              <w:t xml:space="preserve">为其缴纳社保证明等</w:t>
            </w:r>
            <w:r>
              <w:rPr>
                <w:rFonts w:hint="eastAsia" w:ascii="宋体" w:hAnsi="宋体" w:eastAsia="宋体" w:cs="宋体"/>
                <w:b/>
                <w:bCs/>
                <w:color w:val="auto"/>
                <w:sz w:val="21"/>
                <w:szCs w:val="21"/>
                <w:highlight w:val="none"/>
                <w:lang w:val="en-US" w:eastAsia="zh-CN"/>
              </w:rPr>
              <w:t xml:space="preserve">原件扫描上传</w:t>
            </w:r>
            <w:r>
              <w:rPr>
                <w:rFonts w:hint="eastAsia" w:ascii="宋体" w:hAnsi="宋体" w:eastAsia="宋体" w:cs="宋体"/>
                <w:b/>
                <w:bCs/>
                <w:color w:val="auto"/>
                <w:sz w:val="21"/>
                <w:szCs w:val="21"/>
                <w:highlight w:val="none"/>
              </w:rPr>
              <w:t xml:space="preserve">加盖投标人公章，同一人员的职称和学历不重复计算得分）</w:t>
            </w:r>
            <w:r/>
          </w:p>
        </w:tc>
      </w:tr>
      <w:tr>
        <w:trPr>
          <w:jc w:val="center"/>
          <w:trHeight w:val="689"/>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拟投入本项目设施</w:t>
            </w:r>
            <w:r/>
          </w:p>
          <w:p>
            <w:pPr>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1、实验室场地（</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根据投标人具备的与食品检测工作相适应的实验场所建筑面积、具体布局等进行评价。食品检测实验室建筑面积（不含办公室），低于</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000m²（不含）不得分，</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000m²（含）得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分，每增加500m²加1分，满分</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rPr>
              <w:t xml:space="preserve">（须提供食品实验室平面布局图</w:t>
            </w:r>
            <w:r>
              <w:rPr>
                <w:rFonts w:hint="eastAsia" w:ascii="宋体" w:hAnsi="宋体" w:eastAsia="宋体" w:cs="宋体"/>
                <w:b/>
                <w:bCs/>
                <w:color w:val="auto"/>
                <w:sz w:val="21"/>
                <w:szCs w:val="21"/>
                <w:highlight w:val="none"/>
                <w:lang w:eastAsia="zh-CN"/>
              </w:rPr>
              <w:t xml:space="preserve">及</w:t>
            </w:r>
            <w:r>
              <w:rPr>
                <w:rFonts w:hint="eastAsia" w:ascii="宋体" w:hAnsi="宋体" w:eastAsia="宋体" w:cs="宋体"/>
                <w:b/>
                <w:bCs/>
                <w:color w:val="auto"/>
                <w:sz w:val="21"/>
                <w:szCs w:val="21"/>
                <w:highlight w:val="none"/>
              </w:rPr>
              <w:t xml:space="preserve">各组成部分面积清单</w:t>
            </w:r>
            <w:r>
              <w:rPr>
                <w:rFonts w:hint="eastAsia" w:ascii="宋体" w:hAnsi="宋体" w:eastAsia="宋体" w:cs="宋体"/>
                <w:b/>
                <w:bCs/>
                <w:color w:val="auto"/>
                <w:sz w:val="21"/>
                <w:szCs w:val="21"/>
                <w:highlight w:val="none"/>
                <w:lang w:val="en-US" w:eastAsia="zh-CN"/>
              </w:rPr>
              <w:t xml:space="preserve">扫描上传</w:t>
            </w:r>
            <w:r>
              <w:rPr>
                <w:rFonts w:hint="eastAsia" w:ascii="宋体" w:hAnsi="宋体" w:eastAsia="宋体" w:cs="宋体"/>
                <w:b/>
                <w:bCs/>
                <w:color w:val="auto"/>
                <w:sz w:val="21"/>
                <w:szCs w:val="21"/>
                <w:highlight w:val="none"/>
              </w:rPr>
              <w:t xml:space="preserve">加盖</w:t>
            </w:r>
            <w:r>
              <w:rPr>
                <w:rFonts w:hint="eastAsia" w:ascii="宋体" w:hAnsi="宋体" w:eastAsia="宋体" w:cs="宋体"/>
                <w:b/>
                <w:bCs/>
                <w:color w:val="auto"/>
                <w:sz w:val="21"/>
                <w:szCs w:val="21"/>
                <w:highlight w:val="none"/>
              </w:rPr>
              <w:t xml:space="preserve">投标人公章）</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2、实验室设备（10分）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投标人具有满足食品安全检测的设施及仪器设备。其中具有液质联用仪2台、液相色谱仪3台、气相色谱仪3台、气质联用仪2台、气相色谱串联质谱仪（GC-MS/MS）1台、电感耦合等离子体质谱仪</w:t>
            </w:r>
            <w:r>
              <w:rPr>
                <w:rFonts w:hint="eastAsia" w:ascii="宋体" w:hAnsi="宋体" w:eastAsia="宋体" w:cs="宋体"/>
                <w:color w:val="auto"/>
                <w:sz w:val="21"/>
                <w:szCs w:val="21"/>
                <w:highlight w:val="none"/>
              </w:rPr>
              <w:t xml:space="preserve">（ICP-MS）1台、原子荧光光谱仪1台、原子吸收分光光度计1台得基本分6分。每少1台扣1分，每增加一台加0.5分，满分10分。</w:t>
            </w:r>
            <w:r>
              <w:rPr>
                <w:rFonts w:hint="eastAsia" w:ascii="宋体" w:hAnsi="宋体" w:eastAsia="宋体" w:cs="宋体"/>
                <w:b/>
                <w:bCs/>
                <w:color w:val="auto"/>
                <w:sz w:val="21"/>
                <w:szCs w:val="21"/>
                <w:highlight w:val="none"/>
              </w:rPr>
              <w:t xml:space="preserve">（提供以上仪器设备清单、设备原值、购置时间、台套数、计量检定证明、发票、仪器在实验室的照片等其他证明材料</w:t>
            </w:r>
            <w:r>
              <w:rPr>
                <w:rFonts w:hint="eastAsia" w:ascii="宋体" w:hAnsi="宋体" w:eastAsia="宋体" w:cs="宋体"/>
                <w:b/>
                <w:bCs/>
                <w:color w:val="auto"/>
                <w:sz w:val="21"/>
                <w:szCs w:val="21"/>
                <w:highlight w:val="none"/>
                <w:lang w:val="en-US" w:eastAsia="zh-CN"/>
              </w:rPr>
              <w:t xml:space="preserve">上传系统</w:t>
            </w:r>
            <w:r>
              <w:rPr>
                <w:rFonts w:hint="eastAsia" w:ascii="宋体" w:hAnsi="宋体" w:eastAsia="宋体" w:cs="宋体"/>
                <w:b/>
                <w:bCs/>
                <w:color w:val="auto"/>
                <w:sz w:val="21"/>
                <w:szCs w:val="21"/>
                <w:highlight w:val="none"/>
              </w:rPr>
              <w:t xml:space="preserve">加盖投标人公章</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证明资料不完整、不清晰可辨或不一致的不计分。）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3、实验室运输实力（9分）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投标人具备满足食品抽检工作要求的抽样工具、车辆及特殊贮存条件要求的运输设备情况。 </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①投标人自有采样车每有一辆得 1 分，租赁采样车每有一辆得 0.5 分，满分4 分； </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②投标人自有冷藏车每有一辆得 1 分，租赁冷藏车每有一辆得 0.5 分，满分 3 分； </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③投标人具备用于样品保存的车载冰箱，每有 5 个得 1 分，满分 2 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须提供以上车辆行驶证或车辆租赁协议及车载冰箱发票</w:t>
            </w:r>
            <w:r>
              <w:rPr>
                <w:rFonts w:hint="eastAsia" w:ascii="宋体" w:hAnsi="宋体" w:eastAsia="宋体" w:cs="宋体"/>
                <w:b/>
                <w:bCs/>
                <w:color w:val="auto"/>
                <w:sz w:val="21"/>
                <w:szCs w:val="21"/>
                <w:highlight w:val="none"/>
                <w:lang w:val="en-US" w:eastAsia="zh-CN"/>
              </w:rPr>
              <w:t xml:space="preserve">扫描上传</w:t>
            </w:r>
            <w:r>
              <w:rPr>
                <w:rFonts w:hint="eastAsia" w:ascii="宋体" w:hAnsi="宋体" w:eastAsia="宋体" w:cs="宋体"/>
                <w:b/>
                <w:bCs/>
                <w:color w:val="auto"/>
                <w:sz w:val="21"/>
                <w:szCs w:val="21"/>
                <w:highlight w:val="none"/>
              </w:rPr>
              <w:t xml:space="preserve">加盖</w:t>
            </w:r>
            <w:r>
              <w:rPr>
                <w:rFonts w:hint="eastAsia" w:ascii="宋体" w:hAnsi="宋体" w:eastAsia="宋体" w:cs="宋体"/>
                <w:b/>
                <w:bCs/>
                <w:color w:val="auto"/>
                <w:sz w:val="21"/>
                <w:szCs w:val="21"/>
                <w:highlight w:val="none"/>
              </w:rPr>
              <w:t xml:space="preserve">投标人公章）</w:t>
            </w:r>
            <w:r/>
          </w:p>
        </w:tc>
      </w:tr>
      <w:tr>
        <w:trPr>
          <w:jc w:val="center"/>
          <w:trHeight w:val="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技术实施方案和应急方案</w:t>
            </w:r>
            <w:r/>
          </w:p>
          <w:p>
            <w:pPr>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对本项目食品抽检计划实施的保障情况，熟悉扬州地区食品生产企业分布情况</w:t>
            </w:r>
            <w:r>
              <w:rPr>
                <w:rFonts w:hint="eastAsia" w:ascii="宋体" w:hAnsi="宋体" w:eastAsia="宋体" w:cs="宋体"/>
                <w:color w:val="auto"/>
                <w:sz w:val="21"/>
                <w:szCs w:val="21"/>
                <w:highlight w:val="none"/>
                <w:lang w:eastAsia="zh-CN"/>
              </w:rPr>
              <w:t xml:space="preserve">、产业状况、抽检情况等</w:t>
            </w:r>
            <w:r>
              <w:rPr>
                <w:rFonts w:hint="eastAsia" w:ascii="宋体" w:hAnsi="宋体" w:eastAsia="宋体" w:cs="宋体"/>
                <w:color w:val="auto"/>
                <w:sz w:val="21"/>
                <w:szCs w:val="21"/>
                <w:highlight w:val="none"/>
              </w:rPr>
              <w:t xml:space="preserve">并针对具体情况实施的组织情况、实施方案、质量控制等进行评分。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8分</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方案细致全面、合理，技术可行性强得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方案较为完整，技术可行性较强得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方案不完整、技术可行性较低得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不提供方案不得分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2、对本项目食品应急抽检计划</w:t>
            </w:r>
            <w:r>
              <w:rPr>
                <w:rFonts w:hint="eastAsia" w:ascii="宋体" w:hAnsi="宋体" w:eastAsia="宋体" w:cs="宋体"/>
                <w:color w:val="auto"/>
                <w:sz w:val="21"/>
                <w:szCs w:val="21"/>
                <w:highlight w:val="none"/>
                <w:lang w:val="en-US" w:eastAsia="zh-CN"/>
              </w:rPr>
              <w:t xml:space="preserve">方案和快速响应</w:t>
            </w:r>
            <w:r>
              <w:rPr>
                <w:rFonts w:hint="eastAsia" w:ascii="宋体" w:hAnsi="宋体" w:eastAsia="宋体" w:cs="宋体"/>
                <w:color w:val="auto"/>
                <w:sz w:val="21"/>
                <w:szCs w:val="21"/>
                <w:highlight w:val="none"/>
              </w:rPr>
              <w:t xml:space="preserve">的保障情况，应急响应的组织情况、实施方案、质量控制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应急响应时间以及</w:t>
            </w:r>
            <w:r>
              <w:rPr>
                <w:rFonts w:hint="eastAsia" w:ascii="宋体" w:hAnsi="宋体" w:eastAsia="宋体" w:cs="宋体"/>
                <w:color w:val="auto"/>
                <w:sz w:val="21"/>
                <w:szCs w:val="21"/>
                <w:highlight w:val="none"/>
              </w:rPr>
              <w:t xml:space="preserve">快速响应保障方案</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时效快速</w:t>
            </w:r>
            <w:r>
              <w:rPr>
                <w:rFonts w:hint="eastAsia" w:ascii="宋体" w:hAnsi="宋体" w:eastAsia="宋体" w:cs="宋体"/>
                <w:color w:val="auto"/>
                <w:sz w:val="21"/>
                <w:szCs w:val="21"/>
                <w:highlight w:val="none"/>
                <w:lang w:val="en-US" w:eastAsia="zh-CN"/>
              </w:rPr>
              <w:t xml:space="preserve">性</w:t>
            </w:r>
            <w:r>
              <w:rPr>
                <w:rFonts w:hint="eastAsia" w:ascii="宋体" w:hAnsi="宋体" w:eastAsia="宋体" w:cs="宋体"/>
                <w:color w:val="auto"/>
                <w:sz w:val="21"/>
                <w:szCs w:val="21"/>
                <w:highlight w:val="none"/>
              </w:rPr>
              <w:t xml:space="preserve">、措施合理</w:t>
            </w:r>
            <w:r>
              <w:rPr>
                <w:rFonts w:hint="eastAsia" w:ascii="宋体" w:hAnsi="宋体" w:eastAsia="宋体" w:cs="宋体"/>
                <w:color w:val="auto"/>
                <w:sz w:val="21"/>
                <w:szCs w:val="21"/>
                <w:highlight w:val="none"/>
                <w:lang w:val="en-US" w:eastAsia="zh-CN"/>
              </w:rPr>
              <w:t xml:space="preserve">性</w:t>
            </w:r>
            <w:r>
              <w:rPr>
                <w:rFonts w:hint="eastAsia" w:ascii="宋体" w:hAnsi="宋体" w:eastAsia="宋体" w:cs="宋体"/>
                <w:color w:val="auto"/>
                <w:sz w:val="21"/>
                <w:szCs w:val="21"/>
                <w:highlight w:val="none"/>
              </w:rPr>
              <w:t xml:space="preserve">等进行评分。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方案细致全面、合理，符合响应需求，技术可行性强得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方案较为完整，基本符合响应需求得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方案不完整、响应度低、技术可行性较低得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不提供方案不得分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3、投标人在实施食品抽检服务之外为采购人提供相关增值服务进行评分。（</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方案细致全面、合理，增值服务好得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方案较为完整，增值服务较好得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方案不完整、增值服务一般得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不提供方案不得分。</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4、投标人在实施食品抽检服务之外为采购人提供相关增值服务进行评分。（6分）</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方案细致全面、合理，增值服务好得6分；</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方案较为完整，增值服务较好得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方案不完整、增值服务一般得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w:t>
            </w:r>
            <w:r/>
          </w:p>
          <w:p>
            <w:pPr>
              <w:pStyle w:val="790"/>
              <w:ind w:left="0" w:firstLine="0"/>
              <w:rPr>
                <w:rFonts w:hint="eastAsia"/>
                <w:color w:val="auto"/>
                <w:highlight w:val="none"/>
              </w:rPr>
            </w:pPr>
            <w:r>
              <w:rPr>
                <w:rFonts w:hint="eastAsia" w:ascii="宋体" w:hAnsi="宋体" w:eastAsia="宋体" w:cs="宋体"/>
                <w:color w:val="auto"/>
                <w:sz w:val="21"/>
                <w:szCs w:val="21"/>
                <w:highlight w:val="none"/>
                <w:lang w:val="en-US" w:eastAsia="zh-CN" w:bidi="ar-SA"/>
              </w:rPr>
              <w:t xml:space="preserve">不提供方案不得分。</w:t>
            </w:r>
            <w:r/>
          </w:p>
        </w:tc>
      </w:tr>
      <w:tr>
        <w:trPr>
          <w:jc w:val="center"/>
          <w:trHeight w:val="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企业实力</w:t>
            </w:r>
            <w:r/>
          </w:p>
          <w:p>
            <w:pPr>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1、专业类产品检测能力（2分）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①投标人通过 CNAS 认证的得 1 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②投标人通</w:t>
            </w:r>
            <w:r>
              <w:rPr>
                <w:rFonts w:hint="eastAsia" w:ascii="宋体" w:hAnsi="宋体" w:eastAsia="宋体" w:cs="宋体"/>
                <w:color w:val="auto"/>
                <w:sz w:val="21"/>
                <w:szCs w:val="21"/>
                <w:highlight w:val="none"/>
              </w:rPr>
              <w:t xml:space="preserve">过 CATL 考核的得 1 分；</w:t>
            </w:r>
            <w:r/>
          </w:p>
          <w:p>
            <w:pPr>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（须提供相关证明材料</w:t>
            </w:r>
            <w:r>
              <w:rPr>
                <w:rFonts w:hint="eastAsia" w:ascii="宋体" w:hAnsi="宋体" w:eastAsia="宋体" w:cs="宋体"/>
                <w:b/>
                <w:bCs/>
                <w:color w:val="auto"/>
                <w:sz w:val="21"/>
                <w:szCs w:val="21"/>
                <w:highlight w:val="none"/>
                <w:lang w:val="en-US" w:eastAsia="zh-CN"/>
              </w:rPr>
              <w:t xml:space="preserve">上传系统</w:t>
            </w:r>
            <w:r>
              <w:rPr>
                <w:rFonts w:hint="eastAsia" w:ascii="宋体" w:hAnsi="宋体" w:eastAsia="宋体" w:cs="宋体"/>
                <w:b/>
                <w:bCs/>
                <w:color w:val="auto"/>
                <w:sz w:val="21"/>
                <w:szCs w:val="21"/>
                <w:highlight w:val="none"/>
              </w:rPr>
              <w:t xml:space="preserve">加盖投标人公章）</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2、综合覆盖率（5分）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rPr>
              <w:t xml:space="preserve">人对《202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年国家食品安全监督抽检实施细则》中33类食品（</w:t>
            </w:r>
            <w:r>
              <w:rPr>
                <w:rFonts w:hint="eastAsia" w:ascii="宋体" w:hAnsi="宋体" w:eastAsia="宋体" w:cs="宋体"/>
                <w:color w:val="auto"/>
                <w:sz w:val="21"/>
                <w:szCs w:val="21"/>
                <w:highlight w:val="none"/>
                <w:lang w:val="en-US" w:eastAsia="zh-CN"/>
              </w:rPr>
              <w:t xml:space="preserve">含</w:t>
            </w:r>
            <w:r>
              <w:rPr>
                <w:rFonts w:hint="eastAsia" w:ascii="宋体" w:hAnsi="宋体" w:eastAsia="宋体" w:cs="宋体"/>
                <w:color w:val="auto"/>
                <w:sz w:val="21"/>
                <w:szCs w:val="21"/>
                <w:highlight w:val="none"/>
              </w:rPr>
              <w:t xml:space="preserve">食用农产品）列出</w:t>
            </w:r>
            <w:r>
              <w:rPr>
                <w:rFonts w:hint="eastAsia" w:ascii="宋体" w:hAnsi="宋体" w:eastAsia="宋体" w:cs="宋体"/>
                <w:color w:val="auto"/>
                <w:sz w:val="21"/>
                <w:szCs w:val="21"/>
                <w:highlight w:val="none"/>
              </w:rPr>
              <w:t xml:space="preserve">的各产品检验项目表的项目覆盖率在95%（不含）以下的不得分；95%得1分，每增加1%加1分，满分5分。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须提供证书、实验室资质及检验项目资质情况表的对照表</w:t>
            </w:r>
            <w:r>
              <w:rPr>
                <w:rFonts w:hint="eastAsia" w:ascii="宋体" w:hAnsi="宋体" w:eastAsia="宋体" w:cs="宋体"/>
                <w:b/>
                <w:bCs/>
                <w:color w:val="auto"/>
                <w:sz w:val="21"/>
                <w:szCs w:val="21"/>
                <w:highlight w:val="none"/>
                <w:lang w:val="en-US" w:eastAsia="zh-CN"/>
              </w:rPr>
              <w:t xml:space="preserve">上传系统</w:t>
            </w:r>
            <w:r>
              <w:rPr>
                <w:rFonts w:hint="eastAsia" w:ascii="宋体" w:hAnsi="宋体" w:eastAsia="宋体" w:cs="宋体"/>
                <w:b/>
                <w:bCs/>
                <w:color w:val="auto"/>
                <w:sz w:val="21"/>
                <w:szCs w:val="21"/>
                <w:highlight w:val="none"/>
              </w:rPr>
              <w:t xml:space="preserve">加盖投标人公章</w:t>
            </w:r>
            <w:r>
              <w:rPr>
                <w:rFonts w:hint="eastAsia" w:ascii="宋体" w:hAnsi="宋体" w:eastAsia="宋体" w:cs="宋体"/>
                <w:b/>
                <w:bCs/>
                <w:color w:val="auto"/>
                <w:sz w:val="21"/>
                <w:szCs w:val="21"/>
                <w:highlight w:val="none"/>
                <w:lang w:eastAsia="zh-CN"/>
              </w:rPr>
              <w:t xml:space="preserve">）</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3、能力验证（</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firstLine="0"/>
              <w:keepLines w:val="0"/>
              <w:keepNext w:val="0"/>
              <w:pageBreakBefore w:val="0"/>
              <w:spacing w:line="44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rPr>
              <w:t xml:space="preserve">投标人202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年参加的能力</w:t>
            </w:r>
            <w:r>
              <w:rPr>
                <w:rFonts w:hint="eastAsia" w:ascii="宋体" w:hAnsi="宋体" w:eastAsia="宋体" w:cs="宋体"/>
                <w:color w:val="auto"/>
                <w:sz w:val="21"/>
                <w:szCs w:val="21"/>
                <w:highlight w:val="none"/>
              </w:rPr>
              <w:t xml:space="preserve">验证数量和结果进行评审。参加</w:t>
            </w:r>
            <w:r>
              <w:rPr>
                <w:rFonts w:hint="eastAsia" w:ascii="宋体" w:hAnsi="宋体" w:cs="宋体"/>
                <w:color w:val="auto"/>
                <w:sz w:val="21"/>
                <w:szCs w:val="21"/>
                <w:highlight w:val="none"/>
                <w:lang w:val="en-US" w:eastAsia="zh-CN"/>
              </w:rPr>
              <w:t xml:space="preserve">省</w:t>
            </w:r>
            <w:r>
              <w:rPr>
                <w:rFonts w:hint="eastAsia" w:ascii="宋体" w:hAnsi="宋体" w:eastAsia="宋体" w:cs="宋体"/>
                <w:color w:val="auto"/>
                <w:sz w:val="21"/>
                <w:szCs w:val="21"/>
                <w:highlight w:val="none"/>
              </w:rPr>
              <w:t xml:space="preserve">级及以上食品检测能力验证且结果满意的数量：平均15次/年（含）以上的得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分，每少1次扣1分，扣完为止。</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须提供能力验证证书或相关文件</w:t>
            </w:r>
            <w:r>
              <w:rPr>
                <w:rFonts w:hint="eastAsia" w:ascii="宋体" w:hAnsi="宋体" w:eastAsia="宋体" w:cs="宋体"/>
                <w:b/>
                <w:bCs/>
                <w:color w:val="auto"/>
                <w:sz w:val="21"/>
                <w:szCs w:val="21"/>
                <w:highlight w:val="none"/>
                <w:lang w:val="en-US" w:eastAsia="zh-CN"/>
              </w:rPr>
              <w:t xml:space="preserve">上传系统</w:t>
            </w:r>
            <w:r>
              <w:rPr>
                <w:rFonts w:hint="eastAsia" w:ascii="宋体" w:hAnsi="宋体" w:eastAsia="宋体" w:cs="宋体"/>
                <w:b/>
                <w:bCs/>
                <w:color w:val="auto"/>
                <w:sz w:val="21"/>
                <w:szCs w:val="21"/>
                <w:highlight w:val="none"/>
              </w:rPr>
              <w:t xml:space="preserve">加盖投标</w:t>
            </w:r>
            <w:r>
              <w:rPr>
                <w:rFonts w:hint="eastAsia" w:ascii="宋体" w:hAnsi="宋体" w:eastAsia="宋体" w:cs="宋体"/>
                <w:b/>
                <w:bCs/>
                <w:color w:val="auto"/>
                <w:sz w:val="21"/>
                <w:szCs w:val="21"/>
                <w:highlight w:val="none"/>
              </w:rPr>
              <w:t xml:space="preserve">人公章</w:t>
            </w:r>
            <w:r>
              <w:rPr>
                <w:rFonts w:hint="eastAsia" w:ascii="宋体" w:hAnsi="宋体" w:eastAsia="宋体" w:cs="宋体"/>
                <w:b/>
                <w:bCs/>
                <w:color w:val="auto"/>
                <w:sz w:val="21"/>
                <w:szCs w:val="21"/>
                <w:highlight w:val="none"/>
                <w:lang w:eastAsia="zh-CN"/>
              </w:rPr>
              <w:t xml:space="preserve">）</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4、服务能力（</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w:t>
            </w:r>
            <w:r>
              <w:rPr>
                <w:rFonts w:hint="eastAsia" w:ascii="宋体" w:hAnsi="宋体" w:eastAsia="宋体" w:cs="宋体"/>
                <w:color w:val="auto"/>
                <w:sz w:val="21"/>
                <w:szCs w:val="21"/>
                <w:highlight w:val="none"/>
                <w:lang w:val="en-US" w:eastAsia="zh-CN"/>
              </w:rPr>
              <w:t xml:space="preserve">投标人具有食品检测技术</w:t>
            </w:r>
            <w:r>
              <w:rPr>
                <w:rFonts w:hint="eastAsia" w:ascii="宋体" w:hAnsi="宋体" w:eastAsia="宋体" w:cs="宋体"/>
                <w:color w:val="auto"/>
                <w:sz w:val="21"/>
                <w:szCs w:val="21"/>
                <w:highlight w:val="none"/>
                <w:lang w:val="en-US" w:eastAsia="zh-CN"/>
              </w:rPr>
              <w:t xml:space="preserve">相关的专利的每项得 0.2分，最高得 1 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②投标人参与过国家、行业、地方食品相关检查方法、标准制定或承担过市级及以上食品相关科研项目的，每有一个得0.2分，最高得1分。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（提供承担课题的合同书及其他相关证明材料</w:t>
            </w:r>
            <w:r>
              <w:rPr>
                <w:rFonts w:hint="eastAsia" w:ascii="宋体" w:hAnsi="宋体" w:eastAsia="宋体" w:cs="宋体"/>
                <w:b/>
                <w:bCs/>
                <w:color w:val="auto"/>
                <w:sz w:val="21"/>
                <w:szCs w:val="21"/>
                <w:highlight w:val="none"/>
                <w:lang w:val="en-US" w:eastAsia="zh-CN"/>
              </w:rPr>
              <w:t xml:space="preserve">上传系统</w:t>
            </w:r>
            <w:r>
              <w:rPr>
                <w:rFonts w:hint="eastAsia" w:ascii="宋体" w:hAnsi="宋体" w:eastAsia="宋体" w:cs="宋体"/>
                <w:b/>
                <w:bCs/>
                <w:color w:val="auto"/>
                <w:sz w:val="21"/>
                <w:szCs w:val="21"/>
                <w:highlight w:val="none"/>
              </w:rPr>
              <w:t xml:space="preserve">加盖</w:t>
            </w:r>
            <w:r>
              <w:rPr>
                <w:rFonts w:hint="eastAsia" w:ascii="宋体" w:hAnsi="宋体" w:eastAsia="宋体" w:cs="宋体"/>
                <w:b/>
                <w:bCs/>
                <w:color w:val="auto"/>
                <w:sz w:val="21"/>
                <w:szCs w:val="21"/>
                <w:highlight w:val="none"/>
              </w:rPr>
              <w:t xml:space="preserve">投标人公章）。</w:t>
            </w:r>
            <w:r/>
          </w:p>
        </w:tc>
      </w:tr>
      <w:tr>
        <w:trPr>
          <w:jc w:val="center"/>
          <w:trHeight w:val="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rFonts w:hint="default" w:ascii="Times New Roman" w:hAnsi="Times New Roman" w:eastAsia="宋体" w:cs="Times New Roman"/>
                <w:color w:val="auto"/>
                <w:sz w:val="21"/>
                <w:szCs w:val="21"/>
                <w:highlight w:val="none"/>
              </w:rPr>
              <w:t xml:space="preserve">企业</w:t>
            </w:r>
            <w:r>
              <w:rPr>
                <w:rFonts w:hint="default" w:ascii="Times New Roman" w:hAnsi="Times New Roman" w:eastAsia="宋体" w:cs="Times New Roman"/>
                <w:color w:val="auto"/>
                <w:sz w:val="21"/>
                <w:szCs w:val="21"/>
                <w:highlight w:val="none"/>
              </w:rPr>
              <w:t xml:space="preserve">经验</w:t>
            </w:r>
            <w:r>
              <w:rPr>
                <w:rFonts w:hint="default" w:ascii="Times New Roman" w:hAnsi="Times New Roman" w:eastAsia="宋体" w:cs="Times New Roman"/>
                <w:color w:val="auto"/>
                <w:sz w:val="21"/>
                <w:szCs w:val="21"/>
                <w:highlight w:val="none"/>
              </w:rPr>
              <w:t xml:space="preserve">及</w:t>
            </w:r>
            <w:r>
              <w:rPr>
                <w:rFonts w:hint="default" w:ascii="Times New Roman" w:hAnsi="Times New Roman" w:eastAsia="宋体" w:cs="Times New Roman"/>
                <w:color w:val="auto"/>
                <w:sz w:val="21"/>
                <w:szCs w:val="21"/>
                <w:highlight w:val="none"/>
              </w:rPr>
              <w:t xml:space="preserve">评价</w:t>
            </w:r>
            <w:r/>
            <w:r>
              <w:rPr>
                <w:rFonts w:hint="eastAsia" w:ascii="宋体" w:hAnsi="宋体" w:eastAsia="宋体" w:cs="宋体"/>
                <w:color w:val="auto"/>
                <w:sz w:val="21"/>
                <w:szCs w:val="21"/>
                <w:highlight w:val="none"/>
              </w:rPr>
            </w:r>
            <w:r/>
          </w:p>
          <w:p>
            <w:pPr>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投标人自2023年以来承担过</w:t>
            </w:r>
            <w:r>
              <w:rPr>
                <w:rFonts w:hint="eastAsia" w:ascii="宋体" w:hAnsi="宋体" w:cs="宋体"/>
                <w:color w:val="auto"/>
                <w:sz w:val="21"/>
                <w:szCs w:val="21"/>
                <w:highlight w:val="none"/>
                <w:lang w:eastAsia="zh-CN"/>
              </w:rPr>
              <w:t xml:space="preserve">省级及以上</w:t>
            </w:r>
            <w:r>
              <w:rPr>
                <w:rFonts w:hint="eastAsia" w:ascii="宋体" w:hAnsi="宋体" w:eastAsia="宋体" w:cs="宋体"/>
                <w:color w:val="auto"/>
                <w:sz w:val="21"/>
                <w:szCs w:val="21"/>
                <w:highlight w:val="none"/>
              </w:rPr>
              <w:t xml:space="preserve">食品抽检任务得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分，承担过市级食品抽检任务的得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分，最高得6分。</w:t>
            </w:r>
            <w:r>
              <w:rPr>
                <w:rFonts w:hint="eastAsia" w:ascii="宋体" w:hAnsi="宋体" w:eastAsia="宋体" w:cs="宋体"/>
                <w:b/>
                <w:bCs/>
                <w:color w:val="auto"/>
                <w:sz w:val="21"/>
                <w:szCs w:val="21"/>
                <w:highlight w:val="none"/>
              </w:rPr>
              <w:t xml:space="preserve">（需</w:t>
            </w:r>
            <w:r>
              <w:rPr>
                <w:rFonts w:hint="eastAsia" w:ascii="宋体" w:hAnsi="宋体" w:eastAsia="宋体" w:cs="宋体"/>
                <w:b/>
                <w:bCs/>
                <w:color w:val="auto"/>
                <w:sz w:val="21"/>
                <w:szCs w:val="21"/>
                <w:highlight w:val="none"/>
                <w:lang w:val="en-US" w:eastAsia="zh-CN"/>
              </w:rPr>
              <w:t xml:space="preserve">同时</w:t>
            </w:r>
            <w:r>
              <w:rPr>
                <w:rFonts w:hint="eastAsia" w:ascii="宋体" w:hAnsi="宋体" w:eastAsia="宋体" w:cs="宋体"/>
                <w:b/>
                <w:bCs/>
                <w:color w:val="auto"/>
                <w:sz w:val="21"/>
                <w:szCs w:val="21"/>
                <w:highlight w:val="none"/>
              </w:rPr>
              <w:t xml:space="preserve">提供中标通知书、有效合同复印件、经费结算发票、政府采购网站中标公示截图证明四项相关证明材料，缺一不可，承检单位须与投标人一致</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同一类型</w:t>
            </w:r>
            <w:r>
              <w:rPr>
                <w:rFonts w:hint="eastAsia" w:ascii="宋体" w:hAnsi="宋体" w:cs="宋体"/>
                <w:b/>
                <w:bCs/>
                <w:color w:val="auto"/>
                <w:sz w:val="21"/>
                <w:szCs w:val="21"/>
                <w:highlight w:val="none"/>
                <w:lang w:eastAsia="zh-CN"/>
              </w:rPr>
              <w:t xml:space="preserve">不可</w:t>
            </w:r>
            <w:r>
              <w:rPr>
                <w:rFonts w:hint="eastAsia" w:ascii="宋体" w:hAnsi="宋体" w:eastAsia="宋体" w:cs="宋体"/>
                <w:b/>
                <w:bCs/>
                <w:color w:val="auto"/>
                <w:sz w:val="21"/>
                <w:szCs w:val="21"/>
                <w:highlight w:val="none"/>
              </w:rPr>
              <w:t xml:space="preserve">重复得分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eastAsia="zh-CN"/>
              </w:rPr>
              <w:t xml:space="preserve">未按照要求提供的不得分</w:t>
            </w:r>
            <w:r>
              <w:rPr>
                <w:rFonts w:hint="eastAsia" w:ascii="宋体" w:hAnsi="宋体" w:eastAsia="宋体" w:cs="宋体"/>
                <w:b/>
                <w:bCs/>
                <w:color w:val="auto"/>
                <w:sz w:val="21"/>
                <w:szCs w:val="21"/>
                <w:highlight w:val="none"/>
              </w:rPr>
              <w:t xml:space="preserve">。)</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投标人自2023年以来在省级及以上食品安全监管部门组织的承检机构综合考核中获得优秀（或90分（含）以上或A等次）的得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分，良好的得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分；市级食品监管部门组织的承检机构考核获得优秀（或90分（含）以上）的得2分，良好的得1分，其他等次不得分，最高得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rPr>
              <w:t xml:space="preserve">（须提供承担任务的合同、中标通知书及对应食品监管部门开具的相关证明材料扫描上传加盖公章，未提供相关证明材料的不得分，按照考核中成绩中最好的填报，同一类型不重复得分。中标通知书中的招标人、合同中的甲方、考核文件中组织方需一致，否则无效）</w:t>
            </w:r>
            <w:r/>
          </w:p>
        </w:tc>
      </w:tr>
      <w:tr>
        <w:trPr>
          <w:jc w:val="center"/>
          <w:trHeight w:val="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响应时间</w:t>
            </w:r>
            <w:r/>
          </w:p>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接到采购人通知后响应时间（到采购单位）（</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投标人承诺响应时间</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.5小时（含）以内得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投标人承诺响应时间1.5小时（不含）至</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小时（含）的得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投标人承诺响应时间</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.5小时（不含）至3.5小时（含）的得2分；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投标人承诺响应时间3.5小时（不含）以上得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（须提供承诺函原件，以驾车导航距离计算，投标人须提供</w:t>
            </w:r>
            <w:r>
              <w:rPr>
                <w:rFonts w:hint="eastAsia" w:ascii="宋体" w:hAnsi="宋体" w:cs="宋体"/>
                <w:b/>
                <w:bCs/>
                <w:color w:val="auto"/>
                <w:sz w:val="21"/>
                <w:szCs w:val="21"/>
                <w:highlight w:val="none"/>
                <w:lang w:eastAsia="zh-CN"/>
              </w:rPr>
              <w:t xml:space="preserve">实验室</w:t>
            </w:r>
            <w:r>
              <w:rPr>
                <w:rFonts w:hint="eastAsia" w:ascii="宋体" w:hAnsi="宋体" w:eastAsia="宋体" w:cs="宋体"/>
                <w:b/>
                <w:bCs/>
                <w:color w:val="auto"/>
                <w:sz w:val="21"/>
                <w:szCs w:val="21"/>
                <w:highlight w:val="none"/>
              </w:rPr>
              <w:t xml:space="preserve">地址、导航电子地图工作时间段</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8:00-18:00</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从</w:t>
            </w:r>
            <w:r>
              <w:rPr>
                <w:rFonts w:hint="eastAsia" w:ascii="宋体" w:hAnsi="宋体" w:cs="宋体"/>
                <w:b/>
                <w:bCs/>
                <w:color w:val="auto"/>
                <w:sz w:val="21"/>
                <w:szCs w:val="21"/>
                <w:highlight w:val="none"/>
                <w:lang w:eastAsia="zh-CN"/>
              </w:rPr>
              <w:t xml:space="preserve">实验室</w:t>
            </w:r>
            <w:r>
              <w:rPr>
                <w:rFonts w:hint="eastAsia" w:ascii="宋体" w:hAnsi="宋体" w:eastAsia="宋体" w:cs="宋体"/>
                <w:b/>
                <w:bCs/>
                <w:color w:val="auto"/>
                <w:sz w:val="21"/>
                <w:szCs w:val="21"/>
                <w:highlight w:val="none"/>
              </w:rPr>
              <w:t xml:space="preserve">地址到采购单位的导航截图作为参考依据，在投标文件中自行标距离，不得以直线距离计算</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上传系统</w:t>
            </w:r>
            <w:r>
              <w:rPr>
                <w:rFonts w:hint="eastAsia" w:ascii="宋体" w:hAnsi="宋体" w:eastAsia="宋体" w:cs="宋体"/>
                <w:b/>
                <w:bCs/>
                <w:color w:val="auto"/>
                <w:sz w:val="21"/>
                <w:szCs w:val="21"/>
                <w:highlight w:val="none"/>
              </w:rPr>
              <w:t xml:space="preserve">）</w:t>
            </w:r>
            <w:r/>
          </w:p>
        </w:tc>
      </w:tr>
    </w:tbl>
    <w:p>
      <w:pPr>
        <w:rPr>
          <w:rFonts w:ascii="黑体" w:eastAsia="黑体"/>
          <w:bCs/>
          <w:color w:val="auto"/>
          <w:sz w:val="44"/>
          <w:highlight w:val="none"/>
        </w:rPr>
      </w:pPr>
      <w:r>
        <w:rPr>
          <w:rFonts w:ascii="黑体" w:eastAsia="黑体"/>
          <w:bCs/>
          <w:color w:val="auto"/>
          <w:sz w:val="44"/>
          <w:highlight w:val="none"/>
        </w:rPr>
      </w:r>
      <w:r/>
    </w:p>
    <w:p>
      <w:pPr>
        <w:jc w:val="left"/>
        <w:spacing w:line="360" w:lineRule="auto"/>
        <w:tabs>
          <w:tab w:val="left" w:pos="3629" w:leader="none"/>
        </w:tabs>
        <w:rPr>
          <w:rFonts w:hint="eastAsia" w:ascii="宋体" w:hAnsi="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color w:val="auto"/>
          <w:highlight w:val="none"/>
        </w:rPr>
        <w:t xml:space="preserve">注：1、所有证书或证明材料需清晰可见，否则由各投标人承担由于材料原因导致的不利后果。2、严禁投标人在投标中提供虚假证明文件或虚假承诺，采购人有权在签订合同前核查拟派人员、相关配套设备设施和承诺履行情况，如发现存在虚假响应，取消其中标资格，采购人将依法追究因其虚假响应造成的损失及费用。</w:t>
      </w:r>
      <w:r/>
    </w:p>
    <w:p>
      <w:pPr>
        <w:rPr>
          <w:rFonts w:hint="eastAsia"/>
          <w:color w:val="auto"/>
          <w:highlight w:val="none"/>
        </w:rPr>
      </w:pPr>
      <w:r>
        <w:rPr>
          <w:rFonts w:hint="eastAsia"/>
          <w:color w:val="auto"/>
          <w:highlight w:val="none"/>
        </w:rPr>
      </w:r>
      <w:r/>
    </w:p>
    <w:p>
      <w:pPr>
        <w:pStyle w:val="962"/>
        <w:jc w:val="center"/>
        <w:rPr>
          <w:rFonts w:ascii="宋体" w:hAnsi="宋体"/>
          <w:color w:val="auto"/>
          <w:highlight w:val="none"/>
        </w:rPr>
      </w:pPr>
      <w:r>
        <w:rPr>
          <w:rFonts w:hint="eastAsia" w:ascii="宋体" w:hAnsi="宋体"/>
          <w:color w:val="auto"/>
          <w:highlight w:val="none"/>
        </w:rPr>
        <w:t xml:space="preserve">第六章 投标文件格式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pStyle w:val="790"/>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963"/>
        <w:rPr>
          <w:rFonts w:ascii="宋体" w:hAnsi="宋体" w:eastAsia="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eastAsia="宋体"/>
          <w:color w:val="auto"/>
          <w:sz w:val="32"/>
          <w:highlight w:val="none"/>
        </w:rPr>
        <w:t xml:space="preserve">一、资格审查响应对照表</w:t>
      </w:r>
      <w:r/>
    </w:p>
    <w:tbl>
      <w:tblPr>
        <w:tblStyle w:val="7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8251" w:type="dxa"/>
            <w:vAlign w:val="center"/>
            <w:textDirection w:val="lrTb"/>
            <w:noWrap w:val="false"/>
          </w:tcPr>
          <w:p>
            <w:pPr>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法人或者其他组织的营业执照等证明文件，自然人的身份证明（身份证为正、反面）</w:t>
            </w:r>
            <w:r/>
          </w:p>
        </w:tc>
        <w:tc>
          <w:tcPr>
            <w:tcW w:w="215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上一年度的财务状况报告（成立不满一年不需提供）</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6</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7</w:t>
            </w:r>
            <w:r/>
          </w:p>
        </w:tc>
        <w:tc>
          <w:tcPr>
            <w:tcW w:w="544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1410"/>
        </w:trPr>
        <w:tc>
          <w:tcPr>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8</w:t>
            </w:r>
            <w:r/>
          </w:p>
        </w:tc>
        <w:tc>
          <w:tcPr>
            <w:tcW w:w="5447" w:type="dxa"/>
            <w:vAlign w:val="center"/>
            <w:textDirection w:val="lrTb"/>
            <w:noWrap w:val="false"/>
          </w:tcPr>
          <w:p>
            <w:pPr>
              <w:pStyle w:val="965"/>
              <w:rPr>
                <w:color w:val="auto"/>
                <w:highlight w:val="none"/>
              </w:rPr>
            </w:pPr>
            <w:r>
              <w:rPr>
                <w:rFonts w:hint="eastAsia" w:ascii="宋体" w:hAnsi="宋体" w:eastAsia="宋体" w:cs="宋体"/>
                <w:b w:val="0"/>
                <w:bCs w:val="0"/>
                <w:color w:val="auto"/>
                <w:sz w:val="21"/>
                <w:szCs w:val="21"/>
                <w:highlight w:val="none"/>
                <w:lang w:val="en-US" w:eastAsia="zh-CN" w:bidi="ar-SA"/>
              </w:rPr>
              <w:t xml:space="preserve">根据《政府采购促进中小企业发展管理办法》（财库〔2020〕46 号），本项目对小型和微型企业、残疾人福利单位、监狱和戒毒企业提供的货物、服务给予20%的价格扣除。  </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9</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iCs/>
                <w:color w:val="auto"/>
                <w:szCs w:val="21"/>
                <w:highlight w:val="none"/>
                <w:lang w:bidi="ar"/>
              </w:rPr>
              <w:t xml:space="preserve">供应商具有行政主管部门颁发的有效期内食品检验检测机构资质认定证书（提供有效证书原件扫描上传系统）。</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11</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12</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hint="eastAsia" w:ascii="宋体" w:hAnsi="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auto"/>
          <w:highlight w:val="none"/>
        </w:rPr>
      </w:r>
      <w:r/>
    </w:p>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pStyle w:val="965"/>
        <w:rPr>
          <w:color w:val="auto"/>
          <w:highlight w:val="none"/>
        </w:rPr>
      </w:pPr>
      <w:r>
        <w:rPr>
          <w:color w:val="auto"/>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______</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keepLines w:val="0"/>
        <w:keepNext w:val="0"/>
        <w:pageBreakBefore w:val="0"/>
        <w:spacing w:line="440" w:lineRule="exact"/>
        <w:widowControl w:val="off"/>
        <w:rPr>
          <w:rFonts w:ascii="方正仿宋_GBK"/>
          <w:color w:val="auto"/>
          <w:szCs w:val="32"/>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承诺主体名称：</w:t>
      </w:r>
      <w:r/>
    </w:p>
    <w:p>
      <w:pPr>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p>
      <w:pPr>
        <w:jc w:val="center"/>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keepLines w:val="0"/>
        <w:keepNext w:val="0"/>
        <w:pageBreakBefore w:val="0"/>
        <w:spacing w:line="440" w:lineRule="exact"/>
        <w:widowControl w:val="off"/>
        <w:rPr>
          <w:rFonts w:ascii="宋体" w:hAnsi="宋体"/>
          <w:color w:val="auto"/>
          <w:szCs w:val="21"/>
          <w:highlight w:val="none"/>
        </w:rPr>
      </w:pPr>
      <w:r>
        <w:rPr>
          <w:rFonts w:hint="eastAsia" w:ascii="宋体" w:hAnsi="宋体"/>
          <w:color w:val="auto"/>
          <w:szCs w:val="21"/>
          <w:highlight w:val="none"/>
        </w:rPr>
        <w:t xml:space="preserve">　　　　　　　　　      　年    月    日</w:t>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投标函格式</w:t>
      </w:r>
      <w:r/>
    </w:p>
    <w:p>
      <w:pPr>
        <w:pStyle w:val="1004"/>
        <w:ind w:firstLine="0"/>
        <w:spacing w:before="0" w:after="0"/>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hAnsi="宋体"/>
          <w:color w:val="auto"/>
          <w:sz w:val="21"/>
          <w:highlight w:val="none"/>
          <w:lang w:eastAsia="zh-CN"/>
        </w:rPr>
        <w:t xml:space="preserve">江苏汇诚投资咨询管理有限公司</w:t>
      </w:r>
      <w:r/>
    </w:p>
    <w:p>
      <w:pPr>
        <w:pStyle w:val="100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100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100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00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004"/>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004"/>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004"/>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04"/>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004"/>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00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100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100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100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100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00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100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1004"/>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84"/>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8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8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84"/>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8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__</w:t>
      </w:r>
      <w:r>
        <w:rPr>
          <w:rFonts w:hint="eastAsia" w:ascii="宋体" w:hAnsi="宋体"/>
          <w:color w:val="auto"/>
          <w:sz w:val="21"/>
          <w:szCs w:val="21"/>
          <w:highlight w:val="none"/>
        </w:rPr>
        <w:t xml:space="preserve">     </w:t>
      </w:r>
      <w:r/>
    </w:p>
    <w:p>
      <w:pPr>
        <w:pStyle w:val="984"/>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84"/>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984"/>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984"/>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hint="eastAsia" w:ascii="宋体" w:hAnsi="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auto"/>
          <w:highlight w:val="none"/>
        </w:rPr>
        <w:t xml:space="preserve">被授权人身份证复印件</w:t>
      </w:r>
      <w:r/>
    </w:p>
    <w:p>
      <w:pPr>
        <w:rPr>
          <w:rFonts w:ascii="宋体" w:hAnsi="宋体"/>
          <w:b/>
          <w:color w:val="auto"/>
          <w:sz w:val="32"/>
          <w:szCs w:val="32"/>
          <w:highlight w:val="none"/>
        </w:rPr>
      </w:pPr>
      <w:r>
        <w:rPr>
          <w:rFonts w:ascii="宋体" w:hAnsi="宋体"/>
          <w:b/>
          <w:color w:val="auto"/>
          <w:sz w:val="32"/>
          <w:szCs w:val="32"/>
          <w:highlight w:val="none"/>
        </w:rPr>
      </w:r>
      <w:r/>
    </w:p>
    <w:p>
      <w:pPr>
        <w:pStyle w:val="963"/>
        <w:rPr>
          <w:rFonts w:ascii="宋体" w:hAnsi="宋体" w:eastAsia="宋体"/>
          <w:color w:val="auto"/>
          <w:sz w:val="32"/>
          <w:highlight w:val="none"/>
        </w:rPr>
      </w:pPr>
      <w:r>
        <w:rPr>
          <w:rFonts w:hint="eastAsia" w:ascii="宋体" w:hAnsi="宋体" w:eastAsia="宋体"/>
          <w:color w:val="auto"/>
          <w:sz w:val="32"/>
          <w:highlight w:val="none"/>
        </w:rPr>
        <w:t xml:space="preserve">二、符合性审查响应对照表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7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963"/>
        <w:rPr>
          <w:rFonts w:ascii="宋体" w:hAnsi="宋体" w:eastAsia="宋体"/>
          <w:color w:val="auto"/>
          <w:sz w:val="32"/>
          <w:highlight w:val="none"/>
        </w:rPr>
      </w:pPr>
      <w:r>
        <w:rPr>
          <w:rFonts w:hint="eastAsia" w:ascii="宋体" w:hAnsi="宋体" w:eastAsia="宋体"/>
          <w:color w:val="auto"/>
          <w:sz w:val="32"/>
          <w:highlight w:val="none"/>
        </w:rPr>
        <w:t xml:space="preserve">三、非实质性响应对照表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7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rFonts w:hint="eastAsia"/>
          <w:b/>
          <w:bCs/>
          <w:color w:val="auto"/>
          <w:highlight w:val="none"/>
        </w:rPr>
        <w:t xml:space="preserve">中小企业声明函（工程、服务）</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rPr>
        <w:t xml:space="preserve">（</w:t>
      </w:r>
      <w:r>
        <w:rPr>
          <w:rFonts w:hint="eastAsia"/>
          <w:b/>
          <w:bCs/>
          <w:color w:val="auto"/>
          <w:highlight w:val="none"/>
          <w:u w:val="single"/>
        </w:rPr>
        <w:t xml:space="preserve">其他未列明行业</w:t>
      </w:r>
      <w:r>
        <w:rPr>
          <w:rFonts w:hint="eastAsia"/>
          <w:b/>
          <w:bCs/>
          <w:color w:val="auto"/>
          <w:highlight w:val="none"/>
          <w:u w:val="single"/>
        </w:rPr>
        <w:t xml:space="preserve">）</w:t>
      </w:r>
      <w:r>
        <w:rPr>
          <w:rFonts w:hint="eastAsia" w:ascii="宋体" w:hAnsi="宋体"/>
          <w:b/>
          <w:bCs/>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b/>
          <w:bCs/>
          <w:color w:val="auto"/>
          <w:highlight w:val="none"/>
          <w:u w:val="single"/>
        </w:rPr>
        <w:t xml:space="preserve">（</w:t>
      </w:r>
      <w:r>
        <w:rPr>
          <w:rFonts w:hint="eastAsia"/>
          <w:b/>
          <w:bCs/>
          <w:color w:val="auto"/>
          <w:highlight w:val="none"/>
          <w:u w:val="single"/>
        </w:rPr>
        <w:t xml:space="preserve">其他未列明行业</w:t>
      </w:r>
      <w:r>
        <w:rPr>
          <w:rFonts w:hint="eastAsia"/>
          <w:b/>
          <w:bCs/>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60" w:lineRule="auto"/>
        <w:rPr>
          <w:color w:val="auto"/>
          <w:highlight w:val="none"/>
        </w:rPr>
      </w:pPr>
      <w:r>
        <w:rPr>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60" w:lineRule="auto"/>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auto"/>
          <w:highlight w:val="none"/>
        </w:rPr>
      </w:pPr>
      <w:r>
        <w:rPr>
          <w:rFonts w:hint="eastAsia"/>
          <w:color w:val="auto"/>
          <w:highlight w:val="none"/>
        </w:rPr>
        <w:t xml:space="preserve">企业名称（盖章）：</w:t>
      </w:r>
      <w:r/>
    </w:p>
    <w:p>
      <w:pPr>
        <w:ind w:firstLine="4620"/>
        <w:jc w:val="left"/>
        <w:spacing w:line="360" w:lineRule="auto"/>
        <w:rPr>
          <w:rFonts w:hint="eastAsia" w:ascii="宋体" w:hAnsi="宋体" w:eastAsia="宋体" w:cs="微软雅黑"/>
          <w:bCs w:val="0"/>
          <w:color w:val="auto"/>
          <w:sz w:val="21"/>
          <w:szCs w:val="21"/>
          <w:highlight w:val="none"/>
        </w:rPr>
      </w:pPr>
      <w:r>
        <w:rPr>
          <w:rFonts w:hint="eastAsia"/>
          <w:color w:val="auto"/>
          <w:highlight w:val="none"/>
        </w:rPr>
        <w:t xml:space="preserve">日 期：</w:t>
      </w:r>
      <w:r/>
    </w:p>
    <w:p>
      <w:pPr>
        <w:pStyle w:val="963"/>
        <w:spacing w:before="300" w:after="300" w:line="360" w:lineRule="auto"/>
        <w:widowControl/>
        <w:rPr>
          <w:rFonts w:ascii="宋体" w:hAnsi="宋体" w:eastAsia="宋体"/>
          <w:color w:val="auto"/>
          <w:sz w:val="21"/>
          <w:szCs w:val="21"/>
          <w:highlight w:val="none"/>
        </w:rPr>
      </w:pPr>
      <w:r>
        <w:rPr>
          <w:rFonts w:hint="eastAsia" w:ascii="宋体" w:hAnsi="宋体" w:eastAsia="宋体" w:cs="微软雅黑"/>
          <w:bCs w:val="0"/>
          <w:color w:val="auto"/>
          <w:sz w:val="21"/>
          <w:szCs w:val="21"/>
          <w:highlight w:val="none"/>
        </w:rPr>
        <w:t xml:space="preserve">中小微企业划型标准 </w:t>
      </w:r>
      <w:r/>
    </w:p>
    <w:p>
      <w:pPr>
        <w:pStyle w:val="991"/>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968"/>
          <w:rFonts w:hint="eastAsia" w:ascii="宋体" w:hAnsi="宋体" w:cs="仿宋"/>
          <w:color w:val="auto"/>
          <w:sz w:val="21"/>
          <w:szCs w:val="21"/>
          <w:highlight w:val="none"/>
        </w:rPr>
        <w:t xml:space="preserve">中小微企业划型标准如下：</w:t>
      </w:r>
      <w:r/>
    </w:p>
    <w:tbl>
      <w:tblPr>
        <w:tblStyle w:val="789"/>
        <w:tblW w:w="10385" w:type="dxa"/>
        <w:tblCellSpacing w:w="15" w:type="dxa"/>
        <w:tblInd w:w="-862"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00"/>
        <w:gridCol w:w="2097"/>
        <w:gridCol w:w="1181"/>
        <w:gridCol w:w="1860"/>
        <w:gridCol w:w="1920"/>
        <w:gridCol w:w="1527"/>
      </w:tblGrid>
      <w:tr>
        <w:trPr>
          <w:tblCellSpacing w:w="15" w:type="dxa"/>
          <w:trHeight w:val="285"/>
        </w:trPr>
        <w:tc>
          <w:tcPr>
            <w:tcMar>
              <w:left w:w="105" w:type="dxa"/>
              <w:top w:w="0" w:type="dxa"/>
              <w:right w:w="105" w:type="dxa"/>
              <w:bottom w:w="0" w:type="dxa"/>
            </w:tcMar>
            <w:tcW w:w="1755" w:type="dxa"/>
            <w:vAlign w:val="center"/>
            <w:textDirection w:val="lrTb"/>
            <w:noWrap w:val="false"/>
          </w:tcPr>
          <w:p>
            <w:pPr>
              <w:pStyle w:val="991"/>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行业名称</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计量单位</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中型</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小型</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755"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农、林、牧、渔</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50≤Y＜500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工业</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2000≤Y＜40000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300≤Y＜2000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建筑业</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6000≤Y＜80000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300≤Y＜6000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Y＜300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5000≤Z＜80000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300≤Z＜5000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批发业</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20≤X＜200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5≤X＜20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X＜5</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5000≤Y＜40000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零售业</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50≤X＜300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10≤X＜50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100≤Y＜500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交通运输业</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3000≤Y＜30000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200≤Y＜3000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仓储业</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100≤X＜200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20≤X＜100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1000≤Y＜30000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邮政业</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2000≤Y＜30000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住宿业</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991"/>
              <w:ind w:firstLine="420"/>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餐饮业</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信息传输业</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100≤X＜2000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1000≤Y＜100000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软件和信息技术服务业</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1000≤Y＜10000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50≤Y＜1000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房地产开发经营</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1000≤Y＜200000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100≤X＜1000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X＜100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5000≤Z＜10000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2000≤Y＜5000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物业管理</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X＜100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500≤Y＜1000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租赁和商务服务业</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8000≤Z＜120000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100≤Z＜8000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其他未列明行业</w:t>
            </w:r>
            <w:r/>
          </w:p>
        </w:tc>
        <w:tc>
          <w:tcPr>
            <w:tcMar>
              <w:left w:w="105" w:type="dxa"/>
              <w:top w:w="0" w:type="dxa"/>
              <w:right w:w="105" w:type="dxa"/>
              <w:bottom w:w="0" w:type="dxa"/>
            </w:tcMar>
            <w:tcW w:w="2067"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991"/>
              <w:jc w:val="center"/>
              <w:spacing w:after="150" w:line="360" w:lineRule="auto"/>
              <w:widowControl/>
              <w:rPr>
                <w:rFonts w:ascii="宋体" w:hAnsi="宋体"/>
                <w:color w:val="auto"/>
                <w:sz w:val="21"/>
                <w:szCs w:val="21"/>
                <w:highlight w:val="none"/>
              </w:rPr>
            </w:pPr>
            <w:r>
              <w:rPr>
                <w:rStyle w:val="968"/>
                <w:rFonts w:hint="eastAsia" w:ascii="宋体" w:hAnsi="宋体" w:cs="仿宋"/>
                <w:color w:val="auto"/>
                <w:sz w:val="21"/>
                <w:szCs w:val="21"/>
                <w:highlight w:val="none"/>
              </w:rPr>
              <w:t xml:space="preserve">X＜10</w:t>
            </w:r>
            <w:r/>
          </w:p>
        </w:tc>
      </w:tr>
    </w:tbl>
    <w:p>
      <w:pPr>
        <w:pStyle w:val="991"/>
        <w:ind w:firstLine="810"/>
        <w:spacing w:before="300" w:after="452" w:line="360" w:lineRule="auto"/>
        <w:widowControl/>
        <w:rPr>
          <w:rStyle w:val="968"/>
          <w:rFonts w:ascii="宋体" w:hAnsi="宋体" w:cs="仿宋"/>
          <w:color w:val="auto"/>
          <w:sz w:val="21"/>
          <w:szCs w:val="21"/>
          <w:highlight w:val="none"/>
        </w:rPr>
      </w:pPr>
      <w:r>
        <w:rPr>
          <w:rStyle w:val="968"/>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965"/>
        <w:rPr>
          <w:rStyle w:val="968"/>
          <w:rFonts w:cs="仿宋"/>
          <w:b w:val="0"/>
          <w:color w:val="auto"/>
          <w:sz w:val="21"/>
          <w:szCs w:val="21"/>
          <w:highlight w:val="none"/>
        </w:rPr>
      </w:pPr>
      <w:r>
        <w:rPr>
          <w:rStyle w:val="968"/>
          <w:rFonts w:ascii="宋体" w:hAnsi="宋体" w:cs="仿宋"/>
          <w:b w:val="0"/>
          <w:color w:val="auto"/>
          <w:sz w:val="21"/>
          <w:szCs w:val="21"/>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ascii="宋体" w:hAnsi="宋体"/>
          <w:color w:val="auto"/>
          <w:sz w:val="32"/>
          <w:szCs w:val="32"/>
          <w:highlight w:val="none"/>
        </w:rPr>
      </w:pPr>
      <w:r>
        <w:rPr>
          <w:rFonts w:ascii="宋体" w:hAnsi="宋体"/>
          <w:color w:val="auto"/>
          <w:sz w:val="32"/>
          <w:szCs w:val="32"/>
          <w:highlight w:val="none"/>
        </w:rPr>
      </w:r>
      <w:r/>
    </w:p>
    <w:p>
      <w:pPr>
        <w:pStyle w:val="963"/>
        <w:ind w:firstLine="3213"/>
        <w:jc w:val="both"/>
        <w:spacing w:line="360" w:lineRule="auto"/>
        <w:rPr>
          <w:rFonts w:hint="eastAsia" w:ascii="宋体" w:hAnsi="宋体" w:eastAsia="宋体" w:cs="宋体"/>
          <w:color w:val="auto"/>
          <w:sz w:val="24"/>
          <w:szCs w:val="20"/>
          <w:highlight w:val="none"/>
        </w:rPr>
      </w:pPr>
      <w:r>
        <w:rPr>
          <w:rFonts w:hint="eastAsia" w:ascii="宋体" w:hAnsi="宋体" w:eastAsia="宋体" w:cs="宋体"/>
          <w:bCs w:val="0"/>
          <w:color w:val="auto"/>
          <w:sz w:val="32"/>
          <w:szCs w:val="32"/>
          <w:highlight w:val="none"/>
        </w:rPr>
        <w:t xml:space="preserve">四、</w:t>
      </w:r>
      <w:r>
        <w:rPr>
          <w:rFonts w:hint="eastAsia" w:ascii="宋体" w:hAnsi="宋体" w:eastAsia="宋体" w:cs="宋体"/>
          <w:color w:val="auto"/>
          <w:sz w:val="32"/>
          <w:szCs w:val="32"/>
          <w:highlight w:val="none"/>
        </w:rPr>
        <w:t xml:space="preserve">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 </w:t>
      </w:r>
      <w:r/>
    </w:p>
    <w:p>
      <w:pPr>
        <w:ind w:firstLine="480"/>
        <w:rPr>
          <w:rFonts w:ascii="宋体" w:hAnsi="宋体"/>
          <w:color w:val="auto"/>
          <w:szCs w:val="21"/>
          <w:highlight w:val="none"/>
        </w:rPr>
      </w:pPr>
      <w:r>
        <w:rPr>
          <w:rFonts w:hint="eastAsia" w:ascii="宋体" w:hAnsi="宋体"/>
          <w:color w:val="auto"/>
          <w:szCs w:val="21"/>
          <w:highlight w:val="none"/>
        </w:rPr>
        <w:t xml:space="preserve">                       </w:t>
      </w:r>
      <w:r/>
    </w:p>
    <w:tbl>
      <w:tblPr>
        <w:tblStyle w:val="7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131"/>
      </w:tblGrid>
      <w:tr>
        <w:trPr>
          <w:cantSplit/>
          <w:trHeight w:val="1098"/>
        </w:trPr>
        <w:tc>
          <w:tcPr>
            <w:tcW w:w="2481" w:type="dxa"/>
            <w:vAlign w:val="center"/>
            <w:textDirection w:val="lrTb"/>
            <w:noWrap w:val="false"/>
          </w:tcPr>
          <w:p>
            <w:pPr>
              <w:pStyle w:val="972"/>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投标服务或产品名称</w:t>
            </w:r>
            <w:r/>
          </w:p>
        </w:tc>
        <w:tc>
          <w:tcPr>
            <w:tcW w:w="6131" w:type="dxa"/>
            <w:vAlign w:val="center"/>
            <w:textDirection w:val="lrTb"/>
            <w:noWrap w:val="false"/>
          </w:tcPr>
          <w:p>
            <w:pPr>
              <w:rPr>
                <w:rFonts w:hint="default" w:ascii="宋体" w:hAnsi="宋体" w:eastAsia="宋体"/>
                <w:color w:val="auto"/>
                <w:szCs w:val="21"/>
                <w:highlight w:val="none"/>
                <w:lang w:val="en-US" w:eastAsia="zh-CN"/>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投标折扣（%）</w:t>
            </w:r>
            <w:r/>
          </w:p>
        </w:tc>
      </w:tr>
      <w:tr>
        <w:trPr>
          <w:cantSplit/>
          <w:trHeight w:val="1697"/>
        </w:trPr>
        <w:tc>
          <w:tcPr>
            <w:tcW w:w="2481" w:type="dxa"/>
            <w:vAlign w:val="center"/>
            <w:textDirection w:val="lrTb"/>
            <w:noWrap w:val="false"/>
          </w:tcPr>
          <w:p>
            <w:pPr>
              <w:pStyle w:val="972"/>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131" w:type="dxa"/>
            <w:vAlign w:val="center"/>
            <w:textDirection w:val="lrTb"/>
            <w:noWrap w:val="false"/>
          </w:tcPr>
          <w:p>
            <w:pPr>
              <w:pStyle w:val="1004"/>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大写：                       </w:t>
            </w:r>
            <w:r/>
          </w:p>
          <w:p>
            <w:pPr>
              <w:pStyle w:val="1004"/>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 ）</w:t>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2"/>
        <w:keepLines w:val="0"/>
        <w:keepNext w:val="0"/>
        <w:pageBreakBefore w:val="0"/>
        <w:spacing w:line="360" w:lineRule="auto"/>
        <w:widowControl w:val="off"/>
        <w:rPr>
          <w:rFonts w:hint="eastAsia" w:ascii="宋体" w:hAnsi="宋体" w:cs="宋体"/>
          <w:b/>
          <w:bCs/>
          <w:i w:val="0"/>
          <w:iCs/>
          <w:color w:val="auto"/>
          <w:sz w:val="21"/>
          <w:szCs w:val="21"/>
          <w:highlight w:val="none"/>
          <w:lang w:val="en-US" w:eastAsia="zh-CN"/>
        </w:rPr>
      </w:pPr>
      <w:r>
        <w:rPr>
          <w:rFonts w:hint="eastAsia" w:ascii="宋体" w:hAnsi="宋体" w:cs="宋体"/>
          <w:b/>
          <w:bCs/>
          <w:i w:val="0"/>
          <w:iCs/>
          <w:color w:val="auto"/>
          <w:sz w:val="21"/>
          <w:szCs w:val="21"/>
          <w:highlight w:val="none"/>
          <w:lang w:val="en-US" w:eastAsia="zh-CN"/>
        </w:rPr>
      </w:r>
      <w:r/>
    </w:p>
    <w:p>
      <w:pPr>
        <w:ind w:firstLine="422"/>
        <w:keepLines w:val="0"/>
        <w:keepNext w:val="0"/>
        <w:pageBreakBefore w:val="0"/>
        <w:spacing w:line="440" w:lineRule="exact"/>
        <w:widowControl w:val="off"/>
        <w:rPr>
          <w:rFonts w:hint="eastAsia" w:ascii="宋体" w:hAnsi="宋体" w:eastAsia="宋体" w:cs="宋体"/>
          <w:i/>
          <w:color w:val="auto"/>
          <w:sz w:val="21"/>
          <w:szCs w:val="21"/>
          <w:highlight w:val="none"/>
          <w:lang w:val="en-US" w:eastAsia="zh-CN"/>
        </w:rPr>
      </w:pPr>
      <w:r>
        <w:rPr>
          <w:rFonts w:hint="eastAsia" w:ascii="宋体" w:hAnsi="宋体" w:eastAsia="宋体" w:cs="宋体"/>
          <w:b/>
          <w:bCs/>
          <w:i w:val="0"/>
          <w:iCs/>
          <w:color w:val="auto"/>
          <w:sz w:val="21"/>
          <w:szCs w:val="21"/>
          <w:highlight w:val="none"/>
          <w:lang w:val="en-US" w:eastAsia="zh-CN"/>
        </w:rPr>
        <w:t xml:space="preserve">1</w:t>
      </w:r>
      <w:r>
        <w:rPr>
          <w:rFonts w:hint="eastAsia" w:ascii="宋体" w:hAnsi="宋体" w:eastAsia="宋体" w:cs="宋体"/>
          <w:b/>
          <w:bCs/>
          <w:i w:val="0"/>
          <w:iCs/>
          <w:color w:val="auto"/>
          <w:sz w:val="21"/>
          <w:szCs w:val="21"/>
          <w:highlight w:val="none"/>
        </w:rPr>
        <w:t xml:space="preserve">、</w:t>
      </w:r>
      <w:r>
        <w:rPr>
          <w:rFonts w:hint="eastAsia" w:ascii="宋体" w:hAnsi="宋体" w:eastAsia="宋体" w:cs="宋体"/>
          <w:b/>
          <w:bCs/>
          <w:i w:val="0"/>
          <w:iCs/>
          <w:color w:val="auto"/>
          <w:sz w:val="21"/>
          <w:szCs w:val="21"/>
          <w:highlight w:val="none"/>
          <w:u w:val="single"/>
        </w:rPr>
        <w:t xml:space="preserve">因“苏采云”系统原因，投标人在系统内开标一览表中的填写的“优惠率”即为招标文件中的“折扣”，两者数值应相同，请各投标人准确填写</w:t>
      </w:r>
      <w:r>
        <w:rPr>
          <w:rFonts w:hint="eastAsia" w:ascii="宋体" w:hAnsi="宋体" w:eastAsia="宋体" w:cs="宋体"/>
          <w:i w:val="0"/>
          <w:iCs/>
          <w:color w:val="auto"/>
          <w:sz w:val="21"/>
          <w:szCs w:val="21"/>
          <w:highlight w:val="none"/>
          <w:u w:val="single"/>
          <w:lang w:eastAsia="zh-CN"/>
        </w:rPr>
        <w:t xml:space="preserve">。</w:t>
      </w:r>
      <w:r/>
    </w:p>
    <w:p>
      <w:pPr>
        <w:ind w:firstLine="420"/>
        <w:keepLines w:val="0"/>
        <w:keepNext w:val="0"/>
        <w:pageBreakBefore w:val="0"/>
        <w:spacing w:line="440" w:lineRule="exact"/>
        <w:widowControl w:val="off"/>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lang w:val="en-US" w:eastAsia="zh-CN"/>
        </w:rPr>
        <w:t xml:space="preserve">2、</w:t>
      </w:r>
      <w:r>
        <w:rPr>
          <w:rFonts w:hint="eastAsia" w:ascii="宋体" w:hAnsi="宋体" w:eastAsia="宋体" w:cs="宋体"/>
          <w:i/>
          <w:color w:val="auto"/>
          <w:sz w:val="21"/>
          <w:szCs w:val="21"/>
          <w:highlight w:val="none"/>
          <w:u w:val="single"/>
        </w:rPr>
        <w:t xml:space="preserve">投标折扣%=投标报价/招标文件中公布的最高限价*100%。例如：供应商以九五折报价本项目的，投标折扣中填取95%即可，中标后按招标文件中公布的最高限价*95%签订服务合同。</w:t>
      </w:r>
      <w:r/>
    </w:p>
    <w:p>
      <w:pPr>
        <w:ind w:firstLine="420"/>
        <w:jc w:val="both"/>
        <w:keepLines w:val="0"/>
        <w:keepNext w:val="0"/>
        <w:pageBreakBefore w:val="0"/>
        <w:spacing w:line="440" w:lineRule="exact"/>
        <w:widowControl w:val="off"/>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lang w:val="en-US" w:eastAsia="zh-CN"/>
        </w:rPr>
        <w:t xml:space="preserve">3、</w:t>
      </w:r>
      <w:r>
        <w:rPr>
          <w:rFonts w:hint="eastAsia" w:ascii="宋体" w:hAnsi="宋体" w:eastAsia="宋体" w:cs="宋体"/>
          <w:i/>
          <w:color w:val="auto"/>
          <w:sz w:val="21"/>
          <w:szCs w:val="21"/>
          <w:highlight w:val="none"/>
          <w:u w:val="single"/>
        </w:rPr>
        <w:t xml:space="preserve">投标报价应包括采购文件所规定的采购范围的全部内容。</w:t>
      </w:r>
      <w:r/>
    </w:p>
    <w:p>
      <w:pPr>
        <w:pStyle w:val="1013"/>
        <w:ind w:firstLine="41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pacing w:val="-3"/>
          <w:sz w:val="21"/>
          <w:szCs w:val="21"/>
          <w:highlight w:val="none"/>
          <w:lang w:val="en-US" w:eastAsia="zh-CN"/>
        </w:rPr>
        <w:t xml:space="preserve">4、</w:t>
      </w:r>
      <w:r>
        <w:rPr>
          <w:rFonts w:hint="eastAsia" w:ascii="宋体" w:hAnsi="宋体" w:eastAsia="宋体" w:cs="宋体"/>
          <w:b/>
          <w:bCs/>
          <w:color w:val="auto"/>
          <w:spacing w:val="-3"/>
          <w:sz w:val="21"/>
          <w:szCs w:val="21"/>
          <w:highlight w:val="none"/>
        </w:rPr>
        <w:t xml:space="preserve">如有分包，投标人投任何一个包的标的，都需单独填写开标一览表。</w:t>
      </w:r>
      <w:r/>
    </w:p>
    <w:p>
      <w:pPr>
        <w:pStyle w:val="963"/>
        <w:ind w:firstLine="3213"/>
        <w:jc w:val="both"/>
        <w:rPr>
          <w:rFonts w:ascii="宋体" w:hAnsi="宋体" w:eastAsia="宋体" w:cs="Times New Roman"/>
          <w:bCs w:val="0"/>
          <w:color w:val="auto"/>
          <w:sz w:val="32"/>
          <w:szCs w:val="32"/>
          <w:highlight w:val="none"/>
        </w:rPr>
      </w:pPr>
      <w:r>
        <w:rPr>
          <w:rFonts w:ascii="宋体" w:hAnsi="宋体" w:eastAsia="宋体" w:cs="Times New Roman"/>
          <w:bCs w:val="0"/>
          <w:color w:val="auto"/>
          <w:sz w:val="32"/>
          <w:szCs w:val="32"/>
          <w:highlight w:val="none"/>
        </w:rPr>
      </w:r>
      <w:r/>
    </w:p>
    <w:p>
      <w:pPr>
        <w:pStyle w:val="964"/>
        <w:ind w:firstLine="640"/>
        <w:rPr>
          <w:rFonts w:ascii="宋体" w:hAnsi="宋体"/>
          <w:color w:val="auto"/>
          <w:sz w:val="32"/>
          <w:szCs w:val="32"/>
          <w:highlight w:val="none"/>
        </w:rPr>
      </w:pPr>
      <w:r>
        <w:rPr>
          <w:rFonts w:ascii="宋体" w:hAnsi="宋体"/>
          <w:color w:val="auto"/>
          <w:sz w:val="32"/>
          <w:szCs w:val="32"/>
          <w:highlight w:val="none"/>
        </w:rPr>
      </w:r>
      <w:r/>
    </w:p>
    <w:p>
      <w:pPr>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963"/>
        <w:numPr>
          <w:ilvl w:val="0"/>
          <w:numId w:val="0"/>
        </w:numPr>
        <w:jc w:val="center"/>
        <w:rPr>
          <w:rFonts w:hint="eastAsia" w:ascii="宋体" w:hAnsi="宋体" w:eastAsia="宋体" w:cs="Times New Roman"/>
          <w:bCs w:val="0"/>
          <w:color w:val="auto"/>
          <w:sz w:val="32"/>
          <w:szCs w:val="32"/>
          <w:highlight w:val="none"/>
        </w:rPr>
      </w:pPr>
      <w:r/>
      <w:bookmarkStart w:id="59" w:name="_Toc113352361"/>
      <w:r>
        <w:rPr>
          <w:rFonts w:hint="eastAsia" w:ascii="宋体" w:hAnsi="宋体" w:eastAsia="宋体" w:cs="Times New Roman"/>
          <w:bCs w:val="0"/>
          <w:color w:val="auto"/>
          <w:sz w:val="32"/>
          <w:szCs w:val="32"/>
          <w:highlight w:val="none"/>
          <w:lang w:val="en-US" w:eastAsia="zh-CN"/>
        </w:rPr>
        <w:t xml:space="preserve">五、</w:t>
      </w:r>
      <w:r>
        <w:rPr>
          <w:rFonts w:hint="eastAsia" w:ascii="宋体" w:hAnsi="宋体" w:eastAsia="宋体" w:cs="Times New Roman"/>
          <w:bCs w:val="0"/>
          <w:color w:val="auto"/>
          <w:sz w:val="32"/>
          <w:szCs w:val="32"/>
          <w:highlight w:val="none"/>
        </w:rPr>
        <w:t xml:space="preserve">分项报价表</w:t>
      </w:r>
      <w:bookmarkEnd w:id="59"/>
      <w:r>
        <w:rPr>
          <w:rFonts w:hint="eastAsia" w:ascii="宋体" w:hAnsi="宋体" w:eastAsia="宋体" w:cs="Times New Roman"/>
          <w:bCs w:val="0"/>
          <w:color w:val="auto"/>
          <w:sz w:val="32"/>
          <w:szCs w:val="32"/>
          <w:highlight w:val="none"/>
          <w:lang w:eastAsia="zh-CN"/>
        </w:rPr>
        <w:t xml:space="preserve">（本项目无需填写）</w:t>
      </w:r>
      <w:r/>
    </w:p>
    <w:tbl>
      <w:tblPr>
        <w:tblStyle w:val="7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733"/>
        <w:gridCol w:w="2409"/>
        <w:gridCol w:w="1985"/>
      </w:tblGrid>
      <w:tr>
        <w:trPr>
          <w:cantSplit/>
          <w:trHeight w:val="544"/>
        </w:trPr>
        <w:tc>
          <w:tcPr>
            <w:tcW w:w="277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17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240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c>
          <w:tcPr>
            <w:tcW w:w="19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r>
      <w:tr>
        <w:trPr>
          <w:cantSplit/>
          <w:trHeight w:val="437"/>
        </w:trPr>
        <w:tc>
          <w:tcPr>
            <w:tcW w:w="2770"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名称</w:t>
            </w:r>
            <w:r/>
          </w:p>
        </w:tc>
        <w:tc>
          <w:tcPr>
            <w:tcW w:w="1733"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数量</w:t>
            </w:r>
            <w:r/>
          </w:p>
        </w:tc>
        <w:tc>
          <w:tcPr>
            <w:tcW w:w="2409"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单价</w:t>
            </w:r>
            <w:r/>
          </w:p>
        </w:tc>
        <w:tc>
          <w:tcPr>
            <w:tcW w:w="1985"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总价</w:t>
            </w:r>
            <w:r/>
          </w:p>
        </w:tc>
      </w:tr>
      <w:tr>
        <w:trPr>
          <w:cantSplit/>
          <w:trHeight w:val="924"/>
        </w:trPr>
        <w:tc>
          <w:tcPr>
            <w:tcW w:w="277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7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2409"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98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cantSplit/>
          <w:trHeight w:val="924"/>
        </w:trPr>
        <w:tc>
          <w:tcPr>
            <w:tcW w:w="277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7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2409"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98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cantSplit/>
          <w:trHeight w:val="924"/>
        </w:trPr>
        <w:tc>
          <w:tcPr>
            <w:tcW w:w="277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7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2409"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98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cantSplit/>
          <w:trHeight w:val="580"/>
        </w:trPr>
        <w:tc>
          <w:tcPr>
            <w:tcW w:w="277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733"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2409"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c>
          <w:tcPr>
            <w:tcW w:w="1985"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r>
        <w:trPr>
          <w:cantSplit/>
          <w:trHeight w:val="580"/>
        </w:trPr>
        <w:tc>
          <w:tcPr>
            <w:tcW w:w="2770"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t xml:space="preserve">合计</w:t>
            </w:r>
            <w:r/>
          </w:p>
        </w:tc>
        <w:tc>
          <w:tcPr>
            <w:gridSpan w:val="3"/>
            <w:tcW w:w="6127" w:type="dxa"/>
            <w:vAlign w:val="center"/>
            <w:textDirection w:val="lrTb"/>
            <w:noWrap w:val="false"/>
          </w:tcPr>
          <w:p>
            <w:pPr>
              <w:rPr>
                <w:rFonts w:hint="eastAsia" w:ascii="宋体" w:hAnsi="宋体"/>
                <w:color w:val="auto"/>
                <w:szCs w:val="21"/>
                <w:highlight w:val="none"/>
              </w:rPr>
            </w:pPr>
            <w:r>
              <w:rPr>
                <w:rFonts w:hint="eastAsia" w:ascii="宋体" w:hAnsi="宋体"/>
                <w:color w:val="auto"/>
                <w:szCs w:val="21"/>
                <w:highlight w:val="none"/>
              </w:rPr>
            </w:r>
            <w:r/>
          </w:p>
        </w:tc>
      </w:tr>
    </w:tbl>
    <w:p>
      <w:pPr>
        <w:pStyle w:val="964"/>
        <w:ind w:firstLine="0"/>
        <w:rPr>
          <w:rFonts w:hint="eastAsia" w:ascii="宋体" w:hAnsi="宋体"/>
          <w:color w:val="auto"/>
          <w:sz w:val="32"/>
          <w:highlight w:val="none"/>
        </w:rPr>
        <w:sectPr>
          <w:head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auto"/>
          <w:sz w:val="32"/>
          <w:highlight w:val="none"/>
        </w:rPr>
      </w:r>
      <w:r/>
    </w:p>
    <w:p>
      <w:pPr>
        <w:pStyle w:val="963"/>
        <w:numPr>
          <w:ilvl w:val="0"/>
          <w:numId w:val="0"/>
        </w:numPr>
        <w:jc w:val="center"/>
        <w:rPr>
          <w:rFonts w:hint="eastAsia" w:ascii="宋体" w:hAnsi="宋体" w:eastAsia="宋体"/>
          <w:color w:val="auto"/>
          <w:sz w:val="32"/>
          <w:highlight w:val="none"/>
        </w:rPr>
      </w:pPr>
      <w:r>
        <w:rPr>
          <w:rFonts w:hint="eastAsia" w:ascii="宋体" w:hAnsi="宋体" w:eastAsia="宋体"/>
          <w:color w:val="auto"/>
          <w:sz w:val="32"/>
          <w:highlight w:val="none"/>
          <w:lang w:val="en-US" w:eastAsia="zh-CN"/>
        </w:rPr>
        <w:t xml:space="preserve">六、</w:t>
      </w:r>
      <w:r>
        <w:rPr>
          <w:rFonts w:hint="eastAsia" w:ascii="宋体" w:hAnsi="宋体" w:eastAsia="宋体"/>
          <w:color w:val="auto"/>
          <w:sz w:val="32"/>
          <w:highlight w:val="none"/>
        </w:rPr>
        <w:t xml:space="preserve">技术参数响应及偏离表</w:t>
      </w:r>
      <w:r/>
    </w:p>
    <w:p>
      <w:pPr>
        <w:pStyle w:val="964"/>
        <w:ind w:firstLine="0"/>
        <w:rPr>
          <w:rFonts w:hint="eastAsia"/>
          <w:color w:val="auto"/>
          <w:highlight w:val="none"/>
        </w:rPr>
      </w:pPr>
      <w:r>
        <w:rPr>
          <w:rFonts w:hint="eastAsia"/>
          <w:color w:val="auto"/>
          <w:highlight w:val="none"/>
        </w:rPr>
        <w:t xml:space="preserve">分包号：</w:t>
      </w:r>
      <w:r/>
    </w:p>
    <w:tbl>
      <w:tblPr>
        <w:tblStyle w:val="7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874"/>
      </w:tblGrid>
      <w:tr>
        <w:trPr>
          <w:cantSplit/>
        </w:trPr>
        <w:tc>
          <w:tcPr>
            <w:tcW w:w="98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8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8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30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87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hint="eastAsia" w:ascii="黑体" w:hAnsi="Arial" w:eastAsia="黑体"/>
          <w:color w:val="auto"/>
          <w:sz w:val="32"/>
          <w:highlight w:val="none"/>
        </w:rPr>
        <w:br w:type="page" w:clear="all"/>
      </w:r>
      <w:r/>
    </w:p>
    <w:p>
      <w:pPr>
        <w:pStyle w:val="963"/>
        <w:rPr>
          <w:rFonts w:hint="eastAsia" w:ascii="宋体" w:hAnsi="宋体" w:eastAsia="宋体" w:cs="Times New Roman"/>
          <w:bCs w:val="0"/>
          <w:color w:val="auto"/>
          <w:sz w:val="32"/>
          <w:szCs w:val="32"/>
          <w:highlight w:val="none"/>
        </w:rPr>
      </w:pPr>
      <w:r/>
      <w:bookmarkStart w:id="60" w:name="_Hlt26955054"/>
      <w:r/>
      <w:bookmarkEnd w:id="60"/>
      <w:r/>
      <w:bookmarkStart w:id="61" w:name="_Toc113352363"/>
      <w:r>
        <w:rPr>
          <w:rFonts w:hint="eastAsia" w:ascii="宋体" w:hAnsi="宋体" w:eastAsia="宋体" w:cs="Times New Roman"/>
          <w:bCs w:val="0"/>
          <w:color w:val="auto"/>
          <w:sz w:val="32"/>
          <w:szCs w:val="32"/>
          <w:highlight w:val="none"/>
        </w:rPr>
        <w:t xml:space="preserve">七、商务条款响应及偏离表</w:t>
      </w:r>
      <w:bookmarkEnd w:id="61"/>
      <w:r/>
      <w:r/>
    </w:p>
    <w:p>
      <w:pPr>
        <w:pStyle w:val="964"/>
        <w:rPr>
          <w:rFonts w:hint="eastAsia"/>
          <w:color w:val="auto"/>
          <w:highlight w:val="none"/>
        </w:rPr>
      </w:pPr>
      <w:r>
        <w:rPr>
          <w:rFonts w:hint="eastAsia"/>
          <w:color w:val="auto"/>
          <w:highlight w:val="none"/>
        </w:rPr>
        <w:t xml:space="preserve">分包号：</w:t>
      </w:r>
      <w:r/>
    </w:p>
    <w:tbl>
      <w:tblPr>
        <w:tblStyle w:val="789"/>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W w:w="2563"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trHeight w:val="540"/>
        </w:trPr>
        <w:tc>
          <w:tcPr>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服务时间</w:t>
            </w:r>
            <w:r/>
          </w:p>
        </w:tc>
        <w:tc>
          <w:tcPr>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W w:w="1638" w:type="dxa"/>
            <w:vAlign w:val="top"/>
            <w:textDirection w:val="lrTb"/>
            <w:noWrap w:val="false"/>
          </w:tcPr>
          <w:p>
            <w:pPr>
              <w:jc w:val="center"/>
              <w:spacing w:before="156" w:line="360" w:lineRule="auto"/>
              <w:rPr>
                <w:rFonts w:hint="eastAsia" w:ascii="仿宋_GB2312"/>
                <w:color w:val="auto"/>
                <w:szCs w:val="21"/>
                <w:highlight w:val="none"/>
              </w:rPr>
            </w:pPr>
            <w:r>
              <w:rPr>
                <w:rFonts w:hint="eastAsia" w:ascii="仿宋_GB2312"/>
                <w:color w:val="auto"/>
                <w:szCs w:val="21"/>
                <w:highlight w:val="none"/>
              </w:rPr>
              <w:t xml:space="preserve">服务方式</w:t>
            </w:r>
            <w:r/>
          </w:p>
        </w:tc>
        <w:tc>
          <w:tcPr>
            <w:tcW w:w="2502" w:type="dxa"/>
            <w:vAlign w:val="top"/>
            <w:textDirection w:val="lrTb"/>
            <w:noWrap w:val="false"/>
          </w:tcPr>
          <w:p>
            <w:pP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W w:w="1638" w:type="dxa"/>
            <w:vAlign w:val="top"/>
            <w:textDirection w:val="lrTb"/>
            <w:noWrap w:val="false"/>
          </w:tcPr>
          <w:p>
            <w:pPr>
              <w:jc w:val="center"/>
              <w:spacing w:before="156" w:line="360" w:lineRule="auto"/>
              <w:rPr>
                <w:rFonts w:hint="eastAsia" w:ascii="仿宋_GB2312"/>
                <w:color w:val="auto"/>
                <w:szCs w:val="21"/>
                <w:highlight w:val="none"/>
              </w:rPr>
            </w:pPr>
            <w:r>
              <w:rPr>
                <w:rFonts w:hint="eastAsia" w:ascii="仿宋_GB2312"/>
                <w:color w:val="auto"/>
                <w:szCs w:val="21"/>
                <w:highlight w:val="none"/>
              </w:rPr>
              <w:t xml:space="preserve">服务地点</w:t>
            </w:r>
            <w:r/>
          </w:p>
        </w:tc>
        <w:tc>
          <w:tcPr>
            <w:tcW w:w="2502" w:type="dxa"/>
            <w:vAlign w:val="top"/>
            <w:textDirection w:val="lrTb"/>
            <w:noWrap w:val="false"/>
          </w:tcPr>
          <w:p>
            <w:pP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W w:w="2502" w:type="dxa"/>
            <w:vAlign w:val="top"/>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c>
          <w:tcPr>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964"/>
        <w:ind w:firstLine="480"/>
        <w:rPr>
          <w:rFonts w:ascii="宋体" w:hAnsi="宋体"/>
          <w:color w:val="auto"/>
          <w:sz w:val="24"/>
          <w:highlight w:val="none"/>
        </w:rPr>
      </w:pPr>
      <w:r/>
      <w:bookmarkStart w:id="62" w:name="_Hlt26609389"/>
      <w:r/>
      <w:bookmarkEnd w:id="62"/>
      <w:r/>
      <w:bookmarkStart w:id="63" w:name="_Hlt26955066"/>
      <w:r/>
      <w:bookmarkEnd w:id="63"/>
      <w:r/>
      <w:bookmarkStart w:id="64" w:name="_Hlt26671374"/>
      <w:r/>
      <w:bookmarkEnd w:id="64"/>
      <w:r/>
      <w:bookmarkStart w:id="65" w:name="_Toc462564146"/>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hint="eastAsia" w:ascii="宋体" w:hAnsi="宋体"/>
          <w:color w:val="auto"/>
          <w:sz w:val="24"/>
          <w:highlight w:val="none"/>
        </w:rPr>
        <w:t xml:space="preserve">.</w:t>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r/>
    </w:p>
    <w:p>
      <w:pPr>
        <w:pStyle w:val="964"/>
        <w:ind w:firstLine="480"/>
        <w:rPr>
          <w:rFonts w:ascii="宋体" w:hAnsi="宋体"/>
          <w:color w:val="auto"/>
          <w:sz w:val="24"/>
          <w:highlight w:val="none"/>
        </w:rPr>
      </w:pPr>
      <w:r>
        <w:rPr>
          <w:rFonts w:ascii="宋体" w:hAnsi="宋体"/>
          <w:color w:val="auto"/>
          <w:sz w:val="24"/>
          <w:highlight w:val="none"/>
        </w:rPr>
      </w:r>
      <w:bookmarkEnd w:id="65"/>
      <w:r/>
      <w:r/>
    </w:p>
    <w:p>
      <w:pPr>
        <w:pStyle w:val="964"/>
        <w:ind w:firstLine="480"/>
        <w:rPr>
          <w:rFonts w:ascii="宋体" w:hAnsi="宋体"/>
          <w:color w:val="auto"/>
          <w:sz w:val="24"/>
          <w:highlight w:val="none"/>
        </w:rPr>
      </w:pPr>
      <w:r>
        <w:rPr>
          <w:rFonts w:ascii="宋体" w:hAnsi="宋体"/>
          <w:color w:val="auto"/>
          <w:sz w:val="24"/>
          <w:highlight w:val="none"/>
        </w:rPr>
      </w:r>
      <w:r/>
    </w:p>
    <w:p>
      <w:pPr>
        <w:jc w:val="left"/>
        <w:widowControl/>
        <w:rPr>
          <w:rFonts w:ascii="宋体" w:hAnsi="宋体"/>
          <w:b/>
          <w:color w:val="auto"/>
          <w:highlight w:val="none"/>
        </w:rPr>
      </w:pPr>
      <w:r/>
      <w:bookmarkStart w:id="66" w:name="_格式2__法定代表人授权书"/>
      <w:r/>
      <w:bookmarkEnd w:id="66"/>
      <w:r>
        <w:rPr>
          <w:rFonts w:ascii="宋体" w:hAnsi="宋体"/>
          <w:b/>
          <w:color w:val="auto"/>
          <w:highlight w:val="none"/>
        </w:rPr>
        <w:br w:type="page" w:clear="all"/>
      </w:r>
      <w:r/>
    </w:p>
    <w:p>
      <w:pPr>
        <w:pStyle w:val="963"/>
        <w:rPr>
          <w:rFonts w:hint="eastAsia" w:ascii="宋体" w:hAnsi="宋体" w:eastAsia="宋体" w:cs="Times New Roman"/>
          <w:bCs w:val="0"/>
          <w:color w:val="auto"/>
          <w:sz w:val="32"/>
          <w:szCs w:val="32"/>
          <w:highlight w:val="none"/>
        </w:rPr>
      </w:pPr>
      <w:r>
        <w:rPr>
          <w:rFonts w:hint="eastAsia" w:ascii="宋体" w:hAnsi="宋体" w:eastAsia="宋体" w:cs="Times New Roman"/>
          <w:bCs w:val="0"/>
          <w:color w:val="auto"/>
          <w:sz w:val="32"/>
          <w:szCs w:val="32"/>
          <w:highlight w:val="none"/>
        </w:rPr>
        <w:t xml:space="preserve">拟投入项目服务团队人员一览表 </w:t>
      </w:r>
      <w:r/>
    </w:p>
    <w:p>
      <w:pPr>
        <w:pStyle w:val="964"/>
        <w:rPr>
          <w:rFonts w:hint="eastAsia" w:eastAsia="宋体"/>
          <w:color w:val="auto"/>
          <w:highlight w:val="none"/>
        </w:rPr>
      </w:pPr>
      <w:r>
        <w:rPr>
          <w:rFonts w:hint="eastAsia" w:eastAsia="宋体"/>
          <w:color w:val="auto"/>
          <w:highlight w:val="none"/>
        </w:rPr>
        <w:t xml:space="preserve">分包号：</w:t>
      </w:r>
      <w:r/>
    </w:p>
    <w:tbl>
      <w:tblPr>
        <w:tblStyle w:val="789"/>
        <w:tblW w:w="97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74"/>
        <w:gridCol w:w="1020"/>
        <w:gridCol w:w="1080"/>
        <w:gridCol w:w="888"/>
        <w:gridCol w:w="1128"/>
        <w:gridCol w:w="1920"/>
        <w:gridCol w:w="1945"/>
        <w:gridCol w:w="875"/>
      </w:tblGrid>
      <w:tr>
        <w:trPr>
          <w:jc w:val="center"/>
          <w:trHeight w:val="880"/>
        </w:trPr>
        <w:tc>
          <w:tcPr>
            <w:tcW w:w="874"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020"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1080"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年龄</w:t>
            </w:r>
            <w:r/>
          </w:p>
        </w:tc>
        <w:tc>
          <w:tcPr>
            <w:tcW w:w="888"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学历</w:t>
            </w:r>
            <w:r/>
          </w:p>
        </w:tc>
        <w:tc>
          <w:tcPr>
            <w:tcW w:w="1128"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职称</w:t>
            </w:r>
            <w:r/>
          </w:p>
        </w:tc>
        <w:tc>
          <w:tcPr>
            <w:tcW w:w="1920"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是否具备食品岗位证</w:t>
            </w:r>
            <w:r/>
          </w:p>
        </w:tc>
        <w:tc>
          <w:tcPr>
            <w:tcW w:w="1945"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拟在本项目</w:t>
            </w:r>
            <w:r/>
          </w:p>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中担任的职务</w:t>
            </w:r>
            <w:r/>
          </w:p>
        </w:tc>
        <w:tc>
          <w:tcPr>
            <w:tcW w:w="875"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675"/>
        </w:trPr>
        <w:tc>
          <w:tcPr>
            <w:tcW w:w="874"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0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4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02"/>
        </w:trPr>
        <w:tc>
          <w:tcPr>
            <w:tcW w:w="874"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0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4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02"/>
        </w:trPr>
        <w:tc>
          <w:tcPr>
            <w:tcW w:w="874"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0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4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03"/>
        </w:trPr>
        <w:tc>
          <w:tcPr>
            <w:tcW w:w="874"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0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4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02"/>
        </w:trPr>
        <w:tc>
          <w:tcPr>
            <w:tcW w:w="874"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0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4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02"/>
        </w:trPr>
        <w:tc>
          <w:tcPr>
            <w:tcW w:w="874"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0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4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02"/>
        </w:trPr>
        <w:tc>
          <w:tcPr>
            <w:tcW w:w="874"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10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0" w:type="dxa"/>
            <w:vAlign w:val="center"/>
            <w:textDirection w:val="lrTb"/>
            <w:noWrap w:val="false"/>
          </w:tcPr>
          <w:p>
            <w:pPr>
              <w:pStyle w:val="978"/>
              <w:ind w:left="0" w:right="0" w:firstLine="0"/>
              <w:jc w:val="both"/>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4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02"/>
        </w:trPr>
        <w:tc>
          <w:tcPr>
            <w:tcW w:w="874"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10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4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05"/>
        </w:trPr>
        <w:tc>
          <w:tcPr>
            <w:tcW w:w="874" w:type="dxa"/>
            <w:vAlign w:val="center"/>
            <w:textDirection w:val="lrTb"/>
            <w:noWrap w:val="false"/>
          </w:tcPr>
          <w:p>
            <w:pPr>
              <w:pStyle w:val="978"/>
              <w:ind w:left="0" w:right="0" w:firstLine="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10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8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8"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0"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4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5" w:type="dxa"/>
            <w:vAlign w:val="center"/>
            <w:textDirection w:val="lrTb"/>
            <w:noWrap w:val="false"/>
          </w:tcPr>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78"/>
              <w:ind w:left="0" w:right="0"/>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014"/>
        <w:ind w:left="0" w:right="0" w:firstLine="416"/>
        <w:jc w:val="left"/>
        <w:keepLines w:val="0"/>
        <w:keepNext w:val="0"/>
        <w:pageBreakBefore w:val="0"/>
        <w:spacing w:line="440" w:lineRule="exact"/>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p>
      <w:pPr>
        <w:pStyle w:val="1014"/>
        <w:ind w:left="0" w:right="0" w:firstLine="416"/>
        <w:jc w:val="left"/>
        <w:keepLines w:val="0"/>
        <w:keepNext w:val="0"/>
        <w:pageBreakBefore w:val="0"/>
        <w:spacing w:line="440" w:lineRule="exact"/>
        <w:widowControl w:val="off"/>
        <w:rPr>
          <w:rFonts w:hint="eastAsia" w:ascii="宋体" w:hAnsi="宋体" w:eastAsia="宋体" w:cs="宋体"/>
          <w:color w:val="auto"/>
          <w:spacing w:val="-3"/>
          <w:sz w:val="21"/>
          <w:szCs w:val="21"/>
          <w:highlight w:val="none"/>
        </w:rPr>
      </w:pPr>
      <w:r>
        <w:rPr>
          <w:rFonts w:hint="eastAsia" w:ascii="宋体" w:hAnsi="宋体" w:eastAsia="宋体" w:cs="宋体"/>
          <w:color w:val="auto"/>
          <w:spacing w:val="-1"/>
          <w:sz w:val="21"/>
          <w:szCs w:val="21"/>
          <w:highlight w:val="none"/>
        </w:rPr>
        <w:t xml:space="preserve">注：</w:t>
      </w:r>
      <w:r>
        <w:rPr>
          <w:rFonts w:hint="eastAsia" w:ascii="宋体" w:hAnsi="宋体" w:eastAsia="宋体" w:cs="宋体"/>
          <w:color w:val="auto"/>
          <w:spacing w:val="-3"/>
          <w:sz w:val="21"/>
          <w:szCs w:val="21"/>
          <w:highlight w:val="none"/>
        </w:rPr>
        <w:t xml:space="preserve">此表为表样，行数可自行添加，但表式不</w:t>
      </w:r>
      <w:r>
        <w:rPr>
          <w:rFonts w:hint="eastAsia" w:ascii="宋体" w:hAnsi="宋体" w:eastAsia="宋体" w:cs="宋体"/>
          <w:color w:val="auto"/>
          <w:spacing w:val="-3"/>
          <w:sz w:val="21"/>
          <w:szCs w:val="21"/>
          <w:highlight w:val="none"/>
          <w:lang w:eastAsia="zh-CN"/>
        </w:rPr>
        <w:t xml:space="preserve">变</w:t>
      </w:r>
      <w:r>
        <w:rPr>
          <w:rFonts w:hint="eastAsia" w:ascii="宋体" w:hAnsi="宋体" w:eastAsia="宋体" w:cs="宋体"/>
          <w:color w:val="auto"/>
          <w:spacing w:val="-3"/>
          <w:sz w:val="21"/>
          <w:szCs w:val="21"/>
          <w:highlight w:val="none"/>
        </w:rPr>
        <w:t xml:space="preserve">。</w:t>
      </w:r>
      <w:r/>
    </w:p>
    <w:p>
      <w:pPr>
        <w:pStyle w:val="1014"/>
        <w:ind w:left="0" w:right="0" w:firstLine="811"/>
        <w:jc w:val="left"/>
        <w:keepLines w:val="0"/>
        <w:keepNext w:val="0"/>
        <w:pageBreakBefore w:val="0"/>
        <w:spacing w:line="440" w:lineRule="exact"/>
        <w:widowControl w:val="off"/>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项目人员资质、本单位员工证明文件等附后。</w:t>
      </w:r>
      <w:r/>
    </w:p>
    <w:p>
      <w:pPr>
        <w:jc w:val="center"/>
        <w:spacing w:before="312" w:line="360" w:lineRule="auto"/>
        <w:rPr>
          <w:rFonts w:hint="eastAsia" w:ascii="宋体" w:hAnsi="宋体"/>
          <w:b/>
          <w:color w:val="auto"/>
          <w:highlight w:val="none"/>
        </w:rPr>
      </w:pPr>
      <w:r>
        <w:rPr>
          <w:rFonts w:hint="eastAsia" w:ascii="宋体" w:hAnsi="宋体"/>
          <w:b/>
          <w:color w:val="auto"/>
          <w:highlight w:val="none"/>
        </w:rPr>
      </w:r>
      <w:r/>
    </w:p>
    <w:p>
      <w:pPr>
        <w:pStyle w:val="790"/>
        <w:rPr>
          <w:rFonts w:hint="eastAsia" w:ascii="宋体" w:hAnsi="宋体"/>
          <w:b/>
          <w:color w:val="auto"/>
          <w:highlight w:val="none"/>
        </w:rPr>
      </w:pPr>
      <w:r>
        <w:rPr>
          <w:rFonts w:hint="eastAsia" w:ascii="宋体" w:hAnsi="宋体"/>
          <w:b/>
          <w:color w:val="auto"/>
          <w:highlight w:val="none"/>
        </w:rPr>
      </w:r>
      <w:r/>
    </w:p>
    <w:p>
      <w:pPr>
        <w:rPr>
          <w:rFonts w:hint="eastAsia" w:ascii="宋体" w:hAnsi="宋体"/>
          <w:b/>
          <w:color w:val="auto"/>
          <w:highlight w:val="none"/>
        </w:rPr>
      </w:pPr>
      <w:r>
        <w:rPr>
          <w:rFonts w:hint="eastAsia" w:ascii="宋体" w:hAnsi="宋体"/>
          <w:b/>
          <w:color w:val="auto"/>
          <w:highlight w:val="none"/>
        </w:rPr>
      </w:r>
      <w:r/>
    </w:p>
    <w:p>
      <w:pPr>
        <w:pStyle w:val="790"/>
        <w:rPr>
          <w:rFonts w:hint="eastAsia"/>
          <w:color w:val="auto"/>
          <w:highlight w:val="none"/>
        </w:rPr>
      </w:pPr>
      <w:r>
        <w:rPr>
          <w:rFonts w:hint="eastAsia"/>
          <w:color w:val="auto"/>
          <w:highlight w:val="none"/>
        </w:rPr>
      </w:r>
      <w:r/>
    </w:p>
    <w:p>
      <w:pPr>
        <w:pStyle w:val="790"/>
        <w:rPr>
          <w:rFonts w:hint="eastAsia"/>
          <w:color w:val="auto"/>
          <w:highlight w:val="none"/>
        </w:rPr>
      </w:pPr>
      <w:r>
        <w:rPr>
          <w:rFonts w:hint="eastAsia"/>
          <w:color w:val="auto"/>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3780" w:type="dxa"/>
            <w:vAlign w:val="top"/>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1、我们自愿组成联合体，参加（代理机构）的采购编号为（项目编号）（项目全称）的政府采购活动。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rFonts w:hint="eastAsia" w:ascii="宋体" w:hAnsi="宋体"/>
          <w:color w:val="auto"/>
          <w:highlight w:val="none"/>
        </w:rPr>
      </w:pPr>
      <w:r>
        <w:rPr>
          <w:rFonts w:hint="eastAsia" w:ascii="宋体" w:hAnsi="宋体"/>
          <w:color w:val="auto"/>
          <w:highlight w:val="none"/>
        </w:rPr>
        <w:t xml:space="preserve">日期：</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ourier New">
    <w:panose1 w:val="02070309020205020404"/>
  </w:font>
  <w:font w:name="Times New Roman">
    <w:panose1 w:val="02020603050405020304"/>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pPr>
    <w:r>
      <w:fldChar w:fldCharType="begin"/>
    </w:r>
    <w:r>
      <w:instrText xml:space="preserve">PAGE   \* MERGEFORMAT</w:instrText>
    </w:r>
    <w:r>
      <w:fldChar w:fldCharType="separate"/>
    </w:r>
    <w:r>
      <w:rPr>
        <w:lang w:val="zh-CN"/>
      </w:rPr>
      <w:t xml:space="preserve">4</w:t>
    </w:r>
    <w:r>
      <w:rPr>
        <w:lang w:val="zh-CN"/>
      </w:rPr>
      <w:fldChar w:fldCharType="end"/>
    </w:r>
    <w:r/>
  </w:p>
  <w:p>
    <w:pPr>
      <w:pStyle w:val="98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239</w:t>
    </w:r>
    <w:r>
      <w:fldChar w:fldCharType="end"/>
    </w:r>
    <w:r/>
  </w:p>
  <w:p>
    <w:pPr>
      <w:pStyle w:val="799"/>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Fonts w:hint="eastAsia" w:eastAsia="宋体"/>
        <w:lang w:eastAsia="zh-CN"/>
      </w:rPr>
    </w:pPr>
    <w:r>
      <w:rPr>
        <w:rFonts w:hint="eastAsia"/>
        <w:lang w:eastAsia="zh-CN"/>
      </w:rPr>
      <w:t xml:space="preserve">JSZC-321000-HCZX-G2024-0118</w:t>
    </w:r>
    <w:r>
      <w:rPr>
        <w:rFonts w:hint="eastAsia"/>
      </w:rPr>
      <w:t xml:space="preserve">号                           </w:t>
    </w:r>
    <w:r>
      <w:rPr>
        <w:rFonts w:hint="eastAsia"/>
        <w:lang w:val="en-US" w:eastAsia="zh-CN"/>
      </w:rPr>
      <w:t xml:space="preserve">        </w:t>
    </w:r>
    <w:r>
      <w:rPr>
        <w:rFonts w:hint="eastAsia"/>
        <w:lang w:eastAsia="zh-CN"/>
      </w:rPr>
      <w:t xml:space="preserve">江苏汇诚投资咨询管理有限公司</w:t>
    </w:r>
    <w:r/>
  </w:p>
  <w:p>
    <w:pPr>
      <w:pStyle w:val="97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Fonts w:hint="eastAsia" w:eastAsia="宋体"/>
        <w:lang w:eastAsia="zh-CN"/>
      </w:rPr>
    </w:pPr>
    <w:r>
      <w:rPr>
        <w:rFonts w:hint="eastAsia"/>
        <w:lang w:eastAsia="zh-CN"/>
      </w:rPr>
      <w:t xml:space="preserve">JSZC-321000-HCZX-G2024-0118</w:t>
    </w:r>
    <w:r>
      <w:rPr>
        <w:rFonts w:hint="eastAsia"/>
      </w:rPr>
      <w:t xml:space="preserve">号                                  </w:t>
    </w:r>
    <w:r>
      <w:rPr>
        <w:rFonts w:hint="eastAsia"/>
        <w:lang w:eastAsia="zh-CN"/>
      </w:rPr>
      <w:t xml:space="preserve">江苏汇诚投资咨询管理有限公司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center"/>
      <w:rPr>
        <w:rFonts w:hint="eastAsia" w:eastAsia="宋体"/>
        <w:lang w:eastAsia="zh-CN"/>
      </w:rPr>
    </w:pPr>
    <w:r>
      <w:rPr>
        <w:rFonts w:hint="eastAsia"/>
        <w:color w:val="000000"/>
        <w:lang w:eastAsia="zh-CN"/>
      </w:rPr>
      <w:t xml:space="preserve">JSZC-321000-HCZX-G2024-0118</w:t>
    </w:r>
    <w:r>
      <w:rPr>
        <w:rFonts w:hint="eastAsia"/>
        <w:color w:val="000000"/>
      </w:rPr>
      <w:t xml:space="preserve">号</w:t>
    </w:r>
    <w:r>
      <w:rPr>
        <w:color w:val="000000"/>
      </w:rPr>
      <w:tab/>
    </w:r>
    <w:r>
      <w:rPr>
        <w:rFonts w:hint="eastAsia"/>
        <w:color w:val="ff0000"/>
      </w:rPr>
      <w:t xml:space="preserve"> </w:t>
    </w:r>
    <w:r>
      <w:rPr>
        <w:rFonts w:hint="eastAsia"/>
      </w:rPr>
      <w:t xml:space="preserve">                                  </w:t>
    </w:r>
    <w:r>
      <w:rPr>
        <w:rFonts w:hint="eastAsia"/>
        <w:lang w:eastAsia="zh-CN"/>
      </w:rPr>
      <w:t xml:space="preserve">江苏汇诚投资咨询管理有限公司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1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default="1">
    <w:name w:val="Normal"/>
    <w:next w:val="790"/>
    <w:link w:val="970"/>
    <w:uiPriority w:val="0"/>
    <w:qFormat/>
    <w:pPr>
      <w:jc w:val="both"/>
      <w:widowControl w:val="off"/>
    </w:pPr>
    <w:rPr>
      <w:rFonts w:hint="default" w:ascii="Calibri" w:hAnsi="Calibri" w:eastAsia="宋体" w:cs="Calibri"/>
      <w:sz w:val="21"/>
      <w:szCs w:val="22"/>
      <w:lang w:val="en-US" w:eastAsia="zh-CN" w:bidi="ar-SA"/>
    </w:rPr>
  </w:style>
  <w:style w:type="paragraph" w:styleId="779">
    <w:name w:val="Heading 1"/>
    <w:basedOn w:val="778"/>
    <w:next w:val="778"/>
    <w:link w:val="814"/>
    <w:uiPriority w:val="9"/>
    <w:qFormat/>
    <w:pPr>
      <w:keepLines/>
      <w:keepNext/>
      <w:spacing w:before="480" w:after="200"/>
      <w:outlineLvl w:val="0"/>
    </w:pPr>
    <w:rPr>
      <w:rFonts w:ascii="Arial" w:hAnsi="Arial" w:eastAsia="Arial" w:cs="Arial"/>
      <w:sz w:val="40"/>
      <w:szCs w:val="40"/>
    </w:rPr>
  </w:style>
  <w:style w:type="paragraph" w:styleId="780">
    <w:name w:val="Heading 2"/>
    <w:basedOn w:val="778"/>
    <w:next w:val="778"/>
    <w:link w:val="815"/>
    <w:uiPriority w:val="9"/>
    <w:unhideWhenUsed/>
    <w:qFormat/>
    <w:pPr>
      <w:keepLines/>
      <w:keepNext/>
      <w:spacing w:before="360" w:after="200"/>
      <w:outlineLvl w:val="1"/>
    </w:pPr>
    <w:rPr>
      <w:rFonts w:ascii="Arial" w:hAnsi="Arial" w:eastAsia="Arial" w:cs="Arial"/>
      <w:sz w:val="34"/>
    </w:rPr>
  </w:style>
  <w:style w:type="paragraph" w:styleId="781">
    <w:name w:val="Heading 3"/>
    <w:basedOn w:val="778"/>
    <w:next w:val="778"/>
    <w:link w:val="816"/>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778"/>
    <w:next w:val="778"/>
    <w:link w:val="817"/>
    <w:uiPriority w:val="9"/>
    <w:unhideWhenUsed/>
    <w:qFormat/>
    <w:pPr>
      <w:keepLines/>
      <w:keepNext/>
      <w:spacing w:before="320" w:after="200"/>
      <w:outlineLvl w:val="3"/>
    </w:pPr>
    <w:rPr>
      <w:rFonts w:ascii="Arial" w:hAnsi="Arial" w:eastAsia="Arial" w:cs="Arial"/>
      <w:b/>
      <w:bCs/>
      <w:sz w:val="26"/>
      <w:szCs w:val="26"/>
    </w:rPr>
  </w:style>
  <w:style w:type="paragraph" w:styleId="783">
    <w:name w:val="Heading 5"/>
    <w:basedOn w:val="778"/>
    <w:next w:val="778"/>
    <w:link w:val="818"/>
    <w:uiPriority w:val="9"/>
    <w:unhideWhenUsed/>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link w:val="819"/>
    <w:uiPriority w:val="9"/>
    <w:unhideWhenUsed/>
    <w:qFormat/>
    <w:pPr>
      <w:keepLines/>
      <w:keepNext/>
      <w:spacing w:before="320" w:after="200"/>
      <w:outlineLvl w:val="5"/>
    </w:pPr>
    <w:rPr>
      <w:rFonts w:ascii="Arial" w:hAnsi="Arial" w:eastAsia="Arial" w:cs="Arial"/>
      <w:b/>
      <w:bCs/>
      <w:sz w:val="22"/>
      <w:szCs w:val="22"/>
    </w:rPr>
  </w:style>
  <w:style w:type="paragraph" w:styleId="785">
    <w:name w:val="Heading 7"/>
    <w:basedOn w:val="778"/>
    <w:next w:val="778"/>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786">
    <w:name w:val="Heading 8"/>
    <w:basedOn w:val="778"/>
    <w:next w:val="778"/>
    <w:link w:val="821"/>
    <w:uiPriority w:val="9"/>
    <w:unhideWhenUsed/>
    <w:qFormat/>
    <w:pPr>
      <w:keepLines/>
      <w:keepNext/>
      <w:spacing w:before="320" w:after="200"/>
      <w:outlineLvl w:val="7"/>
    </w:pPr>
    <w:rPr>
      <w:rFonts w:ascii="Arial" w:hAnsi="Arial" w:eastAsia="Arial" w:cs="Arial"/>
      <w:i/>
      <w:iCs/>
      <w:sz w:val="22"/>
      <w:szCs w:val="22"/>
    </w:rPr>
  </w:style>
  <w:style w:type="paragraph" w:styleId="787">
    <w:name w:val="Heading 9"/>
    <w:basedOn w:val="778"/>
    <w:next w:val="778"/>
    <w:link w:val="822"/>
    <w:uiPriority w:val="9"/>
    <w:unhideWhenUsed/>
    <w:qFormat/>
    <w:pPr>
      <w:keepLines/>
      <w:keepNext/>
      <w:spacing w:before="320" w:after="200"/>
      <w:outlineLvl w:val="8"/>
    </w:pPr>
    <w:rPr>
      <w:rFonts w:ascii="Arial" w:hAnsi="Arial" w:eastAsia="Arial" w:cs="Arial"/>
      <w:i/>
      <w:iCs/>
      <w:sz w:val="21"/>
      <w:szCs w:val="21"/>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customStyle="1">
    <w:name w:val="正文文本缩进11"/>
    <w:basedOn w:val="778"/>
    <w:next w:val="778"/>
    <w:uiPriority w:val="99"/>
    <w:unhideWhenUsed/>
    <w:qFormat/>
    <w:pPr>
      <w:ind w:firstLine="540"/>
      <w:spacing w:line="400" w:lineRule="exact"/>
    </w:pPr>
    <w:rPr>
      <w:sz w:val="24"/>
    </w:rPr>
  </w:style>
  <w:style w:type="paragraph" w:styleId="791">
    <w:name w:val="toc 7"/>
    <w:basedOn w:val="778"/>
    <w:next w:val="778"/>
    <w:uiPriority w:val="39"/>
    <w:unhideWhenUsed/>
    <w:qFormat/>
    <w:pPr>
      <w:ind w:left="1701" w:right="0" w:firstLine="0"/>
      <w:spacing w:after="57"/>
    </w:pPr>
  </w:style>
  <w:style w:type="paragraph" w:styleId="792">
    <w:name w:val="Caption"/>
    <w:basedOn w:val="778"/>
    <w:next w:val="7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3">
    <w:name w:val="Body Text Indent"/>
    <w:basedOn w:val="778"/>
    <w:next w:val="778"/>
    <w:uiPriority w:val="0"/>
    <w:qFormat/>
    <w:pPr>
      <w:ind w:firstLine="314"/>
      <w:jc w:val="left"/>
      <w:spacing w:line="720" w:lineRule="exact"/>
    </w:pPr>
    <w:rPr>
      <w:rFonts w:ascii="楷体_GB2312" w:hAnsi="宋体" w:eastAsia="楷体_GB2312"/>
      <w:sz w:val="28"/>
      <w:szCs w:val="28"/>
    </w:rPr>
  </w:style>
  <w:style w:type="paragraph" w:styleId="794">
    <w:name w:val="index 4"/>
    <w:basedOn w:val="778"/>
    <w:next w:val="778"/>
    <w:uiPriority w:val="99"/>
    <w:unhideWhenUsed/>
    <w:qFormat/>
    <w:pPr>
      <w:ind w:left="600"/>
    </w:pPr>
    <w:rPr>
      <w:rFonts w:ascii="宋体"/>
      <w:b/>
      <w:position w:val="-10"/>
      <w:sz w:val="24"/>
      <w:szCs w:val="20"/>
    </w:rPr>
  </w:style>
  <w:style w:type="paragraph" w:styleId="795">
    <w:name w:val="toc 5"/>
    <w:basedOn w:val="778"/>
    <w:next w:val="778"/>
    <w:uiPriority w:val="39"/>
    <w:unhideWhenUsed/>
    <w:qFormat/>
    <w:pPr>
      <w:ind w:left="1134" w:right="0" w:firstLine="0"/>
      <w:spacing w:after="57"/>
    </w:pPr>
  </w:style>
  <w:style w:type="paragraph" w:styleId="796">
    <w:name w:val="toc 3"/>
    <w:basedOn w:val="778"/>
    <w:next w:val="778"/>
    <w:uiPriority w:val="39"/>
    <w:unhideWhenUsed/>
    <w:qFormat/>
    <w:pPr>
      <w:ind w:left="567" w:right="0" w:firstLine="0"/>
      <w:spacing w:after="57"/>
    </w:pPr>
  </w:style>
  <w:style w:type="paragraph" w:styleId="797">
    <w:name w:val="toc 8"/>
    <w:basedOn w:val="778"/>
    <w:next w:val="778"/>
    <w:uiPriority w:val="39"/>
    <w:unhideWhenUsed/>
    <w:qFormat/>
    <w:pPr>
      <w:ind w:left="1984" w:right="0" w:firstLine="0"/>
      <w:spacing w:after="57"/>
    </w:pPr>
  </w:style>
  <w:style w:type="paragraph" w:styleId="798">
    <w:name w:val="endnote text"/>
    <w:basedOn w:val="778"/>
    <w:link w:val="960"/>
    <w:uiPriority w:val="99"/>
    <w:semiHidden/>
    <w:unhideWhenUsed/>
    <w:qFormat/>
    <w:pPr>
      <w:spacing w:after="0" w:line="240" w:lineRule="auto"/>
    </w:pPr>
    <w:rPr>
      <w:sz w:val="20"/>
    </w:rPr>
  </w:style>
  <w:style w:type="paragraph" w:styleId="799">
    <w:name w:val="Footer"/>
    <w:basedOn w:val="778"/>
    <w:link w:val="833"/>
    <w:uiPriority w:val="99"/>
    <w:unhideWhenUsed/>
    <w:qFormat/>
    <w:pPr>
      <w:spacing w:after="0" w:line="240" w:lineRule="auto"/>
      <w:tabs>
        <w:tab w:val="center" w:pos="7143" w:leader="none"/>
        <w:tab w:val="right" w:pos="14287" w:leader="none"/>
      </w:tabs>
    </w:pPr>
  </w:style>
  <w:style w:type="paragraph" w:styleId="800">
    <w:name w:val="Header"/>
    <w:basedOn w:val="778"/>
    <w:link w:val="831"/>
    <w:uiPriority w:val="99"/>
    <w:unhideWhenUsed/>
    <w:qFormat/>
    <w:pPr>
      <w:spacing w:after="0" w:line="240" w:lineRule="auto"/>
      <w:tabs>
        <w:tab w:val="center" w:pos="7143" w:leader="none"/>
        <w:tab w:val="right" w:pos="14287" w:leader="none"/>
      </w:tabs>
    </w:pPr>
  </w:style>
  <w:style w:type="paragraph" w:styleId="801">
    <w:name w:val="toc 1"/>
    <w:basedOn w:val="778"/>
    <w:next w:val="778"/>
    <w:uiPriority w:val="39"/>
    <w:unhideWhenUsed/>
    <w:qFormat/>
    <w:pPr>
      <w:ind w:left="0" w:right="0" w:firstLine="0"/>
      <w:spacing w:after="57"/>
    </w:pPr>
  </w:style>
  <w:style w:type="paragraph" w:styleId="802">
    <w:name w:val="toc 4"/>
    <w:basedOn w:val="778"/>
    <w:next w:val="778"/>
    <w:uiPriority w:val="39"/>
    <w:unhideWhenUsed/>
    <w:qFormat/>
    <w:pPr>
      <w:ind w:left="850" w:right="0" w:firstLine="0"/>
      <w:spacing w:after="57"/>
    </w:pPr>
  </w:style>
  <w:style w:type="paragraph" w:styleId="803">
    <w:name w:val="Subtitle"/>
    <w:basedOn w:val="778"/>
    <w:next w:val="778"/>
    <w:link w:val="826"/>
    <w:uiPriority w:val="11"/>
    <w:qFormat/>
    <w:pPr>
      <w:spacing w:before="200" w:after="200"/>
    </w:pPr>
    <w:rPr>
      <w:sz w:val="24"/>
      <w:szCs w:val="24"/>
    </w:rPr>
  </w:style>
  <w:style w:type="paragraph" w:styleId="804">
    <w:name w:val="footnote text"/>
    <w:basedOn w:val="778"/>
    <w:link w:val="959"/>
    <w:uiPriority w:val="99"/>
    <w:semiHidden/>
    <w:unhideWhenUsed/>
    <w:qFormat/>
    <w:pPr>
      <w:spacing w:after="40" w:line="240" w:lineRule="auto"/>
    </w:pPr>
    <w:rPr>
      <w:sz w:val="18"/>
    </w:rPr>
  </w:style>
  <w:style w:type="paragraph" w:styleId="805">
    <w:name w:val="toc 6"/>
    <w:basedOn w:val="778"/>
    <w:next w:val="778"/>
    <w:uiPriority w:val="39"/>
    <w:unhideWhenUsed/>
    <w:qFormat/>
    <w:pPr>
      <w:ind w:left="1417" w:right="0" w:firstLine="0"/>
      <w:spacing w:after="57"/>
    </w:pPr>
  </w:style>
  <w:style w:type="paragraph" w:styleId="806">
    <w:name w:val="table of figures"/>
    <w:basedOn w:val="778"/>
    <w:next w:val="778"/>
    <w:uiPriority w:val="99"/>
    <w:unhideWhenUsed/>
    <w:qFormat/>
    <w:pPr>
      <w:spacing w:after="0" w:afterAutospacing="0"/>
    </w:pPr>
  </w:style>
  <w:style w:type="paragraph" w:styleId="807">
    <w:name w:val="toc 2"/>
    <w:basedOn w:val="778"/>
    <w:next w:val="778"/>
    <w:uiPriority w:val="39"/>
    <w:unhideWhenUsed/>
    <w:qFormat/>
    <w:pPr>
      <w:ind w:left="283" w:right="0" w:firstLine="0"/>
      <w:spacing w:after="57"/>
    </w:pPr>
  </w:style>
  <w:style w:type="paragraph" w:styleId="808">
    <w:name w:val="toc 9"/>
    <w:basedOn w:val="778"/>
    <w:next w:val="778"/>
    <w:uiPriority w:val="39"/>
    <w:unhideWhenUsed/>
    <w:qFormat/>
    <w:pPr>
      <w:ind w:left="2268" w:right="0" w:firstLine="0"/>
      <w:spacing w:after="57"/>
    </w:pPr>
  </w:style>
  <w:style w:type="paragraph" w:styleId="809">
    <w:name w:val="Title"/>
    <w:basedOn w:val="778"/>
    <w:next w:val="778"/>
    <w:link w:val="825"/>
    <w:uiPriority w:val="10"/>
    <w:qFormat/>
    <w:pPr>
      <w:contextualSpacing/>
      <w:spacing w:before="300" w:after="200"/>
    </w:pPr>
    <w:rPr>
      <w:sz w:val="48"/>
      <w:szCs w:val="48"/>
    </w:rPr>
  </w:style>
  <w:style w:type="table" w:styleId="81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1">
    <w:name w:val="endnote reference"/>
    <w:uiPriority w:val="99"/>
    <w:semiHidden/>
    <w:unhideWhenUsed/>
    <w:qFormat/>
    <w:rPr>
      <w:vertAlign w:val="superscript"/>
    </w:rPr>
  </w:style>
  <w:style w:type="character" w:styleId="812">
    <w:name w:val="Hyperlink"/>
    <w:uiPriority w:val="99"/>
    <w:unhideWhenUsed/>
    <w:qFormat/>
    <w:rPr>
      <w:color w:val="0000ff" w:themeColor="hyperlink"/>
      <w:u w:val="single"/>
      <w14:textFill>
        <w14:solidFill>
          <w14:schemeClr w14:val="hlink"/>
        </w14:solidFill>
      </w14:textFill>
    </w:rPr>
  </w:style>
  <w:style w:type="character" w:styleId="813">
    <w:name w:val="footnote reference"/>
    <w:uiPriority w:val="99"/>
    <w:unhideWhenUsed/>
    <w:qFormat/>
    <w:rPr>
      <w:vertAlign w:val="superscript"/>
    </w:rPr>
  </w:style>
  <w:style w:type="character" w:styleId="814" w:customStyle="1">
    <w:name w:val="Heading 1 Char"/>
    <w:link w:val="779"/>
    <w:uiPriority w:val="9"/>
    <w:qFormat/>
    <w:rPr>
      <w:rFonts w:ascii="Arial" w:hAnsi="Arial" w:eastAsia="Arial" w:cs="Arial"/>
      <w:sz w:val="40"/>
      <w:szCs w:val="40"/>
    </w:rPr>
  </w:style>
  <w:style w:type="character" w:styleId="815" w:customStyle="1">
    <w:name w:val="Heading 2 Char"/>
    <w:link w:val="780"/>
    <w:uiPriority w:val="9"/>
    <w:qFormat/>
    <w:rPr>
      <w:rFonts w:ascii="Arial" w:hAnsi="Arial" w:eastAsia="Arial" w:cs="Arial"/>
      <w:sz w:val="34"/>
    </w:rPr>
  </w:style>
  <w:style w:type="character" w:styleId="816" w:customStyle="1">
    <w:name w:val="Heading 3 Char"/>
    <w:link w:val="781"/>
    <w:uiPriority w:val="9"/>
    <w:qFormat/>
    <w:rPr>
      <w:rFonts w:ascii="Arial" w:hAnsi="Arial" w:eastAsia="Arial" w:cs="Arial"/>
      <w:sz w:val="30"/>
      <w:szCs w:val="30"/>
    </w:rPr>
  </w:style>
  <w:style w:type="character" w:styleId="817" w:customStyle="1">
    <w:name w:val="Heading 4 Char"/>
    <w:link w:val="782"/>
    <w:uiPriority w:val="9"/>
    <w:qFormat/>
    <w:rPr>
      <w:rFonts w:ascii="Arial" w:hAnsi="Arial" w:eastAsia="Arial" w:cs="Arial"/>
      <w:b/>
      <w:bCs/>
      <w:sz w:val="26"/>
      <w:szCs w:val="26"/>
    </w:rPr>
  </w:style>
  <w:style w:type="character" w:styleId="818" w:customStyle="1">
    <w:name w:val="Heading 5 Char"/>
    <w:link w:val="783"/>
    <w:uiPriority w:val="9"/>
    <w:qFormat/>
    <w:rPr>
      <w:rFonts w:ascii="Arial" w:hAnsi="Arial" w:eastAsia="Arial" w:cs="Arial"/>
      <w:b/>
      <w:bCs/>
      <w:sz w:val="24"/>
      <w:szCs w:val="24"/>
    </w:rPr>
  </w:style>
  <w:style w:type="character" w:styleId="819" w:customStyle="1">
    <w:name w:val="Heading 6 Char"/>
    <w:link w:val="784"/>
    <w:uiPriority w:val="9"/>
    <w:qFormat/>
    <w:rPr>
      <w:rFonts w:ascii="Arial" w:hAnsi="Arial" w:eastAsia="Arial" w:cs="Arial"/>
      <w:b/>
      <w:bCs/>
      <w:sz w:val="22"/>
      <w:szCs w:val="22"/>
    </w:rPr>
  </w:style>
  <w:style w:type="character" w:styleId="820" w:customStyle="1">
    <w:name w:val="Heading 7 Char"/>
    <w:link w:val="785"/>
    <w:uiPriority w:val="9"/>
    <w:qFormat/>
    <w:rPr>
      <w:rFonts w:ascii="Arial" w:hAnsi="Arial" w:eastAsia="Arial" w:cs="Arial"/>
      <w:b/>
      <w:bCs/>
      <w:i/>
      <w:iCs/>
      <w:sz w:val="22"/>
      <w:szCs w:val="22"/>
    </w:rPr>
  </w:style>
  <w:style w:type="character" w:styleId="821" w:customStyle="1">
    <w:name w:val="Heading 8 Char"/>
    <w:link w:val="786"/>
    <w:uiPriority w:val="9"/>
    <w:qFormat/>
    <w:rPr>
      <w:rFonts w:ascii="Arial" w:hAnsi="Arial" w:eastAsia="Arial" w:cs="Arial"/>
      <w:i/>
      <w:iCs/>
      <w:sz w:val="22"/>
      <w:szCs w:val="22"/>
    </w:rPr>
  </w:style>
  <w:style w:type="character" w:styleId="822" w:customStyle="1">
    <w:name w:val="Heading 9 Char"/>
    <w:link w:val="787"/>
    <w:uiPriority w:val="9"/>
    <w:qFormat/>
    <w:rPr>
      <w:rFonts w:ascii="Arial" w:hAnsi="Arial" w:eastAsia="Arial" w:cs="Arial"/>
      <w:i/>
      <w:iCs/>
      <w:sz w:val="21"/>
      <w:szCs w:val="21"/>
    </w:rPr>
  </w:style>
  <w:style w:type="paragraph" w:styleId="823">
    <w:name w:val="List Paragraph"/>
    <w:basedOn w:val="778"/>
    <w:uiPriority w:val="34"/>
    <w:qFormat/>
    <w:pPr>
      <w:contextualSpacing/>
      <w:ind w:left="720"/>
    </w:pPr>
  </w:style>
  <w:style w:type="paragraph" w:styleId="824">
    <w:name w:val="No Spacing"/>
    <w:uiPriority w:val="1"/>
    <w:qFormat/>
    <w:pPr>
      <w:spacing w:before="0" w:after="0" w:line="240" w:lineRule="auto"/>
    </w:pPr>
    <w:rPr>
      <w:rFonts w:hint="default" w:ascii="Calibri" w:hAnsi="Calibri" w:eastAsia="宋体" w:cs="Calibri"/>
    </w:rPr>
  </w:style>
  <w:style w:type="character" w:styleId="825" w:customStyle="1">
    <w:name w:val="Title Char"/>
    <w:link w:val="809"/>
    <w:uiPriority w:val="10"/>
    <w:qFormat/>
    <w:rPr>
      <w:sz w:val="48"/>
      <w:szCs w:val="48"/>
    </w:rPr>
  </w:style>
  <w:style w:type="character" w:styleId="826" w:customStyle="1">
    <w:name w:val="Subtitle Char"/>
    <w:link w:val="803"/>
    <w:uiPriority w:val="11"/>
    <w:qFormat/>
    <w:rPr>
      <w:sz w:val="24"/>
      <w:szCs w:val="24"/>
    </w:rPr>
  </w:style>
  <w:style w:type="paragraph" w:styleId="827">
    <w:name w:val="Quote"/>
    <w:basedOn w:val="778"/>
    <w:next w:val="778"/>
    <w:link w:val="828"/>
    <w:uiPriority w:val="29"/>
    <w:qFormat/>
    <w:pPr>
      <w:ind w:left="720" w:right="720"/>
    </w:pPr>
    <w:rPr>
      <w:i/>
    </w:rPr>
  </w:style>
  <w:style w:type="character" w:styleId="828" w:customStyle="1">
    <w:name w:val="Quote Char"/>
    <w:link w:val="827"/>
    <w:uiPriority w:val="29"/>
    <w:qFormat/>
    <w:rPr>
      <w:i/>
    </w:rPr>
  </w:style>
  <w:style w:type="paragraph" w:styleId="829">
    <w:name w:val="Intense Quote"/>
    <w:basedOn w:val="778"/>
    <w:next w:val="778"/>
    <w:link w:val="8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Intense Quote Char"/>
    <w:link w:val="829"/>
    <w:uiPriority w:val="30"/>
    <w:qFormat/>
    <w:rPr>
      <w:i/>
    </w:rPr>
  </w:style>
  <w:style w:type="character" w:styleId="831" w:customStyle="1">
    <w:name w:val="Header Char"/>
    <w:link w:val="800"/>
    <w:uiPriority w:val="99"/>
    <w:qFormat/>
  </w:style>
  <w:style w:type="character" w:styleId="832" w:customStyle="1">
    <w:name w:val="Footer Char"/>
    <w:link w:val="799"/>
    <w:uiPriority w:val="99"/>
    <w:qFormat/>
  </w:style>
  <w:style w:type="character" w:styleId="833" w:customStyle="1">
    <w:name w:val="Caption Char"/>
    <w:link w:val="799"/>
    <w:uiPriority w:val="99"/>
    <w:qFormat/>
  </w:style>
  <w:style w:type="table" w:styleId="83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9" w:customStyle="1">
    <w:name w:val="Footnote Text Char"/>
    <w:link w:val="804"/>
    <w:uiPriority w:val="99"/>
    <w:qFormat/>
    <w:rPr>
      <w:sz w:val="18"/>
    </w:rPr>
  </w:style>
  <w:style w:type="character" w:styleId="960" w:customStyle="1">
    <w:name w:val="Endnote Text Char"/>
    <w:link w:val="798"/>
    <w:uiPriority w:val="99"/>
    <w:qFormat/>
    <w:rPr>
      <w:sz w:val="20"/>
    </w:rPr>
  </w:style>
  <w:style w:type="paragraph" w:styleId="961" w:customStyle="1">
    <w:name w:val="TOC Heading"/>
    <w:uiPriority w:val="39"/>
    <w:unhideWhenUsed/>
    <w:qFormat/>
    <w:rPr>
      <w:rFonts w:hint="default" w:ascii="Calibri" w:hAnsi="Calibri" w:eastAsia="宋体" w:cs="Calibri"/>
    </w:rPr>
  </w:style>
  <w:style w:type="paragraph" w:styleId="962" w:customStyle="1">
    <w:name w:val="标题 111"/>
    <w:basedOn w:val="778"/>
    <w:next w:val="778"/>
    <w:uiPriority w:val="9"/>
    <w:qFormat/>
    <w:pPr>
      <w:keepLines/>
      <w:keepNext/>
      <w:spacing w:before="340" w:after="330" w:line="578" w:lineRule="auto"/>
      <w:outlineLvl w:val="0"/>
    </w:pPr>
    <w:rPr>
      <w:b/>
      <w:bCs/>
      <w:sz w:val="44"/>
      <w:szCs w:val="44"/>
    </w:rPr>
  </w:style>
  <w:style w:type="paragraph" w:styleId="963" w:customStyle="1">
    <w:name w:val="标题 21"/>
    <w:basedOn w:val="778"/>
    <w:next w:val="96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4" w:customStyle="1">
    <w:name w:val="正文缩进1"/>
    <w:basedOn w:val="778"/>
    <w:uiPriority w:val="0"/>
    <w:unhideWhenUsed/>
    <w:qFormat/>
    <w:pPr>
      <w:ind w:firstLine="420"/>
    </w:pPr>
  </w:style>
  <w:style w:type="paragraph" w:styleId="965" w:customStyle="1">
    <w:name w:val="标题 31"/>
    <w:basedOn w:val="778"/>
    <w:next w:val="778"/>
    <w:uiPriority w:val="0"/>
    <w:qFormat/>
    <w:pPr>
      <w:keepLines/>
      <w:keepNext/>
      <w:spacing w:before="260" w:after="260" w:line="416" w:lineRule="auto"/>
      <w:outlineLvl w:val="2"/>
    </w:pPr>
    <w:rPr>
      <w:b/>
      <w:bCs/>
      <w:sz w:val="32"/>
      <w:szCs w:val="32"/>
    </w:rPr>
  </w:style>
  <w:style w:type="character" w:styleId="966" w:customStyle="1">
    <w:name w:val="默认段落字体1"/>
    <w:link w:val="778"/>
    <w:uiPriority w:val="1"/>
    <w:unhideWhenUsed/>
    <w:qFormat/>
  </w:style>
  <w:style w:type="table" w:styleId="967"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968" w:customStyle="1">
    <w:name w:val="要点1"/>
    <w:link w:val="778"/>
    <w:uiPriority w:val="0"/>
    <w:qFormat/>
    <w:rPr>
      <w:b/>
    </w:rPr>
  </w:style>
  <w:style w:type="character" w:styleId="969" w:customStyle="1">
    <w:name w:val="超链接1"/>
    <w:link w:val="778"/>
    <w:uiPriority w:val="0"/>
    <w:qFormat/>
    <w:rPr>
      <w:color w:val="0000ff"/>
      <w:u w:val="single"/>
    </w:rPr>
  </w:style>
  <w:style w:type="character" w:styleId="970" w:customStyle="1">
    <w:name w:val="批注引用1"/>
    <w:link w:val="778"/>
    <w:uiPriority w:val="0"/>
    <w:qFormat/>
    <w:rPr>
      <w:sz w:val="21"/>
      <w:szCs w:val="21"/>
    </w:rPr>
  </w:style>
  <w:style w:type="character" w:styleId="971" w:customStyle="1">
    <w:name w:val="正文文本 字符"/>
    <w:link w:val="972"/>
    <w:uiPriority w:val="0"/>
    <w:qFormat/>
    <w:rPr>
      <w:rFonts w:ascii="Times New Roman" w:hAnsi="Times New Roman" w:cs="Times New Roman"/>
      <w:sz w:val="21"/>
      <w:szCs w:val="22"/>
    </w:rPr>
  </w:style>
  <w:style w:type="paragraph" w:styleId="972" w:customStyle="1">
    <w:name w:val="正文文本11"/>
    <w:basedOn w:val="778"/>
    <w:next w:val="973"/>
    <w:link w:val="971"/>
    <w:uiPriority w:val="0"/>
    <w:qFormat/>
    <w:rPr>
      <w:rFonts w:ascii="楷体_GB2312" w:hAnsi="Arial" w:eastAsia="楷体_GB2312"/>
      <w:sz w:val="28"/>
      <w:szCs w:val="28"/>
    </w:rPr>
  </w:style>
  <w:style w:type="paragraph" w:styleId="973" w:customStyle="1">
    <w:name w:val="正文文本 211"/>
    <w:basedOn w:val="778"/>
    <w:uiPriority w:val="0"/>
    <w:qFormat/>
    <w:pPr>
      <w:spacing w:after="120" w:line="480" w:lineRule="auto"/>
    </w:pPr>
  </w:style>
  <w:style w:type="character" w:styleId="974" w:customStyle="1">
    <w:name w:val="批注框文本 字符"/>
    <w:link w:val="975"/>
    <w:uiPriority w:val="0"/>
    <w:qFormat/>
    <w:rPr>
      <w:sz w:val="18"/>
      <w:szCs w:val="18"/>
    </w:rPr>
  </w:style>
  <w:style w:type="paragraph" w:styleId="975" w:customStyle="1">
    <w:name w:val="批注框文本1"/>
    <w:basedOn w:val="778"/>
    <w:link w:val="974"/>
    <w:uiPriority w:val="0"/>
    <w:qFormat/>
    <w:rPr>
      <w:sz w:val="18"/>
      <w:szCs w:val="18"/>
    </w:rPr>
  </w:style>
  <w:style w:type="paragraph" w:styleId="976" w:customStyle="1">
    <w:name w:val="目录 91"/>
    <w:basedOn w:val="778"/>
    <w:next w:val="778"/>
    <w:uiPriority w:val="99"/>
    <w:qFormat/>
    <w:pPr>
      <w:ind w:left="3360"/>
    </w:pPr>
  </w:style>
  <w:style w:type="paragraph" w:styleId="977" w:customStyle="1">
    <w:name w:val="页眉1"/>
    <w:basedOn w:val="77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78" w:customStyle="1">
    <w:name w:val="Table Paragraph"/>
    <w:basedOn w:val="778"/>
    <w:uiPriority w:val="1"/>
    <w:qFormat/>
    <w:rPr>
      <w:rFonts w:ascii="宋体" w:hAnsi="宋体" w:eastAsia="宋体" w:cs="宋体"/>
      <w:lang w:val="zh-CN" w:eastAsia="zh-CN" w:bidi="zh-CN"/>
    </w:rPr>
  </w:style>
  <w:style w:type="paragraph" w:styleId="979" w:customStyle="1">
    <w:name w:val="正文 New New New New New New New New New New New New New New"/>
    <w:next w:val="976"/>
    <w:uiPriority w:val="99"/>
    <w:qFormat/>
    <w:pPr>
      <w:ind w:firstLine="2048"/>
      <w:jc w:val="both"/>
      <w:widowControl w:val="off"/>
    </w:pPr>
    <w:rPr>
      <w:rFonts w:hint="default" w:ascii="Calibri" w:hAnsi="Calibri" w:eastAsia="宋体" w:cs="Calibri"/>
      <w:lang w:val="en-US" w:eastAsia="zh-CN" w:bidi="ar-SA"/>
    </w:rPr>
  </w:style>
  <w:style w:type="paragraph" w:styleId="980" w:customStyle="1">
    <w:name w:val="正文文本 21"/>
    <w:basedOn w:val="778"/>
    <w:next w:val="981"/>
    <w:uiPriority w:val="99"/>
    <w:qFormat/>
    <w:pPr>
      <w:ind w:left="720" w:firstLine="5680"/>
      <w:widowControl/>
    </w:pPr>
  </w:style>
  <w:style w:type="paragraph" w:styleId="981" w:customStyle="1">
    <w:name w:val="默认段落字体 Para Char Char Char Char Char Char Char"/>
    <w:basedOn w:val="778"/>
    <w:next w:val="982"/>
    <w:uiPriority w:val="99"/>
    <w:qFormat/>
    <w:pPr>
      <w:ind w:firstLine="200"/>
    </w:pPr>
    <w:rPr>
      <w:rFonts w:cs="Arial"/>
    </w:rPr>
  </w:style>
  <w:style w:type="paragraph" w:styleId="982" w:customStyle="1">
    <w:name w:val="样式 首行缩进:  2 字符"/>
    <w:basedOn w:val="778"/>
    <w:next w:val="983"/>
    <w:uiPriority w:val="99"/>
    <w:qFormat/>
    <w:pPr>
      <w:ind w:left="480" w:firstLine="5856"/>
      <w:spacing w:line="360" w:lineRule="auto"/>
    </w:pPr>
  </w:style>
  <w:style w:type="paragraph" w:styleId="983" w:customStyle="1">
    <w:name w:val="样式 段后: 0.25 行"/>
    <w:basedOn w:val="778"/>
    <w:next w:val="979"/>
    <w:uiPriority w:val="99"/>
    <w:qFormat/>
    <w:pPr>
      <w:ind w:left="420" w:firstLine="5796"/>
      <w:spacing w:line="300" w:lineRule="auto"/>
      <w:widowControl/>
    </w:pPr>
  </w:style>
  <w:style w:type="paragraph" w:styleId="984" w:customStyle="1">
    <w:name w:val="Char"/>
    <w:basedOn w:val="778"/>
    <w:uiPriority w:val="0"/>
    <w:qFormat/>
    <w:pPr>
      <w:ind w:firstLine="200"/>
      <w:tabs>
        <w:tab w:val="left" w:pos="360" w:leader="none"/>
      </w:tabs>
    </w:pPr>
    <w:rPr>
      <w:rFonts w:ascii="Times New Roman" w:hAnsi="Times New Roman"/>
      <w:sz w:val="28"/>
      <w:szCs w:val="30"/>
    </w:rPr>
  </w:style>
  <w:style w:type="paragraph" w:styleId="985" w:customStyle="1">
    <w:name w:val="正文（缩进）"/>
    <w:basedOn w:val="778"/>
    <w:next w:val="986"/>
    <w:uiPriority w:val="0"/>
    <w:qFormat/>
    <w:pPr>
      <w:ind w:firstLine="480"/>
      <w:spacing w:before="156" w:after="156"/>
    </w:pPr>
  </w:style>
  <w:style w:type="paragraph" w:styleId="986" w:customStyle="1">
    <w:name w:val="Char Char Char Char Char Char Char Char Char"/>
    <w:basedOn w:val="778"/>
    <w:next w:val="980"/>
    <w:uiPriority w:val="99"/>
    <w:qFormat/>
    <w:pPr>
      <w:ind w:left="360" w:firstLine="5784"/>
    </w:pPr>
  </w:style>
  <w:style w:type="paragraph" w:styleId="987" w:customStyle="1">
    <w:name w:val="正文空2格  1."/>
    <w:basedOn w:val="778"/>
    <w:uiPriority w:val="0"/>
    <w:qFormat/>
    <w:pPr>
      <w:ind w:firstLine="480"/>
    </w:pPr>
    <w:rPr>
      <w:rFonts w:cs="宋体"/>
      <w:sz w:val="28"/>
      <w:szCs w:val="20"/>
    </w:rPr>
  </w:style>
  <w:style w:type="paragraph" w:styleId="988" w:customStyle="1">
    <w:name w:val="目录 11"/>
    <w:basedOn w:val="778"/>
    <w:next w:val="778"/>
    <w:uiPriority w:val="39"/>
    <w:unhideWhenUsed/>
    <w:qFormat/>
  </w:style>
  <w:style w:type="paragraph" w:styleId="989" w:customStyle="1">
    <w:name w:val="页脚1"/>
    <w:basedOn w:val="778"/>
    <w:uiPriority w:val="99"/>
    <w:unhideWhenUsed/>
    <w:qFormat/>
    <w:pPr>
      <w:jc w:val="left"/>
      <w:tabs>
        <w:tab w:val="center" w:pos="4153" w:leader="none"/>
        <w:tab w:val="right" w:pos="8306" w:leader="none"/>
      </w:tabs>
    </w:pPr>
    <w:rPr>
      <w:sz w:val="18"/>
      <w:szCs w:val="18"/>
    </w:rPr>
  </w:style>
  <w:style w:type="paragraph" w:styleId="990" w:customStyle="1">
    <w:name w:val="纯文本11"/>
    <w:basedOn w:val="778"/>
    <w:uiPriority w:val="99"/>
    <w:qFormat/>
    <w:rPr>
      <w:rFonts w:ascii="宋体" w:hAnsi="Courier New"/>
      <w:sz w:val="20"/>
      <w:szCs w:val="21"/>
    </w:rPr>
  </w:style>
  <w:style w:type="paragraph" w:styleId="991" w:customStyle="1">
    <w:name w:val="普通(网站)1"/>
    <w:basedOn w:val="778"/>
    <w:uiPriority w:val="0"/>
    <w:qFormat/>
    <w:rPr>
      <w:rFonts w:ascii="Times New Roman" w:hAnsi="Times New Roman"/>
      <w:sz w:val="24"/>
    </w:rPr>
  </w:style>
  <w:style w:type="paragraph" w:styleId="992" w:customStyle="1">
    <w:name w:val="正文文本缩进1"/>
    <w:basedOn w:val="778"/>
    <w:next w:val="778"/>
    <w:uiPriority w:val="99"/>
    <w:unhideWhenUsed/>
    <w:qFormat/>
    <w:pPr>
      <w:ind w:firstLine="540"/>
      <w:spacing w:line="400" w:lineRule="exact"/>
    </w:pPr>
    <w:rPr>
      <w:sz w:val="24"/>
    </w:rPr>
  </w:style>
  <w:style w:type="paragraph" w:styleId="993" w:customStyle="1">
    <w:name w:val="批注文字1"/>
    <w:basedOn w:val="778"/>
    <w:uiPriority w:val="0"/>
    <w:qFormat/>
    <w:pPr>
      <w:jc w:val="left"/>
    </w:pPr>
  </w:style>
  <w:style w:type="paragraph" w:styleId="994" w:customStyle="1">
    <w:name w:val="寄信人地址1"/>
    <w:basedOn w:val="778"/>
    <w:uiPriority w:val="99"/>
    <w:unhideWhenUsed/>
    <w:qFormat/>
    <w:rPr>
      <w:rFonts w:ascii="Arial" w:hAnsi="Arial"/>
    </w:rPr>
  </w:style>
  <w:style w:type="paragraph" w:styleId="995" w:customStyle="1">
    <w:name w:val="信息标题1"/>
    <w:basedOn w:val="778"/>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96" w:customStyle="1">
    <w:name w:val="正文首行缩进 21"/>
    <w:basedOn w:val="992"/>
    <w:next w:val="778"/>
    <w:uiPriority w:val="0"/>
    <w:qFormat/>
    <w:pPr>
      <w:ind w:firstLine="420"/>
      <w:spacing w:before="100" w:beforeAutospacing="1"/>
    </w:pPr>
    <w:rPr>
      <w:rFonts w:ascii="Times New Roman" w:hAnsi="Times New Roman" w:eastAsia="宋体"/>
      <w:sz w:val="20"/>
      <w:szCs w:val="21"/>
    </w:rPr>
  </w:style>
  <w:style w:type="paragraph" w:styleId="997" w:customStyle="1">
    <w:name w:val="一级条标题"/>
    <w:basedOn w:val="998"/>
    <w:next w:val="99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8" w:customStyle="1">
    <w:name w:val="章标题"/>
    <w:next w:val="778"/>
    <w:uiPriority w:val="0"/>
    <w:qFormat/>
    <w:pPr>
      <w:ind w:left="810" w:hanging="810"/>
      <w:jc w:val="both"/>
      <w:spacing w:before="50" w:after="50"/>
      <w:tabs>
        <w:tab w:val="left" w:pos="810" w:leader="none"/>
        <w:tab w:val="left" w:pos="1265" w:leader="none"/>
      </w:tabs>
      <w:outlineLvl w:val="1"/>
    </w:pPr>
    <w:rPr>
      <w:rFonts w:hint="default" w:ascii="黑体" w:hAnsi="Calibri" w:eastAsia="黑体" w:cs="Calibri"/>
      <w:sz w:val="21"/>
      <w:szCs w:val="22"/>
      <w:lang w:val="en-US" w:eastAsia="zh-CN" w:bidi="ar-SA"/>
    </w:rPr>
  </w:style>
  <w:style w:type="paragraph" w:styleId="999" w:customStyle="1">
    <w:name w:val="段"/>
    <w:basedOn w:val="1000"/>
    <w:next w:val="778"/>
    <w:uiPriority w:val="0"/>
    <w:qFormat/>
    <w:pPr>
      <w:ind w:firstLine="200"/>
      <w:widowControl/>
    </w:pPr>
    <w:rPr>
      <w:sz w:val="20"/>
    </w:rPr>
  </w:style>
  <w:style w:type="paragraph" w:styleId="1000" w:customStyle="1">
    <w:name w:val="正文1"/>
    <w:basedOn w:val="778"/>
    <w:next w:val="1001"/>
    <w:uiPriority w:val="0"/>
    <w:qFormat/>
    <w:pPr>
      <w:jc w:val="left"/>
      <w:spacing w:line="360" w:lineRule="atLeast"/>
    </w:pPr>
    <w:rPr>
      <w:rFonts w:ascii="宋体" w:hAnsi="Calibri" w:eastAsia="宋体" w:cs="Times New Roman"/>
      <w:sz w:val="24"/>
      <w:szCs w:val="20"/>
    </w:rPr>
  </w:style>
  <w:style w:type="paragraph" w:styleId="1001" w:customStyle="1">
    <w:name w:val="正文文本1"/>
    <w:basedOn w:val="1000"/>
    <w:next w:val="997"/>
    <w:uiPriority w:val="0"/>
    <w:qFormat/>
    <w:pPr>
      <w:spacing w:after="120"/>
    </w:pPr>
    <w:rPr>
      <w:lang w:eastAsia="en-US"/>
    </w:rPr>
  </w:style>
  <w:style w:type="paragraph" w:styleId="1002" w:customStyle="1">
    <w:name w:val="Default"/>
    <w:uiPriority w:val="0"/>
    <w:qFormat/>
    <w:pPr>
      <w:widowControl w:val="off"/>
    </w:pPr>
    <w:rPr>
      <w:rFonts w:hint="default" w:ascii="黑体" w:hAnsi="Calibri" w:eastAsia="黑体" w:cs="Calibri"/>
      <w:lang w:val="en-US" w:eastAsia="zh-CN" w:bidi="ar-SA"/>
    </w:rPr>
  </w:style>
  <w:style w:type="paragraph" w:styleId="1003" w:customStyle="1">
    <w:name w:val="列表段落"/>
    <w:basedOn w:val="778"/>
    <w:uiPriority w:val="99"/>
    <w:qFormat/>
    <w:pPr>
      <w:ind w:firstLine="420"/>
    </w:pPr>
    <w:rPr>
      <w:rFonts w:ascii="Times New Roman" w:hAnsi="Times New Roman" w:eastAsia="宋体" w:cs="Times New Roman"/>
      <w:szCs w:val="21"/>
    </w:rPr>
  </w:style>
  <w:style w:type="paragraph" w:styleId="1004" w:customStyle="1">
    <w:name w:val="普通正文"/>
    <w:basedOn w:val="778"/>
    <w:uiPriority w:val="0"/>
    <w:qFormat/>
    <w:pPr>
      <w:ind w:firstLine="480"/>
      <w:jc w:val="left"/>
      <w:spacing w:before="120" w:after="120" w:line="360" w:lineRule="auto"/>
    </w:pPr>
    <w:rPr>
      <w:rFonts w:ascii="Arial" w:hAnsi="Arial"/>
      <w:sz w:val="24"/>
      <w:szCs w:val="24"/>
    </w:rPr>
  </w:style>
  <w:style w:type="paragraph" w:styleId="1005" w:customStyle="1">
    <w:name w:val="标题 11"/>
    <w:basedOn w:val="778"/>
    <w:next w:val="778"/>
    <w:uiPriority w:val="9"/>
    <w:qFormat/>
    <w:pPr>
      <w:keepLines/>
      <w:keepNext/>
      <w:spacing w:before="340" w:after="330" w:line="578" w:lineRule="auto"/>
      <w:outlineLvl w:val="0"/>
    </w:pPr>
    <w:rPr>
      <w:b/>
      <w:bCs/>
      <w:sz w:val="44"/>
      <w:szCs w:val="44"/>
    </w:rPr>
  </w:style>
  <w:style w:type="paragraph" w:styleId="1006" w:customStyle="1">
    <w:name w:val="纯文本1"/>
    <w:basedOn w:val="778"/>
    <w:uiPriority w:val="99"/>
    <w:qFormat/>
    <w:rPr>
      <w:rFonts w:ascii="宋体" w:hAnsi="Courier New"/>
      <w:sz w:val="20"/>
      <w:szCs w:val="21"/>
    </w:rPr>
  </w:style>
  <w:style w:type="table" w:styleId="1007" w:customStyle="1">
    <w:name w:val="网格型1"/>
    <w:basedOn w:val="967"/>
    <w:uiPriority w:val="59"/>
    <w:qFormat/>
    <w:tblPr/>
  </w:style>
  <w:style w:type="paragraph" w:styleId="1008" w:customStyle="1">
    <w:name w:val="Body Text First Indent 21"/>
    <w:basedOn w:val="1009"/>
    <w:uiPriority w:val="0"/>
    <w:qFormat/>
    <w:pPr>
      <w:ind w:firstLine="420"/>
    </w:pPr>
  </w:style>
  <w:style w:type="paragraph" w:styleId="1009" w:customStyle="1">
    <w:name w:val="Body Text Indent1"/>
    <w:basedOn w:val="778"/>
    <w:uiPriority w:val="0"/>
    <w:qFormat/>
    <w:pPr>
      <w:ind w:left="420"/>
    </w:pPr>
  </w:style>
  <w:style w:type="paragraph" w:styleId="1010" w:customStyle="1">
    <w:name w:val="ListBullet2"/>
    <w:basedOn w:val="778"/>
    <w:uiPriority w:val="0"/>
    <w:qFormat/>
    <w:pPr>
      <w:numPr>
        <w:ilvl w:val="0"/>
        <w:numId w:val="1"/>
      </w:numPr>
      <w:tabs>
        <w:tab w:val="decimal" w:pos="780" w:leader="none"/>
      </w:tabs>
    </w:pPr>
  </w:style>
  <w:style w:type="character" w:styleId="1011" w:customStyle="1">
    <w:name w:val="font131"/>
    <w:basedOn w:val="788"/>
    <w:uiPriority w:val="0"/>
    <w:qFormat/>
    <w:rPr>
      <w:rFonts w:hint="eastAsia" w:ascii="宋体" w:hAnsi="宋体" w:eastAsia="宋体" w:cs="宋体"/>
      <w:color w:val="000000"/>
      <w:sz w:val="18"/>
      <w:szCs w:val="18"/>
      <w:u w:val="none"/>
    </w:rPr>
  </w:style>
  <w:style w:type="character" w:styleId="1012" w:customStyle="1">
    <w:name w:val="font141"/>
    <w:basedOn w:val="788"/>
    <w:uiPriority w:val="0"/>
    <w:qFormat/>
    <w:rPr>
      <w:rFonts w:hint="eastAsia" w:ascii="宋体" w:hAnsi="宋体" w:eastAsia="宋体" w:cs="宋体"/>
      <w:color w:val="000000"/>
      <w:sz w:val="18"/>
      <w:szCs w:val="18"/>
      <w:u w:val="none"/>
    </w:rPr>
  </w:style>
  <w:style w:type="paragraph" w:styleId="1013" w:customStyle="1">
    <w:name w:val="正文缩进11"/>
    <w:basedOn w:val="778"/>
    <w:uiPriority w:val="0"/>
    <w:unhideWhenUsed/>
    <w:qFormat/>
    <w:pPr>
      <w:ind w:firstLine="420"/>
    </w:pPr>
  </w:style>
  <w:style w:type="paragraph" w:styleId="1014" w:customStyle="1">
    <w:name w:val="正文文本111"/>
    <w:basedOn w:val="778"/>
    <w:uiPriority w:val="0"/>
    <w:qFormat/>
    <w:rPr>
      <w:rFonts w:ascii="楷体_GB2312" w:hAnsi="Arial" w:eastAsia="楷体_GB2312"/>
      <w:sz w:val="28"/>
      <w:szCs w:val="28"/>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唐磊</cp:lastModifiedBy>
  <cp:revision>10</cp:revision>
  <dcterms:created xsi:type="dcterms:W3CDTF">2014-10-29T12:08:00Z</dcterms:created>
  <dcterms:modified xsi:type="dcterms:W3CDTF">2024-12-26T00:57:33Z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9378EB872AC74E2D97AA44969A3FFBF1_13</vt:lpwstr>
  </property>
  <property fmtid="{D5CDD505-2E9C-101B-9397-08002B2CF9AE}" pid="4" name="KSOTemplateDocerSaveRecord">
    <vt:lpwstr>eyJoZGlkIjoiYjIzYTNlZTVkNGM0ZWQwOGI5ZjE2MGNhYWFkNmNlYWYiLCJ1c2VySWQiOiIxNDU0NzM1NTU2In0=</vt:lpwstr>
  </property>
</Properties>
</file>