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9D43A">
      <w:pPr>
        <w:pStyle w:val="14"/>
        <w:spacing w:before="120" w:beforeAutospacing="0" w:after="120" w:afterAutospacing="0" w:line="360" w:lineRule="auto"/>
        <w:rPr>
          <w:color w:val="auto"/>
          <w:highlight w:val="none"/>
        </w:rPr>
      </w:pPr>
      <w:bookmarkStart w:id="426" w:name="_GoBack"/>
      <w:r>
        <w:rPr>
          <w:color w:val="auto"/>
          <w:highlight w:val="none"/>
        </w:rPr>
        <w:t> </w:t>
      </w:r>
    </w:p>
    <w:p w14:paraId="4ACB3DA4">
      <w:pPr>
        <w:pStyle w:val="14"/>
        <w:spacing w:before="120" w:beforeAutospacing="0" w:after="120" w:afterAutospacing="0" w:line="360" w:lineRule="auto"/>
        <w:jc w:val="center"/>
        <w:rPr>
          <w:color w:val="auto"/>
          <w:highlight w:val="none"/>
        </w:rPr>
      </w:pPr>
      <w:r>
        <w:rPr>
          <w:rFonts w:hint="eastAsia" w:ascii="Arial" w:hAnsi="Arial" w:cs="Arial"/>
          <w:b/>
          <w:color w:val="auto"/>
          <w:sz w:val="84"/>
          <w:szCs w:val="84"/>
          <w:highlight w:val="none"/>
          <w:lang w:val="en-US" w:eastAsia="zh-CN"/>
        </w:rPr>
        <w:t>询 价</w:t>
      </w:r>
      <w:r>
        <w:rPr>
          <w:rFonts w:ascii="Arial" w:hAnsi="Arial" w:cs="Arial"/>
          <w:b/>
          <w:color w:val="auto"/>
          <w:sz w:val="84"/>
          <w:szCs w:val="84"/>
          <w:highlight w:val="none"/>
        </w:rPr>
        <w:t xml:space="preserve"> 文 件</w:t>
      </w:r>
    </w:p>
    <w:p w14:paraId="65B55A45">
      <w:pPr>
        <w:pStyle w:val="14"/>
        <w:spacing w:before="120" w:beforeAutospacing="0" w:after="120" w:afterAutospacing="0" w:line="360" w:lineRule="auto"/>
        <w:rPr>
          <w:rFonts w:ascii="Arial" w:hAnsi="Arial" w:cs="Arial"/>
          <w:b/>
          <w:color w:val="auto"/>
          <w:sz w:val="32"/>
          <w:szCs w:val="32"/>
          <w:highlight w:val="none"/>
        </w:rPr>
      </w:pPr>
    </w:p>
    <w:p w14:paraId="568EA975">
      <w:pPr>
        <w:pStyle w:val="14"/>
        <w:spacing w:before="120" w:beforeAutospacing="0" w:after="120" w:afterAutospacing="0" w:line="360" w:lineRule="auto"/>
        <w:rPr>
          <w:color w:val="auto"/>
          <w:sz w:val="28"/>
          <w:szCs w:val="28"/>
          <w:highlight w:val="none"/>
          <w:u w:val="single"/>
        </w:rPr>
      </w:pPr>
      <w:r>
        <w:rPr>
          <w:rFonts w:ascii="Arial" w:hAnsi="Arial" w:cs="Arial"/>
          <w:b/>
          <w:color w:val="auto"/>
          <w:sz w:val="32"/>
          <w:szCs w:val="32"/>
          <w:highlight w:val="none"/>
        </w:rPr>
        <w:t>项目名称：</w:t>
      </w:r>
      <w:r>
        <w:rPr>
          <w:rFonts w:hint="eastAsia" w:ascii="宋体" w:hAnsi="宋体"/>
          <w:color w:val="auto"/>
          <w:sz w:val="28"/>
          <w:szCs w:val="28"/>
          <w:highlight w:val="none"/>
          <w:u w:val="single"/>
          <w:lang w:eastAsia="zh-CN"/>
        </w:rPr>
        <w:t>2025年滨海县水稻重大病虫害防控（秋粮“一喷多促”）项目—40%甲氧·茚虫威悬浮剂</w:t>
      </w:r>
    </w:p>
    <w:p w14:paraId="45760A04">
      <w:pPr>
        <w:pStyle w:val="14"/>
        <w:spacing w:before="120" w:beforeAutospacing="0" w:after="120" w:afterAutospacing="0" w:line="360" w:lineRule="auto"/>
        <w:ind w:firstLine="2249"/>
        <w:jc w:val="both"/>
        <w:rPr>
          <w:rFonts w:ascii="Arial" w:hAnsi="Arial" w:cs="Arial"/>
          <w:b/>
          <w:color w:val="auto"/>
          <w:sz w:val="32"/>
          <w:szCs w:val="32"/>
          <w:highlight w:val="none"/>
        </w:rPr>
      </w:pPr>
    </w:p>
    <w:p w14:paraId="2DE7B564">
      <w:pPr>
        <w:pStyle w:val="14"/>
        <w:spacing w:before="120" w:beforeAutospacing="0" w:after="120" w:afterAutospacing="0" w:line="360" w:lineRule="auto"/>
        <w:jc w:val="both"/>
        <w:rPr>
          <w:rFonts w:hint="default" w:ascii="宋体" w:hAnsi="宋体"/>
          <w:color w:val="auto"/>
          <w:sz w:val="28"/>
          <w:szCs w:val="28"/>
          <w:highlight w:val="none"/>
          <w:u w:val="single"/>
          <w:lang w:val="en-US" w:eastAsia="zh-CN"/>
        </w:rPr>
      </w:pPr>
      <w:r>
        <w:rPr>
          <w:rFonts w:ascii="Arial" w:hAnsi="Arial" w:cs="Arial"/>
          <w:b/>
          <w:color w:val="auto"/>
          <w:sz w:val="32"/>
          <w:szCs w:val="32"/>
          <w:highlight w:val="none"/>
        </w:rPr>
        <w:t>项目编号：</w:t>
      </w:r>
      <w:r>
        <w:rPr>
          <w:rFonts w:hint="eastAsia" w:ascii="宋体" w:hAnsi="宋体"/>
          <w:color w:val="auto"/>
          <w:sz w:val="28"/>
          <w:szCs w:val="28"/>
          <w:highlight w:val="none"/>
          <w:u w:val="single"/>
          <w:lang w:eastAsia="zh-CN"/>
        </w:rPr>
        <w:t>JSZC-320922-YBGL-X2025-0004</w:t>
      </w:r>
    </w:p>
    <w:p w14:paraId="2926E52A">
      <w:pPr>
        <w:pStyle w:val="14"/>
        <w:spacing w:beforeAutospacing="0" w:afterAutospacing="0" w:line="360" w:lineRule="auto"/>
        <w:rPr>
          <w:color w:val="auto"/>
          <w:highlight w:val="none"/>
        </w:rPr>
      </w:pPr>
      <w:r>
        <w:rPr>
          <w:color w:val="auto"/>
          <w:highlight w:val="none"/>
        </w:rPr>
        <w:t> </w:t>
      </w:r>
    </w:p>
    <w:p w14:paraId="37D5E739">
      <w:pPr>
        <w:pStyle w:val="14"/>
        <w:spacing w:beforeAutospacing="0" w:afterAutospacing="0" w:line="360" w:lineRule="auto"/>
        <w:rPr>
          <w:color w:val="auto"/>
          <w:highlight w:val="none"/>
        </w:rPr>
      </w:pPr>
      <w:r>
        <w:rPr>
          <w:color w:val="auto"/>
          <w:highlight w:val="none"/>
        </w:rPr>
        <w:t> </w:t>
      </w:r>
    </w:p>
    <w:p w14:paraId="381EBCF8">
      <w:pPr>
        <w:pStyle w:val="14"/>
        <w:spacing w:beforeAutospacing="0" w:afterAutospacing="0" w:line="360" w:lineRule="auto"/>
        <w:rPr>
          <w:color w:val="auto"/>
          <w:highlight w:val="none"/>
        </w:rPr>
      </w:pPr>
      <w:r>
        <w:rPr>
          <w:color w:val="auto"/>
          <w:highlight w:val="none"/>
        </w:rPr>
        <w:t> </w:t>
      </w:r>
    </w:p>
    <w:p w14:paraId="4C180711">
      <w:pPr>
        <w:pStyle w:val="14"/>
        <w:spacing w:beforeAutospacing="0" w:afterAutospacing="0" w:line="360" w:lineRule="auto"/>
        <w:rPr>
          <w:color w:val="auto"/>
          <w:highlight w:val="none"/>
        </w:rPr>
      </w:pPr>
      <w:r>
        <w:rPr>
          <w:color w:val="auto"/>
          <w:highlight w:val="none"/>
        </w:rPr>
        <w:t> </w:t>
      </w:r>
    </w:p>
    <w:p w14:paraId="3260F04D">
      <w:pPr>
        <w:pStyle w:val="14"/>
        <w:spacing w:beforeAutospacing="0" w:afterAutospacing="0" w:line="360" w:lineRule="auto"/>
        <w:rPr>
          <w:color w:val="auto"/>
          <w:highlight w:val="none"/>
        </w:rPr>
      </w:pPr>
      <w:r>
        <w:rPr>
          <w:color w:val="auto"/>
          <w:highlight w:val="none"/>
        </w:rPr>
        <w:t> </w:t>
      </w:r>
    </w:p>
    <w:p w14:paraId="7B85D1C1">
      <w:pPr>
        <w:pStyle w:val="14"/>
        <w:spacing w:beforeAutospacing="0" w:afterAutospacing="0" w:line="360" w:lineRule="auto"/>
        <w:rPr>
          <w:color w:val="auto"/>
          <w:highlight w:val="none"/>
        </w:rPr>
      </w:pPr>
      <w:r>
        <w:rPr>
          <w:color w:val="auto"/>
          <w:highlight w:val="none"/>
        </w:rPr>
        <w:t> </w:t>
      </w:r>
    </w:p>
    <w:p w14:paraId="3DF7E29F">
      <w:pPr>
        <w:pStyle w:val="14"/>
        <w:spacing w:beforeAutospacing="0" w:afterAutospacing="0" w:line="360" w:lineRule="auto"/>
        <w:rPr>
          <w:color w:val="auto"/>
          <w:highlight w:val="none"/>
        </w:rPr>
      </w:pPr>
      <w:r>
        <w:rPr>
          <w:color w:val="auto"/>
          <w:highlight w:val="none"/>
        </w:rPr>
        <w:t> </w:t>
      </w:r>
    </w:p>
    <w:p w14:paraId="10505119">
      <w:pPr>
        <w:pStyle w:val="14"/>
        <w:spacing w:before="120" w:beforeAutospacing="0" w:after="120" w:afterAutospacing="0" w:line="360" w:lineRule="auto"/>
        <w:jc w:val="center"/>
        <w:rPr>
          <w:rFonts w:hint="default" w:ascii="Arial" w:hAnsi="Arial" w:cs="Arial" w:eastAsiaTheme="minorEastAsia"/>
          <w:b/>
          <w:color w:val="auto"/>
          <w:sz w:val="32"/>
          <w:szCs w:val="32"/>
          <w:highlight w:val="none"/>
          <w:lang w:val="en-US" w:eastAsia="zh-CN"/>
        </w:rPr>
      </w:pPr>
      <w:r>
        <w:rPr>
          <w:rFonts w:hint="eastAsia" w:ascii="Arial" w:hAnsi="Arial" w:cs="Arial"/>
          <w:b/>
          <w:color w:val="auto"/>
          <w:sz w:val="32"/>
          <w:szCs w:val="32"/>
          <w:highlight w:val="none"/>
        </w:rPr>
        <w:t>采购单位</w:t>
      </w:r>
      <w:r>
        <w:rPr>
          <w:rFonts w:hint="eastAsia" w:ascii="Arial" w:hAnsi="Arial" w:cs="Arial"/>
          <w:b/>
          <w:color w:val="auto"/>
          <w:sz w:val="32"/>
          <w:szCs w:val="32"/>
          <w:highlight w:val="none"/>
          <w:lang w:eastAsia="zh-CN"/>
        </w:rPr>
        <w:t>：</w:t>
      </w:r>
      <w:r>
        <w:rPr>
          <w:rFonts w:hint="eastAsia" w:ascii="Arial" w:hAnsi="Arial" w:cs="Arial"/>
          <w:b/>
          <w:color w:val="auto"/>
          <w:sz w:val="32"/>
          <w:szCs w:val="32"/>
          <w:highlight w:val="none"/>
          <w:lang w:val="en-US" w:eastAsia="zh-CN"/>
        </w:rPr>
        <w:t>滨海县植物保护站</w:t>
      </w:r>
    </w:p>
    <w:p w14:paraId="48DE62A8">
      <w:pPr>
        <w:pStyle w:val="14"/>
        <w:spacing w:before="120" w:beforeAutospacing="0" w:after="120" w:afterAutospacing="0" w:line="360" w:lineRule="auto"/>
        <w:jc w:val="center"/>
        <w:rPr>
          <w:color w:val="auto"/>
          <w:highlight w:val="none"/>
        </w:rPr>
      </w:pPr>
      <w:r>
        <w:rPr>
          <w:rFonts w:ascii="Arial" w:hAnsi="Arial" w:cs="Arial"/>
          <w:b/>
          <w:color w:val="auto"/>
          <w:sz w:val="32"/>
          <w:szCs w:val="32"/>
          <w:highlight w:val="none"/>
          <w:u w:val="single"/>
        </w:rPr>
        <w:t>__</w:t>
      </w:r>
      <w:r>
        <w:rPr>
          <w:rFonts w:hint="eastAsia" w:ascii="Arial" w:hAnsi="Arial" w:cs="Arial"/>
          <w:b/>
          <w:color w:val="auto"/>
          <w:sz w:val="32"/>
          <w:szCs w:val="32"/>
          <w:highlight w:val="none"/>
          <w:u w:val="single"/>
          <w:lang w:val="en-US" w:eastAsia="zh-CN"/>
        </w:rPr>
        <w:t>2025</w:t>
      </w:r>
      <w:r>
        <w:rPr>
          <w:rFonts w:ascii="Arial" w:hAnsi="Arial" w:cs="Arial"/>
          <w:b/>
          <w:color w:val="auto"/>
          <w:sz w:val="32"/>
          <w:szCs w:val="32"/>
          <w:highlight w:val="none"/>
          <w:u w:val="single"/>
        </w:rPr>
        <w:t>_</w:t>
      </w:r>
      <w:r>
        <w:rPr>
          <w:rFonts w:ascii="Arial" w:hAnsi="Arial" w:cs="Arial"/>
          <w:b/>
          <w:color w:val="auto"/>
          <w:sz w:val="32"/>
          <w:szCs w:val="32"/>
          <w:highlight w:val="none"/>
        </w:rPr>
        <w:t>年</w:t>
      </w:r>
      <w:r>
        <w:rPr>
          <w:rFonts w:ascii="Arial" w:hAnsi="Arial" w:cs="Arial"/>
          <w:b/>
          <w:color w:val="auto"/>
          <w:sz w:val="32"/>
          <w:szCs w:val="32"/>
          <w:highlight w:val="none"/>
          <w:u w:val="single"/>
        </w:rPr>
        <w:t>_</w:t>
      </w:r>
      <w:r>
        <w:rPr>
          <w:rFonts w:hint="eastAsia" w:ascii="Arial" w:hAnsi="Arial" w:cs="Arial"/>
          <w:b/>
          <w:color w:val="auto"/>
          <w:sz w:val="32"/>
          <w:szCs w:val="32"/>
          <w:highlight w:val="none"/>
          <w:u w:val="single"/>
          <w:lang w:val="en-US" w:eastAsia="zh-CN"/>
        </w:rPr>
        <w:t>9</w:t>
      </w:r>
      <w:r>
        <w:rPr>
          <w:rFonts w:ascii="Arial" w:hAnsi="Arial" w:cs="Arial"/>
          <w:b/>
          <w:color w:val="auto"/>
          <w:sz w:val="32"/>
          <w:szCs w:val="32"/>
          <w:highlight w:val="none"/>
          <w:u w:val="single"/>
        </w:rPr>
        <w:t>_</w:t>
      </w:r>
      <w:r>
        <w:rPr>
          <w:rFonts w:ascii="Arial" w:hAnsi="Arial" w:cs="Arial"/>
          <w:b/>
          <w:color w:val="auto"/>
          <w:sz w:val="32"/>
          <w:szCs w:val="32"/>
          <w:highlight w:val="none"/>
        </w:rPr>
        <w:t>月</w:t>
      </w:r>
    </w:p>
    <w:p w14:paraId="1A1FF07E">
      <w:pPr>
        <w:pStyle w:val="14"/>
        <w:spacing w:before="120" w:beforeAutospacing="0" w:after="120" w:afterAutospacing="0" w:line="360" w:lineRule="auto"/>
        <w:rPr>
          <w:color w:val="auto"/>
          <w:highlight w:val="none"/>
        </w:rPr>
      </w:pPr>
      <w:r>
        <w:rPr>
          <w:rFonts w:ascii="Arial" w:hAnsi="Arial" w:cs="Arial"/>
          <w:color w:val="auto"/>
          <w:highlight w:val="none"/>
        </w:rPr>
        <w:t xml:space="preserve">                        </w:t>
      </w:r>
    </w:p>
    <w:p w14:paraId="6D9B04D7">
      <w:pPr>
        <w:pStyle w:val="14"/>
        <w:spacing w:before="120" w:beforeAutospacing="0" w:after="120" w:afterAutospacing="0" w:line="360" w:lineRule="auto"/>
        <w:jc w:val="center"/>
        <w:rPr>
          <w:color w:val="auto"/>
          <w:highlight w:val="none"/>
        </w:rPr>
      </w:pPr>
      <w:r>
        <w:rPr>
          <w:color w:val="auto"/>
          <w:highlight w:val="none"/>
        </w:rPr>
        <w:t> </w:t>
      </w:r>
    </w:p>
    <w:p w14:paraId="2ACE6069">
      <w:pPr>
        <w:pStyle w:val="14"/>
        <w:spacing w:beforeAutospacing="0" w:afterAutospacing="0" w:line="480" w:lineRule="auto"/>
        <w:jc w:val="center"/>
        <w:rPr>
          <w:rFonts w:ascii="Times New Roman" w:hAnsi="Times New Roman"/>
          <w:color w:val="auto"/>
          <w:sz w:val="21"/>
          <w:szCs w:val="21"/>
          <w:highlight w:val="none"/>
        </w:rPr>
        <w:sectPr>
          <w:pgSz w:w="11906" w:h="16838"/>
          <w:pgMar w:top="1440" w:right="1800" w:bottom="1440" w:left="1800" w:header="851" w:footer="992" w:gutter="0"/>
          <w:cols w:space="425" w:num="1"/>
          <w:docGrid w:linePitch="360" w:charSpace="0"/>
        </w:sectPr>
      </w:pPr>
    </w:p>
    <w:p w14:paraId="167A5A89">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rFonts w:hint="eastAsia" w:ascii="宋体" w:hAnsi="宋体" w:eastAsia="宋体" w:cstheme="minorBidi"/>
          <w:color w:val="auto"/>
          <w:kern w:val="2"/>
          <w:sz w:val="72"/>
          <w:szCs w:val="72"/>
          <w:highlight w:val="none"/>
          <w:lang w:val="en-US" w:eastAsia="zh-CN" w:bidi="ar-SA"/>
        </w:rPr>
      </w:pPr>
    </w:p>
    <w:p w14:paraId="73634FD7">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rFonts w:hint="eastAsia" w:ascii="宋体" w:hAnsi="宋体" w:eastAsia="宋体" w:cstheme="minorBidi"/>
          <w:color w:val="auto"/>
          <w:kern w:val="2"/>
          <w:sz w:val="72"/>
          <w:szCs w:val="72"/>
          <w:highlight w:val="none"/>
          <w:lang w:val="en-US" w:eastAsia="zh-CN" w:bidi="ar-SA"/>
        </w:rPr>
      </w:pPr>
      <w:r>
        <w:rPr>
          <w:rFonts w:hint="eastAsia" w:ascii="宋体" w:hAnsi="宋体" w:eastAsia="宋体" w:cstheme="minorBidi"/>
          <w:color w:val="auto"/>
          <w:kern w:val="2"/>
          <w:sz w:val="72"/>
          <w:szCs w:val="72"/>
          <w:highlight w:val="none"/>
          <w:lang w:val="en-US" w:eastAsia="zh-CN" w:bidi="ar-SA"/>
        </w:rPr>
        <w:t>目  录</w:t>
      </w:r>
    </w:p>
    <w:p w14:paraId="0E87D272">
      <w:pPr>
        <w:rPr>
          <w:rFonts w:hint="eastAsia"/>
          <w:color w:val="auto"/>
          <w:highlight w:val="none"/>
          <w:lang w:val="en-US" w:eastAsia="zh-CN"/>
        </w:rPr>
      </w:pPr>
    </w:p>
    <w:p w14:paraId="3F30BDBA">
      <w:pPr>
        <w:rPr>
          <w:rFonts w:hint="default"/>
          <w:color w:val="auto"/>
          <w:highlight w:val="none"/>
          <w:lang w:val="en-US" w:eastAsia="zh-CN"/>
        </w:rPr>
      </w:pPr>
    </w:p>
    <w:p w14:paraId="074F7B8E">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kern w:val="2"/>
          <w:sz w:val="36"/>
          <w:szCs w:val="36"/>
          <w:highlight w:val="none"/>
          <w:lang w:val="en-US" w:eastAsia="zh-CN" w:bidi="ar-SA"/>
        </w:rPr>
      </w:pPr>
      <w:r>
        <w:rPr>
          <w:rFonts w:hint="eastAsia" w:ascii="宋体" w:hAnsi="宋体" w:eastAsia="宋体" w:cs="宋体"/>
          <w:color w:val="auto"/>
          <w:kern w:val="2"/>
          <w:sz w:val="36"/>
          <w:szCs w:val="36"/>
          <w:highlight w:val="none"/>
          <w:lang w:val="en-US" w:eastAsia="zh-CN" w:bidi="ar-SA"/>
        </w:rPr>
        <w:t>第一章  询价公告</w:t>
      </w:r>
    </w:p>
    <w:p w14:paraId="22B5256E">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kern w:val="2"/>
          <w:sz w:val="36"/>
          <w:szCs w:val="36"/>
          <w:highlight w:val="none"/>
          <w:lang w:val="en-US" w:eastAsia="zh-CN" w:bidi="ar-SA"/>
        </w:rPr>
      </w:pPr>
      <w:r>
        <w:rPr>
          <w:rFonts w:hint="eastAsia" w:ascii="宋体" w:hAnsi="宋体" w:eastAsia="宋体" w:cs="宋体"/>
          <w:color w:val="auto"/>
          <w:kern w:val="2"/>
          <w:sz w:val="36"/>
          <w:szCs w:val="36"/>
          <w:highlight w:val="none"/>
          <w:lang w:val="en-US" w:eastAsia="zh-CN" w:bidi="ar-SA"/>
        </w:rPr>
        <w:t>第二章  投标人须知</w:t>
      </w:r>
    </w:p>
    <w:p w14:paraId="41494E10">
      <w:pPr>
        <w:pStyle w:val="12"/>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kern w:val="2"/>
          <w:sz w:val="36"/>
          <w:szCs w:val="36"/>
          <w:highlight w:val="none"/>
          <w:lang w:val="en-US" w:eastAsia="zh-CN" w:bidi="ar-SA"/>
        </w:rPr>
      </w:pPr>
      <w:r>
        <w:rPr>
          <w:rFonts w:hint="eastAsia" w:ascii="宋体" w:hAnsi="宋体" w:eastAsia="宋体" w:cs="宋体"/>
          <w:color w:val="auto"/>
          <w:kern w:val="2"/>
          <w:sz w:val="36"/>
          <w:szCs w:val="36"/>
          <w:highlight w:val="none"/>
          <w:lang w:val="en-US" w:eastAsia="zh-CN" w:bidi="ar-SA"/>
        </w:rPr>
        <w:t>第三章   合同条款 </w:t>
      </w:r>
    </w:p>
    <w:p w14:paraId="04013ACC">
      <w:pPr>
        <w:pStyle w:val="12"/>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kern w:val="2"/>
          <w:sz w:val="36"/>
          <w:szCs w:val="36"/>
          <w:highlight w:val="none"/>
          <w:lang w:val="en-US" w:eastAsia="zh-CN" w:bidi="ar-SA"/>
        </w:rPr>
      </w:pPr>
      <w:r>
        <w:rPr>
          <w:rFonts w:hint="eastAsia" w:ascii="宋体" w:hAnsi="宋体" w:eastAsia="宋体" w:cs="宋体"/>
          <w:color w:val="auto"/>
          <w:kern w:val="2"/>
          <w:sz w:val="36"/>
          <w:szCs w:val="36"/>
          <w:highlight w:val="none"/>
          <w:lang w:val="en-US" w:eastAsia="zh-CN" w:bidi="ar-SA"/>
        </w:rPr>
        <w:t>第四章   采购需求</w:t>
      </w:r>
    </w:p>
    <w:p w14:paraId="6A6F801A">
      <w:pPr>
        <w:pStyle w:val="12"/>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kern w:val="2"/>
          <w:sz w:val="36"/>
          <w:szCs w:val="36"/>
          <w:highlight w:val="none"/>
          <w:lang w:val="en-US" w:eastAsia="zh-CN" w:bidi="ar-SA"/>
        </w:rPr>
      </w:pPr>
      <w:r>
        <w:rPr>
          <w:rFonts w:hint="eastAsia" w:ascii="宋体" w:hAnsi="宋体" w:eastAsia="宋体" w:cs="宋体"/>
          <w:color w:val="auto"/>
          <w:kern w:val="2"/>
          <w:sz w:val="36"/>
          <w:szCs w:val="36"/>
          <w:highlight w:val="none"/>
          <w:lang w:val="en-US" w:eastAsia="zh-CN" w:bidi="ar-SA"/>
        </w:rPr>
        <w:t>第五章  评标方法与评标标准</w:t>
      </w:r>
    </w:p>
    <w:p w14:paraId="520E7AC5">
      <w:pPr>
        <w:pStyle w:val="1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kern w:val="0"/>
          <w:sz w:val="36"/>
          <w:szCs w:val="36"/>
          <w:highlight w:val="none"/>
          <w:lang w:val="en-US" w:eastAsia="zh-CN" w:bidi="ar-SA"/>
        </w:rPr>
      </w:pPr>
      <w:r>
        <w:rPr>
          <w:rFonts w:hint="eastAsia" w:ascii="宋体" w:hAnsi="宋体" w:eastAsia="宋体" w:cs="宋体"/>
          <w:color w:val="auto"/>
          <w:kern w:val="2"/>
          <w:sz w:val="36"/>
          <w:szCs w:val="36"/>
          <w:highlight w:val="none"/>
          <w:lang w:val="en-US" w:eastAsia="zh-CN" w:bidi="ar-SA"/>
        </w:rPr>
        <w:t>第六章  投标文件格式</w:t>
      </w:r>
      <w:sdt>
        <w:sdtPr>
          <w:rPr>
            <w:rFonts w:hint="eastAsia" w:ascii="宋体" w:hAnsi="宋体" w:eastAsia="宋体" w:cs="宋体"/>
            <w:color w:val="auto"/>
            <w:kern w:val="2"/>
            <w:sz w:val="36"/>
            <w:szCs w:val="36"/>
            <w:highlight w:val="none"/>
            <w:lang w:val="en-US" w:eastAsia="zh-CN" w:bidi="ar-SA"/>
          </w:rPr>
          <w:id w:val="147482473"/>
          <w:showingPlcHdr/>
          <w15:color w:val="DBDBDB"/>
          <w:docPartObj>
            <w:docPartGallery w:val="Table of Contents"/>
            <w:docPartUnique/>
          </w:docPartObj>
        </w:sdtPr>
        <w:sdtEndPr>
          <w:rPr>
            <w:rFonts w:hint="eastAsia" w:ascii="宋体" w:hAnsi="宋体" w:eastAsia="宋体" w:cs="宋体"/>
            <w:color w:val="auto"/>
            <w:kern w:val="0"/>
            <w:sz w:val="36"/>
            <w:szCs w:val="36"/>
            <w:highlight w:val="none"/>
            <w:lang w:val="en-US" w:eastAsia="zh-CN" w:bidi="ar-SA"/>
          </w:rPr>
        </w:sdtEndPr>
        <w:sdtContent>
          <w:r>
            <w:rPr>
              <w:rFonts w:hint="eastAsia" w:ascii="宋体" w:hAnsi="宋体" w:eastAsia="宋体" w:cs="宋体"/>
              <w:color w:val="auto"/>
              <w:kern w:val="2"/>
              <w:sz w:val="36"/>
              <w:szCs w:val="36"/>
              <w:highlight w:val="none"/>
              <w:lang w:val="en-US" w:eastAsia="zh-CN" w:bidi="ar-SA"/>
            </w:rPr>
            <w:t xml:space="preserve">     </w:t>
          </w:r>
        </w:sdtContent>
      </w:sdt>
    </w:p>
    <w:p w14:paraId="1B277A88">
      <w:pPr>
        <w:pStyle w:val="14"/>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color w:val="auto"/>
          <w:kern w:val="0"/>
          <w:sz w:val="30"/>
          <w:szCs w:val="30"/>
          <w:highlight w:val="none"/>
          <w:lang w:val="en-US" w:eastAsia="zh-CN" w:bidi="ar-SA"/>
        </w:rPr>
      </w:pPr>
    </w:p>
    <w:p w14:paraId="6DBD7A8F">
      <w:pPr>
        <w:pStyle w:val="14"/>
        <w:spacing w:beforeAutospacing="0" w:afterAutospacing="0" w:line="480" w:lineRule="auto"/>
        <w:jc w:val="both"/>
        <w:outlineLvl w:val="9"/>
        <w:rPr>
          <w:rFonts w:cs="Times New Roman" w:asciiTheme="minorHAnsi" w:hAnsiTheme="minorHAnsi" w:eastAsiaTheme="minorEastAsia"/>
          <w:color w:val="auto"/>
          <w:kern w:val="0"/>
          <w:sz w:val="24"/>
          <w:szCs w:val="24"/>
          <w:highlight w:val="none"/>
          <w:lang w:val="en-US" w:eastAsia="zh-CN" w:bidi="ar-SA"/>
        </w:rPr>
      </w:pPr>
    </w:p>
    <w:p w14:paraId="534DE13F">
      <w:pPr>
        <w:pStyle w:val="14"/>
        <w:spacing w:beforeAutospacing="0" w:afterAutospacing="0"/>
        <w:jc w:val="both"/>
        <w:rPr>
          <w:color w:val="auto"/>
          <w:highlight w:val="none"/>
        </w:rPr>
      </w:pPr>
      <w:r>
        <w:rPr>
          <w:color w:val="auto"/>
          <w:highlight w:val="none"/>
        </w:rPr>
        <w:t> </w:t>
      </w:r>
    </w:p>
    <w:p w14:paraId="5B3C47C5">
      <w:pPr>
        <w:pStyle w:val="14"/>
        <w:spacing w:beforeAutospacing="0" w:afterAutospacing="0"/>
        <w:jc w:val="both"/>
        <w:rPr>
          <w:color w:val="auto"/>
          <w:highlight w:val="none"/>
        </w:rPr>
      </w:pPr>
      <w:r>
        <w:rPr>
          <w:color w:val="auto"/>
          <w:highlight w:val="none"/>
        </w:rPr>
        <w:t> </w:t>
      </w:r>
    </w:p>
    <w:p w14:paraId="1026E6EC">
      <w:pPr>
        <w:pStyle w:val="14"/>
        <w:spacing w:beforeAutospacing="0" w:afterAutospacing="0"/>
        <w:jc w:val="both"/>
        <w:rPr>
          <w:color w:val="auto"/>
          <w:highlight w:val="none"/>
        </w:rPr>
      </w:pPr>
      <w:r>
        <w:rPr>
          <w:color w:val="auto"/>
          <w:highlight w:val="none"/>
        </w:rPr>
        <w:t> </w:t>
      </w:r>
    </w:p>
    <w:p w14:paraId="77EDD784">
      <w:pPr>
        <w:pStyle w:val="14"/>
        <w:spacing w:beforeAutospacing="0" w:afterAutospacing="0"/>
        <w:jc w:val="both"/>
        <w:rPr>
          <w:color w:val="auto"/>
          <w:highlight w:val="none"/>
        </w:rPr>
      </w:pPr>
      <w:r>
        <w:rPr>
          <w:color w:val="auto"/>
          <w:highlight w:val="none"/>
        </w:rPr>
        <w:t> </w:t>
      </w:r>
    </w:p>
    <w:p w14:paraId="0CEF2CA3">
      <w:pPr>
        <w:pStyle w:val="14"/>
        <w:spacing w:beforeAutospacing="0" w:afterAutospacing="0"/>
        <w:jc w:val="both"/>
        <w:rPr>
          <w:color w:val="auto"/>
          <w:highlight w:val="none"/>
        </w:rPr>
      </w:pPr>
      <w:r>
        <w:rPr>
          <w:color w:val="auto"/>
          <w:highlight w:val="none"/>
        </w:rPr>
        <w:t> </w:t>
      </w:r>
    </w:p>
    <w:p w14:paraId="199834B7">
      <w:pPr>
        <w:pStyle w:val="14"/>
        <w:spacing w:beforeAutospacing="0" w:afterAutospacing="0"/>
        <w:jc w:val="both"/>
        <w:rPr>
          <w:color w:val="auto"/>
          <w:highlight w:val="none"/>
        </w:rPr>
      </w:pPr>
      <w:r>
        <w:rPr>
          <w:color w:val="auto"/>
          <w:highlight w:val="none"/>
        </w:rPr>
        <w:t> </w:t>
      </w:r>
    </w:p>
    <w:p w14:paraId="5973B429">
      <w:pPr>
        <w:pStyle w:val="14"/>
        <w:spacing w:beforeAutospacing="0" w:afterAutospacing="0"/>
        <w:jc w:val="both"/>
        <w:rPr>
          <w:color w:val="auto"/>
          <w:highlight w:val="none"/>
        </w:rPr>
      </w:pPr>
      <w:r>
        <w:rPr>
          <w:color w:val="auto"/>
          <w:highlight w:val="none"/>
        </w:rPr>
        <w:t> </w:t>
      </w:r>
    </w:p>
    <w:p w14:paraId="002C7EB7">
      <w:pPr>
        <w:pStyle w:val="14"/>
        <w:spacing w:beforeAutospacing="0" w:afterAutospacing="0"/>
        <w:jc w:val="both"/>
        <w:rPr>
          <w:color w:val="auto"/>
          <w:highlight w:val="none"/>
        </w:rPr>
      </w:pPr>
      <w:r>
        <w:rPr>
          <w:color w:val="auto"/>
          <w:highlight w:val="none"/>
        </w:rPr>
        <w:t> </w:t>
      </w:r>
    </w:p>
    <w:p w14:paraId="4F9CAB0B">
      <w:pPr>
        <w:pStyle w:val="14"/>
        <w:spacing w:beforeAutospacing="0" w:afterAutospacing="0"/>
        <w:jc w:val="both"/>
        <w:rPr>
          <w:color w:val="auto"/>
          <w:highlight w:val="none"/>
        </w:rPr>
      </w:pPr>
      <w:r>
        <w:rPr>
          <w:color w:val="auto"/>
          <w:highlight w:val="none"/>
        </w:rPr>
        <w:t> </w:t>
      </w:r>
    </w:p>
    <w:p w14:paraId="2E059227">
      <w:pPr>
        <w:pStyle w:val="14"/>
        <w:spacing w:beforeAutospacing="0" w:afterAutospacing="0"/>
        <w:jc w:val="both"/>
        <w:rPr>
          <w:color w:val="auto"/>
          <w:highlight w:val="none"/>
        </w:rPr>
      </w:pPr>
      <w:r>
        <w:rPr>
          <w:color w:val="auto"/>
          <w:highlight w:val="none"/>
        </w:rPr>
        <w:t> </w:t>
      </w:r>
    </w:p>
    <w:p w14:paraId="377E3A45">
      <w:pPr>
        <w:pStyle w:val="14"/>
        <w:spacing w:beforeAutospacing="0" w:afterAutospacing="0"/>
        <w:jc w:val="both"/>
        <w:rPr>
          <w:color w:val="auto"/>
          <w:highlight w:val="none"/>
        </w:rPr>
      </w:pPr>
      <w:r>
        <w:rPr>
          <w:color w:val="auto"/>
          <w:highlight w:val="none"/>
        </w:rPr>
        <w:t> </w:t>
      </w:r>
    </w:p>
    <w:p w14:paraId="0902FF10">
      <w:pPr>
        <w:pStyle w:val="14"/>
        <w:spacing w:beforeAutospacing="0" w:afterAutospacing="0"/>
        <w:jc w:val="both"/>
        <w:rPr>
          <w:color w:val="auto"/>
          <w:highlight w:val="none"/>
        </w:rPr>
      </w:pPr>
      <w:r>
        <w:rPr>
          <w:color w:val="auto"/>
          <w:highlight w:val="none"/>
        </w:rPr>
        <w:t> </w:t>
      </w:r>
    </w:p>
    <w:p w14:paraId="5410DC49">
      <w:pPr>
        <w:pStyle w:val="14"/>
        <w:spacing w:beforeAutospacing="0" w:afterAutospacing="0"/>
        <w:jc w:val="both"/>
        <w:rPr>
          <w:color w:val="auto"/>
          <w:highlight w:val="none"/>
        </w:rPr>
      </w:pPr>
      <w:r>
        <w:rPr>
          <w:color w:val="auto"/>
          <w:highlight w:val="none"/>
        </w:rPr>
        <w:t>  </w:t>
      </w:r>
    </w:p>
    <w:p w14:paraId="746F8DFD">
      <w:pPr>
        <w:pStyle w:val="14"/>
        <w:keepNext/>
        <w:spacing w:beforeAutospacing="0" w:afterAutospacing="0"/>
        <w:jc w:val="center"/>
        <w:rPr>
          <w:rFonts w:hint="default" w:eastAsia="黑体"/>
          <w:color w:val="auto"/>
          <w:highlight w:val="none"/>
          <w:lang w:val="en-US" w:eastAsia="zh-CN"/>
        </w:rPr>
      </w:pPr>
      <w:bookmarkStart w:id="0" w:name="_Toc28359086"/>
      <w:r>
        <w:rPr>
          <w:rFonts w:hint="eastAsia" w:ascii="黑体" w:hAnsi="宋体" w:eastAsia="黑体" w:cs="黑体"/>
          <w:color w:val="auto"/>
          <w:sz w:val="44"/>
          <w:szCs w:val="44"/>
          <w:highlight w:val="none"/>
        </w:rPr>
        <w:t>第一章 </w:t>
      </w:r>
      <w:r>
        <w:rPr>
          <w:rFonts w:hint="eastAsia" w:ascii="黑体" w:hAnsi="宋体" w:eastAsia="黑体" w:cs="黑体"/>
          <w:color w:val="auto"/>
          <w:sz w:val="44"/>
          <w:szCs w:val="44"/>
          <w:highlight w:val="none"/>
          <w:lang w:val="en-US" w:eastAsia="zh-CN"/>
        </w:rPr>
        <w:t>询价公告</w:t>
      </w:r>
    </w:p>
    <w:p w14:paraId="179DC6FF">
      <w:pPr>
        <w:pStyle w:val="14"/>
        <w:pBdr>
          <w:top w:val="single" w:color="000000" w:sz="4" w:space="0"/>
          <w:left w:val="single" w:color="000000" w:sz="4" w:space="0"/>
          <w:bottom w:val="single" w:color="000000" w:sz="4" w:space="0"/>
          <w:right w:val="single" w:color="000000" w:sz="4" w:space="0"/>
        </w:pBdr>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6B0F6ADA">
      <w:pPr>
        <w:pStyle w:val="14"/>
        <w:pBdr>
          <w:top w:val="single" w:color="000000" w:sz="4" w:space="0"/>
          <w:left w:val="single" w:color="000000" w:sz="4" w:space="0"/>
          <w:bottom w:val="single" w:color="000000" w:sz="4" w:space="0"/>
          <w:right w:val="single" w:color="000000" w:sz="4" w:space="0"/>
        </w:pBdr>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color w:val="auto"/>
          <w:sz w:val="24"/>
          <w:highlight w:val="none"/>
          <w:u w:val="single"/>
          <w:lang w:eastAsia="zh-CN"/>
        </w:rPr>
        <w:t>2025年滨海县水稻重大病虫害防控（秋粮“一喷多促”）项目—40%甲氧·茚虫威悬浮剂</w:t>
      </w:r>
      <w:r>
        <w:rPr>
          <w:rFonts w:hint="eastAsia" w:ascii="宋体" w:hAnsi="宋体" w:eastAsia="宋体" w:cs="宋体"/>
          <w:color w:val="auto"/>
          <w:sz w:val="24"/>
          <w:szCs w:val="24"/>
          <w:highlight w:val="none"/>
        </w:rPr>
        <w:t>招标项目的潜在投标人可在</w:t>
      </w:r>
      <w:r>
        <w:rPr>
          <w:rFonts w:hint="eastAsia" w:ascii="宋体" w:hAnsi="宋体" w:eastAsia="宋体" w:cs="宋体"/>
          <w:i w:val="0"/>
          <w:iCs w:val="0"/>
          <w:caps w:val="0"/>
          <w:color w:val="auto"/>
          <w:spacing w:val="0"/>
          <w:sz w:val="24"/>
          <w:szCs w:val="24"/>
          <w:highlight w:val="none"/>
          <w:shd w:val="clear" w:fill="FFFFFF"/>
        </w:rPr>
        <w:t>“苏采云”系统内免费下载（投标人必须在苏采云系统中获取采购文件，方能参与政府采购项目）</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点</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北京时间）前递交投标文件。</w:t>
      </w:r>
    </w:p>
    <w:p w14:paraId="05033C3B">
      <w:pPr>
        <w:pStyle w:val="14"/>
        <w:keepNext/>
        <w:keepLines/>
        <w:spacing w:before="145" w:beforeAutospacing="0" w:after="145" w:afterAutospacing="0" w:line="360" w:lineRule="auto"/>
        <w:ind w:firstLine="498" w:firstLineChars="0"/>
        <w:jc w:val="both"/>
        <w:outlineLvl w:val="0"/>
        <w:rPr>
          <w:rFonts w:hint="eastAsia" w:ascii="宋体" w:hAnsi="宋体" w:eastAsia="宋体" w:cs="宋体"/>
          <w:color w:val="auto"/>
          <w:sz w:val="24"/>
          <w:szCs w:val="24"/>
          <w:highlight w:val="none"/>
        </w:rPr>
      </w:pPr>
      <w:bookmarkStart w:id="1" w:name="_Toc35393790"/>
      <w:bookmarkStart w:id="2" w:name="_Toc28359079"/>
      <w:bookmarkStart w:id="3" w:name="_Toc32167"/>
      <w:bookmarkStart w:id="4" w:name="_Toc38985263"/>
      <w:bookmarkStart w:id="5" w:name="_Toc35393621"/>
      <w:bookmarkStart w:id="6" w:name="_Toc10379"/>
      <w:bookmarkStart w:id="7" w:name="_Hlk24379207"/>
      <w:bookmarkStart w:id="8" w:name="_Toc28359002"/>
      <w:r>
        <w:rPr>
          <w:rFonts w:hint="eastAsia" w:ascii="宋体" w:hAnsi="宋体" w:eastAsia="宋体" w:cs="宋体"/>
          <w:b/>
          <w:color w:val="auto"/>
          <w:sz w:val="24"/>
          <w:szCs w:val="24"/>
          <w:highlight w:val="none"/>
        </w:rPr>
        <w:t>一、项目基本情况</w:t>
      </w:r>
      <w:bookmarkEnd w:id="1"/>
      <w:bookmarkEnd w:id="2"/>
      <w:bookmarkEnd w:id="3"/>
      <w:bookmarkEnd w:id="4"/>
      <w:bookmarkEnd w:id="5"/>
      <w:bookmarkEnd w:id="6"/>
      <w:bookmarkEnd w:id="7"/>
      <w:bookmarkEnd w:id="8"/>
    </w:p>
    <w:p w14:paraId="39610826">
      <w:pPr>
        <w:pStyle w:val="14"/>
        <w:spacing w:beforeAutospacing="0" w:afterAutospacing="0" w:line="360" w:lineRule="auto"/>
        <w:ind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1.项目编号：JSZC-320922-YBGL-X2025-0004</w:t>
      </w:r>
    </w:p>
    <w:p w14:paraId="4B58244C">
      <w:pPr>
        <w:pStyle w:val="14"/>
        <w:spacing w:beforeAutospacing="0" w:afterAutospacing="0" w:line="360" w:lineRule="auto"/>
        <w:ind w:firstLine="480"/>
        <w:jc w:val="both"/>
        <w:rPr>
          <w:rFonts w:hint="eastAsia" w:ascii="宋体" w:hAnsi="宋体" w:eastAsia="宋体" w:cs="宋体"/>
          <w:color w:val="auto"/>
          <w:sz w:val="24"/>
          <w:szCs w:val="24"/>
          <w:highlight w:val="none"/>
          <w:u w:val="none"/>
          <w:shd w:val="clear" w:color="auto" w:fill="auto"/>
        </w:rPr>
      </w:pPr>
      <w:r>
        <w:rPr>
          <w:rFonts w:hint="eastAsia" w:ascii="宋体" w:hAnsi="宋体" w:eastAsia="宋体" w:cs="宋体"/>
          <w:color w:val="auto"/>
          <w:sz w:val="24"/>
          <w:szCs w:val="24"/>
          <w:highlight w:val="none"/>
        </w:rPr>
        <w:t>2.项</w:t>
      </w:r>
      <w:r>
        <w:rPr>
          <w:rFonts w:hint="eastAsia" w:ascii="宋体" w:hAnsi="宋体" w:eastAsia="宋体" w:cs="宋体"/>
          <w:color w:val="auto"/>
          <w:sz w:val="24"/>
          <w:szCs w:val="24"/>
          <w:highlight w:val="none"/>
          <w:shd w:val="clear" w:color="auto" w:fill="auto"/>
        </w:rPr>
        <w:t>目名称：</w:t>
      </w:r>
      <w:r>
        <w:rPr>
          <w:rFonts w:hint="eastAsia" w:ascii="宋体" w:hAnsi="宋体"/>
          <w:color w:val="auto"/>
          <w:sz w:val="24"/>
          <w:highlight w:val="none"/>
          <w:u w:val="none"/>
          <w:lang w:eastAsia="zh-CN"/>
        </w:rPr>
        <w:t>2025年滨海县水稻重大病虫害防控（秋粮“一喷多促”）项目—40%甲氧·茚虫威悬浮剂</w:t>
      </w:r>
    </w:p>
    <w:p w14:paraId="73A52534">
      <w:pPr>
        <w:pStyle w:val="14"/>
        <w:spacing w:beforeAutospacing="0" w:afterAutospacing="0" w:line="360" w:lineRule="auto"/>
        <w:ind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采购方式：</w:t>
      </w:r>
      <w:r>
        <w:rPr>
          <w:rFonts w:hint="eastAsia" w:ascii="宋体" w:hAnsi="宋体" w:eastAsia="宋体" w:cs="宋体"/>
          <w:i w:val="0"/>
          <w:iCs w:val="0"/>
          <w:caps w:val="0"/>
          <w:color w:val="auto"/>
          <w:spacing w:val="0"/>
          <w:sz w:val="24"/>
          <w:szCs w:val="24"/>
          <w:highlight w:val="none"/>
          <w:shd w:val="clear" w:fill="FFFFFF"/>
          <w:lang w:val="en-US" w:eastAsia="zh-CN"/>
        </w:rPr>
        <w:t>询价</w:t>
      </w:r>
    </w:p>
    <w:p w14:paraId="1986A8D1">
      <w:pPr>
        <w:pStyle w:val="14"/>
        <w:spacing w:beforeAutospacing="0" w:afterAutospacing="0" w:line="360" w:lineRule="auto"/>
        <w:ind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2747010.29元</w:t>
      </w:r>
    </w:p>
    <w:p w14:paraId="09A7FB0E">
      <w:pPr>
        <w:pStyle w:val="14"/>
        <w:spacing w:beforeAutospacing="0" w:afterAutospacing="0" w:line="360" w:lineRule="auto"/>
        <w:ind w:firstLine="480"/>
        <w:jc w:val="both"/>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lang w:val="en-US" w:eastAsia="zh-CN"/>
        </w:rPr>
        <w:t>5.最高限价：2747010.29元（最低投标数量：7499.47kg</w:t>
      </w:r>
      <w:r>
        <w:rPr>
          <w:rFonts w:hint="eastAsia" w:ascii="宋体" w:hAnsi="宋体" w:eastAsia="宋体" w:cs="宋体"/>
          <w:color w:val="auto"/>
          <w:sz w:val="24"/>
          <w:szCs w:val="24"/>
          <w:highlight w:val="none"/>
          <w:shd w:val="clear" w:color="auto" w:fill="auto"/>
          <w:lang w:val="en-US" w:eastAsia="zh-CN"/>
        </w:rPr>
        <w:t>）</w:t>
      </w:r>
    </w:p>
    <w:p w14:paraId="5900C76D">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.采购需求：</w:t>
      </w:r>
      <w:r>
        <w:rPr>
          <w:rFonts w:hint="eastAsia"/>
          <w:color w:val="auto"/>
          <w:highlight w:val="none"/>
        </w:rPr>
        <w:t>40%甲氧·茚虫威悬浮剂；登记作物：包含水稻。防治对象含：稻纵卷叶螟。本项目询价报价时，40%甲氧·茚虫威悬浮剂的单位为</w:t>
      </w:r>
      <w:r>
        <w:rPr>
          <w:rFonts w:hint="eastAsia"/>
          <w:color w:val="auto"/>
          <w:highlight w:val="none"/>
          <w:lang w:val="en-US" w:eastAsia="zh-CN"/>
        </w:rPr>
        <w:t>kg</w:t>
      </w:r>
      <w:r>
        <w:rPr>
          <w:rFonts w:hint="eastAsia"/>
          <w:color w:val="auto"/>
          <w:highlight w:val="none"/>
        </w:rPr>
        <w:t>；供货时包装规格为15克/袋（瓶）</w:t>
      </w:r>
      <w:r>
        <w:rPr>
          <w:rFonts w:hint="eastAsia" w:ascii="宋体" w:hAnsi="宋体" w:eastAsia="宋体" w:cs="宋体"/>
          <w:color w:val="auto"/>
          <w:sz w:val="24"/>
          <w:szCs w:val="24"/>
          <w:highlight w:val="none"/>
          <w:shd w:val="clear" w:color="auto" w:fill="auto"/>
          <w:lang w:val="en-US" w:eastAsia="zh-CN"/>
        </w:rPr>
        <w:t>。</w:t>
      </w:r>
      <w:r>
        <w:rPr>
          <w:rFonts w:hint="eastAsia"/>
          <w:b/>
          <w:bCs/>
          <w:i w:val="0"/>
          <w:iCs w:val="0"/>
          <w:color w:val="auto"/>
          <w:highlight w:val="none"/>
          <w:u w:val="none"/>
          <w:lang w:val="en-US" w:eastAsia="zh-CN"/>
        </w:rPr>
        <w:t>本项目</w:t>
      </w:r>
      <w:r>
        <w:rPr>
          <w:b/>
          <w:bCs/>
          <w:i w:val="0"/>
          <w:iCs w:val="0"/>
          <w:color w:val="auto"/>
          <w:highlight w:val="none"/>
          <w:u w:val="none"/>
        </w:rPr>
        <w:t>预算金额足额采购</w:t>
      </w:r>
      <w:r>
        <w:rPr>
          <w:rFonts w:hint="eastAsia"/>
          <w:b/>
          <w:bCs/>
          <w:i w:val="0"/>
          <w:iCs w:val="0"/>
          <w:color w:val="auto"/>
          <w:highlight w:val="none"/>
          <w:u w:val="none"/>
          <w:lang w:eastAsia="zh-CN"/>
        </w:rPr>
        <w:t>，</w:t>
      </w:r>
      <w:r>
        <w:rPr>
          <w:b/>
          <w:bCs/>
          <w:i w:val="0"/>
          <w:iCs w:val="0"/>
          <w:color w:val="auto"/>
          <w:highlight w:val="none"/>
          <w:u w:val="none"/>
        </w:rPr>
        <w:t>供应商</w:t>
      </w:r>
      <w:r>
        <w:rPr>
          <w:rFonts w:hint="eastAsia" w:ascii="Times New Roman" w:eastAsia="宋体"/>
          <w:b/>
          <w:bCs/>
          <w:i w:val="0"/>
          <w:iCs w:val="0"/>
          <w:color w:val="auto"/>
          <w:highlight w:val="none"/>
          <w:u w:val="none"/>
          <w:lang w:val="en-US" w:eastAsia="zh-CN"/>
        </w:rPr>
        <w:t>不得改变采购总金额，以数量最高</w:t>
      </w:r>
      <w:r>
        <w:rPr>
          <w:b/>
          <w:bCs/>
          <w:i w:val="0"/>
          <w:iCs w:val="0"/>
          <w:color w:val="auto"/>
          <w:highlight w:val="none"/>
          <w:u w:val="none"/>
        </w:rPr>
        <w:t>的</w:t>
      </w:r>
      <w:r>
        <w:rPr>
          <w:rFonts w:hint="eastAsia" w:ascii="Times New Roman" w:eastAsia="宋体"/>
          <w:b/>
          <w:bCs/>
          <w:i w:val="0"/>
          <w:iCs w:val="0"/>
          <w:color w:val="auto"/>
          <w:highlight w:val="none"/>
          <w:u w:val="none"/>
          <w:lang w:val="en-US" w:eastAsia="zh-CN"/>
        </w:rPr>
        <w:t>优先</w:t>
      </w:r>
      <w:r>
        <w:rPr>
          <w:rFonts w:hint="eastAsia"/>
          <w:b/>
          <w:bCs/>
          <w:i w:val="0"/>
          <w:iCs w:val="0"/>
          <w:color w:val="auto"/>
          <w:highlight w:val="none"/>
          <w:u w:val="none"/>
        </w:rPr>
        <w:t>，采购人全部使用完采购预算</w:t>
      </w:r>
      <w:r>
        <w:rPr>
          <w:rFonts w:hint="eastAsia" w:ascii="宋体" w:hAnsi="宋体" w:eastAsia="宋体" w:cs="宋体"/>
          <w:color w:val="auto"/>
          <w:sz w:val="24"/>
          <w:szCs w:val="24"/>
          <w:highlight w:val="none"/>
          <w:shd w:val="clear" w:color="auto" w:fill="auto"/>
        </w:rPr>
        <w:t>（详</w:t>
      </w:r>
      <w:r>
        <w:rPr>
          <w:rFonts w:hint="eastAsia" w:ascii="宋体" w:hAnsi="宋体" w:eastAsia="宋体" w:cs="宋体"/>
          <w:color w:val="auto"/>
          <w:sz w:val="24"/>
          <w:szCs w:val="24"/>
          <w:highlight w:val="none"/>
        </w:rPr>
        <w:t>细内容见本</w:t>
      </w:r>
      <w:r>
        <w:rPr>
          <w:rFonts w:hint="eastAsia" w:ascii="宋体" w:hAnsi="宋体" w:eastAsia="宋体" w:cs="宋体"/>
          <w:color w:val="auto"/>
          <w:sz w:val="24"/>
          <w:szCs w:val="24"/>
          <w:highlight w:val="none"/>
          <w:lang w:val="en-US" w:eastAsia="zh-CN"/>
        </w:rPr>
        <w:t>询价文件</w:t>
      </w:r>
      <w:r>
        <w:rPr>
          <w:rFonts w:hint="eastAsia" w:ascii="宋体" w:hAnsi="宋体" w:eastAsia="宋体" w:cs="宋体"/>
          <w:color w:val="auto"/>
          <w:sz w:val="24"/>
          <w:szCs w:val="24"/>
          <w:highlight w:val="none"/>
        </w:rPr>
        <w:t>第四章）</w:t>
      </w:r>
    </w:p>
    <w:p w14:paraId="26A20146">
      <w:pPr>
        <w:pStyle w:val="14"/>
        <w:spacing w:beforeAutospacing="0" w:afterAutospacing="0" w:line="360" w:lineRule="auto"/>
        <w:ind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限：</w:t>
      </w:r>
      <w:r>
        <w:rPr>
          <w:rFonts w:hint="eastAsia" w:ascii="宋体" w:hAnsi="宋体" w:eastAsia="宋体" w:cs="宋体"/>
          <w:color w:val="auto"/>
          <w:sz w:val="24"/>
          <w:szCs w:val="24"/>
          <w:highlight w:val="none"/>
          <w:lang w:val="en-US" w:eastAsia="zh-CN"/>
        </w:rPr>
        <w:t>7日历天</w:t>
      </w:r>
    </w:p>
    <w:p w14:paraId="693B1744">
      <w:pPr>
        <w:pStyle w:val="14"/>
        <w:spacing w:beforeAutospacing="0" w:afterAutospacing="0" w:line="360" w:lineRule="auto"/>
        <w:ind w:firstLine="480"/>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8.质保期：2年</w:t>
      </w:r>
      <w:r>
        <w:rPr>
          <w:rFonts w:hint="eastAsia" w:ascii="宋体" w:hAnsi="宋体"/>
          <w:b w:val="0"/>
          <w:bCs w:val="0"/>
          <w:color w:val="auto"/>
          <w:highlight w:val="none"/>
        </w:rPr>
        <w:t>（</w:t>
      </w:r>
      <w:r>
        <w:rPr>
          <w:rFonts w:hint="eastAsia" w:ascii="宋体" w:hAnsi="宋体" w:cs="宋体"/>
          <w:b w:val="0"/>
          <w:bCs w:val="0"/>
          <w:color w:val="auto"/>
          <w:highlight w:val="none"/>
        </w:rPr>
        <w:t>自</w:t>
      </w:r>
      <w:r>
        <w:rPr>
          <w:rFonts w:hint="eastAsia" w:ascii="宋体" w:hAnsi="宋体" w:cs="宋体"/>
          <w:b w:val="0"/>
          <w:bCs w:val="0"/>
          <w:color w:val="auto"/>
          <w:highlight w:val="none"/>
          <w:lang w:val="en-US" w:eastAsia="zh-CN"/>
        </w:rPr>
        <w:t>生产日期起计算</w:t>
      </w:r>
      <w:r>
        <w:rPr>
          <w:rFonts w:hint="eastAsia" w:ascii="宋体" w:hAnsi="宋体" w:cs="宋体"/>
          <w:b w:val="0"/>
          <w:bCs w:val="0"/>
          <w:color w:val="auto"/>
          <w:highlight w:val="none"/>
        </w:rPr>
        <w:t>）</w:t>
      </w:r>
    </w:p>
    <w:p w14:paraId="0AEFCE29">
      <w:pPr>
        <w:pStyle w:val="14"/>
        <w:spacing w:beforeAutospacing="0" w:afterAutospacing="0" w:line="360" w:lineRule="auto"/>
        <w:ind w:firstLine="480"/>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9.项目地点：采购人指定地点</w:t>
      </w:r>
    </w:p>
    <w:p w14:paraId="0B9EB089">
      <w:pPr>
        <w:pStyle w:val="14"/>
        <w:spacing w:beforeAutospacing="0" w:afterAutospacing="0"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10.</w:t>
      </w:r>
      <w:r>
        <w:rPr>
          <w:rFonts w:hint="eastAsia" w:ascii="宋体" w:hAnsi="宋体" w:eastAsia="宋体" w:cs="宋体"/>
          <w:b w:val="0"/>
          <w:bCs w:val="0"/>
          <w:i w:val="0"/>
          <w:iCs w:val="0"/>
          <w:caps w:val="0"/>
          <w:color w:val="auto"/>
          <w:spacing w:val="0"/>
          <w:sz w:val="24"/>
          <w:szCs w:val="24"/>
          <w:highlight w:val="none"/>
          <w:shd w:val="clear" w:fill="FFFFFF"/>
        </w:rPr>
        <w:t>本项目</w:t>
      </w:r>
      <w:r>
        <w:rPr>
          <w:rFonts w:hint="eastAsia" w:ascii="宋体" w:hAnsi="宋体" w:eastAsia="宋体" w:cs="宋体"/>
          <w:b w:val="0"/>
          <w:bCs w:val="0"/>
          <w:i w:val="0"/>
          <w:iCs w:val="0"/>
          <w:caps w:val="0"/>
          <w:color w:val="auto"/>
          <w:spacing w:val="0"/>
          <w:sz w:val="24"/>
          <w:szCs w:val="24"/>
          <w:highlight w:val="none"/>
          <w:shd w:val="clear" w:fill="FFFFFF"/>
          <w:lang w:val="en-US" w:eastAsia="zh-CN"/>
        </w:rPr>
        <w:t>不</w:t>
      </w:r>
      <w:r>
        <w:rPr>
          <w:rFonts w:hint="eastAsia" w:ascii="宋体" w:hAnsi="宋体" w:eastAsia="宋体" w:cs="宋体"/>
          <w:b w:val="0"/>
          <w:bCs w:val="0"/>
          <w:i w:val="0"/>
          <w:iCs w:val="0"/>
          <w:caps w:val="0"/>
          <w:color w:val="auto"/>
          <w:spacing w:val="0"/>
          <w:sz w:val="24"/>
          <w:szCs w:val="24"/>
          <w:highlight w:val="none"/>
          <w:shd w:val="clear" w:fill="FFFFFF"/>
        </w:rPr>
        <w:t>接受联合体</w:t>
      </w:r>
      <w:r>
        <w:rPr>
          <w:rFonts w:hint="eastAsia" w:ascii="宋体" w:hAnsi="宋体" w:eastAsia="宋体" w:cs="宋体"/>
          <w:b w:val="0"/>
          <w:bCs w:val="0"/>
          <w:color w:val="auto"/>
          <w:sz w:val="24"/>
          <w:szCs w:val="24"/>
          <w:highlight w:val="none"/>
        </w:rPr>
        <w:t>参与</w:t>
      </w:r>
      <w:r>
        <w:rPr>
          <w:rFonts w:hint="eastAsia" w:ascii="宋体" w:hAnsi="宋体" w:eastAsia="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rPr>
        <w:t>。</w:t>
      </w:r>
      <w:bookmarkStart w:id="9" w:name="_Toc35393791"/>
      <w:bookmarkStart w:id="10" w:name="_Toc38985264"/>
      <w:bookmarkStart w:id="11" w:name="_Toc35393622"/>
      <w:bookmarkStart w:id="12" w:name="_Toc28359080"/>
      <w:bookmarkStart w:id="13" w:name="_Toc28359003"/>
    </w:p>
    <w:p w14:paraId="12CB8E2C">
      <w:pPr>
        <w:pStyle w:val="14"/>
        <w:spacing w:beforeAutospacing="0" w:afterAutospacing="0" w:line="360" w:lineRule="auto"/>
        <w:ind w:firstLine="480" w:firstLineChars="0"/>
        <w:jc w:val="both"/>
        <w:outlineLvl w:val="0"/>
        <w:rPr>
          <w:rFonts w:hint="eastAsia" w:ascii="宋体" w:hAnsi="宋体" w:eastAsia="宋体" w:cs="宋体"/>
          <w:color w:val="auto"/>
          <w:sz w:val="24"/>
          <w:szCs w:val="24"/>
          <w:highlight w:val="none"/>
        </w:rPr>
      </w:pPr>
      <w:bookmarkStart w:id="14" w:name="_Toc14763"/>
      <w:bookmarkStart w:id="15" w:name="_Toc19192"/>
      <w:r>
        <w:rPr>
          <w:rFonts w:hint="eastAsia" w:ascii="宋体" w:hAnsi="宋体" w:eastAsia="宋体" w:cs="宋体"/>
          <w:b/>
          <w:color w:val="auto"/>
          <w:sz w:val="24"/>
          <w:szCs w:val="24"/>
          <w:highlight w:val="none"/>
        </w:rPr>
        <w:t>二、申请人的资格要求：</w:t>
      </w:r>
      <w:bookmarkEnd w:id="9"/>
      <w:bookmarkEnd w:id="10"/>
      <w:bookmarkEnd w:id="11"/>
      <w:bookmarkEnd w:id="12"/>
      <w:bookmarkEnd w:id="13"/>
      <w:bookmarkEnd w:id="14"/>
      <w:bookmarkEnd w:id="15"/>
    </w:p>
    <w:p w14:paraId="59C84FF1">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1.满足《中华人民共和国政府采购法》第二十二条规定，并提供下列材料：</w:t>
      </w:r>
    </w:p>
    <w:p w14:paraId="43076593">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法人或者其他组织的营业执照等证明文件，自然人的身份证明；</w:t>
      </w:r>
    </w:p>
    <w:p w14:paraId="44CA941E">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1.2上一年度的财务状况报</w:t>
      </w:r>
      <w:r>
        <w:rPr>
          <w:rFonts w:hint="eastAsia" w:ascii="宋体" w:hAnsi="宋体" w:eastAsia="宋体" w:cs="宋体"/>
          <w:color w:val="auto"/>
          <w:sz w:val="24"/>
          <w:szCs w:val="24"/>
          <w:highlight w:val="none"/>
          <w:lang w:val="en-US" w:eastAsia="zh-CN"/>
        </w:rPr>
        <w:t>告</w:t>
      </w:r>
      <w:r>
        <w:rPr>
          <w:rFonts w:hint="eastAsia" w:ascii="宋体" w:hAnsi="宋体" w:eastAsia="宋体" w:cs="宋体"/>
          <w:color w:val="auto"/>
          <w:sz w:val="24"/>
          <w:szCs w:val="24"/>
          <w:highlight w:val="none"/>
        </w:rPr>
        <w:t>（</w:t>
      </w:r>
      <w:r>
        <w:rPr>
          <w:rFonts w:hint="eastAsia" w:ascii="宋体" w:hAnsi="宋体" w:eastAsia="宋体" w:cs="宋体"/>
          <w:i w:val="0"/>
          <w:iCs/>
          <w:color w:val="auto"/>
          <w:kern w:val="0"/>
          <w:sz w:val="24"/>
          <w:szCs w:val="24"/>
          <w:highlight w:val="none"/>
          <w:u w:val="none"/>
          <w:lang w:val="en-US" w:eastAsia="zh-CN" w:bidi="ar-SA"/>
        </w:rPr>
        <w:t>至少提供资产负债表、利润表、现金流量表，</w:t>
      </w:r>
      <w:r>
        <w:rPr>
          <w:rFonts w:hint="eastAsia" w:ascii="宋体" w:hAnsi="宋体" w:eastAsia="宋体" w:cs="宋体"/>
          <w:color w:val="auto"/>
          <w:sz w:val="24"/>
          <w:szCs w:val="24"/>
          <w:highlight w:val="none"/>
        </w:rPr>
        <w:t>成立不满一年无需提供）；</w:t>
      </w:r>
    </w:p>
    <w:p w14:paraId="27407C78">
      <w:pPr>
        <w:pStyle w:val="14"/>
        <w:spacing w:beforeAutospacing="0" w:afterAutospacing="0" w:line="360" w:lineRule="auto"/>
        <w:ind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具备履行合同所必需的设备和专业技术能力的书面声明；</w:t>
      </w:r>
    </w:p>
    <w:p w14:paraId="17BD4C33">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648F0528">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.5参加政府采购活动前3年内在经营活动中没有重大违法记录的书面声明。</w:t>
      </w:r>
    </w:p>
    <w:p w14:paraId="43C342D9">
      <w:pPr>
        <w:pStyle w:val="14"/>
        <w:spacing w:beforeAutospacing="0" w:afterAutospacing="0" w:line="360" w:lineRule="auto"/>
        <w:ind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1.6法律、行政法规规定的其他条件。</w:t>
      </w:r>
    </w:p>
    <w:p w14:paraId="5BFD7531">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在“信用中国”网站查询，无被列入失信被执行人、重大税收违法案件当事人名单、政府采购严重失信行为记录名单及其他不符合《中华人民共和国政府采购法》第二十二条规定条件的信用记录。（响应文件中无需提供证明材料）</w:t>
      </w:r>
    </w:p>
    <w:p w14:paraId="78BF9B61">
      <w:pPr>
        <w:pStyle w:val="14"/>
        <w:spacing w:beforeAutospacing="0" w:afterAutospacing="0" w:line="360" w:lineRule="auto"/>
        <w:ind w:firstLine="48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单位负责人为同一人或者存在直接控股、管理关系的不同供应</w:t>
      </w:r>
      <w:r>
        <w:rPr>
          <w:rFonts w:hint="eastAsia" w:ascii="宋体" w:hAnsi="宋体" w:eastAsia="宋体" w:cs="宋体"/>
          <w:color w:val="auto"/>
          <w:sz w:val="24"/>
          <w:szCs w:val="24"/>
          <w:highlight w:val="none"/>
          <w:shd w:val="clear" w:color="auto" w:fill="auto"/>
        </w:rPr>
        <w:t>商，不得参加同一合同项下的政府采购活动。</w:t>
      </w:r>
    </w:p>
    <w:p w14:paraId="0DEDBFDE">
      <w:pPr>
        <w:pStyle w:val="14"/>
        <w:spacing w:beforeAutospacing="0" w:afterAutospacing="0" w:line="360" w:lineRule="auto"/>
        <w:ind w:firstLine="48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落实政府采购政策需满足的资格要求：专门面向中小企业采购,</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供应商应提供</w:t>
      </w:r>
      <w:r>
        <w:rPr>
          <w:rFonts w:hint="eastAsia" w:ascii="宋体" w:hAnsi="宋体" w:eastAsia="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eastAsia="zh-CN"/>
        </w:rPr>
        <w:t>声</w:t>
      </w:r>
      <w:r>
        <w:rPr>
          <w:rFonts w:hint="eastAsia" w:ascii="宋体" w:hAnsi="宋体" w:eastAsia="宋体" w:cs="宋体"/>
          <w:color w:val="auto"/>
          <w:sz w:val="24"/>
          <w:szCs w:val="24"/>
          <w:highlight w:val="none"/>
        </w:rPr>
        <w:t>明函</w:t>
      </w:r>
      <w:r>
        <w:rPr>
          <w:rFonts w:hint="eastAsia" w:ascii="宋体" w:hAnsi="宋体" w:eastAsia="宋体" w:cs="宋体"/>
          <w:color w:val="auto"/>
          <w:sz w:val="24"/>
          <w:szCs w:val="24"/>
          <w:highlight w:val="none"/>
          <w:shd w:val="clear" w:color="auto" w:fill="auto"/>
        </w:rPr>
        <w:t>、监狱企业、残疾人福利性单位</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w:t>
      </w:r>
    </w:p>
    <w:p w14:paraId="204D9B7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jc w:val="both"/>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本项目的特定资格要求</w:t>
      </w:r>
      <w:r>
        <w:rPr>
          <w:rFonts w:hint="eastAsia" w:ascii="宋体" w:hAnsi="宋体" w:eastAsia="宋体" w:cs="宋体"/>
          <w:color w:val="auto"/>
          <w:sz w:val="24"/>
          <w:szCs w:val="24"/>
          <w:highlight w:val="none"/>
          <w:shd w:val="clear" w:color="auto" w:fill="auto"/>
          <w:lang w:eastAsia="zh-CN"/>
        </w:rPr>
        <w:t>：</w:t>
      </w:r>
    </w:p>
    <w:p w14:paraId="4009938B">
      <w:pPr>
        <w:pStyle w:val="14"/>
        <w:spacing w:beforeAutospacing="0" w:afterAutospacing="0" w:line="360" w:lineRule="auto"/>
        <w:ind w:firstLine="48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（1）投标人需提供有效的农业农村部颁发的所投产品的农药登记证（登记作物/场所须包含</w:t>
      </w:r>
      <w:r>
        <w:rPr>
          <w:rFonts w:hint="eastAsia" w:ascii="宋体" w:hAnsi="宋体" w:eastAsia="宋体" w:cs="宋体"/>
          <w:b/>
          <w:bCs/>
          <w:color w:val="auto"/>
          <w:sz w:val="24"/>
          <w:szCs w:val="24"/>
          <w:highlight w:val="none"/>
          <w:lang w:val="en-US" w:eastAsia="zh-CN"/>
        </w:rPr>
        <w:t>水稻</w:t>
      </w:r>
      <w:r>
        <w:rPr>
          <w:rFonts w:hint="eastAsia" w:ascii="宋体" w:hAnsi="宋体" w:eastAsia="宋体" w:cs="宋体"/>
          <w:b/>
          <w:bCs/>
          <w:color w:val="auto"/>
          <w:sz w:val="24"/>
          <w:szCs w:val="24"/>
          <w:highlight w:val="none"/>
        </w:rPr>
        <w:t>；防治对象须包含稻纵卷叶螟）。</w:t>
      </w:r>
    </w:p>
    <w:p w14:paraId="1452D2D8">
      <w:pPr>
        <w:pStyle w:val="14"/>
        <w:spacing w:beforeAutospacing="0" w:afterAutospacing="0" w:line="360" w:lineRule="auto"/>
        <w:ind w:firstLine="48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（2）投标人需提供有效的所投产品的生产许可证和企业标准证；</w:t>
      </w:r>
    </w:p>
    <w:p w14:paraId="7D1106EC">
      <w:pPr>
        <w:pStyle w:val="14"/>
        <w:spacing w:beforeAutospacing="0" w:afterAutospacing="0" w:line="360" w:lineRule="auto"/>
        <w:ind w:firstLine="48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（3）投标人需提供在有效期内农药经营许可证。</w:t>
      </w:r>
    </w:p>
    <w:p w14:paraId="32F0CB21">
      <w:pPr>
        <w:pStyle w:val="14"/>
        <w:keepNext/>
        <w:keepLines/>
        <w:spacing w:before="145" w:beforeAutospacing="0" w:after="145" w:afterAutospacing="0" w:line="360" w:lineRule="auto"/>
        <w:ind w:firstLine="498" w:firstLineChars="0"/>
        <w:jc w:val="both"/>
        <w:outlineLvl w:val="0"/>
        <w:rPr>
          <w:rFonts w:hint="eastAsia" w:ascii="宋体" w:hAnsi="宋体" w:eastAsia="宋体" w:cs="宋体"/>
          <w:color w:val="auto"/>
          <w:sz w:val="24"/>
          <w:szCs w:val="24"/>
          <w:highlight w:val="none"/>
          <w:shd w:val="clear" w:color="auto" w:fill="auto"/>
          <w:lang w:eastAsia="zh-CN"/>
        </w:rPr>
      </w:pPr>
      <w:bookmarkStart w:id="16" w:name="_Toc1380"/>
      <w:bookmarkStart w:id="17" w:name="_Toc32739"/>
      <w:r>
        <w:rPr>
          <w:rFonts w:hint="eastAsia" w:ascii="宋体" w:hAnsi="宋体" w:eastAsia="宋体" w:cs="宋体"/>
          <w:b/>
          <w:color w:val="auto"/>
          <w:sz w:val="24"/>
          <w:szCs w:val="24"/>
          <w:highlight w:val="none"/>
          <w:shd w:val="clear" w:color="auto" w:fill="auto"/>
        </w:rPr>
        <w:t>三、获取</w:t>
      </w:r>
      <w:bookmarkEnd w:id="16"/>
      <w:r>
        <w:rPr>
          <w:rFonts w:hint="eastAsia" w:ascii="宋体" w:hAnsi="宋体" w:eastAsia="宋体" w:cs="宋体"/>
          <w:b/>
          <w:color w:val="auto"/>
          <w:sz w:val="24"/>
          <w:szCs w:val="24"/>
          <w:highlight w:val="none"/>
          <w:shd w:val="clear" w:color="auto" w:fill="auto"/>
          <w:lang w:eastAsia="zh-CN"/>
        </w:rPr>
        <w:t>询价文件</w:t>
      </w:r>
      <w:bookmarkEnd w:id="17"/>
    </w:p>
    <w:p w14:paraId="1CD06B1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40"/>
        <w:jc w:val="both"/>
        <w:rPr>
          <w:rFonts w:hint="eastAsia" w:ascii="宋体" w:hAnsi="宋体" w:eastAsia="宋体" w:cs="宋体"/>
          <w:color w:val="auto"/>
          <w:sz w:val="24"/>
          <w:szCs w:val="24"/>
          <w:highlight w:val="none"/>
          <w:shd w:val="clear" w:color="auto" w:fill="auto"/>
        </w:rPr>
      </w:pPr>
      <w:bookmarkStart w:id="18" w:name="_Toc28359005"/>
      <w:bookmarkStart w:id="19" w:name="_Toc35393793"/>
      <w:bookmarkStart w:id="20" w:name="_Toc28359082"/>
      <w:bookmarkStart w:id="21" w:name="_Toc35393624"/>
      <w:bookmarkStart w:id="22" w:name="_Toc38985266"/>
      <w:r>
        <w:rPr>
          <w:rFonts w:hint="eastAsia" w:ascii="宋体" w:hAnsi="宋体" w:eastAsia="宋体" w:cs="宋体"/>
          <w:color w:val="auto"/>
          <w:sz w:val="24"/>
          <w:szCs w:val="24"/>
          <w:highlight w:val="none"/>
          <w:shd w:val="clear" w:color="auto" w:fill="auto"/>
        </w:rPr>
        <w:t>1.时间：</w:t>
      </w:r>
      <w:bookmarkEnd w:id="18"/>
      <w:bookmarkEnd w:id="19"/>
      <w:bookmarkEnd w:id="20"/>
      <w:bookmarkEnd w:id="21"/>
      <w:bookmarkEnd w:id="22"/>
      <w:r>
        <w:rPr>
          <w:rFonts w:hint="eastAsia" w:ascii="宋体" w:hAnsi="宋体" w:eastAsia="宋体" w:cs="宋体"/>
          <w:color w:val="auto"/>
          <w:sz w:val="24"/>
          <w:szCs w:val="24"/>
          <w:highlight w:val="none"/>
          <w:shd w:val="clear" w:color="auto" w:fill="auto"/>
        </w:rPr>
        <w:t>自</w:t>
      </w:r>
      <w:r>
        <w:rPr>
          <w:rFonts w:hint="eastAsia" w:ascii="宋体" w:hAnsi="宋体" w:eastAsia="宋体" w:cs="宋体"/>
          <w:color w:val="auto"/>
          <w:sz w:val="24"/>
          <w:szCs w:val="24"/>
          <w:highlight w:val="none"/>
          <w:shd w:val="clear" w:color="auto" w:fill="auto"/>
          <w:lang w:eastAsia="zh-CN"/>
        </w:rPr>
        <w:t>询价文件</w:t>
      </w:r>
      <w:r>
        <w:rPr>
          <w:rFonts w:hint="eastAsia" w:ascii="宋体" w:hAnsi="宋体" w:eastAsia="宋体" w:cs="宋体"/>
          <w:color w:val="auto"/>
          <w:sz w:val="24"/>
          <w:szCs w:val="24"/>
          <w:highlight w:val="none"/>
          <w:shd w:val="clear" w:color="auto" w:fill="auto"/>
        </w:rPr>
        <w:t>公告发布之日起</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个工作日 。</w:t>
      </w:r>
    </w:p>
    <w:p w14:paraId="3FE7E4A2">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2.地点：“苏采云”系统内免费下载（投标人必须在苏采云系统中获取采购文件，方能参与政府采购项目）；</w:t>
      </w:r>
    </w:p>
    <w:p w14:paraId="1CD7F0E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4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3.方式：本项目采用网上注册登记方式。 </w:t>
      </w:r>
    </w:p>
    <w:p w14:paraId="2707C1A2">
      <w:pPr>
        <w:widowControl/>
        <w:spacing w:line="360" w:lineRule="auto"/>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4.售价：0元</w:t>
      </w:r>
    </w:p>
    <w:p w14:paraId="5C0B4A98">
      <w:pPr>
        <w:pStyle w:val="14"/>
        <w:keepNext/>
        <w:keepLines/>
        <w:spacing w:before="145" w:beforeAutospacing="0" w:after="145" w:afterAutospacing="0" w:line="360" w:lineRule="auto"/>
        <w:ind w:firstLine="498" w:firstLineChars="0"/>
        <w:jc w:val="both"/>
        <w:outlineLvl w:val="0"/>
        <w:rPr>
          <w:rFonts w:hint="eastAsia" w:ascii="宋体" w:hAnsi="宋体" w:eastAsia="宋体" w:cs="宋体"/>
          <w:color w:val="auto"/>
          <w:sz w:val="24"/>
          <w:szCs w:val="24"/>
          <w:highlight w:val="none"/>
          <w:shd w:val="clear" w:color="auto" w:fill="auto"/>
        </w:rPr>
      </w:pPr>
      <w:bookmarkStart w:id="23" w:name="_Toc19702"/>
      <w:bookmarkStart w:id="24" w:name="_Toc2978"/>
      <w:r>
        <w:rPr>
          <w:rFonts w:hint="eastAsia" w:ascii="宋体" w:hAnsi="宋体" w:eastAsia="宋体" w:cs="宋体"/>
          <w:b/>
          <w:color w:val="auto"/>
          <w:sz w:val="24"/>
          <w:szCs w:val="24"/>
          <w:highlight w:val="none"/>
          <w:shd w:val="clear" w:color="auto" w:fill="auto"/>
        </w:rPr>
        <w:t>四、提交投标文件截止时间、开标时间和地点</w:t>
      </w:r>
      <w:bookmarkEnd w:id="23"/>
      <w:bookmarkEnd w:id="24"/>
    </w:p>
    <w:p w14:paraId="572AE98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4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1.时间：</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2025</w:t>
      </w:r>
      <w:r>
        <w:rPr>
          <w:rFonts w:hint="eastAsia" w:ascii="宋体" w:hAnsi="宋体" w:eastAsia="宋体" w:cs="宋体"/>
          <w:i w:val="0"/>
          <w:iCs w:val="0"/>
          <w:caps w:val="0"/>
          <w:color w:val="auto"/>
          <w:spacing w:val="0"/>
          <w:sz w:val="24"/>
          <w:szCs w:val="24"/>
          <w:highlight w:val="none"/>
          <w:u w:val="single"/>
          <w:shd w:val="clear" w:color="auto" w:fill="auto"/>
        </w:rPr>
        <w:t>年</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9</w:t>
      </w:r>
      <w:r>
        <w:rPr>
          <w:rFonts w:hint="eastAsia" w:ascii="宋体" w:hAnsi="宋体" w:eastAsia="宋体" w:cs="宋体"/>
          <w:i w:val="0"/>
          <w:iCs w:val="0"/>
          <w:caps w:val="0"/>
          <w:color w:val="auto"/>
          <w:spacing w:val="0"/>
          <w:sz w:val="24"/>
          <w:szCs w:val="24"/>
          <w:highlight w:val="none"/>
          <w:u w:val="single"/>
          <w:shd w:val="clear" w:color="auto" w:fill="auto"/>
        </w:rPr>
        <w:t>月</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15</w:t>
      </w:r>
      <w:r>
        <w:rPr>
          <w:rFonts w:hint="eastAsia" w:ascii="宋体" w:hAnsi="宋体" w:eastAsia="宋体" w:cs="宋体"/>
          <w:i w:val="0"/>
          <w:iCs w:val="0"/>
          <w:caps w:val="0"/>
          <w:color w:val="auto"/>
          <w:spacing w:val="0"/>
          <w:sz w:val="24"/>
          <w:szCs w:val="24"/>
          <w:highlight w:val="none"/>
          <w:u w:val="single"/>
          <w:shd w:val="clear" w:color="auto" w:fill="auto"/>
        </w:rPr>
        <w:t>日</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9：00</w:t>
      </w:r>
      <w:r>
        <w:rPr>
          <w:rFonts w:hint="eastAsia" w:ascii="宋体" w:hAnsi="宋体" w:eastAsia="宋体" w:cs="宋体"/>
          <w:color w:val="auto"/>
          <w:sz w:val="24"/>
          <w:szCs w:val="24"/>
          <w:highlight w:val="none"/>
          <w:shd w:val="clear" w:color="auto" w:fill="auto"/>
        </w:rPr>
        <w:t>（北京时间）</w:t>
      </w:r>
    </w:p>
    <w:p w14:paraId="077143D5">
      <w:pPr>
        <w:pStyle w:val="14"/>
        <w:spacing w:beforeAutospacing="0" w:afterAutospacing="0" w:line="360" w:lineRule="auto"/>
        <w:ind w:firstLine="480"/>
        <w:jc w:val="both"/>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 xml:space="preserve">2.地点：苏采云“不见面”开标大厅 </w:t>
      </w:r>
      <w:r>
        <w:rPr>
          <w:rFonts w:hint="eastAsia" w:ascii="宋体" w:hAnsi="宋体" w:eastAsia="宋体" w:cs="宋体"/>
          <w:color w:val="auto"/>
          <w:sz w:val="24"/>
          <w:szCs w:val="24"/>
          <w:highlight w:val="none"/>
          <w:shd w:val="clear" w:color="auto" w:fill="auto"/>
          <w:lang w:eastAsia="zh-CN"/>
        </w:rPr>
        <w:t>。</w:t>
      </w:r>
    </w:p>
    <w:p w14:paraId="4B81A46E">
      <w:pPr>
        <w:pStyle w:val="14"/>
        <w:keepNext/>
        <w:keepLines/>
        <w:spacing w:before="145" w:beforeAutospacing="0" w:after="145" w:afterAutospacing="0" w:line="360" w:lineRule="auto"/>
        <w:ind w:firstLine="498" w:firstLineChars="0"/>
        <w:jc w:val="both"/>
        <w:outlineLvl w:val="0"/>
        <w:rPr>
          <w:rFonts w:hint="eastAsia" w:ascii="宋体" w:hAnsi="宋体" w:eastAsia="宋体" w:cs="宋体"/>
          <w:color w:val="auto"/>
          <w:sz w:val="24"/>
          <w:szCs w:val="24"/>
          <w:highlight w:val="none"/>
        </w:rPr>
      </w:pPr>
      <w:bookmarkStart w:id="25" w:name="_Toc35393794"/>
      <w:bookmarkStart w:id="26" w:name="_Toc14324"/>
      <w:bookmarkStart w:id="27" w:name="_Toc28359084"/>
      <w:bookmarkStart w:id="28" w:name="_Toc35393625"/>
      <w:bookmarkStart w:id="29" w:name="_Toc38985267"/>
      <w:bookmarkStart w:id="30" w:name="_Toc11174"/>
      <w:bookmarkStart w:id="31" w:name="_Toc28359007"/>
      <w:r>
        <w:rPr>
          <w:rFonts w:hint="eastAsia" w:ascii="宋体" w:hAnsi="宋体" w:eastAsia="宋体" w:cs="宋体"/>
          <w:b/>
          <w:color w:val="auto"/>
          <w:sz w:val="24"/>
          <w:szCs w:val="24"/>
          <w:highlight w:val="none"/>
        </w:rPr>
        <w:t>五、公告期限</w:t>
      </w:r>
      <w:bookmarkEnd w:id="25"/>
      <w:bookmarkEnd w:id="26"/>
      <w:bookmarkEnd w:id="27"/>
      <w:bookmarkEnd w:id="28"/>
      <w:bookmarkEnd w:id="29"/>
      <w:bookmarkEnd w:id="30"/>
      <w:bookmarkEnd w:id="31"/>
    </w:p>
    <w:p w14:paraId="7C612B2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宋体" w:hAnsi="宋体" w:eastAsia="宋体" w:cs="宋体"/>
          <w:i w:val="0"/>
          <w:iCs w:val="0"/>
          <w:caps w:val="0"/>
          <w:color w:val="auto"/>
          <w:spacing w:val="0"/>
          <w:sz w:val="24"/>
          <w:szCs w:val="24"/>
          <w:highlight w:val="none"/>
          <w:shd w:val="clear" w:fill="FFFFFF"/>
          <w:lang w:val="en-US" w:eastAsia="zh-CN"/>
        </w:rPr>
      </w:pPr>
      <w:bookmarkStart w:id="32" w:name="_Toc38985268"/>
      <w:bookmarkStart w:id="33" w:name="_Toc35393795"/>
      <w:bookmarkStart w:id="34" w:name="_Toc35393626"/>
      <w:r>
        <w:rPr>
          <w:rFonts w:hint="eastAsia" w:ascii="宋体" w:hAnsi="宋体" w:eastAsia="宋体" w:cs="宋体"/>
          <w:i w:val="0"/>
          <w:iCs w:val="0"/>
          <w:caps w:val="0"/>
          <w:color w:val="auto"/>
          <w:spacing w:val="0"/>
          <w:sz w:val="24"/>
          <w:szCs w:val="24"/>
          <w:highlight w:val="none"/>
          <w:shd w:val="clear" w:fill="FFFFFF"/>
          <w:lang w:val="en-US" w:eastAsia="zh-CN"/>
        </w:rPr>
        <w:t>自本公告发布之日起3个工作日。</w:t>
      </w:r>
      <w:bookmarkEnd w:id="32"/>
      <w:bookmarkEnd w:id="33"/>
      <w:bookmarkEnd w:id="34"/>
    </w:p>
    <w:p w14:paraId="7A54455B">
      <w:pPr>
        <w:pStyle w:val="14"/>
        <w:keepNext/>
        <w:keepLines/>
        <w:spacing w:before="145" w:beforeAutospacing="0" w:after="145" w:afterAutospacing="0" w:line="360" w:lineRule="auto"/>
        <w:ind w:firstLine="498" w:firstLineChars="0"/>
        <w:jc w:val="both"/>
        <w:outlineLvl w:val="0"/>
        <w:rPr>
          <w:rFonts w:hint="eastAsia" w:ascii="宋体" w:hAnsi="宋体" w:eastAsia="宋体" w:cs="宋体"/>
          <w:color w:val="auto"/>
          <w:sz w:val="24"/>
          <w:szCs w:val="24"/>
          <w:highlight w:val="none"/>
        </w:rPr>
      </w:pPr>
      <w:bookmarkStart w:id="35" w:name="_Toc9862"/>
      <w:bookmarkStart w:id="36" w:name="_Toc32589"/>
      <w:r>
        <w:rPr>
          <w:rFonts w:hint="eastAsia" w:ascii="宋体" w:hAnsi="宋体" w:eastAsia="宋体" w:cs="宋体"/>
          <w:b/>
          <w:color w:val="auto"/>
          <w:sz w:val="24"/>
          <w:szCs w:val="24"/>
          <w:highlight w:val="none"/>
        </w:rPr>
        <w:t>六、其他补充事宜</w:t>
      </w:r>
      <w:bookmarkEnd w:id="35"/>
      <w:bookmarkEnd w:id="36"/>
    </w:p>
    <w:p w14:paraId="788D013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宋体" w:hAnsi="宋体" w:eastAsia="宋体" w:cs="宋体"/>
          <w:i w:val="0"/>
          <w:iCs w:val="0"/>
          <w:caps w:val="0"/>
          <w:color w:val="auto"/>
          <w:spacing w:val="0"/>
          <w:sz w:val="24"/>
          <w:szCs w:val="24"/>
          <w:highlight w:val="none"/>
          <w:shd w:val="clear" w:fill="FFFFFF"/>
          <w:lang w:val="en-US" w:eastAsia="zh-CN"/>
        </w:rPr>
      </w:pPr>
      <w:bookmarkStart w:id="37" w:name="_Toc28359018"/>
      <w:r>
        <w:rPr>
          <w:rFonts w:hint="eastAsia" w:ascii="宋体" w:hAnsi="宋体" w:eastAsia="宋体" w:cs="宋体"/>
          <w:i w:val="0"/>
          <w:iCs w:val="0"/>
          <w:caps w:val="0"/>
          <w:color w:val="auto"/>
          <w:spacing w:val="0"/>
          <w:sz w:val="24"/>
          <w:szCs w:val="24"/>
          <w:highlight w:val="none"/>
          <w:shd w:val="clear" w:fill="FFFFFF"/>
          <w:lang w:val="en-US" w:eastAsia="zh-CN"/>
        </w:rPr>
        <w:t>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在盐城市政府采购网点击【办事指南】-【供应商参与政府采购活动相关资料】。</w:t>
      </w:r>
    </w:p>
    <w:p w14:paraId="1365050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领取CA和办理电子签章（请至亭湖区政务服务中心二楼226窗口办理，联系电话：15051556883，办理邮箱：yancheng@ideabank.net.cn，具体联系方式见《苏采云系统供应商操作手册》（以下简称《操作手册》））、进行注册并按《操作手册》要求制作、上传电子投标文件,《苏采云系统供应商操作手册》：在盐城市政府采购网点击【办事指南】-【供应商参与政府采购活动相关资料】。</w:t>
      </w:r>
    </w:p>
    <w:p w14:paraId="5C04DD9E">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2.潜在供应商访问电子招标响应交易平台的网络地址和方法： </w:t>
      </w:r>
    </w:p>
    <w:p w14:paraId="636817E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2.1“苏采云”系统用户注册--获取“CA 数字证书”--CA 绑定与登录--参与投 标--下载采购文件（后缀名为“.kedt”）--将后缀名为“.kedt”的采购文件导入政府采购客户端工具--制作响应文件--导出加密的响应文件（后缀名为 zip）--通过“苏采云”系统上传响应文件。具体见《“苏采云”系统供应商操作手册》 （手册下载地址：苏采云系统-右侧消息通知栏）。 </w:t>
      </w:r>
    </w:p>
    <w:p w14:paraId="5A6F8EE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2.2 潜在投标人访问“苏采云”系统方法：江苏省政府采购网首页-“苏采云”链接。 </w:t>
      </w:r>
    </w:p>
    <w:p w14:paraId="0F939AD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 采购文件（后缀名为“.kedt”）、供应商操作手册及政府采购客户端 工具可通过“苏采云”系统相应链接进行下载。 </w:t>
      </w:r>
    </w:p>
    <w:p w14:paraId="70759E2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2.4 采购代理机构将数据电文形式的采购文件加载至“苏采云”系统，供潜在供应商下载或者查阅。 </w:t>
      </w:r>
    </w:p>
    <w:p w14:paraId="170CF67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2.5 请潜在投标单位提前安装相应的控件（详见《“苏采云”系统供应商操作手册》）并使用谷歌浏览器登录“苏采云”系统参与不见面开评标。 </w:t>
      </w:r>
    </w:p>
    <w:p w14:paraId="03109DF8">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如潜在投标人未按上述要求操作，将自行承担所产生的风险。</w:t>
      </w:r>
    </w:p>
    <w:p w14:paraId="6EE3D9D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宋体" w:hAnsi="宋体" w:eastAsia="宋体" w:cs="宋体"/>
          <w:i w:val="0"/>
          <w:iCs w:val="0"/>
          <w:caps w:val="0"/>
          <w:color w:val="auto"/>
          <w:spacing w:val="0"/>
          <w:sz w:val="24"/>
          <w:szCs w:val="24"/>
          <w:highlight w:val="none"/>
          <w:shd w:val="clear" w:fill="FFFFFF"/>
          <w:lang w:val="en-US" w:eastAsia="zh-CN"/>
        </w:rPr>
      </w:pPr>
    </w:p>
    <w:p w14:paraId="2FA944E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3.有关本次招标的事项若存在变动或修改，敬请及时关注盐城市政府代理机构在“</w:t>
      </w:r>
      <w:r>
        <w:rPr>
          <w:rFonts w:hint="eastAsia" w:ascii="宋体" w:hAnsi="宋体" w:eastAsia="宋体" w:cs="宋体"/>
          <w:color w:val="auto"/>
          <w:kern w:val="0"/>
          <w:sz w:val="24"/>
          <w:szCs w:val="24"/>
          <w:highlight w:val="none"/>
          <w:lang w:val="en-US" w:eastAsia="zh-CN" w:bidi="ar-SA"/>
        </w:rPr>
        <w:t>中国政府采购网”“</w:t>
      </w:r>
      <w:r>
        <w:rPr>
          <w:rFonts w:hint="eastAsia" w:ascii="宋体" w:hAnsi="宋体" w:eastAsia="宋体" w:cs="宋体"/>
          <w:i w:val="0"/>
          <w:iCs w:val="0"/>
          <w:caps w:val="0"/>
          <w:color w:val="auto"/>
          <w:spacing w:val="0"/>
          <w:sz w:val="24"/>
          <w:szCs w:val="24"/>
          <w:highlight w:val="none"/>
          <w:shd w:val="clear" w:fill="FFFFFF"/>
          <w:lang w:val="en-US" w:eastAsia="zh-CN"/>
        </w:rPr>
        <w:t>江苏政府采购网”“盐城市政府采购网”发布的更正公告。</w:t>
      </w:r>
    </w:p>
    <w:p w14:paraId="125CCBE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4.本次招标不收取投标保证金，不收取质量保证金。</w:t>
      </w:r>
    </w:p>
    <w:p w14:paraId="44A6E4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both"/>
        <w:outlineLvl w:val="0"/>
        <w:rPr>
          <w:rFonts w:hint="eastAsia" w:ascii="宋体" w:hAnsi="宋体" w:eastAsia="宋体" w:cs="宋体"/>
          <w:b w:val="0"/>
          <w:bCs w:val="0"/>
          <w:i w:val="0"/>
          <w:iCs w:val="0"/>
          <w:caps w:val="0"/>
          <w:color w:val="auto"/>
          <w:spacing w:val="0"/>
          <w:sz w:val="24"/>
          <w:szCs w:val="24"/>
          <w:highlight w:val="none"/>
        </w:rPr>
      </w:pPr>
      <w:bookmarkStart w:id="38" w:name="_Toc26619"/>
      <w:bookmarkStart w:id="39" w:name="_Toc30483"/>
      <w:r>
        <w:rPr>
          <w:rFonts w:hint="eastAsia" w:ascii="宋体" w:hAnsi="宋体" w:eastAsia="宋体" w:cs="宋体"/>
          <w:b w:val="0"/>
          <w:bCs w:val="0"/>
          <w:i w:val="0"/>
          <w:iCs w:val="0"/>
          <w:caps w:val="0"/>
          <w:color w:val="auto"/>
          <w:spacing w:val="0"/>
          <w:sz w:val="24"/>
          <w:szCs w:val="24"/>
          <w:highlight w:val="none"/>
          <w:u w:val="none"/>
          <w:shd w:val="clear" w:fill="FFFFFF"/>
          <w:lang w:val="en-US" w:eastAsia="zh-CN"/>
        </w:rPr>
        <w:t>七</w:t>
      </w:r>
      <w:r>
        <w:rPr>
          <w:rFonts w:hint="eastAsia" w:ascii="宋体" w:hAnsi="宋体" w:eastAsia="宋体" w:cs="宋体"/>
          <w:b w:val="0"/>
          <w:bCs w:val="0"/>
          <w:i w:val="0"/>
          <w:iCs w:val="0"/>
          <w:caps w:val="0"/>
          <w:color w:val="auto"/>
          <w:spacing w:val="0"/>
          <w:sz w:val="24"/>
          <w:szCs w:val="24"/>
          <w:highlight w:val="none"/>
          <w:u w:val="none"/>
          <w:shd w:val="clear" w:fill="FFFFFF"/>
        </w:rPr>
        <w:t>、对本次</w:t>
      </w:r>
      <w:r>
        <w:rPr>
          <w:rFonts w:hint="eastAsia" w:ascii="宋体" w:hAnsi="宋体" w:eastAsia="宋体" w:cs="宋体"/>
          <w:b w:val="0"/>
          <w:bCs w:val="0"/>
          <w:i w:val="0"/>
          <w:iCs w:val="0"/>
          <w:caps w:val="0"/>
          <w:color w:val="auto"/>
          <w:spacing w:val="0"/>
          <w:sz w:val="24"/>
          <w:szCs w:val="24"/>
          <w:highlight w:val="none"/>
          <w:u w:val="none"/>
          <w:shd w:val="clear" w:fill="FFFFFF"/>
          <w:lang w:val="en-US" w:eastAsia="zh-CN"/>
        </w:rPr>
        <w:t>招标</w:t>
      </w:r>
      <w:r>
        <w:rPr>
          <w:rFonts w:hint="eastAsia" w:ascii="宋体" w:hAnsi="宋体" w:eastAsia="宋体" w:cs="宋体"/>
          <w:b w:val="0"/>
          <w:bCs w:val="0"/>
          <w:i w:val="0"/>
          <w:iCs w:val="0"/>
          <w:caps w:val="0"/>
          <w:color w:val="auto"/>
          <w:spacing w:val="0"/>
          <w:sz w:val="24"/>
          <w:szCs w:val="24"/>
          <w:highlight w:val="none"/>
          <w:u w:val="none"/>
          <w:shd w:val="clear" w:fill="FFFFFF"/>
        </w:rPr>
        <w:t>提出询问，请按以下方式联系。</w:t>
      </w:r>
      <w:bookmarkEnd w:id="37"/>
      <w:bookmarkEnd w:id="38"/>
      <w:bookmarkEnd w:id="39"/>
    </w:p>
    <w:p w14:paraId="3F38297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560" w:firstLineChars="0"/>
        <w:jc w:val="both"/>
        <w:outlineLvl w:val="1"/>
        <w:rPr>
          <w:rFonts w:hint="eastAsia" w:ascii="宋体" w:hAnsi="宋体" w:eastAsia="宋体" w:cs="宋体"/>
          <w:i w:val="0"/>
          <w:iCs w:val="0"/>
          <w:caps w:val="0"/>
          <w:color w:val="auto"/>
          <w:spacing w:val="0"/>
          <w:sz w:val="24"/>
          <w:szCs w:val="24"/>
          <w:highlight w:val="none"/>
          <w:shd w:val="clear" w:fill="FFFFFF"/>
          <w:lang w:val="en-US" w:eastAsia="zh-CN"/>
        </w:rPr>
      </w:pPr>
      <w:bookmarkStart w:id="40" w:name="_Toc3093"/>
      <w:bookmarkStart w:id="41" w:name="_Toc10931"/>
      <w:r>
        <w:rPr>
          <w:rFonts w:hint="eastAsia" w:ascii="宋体" w:hAnsi="宋体" w:eastAsia="宋体" w:cs="宋体"/>
          <w:i w:val="0"/>
          <w:iCs w:val="0"/>
          <w:caps w:val="0"/>
          <w:color w:val="auto"/>
          <w:spacing w:val="0"/>
          <w:sz w:val="24"/>
          <w:szCs w:val="24"/>
          <w:highlight w:val="none"/>
          <w:shd w:val="clear" w:fill="FFFFFF"/>
          <w:lang w:val="en-US" w:eastAsia="zh-CN"/>
        </w:rPr>
        <w:t>1.采购人信息</w:t>
      </w:r>
      <w:bookmarkEnd w:id="40"/>
      <w:bookmarkEnd w:id="41"/>
    </w:p>
    <w:p w14:paraId="0A8837C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名 称：滨海县植物保护站  </w:t>
      </w:r>
    </w:p>
    <w:p w14:paraId="0F3C21E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地址：滨海县水务大厦18楼1806  </w:t>
      </w:r>
    </w:p>
    <w:p w14:paraId="0E897FC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联系人：刘华              </w:t>
      </w:r>
    </w:p>
    <w:p w14:paraId="22A81F9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联系方式：13914632115            </w:t>
      </w:r>
    </w:p>
    <w:p w14:paraId="4146E5A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560" w:firstLineChars="0"/>
        <w:jc w:val="both"/>
        <w:outlineLvl w:val="1"/>
        <w:rPr>
          <w:rFonts w:hint="eastAsia" w:ascii="宋体" w:hAnsi="宋体" w:eastAsia="宋体" w:cs="宋体"/>
          <w:i w:val="0"/>
          <w:iCs w:val="0"/>
          <w:caps w:val="0"/>
          <w:color w:val="auto"/>
          <w:spacing w:val="0"/>
          <w:sz w:val="24"/>
          <w:szCs w:val="24"/>
          <w:highlight w:val="none"/>
          <w:shd w:val="clear" w:fill="FFFFFF"/>
          <w:lang w:val="en-US" w:eastAsia="zh-CN"/>
        </w:rPr>
      </w:pPr>
      <w:bookmarkStart w:id="42" w:name="_Toc6785"/>
      <w:bookmarkStart w:id="43" w:name="_Toc368"/>
      <w:r>
        <w:rPr>
          <w:rFonts w:hint="eastAsia" w:ascii="宋体" w:hAnsi="宋体" w:eastAsia="宋体" w:cs="宋体"/>
          <w:i w:val="0"/>
          <w:iCs w:val="0"/>
          <w:caps w:val="0"/>
          <w:color w:val="auto"/>
          <w:spacing w:val="0"/>
          <w:sz w:val="24"/>
          <w:szCs w:val="24"/>
          <w:highlight w:val="none"/>
          <w:shd w:val="clear" w:fill="FFFFFF"/>
          <w:lang w:val="en-US" w:eastAsia="zh-CN"/>
        </w:rPr>
        <w:t>2.采购代理机构信息</w:t>
      </w:r>
      <w:bookmarkEnd w:id="42"/>
      <w:bookmarkEnd w:id="43"/>
    </w:p>
    <w:p w14:paraId="3DF7BE2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名 称：江苏易标工程项目管理有限公司</w:t>
      </w:r>
    </w:p>
    <w:p w14:paraId="79E4123E">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地 址： 盐城市大丰区大中街道大新村村委会三楼</w:t>
      </w:r>
    </w:p>
    <w:p w14:paraId="0EE6CC1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联系人：田婷                     </w:t>
      </w:r>
    </w:p>
    <w:p w14:paraId="05E06D6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联系方式：</w:t>
      </w:r>
      <w:bookmarkStart w:id="44" w:name="_Toc28359010"/>
      <w:bookmarkStart w:id="45" w:name="_Toc28359087"/>
      <w:r>
        <w:rPr>
          <w:rFonts w:hint="eastAsia" w:ascii="宋体" w:hAnsi="宋体" w:eastAsia="宋体" w:cs="宋体"/>
          <w:i w:val="0"/>
          <w:iCs w:val="0"/>
          <w:caps w:val="0"/>
          <w:color w:val="auto"/>
          <w:spacing w:val="0"/>
          <w:sz w:val="24"/>
          <w:szCs w:val="24"/>
          <w:highlight w:val="none"/>
          <w:shd w:val="clear" w:fill="FFFFFF"/>
          <w:lang w:val="en-US" w:eastAsia="zh-CN"/>
        </w:rPr>
        <w:t> 18761248393      </w:t>
      </w:r>
      <w:bookmarkEnd w:id="44"/>
      <w:bookmarkEnd w:id="45"/>
      <w:r>
        <w:rPr>
          <w:rFonts w:hint="eastAsia" w:ascii="宋体" w:hAnsi="宋体" w:eastAsia="宋体" w:cs="宋体"/>
          <w:i w:val="0"/>
          <w:iCs w:val="0"/>
          <w:caps w:val="0"/>
          <w:color w:val="auto"/>
          <w:spacing w:val="0"/>
          <w:sz w:val="24"/>
          <w:szCs w:val="24"/>
          <w:highlight w:val="none"/>
          <w:shd w:val="clear" w:fill="FFFFFF"/>
          <w:lang w:val="en-US" w:eastAsia="zh-CN"/>
        </w:rPr>
        <w:t xml:space="preserve">            </w:t>
      </w:r>
    </w:p>
    <w:p w14:paraId="2ACE43E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560" w:firstLineChars="0"/>
        <w:jc w:val="both"/>
        <w:outlineLvl w:val="1"/>
        <w:rPr>
          <w:rFonts w:hint="eastAsia" w:ascii="宋体" w:hAnsi="宋体" w:eastAsia="宋体" w:cs="宋体"/>
          <w:i w:val="0"/>
          <w:iCs w:val="0"/>
          <w:caps w:val="0"/>
          <w:color w:val="auto"/>
          <w:spacing w:val="0"/>
          <w:sz w:val="24"/>
          <w:szCs w:val="24"/>
          <w:highlight w:val="none"/>
          <w:shd w:val="clear" w:fill="FFFFFF"/>
          <w:lang w:val="en-US" w:eastAsia="zh-CN"/>
        </w:rPr>
      </w:pPr>
      <w:bookmarkStart w:id="46" w:name="_Toc28359021"/>
      <w:bookmarkStart w:id="47" w:name="_Toc8443"/>
      <w:bookmarkStart w:id="48" w:name="_Toc8853"/>
      <w:r>
        <w:rPr>
          <w:rFonts w:hint="eastAsia" w:ascii="宋体" w:hAnsi="宋体" w:eastAsia="宋体" w:cs="宋体"/>
          <w:i w:val="0"/>
          <w:iCs w:val="0"/>
          <w:caps w:val="0"/>
          <w:color w:val="auto"/>
          <w:spacing w:val="0"/>
          <w:sz w:val="24"/>
          <w:szCs w:val="24"/>
          <w:highlight w:val="none"/>
          <w:shd w:val="clear" w:fill="FFFFFF"/>
          <w:lang w:val="en-US" w:eastAsia="zh-CN"/>
        </w:rPr>
        <w:t>3.</w:t>
      </w:r>
      <w:bookmarkEnd w:id="46"/>
      <w:r>
        <w:rPr>
          <w:rFonts w:hint="eastAsia" w:ascii="宋体" w:hAnsi="宋体" w:eastAsia="宋体" w:cs="宋体"/>
          <w:i w:val="0"/>
          <w:iCs w:val="0"/>
          <w:caps w:val="0"/>
          <w:color w:val="auto"/>
          <w:spacing w:val="0"/>
          <w:sz w:val="24"/>
          <w:szCs w:val="24"/>
          <w:highlight w:val="none"/>
          <w:shd w:val="clear" w:fill="FFFFFF"/>
          <w:lang w:val="en-US" w:eastAsia="zh-CN"/>
        </w:rPr>
        <w:t>项目联系方式</w:t>
      </w:r>
      <w:bookmarkEnd w:id="47"/>
      <w:bookmarkEnd w:id="48"/>
    </w:p>
    <w:p w14:paraId="3AA0049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项目联系人：刘华</w:t>
      </w:r>
    </w:p>
    <w:p w14:paraId="11CEABD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电　　 话：13914632115　　　　　　　　　　　　</w:t>
      </w:r>
    </w:p>
    <w:p w14:paraId="3067DD5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49AC74DB">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bookmarkStart w:id="49" w:name="_Toc120614211"/>
    </w:p>
    <w:p w14:paraId="61EAED5C">
      <w:pPr>
        <w:pStyle w:val="14"/>
        <w:keepNext/>
        <w:keepLines/>
        <w:spacing w:before="260" w:beforeAutospacing="0" w:after="260" w:afterAutospacing="0" w:line="415" w:lineRule="auto"/>
        <w:ind w:firstLine="2429" w:firstLineChars="0"/>
        <w:jc w:val="both"/>
        <w:outlineLvl w:val="0"/>
        <w:rPr>
          <w:color w:val="auto"/>
          <w:highlight w:val="none"/>
        </w:rPr>
      </w:pPr>
      <w:bookmarkStart w:id="50" w:name="_Toc23878"/>
      <w:r>
        <w:rPr>
          <w:rFonts w:hint="eastAsia" w:ascii="黑体" w:hAnsi="宋体" w:eastAsia="黑体" w:cs="黑体"/>
          <w:b/>
          <w:color w:val="auto"/>
          <w:sz w:val="44"/>
          <w:szCs w:val="44"/>
          <w:highlight w:val="none"/>
        </w:rPr>
        <w:t xml:space="preserve">第二章  </w:t>
      </w:r>
      <w:bookmarkEnd w:id="49"/>
      <w:bookmarkStart w:id="51" w:name="_Toc120614213"/>
      <w:bookmarkStart w:id="52" w:name="_Toc16938518"/>
      <w:bookmarkStart w:id="53" w:name="_Toc20823274"/>
      <w:bookmarkStart w:id="54" w:name="_Toc513029202"/>
      <w:r>
        <w:rPr>
          <w:rFonts w:hint="eastAsia" w:ascii="黑体" w:hAnsi="宋体" w:eastAsia="黑体" w:cs="黑体"/>
          <w:b/>
          <w:color w:val="auto"/>
          <w:sz w:val="44"/>
          <w:szCs w:val="44"/>
          <w:highlight w:val="none"/>
        </w:rPr>
        <w:t>投标人须知</w:t>
      </w:r>
      <w:bookmarkEnd w:id="50"/>
      <w:bookmarkEnd w:id="51"/>
      <w:bookmarkEnd w:id="52"/>
      <w:bookmarkEnd w:id="53"/>
      <w:bookmarkEnd w:id="54"/>
    </w:p>
    <w:p w14:paraId="62BC1E70">
      <w:pPr>
        <w:pStyle w:val="14"/>
        <w:keepNext/>
        <w:keepLines/>
        <w:spacing w:before="145" w:beforeAutospacing="0" w:after="145" w:afterAutospacing="0" w:line="360" w:lineRule="auto"/>
        <w:ind w:firstLine="498" w:firstLineChars="0"/>
        <w:jc w:val="both"/>
        <w:outlineLvl w:val="0"/>
        <w:rPr>
          <w:rFonts w:hint="eastAsia" w:ascii="宋体" w:hAnsi="宋体" w:eastAsia="宋体" w:cs="宋体"/>
          <w:color w:val="auto"/>
          <w:sz w:val="24"/>
          <w:szCs w:val="24"/>
          <w:highlight w:val="none"/>
        </w:rPr>
      </w:pPr>
      <w:bookmarkStart w:id="55" w:name="_Toc16637"/>
      <w:bookmarkStart w:id="56" w:name="_Toc16938519"/>
      <w:bookmarkStart w:id="57" w:name="_Toc513029203"/>
      <w:bookmarkStart w:id="58" w:name="_Toc120614214"/>
      <w:bookmarkStart w:id="59" w:name="_Toc11677"/>
      <w:bookmarkStart w:id="60" w:name="_Toc20823275"/>
      <w:r>
        <w:rPr>
          <w:rFonts w:hint="eastAsia" w:ascii="宋体" w:hAnsi="宋体" w:eastAsia="宋体" w:cs="宋体"/>
          <w:b/>
          <w:color w:val="auto"/>
          <w:sz w:val="24"/>
          <w:szCs w:val="24"/>
          <w:highlight w:val="none"/>
        </w:rPr>
        <w:t>一、总则</w:t>
      </w:r>
      <w:bookmarkEnd w:id="55"/>
      <w:bookmarkEnd w:id="56"/>
      <w:bookmarkEnd w:id="57"/>
      <w:bookmarkEnd w:id="58"/>
      <w:bookmarkEnd w:id="59"/>
      <w:bookmarkEnd w:id="60"/>
    </w:p>
    <w:p w14:paraId="44FB9187">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61" w:name="_Toc20823276"/>
      <w:bookmarkStart w:id="62" w:name="_Toc4040"/>
      <w:bookmarkStart w:id="63" w:name="_Toc513029204"/>
      <w:bookmarkStart w:id="64" w:name="_Toc16938520"/>
      <w:bookmarkStart w:id="65" w:name="_Toc22195"/>
      <w:bookmarkStart w:id="66" w:name="_Toc458694821"/>
      <w:bookmarkStart w:id="67" w:name="_Hlt16619475"/>
      <w:r>
        <w:rPr>
          <w:rFonts w:hint="eastAsia" w:ascii="宋体" w:hAnsi="宋体" w:eastAsia="宋体" w:cs="宋体"/>
          <w:color w:val="auto"/>
          <w:sz w:val="24"/>
          <w:szCs w:val="24"/>
          <w:highlight w:val="none"/>
        </w:rPr>
        <w:t>1</w:t>
      </w:r>
      <w:bookmarkEnd w:id="61"/>
      <w:r>
        <w:rPr>
          <w:rFonts w:hint="eastAsia" w:ascii="宋体" w:hAnsi="宋体" w:eastAsia="宋体" w:cs="宋体"/>
          <w:color w:val="auto"/>
          <w:sz w:val="24"/>
          <w:szCs w:val="24"/>
          <w:highlight w:val="none"/>
        </w:rPr>
        <w:t>、招标方式</w:t>
      </w:r>
      <w:bookmarkEnd w:id="62"/>
      <w:bookmarkEnd w:id="63"/>
      <w:bookmarkEnd w:id="64"/>
      <w:bookmarkEnd w:id="65"/>
      <w:bookmarkEnd w:id="66"/>
    </w:p>
    <w:p w14:paraId="4D5B8CAB">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本次招标采取公开招标方式，本</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仅适用于</w:t>
      </w:r>
      <w:r>
        <w:rPr>
          <w:rFonts w:hint="eastAsia" w:ascii="宋体" w:hAnsi="宋体" w:eastAsia="宋体" w:cs="宋体"/>
          <w:color w:val="auto"/>
          <w:sz w:val="24"/>
          <w:szCs w:val="24"/>
          <w:highlight w:val="none"/>
          <w:lang w:eastAsia="zh-CN"/>
        </w:rPr>
        <w:t>询价公告</w:t>
      </w:r>
      <w:r>
        <w:rPr>
          <w:rFonts w:hint="eastAsia" w:ascii="宋体" w:hAnsi="宋体" w:eastAsia="宋体" w:cs="宋体"/>
          <w:color w:val="auto"/>
          <w:sz w:val="24"/>
          <w:szCs w:val="24"/>
          <w:highlight w:val="none"/>
        </w:rPr>
        <w:t>中所述项目。</w:t>
      </w:r>
    </w:p>
    <w:p w14:paraId="42700208">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68" w:name="_Toc29451"/>
      <w:bookmarkStart w:id="69" w:name="_Toc513029205"/>
      <w:bookmarkStart w:id="70" w:name="_Toc16938521"/>
      <w:bookmarkStart w:id="71" w:name="_Toc20823277"/>
      <w:bookmarkStart w:id="72" w:name="_Toc12901"/>
      <w:r>
        <w:rPr>
          <w:rFonts w:hint="eastAsia" w:ascii="宋体" w:hAnsi="宋体" w:eastAsia="宋体" w:cs="宋体"/>
          <w:color w:val="auto"/>
          <w:sz w:val="24"/>
          <w:szCs w:val="24"/>
          <w:highlight w:val="none"/>
        </w:rPr>
        <w:t>2、合格的投标人</w:t>
      </w:r>
      <w:bookmarkEnd w:id="68"/>
      <w:bookmarkEnd w:id="69"/>
      <w:bookmarkEnd w:id="70"/>
      <w:bookmarkEnd w:id="71"/>
      <w:bookmarkEnd w:id="72"/>
    </w:p>
    <w:p w14:paraId="1555F18C">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2.1满足</w:t>
      </w:r>
      <w:r>
        <w:rPr>
          <w:rFonts w:hint="eastAsia" w:ascii="宋体" w:hAnsi="宋体" w:eastAsia="宋体" w:cs="宋体"/>
          <w:color w:val="auto"/>
          <w:sz w:val="24"/>
          <w:szCs w:val="24"/>
          <w:highlight w:val="none"/>
          <w:lang w:eastAsia="zh-CN"/>
        </w:rPr>
        <w:t>询价公告</w:t>
      </w:r>
      <w:r>
        <w:rPr>
          <w:rFonts w:hint="eastAsia" w:ascii="宋体" w:hAnsi="宋体" w:eastAsia="宋体" w:cs="宋体"/>
          <w:color w:val="auto"/>
          <w:sz w:val="24"/>
          <w:szCs w:val="24"/>
          <w:highlight w:val="none"/>
        </w:rPr>
        <w:t>中供应商的资格要求的规定。</w:t>
      </w:r>
    </w:p>
    <w:p w14:paraId="20D83CFC">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满足本文件实质性要求和条件的规定。</w:t>
      </w:r>
    </w:p>
    <w:p w14:paraId="53A94765">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73" w:name="_Toc20823278"/>
      <w:bookmarkStart w:id="74" w:name="_Toc26406"/>
      <w:bookmarkStart w:id="75" w:name="_Toc513029206"/>
      <w:bookmarkStart w:id="76" w:name="_Toc16938522"/>
      <w:bookmarkStart w:id="77" w:name="_Toc23366"/>
      <w:r>
        <w:rPr>
          <w:rFonts w:hint="eastAsia" w:ascii="宋体" w:hAnsi="宋体" w:eastAsia="宋体" w:cs="宋体"/>
          <w:color w:val="auto"/>
          <w:sz w:val="24"/>
          <w:szCs w:val="24"/>
          <w:highlight w:val="none"/>
        </w:rPr>
        <w:t>3、适用法律</w:t>
      </w:r>
      <w:bookmarkEnd w:id="73"/>
      <w:bookmarkEnd w:id="74"/>
      <w:bookmarkEnd w:id="75"/>
      <w:bookmarkEnd w:id="76"/>
      <w:bookmarkEnd w:id="77"/>
    </w:p>
    <w:p w14:paraId="00F420D2">
      <w:pPr>
        <w:pStyle w:val="14"/>
        <w:spacing w:beforeAutospacing="0" w:afterAutospacing="0"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本次招标及由此产生的合同受中华人民共和国有关的法律法规制约和保护。</w:t>
      </w:r>
    </w:p>
    <w:p w14:paraId="40AEBF59">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78" w:name="_Toc20823279"/>
      <w:bookmarkStart w:id="79" w:name="_Toc10685"/>
      <w:bookmarkStart w:id="80" w:name="_Toc462564067"/>
      <w:bookmarkStart w:id="81" w:name="_Toc19272"/>
      <w:bookmarkStart w:id="82" w:name="_Toc513029207"/>
      <w:bookmarkStart w:id="83" w:name="_Toc16938523"/>
      <w:r>
        <w:rPr>
          <w:rFonts w:hint="eastAsia" w:ascii="宋体" w:hAnsi="宋体" w:eastAsia="宋体" w:cs="宋体"/>
          <w:color w:val="auto"/>
          <w:sz w:val="24"/>
          <w:szCs w:val="24"/>
          <w:highlight w:val="none"/>
        </w:rPr>
        <w:t>4、投标费用</w:t>
      </w:r>
      <w:bookmarkEnd w:id="78"/>
      <w:bookmarkEnd w:id="79"/>
      <w:bookmarkEnd w:id="80"/>
      <w:bookmarkEnd w:id="81"/>
      <w:bookmarkEnd w:id="82"/>
      <w:bookmarkEnd w:id="83"/>
    </w:p>
    <w:p w14:paraId="27AEA6DE">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投标人应自行承担所有与参加投标有关的费用，无论投标过程中的做法和结果如何，</w:t>
      </w:r>
      <w:r>
        <w:rPr>
          <w:rFonts w:hint="eastAsia" w:ascii="宋体" w:hAnsi="宋体" w:eastAsia="宋体" w:cs="宋体"/>
          <w:color w:val="auto"/>
          <w:sz w:val="24"/>
          <w:szCs w:val="24"/>
          <w:highlight w:val="none"/>
          <w:lang w:val="en-US" w:eastAsia="zh-CN"/>
        </w:rPr>
        <w:t>代理机构</w:t>
      </w:r>
      <w:r>
        <w:rPr>
          <w:rFonts w:hint="eastAsia" w:ascii="宋体" w:hAnsi="宋体" w:eastAsia="宋体" w:cs="宋体"/>
          <w:color w:val="auto"/>
          <w:sz w:val="24"/>
          <w:szCs w:val="24"/>
          <w:highlight w:val="none"/>
        </w:rPr>
        <w:t>在任何情况下均无义务和责任承担这些费用。</w:t>
      </w:r>
    </w:p>
    <w:p w14:paraId="380CDF64">
      <w:pPr>
        <w:pStyle w:val="14"/>
        <w:widowControl w:val="0"/>
        <w:spacing w:before="0" w:beforeAutospacing="0" w:after="0" w:afterAutospacing="0" w:line="360" w:lineRule="auto"/>
        <w:ind w:firstLine="480"/>
        <w:jc w:val="both"/>
        <w:rPr>
          <w:rFonts w:hint="eastAsia"/>
          <w:color w:val="auto"/>
          <w:highlight w:val="none"/>
        </w:rPr>
      </w:pPr>
      <w:r>
        <w:rPr>
          <w:rFonts w:hint="eastAsia" w:ascii="宋体" w:hAnsi="宋体" w:eastAsia="宋体" w:cs="宋体"/>
          <w:color w:val="auto"/>
          <w:sz w:val="24"/>
          <w:szCs w:val="24"/>
          <w:highlight w:val="none"/>
        </w:rPr>
        <w:t>4.2本次招标</w:t>
      </w:r>
      <w:r>
        <w:rPr>
          <w:rFonts w:hint="eastAsia"/>
          <w:color w:val="auto"/>
          <w:highlight w:val="none"/>
        </w:rPr>
        <w:t>代理机构将按</w:t>
      </w:r>
      <w:r>
        <w:rPr>
          <w:rFonts w:hint="eastAsia"/>
          <w:b/>
          <w:bCs/>
          <w:color w:val="auto"/>
          <w:highlight w:val="none"/>
          <w:u w:val="single"/>
          <w:lang w:val="en-US" w:eastAsia="zh-CN"/>
        </w:rPr>
        <w:t>玖仟元整</w:t>
      </w:r>
      <w:r>
        <w:rPr>
          <w:rFonts w:hint="eastAsia"/>
          <w:color w:val="auto"/>
          <w:highlight w:val="none"/>
        </w:rPr>
        <w:t>向成交供应商收取服务费用，由成交供应商在开取成交通知书前一次性支付。</w:t>
      </w:r>
    </w:p>
    <w:p w14:paraId="2E3FB307">
      <w:pPr>
        <w:pStyle w:val="14"/>
        <w:keepNext/>
        <w:keepLines/>
        <w:spacing w:beforeAutospacing="0" w:afterAutospacing="0" w:line="360" w:lineRule="auto"/>
        <w:ind w:firstLine="602" w:firstLineChars="0"/>
        <w:jc w:val="both"/>
        <w:outlineLvl w:val="1"/>
        <w:rPr>
          <w:rFonts w:hint="eastAsia" w:ascii="宋体" w:hAnsi="宋体" w:eastAsia="宋体" w:cs="宋体"/>
          <w:color w:val="auto"/>
          <w:sz w:val="24"/>
          <w:szCs w:val="24"/>
          <w:highlight w:val="none"/>
        </w:rPr>
      </w:pPr>
      <w:bookmarkStart w:id="84" w:name="_Toc20254"/>
      <w:bookmarkStart w:id="85" w:name="_Toc11283"/>
      <w:r>
        <w:rPr>
          <w:rFonts w:hint="eastAsia" w:ascii="宋体" w:hAnsi="宋体" w:eastAsia="宋体" w:cs="宋体"/>
          <w:b/>
          <w:color w:val="auto"/>
          <w:sz w:val="24"/>
          <w:szCs w:val="24"/>
          <w:highlight w:val="none"/>
        </w:rPr>
        <w:t>5、</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的约束力</w:t>
      </w:r>
      <w:bookmarkEnd w:id="84"/>
      <w:bookmarkEnd w:id="85"/>
    </w:p>
    <w:p w14:paraId="5F4AAD3A">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投标人一旦参加本项目采购活动，即被认为接受了本</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的规定和约束。</w:t>
      </w:r>
    </w:p>
    <w:p w14:paraId="07B38712">
      <w:pPr>
        <w:pStyle w:val="14"/>
        <w:keepNext/>
        <w:keepLines/>
        <w:spacing w:before="145" w:beforeAutospacing="0" w:after="145" w:afterAutospacing="0" w:line="360" w:lineRule="auto"/>
        <w:ind w:firstLine="321" w:firstLineChars="0"/>
        <w:jc w:val="both"/>
        <w:outlineLvl w:val="0"/>
        <w:rPr>
          <w:rFonts w:hint="eastAsia" w:ascii="宋体" w:hAnsi="宋体" w:eastAsia="宋体" w:cs="宋体"/>
          <w:color w:val="auto"/>
          <w:sz w:val="24"/>
          <w:szCs w:val="24"/>
          <w:highlight w:val="none"/>
          <w:lang w:eastAsia="zh-CN"/>
        </w:rPr>
      </w:pPr>
      <w:bookmarkStart w:id="86" w:name="_Toc513029209"/>
      <w:bookmarkStart w:id="87" w:name="_Toc120614215"/>
      <w:bookmarkStart w:id="88" w:name="_Toc16938525"/>
      <w:bookmarkStart w:id="89" w:name="_Toc4689"/>
      <w:bookmarkStart w:id="90" w:name="_Toc20823281"/>
      <w:bookmarkStart w:id="91" w:name="_Toc19612"/>
      <w:r>
        <w:rPr>
          <w:rFonts w:hint="eastAsia" w:ascii="宋体" w:hAnsi="宋体" w:eastAsia="宋体" w:cs="宋体"/>
          <w:b/>
          <w:color w:val="auto"/>
          <w:sz w:val="24"/>
          <w:szCs w:val="24"/>
          <w:highlight w:val="none"/>
        </w:rPr>
        <w:t>二、</w:t>
      </w:r>
      <w:bookmarkEnd w:id="86"/>
      <w:bookmarkEnd w:id="87"/>
      <w:bookmarkEnd w:id="88"/>
      <w:bookmarkEnd w:id="89"/>
      <w:bookmarkEnd w:id="90"/>
      <w:r>
        <w:rPr>
          <w:rFonts w:hint="eastAsia" w:ascii="宋体" w:hAnsi="宋体" w:eastAsia="宋体" w:cs="宋体"/>
          <w:b/>
          <w:color w:val="auto"/>
          <w:sz w:val="24"/>
          <w:szCs w:val="24"/>
          <w:highlight w:val="none"/>
          <w:lang w:eastAsia="zh-CN"/>
        </w:rPr>
        <w:t>询价文件</w:t>
      </w:r>
      <w:bookmarkEnd w:id="91"/>
    </w:p>
    <w:p w14:paraId="2F83F8F5">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92" w:name="_Toc20823282"/>
      <w:bookmarkStart w:id="93" w:name="_Toc13447"/>
      <w:bookmarkStart w:id="94" w:name="_Toc16938526"/>
      <w:bookmarkStart w:id="95" w:name="_Toc513029210"/>
      <w:bookmarkStart w:id="96" w:name="_Toc11281"/>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构成</w:t>
      </w:r>
      <w:bookmarkEnd w:id="92"/>
      <w:bookmarkEnd w:id="93"/>
      <w:bookmarkEnd w:id="94"/>
      <w:bookmarkEnd w:id="95"/>
      <w:bookmarkEnd w:id="96"/>
    </w:p>
    <w:p w14:paraId="09D59A21">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由以下部分组成：</w:t>
      </w:r>
    </w:p>
    <w:p w14:paraId="64B74B03">
      <w:pPr>
        <w:pStyle w:val="14"/>
        <w:spacing w:beforeAutospacing="0" w:afterAutospacing="0" w:line="360" w:lineRule="auto"/>
        <w:ind w:firstLine="3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询价公告</w:t>
      </w:r>
    </w:p>
    <w:p w14:paraId="6989F30C">
      <w:pPr>
        <w:pStyle w:val="14"/>
        <w:spacing w:beforeAutospacing="0" w:afterAutospacing="0" w:line="360" w:lineRule="auto"/>
        <w:ind w:firstLine="3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14:paraId="6605AC45">
      <w:pPr>
        <w:pStyle w:val="14"/>
        <w:spacing w:beforeAutospacing="0" w:afterAutospacing="0" w:line="360" w:lineRule="auto"/>
        <w:ind w:firstLine="3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（3）合同文本</w:t>
      </w:r>
    </w:p>
    <w:p w14:paraId="769C3F08">
      <w:pPr>
        <w:pStyle w:val="14"/>
        <w:spacing w:beforeAutospacing="0" w:afterAutospacing="0" w:line="360" w:lineRule="auto"/>
        <w:ind w:firstLine="3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（4）采购需求</w:t>
      </w:r>
    </w:p>
    <w:p w14:paraId="4607D885">
      <w:pPr>
        <w:pStyle w:val="14"/>
        <w:spacing w:beforeAutospacing="0" w:afterAutospacing="0" w:line="360" w:lineRule="auto"/>
        <w:ind w:firstLine="3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（5）评标方法与评标标准</w:t>
      </w:r>
    </w:p>
    <w:p w14:paraId="740ADAA9">
      <w:pPr>
        <w:pStyle w:val="14"/>
        <w:spacing w:beforeAutospacing="0" w:afterAutospacing="0" w:line="360" w:lineRule="auto"/>
        <w:ind w:firstLine="3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6BE2BA9F">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请仔细检查</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是否齐全，如有缺漏请立即与</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联系解决。</w:t>
      </w:r>
    </w:p>
    <w:p w14:paraId="48D5BE93">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投标人应认真阅读</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中所有的事项、格式、条款和规范等要求。按</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要求和规定编制投标文件，并保证所提供的全部资料的真实性，以使其投标文件对</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作出实质性响应，否则其风险由投标人自行承担。</w:t>
      </w:r>
    </w:p>
    <w:p w14:paraId="6917CDD9">
      <w:pPr>
        <w:pStyle w:val="14"/>
        <w:keepNext/>
        <w:keepLines/>
        <w:spacing w:beforeAutospacing="0" w:afterAutospacing="0" w:line="360" w:lineRule="auto"/>
        <w:ind w:firstLine="560" w:firstLineChars="0"/>
        <w:jc w:val="both"/>
        <w:outlineLvl w:val="1"/>
        <w:rPr>
          <w:rFonts w:hint="eastAsia" w:ascii="宋体" w:hAnsi="宋体" w:eastAsia="宋体" w:cs="宋体"/>
          <w:color w:val="auto"/>
          <w:sz w:val="24"/>
          <w:szCs w:val="24"/>
          <w:highlight w:val="none"/>
        </w:rPr>
      </w:pPr>
      <w:bookmarkStart w:id="97" w:name="_Toc462564070"/>
      <w:bookmarkStart w:id="98" w:name="_Toc14593"/>
      <w:bookmarkStart w:id="99" w:name="_Toc16938527"/>
      <w:bookmarkStart w:id="100" w:name="_Toc20823283"/>
      <w:bookmarkStart w:id="101" w:name="_Toc27922"/>
      <w:bookmarkStart w:id="102" w:name="_Toc513029211"/>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的澄清</w:t>
      </w:r>
      <w:bookmarkEnd w:id="97"/>
      <w:bookmarkEnd w:id="98"/>
      <w:bookmarkEnd w:id="99"/>
      <w:bookmarkEnd w:id="100"/>
      <w:bookmarkEnd w:id="101"/>
      <w:bookmarkEnd w:id="102"/>
    </w:p>
    <w:p w14:paraId="22F4087B">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任何要求对</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进行澄清的投标人，应在投标截止期</w:t>
      </w:r>
      <w:r>
        <w:rPr>
          <w:rFonts w:hint="eastAsia" w:ascii="宋体" w:hAnsi="宋体" w:eastAsia="宋体" w:cs="宋体"/>
          <w:b/>
          <w:color w:val="auto"/>
          <w:sz w:val="24"/>
          <w:szCs w:val="24"/>
          <w:highlight w:val="none"/>
        </w:rPr>
        <w:t>十日</w:t>
      </w:r>
      <w:r>
        <w:rPr>
          <w:rFonts w:hint="eastAsia" w:ascii="宋体" w:hAnsi="宋体" w:eastAsia="宋体" w:cs="宋体"/>
          <w:color w:val="auto"/>
          <w:sz w:val="24"/>
          <w:szCs w:val="24"/>
          <w:highlight w:val="none"/>
        </w:rPr>
        <w:t>前按</w:t>
      </w:r>
      <w:r>
        <w:rPr>
          <w:rFonts w:hint="eastAsia" w:ascii="宋体" w:hAnsi="宋体" w:eastAsia="宋体" w:cs="宋体"/>
          <w:color w:val="auto"/>
          <w:sz w:val="24"/>
          <w:szCs w:val="24"/>
          <w:highlight w:val="none"/>
          <w:lang w:eastAsia="zh-CN"/>
        </w:rPr>
        <w:t>询价公告</w:t>
      </w:r>
      <w:r>
        <w:rPr>
          <w:rFonts w:hint="eastAsia" w:ascii="宋体" w:hAnsi="宋体" w:eastAsia="宋体" w:cs="宋体"/>
          <w:color w:val="auto"/>
          <w:sz w:val="24"/>
          <w:szCs w:val="24"/>
          <w:highlight w:val="none"/>
        </w:rPr>
        <w:t>中的通讯地址，以书面形式通知</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w:t>
      </w:r>
    </w:p>
    <w:p w14:paraId="20CF7084">
      <w:pPr>
        <w:pStyle w:val="14"/>
        <w:keepNext/>
        <w:keepLines/>
        <w:spacing w:beforeAutospacing="0" w:afterAutospacing="0" w:line="360" w:lineRule="auto"/>
        <w:ind w:firstLine="560" w:firstLineChars="0"/>
        <w:jc w:val="both"/>
        <w:outlineLvl w:val="1"/>
        <w:rPr>
          <w:rFonts w:hint="eastAsia" w:ascii="宋体" w:hAnsi="宋体" w:eastAsia="宋体" w:cs="宋体"/>
          <w:color w:val="auto"/>
          <w:sz w:val="24"/>
          <w:szCs w:val="24"/>
          <w:highlight w:val="none"/>
        </w:rPr>
      </w:pPr>
      <w:bookmarkStart w:id="103" w:name="_Toc16938528"/>
      <w:bookmarkStart w:id="104" w:name="_Toc27762"/>
      <w:bookmarkStart w:id="105" w:name="_Toc20823284"/>
      <w:bookmarkStart w:id="106" w:name="_Toc5730"/>
      <w:bookmarkStart w:id="107" w:name="_Toc513029212"/>
      <w:bookmarkStart w:id="108" w:name="_Toc462564071"/>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的修改</w:t>
      </w:r>
      <w:bookmarkEnd w:id="103"/>
      <w:bookmarkEnd w:id="104"/>
      <w:bookmarkEnd w:id="105"/>
      <w:bookmarkEnd w:id="106"/>
      <w:bookmarkEnd w:id="107"/>
      <w:bookmarkEnd w:id="108"/>
    </w:p>
    <w:p w14:paraId="62C809B5">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在投标截止时间前，</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可以对</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进行修改。</w:t>
      </w:r>
    </w:p>
    <w:p w14:paraId="2459CDD1">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有权按照法定的要求推迟投标截止日期和开标日期。</w:t>
      </w:r>
    </w:p>
    <w:p w14:paraId="5385C319">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8.3 </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的修改将在</w:t>
      </w:r>
      <w:r>
        <w:rPr>
          <w:rFonts w:hint="eastAsia" w:ascii="宋体" w:hAnsi="宋体" w:eastAsia="宋体" w:cs="宋体"/>
          <w:color w:val="auto"/>
          <w:kern w:val="0"/>
          <w:sz w:val="24"/>
          <w:szCs w:val="24"/>
          <w:highlight w:val="none"/>
          <w:lang w:val="en-US" w:eastAsia="zh-CN" w:bidi="ar-SA"/>
        </w:rPr>
        <w:t>中国政府采购网</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color w:val="auto"/>
          <w:sz w:val="24"/>
          <w:szCs w:val="24"/>
          <w:highlight w:val="none"/>
        </w:rPr>
        <w:t>江苏政府采购网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盐城市政府采购网</w:t>
      </w:r>
      <w:r>
        <w:rPr>
          <w:rFonts w:hint="eastAsia" w:ascii="宋体" w:hAnsi="宋体" w:eastAsia="宋体" w:cs="宋体"/>
          <w:color w:val="auto"/>
          <w:sz w:val="24"/>
          <w:szCs w:val="24"/>
          <w:highlight w:val="none"/>
        </w:rPr>
        <w:t>公布，补充文件将作为</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的组成部分，并对投标人具有约束力。</w:t>
      </w:r>
    </w:p>
    <w:p w14:paraId="2CDB0962">
      <w:pPr>
        <w:pStyle w:val="14"/>
        <w:keepNext/>
        <w:keepLines/>
        <w:spacing w:before="145" w:beforeAutospacing="0" w:after="145" w:afterAutospacing="0" w:line="360" w:lineRule="auto"/>
        <w:ind w:firstLine="482" w:firstLineChars="0"/>
        <w:jc w:val="both"/>
        <w:outlineLvl w:val="0"/>
        <w:rPr>
          <w:rFonts w:hint="eastAsia" w:ascii="宋体" w:hAnsi="宋体" w:eastAsia="宋体" w:cs="宋体"/>
          <w:color w:val="auto"/>
          <w:sz w:val="24"/>
          <w:szCs w:val="24"/>
          <w:highlight w:val="none"/>
        </w:rPr>
      </w:pPr>
      <w:bookmarkStart w:id="109" w:name="_Toc30256"/>
      <w:bookmarkStart w:id="110" w:name="_Toc513029213"/>
      <w:bookmarkStart w:id="111" w:name="_Toc462564072"/>
      <w:bookmarkStart w:id="112" w:name="_Toc18672"/>
      <w:bookmarkStart w:id="113" w:name="_Toc20823285"/>
      <w:bookmarkStart w:id="114" w:name="_Toc120614216"/>
      <w:bookmarkStart w:id="115" w:name="_Toc16938529"/>
      <w:r>
        <w:rPr>
          <w:rFonts w:hint="eastAsia" w:ascii="宋体" w:hAnsi="宋体" w:eastAsia="宋体" w:cs="宋体"/>
          <w:b/>
          <w:color w:val="auto"/>
          <w:sz w:val="24"/>
          <w:szCs w:val="24"/>
          <w:highlight w:val="none"/>
        </w:rPr>
        <w:t>三、投标文件的编制</w:t>
      </w:r>
      <w:bookmarkEnd w:id="109"/>
      <w:bookmarkEnd w:id="110"/>
      <w:bookmarkEnd w:id="111"/>
      <w:bookmarkEnd w:id="112"/>
      <w:bookmarkEnd w:id="113"/>
      <w:bookmarkEnd w:id="114"/>
      <w:bookmarkEnd w:id="115"/>
    </w:p>
    <w:p w14:paraId="60E1EE2D">
      <w:pPr>
        <w:pStyle w:val="14"/>
        <w:keepNext/>
        <w:keepLines/>
        <w:spacing w:beforeAutospacing="0" w:afterAutospacing="0" w:line="360" w:lineRule="auto"/>
        <w:ind w:firstLine="560" w:firstLineChars="0"/>
        <w:jc w:val="both"/>
        <w:outlineLvl w:val="1"/>
        <w:rPr>
          <w:rFonts w:hint="eastAsia" w:ascii="宋体" w:hAnsi="宋体" w:eastAsia="宋体" w:cs="宋体"/>
          <w:color w:val="auto"/>
          <w:sz w:val="24"/>
          <w:szCs w:val="24"/>
          <w:highlight w:val="none"/>
        </w:rPr>
      </w:pPr>
      <w:bookmarkStart w:id="116" w:name="_Toc513029214"/>
      <w:bookmarkStart w:id="117" w:name="_Toc462564073"/>
      <w:bookmarkStart w:id="118" w:name="_Toc20823286"/>
      <w:bookmarkStart w:id="119" w:name="_Toc16938530"/>
      <w:bookmarkStart w:id="120" w:name="_Toc8568"/>
      <w:bookmarkStart w:id="121" w:name="_Toc25268"/>
      <w:r>
        <w:rPr>
          <w:rFonts w:hint="eastAsia" w:ascii="宋体" w:hAnsi="宋体" w:eastAsia="宋体" w:cs="宋体"/>
          <w:color w:val="auto"/>
          <w:sz w:val="24"/>
          <w:szCs w:val="24"/>
          <w:highlight w:val="none"/>
        </w:rPr>
        <w:t>9、投标文件的语言及度量衡单位</w:t>
      </w:r>
      <w:bookmarkEnd w:id="116"/>
      <w:bookmarkEnd w:id="117"/>
      <w:bookmarkEnd w:id="118"/>
      <w:bookmarkEnd w:id="119"/>
      <w:bookmarkEnd w:id="120"/>
      <w:bookmarkEnd w:id="121"/>
    </w:p>
    <w:p w14:paraId="47E3879C">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投标人提交的投标文件以及投标人与</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就有关投标的所有来往通知、函件和文件均应使用</w:t>
      </w:r>
      <w:r>
        <w:rPr>
          <w:rFonts w:hint="eastAsia" w:ascii="宋体" w:hAnsi="宋体" w:eastAsia="宋体" w:cs="宋体"/>
          <w:b/>
          <w:color w:val="auto"/>
          <w:sz w:val="24"/>
          <w:szCs w:val="24"/>
          <w:highlight w:val="none"/>
        </w:rPr>
        <w:t>简体中文</w:t>
      </w:r>
      <w:r>
        <w:rPr>
          <w:rFonts w:hint="eastAsia" w:ascii="宋体" w:hAnsi="宋体" w:eastAsia="宋体" w:cs="宋体"/>
          <w:color w:val="auto"/>
          <w:sz w:val="24"/>
          <w:szCs w:val="24"/>
          <w:highlight w:val="none"/>
        </w:rPr>
        <w:t>。</w:t>
      </w:r>
    </w:p>
    <w:p w14:paraId="7A824E7D">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除技术性能另有规定外，投标文件所使用的度量衡单位，均须采用国家法定计量单位。</w:t>
      </w:r>
    </w:p>
    <w:p w14:paraId="6A40A865">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122" w:name="_Toc3233"/>
      <w:bookmarkStart w:id="123" w:name="_Toc26037"/>
      <w:bookmarkStart w:id="124" w:name="_Toc16938531"/>
      <w:bookmarkStart w:id="125" w:name="_Toc20823287"/>
      <w:bookmarkStart w:id="126" w:name="_Toc513029215"/>
      <w:bookmarkStart w:id="127" w:name="_Toc462564074"/>
      <w:r>
        <w:rPr>
          <w:rFonts w:hint="eastAsia" w:ascii="宋体" w:hAnsi="宋体" w:eastAsia="宋体" w:cs="宋体"/>
          <w:color w:val="auto"/>
          <w:sz w:val="24"/>
          <w:szCs w:val="24"/>
          <w:highlight w:val="none"/>
        </w:rPr>
        <w:t>10、投标文件构成</w:t>
      </w:r>
      <w:bookmarkEnd w:id="122"/>
      <w:bookmarkEnd w:id="123"/>
      <w:bookmarkEnd w:id="124"/>
      <w:bookmarkEnd w:id="125"/>
      <w:bookmarkEnd w:id="126"/>
      <w:bookmarkEnd w:id="127"/>
    </w:p>
    <w:p w14:paraId="275DB537">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投标人编写的投标文件应包括资格证明文件、符合性证明文件、投标分项报价表、技术要求响应及偏离表、商务要求响应及偏离表、其他证明文件、投标函、开标一览表等部分。</w:t>
      </w:r>
    </w:p>
    <w:p w14:paraId="7CF7A2E9">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如标书制作工具中格式和内容与</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color w:val="auto"/>
          <w:kern w:val="0"/>
          <w:sz w:val="24"/>
          <w:szCs w:val="24"/>
          <w:highlight w:val="none"/>
          <w:lang w:val="en-US" w:eastAsia="zh-CN" w:bidi="ar-SA"/>
        </w:rPr>
        <w:t>中国政府采购网”“</w:t>
      </w:r>
      <w:r>
        <w:rPr>
          <w:rFonts w:hint="eastAsia" w:ascii="宋体" w:hAnsi="宋体" w:eastAsia="宋体" w:cs="宋体"/>
          <w:color w:val="auto"/>
          <w:sz w:val="24"/>
          <w:szCs w:val="24"/>
          <w:highlight w:val="none"/>
        </w:rPr>
        <w:t>江苏政府采购网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盐城市政府采购网</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color w:val="auto"/>
          <w:sz w:val="24"/>
          <w:szCs w:val="24"/>
          <w:highlight w:val="none"/>
        </w:rPr>
        <w:t>发布的</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不一致，请以</w:t>
      </w:r>
      <w:r>
        <w:rPr>
          <w:rFonts w:hint="eastAsia" w:ascii="宋体" w:hAnsi="宋体" w:eastAsia="宋体" w:cs="宋体"/>
          <w:color w:val="auto"/>
          <w:kern w:val="0"/>
          <w:sz w:val="24"/>
          <w:szCs w:val="24"/>
          <w:highlight w:val="none"/>
          <w:lang w:val="en-US" w:eastAsia="zh-CN" w:bidi="ar-SA"/>
        </w:rPr>
        <w:t>中国政府采购网”“</w:t>
      </w:r>
      <w:r>
        <w:rPr>
          <w:rFonts w:hint="eastAsia" w:ascii="宋体" w:hAnsi="宋体" w:eastAsia="宋体" w:cs="宋体"/>
          <w:color w:val="auto"/>
          <w:sz w:val="24"/>
          <w:szCs w:val="24"/>
          <w:highlight w:val="none"/>
        </w:rPr>
        <w:t>江苏政府采购网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盐城市政府采购网</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color w:val="auto"/>
          <w:sz w:val="24"/>
          <w:szCs w:val="24"/>
          <w:highlight w:val="none"/>
        </w:rPr>
        <w:t>发布的</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为准。</w:t>
      </w:r>
    </w:p>
    <w:p w14:paraId="5BBD351A">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128" w:name="_Toc49090508"/>
      <w:bookmarkStart w:id="129" w:name="_Toc14577355"/>
      <w:bookmarkStart w:id="130" w:name="_Toc513029219"/>
      <w:bookmarkStart w:id="131" w:name="_Toc49090509"/>
      <w:bookmarkStart w:id="132" w:name="_Toc23131"/>
      <w:bookmarkStart w:id="133" w:name="_Toc513029216"/>
      <w:bookmarkStart w:id="134" w:name="_Toc14577354"/>
      <w:bookmarkStart w:id="135" w:name="_Toc49090507"/>
      <w:bookmarkStart w:id="136" w:name="_Toc5168"/>
      <w:bookmarkStart w:id="137" w:name="_Toc14577357"/>
      <w:bookmarkStart w:id="138" w:name="_Hlt26954838"/>
      <w:bookmarkStart w:id="139" w:name="_Hlt26670360"/>
      <w:bookmarkStart w:id="140" w:name="_Hlt26668975"/>
      <w:r>
        <w:rPr>
          <w:rFonts w:hint="eastAsia" w:ascii="宋体" w:hAnsi="宋体" w:eastAsia="宋体" w:cs="宋体"/>
          <w:color w:val="auto"/>
          <w:sz w:val="24"/>
          <w:szCs w:val="24"/>
          <w:highlight w:val="none"/>
        </w:rPr>
        <w:t>11、证明投标人及投标标的符合</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规定的文件</w:t>
      </w:r>
      <w:bookmarkEnd w:id="128"/>
      <w:bookmarkEnd w:id="129"/>
      <w:bookmarkEnd w:id="130"/>
      <w:bookmarkEnd w:id="131"/>
      <w:bookmarkEnd w:id="132"/>
      <w:bookmarkEnd w:id="133"/>
      <w:bookmarkEnd w:id="134"/>
      <w:bookmarkEnd w:id="135"/>
      <w:bookmarkEnd w:id="136"/>
      <w:bookmarkEnd w:id="137"/>
    </w:p>
    <w:p w14:paraId="0718222F">
      <w:pPr>
        <w:pStyle w:val="14"/>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11.1 投标人应按照</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要求提交证明文件，证明其及投标标的符合</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规定。</w:t>
      </w:r>
    </w:p>
    <w:p w14:paraId="5A9CFDCE">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对证明文件无明确形式要求的，证明文件可以以文字资料、图纸和数据等形式提交。</w:t>
      </w:r>
    </w:p>
    <w:p w14:paraId="240AFD51">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141" w:name="_Toc15132"/>
      <w:bookmarkStart w:id="142" w:name="_Toc28376"/>
      <w:r>
        <w:rPr>
          <w:rFonts w:hint="eastAsia" w:ascii="宋体" w:hAnsi="宋体" w:eastAsia="宋体" w:cs="宋体"/>
          <w:color w:val="auto"/>
          <w:sz w:val="24"/>
          <w:szCs w:val="24"/>
          <w:highlight w:val="none"/>
        </w:rPr>
        <w:t>12、投标分项报价表</w:t>
      </w:r>
      <w:bookmarkEnd w:id="141"/>
      <w:bookmarkEnd w:id="142"/>
    </w:p>
    <w:p w14:paraId="16C7F70E">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投标人应按照</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规定格式填报投标分项报价表。</w:t>
      </w:r>
    </w:p>
    <w:p w14:paraId="24BE96DF">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12.2投标货币。投标文件中的单价和总价无特殊规定的采用人民币报价，以元为单位标注。</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中另有规定的按规定执行。</w:t>
      </w:r>
    </w:p>
    <w:p w14:paraId="73ADED15">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143" w:name="_Toc30140"/>
      <w:bookmarkStart w:id="144" w:name="_Toc25989"/>
      <w:bookmarkStart w:id="145" w:name="_Hlt26954846"/>
      <w:bookmarkStart w:id="146" w:name="_Hlt26954731"/>
      <w:bookmarkStart w:id="147" w:name="_Hlt26670486"/>
      <w:bookmarkStart w:id="148" w:name="_Hlt26670482"/>
      <w:bookmarkStart w:id="149" w:name="_Hlt26954848"/>
      <w:r>
        <w:rPr>
          <w:rFonts w:hint="eastAsia" w:ascii="宋体" w:hAnsi="宋体" w:eastAsia="宋体" w:cs="宋体"/>
          <w:color w:val="auto"/>
          <w:sz w:val="24"/>
          <w:szCs w:val="24"/>
          <w:highlight w:val="none"/>
        </w:rPr>
        <w:t>13、技术要求响应及偏离表、商务要求响应及偏离表</w:t>
      </w:r>
      <w:bookmarkEnd w:id="143"/>
      <w:bookmarkEnd w:id="144"/>
    </w:p>
    <w:p w14:paraId="321FCB13">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投标人需对</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中的技术要求与商务要求逐项作出响应或偏离，并说明原因。</w:t>
      </w:r>
    </w:p>
    <w:p w14:paraId="7FDE64E6">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投标人可在投标文件中提供认为需要的其他技术文件或说明。</w:t>
      </w:r>
    </w:p>
    <w:p w14:paraId="34DA4C08">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150" w:name="_Toc16162"/>
      <w:bookmarkStart w:id="151" w:name="_Toc706"/>
      <w:r>
        <w:rPr>
          <w:rFonts w:hint="eastAsia" w:ascii="宋体" w:hAnsi="宋体" w:eastAsia="宋体" w:cs="宋体"/>
          <w:color w:val="auto"/>
          <w:sz w:val="24"/>
          <w:szCs w:val="24"/>
          <w:highlight w:val="none"/>
        </w:rPr>
        <w:t>14、服务承诺、培训计划、人员安排及其他</w:t>
      </w:r>
      <w:bookmarkEnd w:id="150"/>
      <w:bookmarkEnd w:id="151"/>
    </w:p>
    <w:p w14:paraId="74ECEAD5">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投标人需根据</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要求提供有关售后服务的管理制度，售后服务机构的分布情况，售后服务人员的数量、素质、技术水平及售后服务的反应能力等。</w:t>
      </w:r>
    </w:p>
    <w:p w14:paraId="1128F8E2">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投标人需根据</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要求提供培训计划。</w:t>
      </w:r>
    </w:p>
    <w:p w14:paraId="61737098">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投标人需根据</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要求提供所投标的的主要组成部分、功能设计、实现思路及关键技术等。</w:t>
      </w:r>
    </w:p>
    <w:p w14:paraId="5B2B6267">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152" w:name="_Toc10155"/>
      <w:bookmarkStart w:id="153" w:name="_Toc14577359"/>
      <w:bookmarkStart w:id="154" w:name="_Toc1870"/>
      <w:bookmarkStart w:id="155" w:name="_Toc49090510"/>
      <w:r>
        <w:rPr>
          <w:rFonts w:hint="eastAsia" w:ascii="宋体" w:hAnsi="宋体" w:eastAsia="宋体" w:cs="宋体"/>
          <w:color w:val="auto"/>
          <w:sz w:val="24"/>
          <w:szCs w:val="24"/>
          <w:highlight w:val="none"/>
        </w:rPr>
        <w:t>15、投标函和开标一览表</w:t>
      </w:r>
      <w:bookmarkEnd w:id="152"/>
      <w:bookmarkEnd w:id="153"/>
      <w:bookmarkEnd w:id="154"/>
      <w:bookmarkEnd w:id="155"/>
    </w:p>
    <w:p w14:paraId="3CB4F309">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投标人应按照</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中提供的格式完整、正确填写投标函、开标一览表。</w:t>
      </w:r>
    </w:p>
    <w:p w14:paraId="3C52A66D">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对于采用货币报价的项目，开标一览表中的投标总报价应与投标分项报价表中的投标总报价一致，如不一致，不作为无效投标处理，但评标时按开标一览表中价格为准。</w:t>
      </w:r>
    </w:p>
    <w:p w14:paraId="036159CB">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156" w:name="_Toc14577360"/>
      <w:bookmarkStart w:id="157" w:name="_Toc49090511"/>
      <w:bookmarkStart w:id="158" w:name="_Toc448"/>
      <w:bookmarkStart w:id="159" w:name="_Toc20772"/>
      <w:r>
        <w:rPr>
          <w:rFonts w:hint="eastAsia" w:ascii="宋体" w:hAnsi="宋体" w:eastAsia="宋体" w:cs="宋体"/>
          <w:color w:val="auto"/>
          <w:sz w:val="24"/>
          <w:szCs w:val="24"/>
          <w:highlight w:val="none"/>
        </w:rPr>
        <w:t>16、投标有效期</w:t>
      </w:r>
      <w:bookmarkEnd w:id="156"/>
      <w:bookmarkEnd w:id="157"/>
      <w:bookmarkEnd w:id="158"/>
      <w:bookmarkEnd w:id="159"/>
    </w:p>
    <w:p w14:paraId="32AAB68E">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16.1投标有效期为</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规定的开标之日后</w:t>
      </w:r>
      <w:r>
        <w:rPr>
          <w:rFonts w:hint="eastAsia" w:ascii="宋体" w:hAnsi="宋体" w:eastAsia="宋体" w:cs="宋体"/>
          <w:b/>
          <w:color w:val="auto"/>
          <w:sz w:val="24"/>
          <w:szCs w:val="24"/>
          <w:highlight w:val="none"/>
          <w:u w:val="single"/>
          <w:lang w:val="en-US" w:eastAsia="zh-CN"/>
        </w:rPr>
        <w:t>九</w:t>
      </w:r>
      <w:r>
        <w:rPr>
          <w:rFonts w:hint="eastAsia" w:ascii="宋体" w:hAnsi="宋体" w:eastAsia="宋体" w:cs="宋体"/>
          <w:b/>
          <w:color w:val="auto"/>
          <w:sz w:val="24"/>
          <w:szCs w:val="24"/>
          <w:highlight w:val="none"/>
          <w:u w:val="single"/>
        </w:rPr>
        <w:t>十（</w:t>
      </w:r>
      <w:r>
        <w:rPr>
          <w:rFonts w:hint="eastAsia" w:ascii="宋体" w:hAnsi="宋体" w:eastAsia="宋体" w:cs="宋体"/>
          <w:b/>
          <w:color w:val="auto"/>
          <w:sz w:val="24"/>
          <w:szCs w:val="24"/>
          <w:highlight w:val="none"/>
          <w:u w:val="single"/>
          <w:lang w:val="en-US" w:eastAsia="zh-CN"/>
        </w:rPr>
        <w:t>9</w:t>
      </w:r>
      <w:r>
        <w:rPr>
          <w:rFonts w:hint="eastAsia" w:ascii="宋体" w:hAnsi="宋体" w:eastAsia="宋体" w:cs="宋体"/>
          <w:b/>
          <w:color w:val="auto"/>
          <w:sz w:val="24"/>
          <w:szCs w:val="24"/>
          <w:highlight w:val="none"/>
          <w:u w:val="single"/>
        </w:rPr>
        <w:t>0）天</w:t>
      </w:r>
      <w:r>
        <w:rPr>
          <w:rFonts w:hint="eastAsia" w:ascii="宋体" w:hAnsi="宋体" w:eastAsia="宋体" w:cs="宋体"/>
          <w:color w:val="auto"/>
          <w:sz w:val="24"/>
          <w:szCs w:val="24"/>
          <w:highlight w:val="none"/>
        </w:rPr>
        <w:t>。投标有效期比规定短的将被视为未实质性响应</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而予以拒绝。</w:t>
      </w:r>
    </w:p>
    <w:p w14:paraId="43AEABA6">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160" w:name="_Toc7751"/>
      <w:bookmarkStart w:id="161" w:name="_Toc7425"/>
      <w:r>
        <w:rPr>
          <w:rFonts w:hint="eastAsia" w:ascii="宋体" w:hAnsi="宋体" w:eastAsia="宋体" w:cs="宋体"/>
          <w:color w:val="auto"/>
          <w:sz w:val="24"/>
          <w:szCs w:val="24"/>
          <w:highlight w:val="none"/>
        </w:rPr>
        <w:t>17、投标有效期的延长</w:t>
      </w:r>
      <w:bookmarkEnd w:id="160"/>
      <w:bookmarkEnd w:id="161"/>
    </w:p>
    <w:p w14:paraId="5858C67E">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17.1在特殊情况下，</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于原投标有效期满之前，可向投标人提出延长投标有效期的要求。这种要求与答复均应采用书面形式。投标人可以拒绝</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的这一要求而放弃投标，同意延长投标有效期的投标人既不能要求也不允许修改其投标文件。受投标有效期约束的所有权利与义务均延长至新的有效期。</w:t>
      </w:r>
    </w:p>
    <w:p w14:paraId="4B10AB49">
      <w:pPr>
        <w:pStyle w:val="14"/>
        <w:keepNext/>
        <w:keepLines/>
        <w:spacing w:before="145" w:beforeAutospacing="0" w:after="145" w:afterAutospacing="0" w:line="360" w:lineRule="auto"/>
        <w:jc w:val="both"/>
        <w:outlineLvl w:val="0"/>
        <w:rPr>
          <w:rFonts w:hint="eastAsia" w:ascii="宋体" w:hAnsi="宋体" w:eastAsia="宋体" w:cs="宋体"/>
          <w:color w:val="auto"/>
          <w:sz w:val="24"/>
          <w:szCs w:val="24"/>
          <w:highlight w:val="none"/>
        </w:rPr>
      </w:pPr>
      <w:bookmarkStart w:id="162" w:name="_Toc20823296"/>
      <w:bookmarkStart w:id="163" w:name="_Toc753"/>
      <w:bookmarkStart w:id="164" w:name="_Toc120614217"/>
      <w:bookmarkStart w:id="165" w:name="_Toc16858"/>
      <w:bookmarkStart w:id="166" w:name="_Toc16938540"/>
      <w:bookmarkStart w:id="167" w:name="_Toc513029224"/>
      <w:bookmarkStart w:id="168" w:name="_Hlt26954739"/>
      <w:bookmarkStart w:id="169" w:name="_Hlt26954852"/>
      <w:r>
        <w:rPr>
          <w:rFonts w:hint="eastAsia" w:ascii="宋体" w:hAnsi="宋体" w:eastAsia="宋体" w:cs="宋体"/>
          <w:b/>
          <w:color w:val="auto"/>
          <w:sz w:val="24"/>
          <w:szCs w:val="24"/>
          <w:highlight w:val="none"/>
        </w:rPr>
        <w:t>四、投标文件的递交</w:t>
      </w:r>
      <w:bookmarkEnd w:id="162"/>
      <w:bookmarkEnd w:id="163"/>
      <w:bookmarkEnd w:id="164"/>
      <w:bookmarkEnd w:id="165"/>
      <w:bookmarkEnd w:id="166"/>
      <w:bookmarkEnd w:id="167"/>
    </w:p>
    <w:p w14:paraId="462B5A82">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170" w:name="_Toc513029225"/>
      <w:bookmarkStart w:id="171" w:name="_Toc16938541"/>
      <w:bookmarkStart w:id="172" w:name="_Toc462564084"/>
      <w:bookmarkStart w:id="173" w:name="_Toc20823297"/>
      <w:bookmarkStart w:id="174" w:name="_Toc21847"/>
      <w:bookmarkStart w:id="175" w:name="_Toc19834"/>
      <w:r>
        <w:rPr>
          <w:rFonts w:hint="eastAsia" w:ascii="宋体" w:hAnsi="宋体" w:eastAsia="宋体" w:cs="宋体"/>
          <w:color w:val="auto"/>
          <w:sz w:val="24"/>
          <w:szCs w:val="24"/>
          <w:highlight w:val="none"/>
        </w:rPr>
        <w:t>18、电子投标文件</w:t>
      </w:r>
      <w:bookmarkEnd w:id="170"/>
      <w:bookmarkEnd w:id="171"/>
      <w:bookmarkEnd w:id="172"/>
      <w:bookmarkEnd w:id="173"/>
      <w:r>
        <w:rPr>
          <w:rFonts w:hint="eastAsia" w:ascii="宋体" w:hAnsi="宋体" w:eastAsia="宋体" w:cs="宋体"/>
          <w:color w:val="auto"/>
          <w:sz w:val="24"/>
          <w:szCs w:val="24"/>
          <w:highlight w:val="none"/>
        </w:rPr>
        <w:t>的递交</w:t>
      </w:r>
      <w:bookmarkEnd w:id="174"/>
      <w:bookmarkEnd w:id="175"/>
    </w:p>
    <w:p w14:paraId="0DD88C77">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18.1投标人应当按照《操作手册》规定，在投标截止时间前制作并上传电子投标文件。</w:t>
      </w:r>
      <w:bookmarkStart w:id="176" w:name="_Toc20823298"/>
      <w:bookmarkEnd w:id="176"/>
      <w:bookmarkStart w:id="177" w:name="_Toc16938542"/>
      <w:bookmarkEnd w:id="177"/>
      <w:bookmarkStart w:id="178" w:name="_Toc513029226"/>
    </w:p>
    <w:p w14:paraId="588F88B2">
      <w:pPr>
        <w:pStyle w:val="14"/>
        <w:keepNext/>
        <w:keepLines/>
        <w:spacing w:before="280" w:beforeAutospacing="0" w:after="290" w:afterAutospacing="0" w:line="360" w:lineRule="auto"/>
        <w:ind w:firstLine="420" w:firstLineChars="0"/>
        <w:jc w:val="both"/>
        <w:outlineLvl w:val="1"/>
        <w:rPr>
          <w:rFonts w:hint="eastAsia" w:ascii="宋体" w:hAnsi="宋体" w:eastAsia="宋体" w:cs="宋体"/>
          <w:color w:val="auto"/>
          <w:sz w:val="24"/>
          <w:szCs w:val="24"/>
          <w:highlight w:val="none"/>
        </w:rPr>
      </w:pPr>
      <w:bookmarkStart w:id="179" w:name="_Toc20097"/>
      <w:bookmarkStart w:id="180" w:name="_Toc687"/>
      <w:r>
        <w:rPr>
          <w:rFonts w:hint="eastAsia" w:ascii="宋体" w:hAnsi="宋体" w:eastAsia="宋体" w:cs="宋体"/>
          <w:color w:val="auto"/>
          <w:sz w:val="24"/>
          <w:szCs w:val="24"/>
          <w:highlight w:val="none"/>
        </w:rPr>
        <w:t>19、投标截止日期</w:t>
      </w:r>
      <w:bookmarkEnd w:id="179"/>
      <w:bookmarkEnd w:id="180"/>
    </w:p>
    <w:p w14:paraId="6FB490A5">
      <w:pPr>
        <w:pStyle w:val="14"/>
        <w:spacing w:beforeAutospacing="0" w:afterAutospacing="0" w:line="360" w:lineRule="auto"/>
        <w:ind w:firstLine="480"/>
        <w:jc w:val="both"/>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19.1 投标人上传电子投标文件的时间不得迟于</w:t>
      </w:r>
      <w:r>
        <w:rPr>
          <w:rFonts w:hint="eastAsia" w:ascii="宋体" w:hAnsi="宋体" w:eastAsia="宋体" w:cs="宋体"/>
          <w:b/>
          <w:bCs/>
          <w:color w:val="auto"/>
          <w:sz w:val="24"/>
          <w:szCs w:val="24"/>
          <w:highlight w:val="none"/>
          <w:u w:val="single"/>
          <w:lang w:eastAsia="zh-CN"/>
        </w:rPr>
        <w:t>询价公告</w:t>
      </w:r>
      <w:r>
        <w:rPr>
          <w:rFonts w:hint="eastAsia" w:ascii="宋体" w:hAnsi="宋体" w:eastAsia="宋体" w:cs="宋体"/>
          <w:b/>
          <w:bCs/>
          <w:color w:val="auto"/>
          <w:sz w:val="24"/>
          <w:szCs w:val="24"/>
          <w:highlight w:val="none"/>
          <w:u w:val="single"/>
        </w:rPr>
        <w:t>中规定的投标截止时间。</w:t>
      </w:r>
    </w:p>
    <w:p w14:paraId="6D4403AF">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投标人应充分考虑到网络环境、网络带宽等风险因素，如因投标人自身原因造成的电子投标文件上传不成功的按照本</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第二章第27.1.2条规定做无效投标处理。</w:t>
      </w:r>
    </w:p>
    <w:p w14:paraId="110EB610">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19.2 </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可以按照规定，通过修改</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酌情延长投标截止日期，在此情况下，投标人的所有权利和义务以及投标人受制的截止日期均应以延长后新的截止日期为准。</w:t>
      </w:r>
    </w:p>
    <w:p w14:paraId="7990164F">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181" w:name="_Toc20823299"/>
      <w:bookmarkStart w:id="182" w:name="_Toc513029227"/>
      <w:bookmarkStart w:id="183" w:name="_Toc16938543"/>
      <w:bookmarkStart w:id="184" w:name="_Toc23533"/>
      <w:bookmarkStart w:id="185" w:name="_Toc26740"/>
      <w:r>
        <w:rPr>
          <w:rFonts w:hint="eastAsia" w:ascii="宋体" w:hAnsi="宋体" w:eastAsia="宋体" w:cs="宋体"/>
          <w:color w:val="auto"/>
          <w:sz w:val="24"/>
          <w:szCs w:val="24"/>
          <w:highlight w:val="none"/>
        </w:rPr>
        <w:t>20、投标文件</w:t>
      </w:r>
      <w:bookmarkEnd w:id="181"/>
      <w:bookmarkEnd w:id="182"/>
      <w:bookmarkEnd w:id="183"/>
      <w:r>
        <w:rPr>
          <w:rFonts w:hint="eastAsia" w:ascii="宋体" w:hAnsi="宋体" w:eastAsia="宋体" w:cs="宋体"/>
          <w:color w:val="auto"/>
          <w:sz w:val="24"/>
          <w:szCs w:val="24"/>
          <w:highlight w:val="none"/>
        </w:rPr>
        <w:t>的拒收</w:t>
      </w:r>
      <w:bookmarkEnd w:id="184"/>
      <w:bookmarkEnd w:id="185"/>
    </w:p>
    <w:p w14:paraId="6254CB77">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拒绝接收在其规定的投标截止时间后上传的任何投标文件。</w:t>
      </w:r>
    </w:p>
    <w:p w14:paraId="53D3CA18">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186" w:name="_Toc16938544"/>
      <w:bookmarkStart w:id="187" w:name="_Toc18101"/>
      <w:bookmarkStart w:id="188" w:name="_Toc20823300"/>
      <w:bookmarkStart w:id="189" w:name="_Toc513029228"/>
      <w:bookmarkStart w:id="190" w:name="_Toc8789"/>
      <w:r>
        <w:rPr>
          <w:rFonts w:hint="eastAsia" w:ascii="宋体" w:hAnsi="宋体" w:eastAsia="宋体" w:cs="宋体"/>
          <w:color w:val="auto"/>
          <w:sz w:val="24"/>
          <w:szCs w:val="24"/>
          <w:highlight w:val="none"/>
        </w:rPr>
        <w:t>21、投标文件的撤回和修改</w:t>
      </w:r>
      <w:bookmarkEnd w:id="186"/>
      <w:bookmarkEnd w:id="187"/>
      <w:bookmarkEnd w:id="188"/>
      <w:bookmarkEnd w:id="189"/>
      <w:bookmarkEnd w:id="190"/>
    </w:p>
    <w:p w14:paraId="71BB8C91">
      <w:pPr>
        <w:pStyle w:val="14"/>
        <w:spacing w:beforeAutospacing="0" w:afterAutospacing="0" w:line="360" w:lineRule="auto"/>
        <w:ind w:firstLine="480" w:firstLineChars="0"/>
        <w:jc w:val="both"/>
        <w:outlineLvl w:val="2"/>
        <w:rPr>
          <w:rFonts w:hint="eastAsia" w:ascii="宋体" w:hAnsi="宋体" w:eastAsia="宋体" w:cs="宋体"/>
          <w:color w:val="auto"/>
          <w:sz w:val="24"/>
          <w:szCs w:val="24"/>
          <w:highlight w:val="none"/>
        </w:rPr>
      </w:pPr>
      <w:bookmarkStart w:id="191" w:name="_Toc24081"/>
      <w:bookmarkStart w:id="192" w:name="_Toc14053"/>
      <w:r>
        <w:rPr>
          <w:rFonts w:hint="eastAsia" w:ascii="宋体" w:hAnsi="宋体" w:eastAsia="宋体" w:cs="宋体"/>
          <w:color w:val="auto"/>
          <w:sz w:val="24"/>
          <w:szCs w:val="24"/>
          <w:highlight w:val="none"/>
        </w:rPr>
        <w:t>21.1 投标文件的撤回</w:t>
      </w:r>
      <w:bookmarkEnd w:id="191"/>
      <w:bookmarkEnd w:id="192"/>
    </w:p>
    <w:p w14:paraId="3D58AE5B">
      <w:pPr>
        <w:pStyle w:val="14"/>
        <w:spacing w:beforeAutospacing="0" w:afterAutospacing="0" w:line="360" w:lineRule="auto"/>
        <w:ind w:firstLine="480" w:firstLineChars="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 电子投标文件的撤回</w:t>
      </w:r>
    </w:p>
    <w:p w14:paraId="6F98166F">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投标人可在投标截止时间前，撤回其电子投标文件，具体操作方法见《操作手册》。</w:t>
      </w:r>
    </w:p>
    <w:p w14:paraId="16798783">
      <w:pPr>
        <w:pStyle w:val="14"/>
        <w:spacing w:beforeAutospacing="0" w:afterAutospacing="0" w:line="360" w:lineRule="auto"/>
        <w:ind w:firstLine="480" w:firstLineChars="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 投标人撤回电子投标文件，则认为其不再参与本项目投标活动。</w:t>
      </w:r>
    </w:p>
    <w:p w14:paraId="2E4ED800">
      <w:pPr>
        <w:pStyle w:val="14"/>
        <w:spacing w:beforeAutospacing="0" w:afterAutospacing="0" w:line="360" w:lineRule="auto"/>
        <w:ind w:firstLine="480" w:firstLineChars="0"/>
        <w:jc w:val="both"/>
        <w:outlineLvl w:val="2"/>
        <w:rPr>
          <w:rFonts w:hint="eastAsia" w:ascii="宋体" w:hAnsi="宋体" w:eastAsia="宋体" w:cs="宋体"/>
          <w:color w:val="auto"/>
          <w:sz w:val="24"/>
          <w:szCs w:val="24"/>
          <w:highlight w:val="none"/>
        </w:rPr>
      </w:pPr>
      <w:bookmarkStart w:id="193" w:name="_Toc26437"/>
      <w:bookmarkStart w:id="194" w:name="_Toc7760"/>
      <w:r>
        <w:rPr>
          <w:rFonts w:hint="eastAsia" w:ascii="宋体" w:hAnsi="宋体" w:eastAsia="宋体" w:cs="宋体"/>
          <w:color w:val="auto"/>
          <w:sz w:val="24"/>
          <w:szCs w:val="24"/>
          <w:highlight w:val="none"/>
        </w:rPr>
        <w:t>21.2 投标文件的修改</w:t>
      </w:r>
      <w:bookmarkEnd w:id="193"/>
      <w:bookmarkEnd w:id="194"/>
    </w:p>
    <w:p w14:paraId="3B657B6D">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21.2.1投标人可在投标截止时间前，对其电子投标文件进行修改，具体操作方法见《操作手册》。</w:t>
      </w:r>
    </w:p>
    <w:p w14:paraId="7B1A054C">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21.2.2 在投标截止时间之后，投标人不得对其电子投标文件作任何修改。</w:t>
      </w:r>
    </w:p>
    <w:p w14:paraId="1B11C305">
      <w:pPr>
        <w:pStyle w:val="14"/>
        <w:spacing w:beforeAutospacing="0" w:afterAutospacing="0" w:line="360" w:lineRule="auto"/>
        <w:ind w:firstLine="480" w:firstLineChars="0"/>
        <w:jc w:val="both"/>
        <w:outlineLvl w:val="2"/>
        <w:rPr>
          <w:rFonts w:hint="eastAsia" w:ascii="宋体" w:hAnsi="宋体" w:eastAsia="宋体" w:cs="宋体"/>
          <w:color w:val="auto"/>
          <w:sz w:val="24"/>
          <w:szCs w:val="24"/>
          <w:highlight w:val="none"/>
        </w:rPr>
      </w:pPr>
      <w:bookmarkStart w:id="195" w:name="_Toc13454"/>
      <w:bookmarkStart w:id="196" w:name="_Toc23461"/>
      <w:r>
        <w:rPr>
          <w:rFonts w:hint="eastAsia" w:ascii="宋体" w:hAnsi="宋体" w:eastAsia="宋体" w:cs="宋体"/>
          <w:color w:val="auto"/>
          <w:sz w:val="24"/>
          <w:szCs w:val="24"/>
          <w:highlight w:val="none"/>
        </w:rPr>
        <w:t>21.3 在投标截止时间至</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中规定的投标有效期满之间的这段时间内，投标人不得撤回其投标。</w:t>
      </w:r>
      <w:bookmarkEnd w:id="195"/>
      <w:bookmarkEnd w:id="196"/>
    </w:p>
    <w:p w14:paraId="52B22ECF">
      <w:pPr>
        <w:pStyle w:val="14"/>
        <w:keepNext/>
        <w:keepLines/>
        <w:spacing w:before="145" w:beforeAutospacing="0" w:after="145" w:afterAutospacing="0" w:line="360" w:lineRule="auto"/>
        <w:ind w:firstLine="482" w:firstLineChars="0"/>
        <w:jc w:val="both"/>
        <w:outlineLvl w:val="0"/>
        <w:rPr>
          <w:rFonts w:hint="eastAsia" w:ascii="宋体" w:hAnsi="宋体" w:eastAsia="宋体" w:cs="宋体"/>
          <w:color w:val="auto"/>
          <w:sz w:val="24"/>
          <w:szCs w:val="24"/>
          <w:highlight w:val="none"/>
        </w:rPr>
      </w:pPr>
      <w:bookmarkStart w:id="197" w:name="_Toc16120"/>
      <w:bookmarkStart w:id="198" w:name="_Toc120614218"/>
      <w:bookmarkStart w:id="199" w:name="_Toc513029229"/>
      <w:bookmarkStart w:id="200" w:name="_Toc28436"/>
      <w:bookmarkStart w:id="201" w:name="_Toc20823301"/>
      <w:bookmarkStart w:id="202" w:name="_Toc16938545"/>
      <w:r>
        <w:rPr>
          <w:rFonts w:hint="eastAsia" w:ascii="宋体" w:hAnsi="宋体" w:eastAsia="宋体" w:cs="宋体"/>
          <w:b/>
          <w:color w:val="auto"/>
          <w:sz w:val="24"/>
          <w:szCs w:val="24"/>
          <w:highlight w:val="none"/>
        </w:rPr>
        <w:t>五、开标与评标</w:t>
      </w:r>
      <w:bookmarkEnd w:id="197"/>
      <w:bookmarkEnd w:id="198"/>
      <w:bookmarkEnd w:id="199"/>
      <w:bookmarkEnd w:id="200"/>
      <w:bookmarkEnd w:id="201"/>
      <w:bookmarkEnd w:id="202"/>
    </w:p>
    <w:p w14:paraId="522446D7">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203" w:name="_Toc20823302"/>
      <w:bookmarkStart w:id="204" w:name="_Toc306"/>
      <w:bookmarkStart w:id="205" w:name="_Toc16938546"/>
      <w:bookmarkStart w:id="206" w:name="_Toc513029230"/>
      <w:bookmarkStart w:id="207" w:name="_Toc8410"/>
      <w:r>
        <w:rPr>
          <w:rFonts w:hint="eastAsia" w:ascii="宋体" w:hAnsi="宋体" w:eastAsia="宋体" w:cs="宋体"/>
          <w:color w:val="auto"/>
          <w:sz w:val="24"/>
          <w:szCs w:val="24"/>
          <w:highlight w:val="none"/>
        </w:rPr>
        <w:t>22、开标</w:t>
      </w:r>
      <w:bookmarkEnd w:id="203"/>
      <w:bookmarkEnd w:id="204"/>
      <w:bookmarkEnd w:id="205"/>
      <w:bookmarkEnd w:id="206"/>
      <w:bookmarkEnd w:id="207"/>
    </w:p>
    <w:p w14:paraId="09B53F55">
      <w:pPr>
        <w:pStyle w:val="14"/>
        <w:spacing w:beforeAutospacing="0" w:afterAutospacing="0" w:line="360" w:lineRule="auto"/>
        <w:ind w:firstLine="3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将在</w:t>
      </w:r>
      <w:r>
        <w:rPr>
          <w:rFonts w:hint="eastAsia" w:ascii="宋体" w:hAnsi="宋体" w:eastAsia="宋体" w:cs="宋体"/>
          <w:color w:val="auto"/>
          <w:sz w:val="24"/>
          <w:szCs w:val="24"/>
          <w:highlight w:val="none"/>
          <w:lang w:eastAsia="zh-CN"/>
        </w:rPr>
        <w:t>询价公告</w:t>
      </w:r>
      <w:r>
        <w:rPr>
          <w:rFonts w:hint="eastAsia" w:ascii="宋体" w:hAnsi="宋体" w:eastAsia="宋体" w:cs="宋体"/>
          <w:color w:val="auto"/>
          <w:sz w:val="24"/>
          <w:szCs w:val="24"/>
          <w:highlight w:val="none"/>
        </w:rPr>
        <w:t>中规定的时间和地点组织公开开标。投标人应当按照《操作手册》规定，参加开标活动</w:t>
      </w:r>
      <w:r>
        <w:rPr>
          <w:rFonts w:hint="eastAsia" w:ascii="宋体" w:hAnsi="宋体" w:eastAsia="宋体" w:cs="宋体"/>
          <w:color w:val="auto"/>
          <w:sz w:val="24"/>
          <w:szCs w:val="24"/>
          <w:highlight w:val="none"/>
        </w:rPr>
        <w:t>和在苏采云系统规定的时间内对投标文件进行解密。</w:t>
      </w:r>
    </w:p>
    <w:p w14:paraId="6F1FA8C8">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22.2开标仪式由</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组织。苏采云系统将自动对项目进行开标，并宣布各投标人名称和投标价格。</w:t>
      </w:r>
    </w:p>
    <w:p w14:paraId="57469D8E">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22.3投标人在开标过程中涉及到的投标文件解密、开标结果确认等工作，应按照《操作手册》规定执行。</w:t>
      </w:r>
    </w:p>
    <w:p w14:paraId="37C541B1">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22.4投标人如果对开标过程和开标记录有疑义，应当根据《操作手册》规定提出，如苏采云系统中《开标记录表》宣布后5分钟内未提出的</w:t>
      </w:r>
      <w:r>
        <w:rPr>
          <w:rFonts w:hint="eastAsia" w:ascii="宋体" w:hAnsi="宋体" w:eastAsia="宋体" w:cs="宋体"/>
          <w:color w:val="auto"/>
          <w:sz w:val="24"/>
          <w:szCs w:val="24"/>
          <w:highlight w:val="none"/>
        </w:rPr>
        <w:t>，视同认可开标结果。</w:t>
      </w:r>
    </w:p>
    <w:p w14:paraId="58E1EAF2">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208" w:name="_Toc16938547"/>
      <w:bookmarkStart w:id="209" w:name="_Toc12306"/>
      <w:bookmarkStart w:id="210" w:name="_Toc6517"/>
      <w:bookmarkStart w:id="211" w:name="_Toc513029231"/>
      <w:bookmarkStart w:id="212" w:name="_Toc20823303"/>
      <w:r>
        <w:rPr>
          <w:rFonts w:hint="eastAsia" w:ascii="宋体" w:hAnsi="宋体" w:eastAsia="宋体" w:cs="宋体"/>
          <w:color w:val="auto"/>
          <w:sz w:val="24"/>
          <w:szCs w:val="24"/>
          <w:highlight w:val="none"/>
        </w:rPr>
        <w:t>23、评标委员会</w:t>
      </w:r>
      <w:bookmarkEnd w:id="208"/>
      <w:bookmarkEnd w:id="209"/>
      <w:bookmarkEnd w:id="210"/>
      <w:bookmarkEnd w:id="211"/>
      <w:bookmarkEnd w:id="212"/>
    </w:p>
    <w:p w14:paraId="3A81DF07">
      <w:pPr>
        <w:pStyle w:val="14"/>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23.1</w:t>
      </w:r>
      <w:r>
        <w:rPr>
          <w:rFonts w:hint="eastAsia" w:ascii="宋体" w:hAnsi="宋体" w:eastAsia="宋体" w:cs="宋体"/>
          <w:b/>
          <w:color w:val="auto"/>
          <w:sz w:val="24"/>
          <w:szCs w:val="24"/>
          <w:highlight w:val="none"/>
        </w:rPr>
        <w:t> </w:t>
      </w:r>
      <w:r>
        <w:rPr>
          <w:rFonts w:hint="eastAsia" w:ascii="宋体" w:hAnsi="宋体" w:eastAsia="宋体" w:cs="宋体"/>
          <w:color w:val="auto"/>
          <w:sz w:val="24"/>
          <w:szCs w:val="24"/>
          <w:highlight w:val="none"/>
        </w:rPr>
        <w:t>开标后，</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将立即组织评标委员会（以下简称评委会）进行评标。</w:t>
      </w:r>
    </w:p>
    <w:p w14:paraId="28485BD0">
      <w:pPr>
        <w:pStyle w:val="14"/>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23.2 评委会由采购人代表和有关技术、经济等方面的专家组成，且人员构成符合政府采购有关规定。</w:t>
      </w:r>
    </w:p>
    <w:p w14:paraId="51E2D4E3">
      <w:pPr>
        <w:pStyle w:val="14"/>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23.3评委会独立工作，负责评审所有投标文件并确定中标</w:t>
      </w:r>
      <w:r>
        <w:rPr>
          <w:rFonts w:hint="eastAsia" w:ascii="宋体" w:hAnsi="宋体" w:eastAsia="宋体" w:cs="宋体"/>
          <w:color w:val="auto"/>
          <w:sz w:val="24"/>
          <w:szCs w:val="24"/>
          <w:highlight w:val="none"/>
          <w:lang w:eastAsia="zh-CN"/>
        </w:rPr>
        <w:t>候选人</w:t>
      </w:r>
      <w:r>
        <w:rPr>
          <w:rFonts w:hint="eastAsia" w:ascii="宋体" w:hAnsi="宋体" w:eastAsia="宋体" w:cs="宋体"/>
          <w:color w:val="auto"/>
          <w:sz w:val="24"/>
          <w:szCs w:val="24"/>
          <w:highlight w:val="none"/>
        </w:rPr>
        <w:t>。</w:t>
      </w:r>
    </w:p>
    <w:p w14:paraId="2A3F73EE">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213" w:name="_Toc27077"/>
      <w:bookmarkStart w:id="214" w:name="_Toc6784"/>
      <w:r>
        <w:rPr>
          <w:rFonts w:hint="eastAsia" w:ascii="宋体" w:hAnsi="宋体" w:eastAsia="宋体" w:cs="宋体"/>
          <w:color w:val="auto"/>
          <w:sz w:val="24"/>
          <w:szCs w:val="24"/>
          <w:highlight w:val="none"/>
        </w:rPr>
        <w:t>24．评标过程的保密与公正</w:t>
      </w:r>
      <w:bookmarkEnd w:id="213"/>
      <w:bookmarkEnd w:id="214"/>
    </w:p>
    <w:p w14:paraId="69AB217A">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24.1凡是与审查、澄清、评价和比较投标的有关资料以及授标建议等，采购人、评委、</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均不得向投标人或与评标无关的其他人员透露。</w:t>
      </w:r>
    </w:p>
    <w:p w14:paraId="4C3B4487">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24.2在评标过程中，投标人不得以任何行为影响评标过程，否则其投标文件将被作为无效投标文件。</w:t>
      </w:r>
    </w:p>
    <w:p w14:paraId="36CEA843">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24.3 </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和评标委员会不向未中标的投标人解释未中标原因，也不公布评标过程中的相关</w:t>
      </w:r>
      <w:r>
        <w:rPr>
          <w:rFonts w:hint="eastAsia" w:ascii="宋体" w:hAnsi="宋体" w:eastAsia="宋体" w:cs="宋体"/>
          <w:color w:val="auto"/>
          <w:sz w:val="24"/>
          <w:szCs w:val="24"/>
          <w:highlight w:val="none"/>
        </w:rPr>
        <w:t>细节。</w:t>
      </w:r>
    </w:p>
    <w:p w14:paraId="7A360E34">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215" w:name="_Toc16938548"/>
      <w:bookmarkStart w:id="216" w:name="_Toc513029232"/>
      <w:bookmarkStart w:id="217" w:name="_Toc24246"/>
      <w:bookmarkStart w:id="218" w:name="_Toc12004"/>
      <w:bookmarkStart w:id="219" w:name="_Toc20823304"/>
      <w:r>
        <w:rPr>
          <w:rFonts w:hint="eastAsia" w:ascii="宋体" w:hAnsi="宋体" w:eastAsia="宋体" w:cs="宋体"/>
          <w:color w:val="auto"/>
          <w:sz w:val="24"/>
          <w:szCs w:val="24"/>
          <w:highlight w:val="none"/>
        </w:rPr>
        <w:t>25．投标文件的澄清</w:t>
      </w:r>
      <w:bookmarkEnd w:id="215"/>
      <w:bookmarkEnd w:id="216"/>
      <w:bookmarkEnd w:id="217"/>
      <w:bookmarkEnd w:id="218"/>
      <w:bookmarkEnd w:id="219"/>
    </w:p>
    <w:p w14:paraId="518FE997">
      <w:pPr>
        <w:pStyle w:val="14"/>
        <w:spacing w:beforeAutospacing="0" w:afterAutospacing="0" w:line="360" w:lineRule="auto"/>
        <w:ind w:firstLine="480"/>
        <w:jc w:val="both"/>
        <w:rPr>
          <w:rFonts w:hint="eastAsia" w:ascii="宋体" w:hAnsi="宋体" w:eastAsia="宋体" w:cs="宋体"/>
          <w:color w:val="auto"/>
          <w:sz w:val="24"/>
          <w:szCs w:val="24"/>
          <w:highlight w:val="none"/>
        </w:rPr>
      </w:pPr>
      <w:bookmarkStart w:id="220" w:name="_Toc513029233"/>
      <w:bookmarkStart w:id="221" w:name="_Toc20823305"/>
      <w:bookmarkStart w:id="222" w:name="_Toc16938549"/>
      <w:r>
        <w:rPr>
          <w:rFonts w:hint="eastAsia" w:ascii="宋体" w:hAnsi="宋体" w:eastAsia="宋体" w:cs="宋体"/>
          <w:color w:val="auto"/>
          <w:sz w:val="24"/>
          <w:szCs w:val="24"/>
          <w:highlight w:val="none"/>
        </w:rPr>
        <w:t>25.1评标期间，评委会对投标文件中含义不明确、同类问题表述不一致或者有明显文字和计算错误的内容，有权要求投标人作出必要的澄清、说明或者补正。</w:t>
      </w:r>
      <w:bookmarkEnd w:id="220"/>
      <w:bookmarkEnd w:id="221"/>
      <w:bookmarkEnd w:id="222"/>
    </w:p>
    <w:p w14:paraId="4251E80D">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投标人的澄清、说明或者补正不得超出投标文件的范围或者改变投标文件的实质性内容。</w:t>
      </w:r>
    </w:p>
    <w:p w14:paraId="6897B711">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评标委员会并非对每个投标人都做澄清要求。</w:t>
      </w:r>
    </w:p>
    <w:p w14:paraId="4C8A0777">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398575E9">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 接到评委会澄清、说明和补正要求的投标人如未按规定</w:t>
      </w:r>
      <w:r>
        <w:rPr>
          <w:rFonts w:hint="eastAsia" w:ascii="宋体" w:hAnsi="宋体" w:eastAsia="宋体" w:cs="宋体"/>
          <w:color w:val="auto"/>
          <w:sz w:val="24"/>
          <w:szCs w:val="24"/>
          <w:highlight w:val="none"/>
          <w:lang w:val="en-US" w:eastAsia="zh-CN"/>
        </w:rPr>
        <w:t>作</w:t>
      </w:r>
      <w:r>
        <w:rPr>
          <w:rFonts w:hint="eastAsia" w:ascii="宋体" w:hAnsi="宋体" w:eastAsia="宋体" w:cs="宋体"/>
          <w:color w:val="auto"/>
          <w:sz w:val="24"/>
          <w:szCs w:val="24"/>
          <w:highlight w:val="none"/>
        </w:rPr>
        <w:t>出澄清、</w:t>
      </w:r>
      <w:r>
        <w:rPr>
          <w:rFonts w:hint="eastAsia" w:ascii="宋体" w:hAnsi="宋体" w:eastAsia="宋体" w:cs="宋体"/>
          <w:color w:val="auto"/>
          <w:sz w:val="24"/>
          <w:szCs w:val="24"/>
          <w:highlight w:val="none"/>
        </w:rPr>
        <w:t>说明和补正，其风险由投标人自行承担。</w:t>
      </w:r>
    </w:p>
    <w:p w14:paraId="1912575A">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223" w:name="_Toc31411"/>
      <w:bookmarkStart w:id="224" w:name="_Toc25311"/>
      <w:r>
        <w:rPr>
          <w:rFonts w:hint="eastAsia" w:ascii="宋体" w:hAnsi="宋体" w:eastAsia="宋体" w:cs="宋体"/>
          <w:color w:val="auto"/>
          <w:sz w:val="24"/>
          <w:szCs w:val="24"/>
          <w:highlight w:val="none"/>
        </w:rPr>
        <w:t>26、对投标文件的初审</w:t>
      </w:r>
      <w:bookmarkEnd w:id="223"/>
      <w:bookmarkEnd w:id="224"/>
    </w:p>
    <w:p w14:paraId="50075BAC">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26.1投标文件初审分为资格审查和符合性审查。</w:t>
      </w:r>
    </w:p>
    <w:p w14:paraId="56905E99">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 资格审查：依据法律法规和</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的规定，由采购人对投标文件中的资格证明文件进行审查。资格审查的结论，采购人以书面形式向评委会进行反馈。</w:t>
      </w:r>
    </w:p>
    <w:p w14:paraId="45C4FFC8">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采购人在进行资格性审查的同时，将在“信用中国”网站（www.creditchina.gov.cn）查询投标人的信用记录，以确定投标人是否具备投标资格,查询结果留存并归档。</w:t>
      </w:r>
    </w:p>
    <w:p w14:paraId="12106543">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26.1.2 符合性审查：依据</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的规定，由评委会从投标文件的有效性、完整性和对</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的响应程度进行审查，以确定是否对</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的实质性要求作出响应。</w:t>
      </w:r>
    </w:p>
    <w:p w14:paraId="7AF371D9">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26.1.3 未通过资格审查或符合性审查的投标人，</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将</w:t>
      </w:r>
      <w:r>
        <w:rPr>
          <w:rFonts w:hint="eastAsia" w:ascii="宋体" w:hAnsi="宋体" w:eastAsia="宋体" w:cs="宋体"/>
          <w:color w:val="auto"/>
          <w:sz w:val="24"/>
          <w:szCs w:val="24"/>
          <w:highlight w:val="none"/>
        </w:rPr>
        <w:t>在苏采云系统中告知未通过资格审查或符合性审查的原因，评审结束后，</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将不再告知未通过资格审查或符合性审查的原因。</w:t>
      </w:r>
    </w:p>
    <w:p w14:paraId="2CBF45EF">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26.2在详细评标之前，评委会将首先审查每份投标文件是否实质性响应了</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的要求。实质性响应的投标应该是与</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要求的全部条款、条件和规格相符，没有重大偏离或保留的投标。</w:t>
      </w:r>
    </w:p>
    <w:p w14:paraId="51EB3CA0">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所谓重大偏离或保留是指与</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规定的实质性要求存在负偏离，或者在实质上与</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不一致，而且限制了合同中买方和</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67EF4867">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26.3如果投标文件实质上没有响应</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的要求，评委会将予以拒绝，投标人不得通过修改或撤销不</w:t>
      </w:r>
      <w:r>
        <w:rPr>
          <w:rFonts w:hint="eastAsia" w:ascii="宋体" w:hAnsi="宋体" w:eastAsia="宋体" w:cs="宋体"/>
          <w:color w:val="auto"/>
          <w:sz w:val="24"/>
          <w:szCs w:val="24"/>
          <w:highlight w:val="none"/>
          <w:lang w:val="en-US" w:eastAsia="zh-CN"/>
        </w:rPr>
        <w:t>符</w:t>
      </w:r>
      <w:r>
        <w:rPr>
          <w:rFonts w:hint="eastAsia" w:ascii="宋体" w:hAnsi="宋体" w:eastAsia="宋体" w:cs="宋体"/>
          <w:color w:val="auto"/>
          <w:sz w:val="24"/>
          <w:szCs w:val="24"/>
          <w:highlight w:val="none"/>
        </w:rPr>
        <w:t>合要求的偏离或保留而使其投标成为实质性响应的投标。</w:t>
      </w:r>
    </w:p>
    <w:p w14:paraId="251CC29B">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26.4评委会将对确定为实质性响应的投标进行进一步审核，看其是否有计算上或累加上的算术错误，修正错误的原则如下：</w:t>
      </w:r>
    </w:p>
    <w:p w14:paraId="6279A7DE">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（1）投标文件中开标一览表内容与投标文件中相应内容不一致的，以开标一览表为准。</w:t>
      </w:r>
    </w:p>
    <w:p w14:paraId="43D05FD8">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0FF81280">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3C281CA5">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2B33B4A5">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同时出现两种以上错误的，按照前款规定的顺序修正。</w:t>
      </w:r>
    </w:p>
    <w:p w14:paraId="376C0D64">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26.5评委会将按上述修正错误的方法调整投标文件中的投标报价，并通过苏采云系统告知投标人，调整后的价格应对投标人具有约束力。如果投标人不接受修正后的价格，则其投标将被拒绝。</w:t>
      </w:r>
    </w:p>
    <w:p w14:paraId="6B1D8CBF">
      <w:pPr>
        <w:pStyle w:val="14"/>
        <w:spacing w:beforeAutospacing="0" w:afterAutospacing="0" w:line="360" w:lineRule="auto"/>
        <w:ind w:firstLine="480"/>
        <w:jc w:val="both"/>
        <w:rPr>
          <w:rFonts w:hint="eastAsia" w:ascii="宋体" w:hAnsi="宋体" w:eastAsia="宋体" w:cs="宋体"/>
          <w:color w:val="auto"/>
          <w:sz w:val="24"/>
          <w:szCs w:val="24"/>
          <w:highlight w:val="none"/>
        </w:rPr>
      </w:pPr>
      <w:bookmarkStart w:id="225" w:name="_Toc16938550"/>
      <w:bookmarkStart w:id="226" w:name="_Toc20823306"/>
      <w:bookmarkStart w:id="227" w:name="_Toc513029234"/>
      <w:r>
        <w:rPr>
          <w:rFonts w:hint="eastAsia" w:ascii="宋体" w:hAnsi="宋体" w:eastAsia="宋体" w:cs="宋体"/>
          <w:color w:val="auto"/>
          <w:sz w:val="24"/>
          <w:szCs w:val="24"/>
          <w:highlight w:val="none"/>
        </w:rPr>
        <w:t>26.6采用最低评标价法的采购项目，提供相同品牌产品的不同投标人参加同一合同项下投标的，以其中通过资格审查、符合性审查且报价最低的参加评标；报价相同的，由评标委员会按照</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规定的方式（</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未规定的通过随机抽取的方式）确定一个参加评标的投标人，其他投标无效。</w:t>
      </w:r>
      <w:bookmarkEnd w:id="225"/>
      <w:bookmarkEnd w:id="226"/>
      <w:bookmarkEnd w:id="227"/>
    </w:p>
    <w:p w14:paraId="695D4A02">
      <w:pPr>
        <w:pStyle w:val="14"/>
        <w:spacing w:beforeAutospacing="0" w:afterAutospacing="0" w:line="360" w:lineRule="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26.7投标人在开、评标全过程中应</w:t>
      </w:r>
      <w:r>
        <w:rPr>
          <w:rFonts w:hint="eastAsia" w:ascii="宋体" w:hAnsi="宋体" w:eastAsia="宋体" w:cs="宋体"/>
          <w:color w:val="auto"/>
          <w:sz w:val="24"/>
          <w:szCs w:val="24"/>
          <w:highlight w:val="none"/>
          <w:lang w:eastAsia="zh-CN"/>
        </w:rPr>
        <w:t>保持通信畅通</w:t>
      </w:r>
      <w:r>
        <w:rPr>
          <w:rFonts w:hint="eastAsia" w:ascii="宋体" w:hAnsi="宋体" w:eastAsia="宋体" w:cs="宋体"/>
          <w:color w:val="auto"/>
          <w:sz w:val="24"/>
          <w:szCs w:val="24"/>
          <w:highlight w:val="none"/>
        </w:rPr>
        <w:t>，及时登录苏采云系统查阅、答复相关信息，并安排专人与</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及评标委员会联系。</w:t>
      </w:r>
    </w:p>
    <w:p w14:paraId="43CC36D8">
      <w:pPr>
        <w:pStyle w:val="14"/>
        <w:spacing w:beforeAutospacing="0" w:afterAutospacing="0" w:line="360" w:lineRule="auto"/>
        <w:ind w:firstLine="42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26.8 政府采购异常低价审查 </w:t>
      </w:r>
    </w:p>
    <w:p w14:paraId="4673F5CA">
      <w:pPr>
        <w:pStyle w:val="14"/>
        <w:spacing w:beforeAutospacing="0" w:afterAutospacing="0" w:line="360" w:lineRule="auto"/>
        <w:ind w:firstLine="42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26.8.1 评审过程中出现下列情形之一的，评审委员会应当启动异常低价投标（响应）审查程序： </w:t>
      </w:r>
    </w:p>
    <w:p w14:paraId="1B876157">
      <w:pPr>
        <w:pStyle w:val="14"/>
        <w:spacing w:beforeAutospacing="0" w:afterAutospacing="0" w:line="360" w:lineRule="auto"/>
        <w:ind w:firstLine="42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（1）投标（响应）报价低于采购项目预算 50%的，即投标（响应）报价&lt;采购项目预算×50%; </w:t>
      </w:r>
    </w:p>
    <w:p w14:paraId="0E60B64A">
      <w:pPr>
        <w:pStyle w:val="14"/>
        <w:spacing w:beforeAutospacing="0" w:afterAutospacing="0" w:line="360" w:lineRule="auto"/>
        <w:ind w:firstLine="42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（2）投标（响应）报价低于采购项目最高限价 45%的，即投标（响应）报价&lt;采购项目最高限价×45%; </w:t>
      </w:r>
    </w:p>
    <w:p w14:paraId="59ADB8EB">
      <w:pPr>
        <w:pStyle w:val="14"/>
        <w:spacing w:beforeAutospacing="0" w:afterAutospacing="0" w:line="360" w:lineRule="auto"/>
        <w:ind w:firstLine="42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（3）评审委员会认定的供应商报价过低、有可能影响产品质量或者不能诚信履约的其他情形。 </w:t>
      </w:r>
    </w:p>
    <w:p w14:paraId="0991026B">
      <w:pPr>
        <w:pStyle w:val="14"/>
        <w:spacing w:beforeAutospacing="0" w:afterAutospacing="0" w:line="360" w:lineRule="auto"/>
        <w:ind w:firstLine="42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26.8.2 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在评审报告中进行记录。</w:t>
      </w:r>
    </w:p>
    <w:p w14:paraId="6258925A">
      <w:pPr>
        <w:pStyle w:val="14"/>
        <w:keepNext/>
        <w:keepLines/>
        <w:spacing w:beforeAutospacing="0" w:afterAutospacing="0" w:line="360" w:lineRule="auto"/>
        <w:ind w:firstLine="420" w:firstLineChars="0"/>
        <w:jc w:val="both"/>
        <w:outlineLvl w:val="1"/>
        <w:rPr>
          <w:rFonts w:hint="eastAsia" w:ascii="宋体" w:hAnsi="宋体" w:eastAsia="宋体" w:cs="宋体"/>
          <w:color w:val="auto"/>
          <w:sz w:val="24"/>
          <w:szCs w:val="24"/>
          <w:highlight w:val="none"/>
        </w:rPr>
      </w:pPr>
      <w:bookmarkStart w:id="228" w:name="_Toc28928"/>
      <w:bookmarkStart w:id="229" w:name="_Toc28391"/>
      <w:r>
        <w:rPr>
          <w:rFonts w:hint="eastAsia" w:ascii="宋体" w:hAnsi="宋体" w:eastAsia="宋体" w:cs="宋体"/>
          <w:color w:val="auto"/>
          <w:sz w:val="24"/>
          <w:szCs w:val="24"/>
          <w:highlight w:val="none"/>
        </w:rPr>
        <w:t>27、无效投标条款和废标条款</w:t>
      </w:r>
      <w:bookmarkEnd w:id="228"/>
      <w:bookmarkEnd w:id="229"/>
    </w:p>
    <w:p w14:paraId="6F72D55E">
      <w:pPr>
        <w:pStyle w:val="14"/>
        <w:spacing w:beforeAutospacing="0" w:afterAutospacing="0" w:line="360" w:lineRule="auto"/>
        <w:ind w:left="479" w:leftChars="0"/>
        <w:jc w:val="both"/>
        <w:outlineLvl w:val="2"/>
        <w:rPr>
          <w:rFonts w:hint="eastAsia" w:ascii="宋体" w:hAnsi="宋体" w:eastAsia="宋体" w:cs="宋体"/>
          <w:color w:val="auto"/>
          <w:sz w:val="24"/>
          <w:szCs w:val="24"/>
          <w:highlight w:val="none"/>
        </w:rPr>
      </w:pPr>
      <w:bookmarkStart w:id="230" w:name="_Toc16192"/>
      <w:bookmarkStart w:id="231" w:name="_Toc8343"/>
      <w:bookmarkStart w:id="232" w:name="_Toc513029235"/>
      <w:bookmarkStart w:id="233" w:name="_Toc20823307"/>
      <w:bookmarkStart w:id="234" w:name="_Toc16938551"/>
      <w:r>
        <w:rPr>
          <w:rFonts w:hint="eastAsia" w:ascii="宋体" w:hAnsi="宋体" w:eastAsia="宋体" w:cs="宋体"/>
          <w:color w:val="auto"/>
          <w:sz w:val="24"/>
          <w:szCs w:val="24"/>
          <w:highlight w:val="none"/>
        </w:rPr>
        <w:t>27.1无效投标条款</w:t>
      </w:r>
      <w:bookmarkEnd w:id="230"/>
      <w:bookmarkEnd w:id="231"/>
      <w:bookmarkEnd w:id="232"/>
      <w:bookmarkEnd w:id="233"/>
      <w:bookmarkEnd w:id="234"/>
    </w:p>
    <w:p w14:paraId="199C480E">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27.1.1 投标人在苏采云系统规定的时间内未成功解密电子投标文件的。</w:t>
      </w:r>
    </w:p>
    <w:p w14:paraId="1EC94C00">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27.1.2 投标人未按照</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要求上传电子投标文件的。</w:t>
      </w:r>
    </w:p>
    <w:p w14:paraId="51A8645C">
      <w:pPr>
        <w:pStyle w:val="14"/>
        <w:spacing w:beforeAutospacing="0" w:afterAutospacing="0" w:line="360" w:lineRule="auto"/>
        <w:ind w:left="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27.1.3同一投标人提交两个（含两个）以上不同的投标报价的。</w:t>
      </w:r>
    </w:p>
    <w:p w14:paraId="50627D9E">
      <w:pPr>
        <w:pStyle w:val="14"/>
        <w:spacing w:beforeAutospacing="0" w:afterAutospacing="0" w:line="360" w:lineRule="auto"/>
        <w:ind w:left="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27.1.4投标人不具备</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中规定资格要求的。</w:t>
      </w:r>
    </w:p>
    <w:p w14:paraId="6818F182">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27.1.5投标人的报价超过了采购预算或最高限价的。</w:t>
      </w:r>
    </w:p>
    <w:p w14:paraId="30986556">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27.1.6未通过符合性审查的。</w:t>
      </w:r>
    </w:p>
    <w:p w14:paraId="4CB47D8D">
      <w:pPr>
        <w:pStyle w:val="14"/>
        <w:spacing w:beforeAutospacing="0" w:afterAutospacing="0" w:line="360" w:lineRule="auto"/>
        <w:ind w:firstLine="3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27.1.7不符合</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中规定的实质性要求和条件的</w:t>
      </w:r>
    </w:p>
    <w:p w14:paraId="347ECC01">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7C93C1F">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27.1.9  投标文件含有采购人不能接受的附加条件的。</w:t>
      </w:r>
    </w:p>
    <w:p w14:paraId="7E07836A">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27.1.10评标委员会认为投标人的报价明显低</w:t>
      </w:r>
      <w:r>
        <w:rPr>
          <w:rFonts w:hint="eastAsia" w:ascii="宋体" w:hAnsi="宋体" w:eastAsia="宋体" w:cs="宋体"/>
          <w:color w:val="auto"/>
          <w:sz w:val="24"/>
          <w:szCs w:val="24"/>
          <w:highlight w:val="none"/>
        </w:rPr>
        <w:t>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19E548C1">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27.1.11 本项目采购产品被财政部、</w:t>
      </w:r>
      <w:r>
        <w:rPr>
          <w:rFonts w:hint="eastAsia" w:ascii="宋体" w:hAnsi="宋体" w:eastAsia="宋体" w:cs="宋体"/>
          <w:color w:val="auto"/>
          <w:sz w:val="24"/>
          <w:szCs w:val="24"/>
          <w:highlight w:val="none"/>
          <w:lang w:eastAsia="zh-CN"/>
        </w:rPr>
        <w:t>国家发展改革委</w:t>
      </w:r>
      <w:r>
        <w:rPr>
          <w:rFonts w:hint="eastAsia" w:ascii="宋体" w:hAnsi="宋体" w:eastAsia="宋体" w:cs="宋体"/>
          <w:color w:val="auto"/>
          <w:sz w:val="24"/>
          <w:szCs w:val="24"/>
          <w:highlight w:val="none"/>
        </w:rPr>
        <w:t>、生态环境部等列入“节能产品品目清单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188A3437">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27.1.12 投标文件未按照</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要求加盖CA电子公章的。</w:t>
      </w:r>
    </w:p>
    <w:p w14:paraId="69A8EFFA">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27.1.13其他法律、法规及本</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规定的属无效投标的情形。</w:t>
      </w:r>
    </w:p>
    <w:p w14:paraId="007CE7C7">
      <w:pPr>
        <w:pStyle w:val="14"/>
        <w:spacing w:beforeAutospacing="0" w:afterAutospacing="0" w:line="360" w:lineRule="auto"/>
        <w:ind w:firstLine="480"/>
        <w:jc w:val="both"/>
        <w:rPr>
          <w:rFonts w:hint="eastAsia" w:ascii="宋体" w:hAnsi="宋体" w:eastAsia="宋体" w:cs="宋体"/>
          <w:color w:val="auto"/>
          <w:sz w:val="24"/>
          <w:szCs w:val="24"/>
          <w:highlight w:val="none"/>
        </w:rPr>
      </w:pPr>
      <w:bookmarkStart w:id="235" w:name="_Toc24862"/>
      <w:r>
        <w:rPr>
          <w:rFonts w:hint="eastAsia" w:ascii="宋体" w:hAnsi="宋体" w:eastAsia="宋体" w:cs="宋体"/>
          <w:color w:val="auto"/>
          <w:sz w:val="24"/>
          <w:szCs w:val="24"/>
          <w:highlight w:val="none"/>
        </w:rPr>
        <w:t>27.2废标条款</w:t>
      </w:r>
      <w:bookmarkEnd w:id="235"/>
    </w:p>
    <w:p w14:paraId="2832B0BD">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27.2.1符合专业条件的供应商或者对</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作实质响应的供应商不足三家的。</w:t>
      </w:r>
    </w:p>
    <w:p w14:paraId="624DEA76">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27.2.2出现影响采购公正的违法、违规行为的。</w:t>
      </w:r>
    </w:p>
    <w:p w14:paraId="2E50E73F">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27.2.3因重大变故，采购任务取消的。</w:t>
      </w:r>
    </w:p>
    <w:p w14:paraId="37387DC1">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27.2.4评标委员会认定</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存在歧义、重大缺陷导致评审工作无法进行。</w:t>
      </w:r>
    </w:p>
    <w:p w14:paraId="604228ED">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27.2.5 因苏采云</w:t>
      </w:r>
      <w:r>
        <w:rPr>
          <w:rFonts w:hint="eastAsia" w:ascii="宋体" w:hAnsi="宋体" w:eastAsia="宋体" w:cs="宋体"/>
          <w:color w:val="auto"/>
          <w:sz w:val="24"/>
          <w:szCs w:val="24"/>
          <w:highlight w:val="none"/>
          <w:lang w:eastAsia="zh-CN"/>
        </w:rPr>
        <w:t>系统故障</w:t>
      </w:r>
      <w:r>
        <w:rPr>
          <w:rFonts w:hint="eastAsia" w:ascii="宋体" w:hAnsi="宋体" w:eastAsia="宋体" w:cs="宋体"/>
          <w:color w:val="auto"/>
          <w:sz w:val="24"/>
          <w:szCs w:val="24"/>
          <w:highlight w:val="none"/>
        </w:rPr>
        <w:t>原因造成开标不成功的。</w:t>
      </w:r>
    </w:p>
    <w:p w14:paraId="2AFF2B5B">
      <w:pPr>
        <w:pStyle w:val="14"/>
        <w:spacing w:beforeAutospacing="0" w:afterAutospacing="0" w:line="360" w:lineRule="auto"/>
        <w:ind w:firstLine="480"/>
        <w:jc w:val="both"/>
        <w:rPr>
          <w:rFonts w:hint="eastAsia" w:ascii="宋体" w:hAnsi="宋体" w:eastAsia="宋体" w:cs="宋体"/>
          <w:color w:val="auto"/>
          <w:sz w:val="24"/>
          <w:szCs w:val="24"/>
          <w:highlight w:val="none"/>
        </w:rPr>
      </w:pPr>
      <w:bookmarkStart w:id="236" w:name="_Toc23034"/>
      <w:r>
        <w:rPr>
          <w:rFonts w:hint="eastAsia" w:ascii="宋体" w:hAnsi="宋体" w:eastAsia="宋体" w:cs="宋体"/>
          <w:color w:val="auto"/>
          <w:sz w:val="24"/>
          <w:szCs w:val="24"/>
          <w:highlight w:val="none"/>
        </w:rPr>
        <w:t>27.3 投标截止时间结束后参加投标的供应商不足三家的处理：</w:t>
      </w:r>
      <w:bookmarkEnd w:id="236"/>
    </w:p>
    <w:p w14:paraId="4AAF87CB">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27.3.1如出现投标截止时间结束后参加投标的供应商或者在评标期间对</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做出实质响应的供应商不足三家情况，按政府采购相关规定执行。</w:t>
      </w:r>
    </w:p>
    <w:p w14:paraId="13BE58D4">
      <w:pPr>
        <w:pStyle w:val="14"/>
        <w:keepNext/>
        <w:keepLines/>
        <w:spacing w:before="145" w:beforeAutospacing="0" w:after="145" w:afterAutospacing="0" w:line="360" w:lineRule="auto"/>
        <w:ind w:firstLine="482" w:firstLineChars="0"/>
        <w:jc w:val="both"/>
        <w:outlineLvl w:val="0"/>
        <w:rPr>
          <w:rFonts w:hint="eastAsia" w:ascii="宋体" w:hAnsi="宋体" w:eastAsia="宋体" w:cs="宋体"/>
          <w:color w:val="auto"/>
          <w:sz w:val="24"/>
          <w:szCs w:val="24"/>
          <w:highlight w:val="none"/>
        </w:rPr>
      </w:pPr>
      <w:bookmarkStart w:id="237" w:name="_Toc20796"/>
      <w:bookmarkStart w:id="238" w:name="_Toc120614219"/>
      <w:bookmarkStart w:id="239" w:name="_Toc20098"/>
      <w:r>
        <w:rPr>
          <w:rFonts w:hint="eastAsia" w:ascii="宋体" w:hAnsi="宋体" w:eastAsia="宋体" w:cs="宋体"/>
          <w:b/>
          <w:color w:val="auto"/>
          <w:sz w:val="24"/>
          <w:szCs w:val="24"/>
          <w:highlight w:val="none"/>
        </w:rPr>
        <w:t>六、定标</w:t>
      </w:r>
      <w:bookmarkEnd w:id="237"/>
      <w:bookmarkEnd w:id="238"/>
      <w:bookmarkEnd w:id="239"/>
    </w:p>
    <w:p w14:paraId="6CF15D84">
      <w:pPr>
        <w:pStyle w:val="14"/>
        <w:keepNext/>
        <w:keepLines/>
        <w:spacing w:beforeAutospacing="0" w:afterAutospacing="0" w:line="360" w:lineRule="auto"/>
        <w:ind w:firstLine="600" w:firstLineChars="0"/>
        <w:jc w:val="both"/>
        <w:outlineLvl w:val="1"/>
        <w:rPr>
          <w:rFonts w:hint="eastAsia" w:ascii="宋体" w:hAnsi="宋体" w:eastAsia="宋体" w:cs="宋体"/>
          <w:color w:val="auto"/>
          <w:sz w:val="24"/>
          <w:szCs w:val="24"/>
          <w:highlight w:val="none"/>
        </w:rPr>
      </w:pPr>
      <w:bookmarkStart w:id="240" w:name="_Toc20823310"/>
      <w:bookmarkStart w:id="241" w:name="_Toc513029238"/>
      <w:bookmarkStart w:id="242" w:name="_Toc16938554"/>
      <w:bookmarkStart w:id="243" w:name="_Toc26689"/>
      <w:bookmarkStart w:id="244" w:name="_Toc13441"/>
      <w:r>
        <w:rPr>
          <w:rFonts w:hint="eastAsia" w:ascii="宋体" w:hAnsi="宋体" w:eastAsia="宋体" w:cs="宋体"/>
          <w:color w:val="auto"/>
          <w:sz w:val="24"/>
          <w:szCs w:val="24"/>
          <w:highlight w:val="none"/>
        </w:rPr>
        <w:t>28、</w:t>
      </w:r>
      <w:bookmarkEnd w:id="240"/>
      <w:r>
        <w:rPr>
          <w:rFonts w:hint="eastAsia" w:ascii="宋体" w:hAnsi="宋体" w:eastAsia="宋体" w:cs="宋体"/>
          <w:color w:val="auto"/>
          <w:sz w:val="24"/>
          <w:szCs w:val="24"/>
          <w:highlight w:val="none"/>
        </w:rPr>
        <w:t>确定</w:t>
      </w:r>
      <w:bookmarkEnd w:id="241"/>
      <w:bookmarkEnd w:id="242"/>
      <w:r>
        <w:rPr>
          <w:rFonts w:hint="eastAsia" w:ascii="宋体" w:hAnsi="宋体" w:eastAsia="宋体" w:cs="宋体"/>
          <w:color w:val="auto"/>
          <w:sz w:val="24"/>
          <w:szCs w:val="24"/>
          <w:highlight w:val="none"/>
        </w:rPr>
        <w:t>中标单位</w:t>
      </w:r>
      <w:bookmarkEnd w:id="243"/>
      <w:bookmarkEnd w:id="244"/>
    </w:p>
    <w:p w14:paraId="5EB7BA6C">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28.1中标候选人的选取原则和数量见</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 xml:space="preserve">第五章规定。 </w:t>
      </w:r>
    </w:p>
    <w:p w14:paraId="2BE6DD41">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采购人应根据评委会推荐的中标候选人确定中标人。</w:t>
      </w:r>
    </w:p>
    <w:p w14:paraId="3D004C75">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28.3 </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将在</w:t>
      </w:r>
      <w:r>
        <w:rPr>
          <w:rFonts w:hint="eastAsia" w:ascii="宋体" w:hAnsi="宋体" w:eastAsia="宋体" w:cs="宋体"/>
          <w:color w:val="auto"/>
          <w:kern w:val="0"/>
          <w:sz w:val="24"/>
          <w:szCs w:val="24"/>
          <w:highlight w:val="none"/>
          <w:lang w:val="en-US" w:eastAsia="zh-CN" w:bidi="ar-SA"/>
        </w:rPr>
        <w:t>中国政府采购网”“</w:t>
      </w:r>
      <w:r>
        <w:rPr>
          <w:rFonts w:hint="eastAsia" w:ascii="宋体" w:hAnsi="宋体" w:eastAsia="宋体" w:cs="宋体"/>
          <w:color w:val="auto"/>
          <w:sz w:val="24"/>
          <w:szCs w:val="24"/>
          <w:highlight w:val="none"/>
        </w:rPr>
        <w:t>江苏政府采购网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盐城市政府采购网</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color w:val="auto"/>
          <w:sz w:val="24"/>
          <w:szCs w:val="24"/>
          <w:highlight w:val="none"/>
        </w:rPr>
        <w:t>发布中标公告，公告期限为1个工作日。</w:t>
      </w:r>
    </w:p>
    <w:p w14:paraId="386E0C9B">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  若有充分证据证明，中标人出现下列情况之一的，一经查实，将被取消中标资格：</w:t>
      </w:r>
    </w:p>
    <w:p w14:paraId="0BCD3E74">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28.4.1提供虚假材料谋取中标的。</w:t>
      </w:r>
    </w:p>
    <w:p w14:paraId="13E8AC6A">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28.4.2向采购人、</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行贿或者提供其他不正当利益的。</w:t>
      </w:r>
    </w:p>
    <w:p w14:paraId="734172C8">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28.4.3属于本文件规定的无效条件，但在评标过程中又未被评委会发现的。</w:t>
      </w:r>
    </w:p>
    <w:p w14:paraId="2D18E97D">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28.4.4与采购人或者其他供应商恶意串通的。</w:t>
      </w:r>
    </w:p>
    <w:p w14:paraId="6B4A574C">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28.4.5采取不正当手段诋毁、排挤其他供应商的。</w:t>
      </w:r>
    </w:p>
    <w:p w14:paraId="3FFAA27C">
      <w:pPr>
        <w:pStyle w:val="14"/>
        <w:spacing w:beforeAutospacing="0" w:afterAutospacing="0" w:line="360" w:lineRule="auto"/>
        <w:ind w:firstLine="480"/>
        <w:jc w:val="both"/>
        <w:rPr>
          <w:rFonts w:hint="eastAsia" w:ascii="宋体" w:hAnsi="宋体" w:eastAsia="宋体" w:cs="宋体"/>
          <w:color w:val="auto"/>
          <w:sz w:val="24"/>
          <w:szCs w:val="24"/>
          <w:highlight w:val="none"/>
        </w:rPr>
      </w:pPr>
      <w:bookmarkStart w:id="245" w:name="_Toc200451960"/>
      <w:r>
        <w:rPr>
          <w:rFonts w:hint="eastAsia" w:ascii="宋体" w:hAnsi="宋体" w:eastAsia="宋体" w:cs="宋体"/>
          <w:color w:val="auto"/>
          <w:sz w:val="24"/>
          <w:szCs w:val="24"/>
          <w:highlight w:val="none"/>
        </w:rPr>
        <w:t>28.5. 有下列情形之一的，视为投标人串通投标，投标无效：</w:t>
      </w:r>
      <w:bookmarkEnd w:id="245"/>
    </w:p>
    <w:p w14:paraId="17D0A977">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28.5.1不同投标人的投标文件由同一单位或者个人编制；</w:t>
      </w:r>
    </w:p>
    <w:p w14:paraId="25879A95">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28.5.2不同投标人委托同一单位或者个人办理投标事宜；</w:t>
      </w:r>
    </w:p>
    <w:p w14:paraId="35059A68">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28.5.3 不同投标人的投标文件载明的项目管理成员或者联系人员为同一人；</w:t>
      </w:r>
    </w:p>
    <w:p w14:paraId="16134A48">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28.5.4不同投标人的投标文件异常一致或者投标报价呈规律性差异；</w:t>
      </w:r>
    </w:p>
    <w:p w14:paraId="72D577B2">
      <w:pPr>
        <w:pStyle w:val="14"/>
        <w:keepNext/>
        <w:keepLines/>
        <w:spacing w:beforeAutospacing="0" w:afterAutospacing="0" w:line="360" w:lineRule="auto"/>
        <w:ind w:firstLine="600" w:firstLineChars="0"/>
        <w:jc w:val="both"/>
        <w:outlineLvl w:val="1"/>
        <w:rPr>
          <w:rFonts w:hint="eastAsia" w:ascii="宋体" w:hAnsi="宋体" w:eastAsia="宋体" w:cs="宋体"/>
          <w:color w:val="auto"/>
          <w:sz w:val="24"/>
          <w:szCs w:val="24"/>
          <w:highlight w:val="none"/>
        </w:rPr>
      </w:pPr>
      <w:bookmarkStart w:id="246" w:name="_Toc20663"/>
      <w:bookmarkStart w:id="247" w:name="_Toc14060"/>
      <w:r>
        <w:rPr>
          <w:rFonts w:hint="eastAsia" w:ascii="宋体" w:hAnsi="宋体" w:eastAsia="宋体" w:cs="宋体"/>
          <w:color w:val="auto"/>
          <w:sz w:val="24"/>
          <w:szCs w:val="24"/>
          <w:highlight w:val="none"/>
        </w:rPr>
        <w:t>29、质疑处理</w:t>
      </w:r>
      <w:bookmarkEnd w:id="246"/>
      <w:bookmarkEnd w:id="247"/>
    </w:p>
    <w:p w14:paraId="59C4C9EB">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提出质疑的供应商应当是参与所质疑项目采购活动的供应商。潜在供应商依法获取其可质疑的采购文件的，可以对采购文件提出质疑。</w:t>
      </w:r>
    </w:p>
    <w:p w14:paraId="5664335E">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29.2供应商认为采购文件、采购过程和采购结果使自己的权益受到损害的，可以在知道或应知其权益受到损害之日起七个工作日内，以书面形式根据下述29.4条款的规定向</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或采购人提出质疑。上述应知其权益受到损害之日，是指：</w:t>
      </w:r>
    </w:p>
    <w:p w14:paraId="2C6A5E0C">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29.2.1对可以质疑的采购文件提出质疑的，为收到采购文件之日或者采购文件公告期限届满之日；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29.2.2对采购过程提出质疑的，为各采购程序环节结束之日；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29.2.3对中标或者成交结果提出质疑的，为中标或者成交结果公告期限届满之日。</w:t>
      </w:r>
    </w:p>
    <w:p w14:paraId="1C1F7295">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供应商应当在法定质疑期内一次性提出针对同一采购程序环节的质疑。供应商如在法定期限内对同一采购程序环节提出多次质疑的，</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、采购人将只对供应商第一次质疑作出答复。</w:t>
      </w:r>
    </w:p>
    <w:p w14:paraId="5CF65371">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29.3质疑函必须按照本</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中《质疑函范本》要求的格式和内容进行填写。供应商如组成联合体参加投标，则《质疑函范本》中要求签字、盖章、加盖公章之处，联合体各方均须按要求签字、盖章、加盖公章。</w:t>
      </w:r>
    </w:p>
    <w:p w14:paraId="47C9E770">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29.4 供应</w:t>
      </w:r>
      <w:r>
        <w:rPr>
          <w:rFonts w:hint="eastAsia" w:ascii="宋体" w:hAnsi="宋体" w:eastAsia="宋体" w:cs="宋体"/>
          <w:color w:val="auto"/>
          <w:sz w:val="24"/>
          <w:szCs w:val="24"/>
          <w:highlight w:val="none"/>
        </w:rPr>
        <w:t>商（含潜在供应商）对采购方式、</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中采购需求、供应商资格条件、评标方法和评标标准、合同文本及资格审查结果的询问、质疑请向采购人提出，由采购人负责答复。供应商对其他事项的询问、质疑请向</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提出，由</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负责答复。</w:t>
      </w:r>
    </w:p>
    <w:p w14:paraId="296C6A69">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采购人及</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只接收以纸质原件形式送达的质疑,采购人和</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不接受未填写快递运单的快件。质疑接收部门为</w:t>
      </w:r>
      <w:r>
        <w:rPr>
          <w:rFonts w:hint="eastAsia" w:ascii="宋体" w:hAnsi="宋体" w:eastAsia="宋体" w:cs="宋体"/>
          <w:color w:val="auto"/>
          <w:sz w:val="24"/>
          <w:szCs w:val="24"/>
          <w:highlight w:val="none"/>
          <w:lang w:val="en-US" w:eastAsia="zh-CN"/>
        </w:rPr>
        <w:t>滨海县植物保护站</w:t>
      </w:r>
      <w:r>
        <w:rPr>
          <w:rFonts w:hint="eastAsia" w:ascii="宋体" w:hAnsi="宋体" w:eastAsia="宋体" w:cs="宋体"/>
          <w:color w:val="auto"/>
          <w:sz w:val="24"/>
          <w:szCs w:val="24"/>
          <w:highlight w:val="none"/>
        </w:rPr>
        <w:t>。</w:t>
      </w:r>
    </w:p>
    <w:p w14:paraId="071C5D74">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29.5 以下情形的质疑不予受理</w:t>
      </w:r>
    </w:p>
    <w:p w14:paraId="7F914B5E">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29.5.1 内容不符合《政府采购质疑和投诉办法》第十二条规定的质疑。</w:t>
      </w:r>
    </w:p>
    <w:p w14:paraId="5117AD53">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29.5.2 超出政府采购法定期限的质疑。</w:t>
      </w:r>
    </w:p>
    <w:p w14:paraId="26178371">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29.5.3 以传真、电子邮件等方式递交的非原件形式的质疑。</w:t>
      </w:r>
    </w:p>
    <w:p w14:paraId="276C3DD6">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29.5.4 未参加投标活动的供应商或在投标活动中自身权益未受到损害的供应商所提出的质疑。</w:t>
      </w:r>
    </w:p>
    <w:p w14:paraId="295142B9">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29.5.5供应商组成联合体参加投标，联合体中任何一方或多方未按要求签字、盖章、加盖公章的质疑。</w:t>
      </w:r>
    </w:p>
    <w:p w14:paraId="0E6878F6">
      <w:pPr>
        <w:pStyle w:val="14"/>
        <w:spacing w:beforeAutospacing="0" w:afterAutospacing="0" w:line="360" w:lineRule="auto"/>
        <w:ind w:firstLine="46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29.6  供应商提出书面质疑必须有理、有据，不得捏造事实、提供虚假材料进行恶意质疑。否则，一经查实，</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有权依据政府采购的有关规定，报请政府采购监管部门对该供应商进行相应的行政处罚和记录该供应商的失信信息。</w:t>
      </w:r>
    </w:p>
    <w:p w14:paraId="0DF24AE6">
      <w:pPr>
        <w:pStyle w:val="14"/>
        <w:keepNext/>
        <w:keepLines/>
        <w:spacing w:beforeAutospacing="0" w:afterAutospacing="0" w:line="360" w:lineRule="auto"/>
        <w:ind w:firstLine="600" w:firstLineChars="0"/>
        <w:jc w:val="both"/>
        <w:outlineLvl w:val="1"/>
        <w:rPr>
          <w:rFonts w:hint="eastAsia" w:ascii="宋体" w:hAnsi="宋体" w:eastAsia="宋体" w:cs="宋体"/>
          <w:color w:val="auto"/>
          <w:sz w:val="24"/>
          <w:szCs w:val="24"/>
          <w:highlight w:val="none"/>
        </w:rPr>
      </w:pPr>
      <w:bookmarkStart w:id="248" w:name="_Toc12642"/>
      <w:bookmarkStart w:id="249" w:name="_Toc13556"/>
      <w:r>
        <w:rPr>
          <w:rFonts w:hint="eastAsia" w:ascii="宋体" w:hAnsi="宋体" w:eastAsia="宋体" w:cs="宋体"/>
          <w:color w:val="auto"/>
          <w:sz w:val="24"/>
          <w:szCs w:val="24"/>
          <w:highlight w:val="none"/>
        </w:rPr>
        <w:t>30、中标通知书</w:t>
      </w:r>
      <w:bookmarkEnd w:id="248"/>
      <w:bookmarkEnd w:id="249"/>
    </w:p>
    <w:p w14:paraId="4F0DFD43">
      <w:pPr>
        <w:pStyle w:val="14"/>
        <w:spacing w:beforeAutospacing="0" w:afterAutospacing="0"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30.l</w:t>
      </w:r>
      <w:r>
        <w:rPr>
          <w:rFonts w:hint="eastAsia" w:ascii="宋体" w:hAnsi="宋体" w:eastAsia="宋体" w:cs="宋体"/>
          <w:b/>
          <w:color w:val="auto"/>
          <w:sz w:val="24"/>
          <w:szCs w:val="24"/>
          <w:highlight w:val="none"/>
        </w:rPr>
        <w:t> </w:t>
      </w:r>
      <w:r>
        <w:rPr>
          <w:rFonts w:hint="eastAsia" w:ascii="宋体" w:hAnsi="宋体" w:eastAsia="宋体" w:cs="宋体"/>
          <w:color w:val="auto"/>
          <w:sz w:val="24"/>
          <w:szCs w:val="24"/>
          <w:highlight w:val="none"/>
        </w:rPr>
        <w:t>中标结果确定后，</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将向中标人发出中标通知书。请中标人在中标结果公告届满之日起30日内,使用CA数字证书</w:t>
      </w:r>
      <w:r>
        <w:rPr>
          <w:rFonts w:hint="eastAsia" w:ascii="宋体" w:hAnsi="宋体" w:eastAsia="宋体" w:cs="宋体"/>
          <w:color w:val="auto"/>
          <w:sz w:val="24"/>
          <w:szCs w:val="24"/>
          <w:highlight w:val="none"/>
        </w:rPr>
        <w:t>登录苏采云系统及时下载中标通知书。因系统存储空间有限，自中标结果公告届满之日起30日后，苏采云系统不再保证提供下载中标通知书服务,因未及时下载而造成的不利后果由中</w:t>
      </w:r>
      <w:r>
        <w:rPr>
          <w:rFonts w:hint="eastAsia" w:ascii="宋体" w:hAnsi="宋体" w:eastAsia="宋体" w:cs="宋体"/>
          <w:color w:val="auto"/>
          <w:sz w:val="24"/>
          <w:szCs w:val="24"/>
          <w:highlight w:val="none"/>
        </w:rPr>
        <w:t>标人自行承担。</w:t>
      </w:r>
    </w:p>
    <w:p w14:paraId="4605D1C0">
      <w:pPr>
        <w:pStyle w:val="14"/>
        <w:spacing w:beforeAutospacing="0" w:afterAutospacing="0"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30.2中标通知书将是合同的一个组成部分。对采购人和中标供应商均具有法律效力。中标通知书发出后，采购人改变中标结果的，或者中标供应商放弃中标项目的，应当依法承担法律责任。</w:t>
      </w:r>
    </w:p>
    <w:p w14:paraId="5ED6DDAB">
      <w:pPr>
        <w:pStyle w:val="14"/>
        <w:keepNext/>
        <w:keepLines/>
        <w:spacing w:before="145" w:beforeAutospacing="0" w:after="145" w:afterAutospacing="0" w:line="360" w:lineRule="auto"/>
        <w:jc w:val="both"/>
        <w:outlineLvl w:val="0"/>
        <w:rPr>
          <w:rFonts w:hint="eastAsia" w:ascii="宋体" w:hAnsi="宋体" w:eastAsia="宋体" w:cs="宋体"/>
          <w:color w:val="auto"/>
          <w:sz w:val="24"/>
          <w:szCs w:val="24"/>
          <w:highlight w:val="none"/>
        </w:rPr>
      </w:pPr>
      <w:bookmarkStart w:id="250" w:name="_Toc120614220"/>
      <w:bookmarkStart w:id="251" w:name="_Toc16938552"/>
      <w:bookmarkStart w:id="252" w:name="_Toc513029236"/>
      <w:bookmarkStart w:id="253" w:name="_Toc20823308"/>
      <w:bookmarkStart w:id="254" w:name="_Toc8207"/>
      <w:bookmarkStart w:id="255" w:name="_Toc31955"/>
      <w:r>
        <w:rPr>
          <w:rFonts w:hint="eastAsia" w:ascii="宋体" w:hAnsi="宋体" w:eastAsia="宋体" w:cs="宋体"/>
          <w:b/>
          <w:color w:val="auto"/>
          <w:sz w:val="24"/>
          <w:szCs w:val="24"/>
          <w:highlight w:val="none"/>
        </w:rPr>
        <w:t>七、授予合同</w:t>
      </w:r>
      <w:bookmarkEnd w:id="250"/>
      <w:bookmarkEnd w:id="251"/>
      <w:bookmarkEnd w:id="252"/>
      <w:bookmarkEnd w:id="253"/>
      <w:bookmarkEnd w:id="254"/>
      <w:bookmarkEnd w:id="255"/>
    </w:p>
    <w:p w14:paraId="3FD53760">
      <w:pPr>
        <w:pStyle w:val="14"/>
        <w:keepNext/>
        <w:keepLines/>
        <w:spacing w:beforeAutospacing="0" w:afterAutospacing="0" w:line="360" w:lineRule="auto"/>
        <w:ind w:firstLine="600" w:firstLineChars="0"/>
        <w:jc w:val="both"/>
        <w:outlineLvl w:val="1"/>
        <w:rPr>
          <w:rFonts w:hint="eastAsia" w:ascii="宋体" w:hAnsi="宋体" w:eastAsia="宋体" w:cs="宋体"/>
          <w:color w:val="auto"/>
          <w:sz w:val="24"/>
          <w:szCs w:val="24"/>
          <w:highlight w:val="none"/>
        </w:rPr>
      </w:pPr>
      <w:bookmarkStart w:id="256" w:name="_Toc10725"/>
      <w:bookmarkStart w:id="257" w:name="_Toc17802"/>
      <w:bookmarkStart w:id="258" w:name="_Toc513029237"/>
      <w:bookmarkStart w:id="259" w:name="_Toc16938553"/>
      <w:bookmarkStart w:id="260" w:name="_Toc20823309"/>
      <w:r>
        <w:rPr>
          <w:rFonts w:hint="eastAsia" w:ascii="宋体" w:hAnsi="宋体" w:eastAsia="宋体" w:cs="宋体"/>
          <w:color w:val="auto"/>
          <w:sz w:val="24"/>
          <w:szCs w:val="24"/>
          <w:highlight w:val="none"/>
        </w:rPr>
        <w:t>31. 签订合同</w:t>
      </w:r>
      <w:bookmarkEnd w:id="256"/>
      <w:bookmarkEnd w:id="257"/>
      <w:bookmarkEnd w:id="258"/>
      <w:bookmarkEnd w:id="259"/>
      <w:bookmarkEnd w:id="260"/>
    </w:p>
    <w:p w14:paraId="3B519A32">
      <w:pPr>
        <w:pStyle w:val="14"/>
        <w:spacing w:beforeAutospacing="0" w:afterAutospacing="0" w:line="360" w:lineRule="auto"/>
        <w:ind w:firstLine="600" w:firstLineChars="0"/>
        <w:jc w:val="both"/>
        <w:outlineLvl w:val="2"/>
        <w:rPr>
          <w:rFonts w:hint="eastAsia" w:ascii="宋体" w:hAnsi="宋体" w:eastAsia="宋体" w:cs="宋体"/>
          <w:color w:val="auto"/>
          <w:sz w:val="24"/>
          <w:szCs w:val="24"/>
          <w:highlight w:val="none"/>
        </w:rPr>
      </w:pPr>
      <w:bookmarkStart w:id="261" w:name="_Toc11602"/>
      <w:bookmarkStart w:id="262" w:name="_Toc7554"/>
      <w:r>
        <w:rPr>
          <w:rFonts w:hint="eastAsia" w:ascii="宋体" w:hAnsi="宋体" w:eastAsia="宋体" w:cs="宋体"/>
          <w:color w:val="auto"/>
          <w:sz w:val="24"/>
          <w:szCs w:val="24"/>
          <w:highlight w:val="none"/>
        </w:rPr>
        <w:t>31.l</w:t>
      </w:r>
      <w:r>
        <w:rPr>
          <w:rFonts w:hint="eastAsia" w:ascii="宋体" w:hAnsi="宋体" w:eastAsia="宋体" w:cs="宋体"/>
          <w:color w:val="auto"/>
          <w:sz w:val="24"/>
          <w:szCs w:val="24"/>
          <w:highlight w:val="none"/>
        </w:rPr>
        <w:t>中标人应当在中标通知书发出之日起</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确定的事项与采购人签订政府采购合同。</w:t>
      </w:r>
      <w:bookmarkEnd w:id="261"/>
      <w:bookmarkEnd w:id="262"/>
    </w:p>
    <w:p w14:paraId="47C5C3E9">
      <w:pPr>
        <w:pStyle w:val="14"/>
        <w:spacing w:beforeAutospacing="0" w:afterAutospacing="0" w:line="360" w:lineRule="auto"/>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、中标人的投标文件及招标过程中有关澄清、承诺文件均应作为合同附件。</w:t>
      </w:r>
    </w:p>
    <w:p w14:paraId="60EA278A">
      <w:pPr>
        <w:pStyle w:val="14"/>
        <w:spacing w:beforeAutospacing="0" w:afterAutospacing="0" w:line="360" w:lineRule="auto"/>
        <w:ind w:firstLine="60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31.3 签订合同后，</w:t>
      </w:r>
      <w:r>
        <w:rPr>
          <w:rFonts w:hint="eastAsia" w:ascii="宋体" w:hAnsi="宋体" w:eastAsia="宋体" w:cs="宋体"/>
          <w:b/>
          <w:bCs/>
          <w:i/>
          <w:color w:val="auto"/>
          <w:sz w:val="24"/>
          <w:szCs w:val="24"/>
          <w:highlight w:val="none"/>
          <w:u w:val="single"/>
        </w:rPr>
        <w:t>中标人不得将合同标的进行转包</w:t>
      </w:r>
      <w:r>
        <w:rPr>
          <w:rFonts w:hint="eastAsia" w:ascii="宋体" w:hAnsi="宋体" w:eastAsia="宋体" w:cs="宋体"/>
          <w:color w:val="auto"/>
          <w:sz w:val="24"/>
          <w:szCs w:val="24"/>
          <w:highlight w:val="none"/>
        </w:rPr>
        <w:t>。未经采购人同意，中标人也不得采用分包的形式履行合同，否则采购人有权终止合同。转包或分包造成采</w:t>
      </w:r>
      <w:r>
        <w:rPr>
          <w:rFonts w:hint="eastAsia" w:ascii="宋体" w:hAnsi="宋体" w:eastAsia="宋体" w:cs="宋体"/>
          <w:color w:val="auto"/>
          <w:sz w:val="24"/>
          <w:szCs w:val="24"/>
          <w:highlight w:val="none"/>
          <w:shd w:val="clear" w:color="auto" w:fill="auto"/>
        </w:rPr>
        <w:t>购人损失的，中标人应承担相应赔偿责任。</w:t>
      </w:r>
    </w:p>
    <w:p w14:paraId="7A8BD332">
      <w:pPr>
        <w:pStyle w:val="14"/>
        <w:keepNext/>
        <w:keepLines/>
        <w:spacing w:beforeAutospacing="0" w:afterAutospacing="0" w:line="360" w:lineRule="auto"/>
        <w:ind w:firstLine="600" w:firstLineChars="0"/>
        <w:jc w:val="both"/>
        <w:outlineLvl w:val="1"/>
        <w:rPr>
          <w:rFonts w:hint="eastAsia" w:ascii="宋体" w:hAnsi="宋体" w:eastAsia="宋体" w:cs="宋体"/>
          <w:color w:val="auto"/>
          <w:sz w:val="24"/>
          <w:szCs w:val="24"/>
          <w:highlight w:val="none"/>
        </w:rPr>
      </w:pPr>
      <w:bookmarkStart w:id="263" w:name="_Toc30989"/>
      <w:bookmarkStart w:id="264" w:name="_Toc9618"/>
      <w:r>
        <w:rPr>
          <w:rFonts w:hint="eastAsia" w:ascii="宋体" w:hAnsi="宋体" w:eastAsia="宋体" w:cs="宋体"/>
          <w:color w:val="auto"/>
          <w:sz w:val="24"/>
          <w:szCs w:val="24"/>
          <w:highlight w:val="none"/>
        </w:rPr>
        <w:t>32、货物（包含与货物相关的服务）的追加</w:t>
      </w:r>
      <w:bookmarkEnd w:id="263"/>
      <w:bookmarkEnd w:id="264"/>
    </w:p>
    <w:p w14:paraId="779FCA96">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政府采购合同履行中，采购人需追加与合同标的相同的货物（包含与货物相关的服务）的，在不改变合同其他条款的前提下，可以与中标人协商签订补充合同，但所有补充合同的采购金额不超过原合同金额10%。</w:t>
      </w:r>
    </w:p>
    <w:p w14:paraId="720EEBF9">
      <w:pPr>
        <w:pStyle w:val="14"/>
        <w:numPr>
          <w:ilvl w:val="0"/>
          <w:numId w:val="0"/>
        </w:numPr>
        <w:spacing w:beforeAutospacing="0" w:afterAutospacing="0" w:line="360" w:lineRule="auto"/>
        <w:ind w:left="0" w:leftChars="0" w:firstLine="480" w:firstLineChars="200"/>
        <w:jc w:val="both"/>
        <w:outlineLvl w:val="1"/>
        <w:rPr>
          <w:rFonts w:hint="eastAsia" w:ascii="宋体" w:hAnsi="宋体" w:eastAsia="宋体" w:cs="宋体"/>
          <w:color w:val="auto"/>
          <w:sz w:val="24"/>
          <w:szCs w:val="24"/>
          <w:highlight w:val="none"/>
          <w:lang w:val="en-US" w:eastAsia="zh-CN"/>
        </w:rPr>
      </w:pPr>
      <w:bookmarkStart w:id="265" w:name="_Toc29192"/>
      <w:bookmarkStart w:id="266" w:name="_Toc25071"/>
      <w:r>
        <w:rPr>
          <w:rFonts w:hint="eastAsia" w:ascii="宋体" w:hAnsi="宋体" w:eastAsia="宋体" w:cs="宋体"/>
          <w:color w:val="auto"/>
          <w:sz w:val="24"/>
          <w:szCs w:val="24"/>
          <w:highlight w:val="none"/>
          <w:lang w:val="en-US" w:eastAsia="zh-CN"/>
        </w:rPr>
        <w:t>33.政府采购政策功能落实</w:t>
      </w:r>
      <w:bookmarkEnd w:id="265"/>
      <w:bookmarkEnd w:id="266"/>
    </w:p>
    <w:p w14:paraId="3EA2C724">
      <w:pPr>
        <w:pStyle w:val="14"/>
        <w:keepNext/>
        <w:keepLines/>
        <w:spacing w:beforeAutospacing="0" w:afterAutospacing="0" w:line="360" w:lineRule="auto"/>
        <w:ind w:firstLine="480" w:firstLineChars="200"/>
        <w:jc w:val="both"/>
        <w:outlineLvl w:val="2"/>
        <w:rPr>
          <w:rFonts w:hint="eastAsia" w:ascii="宋体" w:hAnsi="宋体" w:eastAsia="宋体" w:cs="宋体"/>
          <w:color w:val="auto"/>
          <w:sz w:val="24"/>
          <w:szCs w:val="24"/>
          <w:highlight w:val="none"/>
        </w:rPr>
      </w:pPr>
      <w:bookmarkStart w:id="267" w:name="_Toc25057"/>
      <w:bookmarkStart w:id="268" w:name="_Toc6150"/>
      <w:r>
        <w:rPr>
          <w:rFonts w:hint="eastAsia" w:ascii="宋体" w:hAnsi="宋体" w:eastAsia="宋体" w:cs="宋体"/>
          <w:color w:val="auto"/>
          <w:sz w:val="24"/>
          <w:szCs w:val="24"/>
          <w:highlight w:val="none"/>
          <w:lang w:val="en-US" w:eastAsia="zh-CN"/>
        </w:rPr>
        <w:t>33.1</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eastAsia="zh-CN"/>
        </w:rPr>
        <w:t>线上合同信用融资</w:t>
      </w:r>
      <w:r>
        <w:rPr>
          <w:rFonts w:hint="eastAsia" w:ascii="宋体" w:hAnsi="宋体" w:eastAsia="宋体" w:cs="宋体"/>
          <w:color w:val="auto"/>
          <w:sz w:val="24"/>
          <w:szCs w:val="24"/>
          <w:highlight w:val="none"/>
        </w:rPr>
        <w:t>政策</w:t>
      </w:r>
      <w:bookmarkEnd w:id="267"/>
      <w:bookmarkEnd w:id="268"/>
    </w:p>
    <w:p w14:paraId="7831DEFD">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根据《转发江苏省财政厅 中国人民银行南京分行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关于深入推进政府采购线上合同信用融资工作的通知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的通知》（盐财购〔2021〕20号）规定，中标供应商如有融资需求，可持政府采购合同在线向相关金融机构（具体信息详见</w:t>
      </w:r>
      <w:r>
        <w:rPr>
          <w:rFonts w:hint="eastAsia" w:ascii="宋体" w:hAnsi="宋体" w:eastAsia="宋体" w:cs="宋体"/>
          <w:color w:val="auto"/>
          <w:sz w:val="24"/>
          <w:szCs w:val="24"/>
          <w:highlight w:val="none"/>
          <w:lang w:val="en-US" w:eastAsia="zh-CN"/>
        </w:rPr>
        <w:t>江苏省</w:t>
      </w:r>
      <w:r>
        <w:rPr>
          <w:rFonts w:hint="eastAsia" w:ascii="宋体" w:hAnsi="宋体" w:eastAsia="宋体" w:cs="宋体"/>
          <w:color w:val="auto"/>
          <w:sz w:val="24"/>
          <w:szCs w:val="24"/>
          <w:highlight w:val="none"/>
        </w:rPr>
        <w:t>政府采购网“政采贷”栏目）申请贷款，相关金融机构按照双方自愿的原则提供便捷、优惠的贷款服务；具体操作流程请参考苏采云系统中操作手册。 </w:t>
      </w:r>
    </w:p>
    <w:p w14:paraId="05A8ADEB">
      <w:pPr>
        <w:tabs>
          <w:tab w:val="left" w:pos="1381"/>
        </w:tabs>
        <w:spacing w:line="360" w:lineRule="auto"/>
        <w:ind w:firstLine="482" w:firstLineChars="0"/>
        <w:outlineLvl w:val="2"/>
        <w:rPr>
          <w:rFonts w:hint="eastAsia" w:ascii="宋体" w:hAnsi="宋体" w:eastAsia="宋体" w:cs="宋体"/>
          <w:color w:val="auto"/>
          <w:kern w:val="0"/>
          <w:sz w:val="24"/>
          <w:szCs w:val="24"/>
          <w:highlight w:val="none"/>
          <w:lang w:val="en-US" w:eastAsia="zh-CN" w:bidi="ar-SA"/>
        </w:rPr>
      </w:pPr>
      <w:bookmarkStart w:id="269" w:name="_Toc17131"/>
      <w:bookmarkStart w:id="270" w:name="_Toc27357"/>
      <w:r>
        <w:rPr>
          <w:rFonts w:hint="eastAsia" w:ascii="宋体" w:hAnsi="宋体" w:eastAsia="宋体" w:cs="宋体"/>
          <w:color w:val="auto"/>
          <w:kern w:val="0"/>
          <w:sz w:val="24"/>
          <w:szCs w:val="24"/>
          <w:highlight w:val="none"/>
          <w:lang w:val="en-US" w:eastAsia="zh-CN" w:bidi="ar-SA"/>
        </w:rPr>
        <w:t>33.2进口产品</w:t>
      </w:r>
      <w:bookmarkEnd w:id="269"/>
      <w:bookmarkEnd w:id="270"/>
    </w:p>
    <w:p w14:paraId="5E25FDB5">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进口产品</w:t>
      </w:r>
      <w:r>
        <w:rPr>
          <w:rFonts w:hint="eastAsia" w:ascii="宋体" w:hAnsi="宋体" w:eastAsia="宋体" w:cs="宋体"/>
          <w:color w:val="auto"/>
          <w:sz w:val="24"/>
          <w:szCs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734478A">
      <w:pPr>
        <w:tabs>
          <w:tab w:val="left" w:pos="1381"/>
        </w:tabs>
        <w:spacing w:line="360" w:lineRule="auto"/>
        <w:ind w:firstLine="482" w:firstLineChars="0"/>
        <w:outlineLvl w:val="2"/>
        <w:rPr>
          <w:rFonts w:hint="eastAsia" w:ascii="宋体" w:hAnsi="宋体" w:eastAsia="宋体" w:cs="宋体"/>
          <w:color w:val="auto"/>
          <w:kern w:val="0"/>
          <w:sz w:val="24"/>
          <w:szCs w:val="24"/>
          <w:highlight w:val="none"/>
          <w:lang w:val="en-US" w:eastAsia="zh-CN" w:bidi="ar-SA"/>
        </w:rPr>
      </w:pPr>
      <w:bookmarkStart w:id="271" w:name="_Toc32156"/>
      <w:bookmarkStart w:id="272" w:name="_Toc15503"/>
      <w:r>
        <w:rPr>
          <w:rFonts w:hint="eastAsia" w:ascii="宋体" w:hAnsi="宋体" w:eastAsia="宋体" w:cs="宋体"/>
          <w:color w:val="auto"/>
          <w:kern w:val="0"/>
          <w:sz w:val="24"/>
          <w:szCs w:val="24"/>
          <w:highlight w:val="none"/>
          <w:lang w:val="en-US" w:eastAsia="zh-CN" w:bidi="ar-SA"/>
        </w:rPr>
        <w:t>33.3中小企业、监狱企业及残疾人福利性单位</w:t>
      </w:r>
      <w:bookmarkEnd w:id="271"/>
      <w:bookmarkEnd w:id="272"/>
    </w:p>
    <w:p w14:paraId="63807B9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.3.1中小企业定义：</w:t>
      </w:r>
    </w:p>
    <w:p w14:paraId="4C9CBD8E">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政府采购促进中小企业发展管理办法》（财库〔2020〕46号）、《关于印发中小企业划型标准规定的通知》（工信部联企业〔2011〕300 号）、《国务院关于进一步促进中小企业发展的若干意见》（国发〔2009〕36 号）。</w:t>
      </w:r>
    </w:p>
    <w:p w14:paraId="30D4ACCA">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.3.2供应商提供的货物、工程或者服务符合下列情形的，享受中小企业扶持政策：</w:t>
      </w:r>
    </w:p>
    <w:p w14:paraId="6761BEF4">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.3.2.1在货物采购项目中，货物由中小企业制造，即货物由中小企业生产且使用该中小企业商号或者注册商标；</w:t>
      </w:r>
    </w:p>
    <w:p w14:paraId="31163D45">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.3.2.2在工程采购项目中，工程由中小企业承建，即工程施工单位为中小企业；</w:t>
      </w:r>
    </w:p>
    <w:p w14:paraId="4DFC19BD">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.3.2.3在服务采购项目中，服务由中小企业承接，即提供服务的人员为中小企业依照《中华人民共和国劳动合同法》订立劳动合同的从业人员。</w:t>
      </w:r>
    </w:p>
    <w:p w14:paraId="3EA95C77">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.3.3在货物采购项目中，供应商提供的货物既有中小企业制造货物，也有大型企业制造货物的，不享受中小企业扶持政策。</w:t>
      </w:r>
    </w:p>
    <w:p w14:paraId="18C13D1A">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.3.4以联合体形式参加政府采购活动，联合体各方均为中小企业的，联合体视同中小企业。其中，联合体各方均为小微企业的，联合体视同小微企业。</w:t>
      </w:r>
    </w:p>
    <w:p w14:paraId="34D8F3DF">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3.5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B434FA">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.3.6残疾人福利单位定义：享受政府采购支持政策的残疾人福利性单位应当同时满足以下条件：</w:t>
      </w:r>
    </w:p>
    <w:p w14:paraId="2C10A4F6">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.3.6.1安置的残疾人占本单位在职职工人数的比例不低于25%（含25%），并且安置的残疾人人数不少于10 人（含10 人）；</w:t>
      </w:r>
    </w:p>
    <w:p w14:paraId="273AB3B5">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.3.6.2依法与安置的每位残疾人签订了一年以上（含一年）的劳动合同或服务协议；</w:t>
      </w:r>
    </w:p>
    <w:p w14:paraId="25054FF3">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.3.6.3为安置的每位残疾人按月足额缴纳了基本养老保险、基本医疗保险、失业保险、工伤保险和生育保险等社会保险费；</w:t>
      </w:r>
    </w:p>
    <w:p w14:paraId="2B08B5C5">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.3.6.4通过银行等金融机构向安置的每位残疾人，按月支付了不低于单位所在区县适用的经省级人民政府批准的月最低工资标准的工资；</w:t>
      </w:r>
    </w:p>
    <w:p w14:paraId="20CB233D">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.3.6.5提供本单位制造的货物、承担的工程或者服务（以下简称产品），或者提供其他残疾人福利性单位制造的货物（不包括使用非残疾人福利性单位注册商标的货物）；</w:t>
      </w:r>
    </w:p>
    <w:p w14:paraId="3B85C34B">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.3.6.6前款所称残疾人是指法定劳动年龄内，持有《中华人民共和国残疾人证》或者《中华人民共和国残疾军人证（1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6777715">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.3.7本项目是否专门面向中小企业预留采购份额见第一章《</w:t>
      </w:r>
      <w:r>
        <w:rPr>
          <w:rFonts w:hint="eastAsia" w:ascii="宋体" w:hAnsi="宋体" w:eastAsia="宋体" w:cs="宋体"/>
          <w:color w:val="auto"/>
          <w:sz w:val="24"/>
          <w:szCs w:val="24"/>
          <w:highlight w:val="none"/>
          <w:lang w:val="en-US" w:eastAsia="zh-CN"/>
        </w:rPr>
        <w:t>询价公告</w:t>
      </w:r>
      <w:r>
        <w:rPr>
          <w:rFonts w:hint="eastAsia" w:ascii="宋体" w:hAnsi="宋体" w:eastAsia="宋体" w:cs="宋体"/>
          <w:color w:val="auto"/>
          <w:sz w:val="24"/>
          <w:szCs w:val="24"/>
          <w:highlight w:val="none"/>
        </w:rPr>
        <w:t>》。</w:t>
      </w:r>
    </w:p>
    <w:p w14:paraId="66321B5E">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.3.8采购标的对应的中小企业划分标准所属行业见第四章《采购需求》。</w:t>
      </w:r>
    </w:p>
    <w:p w14:paraId="3CD37815">
      <w:pPr>
        <w:pStyle w:val="14"/>
        <w:spacing w:beforeAutospacing="0" w:afterAutospacing="0"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.3.9小微企业价格评审优惠的政策：见第五章《评标方法和评标标准》。</w:t>
      </w:r>
    </w:p>
    <w:p w14:paraId="24130294">
      <w:pPr>
        <w:tabs>
          <w:tab w:val="left" w:pos="1381"/>
        </w:tabs>
        <w:spacing w:line="360" w:lineRule="auto"/>
        <w:ind w:firstLine="482" w:firstLineChars="0"/>
        <w:outlineLvl w:val="2"/>
        <w:rPr>
          <w:rFonts w:hint="eastAsia" w:ascii="宋体" w:hAnsi="宋体" w:eastAsia="宋体" w:cs="宋体"/>
          <w:color w:val="auto"/>
          <w:kern w:val="0"/>
          <w:sz w:val="24"/>
          <w:szCs w:val="24"/>
          <w:highlight w:val="none"/>
          <w:lang w:val="en-US" w:eastAsia="zh-CN" w:bidi="ar-SA"/>
        </w:rPr>
      </w:pPr>
      <w:bookmarkStart w:id="273" w:name="_Toc11742"/>
      <w:bookmarkStart w:id="274" w:name="_Toc9143"/>
      <w:r>
        <w:rPr>
          <w:rFonts w:hint="eastAsia" w:ascii="宋体" w:hAnsi="宋体" w:eastAsia="宋体" w:cs="宋体"/>
          <w:color w:val="auto"/>
          <w:kern w:val="0"/>
          <w:sz w:val="24"/>
          <w:szCs w:val="24"/>
          <w:highlight w:val="none"/>
          <w:lang w:val="en-US" w:eastAsia="zh-CN" w:bidi="ar-SA"/>
        </w:rPr>
        <w:t>33.4政府采购节能产品、环境标志产品</w:t>
      </w:r>
      <w:bookmarkEnd w:id="273"/>
      <w:bookmarkEnd w:id="274"/>
    </w:p>
    <w:p w14:paraId="56196F7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.4.1</w:t>
      </w:r>
      <w:r>
        <w:rPr>
          <w:rFonts w:hint="eastAsia" w:ascii="宋体" w:hAnsi="宋体" w:eastAsia="宋体" w:cs="宋体"/>
          <w:color w:val="auto"/>
          <w:kern w:val="0"/>
          <w:sz w:val="24"/>
          <w:szCs w:val="24"/>
          <w:highlight w:val="none"/>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w:t>
      </w:r>
      <w:r>
        <w:rPr>
          <w:rFonts w:hint="eastAsia" w:ascii="宋体" w:hAnsi="宋体" w:eastAsia="宋体" w:cs="宋体"/>
          <w:b/>
          <w:i/>
          <w:color w:val="auto"/>
          <w:kern w:val="0"/>
          <w:sz w:val="24"/>
          <w:szCs w:val="24"/>
          <w:highlight w:val="none"/>
        </w:rPr>
        <w:t>如属政府强制采购产品未提供认证证书的或认证证书提供不全的将视为未实质性响应采购要求</w:t>
      </w:r>
      <w:r>
        <w:rPr>
          <w:rFonts w:hint="eastAsia" w:ascii="宋体" w:hAnsi="宋体" w:eastAsia="宋体" w:cs="宋体"/>
          <w:i/>
          <w:color w:val="auto"/>
          <w:kern w:val="0"/>
          <w:sz w:val="24"/>
          <w:szCs w:val="24"/>
          <w:highlight w:val="none"/>
        </w:rPr>
        <w:t>。</w:t>
      </w:r>
      <w:r>
        <w:rPr>
          <w:rFonts w:hint="eastAsia" w:ascii="宋体" w:hAnsi="宋体" w:eastAsia="宋体" w:cs="宋体"/>
          <w:color w:val="auto"/>
          <w:kern w:val="0"/>
          <w:sz w:val="24"/>
          <w:szCs w:val="24"/>
          <w:highlight w:val="none"/>
        </w:rPr>
        <w:t>其他条件相同情况下，应当优先采购节能产品、环境标志产品。</w:t>
      </w:r>
    </w:p>
    <w:p w14:paraId="3644E8D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.4.2</w:t>
      </w:r>
      <w:r>
        <w:rPr>
          <w:rFonts w:hint="eastAsia" w:ascii="宋体" w:hAnsi="宋体" w:eastAsia="宋体" w:cs="宋体"/>
          <w:color w:val="auto"/>
          <w:kern w:val="0"/>
          <w:sz w:val="24"/>
          <w:szCs w:val="24"/>
          <w:highlight w:val="none"/>
        </w:rPr>
        <w:t>节能、环保产品的品目清单按照《关于印发环境标志产品政府采购品目清单的通知》（财库〔2019〕18号）、《关于印发节能产品政府采购品目清单的通知》（财库〔2019〕19号）执行。国家对品目清单进行调整的，按照最新调整的品目清单执行。</w:t>
      </w:r>
    </w:p>
    <w:p w14:paraId="19DDC9C3">
      <w:pPr>
        <w:tabs>
          <w:tab w:val="left" w:pos="1381"/>
        </w:tabs>
        <w:spacing w:line="360" w:lineRule="auto"/>
        <w:ind w:firstLine="482" w:firstLineChars="0"/>
        <w:outlineLvl w:val="2"/>
        <w:rPr>
          <w:rFonts w:hint="eastAsia" w:ascii="宋体" w:hAnsi="宋体" w:eastAsia="宋体" w:cs="宋体"/>
          <w:color w:val="auto"/>
          <w:kern w:val="0"/>
          <w:sz w:val="24"/>
          <w:szCs w:val="24"/>
          <w:highlight w:val="none"/>
          <w:lang w:val="en-US" w:eastAsia="zh-CN" w:bidi="ar-SA"/>
        </w:rPr>
      </w:pPr>
      <w:bookmarkStart w:id="275" w:name="_Toc6064"/>
      <w:bookmarkStart w:id="276" w:name="_Toc8209"/>
      <w:r>
        <w:rPr>
          <w:rFonts w:hint="eastAsia" w:ascii="宋体" w:hAnsi="宋体" w:eastAsia="宋体" w:cs="宋体"/>
          <w:color w:val="auto"/>
          <w:kern w:val="0"/>
          <w:sz w:val="24"/>
          <w:szCs w:val="24"/>
          <w:highlight w:val="none"/>
          <w:lang w:val="en-US" w:eastAsia="zh-CN" w:bidi="ar-SA"/>
        </w:rPr>
        <w:t>33.5绿色包装</w:t>
      </w:r>
      <w:bookmarkEnd w:id="275"/>
      <w:bookmarkEnd w:id="276"/>
    </w:p>
    <w:p w14:paraId="3C828DB7">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中涉及商品的包装应按照“财办库〔2020〕123号《关于印发《商品包装政府采购需求标准（试行）》《快递包装政府采购需求标准（试行）》的通知》”执行,在供货、安装过程中能做到低碳物流、环保节约、提高资源利用率。</w:t>
      </w:r>
    </w:p>
    <w:p w14:paraId="4EFAFB2D">
      <w:pPr>
        <w:tabs>
          <w:tab w:val="left" w:pos="1381"/>
        </w:tabs>
        <w:spacing w:line="360" w:lineRule="auto"/>
        <w:ind w:firstLine="482" w:firstLineChars="0"/>
        <w:outlineLvl w:val="2"/>
        <w:rPr>
          <w:rFonts w:hint="eastAsia" w:ascii="宋体" w:hAnsi="宋体" w:eastAsia="宋体" w:cs="宋体"/>
          <w:color w:val="auto"/>
          <w:kern w:val="0"/>
          <w:sz w:val="24"/>
          <w:szCs w:val="24"/>
          <w:highlight w:val="none"/>
          <w:lang w:val="en-US" w:eastAsia="zh-CN" w:bidi="ar-SA"/>
        </w:rPr>
      </w:pPr>
      <w:bookmarkStart w:id="277" w:name="_Toc496"/>
      <w:bookmarkStart w:id="278" w:name="_Toc22448"/>
      <w:r>
        <w:rPr>
          <w:rFonts w:hint="eastAsia" w:ascii="宋体" w:hAnsi="宋体" w:eastAsia="宋体" w:cs="宋体"/>
          <w:color w:val="auto"/>
          <w:kern w:val="0"/>
          <w:sz w:val="24"/>
          <w:szCs w:val="24"/>
          <w:highlight w:val="none"/>
          <w:lang w:val="en-US" w:eastAsia="zh-CN" w:bidi="ar-SA"/>
        </w:rPr>
        <w:t>33.6政府采购创新产品</w:t>
      </w:r>
      <w:bookmarkEnd w:id="277"/>
      <w:bookmarkEnd w:id="278"/>
    </w:p>
    <w:p w14:paraId="2D9B3368">
      <w:pPr>
        <w:pBdr>
          <w:top w:val="none" w:color="000000" w:sz="0" w:space="0"/>
          <w:left w:val="none" w:color="000000" w:sz="0" w:space="0"/>
          <w:bottom w:val="none" w:color="000000" w:sz="0" w:space="0"/>
          <w:right w:val="none" w:color="000000" w:sz="0" w:space="0"/>
        </w:pBdr>
        <w:spacing w:before="0" w:after="0" w:line="360" w:lineRule="auto"/>
        <w:ind w:left="0" w:right="0" w:firstLine="478"/>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采购人优先采购各级政府部门公开发布的有效期内的创新产品、创新服务、首台套、首购首用等《目录》的创新产品</w:t>
      </w:r>
      <w:r>
        <w:rPr>
          <w:rFonts w:hint="eastAsia" w:ascii="宋体" w:hAnsi="宋体" w:eastAsia="宋体" w:cs="宋体"/>
          <w:color w:val="auto"/>
          <w:sz w:val="24"/>
          <w:szCs w:val="24"/>
          <w:highlight w:val="none"/>
        </w:rPr>
        <w:t>。</w:t>
      </w:r>
    </w:p>
    <w:p w14:paraId="57947BB5">
      <w:pPr>
        <w:tabs>
          <w:tab w:val="left" w:pos="1381"/>
        </w:tabs>
        <w:spacing w:line="360" w:lineRule="auto"/>
        <w:ind w:firstLine="482" w:firstLineChars="0"/>
        <w:outlineLvl w:val="2"/>
        <w:rPr>
          <w:rFonts w:hint="eastAsia" w:ascii="宋体" w:hAnsi="宋体" w:eastAsia="宋体" w:cs="宋体"/>
          <w:color w:val="auto"/>
          <w:kern w:val="0"/>
          <w:sz w:val="24"/>
          <w:szCs w:val="24"/>
          <w:highlight w:val="none"/>
          <w:lang w:val="en-US" w:eastAsia="zh-CN" w:bidi="ar-SA"/>
        </w:rPr>
      </w:pPr>
      <w:bookmarkStart w:id="279" w:name="_Toc11968"/>
      <w:bookmarkStart w:id="280" w:name="_Toc15165"/>
      <w:r>
        <w:rPr>
          <w:rFonts w:hint="eastAsia" w:ascii="宋体" w:hAnsi="宋体" w:eastAsia="宋体" w:cs="宋体"/>
          <w:color w:val="auto"/>
          <w:kern w:val="0"/>
          <w:sz w:val="24"/>
          <w:szCs w:val="24"/>
          <w:highlight w:val="none"/>
          <w:lang w:val="en-US" w:eastAsia="zh-CN" w:bidi="ar-SA"/>
        </w:rPr>
        <w:t>33.7绿色数据中心政策</w:t>
      </w:r>
      <w:bookmarkEnd w:id="279"/>
      <w:bookmarkEnd w:id="280"/>
      <w:r>
        <w:rPr>
          <w:rFonts w:hint="eastAsia" w:ascii="宋体" w:hAnsi="宋体" w:eastAsia="宋体" w:cs="宋体"/>
          <w:color w:val="auto"/>
          <w:kern w:val="0"/>
          <w:sz w:val="24"/>
          <w:szCs w:val="24"/>
          <w:highlight w:val="none"/>
          <w:lang w:val="en-US" w:eastAsia="zh-CN" w:bidi="ar-SA"/>
        </w:rPr>
        <w:t xml:space="preserve"> </w:t>
      </w:r>
    </w:p>
    <w:p w14:paraId="722A8D32">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文件中若涉及到数据中心采购，采购人应依据《绿色数据中心政府采购需求标准（试行）》（财办库〔2023〕7号）文件精神，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034807A4">
      <w:pPr>
        <w:tabs>
          <w:tab w:val="left" w:pos="1381"/>
        </w:tabs>
        <w:spacing w:line="360" w:lineRule="auto"/>
        <w:ind w:firstLine="482" w:firstLineChars="0"/>
        <w:outlineLvl w:val="2"/>
        <w:rPr>
          <w:rFonts w:hint="eastAsia" w:ascii="宋体" w:hAnsi="宋体" w:eastAsia="宋体" w:cs="宋体"/>
          <w:color w:val="auto"/>
          <w:kern w:val="0"/>
          <w:sz w:val="24"/>
          <w:szCs w:val="24"/>
          <w:highlight w:val="none"/>
          <w:lang w:val="en-US" w:eastAsia="zh-CN" w:bidi="ar-SA"/>
        </w:rPr>
      </w:pPr>
      <w:bookmarkStart w:id="281" w:name="_Toc27516"/>
      <w:bookmarkStart w:id="282" w:name="_Toc4637"/>
      <w:r>
        <w:rPr>
          <w:rFonts w:hint="eastAsia" w:ascii="宋体" w:hAnsi="宋体" w:eastAsia="宋体" w:cs="宋体"/>
          <w:color w:val="auto"/>
          <w:kern w:val="0"/>
          <w:sz w:val="24"/>
          <w:szCs w:val="24"/>
          <w:highlight w:val="none"/>
          <w:lang w:val="en-US" w:eastAsia="zh-CN" w:bidi="ar-SA"/>
        </w:rPr>
        <w:t>33.8履约保证金政策</w:t>
      </w:r>
      <w:bookmarkEnd w:id="281"/>
      <w:bookmarkEnd w:id="282"/>
    </w:p>
    <w:p w14:paraId="40F02B3A">
      <w:pPr>
        <w:pStyle w:val="24"/>
        <w:spacing w:after="0" w:line="360" w:lineRule="auto"/>
        <w:ind w:left="0" w:firstLine="56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确需收取履约保证金的，履约保证金的缴纳形式：</w:t>
      </w:r>
    </w:p>
    <w:p w14:paraId="5EB031AC">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1AF1B51A">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如以履约保函（保险）形式缴纳履约保证金，供应商可通过政府采购电子履约保函（保险）平台（www.jsdzbh.com）在线申请履约保函（保险）。</w:t>
      </w:r>
    </w:p>
    <w:p w14:paraId="57E6C93D">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履约保证金金额不得超过合同金额的10%，采购人对第三方信用服务机构依据标准规范评定为 AA 级及以上的政府采购供应商（需在签订采购合同前提供信用管理 部门备案的第三方信用报告，且信用报告通过“信用盐城网”可查实），免收履约保证金或降低履约保证金缴纳比例。</w:t>
      </w:r>
    </w:p>
    <w:p w14:paraId="184C23EE">
      <w:pPr>
        <w:tabs>
          <w:tab w:val="left" w:pos="1381"/>
        </w:tabs>
        <w:spacing w:line="360" w:lineRule="auto"/>
        <w:ind w:firstLine="482" w:firstLineChars="0"/>
        <w:outlineLvl w:val="1"/>
        <w:rPr>
          <w:rFonts w:hint="eastAsia" w:ascii="宋体" w:hAnsi="宋体" w:eastAsia="宋体" w:cs="宋体"/>
          <w:color w:val="auto"/>
          <w:kern w:val="0"/>
          <w:sz w:val="24"/>
          <w:szCs w:val="24"/>
          <w:highlight w:val="none"/>
          <w:lang w:val="en-US" w:eastAsia="zh-CN" w:bidi="ar-SA"/>
        </w:rPr>
      </w:pPr>
      <w:bookmarkStart w:id="283" w:name="_Toc31859"/>
      <w:bookmarkStart w:id="284" w:name="_Toc1107"/>
      <w:r>
        <w:rPr>
          <w:rFonts w:hint="eastAsia" w:ascii="宋体" w:hAnsi="宋体" w:eastAsia="宋体" w:cs="宋体"/>
          <w:color w:val="auto"/>
          <w:kern w:val="0"/>
          <w:sz w:val="24"/>
          <w:szCs w:val="24"/>
          <w:highlight w:val="none"/>
          <w:lang w:val="en-US" w:eastAsia="zh-CN" w:bidi="ar-SA"/>
        </w:rPr>
        <w:t>34. 预付款制度</w:t>
      </w:r>
      <w:bookmarkEnd w:id="283"/>
      <w:bookmarkEnd w:id="284"/>
    </w:p>
    <w:p w14:paraId="4B5F750D">
      <w:pPr>
        <w:spacing w:line="360" w:lineRule="auto"/>
        <w:ind w:firstLine="480" w:firstLineChars="200"/>
        <w:rPr>
          <w:color w:val="auto"/>
          <w:highlight w:val="none"/>
        </w:rPr>
      </w:pPr>
      <w:r>
        <w:rPr>
          <w:rFonts w:hint="eastAsia" w:ascii="宋体" w:hAnsi="宋体" w:eastAsia="宋体" w:cs="宋体"/>
          <w:color w:val="auto"/>
          <w:kern w:val="0"/>
          <w:sz w:val="24"/>
          <w:szCs w:val="24"/>
          <w:highlight w:val="none"/>
          <w:lang w:val="en-US" w:eastAsia="zh-CN" w:bidi="ar-SA"/>
        </w:rPr>
        <w:t>本项目落实预付款制度，预付款比例为</w:t>
      </w:r>
      <w:r>
        <w:rPr>
          <w:rFonts w:hint="eastAsia" w:ascii="宋体" w:hAnsi="宋体" w:eastAsia="宋体" w:cs="宋体"/>
          <w:color w:val="auto"/>
          <w:kern w:val="0"/>
          <w:sz w:val="24"/>
          <w:szCs w:val="24"/>
          <w:highlight w:val="none"/>
          <w:u w:val="single"/>
          <w:lang w:val="en-US" w:eastAsia="zh-CN" w:bidi="ar-SA"/>
        </w:rPr>
        <w:t>_30__</w:t>
      </w:r>
      <w:r>
        <w:rPr>
          <w:rFonts w:hint="eastAsia" w:ascii="宋体" w:hAnsi="宋体" w:eastAsia="宋体" w:cs="宋体"/>
          <w:color w:val="auto"/>
          <w:kern w:val="0"/>
          <w:sz w:val="24"/>
          <w:szCs w:val="24"/>
          <w:highlight w:val="none"/>
          <w:lang w:val="en-US" w:eastAsia="zh-CN" w:bidi="ar-SA"/>
        </w:rPr>
        <w:t>%。在签订合同时，中标、成交供应商明确书面表示无需预付款或者主动要求降低预付款比例的，采购人可就预付款比例作相应调整。</w:t>
      </w:r>
      <w:r>
        <w:rPr>
          <w:rFonts w:hint="eastAsia" w:ascii="宋体" w:hAnsi="宋体" w:eastAsia="宋体" w:cs="宋体"/>
          <w:color w:val="auto"/>
          <w:sz w:val="24"/>
          <w:szCs w:val="24"/>
          <w:highlight w:val="none"/>
        </w:rPr>
        <w:t> </w:t>
      </w:r>
    </w:p>
    <w:p w14:paraId="31AFAA53">
      <w:pPr>
        <w:pStyle w:val="14"/>
        <w:spacing w:beforeAutospacing="0" w:afterAutospacing="0" w:line="0" w:lineRule="atLeast"/>
        <w:jc w:val="both"/>
        <w:rPr>
          <w:color w:val="auto"/>
          <w:highlight w:val="none"/>
        </w:rPr>
      </w:pPr>
      <w:r>
        <w:rPr>
          <w:color w:val="auto"/>
          <w:highlight w:val="none"/>
        </w:rPr>
        <w:t> </w:t>
      </w:r>
    </w:p>
    <w:p w14:paraId="44D211E8">
      <w:pPr>
        <w:rPr>
          <w:color w:val="auto"/>
          <w:sz w:val="36"/>
          <w:szCs w:val="44"/>
          <w:highlight w:val="none"/>
        </w:rPr>
      </w:pPr>
      <w:bookmarkStart w:id="285" w:name="_Toc510"/>
      <w:r>
        <w:rPr>
          <w:color w:val="auto"/>
          <w:sz w:val="36"/>
          <w:szCs w:val="44"/>
          <w:highlight w:val="none"/>
        </w:rPr>
        <w:br w:type="page"/>
      </w:r>
    </w:p>
    <w:p w14:paraId="7D0C094D">
      <w:pPr>
        <w:widowControl/>
        <w:spacing w:line="360" w:lineRule="auto"/>
        <w:jc w:val="center"/>
        <w:outlineLvl w:val="0"/>
        <w:rPr>
          <w:rFonts w:ascii="宋体" w:hAnsi="宋体" w:cs="宋体"/>
          <w:b/>
          <w:color w:val="auto"/>
          <w:sz w:val="48"/>
          <w:szCs w:val="44"/>
          <w:highlight w:val="none"/>
        </w:rPr>
      </w:pPr>
      <w:bookmarkStart w:id="286" w:name="_Toc5851"/>
      <w:r>
        <w:rPr>
          <w:color w:val="auto"/>
          <w:sz w:val="36"/>
          <w:szCs w:val="44"/>
          <w:highlight w:val="none"/>
        </w:rPr>
        <w:t> </w:t>
      </w:r>
      <w:bookmarkStart w:id="287" w:name="_Toc479757211"/>
      <w:bookmarkStart w:id="288" w:name="_Toc462564139"/>
      <w:bookmarkStart w:id="289" w:name="_Hlt16619350"/>
      <w:bookmarkStart w:id="290" w:name="_Toc16938590"/>
      <w:bookmarkStart w:id="291" w:name="_Toc120614244"/>
      <w:bookmarkStart w:id="292" w:name="_Toc20823346"/>
      <w:bookmarkStart w:id="293" w:name="_Hlt16619369"/>
      <w:r>
        <w:rPr>
          <w:rFonts w:hint="eastAsia" w:ascii="宋体" w:hAnsi="宋体" w:cs="宋体"/>
          <w:b/>
          <w:color w:val="auto"/>
          <w:sz w:val="48"/>
          <w:szCs w:val="44"/>
          <w:highlight w:val="none"/>
        </w:rPr>
        <w:t>第三</w:t>
      </w:r>
      <w:r>
        <w:rPr>
          <w:rFonts w:hint="eastAsia" w:ascii="宋体" w:hAnsi="宋体" w:cs="宋体"/>
          <w:b/>
          <w:color w:val="auto"/>
          <w:sz w:val="48"/>
          <w:szCs w:val="44"/>
          <w:highlight w:val="none"/>
          <w:lang w:eastAsia="zh-CN"/>
        </w:rPr>
        <w:t>章</w:t>
      </w:r>
      <w:r>
        <w:rPr>
          <w:rFonts w:hint="eastAsia" w:ascii="宋体" w:hAnsi="宋体" w:cs="宋体"/>
          <w:b/>
          <w:color w:val="auto"/>
          <w:sz w:val="48"/>
          <w:szCs w:val="44"/>
          <w:highlight w:val="none"/>
        </w:rPr>
        <w:t xml:space="preserve">  合同条款</w:t>
      </w:r>
      <w:bookmarkEnd w:id="285"/>
      <w:bookmarkEnd w:id="286"/>
    </w:p>
    <w:p w14:paraId="7C62F2F4">
      <w:pPr>
        <w:rPr>
          <w:rFonts w:ascii="宋体" w:hAnsi="宋体" w:cs="宋体"/>
          <w:color w:val="auto"/>
          <w:highlight w:val="none"/>
        </w:rPr>
      </w:pPr>
      <w:bookmarkStart w:id="294" w:name="EB6d2006462e294de090c16e672cecc3bd"/>
    </w:p>
    <w:bookmarkEnd w:id="294"/>
    <w:p w14:paraId="0F89D1C7">
      <w:pPr>
        <w:jc w:val="center"/>
        <w:rPr>
          <w:rFonts w:ascii="宋体" w:hAnsi="宋体" w:cs="宋体"/>
          <w:b/>
          <w:bCs/>
          <w:color w:val="auto"/>
          <w:spacing w:val="-20"/>
          <w:sz w:val="48"/>
          <w:szCs w:val="48"/>
          <w:highlight w:val="none"/>
        </w:rPr>
      </w:pPr>
      <w:bookmarkStart w:id="295" w:name="_Toc3995"/>
    </w:p>
    <w:p w14:paraId="2728A11A">
      <w:pPr>
        <w:jc w:val="center"/>
        <w:rPr>
          <w:rFonts w:ascii="宋体" w:hAnsi="宋体" w:cs="宋体"/>
          <w:b/>
          <w:bCs/>
          <w:color w:val="auto"/>
          <w:spacing w:val="-20"/>
          <w:sz w:val="48"/>
          <w:szCs w:val="48"/>
          <w:highlight w:val="none"/>
        </w:rPr>
      </w:pPr>
    </w:p>
    <w:p w14:paraId="61A63262">
      <w:pPr>
        <w:jc w:val="center"/>
        <w:rPr>
          <w:rFonts w:ascii="宋体" w:hAnsi="宋体" w:cs="宋体"/>
          <w:b/>
          <w:bCs/>
          <w:color w:val="auto"/>
          <w:spacing w:val="-20"/>
          <w:sz w:val="48"/>
          <w:szCs w:val="48"/>
          <w:highlight w:val="none"/>
        </w:rPr>
      </w:pPr>
    </w:p>
    <w:p w14:paraId="5544CBCE">
      <w:pPr>
        <w:jc w:val="center"/>
        <w:rPr>
          <w:rFonts w:ascii="宋体" w:hAnsi="宋体" w:cs="宋体"/>
          <w:b/>
          <w:bCs/>
          <w:color w:val="auto"/>
          <w:spacing w:val="-20"/>
          <w:sz w:val="48"/>
          <w:szCs w:val="48"/>
          <w:highlight w:val="none"/>
        </w:rPr>
      </w:pPr>
    </w:p>
    <w:p w14:paraId="6038FDA2">
      <w:pPr>
        <w:jc w:val="center"/>
        <w:rPr>
          <w:rFonts w:ascii="宋体" w:hAnsi="宋体" w:cs="宋体"/>
          <w:color w:val="auto"/>
          <w:sz w:val="30"/>
          <w:highlight w:val="none"/>
        </w:rPr>
      </w:pPr>
    </w:p>
    <w:p w14:paraId="7023E608">
      <w:pPr>
        <w:jc w:val="center"/>
        <w:outlineLvl w:val="0"/>
        <w:rPr>
          <w:rFonts w:ascii="宋体" w:hAnsi="宋体" w:cs="宋体"/>
          <w:color w:val="auto"/>
          <w:sz w:val="30"/>
          <w:highlight w:val="none"/>
        </w:rPr>
      </w:pPr>
      <w:bookmarkStart w:id="296" w:name="_Toc31418"/>
      <w:bookmarkStart w:id="297" w:name="_Toc24125"/>
      <w:r>
        <w:rPr>
          <w:rFonts w:hint="eastAsia" w:ascii="宋体" w:hAnsi="宋体" w:cs="宋体"/>
          <w:color w:val="auto"/>
          <w:sz w:val="30"/>
          <w:highlight w:val="none"/>
        </w:rPr>
        <w:t>政府采购货物买卖合同</w:t>
      </w:r>
      <w:bookmarkEnd w:id="296"/>
      <w:bookmarkEnd w:id="297"/>
    </w:p>
    <w:p w14:paraId="39A221D5">
      <w:pPr>
        <w:jc w:val="center"/>
        <w:rPr>
          <w:rFonts w:ascii="宋体" w:hAnsi="宋体" w:cs="宋体"/>
          <w:color w:val="auto"/>
          <w:sz w:val="30"/>
          <w:highlight w:val="none"/>
        </w:rPr>
      </w:pPr>
    </w:p>
    <w:p w14:paraId="7EE671B2">
      <w:pPr>
        <w:rPr>
          <w:rFonts w:ascii="宋体" w:hAnsi="宋体" w:cs="宋体"/>
          <w:color w:val="auto"/>
          <w:sz w:val="30"/>
          <w:highlight w:val="none"/>
        </w:rPr>
      </w:pPr>
    </w:p>
    <w:p w14:paraId="149DABE6">
      <w:pPr>
        <w:rPr>
          <w:rFonts w:ascii="宋体" w:hAnsi="宋体" w:cs="宋体"/>
          <w:color w:val="auto"/>
          <w:sz w:val="30"/>
          <w:highlight w:val="none"/>
        </w:rPr>
      </w:pPr>
    </w:p>
    <w:p w14:paraId="7E6C9959">
      <w:pPr>
        <w:rPr>
          <w:rFonts w:ascii="宋体" w:hAnsi="宋体" w:cs="宋体"/>
          <w:color w:val="auto"/>
          <w:sz w:val="30"/>
          <w:highlight w:val="none"/>
        </w:rPr>
      </w:pPr>
    </w:p>
    <w:p w14:paraId="3BB3AA36">
      <w:pPr>
        <w:spacing w:line="360" w:lineRule="auto"/>
        <w:ind w:left="420"/>
        <w:rPr>
          <w:rFonts w:ascii="宋体" w:hAnsi="宋体" w:cs="宋体"/>
          <w:color w:val="auto"/>
          <w:sz w:val="30"/>
          <w:highlight w:val="none"/>
        </w:rPr>
      </w:pPr>
      <w:r>
        <w:rPr>
          <w:rFonts w:hint="eastAsia" w:ascii="宋体" w:hAnsi="宋体" w:cs="宋体"/>
          <w:color w:val="auto"/>
          <w:sz w:val="30"/>
          <w:highlight w:val="none"/>
        </w:rPr>
        <w:t>项目名称：</w:t>
      </w:r>
    </w:p>
    <w:p w14:paraId="11A1D3A4">
      <w:pPr>
        <w:spacing w:line="360" w:lineRule="auto"/>
        <w:ind w:left="420"/>
        <w:rPr>
          <w:rFonts w:ascii="宋体" w:hAnsi="宋体" w:cs="宋体"/>
          <w:color w:val="auto"/>
          <w:sz w:val="30"/>
          <w:highlight w:val="none"/>
        </w:rPr>
      </w:pPr>
      <w:r>
        <w:rPr>
          <w:rFonts w:hint="eastAsia" w:ascii="宋体" w:hAnsi="宋体" w:cs="宋体"/>
          <w:color w:val="auto"/>
          <w:sz w:val="30"/>
          <w:highlight w:val="none"/>
        </w:rPr>
        <w:t>合同编号：</w:t>
      </w:r>
    </w:p>
    <w:p w14:paraId="7691FC79">
      <w:pPr>
        <w:spacing w:line="360" w:lineRule="auto"/>
        <w:ind w:left="420"/>
        <w:rPr>
          <w:rFonts w:ascii="宋体" w:hAnsi="宋体" w:cs="宋体"/>
          <w:color w:val="auto"/>
          <w:sz w:val="30"/>
          <w:highlight w:val="none"/>
        </w:rPr>
      </w:pPr>
      <w:r>
        <w:rPr>
          <w:rFonts w:hint="eastAsia" w:ascii="宋体" w:hAnsi="宋体" w:cs="宋体"/>
          <w:color w:val="auto"/>
          <w:sz w:val="30"/>
          <w:highlight w:val="none"/>
        </w:rPr>
        <w:t>甲    方：</w:t>
      </w:r>
    </w:p>
    <w:p w14:paraId="2F6A467E">
      <w:pPr>
        <w:spacing w:line="360" w:lineRule="auto"/>
        <w:ind w:left="420"/>
        <w:rPr>
          <w:rFonts w:ascii="宋体" w:hAnsi="宋体" w:cs="宋体"/>
          <w:color w:val="auto"/>
          <w:sz w:val="30"/>
          <w:highlight w:val="none"/>
        </w:rPr>
      </w:pPr>
      <w:r>
        <w:rPr>
          <w:rFonts w:hint="eastAsia" w:ascii="宋体" w:hAnsi="宋体" w:cs="宋体"/>
          <w:color w:val="auto"/>
          <w:sz w:val="30"/>
          <w:highlight w:val="none"/>
        </w:rPr>
        <w:t>乙    方：</w:t>
      </w:r>
    </w:p>
    <w:p w14:paraId="2B606E10">
      <w:pPr>
        <w:spacing w:line="360" w:lineRule="auto"/>
        <w:ind w:left="420"/>
        <w:rPr>
          <w:rFonts w:ascii="宋体" w:hAnsi="宋体" w:cs="宋体"/>
          <w:color w:val="auto"/>
          <w:sz w:val="30"/>
          <w:highlight w:val="none"/>
        </w:rPr>
      </w:pPr>
      <w:r>
        <w:rPr>
          <w:rFonts w:hint="eastAsia" w:ascii="宋体" w:hAnsi="宋体" w:cs="宋体"/>
          <w:color w:val="auto"/>
          <w:sz w:val="30"/>
          <w:highlight w:val="none"/>
        </w:rPr>
        <w:t>签订时间：</w:t>
      </w:r>
    </w:p>
    <w:p w14:paraId="178BC0A1">
      <w:pPr>
        <w:rPr>
          <w:color w:val="auto"/>
          <w:highlight w:val="none"/>
        </w:rPr>
      </w:pPr>
    </w:p>
    <w:p w14:paraId="44771B34">
      <w:pPr>
        <w:rPr>
          <w:rFonts w:eastAsia="黑体"/>
          <w:color w:val="auto"/>
          <w:sz w:val="44"/>
          <w:szCs w:val="44"/>
          <w:highlight w:val="none"/>
        </w:rPr>
        <w:sectPr>
          <w:footerReference r:id="rId3" w:type="default"/>
          <w:pgSz w:w="11906" w:h="16838"/>
          <w:pgMar w:top="1440" w:right="1800" w:bottom="1440" w:left="1800" w:header="851" w:footer="992" w:gutter="0"/>
          <w:pgNumType w:start="1"/>
          <w:cols w:space="425" w:num="1"/>
          <w:docGrid w:linePitch="360" w:charSpace="0"/>
        </w:sectPr>
      </w:pPr>
      <w:r>
        <w:rPr>
          <w:rFonts w:eastAsia="黑体"/>
          <w:color w:val="auto"/>
          <w:sz w:val="44"/>
          <w:szCs w:val="44"/>
          <w:highlight w:val="none"/>
        </w:rPr>
        <w:br w:type="page" w:clear="all"/>
      </w:r>
    </w:p>
    <w:bookmarkEnd w:id="295"/>
    <w:p w14:paraId="0930546B">
      <w:pPr>
        <w:keepNext/>
        <w:keepLines/>
        <w:spacing w:line="400" w:lineRule="exact"/>
        <w:jc w:val="both"/>
        <w:outlineLvl w:val="9"/>
        <w:rPr>
          <w:rFonts w:ascii="黑体" w:hAnsi="黑体" w:eastAsia="黑体"/>
          <w:b/>
          <w:bCs/>
          <w:color w:val="auto"/>
          <w:sz w:val="28"/>
          <w:szCs w:val="28"/>
          <w:highlight w:val="none"/>
        </w:rPr>
      </w:pPr>
      <w:bookmarkStart w:id="298" w:name="_Toc22209"/>
    </w:p>
    <w:p w14:paraId="24AB6C21">
      <w:pPr>
        <w:keepNext/>
        <w:keepLines/>
        <w:spacing w:line="400" w:lineRule="exact"/>
        <w:jc w:val="center"/>
        <w:outlineLvl w:val="0"/>
        <w:rPr>
          <w:rFonts w:ascii="黑体" w:hAnsi="华文中宋" w:eastAsia="黑体"/>
          <w:color w:val="auto"/>
          <w:sz w:val="28"/>
          <w:szCs w:val="28"/>
          <w:highlight w:val="none"/>
        </w:rPr>
      </w:pPr>
      <w:bookmarkStart w:id="299" w:name="_Toc14318"/>
      <w:r>
        <w:rPr>
          <w:rFonts w:hint="eastAsia" w:ascii="黑体" w:hAnsi="黑体" w:eastAsia="黑体"/>
          <w:color w:val="auto"/>
          <w:sz w:val="28"/>
          <w:szCs w:val="28"/>
          <w:highlight w:val="none"/>
        </w:rPr>
        <w:t xml:space="preserve">第一节 </w:t>
      </w:r>
      <w:r>
        <w:rPr>
          <w:rFonts w:hint="eastAsia" w:ascii="黑体" w:hAnsi="华文中宋" w:eastAsia="黑体"/>
          <w:color w:val="auto"/>
          <w:sz w:val="28"/>
          <w:szCs w:val="28"/>
          <w:highlight w:val="none"/>
        </w:rPr>
        <w:t>政府采购合同协议书</w:t>
      </w:r>
      <w:bookmarkEnd w:id="298"/>
      <w:bookmarkEnd w:id="299"/>
    </w:p>
    <w:p w14:paraId="204F39D4">
      <w:pPr>
        <w:keepNext/>
        <w:keepLines/>
        <w:spacing w:line="360" w:lineRule="auto"/>
        <w:jc w:val="center"/>
        <w:outlineLvl w:val="9"/>
        <w:rPr>
          <w:rFonts w:ascii="黑体" w:hAnsi="华文中宋" w:eastAsia="黑体"/>
          <w:color w:val="auto"/>
          <w:sz w:val="28"/>
          <w:szCs w:val="28"/>
          <w:highlight w:val="none"/>
        </w:rPr>
      </w:pPr>
    </w:p>
    <w:p w14:paraId="343FEEC8">
      <w:pPr>
        <w:spacing w:line="360" w:lineRule="auto"/>
        <w:rPr>
          <w:rFonts w:ascii="宋体" w:hAnsi="宋体"/>
          <w:color w:val="auto"/>
          <w:sz w:val="24"/>
          <w:highlight w:val="none"/>
        </w:rPr>
      </w:pPr>
      <w:r>
        <w:rPr>
          <w:rFonts w:hint="eastAsia" w:ascii="宋体" w:hAnsi="宋体"/>
          <w:color w:val="auto"/>
          <w:sz w:val="24"/>
          <w:highlight w:val="none"/>
        </w:rPr>
        <w:t>甲方（全称）：</w:t>
      </w:r>
    </w:p>
    <w:p w14:paraId="23DA8236">
      <w:pPr>
        <w:spacing w:line="360" w:lineRule="auto"/>
        <w:rPr>
          <w:rFonts w:ascii="宋体" w:hAnsi="宋体"/>
          <w:color w:val="auto"/>
          <w:sz w:val="24"/>
          <w:highlight w:val="none"/>
        </w:rPr>
      </w:pPr>
      <w:r>
        <w:rPr>
          <w:rFonts w:hint="eastAsia" w:ascii="宋体" w:hAnsi="宋体"/>
          <w:color w:val="auto"/>
          <w:sz w:val="24"/>
          <w:highlight w:val="none"/>
        </w:rPr>
        <w:t>乙方（全称）：</w:t>
      </w:r>
      <w:r>
        <w:rPr>
          <w:rFonts w:ascii="宋体" w:hAnsi="宋体"/>
          <w:color w:val="auto"/>
          <w:sz w:val="24"/>
          <w:highlight w:val="none"/>
        </w:rPr>
        <w:t xml:space="preserve"> </w:t>
      </w:r>
    </w:p>
    <w:p w14:paraId="7E89D3F7">
      <w:pPr>
        <w:spacing w:line="360" w:lineRule="auto"/>
        <w:ind w:firstLine="480"/>
        <w:rPr>
          <w:rFonts w:ascii="宋体" w:hAnsi="宋体"/>
          <w:color w:val="auto"/>
          <w:sz w:val="24"/>
          <w:highlight w:val="none"/>
        </w:rPr>
      </w:pPr>
      <w:r>
        <w:rPr>
          <w:rFonts w:hint="eastAsia" w:ascii="宋体" w:hAnsi="宋体"/>
          <w:color w:val="auto"/>
          <w:sz w:val="24"/>
          <w:highlight w:val="none"/>
        </w:rPr>
        <w:t>依据《中华人民共和国民法典</w:t>
      </w:r>
      <w:r>
        <w:rPr>
          <w:rFonts w:hint="eastAsia" w:ascii="宋体" w:hAnsi="宋体"/>
          <w:color w:val="auto"/>
          <w:sz w:val="24"/>
          <w:highlight w:val="none"/>
          <w:lang w:eastAsia="zh-CN"/>
        </w:rPr>
        <w:t>》《</w:t>
      </w:r>
      <w:r>
        <w:rPr>
          <w:rFonts w:hint="eastAsia" w:ascii="宋体" w:hAnsi="宋体"/>
          <w:color w:val="auto"/>
          <w:sz w:val="24"/>
          <w:highlight w:val="none"/>
        </w:rPr>
        <w:t xml:space="preserve">中华人民共和国政府采购法》等有关的法律法规，以及本采购项目的招标/谈判文件等采购文件、乙方的《投标（响应）文件》及《中标（成交）通知书》，甲乙双方同意签订本合同。具体情况及要求如下：     </w:t>
      </w:r>
    </w:p>
    <w:p w14:paraId="2AF584B0">
      <w:pPr>
        <w:numPr>
          <w:ilvl w:val="0"/>
          <w:numId w:val="1"/>
        </w:numPr>
        <w:spacing w:line="360" w:lineRule="auto"/>
        <w:ind w:firstLine="482" w:firstLineChars="0"/>
        <w:outlineLvl w:val="0"/>
        <w:rPr>
          <w:rFonts w:ascii="宋体" w:hAnsi="宋体"/>
          <w:b/>
          <w:color w:val="auto"/>
          <w:sz w:val="24"/>
          <w:highlight w:val="none"/>
        </w:rPr>
      </w:pPr>
      <w:bookmarkStart w:id="300" w:name="_Toc15713"/>
      <w:bookmarkStart w:id="301" w:name="_Toc21583"/>
      <w:r>
        <w:rPr>
          <w:rFonts w:hint="eastAsia" w:ascii="宋体" w:hAnsi="宋体"/>
          <w:b/>
          <w:color w:val="auto"/>
          <w:sz w:val="24"/>
          <w:highlight w:val="none"/>
        </w:rPr>
        <w:t>项目信息</w:t>
      </w:r>
      <w:bookmarkEnd w:id="300"/>
      <w:bookmarkEnd w:id="301"/>
    </w:p>
    <w:p w14:paraId="118ED24F">
      <w:pPr>
        <w:numPr>
          <w:ilvl w:val="0"/>
          <w:numId w:val="2"/>
        </w:numPr>
        <w:spacing w:line="360" w:lineRule="auto"/>
        <w:ind w:firstLine="480"/>
        <w:rPr>
          <w:rFonts w:ascii="宋体" w:hAnsi="宋体"/>
          <w:color w:val="auto"/>
          <w:sz w:val="24"/>
          <w:highlight w:val="none"/>
          <w:u w:val="single"/>
        </w:rPr>
      </w:pPr>
      <w:r>
        <w:rPr>
          <w:rFonts w:hint="eastAsia" w:ascii="宋体" w:hAnsi="宋体"/>
          <w:color w:val="auto"/>
          <w:sz w:val="24"/>
          <w:highlight w:val="none"/>
        </w:rPr>
        <w:t>采购项目名称：</w:t>
      </w:r>
    </w:p>
    <w:p w14:paraId="3A0A2DD0">
      <w:pPr>
        <w:numPr>
          <w:ilvl w:val="255"/>
          <w:numId w:val="0"/>
        </w:numPr>
        <w:tabs>
          <w:tab w:val="left" w:pos="999"/>
        </w:tabs>
        <w:spacing w:line="360" w:lineRule="auto"/>
        <w:rPr>
          <w:rFonts w:ascii="宋体" w:hAnsi="宋体"/>
          <w:color w:val="auto"/>
          <w:sz w:val="24"/>
          <w:highlight w:val="none"/>
        </w:rPr>
      </w:pPr>
      <w:r>
        <w:rPr>
          <w:rFonts w:hint="eastAsia" w:ascii="宋体" w:hAnsi="宋体"/>
          <w:color w:val="auto"/>
          <w:sz w:val="24"/>
          <w:highlight w:val="none"/>
        </w:rPr>
        <w:t xml:space="preserve">         采购项目编号：</w:t>
      </w:r>
    </w:p>
    <w:p w14:paraId="674EB6FB">
      <w:pPr>
        <w:spacing w:line="360" w:lineRule="auto"/>
        <w:ind w:firstLine="480"/>
        <w:rPr>
          <w:rFonts w:ascii="宋体" w:hAnsi="宋体"/>
          <w:color w:val="auto"/>
          <w:sz w:val="24"/>
          <w:highlight w:val="none"/>
        </w:rPr>
      </w:pPr>
      <w:r>
        <w:rPr>
          <w:rFonts w:hint="eastAsia" w:ascii="宋体" w:hAnsi="宋体"/>
          <w:color w:val="auto"/>
          <w:sz w:val="24"/>
          <w:highlight w:val="none"/>
        </w:rPr>
        <w:t>（2）采购计划编号：</w:t>
      </w:r>
    </w:p>
    <w:p w14:paraId="5633757A">
      <w:pPr>
        <w:spacing w:line="360" w:lineRule="auto"/>
        <w:ind w:firstLine="480"/>
        <w:rPr>
          <w:rFonts w:ascii="宋体" w:hAnsi="宋体"/>
          <w:color w:val="auto"/>
          <w:sz w:val="24"/>
          <w:highlight w:val="none"/>
        </w:rPr>
      </w:pPr>
      <w:r>
        <w:rPr>
          <w:rFonts w:hint="eastAsia" w:ascii="宋体" w:hAnsi="宋体"/>
          <w:color w:val="auto"/>
          <w:sz w:val="24"/>
          <w:highlight w:val="none"/>
        </w:rPr>
        <w:t>（3）项目内容：</w:t>
      </w:r>
    </w:p>
    <w:p w14:paraId="0DF92509">
      <w:pPr>
        <w:spacing w:line="360" w:lineRule="auto"/>
        <w:ind w:firstLine="480"/>
        <w:rPr>
          <w:rFonts w:ascii="宋体" w:hAnsi="宋体"/>
          <w:color w:val="auto"/>
          <w:sz w:val="24"/>
          <w:highlight w:val="none"/>
        </w:rPr>
      </w:pPr>
      <w:r>
        <w:rPr>
          <w:rFonts w:hint="eastAsia" w:ascii="宋体" w:hAnsi="宋体"/>
          <w:color w:val="auto"/>
          <w:sz w:val="24"/>
          <w:highlight w:val="none"/>
        </w:rPr>
        <w:t>采购标的及数量（台/套</w:t>
      </w:r>
      <w:r>
        <w:rPr>
          <w:rFonts w:ascii="宋体" w:hAnsi="宋体"/>
          <w:color w:val="auto"/>
          <w:sz w:val="24"/>
          <w:highlight w:val="none"/>
        </w:rPr>
        <w:t>/</w:t>
      </w:r>
      <w:r>
        <w:rPr>
          <w:rFonts w:hint="eastAsia" w:ascii="宋体" w:hAnsi="宋体"/>
          <w:color w:val="auto"/>
          <w:sz w:val="24"/>
          <w:highlight w:val="none"/>
        </w:rPr>
        <w:t>个</w:t>
      </w:r>
      <w:r>
        <w:rPr>
          <w:rFonts w:ascii="宋体" w:hAnsi="宋体"/>
          <w:color w:val="auto"/>
          <w:sz w:val="24"/>
          <w:highlight w:val="none"/>
        </w:rPr>
        <w:t>/</w:t>
      </w:r>
      <w:r>
        <w:rPr>
          <w:rFonts w:hint="eastAsia" w:ascii="宋体" w:hAnsi="宋体"/>
          <w:color w:val="auto"/>
          <w:sz w:val="24"/>
          <w:highlight w:val="none"/>
        </w:rPr>
        <w:t>架</w:t>
      </w:r>
      <w:r>
        <w:rPr>
          <w:rFonts w:ascii="宋体" w:hAnsi="宋体"/>
          <w:color w:val="auto"/>
          <w:sz w:val="24"/>
          <w:highlight w:val="none"/>
        </w:rPr>
        <w:t>/</w:t>
      </w:r>
      <w:r>
        <w:rPr>
          <w:rFonts w:hint="eastAsia" w:ascii="宋体" w:hAnsi="宋体"/>
          <w:color w:val="auto"/>
          <w:sz w:val="24"/>
          <w:highlight w:val="none"/>
        </w:rPr>
        <w:t>组等）：</w:t>
      </w:r>
    </w:p>
    <w:p w14:paraId="1B296676">
      <w:pPr>
        <w:numPr>
          <w:ilvl w:val="255"/>
          <w:numId w:val="0"/>
        </w:num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品牌：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规格型号：</w:t>
      </w:r>
    </w:p>
    <w:p w14:paraId="4AF326BA">
      <w:pPr>
        <w:widowControl/>
        <w:numPr>
          <w:ilvl w:val="255"/>
          <w:numId w:val="0"/>
        </w:numPr>
        <w:spacing w:line="360" w:lineRule="auto"/>
        <w:ind w:firstLine="240"/>
        <w:jc w:val="left"/>
        <w:rPr>
          <w:rFonts w:ascii="宋体" w:hAnsi="宋体"/>
          <w:color w:val="auto"/>
          <w:sz w:val="24"/>
          <w:highlight w:val="none"/>
        </w:rPr>
      </w:pPr>
      <w:r>
        <w:rPr>
          <w:rFonts w:hint="eastAsia" w:ascii="宋体" w:hAnsi="宋体" w:eastAsia="华文楷体" w:cs="华文楷体"/>
          <w:color w:val="auto"/>
          <w:sz w:val="24"/>
          <w:highlight w:val="none"/>
        </w:rPr>
        <w:t xml:space="preserve"> （</w:t>
      </w:r>
      <w:r>
        <w:rPr>
          <w:rFonts w:ascii="宋体" w:hAnsi="宋体" w:eastAsia="华文楷体" w:cs="华文楷体"/>
          <w:color w:val="auto"/>
          <w:sz w:val="24"/>
          <w:highlight w:val="none"/>
        </w:rPr>
        <w:t>6</w:t>
      </w:r>
      <w:r>
        <w:rPr>
          <w:rFonts w:hint="eastAsia" w:ascii="宋体" w:hAnsi="宋体" w:eastAsia="华文楷体" w:cs="华文楷体"/>
          <w:color w:val="auto"/>
          <w:sz w:val="24"/>
          <w:highlight w:val="none"/>
        </w:rPr>
        <w:t>）</w:t>
      </w:r>
      <w:r>
        <w:rPr>
          <w:rFonts w:hint="eastAsia" w:ascii="宋体" w:hAnsi="宋体"/>
          <w:color w:val="auto"/>
          <w:sz w:val="24"/>
          <w:highlight w:val="none"/>
        </w:rPr>
        <w:t>中标（成交）采购标的制造商是否为中小企业：</w:t>
      </w:r>
      <w:r>
        <w:rPr>
          <w:rFonts w:ascii="Wingdings" w:hAnsi="Wingdings" w:eastAsia="Wingdings" w:cs="Wingdings"/>
          <w:color w:val="auto"/>
          <w:sz w:val="24"/>
          <w:highlight w:val="none"/>
        </w:rPr>
        <w:t></w:t>
      </w:r>
      <w:r>
        <w:rPr>
          <w:rFonts w:hint="eastAsia" w:ascii="宋体" w:hAnsi="宋体"/>
          <w:color w:val="auto"/>
          <w:sz w:val="24"/>
          <w:highlight w:val="none"/>
        </w:rPr>
        <w:t xml:space="preserve">是      </w:t>
      </w:r>
      <w:r>
        <w:rPr>
          <w:rFonts w:ascii="Wingdings" w:hAnsi="Wingdings" w:eastAsia="Wingdings" w:cs="Wingdings"/>
          <w:color w:val="auto"/>
          <w:sz w:val="24"/>
          <w:highlight w:val="none"/>
        </w:rPr>
        <w:t></w:t>
      </w:r>
      <w:r>
        <w:rPr>
          <w:rFonts w:hint="eastAsia" w:ascii="宋体" w:hAnsi="宋体"/>
          <w:color w:val="auto"/>
          <w:sz w:val="24"/>
          <w:highlight w:val="none"/>
        </w:rPr>
        <w:t>否</w:t>
      </w:r>
    </w:p>
    <w:p w14:paraId="00D5C43C">
      <w:pPr>
        <w:numPr>
          <w:ilvl w:val="255"/>
          <w:numId w:val="0"/>
        </w:numPr>
        <w:spacing w:line="360" w:lineRule="auto"/>
        <w:rPr>
          <w:rFonts w:ascii="宋体" w:hAnsi="宋体"/>
          <w:iCs/>
          <w:color w:val="auto"/>
          <w:sz w:val="24"/>
          <w:highlight w:val="none"/>
        </w:rPr>
      </w:pPr>
      <w:r>
        <w:rPr>
          <w:rFonts w:hint="eastAsia" w:ascii="宋体" w:hAnsi="宋体"/>
          <w:color w:val="auto"/>
          <w:sz w:val="24"/>
          <w:highlight w:val="none"/>
        </w:rPr>
        <w:t xml:space="preserve">         本合同是否为专门面向中小企业的采购合同（中小企业预留合同）：</w:t>
      </w:r>
      <w:r>
        <w:rPr>
          <w:rFonts w:ascii="Wingdings" w:hAnsi="Wingdings" w:eastAsia="Wingdings" w:cs="Wingdings"/>
          <w:iCs/>
          <w:color w:val="auto"/>
          <w:sz w:val="24"/>
          <w:highlight w:val="none"/>
        </w:rPr>
        <w:t></w:t>
      </w:r>
      <w:r>
        <w:rPr>
          <w:rFonts w:hint="eastAsia" w:ascii="宋体" w:hAnsi="宋体"/>
          <w:iCs/>
          <w:color w:val="auto"/>
          <w:sz w:val="24"/>
          <w:highlight w:val="none"/>
        </w:rPr>
        <w:t xml:space="preserve">是 </w:t>
      </w:r>
      <w:r>
        <w:rPr>
          <w:rFonts w:ascii="Wingdings" w:hAnsi="Wingdings" w:eastAsia="Wingdings" w:cs="Wingdings"/>
          <w:iCs/>
          <w:color w:val="auto"/>
          <w:sz w:val="24"/>
          <w:highlight w:val="none"/>
        </w:rPr>
        <w:t></w:t>
      </w:r>
      <w:r>
        <w:rPr>
          <w:rFonts w:hint="eastAsia" w:ascii="宋体" w:hAnsi="宋体"/>
          <w:iCs/>
          <w:color w:val="auto"/>
          <w:sz w:val="24"/>
          <w:highlight w:val="none"/>
        </w:rPr>
        <w:t>否</w:t>
      </w:r>
    </w:p>
    <w:p w14:paraId="3646097B">
      <w:pPr>
        <w:numPr>
          <w:ilvl w:val="255"/>
          <w:numId w:val="0"/>
        </w:numPr>
        <w:spacing w:line="360" w:lineRule="auto"/>
        <w:rPr>
          <w:rFonts w:ascii="宋体" w:hAnsi="宋体"/>
          <w:iCs/>
          <w:color w:val="auto"/>
          <w:sz w:val="24"/>
          <w:highlight w:val="none"/>
        </w:rPr>
      </w:pPr>
      <w:r>
        <w:rPr>
          <w:rFonts w:hint="eastAsia"/>
          <w:color w:val="auto"/>
          <w:sz w:val="24"/>
          <w:highlight w:val="none"/>
        </w:rPr>
        <w:t xml:space="preserve">         若本项目不专门面向中小企业采购，是否给予小微企业评审优惠：</w:t>
      </w:r>
      <w:r>
        <w:rPr>
          <w:rFonts w:ascii="Wingdings" w:hAnsi="Wingdings" w:eastAsia="Wingdings" w:cs="Wingdings"/>
          <w:iCs/>
          <w:color w:val="auto"/>
          <w:sz w:val="24"/>
          <w:highlight w:val="none"/>
        </w:rPr>
        <w:t></w:t>
      </w:r>
      <w:r>
        <w:rPr>
          <w:rFonts w:hint="eastAsia" w:ascii="宋体" w:hAnsi="宋体"/>
          <w:iCs/>
          <w:color w:val="auto"/>
          <w:sz w:val="24"/>
          <w:highlight w:val="none"/>
        </w:rPr>
        <w:t xml:space="preserve">是   </w:t>
      </w:r>
      <w:r>
        <w:rPr>
          <w:rFonts w:ascii="Wingdings" w:hAnsi="Wingdings" w:eastAsia="Wingdings" w:cs="Wingdings"/>
          <w:iCs/>
          <w:color w:val="auto"/>
          <w:sz w:val="24"/>
          <w:highlight w:val="none"/>
        </w:rPr>
        <w:t></w:t>
      </w:r>
      <w:r>
        <w:rPr>
          <w:rFonts w:hint="eastAsia" w:ascii="宋体" w:hAnsi="宋体"/>
          <w:iCs/>
          <w:color w:val="auto"/>
          <w:sz w:val="24"/>
          <w:highlight w:val="none"/>
        </w:rPr>
        <w:t>否</w:t>
      </w:r>
    </w:p>
    <w:p w14:paraId="0FA18D3E">
      <w:pPr>
        <w:numPr>
          <w:ilvl w:val="255"/>
          <w:numId w:val="0"/>
        </w:numPr>
        <w:spacing w:line="360" w:lineRule="auto"/>
        <w:rPr>
          <w:rFonts w:ascii="宋体" w:hAnsi="宋体"/>
          <w:iCs/>
          <w:color w:val="auto"/>
          <w:sz w:val="24"/>
          <w:highlight w:val="none"/>
        </w:rPr>
      </w:pPr>
      <w:r>
        <w:rPr>
          <w:rFonts w:hint="eastAsia"/>
          <w:color w:val="auto"/>
          <w:sz w:val="24"/>
          <w:highlight w:val="none"/>
        </w:rPr>
        <w:t xml:space="preserve">         中标（成交）采购标的制造商是否为残疾人福利性单位：</w:t>
      </w:r>
      <w:r>
        <w:rPr>
          <w:rFonts w:ascii="Wingdings" w:hAnsi="Wingdings" w:eastAsia="Wingdings" w:cs="Wingdings"/>
          <w:iCs/>
          <w:color w:val="auto"/>
          <w:sz w:val="24"/>
          <w:highlight w:val="none"/>
        </w:rPr>
        <w:t></w:t>
      </w:r>
      <w:r>
        <w:rPr>
          <w:rFonts w:hint="eastAsia" w:ascii="宋体" w:hAnsi="宋体"/>
          <w:iCs/>
          <w:color w:val="auto"/>
          <w:sz w:val="24"/>
          <w:highlight w:val="none"/>
        </w:rPr>
        <w:t xml:space="preserve">是   </w:t>
      </w:r>
      <w:r>
        <w:rPr>
          <w:rFonts w:ascii="Wingdings" w:hAnsi="Wingdings" w:eastAsia="Wingdings" w:cs="Wingdings"/>
          <w:iCs/>
          <w:color w:val="auto"/>
          <w:sz w:val="24"/>
          <w:highlight w:val="none"/>
        </w:rPr>
        <w:t></w:t>
      </w:r>
      <w:r>
        <w:rPr>
          <w:rFonts w:hint="eastAsia" w:ascii="宋体" w:hAnsi="宋体"/>
          <w:iCs/>
          <w:color w:val="auto"/>
          <w:sz w:val="24"/>
          <w:highlight w:val="none"/>
        </w:rPr>
        <w:t>否</w:t>
      </w:r>
    </w:p>
    <w:p w14:paraId="408C49F7">
      <w:pPr>
        <w:spacing w:line="360" w:lineRule="auto"/>
        <w:rPr>
          <w:color w:val="auto"/>
          <w:sz w:val="24"/>
          <w:highlight w:val="none"/>
        </w:rPr>
      </w:pPr>
      <w:r>
        <w:rPr>
          <w:rFonts w:hint="eastAsia"/>
          <w:color w:val="auto"/>
          <w:sz w:val="24"/>
          <w:highlight w:val="none"/>
        </w:rPr>
        <w:t xml:space="preserve">         中标（成交）采购标的制造商是否为监狱企业：</w:t>
      </w:r>
      <w:r>
        <w:rPr>
          <w:rFonts w:ascii="Wingdings" w:hAnsi="Wingdings" w:eastAsia="Wingdings" w:cs="Wingdings"/>
          <w:iCs/>
          <w:color w:val="auto"/>
          <w:sz w:val="24"/>
          <w:highlight w:val="none"/>
        </w:rPr>
        <w:t></w:t>
      </w:r>
      <w:r>
        <w:rPr>
          <w:rFonts w:hint="eastAsia" w:ascii="宋体" w:hAnsi="宋体"/>
          <w:iCs/>
          <w:color w:val="auto"/>
          <w:sz w:val="24"/>
          <w:highlight w:val="none"/>
        </w:rPr>
        <w:t xml:space="preserve">是       </w:t>
      </w:r>
      <w:r>
        <w:rPr>
          <w:rFonts w:ascii="Wingdings" w:hAnsi="Wingdings" w:eastAsia="Wingdings" w:cs="Wingdings"/>
          <w:iCs/>
          <w:color w:val="auto"/>
          <w:sz w:val="24"/>
          <w:highlight w:val="none"/>
        </w:rPr>
        <w:t></w:t>
      </w:r>
      <w:r>
        <w:rPr>
          <w:rFonts w:hint="eastAsia" w:ascii="宋体" w:hAnsi="宋体"/>
          <w:iCs/>
          <w:color w:val="auto"/>
          <w:sz w:val="24"/>
          <w:highlight w:val="none"/>
        </w:rPr>
        <w:t>否</w:t>
      </w:r>
    </w:p>
    <w:p w14:paraId="604C962A">
      <w:pPr>
        <w:spacing w:line="360" w:lineRule="auto"/>
        <w:ind w:firstLine="48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）合同是否分包：</w:t>
      </w:r>
      <w:r>
        <w:rPr>
          <w:rFonts w:ascii="Wingdings" w:hAnsi="Wingdings" w:eastAsia="Wingdings" w:cs="Wingdings"/>
          <w:iCs/>
          <w:color w:val="auto"/>
          <w:sz w:val="24"/>
          <w:highlight w:val="none"/>
        </w:rPr>
        <w:t></w:t>
      </w:r>
      <w:r>
        <w:rPr>
          <w:rFonts w:hint="eastAsia" w:ascii="宋体" w:hAnsi="宋体"/>
          <w:iCs/>
          <w:color w:val="auto"/>
          <w:sz w:val="24"/>
          <w:highlight w:val="none"/>
        </w:rPr>
        <w:t xml:space="preserve">是       </w:t>
      </w:r>
      <w:r>
        <w:rPr>
          <w:rFonts w:ascii="Wingdings" w:hAnsi="Wingdings" w:eastAsia="Wingdings" w:cs="Wingdings"/>
          <w:iCs/>
          <w:color w:val="auto"/>
          <w:sz w:val="24"/>
          <w:highlight w:val="none"/>
        </w:rPr>
        <w:t></w:t>
      </w:r>
      <w:r>
        <w:rPr>
          <w:rFonts w:hint="eastAsia" w:ascii="宋体" w:hAnsi="宋体"/>
          <w:iCs/>
          <w:color w:val="auto"/>
          <w:sz w:val="24"/>
          <w:highlight w:val="none"/>
        </w:rPr>
        <w:t>否</w:t>
      </w:r>
    </w:p>
    <w:p w14:paraId="65CC8C1C">
      <w:pPr>
        <w:spacing w:line="360" w:lineRule="auto"/>
        <w:ind w:firstLine="960"/>
        <w:rPr>
          <w:rFonts w:ascii="宋体" w:hAnsi="宋体"/>
          <w:color w:val="auto"/>
          <w:sz w:val="24"/>
          <w:highlight w:val="none"/>
          <w:u w:val="single"/>
        </w:rPr>
      </w:pPr>
      <w:r>
        <w:rPr>
          <w:rFonts w:hint="eastAsia" w:ascii="宋体" w:hAnsi="宋体"/>
          <w:color w:val="auto"/>
          <w:sz w:val="24"/>
          <w:highlight w:val="none"/>
        </w:rPr>
        <w:t>分包主要内容：</w:t>
      </w:r>
    </w:p>
    <w:p w14:paraId="61EC5E37">
      <w:pPr>
        <w:spacing w:line="360" w:lineRule="auto"/>
        <w:ind w:firstLine="960"/>
        <w:rPr>
          <w:rFonts w:ascii="宋体" w:hAnsi="宋体"/>
          <w:color w:val="auto"/>
          <w:sz w:val="24"/>
          <w:highlight w:val="none"/>
        </w:rPr>
      </w:pPr>
      <w:r>
        <w:rPr>
          <w:rFonts w:hint="eastAsia" w:ascii="宋体" w:hAnsi="宋体"/>
          <w:color w:val="auto"/>
          <w:sz w:val="24"/>
          <w:highlight w:val="none"/>
        </w:rPr>
        <w:t>分包供应商/制造商名称（如供应商和制造商不同，请分别填写）：</w:t>
      </w:r>
    </w:p>
    <w:p w14:paraId="7FD30F2B">
      <w:pPr>
        <w:spacing w:line="360" w:lineRule="auto"/>
        <w:ind w:firstLine="960"/>
        <w:rPr>
          <w:rFonts w:ascii="宋体" w:hAnsi="宋体"/>
          <w:color w:val="auto"/>
          <w:sz w:val="24"/>
          <w:highlight w:val="none"/>
        </w:rPr>
      </w:pPr>
      <w:r>
        <w:rPr>
          <w:rFonts w:hint="eastAsia" w:ascii="宋体" w:hAnsi="宋体"/>
          <w:color w:val="auto"/>
          <w:sz w:val="24"/>
          <w:highlight w:val="none"/>
        </w:rPr>
        <w:t>分包供应商/制造商类型（如果供应商和制造商不同，只填写制造商类型）：</w:t>
      </w:r>
    </w:p>
    <w:p w14:paraId="090B16F7">
      <w:pPr>
        <w:spacing w:line="360" w:lineRule="auto"/>
        <w:ind w:firstLine="960"/>
        <w:rPr>
          <w:rFonts w:ascii="宋体" w:hAnsi="宋体"/>
          <w:iCs/>
          <w:color w:val="auto"/>
          <w:sz w:val="24"/>
          <w:highlight w:val="none"/>
        </w:rPr>
      </w:pPr>
      <w:r>
        <w:rPr>
          <w:rFonts w:ascii="Wingdings" w:hAnsi="Wingdings" w:eastAsia="Wingdings" w:cs="Wingdings"/>
          <w:iCs/>
          <w:color w:val="auto"/>
          <w:sz w:val="24"/>
          <w:highlight w:val="none"/>
        </w:rPr>
        <w:t></w:t>
      </w:r>
      <w:r>
        <w:rPr>
          <w:rFonts w:hint="eastAsia" w:ascii="宋体" w:hAnsi="宋体"/>
          <w:iCs/>
          <w:color w:val="auto"/>
          <w:sz w:val="24"/>
          <w:highlight w:val="none"/>
        </w:rPr>
        <w:t xml:space="preserve">大型企业  </w:t>
      </w:r>
      <w:r>
        <w:rPr>
          <w:rFonts w:ascii="Wingdings" w:hAnsi="Wingdings" w:eastAsia="Wingdings" w:cs="Wingdings"/>
          <w:iCs/>
          <w:color w:val="auto"/>
          <w:sz w:val="24"/>
          <w:highlight w:val="none"/>
        </w:rPr>
        <w:t></w:t>
      </w:r>
      <w:r>
        <w:rPr>
          <w:rFonts w:hint="eastAsia" w:ascii="宋体" w:hAnsi="宋体"/>
          <w:iCs/>
          <w:color w:val="auto"/>
          <w:sz w:val="24"/>
          <w:highlight w:val="none"/>
        </w:rPr>
        <w:t xml:space="preserve">中型企业  </w:t>
      </w:r>
      <w:r>
        <w:rPr>
          <w:rFonts w:ascii="Wingdings" w:hAnsi="Wingdings" w:eastAsia="Wingdings" w:cs="Wingdings"/>
          <w:iCs/>
          <w:color w:val="auto"/>
          <w:sz w:val="24"/>
          <w:highlight w:val="none"/>
        </w:rPr>
        <w:t></w:t>
      </w:r>
      <w:r>
        <w:rPr>
          <w:rFonts w:hint="eastAsia" w:ascii="宋体" w:hAnsi="宋体"/>
          <w:iCs/>
          <w:color w:val="auto"/>
          <w:sz w:val="24"/>
          <w:highlight w:val="none"/>
        </w:rPr>
        <w:t>小微型企业</w:t>
      </w:r>
    </w:p>
    <w:p w14:paraId="467DD514">
      <w:pPr>
        <w:spacing w:line="360" w:lineRule="auto"/>
        <w:ind w:firstLine="960"/>
        <w:rPr>
          <w:rFonts w:eastAsia="华文楷体"/>
          <w:color w:val="auto"/>
          <w:sz w:val="24"/>
          <w:highlight w:val="none"/>
        </w:rPr>
      </w:pPr>
      <w:r>
        <w:rPr>
          <w:rFonts w:ascii="Wingdings" w:hAnsi="Wingdings" w:eastAsia="Wingdings" w:cs="Wingdings"/>
          <w:iCs/>
          <w:color w:val="auto"/>
          <w:sz w:val="24"/>
          <w:highlight w:val="none"/>
        </w:rPr>
        <w:t></w:t>
      </w:r>
      <w:r>
        <w:rPr>
          <w:rFonts w:hint="eastAsia" w:ascii="宋体" w:hAnsi="宋体"/>
          <w:iCs/>
          <w:color w:val="auto"/>
          <w:sz w:val="24"/>
          <w:highlight w:val="none"/>
        </w:rPr>
        <w:t>残疾人福利性单位</w:t>
      </w:r>
      <w:r>
        <w:rPr>
          <w:rFonts w:ascii="Wingdings" w:hAnsi="Wingdings" w:eastAsia="Wingdings" w:cs="Wingdings"/>
          <w:iCs/>
          <w:color w:val="auto"/>
          <w:sz w:val="24"/>
          <w:highlight w:val="none"/>
        </w:rPr>
        <w:t></w:t>
      </w:r>
      <w:r>
        <w:rPr>
          <w:rFonts w:hint="eastAsia" w:ascii="宋体" w:hAnsi="宋体"/>
          <w:iCs/>
          <w:color w:val="auto"/>
          <w:sz w:val="24"/>
          <w:highlight w:val="none"/>
        </w:rPr>
        <w:t>监狱企业</w:t>
      </w:r>
      <w:r>
        <w:rPr>
          <w:rFonts w:ascii="Wingdings" w:hAnsi="Wingdings" w:eastAsia="Wingdings" w:cs="Wingdings"/>
          <w:iCs/>
          <w:color w:val="auto"/>
          <w:sz w:val="24"/>
          <w:highlight w:val="none"/>
        </w:rPr>
        <w:t></w:t>
      </w:r>
      <w:r>
        <w:rPr>
          <w:rFonts w:hint="eastAsia" w:ascii="宋体" w:hAnsi="宋体"/>
          <w:iCs/>
          <w:color w:val="auto"/>
          <w:sz w:val="24"/>
          <w:highlight w:val="none"/>
        </w:rPr>
        <w:t>其他</w:t>
      </w:r>
    </w:p>
    <w:p w14:paraId="3A9F7147">
      <w:pPr>
        <w:numPr>
          <w:ilvl w:val="255"/>
          <w:numId w:val="0"/>
        </w:numPr>
        <w:spacing w:line="360" w:lineRule="auto"/>
        <w:ind w:firstLine="480"/>
        <w:rPr>
          <w:rFonts w:ascii="宋体" w:hAnsi="宋体" w:cs="宋体"/>
          <w:iCs/>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）中标（成交）供应商是否为外商投资企业：</w:t>
      </w:r>
      <w:r>
        <w:rPr>
          <w:rFonts w:ascii="Wingdings" w:hAnsi="Wingdings" w:eastAsia="Wingdings" w:cs="Wingdings"/>
          <w:iCs/>
          <w:color w:val="auto"/>
          <w:sz w:val="24"/>
          <w:highlight w:val="none"/>
        </w:rPr>
        <w:t></w:t>
      </w:r>
      <w:r>
        <w:rPr>
          <w:rFonts w:hint="eastAsia" w:ascii="宋体" w:hAnsi="宋体" w:cs="宋体"/>
          <w:iCs/>
          <w:color w:val="auto"/>
          <w:sz w:val="24"/>
          <w:highlight w:val="none"/>
        </w:rPr>
        <w:t xml:space="preserve">是       </w:t>
      </w:r>
      <w:r>
        <w:rPr>
          <w:rFonts w:ascii="Wingdings" w:hAnsi="Wingdings" w:eastAsia="Wingdings" w:cs="Wingdings"/>
          <w:iCs/>
          <w:color w:val="auto"/>
          <w:sz w:val="24"/>
          <w:highlight w:val="none"/>
        </w:rPr>
        <w:t></w:t>
      </w:r>
      <w:r>
        <w:rPr>
          <w:rFonts w:hint="eastAsia" w:ascii="宋体" w:hAnsi="宋体" w:cs="宋体"/>
          <w:iCs/>
          <w:color w:val="auto"/>
          <w:sz w:val="24"/>
          <w:highlight w:val="none"/>
        </w:rPr>
        <w:t>否</w:t>
      </w:r>
    </w:p>
    <w:p w14:paraId="14D6E5CD">
      <w:pPr>
        <w:widowControl/>
        <w:tabs>
          <w:tab w:val="left" w:pos="1340"/>
        </w:tabs>
        <w:spacing w:line="360" w:lineRule="auto"/>
        <w:ind w:firstLine="480"/>
        <w:jc w:val="left"/>
        <w:rPr>
          <w:rFonts w:ascii="宋体" w:hAnsi="宋体" w:cs="宋体"/>
          <w:color w:val="auto"/>
          <w:sz w:val="24"/>
          <w:highlight w:val="none"/>
          <w:u w:val="single"/>
        </w:rPr>
      </w:pPr>
      <w:r>
        <w:rPr>
          <w:rFonts w:hint="eastAsia" w:ascii="宋体" w:hAnsi="宋体" w:cs="宋体"/>
          <w:color w:val="auto"/>
          <w:sz w:val="24"/>
          <w:highlight w:val="none"/>
        </w:rPr>
        <w:t xml:space="preserve">     外商投资企业类型：</w:t>
      </w:r>
      <w:r>
        <w:rPr>
          <w:rFonts w:ascii="Wingdings" w:hAnsi="Wingdings" w:eastAsia="Wingdings" w:cs="Wingdings"/>
          <w:iCs/>
          <w:color w:val="auto"/>
          <w:sz w:val="24"/>
          <w:highlight w:val="none"/>
        </w:rPr>
        <w:t></w:t>
      </w:r>
      <w:r>
        <w:rPr>
          <w:rFonts w:hint="eastAsia" w:ascii="宋体" w:hAnsi="宋体" w:cs="宋体"/>
          <w:color w:val="auto"/>
          <w:sz w:val="24"/>
          <w:highlight w:val="none"/>
        </w:rPr>
        <w:t xml:space="preserve">全部由外国投资者投资  </w:t>
      </w:r>
      <w:r>
        <w:rPr>
          <w:rFonts w:ascii="Wingdings" w:hAnsi="Wingdings" w:eastAsia="Wingdings" w:cs="Wingdings"/>
          <w:iCs/>
          <w:color w:val="auto"/>
          <w:sz w:val="24"/>
          <w:highlight w:val="none"/>
        </w:rPr>
        <w:t></w:t>
      </w:r>
      <w:r>
        <w:rPr>
          <w:rFonts w:hint="eastAsia" w:ascii="宋体" w:hAnsi="宋体" w:cs="宋体"/>
          <w:iCs/>
          <w:color w:val="auto"/>
          <w:sz w:val="24"/>
          <w:highlight w:val="none"/>
        </w:rPr>
        <w:t>部分由外国投资者投资</w:t>
      </w:r>
    </w:p>
    <w:p w14:paraId="0DB072C9">
      <w:pPr>
        <w:numPr>
          <w:ilvl w:val="255"/>
          <w:numId w:val="0"/>
        </w:num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）是否涉及进口产品：</w:t>
      </w:r>
    </w:p>
    <w:p w14:paraId="1600FC89">
      <w:pPr>
        <w:numPr>
          <w:ilvl w:val="255"/>
          <w:numId w:val="0"/>
        </w:numPr>
        <w:spacing w:line="360" w:lineRule="auto"/>
        <w:ind w:firstLine="960"/>
        <w:rPr>
          <w:rFonts w:ascii="宋体" w:hAnsi="宋体" w:cs="宋体"/>
          <w:color w:val="auto"/>
          <w:sz w:val="24"/>
          <w:highlight w:val="none"/>
          <w:u w:val="single"/>
        </w:rPr>
      </w:pPr>
      <w:r>
        <w:rPr>
          <w:rFonts w:ascii="Wingdings" w:hAnsi="Wingdings" w:eastAsia="Wingdings" w:cs="Wingdings"/>
          <w:color w:val="auto"/>
          <w:sz w:val="24"/>
          <w:highlight w:val="none"/>
        </w:rPr>
        <w:t></w:t>
      </w:r>
      <w:r>
        <w:rPr>
          <w:rFonts w:hint="eastAsia" w:ascii="宋体" w:hAnsi="宋体" w:cs="宋体"/>
          <w:color w:val="auto"/>
          <w:sz w:val="24"/>
          <w:highlight w:val="none"/>
        </w:rPr>
        <w:t>是，《政府采购品目分类目录》底级品目名称：金额：</w:t>
      </w:r>
    </w:p>
    <w:p w14:paraId="4E6993B2">
      <w:pPr>
        <w:numPr>
          <w:ilvl w:val="255"/>
          <w:numId w:val="0"/>
        </w:numPr>
        <w:spacing w:line="360" w:lineRule="auto"/>
        <w:ind w:firstLine="960"/>
        <w:rPr>
          <w:rFonts w:ascii="宋体" w:hAnsi="宋体"/>
          <w:color w:val="auto"/>
          <w:sz w:val="24"/>
          <w:highlight w:val="none"/>
        </w:rPr>
      </w:pPr>
      <w:r>
        <w:rPr>
          <w:rFonts w:hint="eastAsia" w:ascii="宋体" w:hAnsi="宋体" w:cs="宋体"/>
          <w:color w:val="auto"/>
          <w:sz w:val="24"/>
          <w:highlight w:val="none"/>
        </w:rPr>
        <w:t xml:space="preserve">        国别：品牌： 规格型号：</w:t>
      </w:r>
    </w:p>
    <w:p w14:paraId="3CEC5FFE">
      <w:pPr>
        <w:spacing w:line="360" w:lineRule="auto"/>
        <w:ind w:firstLine="960"/>
        <w:rPr>
          <w:rFonts w:ascii="宋体" w:hAnsi="宋体"/>
          <w:color w:val="auto"/>
          <w:sz w:val="24"/>
          <w:highlight w:val="none"/>
        </w:rPr>
      </w:pPr>
      <w:r>
        <w:rPr>
          <w:rFonts w:ascii="Wingdings" w:hAnsi="Wingdings" w:eastAsia="Wingdings" w:cs="Wingdings"/>
          <w:color w:val="auto"/>
          <w:sz w:val="24"/>
          <w:highlight w:val="none"/>
        </w:rPr>
        <w:t></w:t>
      </w:r>
      <w:r>
        <w:rPr>
          <w:rFonts w:hint="eastAsia" w:ascii="宋体" w:hAnsi="宋体"/>
          <w:color w:val="auto"/>
          <w:sz w:val="24"/>
          <w:highlight w:val="none"/>
        </w:rPr>
        <w:t>否</w:t>
      </w:r>
    </w:p>
    <w:p w14:paraId="4A1CC7CC">
      <w:pPr>
        <w:numPr>
          <w:ilvl w:val="255"/>
          <w:numId w:val="0"/>
        </w:numPr>
        <w:tabs>
          <w:tab w:val="left" w:pos="740"/>
        </w:tabs>
        <w:spacing w:line="360" w:lineRule="auto"/>
        <w:rPr>
          <w:rFonts w:ascii="宋体" w:hAnsi="宋体"/>
          <w:color w:val="auto"/>
          <w:sz w:val="24"/>
          <w:highlight w:val="none"/>
        </w:rPr>
      </w:pPr>
      <w:r>
        <w:rPr>
          <w:rFonts w:hint="eastAsia" w:ascii="宋体" w:hAnsi="宋体"/>
          <w:color w:val="auto"/>
          <w:sz w:val="24"/>
          <w:highlight w:val="none"/>
        </w:rPr>
        <w:t xml:space="preserve">    （1</w:t>
      </w:r>
      <w:r>
        <w:rPr>
          <w:rFonts w:ascii="宋体" w:hAnsi="宋体"/>
          <w:color w:val="auto"/>
          <w:sz w:val="24"/>
          <w:highlight w:val="none"/>
        </w:rPr>
        <w:t>0</w:t>
      </w:r>
      <w:r>
        <w:rPr>
          <w:rFonts w:hint="eastAsia" w:ascii="宋体" w:hAnsi="宋体"/>
          <w:color w:val="auto"/>
          <w:sz w:val="24"/>
          <w:highlight w:val="none"/>
        </w:rPr>
        <w:t>）是否涉及节能产品：</w:t>
      </w:r>
    </w:p>
    <w:p w14:paraId="600F2D93">
      <w:pPr>
        <w:numPr>
          <w:ilvl w:val="255"/>
          <w:numId w:val="0"/>
        </w:numPr>
        <w:tabs>
          <w:tab w:val="left" w:pos="740"/>
        </w:tabs>
        <w:spacing w:line="360" w:lineRule="auto"/>
        <w:ind w:firstLine="960"/>
        <w:rPr>
          <w:rFonts w:ascii="宋体" w:hAnsi="宋体"/>
          <w:iCs/>
          <w:color w:val="auto"/>
          <w:sz w:val="24"/>
          <w:highlight w:val="none"/>
        </w:rPr>
      </w:pPr>
      <w:r>
        <w:rPr>
          <w:rFonts w:ascii="Wingdings" w:hAnsi="Wingdings" w:eastAsia="Wingdings" w:cs="Wingdings"/>
          <w:color w:val="auto"/>
          <w:sz w:val="24"/>
          <w:highlight w:val="none"/>
        </w:rPr>
        <w:t></w:t>
      </w:r>
      <w:r>
        <w:rPr>
          <w:rFonts w:hint="eastAsia" w:ascii="宋体" w:hAnsi="宋体"/>
          <w:color w:val="auto"/>
          <w:sz w:val="24"/>
          <w:highlight w:val="none"/>
        </w:rPr>
        <w:t>是，《节能产品政府采购品目清单》的底级品目名称：</w:t>
      </w:r>
    </w:p>
    <w:p w14:paraId="77CAB911">
      <w:pPr>
        <w:numPr>
          <w:ilvl w:val="255"/>
          <w:numId w:val="0"/>
        </w:numPr>
        <w:tabs>
          <w:tab w:val="left" w:pos="740"/>
        </w:tabs>
        <w:spacing w:line="360" w:lineRule="auto"/>
        <w:ind w:firstLine="960"/>
        <w:rPr>
          <w:rFonts w:ascii="宋体" w:hAnsi="宋体"/>
          <w:color w:val="auto"/>
          <w:sz w:val="24"/>
          <w:highlight w:val="none"/>
        </w:rPr>
      </w:pPr>
      <w:r>
        <w:rPr>
          <w:rFonts w:ascii="Wingdings" w:hAnsi="Wingdings" w:eastAsia="Wingdings" w:cs="Wingdings"/>
          <w:color w:val="auto"/>
          <w:sz w:val="24"/>
          <w:highlight w:val="none"/>
        </w:rPr>
        <w:t></w:t>
      </w:r>
      <w:r>
        <w:rPr>
          <w:rFonts w:hint="eastAsia" w:ascii="宋体" w:hAnsi="宋体"/>
          <w:color w:val="auto"/>
          <w:sz w:val="24"/>
          <w:highlight w:val="none"/>
        </w:rPr>
        <w:t>强制采购</w:t>
      </w:r>
      <w:r>
        <w:rPr>
          <w:rFonts w:ascii="Wingdings" w:hAnsi="Wingdings" w:eastAsia="Wingdings" w:cs="Wingdings"/>
          <w:color w:val="auto"/>
          <w:sz w:val="24"/>
          <w:highlight w:val="none"/>
        </w:rPr>
        <w:t></w:t>
      </w:r>
      <w:r>
        <w:rPr>
          <w:rFonts w:hint="eastAsia" w:ascii="宋体" w:hAnsi="宋体"/>
          <w:color w:val="auto"/>
          <w:sz w:val="24"/>
          <w:highlight w:val="none"/>
        </w:rPr>
        <w:t>优先采购</w:t>
      </w:r>
    </w:p>
    <w:p w14:paraId="542FEBA8">
      <w:pPr>
        <w:numPr>
          <w:ilvl w:val="255"/>
          <w:numId w:val="0"/>
        </w:numPr>
        <w:tabs>
          <w:tab w:val="left" w:pos="740"/>
        </w:tabs>
        <w:spacing w:line="360" w:lineRule="auto"/>
        <w:ind w:firstLine="960"/>
        <w:rPr>
          <w:rFonts w:ascii="宋体" w:hAnsi="宋体"/>
          <w:color w:val="auto"/>
          <w:sz w:val="24"/>
          <w:highlight w:val="none"/>
        </w:rPr>
      </w:pPr>
      <w:r>
        <w:rPr>
          <w:rFonts w:ascii="Wingdings" w:hAnsi="Wingdings" w:eastAsia="Wingdings" w:cs="Wingdings"/>
          <w:color w:val="auto"/>
          <w:sz w:val="24"/>
          <w:highlight w:val="none"/>
        </w:rPr>
        <w:t></w:t>
      </w:r>
      <w:r>
        <w:rPr>
          <w:rFonts w:hint="eastAsia" w:ascii="宋体" w:hAnsi="宋体"/>
          <w:color w:val="auto"/>
          <w:sz w:val="24"/>
          <w:highlight w:val="none"/>
        </w:rPr>
        <w:t>否</w:t>
      </w:r>
    </w:p>
    <w:p w14:paraId="4C6C4080">
      <w:pPr>
        <w:numPr>
          <w:ilvl w:val="255"/>
          <w:numId w:val="0"/>
        </w:numPr>
        <w:tabs>
          <w:tab w:val="left" w:pos="740"/>
        </w:tabs>
        <w:spacing w:line="360" w:lineRule="auto"/>
        <w:ind w:firstLine="960"/>
        <w:rPr>
          <w:rFonts w:ascii="宋体" w:hAnsi="宋体"/>
          <w:color w:val="auto"/>
          <w:sz w:val="24"/>
          <w:highlight w:val="none"/>
        </w:rPr>
      </w:pPr>
      <w:r>
        <w:rPr>
          <w:rFonts w:hint="eastAsia" w:ascii="宋体" w:hAnsi="宋体"/>
          <w:color w:val="auto"/>
          <w:sz w:val="24"/>
          <w:highlight w:val="none"/>
        </w:rPr>
        <w:t>是否涉及环境标志产品：</w:t>
      </w:r>
    </w:p>
    <w:p w14:paraId="132EA56F">
      <w:pPr>
        <w:numPr>
          <w:ilvl w:val="255"/>
          <w:numId w:val="0"/>
        </w:numPr>
        <w:tabs>
          <w:tab w:val="left" w:pos="740"/>
        </w:tabs>
        <w:spacing w:line="360" w:lineRule="auto"/>
        <w:ind w:firstLine="960"/>
        <w:rPr>
          <w:rFonts w:ascii="宋体" w:hAnsi="宋体"/>
          <w:color w:val="auto"/>
          <w:sz w:val="24"/>
          <w:highlight w:val="none"/>
        </w:rPr>
      </w:pPr>
      <w:r>
        <w:rPr>
          <w:rFonts w:ascii="Wingdings" w:hAnsi="Wingdings" w:eastAsia="Wingdings" w:cs="Wingdings"/>
          <w:color w:val="auto"/>
          <w:sz w:val="24"/>
          <w:highlight w:val="none"/>
        </w:rPr>
        <w:t></w:t>
      </w:r>
      <w:r>
        <w:rPr>
          <w:rFonts w:hint="eastAsia" w:ascii="宋体" w:hAnsi="宋体"/>
          <w:color w:val="auto"/>
          <w:sz w:val="24"/>
          <w:highlight w:val="none"/>
        </w:rPr>
        <w:t>是，《环境标志产品政府采购品目清单》的底级品目名称：</w:t>
      </w:r>
    </w:p>
    <w:p w14:paraId="2F04BDF5">
      <w:pPr>
        <w:numPr>
          <w:ilvl w:val="255"/>
          <w:numId w:val="0"/>
        </w:numPr>
        <w:tabs>
          <w:tab w:val="left" w:pos="740"/>
        </w:tabs>
        <w:spacing w:line="360" w:lineRule="auto"/>
        <w:ind w:firstLine="840"/>
        <w:rPr>
          <w:rFonts w:ascii="宋体" w:hAnsi="宋体"/>
          <w:color w:val="auto"/>
          <w:sz w:val="24"/>
          <w:highlight w:val="none"/>
        </w:rPr>
      </w:pPr>
      <w:r>
        <w:rPr>
          <w:rFonts w:ascii="Wingdings" w:hAnsi="Wingdings" w:eastAsia="Wingdings" w:cs="Wingdings"/>
          <w:color w:val="auto"/>
          <w:sz w:val="24"/>
          <w:highlight w:val="none"/>
        </w:rPr>
        <w:t></w:t>
      </w:r>
      <w:r>
        <w:rPr>
          <w:rFonts w:hint="eastAsia" w:ascii="宋体" w:hAnsi="宋体"/>
          <w:color w:val="auto"/>
          <w:sz w:val="24"/>
          <w:highlight w:val="none"/>
        </w:rPr>
        <w:t>强制采购</w:t>
      </w:r>
      <w:r>
        <w:rPr>
          <w:rFonts w:ascii="Wingdings" w:hAnsi="Wingdings" w:eastAsia="Wingdings" w:cs="Wingdings"/>
          <w:color w:val="auto"/>
          <w:sz w:val="24"/>
          <w:highlight w:val="none"/>
        </w:rPr>
        <w:t></w:t>
      </w:r>
      <w:r>
        <w:rPr>
          <w:rFonts w:hint="eastAsia" w:ascii="宋体" w:hAnsi="宋体"/>
          <w:color w:val="auto"/>
          <w:sz w:val="24"/>
          <w:highlight w:val="none"/>
        </w:rPr>
        <w:t>优先采购</w:t>
      </w:r>
    </w:p>
    <w:p w14:paraId="70423B2B">
      <w:pPr>
        <w:numPr>
          <w:ilvl w:val="255"/>
          <w:numId w:val="0"/>
        </w:numPr>
        <w:tabs>
          <w:tab w:val="left" w:pos="740"/>
        </w:tabs>
        <w:spacing w:line="360" w:lineRule="auto"/>
        <w:ind w:firstLine="960"/>
        <w:rPr>
          <w:rFonts w:ascii="宋体" w:hAnsi="宋体"/>
          <w:color w:val="auto"/>
          <w:sz w:val="24"/>
          <w:highlight w:val="none"/>
        </w:rPr>
      </w:pPr>
      <w:r>
        <w:rPr>
          <w:rFonts w:ascii="Wingdings" w:hAnsi="Wingdings" w:eastAsia="Wingdings" w:cs="Wingdings"/>
          <w:color w:val="auto"/>
          <w:sz w:val="24"/>
          <w:highlight w:val="none"/>
        </w:rPr>
        <w:t></w:t>
      </w:r>
      <w:r>
        <w:rPr>
          <w:rFonts w:hint="eastAsia" w:ascii="宋体" w:hAnsi="宋体"/>
          <w:color w:val="auto"/>
          <w:sz w:val="24"/>
          <w:highlight w:val="none"/>
        </w:rPr>
        <w:t>否</w:t>
      </w:r>
    </w:p>
    <w:p w14:paraId="074A4426">
      <w:pPr>
        <w:widowControl/>
        <w:numPr>
          <w:ilvl w:val="255"/>
          <w:numId w:val="0"/>
        </w:numPr>
        <w:spacing w:line="360" w:lineRule="auto"/>
        <w:ind w:firstLine="840"/>
        <w:jc w:val="left"/>
        <w:rPr>
          <w:rFonts w:ascii="宋体" w:hAnsi="宋体"/>
          <w:color w:val="auto"/>
          <w:sz w:val="24"/>
          <w:highlight w:val="none"/>
        </w:rPr>
      </w:pPr>
      <w:r>
        <w:rPr>
          <w:rFonts w:hint="eastAsia" w:ascii="宋体" w:hAnsi="宋体"/>
          <w:color w:val="auto"/>
          <w:sz w:val="24"/>
          <w:highlight w:val="none"/>
        </w:rPr>
        <w:t>是否涉及绿色产品：</w:t>
      </w:r>
    </w:p>
    <w:p w14:paraId="0DFB6E4E">
      <w:pPr>
        <w:widowControl/>
        <w:spacing w:line="360" w:lineRule="auto"/>
        <w:ind w:firstLine="900"/>
        <w:jc w:val="left"/>
        <w:rPr>
          <w:rFonts w:ascii="宋体" w:hAnsi="宋体"/>
          <w:color w:val="auto"/>
          <w:sz w:val="24"/>
          <w:highlight w:val="none"/>
        </w:rPr>
      </w:pPr>
      <w:r>
        <w:rPr>
          <w:rFonts w:ascii="Wingdings" w:hAnsi="Wingdings" w:eastAsia="Wingdings" w:cs="Wingdings"/>
          <w:color w:val="auto"/>
          <w:sz w:val="24"/>
          <w:highlight w:val="none"/>
        </w:rPr>
        <w:t></w:t>
      </w:r>
      <w:r>
        <w:rPr>
          <w:rFonts w:hint="eastAsia" w:ascii="宋体" w:hAnsi="宋体"/>
          <w:color w:val="auto"/>
          <w:sz w:val="24"/>
          <w:highlight w:val="none"/>
        </w:rPr>
        <w:t>是，绿色产品政府采购相关政策确定的底级品目名称：</w:t>
      </w:r>
    </w:p>
    <w:p w14:paraId="1ABCC35B">
      <w:pPr>
        <w:numPr>
          <w:ilvl w:val="255"/>
          <w:numId w:val="0"/>
        </w:numPr>
        <w:tabs>
          <w:tab w:val="left" w:pos="740"/>
        </w:tabs>
        <w:spacing w:line="360" w:lineRule="auto"/>
        <w:ind w:firstLine="840"/>
        <w:rPr>
          <w:rFonts w:ascii="宋体" w:hAnsi="宋体"/>
          <w:color w:val="auto"/>
          <w:sz w:val="24"/>
          <w:highlight w:val="none"/>
        </w:rPr>
      </w:pPr>
      <w:r>
        <w:rPr>
          <w:rFonts w:ascii="Wingdings" w:hAnsi="Wingdings" w:eastAsia="Wingdings" w:cs="Wingdings"/>
          <w:color w:val="auto"/>
          <w:sz w:val="24"/>
          <w:highlight w:val="none"/>
        </w:rPr>
        <w:t></w:t>
      </w:r>
      <w:r>
        <w:rPr>
          <w:rFonts w:hint="eastAsia" w:ascii="宋体" w:hAnsi="宋体"/>
          <w:color w:val="auto"/>
          <w:sz w:val="24"/>
          <w:highlight w:val="none"/>
        </w:rPr>
        <w:t>强制采购</w:t>
      </w:r>
      <w:r>
        <w:rPr>
          <w:rFonts w:ascii="Wingdings" w:hAnsi="Wingdings" w:eastAsia="Wingdings" w:cs="Wingdings"/>
          <w:color w:val="auto"/>
          <w:sz w:val="24"/>
          <w:highlight w:val="none"/>
        </w:rPr>
        <w:t></w:t>
      </w:r>
      <w:r>
        <w:rPr>
          <w:rFonts w:hint="eastAsia" w:ascii="宋体" w:hAnsi="宋体"/>
          <w:color w:val="auto"/>
          <w:sz w:val="24"/>
          <w:highlight w:val="none"/>
        </w:rPr>
        <w:t>优先采购</w:t>
      </w:r>
    </w:p>
    <w:p w14:paraId="5A1DF0FC">
      <w:pPr>
        <w:widowControl/>
        <w:spacing w:line="360" w:lineRule="auto"/>
        <w:ind w:firstLine="900"/>
        <w:jc w:val="left"/>
        <w:rPr>
          <w:rFonts w:ascii="宋体" w:hAnsi="宋体" w:eastAsia="华文楷体" w:cs="华文楷体"/>
          <w:color w:val="auto"/>
          <w:sz w:val="24"/>
          <w:highlight w:val="none"/>
        </w:rPr>
      </w:pPr>
      <w:r>
        <w:rPr>
          <w:rFonts w:ascii="Wingdings" w:hAnsi="Wingdings" w:eastAsia="Wingdings" w:cs="Wingdings"/>
          <w:color w:val="auto"/>
          <w:sz w:val="24"/>
          <w:highlight w:val="none"/>
        </w:rPr>
        <w:t></w:t>
      </w:r>
      <w:r>
        <w:rPr>
          <w:rFonts w:hint="eastAsia" w:ascii="宋体" w:hAnsi="宋体"/>
          <w:color w:val="auto"/>
          <w:sz w:val="24"/>
          <w:highlight w:val="none"/>
        </w:rPr>
        <w:t>否</w:t>
      </w:r>
    </w:p>
    <w:p w14:paraId="07566E85">
      <w:pPr>
        <w:numPr>
          <w:ilvl w:val="255"/>
          <w:numId w:val="0"/>
        </w:numPr>
        <w:spacing w:line="360" w:lineRule="auto"/>
        <w:rPr>
          <w:rFonts w:ascii="宋体" w:hAnsi="宋体"/>
          <w:color w:val="auto"/>
          <w:sz w:val="24"/>
          <w:highlight w:val="none"/>
        </w:rPr>
      </w:pPr>
      <w:r>
        <w:rPr>
          <w:rFonts w:hint="eastAsia" w:ascii="宋体" w:hAnsi="宋体"/>
          <w:color w:val="auto"/>
          <w:sz w:val="24"/>
          <w:highlight w:val="none"/>
        </w:rPr>
        <w:t xml:space="preserve">    （1</w:t>
      </w:r>
      <w:r>
        <w:rPr>
          <w:rFonts w:ascii="宋体" w:hAnsi="宋体"/>
          <w:color w:val="auto"/>
          <w:sz w:val="24"/>
          <w:highlight w:val="none"/>
        </w:rPr>
        <w:t>1</w:t>
      </w:r>
      <w:r>
        <w:rPr>
          <w:rFonts w:hint="eastAsia" w:ascii="宋体" w:hAnsi="宋体"/>
          <w:color w:val="auto"/>
          <w:sz w:val="24"/>
          <w:highlight w:val="none"/>
        </w:rPr>
        <w:t>）涉及商品包装和快递包装的，是否参考《商品包装政府采购需求标准（试行）</w:t>
      </w:r>
      <w:r>
        <w:rPr>
          <w:rFonts w:hint="eastAsia" w:ascii="宋体" w:hAnsi="宋体"/>
          <w:color w:val="auto"/>
          <w:sz w:val="24"/>
          <w:highlight w:val="none"/>
          <w:lang w:eastAsia="zh-CN"/>
        </w:rPr>
        <w:t>》《</w:t>
      </w:r>
      <w:r>
        <w:rPr>
          <w:rFonts w:hint="eastAsia" w:ascii="宋体" w:hAnsi="宋体"/>
          <w:color w:val="auto"/>
          <w:sz w:val="24"/>
          <w:highlight w:val="none"/>
        </w:rPr>
        <w:t>快递包装政府采购需求标准（试行）》明确产品及相关快递服务的具体包装要求：</w:t>
      </w:r>
    </w:p>
    <w:p w14:paraId="4D368F2A">
      <w:pPr>
        <w:numPr>
          <w:ilvl w:val="255"/>
          <w:numId w:val="0"/>
        </w:numPr>
        <w:spacing w:line="360" w:lineRule="auto"/>
        <w:ind w:firstLine="960"/>
        <w:rPr>
          <w:rFonts w:ascii="宋体" w:hAnsi="宋体"/>
          <w:color w:val="auto"/>
          <w:sz w:val="24"/>
          <w:highlight w:val="none"/>
        </w:rPr>
      </w:pPr>
      <w:r>
        <w:rPr>
          <w:rFonts w:ascii="Wingdings" w:hAnsi="Wingdings" w:eastAsia="Wingdings" w:cs="Wingdings"/>
          <w:color w:val="auto"/>
          <w:sz w:val="24"/>
          <w:highlight w:val="none"/>
        </w:rPr>
        <w:t></w:t>
      </w:r>
      <w:r>
        <w:rPr>
          <w:rFonts w:hint="eastAsia" w:ascii="宋体" w:hAnsi="宋体"/>
          <w:color w:val="auto"/>
          <w:sz w:val="24"/>
          <w:highlight w:val="none"/>
        </w:rPr>
        <w:t xml:space="preserve">是       </w:t>
      </w:r>
      <w:r>
        <w:rPr>
          <w:rFonts w:ascii="Wingdings" w:hAnsi="Wingdings" w:eastAsia="Wingdings" w:cs="Wingdings"/>
          <w:color w:val="auto"/>
          <w:sz w:val="24"/>
          <w:highlight w:val="none"/>
        </w:rPr>
        <w:t></w:t>
      </w:r>
      <w:r>
        <w:rPr>
          <w:rFonts w:hint="eastAsia" w:ascii="宋体" w:hAnsi="宋体"/>
          <w:color w:val="auto"/>
          <w:sz w:val="24"/>
          <w:highlight w:val="none"/>
        </w:rPr>
        <w:t>否</w:t>
      </w:r>
      <w:r>
        <w:rPr>
          <w:rFonts w:ascii="Wingdings" w:hAnsi="Wingdings" w:eastAsia="Wingdings" w:cs="Wingdings"/>
          <w:color w:val="auto"/>
          <w:sz w:val="24"/>
          <w:highlight w:val="none"/>
        </w:rPr>
        <w:t></w:t>
      </w:r>
      <w:r>
        <w:rPr>
          <w:rFonts w:hint="eastAsia" w:ascii="宋体" w:hAnsi="宋体"/>
          <w:color w:val="auto"/>
          <w:sz w:val="24"/>
          <w:highlight w:val="none"/>
        </w:rPr>
        <w:t>不涉及</w:t>
      </w:r>
    </w:p>
    <w:p w14:paraId="1D8F05A5">
      <w:pPr>
        <w:numPr>
          <w:ilvl w:val="0"/>
          <w:numId w:val="1"/>
        </w:numPr>
        <w:spacing w:line="360" w:lineRule="auto"/>
        <w:ind w:firstLine="482" w:firstLineChars="0"/>
        <w:outlineLvl w:val="0"/>
        <w:rPr>
          <w:rFonts w:ascii="宋体" w:hAnsi="宋体"/>
          <w:b/>
          <w:color w:val="auto"/>
          <w:sz w:val="24"/>
          <w:highlight w:val="none"/>
        </w:rPr>
      </w:pPr>
      <w:bookmarkStart w:id="302" w:name="_Toc6116"/>
      <w:bookmarkStart w:id="303" w:name="_Toc1351"/>
      <w:r>
        <w:rPr>
          <w:rFonts w:hint="eastAsia" w:ascii="宋体" w:hAnsi="宋体"/>
          <w:b/>
          <w:color w:val="auto"/>
          <w:sz w:val="24"/>
          <w:highlight w:val="none"/>
        </w:rPr>
        <w:t>合同金额</w:t>
      </w:r>
      <w:bookmarkEnd w:id="302"/>
      <w:bookmarkEnd w:id="303"/>
    </w:p>
    <w:p w14:paraId="25FB4BB0">
      <w:pPr>
        <w:spacing w:line="360" w:lineRule="auto"/>
        <w:ind w:firstLine="480"/>
        <w:rPr>
          <w:rFonts w:ascii="宋体" w:hAnsi="宋体"/>
          <w:color w:val="auto"/>
          <w:sz w:val="24"/>
          <w:highlight w:val="none"/>
        </w:rPr>
      </w:pPr>
      <w:r>
        <w:rPr>
          <w:rFonts w:hint="eastAsia" w:ascii="宋体" w:hAnsi="宋体"/>
          <w:color w:val="auto"/>
          <w:sz w:val="24"/>
          <w:highlight w:val="none"/>
        </w:rPr>
        <w:t>（1）合同金额小写：</w:t>
      </w:r>
    </w:p>
    <w:p w14:paraId="1227B0D1">
      <w:pPr>
        <w:spacing w:line="360" w:lineRule="auto"/>
        <w:ind w:firstLine="600"/>
        <w:rPr>
          <w:rFonts w:ascii="宋体" w:hAnsi="宋体"/>
          <w:color w:val="auto"/>
          <w:sz w:val="24"/>
          <w:highlight w:val="none"/>
          <w:u w:val="single"/>
        </w:rPr>
      </w:pPr>
      <w:r>
        <w:rPr>
          <w:rFonts w:hint="eastAsia" w:ascii="宋体" w:hAnsi="宋体"/>
          <w:color w:val="auto"/>
          <w:sz w:val="24"/>
          <w:highlight w:val="none"/>
        </w:rPr>
        <w:t>大写：</w:t>
      </w:r>
    </w:p>
    <w:p w14:paraId="2956E68F">
      <w:pPr>
        <w:spacing w:line="360" w:lineRule="auto"/>
        <w:ind w:firstLine="480"/>
        <w:rPr>
          <w:rFonts w:ascii="宋体" w:hAnsi="宋体"/>
          <w:color w:val="auto"/>
          <w:sz w:val="24"/>
          <w:highlight w:val="none"/>
        </w:rPr>
      </w:pPr>
      <w:r>
        <w:rPr>
          <w:rFonts w:hint="eastAsia" w:ascii="宋体" w:hAnsi="宋体"/>
          <w:color w:val="auto"/>
          <w:sz w:val="24"/>
          <w:highlight w:val="none"/>
        </w:rPr>
        <w:t>分包金额（如有）小写：</w:t>
      </w:r>
    </w:p>
    <w:p w14:paraId="6F7D5CAC">
      <w:pPr>
        <w:spacing w:line="360" w:lineRule="auto"/>
        <w:ind w:firstLine="480"/>
        <w:rPr>
          <w:rFonts w:ascii="宋体" w:hAnsi="宋体"/>
          <w:color w:val="auto"/>
          <w:sz w:val="24"/>
          <w:highlight w:val="none"/>
          <w:u w:val="single"/>
        </w:rPr>
      </w:pPr>
      <w:r>
        <w:rPr>
          <w:rFonts w:hint="eastAsia" w:ascii="宋体" w:hAnsi="宋体"/>
          <w:color w:val="auto"/>
          <w:sz w:val="24"/>
          <w:highlight w:val="none"/>
        </w:rPr>
        <w:t>大写：</w:t>
      </w:r>
    </w:p>
    <w:p w14:paraId="1C7D3076">
      <w:pPr>
        <w:spacing w:line="360" w:lineRule="auto"/>
        <w:ind w:firstLine="480"/>
        <w:rPr>
          <w:rFonts w:hint="eastAsia" w:ascii="宋体" w:hAnsi="宋体" w:cs="宋体" w:eastAsiaTheme="minorEastAsia"/>
          <w:color w:val="auto"/>
          <w:sz w:val="24"/>
          <w:highlight w:val="none"/>
          <w:lang w:eastAsia="zh-CN"/>
        </w:rPr>
      </w:pPr>
      <w:r>
        <w:rPr>
          <w:rFonts w:hint="eastAsia" w:ascii="宋体" w:hAnsi="宋体"/>
          <w:color w:val="auto"/>
          <w:sz w:val="24"/>
          <w:highlight w:val="none"/>
        </w:rPr>
        <w:t xml:space="preserve"> </w:t>
      </w:r>
      <w:r>
        <w:rPr>
          <w:rFonts w:hint="eastAsia" w:ascii="宋体" w:hAnsi="宋体"/>
          <w:color w:val="auto"/>
          <w:sz w:val="24"/>
          <w:highlight w:val="none"/>
        </w:rPr>
        <w:t>（2）付款方式</w:t>
      </w:r>
      <w:r>
        <w:rPr>
          <w:rFonts w:hint="eastAsia" w:ascii="宋体" w:hAnsi="宋体"/>
          <w:color w:val="auto"/>
          <w:sz w:val="24"/>
          <w:highlight w:val="none"/>
          <w:lang w:eastAsia="zh-CN"/>
        </w:rPr>
        <w:t>：合同签订后7日内支付</w:t>
      </w:r>
      <w:r>
        <w:rPr>
          <w:rFonts w:hint="eastAsia" w:ascii="宋体" w:hAnsi="宋体"/>
          <w:color w:val="auto"/>
          <w:sz w:val="24"/>
          <w:highlight w:val="none"/>
          <w:lang w:val="en-US" w:eastAsia="zh-CN"/>
        </w:rPr>
        <w:t>合同</w:t>
      </w:r>
      <w:r>
        <w:rPr>
          <w:rFonts w:hint="eastAsia" w:ascii="宋体" w:hAnsi="宋体"/>
          <w:color w:val="auto"/>
          <w:sz w:val="24"/>
          <w:highlight w:val="none"/>
          <w:lang w:eastAsia="zh-CN"/>
        </w:rPr>
        <w:t>价格30%的预付款，</w:t>
      </w:r>
      <w:r>
        <w:rPr>
          <w:rFonts w:hint="eastAsia" w:ascii="宋体" w:hAnsi="宋体"/>
          <w:color w:val="auto"/>
          <w:sz w:val="24"/>
          <w:highlight w:val="none"/>
          <w:lang w:val="en-US" w:eastAsia="zh-CN"/>
        </w:rPr>
        <w:t>余款（最终结算价款）经项目</w:t>
      </w:r>
      <w:r>
        <w:rPr>
          <w:rFonts w:hint="eastAsia" w:ascii="宋体" w:hAnsi="宋体"/>
          <w:color w:val="auto"/>
          <w:sz w:val="24"/>
          <w:highlight w:val="none"/>
          <w:lang w:eastAsia="zh-CN"/>
        </w:rPr>
        <w:t>验收合格，并待财政资金到账后30日内一次性付清。</w:t>
      </w:r>
    </w:p>
    <w:p w14:paraId="7FEE6B08">
      <w:pPr>
        <w:numPr>
          <w:ilvl w:val="0"/>
          <w:numId w:val="1"/>
        </w:numPr>
        <w:spacing w:line="360" w:lineRule="auto"/>
        <w:ind w:firstLine="482" w:firstLineChars="0"/>
        <w:outlineLvl w:val="0"/>
        <w:rPr>
          <w:rFonts w:ascii="宋体" w:hAnsi="宋体"/>
          <w:b/>
          <w:color w:val="auto"/>
          <w:sz w:val="24"/>
          <w:highlight w:val="none"/>
          <w:u w:val="single"/>
        </w:rPr>
      </w:pPr>
      <w:bookmarkStart w:id="304" w:name="_Toc1262"/>
      <w:bookmarkStart w:id="305" w:name="_Toc13671"/>
      <w:r>
        <w:rPr>
          <w:rFonts w:hint="eastAsia" w:ascii="宋体" w:hAnsi="宋体"/>
          <w:b/>
          <w:color w:val="auto"/>
          <w:sz w:val="24"/>
          <w:highlight w:val="none"/>
        </w:rPr>
        <w:t>合同履行</w:t>
      </w:r>
      <w:bookmarkEnd w:id="304"/>
      <w:bookmarkEnd w:id="305"/>
    </w:p>
    <w:p w14:paraId="6C81EE3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（1）起始日期：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日，完成日期：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485A647">
      <w:pPr>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rPr>
        <w:t>（2）履约地点</w:t>
      </w:r>
      <w:r>
        <w:rPr>
          <w:rFonts w:hint="eastAsia" w:ascii="宋体" w:hAnsi="宋体" w:cs="宋体"/>
          <w:bCs/>
          <w:color w:val="auto"/>
          <w:sz w:val="24"/>
          <w:highlight w:val="none"/>
        </w:rPr>
        <w:t>：</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540B2F6B">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（3）</w:t>
      </w:r>
      <w:r>
        <w:rPr>
          <w:rFonts w:hint="eastAsia" w:ascii="宋体" w:hAnsi="宋体" w:cs="宋体"/>
          <w:color w:val="auto"/>
          <w:sz w:val="24"/>
          <w:highlight w:val="none"/>
        </w:rPr>
        <w:t>履约担保：履约担保：是否收取履约保证金：</w:t>
      </w:r>
      <w:r>
        <w:rPr>
          <w:rFonts w:hint="eastAsia" w:ascii="宋体" w:hAnsi="宋体" w:cs="宋体"/>
          <w:color w:val="auto"/>
          <w:sz w:val="24"/>
          <w:highlight w:val="none"/>
        </w:rPr>
        <w:sym w:font="Wingdings" w:char="00A8"/>
      </w:r>
      <w:r>
        <w:rPr>
          <w:rFonts w:hint="eastAsia" w:ascii="宋体" w:hAnsi="宋体" w:cs="宋体"/>
          <w:color w:val="auto"/>
          <w:sz w:val="24"/>
          <w:highlight w:val="none"/>
        </w:rPr>
        <w:t xml:space="preserve">是    </w:t>
      </w:r>
      <w:r>
        <w:rPr>
          <w:rFonts w:hint="eastAsia" w:ascii="宋体" w:hAnsi="宋体" w:cs="宋体"/>
          <w:color w:val="auto"/>
          <w:sz w:val="24"/>
          <w:highlight w:val="none"/>
        </w:rPr>
        <w:sym w:font="Wingdings" w:char="00A8"/>
      </w:r>
      <w:r>
        <w:rPr>
          <w:rFonts w:hint="eastAsia" w:ascii="宋体" w:hAnsi="宋体" w:cs="宋体"/>
          <w:color w:val="auto"/>
          <w:sz w:val="24"/>
          <w:highlight w:val="none"/>
        </w:rPr>
        <w:t>否</w:t>
      </w:r>
    </w:p>
    <w:p w14:paraId="4571D9F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收取履约保证金形式：</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r>
        <w:rPr>
          <w:rFonts w:hint="eastAsia" w:ascii="宋体" w:hAnsi="宋体" w:cs="宋体"/>
          <w:color w:val="auto"/>
          <w:sz w:val="24"/>
          <w:highlight w:val="none"/>
        </w:rPr>
        <w:t xml:space="preserve">                            </w:t>
      </w:r>
    </w:p>
    <w:p w14:paraId="1FC1B75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收取履约保证金金额：</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r>
        <w:rPr>
          <w:rFonts w:hint="eastAsia" w:ascii="宋体" w:hAnsi="宋体" w:cs="宋体"/>
          <w:color w:val="auto"/>
          <w:sz w:val="24"/>
          <w:highlight w:val="none"/>
        </w:rPr>
        <w:t xml:space="preserve">                            </w:t>
      </w:r>
    </w:p>
    <w:p w14:paraId="2A624E17">
      <w:pPr>
        <w:spacing w:line="360" w:lineRule="auto"/>
        <w:ind w:firstLine="480"/>
        <w:rPr>
          <w:rFonts w:ascii="宋体" w:hAnsi="宋体" w:cs="宋体"/>
          <w:bCs/>
          <w:color w:val="auto"/>
          <w:sz w:val="24"/>
          <w:highlight w:val="none"/>
          <w:u w:val="single"/>
        </w:rPr>
      </w:pPr>
      <w:r>
        <w:rPr>
          <w:rFonts w:hint="eastAsia" w:ascii="宋体" w:hAnsi="宋体" w:cs="宋体"/>
          <w:color w:val="auto"/>
          <w:sz w:val="24"/>
          <w:highlight w:val="none"/>
        </w:rPr>
        <w:t xml:space="preserve">     履约担保期限： </w:t>
      </w:r>
      <w:r>
        <w:rPr>
          <w:rFonts w:hint="eastAsia" w:ascii="宋体" w:hAnsi="宋体" w:cs="宋体"/>
          <w:bCs/>
          <w:color w:val="auto"/>
          <w:sz w:val="24"/>
          <w:highlight w:val="none"/>
          <w:u w:val="single"/>
        </w:rPr>
        <w:t xml:space="preserve">                                    </w:t>
      </w:r>
    </w:p>
    <w:p w14:paraId="36E5700D">
      <w:pPr>
        <w:numPr>
          <w:ilvl w:val="0"/>
          <w:numId w:val="3"/>
        </w:numPr>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rPr>
        <w:t>确需收取履约保证金的，履约保证金的缴纳形式：</w:t>
      </w:r>
    </w:p>
    <w:p w14:paraId="0A37E05E">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供应商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2C095CFD">
      <w:pPr>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rPr>
        <w:t xml:space="preserve"> 如以履约保函（保险）形式缴纳履约保证金，供应商可通过政府采购电子履约保函（保险）平台（www.jsdzbh.com）在线申请履约保函（保险）。</w:t>
      </w:r>
    </w:p>
    <w:p w14:paraId="1C226899">
      <w:pPr>
        <w:pStyle w:val="14"/>
        <w:spacing w:before="120" w:beforeAutospacing="0" w:after="120" w:afterAutospacing="0"/>
        <w:ind w:left="210" w:leftChars="100" w:firstLine="240" w:firstLineChars="100"/>
        <w:jc w:val="both"/>
        <w:rPr>
          <w:rFonts w:ascii="宋体" w:hAnsi="宋体" w:cs="宋体"/>
          <w:color w:val="auto"/>
          <w:highlight w:val="none"/>
        </w:rPr>
      </w:pPr>
      <w:r>
        <w:rPr>
          <w:rFonts w:hint="eastAsia" w:ascii="宋体" w:hAnsi="宋体" w:cs="宋体"/>
          <w:color w:val="auto"/>
          <w:highlight w:val="none"/>
        </w:rPr>
        <w:t>（备注：履约保证金金额不得超过合同金额的10%，采购人应当对AA评级及以上政府采购供应商（需提供信用管理部门备案的第三方信用报告）免收履约保证金或降低履约保证金缴纳比例。）</w:t>
      </w:r>
      <w:r>
        <w:rPr>
          <w:rFonts w:hint="eastAsia" w:ascii="宋体" w:hAnsi="宋体" w:cs="宋体"/>
          <w:bCs/>
          <w:color w:val="auto"/>
          <w:highlight w:val="none"/>
        </w:rPr>
        <w:t xml:space="preserve">   </w:t>
      </w:r>
      <w:r>
        <w:rPr>
          <w:rFonts w:hint="eastAsia" w:ascii="宋体" w:hAnsi="宋体" w:cs="宋体"/>
          <w:color w:val="auto"/>
          <w:highlight w:val="none"/>
        </w:rPr>
        <w:t xml:space="preserve">        </w:t>
      </w:r>
      <w:r>
        <w:rPr>
          <w:rFonts w:hint="eastAsia" w:ascii="宋体" w:hAnsi="宋体" w:cs="宋体"/>
          <w:color w:val="auto"/>
          <w:highlight w:val="none"/>
        </w:rPr>
        <w:t xml:space="preserve">                         </w:t>
      </w:r>
    </w:p>
    <w:p w14:paraId="309BE34B">
      <w:pPr>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rPr>
        <w:t>（5）分期履行要求：</w:t>
      </w:r>
    </w:p>
    <w:p w14:paraId="0B0DB5E4">
      <w:pPr>
        <w:spacing w:line="360" w:lineRule="auto"/>
        <w:ind w:firstLine="480"/>
        <w:rPr>
          <w:rFonts w:ascii="宋体" w:hAnsi="宋体" w:cs="宋体"/>
          <w:color w:val="auto"/>
          <w:sz w:val="24"/>
          <w:highlight w:val="none"/>
          <w:u w:val="single"/>
        </w:rPr>
      </w:pPr>
      <w:r>
        <w:rPr>
          <w:rFonts w:hint="eastAsia" w:ascii="宋体" w:hAnsi="宋体" w:cs="宋体"/>
          <w:bCs/>
          <w:color w:val="auto"/>
          <w:sz w:val="24"/>
          <w:highlight w:val="none"/>
        </w:rPr>
        <w:t>（6）风险处置措施和替代方案：</w:t>
      </w:r>
    </w:p>
    <w:p w14:paraId="219770AA">
      <w:pPr>
        <w:numPr>
          <w:ilvl w:val="0"/>
          <w:numId w:val="1"/>
        </w:numPr>
        <w:spacing w:line="360" w:lineRule="auto"/>
        <w:ind w:firstLine="482" w:firstLineChars="0"/>
        <w:outlineLvl w:val="0"/>
        <w:rPr>
          <w:rFonts w:ascii="宋体" w:hAnsi="宋体"/>
          <w:b/>
          <w:color w:val="auto"/>
          <w:sz w:val="24"/>
          <w:highlight w:val="none"/>
        </w:rPr>
      </w:pPr>
      <w:bookmarkStart w:id="306" w:name="_Toc15874"/>
      <w:bookmarkStart w:id="307" w:name="_Toc20645"/>
      <w:r>
        <w:rPr>
          <w:rFonts w:hint="eastAsia" w:ascii="宋体" w:hAnsi="宋体"/>
          <w:b/>
          <w:color w:val="auto"/>
          <w:sz w:val="24"/>
          <w:highlight w:val="none"/>
        </w:rPr>
        <w:t>合同验收</w:t>
      </w:r>
      <w:bookmarkEnd w:id="306"/>
      <w:bookmarkEnd w:id="307"/>
    </w:p>
    <w:p w14:paraId="5B23A847">
      <w:pPr>
        <w:numPr>
          <w:ilvl w:val="0"/>
          <w:numId w:val="4"/>
        </w:numPr>
        <w:spacing w:line="360" w:lineRule="auto"/>
        <w:ind w:firstLine="480"/>
        <w:rPr>
          <w:rFonts w:ascii="宋体" w:hAnsi="宋体"/>
          <w:bCs/>
          <w:color w:val="auto"/>
          <w:sz w:val="24"/>
          <w:highlight w:val="none"/>
        </w:rPr>
      </w:pPr>
      <w:r>
        <w:rPr>
          <w:rFonts w:hint="eastAsia" w:ascii="宋体" w:hAnsi="宋体"/>
          <w:bCs/>
          <w:color w:val="auto"/>
          <w:sz w:val="24"/>
          <w:highlight w:val="none"/>
        </w:rPr>
        <w:t>验收组织方式：</w:t>
      </w:r>
      <w:r>
        <w:rPr>
          <w:rFonts w:ascii="Wingdings" w:hAnsi="Wingdings" w:eastAsia="Wingdings" w:cs="Wingdings"/>
          <w:color w:val="auto"/>
          <w:sz w:val="24"/>
          <w:highlight w:val="none"/>
        </w:rPr>
        <w:t></w:t>
      </w:r>
      <w:r>
        <w:rPr>
          <w:rFonts w:hint="eastAsia" w:ascii="宋体" w:hAnsi="宋体"/>
          <w:bCs/>
          <w:color w:val="auto"/>
          <w:sz w:val="24"/>
          <w:highlight w:val="none"/>
        </w:rPr>
        <w:t xml:space="preserve">自行组织 </w:t>
      </w:r>
      <w:r>
        <w:rPr>
          <w:rFonts w:ascii="Wingdings" w:hAnsi="Wingdings" w:eastAsia="Wingdings" w:cs="Wingdings"/>
          <w:color w:val="auto"/>
          <w:sz w:val="24"/>
          <w:highlight w:val="none"/>
        </w:rPr>
        <w:t></w:t>
      </w:r>
      <w:r>
        <w:rPr>
          <w:rFonts w:hint="eastAsia" w:ascii="宋体" w:hAnsi="宋体"/>
          <w:bCs/>
          <w:color w:val="auto"/>
          <w:sz w:val="24"/>
          <w:highlight w:val="none"/>
        </w:rPr>
        <w:t>委托第三方组织</w:t>
      </w:r>
    </w:p>
    <w:p w14:paraId="1FEC0952">
      <w:pPr>
        <w:spacing w:line="360" w:lineRule="auto"/>
        <w:ind w:firstLine="960" w:firstLineChars="400"/>
        <w:rPr>
          <w:rFonts w:ascii="宋体" w:hAnsi="宋体" w:cs="宋体"/>
          <w:color w:val="auto"/>
          <w:sz w:val="24"/>
          <w:highlight w:val="none"/>
        </w:rPr>
      </w:pPr>
      <w:r>
        <w:rPr>
          <w:rFonts w:hint="eastAsia" w:ascii="宋体" w:hAnsi="宋体"/>
          <w:bCs/>
          <w:color w:val="auto"/>
          <w:sz w:val="24"/>
          <w:highlight w:val="none"/>
        </w:rPr>
        <w:t>验收主体：</w:t>
      </w:r>
      <w:r>
        <w:rPr>
          <w:rFonts w:hint="eastAsia" w:ascii="宋体" w:hAnsi="宋体" w:cs="宋体"/>
          <w:color w:val="auto"/>
          <w:sz w:val="24"/>
          <w:highlight w:val="none"/>
        </w:rPr>
        <w:t xml:space="preserve"> </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 xml:space="preserve"> </w:t>
      </w:r>
    </w:p>
    <w:p w14:paraId="1C183F0D">
      <w:pPr>
        <w:spacing w:line="360" w:lineRule="auto"/>
        <w:ind w:firstLine="960" w:firstLineChars="400"/>
        <w:rPr>
          <w:rFonts w:ascii="宋体" w:hAnsi="宋体"/>
          <w:bCs/>
          <w:color w:val="auto"/>
          <w:sz w:val="24"/>
          <w:highlight w:val="none"/>
        </w:rPr>
      </w:pPr>
      <w:r>
        <w:rPr>
          <w:rFonts w:hint="eastAsia" w:ascii="宋体" w:hAnsi="宋体"/>
          <w:bCs/>
          <w:color w:val="auto"/>
          <w:sz w:val="24"/>
          <w:highlight w:val="none"/>
        </w:rPr>
        <w:t>是否邀请本项目的其他供应商参加验收：</w:t>
      </w:r>
      <w:r>
        <w:rPr>
          <w:rFonts w:ascii="Wingdings" w:hAnsi="Wingdings" w:eastAsia="Wingdings" w:cs="Wingdings"/>
          <w:color w:val="auto"/>
          <w:sz w:val="24"/>
          <w:highlight w:val="none"/>
        </w:rPr>
        <w:t></w:t>
      </w:r>
      <w:r>
        <w:rPr>
          <w:rFonts w:hint="eastAsia" w:ascii="宋体" w:hAnsi="宋体"/>
          <w:bCs/>
          <w:color w:val="auto"/>
          <w:sz w:val="24"/>
          <w:highlight w:val="none"/>
        </w:rPr>
        <w:t xml:space="preserve">是  </w:t>
      </w:r>
      <w:r>
        <w:rPr>
          <w:rFonts w:ascii="Wingdings" w:hAnsi="Wingdings" w:eastAsia="Wingdings" w:cs="Wingdings"/>
          <w:color w:val="auto"/>
          <w:sz w:val="24"/>
          <w:highlight w:val="none"/>
        </w:rPr>
        <w:t></w:t>
      </w:r>
      <w:r>
        <w:rPr>
          <w:rFonts w:hint="eastAsia" w:ascii="宋体" w:hAnsi="宋体"/>
          <w:bCs/>
          <w:color w:val="auto"/>
          <w:sz w:val="24"/>
          <w:highlight w:val="none"/>
        </w:rPr>
        <w:t>否</w:t>
      </w:r>
    </w:p>
    <w:p w14:paraId="76E227C3">
      <w:pPr>
        <w:spacing w:line="360" w:lineRule="auto"/>
        <w:ind w:firstLine="960"/>
        <w:rPr>
          <w:rFonts w:ascii="宋体" w:hAnsi="宋体"/>
          <w:bCs/>
          <w:color w:val="auto"/>
          <w:sz w:val="24"/>
          <w:highlight w:val="none"/>
        </w:rPr>
      </w:pPr>
      <w:r>
        <w:rPr>
          <w:rFonts w:hint="eastAsia" w:ascii="宋体" w:hAnsi="宋体"/>
          <w:bCs/>
          <w:color w:val="auto"/>
          <w:sz w:val="24"/>
          <w:highlight w:val="none"/>
        </w:rPr>
        <w:t>是否邀请专家参加验收：</w:t>
      </w:r>
      <w:r>
        <w:rPr>
          <w:rFonts w:ascii="Wingdings" w:hAnsi="Wingdings" w:eastAsia="Wingdings" w:cs="Wingdings"/>
          <w:color w:val="auto"/>
          <w:sz w:val="24"/>
          <w:highlight w:val="none"/>
        </w:rPr>
        <w:t></w:t>
      </w:r>
      <w:r>
        <w:rPr>
          <w:rFonts w:hint="eastAsia" w:ascii="宋体" w:hAnsi="宋体"/>
          <w:bCs/>
          <w:color w:val="auto"/>
          <w:sz w:val="24"/>
          <w:highlight w:val="none"/>
        </w:rPr>
        <w:t xml:space="preserve">是  </w:t>
      </w:r>
      <w:r>
        <w:rPr>
          <w:rFonts w:ascii="Wingdings" w:hAnsi="Wingdings" w:eastAsia="Wingdings" w:cs="Wingdings"/>
          <w:color w:val="auto"/>
          <w:sz w:val="24"/>
          <w:highlight w:val="none"/>
        </w:rPr>
        <w:sym w:font="Wingdings" w:char="00A8"/>
      </w:r>
      <w:r>
        <w:rPr>
          <w:rFonts w:hint="eastAsia" w:ascii="宋体" w:hAnsi="宋体"/>
          <w:bCs/>
          <w:color w:val="auto"/>
          <w:sz w:val="24"/>
          <w:highlight w:val="none"/>
        </w:rPr>
        <w:t>否</w:t>
      </w:r>
    </w:p>
    <w:p w14:paraId="015FC6D8">
      <w:pPr>
        <w:spacing w:line="360" w:lineRule="auto"/>
        <w:ind w:firstLine="960"/>
        <w:rPr>
          <w:rFonts w:ascii="宋体" w:hAnsi="宋体"/>
          <w:bCs/>
          <w:color w:val="auto"/>
          <w:sz w:val="24"/>
          <w:highlight w:val="none"/>
        </w:rPr>
      </w:pPr>
      <w:r>
        <w:rPr>
          <w:rFonts w:hint="eastAsia" w:ascii="宋体" w:hAnsi="宋体"/>
          <w:bCs/>
          <w:color w:val="auto"/>
          <w:sz w:val="24"/>
          <w:highlight w:val="none"/>
        </w:rPr>
        <w:t>是否邀请服务对象参加验收：</w:t>
      </w:r>
      <w:r>
        <w:rPr>
          <w:rFonts w:ascii="Wingdings" w:hAnsi="Wingdings" w:eastAsia="Wingdings" w:cs="Wingdings"/>
          <w:color w:val="auto"/>
          <w:sz w:val="24"/>
          <w:highlight w:val="none"/>
        </w:rPr>
        <w:t></w:t>
      </w:r>
      <w:r>
        <w:rPr>
          <w:rFonts w:hint="eastAsia" w:ascii="宋体" w:hAnsi="宋体"/>
          <w:bCs/>
          <w:color w:val="auto"/>
          <w:sz w:val="24"/>
          <w:highlight w:val="none"/>
        </w:rPr>
        <w:t xml:space="preserve">是  </w:t>
      </w:r>
      <w:r>
        <w:rPr>
          <w:rFonts w:ascii="Wingdings" w:hAnsi="Wingdings" w:eastAsia="Wingdings" w:cs="Wingdings"/>
          <w:color w:val="auto"/>
          <w:sz w:val="24"/>
          <w:highlight w:val="none"/>
        </w:rPr>
        <w:t></w:t>
      </w:r>
      <w:r>
        <w:rPr>
          <w:rFonts w:hint="eastAsia" w:ascii="宋体" w:hAnsi="宋体"/>
          <w:bCs/>
          <w:color w:val="auto"/>
          <w:sz w:val="24"/>
          <w:highlight w:val="none"/>
        </w:rPr>
        <w:t>否</w:t>
      </w:r>
    </w:p>
    <w:p w14:paraId="53C7C3E5">
      <w:pPr>
        <w:spacing w:line="360" w:lineRule="auto"/>
        <w:ind w:firstLine="960"/>
        <w:rPr>
          <w:rFonts w:ascii="宋体" w:hAnsi="宋体"/>
          <w:bCs/>
          <w:color w:val="auto"/>
          <w:sz w:val="24"/>
          <w:highlight w:val="none"/>
        </w:rPr>
      </w:pPr>
      <w:r>
        <w:rPr>
          <w:rFonts w:hint="eastAsia" w:ascii="宋体" w:hAnsi="宋体"/>
          <w:bCs/>
          <w:color w:val="auto"/>
          <w:sz w:val="24"/>
          <w:highlight w:val="none"/>
        </w:rPr>
        <w:t>是否邀请第三方检测机构参加验收：</w:t>
      </w:r>
      <w:r>
        <w:rPr>
          <w:rFonts w:ascii="Wingdings" w:hAnsi="Wingdings" w:eastAsia="Wingdings" w:cs="Wingdings"/>
          <w:color w:val="auto"/>
          <w:sz w:val="24"/>
          <w:highlight w:val="none"/>
        </w:rPr>
        <w:t></w:t>
      </w:r>
      <w:r>
        <w:rPr>
          <w:rFonts w:hint="eastAsia" w:ascii="宋体" w:hAnsi="宋体"/>
          <w:bCs/>
          <w:color w:val="auto"/>
          <w:sz w:val="24"/>
          <w:highlight w:val="none"/>
        </w:rPr>
        <w:t xml:space="preserve">是  </w:t>
      </w:r>
      <w:r>
        <w:rPr>
          <w:rFonts w:ascii="Wingdings" w:hAnsi="Wingdings" w:eastAsia="Wingdings" w:cs="Wingdings"/>
          <w:color w:val="auto"/>
          <w:sz w:val="24"/>
          <w:highlight w:val="none"/>
        </w:rPr>
        <w:t></w:t>
      </w:r>
      <w:r>
        <w:rPr>
          <w:rFonts w:hint="eastAsia" w:ascii="宋体" w:hAnsi="宋体"/>
          <w:bCs/>
          <w:color w:val="auto"/>
          <w:sz w:val="24"/>
          <w:highlight w:val="none"/>
        </w:rPr>
        <w:t>否</w:t>
      </w:r>
    </w:p>
    <w:p w14:paraId="49BC2238">
      <w:pPr>
        <w:spacing w:line="360" w:lineRule="auto"/>
        <w:ind w:firstLine="960"/>
        <w:rPr>
          <w:rFonts w:ascii="宋体" w:hAnsi="宋体"/>
          <w:bCs/>
          <w:color w:val="auto"/>
          <w:sz w:val="24"/>
          <w:highlight w:val="none"/>
        </w:rPr>
      </w:pPr>
      <w:r>
        <w:rPr>
          <w:rFonts w:hint="eastAsia" w:ascii="宋体" w:hAnsi="宋体"/>
          <w:bCs/>
          <w:color w:val="auto"/>
          <w:sz w:val="24"/>
          <w:highlight w:val="none"/>
        </w:rPr>
        <w:t>是否进行抽查检测：</w:t>
      </w:r>
      <w:r>
        <w:rPr>
          <w:rFonts w:ascii="Wingdings" w:hAnsi="Wingdings" w:eastAsia="Wingdings" w:cs="Wingdings"/>
          <w:color w:val="auto"/>
          <w:sz w:val="24"/>
          <w:highlight w:val="none"/>
        </w:rPr>
        <w:t></w:t>
      </w:r>
      <w:r>
        <w:rPr>
          <w:rFonts w:hint="eastAsia" w:ascii="宋体" w:hAnsi="宋体"/>
          <w:bCs/>
          <w:color w:val="auto"/>
          <w:sz w:val="24"/>
          <w:highlight w:val="none"/>
        </w:rPr>
        <w:t>是，抽查比例：</w:t>
      </w:r>
      <w:r>
        <w:rPr>
          <w:rFonts w:ascii="Wingdings" w:hAnsi="Wingdings" w:eastAsia="Wingdings" w:cs="Wingdings"/>
          <w:color w:val="auto"/>
          <w:sz w:val="24"/>
          <w:highlight w:val="none"/>
        </w:rPr>
        <w:t></w:t>
      </w:r>
      <w:r>
        <w:rPr>
          <w:rFonts w:hint="eastAsia" w:ascii="宋体" w:hAnsi="宋体"/>
          <w:bCs/>
          <w:color w:val="auto"/>
          <w:sz w:val="24"/>
          <w:highlight w:val="none"/>
        </w:rPr>
        <w:t>否</w:t>
      </w:r>
    </w:p>
    <w:p w14:paraId="07AC2CE2">
      <w:pPr>
        <w:spacing w:line="360" w:lineRule="auto"/>
        <w:ind w:firstLine="960"/>
        <w:rPr>
          <w:rFonts w:ascii="宋体" w:hAnsi="宋体"/>
          <w:bCs/>
          <w:color w:val="auto"/>
          <w:sz w:val="24"/>
          <w:highlight w:val="none"/>
          <w:u w:val="single"/>
        </w:rPr>
      </w:pPr>
      <w:r>
        <w:rPr>
          <w:rFonts w:hint="eastAsia" w:ascii="宋体" w:hAnsi="宋体"/>
          <w:bCs/>
          <w:color w:val="auto"/>
          <w:sz w:val="24"/>
          <w:highlight w:val="none"/>
        </w:rPr>
        <w:t>是否存在破坏性检测：</w:t>
      </w:r>
      <w:r>
        <w:rPr>
          <w:rFonts w:ascii="Wingdings" w:hAnsi="Wingdings" w:eastAsia="Wingdings" w:cs="Wingdings"/>
          <w:color w:val="auto"/>
          <w:sz w:val="24"/>
          <w:highlight w:val="none"/>
        </w:rPr>
        <w:t></w:t>
      </w:r>
      <w:r>
        <w:rPr>
          <w:rFonts w:hint="eastAsia" w:ascii="宋体" w:hAnsi="宋体"/>
          <w:bCs/>
          <w:color w:val="auto"/>
          <w:sz w:val="24"/>
          <w:highlight w:val="none"/>
        </w:rPr>
        <w:t>是，</w:t>
      </w:r>
      <w:r>
        <w:rPr>
          <w:rFonts w:hint="eastAsia" w:ascii="宋体" w:hAnsi="宋体"/>
          <w:bCs/>
          <w:color w:val="auto"/>
          <w:sz w:val="24"/>
          <w:highlight w:val="none"/>
          <w:u w:val="single"/>
        </w:rPr>
        <w:t>（应明确对被破坏的检测产品的处理方式）</w:t>
      </w:r>
    </w:p>
    <w:p w14:paraId="30B32DE9">
      <w:pPr>
        <w:spacing w:line="360" w:lineRule="auto"/>
        <w:ind w:firstLine="960"/>
        <w:rPr>
          <w:rFonts w:ascii="宋体" w:hAnsi="宋体"/>
          <w:bCs/>
          <w:color w:val="auto"/>
          <w:sz w:val="24"/>
          <w:highlight w:val="none"/>
        </w:rPr>
      </w:pPr>
      <w:r>
        <w:rPr>
          <w:rFonts w:ascii="Wingdings" w:hAnsi="Wingdings" w:eastAsia="Wingdings" w:cs="Wingdings"/>
          <w:color w:val="auto"/>
          <w:sz w:val="24"/>
          <w:highlight w:val="none"/>
        </w:rPr>
        <w:t></w:t>
      </w:r>
      <w:r>
        <w:rPr>
          <w:rFonts w:hint="eastAsia" w:ascii="宋体" w:hAnsi="宋体"/>
          <w:bCs/>
          <w:color w:val="auto"/>
          <w:sz w:val="24"/>
          <w:highlight w:val="none"/>
        </w:rPr>
        <w:t>否</w:t>
      </w:r>
    </w:p>
    <w:p w14:paraId="4F30622C">
      <w:pPr>
        <w:spacing w:line="360" w:lineRule="auto"/>
        <w:ind w:firstLine="960"/>
        <w:rPr>
          <w:rFonts w:ascii="宋体" w:hAnsi="宋体"/>
          <w:bCs/>
          <w:color w:val="auto"/>
          <w:sz w:val="24"/>
          <w:highlight w:val="none"/>
          <w:u w:val="single"/>
        </w:rPr>
      </w:pPr>
      <w:r>
        <w:rPr>
          <w:rFonts w:hint="eastAsia" w:ascii="宋体" w:hAnsi="宋体"/>
          <w:bCs/>
          <w:color w:val="auto"/>
          <w:sz w:val="24"/>
          <w:highlight w:val="none"/>
        </w:rPr>
        <w:t>验收组织的其他事项：</w:t>
      </w:r>
    </w:p>
    <w:p w14:paraId="33D0DAEA">
      <w:pPr>
        <w:spacing w:line="360" w:lineRule="auto"/>
        <w:ind w:firstLine="480"/>
        <w:rPr>
          <w:rFonts w:ascii="宋体" w:hAnsi="宋体"/>
          <w:bCs/>
          <w:color w:val="auto"/>
          <w:sz w:val="24"/>
          <w:highlight w:val="none"/>
          <w:u w:val="single"/>
        </w:rPr>
      </w:pPr>
      <w:r>
        <w:rPr>
          <w:rFonts w:hint="eastAsia" w:ascii="宋体" w:hAnsi="宋体"/>
          <w:bCs/>
          <w:color w:val="auto"/>
          <w:sz w:val="24"/>
          <w:highlight w:val="none"/>
        </w:rPr>
        <w:t>（2）履约验收时间：</w:t>
      </w:r>
      <w:r>
        <w:rPr>
          <w:rFonts w:hint="eastAsia" w:ascii="宋体" w:hAnsi="宋体"/>
          <w:bCs/>
          <w:color w:val="auto"/>
          <w:sz w:val="24"/>
          <w:highlight w:val="none"/>
          <w:u w:val="single"/>
        </w:rPr>
        <w:t>（计划于何时验收/供应商提出验收申请之日起   日内组织验收）</w:t>
      </w:r>
    </w:p>
    <w:p w14:paraId="3B528D12">
      <w:pPr>
        <w:spacing w:line="360" w:lineRule="auto"/>
        <w:ind w:firstLine="480"/>
        <w:rPr>
          <w:rFonts w:ascii="宋体" w:hAnsi="宋体"/>
          <w:bCs/>
          <w:color w:val="auto"/>
          <w:sz w:val="24"/>
          <w:highlight w:val="none"/>
        </w:rPr>
      </w:pPr>
      <w:r>
        <w:rPr>
          <w:rFonts w:hint="eastAsia" w:ascii="宋体" w:hAnsi="宋体"/>
          <w:bCs/>
          <w:color w:val="auto"/>
          <w:sz w:val="24"/>
          <w:highlight w:val="none"/>
        </w:rPr>
        <w:t>（3）履约验收方式：</w:t>
      </w:r>
      <w:r>
        <w:rPr>
          <w:rFonts w:ascii="Wingdings" w:hAnsi="Wingdings" w:eastAsia="Wingdings" w:cs="Wingdings"/>
          <w:color w:val="auto"/>
          <w:sz w:val="24"/>
          <w:highlight w:val="none"/>
        </w:rPr>
        <w:t></w:t>
      </w:r>
      <w:r>
        <w:rPr>
          <w:rFonts w:hint="eastAsia" w:ascii="宋体" w:hAnsi="宋体"/>
          <w:bCs/>
          <w:color w:val="auto"/>
          <w:sz w:val="24"/>
          <w:highlight w:val="none"/>
        </w:rPr>
        <w:t xml:space="preserve">一次性验收         </w:t>
      </w:r>
    </w:p>
    <w:p w14:paraId="54A34AA3">
      <w:pPr>
        <w:spacing w:line="360" w:lineRule="auto"/>
        <w:rPr>
          <w:rFonts w:ascii="宋体" w:hAnsi="宋体"/>
          <w:bCs/>
          <w:color w:val="auto"/>
          <w:sz w:val="24"/>
          <w:highlight w:val="none"/>
        </w:rPr>
      </w:pPr>
      <w:r>
        <w:rPr>
          <w:rFonts w:ascii="Wingdings" w:hAnsi="Wingdings" w:eastAsia="Wingdings" w:cs="Wingdings"/>
          <w:color w:val="auto"/>
          <w:sz w:val="24"/>
          <w:highlight w:val="none"/>
        </w:rPr>
        <w:t></w:t>
      </w:r>
      <w:r>
        <w:rPr>
          <w:rFonts w:hint="eastAsia" w:ascii="宋体" w:hAnsi="宋体"/>
          <w:bCs/>
          <w:color w:val="auto"/>
          <w:sz w:val="24"/>
          <w:highlight w:val="none"/>
        </w:rPr>
        <w:t>分期/分项验收：</w:t>
      </w:r>
      <w:r>
        <w:rPr>
          <w:rFonts w:hint="eastAsia" w:ascii="宋体" w:hAnsi="宋体"/>
          <w:bCs/>
          <w:color w:val="auto"/>
          <w:sz w:val="24"/>
          <w:highlight w:val="none"/>
          <w:u w:val="single"/>
        </w:rPr>
        <w:t>（应明确分期</w:t>
      </w:r>
      <w:r>
        <w:rPr>
          <w:rFonts w:ascii="宋体" w:hAnsi="宋体"/>
          <w:bCs/>
          <w:color w:val="auto"/>
          <w:sz w:val="24"/>
          <w:highlight w:val="none"/>
          <w:u w:val="single"/>
        </w:rPr>
        <w:t>/</w:t>
      </w:r>
      <w:r>
        <w:rPr>
          <w:rFonts w:hint="eastAsia" w:ascii="宋体" w:hAnsi="宋体"/>
          <w:bCs/>
          <w:color w:val="auto"/>
          <w:sz w:val="24"/>
          <w:highlight w:val="none"/>
          <w:u w:val="single"/>
        </w:rPr>
        <w:t>分项验收的工作安排）</w:t>
      </w:r>
    </w:p>
    <w:p w14:paraId="407DABF1">
      <w:pPr>
        <w:spacing w:line="360" w:lineRule="auto"/>
        <w:ind w:firstLine="480"/>
        <w:rPr>
          <w:rFonts w:ascii="宋体" w:hAnsi="宋体"/>
          <w:bCs/>
          <w:color w:val="auto"/>
          <w:sz w:val="24"/>
          <w:highlight w:val="none"/>
        </w:rPr>
      </w:pPr>
      <w:r>
        <w:rPr>
          <w:rFonts w:hint="eastAsia" w:ascii="宋体" w:hAnsi="宋体"/>
          <w:bCs/>
          <w:color w:val="auto"/>
          <w:sz w:val="24"/>
          <w:highlight w:val="none"/>
        </w:rPr>
        <w:t>（4）履约验收程序：</w:t>
      </w:r>
    </w:p>
    <w:p w14:paraId="314C8204">
      <w:pPr>
        <w:spacing w:line="360" w:lineRule="auto"/>
        <w:ind w:firstLine="480"/>
        <w:rPr>
          <w:rFonts w:ascii="宋体" w:hAnsi="宋体"/>
          <w:bCs/>
          <w:color w:val="auto"/>
          <w:sz w:val="24"/>
          <w:highlight w:val="none"/>
          <w:u w:val="single"/>
        </w:rPr>
      </w:pPr>
      <w:r>
        <w:rPr>
          <w:rFonts w:hint="eastAsia" w:ascii="宋体" w:hAnsi="宋体"/>
          <w:bCs/>
          <w:color w:val="auto"/>
          <w:sz w:val="24"/>
          <w:highlight w:val="none"/>
        </w:rPr>
        <w:t>（5）履约验收的内容：</w:t>
      </w:r>
      <w:r>
        <w:rPr>
          <w:rFonts w:hint="eastAsia" w:ascii="宋体" w:hAnsi="宋体"/>
          <w:bCs/>
          <w:color w:val="auto"/>
          <w:sz w:val="24"/>
          <w:highlight w:val="none"/>
          <w:u w:val="single"/>
        </w:rPr>
        <w:t>（应当包括每一项技术和商务要求的履约情况，特别是落实政府采购扶持中小企业，支持绿色发展和乡村振兴等政策情况）</w:t>
      </w:r>
    </w:p>
    <w:p w14:paraId="2101C2AC">
      <w:pPr>
        <w:spacing w:line="360" w:lineRule="auto"/>
        <w:ind w:firstLine="480"/>
        <w:rPr>
          <w:rFonts w:ascii="宋体" w:hAnsi="宋体"/>
          <w:bCs/>
          <w:color w:val="auto"/>
          <w:sz w:val="24"/>
          <w:highlight w:val="none"/>
          <w:u w:val="single"/>
        </w:rPr>
      </w:pPr>
      <w:r>
        <w:rPr>
          <w:rFonts w:hint="eastAsia" w:ascii="宋体" w:hAnsi="宋体"/>
          <w:bCs/>
          <w:color w:val="auto"/>
          <w:sz w:val="24"/>
          <w:highlight w:val="none"/>
        </w:rPr>
        <w:t>（6）履约验收标准：</w:t>
      </w:r>
    </w:p>
    <w:p w14:paraId="2F0DE255">
      <w:pPr>
        <w:widowControl/>
        <w:spacing w:line="360" w:lineRule="auto"/>
        <w:ind w:firstLine="480"/>
        <w:jc w:val="left"/>
        <w:rPr>
          <w:rFonts w:ascii="宋体" w:hAnsi="宋体" w:cs="宋体"/>
          <w:color w:val="auto"/>
          <w:sz w:val="24"/>
          <w:highlight w:val="none"/>
        </w:rPr>
      </w:pPr>
      <w:r>
        <w:rPr>
          <w:rFonts w:hint="eastAsia" w:ascii="宋体" w:hAnsi="宋体" w:cs="宋体"/>
          <w:bCs/>
          <w:color w:val="auto"/>
          <w:sz w:val="24"/>
          <w:highlight w:val="none"/>
        </w:rPr>
        <w:t>（7）是否以采购活动中供应商提供的样品作为参考：</w:t>
      </w:r>
      <w:r>
        <w:rPr>
          <w:rFonts w:ascii="Wingdings" w:hAnsi="Wingdings" w:eastAsia="Wingdings" w:cs="Wingdings"/>
          <w:color w:val="auto"/>
          <w:sz w:val="24"/>
          <w:highlight w:val="none"/>
        </w:rPr>
        <w:t></w:t>
      </w:r>
      <w:r>
        <w:rPr>
          <w:rFonts w:hint="eastAsia" w:ascii="宋体" w:hAnsi="宋体" w:cs="宋体"/>
          <w:bCs/>
          <w:color w:val="auto"/>
          <w:sz w:val="24"/>
          <w:highlight w:val="none"/>
        </w:rPr>
        <w:t xml:space="preserve">是  </w:t>
      </w:r>
      <w:r>
        <w:rPr>
          <w:rFonts w:ascii="Wingdings" w:hAnsi="Wingdings" w:eastAsia="Wingdings" w:cs="Wingdings"/>
          <w:color w:val="auto"/>
          <w:sz w:val="24"/>
          <w:highlight w:val="none"/>
        </w:rPr>
        <w:t></w:t>
      </w:r>
      <w:r>
        <w:rPr>
          <w:rFonts w:hint="eastAsia" w:ascii="宋体" w:hAnsi="宋体" w:cs="宋体"/>
          <w:bCs/>
          <w:color w:val="auto"/>
          <w:sz w:val="24"/>
          <w:highlight w:val="none"/>
        </w:rPr>
        <w:t>否</w:t>
      </w:r>
    </w:p>
    <w:p w14:paraId="2D0801C2">
      <w:pPr>
        <w:spacing w:line="360" w:lineRule="auto"/>
        <w:ind w:firstLine="480"/>
        <w:rPr>
          <w:rFonts w:ascii="宋体" w:hAnsi="宋体" w:cs="宋体"/>
          <w:bCs/>
          <w:color w:val="auto"/>
          <w:sz w:val="24"/>
          <w:highlight w:val="none"/>
          <w:u w:val="single"/>
        </w:rPr>
      </w:pPr>
      <w:r>
        <w:rPr>
          <w:rFonts w:hint="eastAsia" w:ascii="宋体" w:hAnsi="宋体" w:cs="宋体"/>
          <w:bCs/>
          <w:color w:val="auto"/>
          <w:sz w:val="24"/>
          <w:highlight w:val="none"/>
        </w:rPr>
        <w:t>（8）履约验收其他事项：</w:t>
      </w:r>
      <w:r>
        <w:rPr>
          <w:rFonts w:hint="eastAsia" w:ascii="宋体" w:hAnsi="宋体" w:cs="宋体"/>
          <w:bCs/>
          <w:color w:val="auto"/>
          <w:sz w:val="24"/>
          <w:highlight w:val="none"/>
          <w:u w:val="single"/>
        </w:rPr>
        <w:t>（产权过户登记等）</w:t>
      </w:r>
    </w:p>
    <w:p w14:paraId="1A5E313B">
      <w:pPr>
        <w:numPr>
          <w:ilvl w:val="0"/>
          <w:numId w:val="1"/>
        </w:numPr>
        <w:spacing w:line="360" w:lineRule="auto"/>
        <w:ind w:firstLine="482" w:firstLineChars="0"/>
        <w:outlineLvl w:val="0"/>
        <w:rPr>
          <w:rFonts w:ascii="宋体" w:hAnsi="宋体"/>
          <w:b/>
          <w:color w:val="auto"/>
          <w:sz w:val="24"/>
          <w:highlight w:val="none"/>
        </w:rPr>
      </w:pPr>
      <w:bookmarkStart w:id="308" w:name="_Toc18030"/>
      <w:bookmarkStart w:id="309" w:name="_Toc2029"/>
      <w:r>
        <w:rPr>
          <w:rFonts w:hint="eastAsia" w:ascii="宋体" w:hAnsi="宋体"/>
          <w:b/>
          <w:color w:val="auto"/>
          <w:sz w:val="24"/>
          <w:highlight w:val="none"/>
        </w:rPr>
        <w:t>组成合同的文件</w:t>
      </w:r>
      <w:bookmarkEnd w:id="308"/>
      <w:bookmarkEnd w:id="309"/>
    </w:p>
    <w:p w14:paraId="0E29E6ED">
      <w:pPr>
        <w:spacing w:line="360" w:lineRule="auto"/>
        <w:ind w:firstLine="480"/>
        <w:rPr>
          <w:rFonts w:ascii="宋体" w:hAnsi="宋体"/>
          <w:color w:val="auto"/>
          <w:sz w:val="24"/>
          <w:highlight w:val="none"/>
        </w:rPr>
      </w:pPr>
      <w:r>
        <w:rPr>
          <w:rFonts w:hint="eastAsia" w:ascii="宋体" w:hAnsi="宋体"/>
          <w:color w:val="auto"/>
          <w:sz w:val="24"/>
          <w:highlight w:val="none"/>
        </w:rPr>
        <w:t>本协议书与下列文件一起构成合同文件，如下述文件之间有任何抵触、矛盾或歧义，应按以下顺序解释：</w:t>
      </w:r>
    </w:p>
    <w:p w14:paraId="1198F429">
      <w:pPr>
        <w:spacing w:line="360" w:lineRule="auto"/>
        <w:rPr>
          <w:rFonts w:hint="eastAsia" w:ascii="宋体" w:hAnsi="宋体"/>
          <w:color w:val="auto"/>
          <w:sz w:val="24"/>
          <w:highlight w:val="none"/>
        </w:rPr>
      </w:pPr>
      <w:r>
        <w:rPr>
          <w:rFonts w:hint="eastAsia" w:ascii="宋体" w:hAnsi="宋体"/>
          <w:color w:val="auto"/>
          <w:sz w:val="24"/>
          <w:highlight w:val="none"/>
        </w:rPr>
        <w:t>（1）政府采购合同协议书及其变更、补充协议</w:t>
      </w:r>
    </w:p>
    <w:p w14:paraId="64FD848A">
      <w:pPr>
        <w:spacing w:line="360" w:lineRule="auto"/>
        <w:rPr>
          <w:rFonts w:hint="eastAsia" w:ascii="宋体" w:hAnsi="宋体"/>
          <w:color w:val="auto"/>
          <w:sz w:val="24"/>
          <w:highlight w:val="none"/>
        </w:rPr>
      </w:pPr>
      <w:r>
        <w:rPr>
          <w:rFonts w:hint="eastAsia" w:ascii="宋体" w:hAnsi="宋体"/>
          <w:color w:val="auto"/>
          <w:sz w:val="24"/>
          <w:highlight w:val="none"/>
        </w:rPr>
        <w:t>（2）政府采购合同专用条款</w:t>
      </w:r>
    </w:p>
    <w:p w14:paraId="114D2529">
      <w:pPr>
        <w:spacing w:line="360" w:lineRule="auto"/>
        <w:rPr>
          <w:rFonts w:hint="eastAsia" w:ascii="宋体" w:hAnsi="宋体"/>
          <w:color w:val="auto"/>
          <w:sz w:val="24"/>
          <w:highlight w:val="none"/>
        </w:rPr>
      </w:pPr>
      <w:r>
        <w:rPr>
          <w:rFonts w:hint="eastAsia" w:ascii="宋体" w:hAnsi="宋体"/>
          <w:color w:val="auto"/>
          <w:sz w:val="24"/>
          <w:highlight w:val="none"/>
        </w:rPr>
        <w:t>（3）政府采购合同通用条款</w:t>
      </w:r>
    </w:p>
    <w:p w14:paraId="2355E685">
      <w:pPr>
        <w:spacing w:line="360" w:lineRule="auto"/>
        <w:rPr>
          <w:rFonts w:hint="eastAsia" w:ascii="宋体" w:hAnsi="宋体"/>
          <w:color w:val="auto"/>
          <w:sz w:val="24"/>
          <w:highlight w:val="none"/>
        </w:rPr>
      </w:pPr>
      <w:r>
        <w:rPr>
          <w:rFonts w:hint="eastAsia" w:ascii="宋体" w:hAnsi="宋体"/>
          <w:color w:val="auto"/>
          <w:sz w:val="24"/>
          <w:highlight w:val="none"/>
        </w:rPr>
        <w:t>（4）中标（成交）通知书</w:t>
      </w:r>
    </w:p>
    <w:p w14:paraId="7D75EA2E">
      <w:pPr>
        <w:spacing w:line="360" w:lineRule="auto"/>
        <w:rPr>
          <w:rFonts w:hint="eastAsia" w:ascii="宋体" w:hAnsi="宋体"/>
          <w:color w:val="auto"/>
          <w:sz w:val="24"/>
          <w:highlight w:val="none"/>
        </w:rPr>
      </w:pPr>
      <w:r>
        <w:rPr>
          <w:rFonts w:hint="eastAsia" w:ascii="宋体" w:hAnsi="宋体"/>
          <w:color w:val="auto"/>
          <w:sz w:val="24"/>
          <w:highlight w:val="none"/>
        </w:rPr>
        <w:t>（5）投标（响应）文件</w:t>
      </w:r>
    </w:p>
    <w:p w14:paraId="0F53048D">
      <w:pPr>
        <w:spacing w:line="360" w:lineRule="auto"/>
        <w:rPr>
          <w:rFonts w:hint="eastAsia" w:ascii="宋体" w:hAnsi="宋体"/>
          <w:color w:val="auto"/>
          <w:sz w:val="24"/>
          <w:highlight w:val="none"/>
        </w:rPr>
      </w:pPr>
      <w:r>
        <w:rPr>
          <w:rFonts w:hint="eastAsia" w:ascii="宋体" w:hAnsi="宋体"/>
          <w:color w:val="auto"/>
          <w:sz w:val="24"/>
          <w:highlight w:val="none"/>
        </w:rPr>
        <w:t>（6）采购文件</w:t>
      </w:r>
    </w:p>
    <w:p w14:paraId="39862F70">
      <w:pPr>
        <w:spacing w:line="360" w:lineRule="auto"/>
        <w:rPr>
          <w:rFonts w:hint="eastAsia" w:ascii="宋体" w:hAnsi="宋体"/>
          <w:color w:val="auto"/>
          <w:sz w:val="24"/>
          <w:highlight w:val="none"/>
        </w:rPr>
      </w:pPr>
      <w:r>
        <w:rPr>
          <w:rFonts w:hint="eastAsia" w:ascii="宋体" w:hAnsi="宋体"/>
          <w:color w:val="auto"/>
          <w:sz w:val="24"/>
          <w:highlight w:val="none"/>
        </w:rPr>
        <w:t>（7）有关技术文件，图纸</w:t>
      </w:r>
    </w:p>
    <w:p w14:paraId="0CD1A21B">
      <w:pPr>
        <w:spacing w:line="360" w:lineRule="auto"/>
        <w:rPr>
          <w:rFonts w:hint="eastAsia" w:ascii="宋体" w:hAnsi="宋体"/>
          <w:color w:val="auto"/>
          <w:sz w:val="24"/>
          <w:highlight w:val="none"/>
        </w:rPr>
      </w:pPr>
      <w:r>
        <w:rPr>
          <w:rFonts w:hint="eastAsia" w:ascii="宋体" w:hAnsi="宋体"/>
          <w:color w:val="auto"/>
          <w:sz w:val="24"/>
          <w:highlight w:val="none"/>
        </w:rPr>
        <w:t>（8）国家法律、行政法规和规章制度规定或合同约定的作为合同组成部分的其他文件</w:t>
      </w:r>
    </w:p>
    <w:p w14:paraId="2DF33D2B">
      <w:pPr>
        <w:adjustRightInd w:val="0"/>
        <w:snapToGrid w:val="0"/>
        <w:spacing w:line="400" w:lineRule="exact"/>
        <w:ind w:left="422" w:leftChars="0"/>
        <w:outlineLvl w:val="0"/>
        <w:rPr>
          <w:rFonts w:ascii="宋体" w:hAnsi="宋体"/>
          <w:b/>
          <w:color w:val="auto"/>
          <w:szCs w:val="21"/>
          <w:highlight w:val="none"/>
        </w:rPr>
      </w:pPr>
      <w:bookmarkStart w:id="310" w:name="_Toc13030"/>
      <w:bookmarkStart w:id="311" w:name="_Toc26100"/>
      <w:r>
        <w:rPr>
          <w:rFonts w:hint="eastAsia" w:ascii="宋体" w:hAnsi="宋体"/>
          <w:b/>
          <w:color w:val="auto"/>
          <w:szCs w:val="21"/>
          <w:highlight w:val="none"/>
        </w:rPr>
        <w:t>6.</w:t>
      </w:r>
      <w:r>
        <w:rPr>
          <w:rFonts w:hint="eastAsia" w:ascii="宋体" w:hAnsi="宋体"/>
          <w:b/>
          <w:color w:val="auto"/>
          <w:sz w:val="24"/>
          <w:highlight w:val="none"/>
        </w:rPr>
        <w:t>合同生效</w:t>
      </w:r>
      <w:bookmarkEnd w:id="310"/>
      <w:bookmarkEnd w:id="311"/>
    </w:p>
    <w:p w14:paraId="30AD3088">
      <w:pPr>
        <w:spacing w:line="360" w:lineRule="auto"/>
        <w:ind w:firstLine="480"/>
        <w:rPr>
          <w:rFonts w:ascii="宋体" w:hAnsi="宋体"/>
          <w:color w:val="auto"/>
          <w:sz w:val="24"/>
          <w:highlight w:val="none"/>
        </w:rPr>
      </w:pPr>
      <w:r>
        <w:rPr>
          <w:rFonts w:hint="eastAsia" w:ascii="宋体" w:hAnsi="宋体"/>
          <w:color w:val="auto"/>
          <w:sz w:val="24"/>
          <w:highlight w:val="none"/>
        </w:rPr>
        <w:t>本合同自</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日生效。</w:t>
      </w:r>
    </w:p>
    <w:p w14:paraId="5D1D07BA">
      <w:pPr>
        <w:spacing w:line="360" w:lineRule="auto"/>
        <w:ind w:left="482" w:leftChars="0"/>
        <w:outlineLvl w:val="0"/>
        <w:rPr>
          <w:rFonts w:ascii="宋体" w:hAnsi="宋体"/>
          <w:b/>
          <w:color w:val="auto"/>
          <w:sz w:val="24"/>
          <w:highlight w:val="none"/>
        </w:rPr>
      </w:pPr>
      <w:bookmarkStart w:id="312" w:name="_Toc8619"/>
      <w:bookmarkStart w:id="313" w:name="_Toc15354"/>
      <w:r>
        <w:rPr>
          <w:rFonts w:hint="eastAsia" w:ascii="宋体" w:hAnsi="宋体"/>
          <w:b/>
          <w:color w:val="auto"/>
          <w:sz w:val="24"/>
          <w:highlight w:val="none"/>
        </w:rPr>
        <w:t>7.合同份数</w:t>
      </w:r>
      <w:bookmarkEnd w:id="312"/>
      <w:bookmarkEnd w:id="313"/>
    </w:p>
    <w:p w14:paraId="0C0A08B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2D6D8C2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B830FA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58BA7FD8">
      <w:pPr>
        <w:adjustRightInd w:val="0"/>
        <w:snapToGrid w:val="0"/>
        <w:spacing w:line="400" w:lineRule="exact"/>
        <w:ind w:firstLine="420" w:firstLineChars="200"/>
        <w:outlineLvl w:val="0"/>
        <w:rPr>
          <w:color w:val="auto"/>
          <w:highlight w:val="none"/>
        </w:rPr>
      </w:pPr>
      <w:bookmarkStart w:id="314" w:name="_Toc2270"/>
      <w:bookmarkStart w:id="315" w:name="_Toc22069"/>
      <w:r>
        <w:rPr>
          <w:rFonts w:hint="eastAsia" w:ascii="宋体" w:hAnsi="宋体"/>
          <w:color w:val="auto"/>
          <w:szCs w:val="21"/>
          <w:highlight w:val="none"/>
        </w:rPr>
        <w:t>附件：具体标的及其技术要求和商务要求、联合协议、分包意向协议等。</w:t>
      </w:r>
      <w:bookmarkEnd w:id="314"/>
      <w:bookmarkEnd w:id="315"/>
    </w:p>
    <w:p w14:paraId="1621D9D2">
      <w:pPr>
        <w:spacing w:line="360" w:lineRule="auto"/>
        <w:ind w:firstLine="480"/>
        <w:jc w:val="left"/>
        <w:rPr>
          <w:rFonts w:ascii="宋体" w:hAnsi="宋体"/>
          <w:color w:val="auto"/>
          <w:sz w:val="24"/>
          <w:highlight w:val="none"/>
          <w:u w:val="single"/>
        </w:rPr>
      </w:pPr>
      <w:r>
        <w:rPr>
          <w:rFonts w:hint="eastAsia"/>
          <w:color w:val="auto"/>
          <w:sz w:val="24"/>
          <w:highlight w:val="none"/>
        </w:rPr>
        <w:br w:type="page" w:clear="all"/>
      </w:r>
    </w:p>
    <w:p w14:paraId="10524628">
      <w:pPr>
        <w:spacing w:line="360" w:lineRule="auto"/>
        <w:ind w:firstLine="420"/>
        <w:rPr>
          <w:color w:val="auto"/>
          <w:szCs w:val="21"/>
          <w:highlight w:val="none"/>
        </w:rPr>
      </w:pPr>
    </w:p>
    <w:tbl>
      <w:tblPr>
        <w:tblStyle w:val="15"/>
        <w:tblW w:w="4927" w:type="pct"/>
        <w:tblInd w:w="0" w:type="dxa"/>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autofit"/>
        <w:tblCellMar>
          <w:top w:w="0" w:type="dxa"/>
          <w:left w:w="108" w:type="dxa"/>
          <w:bottom w:w="0" w:type="dxa"/>
          <w:right w:w="108" w:type="dxa"/>
        </w:tblCellMar>
      </w:tblPr>
      <w:tblGrid>
        <w:gridCol w:w="1941"/>
        <w:gridCol w:w="2357"/>
        <w:gridCol w:w="2026"/>
        <w:gridCol w:w="2074"/>
      </w:tblGrid>
      <w:tr w14:paraId="739C36BD">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90" w:hRule="atLeast"/>
        </w:trPr>
        <w:tc>
          <w:tcPr>
            <w:tcW w:w="5031" w:type="dxa"/>
            <w:gridSpan w:val="2"/>
            <w:tcBorders>
              <w:bottom w:val="single" w:color="000000" w:sz="2" w:space="0"/>
              <w:right w:val="single" w:color="000000" w:sz="2" w:space="0"/>
            </w:tcBorders>
            <w:vAlign w:val="center"/>
          </w:tcPr>
          <w:p w14:paraId="1AFF2E02">
            <w:pPr>
              <w:spacing w:line="360" w:lineRule="auto"/>
              <w:jc w:val="center"/>
              <w:rPr>
                <w:color w:val="auto"/>
                <w:sz w:val="24"/>
                <w:highlight w:val="none"/>
              </w:rPr>
            </w:pPr>
            <w:r>
              <w:rPr>
                <w:color w:val="auto"/>
                <w:sz w:val="24"/>
                <w:highlight w:val="none"/>
              </w:rPr>
              <w:t>甲方</w:t>
            </w:r>
            <w:r>
              <w:rPr>
                <w:rFonts w:hint="eastAsia"/>
                <w:color w:val="auto"/>
                <w:sz w:val="24"/>
                <w:highlight w:val="none"/>
              </w:rPr>
              <w:t>（采购人</w:t>
            </w:r>
            <w:r>
              <w:rPr>
                <w:rFonts w:hint="eastAsia" w:ascii="宋体" w:hAnsi="宋体"/>
                <w:color w:val="auto"/>
                <w:sz w:val="24"/>
                <w:highlight w:val="none"/>
              </w:rPr>
              <w:t>、受采购人委托签订合同的单位或</w:t>
            </w:r>
            <w:r>
              <w:rPr>
                <w:rFonts w:hint="eastAsia"/>
                <w:color w:val="auto"/>
                <w:sz w:val="24"/>
                <w:highlight w:val="none"/>
              </w:rPr>
              <w:t>采购文件约定的合同甲方）</w:t>
            </w:r>
          </w:p>
        </w:tc>
        <w:tc>
          <w:tcPr>
            <w:tcW w:w="4789" w:type="dxa"/>
            <w:gridSpan w:val="2"/>
            <w:tcBorders>
              <w:left w:val="single" w:color="000000" w:sz="2" w:space="0"/>
              <w:bottom w:val="single" w:color="000000" w:sz="2" w:space="0"/>
            </w:tcBorders>
            <w:vAlign w:val="center"/>
          </w:tcPr>
          <w:p w14:paraId="4FE619CB">
            <w:pPr>
              <w:spacing w:line="360" w:lineRule="auto"/>
              <w:jc w:val="center"/>
              <w:rPr>
                <w:color w:val="auto"/>
                <w:sz w:val="24"/>
                <w:highlight w:val="none"/>
              </w:rPr>
            </w:pPr>
            <w:r>
              <w:rPr>
                <w:color w:val="auto"/>
                <w:sz w:val="24"/>
                <w:highlight w:val="none"/>
              </w:rPr>
              <w:t>乙方</w:t>
            </w:r>
            <w:r>
              <w:rPr>
                <w:rFonts w:hint="eastAsia"/>
                <w:color w:val="auto"/>
                <w:sz w:val="24"/>
                <w:highlight w:val="none"/>
              </w:rPr>
              <w:t>（供应商）</w:t>
            </w:r>
          </w:p>
        </w:tc>
      </w:tr>
      <w:tr w14:paraId="3C081C6D">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917" w:hRule="atLeast"/>
        </w:trPr>
        <w:tc>
          <w:tcPr>
            <w:tcW w:w="2211" w:type="dxa"/>
            <w:tcBorders>
              <w:top w:val="single" w:color="000000" w:sz="2" w:space="0"/>
              <w:bottom w:val="single" w:color="000000" w:sz="2" w:space="0"/>
              <w:right w:val="single" w:color="000000" w:sz="2" w:space="0"/>
            </w:tcBorders>
            <w:vAlign w:val="center"/>
          </w:tcPr>
          <w:p w14:paraId="3FF33781">
            <w:pPr>
              <w:spacing w:line="360" w:lineRule="auto"/>
              <w:jc w:val="center"/>
              <w:rPr>
                <w:color w:val="auto"/>
                <w:sz w:val="24"/>
                <w:highlight w:val="none"/>
              </w:rPr>
            </w:pPr>
            <w:r>
              <w:rPr>
                <w:color w:val="auto"/>
                <w:sz w:val="24"/>
                <w:highlight w:val="none"/>
              </w:rPr>
              <w:t>单位名称</w:t>
            </w:r>
            <w:r>
              <w:rPr>
                <w:rFonts w:hint="eastAsia"/>
                <w:color w:val="auto"/>
                <w:sz w:val="24"/>
                <w:highlight w:val="none"/>
              </w:rPr>
              <w:t>（公章或合同章）</w:t>
            </w:r>
          </w:p>
        </w:tc>
        <w:tc>
          <w:tcPr>
            <w:tcW w:w="2820" w:type="dxa"/>
            <w:tcBorders>
              <w:top w:val="single" w:color="000000" w:sz="2" w:space="0"/>
              <w:left w:val="single" w:color="000000" w:sz="2" w:space="0"/>
              <w:bottom w:val="single" w:color="000000" w:sz="2" w:space="0"/>
              <w:right w:val="single" w:color="000000" w:sz="2" w:space="0"/>
            </w:tcBorders>
            <w:vAlign w:val="center"/>
          </w:tcPr>
          <w:p w14:paraId="502111B8">
            <w:pPr>
              <w:spacing w:line="360" w:lineRule="auto"/>
              <w:jc w:val="center"/>
              <w:rPr>
                <w:color w:val="auto"/>
                <w:sz w:val="24"/>
                <w:highlight w:val="none"/>
              </w:rPr>
            </w:pPr>
          </w:p>
        </w:tc>
        <w:tc>
          <w:tcPr>
            <w:tcW w:w="2314" w:type="dxa"/>
            <w:tcBorders>
              <w:top w:val="single" w:color="000000" w:sz="2" w:space="0"/>
              <w:left w:val="single" w:color="000000" w:sz="2" w:space="0"/>
              <w:bottom w:val="single" w:color="000000" w:sz="2" w:space="0"/>
              <w:right w:val="single" w:color="000000" w:sz="2" w:space="0"/>
            </w:tcBorders>
            <w:vAlign w:val="center"/>
          </w:tcPr>
          <w:p w14:paraId="7B1B83E2">
            <w:pPr>
              <w:spacing w:line="360" w:lineRule="auto"/>
              <w:jc w:val="center"/>
              <w:rPr>
                <w:color w:val="auto"/>
                <w:sz w:val="24"/>
                <w:highlight w:val="none"/>
              </w:rPr>
            </w:pPr>
            <w:r>
              <w:rPr>
                <w:color w:val="auto"/>
                <w:sz w:val="24"/>
                <w:highlight w:val="none"/>
              </w:rPr>
              <w:t>单位名称</w:t>
            </w:r>
            <w:r>
              <w:rPr>
                <w:rFonts w:hint="eastAsia"/>
                <w:color w:val="auto"/>
                <w:sz w:val="24"/>
                <w:highlight w:val="none"/>
              </w:rPr>
              <w:t>（公章或合同章）</w:t>
            </w:r>
          </w:p>
        </w:tc>
        <w:tc>
          <w:tcPr>
            <w:tcW w:w="2475" w:type="dxa"/>
            <w:tcBorders>
              <w:top w:val="single" w:color="000000" w:sz="2" w:space="0"/>
              <w:left w:val="single" w:color="000000" w:sz="2" w:space="0"/>
              <w:bottom w:val="single" w:color="000000" w:sz="2" w:space="0"/>
            </w:tcBorders>
            <w:vAlign w:val="center"/>
          </w:tcPr>
          <w:p w14:paraId="6214B514">
            <w:pPr>
              <w:spacing w:line="360" w:lineRule="auto"/>
              <w:jc w:val="center"/>
              <w:rPr>
                <w:color w:val="auto"/>
                <w:spacing w:val="20"/>
                <w:sz w:val="24"/>
                <w:highlight w:val="none"/>
              </w:rPr>
            </w:pPr>
          </w:p>
        </w:tc>
      </w:tr>
      <w:tr w14:paraId="25161AB4">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cantSplit/>
          <w:trHeight w:val="1171" w:hRule="atLeast"/>
        </w:trPr>
        <w:tc>
          <w:tcPr>
            <w:tcW w:w="2211" w:type="dxa"/>
            <w:vMerge w:val="restart"/>
            <w:tcBorders>
              <w:top w:val="single" w:color="000000" w:sz="2" w:space="0"/>
              <w:right w:val="single" w:color="000000" w:sz="2" w:space="0"/>
            </w:tcBorders>
            <w:vAlign w:val="center"/>
          </w:tcPr>
          <w:p w14:paraId="2AC46522">
            <w:pPr>
              <w:spacing w:line="360" w:lineRule="auto"/>
              <w:jc w:val="center"/>
              <w:rPr>
                <w:color w:val="auto"/>
                <w:sz w:val="24"/>
                <w:highlight w:val="none"/>
              </w:rPr>
            </w:pPr>
            <w:r>
              <w:rPr>
                <w:color w:val="auto"/>
                <w:sz w:val="24"/>
                <w:highlight w:val="none"/>
              </w:rPr>
              <w:t>法定代表人</w:t>
            </w:r>
          </w:p>
          <w:p w14:paraId="6DA34215">
            <w:pPr>
              <w:spacing w:line="360" w:lineRule="auto"/>
              <w:ind w:firstLine="115"/>
              <w:jc w:val="center"/>
              <w:rPr>
                <w:color w:val="auto"/>
                <w:sz w:val="24"/>
                <w:highlight w:val="none"/>
              </w:rPr>
            </w:pPr>
            <w:r>
              <w:rPr>
                <w:rFonts w:hint="eastAsia"/>
                <w:color w:val="auto"/>
                <w:sz w:val="24"/>
                <w:highlight w:val="none"/>
              </w:rPr>
              <w:t>或其</w:t>
            </w:r>
            <w:r>
              <w:rPr>
                <w:color w:val="auto"/>
                <w:sz w:val="24"/>
                <w:highlight w:val="none"/>
              </w:rPr>
              <w:t>委托代理人</w:t>
            </w:r>
            <w:r>
              <w:rPr>
                <w:rFonts w:hint="eastAsia"/>
                <w:color w:val="auto"/>
                <w:sz w:val="24"/>
                <w:highlight w:val="none"/>
              </w:rPr>
              <w:t>（签章）</w:t>
            </w:r>
          </w:p>
        </w:tc>
        <w:tc>
          <w:tcPr>
            <w:tcW w:w="2820" w:type="dxa"/>
            <w:vMerge w:val="restart"/>
            <w:tcBorders>
              <w:top w:val="single" w:color="000000" w:sz="2" w:space="0"/>
              <w:left w:val="single" w:color="000000" w:sz="2" w:space="0"/>
              <w:right w:val="single" w:color="000000" w:sz="2" w:space="0"/>
            </w:tcBorders>
            <w:vAlign w:val="center"/>
          </w:tcPr>
          <w:p w14:paraId="207308C6">
            <w:pPr>
              <w:spacing w:line="360" w:lineRule="auto"/>
              <w:jc w:val="center"/>
              <w:rPr>
                <w:color w:val="auto"/>
                <w:sz w:val="24"/>
                <w:highlight w:val="none"/>
              </w:rPr>
            </w:pPr>
          </w:p>
        </w:tc>
        <w:tc>
          <w:tcPr>
            <w:tcW w:w="2314" w:type="dxa"/>
            <w:tcBorders>
              <w:top w:val="single" w:color="000000" w:sz="2" w:space="0"/>
              <w:left w:val="single" w:color="000000" w:sz="2" w:space="0"/>
              <w:right w:val="single" w:color="000000" w:sz="2" w:space="0"/>
            </w:tcBorders>
            <w:vAlign w:val="center"/>
          </w:tcPr>
          <w:p w14:paraId="1B6BF0CD">
            <w:pPr>
              <w:spacing w:line="360" w:lineRule="auto"/>
              <w:jc w:val="center"/>
              <w:rPr>
                <w:color w:val="auto"/>
                <w:sz w:val="24"/>
                <w:highlight w:val="none"/>
              </w:rPr>
            </w:pPr>
            <w:r>
              <w:rPr>
                <w:color w:val="auto"/>
                <w:sz w:val="24"/>
                <w:highlight w:val="none"/>
              </w:rPr>
              <w:t>法定代表人</w:t>
            </w:r>
          </w:p>
          <w:p w14:paraId="4EB28212">
            <w:pPr>
              <w:spacing w:line="360" w:lineRule="auto"/>
              <w:jc w:val="center"/>
              <w:rPr>
                <w:color w:val="auto"/>
                <w:sz w:val="24"/>
                <w:highlight w:val="none"/>
              </w:rPr>
            </w:pPr>
            <w:r>
              <w:rPr>
                <w:rFonts w:hint="eastAsia"/>
                <w:color w:val="auto"/>
                <w:sz w:val="24"/>
                <w:highlight w:val="none"/>
              </w:rPr>
              <w:t>或其</w:t>
            </w:r>
            <w:r>
              <w:rPr>
                <w:color w:val="auto"/>
                <w:sz w:val="24"/>
                <w:highlight w:val="none"/>
              </w:rPr>
              <w:t>委托代理人</w:t>
            </w:r>
            <w:r>
              <w:rPr>
                <w:rFonts w:hint="eastAsia"/>
                <w:color w:val="auto"/>
                <w:sz w:val="24"/>
                <w:highlight w:val="none"/>
              </w:rPr>
              <w:t>（签章）</w:t>
            </w:r>
          </w:p>
        </w:tc>
        <w:tc>
          <w:tcPr>
            <w:tcW w:w="2475" w:type="dxa"/>
            <w:tcBorders>
              <w:top w:val="single" w:color="000000" w:sz="2" w:space="0"/>
              <w:left w:val="single" w:color="000000" w:sz="2" w:space="0"/>
              <w:bottom w:val="single" w:color="000000" w:sz="2" w:space="0"/>
            </w:tcBorders>
            <w:vAlign w:val="center"/>
          </w:tcPr>
          <w:p w14:paraId="1BFC448B">
            <w:pPr>
              <w:spacing w:line="360" w:lineRule="auto"/>
              <w:jc w:val="center"/>
              <w:rPr>
                <w:color w:val="auto"/>
                <w:sz w:val="24"/>
                <w:highlight w:val="none"/>
              </w:rPr>
            </w:pPr>
          </w:p>
        </w:tc>
      </w:tr>
      <w:tr w14:paraId="7870D473">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cantSplit/>
          <w:trHeight w:val="483" w:hRule="atLeast"/>
        </w:trPr>
        <w:tc>
          <w:tcPr>
            <w:tcW w:w="2211" w:type="dxa"/>
            <w:vMerge w:val="continue"/>
            <w:tcBorders>
              <w:bottom w:val="single" w:color="000000" w:sz="2" w:space="0"/>
              <w:right w:val="single" w:color="000000" w:sz="2" w:space="0"/>
            </w:tcBorders>
            <w:vAlign w:val="center"/>
          </w:tcPr>
          <w:p w14:paraId="51A958E6">
            <w:pPr>
              <w:spacing w:line="360" w:lineRule="auto"/>
              <w:jc w:val="center"/>
              <w:rPr>
                <w:color w:val="auto"/>
                <w:sz w:val="24"/>
                <w:highlight w:val="none"/>
              </w:rPr>
            </w:pPr>
          </w:p>
        </w:tc>
        <w:tc>
          <w:tcPr>
            <w:tcW w:w="2820" w:type="dxa"/>
            <w:vMerge w:val="continue"/>
            <w:tcBorders>
              <w:left w:val="single" w:color="000000" w:sz="2" w:space="0"/>
              <w:bottom w:val="single" w:color="000000" w:sz="2" w:space="0"/>
              <w:right w:val="single" w:color="000000" w:sz="2" w:space="0"/>
            </w:tcBorders>
            <w:vAlign w:val="center"/>
          </w:tcPr>
          <w:p w14:paraId="4AC510B4">
            <w:pPr>
              <w:spacing w:line="360" w:lineRule="auto"/>
              <w:jc w:val="center"/>
              <w:rPr>
                <w:color w:val="auto"/>
                <w:sz w:val="24"/>
                <w:highlight w:val="none"/>
              </w:rPr>
            </w:pPr>
          </w:p>
        </w:tc>
        <w:tc>
          <w:tcPr>
            <w:tcW w:w="2314" w:type="dxa"/>
            <w:tcBorders>
              <w:top w:val="single" w:color="000000" w:sz="2" w:space="0"/>
              <w:left w:val="single" w:color="000000" w:sz="2" w:space="0"/>
              <w:bottom w:val="single" w:color="000000" w:sz="2" w:space="0"/>
              <w:right w:val="single" w:color="000000" w:sz="2" w:space="0"/>
            </w:tcBorders>
            <w:vAlign w:val="center"/>
          </w:tcPr>
          <w:p w14:paraId="473DD812">
            <w:pPr>
              <w:spacing w:line="360" w:lineRule="auto"/>
              <w:jc w:val="center"/>
              <w:rPr>
                <w:color w:val="auto"/>
                <w:sz w:val="24"/>
                <w:highlight w:val="none"/>
              </w:rPr>
            </w:pPr>
            <w:r>
              <w:rPr>
                <w:rFonts w:hint="eastAsia"/>
                <w:color w:val="auto"/>
                <w:sz w:val="24"/>
                <w:highlight w:val="none"/>
              </w:rPr>
              <w:t>拥有者性别</w:t>
            </w:r>
          </w:p>
        </w:tc>
        <w:tc>
          <w:tcPr>
            <w:tcW w:w="2475" w:type="dxa"/>
            <w:tcBorders>
              <w:top w:val="single" w:color="000000" w:sz="2" w:space="0"/>
              <w:left w:val="single" w:color="000000" w:sz="2" w:space="0"/>
              <w:bottom w:val="single" w:color="000000" w:sz="2" w:space="0"/>
            </w:tcBorders>
            <w:vAlign w:val="center"/>
          </w:tcPr>
          <w:p w14:paraId="23700312">
            <w:pPr>
              <w:spacing w:line="360" w:lineRule="auto"/>
              <w:jc w:val="center"/>
              <w:rPr>
                <w:color w:val="auto"/>
                <w:spacing w:val="20"/>
                <w:sz w:val="24"/>
                <w:highlight w:val="none"/>
              </w:rPr>
            </w:pPr>
          </w:p>
        </w:tc>
      </w:tr>
      <w:tr w14:paraId="3BC0AC0D">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tcBorders>
              <w:top w:val="single" w:color="000000" w:sz="2" w:space="0"/>
              <w:bottom w:val="single" w:color="000000" w:sz="2" w:space="0"/>
              <w:right w:val="single" w:color="000000" w:sz="2" w:space="0"/>
            </w:tcBorders>
            <w:vAlign w:val="center"/>
          </w:tcPr>
          <w:p w14:paraId="571E9DFD">
            <w:pPr>
              <w:spacing w:line="360" w:lineRule="auto"/>
              <w:jc w:val="center"/>
              <w:rPr>
                <w:color w:val="auto"/>
                <w:sz w:val="24"/>
                <w:highlight w:val="none"/>
              </w:rPr>
            </w:pPr>
            <w:r>
              <w:rPr>
                <w:rFonts w:hint="eastAsia"/>
                <w:color w:val="auto"/>
                <w:sz w:val="24"/>
                <w:highlight w:val="none"/>
              </w:rPr>
              <w:t>住所</w:t>
            </w:r>
          </w:p>
        </w:tc>
        <w:tc>
          <w:tcPr>
            <w:tcW w:w="2820" w:type="dxa"/>
            <w:tcBorders>
              <w:top w:val="single" w:color="000000" w:sz="2" w:space="0"/>
              <w:left w:val="single" w:color="000000" w:sz="2" w:space="0"/>
              <w:bottom w:val="single" w:color="000000" w:sz="2" w:space="0"/>
              <w:right w:val="single" w:color="000000" w:sz="2" w:space="0"/>
            </w:tcBorders>
            <w:vAlign w:val="center"/>
          </w:tcPr>
          <w:p w14:paraId="739148F2">
            <w:pPr>
              <w:spacing w:line="360" w:lineRule="auto"/>
              <w:jc w:val="center"/>
              <w:rPr>
                <w:color w:val="auto"/>
                <w:sz w:val="24"/>
                <w:highlight w:val="none"/>
              </w:rPr>
            </w:pPr>
          </w:p>
        </w:tc>
        <w:tc>
          <w:tcPr>
            <w:tcW w:w="2314" w:type="dxa"/>
            <w:tcBorders>
              <w:top w:val="single" w:color="000000" w:sz="2" w:space="0"/>
              <w:left w:val="single" w:color="000000" w:sz="2" w:space="0"/>
              <w:bottom w:val="single" w:color="000000" w:sz="2" w:space="0"/>
              <w:right w:val="single" w:color="000000" w:sz="2" w:space="0"/>
            </w:tcBorders>
            <w:vAlign w:val="center"/>
          </w:tcPr>
          <w:p w14:paraId="7E819B3B">
            <w:pPr>
              <w:spacing w:line="360" w:lineRule="auto"/>
              <w:jc w:val="center"/>
              <w:rPr>
                <w:color w:val="auto"/>
                <w:sz w:val="24"/>
                <w:highlight w:val="none"/>
              </w:rPr>
            </w:pPr>
            <w:r>
              <w:rPr>
                <w:rFonts w:hint="eastAsia"/>
                <w:color w:val="auto"/>
                <w:sz w:val="24"/>
                <w:highlight w:val="none"/>
              </w:rPr>
              <w:t>住所</w:t>
            </w:r>
          </w:p>
        </w:tc>
        <w:tc>
          <w:tcPr>
            <w:tcW w:w="2475" w:type="dxa"/>
            <w:tcBorders>
              <w:top w:val="single" w:color="000000" w:sz="2" w:space="0"/>
              <w:left w:val="single" w:color="000000" w:sz="2" w:space="0"/>
              <w:bottom w:val="single" w:color="000000" w:sz="2" w:space="0"/>
            </w:tcBorders>
            <w:vAlign w:val="center"/>
          </w:tcPr>
          <w:p w14:paraId="6EFEB21A">
            <w:pPr>
              <w:spacing w:line="360" w:lineRule="auto"/>
              <w:jc w:val="center"/>
              <w:rPr>
                <w:color w:val="auto"/>
                <w:spacing w:val="20"/>
                <w:sz w:val="24"/>
                <w:highlight w:val="none"/>
              </w:rPr>
            </w:pPr>
          </w:p>
        </w:tc>
      </w:tr>
      <w:tr w14:paraId="0C75C661">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tcBorders>
              <w:top w:val="single" w:color="000000" w:sz="2" w:space="0"/>
              <w:bottom w:val="single" w:color="000000" w:sz="2" w:space="0"/>
              <w:right w:val="single" w:color="000000" w:sz="2" w:space="0"/>
            </w:tcBorders>
            <w:vAlign w:val="center"/>
          </w:tcPr>
          <w:p w14:paraId="71ECF70D">
            <w:pPr>
              <w:spacing w:line="360" w:lineRule="auto"/>
              <w:jc w:val="center"/>
              <w:rPr>
                <w:color w:val="auto"/>
                <w:sz w:val="24"/>
                <w:highlight w:val="none"/>
              </w:rPr>
            </w:pPr>
            <w:r>
              <w:rPr>
                <w:color w:val="auto"/>
                <w:sz w:val="24"/>
                <w:highlight w:val="none"/>
              </w:rPr>
              <w:t>联 系 人</w:t>
            </w:r>
          </w:p>
        </w:tc>
        <w:tc>
          <w:tcPr>
            <w:tcW w:w="2820" w:type="dxa"/>
            <w:tcBorders>
              <w:top w:val="single" w:color="000000" w:sz="2" w:space="0"/>
              <w:left w:val="single" w:color="000000" w:sz="2" w:space="0"/>
              <w:bottom w:val="single" w:color="000000" w:sz="2" w:space="0"/>
              <w:right w:val="single" w:color="000000" w:sz="2" w:space="0"/>
            </w:tcBorders>
            <w:vAlign w:val="center"/>
          </w:tcPr>
          <w:p w14:paraId="41281196">
            <w:pPr>
              <w:spacing w:line="360" w:lineRule="auto"/>
              <w:jc w:val="center"/>
              <w:rPr>
                <w:color w:val="auto"/>
                <w:sz w:val="24"/>
                <w:highlight w:val="none"/>
              </w:rPr>
            </w:pPr>
          </w:p>
        </w:tc>
        <w:tc>
          <w:tcPr>
            <w:tcW w:w="2314" w:type="dxa"/>
            <w:tcBorders>
              <w:top w:val="single" w:color="000000" w:sz="2" w:space="0"/>
              <w:left w:val="single" w:color="000000" w:sz="2" w:space="0"/>
              <w:bottom w:val="single" w:color="000000" w:sz="2" w:space="0"/>
              <w:right w:val="single" w:color="000000" w:sz="2" w:space="0"/>
            </w:tcBorders>
            <w:vAlign w:val="center"/>
          </w:tcPr>
          <w:p w14:paraId="3646E5A3">
            <w:pPr>
              <w:spacing w:line="360" w:lineRule="auto"/>
              <w:jc w:val="center"/>
              <w:rPr>
                <w:color w:val="auto"/>
                <w:sz w:val="24"/>
                <w:highlight w:val="none"/>
              </w:rPr>
            </w:pPr>
            <w:r>
              <w:rPr>
                <w:color w:val="auto"/>
                <w:sz w:val="24"/>
                <w:highlight w:val="none"/>
              </w:rPr>
              <w:t>联 系 人</w:t>
            </w:r>
          </w:p>
        </w:tc>
        <w:tc>
          <w:tcPr>
            <w:tcW w:w="2475" w:type="dxa"/>
            <w:tcBorders>
              <w:top w:val="single" w:color="000000" w:sz="2" w:space="0"/>
              <w:left w:val="single" w:color="000000" w:sz="2" w:space="0"/>
              <w:bottom w:val="single" w:color="000000" w:sz="2" w:space="0"/>
            </w:tcBorders>
            <w:vAlign w:val="center"/>
          </w:tcPr>
          <w:p w14:paraId="1113B102">
            <w:pPr>
              <w:spacing w:line="360" w:lineRule="auto"/>
              <w:jc w:val="center"/>
              <w:rPr>
                <w:color w:val="auto"/>
                <w:spacing w:val="20"/>
                <w:sz w:val="24"/>
                <w:highlight w:val="none"/>
              </w:rPr>
            </w:pPr>
          </w:p>
        </w:tc>
      </w:tr>
      <w:tr w14:paraId="20B1647D">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tcBorders>
              <w:top w:val="single" w:color="000000" w:sz="2" w:space="0"/>
              <w:bottom w:val="single" w:color="000000" w:sz="2" w:space="0"/>
              <w:right w:val="single" w:color="000000" w:sz="2" w:space="0"/>
            </w:tcBorders>
            <w:vAlign w:val="center"/>
          </w:tcPr>
          <w:p w14:paraId="7F03B7AA">
            <w:pPr>
              <w:spacing w:line="360" w:lineRule="auto"/>
              <w:jc w:val="center"/>
              <w:rPr>
                <w:color w:val="auto"/>
                <w:sz w:val="24"/>
                <w:highlight w:val="none"/>
              </w:rPr>
            </w:pPr>
            <w:r>
              <w:rPr>
                <w:color w:val="auto"/>
                <w:sz w:val="24"/>
                <w:highlight w:val="none"/>
              </w:rPr>
              <w:t>联系电话</w:t>
            </w:r>
          </w:p>
        </w:tc>
        <w:tc>
          <w:tcPr>
            <w:tcW w:w="2820" w:type="dxa"/>
            <w:tcBorders>
              <w:top w:val="single" w:color="000000" w:sz="2" w:space="0"/>
              <w:left w:val="single" w:color="000000" w:sz="2" w:space="0"/>
              <w:bottom w:val="single" w:color="000000" w:sz="2" w:space="0"/>
              <w:right w:val="single" w:color="000000" w:sz="2" w:space="0"/>
            </w:tcBorders>
            <w:vAlign w:val="center"/>
          </w:tcPr>
          <w:p w14:paraId="37C0CD6E">
            <w:pPr>
              <w:spacing w:line="360" w:lineRule="auto"/>
              <w:jc w:val="center"/>
              <w:rPr>
                <w:color w:val="auto"/>
                <w:sz w:val="24"/>
                <w:highlight w:val="none"/>
              </w:rPr>
            </w:pPr>
          </w:p>
        </w:tc>
        <w:tc>
          <w:tcPr>
            <w:tcW w:w="2314" w:type="dxa"/>
            <w:tcBorders>
              <w:top w:val="single" w:color="000000" w:sz="2" w:space="0"/>
              <w:left w:val="single" w:color="000000" w:sz="2" w:space="0"/>
              <w:bottom w:val="single" w:color="000000" w:sz="2" w:space="0"/>
              <w:right w:val="single" w:color="000000" w:sz="2" w:space="0"/>
            </w:tcBorders>
            <w:vAlign w:val="center"/>
          </w:tcPr>
          <w:p w14:paraId="7609AA7D">
            <w:pPr>
              <w:spacing w:line="360" w:lineRule="auto"/>
              <w:jc w:val="center"/>
              <w:rPr>
                <w:color w:val="auto"/>
                <w:sz w:val="24"/>
                <w:highlight w:val="none"/>
              </w:rPr>
            </w:pPr>
            <w:r>
              <w:rPr>
                <w:color w:val="auto"/>
                <w:sz w:val="24"/>
                <w:highlight w:val="none"/>
              </w:rPr>
              <w:t>联系电话</w:t>
            </w:r>
          </w:p>
        </w:tc>
        <w:tc>
          <w:tcPr>
            <w:tcW w:w="2475" w:type="dxa"/>
            <w:tcBorders>
              <w:top w:val="single" w:color="000000" w:sz="2" w:space="0"/>
              <w:left w:val="single" w:color="000000" w:sz="2" w:space="0"/>
              <w:bottom w:val="single" w:color="000000" w:sz="2" w:space="0"/>
            </w:tcBorders>
            <w:vAlign w:val="center"/>
          </w:tcPr>
          <w:p w14:paraId="37C5A6F4">
            <w:pPr>
              <w:spacing w:line="360" w:lineRule="auto"/>
              <w:jc w:val="center"/>
              <w:rPr>
                <w:color w:val="auto"/>
                <w:spacing w:val="20"/>
                <w:sz w:val="24"/>
                <w:highlight w:val="none"/>
              </w:rPr>
            </w:pPr>
          </w:p>
        </w:tc>
      </w:tr>
      <w:tr w14:paraId="65A3AEB4">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tcBorders>
              <w:top w:val="single" w:color="000000" w:sz="2" w:space="0"/>
              <w:bottom w:val="single" w:color="000000" w:sz="2" w:space="0"/>
              <w:right w:val="single" w:color="000000" w:sz="2" w:space="0"/>
            </w:tcBorders>
            <w:vAlign w:val="center"/>
          </w:tcPr>
          <w:p w14:paraId="76E8EC3F">
            <w:pPr>
              <w:spacing w:line="360" w:lineRule="auto"/>
              <w:jc w:val="center"/>
              <w:rPr>
                <w:color w:val="auto"/>
                <w:sz w:val="24"/>
                <w:highlight w:val="none"/>
              </w:rPr>
            </w:pPr>
            <w:r>
              <w:rPr>
                <w:rFonts w:hint="eastAsia"/>
                <w:color w:val="auto"/>
                <w:sz w:val="24"/>
                <w:highlight w:val="none"/>
              </w:rPr>
              <w:t>通信地址</w:t>
            </w:r>
          </w:p>
        </w:tc>
        <w:tc>
          <w:tcPr>
            <w:tcW w:w="2820" w:type="dxa"/>
            <w:tcBorders>
              <w:top w:val="single" w:color="000000" w:sz="2" w:space="0"/>
              <w:left w:val="single" w:color="000000" w:sz="2" w:space="0"/>
              <w:bottom w:val="single" w:color="000000" w:sz="2" w:space="0"/>
              <w:right w:val="single" w:color="000000" w:sz="2" w:space="0"/>
            </w:tcBorders>
            <w:vAlign w:val="center"/>
          </w:tcPr>
          <w:p w14:paraId="28BEF0E4">
            <w:pPr>
              <w:spacing w:line="360" w:lineRule="auto"/>
              <w:jc w:val="center"/>
              <w:rPr>
                <w:color w:val="auto"/>
                <w:sz w:val="24"/>
                <w:highlight w:val="none"/>
              </w:rPr>
            </w:pPr>
          </w:p>
        </w:tc>
        <w:tc>
          <w:tcPr>
            <w:tcW w:w="2314" w:type="dxa"/>
            <w:tcBorders>
              <w:top w:val="single" w:color="000000" w:sz="2" w:space="0"/>
              <w:left w:val="single" w:color="000000" w:sz="2" w:space="0"/>
              <w:bottom w:val="single" w:color="000000" w:sz="2" w:space="0"/>
              <w:right w:val="single" w:color="000000" w:sz="2" w:space="0"/>
            </w:tcBorders>
            <w:vAlign w:val="center"/>
          </w:tcPr>
          <w:p w14:paraId="2465B699">
            <w:pPr>
              <w:spacing w:line="360" w:lineRule="auto"/>
              <w:jc w:val="center"/>
              <w:rPr>
                <w:color w:val="auto"/>
                <w:sz w:val="24"/>
                <w:highlight w:val="none"/>
              </w:rPr>
            </w:pPr>
            <w:r>
              <w:rPr>
                <w:rFonts w:hint="eastAsia"/>
                <w:color w:val="auto"/>
                <w:sz w:val="24"/>
                <w:highlight w:val="none"/>
              </w:rPr>
              <w:t>通信地址</w:t>
            </w:r>
          </w:p>
        </w:tc>
        <w:tc>
          <w:tcPr>
            <w:tcW w:w="2475" w:type="dxa"/>
            <w:tcBorders>
              <w:top w:val="single" w:color="000000" w:sz="2" w:space="0"/>
              <w:left w:val="single" w:color="000000" w:sz="2" w:space="0"/>
              <w:bottom w:val="single" w:color="000000" w:sz="2" w:space="0"/>
            </w:tcBorders>
            <w:vAlign w:val="center"/>
          </w:tcPr>
          <w:p w14:paraId="13A0085B">
            <w:pPr>
              <w:spacing w:line="360" w:lineRule="auto"/>
              <w:jc w:val="center"/>
              <w:rPr>
                <w:color w:val="auto"/>
                <w:spacing w:val="20"/>
                <w:sz w:val="24"/>
                <w:highlight w:val="none"/>
              </w:rPr>
            </w:pPr>
          </w:p>
        </w:tc>
      </w:tr>
      <w:tr w14:paraId="53963EBA">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tcBorders>
              <w:top w:val="single" w:color="000000" w:sz="2" w:space="0"/>
              <w:bottom w:val="single" w:color="000000" w:sz="2" w:space="0"/>
              <w:right w:val="single" w:color="000000" w:sz="2" w:space="0"/>
            </w:tcBorders>
            <w:vAlign w:val="center"/>
          </w:tcPr>
          <w:p w14:paraId="052DA156">
            <w:pPr>
              <w:spacing w:line="360" w:lineRule="auto"/>
              <w:jc w:val="center"/>
              <w:rPr>
                <w:color w:val="auto"/>
                <w:sz w:val="24"/>
                <w:highlight w:val="none"/>
              </w:rPr>
            </w:pPr>
            <w:r>
              <w:rPr>
                <w:color w:val="auto"/>
                <w:sz w:val="24"/>
                <w:highlight w:val="none"/>
              </w:rPr>
              <w:t>邮政编码</w:t>
            </w:r>
          </w:p>
        </w:tc>
        <w:tc>
          <w:tcPr>
            <w:tcW w:w="2820" w:type="dxa"/>
            <w:tcBorders>
              <w:top w:val="single" w:color="000000" w:sz="2" w:space="0"/>
              <w:left w:val="single" w:color="000000" w:sz="2" w:space="0"/>
              <w:bottom w:val="single" w:color="000000" w:sz="2" w:space="0"/>
              <w:right w:val="single" w:color="000000" w:sz="2" w:space="0"/>
            </w:tcBorders>
            <w:vAlign w:val="center"/>
          </w:tcPr>
          <w:p w14:paraId="1E90DA8B">
            <w:pPr>
              <w:spacing w:line="360" w:lineRule="auto"/>
              <w:jc w:val="center"/>
              <w:rPr>
                <w:color w:val="auto"/>
                <w:sz w:val="24"/>
                <w:highlight w:val="none"/>
              </w:rPr>
            </w:pPr>
          </w:p>
        </w:tc>
        <w:tc>
          <w:tcPr>
            <w:tcW w:w="2314" w:type="dxa"/>
            <w:tcBorders>
              <w:top w:val="single" w:color="000000" w:sz="2" w:space="0"/>
              <w:left w:val="single" w:color="000000" w:sz="2" w:space="0"/>
              <w:bottom w:val="single" w:color="000000" w:sz="2" w:space="0"/>
              <w:right w:val="single" w:color="000000" w:sz="2" w:space="0"/>
            </w:tcBorders>
            <w:vAlign w:val="center"/>
          </w:tcPr>
          <w:p w14:paraId="0869C044">
            <w:pPr>
              <w:spacing w:line="360" w:lineRule="auto"/>
              <w:jc w:val="center"/>
              <w:rPr>
                <w:color w:val="auto"/>
                <w:sz w:val="24"/>
                <w:highlight w:val="none"/>
              </w:rPr>
            </w:pPr>
            <w:r>
              <w:rPr>
                <w:color w:val="auto"/>
                <w:sz w:val="24"/>
                <w:highlight w:val="none"/>
              </w:rPr>
              <w:t>邮政编码</w:t>
            </w:r>
          </w:p>
        </w:tc>
        <w:tc>
          <w:tcPr>
            <w:tcW w:w="2475" w:type="dxa"/>
            <w:tcBorders>
              <w:top w:val="single" w:color="000000" w:sz="2" w:space="0"/>
              <w:left w:val="single" w:color="000000" w:sz="2" w:space="0"/>
              <w:bottom w:val="single" w:color="000000" w:sz="2" w:space="0"/>
            </w:tcBorders>
            <w:vAlign w:val="center"/>
          </w:tcPr>
          <w:p w14:paraId="696EDD4D">
            <w:pPr>
              <w:spacing w:line="360" w:lineRule="auto"/>
              <w:jc w:val="center"/>
              <w:rPr>
                <w:color w:val="auto"/>
                <w:spacing w:val="20"/>
                <w:sz w:val="24"/>
                <w:highlight w:val="none"/>
              </w:rPr>
            </w:pPr>
          </w:p>
        </w:tc>
      </w:tr>
      <w:tr w14:paraId="13833B01">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tcBorders>
              <w:top w:val="single" w:color="000000" w:sz="2" w:space="0"/>
              <w:bottom w:val="single" w:color="000000" w:sz="2" w:space="0"/>
              <w:right w:val="single" w:color="000000" w:sz="2" w:space="0"/>
            </w:tcBorders>
            <w:vAlign w:val="center"/>
          </w:tcPr>
          <w:p w14:paraId="39EC3F58">
            <w:pPr>
              <w:spacing w:line="360" w:lineRule="auto"/>
              <w:jc w:val="center"/>
              <w:rPr>
                <w:color w:val="auto"/>
                <w:sz w:val="24"/>
                <w:highlight w:val="none"/>
              </w:rPr>
            </w:pPr>
            <w:r>
              <w:rPr>
                <w:rFonts w:hint="eastAsia"/>
                <w:color w:val="auto"/>
                <w:sz w:val="24"/>
                <w:highlight w:val="none"/>
              </w:rPr>
              <w:t>电子邮箱</w:t>
            </w:r>
          </w:p>
        </w:tc>
        <w:tc>
          <w:tcPr>
            <w:tcW w:w="2820" w:type="dxa"/>
            <w:tcBorders>
              <w:top w:val="single" w:color="000000" w:sz="2" w:space="0"/>
              <w:left w:val="single" w:color="000000" w:sz="2" w:space="0"/>
              <w:bottom w:val="single" w:color="000000" w:sz="2" w:space="0"/>
              <w:right w:val="single" w:color="000000" w:sz="2" w:space="0"/>
            </w:tcBorders>
            <w:vAlign w:val="center"/>
          </w:tcPr>
          <w:p w14:paraId="0546D93B">
            <w:pPr>
              <w:spacing w:line="360" w:lineRule="auto"/>
              <w:jc w:val="center"/>
              <w:rPr>
                <w:color w:val="auto"/>
                <w:sz w:val="24"/>
                <w:highlight w:val="none"/>
              </w:rPr>
            </w:pPr>
          </w:p>
        </w:tc>
        <w:tc>
          <w:tcPr>
            <w:tcW w:w="2314" w:type="dxa"/>
            <w:tcBorders>
              <w:top w:val="single" w:color="000000" w:sz="2" w:space="0"/>
              <w:left w:val="single" w:color="000000" w:sz="2" w:space="0"/>
              <w:bottom w:val="single" w:color="000000" w:sz="2" w:space="0"/>
              <w:right w:val="single" w:color="000000" w:sz="2" w:space="0"/>
            </w:tcBorders>
            <w:vAlign w:val="center"/>
          </w:tcPr>
          <w:p w14:paraId="273B1C17">
            <w:pPr>
              <w:spacing w:line="360" w:lineRule="auto"/>
              <w:jc w:val="center"/>
              <w:rPr>
                <w:color w:val="auto"/>
                <w:sz w:val="24"/>
                <w:highlight w:val="none"/>
              </w:rPr>
            </w:pPr>
            <w:r>
              <w:rPr>
                <w:rFonts w:hint="eastAsia"/>
                <w:color w:val="auto"/>
                <w:sz w:val="24"/>
                <w:highlight w:val="none"/>
              </w:rPr>
              <w:t>电子邮箱</w:t>
            </w:r>
          </w:p>
        </w:tc>
        <w:tc>
          <w:tcPr>
            <w:tcW w:w="2475" w:type="dxa"/>
            <w:tcBorders>
              <w:top w:val="single" w:color="000000" w:sz="2" w:space="0"/>
              <w:left w:val="single" w:color="000000" w:sz="2" w:space="0"/>
              <w:bottom w:val="single" w:color="000000" w:sz="2" w:space="0"/>
            </w:tcBorders>
            <w:vAlign w:val="center"/>
          </w:tcPr>
          <w:p w14:paraId="4D2691ED">
            <w:pPr>
              <w:spacing w:line="360" w:lineRule="auto"/>
              <w:jc w:val="center"/>
              <w:rPr>
                <w:color w:val="auto"/>
                <w:spacing w:val="20"/>
                <w:sz w:val="24"/>
                <w:highlight w:val="none"/>
              </w:rPr>
            </w:pPr>
          </w:p>
        </w:tc>
      </w:tr>
      <w:tr w14:paraId="29182E68">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tcBorders>
              <w:top w:val="single" w:color="000000" w:sz="2" w:space="0"/>
              <w:bottom w:val="single" w:color="000000" w:sz="2" w:space="0"/>
              <w:right w:val="single" w:color="000000" w:sz="2" w:space="0"/>
            </w:tcBorders>
            <w:vAlign w:val="center"/>
          </w:tcPr>
          <w:p w14:paraId="1384C81C">
            <w:pPr>
              <w:spacing w:line="360" w:lineRule="auto"/>
              <w:jc w:val="center"/>
              <w:rPr>
                <w:color w:val="auto"/>
                <w:sz w:val="24"/>
                <w:highlight w:val="none"/>
              </w:rPr>
            </w:pPr>
            <w:r>
              <w:rPr>
                <w:rFonts w:hint="eastAsia"/>
                <w:color w:val="auto"/>
                <w:sz w:val="24"/>
                <w:highlight w:val="none"/>
              </w:rPr>
              <w:t>统一社会信用代码</w:t>
            </w:r>
          </w:p>
        </w:tc>
        <w:tc>
          <w:tcPr>
            <w:tcW w:w="2820" w:type="dxa"/>
            <w:tcBorders>
              <w:top w:val="single" w:color="000000" w:sz="2" w:space="0"/>
              <w:left w:val="single" w:color="000000" w:sz="2" w:space="0"/>
              <w:bottom w:val="single" w:color="000000" w:sz="2" w:space="0"/>
              <w:right w:val="single" w:color="000000" w:sz="2" w:space="0"/>
            </w:tcBorders>
            <w:vAlign w:val="center"/>
          </w:tcPr>
          <w:p w14:paraId="4DE63339">
            <w:pPr>
              <w:spacing w:line="360" w:lineRule="auto"/>
              <w:jc w:val="center"/>
              <w:rPr>
                <w:color w:val="auto"/>
                <w:sz w:val="24"/>
                <w:highlight w:val="none"/>
              </w:rPr>
            </w:pPr>
          </w:p>
        </w:tc>
        <w:tc>
          <w:tcPr>
            <w:tcW w:w="2314" w:type="dxa"/>
            <w:tcBorders>
              <w:top w:val="single" w:color="000000" w:sz="2" w:space="0"/>
              <w:left w:val="single" w:color="000000" w:sz="2" w:space="0"/>
              <w:bottom w:val="single" w:color="000000" w:sz="2" w:space="0"/>
              <w:right w:val="single" w:color="000000" w:sz="2" w:space="0"/>
            </w:tcBorders>
            <w:vAlign w:val="center"/>
          </w:tcPr>
          <w:p w14:paraId="3465C6C9">
            <w:pPr>
              <w:spacing w:line="360" w:lineRule="auto"/>
              <w:jc w:val="center"/>
              <w:rPr>
                <w:color w:val="auto"/>
                <w:sz w:val="24"/>
                <w:highlight w:val="none"/>
              </w:rPr>
            </w:pPr>
            <w:r>
              <w:rPr>
                <w:rFonts w:hint="eastAsia"/>
                <w:color w:val="auto"/>
                <w:sz w:val="24"/>
                <w:highlight w:val="none"/>
              </w:rPr>
              <w:t>统一社会信用代码</w:t>
            </w:r>
          </w:p>
        </w:tc>
        <w:tc>
          <w:tcPr>
            <w:tcW w:w="2475" w:type="dxa"/>
            <w:tcBorders>
              <w:top w:val="single" w:color="000000" w:sz="2" w:space="0"/>
              <w:left w:val="single" w:color="000000" w:sz="2" w:space="0"/>
              <w:bottom w:val="single" w:color="000000" w:sz="2" w:space="0"/>
            </w:tcBorders>
            <w:vAlign w:val="center"/>
          </w:tcPr>
          <w:p w14:paraId="5BD2578C">
            <w:pPr>
              <w:spacing w:line="360" w:lineRule="auto"/>
              <w:jc w:val="center"/>
              <w:rPr>
                <w:color w:val="auto"/>
                <w:spacing w:val="20"/>
                <w:sz w:val="24"/>
                <w:highlight w:val="none"/>
              </w:rPr>
            </w:pPr>
          </w:p>
        </w:tc>
      </w:tr>
      <w:tr w14:paraId="0CE93E55">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tcBorders>
              <w:top w:val="single" w:color="000000" w:sz="2" w:space="0"/>
              <w:bottom w:val="single" w:color="000000" w:sz="2" w:space="0"/>
              <w:right w:val="single" w:color="000000" w:sz="2" w:space="0"/>
            </w:tcBorders>
            <w:vAlign w:val="center"/>
          </w:tcPr>
          <w:p w14:paraId="20108282">
            <w:pPr>
              <w:spacing w:line="360" w:lineRule="auto"/>
              <w:jc w:val="center"/>
              <w:rPr>
                <w:color w:val="auto"/>
                <w:sz w:val="24"/>
                <w:highlight w:val="none"/>
              </w:rPr>
            </w:pPr>
          </w:p>
        </w:tc>
        <w:tc>
          <w:tcPr>
            <w:tcW w:w="2820" w:type="dxa"/>
            <w:tcBorders>
              <w:top w:val="single" w:color="000000" w:sz="2" w:space="0"/>
              <w:left w:val="single" w:color="000000" w:sz="2" w:space="0"/>
              <w:bottom w:val="single" w:color="000000" w:sz="2" w:space="0"/>
              <w:right w:val="single" w:color="000000" w:sz="2" w:space="0"/>
            </w:tcBorders>
            <w:vAlign w:val="center"/>
          </w:tcPr>
          <w:p w14:paraId="414C45B2">
            <w:pPr>
              <w:spacing w:line="360" w:lineRule="auto"/>
              <w:jc w:val="center"/>
              <w:rPr>
                <w:color w:val="auto"/>
                <w:sz w:val="24"/>
                <w:highlight w:val="none"/>
              </w:rPr>
            </w:pPr>
          </w:p>
        </w:tc>
        <w:tc>
          <w:tcPr>
            <w:tcW w:w="2314" w:type="dxa"/>
            <w:tcBorders>
              <w:top w:val="single" w:color="000000" w:sz="2" w:space="0"/>
              <w:left w:val="single" w:color="000000" w:sz="2" w:space="0"/>
              <w:bottom w:val="single" w:color="000000" w:sz="2" w:space="0"/>
              <w:right w:val="single" w:color="000000" w:sz="2" w:space="0"/>
            </w:tcBorders>
            <w:vAlign w:val="center"/>
          </w:tcPr>
          <w:p w14:paraId="62FF69CE">
            <w:pPr>
              <w:spacing w:line="360" w:lineRule="auto"/>
              <w:jc w:val="center"/>
              <w:rPr>
                <w:color w:val="auto"/>
                <w:sz w:val="24"/>
                <w:highlight w:val="none"/>
              </w:rPr>
            </w:pPr>
            <w:r>
              <w:rPr>
                <w:color w:val="auto"/>
                <w:sz w:val="24"/>
                <w:highlight w:val="none"/>
              </w:rPr>
              <w:t>开户名称</w:t>
            </w:r>
          </w:p>
        </w:tc>
        <w:tc>
          <w:tcPr>
            <w:tcW w:w="2475" w:type="dxa"/>
            <w:tcBorders>
              <w:top w:val="single" w:color="000000" w:sz="2" w:space="0"/>
              <w:left w:val="single" w:color="000000" w:sz="2" w:space="0"/>
              <w:bottom w:val="single" w:color="000000" w:sz="2" w:space="0"/>
            </w:tcBorders>
            <w:vAlign w:val="center"/>
          </w:tcPr>
          <w:p w14:paraId="663282AC">
            <w:pPr>
              <w:spacing w:line="360" w:lineRule="auto"/>
              <w:jc w:val="center"/>
              <w:rPr>
                <w:color w:val="auto"/>
                <w:spacing w:val="20"/>
                <w:sz w:val="24"/>
                <w:highlight w:val="none"/>
              </w:rPr>
            </w:pPr>
          </w:p>
        </w:tc>
      </w:tr>
      <w:tr w14:paraId="33F74186">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tcBorders>
              <w:top w:val="single" w:color="000000" w:sz="2" w:space="0"/>
              <w:bottom w:val="single" w:color="000000" w:sz="2" w:space="0"/>
              <w:right w:val="single" w:color="000000" w:sz="2" w:space="0"/>
            </w:tcBorders>
            <w:vAlign w:val="center"/>
          </w:tcPr>
          <w:p w14:paraId="2E730B4D">
            <w:pPr>
              <w:spacing w:line="360" w:lineRule="auto"/>
              <w:jc w:val="center"/>
              <w:rPr>
                <w:color w:val="auto"/>
                <w:sz w:val="24"/>
                <w:highlight w:val="none"/>
              </w:rPr>
            </w:pPr>
          </w:p>
        </w:tc>
        <w:tc>
          <w:tcPr>
            <w:tcW w:w="2820" w:type="dxa"/>
            <w:tcBorders>
              <w:top w:val="single" w:color="000000" w:sz="2" w:space="0"/>
              <w:left w:val="single" w:color="000000" w:sz="2" w:space="0"/>
              <w:bottom w:val="single" w:color="000000" w:sz="2" w:space="0"/>
              <w:right w:val="single" w:color="000000" w:sz="2" w:space="0"/>
            </w:tcBorders>
            <w:vAlign w:val="center"/>
          </w:tcPr>
          <w:p w14:paraId="36D27DCE">
            <w:pPr>
              <w:spacing w:line="360" w:lineRule="auto"/>
              <w:jc w:val="center"/>
              <w:rPr>
                <w:color w:val="auto"/>
                <w:sz w:val="24"/>
                <w:highlight w:val="none"/>
              </w:rPr>
            </w:pPr>
          </w:p>
        </w:tc>
        <w:tc>
          <w:tcPr>
            <w:tcW w:w="2314" w:type="dxa"/>
            <w:tcBorders>
              <w:top w:val="single" w:color="000000" w:sz="2" w:space="0"/>
              <w:left w:val="single" w:color="000000" w:sz="2" w:space="0"/>
              <w:bottom w:val="single" w:color="000000" w:sz="2" w:space="0"/>
              <w:right w:val="single" w:color="000000" w:sz="2" w:space="0"/>
            </w:tcBorders>
            <w:vAlign w:val="center"/>
          </w:tcPr>
          <w:p w14:paraId="4536EB29">
            <w:pPr>
              <w:spacing w:line="360" w:lineRule="auto"/>
              <w:jc w:val="center"/>
              <w:rPr>
                <w:color w:val="auto"/>
                <w:sz w:val="24"/>
                <w:highlight w:val="none"/>
              </w:rPr>
            </w:pPr>
            <w:r>
              <w:rPr>
                <w:color w:val="auto"/>
                <w:sz w:val="24"/>
                <w:highlight w:val="none"/>
              </w:rPr>
              <w:t>开户银行</w:t>
            </w:r>
          </w:p>
        </w:tc>
        <w:tc>
          <w:tcPr>
            <w:tcW w:w="2475" w:type="dxa"/>
            <w:tcBorders>
              <w:top w:val="single" w:color="000000" w:sz="2" w:space="0"/>
              <w:left w:val="single" w:color="000000" w:sz="2" w:space="0"/>
              <w:bottom w:val="single" w:color="000000" w:sz="2" w:space="0"/>
            </w:tcBorders>
            <w:vAlign w:val="center"/>
          </w:tcPr>
          <w:p w14:paraId="74564506">
            <w:pPr>
              <w:spacing w:line="360" w:lineRule="auto"/>
              <w:jc w:val="center"/>
              <w:rPr>
                <w:color w:val="auto"/>
                <w:spacing w:val="20"/>
                <w:sz w:val="24"/>
                <w:highlight w:val="none"/>
              </w:rPr>
            </w:pPr>
          </w:p>
        </w:tc>
      </w:tr>
      <w:tr w14:paraId="3243D882">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tcBorders>
              <w:top w:val="single" w:color="000000" w:sz="2" w:space="0"/>
              <w:bottom w:val="single" w:color="000000" w:sz="2" w:space="0"/>
              <w:right w:val="single" w:color="000000" w:sz="2" w:space="0"/>
            </w:tcBorders>
            <w:vAlign w:val="center"/>
          </w:tcPr>
          <w:p w14:paraId="2469758A">
            <w:pPr>
              <w:spacing w:line="360" w:lineRule="auto"/>
              <w:jc w:val="center"/>
              <w:rPr>
                <w:color w:val="auto"/>
                <w:sz w:val="24"/>
                <w:highlight w:val="none"/>
              </w:rPr>
            </w:pPr>
          </w:p>
        </w:tc>
        <w:tc>
          <w:tcPr>
            <w:tcW w:w="2820" w:type="dxa"/>
            <w:tcBorders>
              <w:top w:val="single" w:color="000000" w:sz="2" w:space="0"/>
              <w:left w:val="single" w:color="000000" w:sz="2" w:space="0"/>
              <w:bottom w:val="single" w:color="000000" w:sz="2" w:space="0"/>
              <w:right w:val="single" w:color="000000" w:sz="2" w:space="0"/>
            </w:tcBorders>
            <w:vAlign w:val="center"/>
          </w:tcPr>
          <w:p w14:paraId="217E74F7">
            <w:pPr>
              <w:spacing w:line="360" w:lineRule="auto"/>
              <w:jc w:val="center"/>
              <w:rPr>
                <w:color w:val="auto"/>
                <w:sz w:val="24"/>
                <w:highlight w:val="none"/>
              </w:rPr>
            </w:pPr>
          </w:p>
        </w:tc>
        <w:tc>
          <w:tcPr>
            <w:tcW w:w="2314" w:type="dxa"/>
            <w:tcBorders>
              <w:top w:val="single" w:color="000000" w:sz="2" w:space="0"/>
              <w:left w:val="single" w:color="000000" w:sz="2" w:space="0"/>
              <w:bottom w:val="single" w:color="000000" w:sz="2" w:space="0"/>
              <w:right w:val="single" w:color="000000" w:sz="2" w:space="0"/>
            </w:tcBorders>
            <w:vAlign w:val="center"/>
          </w:tcPr>
          <w:p w14:paraId="02631932">
            <w:pPr>
              <w:spacing w:line="360" w:lineRule="auto"/>
              <w:jc w:val="center"/>
              <w:rPr>
                <w:color w:val="auto"/>
                <w:sz w:val="24"/>
                <w:highlight w:val="none"/>
              </w:rPr>
            </w:pPr>
            <w:r>
              <w:rPr>
                <w:color w:val="auto"/>
                <w:sz w:val="24"/>
                <w:highlight w:val="none"/>
              </w:rPr>
              <w:t>银行账号</w:t>
            </w:r>
          </w:p>
        </w:tc>
        <w:tc>
          <w:tcPr>
            <w:tcW w:w="2475" w:type="dxa"/>
            <w:tcBorders>
              <w:top w:val="single" w:color="000000" w:sz="2" w:space="0"/>
              <w:left w:val="single" w:color="000000" w:sz="2" w:space="0"/>
              <w:bottom w:val="single" w:color="000000" w:sz="2" w:space="0"/>
            </w:tcBorders>
            <w:vAlign w:val="center"/>
          </w:tcPr>
          <w:p w14:paraId="3917DB4A">
            <w:pPr>
              <w:spacing w:line="360" w:lineRule="auto"/>
              <w:jc w:val="center"/>
              <w:rPr>
                <w:color w:val="auto"/>
                <w:spacing w:val="20"/>
                <w:sz w:val="24"/>
                <w:highlight w:val="none"/>
              </w:rPr>
            </w:pPr>
          </w:p>
        </w:tc>
      </w:tr>
      <w:tr w14:paraId="2B89C4E7">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586" w:hRule="atLeast"/>
        </w:trPr>
        <w:tc>
          <w:tcPr>
            <w:tcW w:w="9820" w:type="dxa"/>
            <w:gridSpan w:val="4"/>
            <w:tcBorders>
              <w:top w:val="single" w:color="000000" w:sz="2" w:space="0"/>
            </w:tcBorders>
            <w:vAlign w:val="center"/>
          </w:tcPr>
          <w:p w14:paraId="6DD1FD37">
            <w:pPr>
              <w:spacing w:line="360" w:lineRule="auto"/>
              <w:jc w:val="left"/>
              <w:rPr>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65573005">
      <w:pPr>
        <w:pStyle w:val="4"/>
        <w:adjustRightInd w:val="0"/>
        <w:snapToGrid w:val="0"/>
        <w:spacing w:before="156" w:beforeLines="50"/>
        <w:jc w:val="center"/>
        <w:outlineLvl w:val="0"/>
        <w:rPr>
          <w:rFonts w:ascii="黑体" w:hAnsi="黑体" w:eastAsia="黑体"/>
          <w:color w:val="auto"/>
          <w:sz w:val="28"/>
          <w:szCs w:val="28"/>
          <w:highlight w:val="none"/>
        </w:rPr>
      </w:pPr>
      <w:r>
        <w:rPr>
          <w:rFonts w:ascii="宋体" w:hAnsi="宋体"/>
          <w:color w:val="auto"/>
          <w:highlight w:val="none"/>
          <w:u w:val="single"/>
        </w:rPr>
        <w:br w:type="page" w:clear="all"/>
      </w:r>
      <w:bookmarkStart w:id="316" w:name="_Toc27624"/>
      <w:bookmarkStart w:id="317" w:name="_Toc2226"/>
      <w:bookmarkStart w:id="318" w:name="_Toc20313"/>
      <w:r>
        <w:rPr>
          <w:rFonts w:hint="eastAsia" w:ascii="黑体" w:hAnsi="黑体" w:eastAsia="黑体"/>
          <w:b w:val="0"/>
          <w:bCs w:val="0"/>
          <w:color w:val="auto"/>
          <w:sz w:val="28"/>
          <w:szCs w:val="28"/>
          <w:highlight w:val="none"/>
        </w:rPr>
        <w:t>第二节 政府采购合同通用条款</w:t>
      </w:r>
      <w:bookmarkEnd w:id="316"/>
      <w:bookmarkEnd w:id="317"/>
    </w:p>
    <w:p w14:paraId="1D36EB76">
      <w:pPr>
        <w:tabs>
          <w:tab w:val="left" w:pos="8820"/>
          <w:tab w:val="left" w:pos="9345"/>
          <w:tab w:val="left" w:pos="9765"/>
        </w:tabs>
        <w:adjustRightInd w:val="0"/>
        <w:snapToGrid w:val="0"/>
        <w:spacing w:line="400" w:lineRule="exact"/>
        <w:jc w:val="left"/>
        <w:outlineLvl w:val="0"/>
        <w:rPr>
          <w:rFonts w:hint="eastAsia" w:ascii="宋体" w:hAnsi="宋体"/>
          <w:b/>
          <w:bCs/>
          <w:color w:val="auto"/>
          <w:sz w:val="24"/>
          <w:highlight w:val="none"/>
        </w:rPr>
      </w:pPr>
      <w:bookmarkStart w:id="319" w:name="_Toc7070"/>
      <w:bookmarkStart w:id="320" w:name="_Toc10234"/>
      <w:r>
        <w:rPr>
          <w:rFonts w:hint="eastAsia" w:ascii="宋体" w:hAnsi="宋体"/>
          <w:b/>
          <w:color w:val="auto"/>
          <w:sz w:val="24"/>
          <w:highlight w:val="none"/>
        </w:rPr>
        <w:t xml:space="preserve">1. </w:t>
      </w:r>
      <w:r>
        <w:rPr>
          <w:rFonts w:hint="eastAsia" w:ascii="宋体" w:hAnsi="宋体"/>
          <w:b/>
          <w:bCs/>
          <w:color w:val="auto"/>
          <w:sz w:val="24"/>
          <w:highlight w:val="none"/>
        </w:rPr>
        <w:t>定义</w:t>
      </w:r>
      <w:bookmarkEnd w:id="319"/>
      <w:bookmarkEnd w:id="320"/>
    </w:p>
    <w:p w14:paraId="6270F884">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1.1合同当事人</w:t>
      </w:r>
    </w:p>
    <w:p w14:paraId="1BAA3A2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5451F6B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366EC87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353E6D28">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1.2本合同下列术语应解释为：</w:t>
      </w:r>
    </w:p>
    <w:p w14:paraId="394DB0A2">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474E37B1">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0E173658">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w:t>
      </w:r>
      <w:r>
        <w:rPr>
          <w:rFonts w:hint="eastAsia" w:ascii="宋体" w:hAnsi="宋体"/>
          <w:color w:val="auto"/>
          <w:szCs w:val="21"/>
          <w:highlight w:val="none"/>
        </w:rPr>
        <w:t>包括软件）及相关</w:t>
      </w:r>
      <w:r>
        <w:rPr>
          <w:rFonts w:hint="eastAsia" w:ascii="宋体" w:hAnsi="宋体"/>
          <w:color w:val="auto"/>
          <w:szCs w:val="21"/>
          <w:highlight w:val="none"/>
          <w:lang w:eastAsia="zh-CN"/>
        </w:rPr>
        <w:t>的</w:t>
      </w:r>
      <w:r>
        <w:rPr>
          <w:rFonts w:hint="eastAsia" w:ascii="宋体" w:hAnsi="宋体"/>
          <w:color w:val="auto"/>
          <w:szCs w:val="21"/>
          <w:highlight w:val="none"/>
        </w:rPr>
        <w:t>备品备件、工具、手册及</w:t>
      </w:r>
      <w:r>
        <w:rPr>
          <w:rFonts w:hint="eastAsia" w:ascii="宋体" w:hAnsi="宋体"/>
          <w:color w:val="auto"/>
          <w:szCs w:val="21"/>
          <w:highlight w:val="none"/>
          <w:lang w:val="en"/>
        </w:rPr>
        <w:t>其他</w:t>
      </w:r>
      <w:r>
        <w:rPr>
          <w:rFonts w:hint="eastAsia" w:ascii="宋体" w:hAnsi="宋体"/>
          <w:color w:val="auto"/>
          <w:szCs w:val="21"/>
          <w:highlight w:val="none"/>
        </w:rPr>
        <w:t>技术资料和材料等。</w:t>
      </w:r>
    </w:p>
    <w:p w14:paraId="077817FD">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rPr>
        <w:t>相关</w:t>
      </w:r>
      <w:r>
        <w:rPr>
          <w:rFonts w:hint="eastAsia" w:ascii="宋体" w:hAnsi="宋体"/>
          <w:color w:val="auto"/>
          <w:szCs w:val="21"/>
          <w:highlight w:val="none"/>
        </w:rPr>
        <w:t>服务”系指根据合同规定，乙方应提供的与货物有关的技术、管理和</w:t>
      </w:r>
      <w:r>
        <w:rPr>
          <w:rFonts w:hint="eastAsia"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Cs w:val="21"/>
          <w:highlight w:val="none"/>
          <w:lang w:val="en"/>
        </w:rPr>
        <w:t>其他</w:t>
      </w:r>
      <w:r>
        <w:rPr>
          <w:rFonts w:hint="eastAsia" w:ascii="宋体" w:hAnsi="宋体"/>
          <w:color w:val="auto"/>
          <w:szCs w:val="21"/>
          <w:highlight w:val="none"/>
        </w:rPr>
        <w:t>义务。</w:t>
      </w:r>
    </w:p>
    <w:p w14:paraId="07754CBB">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2CE1E422">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rPr>
        <w:t>“联合体”系指由两个以上的自然人、法人或者非法人组织组成，以一个供应商的身份共同参加政府采购的主体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98468A8">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7F06B8C">
      <w:pPr>
        <w:numPr>
          <w:ilvl w:val="0"/>
          <w:numId w:val="5"/>
        </w:numPr>
        <w:autoSpaceDE w:val="0"/>
        <w:autoSpaceDN w:val="0"/>
        <w:adjustRightInd w:val="0"/>
        <w:snapToGrid w:val="0"/>
        <w:spacing w:line="400" w:lineRule="exact"/>
        <w:ind w:left="0" w:leftChars="0" w:firstLine="0" w:firstLineChars="0"/>
        <w:jc w:val="left"/>
        <w:outlineLvl w:val="0"/>
        <w:rPr>
          <w:rFonts w:hint="eastAsia" w:ascii="宋体" w:hAnsi="宋体"/>
          <w:b/>
          <w:bCs/>
          <w:color w:val="auto"/>
          <w:sz w:val="24"/>
          <w:highlight w:val="none"/>
        </w:rPr>
      </w:pPr>
      <w:bookmarkStart w:id="321" w:name="_Toc21392"/>
      <w:bookmarkStart w:id="322" w:name="_Toc11438"/>
      <w:r>
        <w:rPr>
          <w:rFonts w:hint="eastAsia" w:ascii="宋体" w:hAnsi="宋体"/>
          <w:b/>
          <w:color w:val="auto"/>
          <w:sz w:val="24"/>
          <w:highlight w:val="none"/>
        </w:rPr>
        <w:t>合同标的及金额</w:t>
      </w:r>
      <w:bookmarkEnd w:id="321"/>
      <w:bookmarkEnd w:id="322"/>
    </w:p>
    <w:p w14:paraId="0506EFE3">
      <w:pPr>
        <w:autoSpaceDE w:val="0"/>
        <w:autoSpaceDN w:val="0"/>
        <w:adjustRightInd w:val="0"/>
        <w:snapToGrid w:val="0"/>
        <w:spacing w:line="400" w:lineRule="exact"/>
        <w:ind w:firstLine="420" w:firstLineChars="200"/>
        <w:jc w:val="left"/>
        <w:rPr>
          <w:rFonts w:hint="eastAsia"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color w:val="auto"/>
          <w:szCs w:val="21"/>
          <w:highlight w:val="none"/>
          <w:lang w:val="en"/>
        </w:rPr>
        <w:t>其他</w:t>
      </w:r>
      <w:r>
        <w:rPr>
          <w:rFonts w:hint="eastAsia" w:ascii="宋体" w:hAnsi="宋体"/>
          <w:color w:val="auto"/>
          <w:szCs w:val="21"/>
          <w:highlight w:val="none"/>
        </w:rPr>
        <w:t>任何费用。</w:t>
      </w:r>
    </w:p>
    <w:p w14:paraId="3A0F7BC7">
      <w:pPr>
        <w:adjustRightInd w:val="0"/>
        <w:snapToGrid w:val="0"/>
        <w:spacing w:line="400" w:lineRule="exact"/>
        <w:jc w:val="left"/>
        <w:outlineLvl w:val="0"/>
        <w:rPr>
          <w:rFonts w:hint="eastAsia" w:ascii="宋体" w:hAnsi="宋体"/>
          <w:b/>
          <w:color w:val="auto"/>
          <w:sz w:val="24"/>
          <w:highlight w:val="none"/>
        </w:rPr>
      </w:pPr>
      <w:bookmarkStart w:id="323" w:name="_Toc8845"/>
      <w:bookmarkStart w:id="324" w:name="_Toc8651"/>
      <w:r>
        <w:rPr>
          <w:rFonts w:hint="eastAsia" w:ascii="宋体" w:hAnsi="宋体"/>
          <w:b/>
          <w:color w:val="auto"/>
          <w:sz w:val="24"/>
          <w:highlight w:val="none"/>
        </w:rPr>
        <w:t>3. 履行合同的时间、地点和方式</w:t>
      </w:r>
      <w:bookmarkEnd w:id="323"/>
      <w:bookmarkEnd w:id="324"/>
    </w:p>
    <w:p w14:paraId="7ACC86F6">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665B929A">
      <w:pPr>
        <w:autoSpaceDE w:val="0"/>
        <w:autoSpaceDN w:val="0"/>
        <w:adjustRightInd w:val="0"/>
        <w:snapToGrid w:val="0"/>
        <w:spacing w:line="400" w:lineRule="exact"/>
        <w:jc w:val="left"/>
        <w:outlineLvl w:val="0"/>
        <w:rPr>
          <w:rFonts w:hint="eastAsia" w:ascii="宋体" w:hAnsi="宋体"/>
          <w:b/>
          <w:bCs/>
          <w:color w:val="auto"/>
          <w:sz w:val="24"/>
          <w:highlight w:val="none"/>
        </w:rPr>
      </w:pPr>
      <w:bookmarkStart w:id="325" w:name="_Toc15442"/>
      <w:bookmarkStart w:id="326" w:name="_Toc16813"/>
      <w:r>
        <w:rPr>
          <w:rFonts w:hint="eastAsia" w:ascii="宋体" w:hAnsi="宋体"/>
          <w:b/>
          <w:bCs/>
          <w:color w:val="auto"/>
          <w:sz w:val="24"/>
          <w:highlight w:val="none"/>
        </w:rPr>
        <w:t>4. 甲方的权利和义务</w:t>
      </w:r>
      <w:bookmarkEnd w:id="325"/>
      <w:bookmarkEnd w:id="326"/>
    </w:p>
    <w:p w14:paraId="5817641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1862DF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3468F00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4.3 甲方有权要求乙方对缺陷部分予以修复，并按合同约定享有货物保修及其他合同约定的权利。</w:t>
      </w:r>
    </w:p>
    <w:p w14:paraId="68BD8DFC">
      <w:pPr>
        <w:snapToGrid w:val="0"/>
        <w:spacing w:line="400" w:lineRule="exact"/>
        <w:ind w:firstLine="420" w:firstLineChars="200"/>
        <w:rPr>
          <w:rFonts w:hint="eastAsia" w:eastAsia="华文楷体"/>
          <w:color w:val="auto"/>
          <w:highlight w:val="none"/>
        </w:rPr>
      </w:pPr>
      <w:r>
        <w:rPr>
          <w:rFonts w:hint="eastAsia" w:ascii="宋体" w:hAnsi="宋体"/>
          <w:color w:val="auto"/>
          <w:szCs w:val="21"/>
          <w:highlight w:val="none"/>
        </w:rPr>
        <w:t>4.4 甲方应当按照合同约定及时对交付的货物进行验收，</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748B425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4.5 甲方应当根据合同约定及时向乙方支付合同价款，不得以内部人员变更、履行内部付款流程等为由，拒绝或迟延支付。</w:t>
      </w:r>
    </w:p>
    <w:p w14:paraId="3F5037B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4.6 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3A9D7CCC">
      <w:pPr>
        <w:autoSpaceDE w:val="0"/>
        <w:autoSpaceDN w:val="0"/>
        <w:adjustRightInd w:val="0"/>
        <w:snapToGrid w:val="0"/>
        <w:spacing w:line="400" w:lineRule="exact"/>
        <w:jc w:val="left"/>
        <w:outlineLvl w:val="0"/>
        <w:rPr>
          <w:rFonts w:hint="eastAsia" w:ascii="宋体" w:hAnsi="宋体"/>
          <w:b/>
          <w:bCs/>
          <w:color w:val="auto"/>
          <w:sz w:val="24"/>
          <w:highlight w:val="none"/>
        </w:rPr>
      </w:pPr>
      <w:bookmarkStart w:id="327" w:name="_Toc26314"/>
      <w:bookmarkStart w:id="328" w:name="_Toc31748"/>
      <w:r>
        <w:rPr>
          <w:rFonts w:hint="eastAsia" w:ascii="宋体" w:hAnsi="宋体"/>
          <w:b/>
          <w:bCs/>
          <w:color w:val="auto"/>
          <w:sz w:val="24"/>
          <w:highlight w:val="none"/>
        </w:rPr>
        <w:t>5. 乙方的权利和义务</w:t>
      </w:r>
      <w:bookmarkEnd w:id="327"/>
      <w:bookmarkEnd w:id="328"/>
    </w:p>
    <w:p w14:paraId="7E2E01E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5.1 签署合同后，乙方应确定项目负责人（或项目联系人），负责与本合同有关的事务。</w:t>
      </w:r>
    </w:p>
    <w:p w14:paraId="07FA7F8A">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9E829A2">
      <w:pPr>
        <w:pStyle w:val="7"/>
        <w:spacing w:after="0" w:line="400" w:lineRule="exact"/>
        <w:ind w:firstLine="369" w:firstLineChars="176"/>
        <w:rPr>
          <w:rFonts w:hint="eastAsia" w:ascii="宋体" w:hAnsi="宋体" w:cs="宋体"/>
          <w:color w:val="auto"/>
          <w:szCs w:val="21"/>
          <w:highlight w:val="none"/>
        </w:rPr>
      </w:pPr>
      <w:r>
        <w:rPr>
          <w:rFonts w:hint="eastAsia" w:ascii="宋体" w:hAnsi="宋体"/>
          <w:color w:val="auto"/>
          <w:szCs w:val="21"/>
          <w:highlight w:val="none"/>
        </w:rPr>
        <w:t>5.3乙方有权</w:t>
      </w:r>
      <w:r>
        <w:rPr>
          <w:rFonts w:hint="eastAsia" w:ascii="宋体" w:hAnsi="宋体" w:cs="宋体"/>
          <w:color w:val="auto"/>
          <w:szCs w:val="21"/>
          <w:highlight w:val="none"/>
        </w:rPr>
        <w:t>根据合同约定向甲方收取合同价款。</w:t>
      </w:r>
    </w:p>
    <w:p w14:paraId="5C35852B">
      <w:pPr>
        <w:pStyle w:val="7"/>
        <w:spacing w:after="0" w:line="400" w:lineRule="exact"/>
        <w:ind w:firstLine="369" w:firstLineChars="176"/>
        <w:rPr>
          <w:rFonts w:hint="eastAsia" w:ascii="宋体" w:hAnsi="宋体" w:cs="宋体"/>
          <w:color w:val="auto"/>
          <w:szCs w:val="21"/>
          <w:highlight w:val="none"/>
        </w:rPr>
      </w:pPr>
      <w:r>
        <w:rPr>
          <w:rFonts w:hint="eastAsia" w:ascii="宋体" w:hAnsi="宋体"/>
          <w:color w:val="auto"/>
          <w:szCs w:val="21"/>
          <w:highlight w:val="none"/>
        </w:rPr>
        <w:t>5.4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w:t>
      </w:r>
      <w:r>
        <w:rPr>
          <w:rFonts w:hint="eastAsia" w:ascii="宋体" w:hAnsi="宋体" w:cs="宋体"/>
          <w:color w:val="auto"/>
          <w:szCs w:val="21"/>
          <w:highlight w:val="none"/>
        </w:rPr>
        <w:t>由乙方承担的其他义务和责任。</w:t>
      </w:r>
    </w:p>
    <w:p w14:paraId="70FD791A">
      <w:pPr>
        <w:numPr>
          <w:ilvl w:val="0"/>
          <w:numId w:val="6"/>
        </w:numPr>
        <w:autoSpaceDE w:val="0"/>
        <w:autoSpaceDN w:val="0"/>
        <w:adjustRightInd w:val="0"/>
        <w:snapToGrid w:val="0"/>
        <w:spacing w:line="400" w:lineRule="exact"/>
        <w:ind w:left="0" w:leftChars="0" w:firstLine="0" w:firstLineChars="0"/>
        <w:jc w:val="left"/>
        <w:outlineLvl w:val="0"/>
        <w:rPr>
          <w:rFonts w:hint="eastAsia" w:ascii="宋体" w:hAnsi="宋体"/>
          <w:b/>
          <w:bCs/>
          <w:color w:val="auto"/>
          <w:sz w:val="24"/>
          <w:highlight w:val="none"/>
        </w:rPr>
      </w:pPr>
      <w:bookmarkStart w:id="329" w:name="_Toc7214"/>
      <w:bookmarkStart w:id="330" w:name="_Toc30731"/>
      <w:r>
        <w:rPr>
          <w:rFonts w:hint="eastAsia" w:ascii="宋体" w:hAnsi="宋体"/>
          <w:b/>
          <w:bCs/>
          <w:color w:val="auto"/>
          <w:sz w:val="24"/>
          <w:highlight w:val="none"/>
        </w:rPr>
        <w:t>合同履行</w:t>
      </w:r>
      <w:bookmarkEnd w:id="329"/>
      <w:bookmarkEnd w:id="330"/>
    </w:p>
    <w:p w14:paraId="1FAF263A">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03864815">
      <w:pPr>
        <w:autoSpaceDE w:val="0"/>
        <w:autoSpaceDN w:val="0"/>
        <w:adjustRightInd w:val="0"/>
        <w:snapToGrid w:val="0"/>
        <w:spacing w:line="400" w:lineRule="exact"/>
        <w:ind w:firstLine="420" w:firstLineChars="200"/>
        <w:jc w:val="left"/>
        <w:rPr>
          <w:rFonts w:hint="eastAsia"/>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408A992F">
      <w:pPr>
        <w:adjustRightInd w:val="0"/>
        <w:snapToGrid w:val="0"/>
        <w:spacing w:line="400" w:lineRule="exact"/>
        <w:jc w:val="left"/>
        <w:outlineLvl w:val="0"/>
        <w:rPr>
          <w:rFonts w:ascii="宋体" w:hAnsi="宋体"/>
          <w:b/>
          <w:bCs/>
          <w:color w:val="auto"/>
          <w:sz w:val="24"/>
          <w:highlight w:val="none"/>
        </w:rPr>
      </w:pPr>
      <w:bookmarkStart w:id="331" w:name="_Toc13516"/>
      <w:bookmarkStart w:id="332" w:name="_Toc27714"/>
      <w:r>
        <w:rPr>
          <w:rFonts w:hint="eastAsia" w:ascii="宋体" w:hAnsi="宋体"/>
          <w:b/>
          <w:bCs/>
          <w:color w:val="auto"/>
          <w:sz w:val="24"/>
          <w:highlight w:val="none"/>
        </w:rPr>
        <w:t>7. 货物包装、运输、保险和交付要求</w:t>
      </w:r>
      <w:bookmarkEnd w:id="331"/>
      <w:bookmarkEnd w:id="332"/>
    </w:p>
    <w:p w14:paraId="03417B2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064787F5">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019A1CB4">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7793F4F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F71F3C6">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5A469094">
      <w:pPr>
        <w:pStyle w:val="21"/>
        <w:ind w:firstLine="420"/>
        <w:rPr>
          <w:rFonts w:hint="eastAsia"/>
          <w:color w:val="auto"/>
          <w:sz w:val="21"/>
          <w:highlight w:val="none"/>
        </w:rPr>
      </w:pPr>
      <w:r>
        <w:rPr>
          <w:rFonts w:hint="eastAsia" w:ascii="宋体" w:hAnsi="宋体" w:eastAsia="宋体" w:cs="Times New Roman"/>
          <w:color w:val="auto"/>
          <w:kern w:val="2"/>
          <w:sz w:val="21"/>
          <w:highlight w:val="none"/>
        </w:rPr>
        <w:t xml:space="preserve">7.6 </w:t>
      </w:r>
      <w:r>
        <w:rPr>
          <w:rFonts w:hint="eastAsia" w:ascii="宋体" w:hAnsi="宋体" w:eastAsia="宋体" w:cs="Times New Roman"/>
          <w:color w:val="auto"/>
          <w:kern w:val="2"/>
          <w:sz w:val="21"/>
          <w:highlight w:val="none"/>
        </w:rPr>
        <w:t>如因包装、运输问题导致货物</w:t>
      </w:r>
      <w:r>
        <w:rPr>
          <w:rFonts w:hint="eastAsia" w:ascii="宋体" w:hAnsi="宋体" w:eastAsia="宋体" w:cs="Times New Roman"/>
          <w:color w:val="auto"/>
          <w:kern w:val="2"/>
          <w:sz w:val="21"/>
          <w:highlight w:val="none"/>
        </w:rPr>
        <w:t>损毁、丢失</w:t>
      </w:r>
      <w:r>
        <w:rPr>
          <w:rFonts w:hint="eastAsia" w:ascii="宋体" w:hAnsi="宋体" w:eastAsia="宋体" w:cs="Times New Roman"/>
          <w:color w:val="auto"/>
          <w:kern w:val="2"/>
          <w:sz w:val="21"/>
          <w:highlight w:val="none"/>
        </w:rPr>
        <w:t>或者品质下降，甲方有权要求降价、换货、拒收部分或整批货物，由此产生的费用和损失，均由乙方承担。</w:t>
      </w:r>
    </w:p>
    <w:p w14:paraId="30658CFE">
      <w:pPr>
        <w:adjustRightInd w:val="0"/>
        <w:snapToGrid w:val="0"/>
        <w:spacing w:line="400" w:lineRule="exact"/>
        <w:jc w:val="left"/>
        <w:outlineLvl w:val="0"/>
        <w:rPr>
          <w:rFonts w:hint="eastAsia" w:ascii="宋体" w:hAnsi="宋体"/>
          <w:b/>
          <w:color w:val="auto"/>
          <w:sz w:val="24"/>
          <w:highlight w:val="none"/>
        </w:rPr>
      </w:pPr>
      <w:bookmarkStart w:id="333" w:name="_Toc23142"/>
      <w:bookmarkStart w:id="334" w:name="_Toc31487"/>
      <w:r>
        <w:rPr>
          <w:rFonts w:hint="eastAsia" w:ascii="宋体" w:hAnsi="宋体"/>
          <w:b/>
          <w:color w:val="auto"/>
          <w:sz w:val="24"/>
          <w:highlight w:val="none"/>
        </w:rPr>
        <w:t xml:space="preserve">8. </w:t>
      </w:r>
      <w:r>
        <w:rPr>
          <w:rFonts w:hint="eastAsia" w:ascii="宋体" w:hAnsi="宋体"/>
          <w:b/>
          <w:color w:val="auto"/>
          <w:sz w:val="24"/>
          <w:highlight w:val="none"/>
        </w:rPr>
        <w:t>质量标准和保证</w:t>
      </w:r>
      <w:bookmarkEnd w:id="333"/>
      <w:bookmarkEnd w:id="334"/>
    </w:p>
    <w:p w14:paraId="6A18DFCB">
      <w:pPr>
        <w:pStyle w:val="9"/>
        <w:adjustRightInd w:val="0"/>
        <w:snapToGrid w:val="0"/>
        <w:spacing w:line="400" w:lineRule="exact"/>
        <w:ind w:firstLine="420" w:firstLineChars="200"/>
        <w:jc w:val="left"/>
        <w:rPr>
          <w:rFonts w:hint="eastAsia" w:hAnsi="宋体"/>
          <w:b/>
          <w:color w:val="auto"/>
          <w:highlight w:val="none"/>
        </w:rPr>
      </w:pPr>
      <w:r>
        <w:rPr>
          <w:rFonts w:hint="eastAsia" w:hAnsi="宋体"/>
          <w:color w:val="auto"/>
          <w:highlight w:val="none"/>
        </w:rPr>
        <w:t>8.1 质量标准</w:t>
      </w:r>
    </w:p>
    <w:p w14:paraId="6367E70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w:t>
      </w:r>
      <w:r>
        <w:rPr>
          <w:rFonts w:hint="eastAsia" w:ascii="宋体" w:hAnsi="宋体" w:cs="宋体"/>
          <w:color w:val="auto"/>
          <w:szCs w:val="21"/>
          <w:highlight w:val="none"/>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650F278">
      <w:pPr>
        <w:pStyle w:val="9"/>
        <w:adjustRightInd w:val="0"/>
        <w:snapToGrid w:val="0"/>
        <w:spacing w:line="400" w:lineRule="exact"/>
        <w:ind w:firstLine="420" w:firstLineChars="200"/>
        <w:jc w:val="left"/>
        <w:rPr>
          <w:rFonts w:hint="eastAsia" w:hAnsi="宋体"/>
          <w:color w:val="auto"/>
          <w:highlight w:val="none"/>
        </w:rPr>
      </w:pPr>
      <w:r>
        <w:rPr>
          <w:rFonts w:hint="eastAsia" w:hAnsi="宋体"/>
          <w:color w:val="auto"/>
          <w:highlight w:val="none"/>
        </w:rPr>
        <w:t>（2）采用中华人民共和国法定计量单位。</w:t>
      </w:r>
    </w:p>
    <w:p w14:paraId="505C2801">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1066785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ED6500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8.2 保证</w:t>
      </w:r>
    </w:p>
    <w:p w14:paraId="670C754E">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4FFD430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4CD0C12">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209BB2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rPr>
        <w:t>5</w:t>
      </w:r>
      <w:r>
        <w:rPr>
          <w:rFonts w:hint="eastAsia" w:ascii="宋体" w:hAnsi="宋体"/>
          <w:color w:val="auto"/>
          <w:szCs w:val="21"/>
          <w:highlight w:val="none"/>
        </w:rPr>
        <w:t>.1条规定以书面形式</w:t>
      </w:r>
      <w:r>
        <w:rPr>
          <w:rFonts w:hint="eastAsia" w:ascii="宋体" w:hAnsi="宋体"/>
          <w:color w:val="auto"/>
          <w:szCs w:val="21"/>
          <w:highlight w:val="none"/>
        </w:rPr>
        <w:t>追究</w:t>
      </w:r>
      <w:r>
        <w:rPr>
          <w:rFonts w:hint="eastAsia" w:ascii="宋体" w:hAnsi="宋体"/>
          <w:color w:val="auto"/>
          <w:szCs w:val="21"/>
          <w:highlight w:val="none"/>
        </w:rPr>
        <w:t>乙方</w:t>
      </w:r>
      <w:r>
        <w:rPr>
          <w:rFonts w:hint="eastAsia" w:ascii="宋体" w:hAnsi="宋体"/>
          <w:color w:val="auto"/>
          <w:szCs w:val="21"/>
          <w:highlight w:val="none"/>
        </w:rPr>
        <w:t>的违约责任</w:t>
      </w:r>
      <w:r>
        <w:rPr>
          <w:rFonts w:hint="eastAsia" w:ascii="宋体" w:hAnsi="宋体"/>
          <w:color w:val="auto"/>
          <w:szCs w:val="21"/>
          <w:highlight w:val="none"/>
        </w:rPr>
        <w:t>。</w:t>
      </w:r>
    </w:p>
    <w:p w14:paraId="743A2F36">
      <w:pPr>
        <w:adjustRightInd w:val="0"/>
        <w:snapToGrid w:val="0"/>
        <w:spacing w:line="400" w:lineRule="exact"/>
        <w:ind w:firstLine="420" w:firstLineChars="200"/>
        <w:jc w:val="left"/>
        <w:rPr>
          <w:rFonts w:hint="eastAsia"/>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5B26992E">
      <w:pPr>
        <w:adjustRightInd w:val="0"/>
        <w:snapToGrid w:val="0"/>
        <w:spacing w:line="400" w:lineRule="exact"/>
        <w:jc w:val="left"/>
        <w:outlineLvl w:val="0"/>
        <w:rPr>
          <w:rFonts w:ascii="宋体" w:hAnsi="宋体"/>
          <w:b/>
          <w:bCs/>
          <w:color w:val="auto"/>
          <w:sz w:val="24"/>
          <w:highlight w:val="none"/>
        </w:rPr>
      </w:pPr>
      <w:bookmarkStart w:id="335" w:name="_Toc25744"/>
      <w:bookmarkStart w:id="336" w:name="_Toc2289"/>
      <w:r>
        <w:rPr>
          <w:rFonts w:hint="eastAsia" w:ascii="宋体" w:hAnsi="宋体"/>
          <w:b/>
          <w:bCs/>
          <w:color w:val="auto"/>
          <w:sz w:val="24"/>
          <w:highlight w:val="none"/>
        </w:rPr>
        <w:t>9</w:t>
      </w:r>
      <w:r>
        <w:rPr>
          <w:rFonts w:hint="eastAsia" w:ascii="宋体" w:hAnsi="宋体"/>
          <w:b/>
          <w:bCs/>
          <w:color w:val="auto"/>
          <w:sz w:val="24"/>
          <w:highlight w:val="none"/>
        </w:rPr>
        <w:t>.</w:t>
      </w:r>
      <w:r>
        <w:rPr>
          <w:rFonts w:hint="eastAsia" w:ascii="宋体" w:hAnsi="宋体"/>
          <w:b/>
          <w:bCs/>
          <w:color w:val="auto"/>
          <w:sz w:val="24"/>
          <w:highlight w:val="none"/>
        </w:rPr>
        <w:t xml:space="preserve"> </w:t>
      </w:r>
      <w:r>
        <w:rPr>
          <w:rFonts w:hint="eastAsia" w:ascii="宋体" w:hAnsi="宋体"/>
          <w:b/>
          <w:bCs/>
          <w:color w:val="auto"/>
          <w:sz w:val="24"/>
          <w:highlight w:val="none"/>
        </w:rPr>
        <w:t>权利瑕疵担保</w:t>
      </w:r>
      <w:bookmarkEnd w:id="335"/>
      <w:bookmarkEnd w:id="336"/>
    </w:p>
    <w:p w14:paraId="3242AA6A">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9.1 乙方保证对其出售的货物享有合法的权利。</w:t>
      </w:r>
    </w:p>
    <w:p w14:paraId="5FAEF51C">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65DEEB86">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21F04C66">
      <w:pPr>
        <w:autoSpaceDE w:val="0"/>
        <w:autoSpaceDN w:val="0"/>
        <w:adjustRightInd w:val="0"/>
        <w:snapToGrid w:val="0"/>
        <w:spacing w:line="400" w:lineRule="exact"/>
        <w:jc w:val="left"/>
        <w:outlineLvl w:val="0"/>
        <w:rPr>
          <w:rFonts w:hint="eastAsia" w:ascii="宋体" w:hAnsi="宋体"/>
          <w:b/>
          <w:bCs/>
          <w:color w:val="auto"/>
          <w:sz w:val="24"/>
          <w:highlight w:val="none"/>
        </w:rPr>
      </w:pPr>
      <w:bookmarkStart w:id="337" w:name="_Toc19306"/>
      <w:bookmarkStart w:id="338" w:name="_Toc27007"/>
      <w:r>
        <w:rPr>
          <w:rFonts w:hint="eastAsia" w:ascii="宋体" w:hAnsi="宋体"/>
          <w:b/>
          <w:bCs/>
          <w:color w:val="auto"/>
          <w:sz w:val="24"/>
          <w:highlight w:val="none"/>
        </w:rPr>
        <w:t>10. 知识产权保护</w:t>
      </w:r>
      <w:bookmarkEnd w:id="337"/>
      <w:bookmarkEnd w:id="338"/>
    </w:p>
    <w:p w14:paraId="3B6CA66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339"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39"/>
      <w:r>
        <w:rPr>
          <w:rFonts w:hint="eastAsia" w:ascii="宋体" w:hAnsi="宋体"/>
          <w:color w:val="auto"/>
          <w:szCs w:val="21"/>
          <w:highlight w:val="none"/>
        </w:rPr>
        <w:t>。</w:t>
      </w:r>
    </w:p>
    <w:p w14:paraId="19A08117">
      <w:pPr>
        <w:autoSpaceDE w:val="0"/>
        <w:autoSpaceDN w:val="0"/>
        <w:adjustRightInd w:val="0"/>
        <w:snapToGrid w:val="0"/>
        <w:spacing w:line="400" w:lineRule="exact"/>
        <w:jc w:val="left"/>
        <w:outlineLvl w:val="0"/>
        <w:rPr>
          <w:rFonts w:hint="eastAsia" w:ascii="宋体" w:hAnsi="宋体"/>
          <w:b/>
          <w:bCs/>
          <w:color w:val="auto"/>
          <w:sz w:val="24"/>
          <w:highlight w:val="none"/>
        </w:rPr>
      </w:pPr>
      <w:bookmarkStart w:id="340" w:name="_Toc21824"/>
      <w:bookmarkStart w:id="341" w:name="_Toc19677"/>
      <w:r>
        <w:rPr>
          <w:rFonts w:hint="eastAsia" w:ascii="宋体" w:hAnsi="宋体"/>
          <w:b/>
          <w:bCs/>
          <w:color w:val="auto"/>
          <w:sz w:val="24"/>
          <w:highlight w:val="none"/>
        </w:rPr>
        <w:t>11. 保密义务</w:t>
      </w:r>
      <w:bookmarkEnd w:id="340"/>
      <w:bookmarkEnd w:id="341"/>
    </w:p>
    <w:p w14:paraId="4B3F0FCC">
      <w:pPr>
        <w:autoSpaceDE w:val="0"/>
        <w:autoSpaceDN w:val="0"/>
        <w:adjustRightInd w:val="0"/>
        <w:snapToGrid w:val="0"/>
        <w:spacing w:line="400" w:lineRule="exact"/>
        <w:ind w:firstLine="420" w:firstLineChars="200"/>
        <w:jc w:val="left"/>
        <w:rPr>
          <w:rFonts w:hint="eastAsia"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62EFEBF0">
      <w:pPr>
        <w:autoSpaceDE w:val="0"/>
        <w:autoSpaceDN w:val="0"/>
        <w:adjustRightInd w:val="0"/>
        <w:snapToGrid w:val="0"/>
        <w:spacing w:line="400" w:lineRule="exact"/>
        <w:jc w:val="left"/>
        <w:outlineLvl w:val="0"/>
        <w:rPr>
          <w:rFonts w:hint="eastAsia" w:ascii="宋体" w:hAnsi="宋体"/>
          <w:b/>
          <w:bCs/>
          <w:color w:val="auto"/>
          <w:sz w:val="24"/>
          <w:highlight w:val="none"/>
        </w:rPr>
      </w:pPr>
      <w:bookmarkStart w:id="342" w:name="_Toc16747"/>
      <w:bookmarkStart w:id="343" w:name="_Toc30449"/>
      <w:r>
        <w:rPr>
          <w:rFonts w:hint="eastAsia" w:ascii="宋体" w:hAnsi="宋体"/>
          <w:b/>
          <w:bCs/>
          <w:color w:val="auto"/>
          <w:sz w:val="24"/>
          <w:highlight w:val="none"/>
        </w:rPr>
        <w:t>12. 合同价款支付</w:t>
      </w:r>
      <w:bookmarkEnd w:id="342"/>
      <w:bookmarkEnd w:id="343"/>
    </w:p>
    <w:p w14:paraId="43D3530D">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2F40B944">
      <w:pPr>
        <w:pStyle w:val="4"/>
        <w:spacing w:line="400" w:lineRule="exact"/>
        <w:ind w:firstLine="420" w:firstLineChars="200"/>
        <w:outlineLvl w:val="9"/>
        <w:rPr>
          <w:rFonts w:hint="eastAsia"/>
          <w:color w:val="auto"/>
          <w:highlight w:val="none"/>
        </w:rPr>
      </w:pPr>
      <w:bookmarkStart w:id="344" w:name="_Toc15384"/>
      <w:bookmarkStart w:id="345" w:name="_Toc10128"/>
      <w:r>
        <w:rPr>
          <w:rFonts w:hint="eastAsia" w:ascii="宋体" w:hAnsi="宋体"/>
          <w:b w:val="0"/>
          <w:bCs w:val="0"/>
          <w:color w:val="auto"/>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olor w:val="auto"/>
          <w:sz w:val="21"/>
          <w:szCs w:val="21"/>
          <w:highlight w:val="none"/>
        </w:rPr>
        <w:t>政府采购合同专用条款</w:t>
      </w:r>
      <w:r>
        <w:rPr>
          <w:rFonts w:hint="eastAsia" w:ascii="宋体" w:hAnsi="宋体"/>
          <w:b w:val="0"/>
          <w:bCs w:val="0"/>
          <w:color w:val="auto"/>
          <w:sz w:val="21"/>
          <w:szCs w:val="21"/>
          <w:highlight w:val="none"/>
        </w:rPr>
        <w:t>】中约定。</w:t>
      </w:r>
      <w:bookmarkEnd w:id="344"/>
      <w:bookmarkEnd w:id="345"/>
    </w:p>
    <w:p w14:paraId="25B586DF">
      <w:pPr>
        <w:pStyle w:val="7"/>
        <w:spacing w:after="0" w:line="400" w:lineRule="exact"/>
        <w:outlineLvl w:val="0"/>
        <w:rPr>
          <w:rFonts w:ascii="宋体" w:hAnsi="宋体"/>
          <w:b/>
          <w:bCs/>
          <w:color w:val="auto"/>
          <w:sz w:val="24"/>
          <w:szCs w:val="24"/>
          <w:highlight w:val="none"/>
        </w:rPr>
      </w:pPr>
      <w:bookmarkStart w:id="346" w:name="_Toc8878"/>
      <w:bookmarkStart w:id="347" w:name="_Toc24098"/>
      <w:r>
        <w:rPr>
          <w:rFonts w:hint="eastAsia" w:ascii="宋体" w:hAnsi="宋体"/>
          <w:b/>
          <w:bCs/>
          <w:color w:val="auto"/>
          <w:sz w:val="24"/>
          <w:szCs w:val="24"/>
          <w:highlight w:val="none"/>
        </w:rPr>
        <w:t>13. 履约保证金</w:t>
      </w:r>
      <w:bookmarkEnd w:id="346"/>
      <w:bookmarkEnd w:id="347"/>
    </w:p>
    <w:p w14:paraId="585F28DF">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53888A22">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06A9509F">
      <w:pPr>
        <w:spacing w:line="400" w:lineRule="exact"/>
        <w:ind w:firstLine="420"/>
        <w:rPr>
          <w:rFonts w:hint="eastAsia"/>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2C7D211">
      <w:pPr>
        <w:autoSpaceDE w:val="0"/>
        <w:autoSpaceDN w:val="0"/>
        <w:adjustRightInd w:val="0"/>
        <w:snapToGrid w:val="0"/>
        <w:spacing w:line="400" w:lineRule="exact"/>
        <w:jc w:val="left"/>
        <w:outlineLvl w:val="0"/>
        <w:rPr>
          <w:rFonts w:ascii="宋体" w:hAnsi="宋体"/>
          <w:b/>
          <w:color w:val="auto"/>
          <w:sz w:val="24"/>
          <w:highlight w:val="none"/>
        </w:rPr>
      </w:pPr>
      <w:bookmarkStart w:id="348" w:name="_Toc1180"/>
      <w:bookmarkStart w:id="349" w:name="_Toc3136"/>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bookmarkEnd w:id="348"/>
      <w:bookmarkEnd w:id="349"/>
    </w:p>
    <w:p w14:paraId="250642C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6961848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3C526D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95FC4A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461379A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6F53DC10">
      <w:pPr>
        <w:pStyle w:val="21"/>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4341489C">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34E3D95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6520F4CD">
      <w:pPr>
        <w:adjustRightInd w:val="0"/>
        <w:snapToGrid w:val="0"/>
        <w:spacing w:line="400" w:lineRule="exact"/>
        <w:jc w:val="left"/>
        <w:outlineLvl w:val="0"/>
        <w:rPr>
          <w:rFonts w:hint="eastAsia" w:ascii="宋体" w:hAnsi="宋体"/>
          <w:b/>
          <w:bCs/>
          <w:color w:val="auto"/>
          <w:sz w:val="24"/>
          <w:highlight w:val="none"/>
        </w:rPr>
      </w:pPr>
      <w:bookmarkStart w:id="350" w:name="_Toc31035"/>
      <w:bookmarkStart w:id="351" w:name="_Toc25356"/>
      <w:r>
        <w:rPr>
          <w:rFonts w:hint="eastAsia" w:ascii="宋体" w:hAnsi="宋体"/>
          <w:b/>
          <w:bCs/>
          <w:color w:val="auto"/>
          <w:sz w:val="24"/>
          <w:highlight w:val="none"/>
        </w:rPr>
        <w:t>15. 违约责任</w:t>
      </w:r>
      <w:bookmarkEnd w:id="350"/>
      <w:bookmarkEnd w:id="351"/>
    </w:p>
    <w:p w14:paraId="68C76851">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15.1质量瑕疵的违约责任</w:t>
      </w:r>
    </w:p>
    <w:p w14:paraId="02A93C9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0603F2C2">
      <w:pPr>
        <w:autoSpaceDE w:val="0"/>
        <w:autoSpaceDN w:val="0"/>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15.2 迟延交货的违约责任</w:t>
      </w:r>
    </w:p>
    <w:p w14:paraId="470A3EA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950A70A">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3E7F0B2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15.3 迟延支付的违约责任</w:t>
      </w:r>
    </w:p>
    <w:p w14:paraId="4F0CB68C">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3C23C35">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046DA73C">
      <w:pPr>
        <w:numPr>
          <w:ilvl w:val="0"/>
          <w:numId w:val="7"/>
        </w:numPr>
        <w:autoSpaceDE w:val="0"/>
        <w:autoSpaceDN w:val="0"/>
        <w:adjustRightInd w:val="0"/>
        <w:snapToGrid w:val="0"/>
        <w:spacing w:line="400" w:lineRule="exact"/>
        <w:ind w:left="0" w:leftChars="0" w:firstLine="0" w:firstLineChars="0"/>
        <w:jc w:val="left"/>
        <w:outlineLvl w:val="0"/>
        <w:rPr>
          <w:rFonts w:hint="eastAsia" w:ascii="宋体" w:hAnsi="宋体"/>
          <w:b/>
          <w:color w:val="auto"/>
          <w:sz w:val="24"/>
          <w:highlight w:val="none"/>
        </w:rPr>
      </w:pPr>
      <w:bookmarkStart w:id="352" w:name="_Toc214"/>
      <w:bookmarkStart w:id="353" w:name="_Toc28709"/>
      <w:r>
        <w:rPr>
          <w:rFonts w:hint="eastAsia" w:ascii="宋体" w:hAnsi="宋体"/>
          <w:b/>
          <w:color w:val="auto"/>
          <w:sz w:val="24"/>
          <w:highlight w:val="none"/>
        </w:rPr>
        <w:t>合同变更、中止与终止</w:t>
      </w:r>
      <w:bookmarkEnd w:id="352"/>
      <w:bookmarkEnd w:id="353"/>
    </w:p>
    <w:p w14:paraId="0CC719FB">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    16.1合同的变更</w:t>
      </w:r>
    </w:p>
    <w:p w14:paraId="19F44546">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468DC39E">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16.2合同的中止</w:t>
      </w:r>
    </w:p>
    <w:p w14:paraId="6F70498E">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5D9C493E">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B95E2A0">
      <w:pPr>
        <w:pStyle w:val="21"/>
        <w:ind w:firstLine="420"/>
        <w:jc w:val="both"/>
        <w:rPr>
          <w:rFonts w:hint="eastAsia"/>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6298C7D9">
      <w:pPr>
        <w:snapToGrid w:val="0"/>
        <w:spacing w:line="400" w:lineRule="exact"/>
        <w:ind w:firstLine="420" w:firstLineChars="200"/>
        <w:jc w:val="left"/>
        <w:rPr>
          <w:rFonts w:hint="eastAsia"/>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5EB71F16">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093FDC10">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（1）合同因有效期限届满而终止；</w:t>
      </w:r>
    </w:p>
    <w:p w14:paraId="714EFEC7">
      <w:pPr>
        <w:snapToGrid w:val="0"/>
        <w:spacing w:line="4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75062C39">
      <w:pPr>
        <w:pStyle w:val="21"/>
        <w:rPr>
          <w:rFonts w:hint="eastAsia"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4F111362">
      <w:pPr>
        <w:pStyle w:val="21"/>
        <w:ind w:firstLine="420"/>
        <w:jc w:val="both"/>
        <w:rPr>
          <w:rFonts w:hint="eastAsia"/>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496DB76D">
      <w:pPr>
        <w:autoSpaceDE w:val="0"/>
        <w:autoSpaceDN w:val="0"/>
        <w:adjustRightInd w:val="0"/>
        <w:snapToGrid w:val="0"/>
        <w:spacing w:line="400" w:lineRule="exact"/>
        <w:jc w:val="left"/>
        <w:outlineLvl w:val="0"/>
        <w:rPr>
          <w:rFonts w:hint="eastAsia" w:ascii="宋体" w:hAnsi="宋体"/>
          <w:b/>
          <w:bCs/>
          <w:color w:val="auto"/>
          <w:sz w:val="24"/>
          <w:highlight w:val="none"/>
        </w:rPr>
      </w:pPr>
      <w:bookmarkStart w:id="354" w:name="_Toc24841"/>
      <w:bookmarkStart w:id="355" w:name="_Toc12308"/>
      <w:r>
        <w:rPr>
          <w:rFonts w:hint="eastAsia" w:ascii="宋体" w:hAnsi="宋体"/>
          <w:b/>
          <w:bCs/>
          <w:color w:val="auto"/>
          <w:sz w:val="24"/>
          <w:highlight w:val="none"/>
        </w:rPr>
        <w:t>17. 合同分包</w:t>
      </w:r>
      <w:bookmarkEnd w:id="354"/>
      <w:bookmarkEnd w:id="355"/>
    </w:p>
    <w:p w14:paraId="0E793CE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728B5C30">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78F32F1A">
      <w:pPr>
        <w:autoSpaceDE w:val="0"/>
        <w:autoSpaceDN w:val="0"/>
        <w:adjustRightInd w:val="0"/>
        <w:snapToGrid w:val="0"/>
        <w:spacing w:line="400" w:lineRule="exact"/>
        <w:jc w:val="left"/>
        <w:outlineLvl w:val="0"/>
        <w:rPr>
          <w:rFonts w:hint="eastAsia" w:ascii="宋体" w:hAnsi="宋体"/>
          <w:b/>
          <w:bCs/>
          <w:color w:val="auto"/>
          <w:sz w:val="24"/>
          <w:highlight w:val="none"/>
        </w:rPr>
      </w:pPr>
      <w:bookmarkStart w:id="356" w:name="_Toc11450"/>
      <w:bookmarkStart w:id="357" w:name="_Toc8167"/>
      <w:r>
        <w:rPr>
          <w:rFonts w:hint="eastAsia" w:ascii="宋体" w:hAnsi="宋体"/>
          <w:b/>
          <w:bCs/>
          <w:color w:val="auto"/>
          <w:sz w:val="24"/>
          <w:highlight w:val="none"/>
        </w:rPr>
        <w:t>18. 不可抗力</w:t>
      </w:r>
      <w:bookmarkEnd w:id="356"/>
      <w:bookmarkEnd w:id="357"/>
    </w:p>
    <w:p w14:paraId="6AC5903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096C9F4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7A31098E">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5D897B3">
      <w:pPr>
        <w:autoSpaceDE w:val="0"/>
        <w:autoSpaceDN w:val="0"/>
        <w:adjustRightInd w:val="0"/>
        <w:snapToGrid w:val="0"/>
        <w:spacing w:line="400" w:lineRule="exact"/>
        <w:jc w:val="left"/>
        <w:outlineLvl w:val="0"/>
        <w:rPr>
          <w:rFonts w:hint="eastAsia" w:ascii="宋体" w:hAnsi="宋体"/>
          <w:b/>
          <w:bCs/>
          <w:color w:val="auto"/>
          <w:sz w:val="24"/>
          <w:highlight w:val="none"/>
        </w:rPr>
      </w:pPr>
      <w:bookmarkStart w:id="358" w:name="_Toc27422"/>
      <w:bookmarkStart w:id="359" w:name="_Toc14174"/>
      <w:r>
        <w:rPr>
          <w:rFonts w:hint="eastAsia" w:ascii="宋体" w:hAnsi="宋体"/>
          <w:b/>
          <w:bCs/>
          <w:color w:val="auto"/>
          <w:sz w:val="24"/>
          <w:highlight w:val="none"/>
        </w:rPr>
        <w:t>19. 解决争议的方法</w:t>
      </w:r>
      <w:bookmarkEnd w:id="358"/>
      <w:bookmarkEnd w:id="359"/>
    </w:p>
    <w:p w14:paraId="11BDE136">
      <w:pPr>
        <w:pStyle w:val="21"/>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6281B185">
      <w:pPr>
        <w:pStyle w:val="21"/>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48825937">
      <w:pPr>
        <w:pStyle w:val="21"/>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0C92D042">
      <w:pPr>
        <w:autoSpaceDE w:val="0"/>
        <w:autoSpaceDN w:val="0"/>
        <w:adjustRightInd w:val="0"/>
        <w:snapToGrid w:val="0"/>
        <w:spacing w:line="400" w:lineRule="exact"/>
        <w:jc w:val="left"/>
        <w:outlineLvl w:val="0"/>
        <w:rPr>
          <w:rFonts w:hint="eastAsia" w:ascii="宋体" w:hAnsi="宋体"/>
          <w:color w:val="auto"/>
          <w:sz w:val="24"/>
          <w:highlight w:val="none"/>
        </w:rPr>
      </w:pPr>
      <w:bookmarkStart w:id="360" w:name="_Toc22688"/>
      <w:bookmarkStart w:id="361" w:name="_Toc6839"/>
      <w:r>
        <w:rPr>
          <w:rFonts w:hint="eastAsia" w:ascii="宋体" w:hAnsi="宋体"/>
          <w:b/>
          <w:color w:val="auto"/>
          <w:sz w:val="24"/>
          <w:highlight w:val="none"/>
        </w:rPr>
        <w:t>20. 政府采购政策</w:t>
      </w:r>
      <w:bookmarkEnd w:id="360"/>
      <w:bookmarkEnd w:id="361"/>
    </w:p>
    <w:p w14:paraId="497FDF1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7076A72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9876CC1">
      <w:pPr>
        <w:pStyle w:val="7"/>
        <w:spacing w:after="0" w:line="400" w:lineRule="exact"/>
        <w:ind w:firstLine="420" w:firstLineChars="200"/>
        <w:rPr>
          <w:rFonts w:hint="eastAsia"/>
          <w:color w:val="auto"/>
          <w:highlight w:val="none"/>
        </w:rPr>
      </w:pPr>
      <w:r>
        <w:rPr>
          <w:rFonts w:hint="eastAsia" w:ascii="宋体" w:hAnsi="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946DF6C">
      <w:pPr>
        <w:autoSpaceDE w:val="0"/>
        <w:autoSpaceDN w:val="0"/>
        <w:adjustRightInd w:val="0"/>
        <w:snapToGrid w:val="0"/>
        <w:spacing w:line="400" w:lineRule="exact"/>
        <w:jc w:val="left"/>
        <w:outlineLvl w:val="0"/>
        <w:rPr>
          <w:rFonts w:ascii="宋体" w:hAnsi="宋体"/>
          <w:b/>
          <w:color w:val="auto"/>
          <w:sz w:val="24"/>
          <w:highlight w:val="none"/>
        </w:rPr>
      </w:pPr>
      <w:bookmarkStart w:id="362" w:name="_Toc1275"/>
      <w:bookmarkStart w:id="363" w:name="_Toc16802"/>
      <w:r>
        <w:rPr>
          <w:rFonts w:hint="eastAsia" w:ascii="宋体" w:hAnsi="宋体"/>
          <w:b/>
          <w:color w:val="auto"/>
          <w:sz w:val="24"/>
          <w:highlight w:val="none"/>
        </w:rPr>
        <w:t>21. 法律适用</w:t>
      </w:r>
      <w:bookmarkEnd w:id="362"/>
      <w:bookmarkEnd w:id="363"/>
    </w:p>
    <w:p w14:paraId="109ABB3D">
      <w:pPr>
        <w:pStyle w:val="21"/>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4A5D1BDC">
      <w:pPr>
        <w:pStyle w:val="21"/>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629278AB">
      <w:pPr>
        <w:autoSpaceDE w:val="0"/>
        <w:autoSpaceDN w:val="0"/>
        <w:adjustRightInd w:val="0"/>
        <w:snapToGrid w:val="0"/>
        <w:spacing w:line="400" w:lineRule="exact"/>
        <w:jc w:val="left"/>
        <w:outlineLvl w:val="0"/>
        <w:rPr>
          <w:rFonts w:hint="eastAsia" w:ascii="宋体" w:hAnsi="宋体"/>
          <w:b/>
          <w:color w:val="auto"/>
          <w:sz w:val="24"/>
          <w:highlight w:val="none"/>
        </w:rPr>
      </w:pPr>
      <w:bookmarkStart w:id="364" w:name="_Toc5235"/>
      <w:bookmarkStart w:id="365" w:name="_Toc12141"/>
      <w:r>
        <w:rPr>
          <w:rFonts w:hint="eastAsia" w:ascii="宋体" w:hAnsi="宋体"/>
          <w:b/>
          <w:color w:val="auto"/>
          <w:sz w:val="24"/>
          <w:highlight w:val="none"/>
        </w:rPr>
        <w:t>22. 通知</w:t>
      </w:r>
      <w:bookmarkEnd w:id="364"/>
      <w:bookmarkEnd w:id="365"/>
    </w:p>
    <w:p w14:paraId="6CFB426B">
      <w:pPr>
        <w:pStyle w:val="21"/>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32FB8307">
      <w:pPr>
        <w:pStyle w:val="21"/>
        <w:ind w:firstLine="0" w:firstLineChars="0"/>
        <w:jc w:val="both"/>
        <w:rPr>
          <w:rFonts w:hint="eastAsia"/>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06802CD3">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7E567F4F">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4A393EC6">
      <w:pPr>
        <w:numPr>
          <w:ilvl w:val="0"/>
          <w:numId w:val="8"/>
        </w:numPr>
        <w:adjustRightInd w:val="0"/>
        <w:snapToGrid w:val="0"/>
        <w:spacing w:line="400" w:lineRule="exact"/>
        <w:ind w:left="0" w:leftChars="0" w:firstLine="0" w:firstLineChars="0"/>
        <w:jc w:val="left"/>
        <w:outlineLvl w:val="0"/>
        <w:rPr>
          <w:rFonts w:hint="eastAsia" w:ascii="宋体" w:hAnsi="宋体"/>
          <w:b/>
          <w:bCs/>
          <w:color w:val="auto"/>
          <w:sz w:val="24"/>
          <w:highlight w:val="none"/>
        </w:rPr>
      </w:pPr>
      <w:bookmarkStart w:id="366" w:name="_Toc32279"/>
      <w:bookmarkStart w:id="367" w:name="_Toc3815"/>
      <w:r>
        <w:rPr>
          <w:rFonts w:hint="eastAsia" w:ascii="宋体" w:hAnsi="宋体"/>
          <w:b/>
          <w:bCs/>
          <w:color w:val="auto"/>
          <w:sz w:val="24"/>
          <w:highlight w:val="none"/>
        </w:rPr>
        <w:t>合同未尽事项</w:t>
      </w:r>
      <w:bookmarkEnd w:id="366"/>
      <w:bookmarkEnd w:id="367"/>
    </w:p>
    <w:p w14:paraId="046D3443">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36C09D36">
      <w:pPr>
        <w:adjustRightInd w:val="0"/>
        <w:snapToGrid w:val="0"/>
        <w:spacing w:line="400" w:lineRule="exact"/>
        <w:jc w:val="left"/>
        <w:rPr>
          <w:rFonts w:hint="eastAsia"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p>
    <w:p w14:paraId="3DFA02A6">
      <w:pPr>
        <w:keepNext/>
        <w:keepLines/>
        <w:spacing w:line="360" w:lineRule="auto"/>
        <w:jc w:val="center"/>
        <w:outlineLvl w:val="9"/>
        <w:rPr>
          <w:rFonts w:ascii="黑体" w:hAnsi="华文中宋" w:eastAsia="黑体"/>
          <w:color w:val="auto"/>
          <w:sz w:val="24"/>
          <w:highlight w:val="none"/>
        </w:rPr>
      </w:pPr>
      <w:r>
        <w:rPr>
          <w:rFonts w:hint="eastAsia" w:ascii="黑体" w:hAnsi="华文中宋" w:eastAsia="黑体"/>
          <w:color w:val="auto"/>
          <w:sz w:val="24"/>
          <w:highlight w:val="none"/>
        </w:rPr>
        <w:br w:type="page" w:clear="all"/>
      </w:r>
    </w:p>
    <w:p w14:paraId="4C0B0EC1">
      <w:pPr>
        <w:keepNext/>
        <w:keepLines/>
        <w:spacing w:line="360" w:lineRule="auto"/>
        <w:jc w:val="center"/>
        <w:outlineLvl w:val="0"/>
        <w:rPr>
          <w:rFonts w:ascii="黑体" w:hAnsi="华文中宋" w:eastAsia="黑体"/>
          <w:strike/>
          <w:dstrike w:val="0"/>
          <w:color w:val="auto"/>
          <w:sz w:val="24"/>
          <w:highlight w:val="none"/>
          <w:u w:val="none"/>
        </w:rPr>
      </w:pPr>
      <w:bookmarkStart w:id="368" w:name="_Toc12712"/>
      <w:r>
        <w:rPr>
          <w:rFonts w:hint="eastAsia" w:ascii="黑体" w:hAnsi="华文中宋" w:eastAsia="黑体"/>
          <w:strike w:val="0"/>
          <w:dstrike w:val="0"/>
          <w:color w:val="auto"/>
          <w:sz w:val="24"/>
          <w:highlight w:val="none"/>
          <w:u w:val="none"/>
        </w:rPr>
        <w:t>第三节 政府采购合同专用条款</w:t>
      </w:r>
      <w:bookmarkEnd w:id="318"/>
      <w:bookmarkEnd w:id="368"/>
    </w:p>
    <w:tbl>
      <w:tblPr>
        <w:tblStyle w:val="15"/>
        <w:tblW w:w="8519" w:type="dxa"/>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560"/>
        <w:gridCol w:w="1789"/>
        <w:gridCol w:w="5170"/>
      </w:tblGrid>
      <w:tr w14:paraId="2A85E44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560" w:type="dxa"/>
            <w:vAlign w:val="center"/>
          </w:tcPr>
          <w:p w14:paraId="59EADDFC">
            <w:pPr>
              <w:jc w:val="center"/>
              <w:rPr>
                <w:rFonts w:ascii="宋体" w:hAnsi="宋体"/>
                <w:color w:val="auto"/>
                <w:sz w:val="24"/>
                <w:highlight w:val="none"/>
              </w:rPr>
            </w:pPr>
            <w:r>
              <w:rPr>
                <w:rFonts w:hint="eastAsia" w:ascii="宋体" w:hAnsi="宋体"/>
                <w:color w:val="auto"/>
                <w:sz w:val="24"/>
                <w:highlight w:val="none"/>
              </w:rPr>
              <w:t>第二节</w:t>
            </w:r>
          </w:p>
          <w:p w14:paraId="0B4BCFE8">
            <w:pPr>
              <w:jc w:val="center"/>
              <w:rPr>
                <w:rFonts w:ascii="宋体" w:hAnsi="宋体"/>
                <w:color w:val="auto"/>
                <w:sz w:val="24"/>
                <w:highlight w:val="none"/>
              </w:rPr>
            </w:pPr>
            <w:r>
              <w:rPr>
                <w:rFonts w:hint="eastAsia" w:ascii="宋体" w:hAnsi="宋体"/>
                <w:color w:val="auto"/>
                <w:sz w:val="24"/>
                <w:highlight w:val="none"/>
              </w:rPr>
              <w:t>第1.2（6）项</w:t>
            </w:r>
          </w:p>
        </w:tc>
        <w:tc>
          <w:tcPr>
            <w:tcW w:w="1789" w:type="dxa"/>
            <w:vAlign w:val="center"/>
          </w:tcPr>
          <w:p w14:paraId="0E2BBED2">
            <w:pPr>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vAlign w:val="center"/>
          </w:tcPr>
          <w:p w14:paraId="6D9F2873">
            <w:pPr>
              <w:jc w:val="left"/>
              <w:rPr>
                <w:rFonts w:ascii="宋体" w:hAnsi="宋体"/>
                <w:color w:val="auto"/>
                <w:sz w:val="24"/>
                <w:highlight w:val="none"/>
              </w:rPr>
            </w:pPr>
          </w:p>
        </w:tc>
      </w:tr>
      <w:tr w14:paraId="0A59388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1560" w:type="dxa"/>
            <w:vAlign w:val="center"/>
          </w:tcPr>
          <w:p w14:paraId="7D286AD7">
            <w:pPr>
              <w:jc w:val="center"/>
              <w:rPr>
                <w:rFonts w:ascii="宋体" w:hAnsi="宋体"/>
                <w:color w:val="auto"/>
                <w:sz w:val="24"/>
                <w:highlight w:val="none"/>
              </w:rPr>
            </w:pPr>
            <w:r>
              <w:rPr>
                <w:rFonts w:hint="eastAsia" w:ascii="宋体" w:hAnsi="宋体"/>
                <w:color w:val="auto"/>
                <w:sz w:val="24"/>
                <w:highlight w:val="none"/>
              </w:rPr>
              <w:t>第二节</w:t>
            </w:r>
          </w:p>
          <w:p w14:paraId="063D45B1">
            <w:pPr>
              <w:jc w:val="center"/>
              <w:rPr>
                <w:rFonts w:ascii="宋体" w:hAnsi="宋体"/>
                <w:color w:val="auto"/>
                <w:sz w:val="24"/>
                <w:highlight w:val="none"/>
              </w:rPr>
            </w:pPr>
            <w:r>
              <w:rPr>
                <w:rFonts w:hint="eastAsia" w:ascii="宋体" w:hAnsi="宋体"/>
                <w:color w:val="auto"/>
                <w:sz w:val="24"/>
                <w:highlight w:val="none"/>
              </w:rPr>
              <w:t>第1.2（7）项</w:t>
            </w:r>
          </w:p>
        </w:tc>
        <w:tc>
          <w:tcPr>
            <w:tcW w:w="1789" w:type="dxa"/>
            <w:vAlign w:val="center"/>
          </w:tcPr>
          <w:p w14:paraId="3FAAA06A">
            <w:pPr>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vAlign w:val="center"/>
          </w:tcPr>
          <w:p w14:paraId="76E431F9">
            <w:pPr>
              <w:jc w:val="left"/>
              <w:rPr>
                <w:rFonts w:ascii="宋体" w:hAnsi="宋体"/>
                <w:color w:val="auto"/>
                <w:sz w:val="24"/>
                <w:highlight w:val="none"/>
              </w:rPr>
            </w:pPr>
          </w:p>
        </w:tc>
      </w:tr>
      <w:tr w14:paraId="54DD363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560" w:type="dxa"/>
            <w:vAlign w:val="center"/>
          </w:tcPr>
          <w:p w14:paraId="4EE2C001">
            <w:pPr>
              <w:jc w:val="center"/>
              <w:rPr>
                <w:rFonts w:ascii="宋体" w:hAnsi="宋体"/>
                <w:color w:val="auto"/>
                <w:sz w:val="24"/>
                <w:highlight w:val="none"/>
              </w:rPr>
            </w:pPr>
            <w:r>
              <w:rPr>
                <w:rFonts w:hint="eastAsia" w:ascii="宋体" w:hAnsi="宋体"/>
                <w:color w:val="auto"/>
                <w:sz w:val="24"/>
                <w:highlight w:val="none"/>
              </w:rPr>
              <w:t>第二节</w:t>
            </w:r>
          </w:p>
          <w:p w14:paraId="7ED3EC04">
            <w:pPr>
              <w:jc w:val="center"/>
              <w:rPr>
                <w:rFonts w:ascii="宋体" w:hAnsi="宋体"/>
                <w:color w:val="auto"/>
                <w:sz w:val="24"/>
                <w:highlight w:val="none"/>
              </w:rPr>
            </w:pPr>
            <w:r>
              <w:rPr>
                <w:rFonts w:hint="eastAsia" w:ascii="宋体" w:hAnsi="宋体"/>
                <w:color w:val="auto"/>
                <w:sz w:val="24"/>
                <w:highlight w:val="none"/>
              </w:rPr>
              <w:t>第4.4款</w:t>
            </w:r>
          </w:p>
        </w:tc>
        <w:tc>
          <w:tcPr>
            <w:tcW w:w="1789" w:type="dxa"/>
            <w:vAlign w:val="center"/>
          </w:tcPr>
          <w:p w14:paraId="25E6A1A8">
            <w:pPr>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vAlign w:val="center"/>
          </w:tcPr>
          <w:p w14:paraId="6F6DBF4D">
            <w:pPr>
              <w:jc w:val="left"/>
              <w:rPr>
                <w:rFonts w:ascii="宋体" w:hAnsi="宋体"/>
                <w:color w:val="auto"/>
                <w:sz w:val="24"/>
                <w:highlight w:val="none"/>
              </w:rPr>
            </w:pPr>
          </w:p>
        </w:tc>
      </w:tr>
      <w:tr w14:paraId="777593C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560" w:type="dxa"/>
            <w:vAlign w:val="center"/>
          </w:tcPr>
          <w:p w14:paraId="55FB9D7B">
            <w:pPr>
              <w:jc w:val="center"/>
              <w:rPr>
                <w:rFonts w:ascii="宋体" w:hAnsi="宋体"/>
                <w:color w:val="auto"/>
                <w:sz w:val="24"/>
                <w:highlight w:val="none"/>
              </w:rPr>
            </w:pPr>
            <w:r>
              <w:rPr>
                <w:rFonts w:hint="eastAsia" w:ascii="宋体" w:hAnsi="宋体"/>
                <w:color w:val="auto"/>
                <w:sz w:val="24"/>
                <w:highlight w:val="none"/>
              </w:rPr>
              <w:t>第二节</w:t>
            </w:r>
          </w:p>
          <w:p w14:paraId="7BDD8D8D">
            <w:pPr>
              <w:jc w:val="center"/>
              <w:rPr>
                <w:rFonts w:ascii="宋体" w:hAnsi="宋体"/>
                <w:color w:val="auto"/>
                <w:sz w:val="24"/>
                <w:highlight w:val="none"/>
              </w:rPr>
            </w:pPr>
            <w:r>
              <w:rPr>
                <w:rFonts w:hint="eastAsia" w:ascii="宋体" w:hAnsi="宋体"/>
                <w:color w:val="auto"/>
                <w:sz w:val="24"/>
                <w:highlight w:val="none"/>
              </w:rPr>
              <w:t>第4.6款</w:t>
            </w:r>
          </w:p>
        </w:tc>
        <w:tc>
          <w:tcPr>
            <w:tcW w:w="1789" w:type="dxa"/>
            <w:vAlign w:val="center"/>
          </w:tcPr>
          <w:p w14:paraId="14C64E91">
            <w:pPr>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vAlign w:val="center"/>
          </w:tcPr>
          <w:p w14:paraId="663821C3">
            <w:pPr>
              <w:jc w:val="left"/>
              <w:rPr>
                <w:rFonts w:ascii="宋体" w:hAnsi="宋体"/>
                <w:color w:val="auto"/>
                <w:sz w:val="24"/>
                <w:highlight w:val="none"/>
              </w:rPr>
            </w:pPr>
          </w:p>
        </w:tc>
      </w:tr>
      <w:tr w14:paraId="207B242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560" w:type="dxa"/>
            <w:vAlign w:val="center"/>
          </w:tcPr>
          <w:p w14:paraId="43DB730B">
            <w:pPr>
              <w:jc w:val="center"/>
              <w:rPr>
                <w:rFonts w:ascii="宋体" w:hAnsi="宋体"/>
                <w:color w:val="auto"/>
                <w:sz w:val="24"/>
                <w:highlight w:val="none"/>
              </w:rPr>
            </w:pPr>
            <w:r>
              <w:rPr>
                <w:rFonts w:hint="eastAsia" w:ascii="宋体" w:hAnsi="宋体"/>
                <w:color w:val="auto"/>
                <w:sz w:val="24"/>
                <w:highlight w:val="none"/>
              </w:rPr>
              <w:t>第二节</w:t>
            </w:r>
          </w:p>
          <w:p w14:paraId="092D9B6C">
            <w:pPr>
              <w:jc w:val="center"/>
              <w:rPr>
                <w:color w:val="auto"/>
                <w:sz w:val="24"/>
                <w:highlight w:val="none"/>
              </w:rPr>
            </w:pPr>
            <w:r>
              <w:rPr>
                <w:rFonts w:hint="eastAsia" w:ascii="宋体" w:hAnsi="宋体"/>
                <w:color w:val="auto"/>
                <w:sz w:val="24"/>
                <w:highlight w:val="none"/>
              </w:rPr>
              <w:t>第5.4款</w:t>
            </w:r>
          </w:p>
        </w:tc>
        <w:tc>
          <w:tcPr>
            <w:tcW w:w="1789" w:type="dxa"/>
            <w:vAlign w:val="center"/>
          </w:tcPr>
          <w:p w14:paraId="361FD590">
            <w:pPr>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vAlign w:val="center"/>
          </w:tcPr>
          <w:p w14:paraId="3D29690E">
            <w:pPr>
              <w:jc w:val="left"/>
              <w:rPr>
                <w:rFonts w:ascii="宋体" w:hAnsi="宋体"/>
                <w:color w:val="auto"/>
                <w:sz w:val="24"/>
                <w:highlight w:val="none"/>
              </w:rPr>
            </w:pPr>
          </w:p>
        </w:tc>
      </w:tr>
      <w:tr w14:paraId="6A9A988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560" w:type="dxa"/>
            <w:vAlign w:val="center"/>
          </w:tcPr>
          <w:p w14:paraId="41DE64B8">
            <w:pPr>
              <w:jc w:val="center"/>
              <w:rPr>
                <w:rFonts w:ascii="宋体" w:hAnsi="宋体"/>
                <w:color w:val="auto"/>
                <w:sz w:val="24"/>
                <w:highlight w:val="none"/>
              </w:rPr>
            </w:pPr>
            <w:r>
              <w:rPr>
                <w:rFonts w:hint="eastAsia" w:ascii="宋体" w:hAnsi="宋体"/>
                <w:color w:val="auto"/>
                <w:sz w:val="24"/>
                <w:highlight w:val="none"/>
              </w:rPr>
              <w:t>第二节</w:t>
            </w:r>
          </w:p>
          <w:p w14:paraId="33C73054">
            <w:pPr>
              <w:jc w:val="center"/>
              <w:rPr>
                <w:rFonts w:ascii="宋体" w:hAnsi="宋体"/>
                <w:color w:val="auto"/>
                <w:sz w:val="24"/>
                <w:highlight w:val="none"/>
              </w:rPr>
            </w:pPr>
            <w:r>
              <w:rPr>
                <w:rFonts w:hint="eastAsia" w:ascii="宋体" w:hAnsi="宋体"/>
                <w:color w:val="auto"/>
                <w:sz w:val="24"/>
                <w:highlight w:val="none"/>
              </w:rPr>
              <w:t>第6.1款</w:t>
            </w:r>
          </w:p>
        </w:tc>
        <w:tc>
          <w:tcPr>
            <w:tcW w:w="1789" w:type="dxa"/>
            <w:vAlign w:val="center"/>
          </w:tcPr>
          <w:p w14:paraId="393E3A57">
            <w:pPr>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vAlign w:val="center"/>
          </w:tcPr>
          <w:p w14:paraId="3E0359AF">
            <w:pPr>
              <w:jc w:val="left"/>
              <w:rPr>
                <w:rFonts w:ascii="宋体" w:hAnsi="宋体"/>
                <w:color w:val="auto"/>
                <w:sz w:val="24"/>
                <w:highlight w:val="none"/>
              </w:rPr>
            </w:pPr>
          </w:p>
        </w:tc>
      </w:tr>
      <w:tr w14:paraId="17C6BF4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667" w:hRule="atLeast"/>
        </w:trPr>
        <w:tc>
          <w:tcPr>
            <w:tcW w:w="1560" w:type="dxa"/>
            <w:vMerge w:val="restart"/>
            <w:vAlign w:val="center"/>
          </w:tcPr>
          <w:p w14:paraId="547991D3">
            <w:pPr>
              <w:jc w:val="center"/>
              <w:rPr>
                <w:rFonts w:ascii="宋体" w:hAnsi="宋体"/>
                <w:color w:val="auto"/>
                <w:sz w:val="24"/>
                <w:highlight w:val="none"/>
              </w:rPr>
            </w:pPr>
            <w:r>
              <w:rPr>
                <w:rFonts w:hint="eastAsia" w:ascii="宋体" w:hAnsi="宋体"/>
                <w:color w:val="auto"/>
                <w:sz w:val="24"/>
                <w:highlight w:val="none"/>
              </w:rPr>
              <w:t>第二节</w:t>
            </w:r>
          </w:p>
          <w:p w14:paraId="76D3B9DD">
            <w:pPr>
              <w:jc w:val="center"/>
              <w:rPr>
                <w:rFonts w:ascii="宋体" w:hAnsi="宋体"/>
                <w:color w:val="auto"/>
                <w:sz w:val="24"/>
                <w:highlight w:val="none"/>
              </w:rPr>
            </w:pPr>
            <w:r>
              <w:rPr>
                <w:rFonts w:hint="eastAsia" w:ascii="宋体" w:hAnsi="宋体"/>
                <w:color w:val="auto"/>
                <w:sz w:val="24"/>
                <w:highlight w:val="none"/>
              </w:rPr>
              <w:t>第7.1款</w:t>
            </w:r>
          </w:p>
        </w:tc>
        <w:tc>
          <w:tcPr>
            <w:tcW w:w="1789" w:type="dxa"/>
            <w:vAlign w:val="center"/>
          </w:tcPr>
          <w:p w14:paraId="495BB5DC">
            <w:pPr>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vAlign w:val="center"/>
          </w:tcPr>
          <w:p w14:paraId="74101E3E">
            <w:pPr>
              <w:rPr>
                <w:color w:val="auto"/>
                <w:sz w:val="24"/>
                <w:highlight w:val="none"/>
              </w:rPr>
            </w:pPr>
            <w:r>
              <w:rPr>
                <w:rFonts w:hint="eastAsia"/>
                <w:color w:val="auto"/>
                <w:sz w:val="24"/>
                <w:highlight w:val="none"/>
              </w:rPr>
              <w:t>本项目中涉及商品包装和快递包装的，金属件:使用泡泡纸覆盖包装 防止碰撞；板式件: 不同板件用捆扎带分类打包，边角处用瓦楞纸覆盖，防止损坏；塑料件和五金件: 使用瓦楞纸箱包装。使用包装材料应达参考《财政部办公厅关于印发《商品包装政府采购需求标准（试行）》、《快递包装政府采购需求标准（试行）》的通知》（财办库〔2020〕123号）规定的包装需求标准，现场包装物有供应商负责清理，做到：</w:t>
            </w:r>
          </w:p>
          <w:p w14:paraId="2C196721">
            <w:pPr>
              <w:rPr>
                <w:color w:val="auto"/>
                <w:sz w:val="24"/>
                <w:highlight w:val="none"/>
              </w:rPr>
            </w:pPr>
            <w:r>
              <w:rPr>
                <w:rFonts w:hint="eastAsia"/>
                <w:color w:val="auto"/>
                <w:sz w:val="24"/>
                <w:highlight w:val="none"/>
              </w:rPr>
              <w:t>1.商品包装层数不得超过3 层，空隙率不大于40%；</w:t>
            </w:r>
          </w:p>
          <w:p w14:paraId="387738A3">
            <w:pPr>
              <w:rPr>
                <w:color w:val="auto"/>
                <w:sz w:val="24"/>
                <w:highlight w:val="none"/>
              </w:rPr>
            </w:pPr>
            <w:r>
              <w:rPr>
                <w:rFonts w:hint="eastAsia"/>
                <w:color w:val="auto"/>
                <w:sz w:val="24"/>
                <w:highlight w:val="none"/>
              </w:rPr>
              <w:t>2.商品包装尽可能使用单一材质的包装材料，如因功能需求必需使用不同材质，不同材质间应便于分离；</w:t>
            </w:r>
          </w:p>
          <w:p w14:paraId="6477CD4B">
            <w:pPr>
              <w:rPr>
                <w:color w:val="auto"/>
                <w:sz w:val="24"/>
                <w:highlight w:val="none"/>
              </w:rPr>
            </w:pPr>
            <w:r>
              <w:rPr>
                <w:rFonts w:hint="eastAsia"/>
                <w:color w:val="auto"/>
                <w:sz w:val="24"/>
                <w:highlight w:val="none"/>
              </w:rPr>
              <w:t>3.商品包装中铅、汞、镉、六价铬的总含量应不大于100mg/kg；</w:t>
            </w:r>
          </w:p>
          <w:p w14:paraId="3496C316">
            <w:pPr>
              <w:rPr>
                <w:color w:val="auto"/>
                <w:sz w:val="24"/>
                <w:highlight w:val="none"/>
              </w:rPr>
            </w:pPr>
            <w:r>
              <w:rPr>
                <w:rFonts w:hint="eastAsia"/>
                <w:color w:val="auto"/>
                <w:sz w:val="24"/>
                <w:highlight w:val="none"/>
              </w:rPr>
              <w:t>4.商品包装印刷使用的油墨中挥发性有机化合物(VOCs)含量应不大于 5%（以重量计）；</w:t>
            </w:r>
          </w:p>
          <w:p w14:paraId="0EC40190">
            <w:pPr>
              <w:rPr>
                <w:color w:val="auto"/>
                <w:sz w:val="24"/>
                <w:highlight w:val="none"/>
              </w:rPr>
            </w:pPr>
            <w:r>
              <w:rPr>
                <w:rFonts w:hint="eastAsia"/>
                <w:color w:val="auto"/>
                <w:sz w:val="24"/>
                <w:highlight w:val="none"/>
              </w:rPr>
              <w:t>5.塑料材质商品包装上呈现的印刷颜色不得超过6色；</w:t>
            </w:r>
          </w:p>
          <w:p w14:paraId="595D9F1C">
            <w:pPr>
              <w:rPr>
                <w:color w:val="auto"/>
                <w:sz w:val="24"/>
                <w:highlight w:val="none"/>
              </w:rPr>
            </w:pPr>
            <w:r>
              <w:rPr>
                <w:rFonts w:hint="eastAsia"/>
                <w:color w:val="auto"/>
                <w:sz w:val="24"/>
                <w:highlight w:val="none"/>
              </w:rPr>
              <w:t>6.纸质商品包装应使用75%以上的可再生纤维原料生产；</w:t>
            </w:r>
          </w:p>
          <w:p w14:paraId="3A0CE1BA">
            <w:pPr>
              <w:rPr>
                <w:color w:val="auto"/>
                <w:sz w:val="24"/>
                <w:highlight w:val="none"/>
              </w:rPr>
            </w:pPr>
            <w:r>
              <w:rPr>
                <w:rFonts w:hint="eastAsia"/>
                <w:color w:val="auto"/>
                <w:sz w:val="24"/>
                <w:highlight w:val="none"/>
              </w:rPr>
              <w:t>7.木质商品包装的原料应来源于可持续性森林。</w:t>
            </w:r>
          </w:p>
          <w:p w14:paraId="3B890B7D">
            <w:pPr>
              <w:rPr>
                <w:color w:val="auto"/>
                <w:sz w:val="24"/>
                <w:highlight w:val="none"/>
              </w:rPr>
            </w:pPr>
            <w:r>
              <w:rPr>
                <w:rFonts w:hint="eastAsia"/>
                <w:color w:val="auto"/>
                <w:sz w:val="24"/>
                <w:highlight w:val="none"/>
              </w:rPr>
              <w:t>8.除合同另有规定外，乙方提供的全部货物均应按标准保护措施进行包装。该包装应适应于远距离运输、防潮、防震、防锈和防野蛮装卸，以确保货物安全无损运抵指定现场。由于包装不善所引起的货物锈蚀、损坏和损失均由乙方承担。</w:t>
            </w:r>
          </w:p>
          <w:p w14:paraId="0C23F84C">
            <w:pPr>
              <w:rPr>
                <w:color w:val="auto"/>
                <w:sz w:val="24"/>
                <w:highlight w:val="none"/>
              </w:rPr>
            </w:pPr>
            <w:r>
              <w:rPr>
                <w:rFonts w:hint="eastAsia"/>
                <w:color w:val="auto"/>
                <w:sz w:val="24"/>
                <w:highlight w:val="none"/>
              </w:rPr>
              <w:t>9每件包装箱内应附一份详细装箱单和质量合格凭证。</w:t>
            </w:r>
          </w:p>
          <w:p w14:paraId="473D33DF">
            <w:pPr>
              <w:rPr>
                <w:color w:val="auto"/>
                <w:sz w:val="24"/>
                <w:highlight w:val="none"/>
              </w:rPr>
            </w:pPr>
          </w:p>
        </w:tc>
      </w:tr>
      <w:tr w14:paraId="5ECEFB7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667" w:hRule="atLeast"/>
        </w:trPr>
        <w:tc>
          <w:tcPr>
            <w:tcW w:w="1560" w:type="dxa"/>
            <w:vMerge w:val="continue"/>
            <w:vAlign w:val="center"/>
          </w:tcPr>
          <w:p w14:paraId="11407397">
            <w:pPr>
              <w:jc w:val="center"/>
              <w:rPr>
                <w:rFonts w:ascii="宋体" w:hAnsi="宋体"/>
                <w:color w:val="auto"/>
                <w:sz w:val="24"/>
                <w:highlight w:val="none"/>
              </w:rPr>
            </w:pPr>
          </w:p>
        </w:tc>
        <w:tc>
          <w:tcPr>
            <w:tcW w:w="1789" w:type="dxa"/>
            <w:vAlign w:val="center"/>
          </w:tcPr>
          <w:p w14:paraId="75870E25">
            <w:pPr>
              <w:jc w:val="left"/>
              <w:rPr>
                <w:rFonts w:ascii="宋体" w:hAnsi="宋体"/>
                <w:color w:val="auto"/>
                <w:sz w:val="24"/>
                <w:highlight w:val="none"/>
              </w:rPr>
            </w:pPr>
            <w:r>
              <w:rPr>
                <w:rFonts w:hint="eastAsia" w:ascii="宋体" w:hAnsi="宋体"/>
                <w:color w:val="auto"/>
                <w:sz w:val="24"/>
                <w:highlight w:val="none"/>
              </w:rPr>
              <w:t>指定现场</w:t>
            </w:r>
          </w:p>
        </w:tc>
        <w:tc>
          <w:tcPr>
            <w:tcW w:w="5170" w:type="dxa"/>
            <w:vAlign w:val="center"/>
          </w:tcPr>
          <w:p w14:paraId="3C7A5F63">
            <w:pPr>
              <w:jc w:val="left"/>
              <w:rPr>
                <w:color w:val="auto"/>
                <w:sz w:val="24"/>
                <w:highlight w:val="none"/>
              </w:rPr>
            </w:pPr>
          </w:p>
        </w:tc>
      </w:tr>
      <w:tr w14:paraId="53128D7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2" w:hRule="atLeast"/>
        </w:trPr>
        <w:tc>
          <w:tcPr>
            <w:tcW w:w="1560" w:type="dxa"/>
            <w:vAlign w:val="center"/>
          </w:tcPr>
          <w:p w14:paraId="3CA13BD7">
            <w:pPr>
              <w:jc w:val="center"/>
              <w:rPr>
                <w:rFonts w:ascii="宋体" w:hAnsi="宋体"/>
                <w:color w:val="auto"/>
                <w:sz w:val="24"/>
                <w:highlight w:val="none"/>
              </w:rPr>
            </w:pPr>
            <w:r>
              <w:rPr>
                <w:rFonts w:hint="eastAsia" w:ascii="宋体" w:hAnsi="宋体"/>
                <w:color w:val="auto"/>
                <w:sz w:val="24"/>
                <w:highlight w:val="none"/>
              </w:rPr>
              <w:t>第二节</w:t>
            </w:r>
          </w:p>
          <w:p w14:paraId="3FBF24C9">
            <w:pPr>
              <w:jc w:val="center"/>
              <w:rPr>
                <w:rFonts w:ascii="宋体" w:hAnsi="宋体"/>
                <w:color w:val="auto"/>
                <w:sz w:val="24"/>
                <w:highlight w:val="none"/>
              </w:rPr>
            </w:pPr>
            <w:r>
              <w:rPr>
                <w:rFonts w:hint="eastAsia" w:ascii="宋体" w:hAnsi="宋体"/>
                <w:color w:val="auto"/>
                <w:sz w:val="24"/>
                <w:highlight w:val="none"/>
              </w:rPr>
              <w:t>第7.2款</w:t>
            </w:r>
          </w:p>
        </w:tc>
        <w:tc>
          <w:tcPr>
            <w:tcW w:w="1789" w:type="dxa"/>
            <w:vAlign w:val="center"/>
          </w:tcPr>
          <w:p w14:paraId="7936F644">
            <w:pPr>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vAlign w:val="center"/>
          </w:tcPr>
          <w:p w14:paraId="1FC4FAC1">
            <w:pPr>
              <w:rPr>
                <w:color w:val="auto"/>
                <w:sz w:val="24"/>
                <w:highlight w:val="none"/>
              </w:rPr>
            </w:pPr>
            <w:r>
              <w:rPr>
                <w:rFonts w:hint="eastAsia"/>
                <w:color w:val="auto"/>
                <w:sz w:val="24"/>
                <w:highlight w:val="none"/>
              </w:rPr>
              <w:t>1.货物验收合格、交付使用并提供所需单据的日期视为交货日期。</w:t>
            </w:r>
          </w:p>
          <w:p w14:paraId="78CA1EE4">
            <w:pPr>
              <w:pStyle w:val="21"/>
              <w:ind w:firstLine="0" w:firstLineChars="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2.乙方在货物发运手续办理完毕后24小时内或货到48小时前通知甲方，以准备接货。（具体时间根据双方实际需求调整）</w:t>
            </w:r>
          </w:p>
          <w:p w14:paraId="08A617A2">
            <w:pPr>
              <w:rPr>
                <w:color w:val="auto"/>
                <w:sz w:val="24"/>
                <w:highlight w:val="none"/>
              </w:rPr>
            </w:pPr>
            <w:r>
              <w:rPr>
                <w:rFonts w:hint="eastAsia"/>
                <w:color w:val="auto"/>
                <w:sz w:val="24"/>
                <w:highlight w:val="none"/>
              </w:rPr>
              <w:t>3.乙方装运的货物不应超过合同规定的数量或重量。乙方应对超交数量或超重而产生的一切后果负责。</w:t>
            </w:r>
          </w:p>
          <w:p w14:paraId="319A00DC">
            <w:pPr>
              <w:pStyle w:val="21"/>
              <w:ind w:firstLine="0" w:firstLineChars="0"/>
              <w:rPr>
                <w:color w:val="auto"/>
                <w:highlight w:val="none"/>
              </w:rPr>
            </w:pPr>
            <w:r>
              <w:rPr>
                <w:rFonts w:hint="eastAsia" w:ascii="Times New Roman" w:hAnsi="Times New Roman" w:eastAsia="宋体" w:cs="Times New Roman"/>
                <w:color w:val="auto"/>
                <w:sz w:val="24"/>
                <w:szCs w:val="24"/>
                <w:highlight w:val="none"/>
              </w:rPr>
              <w:t>4.货物在交付甲方前发生的风险均由乙方负责。</w:t>
            </w:r>
          </w:p>
        </w:tc>
      </w:tr>
      <w:tr w14:paraId="04C02E7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1560" w:type="dxa"/>
            <w:vAlign w:val="center"/>
          </w:tcPr>
          <w:p w14:paraId="1EF2B122">
            <w:pPr>
              <w:jc w:val="center"/>
              <w:rPr>
                <w:rFonts w:ascii="宋体" w:hAnsi="宋体"/>
                <w:color w:val="auto"/>
                <w:sz w:val="24"/>
                <w:highlight w:val="none"/>
              </w:rPr>
            </w:pPr>
            <w:r>
              <w:rPr>
                <w:rFonts w:hint="eastAsia" w:ascii="宋体" w:hAnsi="宋体"/>
                <w:color w:val="auto"/>
                <w:sz w:val="24"/>
                <w:highlight w:val="none"/>
              </w:rPr>
              <w:t>第二节</w:t>
            </w:r>
          </w:p>
          <w:p w14:paraId="46D0D0B9">
            <w:pPr>
              <w:jc w:val="center"/>
              <w:rPr>
                <w:rFonts w:ascii="宋体" w:hAnsi="宋体"/>
                <w:color w:val="auto"/>
                <w:sz w:val="24"/>
                <w:highlight w:val="none"/>
              </w:rPr>
            </w:pPr>
            <w:r>
              <w:rPr>
                <w:rFonts w:hint="eastAsia" w:ascii="宋体" w:hAnsi="宋体"/>
                <w:color w:val="auto"/>
                <w:sz w:val="24"/>
                <w:highlight w:val="none"/>
              </w:rPr>
              <w:t>第7.3款</w:t>
            </w:r>
          </w:p>
        </w:tc>
        <w:tc>
          <w:tcPr>
            <w:tcW w:w="1789" w:type="dxa"/>
            <w:vAlign w:val="center"/>
          </w:tcPr>
          <w:p w14:paraId="33FD0602">
            <w:pPr>
              <w:jc w:val="left"/>
              <w:rPr>
                <w:rFonts w:ascii="宋体" w:hAnsi="宋体"/>
                <w:color w:val="auto"/>
                <w:sz w:val="24"/>
                <w:highlight w:val="none"/>
              </w:rPr>
            </w:pPr>
            <w:r>
              <w:rPr>
                <w:rFonts w:hint="eastAsia" w:ascii="宋体" w:hAnsi="宋体"/>
                <w:color w:val="auto"/>
                <w:sz w:val="24"/>
                <w:highlight w:val="none"/>
              </w:rPr>
              <w:t>保险要求</w:t>
            </w:r>
          </w:p>
        </w:tc>
        <w:tc>
          <w:tcPr>
            <w:tcW w:w="5170" w:type="dxa"/>
            <w:vAlign w:val="center"/>
          </w:tcPr>
          <w:p w14:paraId="476F8F01">
            <w:pPr>
              <w:rPr>
                <w:color w:val="auto"/>
                <w:sz w:val="24"/>
                <w:highlight w:val="none"/>
              </w:rPr>
            </w:pPr>
            <w:r>
              <w:rPr>
                <w:color w:val="auto"/>
                <w:sz w:val="24"/>
                <w:highlight w:val="none"/>
              </w:rPr>
              <w:t>货物交货前由乙方承担保险义务</w:t>
            </w:r>
          </w:p>
        </w:tc>
      </w:tr>
      <w:tr w14:paraId="692F7ED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560" w:type="dxa"/>
            <w:vAlign w:val="center"/>
          </w:tcPr>
          <w:p w14:paraId="204211BD">
            <w:pPr>
              <w:jc w:val="center"/>
              <w:rPr>
                <w:rFonts w:ascii="宋体" w:hAnsi="宋体"/>
                <w:color w:val="auto"/>
                <w:sz w:val="24"/>
                <w:highlight w:val="none"/>
              </w:rPr>
            </w:pPr>
            <w:r>
              <w:rPr>
                <w:rFonts w:hint="eastAsia" w:ascii="宋体" w:hAnsi="宋体"/>
                <w:color w:val="auto"/>
                <w:sz w:val="24"/>
                <w:highlight w:val="none"/>
              </w:rPr>
              <w:t>第二节</w:t>
            </w:r>
          </w:p>
          <w:p w14:paraId="383EE93B">
            <w:pPr>
              <w:jc w:val="center"/>
              <w:rPr>
                <w:rFonts w:ascii="宋体" w:hAnsi="宋体"/>
                <w:color w:val="auto"/>
                <w:sz w:val="24"/>
                <w:highlight w:val="none"/>
              </w:rPr>
            </w:pPr>
            <w:r>
              <w:rPr>
                <w:rFonts w:hint="eastAsia" w:ascii="宋体" w:hAnsi="宋体"/>
                <w:color w:val="auto"/>
                <w:sz w:val="24"/>
                <w:highlight w:val="none"/>
              </w:rPr>
              <w:t>第8.2（1）项</w:t>
            </w:r>
          </w:p>
        </w:tc>
        <w:tc>
          <w:tcPr>
            <w:tcW w:w="1789" w:type="dxa"/>
            <w:vAlign w:val="center"/>
          </w:tcPr>
          <w:p w14:paraId="4BE97693">
            <w:pPr>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vAlign w:val="center"/>
          </w:tcPr>
          <w:p w14:paraId="1FADC72D">
            <w:pPr>
              <w:pStyle w:val="14"/>
              <w:spacing w:before="120" w:beforeAutospacing="0" w:after="120" w:afterAutospacing="0"/>
              <w:ind w:left="480" w:hanging="480"/>
              <w:jc w:val="both"/>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rPr>
              <w:t>货物免费质保期</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两</w:t>
            </w:r>
            <w:r>
              <w:rPr>
                <w:rFonts w:hint="eastAsia" w:ascii="宋体" w:hAnsi="宋体"/>
                <w:color w:val="auto"/>
                <w:highlight w:val="none"/>
                <w:u w:val="single"/>
              </w:rPr>
              <w:t xml:space="preserve">  年</w:t>
            </w:r>
            <w:r>
              <w:rPr>
                <w:rFonts w:hint="eastAsia" w:ascii="宋体" w:hAnsi="宋体"/>
                <w:color w:val="auto"/>
                <w:highlight w:val="none"/>
              </w:rPr>
              <w:t>。</w:t>
            </w:r>
            <w:r>
              <w:rPr>
                <w:rFonts w:hint="eastAsia" w:ascii="宋体" w:hAnsi="宋体"/>
                <w:b/>
                <w:bCs/>
                <w:color w:val="auto"/>
                <w:highlight w:val="none"/>
              </w:rPr>
              <w:t>（</w:t>
            </w:r>
            <w:r>
              <w:rPr>
                <w:rFonts w:hint="eastAsia" w:ascii="宋体" w:hAnsi="宋体" w:cs="宋体"/>
                <w:b/>
                <w:bCs/>
                <w:color w:val="auto"/>
                <w:highlight w:val="none"/>
              </w:rPr>
              <w:t>自</w:t>
            </w:r>
            <w:r>
              <w:rPr>
                <w:rFonts w:hint="eastAsia" w:ascii="宋体" w:hAnsi="宋体" w:cs="宋体"/>
                <w:b/>
                <w:bCs/>
                <w:color w:val="auto"/>
                <w:highlight w:val="none"/>
                <w:lang w:val="en-US" w:eastAsia="zh-CN"/>
              </w:rPr>
              <w:t>生产日期起计算</w:t>
            </w:r>
            <w:r>
              <w:rPr>
                <w:rFonts w:hint="eastAsia" w:ascii="宋体" w:hAnsi="宋体" w:cs="宋体"/>
                <w:b/>
                <w:bCs/>
                <w:color w:val="auto"/>
                <w:highlight w:val="none"/>
              </w:rPr>
              <w:t>）。</w:t>
            </w:r>
          </w:p>
        </w:tc>
      </w:tr>
      <w:tr w14:paraId="1E124A2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560" w:type="dxa"/>
            <w:vAlign w:val="center"/>
          </w:tcPr>
          <w:p w14:paraId="0885F93D">
            <w:pPr>
              <w:jc w:val="center"/>
              <w:rPr>
                <w:rFonts w:ascii="宋体" w:hAnsi="宋体"/>
                <w:color w:val="auto"/>
                <w:sz w:val="24"/>
                <w:highlight w:val="none"/>
              </w:rPr>
            </w:pPr>
            <w:r>
              <w:rPr>
                <w:rFonts w:hint="eastAsia" w:ascii="宋体" w:hAnsi="宋体"/>
                <w:color w:val="auto"/>
                <w:sz w:val="24"/>
                <w:highlight w:val="none"/>
              </w:rPr>
              <w:t>第二节</w:t>
            </w:r>
          </w:p>
          <w:p w14:paraId="04C0F63F">
            <w:pPr>
              <w:jc w:val="center"/>
              <w:rPr>
                <w:rFonts w:ascii="宋体" w:hAnsi="宋体"/>
                <w:color w:val="auto"/>
                <w:sz w:val="24"/>
                <w:highlight w:val="none"/>
              </w:rPr>
            </w:pPr>
            <w:r>
              <w:rPr>
                <w:rFonts w:hint="eastAsia" w:ascii="宋体" w:hAnsi="宋体"/>
                <w:color w:val="auto"/>
                <w:sz w:val="24"/>
                <w:highlight w:val="none"/>
              </w:rPr>
              <w:t>第8.2（3）项</w:t>
            </w:r>
          </w:p>
        </w:tc>
        <w:tc>
          <w:tcPr>
            <w:tcW w:w="1789" w:type="dxa"/>
            <w:vAlign w:val="center"/>
          </w:tcPr>
          <w:p w14:paraId="42CE12CC">
            <w:pPr>
              <w:jc w:val="left"/>
              <w:rPr>
                <w:rFonts w:ascii="宋体" w:hAnsi="宋体"/>
                <w:color w:val="auto"/>
                <w:sz w:val="24"/>
                <w:highlight w:val="none"/>
              </w:rPr>
            </w:pPr>
            <w:r>
              <w:rPr>
                <w:rFonts w:hint="eastAsia" w:ascii="宋体" w:hAnsi="宋体"/>
                <w:color w:val="auto"/>
                <w:sz w:val="24"/>
                <w:highlight w:val="none"/>
              </w:rPr>
              <w:t>货物质量缺陷</w:t>
            </w:r>
          </w:p>
          <w:p w14:paraId="7F5F11D3">
            <w:pPr>
              <w:jc w:val="left"/>
              <w:rPr>
                <w:rFonts w:ascii="宋体" w:hAnsi="宋体"/>
                <w:color w:val="auto"/>
                <w:sz w:val="24"/>
                <w:highlight w:val="none"/>
              </w:rPr>
            </w:pPr>
            <w:r>
              <w:rPr>
                <w:rFonts w:hint="eastAsia" w:ascii="宋体" w:hAnsi="宋体"/>
                <w:color w:val="auto"/>
                <w:sz w:val="24"/>
                <w:highlight w:val="none"/>
              </w:rPr>
              <w:t>响应时间</w:t>
            </w:r>
          </w:p>
        </w:tc>
        <w:tc>
          <w:tcPr>
            <w:tcW w:w="5170" w:type="dxa"/>
            <w:vAlign w:val="center"/>
          </w:tcPr>
          <w:p w14:paraId="3F9EED50">
            <w:pPr>
              <w:jc w:val="left"/>
              <w:rPr>
                <w:rFonts w:ascii="宋体" w:hAnsi="宋体"/>
                <w:color w:val="auto"/>
                <w:sz w:val="24"/>
                <w:highlight w:val="none"/>
              </w:rPr>
            </w:pPr>
            <w:r>
              <w:rPr>
                <w:rFonts w:hint="eastAsia" w:ascii="宋体" w:hAnsi="宋体"/>
                <w:color w:val="auto"/>
                <w:sz w:val="24"/>
                <w:highlight w:val="none"/>
              </w:rPr>
              <w:t xml:space="preserve"> 如在使用过程中发生质量问题，乙方在接到甲方通知后</w:t>
            </w:r>
            <w:r>
              <w:rPr>
                <w:rFonts w:hint="eastAsia" w:ascii="宋体" w:hAnsi="宋体"/>
                <w:color w:val="auto"/>
                <w:sz w:val="24"/>
                <w:highlight w:val="none"/>
              </w:rPr>
              <w:t>在__</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_</w:t>
            </w:r>
            <w:r>
              <w:rPr>
                <w:rFonts w:hint="eastAsia" w:ascii="宋体" w:hAnsi="宋体"/>
                <w:color w:val="auto"/>
                <w:sz w:val="24"/>
                <w:highlight w:val="none"/>
              </w:rPr>
              <w:t>___小时内</w:t>
            </w:r>
            <w:r>
              <w:rPr>
                <w:rFonts w:hint="eastAsia" w:ascii="宋体" w:hAnsi="宋体"/>
                <w:color w:val="auto"/>
                <w:sz w:val="24"/>
                <w:highlight w:val="none"/>
              </w:rPr>
              <w:t>到达甲方现场。</w:t>
            </w:r>
          </w:p>
        </w:tc>
      </w:tr>
      <w:tr w14:paraId="4FBAB93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560" w:type="dxa"/>
            <w:vAlign w:val="center"/>
          </w:tcPr>
          <w:p w14:paraId="31F22A20">
            <w:pPr>
              <w:jc w:val="center"/>
              <w:rPr>
                <w:rFonts w:ascii="宋体" w:hAnsi="宋体"/>
                <w:color w:val="auto"/>
                <w:sz w:val="24"/>
                <w:highlight w:val="none"/>
              </w:rPr>
            </w:pPr>
            <w:r>
              <w:rPr>
                <w:rFonts w:hint="eastAsia" w:ascii="宋体" w:hAnsi="宋体"/>
                <w:color w:val="auto"/>
                <w:sz w:val="24"/>
                <w:highlight w:val="none"/>
              </w:rPr>
              <w:t>第二节</w:t>
            </w:r>
          </w:p>
          <w:p w14:paraId="2DBDB4F8">
            <w:pPr>
              <w:jc w:val="center"/>
              <w:rPr>
                <w:rFonts w:hint="eastAsia" w:ascii="宋体" w:hAnsi="宋体"/>
                <w:color w:val="auto"/>
                <w:sz w:val="24"/>
                <w:highlight w:val="none"/>
              </w:rPr>
            </w:pPr>
            <w:r>
              <w:rPr>
                <w:rFonts w:hint="eastAsia" w:ascii="宋体" w:hAnsi="宋体"/>
                <w:color w:val="auto"/>
                <w:sz w:val="24"/>
                <w:highlight w:val="none"/>
              </w:rPr>
              <w:t>第8款补充</w:t>
            </w:r>
          </w:p>
        </w:tc>
        <w:tc>
          <w:tcPr>
            <w:tcW w:w="1789" w:type="dxa"/>
            <w:vAlign w:val="center"/>
          </w:tcPr>
          <w:p w14:paraId="46D5EF70">
            <w:pPr>
              <w:jc w:val="left"/>
              <w:rPr>
                <w:rFonts w:hint="eastAsia" w:ascii="宋体" w:hAnsi="宋体"/>
                <w:color w:val="auto"/>
                <w:sz w:val="24"/>
                <w:highlight w:val="none"/>
              </w:rPr>
            </w:pPr>
            <w:r>
              <w:rPr>
                <w:rFonts w:hint="eastAsia" w:ascii="宋体" w:hAnsi="宋体"/>
                <w:color w:val="auto"/>
                <w:sz w:val="24"/>
                <w:highlight w:val="none"/>
              </w:rPr>
              <w:t>质量保证要求</w:t>
            </w:r>
          </w:p>
        </w:tc>
        <w:tc>
          <w:tcPr>
            <w:tcW w:w="5170" w:type="dxa"/>
            <w:vAlign w:val="center"/>
          </w:tcPr>
          <w:p w14:paraId="45CC46F8">
            <w:pPr>
              <w:jc w:val="left"/>
              <w:rPr>
                <w:rFonts w:ascii="宋体" w:hAnsi="宋体"/>
                <w:color w:val="auto"/>
                <w:sz w:val="24"/>
                <w:highlight w:val="none"/>
              </w:rPr>
            </w:pPr>
            <w:r>
              <w:rPr>
                <w:rFonts w:hint="eastAsia" w:ascii="宋体" w:hAnsi="宋体"/>
                <w:color w:val="auto"/>
                <w:sz w:val="24"/>
                <w:highlight w:val="none"/>
              </w:rPr>
              <w:t>1. 在质保期内，乙方应对货物出现的质量及安全问题负责处理解决并承担一切费用（因甲方不当使用的除外）。</w:t>
            </w:r>
          </w:p>
          <w:p w14:paraId="494108AC">
            <w:pPr>
              <w:jc w:val="left"/>
              <w:rPr>
                <w:rFonts w:ascii="宋体" w:hAnsi="宋体"/>
                <w:color w:val="auto"/>
                <w:sz w:val="24"/>
                <w:highlight w:val="none"/>
              </w:rPr>
            </w:pPr>
            <w:r>
              <w:rPr>
                <w:rFonts w:hint="eastAsia" w:ascii="宋体" w:hAnsi="宋体"/>
                <w:color w:val="auto"/>
                <w:sz w:val="24"/>
                <w:highlight w:val="none"/>
              </w:rPr>
              <w:t>2.乙方应按照国家有关法律法规规章和“三包”规定以及</w:t>
            </w:r>
            <w:r>
              <w:rPr>
                <w:rFonts w:hint="eastAsia" w:ascii="宋体" w:hAnsi="宋体"/>
                <w:color w:val="auto"/>
                <w:sz w:val="24"/>
                <w:highlight w:val="none"/>
                <w:lang w:eastAsia="zh-CN"/>
              </w:rPr>
              <w:t>询价文件</w:t>
            </w:r>
            <w:r>
              <w:rPr>
                <w:rFonts w:hint="eastAsia" w:ascii="宋体" w:hAnsi="宋体"/>
                <w:color w:val="auto"/>
                <w:sz w:val="24"/>
                <w:highlight w:val="none"/>
              </w:rPr>
              <w:t>售后服务要求及投标文件售后服务承诺提供售后服务。</w:t>
            </w:r>
          </w:p>
          <w:p w14:paraId="7C9B7C0B">
            <w:pPr>
              <w:jc w:val="left"/>
              <w:rPr>
                <w:rFonts w:ascii="宋体" w:hAnsi="宋体"/>
                <w:color w:val="auto"/>
                <w:sz w:val="24"/>
                <w:highlight w:val="none"/>
              </w:rPr>
            </w:pPr>
            <w:r>
              <w:rPr>
                <w:rFonts w:hint="eastAsia" w:ascii="宋体" w:hAnsi="宋体"/>
                <w:color w:val="auto"/>
                <w:sz w:val="24"/>
                <w:highlight w:val="none"/>
              </w:rPr>
              <w:t>3.所有货物保修服务方式均为乙方上门保修，由乙方派员到货物使用现场维修，所产生的一切费用由乙方承担（双方视项目情况调整）。</w:t>
            </w:r>
          </w:p>
          <w:p w14:paraId="2FAB9C9F">
            <w:pPr>
              <w:jc w:val="left"/>
              <w:rPr>
                <w:rFonts w:ascii="宋体" w:hAnsi="宋体"/>
                <w:color w:val="auto"/>
                <w:sz w:val="24"/>
                <w:highlight w:val="none"/>
              </w:rPr>
            </w:pPr>
            <w:r>
              <w:rPr>
                <w:rFonts w:hint="eastAsia" w:ascii="宋体" w:hAnsi="宋体"/>
                <w:color w:val="auto"/>
                <w:sz w:val="24"/>
                <w:highlight w:val="none"/>
              </w:rPr>
              <w:t>4.乙方负责提供本项目范围内所使用的所有货物、材料、装置的原产地证明、质保文件和相应的等级标准证明并承诺向甲方提供有关产品制造的质保证明。乙方所提供的货物，若技术性能无特殊说明，则按国家有关部门最新颁布的产品标准为准。</w:t>
            </w:r>
          </w:p>
          <w:p w14:paraId="2E666E17">
            <w:pPr>
              <w:jc w:val="left"/>
              <w:rPr>
                <w:rFonts w:ascii="宋体" w:hAnsi="宋体"/>
                <w:color w:val="auto"/>
                <w:sz w:val="24"/>
                <w:highlight w:val="none"/>
              </w:rPr>
            </w:pPr>
            <w:r>
              <w:rPr>
                <w:rFonts w:hint="eastAsia" w:ascii="宋体" w:hAnsi="宋体"/>
                <w:color w:val="auto"/>
                <w:sz w:val="24"/>
                <w:highlight w:val="none"/>
              </w:rPr>
              <w:t>5.甲方有权对乙方进行飞行检查，如果发现任何问题乙方必须无条件返工，甚至可以终止合同，乙方需赔偿甲方因此而造成的所有损失，飞行检查过程中发生的食宿、交通等费用由甲方自行承担。</w:t>
            </w:r>
          </w:p>
          <w:p w14:paraId="69FE9CA2">
            <w:pPr>
              <w:jc w:val="left"/>
              <w:rPr>
                <w:rFonts w:ascii="宋体" w:hAnsi="宋体"/>
                <w:color w:val="auto"/>
                <w:sz w:val="24"/>
                <w:highlight w:val="none"/>
              </w:rPr>
            </w:pPr>
            <w:r>
              <w:rPr>
                <w:rFonts w:hint="eastAsia" w:ascii="宋体" w:hAnsi="宋体"/>
                <w:color w:val="auto"/>
                <w:sz w:val="24"/>
                <w:highlight w:val="none"/>
              </w:rPr>
              <w:t>6.货物、材料运抵现场后，在甲方和甲方聘请的监理或质检人员在场的情况下进行开箱检验后由乙方负责保管。必要时甲方可以采取破坏性检验，将有关货物和材料送货物到达地的质检部门检验，如果检验合格，检验费由甲方负担；如果检验不合格，则检验费由乙方负担。</w:t>
            </w:r>
          </w:p>
          <w:p w14:paraId="41DCD4F7">
            <w:pPr>
              <w:jc w:val="left"/>
              <w:rPr>
                <w:rFonts w:ascii="宋体" w:hAnsi="宋体"/>
                <w:color w:val="auto"/>
                <w:sz w:val="24"/>
                <w:highlight w:val="none"/>
              </w:rPr>
            </w:pPr>
            <w:r>
              <w:rPr>
                <w:rFonts w:hint="eastAsia" w:ascii="宋体" w:hAnsi="宋体"/>
                <w:color w:val="auto"/>
                <w:sz w:val="24"/>
                <w:highlight w:val="none"/>
              </w:rPr>
              <w:t>7.对货物的品牌、型号、数量、产地等进行检查和清点，同类型的所有货物和材料应属同一制造商的同一地产品。如检验中发现短缺、损坏或假冒伪劣商品，乙方应立即采取补救措施，不得因此影响供货，否则一切损失由乙方负责。</w:t>
            </w:r>
          </w:p>
          <w:p w14:paraId="6EB5FEE1">
            <w:pPr>
              <w:jc w:val="left"/>
              <w:rPr>
                <w:rFonts w:hint="eastAsia" w:ascii="宋体" w:hAnsi="宋体"/>
                <w:color w:val="auto"/>
                <w:highlight w:val="none"/>
              </w:rPr>
            </w:pPr>
            <w:r>
              <w:rPr>
                <w:rFonts w:hint="eastAsia" w:ascii="宋体" w:hAnsi="宋体"/>
                <w:color w:val="auto"/>
                <w:sz w:val="24"/>
                <w:highlight w:val="none"/>
              </w:rPr>
              <w:t>8</w:t>
            </w:r>
            <w:r>
              <w:rPr>
                <w:rFonts w:hint="eastAsia" w:ascii="宋体" w:hAnsi="宋体"/>
                <w:color w:val="auto"/>
                <w:sz w:val="24"/>
                <w:highlight w:val="none"/>
                <w:lang w:val="en-US" w:eastAsia="zh-CN"/>
              </w:rPr>
              <w:t>.乙方应保证货物是全新、未使用过的，是用一流的工艺和最佳材料制造的、合法渠道进货的正宗、未使用过的原装合格正品，产品质量完全符合国家规定的产品质量标准，并完全符合合同规定的质量、规格和性能的要求。乙方应保证其货物在正确安装、正常使用和保养条件下，在其使用寿命期内应具有满意的性能。</w:t>
            </w:r>
          </w:p>
        </w:tc>
      </w:tr>
      <w:tr w14:paraId="7534D33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560" w:type="dxa"/>
            <w:vAlign w:val="center"/>
          </w:tcPr>
          <w:p w14:paraId="7DC35717">
            <w:pPr>
              <w:jc w:val="center"/>
              <w:rPr>
                <w:rFonts w:ascii="宋体" w:hAnsi="宋体" w:cs="宋体"/>
                <w:color w:val="auto"/>
                <w:sz w:val="24"/>
                <w:highlight w:val="none"/>
              </w:rPr>
            </w:pPr>
            <w:r>
              <w:rPr>
                <w:rFonts w:hint="eastAsia" w:ascii="宋体" w:hAnsi="宋体" w:cs="宋体"/>
                <w:color w:val="auto"/>
                <w:sz w:val="24"/>
                <w:highlight w:val="none"/>
              </w:rPr>
              <w:t>第二节</w:t>
            </w:r>
          </w:p>
          <w:p w14:paraId="51757F06">
            <w:pPr>
              <w:widowControl/>
              <w:spacing w:line="400" w:lineRule="exact"/>
              <w:jc w:val="center"/>
              <w:rPr>
                <w:rFonts w:ascii="华文楷体" w:hAnsi="华文楷体" w:eastAsia="华文楷体" w:cs="华文楷体"/>
                <w:color w:val="auto"/>
                <w:sz w:val="24"/>
                <w:highlight w:val="none"/>
              </w:rPr>
            </w:pPr>
            <w:r>
              <w:rPr>
                <w:rFonts w:hint="eastAsia" w:ascii="宋体" w:hAnsi="宋体" w:cs="宋体"/>
                <w:color w:val="auto"/>
                <w:sz w:val="24"/>
                <w:highlight w:val="none"/>
              </w:rPr>
              <w:t>第11.1款</w:t>
            </w:r>
          </w:p>
        </w:tc>
        <w:tc>
          <w:tcPr>
            <w:tcW w:w="1789" w:type="dxa"/>
            <w:vAlign w:val="center"/>
          </w:tcPr>
          <w:p w14:paraId="6D85F404">
            <w:pPr>
              <w:rPr>
                <w:rFonts w:ascii="宋体" w:hAnsi="宋体"/>
                <w:color w:val="auto"/>
                <w:sz w:val="24"/>
                <w:highlight w:val="none"/>
              </w:rPr>
            </w:pPr>
            <w:r>
              <w:rPr>
                <w:rFonts w:hint="eastAsia" w:ascii="宋体" w:hAnsi="宋体"/>
                <w:color w:val="auto"/>
                <w:sz w:val="24"/>
                <w:highlight w:val="none"/>
              </w:rPr>
              <w:t>其他应当保密的信息</w:t>
            </w:r>
          </w:p>
        </w:tc>
        <w:tc>
          <w:tcPr>
            <w:tcW w:w="5170" w:type="dxa"/>
            <w:vAlign w:val="center"/>
          </w:tcPr>
          <w:p w14:paraId="7C189016">
            <w:pPr>
              <w:jc w:val="left"/>
              <w:rPr>
                <w:rFonts w:ascii="宋体" w:hAnsi="宋体"/>
                <w:color w:val="auto"/>
                <w:sz w:val="24"/>
                <w:highlight w:val="none"/>
              </w:rPr>
            </w:pPr>
          </w:p>
        </w:tc>
      </w:tr>
      <w:tr w14:paraId="175C902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97" w:hRule="atLeast"/>
        </w:trPr>
        <w:tc>
          <w:tcPr>
            <w:tcW w:w="1560" w:type="dxa"/>
            <w:vAlign w:val="center"/>
          </w:tcPr>
          <w:p w14:paraId="35D7CABF">
            <w:pPr>
              <w:jc w:val="center"/>
              <w:rPr>
                <w:rFonts w:ascii="宋体" w:hAnsi="宋体"/>
                <w:color w:val="auto"/>
                <w:sz w:val="24"/>
                <w:highlight w:val="none"/>
              </w:rPr>
            </w:pPr>
            <w:r>
              <w:rPr>
                <w:rFonts w:hint="eastAsia" w:ascii="宋体" w:hAnsi="宋体"/>
                <w:color w:val="auto"/>
                <w:sz w:val="24"/>
                <w:highlight w:val="none"/>
              </w:rPr>
              <w:t>第二节</w:t>
            </w:r>
          </w:p>
          <w:p w14:paraId="16A20679">
            <w:pPr>
              <w:jc w:val="center"/>
              <w:rPr>
                <w:rFonts w:ascii="宋体" w:hAnsi="宋体"/>
                <w:color w:val="auto"/>
                <w:sz w:val="24"/>
                <w:highlight w:val="none"/>
              </w:rPr>
            </w:pPr>
            <w:r>
              <w:rPr>
                <w:rFonts w:hint="eastAsia" w:ascii="宋体" w:hAnsi="宋体"/>
                <w:color w:val="auto"/>
                <w:sz w:val="24"/>
                <w:highlight w:val="none"/>
              </w:rPr>
              <w:t>第12.2款</w:t>
            </w:r>
          </w:p>
        </w:tc>
        <w:tc>
          <w:tcPr>
            <w:tcW w:w="1789" w:type="dxa"/>
            <w:vAlign w:val="center"/>
          </w:tcPr>
          <w:p w14:paraId="1139BEB9">
            <w:pPr>
              <w:jc w:val="left"/>
              <w:rPr>
                <w:rFonts w:ascii="宋体" w:hAnsi="宋体"/>
                <w:color w:val="auto"/>
                <w:sz w:val="24"/>
                <w:highlight w:val="none"/>
              </w:rPr>
            </w:pPr>
            <w:r>
              <w:rPr>
                <w:rFonts w:hint="eastAsia" w:ascii="宋体" w:hAnsi="宋体"/>
                <w:color w:val="auto"/>
                <w:sz w:val="24"/>
                <w:highlight w:val="none"/>
              </w:rPr>
              <w:t>合同价款支付时间及要求</w:t>
            </w:r>
          </w:p>
        </w:tc>
        <w:tc>
          <w:tcPr>
            <w:tcW w:w="5170" w:type="dxa"/>
            <w:vAlign w:val="center"/>
          </w:tcPr>
          <w:p w14:paraId="4BFA46F1">
            <w:pPr>
              <w:jc w:val="left"/>
              <w:rPr>
                <w:rFonts w:ascii="宋体" w:hAnsi="宋体"/>
                <w:color w:val="auto"/>
                <w:sz w:val="24"/>
                <w:highlight w:val="none"/>
              </w:rPr>
            </w:pPr>
            <w:r>
              <w:rPr>
                <w:rFonts w:hint="eastAsia" w:ascii="宋体" w:hAnsi="宋体"/>
                <w:color w:val="auto"/>
                <w:sz w:val="24"/>
                <w:highlight w:val="none"/>
              </w:rPr>
              <w:t>1.合同款项的支付方式及进度安排：</w:t>
            </w:r>
          </w:p>
          <w:p w14:paraId="15C061C2">
            <w:pPr>
              <w:jc w:val="left"/>
              <w:rPr>
                <w:rFonts w:ascii="宋体" w:hAnsi="宋体"/>
                <w:color w:val="auto"/>
                <w:sz w:val="24"/>
                <w:highlight w:val="none"/>
              </w:rPr>
            </w:pPr>
            <w:r>
              <w:rPr>
                <w:rFonts w:hint="eastAsia" w:ascii="宋体" w:hAnsi="宋体"/>
                <w:color w:val="auto"/>
                <w:sz w:val="24"/>
                <w:highlight w:val="none"/>
              </w:rPr>
              <w:t>①自合同签订生效之日起，收到乙方发票10个工作日内，甲方向乙方支付合同总价的____款项作为预付款；</w:t>
            </w:r>
          </w:p>
          <w:p w14:paraId="3BA7223F">
            <w:pPr>
              <w:jc w:val="left"/>
              <w:rPr>
                <w:rFonts w:ascii="宋体" w:hAnsi="宋体"/>
                <w:color w:val="auto"/>
                <w:sz w:val="24"/>
                <w:highlight w:val="none"/>
              </w:rPr>
            </w:pPr>
            <w:r>
              <w:rPr>
                <w:rFonts w:hint="eastAsia" w:ascii="宋体" w:hAnsi="宋体"/>
                <w:color w:val="auto"/>
                <w:sz w:val="24"/>
                <w:highlight w:val="none"/>
              </w:rPr>
              <w:t>②所有货物安装完毕，甲方组织初步验收，初步验收合格后收到乙方发票10个工作日内甲方向乙方支付至合同总价的____款项；</w:t>
            </w:r>
          </w:p>
          <w:p w14:paraId="0D819207">
            <w:pPr>
              <w:jc w:val="left"/>
              <w:rPr>
                <w:rFonts w:hint="eastAsia" w:ascii="宋体" w:hAnsi="宋体"/>
                <w:color w:val="auto"/>
                <w:sz w:val="24"/>
                <w:highlight w:val="none"/>
              </w:rPr>
            </w:pPr>
            <w:r>
              <w:rPr>
                <w:rFonts w:hint="eastAsia" w:ascii="宋体" w:hAnsi="宋体"/>
                <w:color w:val="auto"/>
                <w:sz w:val="24"/>
                <w:highlight w:val="none"/>
              </w:rPr>
              <w:t>③初步验收合格且项目运行满____个月后，甲方组织最终验收，最终验收合格后收到乙方发票10个工作日内甲方付清货款。</w:t>
            </w:r>
          </w:p>
          <w:p w14:paraId="504301F9">
            <w:pPr>
              <w:jc w:val="left"/>
              <w:rPr>
                <w:color w:val="auto"/>
                <w:highlight w:val="none"/>
              </w:rPr>
            </w:pPr>
            <w:r>
              <w:rPr>
                <w:rFonts w:hint="eastAsia" w:ascii="宋体" w:hAnsi="宋体"/>
                <w:color w:val="auto"/>
                <w:sz w:val="24"/>
                <w:highlight w:val="none"/>
              </w:rPr>
              <w:t>（具体验收流程双方可视实际情况调整）</w:t>
            </w:r>
          </w:p>
          <w:p w14:paraId="4190A3A6">
            <w:pPr>
              <w:jc w:val="left"/>
              <w:rPr>
                <w:rFonts w:ascii="宋体" w:hAnsi="宋体"/>
                <w:color w:val="auto"/>
                <w:sz w:val="24"/>
                <w:highlight w:val="none"/>
              </w:rPr>
            </w:pPr>
            <w:r>
              <w:rPr>
                <w:rFonts w:hint="eastAsia" w:ascii="宋体" w:hAnsi="宋体"/>
                <w:color w:val="auto"/>
                <w:sz w:val="24"/>
                <w:highlight w:val="none"/>
              </w:rPr>
              <w:t>2.当合同采购数量与实际使用数量不一致时，乙方应根据实际使用量供货，合同的最终结算金额按实际使用量乘以成交单价进行计算。乙方应按照与甲方签订的合同规定交货。交货后乙方应向甲方提供下列单据，甲方按合同规定审核后付款：</w:t>
            </w:r>
          </w:p>
          <w:p w14:paraId="6099F9E8">
            <w:pPr>
              <w:jc w:val="left"/>
              <w:rPr>
                <w:rFonts w:ascii="宋体" w:hAnsi="宋体"/>
                <w:color w:val="auto"/>
                <w:sz w:val="24"/>
                <w:highlight w:val="none"/>
              </w:rPr>
            </w:pPr>
            <w:r>
              <w:rPr>
                <w:rFonts w:hint="eastAsia" w:ascii="宋体" w:hAnsi="宋体"/>
                <w:color w:val="auto"/>
                <w:sz w:val="24"/>
                <w:highlight w:val="none"/>
              </w:rPr>
              <w:t>(1) 发票；</w:t>
            </w:r>
          </w:p>
          <w:p w14:paraId="3B1EE85B">
            <w:pPr>
              <w:jc w:val="left"/>
              <w:rPr>
                <w:rFonts w:ascii="宋体" w:hAnsi="宋体"/>
                <w:color w:val="auto"/>
                <w:sz w:val="24"/>
                <w:highlight w:val="none"/>
              </w:rPr>
            </w:pPr>
            <w:r>
              <w:rPr>
                <w:rFonts w:hint="eastAsia" w:ascii="宋体" w:hAnsi="宋体"/>
                <w:color w:val="auto"/>
                <w:sz w:val="24"/>
                <w:highlight w:val="none"/>
              </w:rPr>
              <w:t>(2) 制造厂家出具的质量检验证书等；</w:t>
            </w:r>
          </w:p>
          <w:p w14:paraId="00AA84D1">
            <w:pPr>
              <w:jc w:val="left"/>
              <w:rPr>
                <w:rFonts w:ascii="宋体" w:hAnsi="宋体"/>
                <w:color w:val="auto"/>
                <w:sz w:val="24"/>
                <w:highlight w:val="none"/>
              </w:rPr>
            </w:pPr>
            <w:r>
              <w:rPr>
                <w:rFonts w:hint="eastAsia" w:ascii="宋体" w:hAnsi="宋体"/>
                <w:color w:val="auto"/>
                <w:sz w:val="24"/>
                <w:highlight w:val="none"/>
              </w:rPr>
              <w:t>(3) 装箱单；</w:t>
            </w:r>
          </w:p>
          <w:p w14:paraId="3FDF0A7F">
            <w:pPr>
              <w:jc w:val="left"/>
              <w:rPr>
                <w:color w:val="auto"/>
                <w:sz w:val="24"/>
                <w:highlight w:val="none"/>
              </w:rPr>
            </w:pPr>
            <w:r>
              <w:rPr>
                <w:rFonts w:hint="eastAsia" w:ascii="宋体" w:hAnsi="宋体"/>
                <w:color w:val="auto"/>
                <w:sz w:val="24"/>
                <w:highlight w:val="none"/>
              </w:rPr>
              <w:t>(4) 甲方加盖公章证明交付使用合格的验收单。</w:t>
            </w:r>
          </w:p>
        </w:tc>
      </w:tr>
      <w:tr w14:paraId="12FCC58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97" w:hRule="atLeast"/>
        </w:trPr>
        <w:tc>
          <w:tcPr>
            <w:tcW w:w="1560" w:type="dxa"/>
            <w:vAlign w:val="center"/>
          </w:tcPr>
          <w:p w14:paraId="08E5929B">
            <w:pPr>
              <w:jc w:val="center"/>
              <w:rPr>
                <w:rFonts w:ascii="宋体" w:hAnsi="宋体"/>
                <w:color w:val="auto"/>
                <w:sz w:val="24"/>
                <w:highlight w:val="none"/>
              </w:rPr>
            </w:pPr>
            <w:r>
              <w:rPr>
                <w:rFonts w:hint="eastAsia" w:ascii="宋体" w:hAnsi="宋体"/>
                <w:color w:val="auto"/>
                <w:sz w:val="24"/>
                <w:highlight w:val="none"/>
              </w:rPr>
              <w:t>第二节</w:t>
            </w:r>
          </w:p>
          <w:p w14:paraId="3FED0502">
            <w:pPr>
              <w:jc w:val="center"/>
              <w:rPr>
                <w:rFonts w:ascii="宋体" w:hAnsi="宋体"/>
                <w:color w:val="auto"/>
                <w:sz w:val="24"/>
                <w:highlight w:val="none"/>
              </w:rPr>
            </w:pPr>
            <w:r>
              <w:rPr>
                <w:rFonts w:hint="eastAsia" w:ascii="宋体" w:hAnsi="宋体"/>
                <w:color w:val="auto"/>
                <w:sz w:val="24"/>
                <w:highlight w:val="none"/>
              </w:rPr>
              <w:t>第13.2款</w:t>
            </w:r>
          </w:p>
        </w:tc>
        <w:tc>
          <w:tcPr>
            <w:tcW w:w="1789" w:type="dxa"/>
            <w:vAlign w:val="center"/>
          </w:tcPr>
          <w:p w14:paraId="72E778AF">
            <w:pPr>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vAlign w:val="center"/>
          </w:tcPr>
          <w:p w14:paraId="238CE202">
            <w:pPr>
              <w:spacing w:line="360" w:lineRule="auto"/>
              <w:rPr>
                <w:rFonts w:ascii="宋体" w:hAnsi="宋体" w:cs="宋体"/>
                <w:color w:val="auto"/>
                <w:sz w:val="24"/>
                <w:highlight w:val="none"/>
              </w:rPr>
            </w:pPr>
            <w:r>
              <w:rPr>
                <w:rFonts w:hint="eastAsia" w:ascii="宋体" w:hAnsi="宋体" w:cs="宋体"/>
                <w:color w:val="auto"/>
                <w:sz w:val="24"/>
                <w:highlight w:val="none"/>
              </w:rPr>
              <w:t>除不可抗力情况外，投标人出现下列情形之一的，其履约保证金，招标人将视情节决定不予退还或部分不予退还。</w:t>
            </w:r>
          </w:p>
          <w:p w14:paraId="19C6A525">
            <w:pPr>
              <w:spacing w:line="360" w:lineRule="auto"/>
              <w:rPr>
                <w:rFonts w:ascii="宋体" w:hAnsi="宋体" w:cs="宋体"/>
                <w:color w:val="auto"/>
                <w:sz w:val="24"/>
                <w:highlight w:val="none"/>
              </w:rPr>
            </w:pPr>
            <w:r>
              <w:rPr>
                <w:rFonts w:hint="eastAsia" w:ascii="宋体" w:hAnsi="宋体" w:cs="宋体"/>
                <w:color w:val="auto"/>
                <w:sz w:val="24"/>
                <w:highlight w:val="none"/>
              </w:rPr>
              <w:t>（1）中标人无正当理由拒绝签订合同的，或者在签订合同时向采购人提出附加条件或者更改合同实质性内容要求的；</w:t>
            </w:r>
          </w:p>
          <w:p w14:paraId="49BE2640">
            <w:pPr>
              <w:spacing w:line="360" w:lineRule="auto"/>
              <w:rPr>
                <w:rFonts w:ascii="宋体" w:hAnsi="宋体" w:cs="宋体"/>
                <w:color w:val="auto"/>
                <w:sz w:val="24"/>
                <w:highlight w:val="none"/>
              </w:rPr>
            </w:pPr>
            <w:r>
              <w:rPr>
                <w:rFonts w:hint="eastAsia" w:ascii="宋体" w:hAnsi="宋体" w:cs="宋体"/>
                <w:color w:val="auto"/>
                <w:sz w:val="24"/>
                <w:highlight w:val="none"/>
              </w:rPr>
              <w:t>（2）中标人不履行与采购人订立的合同的；</w:t>
            </w:r>
          </w:p>
          <w:p w14:paraId="604FB7B9">
            <w:pPr>
              <w:spacing w:line="360" w:lineRule="auto"/>
              <w:rPr>
                <w:rFonts w:ascii="宋体" w:hAnsi="宋体" w:cs="宋体"/>
                <w:color w:val="auto"/>
                <w:sz w:val="24"/>
                <w:highlight w:val="none"/>
              </w:rPr>
            </w:pPr>
            <w:r>
              <w:rPr>
                <w:rFonts w:hint="eastAsia" w:ascii="宋体" w:hAnsi="宋体" w:cs="宋体"/>
                <w:color w:val="auto"/>
                <w:sz w:val="24"/>
                <w:highlight w:val="none"/>
              </w:rPr>
              <w:t>（3）中标人所供货物或服务不符合</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规定要求的；</w:t>
            </w:r>
          </w:p>
          <w:p w14:paraId="43E4DC3A">
            <w:pPr>
              <w:spacing w:line="360" w:lineRule="auto"/>
              <w:rPr>
                <w:rFonts w:ascii="宋体" w:hAnsi="宋体" w:cs="宋体"/>
                <w:color w:val="auto"/>
                <w:sz w:val="24"/>
                <w:highlight w:val="none"/>
              </w:rPr>
            </w:pPr>
            <w:r>
              <w:rPr>
                <w:rFonts w:hint="eastAsia" w:ascii="宋体" w:hAnsi="宋体" w:cs="宋体"/>
                <w:color w:val="auto"/>
                <w:sz w:val="24"/>
                <w:highlight w:val="none"/>
              </w:rPr>
              <w:t>（4）中标人采取欺骗、弄虚作假方式投标的或与</w:t>
            </w:r>
            <w:r>
              <w:rPr>
                <w:rFonts w:hint="eastAsia" w:ascii="宋体" w:hAnsi="宋体" w:cs="宋体"/>
                <w:color w:val="auto"/>
                <w:sz w:val="24"/>
                <w:highlight w:val="none"/>
                <w:lang w:eastAsia="zh-CN"/>
              </w:rPr>
              <w:t>其他</w:t>
            </w:r>
            <w:r>
              <w:rPr>
                <w:rFonts w:hint="eastAsia" w:ascii="宋体" w:hAnsi="宋体" w:cs="宋体"/>
                <w:color w:val="auto"/>
                <w:sz w:val="24"/>
                <w:highlight w:val="none"/>
              </w:rPr>
              <w:t>投标人串通投标的；</w:t>
            </w:r>
          </w:p>
          <w:p w14:paraId="4AF25C80">
            <w:pPr>
              <w:spacing w:line="360" w:lineRule="auto"/>
              <w:rPr>
                <w:rFonts w:ascii="宋体" w:hAnsi="宋体" w:cs="宋体"/>
                <w:color w:val="auto"/>
                <w:sz w:val="24"/>
                <w:highlight w:val="none"/>
              </w:rPr>
            </w:pPr>
            <w:r>
              <w:rPr>
                <w:rFonts w:hint="eastAsia" w:ascii="宋体" w:hAnsi="宋体" w:cs="宋体"/>
                <w:color w:val="auto"/>
                <w:sz w:val="24"/>
                <w:highlight w:val="none"/>
              </w:rPr>
              <w:t>（5）中标人将合同内容转包、违法分包的；</w:t>
            </w:r>
          </w:p>
          <w:p w14:paraId="6F3DF6F3">
            <w:pPr>
              <w:spacing w:line="360" w:lineRule="auto"/>
              <w:rPr>
                <w:rFonts w:ascii="宋体" w:hAnsi="宋体"/>
                <w:color w:val="auto"/>
                <w:sz w:val="24"/>
                <w:highlight w:val="none"/>
              </w:rPr>
            </w:pPr>
            <w:r>
              <w:rPr>
                <w:rFonts w:hint="eastAsia" w:ascii="宋体" w:hAnsi="宋体" w:cs="宋体"/>
                <w:color w:val="auto"/>
                <w:sz w:val="24"/>
                <w:highlight w:val="none"/>
              </w:rPr>
              <w:t>（6）中标人故意捏造事实或伪造证明材料，进行虚假恶意投诉或反映的。</w:t>
            </w:r>
          </w:p>
        </w:tc>
      </w:tr>
      <w:tr w14:paraId="1B0EB6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560" w:type="dxa"/>
            <w:vAlign w:val="center"/>
          </w:tcPr>
          <w:p w14:paraId="4BD64B87">
            <w:pPr>
              <w:jc w:val="center"/>
              <w:rPr>
                <w:rFonts w:ascii="宋体" w:hAnsi="宋体"/>
                <w:color w:val="auto"/>
                <w:sz w:val="24"/>
                <w:highlight w:val="none"/>
              </w:rPr>
            </w:pPr>
            <w:r>
              <w:rPr>
                <w:rFonts w:hint="eastAsia" w:ascii="宋体" w:hAnsi="宋体"/>
                <w:color w:val="auto"/>
                <w:sz w:val="24"/>
                <w:highlight w:val="none"/>
              </w:rPr>
              <w:t>第二节</w:t>
            </w:r>
          </w:p>
          <w:p w14:paraId="011BE725">
            <w:pPr>
              <w:jc w:val="center"/>
              <w:rPr>
                <w:rFonts w:ascii="宋体" w:hAnsi="宋体"/>
                <w:color w:val="auto"/>
                <w:sz w:val="24"/>
                <w:highlight w:val="none"/>
              </w:rPr>
            </w:pPr>
            <w:r>
              <w:rPr>
                <w:rFonts w:hint="eastAsia" w:ascii="宋体" w:hAnsi="宋体"/>
                <w:color w:val="auto"/>
                <w:sz w:val="24"/>
                <w:highlight w:val="none"/>
              </w:rPr>
              <w:t>第13.3款</w:t>
            </w:r>
          </w:p>
        </w:tc>
        <w:tc>
          <w:tcPr>
            <w:tcW w:w="1789" w:type="dxa"/>
            <w:vAlign w:val="center"/>
          </w:tcPr>
          <w:p w14:paraId="6B44986A">
            <w:pPr>
              <w:jc w:val="left"/>
              <w:rPr>
                <w:rFonts w:ascii="宋体" w:hAnsi="宋体" w:cs="宋体"/>
                <w:color w:val="auto"/>
                <w:sz w:val="24"/>
                <w:highlight w:val="none"/>
              </w:rPr>
            </w:pPr>
            <w:r>
              <w:rPr>
                <w:rFonts w:hint="eastAsia" w:ascii="宋体" w:hAnsi="宋体" w:cs="宋体"/>
                <w:color w:val="auto"/>
                <w:sz w:val="24"/>
                <w:highlight w:val="none"/>
              </w:rPr>
              <w:t>履约保证金退还时间及逾期退还的违约金</w:t>
            </w:r>
          </w:p>
        </w:tc>
        <w:tc>
          <w:tcPr>
            <w:tcW w:w="5170" w:type="dxa"/>
            <w:vAlign w:val="center"/>
          </w:tcPr>
          <w:p w14:paraId="2207DA2E">
            <w:pPr>
              <w:spacing w:line="360" w:lineRule="auto"/>
              <w:rPr>
                <w:rFonts w:ascii="宋体" w:hAnsi="宋体" w:cs="宋体"/>
                <w:color w:val="auto"/>
                <w:sz w:val="24"/>
                <w:highlight w:val="none"/>
              </w:rPr>
            </w:pPr>
            <w:r>
              <w:rPr>
                <w:rFonts w:hint="eastAsia" w:ascii="宋体" w:hAnsi="宋体" w:cs="宋体"/>
                <w:color w:val="auto"/>
                <w:sz w:val="24"/>
                <w:highlight w:val="none"/>
              </w:rPr>
              <w:t>1、合同履行结束后，甲方应及时退还交纳的履约保证金。</w:t>
            </w:r>
          </w:p>
          <w:p w14:paraId="54183D35">
            <w:pPr>
              <w:spacing w:line="360" w:lineRule="auto"/>
              <w:rPr>
                <w:rFonts w:ascii="宋体" w:hAnsi="宋体" w:cs="宋体"/>
                <w:color w:val="auto"/>
                <w:sz w:val="24"/>
                <w:highlight w:val="none"/>
              </w:rPr>
            </w:pPr>
            <w:r>
              <w:rPr>
                <w:rFonts w:hint="eastAsia" w:ascii="宋体" w:hAnsi="宋体" w:cs="宋体"/>
                <w:color w:val="auto"/>
                <w:sz w:val="24"/>
                <w:highlight w:val="none"/>
              </w:rPr>
              <w:t>2、退还方式：退还至投标人缴纳履约保证金的账户。如为保函，在到期时自行失效。</w:t>
            </w:r>
          </w:p>
          <w:p w14:paraId="68044E18">
            <w:pPr>
              <w:spacing w:line="360" w:lineRule="auto"/>
              <w:rPr>
                <w:rFonts w:ascii="宋体" w:hAnsi="宋体" w:cs="宋体"/>
                <w:color w:val="auto"/>
                <w:sz w:val="24"/>
                <w:highlight w:val="none"/>
              </w:rPr>
            </w:pPr>
            <w:r>
              <w:rPr>
                <w:rFonts w:hint="eastAsia" w:ascii="宋体" w:hAnsi="宋体" w:cs="宋体"/>
                <w:color w:val="auto"/>
                <w:sz w:val="24"/>
                <w:highlight w:val="none"/>
              </w:rPr>
              <w:t>3、退还时间：验收合格且甲方收到发票后30日内。</w:t>
            </w:r>
          </w:p>
          <w:p w14:paraId="27B602B1">
            <w:pPr>
              <w:spacing w:line="360" w:lineRule="auto"/>
              <w:rPr>
                <w:rFonts w:ascii="宋体" w:hAnsi="宋体" w:cs="宋体"/>
                <w:color w:val="auto"/>
                <w:sz w:val="24"/>
                <w:highlight w:val="none"/>
              </w:rPr>
            </w:pPr>
            <w:r>
              <w:rPr>
                <w:rFonts w:hint="eastAsia" w:ascii="宋体" w:hAnsi="宋体" w:cs="宋体"/>
                <w:color w:val="auto"/>
                <w:sz w:val="24"/>
                <w:highlight w:val="none"/>
              </w:rPr>
              <w:t>4、退还条件：按合同要求全部履约完成并经采购人验收合格，且采购人收到中标人出具的发票。</w:t>
            </w:r>
          </w:p>
          <w:p w14:paraId="1B3C07D8">
            <w:pPr>
              <w:spacing w:line="360" w:lineRule="auto"/>
              <w:rPr>
                <w:rFonts w:ascii="宋体" w:hAnsi="宋体" w:cs="宋体"/>
                <w:color w:val="auto"/>
                <w:sz w:val="24"/>
                <w:highlight w:val="none"/>
              </w:rPr>
            </w:pPr>
            <w:r>
              <w:rPr>
                <w:rFonts w:hint="eastAsia" w:ascii="宋体" w:hAnsi="宋体" w:cs="宋体"/>
                <w:color w:val="auto"/>
                <w:sz w:val="24"/>
                <w:highlight w:val="none"/>
              </w:rPr>
              <w:t>5、逾期退还的违约责任：采购人逾期无故未退还履约保证金的，按中国人民银行同期贷款基准利率上浮20%后的利率支付超期资金占用费，但因供应商自身原因导致无法及时退还的除外。</w:t>
            </w:r>
          </w:p>
        </w:tc>
      </w:tr>
      <w:tr w14:paraId="44FC329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84" w:hRule="atLeast"/>
        </w:trPr>
        <w:tc>
          <w:tcPr>
            <w:tcW w:w="1560" w:type="dxa"/>
            <w:vAlign w:val="center"/>
          </w:tcPr>
          <w:p w14:paraId="0AA02156">
            <w:pPr>
              <w:jc w:val="center"/>
              <w:rPr>
                <w:rFonts w:ascii="宋体" w:hAnsi="宋体"/>
                <w:color w:val="auto"/>
                <w:sz w:val="24"/>
                <w:highlight w:val="none"/>
              </w:rPr>
            </w:pPr>
            <w:r>
              <w:rPr>
                <w:rFonts w:hint="eastAsia" w:ascii="宋体" w:hAnsi="宋体"/>
                <w:color w:val="auto"/>
                <w:sz w:val="24"/>
                <w:highlight w:val="none"/>
              </w:rPr>
              <w:t>第二节</w:t>
            </w:r>
          </w:p>
          <w:p w14:paraId="431CD95F">
            <w:pPr>
              <w:jc w:val="center"/>
              <w:rPr>
                <w:rFonts w:ascii="宋体" w:hAnsi="宋体"/>
                <w:color w:val="auto"/>
                <w:sz w:val="24"/>
                <w:highlight w:val="none"/>
              </w:rPr>
            </w:pPr>
            <w:r>
              <w:rPr>
                <w:rFonts w:hint="eastAsia" w:ascii="宋体" w:hAnsi="宋体"/>
                <w:color w:val="auto"/>
                <w:sz w:val="24"/>
                <w:highlight w:val="none"/>
              </w:rPr>
              <w:t>第14.1（3）项</w:t>
            </w:r>
          </w:p>
        </w:tc>
        <w:tc>
          <w:tcPr>
            <w:tcW w:w="1789" w:type="dxa"/>
            <w:vAlign w:val="center"/>
          </w:tcPr>
          <w:p w14:paraId="01956E66">
            <w:pPr>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vAlign w:val="center"/>
          </w:tcPr>
          <w:p w14:paraId="60A01980">
            <w:pPr>
              <w:jc w:val="left"/>
              <w:rPr>
                <w:rFonts w:ascii="宋体" w:hAnsi="宋体"/>
                <w:color w:val="auto"/>
                <w:sz w:val="24"/>
                <w:highlight w:val="none"/>
              </w:rPr>
            </w:pPr>
          </w:p>
        </w:tc>
      </w:tr>
      <w:tr w14:paraId="0733C1C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560" w:type="dxa"/>
            <w:vAlign w:val="center"/>
          </w:tcPr>
          <w:p w14:paraId="6623D8A8">
            <w:pPr>
              <w:jc w:val="center"/>
              <w:rPr>
                <w:rFonts w:ascii="宋体" w:hAnsi="宋体"/>
                <w:color w:val="auto"/>
                <w:sz w:val="24"/>
                <w:highlight w:val="none"/>
              </w:rPr>
            </w:pPr>
            <w:r>
              <w:rPr>
                <w:rFonts w:hint="eastAsia" w:ascii="宋体" w:hAnsi="宋体"/>
                <w:color w:val="auto"/>
                <w:sz w:val="24"/>
                <w:highlight w:val="none"/>
              </w:rPr>
              <w:t>第二节</w:t>
            </w:r>
          </w:p>
          <w:p w14:paraId="72E9EA25">
            <w:pPr>
              <w:jc w:val="center"/>
              <w:rPr>
                <w:rFonts w:ascii="宋体" w:hAnsi="宋体"/>
                <w:color w:val="auto"/>
                <w:sz w:val="24"/>
                <w:highlight w:val="none"/>
              </w:rPr>
            </w:pPr>
            <w:r>
              <w:rPr>
                <w:rFonts w:hint="eastAsia" w:ascii="宋体" w:hAnsi="宋体"/>
                <w:color w:val="auto"/>
                <w:sz w:val="24"/>
                <w:highlight w:val="none"/>
              </w:rPr>
              <w:t>第14.1（6）项</w:t>
            </w:r>
          </w:p>
        </w:tc>
        <w:tc>
          <w:tcPr>
            <w:tcW w:w="1789" w:type="dxa"/>
            <w:vAlign w:val="center"/>
          </w:tcPr>
          <w:p w14:paraId="552C1E58">
            <w:pPr>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vAlign w:val="center"/>
          </w:tcPr>
          <w:p w14:paraId="26BBD892">
            <w:pPr>
              <w:jc w:val="left"/>
              <w:rPr>
                <w:rFonts w:ascii="宋体" w:hAnsi="宋体"/>
                <w:color w:val="auto"/>
                <w:sz w:val="24"/>
                <w:highlight w:val="none"/>
              </w:rPr>
            </w:pPr>
          </w:p>
        </w:tc>
      </w:tr>
      <w:tr w14:paraId="6149454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560" w:type="dxa"/>
            <w:vAlign w:val="center"/>
          </w:tcPr>
          <w:p w14:paraId="7B07F1CE">
            <w:pPr>
              <w:jc w:val="center"/>
              <w:rPr>
                <w:rFonts w:ascii="宋体" w:hAnsi="宋体"/>
                <w:color w:val="auto"/>
                <w:sz w:val="24"/>
                <w:highlight w:val="none"/>
              </w:rPr>
            </w:pPr>
            <w:r>
              <w:rPr>
                <w:rFonts w:hint="eastAsia" w:ascii="宋体" w:hAnsi="宋体"/>
                <w:color w:val="auto"/>
                <w:sz w:val="24"/>
                <w:highlight w:val="none"/>
              </w:rPr>
              <w:t>第二节</w:t>
            </w:r>
          </w:p>
          <w:p w14:paraId="7E97F5B4">
            <w:pPr>
              <w:jc w:val="center"/>
              <w:rPr>
                <w:rFonts w:ascii="宋体" w:hAnsi="宋体"/>
                <w:color w:val="auto"/>
                <w:sz w:val="24"/>
                <w:highlight w:val="none"/>
              </w:rPr>
            </w:pPr>
            <w:r>
              <w:rPr>
                <w:rFonts w:hint="eastAsia" w:ascii="宋体" w:hAnsi="宋体"/>
                <w:color w:val="auto"/>
                <w:sz w:val="24"/>
                <w:highlight w:val="none"/>
              </w:rPr>
              <w:t>第15.1款</w:t>
            </w:r>
          </w:p>
        </w:tc>
        <w:tc>
          <w:tcPr>
            <w:tcW w:w="1789" w:type="dxa"/>
            <w:vAlign w:val="center"/>
          </w:tcPr>
          <w:p w14:paraId="25AF2A2A">
            <w:pPr>
              <w:jc w:val="left"/>
              <w:rPr>
                <w:rFonts w:ascii="宋体" w:hAnsi="宋体"/>
                <w:color w:val="auto"/>
                <w:sz w:val="24"/>
                <w:highlight w:val="none"/>
              </w:rPr>
            </w:pPr>
            <w:r>
              <w:rPr>
                <w:rFonts w:hint="eastAsia" w:ascii="宋体" w:hAnsi="宋体"/>
                <w:color w:val="auto"/>
                <w:sz w:val="24"/>
                <w:highlight w:val="none"/>
              </w:rPr>
              <w:t>修理、重</w:t>
            </w:r>
            <w:r>
              <w:rPr>
                <w:rFonts w:hint="eastAsia" w:ascii="宋体" w:hAnsi="宋体"/>
                <w:color w:val="auto"/>
                <w:sz w:val="24"/>
                <w:highlight w:val="none"/>
                <w:lang w:eastAsia="zh-CN"/>
              </w:rPr>
              <w:t>做</w:t>
            </w:r>
            <w:r>
              <w:rPr>
                <w:rFonts w:hint="eastAsia" w:ascii="宋体" w:hAnsi="宋体"/>
                <w:color w:val="auto"/>
                <w:sz w:val="24"/>
                <w:highlight w:val="none"/>
              </w:rPr>
              <w:t>、更换相关具体规定</w:t>
            </w:r>
          </w:p>
        </w:tc>
        <w:tc>
          <w:tcPr>
            <w:tcW w:w="5170" w:type="dxa"/>
            <w:vAlign w:val="center"/>
          </w:tcPr>
          <w:p w14:paraId="76F02F76">
            <w:pPr>
              <w:numPr>
                <w:ilvl w:val="0"/>
                <w:numId w:val="9"/>
              </w:numPr>
              <w:jc w:val="left"/>
              <w:rPr>
                <w:rFonts w:ascii="宋体" w:hAnsi="宋体"/>
                <w:color w:val="auto"/>
                <w:sz w:val="24"/>
                <w:highlight w:val="none"/>
              </w:rPr>
            </w:pPr>
            <w:r>
              <w:rPr>
                <w:rFonts w:hint="eastAsia" w:ascii="宋体" w:hAnsi="宋体"/>
                <w:color w:val="auto"/>
                <w:sz w:val="24"/>
                <w:highlight w:val="none"/>
              </w:rPr>
              <w:t>详见合同通用条款8.2条款、合同专用条款第二节第8款补充条款及合同专用条款中索赔条款。</w:t>
            </w:r>
          </w:p>
          <w:p w14:paraId="4BE6FA6C">
            <w:pPr>
              <w:numPr>
                <w:ilvl w:val="0"/>
                <w:numId w:val="9"/>
              </w:numPr>
              <w:jc w:val="left"/>
              <w:rPr>
                <w:rFonts w:ascii="宋体" w:hAnsi="宋体"/>
                <w:color w:val="auto"/>
                <w:sz w:val="24"/>
                <w:highlight w:val="none"/>
              </w:rPr>
            </w:pPr>
            <w:r>
              <w:rPr>
                <w:rFonts w:hint="eastAsia" w:ascii="宋体" w:hAnsi="宋体"/>
                <w:color w:val="auto"/>
                <w:sz w:val="24"/>
                <w:highlight w:val="none"/>
              </w:rPr>
              <w:t>乙方所交的货物品种、型号、规格、技术参数、质量不符合合同规定及</w:t>
            </w:r>
            <w:r>
              <w:rPr>
                <w:rFonts w:hint="eastAsia" w:ascii="宋体" w:hAnsi="宋体"/>
                <w:color w:val="auto"/>
                <w:sz w:val="24"/>
                <w:highlight w:val="none"/>
                <w:lang w:eastAsia="zh-CN"/>
              </w:rPr>
              <w:t>询价文件</w:t>
            </w:r>
            <w:r>
              <w:rPr>
                <w:rFonts w:hint="eastAsia" w:ascii="宋体" w:hAnsi="宋体"/>
                <w:color w:val="auto"/>
                <w:sz w:val="24"/>
                <w:highlight w:val="none"/>
              </w:rPr>
              <w:t>规定标准的，甲方有权拒收该货物，乙方愿意更换货物但逾期交货的，按乙方逾期交货处理。乙方拒绝更换货物的，甲方可单方面解除合同。</w:t>
            </w:r>
          </w:p>
        </w:tc>
      </w:tr>
      <w:tr w14:paraId="6843CFF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73" w:hRule="atLeast"/>
        </w:trPr>
        <w:tc>
          <w:tcPr>
            <w:tcW w:w="1560" w:type="dxa"/>
            <w:vAlign w:val="center"/>
          </w:tcPr>
          <w:p w14:paraId="5D91DEBE">
            <w:pPr>
              <w:jc w:val="center"/>
              <w:rPr>
                <w:rFonts w:ascii="宋体" w:hAnsi="宋体"/>
                <w:color w:val="auto"/>
                <w:sz w:val="24"/>
                <w:highlight w:val="none"/>
              </w:rPr>
            </w:pPr>
            <w:r>
              <w:rPr>
                <w:rFonts w:hint="eastAsia" w:ascii="宋体" w:hAnsi="宋体"/>
                <w:color w:val="auto"/>
                <w:sz w:val="24"/>
                <w:highlight w:val="none"/>
              </w:rPr>
              <w:t>第二节</w:t>
            </w:r>
          </w:p>
          <w:p w14:paraId="33B0F0F5">
            <w:pPr>
              <w:jc w:val="center"/>
              <w:rPr>
                <w:rFonts w:ascii="宋体" w:hAnsi="宋体"/>
                <w:color w:val="auto"/>
                <w:sz w:val="24"/>
                <w:highlight w:val="none"/>
              </w:rPr>
            </w:pPr>
            <w:r>
              <w:rPr>
                <w:rFonts w:hint="eastAsia" w:ascii="宋体" w:hAnsi="宋体"/>
                <w:color w:val="auto"/>
                <w:sz w:val="24"/>
                <w:highlight w:val="none"/>
              </w:rPr>
              <w:t>第15.2（2）项</w:t>
            </w:r>
          </w:p>
        </w:tc>
        <w:tc>
          <w:tcPr>
            <w:tcW w:w="1789" w:type="dxa"/>
            <w:vAlign w:val="center"/>
          </w:tcPr>
          <w:p w14:paraId="74530CAE">
            <w:pPr>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vAlign w:val="center"/>
          </w:tcPr>
          <w:p w14:paraId="0D63E011">
            <w:pPr>
              <w:jc w:val="left"/>
              <w:rPr>
                <w:rFonts w:ascii="宋体" w:hAnsi="宋体"/>
                <w:color w:val="auto"/>
                <w:sz w:val="24"/>
                <w:highlight w:val="none"/>
              </w:rPr>
            </w:pPr>
            <w:r>
              <w:rPr>
                <w:rFonts w:hint="eastAsia" w:ascii="宋体" w:hAnsi="宋体"/>
                <w:color w:val="auto"/>
                <w:sz w:val="24"/>
                <w:highlight w:val="none"/>
              </w:rPr>
              <w:t>1.乙方应按照“开标（报价）一览表”中规定的交货期或承诺交货和提供服务，并交付甲方验收使用。</w:t>
            </w:r>
          </w:p>
          <w:p w14:paraId="140761D5">
            <w:pPr>
              <w:jc w:val="left"/>
              <w:rPr>
                <w:rFonts w:ascii="宋体" w:hAnsi="宋体"/>
                <w:color w:val="auto"/>
                <w:sz w:val="24"/>
                <w:highlight w:val="none"/>
              </w:rPr>
            </w:pPr>
            <w:r>
              <w:rPr>
                <w:rFonts w:hint="eastAsia" w:ascii="宋体" w:hAnsi="宋体"/>
                <w:color w:val="auto"/>
                <w:sz w:val="24"/>
                <w:highlight w:val="none"/>
              </w:rPr>
              <w:t>2.如果乙方无正当理由拖延交货，将受到以下制裁：加收误期赔偿或终止合同。</w:t>
            </w:r>
          </w:p>
          <w:p w14:paraId="27AB95ED">
            <w:pPr>
              <w:jc w:val="left"/>
              <w:rPr>
                <w:rFonts w:ascii="宋体" w:hAnsi="宋体"/>
                <w:color w:val="auto"/>
                <w:sz w:val="24"/>
                <w:highlight w:val="none"/>
              </w:rPr>
            </w:pPr>
            <w:r>
              <w:rPr>
                <w:rFonts w:hint="eastAsia" w:ascii="宋体" w:hAnsi="宋体"/>
                <w:color w:val="auto"/>
                <w:sz w:val="24"/>
                <w:highlight w:val="none"/>
              </w:rPr>
              <w:t>3. 乙方逾期交付货物的，乙方应按逾期交货总额每日</w:t>
            </w:r>
            <w:r>
              <w:rPr>
                <w:rFonts w:hint="eastAsia"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向甲方支付违约金，由甲方从待付货款中扣除。逾期超过约定日期</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 xml:space="preserve">  </w:t>
            </w:r>
            <w:r>
              <w:rPr>
                <w:rFonts w:hint="eastAsia" w:ascii="宋体" w:hAnsi="宋体"/>
                <w:color w:val="auto"/>
                <w:sz w:val="24"/>
                <w:highlight w:val="none"/>
              </w:rPr>
              <w:t>个工作日不能交货的，甲方可解除本合同。乙方因逾期交货或因其他违约行为导致甲方解除合同的，乙方应向甲方支付合同总值</w:t>
            </w:r>
            <w:r>
              <w:rPr>
                <w:rFonts w:hint="eastAsia"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的违约金，如造成甲方损失超过违约金的，超出部分由乙方继续承担赔偿责任。 </w:t>
            </w:r>
          </w:p>
          <w:p w14:paraId="3846EB5E">
            <w:pPr>
              <w:jc w:val="left"/>
              <w:rPr>
                <w:rFonts w:ascii="宋体" w:hAnsi="宋体"/>
                <w:color w:val="auto"/>
                <w:sz w:val="24"/>
                <w:highlight w:val="none"/>
              </w:rPr>
            </w:pPr>
            <w:r>
              <w:rPr>
                <w:rFonts w:hint="eastAsia" w:ascii="宋体" w:hAnsi="宋体"/>
                <w:color w:val="auto"/>
                <w:sz w:val="24"/>
                <w:highlight w:val="none"/>
              </w:rPr>
              <w:t>4.如乙方不能交付货物，或者有违法转包他人情形，乙方应向甲方支付合同总价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rPr>
              <w:t xml:space="preserve"> </w:t>
            </w:r>
            <w:r>
              <w:rPr>
                <w:rFonts w:hint="eastAsia" w:ascii="宋体" w:hAnsi="宋体"/>
                <w:color w:val="auto"/>
                <w:sz w:val="24"/>
                <w:highlight w:val="none"/>
              </w:rPr>
              <w:t>的滞纳金。</w:t>
            </w:r>
          </w:p>
          <w:p w14:paraId="52DB8F5F">
            <w:pPr>
              <w:jc w:val="left"/>
              <w:rPr>
                <w:rFonts w:ascii="宋体" w:hAnsi="宋体"/>
                <w:color w:val="auto"/>
                <w:sz w:val="24"/>
                <w:highlight w:val="none"/>
                <w:u w:val="single"/>
              </w:rPr>
            </w:pPr>
          </w:p>
        </w:tc>
      </w:tr>
      <w:tr w14:paraId="5DC6148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560" w:type="dxa"/>
            <w:vAlign w:val="center"/>
          </w:tcPr>
          <w:p w14:paraId="0421C9BE">
            <w:pPr>
              <w:jc w:val="center"/>
              <w:rPr>
                <w:rFonts w:ascii="宋体" w:hAnsi="宋体"/>
                <w:color w:val="auto"/>
                <w:sz w:val="24"/>
                <w:highlight w:val="none"/>
              </w:rPr>
            </w:pPr>
            <w:r>
              <w:rPr>
                <w:rFonts w:hint="eastAsia" w:ascii="宋体" w:hAnsi="宋体"/>
                <w:color w:val="auto"/>
                <w:sz w:val="24"/>
                <w:highlight w:val="none"/>
              </w:rPr>
              <w:t>第二节</w:t>
            </w:r>
          </w:p>
          <w:p w14:paraId="1AA3710A">
            <w:pPr>
              <w:jc w:val="center"/>
              <w:rPr>
                <w:rFonts w:ascii="宋体" w:hAnsi="宋体"/>
                <w:color w:val="auto"/>
                <w:sz w:val="24"/>
                <w:highlight w:val="none"/>
              </w:rPr>
            </w:pPr>
            <w:r>
              <w:rPr>
                <w:rFonts w:hint="eastAsia" w:ascii="宋体" w:hAnsi="宋体"/>
                <w:color w:val="auto"/>
                <w:sz w:val="24"/>
                <w:highlight w:val="none"/>
              </w:rPr>
              <w:t>第15.3款</w:t>
            </w:r>
          </w:p>
        </w:tc>
        <w:tc>
          <w:tcPr>
            <w:tcW w:w="1789" w:type="dxa"/>
            <w:vAlign w:val="center"/>
          </w:tcPr>
          <w:p w14:paraId="4D0841C6">
            <w:pPr>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vAlign w:val="center"/>
          </w:tcPr>
          <w:p w14:paraId="6F2C6932">
            <w:pPr>
              <w:pStyle w:val="14"/>
              <w:spacing w:before="120" w:beforeAutospacing="0" w:after="120" w:afterAutospacing="0"/>
              <w:ind w:left="410" w:hanging="410"/>
              <w:jc w:val="both"/>
              <w:rPr>
                <w:color w:val="auto"/>
                <w:highlight w:val="none"/>
              </w:rPr>
            </w:pPr>
            <w:r>
              <w:rPr>
                <w:rFonts w:hint="eastAsia" w:ascii="宋体" w:hAnsi="宋体" w:cs="宋体"/>
                <w:color w:val="auto"/>
                <w:highlight w:val="none"/>
              </w:rPr>
              <w:t>1.甲方无正当理由拒收货物的，甲方向乙方偿付拒收货款总值</w:t>
            </w:r>
            <w:r>
              <w:rPr>
                <w:rFonts w:hint="eastAsia" w:ascii="宋体" w:hAnsi="宋体" w:cs="宋体"/>
                <w:color w:val="auto"/>
                <w:highlight w:val="none"/>
                <w:u w:val="single"/>
              </w:rPr>
              <w:t>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的违约金。</w:t>
            </w:r>
          </w:p>
          <w:p w14:paraId="3C1AE65B">
            <w:pPr>
              <w:pStyle w:val="14"/>
              <w:spacing w:before="120" w:beforeAutospacing="0" w:after="120" w:afterAutospacing="0"/>
              <w:ind w:left="410" w:hanging="410"/>
              <w:jc w:val="both"/>
              <w:rPr>
                <w:rFonts w:ascii="宋体" w:hAnsi="宋体"/>
                <w:color w:val="auto"/>
                <w:highlight w:val="none"/>
                <w:u w:val="single"/>
              </w:rPr>
            </w:pPr>
            <w:r>
              <w:rPr>
                <w:rFonts w:hint="eastAsia" w:ascii="宋体" w:hAnsi="宋体" w:cs="宋体"/>
                <w:color w:val="auto"/>
                <w:highlight w:val="none"/>
              </w:rPr>
              <w:t>2.甲方无故逾期验收和办理货款支付手续的,甲方应按逾期付款总额每日</w:t>
            </w:r>
            <w:r>
              <w:rPr>
                <w:rFonts w:hint="eastAsia" w:ascii="宋体" w:hAnsi="宋体" w:cs="宋体"/>
                <w:color w:val="auto"/>
                <w:highlight w:val="none"/>
                <w:u w:val="single"/>
              </w:rPr>
              <w:t>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向乙方支付违约金。</w:t>
            </w:r>
          </w:p>
        </w:tc>
      </w:tr>
      <w:tr w14:paraId="0AD9988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76" w:hRule="atLeast"/>
        </w:trPr>
        <w:tc>
          <w:tcPr>
            <w:tcW w:w="1560" w:type="dxa"/>
            <w:tcBorders>
              <w:bottom w:val="single" w:color="000000" w:sz="2" w:space="0"/>
              <w:right w:val="single" w:color="000000" w:sz="2" w:space="0"/>
            </w:tcBorders>
            <w:vAlign w:val="center"/>
          </w:tcPr>
          <w:p w14:paraId="75A2DBF0">
            <w:pPr>
              <w:jc w:val="center"/>
              <w:rPr>
                <w:rFonts w:ascii="宋体" w:hAnsi="宋体"/>
                <w:color w:val="auto"/>
                <w:sz w:val="24"/>
                <w:highlight w:val="none"/>
              </w:rPr>
            </w:pPr>
            <w:r>
              <w:rPr>
                <w:rFonts w:hint="eastAsia" w:ascii="宋体" w:hAnsi="宋体"/>
                <w:color w:val="auto"/>
                <w:sz w:val="24"/>
                <w:highlight w:val="none"/>
              </w:rPr>
              <w:t>第二节</w:t>
            </w:r>
          </w:p>
          <w:p w14:paraId="0E88DB2E">
            <w:pPr>
              <w:jc w:val="center"/>
              <w:rPr>
                <w:rFonts w:ascii="宋体" w:hAnsi="宋体"/>
                <w:color w:val="auto"/>
                <w:sz w:val="24"/>
                <w:highlight w:val="none"/>
              </w:rPr>
            </w:pPr>
            <w:r>
              <w:rPr>
                <w:rFonts w:hint="eastAsia" w:ascii="宋体" w:hAnsi="宋体"/>
                <w:color w:val="auto"/>
                <w:sz w:val="24"/>
                <w:highlight w:val="none"/>
              </w:rPr>
              <w:t>第15.4款</w:t>
            </w:r>
          </w:p>
        </w:tc>
        <w:tc>
          <w:tcPr>
            <w:tcW w:w="1789" w:type="dxa"/>
            <w:tcBorders>
              <w:left w:val="single" w:color="000000" w:sz="2" w:space="0"/>
              <w:bottom w:val="single" w:color="000000" w:sz="2" w:space="0"/>
              <w:right w:val="single" w:color="000000" w:sz="2" w:space="0"/>
            </w:tcBorders>
            <w:vAlign w:val="center"/>
          </w:tcPr>
          <w:p w14:paraId="73264194">
            <w:pPr>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left w:val="single" w:color="000000" w:sz="2" w:space="0"/>
              <w:bottom w:val="single" w:color="000000" w:sz="2" w:space="0"/>
            </w:tcBorders>
            <w:vAlign w:val="center"/>
          </w:tcPr>
          <w:p w14:paraId="6B853BCB">
            <w:pPr>
              <w:jc w:val="left"/>
              <w:rPr>
                <w:rFonts w:ascii="宋体" w:hAnsi="宋体"/>
                <w:color w:val="auto"/>
                <w:sz w:val="24"/>
                <w:highlight w:val="none"/>
                <w:u w:val="single"/>
              </w:rPr>
            </w:pPr>
          </w:p>
        </w:tc>
      </w:tr>
      <w:tr w14:paraId="2B3B94F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60" w:type="dxa"/>
            <w:tcBorders>
              <w:top w:val="single" w:color="000000" w:sz="2" w:space="0"/>
              <w:right w:val="single" w:color="000000" w:sz="2" w:space="0"/>
            </w:tcBorders>
            <w:vAlign w:val="center"/>
          </w:tcPr>
          <w:p w14:paraId="0AAB979C">
            <w:pPr>
              <w:jc w:val="center"/>
              <w:rPr>
                <w:rFonts w:ascii="宋体" w:hAnsi="宋体"/>
                <w:color w:val="auto"/>
                <w:sz w:val="24"/>
                <w:highlight w:val="none"/>
              </w:rPr>
            </w:pPr>
            <w:r>
              <w:rPr>
                <w:rFonts w:hint="eastAsia" w:ascii="宋体" w:hAnsi="宋体"/>
                <w:color w:val="auto"/>
                <w:sz w:val="24"/>
                <w:highlight w:val="none"/>
              </w:rPr>
              <w:t>第二节</w:t>
            </w:r>
          </w:p>
          <w:p w14:paraId="409E4A41">
            <w:pPr>
              <w:jc w:val="center"/>
              <w:rPr>
                <w:rFonts w:ascii="宋体" w:hAnsi="宋体"/>
                <w:color w:val="auto"/>
                <w:sz w:val="24"/>
                <w:highlight w:val="none"/>
              </w:rPr>
            </w:pPr>
            <w:r>
              <w:rPr>
                <w:rFonts w:hint="eastAsia" w:ascii="宋体" w:hAnsi="宋体"/>
                <w:color w:val="auto"/>
                <w:sz w:val="24"/>
                <w:highlight w:val="none"/>
              </w:rPr>
              <w:t>第19.2款</w:t>
            </w:r>
          </w:p>
        </w:tc>
        <w:tc>
          <w:tcPr>
            <w:tcW w:w="1789" w:type="dxa"/>
            <w:tcBorders>
              <w:top w:val="single" w:color="000000" w:sz="2" w:space="0"/>
              <w:left w:val="single" w:color="000000" w:sz="2" w:space="0"/>
              <w:right w:val="single" w:color="000000" w:sz="2" w:space="0"/>
            </w:tcBorders>
            <w:vAlign w:val="center"/>
          </w:tcPr>
          <w:p w14:paraId="5BC42E8C">
            <w:pPr>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000000" w:sz="2" w:space="0"/>
              <w:left w:val="single" w:color="000000" w:sz="2" w:space="0"/>
            </w:tcBorders>
            <w:vAlign w:val="center"/>
          </w:tcPr>
          <w:p w14:paraId="68BA8173">
            <w:pPr>
              <w:jc w:val="left"/>
              <w:rPr>
                <w:rFonts w:ascii="宋体" w:hAnsi="宋体"/>
                <w:color w:val="auto"/>
                <w:sz w:val="24"/>
                <w:highlight w:val="none"/>
              </w:rPr>
            </w:pPr>
            <w:r>
              <w:rPr>
                <w:rFonts w:hint="eastAsia" w:ascii="宋体" w:hAnsi="宋体"/>
                <w:color w:val="auto"/>
                <w:sz w:val="24"/>
                <w:highlight w:val="none"/>
              </w:rPr>
              <w:t>1.因本合同及合同有关事项发生的争议，由双方协商解决，协商不成时，按下列第</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 xml:space="preserve"> </w:t>
            </w:r>
            <w:r>
              <w:rPr>
                <w:rFonts w:hint="eastAsia" w:ascii="宋体" w:hAnsi="宋体"/>
                <w:color w:val="auto"/>
                <w:sz w:val="24"/>
                <w:highlight w:val="none"/>
              </w:rPr>
              <w:t>种方式解决：</w:t>
            </w:r>
          </w:p>
          <w:p w14:paraId="3D60B198">
            <w:pPr>
              <w:jc w:val="left"/>
              <w:rPr>
                <w:rFonts w:ascii="宋体" w:hAnsi="宋体"/>
                <w:color w:val="auto"/>
                <w:sz w:val="24"/>
                <w:highlight w:val="none"/>
              </w:rPr>
            </w:pPr>
            <w:r>
              <w:rPr>
                <w:rFonts w:hint="eastAsia" w:ascii="宋体" w:hAnsi="宋体"/>
                <w:color w:val="auto"/>
                <w:sz w:val="24"/>
                <w:highlight w:val="none"/>
              </w:rPr>
              <w:t>（1）向仲裁委员会申请仲裁，仲裁地点为</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88DA82B">
            <w:pPr>
              <w:jc w:val="left"/>
              <w:rPr>
                <w:rFonts w:ascii="宋体" w:hAnsi="宋体"/>
                <w:color w:val="auto"/>
                <w:sz w:val="24"/>
                <w:highlight w:val="none"/>
              </w:rPr>
            </w:pPr>
            <w:r>
              <w:rPr>
                <w:rFonts w:hint="eastAsia" w:ascii="宋体" w:hAnsi="宋体"/>
                <w:color w:val="auto"/>
                <w:sz w:val="24"/>
                <w:highlight w:val="none"/>
              </w:rPr>
              <w:t>（2）向甲方所在地人民法院起诉。</w:t>
            </w:r>
          </w:p>
          <w:p w14:paraId="57288576">
            <w:pPr>
              <w:jc w:val="left"/>
              <w:rPr>
                <w:rFonts w:ascii="宋体" w:hAnsi="宋体"/>
                <w:color w:val="auto"/>
                <w:sz w:val="24"/>
                <w:highlight w:val="none"/>
              </w:rPr>
            </w:pPr>
            <w:r>
              <w:rPr>
                <w:rFonts w:hint="eastAsia" w:ascii="宋体" w:hAnsi="宋体"/>
                <w:color w:val="auto"/>
                <w:sz w:val="24"/>
                <w:highlight w:val="none"/>
              </w:rPr>
              <w:t>2. 纠纷解决办法</w:t>
            </w:r>
          </w:p>
          <w:p w14:paraId="76FF0871">
            <w:pPr>
              <w:jc w:val="left"/>
              <w:rPr>
                <w:rFonts w:ascii="宋体" w:hAnsi="宋体"/>
                <w:color w:val="auto"/>
                <w:sz w:val="24"/>
                <w:highlight w:val="none"/>
              </w:rPr>
            </w:pPr>
            <w:r>
              <w:rPr>
                <w:rFonts w:hint="eastAsia" w:ascii="宋体" w:hAnsi="宋体"/>
                <w:color w:val="auto"/>
                <w:sz w:val="24"/>
                <w:highlight w:val="none"/>
              </w:rPr>
              <w:t>2.1因货物的质量问题发生争议的，应当邀请国家认可的质量检测机构对货物质量进行鉴定。货物符合标准的，鉴定费由甲方承担；货物不符合质量标准的，鉴定费由乙方承担，并更换问题货物。</w:t>
            </w:r>
          </w:p>
        </w:tc>
      </w:tr>
      <w:tr w14:paraId="28235E8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0" w:hRule="atLeast"/>
        </w:trPr>
        <w:tc>
          <w:tcPr>
            <w:tcW w:w="1560" w:type="dxa"/>
            <w:vAlign w:val="center"/>
          </w:tcPr>
          <w:p w14:paraId="6B37DDF6">
            <w:pPr>
              <w:jc w:val="center"/>
              <w:rPr>
                <w:rFonts w:ascii="宋体" w:hAnsi="宋体"/>
                <w:color w:val="auto"/>
                <w:sz w:val="24"/>
                <w:highlight w:val="none"/>
              </w:rPr>
            </w:pPr>
            <w:r>
              <w:rPr>
                <w:rFonts w:hint="eastAsia" w:ascii="宋体" w:hAnsi="宋体"/>
                <w:color w:val="auto"/>
                <w:sz w:val="24"/>
                <w:highlight w:val="none"/>
              </w:rPr>
              <w:t>第二节</w:t>
            </w:r>
          </w:p>
          <w:p w14:paraId="38CAE249">
            <w:pPr>
              <w:jc w:val="center"/>
              <w:rPr>
                <w:rFonts w:ascii="宋体" w:hAnsi="宋体"/>
                <w:color w:val="auto"/>
                <w:sz w:val="24"/>
                <w:highlight w:val="none"/>
              </w:rPr>
            </w:pPr>
            <w:r>
              <w:rPr>
                <w:rFonts w:hint="eastAsia" w:ascii="宋体" w:hAnsi="宋体"/>
                <w:color w:val="auto"/>
                <w:sz w:val="24"/>
                <w:highlight w:val="none"/>
              </w:rPr>
              <w:t>第23.1款</w:t>
            </w:r>
          </w:p>
        </w:tc>
        <w:tc>
          <w:tcPr>
            <w:tcW w:w="1789" w:type="dxa"/>
            <w:vAlign w:val="center"/>
          </w:tcPr>
          <w:p w14:paraId="3B95C4A7">
            <w:pPr>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vAlign w:val="center"/>
          </w:tcPr>
          <w:p w14:paraId="52A9E912">
            <w:pPr>
              <w:jc w:val="left"/>
              <w:rPr>
                <w:rFonts w:ascii="宋体" w:hAnsi="宋体"/>
                <w:color w:val="auto"/>
                <w:sz w:val="24"/>
                <w:highlight w:val="none"/>
              </w:rPr>
            </w:pPr>
            <w:r>
              <w:rPr>
                <w:rFonts w:hint="eastAsia" w:ascii="宋体" w:hAnsi="宋体"/>
                <w:color w:val="auto"/>
                <w:sz w:val="24"/>
                <w:highlight w:val="none"/>
              </w:rPr>
              <w:t>1.在发货前，乙方应对货物的质量、规格、性能、数量和重量等进行准确而全面的检验，并出具一份证明货物符合合同规定的证书。该证书将作为提交付款单据的一部分，但有关质量、规格、性能、数量或重量的检验不应视为最终检验。乙方检验的结果和细节应附在检验证书后面。</w:t>
            </w:r>
          </w:p>
          <w:p w14:paraId="412A54D6">
            <w:pPr>
              <w:jc w:val="left"/>
              <w:rPr>
                <w:rFonts w:ascii="宋体" w:hAnsi="宋体"/>
                <w:color w:val="auto"/>
                <w:sz w:val="24"/>
                <w:highlight w:val="none"/>
              </w:rPr>
            </w:pPr>
            <w:r>
              <w:rPr>
                <w:rFonts w:hint="eastAsia" w:ascii="宋体" w:hAnsi="宋体"/>
                <w:color w:val="auto"/>
                <w:sz w:val="24"/>
                <w:highlight w:val="none"/>
              </w:rPr>
              <w:t>2.甲方将在乙方交货现场组织验收，如果货物的质量和规格与合同规定相符，甲方应及时填写验收单。如果货物的质量和规格与合同规定不符，或在质量保证期内发现货物是有缺陷的，包括潜在缺陷或使用不符合要求的材料，甲方应报请当地质检部门进行检查，并有权凭其出具的检验报告向乙方提出索赔。</w:t>
            </w:r>
          </w:p>
          <w:p w14:paraId="023DF5E1">
            <w:pPr>
              <w:jc w:val="left"/>
              <w:rPr>
                <w:rFonts w:ascii="宋体" w:hAnsi="宋体"/>
                <w:color w:val="auto"/>
                <w:sz w:val="24"/>
                <w:highlight w:val="none"/>
              </w:rPr>
            </w:pPr>
            <w:r>
              <w:rPr>
                <w:rFonts w:hint="eastAsia" w:ascii="宋体" w:hAnsi="宋体"/>
                <w:color w:val="auto"/>
                <w:sz w:val="24"/>
                <w:highlight w:val="none"/>
              </w:rPr>
              <w:t>3.验收不合格的货物，乙方应在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 xml:space="preserve">  </w:t>
            </w:r>
            <w:r>
              <w:rPr>
                <w:rFonts w:hint="eastAsia" w:ascii="宋体" w:hAnsi="宋体"/>
                <w:color w:val="auto"/>
                <w:sz w:val="24"/>
                <w:highlight w:val="none"/>
              </w:rPr>
              <w:t>个工作日内予以更换，逾期按交货延误予以处罚。乙方所交付的货物品种、型号、规格不符合合同规定的，甲方有权拒收。甲方拒收的，乙方向甲方支付货款总额</w:t>
            </w:r>
            <w:r>
              <w:rPr>
                <w:rFonts w:hint="eastAsia"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rPr>
              <w:t>的违约金。在乙方承诺的或国家规定的质量保证期内，若经乙方维修或更换，货物仍不能达到合同约定的质量标准，甲方有权退货，乙方应退回全部货款，同时，乙方还须赔偿甲方因此遭受的损失。</w:t>
            </w:r>
          </w:p>
          <w:p w14:paraId="56D0EBCA">
            <w:pPr>
              <w:jc w:val="left"/>
              <w:rPr>
                <w:rFonts w:ascii="宋体" w:hAnsi="宋体"/>
                <w:color w:val="auto"/>
                <w:sz w:val="24"/>
                <w:highlight w:val="none"/>
              </w:rPr>
            </w:pPr>
            <w:r>
              <w:rPr>
                <w:rFonts w:hint="eastAsia" w:ascii="宋体" w:hAnsi="宋体"/>
                <w:color w:val="auto"/>
                <w:sz w:val="24"/>
                <w:highlight w:val="none"/>
              </w:rPr>
              <w:t>4.货物验收要求</w:t>
            </w:r>
          </w:p>
          <w:p w14:paraId="01D93C15">
            <w:pPr>
              <w:jc w:val="left"/>
              <w:rPr>
                <w:rFonts w:ascii="宋体" w:hAnsi="宋体"/>
                <w:color w:val="auto"/>
                <w:sz w:val="24"/>
                <w:highlight w:val="none"/>
              </w:rPr>
            </w:pPr>
            <w:r>
              <w:rPr>
                <w:rFonts w:hint="eastAsia" w:ascii="宋体" w:hAnsi="宋体"/>
                <w:color w:val="auto"/>
                <w:sz w:val="24"/>
                <w:highlight w:val="none"/>
              </w:rPr>
              <w:t>（1）依照</w:t>
            </w:r>
            <w:r>
              <w:rPr>
                <w:rFonts w:hint="eastAsia" w:ascii="宋体" w:hAnsi="宋体"/>
                <w:color w:val="auto"/>
                <w:sz w:val="24"/>
                <w:highlight w:val="none"/>
                <w:lang w:eastAsia="zh-CN"/>
              </w:rPr>
              <w:t>询价文件</w:t>
            </w:r>
            <w:r>
              <w:rPr>
                <w:rFonts w:hint="eastAsia" w:ascii="宋体" w:hAnsi="宋体"/>
                <w:color w:val="auto"/>
                <w:sz w:val="24"/>
                <w:highlight w:val="none"/>
              </w:rPr>
              <w:t>要求对全部货物、型号、规格、数量、外型、外观、包装及资料、文件（如装箱单、保修单、随箱介质等）进行验收。</w:t>
            </w:r>
          </w:p>
          <w:p w14:paraId="4B6300CD">
            <w:pPr>
              <w:jc w:val="left"/>
              <w:rPr>
                <w:rFonts w:ascii="宋体" w:hAnsi="宋体"/>
                <w:color w:val="auto"/>
                <w:sz w:val="24"/>
                <w:highlight w:val="none"/>
              </w:rPr>
            </w:pPr>
            <w:r>
              <w:rPr>
                <w:rFonts w:hint="eastAsia" w:ascii="宋体" w:hAnsi="宋体"/>
                <w:color w:val="auto"/>
                <w:sz w:val="24"/>
                <w:highlight w:val="none"/>
              </w:rPr>
              <w:t>（2）甲方与乙方对货物到货后共同进行开箱检查，出现损坏、数量不全或产品不对等问题时，由乙方负责解决。</w:t>
            </w:r>
          </w:p>
          <w:p w14:paraId="4449CD3A">
            <w:pPr>
              <w:jc w:val="left"/>
              <w:rPr>
                <w:rFonts w:ascii="宋体" w:hAnsi="宋体"/>
                <w:color w:val="auto"/>
                <w:sz w:val="24"/>
                <w:highlight w:val="none"/>
              </w:rPr>
            </w:pPr>
            <w:r>
              <w:rPr>
                <w:rFonts w:hint="eastAsia" w:ascii="宋体" w:hAnsi="宋体"/>
                <w:color w:val="auto"/>
                <w:sz w:val="24"/>
                <w:highlight w:val="none"/>
              </w:rPr>
              <w:t>（3）甲方有权从乙方所送货物中任意抽出不同型号的产品送采购人所在地的质检部门检验，如果检验合格，检验费由甲方负担；如果检验不合格，则检验费由乙方负担。</w:t>
            </w:r>
          </w:p>
          <w:p w14:paraId="74F08199">
            <w:pPr>
              <w:jc w:val="left"/>
              <w:rPr>
                <w:rFonts w:ascii="宋体" w:hAnsi="宋体"/>
                <w:color w:val="auto"/>
                <w:sz w:val="24"/>
                <w:highlight w:val="none"/>
              </w:rPr>
            </w:pPr>
            <w:r>
              <w:rPr>
                <w:rFonts w:hint="eastAsia" w:ascii="宋体" w:hAnsi="宋体"/>
                <w:color w:val="auto"/>
                <w:sz w:val="24"/>
                <w:highlight w:val="none"/>
              </w:rPr>
              <w:t>（4）乙方应按照本合同规定的时间、地点和方式向乙方交付货物。</w:t>
            </w:r>
          </w:p>
          <w:p w14:paraId="0C0919EE">
            <w:pPr>
              <w:jc w:val="left"/>
              <w:rPr>
                <w:rFonts w:ascii="宋体" w:hAnsi="宋体"/>
                <w:color w:val="auto"/>
                <w:sz w:val="24"/>
                <w:highlight w:val="none"/>
              </w:rPr>
            </w:pPr>
            <w:r>
              <w:rPr>
                <w:rFonts w:hint="eastAsia" w:ascii="宋体" w:hAnsi="宋体"/>
                <w:color w:val="auto"/>
                <w:sz w:val="24"/>
                <w:highlight w:val="none"/>
              </w:rPr>
              <w:t>交货时间：</w:t>
            </w:r>
            <w:r>
              <w:rPr>
                <w:rFonts w:hint="eastAsia" w:ascii="宋体" w:hAnsi="宋体"/>
                <w:color w:val="auto"/>
                <w:sz w:val="24"/>
                <w:highlight w:val="none"/>
                <w:u w:val="single"/>
              </w:rPr>
              <w:t xml:space="preserve">          </w:t>
            </w:r>
            <w:r>
              <w:rPr>
                <w:rFonts w:hint="eastAsia" w:ascii="宋体" w:hAnsi="宋体"/>
                <w:color w:val="auto"/>
                <w:sz w:val="24"/>
                <w:highlight w:val="none"/>
              </w:rPr>
              <w:t>日前完成供货（安装）并交付使用。</w:t>
            </w:r>
          </w:p>
          <w:p w14:paraId="5376D1A2">
            <w:pPr>
              <w:jc w:val="left"/>
              <w:rPr>
                <w:rFonts w:ascii="宋体" w:hAnsi="宋体"/>
                <w:color w:val="auto"/>
                <w:sz w:val="24"/>
                <w:highlight w:val="none"/>
              </w:rPr>
            </w:pPr>
            <w:r>
              <w:rPr>
                <w:rFonts w:hint="eastAsia" w:ascii="宋体" w:hAnsi="宋体"/>
                <w:color w:val="auto"/>
                <w:sz w:val="24"/>
                <w:highlight w:val="none"/>
              </w:rPr>
              <w:t>交货地点：</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5FF992B">
            <w:pPr>
              <w:jc w:val="left"/>
              <w:rPr>
                <w:rFonts w:ascii="宋体" w:hAnsi="宋体"/>
                <w:color w:val="auto"/>
                <w:sz w:val="24"/>
                <w:highlight w:val="none"/>
              </w:rPr>
            </w:pPr>
            <w:r>
              <w:rPr>
                <w:rFonts w:hint="eastAsia" w:ascii="宋体" w:hAnsi="宋体"/>
                <w:color w:val="auto"/>
                <w:sz w:val="24"/>
                <w:highlight w:val="none"/>
              </w:rPr>
              <w:t>（5）甲方应在全部货物到货安装完毕后的</w:t>
            </w:r>
            <w:r>
              <w:rPr>
                <w:rFonts w:hint="eastAsia" w:ascii="宋体" w:hAnsi="宋体"/>
                <w:color w:val="auto"/>
                <w:sz w:val="24"/>
                <w:highlight w:val="none"/>
                <w:u w:val="single"/>
              </w:rPr>
              <w:t xml:space="preserve">     </w:t>
            </w:r>
            <w:r>
              <w:rPr>
                <w:rFonts w:hint="eastAsia" w:ascii="宋体" w:hAnsi="宋体"/>
                <w:color w:val="auto"/>
                <w:sz w:val="24"/>
                <w:highlight w:val="none"/>
              </w:rPr>
              <w:t>日内进行验收，验收包括：型号、规格、数量、外观是否完好，安装调试是否合格等。验收合格后甲方应在验收报告上签字盖章，初步验收合格且项目运行满</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 xml:space="preserve">  </w:t>
            </w:r>
            <w:r>
              <w:rPr>
                <w:rFonts w:hint="eastAsia" w:ascii="宋体" w:hAnsi="宋体"/>
                <w:color w:val="auto"/>
                <w:sz w:val="24"/>
                <w:highlight w:val="none"/>
              </w:rPr>
              <w:t>个</w:t>
            </w:r>
            <w:r>
              <w:rPr>
                <w:rFonts w:hint="eastAsia" w:ascii="宋体" w:hAnsi="宋体"/>
                <w:color w:val="auto"/>
                <w:sz w:val="24"/>
                <w:highlight w:val="none"/>
              </w:rPr>
              <w:t>月后，甲方组织对货物的质量及使用状况等进行最终验收。</w:t>
            </w:r>
          </w:p>
          <w:p w14:paraId="526D786B">
            <w:pPr>
              <w:jc w:val="left"/>
              <w:rPr>
                <w:rFonts w:ascii="宋体" w:hAnsi="宋体"/>
                <w:color w:val="auto"/>
                <w:sz w:val="24"/>
                <w:highlight w:val="none"/>
              </w:rPr>
            </w:pPr>
            <w:r>
              <w:rPr>
                <w:rFonts w:hint="eastAsia" w:ascii="宋体" w:hAnsi="宋体"/>
                <w:color w:val="auto"/>
                <w:sz w:val="24"/>
                <w:highlight w:val="none"/>
              </w:rPr>
              <w:t>（6）货到现场后，甲方人员根据招标要求，对包装物进行视检和抽检，如包装物不符合招标要求，甲方有权将包装物送至市级及以上检测机构送检。因检测不合格延误了交付进度，乙方应承担相应的违约责任。</w:t>
            </w:r>
          </w:p>
          <w:p w14:paraId="646C39F4">
            <w:pPr>
              <w:jc w:val="left"/>
              <w:rPr>
                <w:rFonts w:ascii="宋体" w:hAnsi="宋体"/>
                <w:color w:val="auto"/>
                <w:sz w:val="24"/>
                <w:highlight w:val="none"/>
              </w:rPr>
            </w:pPr>
          </w:p>
        </w:tc>
      </w:tr>
      <w:tr w14:paraId="51E928A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0" w:hRule="atLeast"/>
        </w:trPr>
        <w:tc>
          <w:tcPr>
            <w:tcW w:w="1560" w:type="dxa"/>
            <w:vAlign w:val="center"/>
          </w:tcPr>
          <w:p w14:paraId="4C04BEEB">
            <w:pPr>
              <w:jc w:val="center"/>
              <w:rPr>
                <w:rFonts w:ascii="宋体" w:hAnsi="宋体"/>
                <w:color w:val="auto"/>
                <w:sz w:val="24"/>
                <w:highlight w:val="none"/>
              </w:rPr>
            </w:pPr>
          </w:p>
        </w:tc>
        <w:tc>
          <w:tcPr>
            <w:tcW w:w="1789" w:type="dxa"/>
            <w:vAlign w:val="center"/>
          </w:tcPr>
          <w:p w14:paraId="5DC2248F">
            <w:pPr>
              <w:jc w:val="left"/>
              <w:rPr>
                <w:rFonts w:ascii="宋体" w:hAnsi="宋体"/>
                <w:bCs/>
                <w:color w:val="auto"/>
                <w:sz w:val="24"/>
                <w:highlight w:val="none"/>
              </w:rPr>
            </w:pPr>
            <w:r>
              <w:rPr>
                <w:rFonts w:hint="eastAsia" w:ascii="宋体" w:hAnsi="宋体"/>
                <w:bCs/>
                <w:color w:val="auto"/>
                <w:sz w:val="24"/>
                <w:highlight w:val="none"/>
              </w:rPr>
              <w:t>税费</w:t>
            </w:r>
          </w:p>
        </w:tc>
        <w:tc>
          <w:tcPr>
            <w:tcW w:w="5170" w:type="dxa"/>
            <w:vAlign w:val="center"/>
          </w:tcPr>
          <w:p w14:paraId="401BE5BB">
            <w:pPr>
              <w:jc w:val="left"/>
              <w:rPr>
                <w:rFonts w:ascii="宋体" w:hAnsi="宋体"/>
                <w:color w:val="auto"/>
                <w:sz w:val="24"/>
                <w:highlight w:val="none"/>
              </w:rPr>
            </w:pPr>
            <w:r>
              <w:rPr>
                <w:rFonts w:hint="eastAsia" w:ascii="宋体" w:hAnsi="宋体"/>
                <w:color w:val="auto"/>
                <w:sz w:val="24"/>
                <w:highlight w:val="none"/>
              </w:rPr>
              <w:t>1.中国政府根据现行税法规定对甲方征收的与本合同有关的一切税费均由甲方负担（免税部分除外），</w:t>
            </w:r>
            <w:r>
              <w:rPr>
                <w:rFonts w:hint="eastAsia" w:ascii="宋体" w:hAnsi="宋体"/>
                <w:color w:val="auto"/>
                <w:sz w:val="24"/>
                <w:highlight w:val="none"/>
                <w:lang w:eastAsia="zh-CN"/>
              </w:rPr>
              <w:t>询价文件</w:t>
            </w:r>
            <w:r>
              <w:rPr>
                <w:rFonts w:hint="eastAsia" w:ascii="宋体" w:hAnsi="宋体"/>
                <w:color w:val="auto"/>
                <w:sz w:val="24"/>
                <w:highlight w:val="none"/>
              </w:rPr>
              <w:t>另有规定的除外。</w:t>
            </w:r>
          </w:p>
          <w:p w14:paraId="729CED24">
            <w:pPr>
              <w:jc w:val="left"/>
              <w:rPr>
                <w:rFonts w:ascii="宋体" w:hAnsi="宋体"/>
                <w:color w:val="auto"/>
                <w:sz w:val="24"/>
                <w:highlight w:val="none"/>
              </w:rPr>
            </w:pPr>
            <w:r>
              <w:rPr>
                <w:rFonts w:hint="eastAsia" w:ascii="宋体" w:hAnsi="宋体"/>
                <w:color w:val="auto"/>
                <w:sz w:val="24"/>
                <w:highlight w:val="none"/>
              </w:rPr>
              <w:t>2.中国政府根据现行税法规定对乙方征收的与本合同有关的一切税费均由乙方负担（免税部分除外）。</w:t>
            </w:r>
          </w:p>
        </w:tc>
      </w:tr>
      <w:tr w14:paraId="25B7E1D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0" w:hRule="atLeast"/>
        </w:trPr>
        <w:tc>
          <w:tcPr>
            <w:tcW w:w="1560" w:type="dxa"/>
            <w:vAlign w:val="center"/>
          </w:tcPr>
          <w:p w14:paraId="4791B038">
            <w:pPr>
              <w:jc w:val="center"/>
              <w:rPr>
                <w:rFonts w:ascii="宋体" w:hAnsi="宋体"/>
                <w:color w:val="auto"/>
                <w:sz w:val="24"/>
                <w:highlight w:val="none"/>
              </w:rPr>
            </w:pPr>
          </w:p>
        </w:tc>
        <w:tc>
          <w:tcPr>
            <w:tcW w:w="1789" w:type="dxa"/>
            <w:vAlign w:val="center"/>
          </w:tcPr>
          <w:p w14:paraId="371E5146">
            <w:pPr>
              <w:jc w:val="left"/>
              <w:rPr>
                <w:rFonts w:ascii="宋体" w:hAnsi="宋体"/>
                <w:bCs/>
                <w:color w:val="auto"/>
                <w:sz w:val="24"/>
                <w:highlight w:val="none"/>
              </w:rPr>
            </w:pPr>
            <w:r>
              <w:rPr>
                <w:rFonts w:hint="eastAsia" w:ascii="宋体" w:hAnsi="宋体"/>
                <w:bCs/>
                <w:color w:val="auto"/>
                <w:sz w:val="24"/>
                <w:highlight w:val="none"/>
              </w:rPr>
              <w:t>伴随服务</w:t>
            </w:r>
          </w:p>
        </w:tc>
        <w:tc>
          <w:tcPr>
            <w:tcW w:w="5170" w:type="dxa"/>
            <w:vAlign w:val="center"/>
          </w:tcPr>
          <w:p w14:paraId="5BFA2010">
            <w:pPr>
              <w:jc w:val="left"/>
              <w:rPr>
                <w:rFonts w:ascii="宋体" w:hAnsi="宋体"/>
                <w:color w:val="auto"/>
                <w:sz w:val="24"/>
                <w:highlight w:val="none"/>
              </w:rPr>
            </w:pPr>
            <w:r>
              <w:rPr>
                <w:rFonts w:hint="eastAsia" w:ascii="宋体" w:hAnsi="宋体"/>
                <w:color w:val="auto"/>
                <w:sz w:val="24"/>
                <w:highlight w:val="none"/>
              </w:rPr>
              <w:t>1.乙方应按照国家</w:t>
            </w:r>
            <w:r>
              <w:rPr>
                <w:rFonts w:hint="eastAsia" w:ascii="宋体" w:hAnsi="宋体"/>
                <w:b/>
                <w:color w:val="auto"/>
                <w:sz w:val="24"/>
                <w:highlight w:val="none"/>
              </w:rPr>
              <w:t>“新三包”</w:t>
            </w:r>
            <w:r>
              <w:rPr>
                <w:rFonts w:hint="eastAsia" w:ascii="宋体" w:hAnsi="宋体"/>
                <w:color w:val="auto"/>
                <w:sz w:val="24"/>
                <w:highlight w:val="none"/>
              </w:rPr>
              <w:t>规定和合同中所附的服务承诺提供服务。</w:t>
            </w:r>
          </w:p>
          <w:p w14:paraId="630654D5">
            <w:pPr>
              <w:jc w:val="left"/>
              <w:rPr>
                <w:rFonts w:ascii="宋体" w:hAnsi="宋体"/>
                <w:color w:val="auto"/>
                <w:sz w:val="24"/>
                <w:highlight w:val="none"/>
              </w:rPr>
            </w:pPr>
            <w:r>
              <w:rPr>
                <w:rFonts w:hint="eastAsia" w:ascii="宋体" w:hAnsi="宋体"/>
                <w:color w:val="auto"/>
                <w:sz w:val="24"/>
                <w:highlight w:val="none"/>
              </w:rPr>
              <w:t>2.除第1条规定外，乙方还应提供下列服务：</w:t>
            </w:r>
          </w:p>
          <w:p w14:paraId="44EA7166">
            <w:pPr>
              <w:jc w:val="left"/>
              <w:rPr>
                <w:rFonts w:ascii="宋体" w:hAnsi="宋体"/>
                <w:b/>
                <w:color w:val="auto"/>
                <w:sz w:val="24"/>
                <w:highlight w:val="none"/>
              </w:rPr>
            </w:pPr>
            <w:r>
              <w:rPr>
                <w:rFonts w:hint="eastAsia" w:ascii="宋体" w:hAnsi="宋体"/>
                <w:b/>
                <w:color w:val="auto"/>
                <w:sz w:val="24"/>
                <w:highlight w:val="none"/>
              </w:rPr>
              <w:t xml:space="preserve"> (1) </w:t>
            </w:r>
            <w:r>
              <w:rPr>
                <w:rFonts w:hint="eastAsia" w:ascii="宋体" w:hAnsi="宋体"/>
                <w:b/>
                <w:color w:val="auto"/>
                <w:sz w:val="24"/>
                <w:highlight w:val="none"/>
                <w:lang w:eastAsia="zh-CN"/>
              </w:rPr>
              <w:t>询价文件</w:t>
            </w:r>
            <w:r>
              <w:rPr>
                <w:rFonts w:hint="eastAsia" w:ascii="宋体" w:hAnsi="宋体"/>
                <w:b/>
                <w:color w:val="auto"/>
                <w:sz w:val="24"/>
                <w:highlight w:val="none"/>
              </w:rPr>
              <w:t>中的“服务要求”所规定的服务内容以及投标文件承诺提供的其他服务内容；</w:t>
            </w:r>
          </w:p>
          <w:p w14:paraId="6ECBEB67">
            <w:pPr>
              <w:jc w:val="left"/>
              <w:rPr>
                <w:rFonts w:ascii="宋体" w:hAnsi="宋体"/>
                <w:color w:val="auto"/>
                <w:sz w:val="24"/>
                <w:highlight w:val="none"/>
              </w:rPr>
            </w:pPr>
            <w:r>
              <w:rPr>
                <w:rFonts w:hint="eastAsia" w:ascii="宋体" w:hAnsi="宋体"/>
                <w:color w:val="auto"/>
                <w:sz w:val="24"/>
                <w:highlight w:val="none"/>
              </w:rPr>
              <w:t xml:space="preserve"> (2) 负责货物的开孔，货物的现场安装；</w:t>
            </w:r>
          </w:p>
          <w:p w14:paraId="6D8F3BC0">
            <w:pPr>
              <w:jc w:val="left"/>
              <w:rPr>
                <w:rFonts w:ascii="宋体" w:hAnsi="宋体"/>
                <w:color w:val="auto"/>
                <w:sz w:val="24"/>
                <w:highlight w:val="none"/>
              </w:rPr>
            </w:pPr>
            <w:r>
              <w:rPr>
                <w:rFonts w:hint="eastAsia" w:ascii="宋体" w:hAnsi="宋体"/>
                <w:color w:val="auto"/>
                <w:sz w:val="24"/>
                <w:highlight w:val="none"/>
              </w:rPr>
              <w:t xml:space="preserve"> (3) 提供货物组装和维修所需的工具；</w:t>
            </w:r>
          </w:p>
          <w:p w14:paraId="7176FEC7">
            <w:pPr>
              <w:jc w:val="left"/>
              <w:rPr>
                <w:rFonts w:ascii="宋体" w:hAnsi="宋体"/>
                <w:color w:val="auto"/>
                <w:sz w:val="24"/>
                <w:highlight w:val="none"/>
              </w:rPr>
            </w:pPr>
            <w:r>
              <w:rPr>
                <w:rFonts w:hint="eastAsia" w:ascii="宋体" w:hAnsi="宋体"/>
                <w:color w:val="auto"/>
                <w:sz w:val="24"/>
                <w:highlight w:val="none"/>
              </w:rPr>
              <w:t xml:space="preserve"> (4) 在合同中乙方承诺的质保期限内对所提供货物正常使用实施监督、维修，但前提条件是该服务并不能免除乙方在质量保证期内应承担的义务；</w:t>
            </w:r>
          </w:p>
          <w:p w14:paraId="4C401DA2">
            <w:pPr>
              <w:jc w:val="left"/>
              <w:rPr>
                <w:rFonts w:ascii="宋体" w:hAnsi="宋体"/>
                <w:color w:val="auto"/>
                <w:sz w:val="24"/>
                <w:highlight w:val="none"/>
              </w:rPr>
            </w:pPr>
            <w:r>
              <w:rPr>
                <w:rFonts w:hint="eastAsia" w:ascii="宋体" w:hAnsi="宋体"/>
                <w:color w:val="auto"/>
                <w:sz w:val="24"/>
                <w:highlight w:val="none"/>
              </w:rPr>
              <w:t xml:space="preserve"> (5) 在货物交货现场就货物的安装、启用、维护等对甲方人员进行培训。</w:t>
            </w:r>
          </w:p>
          <w:p w14:paraId="48D67484">
            <w:pPr>
              <w:jc w:val="left"/>
              <w:rPr>
                <w:rFonts w:ascii="宋体" w:hAnsi="宋体"/>
                <w:color w:val="auto"/>
                <w:sz w:val="24"/>
                <w:highlight w:val="none"/>
              </w:rPr>
            </w:pPr>
            <w:r>
              <w:rPr>
                <w:rFonts w:hint="eastAsia" w:ascii="宋体" w:hAnsi="宋体"/>
                <w:color w:val="auto"/>
                <w:sz w:val="24"/>
                <w:highlight w:val="none"/>
              </w:rPr>
              <w:t>3.伴随服务的费用应含在合同价中，不单独进行支付。</w:t>
            </w:r>
          </w:p>
        </w:tc>
      </w:tr>
      <w:tr w14:paraId="7BAFCD8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0" w:hRule="atLeast"/>
        </w:trPr>
        <w:tc>
          <w:tcPr>
            <w:tcW w:w="1560" w:type="dxa"/>
            <w:vAlign w:val="center"/>
          </w:tcPr>
          <w:p w14:paraId="53854CA5">
            <w:pPr>
              <w:jc w:val="center"/>
              <w:rPr>
                <w:rFonts w:ascii="宋体" w:hAnsi="宋体"/>
                <w:color w:val="auto"/>
                <w:sz w:val="24"/>
                <w:highlight w:val="none"/>
              </w:rPr>
            </w:pPr>
          </w:p>
        </w:tc>
        <w:tc>
          <w:tcPr>
            <w:tcW w:w="1789" w:type="dxa"/>
            <w:vAlign w:val="center"/>
          </w:tcPr>
          <w:p w14:paraId="2A4C4CF0">
            <w:pPr>
              <w:jc w:val="left"/>
              <w:rPr>
                <w:rFonts w:ascii="宋体" w:hAnsi="宋体"/>
                <w:color w:val="auto"/>
                <w:sz w:val="24"/>
                <w:highlight w:val="none"/>
              </w:rPr>
            </w:pPr>
            <w:r>
              <w:rPr>
                <w:rFonts w:hint="eastAsia" w:ascii="宋体" w:hAnsi="宋体"/>
                <w:color w:val="auto"/>
                <w:sz w:val="24"/>
                <w:highlight w:val="none"/>
              </w:rPr>
              <w:t>索赔</w:t>
            </w:r>
          </w:p>
          <w:p w14:paraId="0C1845B3">
            <w:pPr>
              <w:jc w:val="left"/>
              <w:rPr>
                <w:rFonts w:ascii="宋体" w:hAnsi="宋体"/>
                <w:color w:val="auto"/>
                <w:sz w:val="24"/>
                <w:highlight w:val="none"/>
              </w:rPr>
            </w:pPr>
          </w:p>
        </w:tc>
        <w:tc>
          <w:tcPr>
            <w:tcW w:w="5170" w:type="dxa"/>
            <w:vAlign w:val="center"/>
          </w:tcPr>
          <w:p w14:paraId="0A409CD8">
            <w:pPr>
              <w:jc w:val="left"/>
              <w:rPr>
                <w:rFonts w:ascii="宋体" w:hAnsi="宋体"/>
                <w:color w:val="auto"/>
                <w:sz w:val="24"/>
                <w:highlight w:val="none"/>
              </w:rPr>
            </w:pPr>
            <w:r>
              <w:rPr>
                <w:rFonts w:hint="eastAsia" w:ascii="宋体" w:hAnsi="宋体"/>
                <w:color w:val="auto"/>
                <w:sz w:val="24"/>
                <w:highlight w:val="none"/>
              </w:rPr>
              <w:t>1.甲方有权根据当地质检部门出具的检验报告，向乙方提出索赔。</w:t>
            </w:r>
          </w:p>
          <w:p w14:paraId="39BDD17D">
            <w:pPr>
              <w:jc w:val="left"/>
              <w:rPr>
                <w:rFonts w:ascii="宋体" w:hAnsi="宋体"/>
                <w:color w:val="auto"/>
                <w:sz w:val="24"/>
                <w:highlight w:val="none"/>
              </w:rPr>
            </w:pPr>
            <w:r>
              <w:rPr>
                <w:rFonts w:hint="eastAsia" w:ascii="宋体" w:hAnsi="宋体"/>
                <w:color w:val="auto"/>
                <w:sz w:val="24"/>
                <w:highlight w:val="none"/>
              </w:rPr>
              <w:t>2.根据合同规定的检验期和质量保证期内，如果乙方对甲方提出的索赔和差异负有责任，乙方应按照甲方同意的下列一种或多种方式解决索赔事宜：</w:t>
            </w:r>
          </w:p>
          <w:p w14:paraId="23F67DC8">
            <w:pPr>
              <w:jc w:val="left"/>
              <w:rPr>
                <w:rFonts w:ascii="宋体" w:hAnsi="宋体"/>
                <w:color w:val="auto"/>
                <w:sz w:val="24"/>
                <w:highlight w:val="none"/>
              </w:rPr>
            </w:pPr>
            <w:r>
              <w:rPr>
                <w:rFonts w:hint="eastAsia" w:ascii="宋体" w:hAnsi="宋体"/>
                <w:color w:val="auto"/>
                <w:sz w:val="24"/>
                <w:highlight w:val="none"/>
              </w:rPr>
              <w:t xml:space="preserve"> (1) 乙方同意退货，并用合同中规定的货币将货款退还给甲方，并承担由此发生的一切损失和费用，包括利息、银行手续费、运费、保险费、检验费、仓储费、装卸费以及为保护退回货物所需的其它必要费用。</w:t>
            </w:r>
          </w:p>
          <w:p w14:paraId="63F0C60F">
            <w:pPr>
              <w:jc w:val="left"/>
              <w:rPr>
                <w:rFonts w:ascii="宋体" w:hAnsi="宋体"/>
                <w:color w:val="auto"/>
                <w:sz w:val="24"/>
                <w:highlight w:val="none"/>
              </w:rPr>
            </w:pPr>
            <w:r>
              <w:rPr>
                <w:rFonts w:hint="eastAsia" w:ascii="宋体" w:hAnsi="宋体"/>
                <w:color w:val="auto"/>
                <w:sz w:val="24"/>
                <w:highlight w:val="none"/>
              </w:rPr>
              <w:t xml:space="preserve"> (2) 根据货物的低劣程度、损坏程度以及甲方所遭受损失的数额，乙方必须降低货物的价格。</w:t>
            </w:r>
          </w:p>
          <w:p w14:paraId="7A4DBDCD">
            <w:pPr>
              <w:jc w:val="left"/>
              <w:rPr>
                <w:rFonts w:ascii="宋体" w:hAnsi="宋体"/>
                <w:color w:val="auto"/>
                <w:sz w:val="24"/>
                <w:highlight w:val="none"/>
              </w:rPr>
            </w:pPr>
            <w:r>
              <w:rPr>
                <w:rFonts w:hint="eastAsia" w:ascii="宋体" w:hAnsi="宋体"/>
                <w:color w:val="auto"/>
                <w:sz w:val="24"/>
                <w:highlight w:val="none"/>
              </w:rPr>
              <w:t>(3) 用符合合同规定的规格、质量和性能要求的新零件或部件来更换有缺陷的部分，乙方应承担一切费用和风险并负担甲方所蒙受的全部直接损失费用。同时，乙方应按合同规定，对更换件相应延长质量保证期。</w:t>
            </w:r>
          </w:p>
          <w:p w14:paraId="7CF08432">
            <w:pPr>
              <w:jc w:val="left"/>
              <w:rPr>
                <w:rFonts w:ascii="宋体" w:hAnsi="宋体"/>
                <w:color w:val="auto"/>
                <w:sz w:val="24"/>
                <w:highlight w:val="none"/>
              </w:rPr>
            </w:pPr>
            <w:r>
              <w:rPr>
                <w:rFonts w:hint="eastAsia" w:ascii="宋体" w:hAnsi="宋体"/>
                <w:color w:val="auto"/>
                <w:sz w:val="24"/>
                <w:highlight w:val="none"/>
              </w:rPr>
              <w:t>3.如果在甲方发出索赔通知后20天内，乙方未作答复，上述索赔应视为已被乙方接受，如乙方未能在甲方提出索赔通知后20天内或甲方同意的更长时间内，按照本合同规定的任何一种方法解决索赔事宜，甲方将从乙方开具的履约保证金中扣回索赔金额，或采用法律手段解决索赔事宜。</w:t>
            </w:r>
          </w:p>
        </w:tc>
      </w:tr>
      <w:tr w14:paraId="28F6A60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0" w:hRule="atLeast"/>
        </w:trPr>
        <w:tc>
          <w:tcPr>
            <w:tcW w:w="1560" w:type="dxa"/>
            <w:vAlign w:val="center"/>
          </w:tcPr>
          <w:p w14:paraId="578134C4">
            <w:pPr>
              <w:jc w:val="center"/>
              <w:rPr>
                <w:rFonts w:ascii="宋体" w:hAnsi="宋体"/>
                <w:color w:val="auto"/>
                <w:sz w:val="24"/>
                <w:highlight w:val="none"/>
              </w:rPr>
            </w:pPr>
          </w:p>
        </w:tc>
        <w:tc>
          <w:tcPr>
            <w:tcW w:w="1789" w:type="dxa"/>
            <w:vAlign w:val="center"/>
          </w:tcPr>
          <w:p w14:paraId="18500DCF">
            <w:pPr>
              <w:jc w:val="left"/>
              <w:rPr>
                <w:rFonts w:ascii="宋体" w:hAnsi="宋体"/>
                <w:color w:val="auto"/>
                <w:sz w:val="24"/>
                <w:highlight w:val="none"/>
              </w:rPr>
            </w:pPr>
            <w:r>
              <w:rPr>
                <w:rFonts w:hint="eastAsia" w:ascii="宋体" w:hAnsi="宋体"/>
                <w:color w:val="auto"/>
                <w:sz w:val="24"/>
                <w:highlight w:val="none"/>
              </w:rPr>
              <w:t>合同生效</w:t>
            </w:r>
            <w:r>
              <w:rPr>
                <w:rFonts w:hint="eastAsia" w:ascii="宋体" w:hAnsi="宋体"/>
                <w:color w:val="auto"/>
                <w:sz w:val="24"/>
                <w:highlight w:val="none"/>
                <w:lang w:eastAsia="zh-CN"/>
              </w:rPr>
              <w:t>及其他</w:t>
            </w:r>
          </w:p>
          <w:p w14:paraId="6BB07FF1">
            <w:pPr>
              <w:jc w:val="left"/>
              <w:rPr>
                <w:rFonts w:ascii="宋体" w:hAnsi="宋体"/>
                <w:bCs/>
                <w:color w:val="auto"/>
                <w:sz w:val="24"/>
                <w:highlight w:val="none"/>
              </w:rPr>
            </w:pPr>
          </w:p>
        </w:tc>
        <w:tc>
          <w:tcPr>
            <w:tcW w:w="5170" w:type="dxa"/>
            <w:vAlign w:val="center"/>
          </w:tcPr>
          <w:p w14:paraId="49130A9E">
            <w:pPr>
              <w:jc w:val="left"/>
              <w:rPr>
                <w:rFonts w:ascii="宋体" w:hAnsi="宋体"/>
                <w:color w:val="auto"/>
                <w:sz w:val="24"/>
                <w:highlight w:val="none"/>
              </w:rPr>
            </w:pPr>
            <w:r>
              <w:rPr>
                <w:rFonts w:hint="eastAsia" w:ascii="宋体" w:hAnsi="宋体"/>
                <w:color w:val="auto"/>
                <w:sz w:val="24"/>
                <w:highlight w:val="none"/>
              </w:rPr>
              <w:t>1. 合同经甲方、乙方盖章后生效。</w:t>
            </w:r>
          </w:p>
          <w:p w14:paraId="6C7F6D25">
            <w:pPr>
              <w:jc w:val="left"/>
              <w:rPr>
                <w:rFonts w:ascii="宋体" w:hAnsi="宋体"/>
                <w:color w:val="auto"/>
                <w:sz w:val="24"/>
                <w:highlight w:val="none"/>
              </w:rPr>
            </w:pPr>
            <w:r>
              <w:rPr>
                <w:rFonts w:hint="eastAsia" w:ascii="宋体" w:hAnsi="宋体"/>
                <w:color w:val="auto"/>
                <w:sz w:val="24"/>
                <w:highlight w:val="none"/>
              </w:rPr>
              <w:t>2. 货物交付使用后所发生的合同纠纷，由甲方与乙方协商处理。</w:t>
            </w:r>
          </w:p>
          <w:p w14:paraId="2EB5C299">
            <w:pPr>
              <w:jc w:val="left"/>
              <w:rPr>
                <w:rFonts w:ascii="宋体" w:hAnsi="宋体"/>
                <w:color w:val="auto"/>
                <w:sz w:val="24"/>
                <w:highlight w:val="none"/>
              </w:rPr>
            </w:pPr>
            <w:r>
              <w:rPr>
                <w:rFonts w:hint="eastAsia" w:ascii="宋体" w:hAnsi="宋体"/>
                <w:color w:val="auto"/>
                <w:sz w:val="24"/>
                <w:highlight w:val="none"/>
              </w:rPr>
              <w:t>3.如需修改（指非主要合同条款）或补充合同内容，应经甲方、乙方协商，且修改及补充内容不得对本合同主要条款、</w:t>
            </w:r>
            <w:r>
              <w:rPr>
                <w:rFonts w:hint="eastAsia" w:ascii="宋体" w:hAnsi="宋体"/>
                <w:color w:val="auto"/>
                <w:sz w:val="24"/>
                <w:highlight w:val="none"/>
                <w:lang w:eastAsia="zh-CN"/>
              </w:rPr>
              <w:t>询价文件</w:t>
            </w:r>
            <w:r>
              <w:rPr>
                <w:rFonts w:hint="eastAsia" w:ascii="宋体" w:hAnsi="宋体"/>
                <w:color w:val="auto"/>
                <w:sz w:val="24"/>
                <w:highlight w:val="none"/>
              </w:rPr>
              <w:t>和中标人的投标文件作实质性修改，并签署书面修改或补充协议。该协议将作为本合同不可分割的一部分。</w:t>
            </w:r>
          </w:p>
          <w:p w14:paraId="482CA242">
            <w:pPr>
              <w:jc w:val="left"/>
              <w:rPr>
                <w:rFonts w:ascii="宋体" w:hAnsi="宋体"/>
                <w:color w:val="auto"/>
                <w:sz w:val="24"/>
                <w:highlight w:val="none"/>
              </w:rPr>
            </w:pPr>
            <w:r>
              <w:rPr>
                <w:rFonts w:hint="eastAsia" w:ascii="宋体" w:hAnsi="宋体"/>
                <w:color w:val="auto"/>
                <w:sz w:val="24"/>
                <w:highlight w:val="none"/>
              </w:rPr>
              <w:t>4.本合同应按照中华人民共和国的现行法律进行解释。本合同未尽事宜，遵照《民法典》、《政府采购法》等有关条文执行。</w:t>
            </w:r>
          </w:p>
        </w:tc>
      </w:tr>
    </w:tbl>
    <w:p w14:paraId="5695154A">
      <w:pPr>
        <w:pStyle w:val="14"/>
        <w:spacing w:before="120" w:beforeAutospacing="0" w:after="120" w:afterAutospacing="0" w:line="0" w:lineRule="atLeast"/>
        <w:jc w:val="center"/>
        <w:rPr>
          <w:rFonts w:hint="eastAsia" w:ascii="黑体" w:hAnsi="宋体" w:eastAsia="黑体" w:cs="黑体"/>
          <w:color w:val="auto"/>
          <w:sz w:val="44"/>
          <w:szCs w:val="44"/>
          <w:highlight w:val="none"/>
        </w:rPr>
      </w:pPr>
    </w:p>
    <w:p w14:paraId="0B1F4080">
      <w:pPr>
        <w:pStyle w:val="14"/>
        <w:spacing w:before="120" w:beforeAutospacing="0" w:after="120" w:afterAutospacing="0" w:line="0" w:lineRule="atLeast"/>
        <w:jc w:val="center"/>
        <w:rPr>
          <w:rFonts w:hint="eastAsia" w:ascii="黑体" w:hAnsi="宋体" w:eastAsia="黑体" w:cs="黑体"/>
          <w:color w:val="auto"/>
          <w:sz w:val="44"/>
          <w:szCs w:val="44"/>
          <w:highlight w:val="none"/>
        </w:rPr>
      </w:pPr>
    </w:p>
    <w:p w14:paraId="212EB0E3">
      <w:pPr>
        <w:pStyle w:val="14"/>
        <w:spacing w:before="120" w:beforeAutospacing="0" w:after="120" w:afterAutospacing="0" w:line="0" w:lineRule="atLeast"/>
        <w:jc w:val="center"/>
        <w:rPr>
          <w:rFonts w:hint="eastAsia" w:ascii="黑体" w:hAnsi="宋体" w:eastAsia="黑体" w:cs="黑体"/>
          <w:color w:val="auto"/>
          <w:sz w:val="44"/>
          <w:szCs w:val="44"/>
          <w:highlight w:val="none"/>
        </w:rPr>
      </w:pPr>
    </w:p>
    <w:p w14:paraId="050653E2">
      <w:pPr>
        <w:pStyle w:val="14"/>
        <w:spacing w:before="120" w:beforeAutospacing="0" w:after="120" w:afterAutospacing="0" w:line="0" w:lineRule="atLeast"/>
        <w:jc w:val="center"/>
        <w:rPr>
          <w:rFonts w:hint="eastAsia" w:ascii="黑体" w:hAnsi="宋体" w:eastAsia="黑体" w:cs="黑体"/>
          <w:color w:val="auto"/>
          <w:sz w:val="44"/>
          <w:szCs w:val="44"/>
          <w:highlight w:val="none"/>
        </w:rPr>
      </w:pPr>
    </w:p>
    <w:p w14:paraId="559197AE">
      <w:pPr>
        <w:pStyle w:val="14"/>
        <w:spacing w:before="120" w:beforeAutospacing="0" w:after="120" w:afterAutospacing="0" w:line="0" w:lineRule="atLeast"/>
        <w:jc w:val="center"/>
        <w:rPr>
          <w:rFonts w:hint="eastAsia" w:ascii="黑体" w:hAnsi="宋体" w:eastAsia="黑体" w:cs="黑体"/>
          <w:color w:val="auto"/>
          <w:sz w:val="44"/>
          <w:szCs w:val="44"/>
          <w:highlight w:val="none"/>
        </w:rPr>
      </w:pPr>
    </w:p>
    <w:p w14:paraId="1B9B4E89">
      <w:pPr>
        <w:pStyle w:val="14"/>
        <w:spacing w:before="120" w:beforeAutospacing="0" w:after="120" w:afterAutospacing="0" w:line="0" w:lineRule="atLeast"/>
        <w:jc w:val="center"/>
        <w:rPr>
          <w:rFonts w:hint="eastAsia" w:ascii="黑体" w:hAnsi="宋体" w:eastAsia="黑体" w:cs="黑体"/>
          <w:color w:val="auto"/>
          <w:sz w:val="44"/>
          <w:szCs w:val="44"/>
          <w:highlight w:val="none"/>
        </w:rPr>
      </w:pPr>
    </w:p>
    <w:p w14:paraId="7BA2A635">
      <w:pPr>
        <w:pStyle w:val="14"/>
        <w:spacing w:before="120" w:beforeAutospacing="0" w:after="120" w:afterAutospacing="0" w:line="0" w:lineRule="atLeast"/>
        <w:jc w:val="center"/>
        <w:rPr>
          <w:rFonts w:hint="eastAsia" w:ascii="黑体" w:hAnsi="宋体" w:eastAsia="黑体" w:cs="黑体"/>
          <w:color w:val="auto"/>
          <w:sz w:val="44"/>
          <w:szCs w:val="44"/>
          <w:highlight w:val="none"/>
        </w:rPr>
      </w:pPr>
    </w:p>
    <w:p w14:paraId="13444095">
      <w:pPr>
        <w:pStyle w:val="14"/>
        <w:spacing w:before="120" w:beforeAutospacing="0" w:after="120" w:afterAutospacing="0" w:line="0" w:lineRule="atLeast"/>
        <w:jc w:val="center"/>
        <w:rPr>
          <w:rFonts w:hint="eastAsia" w:ascii="黑体" w:hAnsi="宋体" w:eastAsia="黑体" w:cs="黑体"/>
          <w:color w:val="auto"/>
          <w:sz w:val="44"/>
          <w:szCs w:val="44"/>
          <w:highlight w:val="none"/>
        </w:rPr>
      </w:pPr>
    </w:p>
    <w:p w14:paraId="56A2AEC3">
      <w:pPr>
        <w:pStyle w:val="14"/>
        <w:spacing w:before="120" w:beforeAutospacing="0" w:after="120" w:afterAutospacing="0" w:line="0" w:lineRule="atLeast"/>
        <w:jc w:val="center"/>
        <w:rPr>
          <w:rFonts w:hint="eastAsia" w:ascii="黑体" w:hAnsi="宋体" w:eastAsia="黑体" w:cs="黑体"/>
          <w:color w:val="auto"/>
          <w:sz w:val="44"/>
          <w:szCs w:val="44"/>
          <w:highlight w:val="none"/>
        </w:rPr>
      </w:pPr>
    </w:p>
    <w:p w14:paraId="07E573A4">
      <w:pPr>
        <w:pStyle w:val="14"/>
        <w:spacing w:before="120" w:beforeAutospacing="0" w:after="120" w:afterAutospacing="0" w:line="0" w:lineRule="atLeast"/>
        <w:jc w:val="center"/>
        <w:rPr>
          <w:rFonts w:hint="eastAsia" w:ascii="黑体" w:hAnsi="宋体" w:eastAsia="黑体" w:cs="黑体"/>
          <w:color w:val="auto"/>
          <w:sz w:val="44"/>
          <w:szCs w:val="44"/>
          <w:highlight w:val="none"/>
        </w:rPr>
      </w:pPr>
    </w:p>
    <w:p w14:paraId="6A00B0E0">
      <w:pPr>
        <w:pStyle w:val="14"/>
        <w:spacing w:before="120" w:beforeAutospacing="0" w:after="120" w:afterAutospacing="0" w:line="0" w:lineRule="atLeast"/>
        <w:jc w:val="center"/>
        <w:rPr>
          <w:rFonts w:hint="eastAsia" w:ascii="黑体" w:hAnsi="宋体" w:eastAsia="黑体" w:cs="黑体"/>
          <w:color w:val="auto"/>
          <w:sz w:val="44"/>
          <w:szCs w:val="44"/>
          <w:highlight w:val="none"/>
        </w:rPr>
      </w:pPr>
    </w:p>
    <w:p w14:paraId="3707A3C4">
      <w:pPr>
        <w:pStyle w:val="14"/>
        <w:spacing w:before="120" w:beforeAutospacing="0" w:after="120" w:afterAutospacing="0" w:line="0" w:lineRule="atLeast"/>
        <w:jc w:val="center"/>
        <w:rPr>
          <w:rFonts w:hint="eastAsia" w:ascii="黑体" w:hAnsi="宋体" w:eastAsia="黑体" w:cs="黑体"/>
          <w:color w:val="auto"/>
          <w:sz w:val="44"/>
          <w:szCs w:val="44"/>
          <w:highlight w:val="none"/>
        </w:rPr>
      </w:pPr>
    </w:p>
    <w:p w14:paraId="5E4E6FC7">
      <w:pPr>
        <w:pStyle w:val="14"/>
        <w:spacing w:before="120" w:beforeAutospacing="0" w:after="120" w:afterAutospacing="0" w:line="0" w:lineRule="atLeast"/>
        <w:jc w:val="center"/>
        <w:rPr>
          <w:rFonts w:hint="eastAsia" w:ascii="黑体" w:hAnsi="宋体" w:eastAsia="黑体" w:cs="黑体"/>
          <w:color w:val="auto"/>
          <w:sz w:val="44"/>
          <w:szCs w:val="44"/>
          <w:highlight w:val="none"/>
        </w:rPr>
      </w:pPr>
    </w:p>
    <w:p w14:paraId="43846816">
      <w:pPr>
        <w:pStyle w:val="14"/>
        <w:spacing w:before="120" w:beforeAutospacing="0" w:after="120" w:afterAutospacing="0" w:line="0" w:lineRule="atLeast"/>
        <w:jc w:val="center"/>
        <w:rPr>
          <w:rFonts w:hint="eastAsia" w:ascii="黑体" w:hAnsi="宋体" w:eastAsia="黑体" w:cs="黑体"/>
          <w:color w:val="auto"/>
          <w:sz w:val="44"/>
          <w:szCs w:val="44"/>
          <w:highlight w:val="none"/>
        </w:rPr>
      </w:pPr>
    </w:p>
    <w:p w14:paraId="64B92E35">
      <w:pPr>
        <w:pStyle w:val="14"/>
        <w:spacing w:before="120" w:beforeAutospacing="0" w:after="120" w:afterAutospacing="0" w:line="0" w:lineRule="atLeast"/>
        <w:jc w:val="center"/>
        <w:rPr>
          <w:rFonts w:hint="eastAsia" w:ascii="黑体" w:hAnsi="宋体" w:eastAsia="黑体" w:cs="黑体"/>
          <w:color w:val="auto"/>
          <w:sz w:val="44"/>
          <w:szCs w:val="44"/>
          <w:highlight w:val="none"/>
        </w:rPr>
      </w:pPr>
    </w:p>
    <w:p w14:paraId="55BB5D3D">
      <w:pPr>
        <w:pStyle w:val="14"/>
        <w:spacing w:before="120" w:beforeAutospacing="0" w:after="120" w:afterAutospacing="0" w:line="0" w:lineRule="atLeast"/>
        <w:jc w:val="center"/>
        <w:outlineLvl w:val="0"/>
        <w:rPr>
          <w:rFonts w:hint="eastAsia" w:ascii="宋体" w:hAnsi="宋体" w:eastAsia="宋体" w:cs="宋体"/>
          <w:color w:val="auto"/>
          <w:sz w:val="24"/>
          <w:szCs w:val="24"/>
          <w:highlight w:val="none"/>
          <w:shd w:val="clear" w:color="auto" w:fill="auto"/>
        </w:rPr>
      </w:pPr>
      <w:bookmarkStart w:id="369" w:name="_Toc11514"/>
      <w:r>
        <w:rPr>
          <w:rFonts w:hint="eastAsia" w:ascii="黑体" w:hAnsi="宋体" w:eastAsia="黑体" w:cs="黑体"/>
          <w:color w:val="auto"/>
          <w:sz w:val="44"/>
          <w:szCs w:val="44"/>
          <w:highlight w:val="none"/>
        </w:rPr>
        <w:t> 第</w:t>
      </w:r>
      <w:bookmarkEnd w:id="287"/>
      <w:r>
        <w:rPr>
          <w:rFonts w:hint="eastAsia" w:ascii="黑体" w:hAnsi="宋体" w:eastAsia="黑体" w:cs="黑体"/>
          <w:color w:val="auto"/>
          <w:sz w:val="44"/>
          <w:szCs w:val="44"/>
          <w:highlight w:val="none"/>
        </w:rPr>
        <w:t>四章 采购需求</w:t>
      </w:r>
      <w:bookmarkEnd w:id="288"/>
      <w:bookmarkEnd w:id="289"/>
      <w:bookmarkEnd w:id="290"/>
      <w:bookmarkEnd w:id="291"/>
      <w:bookmarkEnd w:id="292"/>
      <w:bookmarkEnd w:id="369"/>
    </w:p>
    <w:p w14:paraId="394C0D18">
      <w:pPr>
        <w:pStyle w:val="14"/>
        <w:spacing w:line="360" w:lineRule="auto"/>
        <w:rPr>
          <w:rFonts w:hint="eastAsia"/>
          <w:color w:val="auto"/>
          <w:highlight w:val="none"/>
        </w:rPr>
      </w:pPr>
      <w:r>
        <w:rPr>
          <w:rFonts w:hint="eastAsia" w:ascii="宋体" w:hAnsi="宋体" w:eastAsia="宋体" w:cs="宋体"/>
          <w:color w:val="auto"/>
          <w:sz w:val="24"/>
          <w:szCs w:val="24"/>
          <w:highlight w:val="none"/>
        </w:rPr>
        <w:t> </w:t>
      </w:r>
      <w:r>
        <w:rPr>
          <w:rFonts w:hint="eastAsia"/>
          <w:color w:val="auto"/>
          <w:highlight w:val="none"/>
        </w:rPr>
        <w:t>1、</w:t>
      </w:r>
      <w:r>
        <w:rPr>
          <w:color w:val="auto"/>
          <w:highlight w:val="none"/>
        </w:rPr>
        <w:t>所供药品的生产日期必须为</w:t>
      </w:r>
      <w:r>
        <w:rPr>
          <w:color w:val="auto"/>
          <w:highlight w:val="none"/>
        </w:rPr>
        <w:t>2025年</w:t>
      </w:r>
      <w:r>
        <w:rPr>
          <w:rFonts w:hint="eastAsia"/>
          <w:color w:val="auto"/>
          <w:highlight w:val="none"/>
          <w:lang w:val="en-US" w:eastAsia="zh-CN"/>
        </w:rPr>
        <w:t>6</w:t>
      </w:r>
      <w:r>
        <w:rPr>
          <w:color w:val="auto"/>
          <w:highlight w:val="none"/>
        </w:rPr>
        <w:t>月</w:t>
      </w:r>
      <w:r>
        <w:rPr>
          <w:rFonts w:hint="eastAsia"/>
          <w:color w:val="auto"/>
          <w:highlight w:val="none"/>
          <w:lang w:val="en-US" w:eastAsia="zh-CN"/>
        </w:rPr>
        <w:t>1日</w:t>
      </w:r>
      <w:r>
        <w:rPr>
          <w:color w:val="auto"/>
          <w:highlight w:val="none"/>
        </w:rPr>
        <w:t>之后，产品包装规格剂量、使用量根据采购人具体需求情况供货。所有产品包装必须符合现行《农药包装通则》、《农药产品标签通则》等规定。</w:t>
      </w:r>
    </w:p>
    <w:tbl>
      <w:tblPr>
        <w:tblStyle w:val="15"/>
        <w:tblW w:w="9582" w:type="dxa"/>
        <w:tblCellSpacing w:w="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8"/>
        <w:gridCol w:w="1520"/>
        <w:gridCol w:w="1040"/>
        <w:gridCol w:w="976"/>
        <w:gridCol w:w="2614"/>
        <w:gridCol w:w="1638"/>
        <w:gridCol w:w="1276"/>
      </w:tblGrid>
      <w:tr w14:paraId="4BA48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5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B1EE3">
            <w:pPr>
              <w:bidi w:val="0"/>
              <w:jc w:val="center"/>
              <w:rPr>
                <w:rFonts w:hint="eastAsia" w:eastAsiaTheme="minorEastAsia"/>
                <w:color w:val="auto"/>
                <w:highlight w:val="none"/>
                <w:lang w:eastAsia="zh-CN"/>
              </w:rPr>
            </w:pPr>
            <w:r>
              <w:rPr>
                <w:rFonts w:hint="eastAsia"/>
                <w:color w:val="auto"/>
                <w:highlight w:val="none"/>
                <w:lang w:val="en-US" w:eastAsia="zh-CN"/>
              </w:rPr>
              <w:t>序号</w:t>
            </w:r>
          </w:p>
        </w:tc>
        <w:tc>
          <w:tcPr>
            <w:tcW w:w="15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D4EB2">
            <w:pPr>
              <w:bidi w:val="0"/>
              <w:jc w:val="center"/>
              <w:rPr>
                <w:color w:val="auto"/>
                <w:highlight w:val="none"/>
              </w:rPr>
            </w:pPr>
            <w:r>
              <w:rPr>
                <w:rFonts w:hint="eastAsia"/>
                <w:color w:val="auto"/>
                <w:highlight w:val="none"/>
              </w:rPr>
              <w:t>产品名称</w:t>
            </w:r>
          </w:p>
        </w:tc>
        <w:tc>
          <w:tcPr>
            <w:tcW w:w="1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E44CE">
            <w:pPr>
              <w:bidi w:val="0"/>
              <w:jc w:val="center"/>
              <w:rPr>
                <w:color w:val="auto"/>
                <w:highlight w:val="none"/>
              </w:rPr>
            </w:pPr>
            <w:r>
              <w:rPr>
                <w:rFonts w:hint="eastAsia"/>
                <w:color w:val="auto"/>
                <w:highlight w:val="none"/>
              </w:rPr>
              <w:t>产品包装规格</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915D1">
            <w:pPr>
              <w:bidi w:val="0"/>
              <w:jc w:val="center"/>
              <w:rPr>
                <w:color w:val="auto"/>
                <w:highlight w:val="none"/>
              </w:rPr>
            </w:pPr>
            <w:r>
              <w:rPr>
                <w:rFonts w:hint="eastAsia"/>
                <w:color w:val="auto"/>
                <w:highlight w:val="none"/>
              </w:rPr>
              <w:t>剂型</w:t>
            </w:r>
          </w:p>
        </w:tc>
        <w:tc>
          <w:tcPr>
            <w:tcW w:w="26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D331B">
            <w:pPr>
              <w:bidi w:val="0"/>
              <w:jc w:val="center"/>
              <w:rPr>
                <w:rFonts w:hint="eastAsia"/>
                <w:color w:val="auto"/>
                <w:highlight w:val="none"/>
              </w:rPr>
            </w:pPr>
            <w:r>
              <w:rPr>
                <w:rFonts w:hint="eastAsia"/>
                <w:color w:val="auto"/>
                <w:highlight w:val="none"/>
              </w:rPr>
              <w:t>主要技术参数要求</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316FD">
            <w:pPr>
              <w:bidi w:val="0"/>
              <w:jc w:val="center"/>
              <w:rPr>
                <w:color w:val="auto"/>
                <w:highlight w:val="none"/>
              </w:rPr>
            </w:pPr>
            <w:r>
              <w:rPr>
                <w:rFonts w:hint="eastAsia"/>
                <w:color w:val="auto"/>
                <w:highlight w:val="none"/>
              </w:rPr>
              <w:t>最</w:t>
            </w:r>
            <w:r>
              <w:rPr>
                <w:rFonts w:hint="eastAsia"/>
                <w:color w:val="auto"/>
                <w:highlight w:val="none"/>
                <w:lang w:val="en-US" w:eastAsia="zh-CN"/>
              </w:rPr>
              <w:t>低投标数量</w:t>
            </w:r>
            <w:r>
              <w:rPr>
                <w:rFonts w:hint="eastAsia"/>
                <w:color w:val="auto"/>
                <w:highlight w:val="none"/>
              </w:rPr>
              <w:t>（单位：</w:t>
            </w:r>
            <w:r>
              <w:rPr>
                <w:rFonts w:hint="eastAsia"/>
                <w:color w:val="auto"/>
                <w:highlight w:val="none"/>
                <w:lang w:val="en-US" w:eastAsia="zh-CN"/>
              </w:rPr>
              <w:t>kg</w:t>
            </w:r>
            <w:r>
              <w:rPr>
                <w:rFonts w:hint="eastAsia"/>
                <w:color w:val="auto"/>
                <w:highlight w:val="none"/>
              </w:rPr>
              <w:t>）</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EF33C">
            <w:pPr>
              <w:bidi w:val="0"/>
              <w:jc w:val="center"/>
              <w:rPr>
                <w:color w:val="auto"/>
                <w:highlight w:val="none"/>
              </w:rPr>
            </w:pPr>
            <w:r>
              <w:rPr>
                <w:rFonts w:hint="eastAsia"/>
                <w:color w:val="auto"/>
                <w:highlight w:val="none"/>
              </w:rPr>
              <w:t>采购金额（元）</w:t>
            </w:r>
          </w:p>
        </w:tc>
      </w:tr>
      <w:tr w14:paraId="1DE4B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tblCellSpacing w:w="0" w:type="dxa"/>
        </w:trPr>
        <w:tc>
          <w:tcPr>
            <w:tcW w:w="5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65197">
            <w:pPr>
              <w:bidi w:val="0"/>
              <w:jc w:val="center"/>
              <w:rPr>
                <w:color w:val="auto"/>
                <w:highlight w:val="none"/>
              </w:rPr>
            </w:pPr>
            <w:r>
              <w:rPr>
                <w:rFonts w:hint="eastAsia"/>
                <w:color w:val="auto"/>
                <w:highlight w:val="none"/>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7936D">
            <w:pPr>
              <w:bidi w:val="0"/>
              <w:jc w:val="center"/>
              <w:rPr>
                <w:color w:val="auto"/>
                <w:highlight w:val="none"/>
              </w:rPr>
            </w:pPr>
            <w:r>
              <w:rPr>
                <w:rFonts w:hint="eastAsia"/>
                <w:color w:val="auto"/>
                <w:highlight w:val="none"/>
                <w:lang w:val="en-US" w:eastAsia="zh-CN"/>
              </w:rPr>
              <w:t>40%甲氧·茚虫威悬浮剂</w:t>
            </w:r>
          </w:p>
        </w:tc>
        <w:tc>
          <w:tcPr>
            <w:tcW w:w="1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3C0E8">
            <w:pPr>
              <w:bidi w:val="0"/>
              <w:jc w:val="center"/>
              <w:rPr>
                <w:color w:val="auto"/>
                <w:highlight w:val="none"/>
              </w:rPr>
            </w:pPr>
            <w:r>
              <w:rPr>
                <w:rFonts w:hint="eastAsia"/>
                <w:color w:val="auto"/>
                <w:highlight w:val="none"/>
              </w:rPr>
              <w:t>15克/袋（瓶）</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EB0C8">
            <w:pPr>
              <w:bidi w:val="0"/>
              <w:jc w:val="center"/>
              <w:rPr>
                <w:rFonts w:hint="eastAsia"/>
                <w:color w:val="auto"/>
                <w:highlight w:val="none"/>
              </w:rPr>
            </w:pPr>
            <w:r>
              <w:rPr>
                <w:rFonts w:hint="eastAsia"/>
                <w:color w:val="auto"/>
                <w:highlight w:val="none"/>
              </w:rPr>
              <w:t>悬浮剂</w:t>
            </w:r>
          </w:p>
        </w:tc>
        <w:tc>
          <w:tcPr>
            <w:tcW w:w="26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182AA">
            <w:pPr>
              <w:bidi w:val="0"/>
              <w:jc w:val="center"/>
              <w:rPr>
                <w:rFonts w:hint="eastAsia"/>
                <w:color w:val="auto"/>
                <w:highlight w:val="none"/>
              </w:rPr>
            </w:pPr>
            <w:bookmarkStart w:id="370" w:name="OLE_LINK5"/>
            <w:bookmarkEnd w:id="370"/>
            <w:r>
              <w:rPr>
                <w:rFonts w:hint="eastAsia"/>
                <w:color w:val="auto"/>
                <w:highlight w:val="none"/>
              </w:rPr>
              <w:t>登记作物：包含水稻。防治对象含：稻纵卷叶螟。</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B5567">
            <w:pPr>
              <w:bidi w:val="0"/>
              <w:jc w:val="center"/>
              <w:rPr>
                <w:rFonts w:hint="default" w:eastAsiaTheme="minorEastAsia"/>
                <w:color w:val="auto"/>
                <w:highlight w:val="none"/>
                <w:lang w:val="en-US" w:eastAsia="zh-CN"/>
              </w:rPr>
            </w:pPr>
            <w:r>
              <w:rPr>
                <w:rFonts w:hint="eastAsia"/>
                <w:color w:val="auto"/>
                <w:highlight w:val="none"/>
                <w:lang w:val="en-US" w:eastAsia="zh-CN"/>
              </w:rPr>
              <w:t>7499.47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0BC1B">
            <w:pPr>
              <w:bidi w:val="0"/>
              <w:jc w:val="center"/>
              <w:rPr>
                <w:rFonts w:hint="default" w:eastAsiaTheme="minorEastAsia"/>
                <w:color w:val="auto"/>
                <w:highlight w:val="none"/>
                <w:lang w:val="en-US" w:eastAsia="zh-CN"/>
              </w:rPr>
            </w:pPr>
            <w:r>
              <w:rPr>
                <w:rFonts w:hint="eastAsia"/>
                <w:color w:val="auto"/>
                <w:highlight w:val="none"/>
                <w:lang w:val="en-US" w:eastAsia="zh-CN"/>
              </w:rPr>
              <w:t>2747010.29</w:t>
            </w:r>
          </w:p>
        </w:tc>
      </w:tr>
    </w:tbl>
    <w:p w14:paraId="64F536F0">
      <w:pPr>
        <w:pStyle w:val="14"/>
        <w:widowControl w:val="0"/>
        <w:spacing w:line="0" w:lineRule="atLeast"/>
        <w:jc w:val="both"/>
        <w:rPr>
          <w:color w:val="auto"/>
          <w:highlight w:val="none"/>
        </w:rPr>
      </w:pPr>
      <w:r>
        <w:rPr>
          <w:rFonts w:hint="eastAsia"/>
          <w:color w:val="auto"/>
          <w:highlight w:val="none"/>
        </w:rPr>
        <w:t>注：</w:t>
      </w:r>
    </w:p>
    <w:p w14:paraId="254FAB11">
      <w:pPr>
        <w:pStyle w:val="14"/>
        <w:numPr>
          <w:ilvl w:val="0"/>
          <w:numId w:val="10"/>
        </w:numPr>
        <w:spacing w:line="360" w:lineRule="auto"/>
        <w:jc w:val="both"/>
        <w:rPr>
          <w:rFonts w:hint="eastAsia"/>
          <w:b/>
          <w:bCs/>
          <w:i w:val="0"/>
          <w:iCs w:val="0"/>
          <w:color w:val="auto"/>
          <w:highlight w:val="none"/>
          <w:u w:val="none"/>
        </w:rPr>
      </w:pPr>
      <w:r>
        <w:rPr>
          <w:b/>
          <w:bCs/>
          <w:i w:val="0"/>
          <w:iCs w:val="0"/>
          <w:color w:val="auto"/>
          <w:highlight w:val="none"/>
          <w:u w:val="none"/>
        </w:rPr>
        <w:t>预算金额足额采购。供应商</w:t>
      </w:r>
      <w:r>
        <w:rPr>
          <w:rFonts w:hint="eastAsia"/>
          <w:b/>
          <w:bCs/>
          <w:i w:val="0"/>
          <w:iCs w:val="0"/>
          <w:color w:val="auto"/>
          <w:highlight w:val="none"/>
          <w:u w:val="none"/>
          <w:lang w:val="en-US" w:eastAsia="zh-CN"/>
        </w:rPr>
        <w:t>不得改变采购总金额，以数量最高</w:t>
      </w:r>
      <w:r>
        <w:rPr>
          <w:b/>
          <w:bCs/>
          <w:i w:val="0"/>
          <w:iCs w:val="0"/>
          <w:color w:val="auto"/>
          <w:highlight w:val="none"/>
          <w:u w:val="none"/>
        </w:rPr>
        <w:t>的</w:t>
      </w:r>
      <w:r>
        <w:rPr>
          <w:rFonts w:hint="eastAsia"/>
          <w:b/>
          <w:bCs/>
          <w:i w:val="0"/>
          <w:iCs w:val="0"/>
          <w:color w:val="auto"/>
          <w:highlight w:val="none"/>
          <w:u w:val="none"/>
          <w:lang w:val="en-US" w:eastAsia="zh-CN"/>
        </w:rPr>
        <w:t>优先</w:t>
      </w:r>
      <w:r>
        <w:rPr>
          <w:rFonts w:hint="eastAsia"/>
          <w:b/>
          <w:bCs/>
          <w:i w:val="0"/>
          <w:iCs w:val="0"/>
          <w:color w:val="auto"/>
          <w:highlight w:val="none"/>
          <w:u w:val="none"/>
        </w:rPr>
        <w:t>，采购人全部使用完采购预算（投标量×每吨单价超过采购预算价的为无效报价文件）。</w:t>
      </w:r>
      <w:r>
        <w:rPr>
          <w:rFonts w:hint="eastAsia"/>
          <w:b/>
          <w:bCs/>
          <w:i/>
          <w:iCs/>
          <w:color w:val="auto"/>
          <w:highlight w:val="none"/>
          <w:u w:val="single"/>
          <w:lang w:val="en-US" w:eastAsia="zh-CN"/>
        </w:rPr>
        <w:t>投标报价时，填写的单价=预算金额/拟投标数量。</w:t>
      </w:r>
    </w:p>
    <w:p w14:paraId="06F43151">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（2）因本项目属于国家农业农村部、省农业农村厅专项应急实施事项，水稻穗期“一喷多促”季节性很强，为保证项目的顺利实施，要求供应商</w:t>
      </w:r>
      <w:bookmarkStart w:id="371" w:name="OLE_LINK14"/>
      <w:r>
        <w:rPr>
          <w:rFonts w:hint="eastAsia" w:ascii="宋体" w:hAnsi="宋体" w:cs="宋体"/>
          <w:color w:val="auto"/>
          <w:sz w:val="24"/>
          <w:highlight w:val="none"/>
          <w:lang w:val="en-US" w:eastAsia="zh-CN"/>
        </w:rPr>
        <w:t>须保证现货货源充足，</w:t>
      </w:r>
      <w:bookmarkStart w:id="372" w:name="OLE_LINK19"/>
      <w:r>
        <w:rPr>
          <w:rFonts w:hint="eastAsia" w:ascii="宋体" w:hAnsi="宋体" w:cs="宋体"/>
          <w:color w:val="auto"/>
          <w:sz w:val="24"/>
          <w:highlight w:val="none"/>
          <w:lang w:val="en-US" w:eastAsia="zh-CN"/>
        </w:rPr>
        <w:t>中标后须按照采购人的通知</w:t>
      </w:r>
      <w:bookmarkEnd w:id="371"/>
      <w:bookmarkStart w:id="373" w:name="OLE_LINK24"/>
      <w:r>
        <w:rPr>
          <w:rFonts w:hint="eastAsia" w:ascii="宋体" w:hAnsi="宋体" w:cs="宋体"/>
          <w:color w:val="auto"/>
          <w:sz w:val="24"/>
          <w:highlight w:val="none"/>
          <w:lang w:val="en-US" w:eastAsia="zh-CN"/>
        </w:rPr>
        <w:t>及时</w:t>
      </w:r>
      <w:bookmarkEnd w:id="373"/>
      <w:r>
        <w:rPr>
          <w:rFonts w:hint="eastAsia" w:ascii="宋体" w:hAnsi="宋体" w:cs="宋体"/>
          <w:color w:val="auto"/>
          <w:sz w:val="24"/>
          <w:highlight w:val="none"/>
          <w:lang w:val="en-US" w:eastAsia="zh-CN"/>
        </w:rPr>
        <w:t>签订合同和供货，未按采购人通知要求执行的，视为自动放弃中标资格。</w:t>
      </w:r>
      <w:bookmarkEnd w:id="372"/>
      <w:r>
        <w:rPr>
          <w:rFonts w:hint="eastAsia" w:ascii="宋体" w:hAnsi="宋体" w:cs="宋体"/>
          <w:color w:val="auto"/>
          <w:sz w:val="24"/>
          <w:highlight w:val="none"/>
          <w:lang w:val="en-US" w:eastAsia="zh-CN"/>
        </w:rPr>
        <w:t>投标时，供应商须提供承诺函，否则视为无效投标。</w:t>
      </w:r>
    </w:p>
    <w:p w14:paraId="1B4E173C">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b/>
          <w:bCs/>
          <w:color w:val="auto"/>
          <w:sz w:val="24"/>
          <w:highlight w:val="none"/>
        </w:rPr>
        <w:t>包装和运输：</w:t>
      </w:r>
      <w:r>
        <w:rPr>
          <w:rFonts w:hint="eastAsia" w:ascii="宋体" w:hAnsi="宋体" w:cs="宋体"/>
          <w:color w:val="auto"/>
          <w:sz w:val="24"/>
          <w:highlight w:val="none"/>
        </w:rPr>
        <w:t>产品包装应有标签、说明书和产品质量检验合格证。包装箱外加贴“</w:t>
      </w:r>
      <w:r>
        <w:rPr>
          <w:rFonts w:hint="eastAsia" w:ascii="宋体" w:hAnsi="宋体" w:cs="宋体"/>
          <w:b/>
          <w:bCs/>
          <w:color w:val="auto"/>
          <w:sz w:val="24"/>
          <w:highlight w:val="none"/>
        </w:rPr>
        <w:t>政府补贴农药、严禁倒买倒卖</w:t>
      </w:r>
      <w:r>
        <w:rPr>
          <w:rFonts w:hint="eastAsia" w:ascii="宋体" w:hAnsi="宋体" w:cs="宋体"/>
          <w:color w:val="auto"/>
          <w:sz w:val="24"/>
          <w:highlight w:val="none"/>
        </w:rPr>
        <w:t>”标识。</w:t>
      </w:r>
      <w:r>
        <w:rPr>
          <w:rFonts w:hint="eastAsia" w:ascii="宋体" w:hAnsi="宋体" w:cs="宋体"/>
          <w:color w:val="auto"/>
          <w:sz w:val="24"/>
          <w:highlight w:val="none"/>
          <w:lang w:val="en-US" w:eastAsia="zh-CN"/>
        </w:rPr>
        <w:t>中标供应商按照合同规定将中标产品送至指定地点，货到当场验收（中标供应商提供同批次产品检测报告）</w:t>
      </w:r>
    </w:p>
    <w:p w14:paraId="6D0C60A2">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b/>
          <w:bCs/>
          <w:color w:val="auto"/>
          <w:sz w:val="24"/>
          <w:highlight w:val="none"/>
        </w:rPr>
        <w:t>报价要求</w:t>
      </w:r>
      <w:r>
        <w:rPr>
          <w:rFonts w:hint="eastAsia" w:ascii="宋体" w:hAnsi="宋体" w:cs="宋体"/>
          <w:color w:val="auto"/>
          <w:sz w:val="24"/>
          <w:highlight w:val="none"/>
        </w:rPr>
        <w:t>：投标人应在预算价范围内最大限度的报货物数量。投标报价包括但不限于产品货款、运费力资（送达至采购方指定地点并卸货至指定位置）、装卸、安装、质量检验检测、分发用工、产品使用技术培训、售后服务、检查验收、代理费等费用，税金（含已支付或将支付的营业税和其它税费）及为项目所发生的其它所有费用。</w:t>
      </w:r>
    </w:p>
    <w:p w14:paraId="0CAF6642">
      <w:pPr>
        <w:pStyle w:val="14"/>
        <w:widowControl w:val="0"/>
        <w:spacing w:before="0" w:beforeAutospacing="0" w:after="0" w:afterAutospacing="0"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采购标的对应的中小企业划分标准所属行业一览表</w:t>
      </w:r>
    </w:p>
    <w:tbl>
      <w:tblPr>
        <w:tblStyle w:val="15"/>
        <w:tblW w:w="7198" w:type="dxa"/>
        <w:jc w:val="center"/>
        <w:tblCellSpacing w:w="0" w:type="dxa"/>
        <w:tblLayout w:type="fixed"/>
        <w:tblCellMar>
          <w:top w:w="0" w:type="dxa"/>
          <w:left w:w="108" w:type="dxa"/>
          <w:bottom w:w="0" w:type="dxa"/>
          <w:right w:w="108" w:type="dxa"/>
        </w:tblCellMar>
      </w:tblPr>
      <w:tblGrid>
        <w:gridCol w:w="586"/>
        <w:gridCol w:w="3542"/>
        <w:gridCol w:w="3070"/>
      </w:tblGrid>
      <w:tr w14:paraId="594050DB">
        <w:tblPrEx>
          <w:tblCellMar>
            <w:top w:w="0" w:type="dxa"/>
            <w:left w:w="108" w:type="dxa"/>
            <w:bottom w:w="0" w:type="dxa"/>
            <w:right w:w="108" w:type="dxa"/>
          </w:tblCellMar>
        </w:tblPrEx>
        <w:trPr>
          <w:trHeight w:val="1347" w:hRule="atLeast"/>
          <w:tblCellSpacing w:w="0" w:type="dxa"/>
          <w:jc w:val="center"/>
        </w:trPr>
        <w:tc>
          <w:tcPr>
            <w:tcW w:w="586" w:type="dxa"/>
            <w:tcBorders>
              <w:top w:val="single" w:color="000000" w:sz="4" w:space="0"/>
              <w:left w:val="single" w:color="000000" w:sz="4" w:space="0"/>
              <w:bottom w:val="single" w:color="000000" w:sz="4" w:space="0"/>
              <w:right w:val="single" w:color="000000" w:sz="4" w:space="0"/>
            </w:tcBorders>
            <w:noWrap w:val="0"/>
            <w:vAlign w:val="center"/>
          </w:tcPr>
          <w:p w14:paraId="34A7A3ED">
            <w:pPr>
              <w:pStyle w:val="14"/>
              <w:widowControl w:val="0"/>
              <w:spacing w:before="0" w:beforeAutospacing="0" w:after="0" w:afterAutospacing="0" w:line="0" w:lineRule="atLeast"/>
              <w:jc w:val="center"/>
              <w:rPr>
                <w:rFonts w:hint="eastAsia"/>
                <w:color w:val="auto"/>
                <w:highlight w:val="none"/>
              </w:rPr>
            </w:pPr>
            <w:r>
              <w:rPr>
                <w:rFonts w:hint="eastAsia"/>
                <w:color w:val="auto"/>
                <w:highlight w:val="none"/>
              </w:rPr>
              <w:t>序号</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54E4C058">
            <w:pPr>
              <w:pStyle w:val="14"/>
              <w:widowControl w:val="0"/>
              <w:spacing w:before="0" w:beforeAutospacing="0" w:after="0" w:afterAutospacing="0" w:line="0" w:lineRule="atLeast"/>
              <w:jc w:val="center"/>
              <w:rPr>
                <w:rFonts w:hint="eastAsia"/>
                <w:color w:val="auto"/>
                <w:highlight w:val="none"/>
              </w:rPr>
            </w:pPr>
            <w:r>
              <w:rPr>
                <w:rFonts w:hint="eastAsia"/>
                <w:color w:val="auto"/>
                <w:highlight w:val="none"/>
              </w:rPr>
              <w:t>采购标的</w:t>
            </w:r>
          </w:p>
        </w:tc>
        <w:tc>
          <w:tcPr>
            <w:tcW w:w="3070" w:type="dxa"/>
            <w:tcBorders>
              <w:top w:val="single" w:color="000000" w:sz="4" w:space="0"/>
              <w:left w:val="single" w:color="000000" w:sz="4" w:space="0"/>
              <w:bottom w:val="single" w:color="000000" w:sz="4" w:space="0"/>
              <w:right w:val="single" w:color="000000" w:sz="4" w:space="0"/>
            </w:tcBorders>
            <w:noWrap w:val="0"/>
            <w:vAlign w:val="center"/>
          </w:tcPr>
          <w:p w14:paraId="0353461F">
            <w:pPr>
              <w:pStyle w:val="14"/>
              <w:widowControl w:val="0"/>
              <w:spacing w:before="0" w:beforeAutospacing="0" w:after="0" w:afterAutospacing="0" w:line="0" w:lineRule="atLeast"/>
              <w:jc w:val="center"/>
              <w:rPr>
                <w:rFonts w:hint="eastAsia"/>
                <w:color w:val="auto"/>
                <w:highlight w:val="none"/>
              </w:rPr>
            </w:pPr>
            <w:r>
              <w:rPr>
                <w:rFonts w:hint="eastAsia"/>
                <w:color w:val="auto"/>
                <w:highlight w:val="none"/>
              </w:rPr>
              <w:t>对应中小企业划分标准所属行业</w:t>
            </w:r>
          </w:p>
        </w:tc>
      </w:tr>
      <w:tr w14:paraId="1645E5DF">
        <w:tblPrEx>
          <w:tblCellMar>
            <w:top w:w="0" w:type="dxa"/>
            <w:left w:w="108" w:type="dxa"/>
            <w:bottom w:w="0" w:type="dxa"/>
            <w:right w:w="108" w:type="dxa"/>
          </w:tblCellMar>
        </w:tblPrEx>
        <w:trPr>
          <w:trHeight w:val="655" w:hRule="atLeast"/>
          <w:tblCellSpacing w:w="0" w:type="dxa"/>
          <w:jc w:val="center"/>
        </w:trPr>
        <w:tc>
          <w:tcPr>
            <w:tcW w:w="586" w:type="dxa"/>
            <w:tcBorders>
              <w:top w:val="single" w:color="000000" w:sz="4" w:space="0"/>
              <w:left w:val="single" w:color="000000" w:sz="4" w:space="0"/>
              <w:bottom w:val="single" w:color="000000" w:sz="4" w:space="0"/>
              <w:right w:val="single" w:color="000000" w:sz="4" w:space="0"/>
            </w:tcBorders>
            <w:noWrap w:val="0"/>
            <w:vAlign w:val="center"/>
          </w:tcPr>
          <w:p w14:paraId="465CF05F">
            <w:pPr>
              <w:pStyle w:val="14"/>
              <w:widowControl w:val="0"/>
              <w:spacing w:before="0" w:beforeAutospacing="0" w:after="0" w:afterAutospacing="0" w:line="0" w:lineRule="atLeast"/>
              <w:jc w:val="center"/>
              <w:rPr>
                <w:rFonts w:hint="eastAsia"/>
                <w:color w:val="auto"/>
                <w:highlight w:val="none"/>
              </w:rPr>
            </w:pPr>
            <w:r>
              <w:rPr>
                <w:rFonts w:hint="eastAsia"/>
                <w:color w:val="auto"/>
                <w:highlight w:val="none"/>
              </w:rPr>
              <w:t>1</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613F36F8">
            <w:pPr>
              <w:pStyle w:val="14"/>
              <w:widowControl w:val="0"/>
              <w:spacing w:before="0" w:beforeAutospacing="0" w:after="0" w:afterAutospacing="0" w:line="0" w:lineRule="atLeast"/>
              <w:jc w:val="center"/>
              <w:rPr>
                <w:rFonts w:hint="eastAsia"/>
                <w:color w:val="auto"/>
                <w:highlight w:val="none"/>
              </w:rPr>
            </w:pPr>
            <w:r>
              <w:rPr>
                <w:rFonts w:hint="eastAsia" w:ascii="Times New Roman" w:hAnsi="Times New Roman" w:cs="Times New Roman"/>
                <w:color w:val="auto"/>
                <w:sz w:val="22"/>
                <w:szCs w:val="22"/>
                <w:highlight w:val="none"/>
              </w:rPr>
              <w:t>40%甲氧·茚虫威悬浮剂</w:t>
            </w:r>
          </w:p>
        </w:tc>
        <w:tc>
          <w:tcPr>
            <w:tcW w:w="3070" w:type="dxa"/>
            <w:tcBorders>
              <w:top w:val="single" w:color="000000" w:sz="4" w:space="0"/>
              <w:left w:val="single" w:color="000000" w:sz="4" w:space="0"/>
              <w:bottom w:val="single" w:color="000000" w:sz="4" w:space="0"/>
              <w:right w:val="single" w:color="000000" w:sz="4" w:space="0"/>
            </w:tcBorders>
            <w:noWrap w:val="0"/>
            <w:vAlign w:val="center"/>
          </w:tcPr>
          <w:p w14:paraId="3ABFA657">
            <w:pPr>
              <w:pStyle w:val="14"/>
              <w:widowControl w:val="0"/>
              <w:spacing w:before="0" w:beforeAutospacing="0" w:after="0" w:afterAutospacing="0" w:line="0" w:lineRule="atLeast"/>
              <w:jc w:val="center"/>
              <w:rPr>
                <w:rFonts w:hint="eastAsia"/>
                <w:color w:val="auto"/>
                <w:highlight w:val="none"/>
              </w:rPr>
            </w:pPr>
            <w:r>
              <w:rPr>
                <w:rFonts w:hint="eastAsia"/>
                <w:color w:val="auto"/>
                <w:sz w:val="21"/>
                <w:szCs w:val="21"/>
                <w:highlight w:val="none"/>
              </w:rPr>
              <w:t>工业</w:t>
            </w:r>
          </w:p>
        </w:tc>
      </w:tr>
    </w:tbl>
    <w:p w14:paraId="7BE49EA9">
      <w:pPr>
        <w:rPr>
          <w:rFonts w:ascii="黑体" w:hAnsi="宋体" w:eastAsia="黑体" w:cs="黑体"/>
          <w:color w:val="auto"/>
          <w:sz w:val="44"/>
          <w:szCs w:val="44"/>
          <w:highlight w:val="none"/>
        </w:rPr>
      </w:pPr>
      <w:bookmarkStart w:id="374" w:name="_Toc120614281"/>
      <w:r>
        <w:rPr>
          <w:rFonts w:ascii="黑体" w:hAnsi="宋体" w:eastAsia="黑体" w:cs="黑体"/>
          <w:color w:val="auto"/>
          <w:sz w:val="44"/>
          <w:szCs w:val="44"/>
          <w:highlight w:val="none"/>
        </w:rPr>
        <w:tab/>
      </w:r>
      <w:bookmarkStart w:id="375" w:name="_Toc31483"/>
    </w:p>
    <w:p w14:paraId="6AC872FE">
      <w:pPr>
        <w:rPr>
          <w:rFonts w:ascii="黑体" w:hAnsi="宋体" w:eastAsia="黑体" w:cs="黑体"/>
          <w:color w:val="auto"/>
          <w:sz w:val="44"/>
          <w:szCs w:val="44"/>
          <w:highlight w:val="none"/>
        </w:rPr>
      </w:pPr>
      <w:r>
        <w:rPr>
          <w:rFonts w:ascii="黑体" w:hAnsi="宋体" w:eastAsia="黑体" w:cs="黑体"/>
          <w:color w:val="auto"/>
          <w:sz w:val="44"/>
          <w:szCs w:val="44"/>
          <w:highlight w:val="none"/>
        </w:rPr>
        <w:br w:type="page"/>
      </w:r>
    </w:p>
    <w:p w14:paraId="4F52B17C">
      <w:pPr>
        <w:rPr>
          <w:color w:val="auto"/>
          <w:highlight w:val="none"/>
        </w:rPr>
      </w:pPr>
      <w:r>
        <w:rPr>
          <w:rFonts w:hint="eastAsia" w:ascii="黑体" w:hAnsi="宋体" w:eastAsia="黑体" w:cs="黑体"/>
          <w:color w:val="auto"/>
          <w:sz w:val="44"/>
          <w:szCs w:val="44"/>
          <w:highlight w:val="none"/>
          <w:lang w:val="en-US" w:eastAsia="zh-CN"/>
        </w:rPr>
        <w:t xml:space="preserve">    </w:t>
      </w:r>
      <w:r>
        <w:rPr>
          <w:rFonts w:hint="eastAsia" w:ascii="黑体" w:hAnsi="宋体" w:eastAsia="黑体" w:cs="黑体"/>
          <w:color w:val="auto"/>
          <w:sz w:val="44"/>
          <w:szCs w:val="44"/>
          <w:highlight w:val="none"/>
        </w:rPr>
        <w:t xml:space="preserve">第五章  </w:t>
      </w:r>
      <w:r>
        <w:rPr>
          <w:rFonts w:hint="eastAsia" w:ascii="黑体" w:hAnsi="宋体" w:eastAsia="黑体" w:cs="黑体"/>
          <w:b/>
          <w:color w:val="auto"/>
          <w:sz w:val="44"/>
          <w:szCs w:val="44"/>
          <w:highlight w:val="none"/>
        </w:rPr>
        <w:t>评标方法与评标标准</w:t>
      </w:r>
    </w:p>
    <w:p w14:paraId="119DF58E">
      <w:pPr>
        <w:pStyle w:val="14"/>
        <w:spacing w:beforeAutospacing="0" w:afterAutospacing="0"/>
        <w:jc w:val="both"/>
        <w:rPr>
          <w:color w:val="auto"/>
          <w:highlight w:val="none"/>
        </w:rPr>
      </w:pPr>
      <w:r>
        <w:rPr>
          <w:color w:val="auto"/>
          <w:highlight w:val="none"/>
        </w:rPr>
        <w:t> </w:t>
      </w:r>
    </w:p>
    <w:p w14:paraId="668FEA9F">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一、定标原则</w:t>
      </w:r>
    </w:p>
    <w:p w14:paraId="2C328EAE">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本项目采用</w:t>
      </w:r>
      <w:r>
        <w:rPr>
          <w:rFonts w:hint="eastAsia" w:ascii="宋体" w:hAnsi="宋体" w:eastAsia="宋体" w:cs="宋体"/>
          <w:b/>
          <w:bCs w:val="0"/>
          <w:color w:val="auto"/>
          <w:sz w:val="24"/>
          <w:szCs w:val="24"/>
          <w:highlight w:val="none"/>
          <w:u w:val="single"/>
          <w:lang w:val="en-US" w:eastAsia="zh-CN"/>
        </w:rPr>
        <w:t>最低投标价</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Cs/>
          <w:color w:val="auto"/>
          <w:sz w:val="24"/>
          <w:szCs w:val="24"/>
          <w:highlight w:val="none"/>
        </w:rPr>
        <w:t>法</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是指投标文件满足</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文件全部实质性要求，</w:t>
      </w:r>
      <w:r>
        <w:rPr>
          <w:rFonts w:hint="eastAsia" w:ascii="宋体" w:hAnsi="宋体" w:eastAsia="宋体" w:cs="宋体"/>
          <w:color w:val="auto"/>
          <w:kern w:val="0"/>
          <w:sz w:val="24"/>
          <w:szCs w:val="24"/>
          <w:highlight w:val="none"/>
        </w:rPr>
        <w:t>评标结果按评审后</w:t>
      </w:r>
      <w:r>
        <w:rPr>
          <w:rFonts w:hint="eastAsia" w:ascii="宋体" w:hAnsi="宋体" w:eastAsia="宋体" w:cs="宋体"/>
          <w:color w:val="auto"/>
          <w:kern w:val="0"/>
          <w:sz w:val="24"/>
          <w:szCs w:val="24"/>
          <w:highlight w:val="none"/>
          <w:lang w:val="en-US" w:eastAsia="zh-CN"/>
        </w:rPr>
        <w:t>投标单价由低到高低（或投标数量由高到低）的</w:t>
      </w:r>
      <w:r>
        <w:rPr>
          <w:rFonts w:hint="eastAsia" w:ascii="宋体" w:hAnsi="宋体" w:eastAsia="宋体" w:cs="宋体"/>
          <w:color w:val="auto"/>
          <w:sz w:val="24"/>
          <w:highlight w:val="none"/>
        </w:rPr>
        <w:t>投标人为排名第一的中标候选人</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中标候选人并列的，由采购人或者采购人委托评标委员会按照</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文件规定的方式确定中标人；</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文件未规定的，采取随机抽取的方式确定。本项目选取1名中标候选人。</w:t>
      </w:r>
    </w:p>
    <w:p w14:paraId="2A7125E0">
      <w:pPr>
        <w:pStyle w:val="14"/>
        <w:spacing w:before="120" w:beforeAutospacing="0" w:after="120" w:afterAutospacing="0" w:line="360" w:lineRule="auto"/>
        <w:ind w:firstLine="44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政府采购政策功能落实</w:t>
      </w:r>
    </w:p>
    <w:p w14:paraId="7BAAA33E">
      <w:pPr>
        <w:pStyle w:val="14"/>
        <w:spacing w:before="120" w:beforeAutospacing="0" w:after="120" w:afterAutospacing="0" w:line="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1、小微型企业价格扣除</w:t>
      </w:r>
    </w:p>
    <w:p w14:paraId="187A4FA4">
      <w:pPr>
        <w:pStyle w:val="23"/>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（1）本项目若不专门面向中小企业采购，对</w:t>
      </w:r>
      <w:r>
        <w:rPr>
          <w:rFonts w:hint="eastAsia" w:ascii="宋体" w:hAnsi="宋体" w:eastAsia="宋体" w:cs="宋体"/>
          <w:color w:val="auto"/>
          <w:sz w:val="24"/>
          <w:szCs w:val="24"/>
          <w:highlight w:val="none"/>
          <w:lang w:val="en-US" w:eastAsia="zh-CN"/>
        </w:rPr>
        <w:t>符合规定的</w:t>
      </w:r>
      <w:r>
        <w:rPr>
          <w:rFonts w:hint="eastAsia" w:ascii="宋体" w:hAnsi="宋体" w:eastAsia="宋体" w:cs="宋体"/>
          <w:color w:val="auto"/>
          <w:sz w:val="24"/>
          <w:szCs w:val="24"/>
          <w:highlight w:val="none"/>
        </w:rPr>
        <w:t>小型和微型企业</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给予20%的扣除价格，用扣除后的价格参与评审</w:t>
      </w:r>
      <w:r>
        <w:rPr>
          <w:rFonts w:hint="eastAsia" w:ascii="宋体" w:hAnsi="宋体" w:eastAsia="宋体" w:cs="宋体"/>
          <w:color w:val="auto"/>
          <w:sz w:val="24"/>
          <w:szCs w:val="24"/>
          <w:highlight w:val="none"/>
        </w:rPr>
        <w:t>；若专门面向中小企业采购，不再对小型和微型企业</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给予价格扣除。</w:t>
      </w:r>
    </w:p>
    <w:p w14:paraId="393B146D">
      <w:pPr>
        <w:pStyle w:val="14"/>
        <w:spacing w:before="120" w:beforeAutospacing="0" w:after="120" w:afterAutospacing="0" w:line="0" w:lineRule="atLeas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（2）供应商需按照采购文件的要求提供相应的《</w:t>
      </w:r>
      <w:r>
        <w:rPr>
          <w:rFonts w:hint="eastAsia" w:ascii="宋体" w:hAnsi="宋体" w:eastAsia="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企业声明函</w:t>
      </w:r>
      <w:r>
        <w:rPr>
          <w:rFonts w:hint="eastAsia" w:ascii="宋体" w:hAnsi="宋体" w:eastAsia="宋体" w:cs="宋体"/>
          <w:color w:val="auto"/>
          <w:sz w:val="24"/>
          <w:szCs w:val="24"/>
          <w:highlight w:val="none"/>
        </w:rPr>
        <w:t>》。</w:t>
      </w:r>
    </w:p>
    <w:p w14:paraId="07751C33">
      <w:pPr>
        <w:pStyle w:val="14"/>
        <w:spacing w:before="120" w:beforeAutospacing="0" w:after="120" w:afterAutospacing="0" w:line="0" w:lineRule="atLeas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（3）企业标准请参照《关于印发中小企业划型标准规定的通知》（工信部联企业</w:t>
      </w:r>
      <w:r>
        <w:rPr>
          <w:rFonts w:hint="eastAsia" w:ascii="宋体" w:hAnsi="宋体" w:eastAsia="宋体" w:cs="宋体"/>
          <w:color w:val="auto"/>
          <w:sz w:val="24"/>
          <w:szCs w:val="24"/>
          <w:highlight w:val="none"/>
          <w:lang w:eastAsia="zh-CN"/>
        </w:rPr>
        <w:t>〔2011〕300号</w:t>
      </w:r>
      <w:r>
        <w:rPr>
          <w:rFonts w:hint="eastAsia" w:ascii="宋体" w:hAnsi="宋体" w:eastAsia="宋体" w:cs="宋体"/>
          <w:color w:val="auto"/>
          <w:sz w:val="24"/>
          <w:szCs w:val="24"/>
          <w:highlight w:val="none"/>
        </w:rPr>
        <w:t>）文件规定自行填写。</w:t>
      </w:r>
    </w:p>
    <w:p w14:paraId="2DCA9D8F">
      <w:pPr>
        <w:pStyle w:val="14"/>
        <w:spacing w:before="120" w:beforeAutospacing="0" w:after="120" w:afterAutospacing="0" w:line="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2、残疾人福利单位价格扣除</w:t>
      </w:r>
    </w:p>
    <w:p w14:paraId="0E8D4170">
      <w:pPr>
        <w:pStyle w:val="14"/>
        <w:spacing w:before="120" w:beforeAutospacing="0" w:after="120" w:afterAutospacing="0" w:line="0" w:lineRule="atLeast"/>
        <w:ind w:left="120" w:firstLine="36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（1）本项目对残疾人福利性单位视同小型、微型企业，给予</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的价格扣除</w:t>
      </w:r>
      <w:r>
        <w:rPr>
          <w:rFonts w:hint="eastAsia" w:ascii="宋体" w:hAnsi="宋体" w:eastAsia="宋体" w:cs="宋体"/>
          <w:color w:val="auto"/>
          <w:sz w:val="24"/>
          <w:szCs w:val="24"/>
          <w:highlight w:val="none"/>
          <w:lang w:eastAsia="zh-CN"/>
        </w:rPr>
        <w:t>。</w:t>
      </w:r>
    </w:p>
    <w:p w14:paraId="441B7F16">
      <w:pPr>
        <w:pStyle w:val="14"/>
        <w:spacing w:before="120" w:beforeAutospacing="0" w:after="120" w:afterAutospacing="0" w:line="0" w:lineRule="atLeast"/>
        <w:ind w:left="120"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（2）残疾人福利单位需按照采购文件的要求提供《残疾人福利性单位声明函》。</w:t>
      </w:r>
    </w:p>
    <w:p w14:paraId="574A996A">
      <w:pPr>
        <w:pStyle w:val="14"/>
        <w:spacing w:before="120" w:beforeAutospacing="0" w:after="120" w:afterAutospacing="0" w:line="0" w:lineRule="atLeast"/>
        <w:ind w:left="120"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（3）残疾人福利单位标准请参照《关于促进残疾人就业政府采购政策的通知》（财库〔2017〕141号）。</w:t>
      </w:r>
    </w:p>
    <w:p w14:paraId="500E9357">
      <w:pPr>
        <w:pStyle w:val="14"/>
        <w:spacing w:before="120" w:beforeAutospacing="0" w:after="120" w:afterAutospacing="0" w:line="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3、监狱和戒毒企业价格扣除</w:t>
      </w:r>
    </w:p>
    <w:p w14:paraId="78CD3014">
      <w:pPr>
        <w:pStyle w:val="14"/>
        <w:spacing w:before="120" w:beforeAutospacing="0" w:after="120" w:afterAutospacing="0" w:line="0" w:lineRule="atLeast"/>
        <w:ind w:firstLine="48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（1）本项目对监狱和戒毒企业（简称监狱企业）视同小型、微型企业，给予</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的价格扣除</w:t>
      </w:r>
      <w:r>
        <w:rPr>
          <w:rFonts w:hint="eastAsia" w:ascii="宋体" w:hAnsi="宋体" w:eastAsia="宋体" w:cs="宋体"/>
          <w:color w:val="auto"/>
          <w:sz w:val="24"/>
          <w:szCs w:val="24"/>
          <w:highlight w:val="none"/>
          <w:lang w:eastAsia="zh-CN"/>
        </w:rPr>
        <w:t>。</w:t>
      </w:r>
    </w:p>
    <w:p w14:paraId="759EF746">
      <w:pPr>
        <w:pStyle w:val="14"/>
        <w:spacing w:before="120" w:beforeAutospacing="0" w:after="120" w:afterAutospacing="0" w:line="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1CA36D0F">
      <w:pPr>
        <w:pStyle w:val="14"/>
        <w:spacing w:before="120" w:beforeAutospacing="0" w:after="120" w:afterAutospacing="0" w:line="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（3）监狱企业标准请参照《关于政府采购支持监狱企业发展有关问题的通知》（财库</w:t>
      </w:r>
      <w:r>
        <w:rPr>
          <w:rFonts w:hint="eastAsia" w:ascii="宋体" w:hAnsi="宋体" w:eastAsia="宋体" w:cs="宋体"/>
          <w:color w:val="auto"/>
          <w:sz w:val="24"/>
          <w:szCs w:val="24"/>
          <w:highlight w:val="none"/>
          <w:lang w:eastAsia="zh-CN"/>
        </w:rPr>
        <w:t>〔2014〕68号</w:t>
      </w:r>
      <w:r>
        <w:rPr>
          <w:rFonts w:hint="eastAsia" w:ascii="宋体" w:hAnsi="宋体" w:eastAsia="宋体" w:cs="宋体"/>
          <w:color w:val="auto"/>
          <w:sz w:val="24"/>
          <w:szCs w:val="24"/>
          <w:highlight w:val="none"/>
        </w:rPr>
        <w:t>）。</w:t>
      </w:r>
    </w:p>
    <w:p w14:paraId="5AB6C78C">
      <w:pPr>
        <w:pStyle w:val="14"/>
        <w:spacing w:before="120" w:beforeAutospacing="0" w:after="120" w:afterAutospacing="0" w:line="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4、残疾人福利单位、监狱企业属于小型、微型企业的，不重复享受政策。</w:t>
      </w:r>
    </w:p>
    <w:p w14:paraId="5C8243AF">
      <w:pPr>
        <w:pStyle w:val="14"/>
        <w:spacing w:before="120" w:beforeAutospacing="0" w:after="120" w:afterAutospacing="0" w:line="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eastAsia="宋体" w:cs="宋体"/>
          <w:color w:val="auto"/>
          <w:sz w:val="24"/>
          <w:szCs w:val="24"/>
          <w:highlight w:val="none"/>
          <w:u w:val="single"/>
        </w:rPr>
        <w:t>6%</w:t>
      </w:r>
      <w:r>
        <w:rPr>
          <w:rFonts w:hint="eastAsia" w:ascii="宋体" w:hAnsi="宋体" w:eastAsia="宋体" w:cs="宋体"/>
          <w:color w:val="auto"/>
          <w:sz w:val="24"/>
          <w:szCs w:val="24"/>
          <w:highlight w:val="none"/>
        </w:rPr>
        <w:t>的价格扣除，用扣除后的价格参与评审。</w:t>
      </w:r>
    </w:p>
    <w:p w14:paraId="4608FE61">
      <w:pPr>
        <w:pStyle w:val="14"/>
        <w:spacing w:before="120" w:beforeAutospacing="0" w:after="120" w:afterAutospacing="0" w:line="0" w:lineRule="atLeas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6、联合体各方均为小型、微型企业（残疾人福利单位、监狱企业）的，联合</w:t>
      </w:r>
      <w:r>
        <w:rPr>
          <w:rFonts w:hint="eastAsia" w:ascii="宋体" w:hAnsi="宋体" w:eastAsia="宋体" w:cs="宋体"/>
          <w:color w:val="auto"/>
          <w:sz w:val="24"/>
          <w:szCs w:val="24"/>
          <w:highlight w:val="none"/>
        </w:rPr>
        <w:t>体享受</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的价格扣除</w:t>
      </w:r>
      <w:r>
        <w:rPr>
          <w:rFonts w:hint="eastAsia" w:ascii="宋体" w:hAnsi="宋体" w:eastAsia="宋体" w:cs="宋体"/>
          <w:color w:val="auto"/>
          <w:sz w:val="24"/>
          <w:szCs w:val="24"/>
          <w:highlight w:val="none"/>
          <w:lang w:eastAsia="zh-CN"/>
        </w:rPr>
        <w:t>。</w:t>
      </w:r>
    </w:p>
    <w:p w14:paraId="40966A4D">
      <w:pPr>
        <w:pStyle w:val="4"/>
        <w:keepNext/>
        <w:keepLines/>
        <w:spacing w:before="0" w:beforeAutospacing="0" w:after="0" w:afterAutospacing="0" w:line="460" w:lineRule="exact"/>
        <w:ind w:firstLine="482" w:firstLineChars="200"/>
        <w:jc w:val="both"/>
        <w:outlineLvl w:val="1"/>
        <w:rPr>
          <w:rFonts w:hint="eastAsia" w:ascii="宋体" w:hAnsi="宋体" w:eastAsia="宋体" w:cs="宋体"/>
          <w:color w:val="auto"/>
          <w:kern w:val="0"/>
          <w:sz w:val="24"/>
          <w:szCs w:val="24"/>
          <w:highlight w:val="none"/>
        </w:rPr>
      </w:pPr>
      <w:bookmarkStart w:id="376" w:name="_Toc623"/>
      <w:r>
        <w:rPr>
          <w:rFonts w:hint="eastAsia" w:ascii="宋体" w:hAnsi="宋体" w:eastAsia="宋体" w:cs="宋体"/>
          <w:color w:val="auto"/>
          <w:kern w:val="0"/>
          <w:sz w:val="24"/>
          <w:szCs w:val="24"/>
          <w:highlight w:val="none"/>
        </w:rPr>
        <w:t>7、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w:t>
      </w:r>
      <w:r>
        <w:rPr>
          <w:rFonts w:hint="eastAsia" w:ascii="宋体" w:hAnsi="宋体" w:eastAsia="宋体" w:cs="宋体"/>
          <w:b/>
          <w:i/>
          <w:color w:val="auto"/>
          <w:kern w:val="0"/>
          <w:sz w:val="24"/>
          <w:szCs w:val="24"/>
          <w:highlight w:val="none"/>
        </w:rPr>
        <w:t>如属政府强制采购产品未提供认证证书的或认证证书提供不全的将视为未实质性响应采购要求</w:t>
      </w:r>
      <w:r>
        <w:rPr>
          <w:rFonts w:hint="eastAsia" w:ascii="宋体" w:hAnsi="宋体" w:eastAsia="宋体" w:cs="宋体"/>
          <w:i/>
          <w:color w:val="auto"/>
          <w:kern w:val="0"/>
          <w:sz w:val="24"/>
          <w:szCs w:val="24"/>
          <w:highlight w:val="none"/>
        </w:rPr>
        <w:t>。</w:t>
      </w:r>
      <w:r>
        <w:rPr>
          <w:rFonts w:hint="eastAsia" w:ascii="宋体" w:hAnsi="宋体" w:eastAsia="宋体" w:cs="宋体"/>
          <w:color w:val="auto"/>
          <w:kern w:val="0"/>
          <w:sz w:val="24"/>
          <w:szCs w:val="24"/>
          <w:highlight w:val="none"/>
        </w:rPr>
        <w:t>其他条件相同情况下，应当优先采购节能产品、环境标志产品。</w:t>
      </w:r>
      <w:bookmarkEnd w:id="376"/>
    </w:p>
    <w:p w14:paraId="17311EB0">
      <w:pPr>
        <w:pStyle w:val="4"/>
        <w:keepNext/>
        <w:keepLines/>
        <w:spacing w:before="0" w:beforeAutospacing="0" w:after="0" w:afterAutospacing="0" w:line="460" w:lineRule="exact"/>
        <w:jc w:val="both"/>
        <w:outlineLvl w:val="1"/>
        <w:rPr>
          <w:rFonts w:hint="eastAsia" w:ascii="宋体" w:hAnsi="宋体" w:eastAsia="宋体" w:cs="宋体"/>
          <w:color w:val="auto"/>
          <w:kern w:val="2"/>
          <w:sz w:val="24"/>
          <w:szCs w:val="24"/>
          <w:highlight w:val="none"/>
          <w:lang w:bidi="ar-SA"/>
        </w:rPr>
      </w:pPr>
      <w:bookmarkStart w:id="377" w:name="_Toc5438"/>
      <w:r>
        <w:rPr>
          <w:rFonts w:hint="eastAsia"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bidi="ar-SA"/>
        </w:rPr>
        <w:t>.评审标准</w:t>
      </w:r>
      <w:bookmarkEnd w:id="377"/>
    </w:p>
    <w:p w14:paraId="44DB422A">
      <w:pPr>
        <w:spacing w:line="460" w:lineRule="exact"/>
        <w:ind w:firstLine="482" w:firstLineChars="200"/>
        <w:rPr>
          <w:rFonts w:hint="eastAsia" w:ascii="宋体" w:hAnsi="宋体" w:eastAsia="宋体" w:cs="宋体"/>
          <w:color w:val="auto"/>
          <w:sz w:val="24"/>
          <w:szCs w:val="22"/>
          <w:highlight w:val="none"/>
        </w:rPr>
      </w:pPr>
      <w:r>
        <w:rPr>
          <w:rFonts w:hint="eastAsia" w:ascii="宋体" w:hAnsi="宋体" w:eastAsia="宋体" w:cs="宋体"/>
          <w:b/>
          <w:bCs/>
          <w:color w:val="auto"/>
          <w:sz w:val="24"/>
          <w:szCs w:val="22"/>
          <w:highlight w:val="none"/>
        </w:rPr>
        <w:t>2.1 初步评审</w:t>
      </w:r>
    </w:p>
    <w:p w14:paraId="4AC8440B">
      <w:pPr>
        <w:spacing w:line="480" w:lineRule="exact"/>
        <w:ind w:firstLine="482" w:firstLineChars="200"/>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2.1.1形式评审标准</w:t>
      </w:r>
    </w:p>
    <w:p w14:paraId="2B7E4385">
      <w:pPr>
        <w:spacing w:line="48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对投标文件的有效性、完整性进行评审。</w:t>
      </w:r>
    </w:p>
    <w:tbl>
      <w:tblPr>
        <w:tblStyle w:val="15"/>
        <w:tblW w:w="9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12"/>
        <w:gridCol w:w="6440"/>
      </w:tblGrid>
      <w:tr w14:paraId="1A146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512" w:type="dxa"/>
            <w:tcBorders>
              <w:top w:val="single" w:color="auto" w:sz="4" w:space="0"/>
              <w:left w:val="single" w:color="auto" w:sz="4" w:space="0"/>
              <w:bottom w:val="single" w:color="auto" w:sz="4" w:space="0"/>
              <w:right w:val="single" w:color="auto" w:sz="4" w:space="0"/>
            </w:tcBorders>
          </w:tcPr>
          <w:p w14:paraId="3A58E192">
            <w:pPr>
              <w:spacing w:line="480" w:lineRule="exact"/>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评审因素</w:t>
            </w:r>
          </w:p>
        </w:tc>
        <w:tc>
          <w:tcPr>
            <w:tcW w:w="6440" w:type="dxa"/>
            <w:tcBorders>
              <w:top w:val="single" w:color="auto" w:sz="4" w:space="0"/>
              <w:left w:val="single" w:color="auto" w:sz="4" w:space="0"/>
              <w:bottom w:val="single" w:color="auto" w:sz="4" w:space="0"/>
              <w:right w:val="single" w:color="auto" w:sz="4" w:space="0"/>
            </w:tcBorders>
          </w:tcPr>
          <w:p w14:paraId="6E4607B2">
            <w:pPr>
              <w:spacing w:line="480" w:lineRule="exact"/>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评审标准</w:t>
            </w:r>
          </w:p>
        </w:tc>
      </w:tr>
      <w:tr w14:paraId="27821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512" w:type="dxa"/>
            <w:tcBorders>
              <w:top w:val="single" w:color="auto" w:sz="4" w:space="0"/>
              <w:left w:val="single" w:color="auto" w:sz="4" w:space="0"/>
              <w:bottom w:val="single" w:color="auto" w:sz="4" w:space="0"/>
              <w:right w:val="single" w:color="auto" w:sz="4" w:space="0"/>
            </w:tcBorders>
          </w:tcPr>
          <w:p w14:paraId="65D793C5">
            <w:pPr>
              <w:spacing w:line="480" w:lineRule="exact"/>
              <w:jc w:val="center"/>
              <w:rPr>
                <w:rFonts w:hint="eastAsia" w:ascii="宋体" w:hAnsi="宋体" w:eastAsia="宋体" w:cs="宋体"/>
                <w:b/>
                <w:color w:val="auto"/>
                <w:sz w:val="24"/>
                <w:szCs w:val="22"/>
                <w:highlight w:val="none"/>
              </w:rPr>
            </w:pPr>
            <w:r>
              <w:rPr>
                <w:rFonts w:hint="eastAsia" w:ascii="宋体" w:hAnsi="宋体" w:eastAsia="宋体" w:cs="宋体"/>
                <w:color w:val="auto"/>
                <w:sz w:val="24"/>
                <w:szCs w:val="22"/>
                <w:highlight w:val="none"/>
              </w:rPr>
              <w:t>投标人名称</w:t>
            </w:r>
          </w:p>
        </w:tc>
        <w:tc>
          <w:tcPr>
            <w:tcW w:w="6440" w:type="dxa"/>
            <w:tcBorders>
              <w:top w:val="single" w:color="auto" w:sz="4" w:space="0"/>
              <w:left w:val="single" w:color="auto" w:sz="4" w:space="0"/>
              <w:bottom w:val="single" w:color="auto" w:sz="4" w:space="0"/>
              <w:right w:val="single" w:color="auto" w:sz="4" w:space="0"/>
            </w:tcBorders>
            <w:vAlign w:val="center"/>
          </w:tcPr>
          <w:p w14:paraId="350DDBCF">
            <w:pPr>
              <w:spacing w:line="480" w:lineRule="exact"/>
              <w:rPr>
                <w:rFonts w:hint="eastAsia" w:ascii="宋体" w:hAnsi="宋体" w:eastAsia="宋体" w:cs="宋体"/>
                <w:b/>
                <w:color w:val="auto"/>
                <w:sz w:val="24"/>
                <w:szCs w:val="22"/>
                <w:highlight w:val="none"/>
              </w:rPr>
            </w:pPr>
            <w:r>
              <w:rPr>
                <w:rFonts w:hint="eastAsia" w:ascii="宋体" w:hAnsi="宋体" w:eastAsia="宋体" w:cs="宋体"/>
                <w:color w:val="auto"/>
                <w:sz w:val="24"/>
                <w:szCs w:val="22"/>
                <w:highlight w:val="none"/>
              </w:rPr>
              <w:t>与营业执照一致</w:t>
            </w:r>
          </w:p>
        </w:tc>
      </w:tr>
      <w:tr w14:paraId="46434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3512" w:type="dxa"/>
            <w:tcBorders>
              <w:top w:val="single" w:color="auto" w:sz="4" w:space="0"/>
              <w:left w:val="single" w:color="auto" w:sz="4" w:space="0"/>
              <w:bottom w:val="single" w:color="auto" w:sz="4" w:space="0"/>
              <w:right w:val="single" w:color="auto" w:sz="4" w:space="0"/>
            </w:tcBorders>
            <w:vAlign w:val="center"/>
          </w:tcPr>
          <w:p w14:paraId="572D86C6">
            <w:pPr>
              <w:spacing w:line="480" w:lineRule="exact"/>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投标承诺函</w:t>
            </w:r>
          </w:p>
        </w:tc>
        <w:tc>
          <w:tcPr>
            <w:tcW w:w="6440" w:type="dxa"/>
            <w:tcBorders>
              <w:top w:val="single" w:color="auto" w:sz="4" w:space="0"/>
              <w:left w:val="single" w:color="auto" w:sz="4" w:space="0"/>
              <w:bottom w:val="single" w:color="auto" w:sz="4" w:space="0"/>
              <w:right w:val="single" w:color="auto" w:sz="4" w:space="0"/>
            </w:tcBorders>
            <w:vAlign w:val="center"/>
          </w:tcPr>
          <w:p w14:paraId="5FDB2260">
            <w:pPr>
              <w:spacing w:line="480" w:lineRule="exac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有法定代表人或其委托代理人签字(或盖章)并加盖投标单位公章</w:t>
            </w:r>
          </w:p>
        </w:tc>
      </w:tr>
      <w:tr w14:paraId="3868C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3512" w:type="dxa"/>
            <w:tcBorders>
              <w:top w:val="single" w:color="auto" w:sz="4" w:space="0"/>
              <w:left w:val="single" w:color="auto" w:sz="4" w:space="0"/>
              <w:bottom w:val="single" w:color="auto" w:sz="4" w:space="0"/>
              <w:right w:val="single" w:color="auto" w:sz="4" w:space="0"/>
            </w:tcBorders>
          </w:tcPr>
          <w:p w14:paraId="49FC2013">
            <w:pPr>
              <w:spacing w:line="480" w:lineRule="exact"/>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授权委托书</w:t>
            </w:r>
          </w:p>
        </w:tc>
        <w:tc>
          <w:tcPr>
            <w:tcW w:w="6440" w:type="dxa"/>
            <w:tcBorders>
              <w:top w:val="single" w:color="auto" w:sz="4" w:space="0"/>
              <w:left w:val="single" w:color="auto" w:sz="4" w:space="0"/>
              <w:bottom w:val="single" w:color="auto" w:sz="4" w:space="0"/>
              <w:right w:val="single" w:color="auto" w:sz="4" w:space="0"/>
            </w:tcBorders>
            <w:vAlign w:val="center"/>
          </w:tcPr>
          <w:p w14:paraId="052FD840">
            <w:pPr>
              <w:spacing w:line="480" w:lineRule="exac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有法定代表人签字(或盖章)并加盖投标单位公章</w:t>
            </w:r>
          </w:p>
        </w:tc>
      </w:tr>
      <w:tr w14:paraId="5E85B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3512" w:type="dxa"/>
            <w:tcBorders>
              <w:top w:val="single" w:color="auto" w:sz="4" w:space="0"/>
              <w:left w:val="single" w:color="auto" w:sz="4" w:space="0"/>
              <w:bottom w:val="single" w:color="auto" w:sz="4" w:space="0"/>
              <w:right w:val="single" w:color="auto" w:sz="4" w:space="0"/>
            </w:tcBorders>
            <w:vAlign w:val="center"/>
          </w:tcPr>
          <w:p w14:paraId="579A8F12">
            <w:pPr>
              <w:spacing w:line="480" w:lineRule="exact"/>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报价唯一</w:t>
            </w:r>
          </w:p>
        </w:tc>
        <w:tc>
          <w:tcPr>
            <w:tcW w:w="6440" w:type="dxa"/>
            <w:tcBorders>
              <w:top w:val="single" w:color="auto" w:sz="4" w:space="0"/>
              <w:left w:val="single" w:color="auto" w:sz="4" w:space="0"/>
              <w:bottom w:val="single" w:color="auto" w:sz="4" w:space="0"/>
              <w:right w:val="single" w:color="auto" w:sz="4" w:space="0"/>
            </w:tcBorders>
            <w:vAlign w:val="center"/>
          </w:tcPr>
          <w:p w14:paraId="227657A2">
            <w:pPr>
              <w:spacing w:line="480" w:lineRule="exac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只能有一个有效报价</w:t>
            </w:r>
          </w:p>
        </w:tc>
      </w:tr>
      <w:tr w14:paraId="73833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3512" w:type="dxa"/>
            <w:tcBorders>
              <w:top w:val="single" w:color="auto" w:sz="4" w:space="0"/>
              <w:left w:val="single" w:color="auto" w:sz="4" w:space="0"/>
              <w:right w:val="single" w:color="auto" w:sz="4" w:space="0"/>
            </w:tcBorders>
          </w:tcPr>
          <w:p w14:paraId="182203E9">
            <w:pPr>
              <w:spacing w:line="480" w:lineRule="exact"/>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w:t>
            </w:r>
          </w:p>
        </w:tc>
        <w:tc>
          <w:tcPr>
            <w:tcW w:w="6440" w:type="dxa"/>
            <w:tcBorders>
              <w:top w:val="single" w:color="auto" w:sz="4" w:space="0"/>
              <w:left w:val="single" w:color="auto" w:sz="4" w:space="0"/>
              <w:right w:val="single" w:color="auto" w:sz="4" w:space="0"/>
            </w:tcBorders>
            <w:vAlign w:val="center"/>
          </w:tcPr>
          <w:p w14:paraId="6E55A648">
            <w:pPr>
              <w:spacing w:line="480" w:lineRule="exac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w:t>
            </w:r>
          </w:p>
        </w:tc>
      </w:tr>
    </w:tbl>
    <w:p w14:paraId="6BF3BA58">
      <w:pPr>
        <w:spacing w:line="480" w:lineRule="exact"/>
        <w:ind w:firstLine="482" w:firstLineChars="200"/>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2.1.2资格审查（资格后审）</w:t>
      </w:r>
    </w:p>
    <w:p w14:paraId="2454E07E">
      <w:pPr>
        <w:spacing w:line="48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采购人</w:t>
      </w:r>
      <w:r>
        <w:rPr>
          <w:rFonts w:hint="eastAsia" w:ascii="宋体" w:hAnsi="宋体" w:eastAsia="宋体" w:cs="宋体"/>
          <w:color w:val="auto"/>
          <w:sz w:val="24"/>
          <w:szCs w:val="22"/>
          <w:highlight w:val="none"/>
        </w:rPr>
        <w:t>对通过上一阶段评审的投标人资格对照招标</w:t>
      </w:r>
      <w:r>
        <w:rPr>
          <w:rFonts w:hint="eastAsia" w:ascii="宋体" w:hAnsi="宋体" w:eastAsia="宋体" w:cs="宋体"/>
          <w:color w:val="auto"/>
          <w:sz w:val="24"/>
          <w:szCs w:val="22"/>
          <w:highlight w:val="none"/>
          <w:lang w:val="en-US" w:eastAsia="zh-CN"/>
        </w:rPr>
        <w:t>公告申请人的资格要求</w:t>
      </w:r>
      <w:r>
        <w:rPr>
          <w:rFonts w:hint="eastAsia" w:ascii="宋体" w:hAnsi="宋体" w:eastAsia="宋体" w:cs="宋体"/>
          <w:color w:val="auto"/>
          <w:sz w:val="24"/>
          <w:szCs w:val="22"/>
          <w:highlight w:val="none"/>
        </w:rPr>
        <w:t>要求进行审查，只有通过资格审查的投标人方可进行下一阶段的评审。</w:t>
      </w:r>
    </w:p>
    <w:tbl>
      <w:tblPr>
        <w:tblStyle w:val="15"/>
        <w:tblW w:w="9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458"/>
        <w:gridCol w:w="6494"/>
      </w:tblGrid>
      <w:tr w14:paraId="0AD03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3458" w:type="dxa"/>
            <w:tcBorders>
              <w:top w:val="single" w:color="auto" w:sz="4" w:space="0"/>
              <w:left w:val="single" w:color="auto" w:sz="4" w:space="0"/>
              <w:bottom w:val="single" w:color="auto" w:sz="4" w:space="0"/>
              <w:right w:val="single" w:color="auto" w:sz="4" w:space="0"/>
            </w:tcBorders>
            <w:vAlign w:val="center"/>
          </w:tcPr>
          <w:p w14:paraId="37066357">
            <w:pPr>
              <w:spacing w:line="480" w:lineRule="exact"/>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评审因素</w:t>
            </w:r>
          </w:p>
        </w:tc>
        <w:tc>
          <w:tcPr>
            <w:tcW w:w="6494" w:type="dxa"/>
            <w:tcBorders>
              <w:top w:val="single" w:color="auto" w:sz="4" w:space="0"/>
              <w:left w:val="single" w:color="auto" w:sz="4" w:space="0"/>
              <w:bottom w:val="single" w:color="auto" w:sz="4" w:space="0"/>
              <w:right w:val="single" w:color="auto" w:sz="4" w:space="0"/>
            </w:tcBorders>
            <w:vAlign w:val="center"/>
          </w:tcPr>
          <w:p w14:paraId="37279967">
            <w:pPr>
              <w:spacing w:line="480" w:lineRule="exact"/>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评审标准</w:t>
            </w:r>
          </w:p>
        </w:tc>
      </w:tr>
      <w:tr w14:paraId="28547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3458" w:type="dxa"/>
            <w:tcBorders>
              <w:top w:val="single" w:color="auto" w:sz="4" w:space="0"/>
              <w:left w:val="single" w:color="auto" w:sz="4" w:space="0"/>
              <w:bottom w:val="single" w:color="auto" w:sz="4" w:space="0"/>
              <w:right w:val="single" w:color="auto" w:sz="4" w:space="0"/>
            </w:tcBorders>
            <w:vAlign w:val="center"/>
          </w:tcPr>
          <w:p w14:paraId="3AEA8DB6">
            <w:pPr>
              <w:spacing w:line="480" w:lineRule="exact"/>
              <w:jc w:val="center"/>
              <w:rPr>
                <w:rFonts w:hint="eastAsia" w:ascii="宋体" w:hAnsi="宋体" w:eastAsia="宋体" w:cs="宋体"/>
                <w:color w:val="auto"/>
                <w:sz w:val="24"/>
                <w:szCs w:val="24"/>
                <w:highlight w:val="none"/>
              </w:rPr>
            </w:pPr>
          </w:p>
          <w:p w14:paraId="44BFB896">
            <w:pPr>
              <w:spacing w:line="480" w:lineRule="exact"/>
              <w:jc w:val="center"/>
              <w:rPr>
                <w:rFonts w:hint="eastAsia" w:ascii="宋体" w:hAnsi="宋体" w:eastAsia="宋体" w:cs="宋体"/>
                <w:color w:val="auto"/>
                <w:sz w:val="24"/>
                <w:szCs w:val="24"/>
                <w:highlight w:val="none"/>
              </w:rPr>
            </w:pPr>
          </w:p>
          <w:p w14:paraId="4D192B45">
            <w:pPr>
              <w:spacing w:line="480" w:lineRule="exact"/>
              <w:jc w:val="center"/>
              <w:rPr>
                <w:rFonts w:hint="eastAsia" w:ascii="宋体" w:hAnsi="宋体" w:eastAsia="宋体" w:cs="宋体"/>
                <w:color w:val="auto"/>
                <w:sz w:val="24"/>
                <w:szCs w:val="24"/>
                <w:highlight w:val="none"/>
              </w:rPr>
            </w:pPr>
          </w:p>
          <w:p w14:paraId="7B1C9FB8">
            <w:pPr>
              <w:spacing w:line="480" w:lineRule="exact"/>
              <w:jc w:val="center"/>
              <w:rPr>
                <w:rFonts w:hint="eastAsia" w:ascii="宋体" w:hAnsi="宋体" w:eastAsia="宋体" w:cs="宋体"/>
                <w:color w:val="auto"/>
                <w:sz w:val="24"/>
                <w:szCs w:val="24"/>
                <w:highlight w:val="none"/>
              </w:rPr>
            </w:pPr>
          </w:p>
          <w:p w14:paraId="5F034C0B">
            <w:pPr>
              <w:spacing w:line="480" w:lineRule="exact"/>
              <w:jc w:val="center"/>
              <w:rPr>
                <w:rFonts w:hint="eastAsia" w:ascii="宋体" w:hAnsi="宋体" w:eastAsia="宋体" w:cs="宋体"/>
                <w:color w:val="auto"/>
                <w:sz w:val="24"/>
                <w:szCs w:val="24"/>
                <w:highlight w:val="none"/>
              </w:rPr>
            </w:pPr>
          </w:p>
          <w:p w14:paraId="07379FE2">
            <w:pPr>
              <w:spacing w:line="480" w:lineRule="exact"/>
              <w:jc w:val="center"/>
              <w:rPr>
                <w:rFonts w:hint="eastAsia" w:ascii="宋体" w:hAnsi="宋体" w:eastAsia="宋体" w:cs="宋体"/>
                <w:color w:val="auto"/>
                <w:sz w:val="24"/>
                <w:szCs w:val="24"/>
                <w:highlight w:val="none"/>
              </w:rPr>
            </w:pPr>
          </w:p>
          <w:p w14:paraId="78B559A2">
            <w:pPr>
              <w:spacing w:line="480" w:lineRule="exact"/>
              <w:jc w:val="center"/>
              <w:rPr>
                <w:rFonts w:hint="eastAsia" w:ascii="宋体" w:hAnsi="宋体" w:eastAsia="宋体" w:cs="宋体"/>
                <w:color w:val="auto"/>
                <w:sz w:val="24"/>
                <w:szCs w:val="24"/>
                <w:highlight w:val="none"/>
              </w:rPr>
            </w:pPr>
          </w:p>
          <w:p w14:paraId="53240CE2">
            <w:pPr>
              <w:spacing w:line="480" w:lineRule="exact"/>
              <w:jc w:val="center"/>
              <w:rPr>
                <w:rFonts w:hint="eastAsia" w:ascii="宋体" w:hAnsi="宋体" w:eastAsia="宋体" w:cs="宋体"/>
                <w:color w:val="auto"/>
                <w:sz w:val="24"/>
                <w:szCs w:val="24"/>
                <w:highlight w:val="none"/>
              </w:rPr>
            </w:pPr>
          </w:p>
          <w:p w14:paraId="1FDE6B88">
            <w:pPr>
              <w:spacing w:line="480" w:lineRule="exact"/>
              <w:jc w:val="center"/>
              <w:rPr>
                <w:rFonts w:hint="eastAsia" w:ascii="宋体" w:hAnsi="宋体" w:eastAsia="宋体" w:cs="宋体"/>
                <w:color w:val="auto"/>
                <w:sz w:val="24"/>
                <w:szCs w:val="24"/>
                <w:highlight w:val="none"/>
              </w:rPr>
            </w:pPr>
          </w:p>
          <w:p w14:paraId="7048F57F">
            <w:pPr>
              <w:spacing w:line="480" w:lineRule="exact"/>
              <w:jc w:val="center"/>
              <w:rPr>
                <w:rFonts w:hint="eastAsia" w:ascii="宋体" w:hAnsi="宋体" w:eastAsia="宋体" w:cs="宋体"/>
                <w:color w:val="auto"/>
                <w:sz w:val="24"/>
                <w:szCs w:val="24"/>
                <w:highlight w:val="none"/>
              </w:rPr>
            </w:pPr>
          </w:p>
          <w:p w14:paraId="600FF844">
            <w:pPr>
              <w:spacing w:line="480" w:lineRule="exact"/>
              <w:jc w:val="center"/>
              <w:rPr>
                <w:rFonts w:hint="eastAsia" w:ascii="宋体" w:hAnsi="宋体" w:eastAsia="宋体" w:cs="宋体"/>
                <w:color w:val="auto"/>
                <w:sz w:val="24"/>
                <w:szCs w:val="24"/>
                <w:highlight w:val="none"/>
              </w:rPr>
            </w:pPr>
          </w:p>
          <w:p w14:paraId="00A63594">
            <w:pPr>
              <w:spacing w:line="480" w:lineRule="exact"/>
              <w:jc w:val="center"/>
              <w:rPr>
                <w:rFonts w:hint="default" w:ascii="宋体" w:hAnsi="宋体" w:eastAsia="宋体" w:cs="宋体"/>
                <w:color w:val="auto"/>
                <w:sz w:val="24"/>
                <w:szCs w:val="22"/>
                <w:highlight w:val="none"/>
                <w:lang w:val="en-US" w:eastAsia="zh-CN"/>
              </w:rPr>
            </w:pPr>
            <w:r>
              <w:rPr>
                <w:rFonts w:hint="eastAsia" w:ascii="宋体" w:hAnsi="宋体" w:eastAsia="宋体" w:cs="宋体"/>
                <w:color w:val="auto"/>
                <w:sz w:val="24"/>
                <w:szCs w:val="24"/>
                <w:highlight w:val="none"/>
              </w:rPr>
              <w:t>满足《中华人民共和国政府采购法》第二十二条规定，并提供下列材料：</w:t>
            </w:r>
          </w:p>
        </w:tc>
        <w:tc>
          <w:tcPr>
            <w:tcW w:w="6494" w:type="dxa"/>
            <w:tcBorders>
              <w:top w:val="single" w:color="auto" w:sz="4" w:space="0"/>
              <w:left w:val="single" w:color="auto" w:sz="4" w:space="0"/>
              <w:bottom w:val="single" w:color="auto" w:sz="4" w:space="0"/>
              <w:right w:val="single" w:color="auto" w:sz="4" w:space="0"/>
            </w:tcBorders>
          </w:tcPr>
          <w:p w14:paraId="0387EC64">
            <w:pPr>
              <w:pStyle w:val="14"/>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法人或者其他组织的营业执照等证明文件，自然人的身份证明；</w:t>
            </w:r>
          </w:p>
          <w:p w14:paraId="0C8955D1">
            <w:pPr>
              <w:pStyle w:val="14"/>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上一年度的财务状况报</w:t>
            </w:r>
            <w:r>
              <w:rPr>
                <w:rFonts w:hint="eastAsia" w:ascii="宋体" w:hAnsi="宋体" w:eastAsia="宋体" w:cs="宋体"/>
                <w:color w:val="auto"/>
                <w:sz w:val="24"/>
                <w:szCs w:val="24"/>
                <w:highlight w:val="none"/>
                <w:lang w:val="en-US" w:eastAsia="zh-CN"/>
              </w:rPr>
              <w:t>告</w:t>
            </w:r>
            <w:r>
              <w:rPr>
                <w:rFonts w:hint="eastAsia" w:ascii="宋体" w:hAnsi="宋体" w:eastAsia="宋体" w:cs="宋体"/>
                <w:color w:val="auto"/>
                <w:sz w:val="24"/>
                <w:szCs w:val="24"/>
                <w:highlight w:val="none"/>
              </w:rPr>
              <w:t>（</w:t>
            </w:r>
            <w:r>
              <w:rPr>
                <w:rFonts w:hint="eastAsia" w:ascii="宋体" w:hAnsi="宋体" w:eastAsia="宋体" w:cs="宋体"/>
                <w:i w:val="0"/>
                <w:iCs/>
                <w:color w:val="auto"/>
                <w:kern w:val="0"/>
                <w:sz w:val="24"/>
                <w:szCs w:val="24"/>
                <w:highlight w:val="none"/>
                <w:u w:val="none"/>
                <w:lang w:val="en-US" w:eastAsia="zh-CN" w:bidi="ar-SA"/>
              </w:rPr>
              <w:t>至少提供资产负债表、利润表、现金流量表，</w:t>
            </w:r>
            <w:r>
              <w:rPr>
                <w:rFonts w:hint="eastAsia" w:ascii="宋体" w:hAnsi="宋体" w:eastAsia="宋体" w:cs="宋体"/>
                <w:color w:val="auto"/>
                <w:sz w:val="24"/>
                <w:szCs w:val="24"/>
                <w:highlight w:val="none"/>
              </w:rPr>
              <w:t>成立不满一年无需提供）；</w:t>
            </w:r>
          </w:p>
          <w:p w14:paraId="066201B5">
            <w:pPr>
              <w:pStyle w:val="14"/>
              <w:spacing w:beforeAutospacing="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具备履行合同所必需的设备和专业技术能力的书面声明；</w:t>
            </w:r>
          </w:p>
          <w:p w14:paraId="1CD0E3EC">
            <w:pPr>
              <w:pStyle w:val="14"/>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3440813D">
            <w:pPr>
              <w:pStyle w:val="14"/>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参加政府采购活动前3年内在经营活动中没有重大违法记录的书面声明。</w:t>
            </w:r>
          </w:p>
          <w:p w14:paraId="2270A690">
            <w:pPr>
              <w:pStyle w:val="14"/>
              <w:spacing w:beforeAutospacing="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（6）法律、行政法规规定的其他条件。</w:t>
            </w:r>
          </w:p>
          <w:p w14:paraId="24BB74E5">
            <w:pPr>
              <w:pStyle w:val="14"/>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在“信用中国”网站查询，无被列入失信被执行人、重大税收违法案件当事人名单、政府采购严重失信行为记录名单及其他不符合《中华人民共和国政府采购法》第二十二条规定条件的信用记录。（响应文件中无需提供证明材料）</w:t>
            </w:r>
          </w:p>
          <w:p w14:paraId="033D7CAA">
            <w:pPr>
              <w:pStyle w:val="14"/>
              <w:spacing w:beforeAutospacing="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单位负责人为同一人或者存在直接控股、管理关系的不同供应</w:t>
            </w:r>
            <w:r>
              <w:rPr>
                <w:rFonts w:hint="eastAsia" w:ascii="宋体" w:hAnsi="宋体" w:eastAsia="宋体" w:cs="宋体"/>
                <w:color w:val="auto"/>
                <w:sz w:val="24"/>
                <w:szCs w:val="24"/>
                <w:highlight w:val="none"/>
                <w:shd w:val="clear" w:color="auto" w:fill="auto"/>
              </w:rPr>
              <w:t>商，不得参加同一合同项下的政府采购活动。</w:t>
            </w:r>
          </w:p>
        </w:tc>
      </w:tr>
      <w:tr w14:paraId="3DB36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5" w:hRule="atLeast"/>
          <w:jc w:val="center"/>
        </w:trPr>
        <w:tc>
          <w:tcPr>
            <w:tcW w:w="3458" w:type="dxa"/>
            <w:tcBorders>
              <w:top w:val="single" w:color="auto" w:sz="4" w:space="0"/>
              <w:left w:val="single" w:color="auto" w:sz="4" w:space="0"/>
              <w:bottom w:val="single" w:color="auto" w:sz="4" w:space="0"/>
              <w:right w:val="single" w:color="auto" w:sz="4" w:space="0"/>
            </w:tcBorders>
            <w:vAlign w:val="center"/>
          </w:tcPr>
          <w:p w14:paraId="720FD6F4">
            <w:pPr>
              <w:spacing w:line="480" w:lineRule="exact"/>
              <w:jc w:val="left"/>
              <w:rPr>
                <w:rFonts w:hint="eastAsia" w:ascii="宋体" w:hAnsi="宋体" w:eastAsia="宋体" w:cs="宋体"/>
                <w:b/>
                <w:bCs/>
                <w:color w:val="auto"/>
                <w:sz w:val="24"/>
                <w:szCs w:val="22"/>
                <w:highlight w:val="none"/>
                <w:lang w:eastAsia="zh-CN"/>
              </w:rPr>
            </w:pPr>
            <w:r>
              <w:rPr>
                <w:rFonts w:hint="eastAsia" w:ascii="宋体" w:hAnsi="宋体" w:eastAsia="宋体" w:cs="宋体"/>
                <w:b/>
                <w:bCs/>
                <w:color w:val="auto"/>
                <w:sz w:val="24"/>
                <w:szCs w:val="22"/>
                <w:highlight w:val="none"/>
              </w:rPr>
              <w:t>本项目的特定资格要求</w:t>
            </w:r>
          </w:p>
          <w:p w14:paraId="1151E288">
            <w:pPr>
              <w:spacing w:line="480" w:lineRule="exact"/>
              <w:jc w:val="left"/>
              <w:rPr>
                <w:rFonts w:hint="eastAsia" w:ascii="宋体" w:hAnsi="宋体" w:eastAsia="宋体" w:cs="宋体"/>
                <w:b/>
                <w:bCs/>
                <w:color w:val="auto"/>
                <w:sz w:val="24"/>
                <w:szCs w:val="22"/>
                <w:highlight w:val="none"/>
              </w:rPr>
            </w:pPr>
          </w:p>
        </w:tc>
        <w:tc>
          <w:tcPr>
            <w:tcW w:w="6494" w:type="dxa"/>
            <w:tcBorders>
              <w:top w:val="single" w:color="auto" w:sz="4" w:space="0"/>
              <w:left w:val="single" w:color="auto" w:sz="4" w:space="0"/>
              <w:bottom w:val="single" w:color="auto" w:sz="4" w:space="0"/>
              <w:right w:val="single" w:color="auto" w:sz="4" w:space="0"/>
            </w:tcBorders>
          </w:tcPr>
          <w:p w14:paraId="4E40FCC2">
            <w:pPr>
              <w:spacing w:line="480" w:lineRule="exact"/>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（1）投标人需提供有效的农业农村部颁发的所投产品的农药登记证（登记作物/场所须包含</w:t>
            </w:r>
            <w:r>
              <w:rPr>
                <w:rFonts w:hint="eastAsia" w:ascii="宋体" w:hAnsi="宋体" w:eastAsia="宋体" w:cs="宋体"/>
                <w:b/>
                <w:bCs/>
                <w:color w:val="auto"/>
                <w:sz w:val="24"/>
                <w:szCs w:val="22"/>
                <w:highlight w:val="none"/>
                <w:lang w:val="en-US" w:eastAsia="zh-CN"/>
              </w:rPr>
              <w:t>水稻</w:t>
            </w:r>
            <w:r>
              <w:rPr>
                <w:rFonts w:hint="eastAsia" w:ascii="宋体" w:hAnsi="宋体" w:eastAsia="宋体" w:cs="宋体"/>
                <w:b/>
                <w:bCs/>
                <w:color w:val="auto"/>
                <w:sz w:val="24"/>
                <w:szCs w:val="22"/>
                <w:highlight w:val="none"/>
              </w:rPr>
              <w:t>；防治对象须包含稻纵卷叶螟）。</w:t>
            </w:r>
          </w:p>
          <w:p w14:paraId="3D5FF181">
            <w:pPr>
              <w:spacing w:line="480" w:lineRule="exact"/>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（2）投标人需提供有效的所投产品的生产许可证和企业标准证；</w:t>
            </w:r>
          </w:p>
          <w:p w14:paraId="4CE0114B">
            <w:pPr>
              <w:spacing w:line="480" w:lineRule="exact"/>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（3）投标人需提供在有效期内农药经营许可证。</w:t>
            </w:r>
          </w:p>
        </w:tc>
      </w:tr>
    </w:tbl>
    <w:p w14:paraId="781B9EDA">
      <w:pPr>
        <w:spacing w:line="480" w:lineRule="exact"/>
        <w:ind w:firstLine="482" w:firstLineChars="200"/>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2.1.3 响应性审查</w:t>
      </w:r>
    </w:p>
    <w:p w14:paraId="409EC89B">
      <w:pPr>
        <w:spacing w:line="48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对询价问价要求的供货期、投标有效期、投标报价等实质性要求的响应性进行评审。</w:t>
      </w:r>
    </w:p>
    <w:tbl>
      <w:tblPr>
        <w:tblStyle w:val="15"/>
        <w:tblW w:w="99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47"/>
        <w:gridCol w:w="6403"/>
      </w:tblGrid>
      <w:tr w14:paraId="64985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3547" w:type="dxa"/>
            <w:tcBorders>
              <w:top w:val="single" w:color="auto" w:sz="4" w:space="0"/>
              <w:left w:val="single" w:color="auto" w:sz="4" w:space="0"/>
              <w:bottom w:val="single" w:color="auto" w:sz="4" w:space="0"/>
              <w:right w:val="single" w:color="auto" w:sz="4" w:space="0"/>
            </w:tcBorders>
          </w:tcPr>
          <w:p w14:paraId="471321C6">
            <w:pPr>
              <w:spacing w:line="480" w:lineRule="exact"/>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评审因素</w:t>
            </w:r>
          </w:p>
        </w:tc>
        <w:tc>
          <w:tcPr>
            <w:tcW w:w="6403" w:type="dxa"/>
            <w:tcBorders>
              <w:top w:val="single" w:color="auto" w:sz="4" w:space="0"/>
              <w:left w:val="single" w:color="auto" w:sz="4" w:space="0"/>
              <w:bottom w:val="single" w:color="auto" w:sz="4" w:space="0"/>
              <w:right w:val="single" w:color="auto" w:sz="4" w:space="0"/>
            </w:tcBorders>
          </w:tcPr>
          <w:p w14:paraId="59FE569C">
            <w:pPr>
              <w:spacing w:line="480" w:lineRule="exact"/>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评审标准</w:t>
            </w:r>
          </w:p>
        </w:tc>
      </w:tr>
      <w:tr w14:paraId="2C4BC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547" w:type="dxa"/>
            <w:tcBorders>
              <w:top w:val="single" w:color="auto" w:sz="4" w:space="0"/>
              <w:left w:val="single" w:color="auto" w:sz="4" w:space="0"/>
              <w:bottom w:val="single" w:color="auto" w:sz="4" w:space="0"/>
              <w:right w:val="single" w:color="auto" w:sz="4" w:space="0"/>
            </w:tcBorders>
          </w:tcPr>
          <w:p w14:paraId="0152F0F9">
            <w:pPr>
              <w:spacing w:line="480" w:lineRule="exact"/>
              <w:jc w:val="center"/>
              <w:rPr>
                <w:rFonts w:hint="eastAsia" w:ascii="宋体" w:hAnsi="宋体" w:eastAsia="宋体" w:cs="宋体"/>
                <w:b/>
                <w:color w:val="auto"/>
                <w:sz w:val="24"/>
                <w:szCs w:val="22"/>
                <w:highlight w:val="none"/>
              </w:rPr>
            </w:pPr>
            <w:r>
              <w:rPr>
                <w:rFonts w:hint="eastAsia" w:ascii="宋体" w:hAnsi="宋体" w:eastAsia="宋体" w:cs="宋体"/>
                <w:bCs/>
                <w:color w:val="auto"/>
                <w:sz w:val="24"/>
                <w:szCs w:val="22"/>
                <w:highlight w:val="none"/>
                <w:lang w:eastAsia="zh-CN"/>
              </w:rPr>
              <w:t>供货</w:t>
            </w:r>
            <w:r>
              <w:rPr>
                <w:rFonts w:hint="eastAsia" w:ascii="宋体" w:hAnsi="宋体" w:eastAsia="宋体" w:cs="宋体"/>
                <w:bCs/>
                <w:color w:val="auto"/>
                <w:sz w:val="24"/>
                <w:szCs w:val="22"/>
                <w:highlight w:val="none"/>
              </w:rPr>
              <w:t>期</w:t>
            </w:r>
          </w:p>
        </w:tc>
        <w:tc>
          <w:tcPr>
            <w:tcW w:w="6403" w:type="dxa"/>
            <w:tcBorders>
              <w:top w:val="single" w:color="auto" w:sz="4" w:space="0"/>
              <w:left w:val="single" w:color="auto" w:sz="4" w:space="0"/>
              <w:bottom w:val="single" w:color="auto" w:sz="4" w:space="0"/>
              <w:right w:val="single" w:color="auto" w:sz="4" w:space="0"/>
            </w:tcBorders>
          </w:tcPr>
          <w:p w14:paraId="34AF1D58">
            <w:pPr>
              <w:spacing w:line="480" w:lineRule="exact"/>
              <w:jc w:val="left"/>
              <w:rPr>
                <w:rFonts w:hint="eastAsia" w:ascii="宋体" w:hAnsi="宋体" w:eastAsia="宋体" w:cs="宋体"/>
                <w:b/>
                <w:color w:val="auto"/>
                <w:sz w:val="24"/>
                <w:szCs w:val="22"/>
                <w:highlight w:val="none"/>
              </w:rPr>
            </w:pPr>
            <w:r>
              <w:rPr>
                <w:rFonts w:hint="eastAsia" w:ascii="宋体" w:hAnsi="宋体" w:eastAsia="宋体" w:cs="宋体"/>
                <w:color w:val="auto"/>
                <w:sz w:val="24"/>
                <w:szCs w:val="22"/>
                <w:highlight w:val="none"/>
              </w:rPr>
              <w:t>符合</w:t>
            </w:r>
            <w:r>
              <w:rPr>
                <w:rFonts w:hint="eastAsia" w:ascii="宋体" w:hAnsi="宋体" w:eastAsia="宋体" w:cs="宋体"/>
                <w:color w:val="auto"/>
                <w:sz w:val="24"/>
                <w:szCs w:val="22"/>
                <w:highlight w:val="none"/>
                <w:lang w:eastAsia="zh-CN"/>
              </w:rPr>
              <w:t>询价</w:t>
            </w:r>
            <w:r>
              <w:rPr>
                <w:rFonts w:hint="eastAsia" w:ascii="宋体" w:hAnsi="宋体" w:eastAsia="宋体" w:cs="宋体"/>
                <w:color w:val="auto"/>
                <w:sz w:val="24"/>
                <w:szCs w:val="22"/>
                <w:highlight w:val="none"/>
                <w:lang w:val="en-US" w:eastAsia="zh-CN"/>
              </w:rPr>
              <w:t>文件</w:t>
            </w:r>
            <w:r>
              <w:rPr>
                <w:rFonts w:hint="eastAsia" w:ascii="宋体" w:hAnsi="宋体" w:eastAsia="宋体" w:cs="宋体"/>
                <w:color w:val="auto"/>
                <w:sz w:val="24"/>
                <w:szCs w:val="22"/>
                <w:highlight w:val="none"/>
              </w:rPr>
              <w:t>相关约定</w:t>
            </w:r>
          </w:p>
        </w:tc>
      </w:tr>
      <w:tr w14:paraId="042A5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547" w:type="dxa"/>
            <w:tcBorders>
              <w:top w:val="single" w:color="auto" w:sz="4" w:space="0"/>
              <w:left w:val="single" w:color="auto" w:sz="4" w:space="0"/>
              <w:bottom w:val="single" w:color="auto" w:sz="4" w:space="0"/>
              <w:right w:val="single" w:color="auto" w:sz="4" w:space="0"/>
            </w:tcBorders>
          </w:tcPr>
          <w:p w14:paraId="2B0CFEA7">
            <w:pPr>
              <w:spacing w:line="480" w:lineRule="exact"/>
              <w:jc w:val="center"/>
              <w:rPr>
                <w:rFonts w:hint="eastAsia" w:ascii="宋体" w:hAnsi="宋体" w:eastAsia="宋体" w:cs="宋体"/>
                <w:b/>
                <w:color w:val="auto"/>
                <w:sz w:val="24"/>
                <w:szCs w:val="22"/>
                <w:highlight w:val="none"/>
              </w:rPr>
            </w:pPr>
            <w:r>
              <w:rPr>
                <w:rFonts w:hint="eastAsia" w:ascii="宋体" w:hAnsi="宋体" w:eastAsia="宋体" w:cs="宋体"/>
                <w:color w:val="auto"/>
                <w:sz w:val="24"/>
                <w:szCs w:val="22"/>
                <w:highlight w:val="none"/>
              </w:rPr>
              <w:t>投标有效期</w:t>
            </w:r>
          </w:p>
        </w:tc>
        <w:tc>
          <w:tcPr>
            <w:tcW w:w="6403" w:type="dxa"/>
            <w:tcBorders>
              <w:top w:val="single" w:color="auto" w:sz="4" w:space="0"/>
              <w:left w:val="single" w:color="auto" w:sz="4" w:space="0"/>
              <w:bottom w:val="single" w:color="auto" w:sz="4" w:space="0"/>
              <w:right w:val="single" w:color="auto" w:sz="4" w:space="0"/>
            </w:tcBorders>
          </w:tcPr>
          <w:p w14:paraId="5008BA42">
            <w:pPr>
              <w:spacing w:line="480" w:lineRule="exact"/>
              <w:jc w:val="left"/>
              <w:rPr>
                <w:rFonts w:hint="eastAsia" w:ascii="宋体" w:hAnsi="宋体" w:eastAsia="宋体" w:cs="宋体"/>
                <w:b/>
                <w:color w:val="auto"/>
                <w:sz w:val="24"/>
                <w:szCs w:val="22"/>
                <w:highlight w:val="none"/>
              </w:rPr>
            </w:pPr>
            <w:r>
              <w:rPr>
                <w:rFonts w:hint="eastAsia" w:ascii="宋体" w:hAnsi="宋体" w:eastAsia="宋体" w:cs="宋体"/>
                <w:color w:val="auto"/>
                <w:sz w:val="24"/>
                <w:szCs w:val="22"/>
                <w:highlight w:val="none"/>
              </w:rPr>
              <w:t>符合</w:t>
            </w:r>
            <w:r>
              <w:rPr>
                <w:rFonts w:hint="eastAsia" w:ascii="宋体" w:hAnsi="宋体" w:eastAsia="宋体" w:cs="宋体"/>
                <w:color w:val="auto"/>
                <w:sz w:val="24"/>
                <w:szCs w:val="22"/>
                <w:highlight w:val="none"/>
                <w:lang w:eastAsia="zh-CN"/>
              </w:rPr>
              <w:t>询价</w:t>
            </w:r>
            <w:r>
              <w:rPr>
                <w:rFonts w:hint="eastAsia" w:ascii="宋体" w:hAnsi="宋体" w:eastAsia="宋体" w:cs="宋体"/>
                <w:color w:val="auto"/>
                <w:sz w:val="24"/>
                <w:szCs w:val="22"/>
                <w:highlight w:val="none"/>
                <w:lang w:val="en-US" w:eastAsia="zh-CN"/>
              </w:rPr>
              <w:t>文件</w:t>
            </w:r>
            <w:r>
              <w:rPr>
                <w:rFonts w:hint="eastAsia" w:ascii="宋体" w:hAnsi="宋体" w:eastAsia="宋体" w:cs="宋体"/>
                <w:color w:val="auto"/>
                <w:sz w:val="24"/>
                <w:szCs w:val="22"/>
                <w:highlight w:val="none"/>
              </w:rPr>
              <w:t>相关约定</w:t>
            </w:r>
          </w:p>
        </w:tc>
      </w:tr>
      <w:tr w14:paraId="00F10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547" w:type="dxa"/>
            <w:tcBorders>
              <w:top w:val="single" w:color="auto" w:sz="4" w:space="0"/>
              <w:left w:val="single" w:color="auto" w:sz="4" w:space="0"/>
              <w:bottom w:val="single" w:color="auto" w:sz="4" w:space="0"/>
              <w:right w:val="single" w:color="auto" w:sz="4" w:space="0"/>
            </w:tcBorders>
          </w:tcPr>
          <w:p w14:paraId="2548339B">
            <w:pPr>
              <w:spacing w:line="480" w:lineRule="exact"/>
              <w:jc w:val="center"/>
              <w:rPr>
                <w:rFonts w:hint="eastAsia" w:ascii="宋体" w:hAnsi="宋体" w:eastAsia="宋体" w:cs="宋体"/>
                <w:b/>
                <w:color w:val="auto"/>
                <w:sz w:val="24"/>
                <w:szCs w:val="22"/>
                <w:highlight w:val="none"/>
              </w:rPr>
            </w:pPr>
            <w:r>
              <w:rPr>
                <w:rFonts w:hint="eastAsia" w:ascii="宋体" w:hAnsi="宋体" w:eastAsia="宋体" w:cs="宋体"/>
                <w:color w:val="auto"/>
                <w:sz w:val="24"/>
                <w:szCs w:val="22"/>
                <w:highlight w:val="none"/>
              </w:rPr>
              <w:t>投标价格</w:t>
            </w:r>
          </w:p>
        </w:tc>
        <w:tc>
          <w:tcPr>
            <w:tcW w:w="6403" w:type="dxa"/>
            <w:tcBorders>
              <w:top w:val="single" w:color="auto" w:sz="4" w:space="0"/>
              <w:left w:val="single" w:color="auto" w:sz="4" w:space="0"/>
              <w:bottom w:val="single" w:color="auto" w:sz="4" w:space="0"/>
              <w:right w:val="single" w:color="auto" w:sz="4" w:space="0"/>
            </w:tcBorders>
          </w:tcPr>
          <w:p w14:paraId="503CECFE">
            <w:pPr>
              <w:spacing w:line="48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符合</w:t>
            </w:r>
            <w:r>
              <w:rPr>
                <w:rFonts w:hint="eastAsia" w:ascii="宋体" w:hAnsi="宋体" w:eastAsia="宋体" w:cs="宋体"/>
                <w:color w:val="auto"/>
                <w:sz w:val="24"/>
                <w:szCs w:val="22"/>
                <w:highlight w:val="none"/>
                <w:lang w:eastAsia="zh-CN"/>
              </w:rPr>
              <w:t>询价</w:t>
            </w:r>
            <w:r>
              <w:rPr>
                <w:rFonts w:hint="eastAsia" w:ascii="宋体" w:hAnsi="宋体" w:eastAsia="宋体" w:cs="宋体"/>
                <w:color w:val="auto"/>
                <w:sz w:val="24"/>
                <w:szCs w:val="22"/>
                <w:highlight w:val="none"/>
                <w:lang w:val="en-US" w:eastAsia="zh-CN"/>
              </w:rPr>
              <w:t>文件</w:t>
            </w:r>
            <w:r>
              <w:rPr>
                <w:rFonts w:hint="eastAsia" w:ascii="宋体" w:hAnsi="宋体" w:eastAsia="宋体" w:cs="宋体"/>
                <w:color w:val="auto"/>
                <w:sz w:val="24"/>
                <w:szCs w:val="22"/>
                <w:highlight w:val="none"/>
              </w:rPr>
              <w:t>相关约定</w:t>
            </w:r>
          </w:p>
        </w:tc>
      </w:tr>
      <w:tr w14:paraId="545F1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547" w:type="dxa"/>
            <w:tcBorders>
              <w:top w:val="single" w:color="auto" w:sz="4" w:space="0"/>
              <w:left w:val="single" w:color="auto" w:sz="4" w:space="0"/>
              <w:bottom w:val="single" w:color="auto" w:sz="4" w:space="0"/>
              <w:right w:val="single" w:color="auto" w:sz="4" w:space="0"/>
            </w:tcBorders>
          </w:tcPr>
          <w:p w14:paraId="7054FACD">
            <w:pPr>
              <w:spacing w:line="480" w:lineRule="exact"/>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w:t>
            </w:r>
          </w:p>
        </w:tc>
        <w:tc>
          <w:tcPr>
            <w:tcW w:w="6403" w:type="dxa"/>
            <w:tcBorders>
              <w:top w:val="single" w:color="auto" w:sz="4" w:space="0"/>
              <w:left w:val="single" w:color="auto" w:sz="4" w:space="0"/>
              <w:bottom w:val="single" w:color="auto" w:sz="4" w:space="0"/>
              <w:right w:val="single" w:color="auto" w:sz="4" w:space="0"/>
            </w:tcBorders>
          </w:tcPr>
          <w:p w14:paraId="61715D1D">
            <w:pPr>
              <w:spacing w:line="48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w:t>
            </w:r>
          </w:p>
        </w:tc>
      </w:tr>
    </w:tbl>
    <w:p w14:paraId="5B762FFF">
      <w:pPr>
        <w:pStyle w:val="5"/>
        <w:spacing w:before="0" w:after="0" w:line="460" w:lineRule="exact"/>
        <w:ind w:firstLine="482" w:firstLineChars="200"/>
        <w:rPr>
          <w:rFonts w:hint="eastAsia" w:ascii="宋体" w:hAnsi="宋体" w:eastAsia="宋体" w:cs="宋体"/>
          <w:b/>
          <w:bCs/>
          <w:color w:val="auto"/>
          <w:kern w:val="2"/>
          <w:sz w:val="24"/>
          <w:szCs w:val="22"/>
          <w:highlight w:val="none"/>
          <w:lang w:val="en-US" w:eastAsia="zh-CN" w:bidi="ar-SA"/>
        </w:rPr>
      </w:pPr>
      <w:bookmarkStart w:id="378" w:name="_Toc9977"/>
      <w:r>
        <w:rPr>
          <w:rFonts w:hint="eastAsia" w:ascii="宋体" w:hAnsi="宋体" w:eastAsia="宋体" w:cs="宋体"/>
          <w:b/>
          <w:bCs/>
          <w:color w:val="auto"/>
          <w:kern w:val="2"/>
          <w:sz w:val="24"/>
          <w:szCs w:val="22"/>
          <w:highlight w:val="none"/>
          <w:lang w:val="en-US" w:eastAsia="zh-CN" w:bidi="ar-SA"/>
        </w:rPr>
        <w:t>2.2 详细评审</w:t>
      </w:r>
      <w:bookmarkEnd w:id="378"/>
    </w:p>
    <w:p w14:paraId="6E20E225">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2.2.1</w:t>
      </w:r>
      <w:r>
        <w:rPr>
          <w:rFonts w:hint="eastAsia" w:ascii="宋体" w:hAnsi="宋体" w:eastAsia="宋体" w:cs="宋体"/>
          <w:color w:val="auto"/>
          <w:sz w:val="24"/>
          <w:szCs w:val="22"/>
          <w:highlight w:val="none"/>
        </w:rPr>
        <w:t>投标报价有算术错误的，评标委员会按以下原则对投标报价进行修正，修正的价格经投标人书面确认后具有约束力。投标人不接受修正价格的，其投标作无效标书处理。</w:t>
      </w:r>
    </w:p>
    <w:p w14:paraId="22BC8994">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(1）投标文件中的大写金额与小写金额不一致的，以大写金额为准；</w:t>
      </w:r>
    </w:p>
    <w:p w14:paraId="3E7CA1CC">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(2）总价金额与依据单价计算出的结果不一致的，以单价金额为准修正总价，但单价金额小数点有明显错误的除外。</w:t>
      </w:r>
    </w:p>
    <w:p w14:paraId="23A34A82">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2.2.2</w:t>
      </w:r>
      <w:r>
        <w:rPr>
          <w:rFonts w:hint="eastAsia" w:ascii="宋体" w:hAnsi="宋体" w:eastAsia="宋体" w:cs="宋体"/>
          <w:color w:val="auto"/>
          <w:sz w:val="24"/>
          <w:szCs w:val="22"/>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C9222CE">
      <w:pPr>
        <w:spacing w:line="460" w:lineRule="exact"/>
        <w:ind w:firstLine="482" w:firstLineChars="200"/>
        <w:rPr>
          <w:rFonts w:hint="eastAsia" w:ascii="宋体" w:hAnsi="宋体" w:eastAsia="宋体" w:cs="宋体"/>
          <w:color w:val="auto"/>
          <w:sz w:val="24"/>
          <w:szCs w:val="22"/>
          <w:highlight w:val="none"/>
        </w:rPr>
      </w:pPr>
      <w:r>
        <w:rPr>
          <w:rFonts w:hint="eastAsia" w:ascii="宋体" w:hAnsi="宋体" w:eastAsia="宋体" w:cs="宋体"/>
          <w:b/>
          <w:bCs/>
          <w:color w:val="auto"/>
          <w:sz w:val="24"/>
          <w:szCs w:val="22"/>
          <w:highlight w:val="none"/>
        </w:rPr>
        <w:t>3.评标程序</w:t>
      </w:r>
    </w:p>
    <w:p w14:paraId="2778CC18">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3.1 评标准备</w:t>
      </w:r>
    </w:p>
    <w:p w14:paraId="5F47A429">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3.1.1 评标委员会成员到达评标现场时应在签到表上签到（或通过门禁系统签到）以证明其出席。</w:t>
      </w:r>
    </w:p>
    <w:p w14:paraId="6EDC5252">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3.1.2 评标委员会成员首先推选一名评标委员会负责人，负责评标活动的组织领导工作。</w:t>
      </w:r>
    </w:p>
    <w:p w14:paraId="0FD0A790">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3.1.3 招标人或</w:t>
      </w:r>
      <w:r>
        <w:rPr>
          <w:rFonts w:hint="eastAsia" w:ascii="宋体" w:hAnsi="宋体" w:eastAsia="宋体" w:cs="宋体"/>
          <w:color w:val="auto"/>
          <w:sz w:val="24"/>
          <w:szCs w:val="22"/>
          <w:highlight w:val="none"/>
          <w:lang w:val="en-US" w:eastAsia="zh-CN"/>
        </w:rPr>
        <w:t>采购中心</w:t>
      </w:r>
      <w:r>
        <w:rPr>
          <w:rFonts w:hint="eastAsia" w:ascii="宋体" w:hAnsi="宋体" w:eastAsia="宋体" w:cs="宋体"/>
          <w:color w:val="auto"/>
          <w:sz w:val="24"/>
          <w:szCs w:val="22"/>
          <w:highlight w:val="none"/>
        </w:rPr>
        <w:t>应向评标委员会提供评标所需的信息和数据。评标委员会负责人应组织评标委员会成员认真研究</w:t>
      </w:r>
      <w:r>
        <w:rPr>
          <w:rFonts w:hint="eastAsia" w:ascii="宋体" w:hAnsi="宋体" w:eastAsia="宋体" w:cs="宋体"/>
          <w:color w:val="auto"/>
          <w:sz w:val="24"/>
          <w:szCs w:val="22"/>
          <w:highlight w:val="none"/>
          <w:lang w:eastAsia="zh-CN"/>
        </w:rPr>
        <w:t>询价问价</w:t>
      </w:r>
      <w:r>
        <w:rPr>
          <w:rFonts w:hint="eastAsia" w:ascii="宋体" w:hAnsi="宋体" w:eastAsia="宋体" w:cs="宋体"/>
          <w:color w:val="auto"/>
          <w:sz w:val="24"/>
          <w:szCs w:val="22"/>
          <w:highlight w:val="none"/>
        </w:rPr>
        <w:t>，未在</w:t>
      </w:r>
      <w:r>
        <w:rPr>
          <w:rFonts w:hint="eastAsia" w:ascii="宋体" w:hAnsi="宋体" w:eastAsia="宋体" w:cs="宋体"/>
          <w:color w:val="auto"/>
          <w:sz w:val="24"/>
          <w:szCs w:val="22"/>
          <w:highlight w:val="none"/>
          <w:lang w:eastAsia="zh-CN"/>
        </w:rPr>
        <w:t>询价问价</w:t>
      </w:r>
      <w:r>
        <w:rPr>
          <w:rFonts w:hint="eastAsia" w:ascii="宋体" w:hAnsi="宋体" w:eastAsia="宋体" w:cs="宋体"/>
          <w:color w:val="auto"/>
          <w:sz w:val="24"/>
          <w:szCs w:val="22"/>
          <w:highlight w:val="none"/>
        </w:rPr>
        <w:t>中规定的标准和方法不得作为评标的依据。</w:t>
      </w:r>
    </w:p>
    <w:p w14:paraId="524DAAB2">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3.2 初步评审</w:t>
      </w:r>
    </w:p>
    <w:p w14:paraId="69E22729">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3.2.1评标委员会依据本章第2.1 款规定的标准对投标文件进行初步评审。</w:t>
      </w:r>
    </w:p>
    <w:p w14:paraId="5359E7C9">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3.2.2投标文件不符合本章第2.1款评审标准的，属于重大偏差，视为未能对</w:t>
      </w:r>
      <w:r>
        <w:rPr>
          <w:rFonts w:hint="eastAsia" w:ascii="宋体" w:hAnsi="宋体" w:eastAsia="宋体" w:cs="宋体"/>
          <w:color w:val="auto"/>
          <w:sz w:val="24"/>
          <w:szCs w:val="22"/>
          <w:highlight w:val="none"/>
          <w:lang w:eastAsia="zh-CN"/>
        </w:rPr>
        <w:t>询价问价</w:t>
      </w:r>
      <w:r>
        <w:rPr>
          <w:rFonts w:hint="eastAsia" w:ascii="宋体" w:hAnsi="宋体" w:eastAsia="宋体" w:cs="宋体"/>
          <w:color w:val="auto"/>
          <w:sz w:val="24"/>
          <w:szCs w:val="22"/>
          <w:highlight w:val="none"/>
        </w:rPr>
        <w:t>作出实质性响应，应当作为无效投标予以否决。</w:t>
      </w:r>
    </w:p>
    <w:p w14:paraId="488E168C">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3.2.3对照投标人须知</w:t>
      </w:r>
      <w:r>
        <w:rPr>
          <w:rFonts w:hint="eastAsia" w:ascii="宋体" w:hAnsi="宋体" w:eastAsia="宋体" w:cs="宋体"/>
          <w:color w:val="auto"/>
          <w:sz w:val="24"/>
          <w:szCs w:val="22"/>
          <w:highlight w:val="none"/>
          <w:lang w:val="en-US" w:eastAsia="zh-CN"/>
        </w:rPr>
        <w:t>29</w:t>
      </w:r>
      <w:r>
        <w:rPr>
          <w:rFonts w:hint="eastAsia" w:ascii="宋体" w:hAnsi="宋体" w:eastAsia="宋体" w:cs="宋体"/>
          <w:color w:val="auto"/>
          <w:sz w:val="24"/>
          <w:szCs w:val="22"/>
          <w:highlight w:val="none"/>
        </w:rPr>
        <w:t>款，投标文件有上述情况之一，视为未能对</w:t>
      </w:r>
      <w:r>
        <w:rPr>
          <w:rFonts w:hint="eastAsia" w:ascii="宋体" w:hAnsi="宋体" w:eastAsia="宋体" w:cs="宋体"/>
          <w:color w:val="auto"/>
          <w:sz w:val="24"/>
          <w:szCs w:val="22"/>
          <w:highlight w:val="none"/>
          <w:lang w:eastAsia="zh-CN"/>
        </w:rPr>
        <w:t>询价问价</w:t>
      </w:r>
      <w:r>
        <w:rPr>
          <w:rFonts w:hint="eastAsia" w:ascii="宋体" w:hAnsi="宋体" w:eastAsia="宋体" w:cs="宋体"/>
          <w:color w:val="auto"/>
          <w:sz w:val="24"/>
          <w:szCs w:val="22"/>
          <w:highlight w:val="none"/>
        </w:rPr>
        <w:t>作出实质性响应，凡</w:t>
      </w:r>
      <w:r>
        <w:rPr>
          <w:rFonts w:hint="eastAsia" w:ascii="宋体" w:hAnsi="宋体" w:eastAsia="宋体" w:cs="宋体"/>
          <w:color w:val="auto"/>
          <w:sz w:val="24"/>
          <w:szCs w:val="22"/>
          <w:highlight w:val="none"/>
          <w:lang w:eastAsia="zh-CN"/>
        </w:rPr>
        <w:t>询价问价</w:t>
      </w:r>
      <w:r>
        <w:rPr>
          <w:rFonts w:hint="eastAsia" w:ascii="宋体" w:hAnsi="宋体" w:eastAsia="宋体" w:cs="宋体"/>
          <w:color w:val="auto"/>
          <w:sz w:val="24"/>
          <w:szCs w:val="22"/>
          <w:highlight w:val="none"/>
        </w:rPr>
        <w:t>未明确标明无效标条款的，评标委员会不得作为判定无效投标的依据。</w:t>
      </w:r>
    </w:p>
    <w:p w14:paraId="6B1EC24E">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3.2.4 投标报价有算术错误的，评标委员会按以下原则对投标报价进行修正，修正的价格经投标人书面确认后具有约束力。</w:t>
      </w:r>
    </w:p>
    <w:p w14:paraId="537685B4">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(1）投标文件中的大写金额与小写金额不一致的，以大写金额为准；</w:t>
      </w:r>
    </w:p>
    <w:p w14:paraId="6848E7AE">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(2）总价金额与依据单价计算出的结果不一致的，以单价金额为准修正总价，但单价金额小数点有明显错误的除外。</w:t>
      </w:r>
    </w:p>
    <w:p w14:paraId="11881B75">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3.2.5只有通过初步评审的投标文件才能进入详细评审。</w:t>
      </w:r>
    </w:p>
    <w:p w14:paraId="02CD8DF6">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3.3 详细评审</w:t>
      </w:r>
    </w:p>
    <w:p w14:paraId="74917278">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3.3.1 在详细评审发现符合“无效标书条款”的，应当作为无效投标予以否决，其投标报价亦不作为评标基准价A值的依据。</w:t>
      </w:r>
    </w:p>
    <w:p w14:paraId="28254079">
      <w:pPr>
        <w:spacing w:line="460" w:lineRule="exact"/>
        <w:ind w:firstLine="480" w:firstLineChars="200"/>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3.3.2 评标委员会按本章第2.2款规定的量化因素和分值进行打分，并计算出综合评估得分。</w:t>
      </w:r>
      <w:r>
        <w:rPr>
          <w:rFonts w:hint="eastAsia" w:ascii="宋体" w:hAnsi="宋体" w:eastAsia="宋体" w:cs="宋体"/>
          <w:color w:val="auto"/>
          <w:sz w:val="24"/>
          <w:szCs w:val="22"/>
          <w:highlight w:val="none"/>
          <w:lang w:eastAsia="zh-CN"/>
        </w:rPr>
        <w:t>（如采用综合评分法时）</w:t>
      </w:r>
    </w:p>
    <w:p w14:paraId="1FDA839F">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3.3.3 评分分值计算保留小数点后两位，小数点后第三位“四舍五入”。</w:t>
      </w:r>
    </w:p>
    <w:p w14:paraId="098D5099">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3.4 投标文件的澄清和补正</w:t>
      </w:r>
    </w:p>
    <w:p w14:paraId="4D5313F1">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3.4.1 在评标过程中，评标委员会可以书面形式要求投标人对所提交投标文件中不明确的内容进行书面澄清或说明，或者对细微偏差进行补正。评标委员会不接受投标人主动提出的澄清、说明或补正。</w:t>
      </w:r>
    </w:p>
    <w:p w14:paraId="435C6DE2">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3.4.2 澄清、说明和补正不得改变投标文件的实质性内容（算术性错误修正的除外）。投标人的书面澄清、说明和补正属于投标文件的组成部分。</w:t>
      </w:r>
    </w:p>
    <w:p w14:paraId="0C64122D">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3.4.3 评标委员会对投标人提交的澄清、说明或补正有疑问的，可以要求投标人进一步澄清、说明或补正。</w:t>
      </w:r>
    </w:p>
    <w:p w14:paraId="587BAC84">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3.5 推荐中标候选人或直接确定中标人</w:t>
      </w:r>
    </w:p>
    <w:p w14:paraId="3AF142CC">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3.5.1 除投标人须知前附表授权直接确定中标人外，评标委员会在推荐中标候选人时，应遵照以下原则:</w:t>
      </w:r>
    </w:p>
    <w:p w14:paraId="335F3E80">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评标委员会按照</w:t>
      </w:r>
      <w:r>
        <w:rPr>
          <w:rFonts w:hint="eastAsia" w:ascii="宋体" w:hAnsi="宋体" w:eastAsia="宋体" w:cs="宋体"/>
          <w:color w:val="auto"/>
          <w:sz w:val="24"/>
          <w:szCs w:val="22"/>
          <w:highlight w:val="none"/>
          <w:lang w:eastAsia="zh-CN"/>
        </w:rPr>
        <w:t>有效报价</w:t>
      </w:r>
      <w:r>
        <w:rPr>
          <w:rFonts w:hint="eastAsia" w:ascii="宋体" w:hAnsi="宋体" w:eastAsia="宋体" w:cs="宋体"/>
          <w:color w:val="auto"/>
          <w:sz w:val="24"/>
          <w:szCs w:val="22"/>
          <w:highlight w:val="none"/>
        </w:rPr>
        <w:t>由</w:t>
      </w:r>
      <w:r>
        <w:rPr>
          <w:rFonts w:hint="eastAsia" w:ascii="宋体" w:hAnsi="宋体" w:eastAsia="宋体" w:cs="宋体"/>
          <w:color w:val="auto"/>
          <w:sz w:val="24"/>
          <w:szCs w:val="22"/>
          <w:highlight w:val="none"/>
          <w:lang w:eastAsia="zh-CN"/>
        </w:rPr>
        <w:t>低</w:t>
      </w:r>
      <w:r>
        <w:rPr>
          <w:rFonts w:hint="eastAsia" w:ascii="宋体" w:hAnsi="宋体" w:eastAsia="宋体" w:cs="宋体"/>
          <w:color w:val="auto"/>
          <w:sz w:val="24"/>
          <w:szCs w:val="22"/>
          <w:highlight w:val="none"/>
        </w:rPr>
        <w:t>至</w:t>
      </w:r>
      <w:r>
        <w:rPr>
          <w:rFonts w:hint="eastAsia" w:ascii="宋体" w:hAnsi="宋体" w:eastAsia="宋体" w:cs="宋体"/>
          <w:color w:val="auto"/>
          <w:sz w:val="24"/>
          <w:szCs w:val="22"/>
          <w:highlight w:val="none"/>
          <w:lang w:eastAsia="zh-CN"/>
        </w:rPr>
        <w:t>高</w:t>
      </w:r>
      <w:r>
        <w:rPr>
          <w:rFonts w:hint="eastAsia" w:ascii="宋体" w:hAnsi="宋体" w:eastAsia="宋体" w:cs="宋体"/>
          <w:color w:val="auto"/>
          <w:sz w:val="24"/>
          <w:szCs w:val="22"/>
          <w:highlight w:val="none"/>
        </w:rPr>
        <w:t>的次序排列，并根据投标人须知前附表规定的中标候选人数量，将排序在前的投标人推荐为中标候选人。</w:t>
      </w:r>
    </w:p>
    <w:p w14:paraId="7362B390">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3.6 提交评标报告 </w:t>
      </w:r>
    </w:p>
    <w:p w14:paraId="07F0ACFE">
      <w:pPr>
        <w:spacing w:line="460" w:lineRule="exact"/>
        <w:ind w:firstLine="480" w:firstLineChars="200"/>
        <w:rPr>
          <w:rFonts w:hint="eastAsia" w:ascii="黑体" w:hAnsi="宋体" w:eastAsia="黑体" w:cs="黑体"/>
          <w:color w:val="auto"/>
          <w:sz w:val="44"/>
          <w:szCs w:val="44"/>
          <w:highlight w:val="none"/>
        </w:rPr>
      </w:pPr>
      <w:r>
        <w:rPr>
          <w:rFonts w:hint="eastAsia" w:ascii="宋体" w:hAnsi="宋体" w:eastAsia="宋体" w:cs="宋体"/>
          <w:color w:val="auto"/>
          <w:sz w:val="24"/>
          <w:szCs w:val="22"/>
          <w:highlight w:val="none"/>
        </w:rPr>
        <w:t>评标委员会完成评标后，应当向招标人提交书面评标报告。评标报告应当由全体评标委员会成员签字，并于评标结束时抄送有关行政监督部门。</w:t>
      </w:r>
    </w:p>
    <w:p w14:paraId="70B117DD">
      <w:pPr>
        <w:rPr>
          <w:rFonts w:hint="eastAsia" w:ascii="黑体" w:hAnsi="宋体" w:eastAsia="黑体" w:cs="黑体"/>
          <w:color w:val="auto"/>
          <w:sz w:val="44"/>
          <w:szCs w:val="44"/>
          <w:highlight w:val="none"/>
        </w:rPr>
      </w:pPr>
      <w:r>
        <w:rPr>
          <w:rFonts w:hint="eastAsia" w:ascii="黑体" w:hAnsi="宋体" w:eastAsia="黑体" w:cs="黑体"/>
          <w:color w:val="auto"/>
          <w:sz w:val="44"/>
          <w:szCs w:val="44"/>
          <w:highlight w:val="none"/>
        </w:rPr>
        <w:br w:type="page"/>
      </w:r>
    </w:p>
    <w:p w14:paraId="0367625D">
      <w:pPr>
        <w:pStyle w:val="14"/>
        <w:keepNext/>
        <w:spacing w:beforeAutospacing="0" w:afterAutospacing="0"/>
        <w:jc w:val="center"/>
        <w:outlineLvl w:val="0"/>
        <w:rPr>
          <w:color w:val="auto"/>
          <w:highlight w:val="none"/>
        </w:rPr>
      </w:pPr>
      <w:bookmarkStart w:id="379" w:name="_Toc18494"/>
      <w:r>
        <w:rPr>
          <w:rFonts w:hint="eastAsia" w:ascii="黑体" w:hAnsi="宋体" w:eastAsia="黑体" w:cs="黑体"/>
          <w:color w:val="auto"/>
          <w:sz w:val="44"/>
          <w:szCs w:val="44"/>
          <w:highlight w:val="none"/>
        </w:rPr>
        <w:t>第</w:t>
      </w:r>
      <w:r>
        <w:rPr>
          <w:rFonts w:hint="eastAsia" w:ascii="黑体" w:hAnsi="宋体" w:eastAsia="黑体" w:cs="黑体"/>
          <w:color w:val="auto"/>
          <w:sz w:val="44"/>
          <w:szCs w:val="44"/>
          <w:highlight w:val="none"/>
          <w:lang w:val="en-US" w:eastAsia="zh-CN"/>
        </w:rPr>
        <w:t>六</w:t>
      </w:r>
      <w:r>
        <w:rPr>
          <w:rFonts w:hint="eastAsia" w:ascii="黑体" w:hAnsi="宋体" w:eastAsia="黑体" w:cs="黑体"/>
          <w:color w:val="auto"/>
          <w:sz w:val="44"/>
          <w:szCs w:val="44"/>
          <w:highlight w:val="none"/>
        </w:rPr>
        <w:t>章  投标文件格式</w:t>
      </w:r>
      <w:bookmarkEnd w:id="375"/>
      <w:bookmarkEnd w:id="379"/>
      <w:r>
        <w:rPr>
          <w:rFonts w:hint="eastAsia" w:ascii="黑体" w:hAnsi="宋体" w:eastAsia="黑体" w:cs="黑体"/>
          <w:color w:val="auto"/>
          <w:sz w:val="44"/>
          <w:szCs w:val="44"/>
          <w:highlight w:val="none"/>
        </w:rPr>
        <w:t xml:space="preserve"> </w:t>
      </w:r>
    </w:p>
    <w:p w14:paraId="0B1A27A8">
      <w:pPr>
        <w:pStyle w:val="14"/>
        <w:spacing w:beforeAutospacing="0" w:afterAutospacing="0"/>
        <w:jc w:val="center"/>
        <w:outlineLvl w:val="0"/>
        <w:rPr>
          <w:color w:val="auto"/>
          <w:highlight w:val="none"/>
        </w:rPr>
      </w:pPr>
      <w:bookmarkStart w:id="380" w:name="_Toc120614282"/>
      <w:bookmarkEnd w:id="380"/>
      <w:bookmarkStart w:id="381" w:name="_Toc49090576"/>
      <w:bookmarkEnd w:id="381"/>
      <w:bookmarkStart w:id="382" w:name="_Toc572"/>
      <w:bookmarkStart w:id="383" w:name="_Toc10724"/>
      <w:bookmarkStart w:id="384" w:name="_Hlt26955039"/>
      <w:bookmarkStart w:id="385" w:name="_Toc26554094"/>
      <w:bookmarkStart w:id="386" w:name="_Hlt26671244"/>
      <w:r>
        <w:rPr>
          <w:rFonts w:hint="eastAsia" w:ascii="宋体" w:hAnsi="宋体" w:eastAsia="宋体" w:cs="宋体"/>
          <w:b/>
          <w:color w:val="auto"/>
          <w:sz w:val="72"/>
          <w:szCs w:val="72"/>
          <w:highlight w:val="none"/>
        </w:rPr>
        <w:t>投  标  文  件</w:t>
      </w:r>
      <w:bookmarkEnd w:id="382"/>
      <w:bookmarkEnd w:id="383"/>
    </w:p>
    <w:p w14:paraId="6F7385F4">
      <w:pPr>
        <w:pStyle w:val="14"/>
        <w:spacing w:beforeAutospacing="0" w:afterAutospacing="0"/>
        <w:jc w:val="center"/>
        <w:rPr>
          <w:color w:val="auto"/>
          <w:highlight w:val="none"/>
        </w:rPr>
      </w:pPr>
      <w:r>
        <w:rPr>
          <w:color w:val="auto"/>
          <w:highlight w:val="none"/>
        </w:rPr>
        <w:t> </w:t>
      </w:r>
    </w:p>
    <w:p w14:paraId="116EE8BE">
      <w:pPr>
        <w:pStyle w:val="14"/>
        <w:spacing w:beforeAutospacing="0" w:afterAutospacing="0"/>
        <w:jc w:val="center"/>
        <w:rPr>
          <w:color w:val="auto"/>
          <w:highlight w:val="none"/>
        </w:rPr>
      </w:pPr>
      <w:r>
        <w:rPr>
          <w:color w:val="auto"/>
          <w:highlight w:val="none"/>
        </w:rPr>
        <w:t> </w:t>
      </w:r>
    </w:p>
    <w:p w14:paraId="1689E381">
      <w:pPr>
        <w:pStyle w:val="14"/>
        <w:spacing w:beforeAutospacing="0" w:afterAutospacing="0"/>
        <w:jc w:val="center"/>
        <w:rPr>
          <w:color w:val="auto"/>
          <w:highlight w:val="none"/>
        </w:rPr>
      </w:pPr>
      <w:r>
        <w:rPr>
          <w:color w:val="auto"/>
          <w:highlight w:val="none"/>
        </w:rPr>
        <w:t> </w:t>
      </w:r>
    </w:p>
    <w:p w14:paraId="1172103B">
      <w:pPr>
        <w:pStyle w:val="14"/>
        <w:spacing w:beforeAutospacing="0" w:afterAutospacing="0"/>
        <w:jc w:val="center"/>
        <w:rPr>
          <w:color w:val="auto"/>
          <w:highlight w:val="none"/>
        </w:rPr>
      </w:pPr>
      <w:r>
        <w:rPr>
          <w:color w:val="auto"/>
          <w:highlight w:val="none"/>
        </w:rPr>
        <w:t> </w:t>
      </w:r>
    </w:p>
    <w:p w14:paraId="773BE420">
      <w:pPr>
        <w:pStyle w:val="14"/>
        <w:spacing w:beforeAutospacing="0" w:afterAutospacing="0"/>
        <w:jc w:val="center"/>
        <w:rPr>
          <w:color w:val="auto"/>
          <w:highlight w:val="none"/>
        </w:rPr>
      </w:pPr>
      <w:r>
        <w:rPr>
          <w:color w:val="auto"/>
          <w:highlight w:val="none"/>
        </w:rPr>
        <w:t> </w:t>
      </w:r>
    </w:p>
    <w:p w14:paraId="0D9C9B44">
      <w:pPr>
        <w:pStyle w:val="14"/>
        <w:spacing w:beforeAutospacing="0" w:afterAutospacing="0"/>
        <w:ind w:firstLine="1084"/>
        <w:jc w:val="both"/>
        <w:rPr>
          <w:color w:val="auto"/>
          <w:highlight w:val="none"/>
        </w:rPr>
      </w:pPr>
      <w:r>
        <w:rPr>
          <w:rFonts w:hint="eastAsia" w:ascii="宋体" w:hAnsi="宋体" w:eastAsia="宋体" w:cs="宋体"/>
          <w:b/>
          <w:color w:val="auto"/>
          <w:sz w:val="36"/>
          <w:szCs w:val="36"/>
          <w:highlight w:val="none"/>
        </w:rPr>
        <w:t>项 目 名 称：</w:t>
      </w:r>
      <w:r>
        <w:rPr>
          <w:rFonts w:hint="eastAsia" w:ascii="宋体" w:hAnsi="宋体" w:eastAsia="宋体" w:cs="宋体"/>
          <w:b/>
          <w:color w:val="auto"/>
          <w:sz w:val="36"/>
          <w:szCs w:val="36"/>
          <w:highlight w:val="none"/>
          <w:u w:val="single"/>
        </w:rPr>
        <w:t>             </w:t>
      </w:r>
    </w:p>
    <w:p w14:paraId="4C9C4B28">
      <w:pPr>
        <w:pStyle w:val="14"/>
        <w:spacing w:beforeAutospacing="0" w:afterAutospacing="0"/>
        <w:ind w:firstLine="1084"/>
        <w:jc w:val="both"/>
        <w:rPr>
          <w:color w:val="auto"/>
          <w:highlight w:val="none"/>
        </w:rPr>
      </w:pPr>
      <w:r>
        <w:rPr>
          <w:rFonts w:hint="eastAsia" w:ascii="宋体" w:hAnsi="宋体" w:eastAsia="宋体" w:cs="宋体"/>
          <w:b/>
          <w:color w:val="auto"/>
          <w:sz w:val="36"/>
          <w:szCs w:val="36"/>
          <w:highlight w:val="none"/>
        </w:rPr>
        <w:t>项 目 编 号：</w:t>
      </w:r>
      <w:r>
        <w:rPr>
          <w:rFonts w:hint="eastAsia" w:ascii="宋体" w:hAnsi="宋体" w:eastAsia="宋体" w:cs="宋体"/>
          <w:b/>
          <w:color w:val="auto"/>
          <w:sz w:val="36"/>
          <w:szCs w:val="36"/>
          <w:highlight w:val="none"/>
          <w:u w:val="single"/>
        </w:rPr>
        <w:t>             </w:t>
      </w:r>
    </w:p>
    <w:p w14:paraId="2B329B95">
      <w:pPr>
        <w:pStyle w:val="14"/>
        <w:spacing w:beforeAutospacing="0" w:afterAutospacing="0"/>
        <w:jc w:val="both"/>
        <w:rPr>
          <w:color w:val="auto"/>
          <w:highlight w:val="none"/>
        </w:rPr>
      </w:pPr>
      <w:r>
        <w:rPr>
          <w:rFonts w:hint="eastAsia" w:ascii="宋体" w:hAnsi="宋体" w:eastAsia="宋体" w:cs="宋体"/>
          <w:b/>
          <w:color w:val="auto"/>
          <w:sz w:val="36"/>
          <w:szCs w:val="36"/>
          <w:highlight w:val="none"/>
        </w:rPr>
        <w:t>   投标人名称 ：</w:t>
      </w:r>
      <w:r>
        <w:rPr>
          <w:rFonts w:hint="eastAsia" w:ascii="宋体" w:hAnsi="宋体" w:eastAsia="宋体" w:cs="宋体"/>
          <w:b/>
          <w:color w:val="auto"/>
          <w:sz w:val="36"/>
          <w:szCs w:val="36"/>
          <w:highlight w:val="none"/>
          <w:u w:val="single"/>
        </w:rPr>
        <w:t>（加盖CA电子公章）</w:t>
      </w:r>
    </w:p>
    <w:p w14:paraId="1E760D54">
      <w:pPr>
        <w:pStyle w:val="14"/>
        <w:spacing w:beforeAutospacing="0" w:afterAutospacing="0"/>
        <w:jc w:val="both"/>
        <w:rPr>
          <w:color w:val="auto"/>
          <w:highlight w:val="none"/>
        </w:rPr>
      </w:pPr>
      <w:r>
        <w:rPr>
          <w:rFonts w:hint="eastAsia" w:ascii="宋体" w:hAnsi="宋体" w:eastAsia="宋体" w:cs="宋体"/>
          <w:b/>
          <w:color w:val="auto"/>
          <w:sz w:val="36"/>
          <w:szCs w:val="36"/>
          <w:highlight w:val="none"/>
        </w:rPr>
        <w:t>   日   期 ：</w:t>
      </w:r>
      <w:r>
        <w:rPr>
          <w:rFonts w:hint="eastAsia" w:ascii="宋体" w:hAnsi="宋体" w:eastAsia="宋体" w:cs="宋体"/>
          <w:b/>
          <w:color w:val="auto"/>
          <w:sz w:val="36"/>
          <w:szCs w:val="36"/>
          <w:highlight w:val="none"/>
          <w:u w:val="single"/>
        </w:rPr>
        <w:t>             </w:t>
      </w:r>
    </w:p>
    <w:p w14:paraId="307A6EE9">
      <w:pPr>
        <w:pStyle w:val="14"/>
        <w:spacing w:beforeAutospacing="0" w:afterAutospacing="0" w:line="0" w:lineRule="atLeast"/>
        <w:jc w:val="center"/>
        <w:rPr>
          <w:color w:val="auto"/>
          <w:highlight w:val="none"/>
        </w:rPr>
      </w:pPr>
    </w:p>
    <w:p w14:paraId="522BF4B7">
      <w:pPr>
        <w:pStyle w:val="14"/>
        <w:spacing w:beforeAutospacing="0" w:afterAutospacing="0" w:line="0" w:lineRule="atLeast"/>
        <w:jc w:val="center"/>
        <w:rPr>
          <w:color w:val="auto"/>
          <w:highlight w:val="none"/>
        </w:rPr>
      </w:pPr>
    </w:p>
    <w:p w14:paraId="1D6C4EA9">
      <w:pPr>
        <w:pStyle w:val="14"/>
        <w:spacing w:beforeAutospacing="0" w:afterAutospacing="0" w:line="0" w:lineRule="atLeast"/>
        <w:jc w:val="center"/>
        <w:rPr>
          <w:color w:val="auto"/>
          <w:highlight w:val="none"/>
        </w:rPr>
      </w:pPr>
    </w:p>
    <w:p w14:paraId="3FCD9059">
      <w:pPr>
        <w:pStyle w:val="14"/>
        <w:spacing w:beforeAutospacing="0" w:afterAutospacing="0" w:line="0" w:lineRule="atLeast"/>
        <w:jc w:val="center"/>
        <w:rPr>
          <w:color w:val="auto"/>
          <w:highlight w:val="none"/>
        </w:rPr>
      </w:pPr>
    </w:p>
    <w:p w14:paraId="65EE8389">
      <w:pPr>
        <w:pStyle w:val="14"/>
        <w:spacing w:beforeAutospacing="0" w:afterAutospacing="0" w:line="0" w:lineRule="atLeast"/>
        <w:jc w:val="center"/>
        <w:rPr>
          <w:color w:val="auto"/>
          <w:highlight w:val="none"/>
        </w:rPr>
      </w:pPr>
    </w:p>
    <w:p w14:paraId="1F00DE46">
      <w:pPr>
        <w:pStyle w:val="14"/>
        <w:spacing w:beforeAutospacing="0" w:afterAutospacing="0" w:line="0" w:lineRule="atLeast"/>
        <w:jc w:val="center"/>
        <w:rPr>
          <w:color w:val="auto"/>
          <w:highlight w:val="none"/>
        </w:rPr>
      </w:pPr>
    </w:p>
    <w:p w14:paraId="1FFCB483">
      <w:pPr>
        <w:pStyle w:val="14"/>
        <w:spacing w:beforeAutospacing="0" w:afterAutospacing="0" w:line="0" w:lineRule="atLeast"/>
        <w:jc w:val="center"/>
        <w:rPr>
          <w:color w:val="auto"/>
          <w:highlight w:val="none"/>
        </w:rPr>
      </w:pPr>
    </w:p>
    <w:p w14:paraId="69C2000F">
      <w:pPr>
        <w:pStyle w:val="14"/>
        <w:spacing w:beforeAutospacing="0" w:afterAutospacing="0" w:line="0" w:lineRule="atLeast"/>
        <w:jc w:val="center"/>
        <w:rPr>
          <w:color w:val="auto"/>
          <w:highlight w:val="none"/>
        </w:rPr>
      </w:pPr>
    </w:p>
    <w:p w14:paraId="7E4BDA90">
      <w:pPr>
        <w:pStyle w:val="14"/>
        <w:spacing w:beforeAutospacing="0" w:afterAutospacing="0" w:line="0" w:lineRule="atLeast"/>
        <w:jc w:val="center"/>
        <w:rPr>
          <w:color w:val="auto"/>
          <w:highlight w:val="none"/>
        </w:rPr>
      </w:pPr>
    </w:p>
    <w:p w14:paraId="50411275">
      <w:pPr>
        <w:pStyle w:val="14"/>
        <w:spacing w:beforeAutospacing="0" w:afterAutospacing="0" w:line="0" w:lineRule="atLeast"/>
        <w:jc w:val="center"/>
        <w:rPr>
          <w:color w:val="auto"/>
          <w:highlight w:val="none"/>
        </w:rPr>
      </w:pPr>
    </w:p>
    <w:p w14:paraId="35984E94">
      <w:pPr>
        <w:pStyle w:val="14"/>
        <w:spacing w:beforeAutospacing="0" w:afterAutospacing="0" w:line="0" w:lineRule="atLeast"/>
        <w:jc w:val="center"/>
        <w:rPr>
          <w:color w:val="auto"/>
          <w:highlight w:val="none"/>
        </w:rPr>
      </w:pPr>
    </w:p>
    <w:p w14:paraId="0EA21101">
      <w:pPr>
        <w:pStyle w:val="14"/>
        <w:spacing w:beforeAutospacing="0" w:afterAutospacing="0" w:line="0" w:lineRule="atLeast"/>
        <w:jc w:val="center"/>
        <w:rPr>
          <w:color w:val="auto"/>
          <w:highlight w:val="none"/>
        </w:rPr>
      </w:pPr>
    </w:p>
    <w:p w14:paraId="598F55FA">
      <w:pPr>
        <w:pStyle w:val="14"/>
        <w:spacing w:beforeAutospacing="0" w:afterAutospacing="0" w:line="0" w:lineRule="atLeast"/>
        <w:jc w:val="center"/>
        <w:rPr>
          <w:color w:val="auto"/>
          <w:highlight w:val="none"/>
        </w:rPr>
      </w:pPr>
    </w:p>
    <w:p w14:paraId="5694C6B0">
      <w:pPr>
        <w:pStyle w:val="14"/>
        <w:spacing w:beforeAutospacing="0" w:afterAutospacing="0" w:line="0" w:lineRule="atLeast"/>
        <w:jc w:val="center"/>
        <w:rPr>
          <w:color w:val="auto"/>
          <w:highlight w:val="none"/>
        </w:rPr>
      </w:pPr>
    </w:p>
    <w:p w14:paraId="014757FE">
      <w:pPr>
        <w:pStyle w:val="14"/>
        <w:spacing w:beforeAutospacing="0" w:afterAutospacing="0" w:line="0" w:lineRule="atLeast"/>
        <w:jc w:val="center"/>
        <w:rPr>
          <w:color w:val="auto"/>
          <w:highlight w:val="none"/>
        </w:rPr>
      </w:pPr>
    </w:p>
    <w:p w14:paraId="557FDC97">
      <w:pPr>
        <w:pStyle w:val="14"/>
        <w:spacing w:beforeAutospacing="0" w:afterAutospacing="0" w:line="0" w:lineRule="atLeast"/>
        <w:jc w:val="center"/>
        <w:rPr>
          <w:color w:val="auto"/>
          <w:highlight w:val="none"/>
        </w:rPr>
      </w:pPr>
    </w:p>
    <w:p w14:paraId="77D2DCD6">
      <w:pPr>
        <w:pStyle w:val="14"/>
        <w:spacing w:beforeAutospacing="0" w:afterAutospacing="0" w:line="0" w:lineRule="atLeast"/>
        <w:jc w:val="center"/>
        <w:rPr>
          <w:color w:val="auto"/>
          <w:highlight w:val="none"/>
        </w:rPr>
      </w:pPr>
    </w:p>
    <w:p w14:paraId="6C7F995A">
      <w:pPr>
        <w:pStyle w:val="14"/>
        <w:spacing w:beforeAutospacing="0" w:afterAutospacing="0" w:line="0" w:lineRule="atLeast"/>
        <w:jc w:val="center"/>
        <w:rPr>
          <w:color w:val="auto"/>
          <w:highlight w:val="none"/>
        </w:rPr>
      </w:pPr>
    </w:p>
    <w:p w14:paraId="1B5D24F9">
      <w:pPr>
        <w:pStyle w:val="14"/>
        <w:spacing w:beforeAutospacing="0" w:afterAutospacing="0" w:line="0" w:lineRule="atLeast"/>
        <w:jc w:val="center"/>
        <w:rPr>
          <w:color w:val="auto"/>
          <w:highlight w:val="none"/>
        </w:rPr>
      </w:pPr>
    </w:p>
    <w:p w14:paraId="5E66756A">
      <w:pPr>
        <w:pStyle w:val="14"/>
        <w:spacing w:beforeAutospacing="0" w:afterAutospacing="0" w:line="0" w:lineRule="atLeast"/>
        <w:jc w:val="center"/>
        <w:rPr>
          <w:color w:val="auto"/>
          <w:highlight w:val="none"/>
        </w:rPr>
      </w:pPr>
    </w:p>
    <w:p w14:paraId="28E7D65B">
      <w:pPr>
        <w:pStyle w:val="14"/>
        <w:spacing w:beforeAutospacing="0" w:afterAutospacing="0" w:line="0" w:lineRule="atLeast"/>
        <w:jc w:val="center"/>
        <w:rPr>
          <w:color w:val="auto"/>
          <w:highlight w:val="none"/>
        </w:rPr>
      </w:pPr>
    </w:p>
    <w:p w14:paraId="4257AF04">
      <w:pPr>
        <w:pStyle w:val="14"/>
        <w:spacing w:beforeAutospacing="0" w:afterAutospacing="0" w:line="0" w:lineRule="atLeast"/>
        <w:jc w:val="center"/>
        <w:rPr>
          <w:color w:val="auto"/>
          <w:highlight w:val="none"/>
        </w:rPr>
      </w:pPr>
    </w:p>
    <w:p w14:paraId="00C82BB9">
      <w:pPr>
        <w:pStyle w:val="14"/>
        <w:spacing w:beforeAutospacing="0" w:afterAutospacing="0" w:line="0" w:lineRule="atLeast"/>
        <w:jc w:val="center"/>
        <w:rPr>
          <w:color w:val="auto"/>
          <w:highlight w:val="none"/>
        </w:rPr>
      </w:pPr>
    </w:p>
    <w:p w14:paraId="11655BD1">
      <w:pPr>
        <w:pStyle w:val="14"/>
        <w:spacing w:beforeAutospacing="0" w:afterAutospacing="0" w:line="0" w:lineRule="atLeast"/>
        <w:jc w:val="center"/>
        <w:rPr>
          <w:color w:val="auto"/>
          <w:highlight w:val="none"/>
        </w:rPr>
      </w:pPr>
    </w:p>
    <w:p w14:paraId="5F9B54D1">
      <w:pPr>
        <w:pStyle w:val="14"/>
        <w:spacing w:beforeAutospacing="0" w:afterAutospacing="0" w:line="0" w:lineRule="atLeast"/>
        <w:jc w:val="center"/>
        <w:rPr>
          <w:color w:val="auto"/>
          <w:highlight w:val="none"/>
        </w:rPr>
      </w:pPr>
    </w:p>
    <w:p w14:paraId="33439636">
      <w:pPr>
        <w:pStyle w:val="14"/>
        <w:spacing w:beforeAutospacing="0" w:afterAutospacing="0" w:line="0" w:lineRule="atLeast"/>
        <w:jc w:val="center"/>
        <w:rPr>
          <w:color w:val="auto"/>
          <w:highlight w:val="none"/>
        </w:rPr>
      </w:pPr>
    </w:p>
    <w:p w14:paraId="0DC7683E">
      <w:pPr>
        <w:pStyle w:val="14"/>
        <w:spacing w:beforeAutospacing="0" w:afterAutospacing="0" w:line="0" w:lineRule="atLeast"/>
        <w:jc w:val="center"/>
        <w:rPr>
          <w:color w:val="auto"/>
          <w:highlight w:val="none"/>
        </w:rPr>
      </w:pPr>
    </w:p>
    <w:p w14:paraId="2D890F00">
      <w:pPr>
        <w:pStyle w:val="14"/>
        <w:spacing w:beforeAutospacing="0" w:afterAutospacing="0" w:line="0" w:lineRule="atLeast"/>
        <w:jc w:val="center"/>
        <w:rPr>
          <w:color w:val="auto"/>
          <w:highlight w:val="none"/>
        </w:rPr>
      </w:pPr>
    </w:p>
    <w:p w14:paraId="2244E39E">
      <w:pPr>
        <w:pStyle w:val="14"/>
        <w:spacing w:beforeAutospacing="0" w:afterAutospacing="0" w:line="0" w:lineRule="atLeast"/>
        <w:jc w:val="center"/>
        <w:rPr>
          <w:color w:val="auto"/>
          <w:highlight w:val="none"/>
        </w:rPr>
      </w:pPr>
      <w:r>
        <w:rPr>
          <w:color w:val="auto"/>
          <w:highlight w:val="none"/>
        </w:rPr>
        <w:t> </w:t>
      </w:r>
    </w:p>
    <w:p w14:paraId="2AF7236C">
      <w:pPr>
        <w:pStyle w:val="14"/>
        <w:spacing w:beforeAutospacing="0" w:afterAutospacing="0" w:line="0" w:lineRule="atLeast"/>
        <w:jc w:val="both"/>
        <w:rPr>
          <w:color w:val="auto"/>
          <w:highlight w:val="none"/>
        </w:rPr>
      </w:pPr>
      <w:r>
        <w:rPr>
          <w:color w:val="auto"/>
          <w:highlight w:val="none"/>
        </w:rPr>
        <w:t> </w:t>
      </w:r>
    </w:p>
    <w:p w14:paraId="659BF965">
      <w:pPr>
        <w:pStyle w:val="14"/>
        <w:spacing w:beforeAutospacing="0" w:afterAutospacing="0" w:line="0" w:lineRule="atLeast"/>
        <w:jc w:val="center"/>
        <w:rPr>
          <w:color w:val="auto"/>
          <w:highlight w:val="none"/>
        </w:rPr>
      </w:pPr>
      <w:r>
        <w:rPr>
          <w:rFonts w:hint="eastAsia" w:ascii="宋体" w:hAnsi="宋体" w:eastAsia="宋体" w:cs="宋体"/>
          <w:b/>
          <w:color w:val="auto"/>
          <w:sz w:val="32"/>
          <w:szCs w:val="32"/>
          <w:highlight w:val="none"/>
        </w:rPr>
        <w:t>投标文件目录</w:t>
      </w:r>
    </w:p>
    <w:p w14:paraId="0D494503">
      <w:pPr>
        <w:pStyle w:val="14"/>
        <w:spacing w:beforeAutospacing="0" w:afterAutospacing="0" w:line="0" w:lineRule="atLeast"/>
        <w:jc w:val="center"/>
        <w:rPr>
          <w:color w:val="auto"/>
          <w:highlight w:val="none"/>
        </w:rPr>
      </w:pPr>
      <w:r>
        <w:rPr>
          <w:color w:val="auto"/>
          <w:highlight w:val="none"/>
        </w:rPr>
        <w:t> </w:t>
      </w:r>
    </w:p>
    <w:p w14:paraId="2DD541B5">
      <w:pPr>
        <w:pStyle w:val="14"/>
        <w:spacing w:beforeAutospacing="0" w:afterAutospacing="0"/>
        <w:ind w:left="480"/>
        <w:jc w:val="both"/>
        <w:rPr>
          <w:i w:val="0"/>
          <w:iCs/>
          <w:color w:val="auto"/>
          <w:highlight w:val="none"/>
          <w:u w:val="none"/>
        </w:rPr>
      </w:pPr>
      <w:r>
        <w:rPr>
          <w:rFonts w:hint="eastAsia" w:ascii="宋体" w:hAnsi="宋体" w:eastAsia="宋体" w:cs="宋体"/>
          <w:i w:val="0"/>
          <w:iCs/>
          <w:color w:val="auto"/>
          <w:highlight w:val="none"/>
          <w:u w:val="none"/>
        </w:rPr>
        <w:t>一、法人或者其他组织的营业执照等证明文件，自然人的身份证明</w:t>
      </w:r>
    </w:p>
    <w:p w14:paraId="47C0EAF7">
      <w:pPr>
        <w:tabs>
          <w:tab w:val="left" w:pos="1331"/>
        </w:tabs>
        <w:bidi w:val="0"/>
        <w:ind w:firstLine="480" w:firstLineChars="200"/>
        <w:jc w:val="left"/>
        <w:rPr>
          <w:rFonts w:hint="eastAsia" w:ascii="宋体" w:hAnsi="宋体" w:eastAsia="宋体" w:cs="宋体"/>
          <w:i w:val="0"/>
          <w:iCs/>
          <w:color w:val="auto"/>
          <w:kern w:val="0"/>
          <w:sz w:val="24"/>
          <w:szCs w:val="24"/>
          <w:highlight w:val="none"/>
          <w:u w:val="none"/>
          <w:lang w:val="en-US" w:eastAsia="zh-CN" w:bidi="ar-SA"/>
        </w:rPr>
      </w:pPr>
      <w:r>
        <w:rPr>
          <w:rFonts w:hint="eastAsia" w:ascii="宋体" w:hAnsi="宋体" w:eastAsia="宋体" w:cs="宋体"/>
          <w:i w:val="0"/>
          <w:iCs/>
          <w:color w:val="auto"/>
          <w:kern w:val="0"/>
          <w:sz w:val="24"/>
          <w:szCs w:val="24"/>
          <w:highlight w:val="none"/>
          <w:u w:val="none"/>
          <w:lang w:val="en-US" w:eastAsia="zh-CN" w:bidi="ar-SA"/>
        </w:rPr>
        <w:t>二、上一年度的财务状况报告（至少提供资产负债表、利润表、现金流量表，</w:t>
      </w:r>
    </w:p>
    <w:p w14:paraId="3C361A66">
      <w:pPr>
        <w:pStyle w:val="14"/>
        <w:spacing w:beforeAutospacing="0" w:afterAutospacing="0"/>
        <w:ind w:left="480"/>
        <w:jc w:val="both"/>
        <w:rPr>
          <w:i w:val="0"/>
          <w:iCs/>
          <w:color w:val="auto"/>
          <w:highlight w:val="none"/>
          <w:u w:val="none"/>
        </w:rPr>
      </w:pPr>
      <w:r>
        <w:rPr>
          <w:rFonts w:hint="eastAsia" w:ascii="宋体" w:hAnsi="宋体" w:eastAsia="宋体" w:cs="宋体"/>
          <w:i w:val="0"/>
          <w:iCs/>
          <w:color w:val="auto"/>
          <w:highlight w:val="none"/>
          <w:u w:val="none"/>
        </w:rPr>
        <w:t>投标人成立不满一年无需提供）</w:t>
      </w:r>
    </w:p>
    <w:p w14:paraId="3629C146">
      <w:pPr>
        <w:pStyle w:val="14"/>
        <w:spacing w:beforeAutospacing="0" w:afterAutospacing="0"/>
        <w:ind w:left="480"/>
        <w:jc w:val="both"/>
        <w:rPr>
          <w:rFonts w:hint="eastAsia" w:ascii="宋体" w:hAnsi="宋体" w:eastAsia="宋体" w:cs="宋体"/>
          <w:i w:val="0"/>
          <w:iCs/>
          <w:color w:val="auto"/>
          <w:highlight w:val="none"/>
          <w:u w:val="none"/>
        </w:rPr>
      </w:pPr>
      <w:r>
        <w:rPr>
          <w:rFonts w:hint="eastAsia" w:ascii="宋体" w:hAnsi="宋体" w:eastAsia="宋体" w:cs="宋体"/>
          <w:i w:val="0"/>
          <w:iCs/>
          <w:color w:val="auto"/>
          <w:highlight w:val="none"/>
          <w:u w:val="none"/>
          <w:lang w:val="en-US" w:eastAsia="zh-CN"/>
        </w:rPr>
        <w:t>三</w:t>
      </w:r>
      <w:r>
        <w:rPr>
          <w:rFonts w:hint="eastAsia" w:ascii="宋体" w:hAnsi="宋体" w:eastAsia="宋体" w:cs="宋体"/>
          <w:i w:val="0"/>
          <w:iCs/>
          <w:color w:val="auto"/>
          <w:highlight w:val="none"/>
          <w:u w:val="none"/>
        </w:rPr>
        <w:t>、具备履行合同所必需的设备和专业技术能力的书面声明</w:t>
      </w:r>
    </w:p>
    <w:p w14:paraId="45838A78">
      <w:pPr>
        <w:pStyle w:val="14"/>
        <w:spacing w:beforeAutospacing="0" w:afterAutospacing="0"/>
        <w:ind w:left="480"/>
        <w:jc w:val="both"/>
        <w:rPr>
          <w:rFonts w:hint="eastAsia" w:ascii="宋体" w:hAnsi="宋体" w:eastAsia="宋体" w:cs="宋体"/>
          <w:i w:val="0"/>
          <w:iCs/>
          <w:color w:val="auto"/>
          <w:highlight w:val="none"/>
          <w:u w:val="none"/>
        </w:rPr>
      </w:pPr>
      <w:r>
        <w:rPr>
          <w:rFonts w:hint="eastAsia" w:ascii="宋体" w:hAnsi="宋体" w:eastAsia="宋体" w:cs="宋体"/>
          <w:i w:val="0"/>
          <w:iCs/>
          <w:color w:val="auto"/>
          <w:highlight w:val="none"/>
          <w:u w:val="none"/>
          <w:lang w:val="en-US" w:eastAsia="zh-CN"/>
        </w:rPr>
        <w:t>四</w:t>
      </w:r>
      <w:r>
        <w:rPr>
          <w:rFonts w:hint="eastAsia" w:ascii="宋体" w:hAnsi="宋体" w:eastAsia="宋体" w:cs="宋体"/>
          <w:i w:val="0"/>
          <w:iCs/>
          <w:color w:val="auto"/>
          <w:highlight w:val="none"/>
          <w:u w:val="none"/>
        </w:rPr>
        <w:t>、依法缴纳税收和社会保障资金的相关材料（提供提交投标文件截止时间前一年内至少一个月依法缴纳税收及缴纳社会保障资金的证明材料。投标人依法享受缓缴、免缴税收、社会保障资金的提供证明材料。）</w:t>
      </w:r>
    </w:p>
    <w:p w14:paraId="69A7EA17">
      <w:pPr>
        <w:pStyle w:val="14"/>
        <w:spacing w:beforeAutospacing="0" w:afterAutospacing="0" w:line="0" w:lineRule="atLeast"/>
        <w:ind w:firstLine="480"/>
        <w:jc w:val="both"/>
        <w:rPr>
          <w:i w:val="0"/>
          <w:iCs/>
          <w:color w:val="auto"/>
          <w:highlight w:val="none"/>
          <w:u w:val="none"/>
        </w:rPr>
      </w:pPr>
      <w:r>
        <w:rPr>
          <w:rFonts w:hint="eastAsia" w:ascii="宋体" w:hAnsi="宋体" w:eastAsia="宋体" w:cs="宋体"/>
          <w:i w:val="0"/>
          <w:iCs/>
          <w:color w:val="auto"/>
          <w:highlight w:val="none"/>
          <w:u w:val="none"/>
        </w:rPr>
        <w:t>五、参加政府采购活动前 3 年内在经营活动中没有重大违法记录的书面声明</w:t>
      </w:r>
    </w:p>
    <w:p w14:paraId="01D8E114">
      <w:pPr>
        <w:pStyle w:val="14"/>
        <w:spacing w:beforeAutospacing="0" w:afterAutospacing="0" w:line="0" w:lineRule="atLeast"/>
        <w:ind w:firstLine="480"/>
        <w:jc w:val="both"/>
        <w:rPr>
          <w:i w:val="0"/>
          <w:iCs/>
          <w:color w:val="auto"/>
          <w:highlight w:val="none"/>
          <w:u w:val="none"/>
        </w:rPr>
      </w:pPr>
      <w:r>
        <w:rPr>
          <w:rFonts w:hint="eastAsia" w:ascii="宋体" w:hAnsi="宋体" w:eastAsia="宋体" w:cs="宋体"/>
          <w:i w:val="0"/>
          <w:iCs/>
          <w:color w:val="auto"/>
          <w:highlight w:val="none"/>
          <w:u w:val="none"/>
        </w:rPr>
        <w:t>六、特定资格要求的证明文件（如果本项目设置特定资格要求，则需要提供）</w:t>
      </w:r>
    </w:p>
    <w:p w14:paraId="57BC2220">
      <w:pPr>
        <w:pStyle w:val="14"/>
        <w:spacing w:beforeAutospacing="0" w:afterAutospacing="0" w:line="0" w:lineRule="atLeast"/>
        <w:ind w:firstLine="480"/>
        <w:jc w:val="both"/>
        <w:rPr>
          <w:i w:val="0"/>
          <w:iCs/>
          <w:color w:val="auto"/>
          <w:highlight w:val="none"/>
          <w:u w:val="none"/>
        </w:rPr>
      </w:pPr>
      <w:r>
        <w:rPr>
          <w:rFonts w:hint="eastAsia" w:ascii="宋体" w:hAnsi="宋体" w:eastAsia="宋体" w:cs="宋体"/>
          <w:i w:val="0"/>
          <w:iCs/>
          <w:color w:val="auto"/>
          <w:highlight w:val="none"/>
          <w:u w:val="none"/>
        </w:rPr>
        <w:t>七、法人授权书</w:t>
      </w:r>
    </w:p>
    <w:p w14:paraId="0FD35EF1">
      <w:pPr>
        <w:pStyle w:val="14"/>
        <w:spacing w:beforeAutospacing="0" w:afterAutospacing="0" w:line="0" w:lineRule="atLeast"/>
        <w:ind w:firstLine="480"/>
        <w:jc w:val="both"/>
        <w:rPr>
          <w:i w:val="0"/>
          <w:iCs/>
          <w:color w:val="auto"/>
          <w:highlight w:val="none"/>
          <w:u w:val="none"/>
        </w:rPr>
      </w:pPr>
      <w:r>
        <w:rPr>
          <w:rFonts w:hint="eastAsia" w:ascii="宋体" w:hAnsi="宋体" w:eastAsia="宋体" w:cs="宋体"/>
          <w:i w:val="0"/>
          <w:iCs/>
          <w:color w:val="auto"/>
          <w:highlight w:val="none"/>
          <w:u w:val="none"/>
        </w:rPr>
        <w:t>八、投标函</w:t>
      </w:r>
    </w:p>
    <w:p w14:paraId="62AB6C8F">
      <w:pPr>
        <w:pStyle w:val="14"/>
        <w:spacing w:beforeAutospacing="0" w:afterAutospacing="0" w:line="0" w:lineRule="atLeast"/>
        <w:ind w:firstLine="480"/>
        <w:jc w:val="both"/>
        <w:rPr>
          <w:i w:val="0"/>
          <w:iCs/>
          <w:color w:val="auto"/>
          <w:highlight w:val="none"/>
          <w:u w:val="none"/>
        </w:rPr>
      </w:pPr>
      <w:r>
        <w:rPr>
          <w:rFonts w:hint="eastAsia" w:ascii="宋体" w:hAnsi="宋体" w:eastAsia="宋体" w:cs="宋体"/>
          <w:i w:val="0"/>
          <w:iCs/>
          <w:color w:val="auto"/>
          <w:highlight w:val="none"/>
          <w:u w:val="none"/>
        </w:rPr>
        <w:t>九、</w:t>
      </w:r>
      <w:r>
        <w:rPr>
          <w:rFonts w:hint="eastAsia" w:ascii="宋体" w:hAnsi="宋体" w:eastAsia="宋体" w:cs="宋体"/>
          <w:i w:val="0"/>
          <w:iCs/>
          <w:color w:val="auto"/>
          <w:highlight w:val="none"/>
          <w:u w:val="none"/>
          <w:lang w:val="en-US" w:eastAsia="zh-CN"/>
        </w:rPr>
        <w:t>中小</w:t>
      </w:r>
      <w:r>
        <w:rPr>
          <w:rFonts w:hint="eastAsia" w:ascii="宋体" w:hAnsi="宋体" w:eastAsia="宋体" w:cs="宋体"/>
          <w:i w:val="0"/>
          <w:iCs/>
          <w:color w:val="auto"/>
          <w:highlight w:val="none"/>
          <w:u w:val="none"/>
        </w:rPr>
        <w:t>企业声明函</w:t>
      </w:r>
    </w:p>
    <w:p w14:paraId="60ADE039">
      <w:pPr>
        <w:pStyle w:val="14"/>
        <w:spacing w:beforeAutospacing="0" w:afterAutospacing="0" w:line="0" w:lineRule="atLeast"/>
        <w:ind w:firstLine="480"/>
        <w:jc w:val="both"/>
        <w:rPr>
          <w:i w:val="0"/>
          <w:iCs/>
          <w:color w:val="auto"/>
          <w:highlight w:val="none"/>
          <w:u w:val="none"/>
        </w:rPr>
      </w:pPr>
      <w:r>
        <w:rPr>
          <w:rFonts w:hint="eastAsia" w:ascii="宋体" w:hAnsi="宋体" w:eastAsia="宋体" w:cs="宋体"/>
          <w:i w:val="0"/>
          <w:iCs/>
          <w:color w:val="auto"/>
          <w:highlight w:val="none"/>
          <w:u w:val="none"/>
        </w:rPr>
        <w:t>十、残疾人福利性单位声明函</w:t>
      </w:r>
    </w:p>
    <w:p w14:paraId="29DB9556">
      <w:pPr>
        <w:pStyle w:val="14"/>
        <w:spacing w:beforeAutospacing="0" w:afterAutospacing="0" w:line="0" w:lineRule="atLeast"/>
        <w:ind w:firstLine="480"/>
        <w:jc w:val="both"/>
        <w:rPr>
          <w:i w:val="0"/>
          <w:iCs/>
          <w:color w:val="auto"/>
          <w:highlight w:val="none"/>
          <w:u w:val="none"/>
        </w:rPr>
      </w:pPr>
      <w:r>
        <w:rPr>
          <w:rFonts w:hint="eastAsia" w:ascii="宋体" w:hAnsi="宋体" w:eastAsia="宋体" w:cs="宋体"/>
          <w:i w:val="0"/>
          <w:iCs/>
          <w:color w:val="auto"/>
          <w:highlight w:val="none"/>
          <w:u w:val="none"/>
        </w:rPr>
        <w:t>十一、联合体协议</w:t>
      </w:r>
    </w:p>
    <w:p w14:paraId="1469F20D">
      <w:pPr>
        <w:pStyle w:val="14"/>
        <w:spacing w:beforeAutospacing="0" w:afterAutospacing="0" w:line="0" w:lineRule="atLeast"/>
        <w:ind w:firstLine="480"/>
        <w:jc w:val="both"/>
        <w:rPr>
          <w:i w:val="0"/>
          <w:iCs/>
          <w:color w:val="auto"/>
          <w:highlight w:val="none"/>
          <w:u w:val="none"/>
        </w:rPr>
      </w:pPr>
      <w:r>
        <w:rPr>
          <w:rFonts w:hint="eastAsia" w:ascii="宋体" w:hAnsi="宋体" w:eastAsia="宋体" w:cs="宋体"/>
          <w:i w:val="0"/>
          <w:iCs/>
          <w:color w:val="auto"/>
          <w:highlight w:val="none"/>
          <w:u w:val="none"/>
        </w:rPr>
        <w:t>十二、投标分项报价表</w:t>
      </w:r>
    </w:p>
    <w:p w14:paraId="76B6F922">
      <w:pPr>
        <w:pStyle w:val="14"/>
        <w:spacing w:beforeAutospacing="0" w:afterAutospacing="0" w:line="0" w:lineRule="atLeast"/>
        <w:ind w:firstLine="480"/>
        <w:jc w:val="both"/>
        <w:rPr>
          <w:i w:val="0"/>
          <w:iCs/>
          <w:color w:val="auto"/>
          <w:highlight w:val="none"/>
          <w:u w:val="none"/>
        </w:rPr>
      </w:pPr>
      <w:r>
        <w:rPr>
          <w:rFonts w:hint="eastAsia" w:ascii="宋体" w:hAnsi="宋体" w:eastAsia="宋体" w:cs="宋体"/>
          <w:i w:val="0"/>
          <w:iCs/>
          <w:color w:val="auto"/>
          <w:highlight w:val="none"/>
          <w:u w:val="none"/>
        </w:rPr>
        <w:t>十三、技术要求响应及偏离表</w:t>
      </w:r>
    </w:p>
    <w:p w14:paraId="7FA5AC6A">
      <w:pPr>
        <w:pStyle w:val="14"/>
        <w:spacing w:beforeAutospacing="0" w:afterAutospacing="0" w:line="0" w:lineRule="atLeast"/>
        <w:ind w:firstLine="480"/>
        <w:jc w:val="both"/>
        <w:rPr>
          <w:i w:val="0"/>
          <w:iCs/>
          <w:color w:val="auto"/>
          <w:highlight w:val="none"/>
          <w:u w:val="none"/>
        </w:rPr>
      </w:pPr>
      <w:r>
        <w:rPr>
          <w:rFonts w:hint="eastAsia" w:ascii="宋体" w:hAnsi="宋体" w:eastAsia="宋体" w:cs="宋体"/>
          <w:i w:val="0"/>
          <w:iCs/>
          <w:color w:val="auto"/>
          <w:highlight w:val="none"/>
          <w:u w:val="none"/>
        </w:rPr>
        <w:t>十四、商务要求响应及偏离表</w:t>
      </w:r>
    </w:p>
    <w:p w14:paraId="099B3743">
      <w:pPr>
        <w:pStyle w:val="14"/>
        <w:spacing w:beforeAutospacing="0" w:afterAutospacing="0" w:line="0" w:lineRule="atLeast"/>
        <w:ind w:firstLine="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十五、开标一览表</w:t>
      </w:r>
    </w:p>
    <w:p w14:paraId="1988DFAF">
      <w:pPr>
        <w:widowControl/>
        <w:spacing w:before="50" w:after="50"/>
        <w:ind w:firstLine="480" w:firstLineChars="200"/>
        <w:rPr>
          <w:rFonts w:hint="default" w:ascii="宋体" w:hAnsi="宋体" w:eastAsia="宋体" w:cs="宋体"/>
          <w:i w:val="0"/>
          <w:iCs/>
          <w:color w:val="auto"/>
          <w:kern w:val="0"/>
          <w:sz w:val="24"/>
          <w:highlight w:val="none"/>
          <w:u w:val="none"/>
          <w:lang w:val="en-US" w:eastAsia="zh-CN"/>
        </w:rPr>
      </w:pPr>
      <w:r>
        <w:rPr>
          <w:rFonts w:hint="eastAsia" w:ascii="宋体" w:hAnsi="宋体" w:eastAsia="宋体" w:cs="宋体"/>
          <w:i w:val="0"/>
          <w:iCs/>
          <w:color w:val="auto"/>
          <w:kern w:val="0"/>
          <w:sz w:val="24"/>
          <w:highlight w:val="none"/>
          <w:u w:val="none"/>
        </w:rPr>
        <w:t>十六、技术方案、服务承诺、培训承诺等</w:t>
      </w:r>
      <w:r>
        <w:rPr>
          <w:rFonts w:hint="eastAsia" w:ascii="宋体" w:hAnsi="宋体" w:eastAsia="宋体" w:cs="宋体"/>
          <w:i w:val="0"/>
          <w:iCs/>
          <w:color w:val="auto"/>
          <w:kern w:val="0"/>
          <w:sz w:val="24"/>
          <w:highlight w:val="none"/>
          <w:u w:val="none"/>
          <w:lang w:eastAsia="zh-CN"/>
        </w:rPr>
        <w:t>（</w:t>
      </w:r>
      <w:r>
        <w:rPr>
          <w:rFonts w:hint="eastAsia" w:ascii="宋体" w:hAnsi="宋体" w:eastAsia="宋体" w:cs="宋体"/>
          <w:i w:val="0"/>
          <w:iCs/>
          <w:color w:val="auto"/>
          <w:kern w:val="0"/>
          <w:sz w:val="24"/>
          <w:highlight w:val="none"/>
          <w:u w:val="none"/>
          <w:lang w:val="en-US" w:eastAsia="zh-CN"/>
        </w:rPr>
        <w:t>如有）</w:t>
      </w:r>
    </w:p>
    <w:p w14:paraId="3F7B4795">
      <w:pPr>
        <w:pStyle w:val="14"/>
        <w:spacing w:beforeAutospacing="0" w:afterAutospacing="0" w:line="360" w:lineRule="auto"/>
        <w:ind w:firstLine="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十七、盐城市政府采购事前信用承诺书</w:t>
      </w:r>
    </w:p>
    <w:p w14:paraId="626E3581">
      <w:pPr>
        <w:pStyle w:val="14"/>
        <w:spacing w:beforeAutospacing="0" w:afterAutospacing="0" w:line="0" w:lineRule="atLeast"/>
        <w:ind w:firstLine="480"/>
        <w:jc w:val="both"/>
        <w:rPr>
          <w:color w:val="auto"/>
          <w:highlight w:val="none"/>
        </w:rPr>
      </w:pPr>
      <w:r>
        <w:rPr>
          <w:color w:val="auto"/>
          <w:highlight w:val="none"/>
        </w:rPr>
        <w:t> </w:t>
      </w:r>
    </w:p>
    <w:p w14:paraId="664E19FE">
      <w:pPr>
        <w:pStyle w:val="14"/>
        <w:spacing w:beforeAutospacing="0" w:afterAutospacing="0" w:line="0" w:lineRule="atLeast"/>
        <w:ind w:firstLine="480"/>
        <w:jc w:val="both"/>
        <w:rPr>
          <w:color w:val="auto"/>
          <w:highlight w:val="none"/>
        </w:rPr>
      </w:pPr>
      <w:r>
        <w:rPr>
          <w:color w:val="auto"/>
          <w:highlight w:val="none"/>
        </w:rPr>
        <w:t> </w:t>
      </w:r>
    </w:p>
    <w:p w14:paraId="347B9BE8">
      <w:pPr>
        <w:pStyle w:val="14"/>
        <w:spacing w:beforeAutospacing="0" w:afterAutospacing="0" w:line="0" w:lineRule="atLeast"/>
        <w:ind w:firstLine="480"/>
        <w:jc w:val="both"/>
        <w:rPr>
          <w:color w:val="auto"/>
          <w:highlight w:val="none"/>
        </w:rPr>
      </w:pPr>
      <w:r>
        <w:rPr>
          <w:color w:val="auto"/>
          <w:highlight w:val="none"/>
        </w:rPr>
        <w:t> </w:t>
      </w:r>
    </w:p>
    <w:p w14:paraId="0DAE4FA9">
      <w:pPr>
        <w:pStyle w:val="14"/>
        <w:spacing w:beforeAutospacing="0" w:afterAutospacing="0" w:line="0" w:lineRule="atLeast"/>
        <w:ind w:firstLine="480"/>
        <w:jc w:val="both"/>
        <w:rPr>
          <w:color w:val="auto"/>
          <w:highlight w:val="none"/>
        </w:rPr>
      </w:pPr>
      <w:r>
        <w:rPr>
          <w:color w:val="auto"/>
          <w:highlight w:val="none"/>
        </w:rPr>
        <w:t> </w:t>
      </w:r>
    </w:p>
    <w:p w14:paraId="6683C043">
      <w:pPr>
        <w:pStyle w:val="14"/>
        <w:spacing w:beforeAutospacing="0" w:afterAutospacing="0" w:line="0" w:lineRule="atLeast"/>
        <w:ind w:firstLine="480"/>
        <w:jc w:val="both"/>
        <w:rPr>
          <w:color w:val="auto"/>
          <w:highlight w:val="none"/>
        </w:rPr>
      </w:pPr>
      <w:r>
        <w:rPr>
          <w:color w:val="auto"/>
          <w:highlight w:val="none"/>
        </w:rPr>
        <w:t> </w:t>
      </w:r>
    </w:p>
    <w:p w14:paraId="3D740BC1">
      <w:pPr>
        <w:pStyle w:val="14"/>
        <w:spacing w:beforeAutospacing="0" w:afterAutospacing="0" w:line="0" w:lineRule="atLeast"/>
        <w:ind w:firstLine="480"/>
        <w:jc w:val="both"/>
        <w:rPr>
          <w:color w:val="auto"/>
          <w:highlight w:val="none"/>
        </w:rPr>
      </w:pPr>
      <w:r>
        <w:rPr>
          <w:color w:val="auto"/>
          <w:highlight w:val="none"/>
        </w:rPr>
        <w:t> </w:t>
      </w:r>
    </w:p>
    <w:p w14:paraId="783B6C87">
      <w:pPr>
        <w:pStyle w:val="14"/>
        <w:spacing w:beforeAutospacing="0" w:afterAutospacing="0" w:line="0" w:lineRule="atLeast"/>
        <w:ind w:firstLine="480"/>
        <w:jc w:val="both"/>
        <w:rPr>
          <w:color w:val="auto"/>
          <w:highlight w:val="none"/>
        </w:rPr>
      </w:pPr>
      <w:r>
        <w:rPr>
          <w:color w:val="auto"/>
          <w:highlight w:val="none"/>
        </w:rPr>
        <w:t> </w:t>
      </w:r>
    </w:p>
    <w:p w14:paraId="2D5F1C1C">
      <w:pPr>
        <w:pStyle w:val="14"/>
        <w:spacing w:beforeAutospacing="0" w:afterAutospacing="0" w:line="0" w:lineRule="atLeast"/>
        <w:ind w:firstLine="480"/>
        <w:jc w:val="both"/>
        <w:rPr>
          <w:color w:val="auto"/>
          <w:highlight w:val="none"/>
        </w:rPr>
      </w:pPr>
      <w:r>
        <w:rPr>
          <w:color w:val="auto"/>
          <w:highlight w:val="none"/>
        </w:rPr>
        <w:t> </w:t>
      </w:r>
    </w:p>
    <w:p w14:paraId="2301786D">
      <w:pPr>
        <w:pStyle w:val="14"/>
        <w:spacing w:beforeAutospacing="0" w:afterAutospacing="0" w:line="0" w:lineRule="atLeast"/>
        <w:ind w:firstLine="480"/>
        <w:jc w:val="both"/>
        <w:rPr>
          <w:color w:val="auto"/>
          <w:highlight w:val="none"/>
        </w:rPr>
      </w:pPr>
    </w:p>
    <w:p w14:paraId="6C2389A3">
      <w:pPr>
        <w:pStyle w:val="14"/>
        <w:spacing w:beforeAutospacing="0" w:afterAutospacing="0" w:line="0" w:lineRule="atLeast"/>
        <w:ind w:firstLine="480"/>
        <w:jc w:val="both"/>
        <w:rPr>
          <w:color w:val="auto"/>
          <w:highlight w:val="none"/>
        </w:rPr>
      </w:pPr>
    </w:p>
    <w:p w14:paraId="51F7F7AF">
      <w:pPr>
        <w:pStyle w:val="14"/>
        <w:spacing w:beforeAutospacing="0" w:afterAutospacing="0" w:line="0" w:lineRule="atLeast"/>
        <w:ind w:firstLine="480"/>
        <w:jc w:val="both"/>
        <w:rPr>
          <w:color w:val="auto"/>
          <w:highlight w:val="none"/>
        </w:rPr>
      </w:pPr>
    </w:p>
    <w:p w14:paraId="03935D06">
      <w:pPr>
        <w:pStyle w:val="14"/>
        <w:spacing w:beforeAutospacing="0" w:afterAutospacing="0" w:line="0" w:lineRule="atLeast"/>
        <w:ind w:firstLine="480"/>
        <w:jc w:val="both"/>
        <w:rPr>
          <w:color w:val="auto"/>
          <w:highlight w:val="none"/>
        </w:rPr>
      </w:pPr>
    </w:p>
    <w:p w14:paraId="6F5377E5">
      <w:pPr>
        <w:pStyle w:val="14"/>
        <w:spacing w:beforeAutospacing="0" w:afterAutospacing="0" w:line="0" w:lineRule="atLeast"/>
        <w:ind w:firstLine="480"/>
        <w:jc w:val="both"/>
        <w:rPr>
          <w:color w:val="auto"/>
          <w:highlight w:val="none"/>
        </w:rPr>
      </w:pPr>
    </w:p>
    <w:p w14:paraId="012B16A8">
      <w:pPr>
        <w:pStyle w:val="14"/>
        <w:spacing w:beforeAutospacing="0" w:afterAutospacing="0" w:line="0" w:lineRule="atLeast"/>
        <w:ind w:firstLine="480"/>
        <w:jc w:val="both"/>
        <w:rPr>
          <w:color w:val="auto"/>
          <w:highlight w:val="none"/>
        </w:rPr>
      </w:pPr>
    </w:p>
    <w:p w14:paraId="7EE57A3A">
      <w:pPr>
        <w:pStyle w:val="14"/>
        <w:spacing w:beforeAutospacing="0" w:afterAutospacing="0" w:line="0" w:lineRule="atLeast"/>
        <w:ind w:firstLine="480"/>
        <w:jc w:val="both"/>
        <w:rPr>
          <w:color w:val="auto"/>
          <w:highlight w:val="none"/>
        </w:rPr>
      </w:pPr>
    </w:p>
    <w:p w14:paraId="650D4A98">
      <w:pPr>
        <w:pStyle w:val="14"/>
        <w:spacing w:beforeAutospacing="0" w:afterAutospacing="0" w:line="0" w:lineRule="atLeast"/>
        <w:ind w:firstLine="480"/>
        <w:jc w:val="both"/>
        <w:rPr>
          <w:color w:val="auto"/>
          <w:highlight w:val="none"/>
        </w:rPr>
      </w:pPr>
    </w:p>
    <w:p w14:paraId="236066DE">
      <w:pPr>
        <w:pStyle w:val="14"/>
        <w:spacing w:beforeAutospacing="0" w:afterAutospacing="0" w:line="0" w:lineRule="atLeast"/>
        <w:ind w:firstLine="480"/>
        <w:jc w:val="both"/>
        <w:rPr>
          <w:color w:val="auto"/>
          <w:highlight w:val="none"/>
        </w:rPr>
      </w:pPr>
    </w:p>
    <w:p w14:paraId="0656202B">
      <w:pPr>
        <w:pStyle w:val="14"/>
        <w:spacing w:beforeAutospacing="0" w:afterAutospacing="0" w:line="0" w:lineRule="atLeast"/>
        <w:ind w:firstLine="480"/>
        <w:jc w:val="both"/>
        <w:rPr>
          <w:color w:val="auto"/>
          <w:highlight w:val="none"/>
        </w:rPr>
      </w:pPr>
    </w:p>
    <w:p w14:paraId="6EFAD569">
      <w:pPr>
        <w:pStyle w:val="14"/>
        <w:spacing w:beforeAutospacing="0" w:afterAutospacing="0" w:line="0" w:lineRule="atLeast"/>
        <w:ind w:firstLine="480"/>
        <w:jc w:val="both"/>
        <w:rPr>
          <w:color w:val="auto"/>
          <w:highlight w:val="none"/>
        </w:rPr>
      </w:pPr>
    </w:p>
    <w:p w14:paraId="51E7A4BC">
      <w:pPr>
        <w:pStyle w:val="14"/>
        <w:spacing w:beforeAutospacing="0" w:afterAutospacing="0" w:line="0" w:lineRule="atLeast"/>
        <w:ind w:firstLine="480"/>
        <w:jc w:val="both"/>
        <w:rPr>
          <w:color w:val="auto"/>
          <w:highlight w:val="none"/>
        </w:rPr>
      </w:pPr>
    </w:p>
    <w:p w14:paraId="4F21745B">
      <w:pPr>
        <w:pStyle w:val="14"/>
        <w:spacing w:beforeAutospacing="0" w:afterAutospacing="0" w:line="0" w:lineRule="atLeast"/>
        <w:ind w:firstLine="480"/>
        <w:jc w:val="both"/>
        <w:rPr>
          <w:color w:val="auto"/>
          <w:highlight w:val="none"/>
        </w:rPr>
      </w:pPr>
    </w:p>
    <w:p w14:paraId="044306C3">
      <w:pPr>
        <w:pStyle w:val="14"/>
        <w:spacing w:beforeAutospacing="0" w:afterAutospacing="0" w:line="0" w:lineRule="atLeast"/>
        <w:ind w:firstLine="480"/>
        <w:jc w:val="both"/>
        <w:rPr>
          <w:color w:val="auto"/>
          <w:highlight w:val="none"/>
        </w:rPr>
      </w:pPr>
      <w:r>
        <w:rPr>
          <w:color w:val="auto"/>
          <w:highlight w:val="none"/>
        </w:rPr>
        <w:t> </w:t>
      </w:r>
    </w:p>
    <w:p w14:paraId="374F5D55">
      <w:pPr>
        <w:pStyle w:val="14"/>
        <w:spacing w:beforeAutospacing="0" w:afterAutospacing="0"/>
        <w:jc w:val="both"/>
        <w:outlineLvl w:val="0"/>
        <w:rPr>
          <w:color w:val="auto"/>
          <w:highlight w:val="none"/>
        </w:rPr>
      </w:pPr>
      <w:bookmarkStart w:id="387" w:name="_Toc22350"/>
      <w:r>
        <w:rPr>
          <w:rFonts w:hint="eastAsia" w:ascii="黑体" w:hAnsi="宋体" w:eastAsia="黑体" w:cs="黑体"/>
          <w:i/>
          <w:color w:val="auto"/>
          <w:sz w:val="32"/>
          <w:szCs w:val="32"/>
          <w:highlight w:val="none"/>
          <w:u w:val="single"/>
        </w:rPr>
        <w:t>一、法人或者其他组织的营业执照等证明文件，自然人的身份证明</w:t>
      </w:r>
      <w:bookmarkEnd w:id="387"/>
    </w:p>
    <w:p w14:paraId="71FFF976">
      <w:pPr>
        <w:pStyle w:val="14"/>
        <w:spacing w:beforeAutospacing="0" w:afterAutospacing="0" w:line="0" w:lineRule="atLeast"/>
        <w:ind w:firstLine="480"/>
        <w:jc w:val="both"/>
        <w:rPr>
          <w:color w:val="auto"/>
          <w:highlight w:val="none"/>
        </w:rPr>
      </w:pPr>
      <w:r>
        <w:rPr>
          <w:color w:val="auto"/>
          <w:highlight w:val="none"/>
        </w:rPr>
        <w:t> </w:t>
      </w:r>
    </w:p>
    <w:p w14:paraId="61468E47">
      <w:pPr>
        <w:pStyle w:val="14"/>
        <w:spacing w:beforeAutospacing="0" w:afterAutospacing="0"/>
        <w:jc w:val="both"/>
        <w:outlineLvl w:val="0"/>
        <w:rPr>
          <w:rFonts w:hint="eastAsia" w:eastAsia="黑体"/>
          <w:color w:val="auto"/>
          <w:highlight w:val="none"/>
          <w:lang w:val="en-US" w:eastAsia="zh-CN"/>
        </w:rPr>
      </w:pPr>
      <w:bookmarkStart w:id="388" w:name="_Toc31143"/>
      <w:r>
        <w:rPr>
          <w:rFonts w:hint="eastAsia" w:ascii="黑体" w:hAnsi="宋体" w:eastAsia="黑体" w:cs="黑体"/>
          <w:i/>
          <w:color w:val="auto"/>
          <w:sz w:val="32"/>
          <w:szCs w:val="32"/>
          <w:highlight w:val="none"/>
          <w:u w:val="single"/>
        </w:rPr>
        <w:t>二、上一年度的财务状况报</w:t>
      </w:r>
      <w:r>
        <w:rPr>
          <w:rFonts w:hint="eastAsia" w:ascii="黑体" w:hAnsi="宋体" w:eastAsia="黑体" w:cs="黑体"/>
          <w:i/>
          <w:color w:val="auto"/>
          <w:sz w:val="32"/>
          <w:szCs w:val="32"/>
          <w:highlight w:val="none"/>
          <w:u w:val="single"/>
          <w:lang w:val="en-US" w:eastAsia="zh-CN"/>
        </w:rPr>
        <w:t>告</w:t>
      </w:r>
      <w:bookmarkEnd w:id="388"/>
    </w:p>
    <w:p w14:paraId="2AB5FC7F">
      <w:pPr>
        <w:tabs>
          <w:tab w:val="left" w:pos="1331"/>
        </w:tabs>
        <w:bidi w:val="0"/>
        <w:ind w:firstLine="480" w:firstLineChars="200"/>
        <w:jc w:val="left"/>
        <w:rPr>
          <w:i w:val="0"/>
          <w:iCs/>
          <w:color w:val="auto"/>
          <w:highlight w:val="none"/>
          <w:u w:val="none"/>
        </w:rPr>
      </w:pPr>
      <w:r>
        <w:rPr>
          <w:rFonts w:hint="eastAsia" w:ascii="宋体" w:hAnsi="宋体" w:eastAsia="宋体" w:cs="宋体"/>
          <w:i w:val="0"/>
          <w:iCs/>
          <w:color w:val="auto"/>
          <w:kern w:val="0"/>
          <w:sz w:val="24"/>
          <w:szCs w:val="24"/>
          <w:highlight w:val="none"/>
          <w:u w:val="none"/>
          <w:lang w:val="en-US" w:eastAsia="zh-CN" w:bidi="ar-SA"/>
        </w:rPr>
        <w:t>（至少提供资产负债表、利润表、现金流量表，投标人成立不满一年无需提供）</w:t>
      </w:r>
    </w:p>
    <w:p w14:paraId="13CE4AFE">
      <w:pPr>
        <w:pStyle w:val="14"/>
        <w:spacing w:beforeAutospacing="0" w:afterAutospacing="0"/>
        <w:jc w:val="both"/>
        <w:rPr>
          <w:color w:val="auto"/>
          <w:highlight w:val="none"/>
        </w:rPr>
      </w:pPr>
      <w:r>
        <w:rPr>
          <w:color w:val="auto"/>
          <w:highlight w:val="none"/>
        </w:rPr>
        <w:t> </w:t>
      </w:r>
    </w:p>
    <w:p w14:paraId="3B215A68">
      <w:pPr>
        <w:pStyle w:val="14"/>
        <w:spacing w:beforeAutospacing="0" w:afterAutospacing="0"/>
        <w:jc w:val="both"/>
        <w:outlineLvl w:val="0"/>
        <w:rPr>
          <w:color w:val="auto"/>
          <w:highlight w:val="none"/>
        </w:rPr>
      </w:pPr>
      <w:bookmarkStart w:id="389" w:name="_Toc28128"/>
      <w:r>
        <w:rPr>
          <w:rFonts w:hint="eastAsia" w:ascii="黑体" w:hAnsi="宋体" w:eastAsia="黑体" w:cs="黑体"/>
          <w:i/>
          <w:color w:val="auto"/>
          <w:sz w:val="32"/>
          <w:szCs w:val="32"/>
          <w:highlight w:val="none"/>
          <w:u w:val="single"/>
          <w:lang w:val="en-US" w:eastAsia="zh-CN"/>
        </w:rPr>
        <w:t>三</w:t>
      </w:r>
      <w:r>
        <w:rPr>
          <w:rFonts w:hint="eastAsia" w:ascii="黑体" w:hAnsi="宋体" w:eastAsia="黑体" w:cs="黑体"/>
          <w:i/>
          <w:color w:val="auto"/>
          <w:sz w:val="32"/>
          <w:szCs w:val="32"/>
          <w:highlight w:val="none"/>
          <w:u w:val="single"/>
        </w:rPr>
        <w:t>、具备履行合同所必需的设备和专业技术能力的书面声明</w:t>
      </w:r>
      <w:bookmarkEnd w:id="389"/>
    </w:p>
    <w:p w14:paraId="4A3F2575">
      <w:pPr>
        <w:pStyle w:val="14"/>
        <w:spacing w:beforeAutospacing="0" w:afterAutospacing="0" w:line="0" w:lineRule="atLeast"/>
        <w:ind w:firstLine="492"/>
        <w:jc w:val="both"/>
        <w:rPr>
          <w:color w:val="auto"/>
          <w:highlight w:val="none"/>
        </w:rPr>
      </w:pPr>
      <w:r>
        <w:rPr>
          <w:rFonts w:hint="eastAsia" w:ascii="宋体" w:hAnsi="宋体" w:eastAsia="宋体" w:cs="宋体"/>
          <w:color w:val="auto"/>
          <w:highlight w:val="none"/>
        </w:rPr>
        <w:t>我单位郑重声明：我单位具备履行本项采购合同所必需的设备和专业技术能力，为履行本项采购合同我公司具备如下主要设备和主要专业技术能力：</w:t>
      </w:r>
    </w:p>
    <w:p w14:paraId="7158CE18">
      <w:pPr>
        <w:pStyle w:val="14"/>
        <w:spacing w:beforeAutospacing="0" w:afterAutospacing="0" w:line="0" w:lineRule="atLeast"/>
        <w:ind w:firstLine="492"/>
        <w:jc w:val="both"/>
        <w:rPr>
          <w:color w:val="auto"/>
          <w:highlight w:val="none"/>
        </w:rPr>
      </w:pPr>
      <w:r>
        <w:rPr>
          <w:rFonts w:hint="eastAsia" w:ascii="宋体" w:hAnsi="宋体" w:eastAsia="宋体" w:cs="宋体"/>
          <w:color w:val="auto"/>
          <w:highlight w:val="none"/>
        </w:rPr>
        <w:t>主要设备有：</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C40D482">
      <w:pPr>
        <w:pStyle w:val="14"/>
        <w:spacing w:beforeAutospacing="0" w:afterAutospacing="0"/>
        <w:jc w:val="both"/>
        <w:rPr>
          <w:rFonts w:hint="eastAsia" w:ascii="宋体" w:hAnsi="宋体" w:eastAsia="宋体" w:cs="宋体"/>
          <w:color w:val="auto"/>
          <w:highlight w:val="none"/>
        </w:rPr>
      </w:pPr>
      <w:r>
        <w:rPr>
          <w:rFonts w:hint="eastAsia" w:ascii="宋体" w:hAnsi="宋体" w:eastAsia="宋体" w:cs="宋体"/>
          <w:color w:val="auto"/>
          <w:highlight w:val="none"/>
        </w:rPr>
        <w:t>主要专业技术能力有：</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0225B15">
      <w:pPr>
        <w:pStyle w:val="14"/>
        <w:spacing w:beforeAutospacing="0" w:afterAutospacing="0"/>
        <w:jc w:val="both"/>
        <w:outlineLvl w:val="0"/>
        <w:rPr>
          <w:color w:val="auto"/>
          <w:highlight w:val="none"/>
        </w:rPr>
      </w:pPr>
      <w:bookmarkStart w:id="390" w:name="_Toc32670"/>
      <w:r>
        <w:rPr>
          <w:rFonts w:hint="eastAsia" w:ascii="黑体" w:hAnsi="宋体" w:eastAsia="黑体" w:cs="黑体"/>
          <w:i/>
          <w:color w:val="auto"/>
          <w:sz w:val="32"/>
          <w:szCs w:val="32"/>
          <w:highlight w:val="none"/>
          <w:u w:val="single"/>
          <w:lang w:val="en-US" w:eastAsia="zh-CN"/>
        </w:rPr>
        <w:t>四</w:t>
      </w:r>
      <w:r>
        <w:rPr>
          <w:rFonts w:hint="eastAsia" w:ascii="黑体" w:hAnsi="宋体" w:eastAsia="黑体" w:cs="黑体"/>
          <w:i/>
          <w:color w:val="auto"/>
          <w:sz w:val="32"/>
          <w:szCs w:val="32"/>
          <w:highlight w:val="none"/>
          <w:u w:val="single"/>
        </w:rPr>
        <w:t>、依法缴纳税收和社会保障资金的相关材料</w:t>
      </w:r>
      <w:bookmarkEnd w:id="390"/>
    </w:p>
    <w:p w14:paraId="6636CD36">
      <w:pPr>
        <w:pStyle w:val="14"/>
        <w:spacing w:beforeAutospacing="0" w:afterAutospacing="0"/>
        <w:ind w:firstLine="480"/>
        <w:jc w:val="both"/>
        <w:rPr>
          <w:color w:val="auto"/>
          <w:highlight w:val="none"/>
        </w:rPr>
      </w:pPr>
      <w:r>
        <w:rPr>
          <w:rFonts w:hint="eastAsia" w:ascii="宋体" w:hAnsi="宋体" w:eastAsia="宋体" w:cs="宋体"/>
          <w:color w:val="auto"/>
          <w:highlight w:val="none"/>
        </w:rPr>
        <w:t>提供提交投标文件截止时间前一年内至少一个月依法缴纳税收及缴纳社会保障资金的证明材料。投标人依法享受缓缴、免缴税收、社会保障资金的提供证明材料。</w:t>
      </w:r>
    </w:p>
    <w:p w14:paraId="3CC8D874">
      <w:pPr>
        <w:pStyle w:val="14"/>
        <w:spacing w:beforeAutospacing="0" w:afterAutospacing="0"/>
        <w:jc w:val="both"/>
        <w:rPr>
          <w:color w:val="auto"/>
          <w:highlight w:val="none"/>
        </w:rPr>
      </w:pPr>
      <w:r>
        <w:rPr>
          <w:color w:val="auto"/>
          <w:highlight w:val="none"/>
        </w:rPr>
        <w:t> </w:t>
      </w:r>
    </w:p>
    <w:p w14:paraId="7F3368D2">
      <w:pPr>
        <w:pStyle w:val="14"/>
        <w:spacing w:beforeAutospacing="0" w:afterAutospacing="0"/>
        <w:jc w:val="both"/>
        <w:outlineLvl w:val="0"/>
        <w:rPr>
          <w:color w:val="auto"/>
          <w:highlight w:val="none"/>
        </w:rPr>
      </w:pPr>
      <w:bookmarkStart w:id="391" w:name="_Toc16024"/>
      <w:r>
        <w:rPr>
          <w:rFonts w:hint="eastAsia" w:ascii="黑体" w:hAnsi="宋体" w:eastAsia="黑体" w:cs="黑体"/>
          <w:i/>
          <w:color w:val="auto"/>
          <w:sz w:val="32"/>
          <w:szCs w:val="32"/>
          <w:highlight w:val="none"/>
          <w:u w:val="single"/>
        </w:rPr>
        <w:t>五、参加政府采购活动前 3 年内在经营活动中没有重大违法记录的书面声明</w:t>
      </w:r>
      <w:bookmarkEnd w:id="391"/>
    </w:p>
    <w:p w14:paraId="7448B83F">
      <w:pPr>
        <w:pStyle w:val="14"/>
        <w:spacing w:beforeAutospacing="0" w:afterAutospacing="0" w:line="0" w:lineRule="atLeast"/>
        <w:jc w:val="both"/>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                </w:t>
      </w:r>
    </w:p>
    <w:p w14:paraId="67A6C76F">
      <w:pPr>
        <w:pStyle w:val="14"/>
        <w:spacing w:beforeAutospacing="0" w:afterAutospacing="0" w:line="0" w:lineRule="atLeast"/>
        <w:ind w:firstLine="3092" w:firstLineChars="700"/>
        <w:jc w:val="both"/>
        <w:rPr>
          <w:color w:val="auto"/>
          <w:highlight w:val="none"/>
        </w:rPr>
      </w:pPr>
      <w:r>
        <w:rPr>
          <w:rFonts w:hint="eastAsia" w:ascii="宋体" w:hAnsi="宋体" w:eastAsia="宋体" w:cs="宋体"/>
          <w:b/>
          <w:color w:val="auto"/>
          <w:sz w:val="44"/>
          <w:szCs w:val="44"/>
          <w:highlight w:val="none"/>
        </w:rPr>
        <w:t xml:space="preserve"> 声  明</w:t>
      </w:r>
    </w:p>
    <w:p w14:paraId="45A26DB1">
      <w:pPr>
        <w:pStyle w:val="14"/>
        <w:spacing w:beforeAutospacing="0" w:afterAutospacing="0" w:line="0" w:lineRule="atLeast"/>
        <w:jc w:val="both"/>
        <w:rPr>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我单位郑重声明：参加本次政府采购活动前 3 年内，我单位在经营活动中没有因违法经营受到刑事处罚或者责令停产停业、吊销许可证或者执照、较大数额罚款等行政处罚。</w:t>
      </w:r>
    </w:p>
    <w:p w14:paraId="0174D61F">
      <w:pPr>
        <w:pStyle w:val="14"/>
        <w:spacing w:beforeAutospacing="0" w:afterAutospacing="0"/>
        <w:jc w:val="both"/>
        <w:rPr>
          <w:color w:val="auto"/>
          <w:highlight w:val="none"/>
        </w:rPr>
      </w:pPr>
      <w:r>
        <w:rPr>
          <w:color w:val="auto"/>
          <w:highlight w:val="none"/>
        </w:rPr>
        <w:t> </w:t>
      </w:r>
    </w:p>
    <w:p w14:paraId="02A985DB">
      <w:pPr>
        <w:pStyle w:val="14"/>
        <w:spacing w:beforeAutospacing="0" w:afterAutospacing="0"/>
        <w:jc w:val="both"/>
        <w:outlineLvl w:val="0"/>
        <w:rPr>
          <w:color w:val="auto"/>
          <w:highlight w:val="none"/>
        </w:rPr>
      </w:pPr>
      <w:bookmarkStart w:id="392" w:name="_Toc9916"/>
      <w:r>
        <w:rPr>
          <w:rFonts w:hint="eastAsia" w:ascii="黑体" w:hAnsi="宋体" w:eastAsia="黑体" w:cs="黑体"/>
          <w:i/>
          <w:color w:val="auto"/>
          <w:sz w:val="32"/>
          <w:szCs w:val="32"/>
          <w:highlight w:val="none"/>
          <w:u w:val="single"/>
        </w:rPr>
        <w:t>六、特定资格要求的证明文件</w:t>
      </w:r>
      <w:bookmarkEnd w:id="392"/>
    </w:p>
    <w:p w14:paraId="64A7199A">
      <w:pPr>
        <w:pStyle w:val="14"/>
        <w:spacing w:beforeAutospacing="0" w:afterAutospacing="0" w:line="0" w:lineRule="atLeast"/>
        <w:jc w:val="both"/>
        <w:rPr>
          <w:color w:val="auto"/>
          <w:highlight w:val="none"/>
        </w:rPr>
      </w:pPr>
      <w:r>
        <w:rPr>
          <w:rFonts w:hint="eastAsia" w:ascii="宋体" w:hAnsi="宋体" w:eastAsia="宋体" w:cs="宋体"/>
          <w:color w:val="auto"/>
          <w:highlight w:val="none"/>
        </w:rPr>
        <w:t>   如果本项目申请人的特定资格要求中要求提供的，必须提供。</w:t>
      </w:r>
    </w:p>
    <w:p w14:paraId="151D0F8F">
      <w:pPr>
        <w:pStyle w:val="14"/>
        <w:spacing w:beforeAutospacing="0" w:afterAutospacing="0"/>
        <w:jc w:val="center"/>
        <w:rPr>
          <w:rFonts w:ascii="黑体" w:hAnsi="宋体" w:eastAsia="黑体" w:cs="黑体"/>
          <w:i/>
          <w:color w:val="auto"/>
          <w:sz w:val="32"/>
          <w:szCs w:val="32"/>
          <w:highlight w:val="none"/>
          <w:u w:val="single"/>
        </w:rPr>
      </w:pPr>
      <w:bookmarkStart w:id="393" w:name="_Toc120614284"/>
    </w:p>
    <w:p w14:paraId="485E3873">
      <w:pPr>
        <w:pStyle w:val="14"/>
        <w:spacing w:beforeAutospacing="0" w:afterAutospacing="0"/>
        <w:jc w:val="center"/>
        <w:rPr>
          <w:rFonts w:ascii="黑体" w:hAnsi="宋体" w:eastAsia="黑体" w:cs="黑体"/>
          <w:i/>
          <w:color w:val="auto"/>
          <w:sz w:val="32"/>
          <w:szCs w:val="32"/>
          <w:highlight w:val="none"/>
          <w:u w:val="single"/>
        </w:rPr>
      </w:pPr>
    </w:p>
    <w:p w14:paraId="2955E12A">
      <w:pPr>
        <w:pStyle w:val="14"/>
        <w:spacing w:beforeAutospacing="0" w:afterAutospacing="0"/>
        <w:jc w:val="center"/>
        <w:rPr>
          <w:rFonts w:ascii="黑体" w:hAnsi="宋体" w:eastAsia="黑体" w:cs="黑体"/>
          <w:i/>
          <w:color w:val="auto"/>
          <w:sz w:val="32"/>
          <w:szCs w:val="32"/>
          <w:highlight w:val="none"/>
          <w:u w:val="single"/>
        </w:rPr>
      </w:pPr>
    </w:p>
    <w:p w14:paraId="64EBB4D3">
      <w:pPr>
        <w:pStyle w:val="14"/>
        <w:spacing w:beforeAutospacing="0" w:afterAutospacing="0"/>
        <w:jc w:val="center"/>
        <w:rPr>
          <w:rFonts w:ascii="黑体" w:hAnsi="宋体" w:eastAsia="黑体" w:cs="黑体"/>
          <w:i/>
          <w:color w:val="auto"/>
          <w:sz w:val="32"/>
          <w:szCs w:val="32"/>
          <w:highlight w:val="none"/>
          <w:u w:val="single"/>
        </w:rPr>
      </w:pPr>
    </w:p>
    <w:p w14:paraId="1CEC30E9">
      <w:pPr>
        <w:pStyle w:val="14"/>
        <w:spacing w:beforeAutospacing="0" w:afterAutospacing="0"/>
        <w:jc w:val="center"/>
        <w:outlineLvl w:val="0"/>
        <w:rPr>
          <w:color w:val="auto"/>
          <w:highlight w:val="none"/>
        </w:rPr>
      </w:pPr>
      <w:bookmarkStart w:id="394" w:name="_Toc14856"/>
      <w:r>
        <w:rPr>
          <w:rFonts w:hint="eastAsia" w:ascii="黑体" w:hAnsi="宋体" w:eastAsia="黑体" w:cs="黑体"/>
          <w:i/>
          <w:color w:val="auto"/>
          <w:sz w:val="32"/>
          <w:szCs w:val="32"/>
          <w:highlight w:val="none"/>
          <w:u w:val="single"/>
        </w:rPr>
        <w:t>七、法人授权书</w:t>
      </w:r>
      <w:bookmarkEnd w:id="394"/>
    </w:p>
    <w:p w14:paraId="54D35F1F">
      <w:pPr>
        <w:pStyle w:val="14"/>
        <w:tabs>
          <w:tab w:val="left" w:pos="360"/>
        </w:tabs>
        <w:spacing w:beforeAutospacing="0" w:afterAutospacing="0"/>
        <w:ind w:firstLine="480"/>
        <w:jc w:val="both"/>
        <w:rPr>
          <w:color w:val="auto"/>
          <w:highlight w:val="none"/>
        </w:rPr>
      </w:pPr>
      <w:r>
        <w:rPr>
          <w:rFonts w:ascii="Times New Roman" w:hAnsi="Times New Roman"/>
          <w:color w:val="auto"/>
          <w:highlight w:val="none"/>
        </w:rPr>
        <w:t>本授权书声明：____________（投标人名称）授权________________（被授权人的姓名）为我方就JSZC-</w:t>
      </w:r>
      <w:r>
        <w:rPr>
          <w:rFonts w:ascii="Times New Roman" w:hAnsi="Times New Roman"/>
          <w:color w:val="auto"/>
          <w:highlight w:val="none"/>
          <w:u w:val="single"/>
        </w:rPr>
        <w:t xml:space="preserve">        </w:t>
      </w:r>
      <w:r>
        <w:rPr>
          <w:rFonts w:ascii="Times New Roman" w:hAnsi="Times New Roman"/>
          <w:color w:val="auto"/>
          <w:highlight w:val="none"/>
        </w:rPr>
        <w:t>号项目采购活动的合法代理人，以本单位名义全权处理一切与该项目采购有关的事务。</w:t>
      </w:r>
    </w:p>
    <w:p w14:paraId="09221004">
      <w:pPr>
        <w:pStyle w:val="14"/>
        <w:tabs>
          <w:tab w:val="left" w:pos="360"/>
        </w:tabs>
        <w:spacing w:beforeAutospacing="0" w:afterAutospacing="0"/>
        <w:ind w:firstLine="480"/>
        <w:jc w:val="both"/>
        <w:rPr>
          <w:color w:val="auto"/>
          <w:highlight w:val="none"/>
        </w:rPr>
      </w:pPr>
      <w:r>
        <w:rPr>
          <w:rFonts w:ascii="Times New Roman" w:hAnsi="Times New Roman"/>
          <w:color w:val="auto"/>
          <w:highlight w:val="none"/>
        </w:rPr>
        <w:t>本授权书于______年____月____日起生效，特此声明。</w:t>
      </w:r>
    </w:p>
    <w:p w14:paraId="684AF516">
      <w:pPr>
        <w:pStyle w:val="14"/>
        <w:tabs>
          <w:tab w:val="left" w:pos="360"/>
        </w:tabs>
        <w:spacing w:beforeAutospacing="0" w:afterAutospacing="0"/>
        <w:jc w:val="both"/>
        <w:rPr>
          <w:color w:val="auto"/>
          <w:highlight w:val="none"/>
        </w:rPr>
      </w:pPr>
      <w:r>
        <w:rPr>
          <w:rFonts w:ascii="Times New Roman" w:hAnsi="Times New Roman"/>
          <w:color w:val="auto"/>
          <w:highlight w:val="none"/>
        </w:rPr>
        <w:t>          被授权人身份证号码：</w:t>
      </w:r>
      <w:r>
        <w:rPr>
          <w:rFonts w:ascii="Times New Roman" w:hAnsi="Times New Roman"/>
          <w:color w:val="auto"/>
          <w:highlight w:val="none"/>
          <w:u w:val="single"/>
        </w:rPr>
        <w:t xml:space="preserve">                              </w:t>
      </w:r>
    </w:p>
    <w:p w14:paraId="15C3BC56">
      <w:pPr>
        <w:pStyle w:val="14"/>
        <w:tabs>
          <w:tab w:val="left" w:pos="360"/>
        </w:tabs>
        <w:spacing w:beforeAutospacing="0" w:afterAutospacing="0"/>
        <w:jc w:val="both"/>
        <w:rPr>
          <w:color w:val="auto"/>
          <w:highlight w:val="none"/>
        </w:rPr>
      </w:pPr>
      <w:r>
        <w:rPr>
          <w:rFonts w:ascii="Times New Roman" w:hAnsi="Times New Roman"/>
          <w:color w:val="auto"/>
          <w:highlight w:val="none"/>
        </w:rPr>
        <w:t>          被授权人联系电话：（手机）</w:t>
      </w:r>
      <w:r>
        <w:rPr>
          <w:rFonts w:ascii="Times New Roman" w:hAnsi="Times New Roman"/>
          <w:color w:val="auto"/>
          <w:highlight w:val="none"/>
          <w:u w:val="single"/>
        </w:rPr>
        <w:t xml:space="preserve">                          </w:t>
      </w:r>
    </w:p>
    <w:p w14:paraId="5EAA9380">
      <w:pPr>
        <w:pStyle w:val="14"/>
        <w:tabs>
          <w:tab w:val="left" w:pos="360"/>
        </w:tabs>
        <w:spacing w:beforeAutospacing="0" w:afterAutospacing="0"/>
        <w:ind w:firstLine="1200"/>
        <w:jc w:val="both"/>
        <w:rPr>
          <w:color w:val="auto"/>
          <w:highlight w:val="none"/>
        </w:rPr>
      </w:pPr>
      <w:r>
        <w:rPr>
          <w:rFonts w:ascii="Times New Roman" w:hAnsi="Times New Roman"/>
          <w:color w:val="auto"/>
          <w:highlight w:val="none"/>
        </w:rPr>
        <w:t>授权单位名称：</w:t>
      </w:r>
      <w:r>
        <w:rPr>
          <w:rFonts w:ascii="Times New Roman" w:hAnsi="Times New Roman"/>
          <w:color w:val="auto"/>
          <w:highlight w:val="none"/>
          <w:u w:val="single"/>
        </w:rPr>
        <w:t>（加盖CA电子公章）</w:t>
      </w:r>
    </w:p>
    <w:p w14:paraId="208F15E9">
      <w:pPr>
        <w:pStyle w:val="14"/>
        <w:tabs>
          <w:tab w:val="left" w:pos="360"/>
        </w:tabs>
        <w:spacing w:beforeAutospacing="0" w:afterAutospacing="0"/>
        <w:ind w:firstLine="480"/>
        <w:jc w:val="both"/>
        <w:rPr>
          <w:color w:val="auto"/>
          <w:highlight w:val="none"/>
        </w:rPr>
      </w:pPr>
      <w:r>
        <w:rPr>
          <w:rFonts w:ascii="Times New Roman" w:hAnsi="Times New Roman"/>
          <w:color w:val="auto"/>
          <w:highlight w:val="none"/>
        </w:rPr>
        <w:t>      单位地址：</w:t>
      </w:r>
      <w:r>
        <w:rPr>
          <w:rFonts w:ascii="Times New Roman" w:hAnsi="Times New Roman"/>
          <w:color w:val="auto"/>
          <w:highlight w:val="none"/>
          <w:u w:val="single"/>
        </w:rPr>
        <w:t xml:space="preserve">                                         </w:t>
      </w:r>
    </w:p>
    <w:p w14:paraId="1ABE4D75">
      <w:pPr>
        <w:pStyle w:val="14"/>
        <w:tabs>
          <w:tab w:val="left" w:pos="360"/>
        </w:tabs>
        <w:spacing w:beforeAutospacing="0" w:afterAutospacing="0"/>
        <w:ind w:firstLine="480"/>
        <w:jc w:val="both"/>
        <w:rPr>
          <w:color w:val="auto"/>
          <w:highlight w:val="none"/>
        </w:rPr>
      </w:pPr>
      <w:r>
        <w:rPr>
          <w:rFonts w:ascii="Times New Roman" w:hAnsi="Times New Roman"/>
          <w:color w:val="auto"/>
          <w:highlight w:val="none"/>
        </w:rPr>
        <w:t>      日期：</w:t>
      </w:r>
      <w:bookmarkStart w:id="395" w:name="_格式3__银行出具的资信证明"/>
      <w:bookmarkStart w:id="396" w:name="_Hlt26955070"/>
      <w:bookmarkStart w:id="397" w:name="_Hlt26671380"/>
      <w:r>
        <w:rPr>
          <w:rFonts w:ascii="Times New Roman" w:hAnsi="Times New Roman"/>
          <w:color w:val="auto"/>
          <w:highlight w:val="none"/>
          <w:u w:val="single"/>
        </w:rPr>
        <w:t xml:space="preserve">                                         </w:t>
      </w:r>
    </w:p>
    <w:p w14:paraId="22BC2E0E">
      <w:pPr>
        <w:pStyle w:val="14"/>
        <w:spacing w:beforeAutospacing="0" w:afterAutospacing="0"/>
        <w:ind w:firstLine="420"/>
        <w:jc w:val="both"/>
        <w:rPr>
          <w:color w:val="auto"/>
          <w:highlight w:val="none"/>
        </w:rPr>
      </w:pPr>
      <w:r>
        <w:rPr>
          <w:color w:val="auto"/>
          <w:highlight w:val="none"/>
        </w:rPr>
        <w:t> </w:t>
      </w:r>
    </w:p>
    <w:p w14:paraId="12042EB6">
      <w:pPr>
        <w:pStyle w:val="14"/>
        <w:spacing w:beforeAutospacing="0" w:afterAutospacing="0"/>
        <w:jc w:val="both"/>
        <w:rPr>
          <w:color w:val="auto"/>
          <w:highlight w:val="none"/>
        </w:rPr>
      </w:pPr>
      <w:r>
        <w:rPr>
          <w:color w:val="auto"/>
          <w:highlight w:val="none"/>
        </w:rPr>
        <w:t> </w:t>
      </w:r>
    </w:p>
    <w:p w14:paraId="42465921">
      <w:pPr>
        <w:pStyle w:val="14"/>
        <w:keepNext/>
        <w:keepLines/>
        <w:spacing w:before="260" w:beforeAutospacing="0" w:after="260" w:afterAutospacing="0" w:line="415" w:lineRule="auto"/>
        <w:ind w:firstLine="3390" w:firstLineChars="0"/>
        <w:jc w:val="both"/>
        <w:outlineLvl w:val="0"/>
        <w:rPr>
          <w:color w:val="auto"/>
          <w:highlight w:val="none"/>
        </w:rPr>
      </w:pPr>
      <w:r>
        <w:rPr>
          <w:rFonts w:hint="eastAsia" w:ascii="宋体" w:hAnsi="宋体" w:eastAsia="宋体" w:cs="宋体"/>
          <w:b/>
          <w:color w:val="auto"/>
          <w:highlight w:val="none"/>
        </w:rPr>
        <w:br w:type="page"/>
      </w:r>
      <w:bookmarkStart w:id="398" w:name="_Toc11302"/>
      <w:r>
        <w:rPr>
          <w:rFonts w:hint="eastAsia" w:ascii="宋体" w:hAnsi="宋体" w:eastAsia="宋体" w:cs="宋体"/>
          <w:b/>
          <w:color w:val="auto"/>
          <w:highlight w:val="none"/>
        </w:rPr>
        <w:t> </w:t>
      </w:r>
      <w:r>
        <w:rPr>
          <w:rFonts w:hint="eastAsia" w:ascii="黑体" w:hAnsi="宋体" w:eastAsia="黑体" w:cs="黑体"/>
          <w:b/>
          <w:i/>
          <w:color w:val="auto"/>
          <w:sz w:val="32"/>
          <w:szCs w:val="32"/>
          <w:highlight w:val="none"/>
          <w:u w:val="single"/>
        </w:rPr>
        <w:t>八、投标函</w:t>
      </w:r>
      <w:bookmarkEnd w:id="398"/>
    </w:p>
    <w:p w14:paraId="11974A0B">
      <w:pPr>
        <w:pStyle w:val="14"/>
        <w:spacing w:beforeAutospacing="0" w:afterAutospacing="0" w:line="0" w:lineRule="atLeast"/>
        <w:rPr>
          <w:rFonts w:hint="default" w:eastAsia="宋体"/>
          <w:color w:val="auto"/>
          <w:highlight w:val="none"/>
          <w:lang w:val="en-US" w:eastAsia="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lang w:val="en-US" w:eastAsia="zh-CN"/>
        </w:rPr>
        <w:t>滨海县植物保护站</w:t>
      </w:r>
    </w:p>
    <w:p w14:paraId="4AE4A4D9">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根据贵方的JSZC-***</w:t>
      </w:r>
      <w:r>
        <w:rPr>
          <w:rFonts w:hint="eastAsia" w:ascii="宋体" w:hAnsi="宋体" w:eastAsia="宋体" w:cs="宋体"/>
          <w:b/>
          <w:color w:val="auto"/>
          <w:sz w:val="36"/>
          <w:szCs w:val="36"/>
          <w:highlight w:val="none"/>
          <w:u w:val="single"/>
        </w:rPr>
        <w:t xml:space="preserve">            </w:t>
      </w:r>
      <w:r>
        <w:rPr>
          <w:rFonts w:hint="eastAsia" w:ascii="宋体" w:hAnsi="宋体" w:eastAsia="宋体" w:cs="宋体"/>
          <w:color w:val="auto"/>
          <w:highlight w:val="none"/>
        </w:rPr>
        <w:t>号</w:t>
      </w:r>
      <w:r>
        <w:rPr>
          <w:rFonts w:hint="eastAsia" w:ascii="宋体" w:hAnsi="宋体" w:eastAsia="宋体" w:cs="宋体"/>
          <w:color w:val="auto"/>
          <w:highlight w:val="none"/>
          <w:lang w:eastAsia="zh-CN"/>
        </w:rPr>
        <w:t>询价文件</w:t>
      </w:r>
      <w:r>
        <w:rPr>
          <w:rFonts w:hint="eastAsia" w:ascii="宋体" w:hAnsi="宋体" w:eastAsia="宋体" w:cs="宋体"/>
          <w:color w:val="auto"/>
          <w:highlight w:val="none"/>
        </w:rPr>
        <w:t>，正式授权下述签字人_________________(姓名)代表我方______________（投标人的名称），全权处理本次项目投标的有关事宜。</w:t>
      </w:r>
    </w:p>
    <w:p w14:paraId="63143E90">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据此函，__________签字人兹宣布同意如下：</w:t>
      </w:r>
    </w:p>
    <w:p w14:paraId="208D0767">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1.按</w:t>
      </w:r>
      <w:r>
        <w:rPr>
          <w:rFonts w:hint="eastAsia" w:ascii="宋体" w:hAnsi="宋体" w:eastAsia="宋体" w:cs="宋体"/>
          <w:color w:val="auto"/>
          <w:highlight w:val="none"/>
          <w:lang w:eastAsia="zh-CN"/>
        </w:rPr>
        <w:t>询价文件</w:t>
      </w:r>
      <w:r>
        <w:rPr>
          <w:rFonts w:hint="eastAsia" w:ascii="宋体" w:hAnsi="宋体" w:eastAsia="宋体" w:cs="宋体"/>
          <w:color w:val="auto"/>
          <w:highlight w:val="none"/>
        </w:rPr>
        <w:t>规定的各项要求，向买方提供所需货物（包含与货物相关的服务）。</w:t>
      </w:r>
    </w:p>
    <w:p w14:paraId="6AE3C05B">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2.我们完全理解贵方不一定将合同授予最低报价的投标人。</w:t>
      </w:r>
    </w:p>
    <w:p w14:paraId="674E47C7">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3.我们已详细审核全部</w:t>
      </w:r>
      <w:r>
        <w:rPr>
          <w:rFonts w:hint="eastAsia" w:ascii="宋体" w:hAnsi="宋体" w:eastAsia="宋体" w:cs="宋体"/>
          <w:color w:val="auto"/>
          <w:highlight w:val="none"/>
          <w:lang w:eastAsia="zh-CN"/>
        </w:rPr>
        <w:t>询价文件</w:t>
      </w:r>
      <w:r>
        <w:rPr>
          <w:rFonts w:hint="eastAsia" w:ascii="宋体" w:hAnsi="宋体" w:eastAsia="宋体" w:cs="宋体"/>
          <w:color w:val="auto"/>
          <w:highlight w:val="none"/>
        </w:rPr>
        <w:t>及其有效补充文件，我们知道必须放弃提出含糊不清或误解问题的权利。</w:t>
      </w:r>
    </w:p>
    <w:p w14:paraId="283A4DCD">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4.我们同意从规定的开标日期起遵循本投标文件，并在规定的投标有效期期满之前均具有约束力。</w:t>
      </w:r>
    </w:p>
    <w:p w14:paraId="6D012F91">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5.同意向贵方提供贵方可能另外要求的与投标有关的任何证据或资料，并保证我方已提供和将要提供的文件是真实的、准确的。</w:t>
      </w:r>
    </w:p>
    <w:p w14:paraId="6E55D021">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6.一旦我方中标,我方将根据</w:t>
      </w:r>
      <w:r>
        <w:rPr>
          <w:rFonts w:hint="eastAsia" w:ascii="宋体" w:hAnsi="宋体" w:eastAsia="宋体" w:cs="宋体"/>
          <w:color w:val="auto"/>
          <w:highlight w:val="none"/>
          <w:lang w:eastAsia="zh-CN"/>
        </w:rPr>
        <w:t>询价文件</w:t>
      </w:r>
      <w:r>
        <w:rPr>
          <w:rFonts w:hint="eastAsia" w:ascii="宋体" w:hAnsi="宋体" w:eastAsia="宋体" w:cs="宋体"/>
          <w:color w:val="auto"/>
          <w:highlight w:val="none"/>
        </w:rPr>
        <w:t>的规定，严格履行合同的责任和义务,并保证在</w:t>
      </w:r>
      <w:r>
        <w:rPr>
          <w:rFonts w:hint="eastAsia" w:ascii="宋体" w:hAnsi="宋体" w:eastAsia="宋体" w:cs="宋体"/>
          <w:color w:val="auto"/>
          <w:highlight w:val="none"/>
          <w:lang w:eastAsia="zh-CN"/>
        </w:rPr>
        <w:t>询价文件</w:t>
      </w:r>
      <w:r>
        <w:rPr>
          <w:rFonts w:hint="eastAsia" w:ascii="宋体" w:hAnsi="宋体" w:eastAsia="宋体" w:cs="宋体"/>
          <w:color w:val="auto"/>
          <w:highlight w:val="none"/>
        </w:rPr>
        <w:t>规定的时间完成项目，交付买方验收、使用。</w:t>
      </w:r>
    </w:p>
    <w:p w14:paraId="70E91395">
      <w:pPr>
        <w:pStyle w:val="14"/>
        <w:spacing w:beforeAutospacing="0" w:afterAutospacing="0" w:line="0" w:lineRule="atLeast"/>
        <w:ind w:left="425"/>
        <w:rPr>
          <w:color w:val="auto"/>
          <w:highlight w:val="none"/>
        </w:rPr>
      </w:pPr>
      <w:r>
        <w:rPr>
          <w:rFonts w:hint="eastAsia" w:ascii="宋体" w:hAnsi="宋体" w:eastAsia="宋体" w:cs="宋体"/>
          <w:color w:val="auto"/>
          <w:highlight w:val="none"/>
        </w:rPr>
        <w:t>7.与本投标有关的正式通讯地址为：</w:t>
      </w:r>
    </w:p>
    <w:p w14:paraId="3EF35FFD">
      <w:pPr>
        <w:pStyle w:val="14"/>
        <w:spacing w:beforeAutospacing="0" w:afterAutospacing="0" w:line="0" w:lineRule="atLeast"/>
        <w:ind w:left="420" w:firstLine="480"/>
        <w:rPr>
          <w:color w:val="auto"/>
          <w:highlight w:val="none"/>
        </w:rPr>
      </w:pPr>
      <w:r>
        <w:rPr>
          <w:rFonts w:hint="eastAsia" w:ascii="宋体" w:hAnsi="宋体" w:eastAsia="宋体" w:cs="宋体"/>
          <w:color w:val="auto"/>
          <w:highlight w:val="none"/>
        </w:rPr>
        <w:t>地          址：</w:t>
      </w:r>
    </w:p>
    <w:p w14:paraId="0ABCF285">
      <w:pPr>
        <w:pStyle w:val="14"/>
        <w:spacing w:beforeAutospacing="0" w:afterAutospacing="0" w:line="0" w:lineRule="atLeast"/>
        <w:ind w:left="420" w:firstLine="480"/>
        <w:rPr>
          <w:color w:val="auto"/>
          <w:highlight w:val="none"/>
        </w:rPr>
      </w:pPr>
      <w:r>
        <w:rPr>
          <w:rFonts w:hint="eastAsia" w:ascii="宋体" w:hAnsi="宋体" w:eastAsia="宋体" w:cs="宋体"/>
          <w:color w:val="auto"/>
          <w:highlight w:val="none"/>
        </w:rPr>
        <w:t>邮          编：</w:t>
      </w:r>
    </w:p>
    <w:p w14:paraId="321F11A4">
      <w:pPr>
        <w:pStyle w:val="14"/>
        <w:spacing w:beforeAutospacing="0" w:afterAutospacing="0" w:line="0" w:lineRule="atLeast"/>
        <w:ind w:left="420" w:firstLine="480"/>
        <w:rPr>
          <w:color w:val="auto"/>
          <w:highlight w:val="none"/>
        </w:rPr>
      </w:pPr>
      <w:r>
        <w:rPr>
          <w:rFonts w:hint="eastAsia" w:ascii="宋体" w:hAnsi="宋体" w:eastAsia="宋体" w:cs="宋体"/>
          <w:color w:val="auto"/>
          <w:highlight w:val="none"/>
        </w:rPr>
        <w:t>电          话：</w:t>
      </w:r>
    </w:p>
    <w:p w14:paraId="11BBD12B">
      <w:pPr>
        <w:pStyle w:val="14"/>
        <w:spacing w:beforeAutospacing="0" w:afterAutospacing="0" w:line="0" w:lineRule="atLeast"/>
        <w:ind w:left="420" w:firstLine="480"/>
        <w:rPr>
          <w:color w:val="auto"/>
          <w:highlight w:val="none"/>
        </w:rPr>
      </w:pPr>
      <w:r>
        <w:rPr>
          <w:rFonts w:hint="eastAsia" w:ascii="宋体" w:hAnsi="宋体" w:eastAsia="宋体" w:cs="宋体"/>
          <w:color w:val="auto"/>
          <w:highlight w:val="none"/>
        </w:rPr>
        <w:t>传          真：</w:t>
      </w:r>
    </w:p>
    <w:p w14:paraId="7530FB6D">
      <w:pPr>
        <w:pStyle w:val="14"/>
        <w:spacing w:beforeAutospacing="0" w:afterAutospacing="0" w:line="0" w:lineRule="atLeast"/>
        <w:ind w:left="420" w:firstLine="480"/>
        <w:rPr>
          <w:color w:val="auto"/>
          <w:highlight w:val="none"/>
        </w:rPr>
      </w:pPr>
      <w:r>
        <w:rPr>
          <w:rFonts w:hint="eastAsia" w:ascii="宋体" w:hAnsi="宋体" w:eastAsia="宋体" w:cs="宋体"/>
          <w:color w:val="auto"/>
          <w:highlight w:val="none"/>
        </w:rPr>
        <w:t>投标人开户行：</w:t>
      </w:r>
    </w:p>
    <w:p w14:paraId="45C5F35C">
      <w:pPr>
        <w:pStyle w:val="14"/>
        <w:spacing w:beforeAutospacing="0" w:afterAutospacing="0" w:line="0" w:lineRule="atLeast"/>
        <w:ind w:left="420" w:firstLine="480"/>
        <w:rPr>
          <w:color w:val="auto"/>
          <w:highlight w:val="none"/>
        </w:rPr>
      </w:pPr>
      <w:r>
        <w:rPr>
          <w:rFonts w:hint="eastAsia" w:ascii="宋体" w:hAnsi="宋体" w:eastAsia="宋体" w:cs="宋体"/>
          <w:color w:val="auto"/>
          <w:highlight w:val="none"/>
        </w:rPr>
        <w:t xml:space="preserve">账          号： </w:t>
      </w:r>
    </w:p>
    <w:p w14:paraId="359939A7">
      <w:pPr>
        <w:pStyle w:val="14"/>
        <w:spacing w:beforeAutospacing="0" w:afterAutospacing="0" w:line="0" w:lineRule="atLeast"/>
        <w:ind w:left="420" w:firstLine="480"/>
        <w:rPr>
          <w:color w:val="auto"/>
          <w:highlight w:val="none"/>
        </w:rPr>
      </w:pPr>
      <w:r>
        <w:rPr>
          <w:rFonts w:hint="eastAsia" w:ascii="宋体" w:hAnsi="宋体" w:eastAsia="宋体" w:cs="宋体"/>
          <w:color w:val="auto"/>
          <w:highlight w:val="none"/>
        </w:rPr>
        <w:t>日           期：________年____月____日</w:t>
      </w:r>
    </w:p>
    <w:p w14:paraId="242118EF">
      <w:pPr>
        <w:pStyle w:val="14"/>
        <w:spacing w:beforeAutospacing="0" w:afterAutospacing="0" w:line="0" w:lineRule="atLeast"/>
        <w:ind w:firstLine="240"/>
        <w:jc w:val="center"/>
        <w:rPr>
          <w:color w:val="auto"/>
          <w:highlight w:val="none"/>
        </w:rPr>
      </w:pPr>
      <w:r>
        <w:rPr>
          <w:color w:val="auto"/>
          <w:highlight w:val="none"/>
        </w:rPr>
        <w:t> </w:t>
      </w:r>
    </w:p>
    <w:p w14:paraId="5FF63AF8">
      <w:pPr>
        <w:pStyle w:val="14"/>
        <w:spacing w:beforeAutospacing="0" w:afterAutospacing="0" w:line="0" w:lineRule="atLeast"/>
        <w:ind w:firstLine="240"/>
        <w:jc w:val="center"/>
        <w:rPr>
          <w:color w:val="auto"/>
          <w:highlight w:val="none"/>
        </w:rPr>
      </w:pPr>
      <w:r>
        <w:rPr>
          <w:color w:val="auto"/>
          <w:highlight w:val="none"/>
        </w:rPr>
        <w:t> </w:t>
      </w:r>
    </w:p>
    <w:p w14:paraId="09AF5CA3">
      <w:pPr>
        <w:pStyle w:val="14"/>
        <w:spacing w:beforeAutospacing="0" w:afterAutospacing="0" w:line="0" w:lineRule="atLeast"/>
        <w:ind w:firstLine="240"/>
        <w:jc w:val="center"/>
        <w:rPr>
          <w:color w:val="auto"/>
          <w:highlight w:val="none"/>
        </w:rPr>
      </w:pPr>
      <w:r>
        <w:rPr>
          <w:color w:val="auto"/>
          <w:highlight w:val="none"/>
        </w:rPr>
        <w:t> </w:t>
      </w:r>
    </w:p>
    <w:p w14:paraId="212BE2DE">
      <w:pPr>
        <w:pStyle w:val="14"/>
        <w:spacing w:beforeAutospacing="0" w:afterAutospacing="0" w:line="0" w:lineRule="atLeast"/>
        <w:ind w:firstLine="240"/>
        <w:jc w:val="center"/>
        <w:rPr>
          <w:color w:val="auto"/>
          <w:highlight w:val="none"/>
        </w:rPr>
      </w:pPr>
      <w:r>
        <w:rPr>
          <w:color w:val="auto"/>
          <w:highlight w:val="none"/>
        </w:rPr>
        <w:t> </w:t>
      </w:r>
    </w:p>
    <w:p w14:paraId="5F43314E">
      <w:pPr>
        <w:pStyle w:val="14"/>
        <w:spacing w:beforeAutospacing="0" w:afterAutospacing="0" w:line="0" w:lineRule="atLeast"/>
        <w:ind w:firstLine="240"/>
        <w:jc w:val="center"/>
        <w:rPr>
          <w:color w:val="auto"/>
          <w:highlight w:val="none"/>
        </w:rPr>
      </w:pPr>
    </w:p>
    <w:p w14:paraId="62026C5B">
      <w:pPr>
        <w:pStyle w:val="14"/>
        <w:spacing w:beforeAutospacing="0" w:afterAutospacing="0" w:line="0" w:lineRule="atLeast"/>
        <w:ind w:firstLine="240"/>
        <w:jc w:val="center"/>
        <w:rPr>
          <w:color w:val="auto"/>
          <w:highlight w:val="none"/>
        </w:rPr>
      </w:pPr>
    </w:p>
    <w:p w14:paraId="3AAF460A">
      <w:pPr>
        <w:pStyle w:val="14"/>
        <w:spacing w:beforeAutospacing="0" w:afterAutospacing="0" w:line="0" w:lineRule="atLeast"/>
        <w:ind w:firstLine="240"/>
        <w:jc w:val="center"/>
        <w:rPr>
          <w:color w:val="auto"/>
          <w:highlight w:val="none"/>
        </w:rPr>
      </w:pPr>
    </w:p>
    <w:p w14:paraId="3CB4837C">
      <w:pPr>
        <w:pStyle w:val="14"/>
        <w:spacing w:beforeAutospacing="0" w:afterAutospacing="0" w:line="0" w:lineRule="atLeast"/>
        <w:ind w:firstLine="240"/>
        <w:jc w:val="center"/>
        <w:rPr>
          <w:color w:val="auto"/>
          <w:highlight w:val="none"/>
        </w:rPr>
      </w:pPr>
    </w:p>
    <w:p w14:paraId="015F5116">
      <w:pPr>
        <w:pStyle w:val="14"/>
        <w:spacing w:beforeAutospacing="0" w:afterAutospacing="0" w:line="0" w:lineRule="atLeast"/>
        <w:ind w:firstLine="240"/>
        <w:jc w:val="center"/>
        <w:rPr>
          <w:color w:val="auto"/>
          <w:highlight w:val="none"/>
        </w:rPr>
      </w:pPr>
    </w:p>
    <w:p w14:paraId="62F8D512">
      <w:pPr>
        <w:pStyle w:val="14"/>
        <w:spacing w:beforeAutospacing="0" w:afterAutospacing="0" w:line="0" w:lineRule="atLeast"/>
        <w:ind w:firstLine="240"/>
        <w:jc w:val="center"/>
        <w:rPr>
          <w:color w:val="auto"/>
          <w:highlight w:val="none"/>
        </w:rPr>
      </w:pPr>
    </w:p>
    <w:p w14:paraId="17003511">
      <w:pPr>
        <w:pStyle w:val="14"/>
        <w:spacing w:beforeAutospacing="0" w:afterAutospacing="0" w:line="0" w:lineRule="atLeast"/>
        <w:ind w:firstLine="240"/>
        <w:jc w:val="center"/>
        <w:rPr>
          <w:color w:val="auto"/>
          <w:highlight w:val="none"/>
        </w:rPr>
      </w:pPr>
    </w:p>
    <w:p w14:paraId="5412F31A">
      <w:pPr>
        <w:pStyle w:val="14"/>
        <w:spacing w:beforeAutospacing="0" w:afterAutospacing="0" w:line="0" w:lineRule="atLeast"/>
        <w:ind w:firstLine="240"/>
        <w:jc w:val="center"/>
        <w:rPr>
          <w:color w:val="auto"/>
          <w:highlight w:val="none"/>
        </w:rPr>
      </w:pPr>
    </w:p>
    <w:p w14:paraId="1F7E3D04">
      <w:pPr>
        <w:pStyle w:val="14"/>
        <w:spacing w:beforeAutospacing="0" w:afterAutospacing="0" w:line="0" w:lineRule="atLeast"/>
        <w:ind w:firstLine="240"/>
        <w:jc w:val="center"/>
        <w:rPr>
          <w:color w:val="auto"/>
          <w:highlight w:val="none"/>
        </w:rPr>
      </w:pPr>
    </w:p>
    <w:p w14:paraId="340FED64">
      <w:pPr>
        <w:pStyle w:val="14"/>
        <w:spacing w:beforeAutospacing="0" w:afterAutospacing="0" w:line="0" w:lineRule="atLeast"/>
        <w:ind w:firstLine="240"/>
        <w:jc w:val="center"/>
        <w:rPr>
          <w:color w:val="auto"/>
          <w:highlight w:val="none"/>
        </w:rPr>
      </w:pPr>
    </w:p>
    <w:p w14:paraId="4EB3A777">
      <w:pPr>
        <w:pStyle w:val="14"/>
        <w:spacing w:beforeAutospacing="0" w:afterAutospacing="0" w:line="0" w:lineRule="atLeast"/>
        <w:ind w:firstLine="240"/>
        <w:jc w:val="center"/>
        <w:rPr>
          <w:color w:val="auto"/>
          <w:highlight w:val="none"/>
        </w:rPr>
      </w:pPr>
    </w:p>
    <w:p w14:paraId="509B8982">
      <w:pPr>
        <w:pStyle w:val="14"/>
        <w:spacing w:beforeAutospacing="0" w:afterAutospacing="0" w:line="0" w:lineRule="atLeast"/>
        <w:ind w:firstLine="240"/>
        <w:jc w:val="center"/>
        <w:rPr>
          <w:color w:val="auto"/>
          <w:highlight w:val="none"/>
        </w:rPr>
      </w:pPr>
    </w:p>
    <w:p w14:paraId="69D6B82F">
      <w:pPr>
        <w:pStyle w:val="14"/>
        <w:spacing w:beforeAutospacing="0" w:afterAutospacing="0" w:line="0" w:lineRule="atLeast"/>
        <w:ind w:firstLine="240"/>
        <w:jc w:val="center"/>
        <w:rPr>
          <w:color w:val="auto"/>
          <w:highlight w:val="none"/>
        </w:rPr>
      </w:pPr>
      <w:r>
        <w:rPr>
          <w:color w:val="auto"/>
          <w:highlight w:val="none"/>
        </w:rPr>
        <w:t> </w:t>
      </w:r>
    </w:p>
    <w:p w14:paraId="76E9D5C9">
      <w:pPr>
        <w:pStyle w:val="14"/>
        <w:spacing w:beforeAutospacing="0" w:afterAutospacing="0" w:line="0" w:lineRule="atLeast"/>
        <w:jc w:val="center"/>
        <w:outlineLvl w:val="0"/>
        <w:rPr>
          <w:color w:val="auto"/>
          <w:highlight w:val="none"/>
        </w:rPr>
      </w:pPr>
      <w:bookmarkStart w:id="399" w:name="_Toc25655"/>
      <w:r>
        <w:rPr>
          <w:rFonts w:hint="eastAsia" w:ascii="黑体" w:hAnsi="宋体" w:eastAsia="黑体" w:cs="黑体"/>
          <w:b/>
          <w:color w:val="auto"/>
          <w:sz w:val="32"/>
          <w:szCs w:val="32"/>
          <w:highlight w:val="none"/>
        </w:rPr>
        <w:t>九、</w:t>
      </w:r>
      <w:r>
        <w:rPr>
          <w:rFonts w:hint="eastAsia" w:ascii="黑体" w:hAnsi="宋体" w:eastAsia="黑体" w:cs="黑体"/>
          <w:b/>
          <w:color w:val="auto"/>
          <w:sz w:val="32"/>
          <w:szCs w:val="32"/>
          <w:highlight w:val="none"/>
          <w:lang w:val="en-US" w:eastAsia="zh-CN"/>
        </w:rPr>
        <w:t>中小</w:t>
      </w:r>
      <w:r>
        <w:rPr>
          <w:rFonts w:hint="eastAsia" w:ascii="黑体" w:hAnsi="宋体" w:eastAsia="黑体" w:cs="黑体"/>
          <w:b/>
          <w:color w:val="auto"/>
          <w:sz w:val="32"/>
          <w:szCs w:val="32"/>
          <w:highlight w:val="none"/>
        </w:rPr>
        <w:t>企业声明函（</w:t>
      </w:r>
      <w:r>
        <w:rPr>
          <w:rFonts w:hint="eastAsia" w:ascii="黑体" w:hAnsi="宋体" w:eastAsia="黑体" w:cs="黑体"/>
          <w:b/>
          <w:color w:val="auto"/>
          <w:sz w:val="32"/>
          <w:szCs w:val="32"/>
          <w:highlight w:val="none"/>
          <w:lang w:val="en-US" w:eastAsia="zh-CN"/>
        </w:rPr>
        <w:t>货物</w:t>
      </w:r>
      <w:r>
        <w:rPr>
          <w:rFonts w:hint="eastAsia" w:ascii="黑体" w:hAnsi="宋体" w:eastAsia="黑体" w:cs="黑体"/>
          <w:b/>
          <w:color w:val="auto"/>
          <w:sz w:val="32"/>
          <w:szCs w:val="32"/>
          <w:highlight w:val="none"/>
        </w:rPr>
        <w:t>）</w:t>
      </w:r>
      <w:bookmarkEnd w:id="399"/>
    </w:p>
    <w:p w14:paraId="3751E010">
      <w:pPr>
        <w:spacing w:line="500" w:lineRule="exact"/>
        <w:ind w:firstLine="480"/>
        <w:jc w:val="both"/>
        <w:rPr>
          <w:rFonts w:hint="eastAsia"/>
          <w:color w:val="auto"/>
          <w:sz w:val="24"/>
          <w:highlight w:val="none"/>
        </w:rPr>
      </w:pPr>
    </w:p>
    <w:p w14:paraId="1DCF832C">
      <w:pPr>
        <w:spacing w:line="500" w:lineRule="exact"/>
        <w:ind w:firstLine="480"/>
        <w:jc w:val="both"/>
        <w:rPr>
          <w:rFonts w:hint="eastAsia"/>
          <w:color w:val="auto"/>
          <w:sz w:val="24"/>
          <w:highlight w:val="none"/>
        </w:rPr>
      </w:pPr>
      <w:r>
        <w:rPr>
          <w:rFonts w:hint="eastAsia"/>
          <w:color w:val="auto"/>
          <w:sz w:val="24"/>
          <w:highlight w:val="none"/>
        </w:rPr>
        <w:t>本公司（联合体）郑重声明，根据《政府采购促进中小企业发展管理办法》(财库</w:t>
      </w:r>
      <w:r>
        <w:rPr>
          <w:rFonts w:hint="eastAsia"/>
          <w:color w:val="auto"/>
          <w:sz w:val="24"/>
          <w:highlight w:val="none"/>
          <w:lang w:eastAsia="zh-CN"/>
        </w:rPr>
        <w:t>〔2020〕46号</w:t>
      </w:r>
      <w:r>
        <w:rPr>
          <w:rFonts w:hint="eastAsia"/>
          <w:color w:val="auto"/>
          <w:sz w:val="24"/>
          <w:highlight w:val="none"/>
        </w:rPr>
        <w:t>)的规定，本公司（联合体）参加盐城市政府</w:t>
      </w:r>
      <w:r>
        <w:rPr>
          <w:rFonts w:hint="eastAsia"/>
          <w:color w:val="auto"/>
          <w:sz w:val="24"/>
          <w:highlight w:val="none"/>
          <w:lang w:eastAsia="zh-CN"/>
        </w:rPr>
        <w:t>代理机构</w:t>
      </w:r>
      <w:r>
        <w:rPr>
          <w:rFonts w:hint="eastAsia"/>
          <w:color w:val="auto"/>
          <w:sz w:val="24"/>
          <w:highlight w:val="none"/>
        </w:rPr>
        <w:t>组织的</w:t>
      </w:r>
      <w:r>
        <w:rPr>
          <w:rFonts w:hint="eastAsia"/>
          <w:color w:val="auto"/>
          <w:sz w:val="24"/>
          <w:highlight w:val="none"/>
          <w:u w:val="single"/>
          <w:lang w:eastAsia="zh-CN"/>
        </w:rPr>
        <w:t>（</w:t>
      </w:r>
      <w:r>
        <w:rPr>
          <w:rFonts w:hint="eastAsia"/>
          <w:color w:val="auto"/>
          <w:sz w:val="24"/>
          <w:highlight w:val="none"/>
          <w:u w:val="single"/>
          <w:lang w:val="en-US" w:eastAsia="zh-CN"/>
        </w:rPr>
        <w:t>单位名称)</w:t>
      </w:r>
      <w:r>
        <w:rPr>
          <w:rFonts w:hint="eastAsia"/>
          <w:color w:val="auto"/>
          <w:sz w:val="24"/>
          <w:highlight w:val="none"/>
        </w:rPr>
        <w:t>，采购编号为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rPr>
        <w:t>的</w:t>
      </w:r>
      <w:r>
        <w:rPr>
          <w:rFonts w:hint="eastAsia"/>
          <w:color w:val="auto"/>
          <w:sz w:val="24"/>
          <w:highlight w:val="none"/>
          <w:u w:val="single"/>
        </w:rPr>
        <w:t>（项目名称）</w:t>
      </w:r>
      <w:r>
        <w:rPr>
          <w:rFonts w:hint="eastAsia"/>
          <w:color w:val="auto"/>
          <w:sz w:val="24"/>
          <w:highlight w:val="none"/>
          <w:u w:val="single"/>
          <w:lang w:val="en-US" w:eastAsia="zh-CN"/>
        </w:rPr>
        <w:t xml:space="preserve">       </w:t>
      </w:r>
      <w:r>
        <w:rPr>
          <w:rFonts w:hint="eastAsia"/>
          <w:color w:val="auto"/>
          <w:sz w:val="24"/>
          <w:highlight w:val="none"/>
        </w:rPr>
        <w:t>的采购活动，提供的货物全部由符合政策要求的</w:t>
      </w:r>
      <w:r>
        <w:rPr>
          <w:rFonts w:hint="eastAsia"/>
          <w:color w:val="auto"/>
          <w:sz w:val="24"/>
          <w:highlight w:val="none"/>
          <w:lang w:val="en-US" w:eastAsia="zh-CN"/>
        </w:rPr>
        <w:t>中小</w:t>
      </w:r>
      <w:r>
        <w:rPr>
          <w:rFonts w:hint="eastAsia"/>
          <w:color w:val="auto"/>
          <w:sz w:val="24"/>
          <w:highlight w:val="none"/>
        </w:rPr>
        <w:t>企业制造。相关企业（含联合体中</w:t>
      </w:r>
      <w:r>
        <w:rPr>
          <w:rFonts w:hint="eastAsia"/>
          <w:color w:val="auto"/>
          <w:sz w:val="24"/>
          <w:highlight w:val="none"/>
          <w:lang w:val="en-US" w:eastAsia="zh-CN"/>
        </w:rPr>
        <w:t>的中小</w:t>
      </w:r>
      <w:r>
        <w:rPr>
          <w:rFonts w:hint="eastAsia"/>
          <w:color w:val="auto"/>
          <w:sz w:val="24"/>
          <w:highlight w:val="none"/>
        </w:rPr>
        <w:t>企业、签订分包意向协议的</w:t>
      </w:r>
      <w:r>
        <w:rPr>
          <w:rFonts w:hint="eastAsia"/>
          <w:color w:val="auto"/>
          <w:sz w:val="24"/>
          <w:highlight w:val="none"/>
          <w:lang w:val="en-US" w:eastAsia="zh-CN"/>
        </w:rPr>
        <w:t>中</w:t>
      </w:r>
      <w:r>
        <w:rPr>
          <w:rFonts w:hint="eastAsia"/>
          <w:color w:val="auto"/>
          <w:sz w:val="24"/>
          <w:highlight w:val="none"/>
        </w:rPr>
        <w:t>小企业）的具体情况如下：</w:t>
      </w:r>
    </w:p>
    <w:p w14:paraId="4486B871">
      <w:pPr>
        <w:pStyle w:val="14"/>
        <w:widowControl w:val="0"/>
        <w:spacing w:before="0" w:beforeAutospacing="0" w:after="0" w:afterAutospacing="0" w:line="360" w:lineRule="auto"/>
        <w:ind w:firstLine="360"/>
        <w:jc w:val="both"/>
        <w:rPr>
          <w:color w:val="auto"/>
          <w:highlight w:val="none"/>
        </w:rPr>
      </w:pPr>
      <w:r>
        <w:rPr>
          <w:rFonts w:hint="eastAsia"/>
          <w:color w:val="auto"/>
          <w:highlight w:val="none"/>
        </w:rPr>
        <w:t>1.</w:t>
      </w:r>
      <w:r>
        <w:rPr>
          <w:rFonts w:hint="eastAsia"/>
          <w:color w:val="auto"/>
          <w:highlight w:val="none"/>
          <w:u w:val="single"/>
        </w:rPr>
        <w:t>（标的名称）</w:t>
      </w:r>
      <w:r>
        <w:rPr>
          <w:rFonts w:hint="eastAsia"/>
          <w:i/>
          <w:color w:val="auto"/>
          <w:highlight w:val="none"/>
        </w:rPr>
        <w:t>，</w:t>
      </w:r>
      <w:r>
        <w:rPr>
          <w:rFonts w:hint="eastAsia"/>
          <w:color w:val="auto"/>
          <w:highlight w:val="none"/>
        </w:rPr>
        <w:t>属于</w:t>
      </w:r>
      <w:r>
        <w:rPr>
          <w:rFonts w:hint="eastAsia"/>
          <w:color w:val="auto"/>
          <w:highlight w:val="none"/>
          <w:u w:val="single"/>
          <w:lang w:val="en-US" w:eastAsia="zh-CN"/>
        </w:rPr>
        <w:t>(采购文件中明确的所属行业)</w:t>
      </w:r>
      <w:r>
        <w:rPr>
          <w:rFonts w:hint="eastAsia"/>
          <w:color w:val="auto"/>
          <w:highlight w:val="none"/>
        </w:rPr>
        <w:t>行业；制造商为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p>
    <w:p w14:paraId="11F7B171">
      <w:pPr>
        <w:pStyle w:val="14"/>
        <w:widowControl w:val="0"/>
        <w:spacing w:before="0" w:beforeAutospacing="0" w:after="0" w:afterAutospacing="0" w:line="360" w:lineRule="auto"/>
        <w:ind w:firstLine="360"/>
        <w:jc w:val="both"/>
        <w:rPr>
          <w:color w:val="auto"/>
          <w:highlight w:val="none"/>
        </w:rPr>
      </w:pPr>
      <w:r>
        <w:rPr>
          <w:rFonts w:hint="eastAsia"/>
          <w:color w:val="auto"/>
          <w:highlight w:val="none"/>
        </w:rPr>
        <w:t>2.</w:t>
      </w:r>
      <w:r>
        <w:rPr>
          <w:rFonts w:hint="eastAsia"/>
          <w:color w:val="auto"/>
          <w:highlight w:val="none"/>
          <w:u w:val="single"/>
        </w:rPr>
        <w:t>（标的名称）</w:t>
      </w:r>
      <w:r>
        <w:rPr>
          <w:rFonts w:hint="eastAsia"/>
          <w:i/>
          <w:color w:val="auto"/>
          <w:highlight w:val="none"/>
        </w:rPr>
        <w:t>，</w:t>
      </w:r>
      <w:r>
        <w:rPr>
          <w:rFonts w:hint="eastAsia"/>
          <w:color w:val="auto"/>
          <w:highlight w:val="none"/>
        </w:rPr>
        <w:t>属于</w:t>
      </w:r>
      <w:r>
        <w:rPr>
          <w:rFonts w:hint="eastAsia"/>
          <w:color w:val="auto"/>
          <w:highlight w:val="none"/>
          <w:u w:val="single"/>
          <w:lang w:val="en-US" w:eastAsia="zh-CN"/>
        </w:rPr>
        <w:t>(采购文件中明确的所属行业)</w:t>
      </w:r>
      <w:r>
        <w:rPr>
          <w:rFonts w:hint="eastAsia"/>
          <w:color w:val="auto"/>
          <w:highlight w:val="none"/>
        </w:rPr>
        <w:t>行业；制造商为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p>
    <w:p w14:paraId="4362F739">
      <w:pPr>
        <w:pStyle w:val="14"/>
        <w:widowControl w:val="0"/>
        <w:spacing w:before="0" w:beforeAutospacing="0" w:after="0" w:afterAutospacing="0" w:line="360" w:lineRule="auto"/>
        <w:ind w:firstLine="360"/>
        <w:jc w:val="both"/>
        <w:rPr>
          <w:color w:val="auto"/>
          <w:highlight w:val="none"/>
        </w:rPr>
      </w:pPr>
      <w:r>
        <w:rPr>
          <w:rFonts w:hint="eastAsia"/>
          <w:color w:val="auto"/>
          <w:highlight w:val="none"/>
        </w:rPr>
        <w:t>……</w:t>
      </w:r>
    </w:p>
    <w:p w14:paraId="62779450">
      <w:pPr>
        <w:pStyle w:val="14"/>
        <w:widowControl w:val="0"/>
        <w:spacing w:before="0" w:beforeAutospacing="0" w:after="0" w:afterAutospacing="0" w:line="360" w:lineRule="auto"/>
        <w:ind w:firstLine="360"/>
        <w:jc w:val="both"/>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05E35515">
      <w:pPr>
        <w:pStyle w:val="14"/>
        <w:widowControl w:val="0"/>
        <w:spacing w:before="0" w:beforeAutospacing="0" w:after="0" w:afterAutospacing="0" w:line="360" w:lineRule="auto"/>
        <w:ind w:firstLine="360"/>
        <w:jc w:val="both"/>
        <w:rPr>
          <w:color w:val="auto"/>
          <w:highlight w:val="none"/>
        </w:rPr>
      </w:pPr>
      <w:r>
        <w:rPr>
          <w:rFonts w:hint="eastAsia"/>
          <w:color w:val="auto"/>
          <w:highlight w:val="none"/>
        </w:rPr>
        <w:t>本企业对上述声明内容的真实性负责。如有虚假，将依法承担相应责任</w:t>
      </w:r>
    </w:p>
    <w:p w14:paraId="26E99FD6">
      <w:pPr>
        <w:pStyle w:val="14"/>
        <w:widowControl w:val="0"/>
        <w:spacing w:before="0" w:beforeAutospacing="0" w:after="0" w:afterAutospacing="0" w:line="360" w:lineRule="auto"/>
        <w:ind w:right="720"/>
        <w:jc w:val="both"/>
        <w:rPr>
          <w:color w:val="auto"/>
          <w:highlight w:val="none"/>
        </w:rPr>
      </w:pPr>
      <w:r>
        <w:rPr>
          <w:color w:val="auto"/>
          <w:highlight w:val="none"/>
        </w:rPr>
        <w:t> </w:t>
      </w:r>
    </w:p>
    <w:p w14:paraId="4026C033">
      <w:pPr>
        <w:pStyle w:val="14"/>
        <w:widowControl w:val="0"/>
        <w:spacing w:before="0" w:beforeAutospacing="0" w:after="0" w:afterAutospacing="0" w:line="360" w:lineRule="auto"/>
        <w:ind w:right="180" w:firstLine="360"/>
        <w:jc w:val="right"/>
        <w:rPr>
          <w:color w:val="auto"/>
          <w:highlight w:val="none"/>
        </w:rPr>
      </w:pPr>
      <w:r>
        <w:rPr>
          <w:rFonts w:hint="eastAsia"/>
          <w:color w:val="auto"/>
          <w:highlight w:val="none"/>
        </w:rPr>
        <w:t>企业名称（加盖CA电子公章）：</w:t>
      </w:r>
    </w:p>
    <w:p w14:paraId="218AE162">
      <w:pPr>
        <w:pStyle w:val="14"/>
        <w:widowControl w:val="0"/>
        <w:spacing w:before="0" w:beforeAutospacing="0" w:after="0" w:afterAutospacing="0" w:line="360" w:lineRule="auto"/>
        <w:ind w:right="480" w:firstLine="5400"/>
        <w:jc w:val="both"/>
        <w:rPr>
          <w:color w:val="auto"/>
          <w:highlight w:val="none"/>
        </w:rPr>
      </w:pPr>
      <w:r>
        <w:rPr>
          <w:rFonts w:hint="eastAsia"/>
          <w:color w:val="auto"/>
          <w:highlight w:val="none"/>
        </w:rPr>
        <w:t>日  期：</w:t>
      </w:r>
    </w:p>
    <w:p w14:paraId="79A1D2DC">
      <w:pPr>
        <w:pStyle w:val="14"/>
        <w:widowControl w:val="0"/>
        <w:spacing w:before="0" w:beforeAutospacing="0" w:after="0" w:afterAutospacing="0" w:line="360" w:lineRule="auto"/>
        <w:ind w:firstLine="360"/>
        <w:jc w:val="both"/>
        <w:rPr>
          <w:color w:val="auto"/>
          <w:highlight w:val="none"/>
        </w:rPr>
      </w:pPr>
      <w:r>
        <w:rPr>
          <w:color w:val="auto"/>
          <w:highlight w:val="none"/>
        </w:rPr>
        <w:t> </w:t>
      </w:r>
    </w:p>
    <w:p w14:paraId="144BB463">
      <w:pPr>
        <w:pStyle w:val="14"/>
        <w:widowControl w:val="0"/>
        <w:spacing w:before="0" w:beforeAutospacing="0" w:after="0" w:afterAutospacing="0" w:line="360" w:lineRule="auto"/>
        <w:ind w:firstLine="480"/>
        <w:jc w:val="both"/>
        <w:rPr>
          <w:color w:val="auto"/>
          <w:highlight w:val="none"/>
        </w:rPr>
      </w:pPr>
      <w:r>
        <w:rPr>
          <w:rFonts w:hint="eastAsia"/>
          <w:color w:val="auto"/>
          <w:highlight w:val="none"/>
        </w:rPr>
        <w:t>备注1：从业人员、营业收入、资产总额填报上一年度数据，无上一年度数据的新成立企业可不填报。</w:t>
      </w:r>
    </w:p>
    <w:p w14:paraId="36B57587">
      <w:pPr>
        <w:pStyle w:val="14"/>
        <w:widowControl w:val="0"/>
        <w:spacing w:before="0" w:beforeAutospacing="0" w:after="0" w:afterAutospacing="0" w:line="360" w:lineRule="auto"/>
        <w:ind w:firstLine="480"/>
        <w:jc w:val="both"/>
        <w:rPr>
          <w:rFonts w:hint="eastAsia"/>
          <w:color w:val="auto"/>
          <w:highlight w:val="none"/>
        </w:rPr>
      </w:pPr>
      <w:r>
        <w:rPr>
          <w:rFonts w:hint="eastAsia"/>
          <w:color w:val="auto"/>
          <w:highlight w:val="none"/>
        </w:rPr>
        <w:t>备注2：供应商如不提供此声明函，价格将不做相应扣除（如项目全面面向中小企业，则资格审查不通过）。</w:t>
      </w:r>
    </w:p>
    <w:p w14:paraId="024260F3">
      <w:pPr>
        <w:pStyle w:val="14"/>
        <w:widowControl w:val="0"/>
        <w:spacing w:before="0" w:beforeAutospacing="0" w:after="0" w:afterAutospacing="0" w:line="360" w:lineRule="auto"/>
        <w:ind w:firstLine="480"/>
        <w:jc w:val="both"/>
        <w:rPr>
          <w:rFonts w:hint="eastAsia"/>
          <w:color w:val="auto"/>
          <w:highlight w:val="none"/>
        </w:rPr>
      </w:pPr>
    </w:p>
    <w:p w14:paraId="4A6894DE">
      <w:pPr>
        <w:pStyle w:val="14"/>
        <w:widowControl w:val="0"/>
        <w:spacing w:before="0" w:beforeAutospacing="0" w:after="0" w:afterAutospacing="0" w:line="360" w:lineRule="auto"/>
        <w:ind w:firstLine="480"/>
        <w:jc w:val="both"/>
        <w:rPr>
          <w:rFonts w:hint="eastAsia"/>
          <w:color w:val="auto"/>
          <w:highlight w:val="none"/>
        </w:rPr>
      </w:pPr>
    </w:p>
    <w:p w14:paraId="059B8A0F">
      <w:pPr>
        <w:pStyle w:val="14"/>
        <w:spacing w:beforeAutospacing="0" w:afterAutospacing="0" w:line="0" w:lineRule="atLeast"/>
        <w:jc w:val="center"/>
        <w:rPr>
          <w:rFonts w:hint="eastAsia" w:ascii="黑体" w:hAnsi="宋体" w:eastAsia="黑体" w:cs="黑体"/>
          <w:b/>
          <w:color w:val="auto"/>
          <w:sz w:val="32"/>
          <w:szCs w:val="32"/>
          <w:highlight w:val="none"/>
        </w:rPr>
      </w:pPr>
    </w:p>
    <w:p w14:paraId="08A6D624">
      <w:pPr>
        <w:pStyle w:val="14"/>
        <w:spacing w:beforeAutospacing="0" w:afterAutospacing="0" w:line="0" w:lineRule="atLeast"/>
        <w:jc w:val="both"/>
        <w:rPr>
          <w:rFonts w:hint="eastAsia" w:ascii="黑体" w:hAnsi="宋体" w:eastAsia="黑体" w:cs="黑体"/>
          <w:b/>
          <w:color w:val="auto"/>
          <w:sz w:val="32"/>
          <w:szCs w:val="32"/>
          <w:highlight w:val="none"/>
        </w:rPr>
      </w:pPr>
    </w:p>
    <w:p w14:paraId="46289143">
      <w:pPr>
        <w:pStyle w:val="14"/>
        <w:spacing w:beforeAutospacing="0" w:afterAutospacing="0" w:line="0" w:lineRule="atLeast"/>
        <w:jc w:val="center"/>
        <w:outlineLvl w:val="0"/>
        <w:rPr>
          <w:color w:val="auto"/>
          <w:highlight w:val="none"/>
        </w:rPr>
      </w:pPr>
      <w:bookmarkStart w:id="400" w:name="_Toc1880"/>
      <w:r>
        <w:rPr>
          <w:rFonts w:hint="eastAsia" w:ascii="黑体" w:hAnsi="宋体" w:eastAsia="黑体" w:cs="黑体"/>
          <w:b/>
          <w:color w:val="auto"/>
          <w:sz w:val="32"/>
          <w:szCs w:val="32"/>
          <w:highlight w:val="none"/>
        </w:rPr>
        <w:t> 十、残疾人福利性单位声明函</w:t>
      </w:r>
      <w:bookmarkEnd w:id="400"/>
    </w:p>
    <w:p w14:paraId="7B41EFB3">
      <w:pPr>
        <w:pStyle w:val="14"/>
        <w:spacing w:beforeAutospacing="0" w:afterAutospacing="0" w:line="360" w:lineRule="auto"/>
        <w:ind w:firstLine="480"/>
        <w:jc w:val="both"/>
        <w:rPr>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w:t>
      </w:r>
      <w:r>
        <w:rPr>
          <w:rFonts w:hint="eastAsia" w:ascii="宋体" w:hAnsi="宋体" w:eastAsia="宋体" w:cs="宋体"/>
          <w:color w:val="auto"/>
          <w:highlight w:val="none"/>
          <w:lang w:eastAsia="zh-CN"/>
        </w:rPr>
        <w:t>〔2017〕141号</w:t>
      </w:r>
      <w:r>
        <w:rPr>
          <w:rFonts w:hint="eastAsia" w:ascii="宋体" w:hAnsi="宋体" w:eastAsia="宋体" w:cs="宋体"/>
          <w:color w:val="auto"/>
          <w:highlight w:val="none"/>
        </w:rPr>
        <w:t>）的规定，本单位为符合条件的残疾人福利性单位，且本单位参加______单位的采购文件编号为______的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项目（分包号：**）采购活动提供本单位制造的货物，或者提供其他残疾人福利性单位制造的货物（不包括使用非残疾人福利性单位注册商标的货物）。</w:t>
      </w:r>
    </w:p>
    <w:p w14:paraId="513C51D7">
      <w:pPr>
        <w:pStyle w:val="14"/>
        <w:spacing w:beforeAutospacing="0" w:afterAutospacing="0" w:line="360" w:lineRule="auto"/>
        <w:ind w:firstLine="480"/>
        <w:jc w:val="both"/>
        <w:rPr>
          <w:color w:val="auto"/>
          <w:highlight w:val="none"/>
        </w:rPr>
      </w:pPr>
      <w:r>
        <w:rPr>
          <w:rFonts w:hint="eastAsia" w:ascii="宋体" w:hAnsi="宋体" w:eastAsia="宋体" w:cs="宋体"/>
          <w:color w:val="auto"/>
          <w:highlight w:val="none"/>
        </w:rPr>
        <w:t>本单位对上述声明的真实性负责。如有虚假，将依法承担相应责任。</w:t>
      </w:r>
    </w:p>
    <w:p w14:paraId="3C91D281">
      <w:pPr>
        <w:pStyle w:val="14"/>
        <w:spacing w:beforeAutospacing="0" w:afterAutospacing="0" w:line="360" w:lineRule="auto"/>
        <w:ind w:firstLine="480"/>
        <w:jc w:val="both"/>
        <w:rPr>
          <w:color w:val="auto"/>
          <w:highlight w:val="none"/>
        </w:rPr>
      </w:pPr>
      <w:r>
        <w:rPr>
          <w:color w:val="auto"/>
          <w:highlight w:val="none"/>
        </w:rPr>
        <w:t> </w:t>
      </w:r>
    </w:p>
    <w:p w14:paraId="68EE82C2">
      <w:pPr>
        <w:pStyle w:val="14"/>
        <w:spacing w:beforeAutospacing="0" w:afterAutospacing="0"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备注：1、供应商如不提供此声明函，价格将不做相应扣除</w:t>
      </w:r>
      <w:r>
        <w:rPr>
          <w:rFonts w:hint="eastAsia" w:ascii="宋体" w:hAnsi="宋体" w:eastAsia="宋体" w:cs="宋体"/>
          <w:color w:val="auto"/>
          <w:highlight w:val="none"/>
          <w:lang w:eastAsia="zh-CN"/>
        </w:rPr>
        <w:t>（如项目全面面向中小企业，则资格审查不通过）</w:t>
      </w:r>
      <w:r>
        <w:rPr>
          <w:rFonts w:hint="eastAsia" w:ascii="宋体" w:hAnsi="宋体" w:eastAsia="宋体" w:cs="宋体"/>
          <w:color w:val="auto"/>
          <w:highlight w:val="none"/>
        </w:rPr>
        <w:t>。</w:t>
      </w:r>
    </w:p>
    <w:p w14:paraId="3C2317A8">
      <w:pPr>
        <w:pStyle w:val="14"/>
        <w:spacing w:beforeAutospacing="0" w:afterAutospacing="0" w:line="360" w:lineRule="auto"/>
        <w:ind w:firstLine="480"/>
        <w:jc w:val="both"/>
        <w:rPr>
          <w:rFonts w:hint="eastAsia" w:eastAsia="宋体"/>
          <w:color w:val="auto"/>
          <w:highlight w:val="none"/>
          <w:lang w:eastAsia="zh-CN"/>
        </w:rPr>
      </w:pPr>
      <w:r>
        <w:rPr>
          <w:rFonts w:hint="eastAsia" w:ascii="宋体" w:hAnsi="宋体" w:eastAsia="宋体" w:cs="宋体"/>
          <w:color w:val="auto"/>
          <w:highlight w:val="none"/>
        </w:rPr>
        <w:t>2、中标供应商为残疾人福利单位的，此声明函将随中标结果同时公告，接受社会监督</w:t>
      </w:r>
      <w:r>
        <w:rPr>
          <w:rFonts w:hint="eastAsia" w:ascii="宋体" w:hAnsi="宋体" w:eastAsia="宋体" w:cs="宋体"/>
          <w:color w:val="auto"/>
          <w:highlight w:val="none"/>
          <w:lang w:eastAsia="zh-CN"/>
        </w:rPr>
        <w:t>。</w:t>
      </w:r>
    </w:p>
    <w:p w14:paraId="6AEABBF0">
      <w:pPr>
        <w:pStyle w:val="14"/>
        <w:spacing w:beforeAutospacing="0" w:afterAutospacing="0" w:line="360" w:lineRule="auto"/>
        <w:ind w:firstLine="624"/>
        <w:jc w:val="both"/>
        <w:rPr>
          <w:color w:val="auto"/>
          <w:highlight w:val="none"/>
        </w:rPr>
      </w:pPr>
      <w:r>
        <w:rPr>
          <w:color w:val="auto"/>
          <w:highlight w:val="none"/>
        </w:rPr>
        <w:t> </w:t>
      </w:r>
    </w:p>
    <w:p w14:paraId="626039F8">
      <w:pPr>
        <w:pStyle w:val="14"/>
        <w:tabs>
          <w:tab w:val="left" w:pos="4864"/>
        </w:tabs>
        <w:spacing w:beforeAutospacing="0" w:afterAutospacing="0" w:line="360" w:lineRule="auto"/>
        <w:ind w:right="1560" w:firstLine="624"/>
        <w:jc w:val="center"/>
        <w:rPr>
          <w:color w:val="auto"/>
          <w:highlight w:val="none"/>
        </w:rPr>
      </w:pPr>
      <w:r>
        <w:rPr>
          <w:rFonts w:ascii="仿宋_GB2312" w:eastAsia="仿宋_GB2312" w:cs="仿宋_GB2312"/>
          <w:color w:val="auto"/>
          <w:sz w:val="30"/>
          <w:szCs w:val="30"/>
          <w:highlight w:val="none"/>
        </w:rPr>
        <w:t xml:space="preserve">             </w:t>
      </w:r>
      <w:r>
        <w:rPr>
          <w:rFonts w:hint="eastAsia" w:ascii="宋体" w:hAnsi="宋体" w:eastAsia="宋体" w:cs="宋体"/>
          <w:color w:val="auto"/>
          <w:highlight w:val="none"/>
        </w:rPr>
        <w:t>       供应商全称（加盖CA电子公章）：</w:t>
      </w:r>
    </w:p>
    <w:p w14:paraId="4F09B48A">
      <w:pPr>
        <w:pStyle w:val="14"/>
        <w:tabs>
          <w:tab w:val="left" w:pos="4864"/>
        </w:tabs>
        <w:spacing w:beforeAutospacing="0" w:afterAutospacing="0" w:line="360" w:lineRule="auto"/>
        <w:ind w:right="1560" w:firstLine="480"/>
        <w:jc w:val="center"/>
        <w:rPr>
          <w:color w:val="auto"/>
          <w:highlight w:val="none"/>
        </w:rPr>
      </w:pPr>
      <w:r>
        <w:rPr>
          <w:rFonts w:hint="eastAsia" w:ascii="宋体" w:hAnsi="宋体" w:eastAsia="宋体" w:cs="宋体"/>
          <w:color w:val="auto"/>
          <w:highlight w:val="none"/>
        </w:rPr>
        <w:t>        日  期：</w:t>
      </w:r>
    </w:p>
    <w:p w14:paraId="6095EC64">
      <w:pPr>
        <w:pStyle w:val="14"/>
        <w:spacing w:beforeAutospacing="0" w:afterAutospacing="0" w:line="0" w:lineRule="atLeast"/>
        <w:jc w:val="center"/>
        <w:rPr>
          <w:color w:val="auto"/>
          <w:highlight w:val="none"/>
        </w:rPr>
      </w:pPr>
      <w:r>
        <w:rPr>
          <w:color w:val="auto"/>
          <w:highlight w:val="none"/>
        </w:rPr>
        <w:t> </w:t>
      </w:r>
    </w:p>
    <w:p w14:paraId="67480088">
      <w:pPr>
        <w:pStyle w:val="14"/>
        <w:spacing w:beforeAutospacing="0" w:afterAutospacing="0" w:line="0" w:lineRule="atLeast"/>
        <w:jc w:val="center"/>
        <w:rPr>
          <w:color w:val="auto"/>
          <w:highlight w:val="none"/>
        </w:rPr>
      </w:pPr>
      <w:r>
        <w:rPr>
          <w:color w:val="auto"/>
          <w:highlight w:val="none"/>
        </w:rPr>
        <w:t> </w:t>
      </w:r>
    </w:p>
    <w:p w14:paraId="16D7708B">
      <w:pPr>
        <w:pStyle w:val="14"/>
        <w:spacing w:beforeAutospacing="0" w:afterAutospacing="0" w:line="0" w:lineRule="atLeast"/>
        <w:jc w:val="center"/>
        <w:rPr>
          <w:color w:val="auto"/>
          <w:highlight w:val="none"/>
        </w:rPr>
      </w:pPr>
      <w:r>
        <w:rPr>
          <w:color w:val="auto"/>
          <w:highlight w:val="none"/>
        </w:rPr>
        <w:t> </w:t>
      </w:r>
    </w:p>
    <w:p w14:paraId="37A39D5D">
      <w:pPr>
        <w:pStyle w:val="14"/>
        <w:spacing w:beforeAutospacing="0" w:afterAutospacing="0" w:line="0" w:lineRule="atLeast"/>
        <w:jc w:val="center"/>
        <w:rPr>
          <w:color w:val="auto"/>
          <w:highlight w:val="none"/>
        </w:rPr>
      </w:pPr>
      <w:r>
        <w:rPr>
          <w:color w:val="auto"/>
          <w:highlight w:val="none"/>
        </w:rPr>
        <w:t> </w:t>
      </w:r>
    </w:p>
    <w:p w14:paraId="4BC37A6F">
      <w:pPr>
        <w:pStyle w:val="14"/>
        <w:spacing w:beforeAutospacing="0" w:afterAutospacing="0" w:line="0" w:lineRule="atLeast"/>
        <w:jc w:val="center"/>
        <w:rPr>
          <w:color w:val="auto"/>
          <w:highlight w:val="none"/>
        </w:rPr>
      </w:pPr>
      <w:r>
        <w:rPr>
          <w:color w:val="auto"/>
          <w:highlight w:val="none"/>
        </w:rPr>
        <w:t> </w:t>
      </w:r>
    </w:p>
    <w:p w14:paraId="5CC4CBFF">
      <w:pPr>
        <w:pStyle w:val="14"/>
        <w:spacing w:beforeAutospacing="0" w:afterAutospacing="0" w:line="0" w:lineRule="atLeast"/>
        <w:jc w:val="center"/>
        <w:rPr>
          <w:color w:val="auto"/>
          <w:highlight w:val="none"/>
        </w:rPr>
      </w:pPr>
      <w:r>
        <w:rPr>
          <w:color w:val="auto"/>
          <w:highlight w:val="none"/>
        </w:rPr>
        <w:t> </w:t>
      </w:r>
    </w:p>
    <w:p w14:paraId="7599688C">
      <w:pPr>
        <w:pStyle w:val="14"/>
        <w:spacing w:beforeAutospacing="0" w:afterAutospacing="0" w:line="0" w:lineRule="atLeast"/>
        <w:jc w:val="center"/>
        <w:rPr>
          <w:color w:val="auto"/>
          <w:highlight w:val="none"/>
        </w:rPr>
      </w:pPr>
      <w:r>
        <w:rPr>
          <w:color w:val="auto"/>
          <w:highlight w:val="none"/>
        </w:rPr>
        <w:t> </w:t>
      </w:r>
    </w:p>
    <w:p w14:paraId="4C81E594">
      <w:pPr>
        <w:pStyle w:val="14"/>
        <w:spacing w:beforeAutospacing="0" w:afterAutospacing="0" w:line="0" w:lineRule="atLeast"/>
        <w:jc w:val="center"/>
        <w:rPr>
          <w:color w:val="auto"/>
          <w:highlight w:val="none"/>
        </w:rPr>
      </w:pPr>
      <w:r>
        <w:rPr>
          <w:color w:val="auto"/>
          <w:highlight w:val="none"/>
        </w:rPr>
        <w:t> </w:t>
      </w:r>
    </w:p>
    <w:p w14:paraId="59FA9411">
      <w:pPr>
        <w:pStyle w:val="14"/>
        <w:spacing w:beforeAutospacing="0" w:afterAutospacing="0" w:line="0" w:lineRule="atLeast"/>
        <w:jc w:val="center"/>
        <w:rPr>
          <w:color w:val="auto"/>
          <w:highlight w:val="none"/>
        </w:rPr>
      </w:pPr>
      <w:r>
        <w:rPr>
          <w:color w:val="auto"/>
          <w:highlight w:val="none"/>
        </w:rPr>
        <w:t> </w:t>
      </w:r>
    </w:p>
    <w:p w14:paraId="24879B48">
      <w:pPr>
        <w:pStyle w:val="14"/>
        <w:spacing w:beforeAutospacing="0" w:afterAutospacing="0" w:line="0" w:lineRule="atLeast"/>
        <w:jc w:val="center"/>
        <w:rPr>
          <w:color w:val="auto"/>
          <w:highlight w:val="none"/>
        </w:rPr>
      </w:pPr>
    </w:p>
    <w:p w14:paraId="18A83768">
      <w:pPr>
        <w:pStyle w:val="14"/>
        <w:spacing w:beforeAutospacing="0" w:afterAutospacing="0" w:line="0" w:lineRule="atLeast"/>
        <w:jc w:val="center"/>
        <w:rPr>
          <w:color w:val="auto"/>
          <w:highlight w:val="none"/>
        </w:rPr>
      </w:pPr>
    </w:p>
    <w:p w14:paraId="3FB74B8A">
      <w:pPr>
        <w:pStyle w:val="14"/>
        <w:spacing w:beforeAutospacing="0" w:afterAutospacing="0" w:line="0" w:lineRule="atLeast"/>
        <w:jc w:val="center"/>
        <w:rPr>
          <w:color w:val="auto"/>
          <w:highlight w:val="none"/>
        </w:rPr>
      </w:pPr>
    </w:p>
    <w:p w14:paraId="3D16B2B5">
      <w:pPr>
        <w:pStyle w:val="14"/>
        <w:spacing w:beforeAutospacing="0" w:afterAutospacing="0" w:line="0" w:lineRule="atLeast"/>
        <w:jc w:val="center"/>
        <w:rPr>
          <w:color w:val="auto"/>
          <w:highlight w:val="none"/>
        </w:rPr>
      </w:pPr>
    </w:p>
    <w:p w14:paraId="7F04C1B5">
      <w:pPr>
        <w:pStyle w:val="14"/>
        <w:spacing w:beforeAutospacing="0" w:afterAutospacing="0" w:line="0" w:lineRule="atLeast"/>
        <w:jc w:val="center"/>
        <w:rPr>
          <w:color w:val="auto"/>
          <w:highlight w:val="none"/>
        </w:rPr>
      </w:pPr>
    </w:p>
    <w:p w14:paraId="1686469F">
      <w:pPr>
        <w:pStyle w:val="14"/>
        <w:spacing w:beforeAutospacing="0" w:afterAutospacing="0" w:line="0" w:lineRule="atLeast"/>
        <w:jc w:val="center"/>
        <w:rPr>
          <w:color w:val="auto"/>
          <w:highlight w:val="none"/>
        </w:rPr>
      </w:pPr>
    </w:p>
    <w:p w14:paraId="7FBDBFF4">
      <w:pPr>
        <w:pStyle w:val="14"/>
        <w:spacing w:beforeAutospacing="0" w:afterAutospacing="0" w:line="0" w:lineRule="atLeast"/>
        <w:jc w:val="center"/>
        <w:rPr>
          <w:color w:val="auto"/>
          <w:highlight w:val="none"/>
        </w:rPr>
      </w:pPr>
    </w:p>
    <w:p w14:paraId="7A648D0F">
      <w:pPr>
        <w:pStyle w:val="14"/>
        <w:spacing w:beforeAutospacing="0" w:afterAutospacing="0" w:line="0" w:lineRule="atLeast"/>
        <w:jc w:val="center"/>
        <w:rPr>
          <w:color w:val="auto"/>
          <w:highlight w:val="none"/>
        </w:rPr>
      </w:pPr>
    </w:p>
    <w:p w14:paraId="6E9DCFEF">
      <w:pPr>
        <w:pStyle w:val="14"/>
        <w:spacing w:beforeAutospacing="0" w:afterAutospacing="0" w:line="0" w:lineRule="atLeast"/>
        <w:jc w:val="center"/>
        <w:rPr>
          <w:color w:val="auto"/>
          <w:highlight w:val="none"/>
        </w:rPr>
      </w:pPr>
    </w:p>
    <w:p w14:paraId="58F90182">
      <w:pPr>
        <w:rPr>
          <w:rFonts w:hint="eastAsia" w:ascii="黑体" w:hAnsi="宋体" w:eastAsia="黑体" w:cs="黑体"/>
          <w:b/>
          <w:color w:val="auto"/>
          <w:sz w:val="32"/>
          <w:szCs w:val="32"/>
          <w:highlight w:val="none"/>
        </w:rPr>
      </w:pPr>
      <w:bookmarkStart w:id="401" w:name="_Hlt26955054"/>
      <w:r>
        <w:rPr>
          <w:rFonts w:hint="eastAsia" w:ascii="黑体" w:hAnsi="宋体" w:eastAsia="黑体" w:cs="黑体"/>
          <w:b/>
          <w:color w:val="auto"/>
          <w:sz w:val="32"/>
          <w:szCs w:val="32"/>
          <w:highlight w:val="none"/>
        </w:rPr>
        <w:br w:type="page"/>
      </w:r>
    </w:p>
    <w:p w14:paraId="2B05566F">
      <w:pPr>
        <w:pStyle w:val="14"/>
        <w:spacing w:beforeAutospacing="0" w:afterAutospacing="0"/>
        <w:jc w:val="center"/>
        <w:outlineLvl w:val="0"/>
        <w:rPr>
          <w:color w:val="auto"/>
          <w:highlight w:val="none"/>
        </w:rPr>
      </w:pPr>
      <w:bookmarkStart w:id="402" w:name="_Toc25350"/>
      <w:r>
        <w:rPr>
          <w:rFonts w:hint="eastAsia" w:ascii="黑体" w:hAnsi="宋体" w:eastAsia="黑体" w:cs="黑体"/>
          <w:b/>
          <w:color w:val="auto"/>
          <w:sz w:val="32"/>
          <w:szCs w:val="32"/>
          <w:highlight w:val="none"/>
        </w:rPr>
        <w:t>十</w:t>
      </w:r>
      <w:r>
        <w:rPr>
          <w:rFonts w:hint="eastAsia" w:ascii="黑体" w:hAnsi="宋体" w:eastAsia="黑体" w:cs="黑体"/>
          <w:b/>
          <w:color w:val="auto"/>
          <w:sz w:val="32"/>
          <w:szCs w:val="32"/>
          <w:highlight w:val="none"/>
          <w:lang w:val="en-US" w:eastAsia="zh-CN"/>
        </w:rPr>
        <w:t>三</w:t>
      </w:r>
      <w:r>
        <w:rPr>
          <w:rFonts w:hint="eastAsia" w:ascii="黑体" w:hAnsi="宋体" w:eastAsia="黑体" w:cs="黑体"/>
          <w:b/>
          <w:color w:val="auto"/>
          <w:sz w:val="32"/>
          <w:szCs w:val="32"/>
          <w:highlight w:val="none"/>
        </w:rPr>
        <w:t>、商务要求响应及偏离表</w:t>
      </w:r>
      <w:bookmarkEnd w:id="402"/>
    </w:p>
    <w:tbl>
      <w:tblPr>
        <w:tblStyle w:val="15"/>
        <w:tblW w:w="8520" w:type="dxa"/>
        <w:tblCellSpacing w:w="0" w:type="dxa"/>
        <w:tblInd w:w="10" w:type="dxa"/>
        <w:tblLayout w:type="fixed"/>
        <w:tblCellMar>
          <w:top w:w="0" w:type="dxa"/>
          <w:left w:w="108" w:type="dxa"/>
          <w:bottom w:w="0" w:type="dxa"/>
          <w:right w:w="108" w:type="dxa"/>
        </w:tblCellMar>
      </w:tblPr>
      <w:tblGrid>
        <w:gridCol w:w="538"/>
        <w:gridCol w:w="3026"/>
        <w:gridCol w:w="2608"/>
        <w:gridCol w:w="1247"/>
        <w:gridCol w:w="1101"/>
      </w:tblGrid>
      <w:tr w14:paraId="0C8C067D">
        <w:tblPrEx>
          <w:tblCellMar>
            <w:top w:w="0" w:type="dxa"/>
            <w:left w:w="108" w:type="dxa"/>
            <w:bottom w:w="0" w:type="dxa"/>
            <w:right w:w="108" w:type="dxa"/>
          </w:tblCellMar>
        </w:tblPrEx>
        <w:trPr>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E7FE">
            <w:pPr>
              <w:pStyle w:val="14"/>
              <w:spacing w:beforeAutospacing="0" w:afterAutospacing="0"/>
              <w:jc w:val="center"/>
              <w:rPr>
                <w:color w:val="auto"/>
                <w:highlight w:val="none"/>
              </w:rPr>
            </w:pPr>
            <w:bookmarkStart w:id="403" w:name="_Hlt24879081"/>
            <w:bookmarkStart w:id="404" w:name="_Hlt26955064"/>
            <w:bookmarkStart w:id="405" w:name="_Hlt26671372"/>
            <w:bookmarkStart w:id="406" w:name="_Hlt26782999"/>
            <w:bookmarkStart w:id="407" w:name="_Hlt26671343"/>
            <w:bookmarkStart w:id="408" w:name="_Hlt26955056"/>
            <w:bookmarkStart w:id="409" w:name="_Hlt26609391"/>
            <w:bookmarkStart w:id="410" w:name="_Hlt26580838"/>
            <w:r>
              <w:rPr>
                <w:rFonts w:hint="eastAsia" w:ascii="宋体" w:hAnsi="宋体" w:eastAsia="宋体" w:cs="宋体"/>
                <w:color w:val="auto"/>
                <w:highlight w:val="none"/>
              </w:rPr>
              <w:t>序号</w:t>
            </w:r>
          </w:p>
          <w:bookmarkEnd w:id="403"/>
          <w:bookmarkEnd w:id="404"/>
          <w:bookmarkEnd w:id="405"/>
          <w:bookmarkEnd w:id="406"/>
          <w:bookmarkEnd w:id="407"/>
          <w:bookmarkEnd w:id="408"/>
          <w:bookmarkEnd w:id="409"/>
          <w:bookmarkEnd w:id="410"/>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3AD9">
            <w:pPr>
              <w:pStyle w:val="14"/>
              <w:spacing w:beforeAutospacing="0" w:afterAutospacing="0"/>
              <w:jc w:val="center"/>
              <w:rPr>
                <w:color w:val="auto"/>
                <w:highlight w:val="none"/>
              </w:rPr>
            </w:pPr>
            <w:r>
              <w:rPr>
                <w:rFonts w:hint="eastAsia" w:ascii="宋体" w:hAnsi="宋体" w:eastAsia="宋体" w:cs="宋体"/>
                <w:color w:val="auto"/>
                <w:highlight w:val="none"/>
                <w:lang w:eastAsia="zh-CN"/>
              </w:rPr>
              <w:t>询价文件</w:t>
            </w:r>
            <w:r>
              <w:rPr>
                <w:rFonts w:hint="eastAsia" w:ascii="宋体" w:hAnsi="宋体" w:eastAsia="宋体" w:cs="宋体"/>
                <w:color w:val="auto"/>
                <w:highlight w:val="none"/>
              </w:rPr>
              <w:t>要求</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FD01">
            <w:pPr>
              <w:pStyle w:val="14"/>
              <w:spacing w:beforeAutospacing="0" w:afterAutospacing="0"/>
              <w:jc w:val="center"/>
              <w:rPr>
                <w:color w:val="auto"/>
                <w:highlight w:val="none"/>
              </w:rPr>
            </w:pPr>
            <w:r>
              <w:rPr>
                <w:rFonts w:hint="eastAsia" w:ascii="宋体" w:hAnsi="宋体" w:eastAsia="宋体" w:cs="宋体"/>
                <w:color w:val="auto"/>
                <w:highlight w:val="none"/>
              </w:rPr>
              <w:t>投标响应情况</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966">
            <w:pPr>
              <w:pStyle w:val="14"/>
              <w:spacing w:beforeAutospacing="0" w:afterAutospacing="0"/>
              <w:jc w:val="center"/>
              <w:rPr>
                <w:color w:val="auto"/>
                <w:highlight w:val="none"/>
              </w:rPr>
            </w:pPr>
            <w:r>
              <w:rPr>
                <w:rFonts w:hint="eastAsia" w:ascii="宋体" w:hAnsi="宋体" w:eastAsia="宋体" w:cs="宋体"/>
                <w:color w:val="auto"/>
                <w:highlight w:val="none"/>
              </w:rPr>
              <w:t>超出、符合或偏离</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3FEE">
            <w:pPr>
              <w:pStyle w:val="14"/>
              <w:spacing w:beforeAutospacing="0" w:afterAutospacing="0"/>
              <w:jc w:val="center"/>
              <w:rPr>
                <w:color w:val="auto"/>
                <w:highlight w:val="none"/>
              </w:rPr>
            </w:pPr>
            <w:r>
              <w:rPr>
                <w:rFonts w:hint="eastAsia" w:ascii="宋体" w:hAnsi="宋体" w:eastAsia="宋体" w:cs="宋体"/>
                <w:color w:val="auto"/>
                <w:highlight w:val="none"/>
              </w:rPr>
              <w:t>证明</w:t>
            </w:r>
          </w:p>
          <w:p w14:paraId="2F6E5C46">
            <w:pPr>
              <w:pStyle w:val="14"/>
              <w:spacing w:beforeAutospacing="0" w:afterAutospacing="0"/>
              <w:jc w:val="center"/>
              <w:rPr>
                <w:color w:val="auto"/>
                <w:highlight w:val="none"/>
              </w:rPr>
            </w:pPr>
            <w:r>
              <w:rPr>
                <w:rFonts w:hint="eastAsia" w:ascii="宋体" w:hAnsi="宋体" w:eastAsia="宋体" w:cs="宋体"/>
                <w:color w:val="auto"/>
                <w:highlight w:val="none"/>
              </w:rPr>
              <w:t>材料</w:t>
            </w:r>
          </w:p>
        </w:tc>
      </w:tr>
      <w:tr w14:paraId="0CC2F300">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A8C5">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77C8">
            <w:pPr>
              <w:pStyle w:val="14"/>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4B48">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8274">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EF9D">
            <w:pPr>
              <w:pStyle w:val="14"/>
              <w:spacing w:beforeAutospacing="0" w:afterAutospacing="0"/>
              <w:jc w:val="center"/>
              <w:rPr>
                <w:color w:val="auto"/>
                <w:highlight w:val="none"/>
              </w:rPr>
            </w:pPr>
            <w:r>
              <w:rPr>
                <w:color w:val="auto"/>
                <w:highlight w:val="none"/>
              </w:rPr>
              <w:t> </w:t>
            </w:r>
          </w:p>
        </w:tc>
      </w:tr>
      <w:tr w14:paraId="7E139F02">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8F0C">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11B">
            <w:pPr>
              <w:pStyle w:val="14"/>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975D">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C89A">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F22D">
            <w:pPr>
              <w:pStyle w:val="14"/>
              <w:spacing w:beforeAutospacing="0" w:afterAutospacing="0"/>
              <w:jc w:val="center"/>
              <w:rPr>
                <w:color w:val="auto"/>
                <w:highlight w:val="none"/>
              </w:rPr>
            </w:pPr>
            <w:r>
              <w:rPr>
                <w:color w:val="auto"/>
                <w:highlight w:val="none"/>
              </w:rPr>
              <w:t> </w:t>
            </w:r>
          </w:p>
        </w:tc>
      </w:tr>
      <w:tr w14:paraId="28727F2E">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B9A3">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E932">
            <w:pPr>
              <w:pStyle w:val="14"/>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F104">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AF86">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0C0C">
            <w:pPr>
              <w:pStyle w:val="14"/>
              <w:spacing w:beforeAutospacing="0" w:afterAutospacing="0"/>
              <w:jc w:val="center"/>
              <w:rPr>
                <w:color w:val="auto"/>
                <w:highlight w:val="none"/>
              </w:rPr>
            </w:pPr>
            <w:r>
              <w:rPr>
                <w:color w:val="auto"/>
                <w:highlight w:val="none"/>
              </w:rPr>
              <w:t> </w:t>
            </w:r>
          </w:p>
        </w:tc>
      </w:tr>
      <w:tr w14:paraId="31400127">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8432">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0D35">
            <w:pPr>
              <w:pStyle w:val="14"/>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3486">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A41F">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7FB8">
            <w:pPr>
              <w:pStyle w:val="14"/>
              <w:spacing w:beforeAutospacing="0" w:afterAutospacing="0"/>
              <w:jc w:val="center"/>
              <w:rPr>
                <w:color w:val="auto"/>
                <w:highlight w:val="none"/>
              </w:rPr>
            </w:pPr>
            <w:r>
              <w:rPr>
                <w:color w:val="auto"/>
                <w:highlight w:val="none"/>
              </w:rPr>
              <w:t> </w:t>
            </w:r>
          </w:p>
        </w:tc>
      </w:tr>
      <w:tr w14:paraId="3665F2EC">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05EF">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678D">
            <w:pPr>
              <w:pStyle w:val="14"/>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9538">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848C">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041D">
            <w:pPr>
              <w:pStyle w:val="14"/>
              <w:spacing w:beforeAutospacing="0" w:afterAutospacing="0"/>
              <w:jc w:val="center"/>
              <w:rPr>
                <w:color w:val="auto"/>
                <w:highlight w:val="none"/>
              </w:rPr>
            </w:pPr>
            <w:r>
              <w:rPr>
                <w:color w:val="auto"/>
                <w:highlight w:val="none"/>
              </w:rPr>
              <w:t> </w:t>
            </w:r>
          </w:p>
        </w:tc>
      </w:tr>
      <w:tr w14:paraId="41BE7083">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68AF">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DCD2">
            <w:pPr>
              <w:pStyle w:val="14"/>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2004">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23EA">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4153">
            <w:pPr>
              <w:pStyle w:val="14"/>
              <w:spacing w:beforeAutospacing="0" w:afterAutospacing="0"/>
              <w:jc w:val="center"/>
              <w:rPr>
                <w:color w:val="auto"/>
                <w:highlight w:val="none"/>
              </w:rPr>
            </w:pPr>
            <w:r>
              <w:rPr>
                <w:color w:val="auto"/>
                <w:highlight w:val="none"/>
              </w:rPr>
              <w:t> </w:t>
            </w:r>
          </w:p>
        </w:tc>
      </w:tr>
      <w:tr w14:paraId="0C985F07">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FC98">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5C64">
            <w:pPr>
              <w:pStyle w:val="14"/>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AE6E">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156C">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B8FA">
            <w:pPr>
              <w:pStyle w:val="14"/>
              <w:spacing w:beforeAutospacing="0" w:afterAutospacing="0"/>
              <w:jc w:val="center"/>
              <w:rPr>
                <w:color w:val="auto"/>
                <w:highlight w:val="none"/>
              </w:rPr>
            </w:pPr>
            <w:r>
              <w:rPr>
                <w:color w:val="auto"/>
                <w:highlight w:val="none"/>
              </w:rPr>
              <w:t> </w:t>
            </w:r>
          </w:p>
        </w:tc>
      </w:tr>
      <w:tr w14:paraId="7EDA088F">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E60A">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3D52">
            <w:pPr>
              <w:pStyle w:val="14"/>
              <w:spacing w:beforeAutospacing="0" w:afterAutospacing="0"/>
              <w:jc w:val="center"/>
              <w:rPr>
                <w:color w:val="auto"/>
                <w:highlight w:val="none"/>
              </w:rPr>
            </w:pPr>
            <w:r>
              <w:rPr>
                <w:rFonts w:hint="eastAsia" w:ascii="宋体" w:hAnsi="宋体" w:eastAsia="宋体" w:cs="宋体"/>
                <w:color w:val="auto"/>
                <w:highlight w:val="none"/>
              </w:rPr>
              <w:t>……</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A8CB">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9CEB">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C727">
            <w:pPr>
              <w:pStyle w:val="14"/>
              <w:spacing w:beforeAutospacing="0" w:afterAutospacing="0"/>
              <w:jc w:val="center"/>
              <w:rPr>
                <w:color w:val="auto"/>
                <w:highlight w:val="none"/>
              </w:rPr>
            </w:pPr>
            <w:r>
              <w:rPr>
                <w:color w:val="auto"/>
                <w:highlight w:val="none"/>
              </w:rPr>
              <w:t> </w:t>
            </w:r>
          </w:p>
        </w:tc>
      </w:tr>
    </w:tbl>
    <w:p w14:paraId="72F5297B">
      <w:pPr>
        <w:pStyle w:val="14"/>
        <w:spacing w:beforeAutospacing="0" w:afterAutospacing="0"/>
        <w:jc w:val="both"/>
        <w:rPr>
          <w:color w:val="auto"/>
          <w:highlight w:val="none"/>
        </w:rPr>
      </w:pPr>
      <w:r>
        <w:rPr>
          <w:rFonts w:hint="eastAsia" w:ascii="宋体" w:hAnsi="宋体" w:eastAsia="宋体" w:cs="宋体"/>
          <w:color w:val="auto"/>
          <w:highlight w:val="none"/>
        </w:rPr>
        <w:t>注： 行数不够，可自行添加。</w:t>
      </w:r>
    </w:p>
    <w:p w14:paraId="7D76B506">
      <w:pPr>
        <w:pStyle w:val="14"/>
        <w:spacing w:beforeAutospacing="0" w:afterAutospacing="0" w:line="480" w:lineRule="auto"/>
        <w:jc w:val="both"/>
        <w:rPr>
          <w:color w:val="auto"/>
          <w:highlight w:val="none"/>
        </w:rPr>
      </w:pPr>
      <w:r>
        <w:rPr>
          <w:color w:val="auto"/>
          <w:highlight w:val="none"/>
        </w:rPr>
        <w:t> </w:t>
      </w:r>
    </w:p>
    <w:p w14:paraId="55CA87F7">
      <w:pPr>
        <w:pStyle w:val="14"/>
        <w:spacing w:beforeAutospacing="0" w:afterAutospacing="0" w:line="480" w:lineRule="auto"/>
        <w:jc w:val="both"/>
        <w:rPr>
          <w:color w:val="auto"/>
          <w:highlight w:val="none"/>
        </w:rPr>
      </w:pPr>
      <w:r>
        <w:rPr>
          <w:color w:val="auto"/>
          <w:highlight w:val="none"/>
        </w:rPr>
        <w:t> </w:t>
      </w:r>
    </w:p>
    <w:p w14:paraId="09BB21B8">
      <w:pPr>
        <w:pStyle w:val="14"/>
        <w:spacing w:beforeAutospacing="0" w:afterAutospacing="0"/>
        <w:jc w:val="center"/>
        <w:rPr>
          <w:color w:val="auto"/>
          <w:highlight w:val="none"/>
        </w:rPr>
      </w:pPr>
      <w:bookmarkStart w:id="411" w:name="_Hlt26609389"/>
      <w:bookmarkStart w:id="412" w:name="_Hlt26955066"/>
      <w:bookmarkStart w:id="413" w:name="_格式2__法定代表人授权书"/>
      <w:bookmarkStart w:id="414" w:name="_Toc462564146"/>
      <w:bookmarkStart w:id="415" w:name="_Hlt26671374"/>
      <w:r>
        <w:rPr>
          <w:color w:val="auto"/>
          <w:highlight w:val="none"/>
        </w:rPr>
        <w:t> </w:t>
      </w:r>
    </w:p>
    <w:p w14:paraId="44E1DEF6">
      <w:pPr>
        <w:pStyle w:val="14"/>
        <w:spacing w:beforeAutospacing="0" w:afterAutospacing="0"/>
        <w:jc w:val="center"/>
        <w:rPr>
          <w:color w:val="auto"/>
          <w:highlight w:val="none"/>
        </w:rPr>
      </w:pPr>
      <w:r>
        <w:rPr>
          <w:color w:val="auto"/>
          <w:highlight w:val="none"/>
        </w:rPr>
        <w:t> </w:t>
      </w:r>
    </w:p>
    <w:p w14:paraId="1169076F">
      <w:pPr>
        <w:pStyle w:val="14"/>
        <w:spacing w:beforeAutospacing="0" w:afterAutospacing="0"/>
        <w:jc w:val="center"/>
        <w:rPr>
          <w:color w:val="auto"/>
          <w:highlight w:val="none"/>
        </w:rPr>
      </w:pPr>
      <w:r>
        <w:rPr>
          <w:color w:val="auto"/>
          <w:highlight w:val="none"/>
        </w:rPr>
        <w:t> </w:t>
      </w:r>
    </w:p>
    <w:p w14:paraId="05F6A496">
      <w:pPr>
        <w:pStyle w:val="14"/>
        <w:spacing w:beforeAutospacing="0" w:afterAutospacing="0"/>
        <w:jc w:val="center"/>
        <w:rPr>
          <w:color w:val="auto"/>
          <w:highlight w:val="none"/>
        </w:rPr>
      </w:pPr>
      <w:r>
        <w:rPr>
          <w:color w:val="auto"/>
          <w:highlight w:val="none"/>
        </w:rPr>
        <w:t> </w:t>
      </w:r>
    </w:p>
    <w:p w14:paraId="0CA17605">
      <w:pPr>
        <w:pStyle w:val="14"/>
        <w:spacing w:beforeAutospacing="0" w:afterAutospacing="0"/>
        <w:jc w:val="center"/>
        <w:rPr>
          <w:color w:val="auto"/>
          <w:highlight w:val="none"/>
        </w:rPr>
      </w:pPr>
      <w:r>
        <w:rPr>
          <w:color w:val="auto"/>
          <w:highlight w:val="none"/>
        </w:rPr>
        <w:t> </w:t>
      </w:r>
    </w:p>
    <w:p w14:paraId="0F9F9845">
      <w:pPr>
        <w:pStyle w:val="14"/>
        <w:spacing w:beforeAutospacing="0" w:afterAutospacing="0"/>
        <w:jc w:val="center"/>
        <w:rPr>
          <w:color w:val="auto"/>
          <w:highlight w:val="none"/>
        </w:rPr>
      </w:pPr>
      <w:r>
        <w:rPr>
          <w:color w:val="auto"/>
          <w:highlight w:val="none"/>
        </w:rPr>
        <w:t> </w:t>
      </w:r>
    </w:p>
    <w:p w14:paraId="6AB78516">
      <w:pPr>
        <w:pStyle w:val="14"/>
        <w:spacing w:beforeAutospacing="0" w:afterAutospacing="0"/>
        <w:jc w:val="center"/>
        <w:rPr>
          <w:color w:val="auto"/>
          <w:highlight w:val="none"/>
        </w:rPr>
      </w:pPr>
    </w:p>
    <w:p w14:paraId="1B596214">
      <w:pPr>
        <w:pStyle w:val="14"/>
        <w:spacing w:beforeAutospacing="0" w:afterAutospacing="0"/>
        <w:jc w:val="center"/>
        <w:rPr>
          <w:color w:val="auto"/>
          <w:highlight w:val="none"/>
        </w:rPr>
      </w:pPr>
    </w:p>
    <w:p w14:paraId="27ED14E9">
      <w:pPr>
        <w:pStyle w:val="14"/>
        <w:spacing w:beforeAutospacing="0" w:afterAutospacing="0"/>
        <w:jc w:val="center"/>
        <w:rPr>
          <w:color w:val="auto"/>
          <w:highlight w:val="none"/>
        </w:rPr>
      </w:pPr>
    </w:p>
    <w:p w14:paraId="71ECEF7A">
      <w:pPr>
        <w:pStyle w:val="14"/>
        <w:spacing w:beforeAutospacing="0" w:afterAutospacing="0"/>
        <w:jc w:val="center"/>
        <w:rPr>
          <w:color w:val="auto"/>
          <w:highlight w:val="none"/>
        </w:rPr>
      </w:pPr>
    </w:p>
    <w:p w14:paraId="29458EB7">
      <w:pPr>
        <w:pStyle w:val="14"/>
        <w:spacing w:beforeAutospacing="0" w:afterAutospacing="0"/>
        <w:jc w:val="center"/>
        <w:rPr>
          <w:color w:val="auto"/>
          <w:highlight w:val="none"/>
        </w:rPr>
      </w:pPr>
    </w:p>
    <w:p w14:paraId="30AAA3A2">
      <w:pPr>
        <w:pStyle w:val="14"/>
        <w:spacing w:beforeAutospacing="0" w:afterAutospacing="0"/>
        <w:jc w:val="center"/>
        <w:rPr>
          <w:color w:val="auto"/>
          <w:highlight w:val="none"/>
        </w:rPr>
      </w:pPr>
    </w:p>
    <w:p w14:paraId="679B67E8">
      <w:pPr>
        <w:pStyle w:val="14"/>
        <w:spacing w:beforeAutospacing="0" w:afterAutospacing="0"/>
        <w:jc w:val="center"/>
        <w:rPr>
          <w:color w:val="auto"/>
          <w:highlight w:val="none"/>
        </w:rPr>
      </w:pPr>
    </w:p>
    <w:p w14:paraId="2635429C">
      <w:pPr>
        <w:pStyle w:val="14"/>
        <w:spacing w:beforeAutospacing="0" w:afterAutospacing="0"/>
        <w:jc w:val="center"/>
        <w:rPr>
          <w:color w:val="auto"/>
          <w:highlight w:val="none"/>
        </w:rPr>
      </w:pPr>
    </w:p>
    <w:p w14:paraId="5E2E9E0A">
      <w:pPr>
        <w:pStyle w:val="14"/>
        <w:spacing w:beforeAutospacing="0" w:afterAutospacing="0"/>
        <w:jc w:val="center"/>
        <w:rPr>
          <w:color w:val="auto"/>
          <w:highlight w:val="none"/>
        </w:rPr>
      </w:pPr>
    </w:p>
    <w:p w14:paraId="4926D1B4">
      <w:pPr>
        <w:pStyle w:val="14"/>
        <w:spacing w:beforeAutospacing="0" w:afterAutospacing="0"/>
        <w:jc w:val="center"/>
        <w:rPr>
          <w:color w:val="auto"/>
          <w:highlight w:val="none"/>
        </w:rPr>
      </w:pPr>
      <w:r>
        <w:rPr>
          <w:color w:val="auto"/>
          <w:highlight w:val="none"/>
        </w:rPr>
        <w:t> </w:t>
      </w:r>
    </w:p>
    <w:p w14:paraId="4F0FC846">
      <w:pPr>
        <w:pStyle w:val="14"/>
        <w:spacing w:beforeAutospacing="0" w:afterAutospacing="0"/>
        <w:jc w:val="center"/>
        <w:rPr>
          <w:color w:val="auto"/>
          <w:highlight w:val="none"/>
        </w:rPr>
      </w:pPr>
      <w:r>
        <w:rPr>
          <w:color w:val="auto"/>
          <w:highlight w:val="none"/>
        </w:rPr>
        <w:t> </w:t>
      </w:r>
    </w:p>
    <w:p w14:paraId="1130F238">
      <w:pPr>
        <w:pStyle w:val="14"/>
        <w:spacing w:beforeAutospacing="0" w:afterAutospacing="0"/>
        <w:jc w:val="center"/>
        <w:rPr>
          <w:color w:val="auto"/>
          <w:highlight w:val="none"/>
        </w:rPr>
      </w:pPr>
      <w:r>
        <w:rPr>
          <w:color w:val="auto"/>
          <w:highlight w:val="none"/>
        </w:rPr>
        <w:t> </w:t>
      </w:r>
    </w:p>
    <w:p w14:paraId="39051F3D">
      <w:pPr>
        <w:pStyle w:val="14"/>
        <w:spacing w:beforeAutospacing="0" w:afterAutospacing="0"/>
        <w:jc w:val="both"/>
        <w:rPr>
          <w:color w:val="auto"/>
          <w:highlight w:val="none"/>
        </w:rPr>
      </w:pPr>
      <w:r>
        <w:rPr>
          <w:color w:val="auto"/>
          <w:highlight w:val="none"/>
        </w:rPr>
        <w:t> </w:t>
      </w:r>
    </w:p>
    <w:p w14:paraId="38D18C02">
      <w:pPr>
        <w:pBdr>
          <w:top w:val="none" w:color="000000" w:sz="0" w:space="0"/>
          <w:left w:val="none" w:color="000000" w:sz="0" w:space="0"/>
          <w:bottom w:val="none" w:color="000000" w:sz="0" w:space="0"/>
          <w:right w:val="none" w:color="000000" w:sz="0" w:space="0"/>
        </w:pBdr>
        <w:spacing w:line="85" w:lineRule="atLeast"/>
        <w:jc w:val="center"/>
        <w:rPr>
          <w:color w:val="auto"/>
          <w:highlight w:val="none"/>
        </w:rPr>
      </w:pPr>
      <w:r>
        <w:rPr>
          <w:rFonts w:hint="eastAsia" w:ascii="黑体" w:hAnsi="宋体" w:eastAsia="黑体" w:cs="黑体"/>
          <w:b/>
          <w:i/>
          <w:color w:val="auto"/>
          <w:sz w:val="32"/>
          <w:szCs w:val="32"/>
          <w:highlight w:val="none"/>
          <w:u w:val="single"/>
        </w:rPr>
        <w:t>十</w:t>
      </w:r>
      <w:r>
        <w:rPr>
          <w:rFonts w:hint="eastAsia" w:ascii="黑体" w:hAnsi="宋体" w:eastAsia="黑体" w:cs="黑体"/>
          <w:b/>
          <w:i/>
          <w:color w:val="auto"/>
          <w:sz w:val="32"/>
          <w:szCs w:val="32"/>
          <w:highlight w:val="none"/>
          <w:u w:val="single"/>
          <w:lang w:val="en-US" w:eastAsia="zh-CN"/>
        </w:rPr>
        <w:t>四</w:t>
      </w:r>
      <w:r>
        <w:rPr>
          <w:rFonts w:hint="eastAsia" w:ascii="黑体" w:hAnsi="宋体" w:eastAsia="黑体" w:cs="黑体"/>
          <w:b/>
          <w:i/>
          <w:color w:val="auto"/>
          <w:sz w:val="32"/>
          <w:szCs w:val="32"/>
          <w:highlight w:val="none"/>
          <w:u w:val="single"/>
        </w:rPr>
        <w:t>、</w:t>
      </w:r>
      <w:bookmarkStart w:id="416" w:name="OLE_LINK13"/>
      <w:r>
        <w:rPr>
          <w:rFonts w:ascii="黑体" w:hAnsi="黑体" w:eastAsia="黑体" w:cs="黑体"/>
          <w:b/>
          <w:color w:val="auto"/>
          <w:sz w:val="28"/>
          <w:highlight w:val="none"/>
        </w:rPr>
        <w:t>询价报价单（开标一览表）</w:t>
      </w:r>
      <w:bookmarkEnd w:id="416"/>
    </w:p>
    <w:p w14:paraId="0156AA14">
      <w:pPr>
        <w:adjustRightInd w:val="0"/>
        <w:snapToGrid w:val="0"/>
        <w:spacing w:line="360" w:lineRule="auto"/>
        <w:ind w:firstLine="3360" w:firstLineChars="1400"/>
        <w:rPr>
          <w:color w:val="auto"/>
          <w:sz w:val="24"/>
          <w:highlight w:val="none"/>
        </w:rPr>
      </w:pPr>
    </w:p>
    <w:p w14:paraId="6B9A03E1">
      <w:pPr>
        <w:pBdr>
          <w:top w:val="none" w:color="000000" w:sz="0" w:space="0"/>
          <w:left w:val="none" w:color="000000" w:sz="0" w:space="0"/>
          <w:bottom w:val="none" w:color="000000" w:sz="0" w:space="0"/>
          <w:right w:val="none" w:color="000000" w:sz="0" w:space="0"/>
        </w:pBdr>
        <w:rPr>
          <w:rFonts w:ascii="仿宋" w:hAnsi="仿宋" w:eastAsia="仿宋" w:cs="仿宋"/>
          <w:color w:val="auto"/>
          <w:szCs w:val="21"/>
          <w:highlight w:val="none"/>
        </w:rPr>
      </w:pPr>
      <w:r>
        <w:rPr>
          <w:rFonts w:hint="eastAsia" w:ascii="仿宋" w:hAnsi="仿宋" w:eastAsia="仿宋" w:cs="仿宋"/>
          <w:color w:val="auto"/>
          <w:szCs w:val="21"/>
          <w:highlight w:val="none"/>
        </w:rPr>
        <w:t>项目编号：</w:t>
      </w:r>
    </w:p>
    <w:p w14:paraId="2D392F85">
      <w:pPr>
        <w:pBdr>
          <w:top w:val="none" w:color="000000" w:sz="0" w:space="0"/>
          <w:left w:val="none" w:color="000000" w:sz="0" w:space="0"/>
          <w:bottom w:val="none" w:color="000000" w:sz="0" w:space="0"/>
          <w:right w:val="none" w:color="000000" w:sz="0" w:space="0"/>
        </w:pBdr>
        <w:rPr>
          <w:rFonts w:ascii="仿宋" w:hAnsi="仿宋" w:eastAsia="仿宋" w:cs="仿宋"/>
          <w:color w:val="auto"/>
          <w:szCs w:val="21"/>
          <w:highlight w:val="none"/>
        </w:rPr>
      </w:pPr>
      <w:r>
        <w:rPr>
          <w:rFonts w:hint="eastAsia" w:ascii="仿宋" w:hAnsi="仿宋" w:eastAsia="仿宋" w:cs="仿宋"/>
          <w:color w:val="auto"/>
          <w:szCs w:val="21"/>
          <w:highlight w:val="none"/>
        </w:rPr>
        <w:t>货币单位：人民币元</w:t>
      </w:r>
    </w:p>
    <w:tbl>
      <w:tblPr>
        <w:tblStyle w:val="15"/>
        <w:tblW w:w="0" w:type="auto"/>
        <w:tblCellSpacing w:w="0"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6"/>
        <w:gridCol w:w="1884"/>
        <w:gridCol w:w="3515"/>
        <w:gridCol w:w="1814"/>
      </w:tblGrid>
      <w:tr w14:paraId="53114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blCellSpacing w:w="0" w:type="dxa"/>
        </w:trPr>
        <w:tc>
          <w:tcPr>
            <w:tcW w:w="14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70296">
            <w:pPr>
              <w:pBdr>
                <w:top w:val="none" w:color="000000" w:sz="0" w:space="0"/>
                <w:left w:val="none" w:color="000000" w:sz="0" w:space="0"/>
                <w:bottom w:val="none" w:color="000000" w:sz="0" w:space="0"/>
                <w:right w:val="none" w:color="000000" w:sz="0" w:space="0"/>
              </w:pBdr>
              <w:jc w:val="both"/>
              <w:rPr>
                <w:rFonts w:ascii="仿宋" w:hAnsi="仿宋" w:eastAsia="仿宋" w:cs="仿宋"/>
                <w:color w:val="auto"/>
                <w:szCs w:val="21"/>
                <w:highlight w:val="none"/>
              </w:rPr>
            </w:pPr>
            <w:r>
              <w:rPr>
                <w:rFonts w:hint="eastAsia" w:ascii="仿宋" w:hAnsi="仿宋" w:eastAsia="仿宋" w:cs="仿宋"/>
                <w:color w:val="auto"/>
                <w:szCs w:val="21"/>
                <w:highlight w:val="none"/>
              </w:rPr>
              <w:t>货物名称</w:t>
            </w:r>
          </w:p>
        </w:tc>
        <w:tc>
          <w:tcPr>
            <w:tcW w:w="18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2B564">
            <w:pPr>
              <w:pBdr>
                <w:top w:val="none" w:color="000000" w:sz="0" w:space="0"/>
                <w:left w:val="none" w:color="000000" w:sz="0" w:space="0"/>
                <w:bottom w:val="none" w:color="000000" w:sz="0" w:space="0"/>
                <w:right w:val="none" w:color="000000" w:sz="0" w:space="0"/>
              </w:pBdr>
              <w:rPr>
                <w:rFonts w:ascii="仿宋" w:hAnsi="仿宋" w:eastAsia="仿宋" w:cs="仿宋"/>
                <w:color w:val="auto"/>
                <w:szCs w:val="21"/>
                <w:highlight w:val="none"/>
              </w:rPr>
            </w:pPr>
            <w:r>
              <w:rPr>
                <w:rFonts w:ascii="仿宋" w:hAnsi="仿宋" w:eastAsia="仿宋" w:cs="仿宋"/>
                <w:color w:val="auto"/>
                <w:szCs w:val="21"/>
                <w:highlight w:val="none"/>
              </w:rPr>
              <w:t>报价项目品牌、规格、型号</w:t>
            </w:r>
          </w:p>
        </w:tc>
        <w:tc>
          <w:tcPr>
            <w:tcW w:w="3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19F95">
            <w:pPr>
              <w:pBdr>
                <w:top w:val="none" w:color="000000" w:sz="0" w:space="0"/>
                <w:left w:val="none" w:color="000000" w:sz="0" w:space="0"/>
                <w:bottom w:val="none" w:color="000000" w:sz="0" w:space="0"/>
                <w:right w:val="none" w:color="000000" w:sz="0" w:space="0"/>
              </w:pBdr>
              <w:rPr>
                <w:rFonts w:ascii="仿宋" w:hAnsi="仿宋" w:eastAsia="仿宋" w:cs="仿宋"/>
                <w:color w:val="auto"/>
                <w:szCs w:val="21"/>
                <w:highlight w:val="none"/>
              </w:rPr>
            </w:pPr>
            <w:r>
              <w:rPr>
                <w:rFonts w:hint="eastAsia" w:ascii="仿宋" w:hAnsi="仿宋" w:eastAsia="仿宋" w:cs="仿宋"/>
                <w:color w:val="auto"/>
                <w:szCs w:val="21"/>
                <w:highlight w:val="none"/>
              </w:rPr>
              <w:t>单价（小写）</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6D41DD81">
            <w:pPr>
              <w:pBdr>
                <w:top w:val="none" w:color="000000" w:sz="0" w:space="0"/>
                <w:left w:val="none" w:color="000000" w:sz="0" w:space="0"/>
                <w:bottom w:val="none" w:color="000000" w:sz="0" w:space="0"/>
                <w:right w:val="none" w:color="000000" w:sz="0" w:space="0"/>
              </w:pBd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投标总数量（kg）</w:t>
            </w:r>
          </w:p>
        </w:tc>
      </w:tr>
      <w:tr w14:paraId="72D21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blCellSpacing w:w="0" w:type="dxa"/>
        </w:trPr>
        <w:tc>
          <w:tcPr>
            <w:tcW w:w="14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89700">
            <w:pPr>
              <w:bidi w:val="0"/>
              <w:rPr>
                <w:color w:val="auto"/>
                <w:highlight w:val="none"/>
              </w:rPr>
            </w:pPr>
            <w:r>
              <w:rPr>
                <w:rFonts w:hint="eastAsia" w:ascii="仿宋" w:hAnsi="仿宋" w:eastAsia="仿宋" w:cs="仿宋"/>
                <w:color w:val="auto"/>
                <w:szCs w:val="21"/>
                <w:highlight w:val="none"/>
                <w:lang w:val="en-US" w:eastAsia="zh-CN"/>
              </w:rPr>
              <w:t>40%</w:t>
            </w:r>
            <w:r>
              <w:rPr>
                <w:rFonts w:hint="eastAsia" w:ascii="仿宋" w:hAnsi="仿宋" w:eastAsia="仿宋" w:cs="仿宋"/>
                <w:color w:val="auto"/>
                <w:szCs w:val="21"/>
                <w:highlight w:val="none"/>
              </w:rPr>
              <w:t>甲氧·</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茚虫威悬浮剂</w:t>
            </w:r>
          </w:p>
        </w:tc>
        <w:tc>
          <w:tcPr>
            <w:tcW w:w="18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60512">
            <w:pPr>
              <w:pBdr>
                <w:top w:val="none" w:color="000000" w:sz="0" w:space="0"/>
                <w:left w:val="none" w:color="000000" w:sz="0" w:space="0"/>
                <w:bottom w:val="none" w:color="000000" w:sz="0" w:space="0"/>
                <w:right w:val="none" w:color="000000" w:sz="0" w:space="0"/>
              </w:pBdr>
              <w:rPr>
                <w:rFonts w:ascii="仿宋" w:hAnsi="仿宋" w:eastAsia="仿宋" w:cs="仿宋"/>
                <w:color w:val="auto"/>
                <w:szCs w:val="21"/>
                <w:highlight w:val="none"/>
              </w:rPr>
            </w:pPr>
            <w:r>
              <w:rPr>
                <w:rFonts w:hint="eastAsia" w:ascii="仿宋" w:hAnsi="仿宋" w:eastAsia="仿宋" w:cs="仿宋"/>
                <w:color w:val="auto"/>
                <w:szCs w:val="21"/>
                <w:highlight w:val="none"/>
              </w:rPr>
              <w:t>详见投标文件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88683">
            <w:pPr>
              <w:pBdr>
                <w:top w:val="none" w:color="000000" w:sz="0" w:space="0"/>
                <w:left w:val="none" w:color="000000" w:sz="0" w:space="0"/>
                <w:bottom w:val="none" w:color="000000" w:sz="0" w:space="0"/>
                <w:right w:val="none" w:color="000000" w:sz="0" w:space="0"/>
              </w:pBdr>
              <w:ind w:firstLine="482"/>
              <w:rPr>
                <w:rFonts w:hint="eastAsia" w:ascii="仿宋" w:hAnsi="仿宋" w:eastAsia="仿宋" w:cs="仿宋"/>
                <w:color w:val="auto"/>
                <w:szCs w:val="21"/>
                <w:highlight w:val="none"/>
                <w:lang w:eastAsia="zh-CN"/>
              </w:rPr>
            </w:pPr>
            <w:r>
              <w:rPr>
                <w:rFonts w:ascii="Calibri" w:hAnsi="Calibri" w:eastAsia="仿宋" w:cs="Calibri"/>
                <w:color w:val="auto"/>
                <w:szCs w:val="21"/>
                <w:highlight w:val="none"/>
                <w:u w:val="single"/>
              </w:rPr>
              <w:t> </w:t>
            </w:r>
            <w:r>
              <w:rPr>
                <w:rFonts w:hint="eastAsia" w:ascii="Calibri" w:hAnsi="Calibri" w:eastAsia="仿宋" w:cs="Calibri"/>
                <w:color w:val="auto"/>
                <w:szCs w:val="21"/>
                <w:highlight w:val="none"/>
                <w:u w:val="single"/>
                <w:lang w:val="en-US" w:eastAsia="zh-CN"/>
              </w:rPr>
              <w:t xml:space="preserve">       </w:t>
            </w:r>
            <w:r>
              <w:rPr>
                <w:rFonts w:hint="eastAsia" w:ascii="仿宋" w:hAnsi="仿宋" w:eastAsia="仿宋" w:cs="仿宋"/>
                <w:color w:val="auto"/>
                <w:szCs w:val="21"/>
                <w:highlight w:val="none"/>
              </w:rPr>
              <w:t>元/</w:t>
            </w:r>
            <w:r>
              <w:rPr>
                <w:rFonts w:hint="eastAsia" w:ascii="仿宋" w:hAnsi="仿宋" w:eastAsia="仿宋" w:cs="仿宋"/>
                <w:color w:val="auto"/>
                <w:szCs w:val="21"/>
                <w:highlight w:val="none"/>
                <w:lang w:val="en-US" w:eastAsia="zh-CN"/>
              </w:rPr>
              <w:t>kg</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5F627226">
            <w:pPr>
              <w:pBdr>
                <w:top w:val="none" w:color="000000" w:sz="0" w:space="0"/>
                <w:left w:val="none" w:color="000000" w:sz="0" w:space="0"/>
                <w:bottom w:val="none" w:color="000000" w:sz="0" w:space="0"/>
                <w:right w:val="none" w:color="000000" w:sz="0" w:space="0"/>
              </w:pBdr>
              <w:ind w:firstLine="482"/>
              <w:rPr>
                <w:rFonts w:ascii="仿宋" w:hAnsi="仿宋" w:eastAsia="仿宋" w:cs="仿宋"/>
                <w:color w:val="auto"/>
                <w:szCs w:val="21"/>
                <w:highlight w:val="none"/>
              </w:rPr>
            </w:pPr>
            <w:r>
              <w:rPr>
                <w:rFonts w:ascii="Calibri" w:hAnsi="Calibri" w:eastAsia="仿宋" w:cs="Calibri"/>
                <w:color w:val="auto"/>
                <w:szCs w:val="21"/>
                <w:highlight w:val="none"/>
              </w:rPr>
              <w:t> </w:t>
            </w:r>
          </w:p>
        </w:tc>
      </w:tr>
      <w:tr w14:paraId="16DFA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blCellSpacing w:w="0" w:type="dxa"/>
        </w:trPr>
        <w:tc>
          <w:tcPr>
            <w:tcW w:w="8689" w:type="dxa"/>
            <w:gridSpan w:val="4"/>
            <w:tcBorders>
              <w:top w:val="single" w:color="000000" w:sz="4" w:space="0"/>
              <w:left w:val="single" w:color="000000" w:sz="4" w:space="0"/>
              <w:bottom w:val="single" w:color="000000" w:sz="4" w:space="0"/>
              <w:right w:val="single" w:color="000000" w:sz="4" w:space="0"/>
            </w:tcBorders>
            <w:noWrap w:val="0"/>
            <w:vAlign w:val="center"/>
          </w:tcPr>
          <w:p w14:paraId="2806F21D">
            <w:pPr>
              <w:pBdr>
                <w:top w:val="none" w:color="000000" w:sz="0" w:space="0"/>
                <w:left w:val="none" w:color="000000" w:sz="0" w:space="0"/>
                <w:bottom w:val="none" w:color="000000" w:sz="0" w:space="0"/>
                <w:right w:val="none" w:color="000000" w:sz="0" w:space="0"/>
              </w:pBdr>
              <w:ind w:firstLine="482"/>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单价(大写): </w:t>
            </w:r>
            <w:r>
              <w:rPr>
                <w:rFonts w:hint="eastAsia" w:ascii="仿宋" w:hAnsi="仿宋" w:eastAsia="仿宋" w:cs="仿宋"/>
                <w:color w:val="auto"/>
                <w:szCs w:val="21"/>
                <w:highlight w:val="none"/>
                <w:lang w:val="en-US" w:eastAsia="zh-CN"/>
              </w:rPr>
              <w:t xml:space="preserve">         </w:t>
            </w:r>
          </w:p>
        </w:tc>
      </w:tr>
    </w:tbl>
    <w:p w14:paraId="5FA7CC2E">
      <w:pPr>
        <w:pBdr>
          <w:top w:val="none" w:color="000000" w:sz="0" w:space="0"/>
          <w:left w:val="none" w:color="000000" w:sz="0" w:space="0"/>
          <w:bottom w:val="none" w:color="000000" w:sz="0" w:space="0"/>
          <w:right w:val="none" w:color="000000" w:sz="0" w:space="0"/>
        </w:pBdr>
        <w:ind w:firstLine="482"/>
        <w:rPr>
          <w:rFonts w:ascii="仿宋" w:hAnsi="仿宋" w:eastAsia="仿宋" w:cs="仿宋"/>
          <w:color w:val="auto"/>
          <w:szCs w:val="21"/>
          <w:highlight w:val="none"/>
        </w:rPr>
      </w:pPr>
      <w:r>
        <w:rPr>
          <w:rFonts w:ascii="Calibri" w:hAnsi="Calibri" w:eastAsia="仿宋" w:cs="Calibri"/>
          <w:color w:val="auto"/>
          <w:szCs w:val="21"/>
          <w:highlight w:val="none"/>
        </w:rPr>
        <w:t> </w:t>
      </w:r>
    </w:p>
    <w:p w14:paraId="33FC1DC2">
      <w:pPr>
        <w:pBdr>
          <w:top w:val="none" w:color="000000" w:sz="0" w:space="0"/>
          <w:left w:val="none" w:color="000000" w:sz="0" w:space="0"/>
          <w:bottom w:val="none" w:color="000000" w:sz="0" w:space="0"/>
          <w:right w:val="none" w:color="000000" w:sz="0" w:space="0"/>
        </w:pBdr>
        <w:ind w:firstLine="482"/>
        <w:jc w:val="left"/>
        <w:rPr>
          <w:rFonts w:hint="eastAsia"/>
          <w:b/>
          <w:bCs/>
          <w:i/>
          <w:iCs/>
          <w:color w:val="auto"/>
          <w:highlight w:val="none"/>
          <w:u w:val="single"/>
          <w:lang w:val="en-US" w:eastAsia="zh-CN"/>
        </w:rPr>
      </w:pPr>
      <w:r>
        <w:rPr>
          <w:rFonts w:hint="eastAsia"/>
          <w:b/>
          <w:bCs/>
          <w:i/>
          <w:iCs/>
          <w:color w:val="auto"/>
          <w:highlight w:val="none"/>
          <w:u w:val="single"/>
          <w:lang w:val="en-US" w:eastAsia="zh-CN"/>
        </w:rPr>
        <w:t>1、投标报价时，填写的单价=预算金额/拟投标数量。</w:t>
      </w:r>
    </w:p>
    <w:p w14:paraId="50A87D1F">
      <w:pPr>
        <w:pBdr>
          <w:top w:val="none" w:color="000000" w:sz="0" w:space="0"/>
          <w:left w:val="none" w:color="000000" w:sz="0" w:space="0"/>
          <w:bottom w:val="none" w:color="000000" w:sz="0" w:space="0"/>
          <w:right w:val="none" w:color="000000" w:sz="0" w:space="0"/>
        </w:pBdr>
        <w:ind w:firstLine="482"/>
        <w:jc w:val="left"/>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本次报价为单价，大小写不一致以大写为准。</w:t>
      </w:r>
    </w:p>
    <w:p w14:paraId="3145C02C">
      <w:pPr>
        <w:pStyle w:val="14"/>
        <w:widowControl w:val="0"/>
        <w:tabs>
          <w:tab w:val="left" w:pos="4864"/>
        </w:tabs>
        <w:spacing w:before="0" w:beforeAutospacing="0" w:after="0" w:afterAutospacing="0" w:line="0" w:lineRule="atLeast"/>
        <w:ind w:right="1560" w:firstLine="624"/>
        <w:jc w:val="center"/>
        <w:rPr>
          <w:rFonts w:hint="eastAsia"/>
          <w:color w:val="auto"/>
          <w:highlight w:val="none"/>
        </w:rPr>
      </w:pPr>
      <w:bookmarkStart w:id="417" w:name="OLE_LINK20"/>
      <w:r>
        <w:rPr>
          <w:rFonts w:hint="eastAsia"/>
          <w:color w:val="auto"/>
          <w:highlight w:val="none"/>
        </w:rPr>
        <w:t xml:space="preserve">                     </w:t>
      </w:r>
    </w:p>
    <w:p w14:paraId="4C08D6F5">
      <w:pPr>
        <w:pStyle w:val="14"/>
        <w:widowControl w:val="0"/>
        <w:tabs>
          <w:tab w:val="left" w:pos="4864"/>
        </w:tabs>
        <w:spacing w:before="0" w:beforeAutospacing="0" w:after="0" w:afterAutospacing="0" w:line="0" w:lineRule="atLeast"/>
        <w:ind w:right="1560" w:firstLine="624"/>
        <w:jc w:val="right"/>
        <w:rPr>
          <w:rFonts w:hint="eastAsia"/>
          <w:color w:val="auto"/>
          <w:highlight w:val="none"/>
          <w:lang w:val="en-US" w:eastAsia="zh-CN"/>
        </w:rPr>
      </w:pPr>
      <w:r>
        <w:rPr>
          <w:rFonts w:hint="eastAsia"/>
          <w:color w:val="auto"/>
          <w:highlight w:val="none"/>
          <w:lang w:val="en-US" w:eastAsia="zh-CN"/>
        </w:rPr>
        <w:t xml:space="preserve"> </w:t>
      </w:r>
    </w:p>
    <w:p w14:paraId="47368FAC">
      <w:pPr>
        <w:pStyle w:val="14"/>
        <w:widowControl w:val="0"/>
        <w:tabs>
          <w:tab w:val="left" w:pos="4864"/>
        </w:tabs>
        <w:spacing w:before="0" w:beforeAutospacing="0" w:after="0" w:afterAutospacing="0" w:line="0" w:lineRule="atLeast"/>
        <w:ind w:right="1560" w:firstLine="624"/>
        <w:jc w:val="right"/>
        <w:rPr>
          <w:color w:val="auto"/>
          <w:highlight w:val="none"/>
        </w:rPr>
      </w:pPr>
      <w:r>
        <w:rPr>
          <w:rFonts w:hint="eastAsia"/>
          <w:color w:val="auto"/>
          <w:highlight w:val="none"/>
        </w:rPr>
        <w:t>供应商全称（加盖CA电子公章）：</w:t>
      </w:r>
    </w:p>
    <w:p w14:paraId="26CF6F4A">
      <w:pPr>
        <w:pStyle w:val="14"/>
        <w:widowControl w:val="0"/>
        <w:tabs>
          <w:tab w:val="left" w:pos="4864"/>
        </w:tabs>
        <w:spacing w:before="0" w:beforeAutospacing="0" w:after="0" w:afterAutospacing="0" w:line="0" w:lineRule="atLeast"/>
        <w:ind w:right="1560" w:firstLine="480"/>
        <w:jc w:val="right"/>
        <w:rPr>
          <w:color w:val="auto"/>
          <w:highlight w:val="none"/>
        </w:rPr>
      </w:pPr>
      <w:r>
        <w:rPr>
          <w:rFonts w:hint="eastAsia"/>
          <w:color w:val="auto"/>
          <w:highlight w:val="none"/>
        </w:rPr>
        <w:t>     日  期：</w:t>
      </w:r>
    </w:p>
    <w:bookmarkEnd w:id="417"/>
    <w:p w14:paraId="5D810D7D">
      <w:pPr>
        <w:pBdr>
          <w:top w:val="none" w:color="000000" w:sz="0" w:space="0"/>
          <w:left w:val="none" w:color="000000" w:sz="0" w:space="0"/>
          <w:bottom w:val="none" w:color="000000" w:sz="0" w:space="0"/>
          <w:right w:val="none" w:color="000000" w:sz="0" w:space="0"/>
        </w:pBdr>
        <w:ind w:firstLine="482"/>
        <w:rPr>
          <w:rFonts w:ascii="宋体" w:hAnsi="宋体" w:cs="宋体"/>
          <w:b/>
          <w:color w:val="auto"/>
          <w:sz w:val="24"/>
          <w:highlight w:val="none"/>
        </w:rPr>
      </w:pPr>
    </w:p>
    <w:p w14:paraId="3DDA8433">
      <w:pPr>
        <w:pBdr>
          <w:top w:val="none" w:color="000000" w:sz="0" w:space="0"/>
          <w:left w:val="none" w:color="000000" w:sz="0" w:space="0"/>
          <w:bottom w:val="none" w:color="000000" w:sz="0" w:space="0"/>
          <w:right w:val="none" w:color="000000" w:sz="0" w:space="0"/>
        </w:pBdr>
        <w:ind w:firstLine="482"/>
        <w:rPr>
          <w:color w:val="auto"/>
          <w:highlight w:val="none"/>
        </w:rPr>
      </w:pPr>
      <w:r>
        <w:rPr>
          <w:rFonts w:ascii="宋体" w:hAnsi="宋体" w:cs="宋体"/>
          <w:b/>
          <w:color w:val="auto"/>
          <w:sz w:val="24"/>
          <w:highlight w:val="none"/>
        </w:rPr>
        <w:t>供应商须一次报出不得更改的价格。</w:t>
      </w:r>
    </w:p>
    <w:p w14:paraId="706B2B4C">
      <w:pPr>
        <w:pBdr>
          <w:top w:val="none" w:color="000000" w:sz="0" w:space="0"/>
          <w:left w:val="none" w:color="000000" w:sz="0" w:space="0"/>
          <w:bottom w:val="none" w:color="000000" w:sz="0" w:space="0"/>
          <w:right w:val="none" w:color="000000" w:sz="0" w:space="0"/>
        </w:pBdr>
        <w:ind w:firstLine="480"/>
        <w:rPr>
          <w:color w:val="auto"/>
          <w:highlight w:val="none"/>
        </w:rPr>
      </w:pPr>
      <w:r>
        <w:rPr>
          <w:rFonts w:ascii="宋体" w:hAnsi="宋体" w:cs="宋体"/>
          <w:color w:val="auto"/>
          <w:sz w:val="24"/>
          <w:highlight w:val="none"/>
        </w:rPr>
        <w:t>注：报价要求</w:t>
      </w:r>
    </w:p>
    <w:p w14:paraId="27C5216F">
      <w:pPr>
        <w:ind w:firstLine="482"/>
        <w:rPr>
          <w:color w:val="auto"/>
          <w:highlight w:val="none"/>
        </w:rPr>
      </w:pPr>
      <w:r>
        <w:rPr>
          <w:rFonts w:hint="eastAsia" w:ascii="宋体" w:hAnsi="宋体" w:cs="宋体"/>
          <w:b/>
          <w:color w:val="auto"/>
          <w:sz w:val="24"/>
          <w:highlight w:val="none"/>
        </w:rPr>
        <w:t>1、应满足采购人的采购需求，供应商应在预算价范围内最大限度的提供货物数量，合价不得超过预算价。</w:t>
      </w:r>
    </w:p>
    <w:p w14:paraId="2741EC23">
      <w:pPr>
        <w:ind w:firstLine="480"/>
        <w:rPr>
          <w:color w:val="auto"/>
          <w:highlight w:val="none"/>
        </w:rPr>
      </w:pPr>
      <w:r>
        <w:rPr>
          <w:rFonts w:hint="eastAsia" w:ascii="宋体" w:hAnsi="宋体" w:cs="宋体"/>
          <w:color w:val="auto"/>
          <w:sz w:val="24"/>
          <w:highlight w:val="none"/>
        </w:rPr>
        <w:t>2、供应商的报价包含但不限于项目实施所需的生产费用、包装、仓储、分发、质量检验、培训费、保险、人工费、服务费、运输费（包含送货到指定地点的运输费）、装卸费、上下力资费、损耗风险、检验、完成田间试验、产品抽检、宣传培训、利润、税金、招标代理费等的全部费用，结算时单价不因任何因素而调整。</w:t>
      </w:r>
    </w:p>
    <w:p w14:paraId="498BE16E">
      <w:pPr>
        <w:ind w:firstLine="480"/>
        <w:rPr>
          <w:color w:val="auto"/>
          <w:highlight w:val="none"/>
        </w:rPr>
      </w:pPr>
      <w:r>
        <w:rPr>
          <w:rFonts w:hint="eastAsia" w:ascii="宋体" w:hAnsi="宋体" w:cs="宋体"/>
          <w:color w:val="auto"/>
          <w:sz w:val="24"/>
          <w:highlight w:val="none"/>
        </w:rPr>
        <w:t>3、供应商应在对采购项目内容、数量、质量和技术指标内容全部认可的前提下报价。无论情况如何，采购人均认为供应商已对所采购项目的所有条件有了充分了解。采购人对供应商做出的任何推论、理解和结论均不负责任。</w:t>
      </w:r>
    </w:p>
    <w:p w14:paraId="5A65544E">
      <w:pPr>
        <w:ind w:firstLine="480"/>
        <w:rPr>
          <w:color w:val="auto"/>
          <w:highlight w:val="none"/>
        </w:rPr>
      </w:pPr>
      <w:r>
        <w:rPr>
          <w:rFonts w:hint="eastAsia" w:ascii="宋体" w:hAnsi="宋体" w:cs="宋体"/>
          <w:color w:val="auto"/>
          <w:sz w:val="24"/>
          <w:highlight w:val="none"/>
        </w:rPr>
        <w:t>4、报价单必须按照询价采购文件所提供的格式填入，采购人提供的清单中的序号、品名、规格配置等，供应商在响应报价时不得作任何更改变动，否则一切责任由供应商自负。</w:t>
      </w:r>
    </w:p>
    <w:p w14:paraId="5EC55F5E">
      <w:pPr>
        <w:ind w:firstLine="480"/>
        <w:rPr>
          <w:color w:val="auto"/>
          <w:highlight w:val="none"/>
        </w:rPr>
      </w:pPr>
      <w:r>
        <w:rPr>
          <w:rFonts w:hint="eastAsia" w:ascii="宋体" w:hAnsi="宋体" w:cs="宋体"/>
          <w:color w:val="auto"/>
          <w:sz w:val="24"/>
          <w:highlight w:val="none"/>
        </w:rPr>
        <w:t>5、供应商在履行合同过程中，所发生的全部生产、生活费用均由供应商负责。</w:t>
      </w:r>
    </w:p>
    <w:p w14:paraId="7D8220C9">
      <w:pPr>
        <w:ind w:firstLine="480"/>
        <w:rPr>
          <w:color w:val="auto"/>
          <w:highlight w:val="none"/>
        </w:rPr>
      </w:pPr>
      <w:r>
        <w:rPr>
          <w:rFonts w:hint="eastAsia" w:ascii="宋体" w:hAnsi="宋体" w:cs="宋体"/>
          <w:color w:val="auto"/>
          <w:sz w:val="24"/>
          <w:highlight w:val="none"/>
        </w:rPr>
        <w:t>6、供应商根据自己的经营状况和掌握的市场信息自主报价。决定供应商响应文件的响应性只根据响应文件本身的内容，而不寻求外部的证据。</w:t>
      </w:r>
    </w:p>
    <w:p w14:paraId="39801D99">
      <w:pPr>
        <w:ind w:firstLine="480"/>
        <w:rPr>
          <w:color w:val="auto"/>
          <w:highlight w:val="none"/>
        </w:rPr>
      </w:pPr>
      <w:r>
        <w:rPr>
          <w:rFonts w:hint="eastAsia" w:ascii="宋体" w:hAnsi="宋体" w:cs="宋体"/>
          <w:color w:val="auto"/>
          <w:sz w:val="24"/>
          <w:highlight w:val="none"/>
        </w:rPr>
        <w:t>7、供应商应对询价采购文件中的条款做到正确理解，有疑义的条款应在采购答疑时提出，有疑义又没有在采购答疑时提出的，应按采购人的解释为准。</w:t>
      </w:r>
    </w:p>
    <w:p w14:paraId="36F9636D">
      <w:pPr>
        <w:pStyle w:val="14"/>
        <w:spacing w:beforeAutospacing="0" w:afterAutospacing="0"/>
        <w:jc w:val="both"/>
        <w:rPr>
          <w:color w:val="auto"/>
          <w:highlight w:val="none"/>
        </w:rPr>
      </w:pPr>
      <w:r>
        <w:rPr>
          <w:rFonts w:hint="eastAsia" w:ascii="宋体" w:hAnsi="宋体" w:cs="宋体"/>
          <w:color w:val="auto"/>
          <w:sz w:val="24"/>
          <w:highlight w:val="none"/>
        </w:rPr>
        <w:t>8、要求报价单的每一页都必须加盖供应商单位公章。</w:t>
      </w:r>
      <w:r>
        <w:rPr>
          <w:color w:val="auto"/>
          <w:highlight w:val="none"/>
        </w:rPr>
        <w:t> </w:t>
      </w:r>
    </w:p>
    <w:p w14:paraId="03B45158">
      <w:pPr>
        <w:pStyle w:val="14"/>
        <w:spacing w:beforeAutospacing="0" w:afterAutospacing="0"/>
        <w:ind w:firstLine="480"/>
        <w:jc w:val="both"/>
        <w:rPr>
          <w:color w:val="auto"/>
          <w:highlight w:val="none"/>
        </w:rPr>
      </w:pPr>
      <w:r>
        <w:rPr>
          <w:rFonts w:hint="eastAsia" w:ascii="宋体" w:hAnsi="宋体" w:eastAsia="宋体" w:cs="宋体"/>
          <w:color w:val="auto"/>
          <w:highlight w:val="none"/>
        </w:rPr>
        <w:t xml:space="preserve">                                              日期：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D900FAD">
      <w:pPr>
        <w:widowControl/>
        <w:spacing w:line="499" w:lineRule="atLeast"/>
        <w:ind w:firstLine="1600" w:firstLineChars="0"/>
        <w:outlineLvl w:val="0"/>
        <w:rPr>
          <w:rFonts w:ascii="宋体" w:hAnsi="宋体" w:eastAsia="宋体" w:cs="宋体"/>
          <w:color w:val="auto"/>
          <w:sz w:val="24"/>
          <w:highlight w:val="none"/>
        </w:rPr>
      </w:pPr>
      <w:bookmarkStart w:id="418" w:name="_Toc13672"/>
      <w:r>
        <w:rPr>
          <w:rFonts w:hint="eastAsia" w:ascii="宋体" w:hAnsi="宋体" w:eastAsia="宋体" w:cs="宋体"/>
          <w:color w:val="auto"/>
          <w:sz w:val="32"/>
          <w:szCs w:val="32"/>
          <w:highlight w:val="none"/>
        </w:rPr>
        <w:t>十</w:t>
      </w:r>
      <w:r>
        <w:rPr>
          <w:rFonts w:hint="eastAsia" w:ascii="宋体" w:hAnsi="宋体" w:eastAsia="宋体" w:cs="宋体"/>
          <w:color w:val="auto"/>
          <w:sz w:val="32"/>
          <w:szCs w:val="32"/>
          <w:highlight w:val="none"/>
          <w:lang w:val="en-US" w:eastAsia="zh-CN"/>
        </w:rPr>
        <w:t>五</w:t>
      </w:r>
      <w:r>
        <w:rPr>
          <w:rFonts w:hint="eastAsia" w:ascii="宋体" w:hAnsi="宋体" w:eastAsia="宋体" w:cs="宋体"/>
          <w:color w:val="auto"/>
          <w:sz w:val="32"/>
          <w:szCs w:val="32"/>
          <w:highlight w:val="none"/>
        </w:rPr>
        <w:t>、盐城市政府采购事前信用承诺书</w:t>
      </w:r>
      <w:bookmarkEnd w:id="418"/>
    </w:p>
    <w:p w14:paraId="2856B726">
      <w:pPr>
        <w:widowControl/>
        <w:spacing w:line="499" w:lineRule="atLeast"/>
        <w:ind w:firstLine="640"/>
        <w:jc w:val="left"/>
        <w:rPr>
          <w:rFonts w:ascii="宋体" w:hAnsi="宋体" w:eastAsia="宋体" w:cs="宋体"/>
          <w:color w:val="auto"/>
          <w:sz w:val="24"/>
          <w:highlight w:val="none"/>
        </w:rPr>
      </w:pPr>
      <w:r>
        <w:rPr>
          <w:rFonts w:hint="eastAsia" w:ascii="宋体" w:hAnsi="宋体" w:eastAsia="宋体" w:cs="宋体"/>
          <w:color w:val="auto"/>
          <w:sz w:val="32"/>
          <w:szCs w:val="32"/>
          <w:highlight w:val="none"/>
        </w:rPr>
        <w:t> </w:t>
      </w:r>
    </w:p>
    <w:p w14:paraId="7919085D">
      <w:pPr>
        <w:widowControl/>
        <w:spacing w:line="499" w:lineRule="atLeast"/>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为营造我市公开、公平、公正、诚实守信的政府采购交易环境，树立诚信守法的投标人形象，本人代表本单位作出以下承诺：</w:t>
      </w:r>
    </w:p>
    <w:p w14:paraId="3EDFDB99">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（一）本单位对所提交的企（事）业单位基本信息、企（事）业负责人、项目负责人、技术负责人、从业资质和资格、业绩、财务状况、信誉等所有资料，均合法、真实、准确、有效，无任何伪造、修改、</w:t>
      </w:r>
      <w:r>
        <w:rPr>
          <w:rFonts w:hint="eastAsia" w:ascii="宋体" w:hAnsi="宋体" w:eastAsia="宋体" w:cs="宋体"/>
          <w:color w:val="auto"/>
          <w:sz w:val="24"/>
          <w:highlight w:val="none"/>
          <w:lang w:eastAsia="zh-CN"/>
        </w:rPr>
        <w:t>虚假成分</w:t>
      </w:r>
      <w:r>
        <w:rPr>
          <w:rFonts w:hint="eastAsia" w:ascii="宋体" w:hAnsi="宋体" w:eastAsia="宋体" w:cs="宋体"/>
          <w:color w:val="auto"/>
          <w:sz w:val="24"/>
          <w:highlight w:val="none"/>
        </w:rPr>
        <w:t>，并对所提供资料的真实性负责；</w:t>
      </w:r>
    </w:p>
    <w:p w14:paraId="3CD0212B">
      <w:pPr>
        <w:widowControl/>
        <w:spacing w:line="499" w:lineRule="atLeast"/>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2E40F0F8">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   （三）严格依照国家和省、市关于政府采购的法律、法规、规章、规范性文件，参加政府采购投标活动；积极履行社会责任，促进廉政建设； </w:t>
      </w:r>
    </w:p>
    <w:p w14:paraId="1ADEB3AD">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（四）严格遵守即时信息公示规定，及时</w:t>
      </w:r>
      <w:r>
        <w:rPr>
          <w:rFonts w:hint="eastAsia" w:ascii="宋体" w:hAnsi="宋体" w:eastAsia="宋体" w:cs="宋体"/>
          <w:color w:val="auto"/>
          <w:sz w:val="24"/>
          <w:highlight w:val="none"/>
          <w:lang w:eastAsia="zh-CN"/>
        </w:rPr>
        <w:t>维护和更新</w:t>
      </w:r>
      <w:r>
        <w:rPr>
          <w:rFonts w:hint="eastAsia" w:ascii="宋体" w:hAnsi="宋体" w:eastAsia="宋体" w:cs="宋体"/>
          <w:color w:val="auto"/>
          <w:sz w:val="24"/>
          <w:highlight w:val="none"/>
        </w:rPr>
        <w:t>盐城市政府采购网中与本单位相关的信息；</w:t>
      </w:r>
    </w:p>
    <w:p w14:paraId="23FBCF6B">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五）自我约束、自我管理，守合同、重信用，自觉维护政府采购交易的良好秩序，与参与本次政府采购活动的其他供应商不存在直接控股或管理关系，不参与围标串标、弄虚作假、骗取中标、干扰评标、违约毁约等行为；</w:t>
      </w:r>
    </w:p>
    <w:p w14:paraId="1A1ADC8E">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（六）自觉接受政府、行业组织、社会公众、新闻舆论的监督；</w:t>
      </w:r>
    </w:p>
    <w:p w14:paraId="3A11BDB8">
      <w:pPr>
        <w:widowControl/>
        <w:spacing w:line="499" w:lineRule="atLeast"/>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1944C0DD">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（八）本人已认真阅读了上述承诺，并向本单位员工作了宣传教育。</w:t>
      </w:r>
    </w:p>
    <w:p w14:paraId="71B61F88">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法定代表人签名：</w:t>
      </w:r>
    </w:p>
    <w:p w14:paraId="098A1A66">
      <w:pPr>
        <w:widowControl/>
        <w:spacing w:line="499" w:lineRule="atLeast"/>
        <w:jc w:val="center"/>
        <w:rPr>
          <w:rFonts w:ascii="宋体" w:hAnsi="宋体" w:eastAsia="宋体" w:cs="宋体"/>
          <w:color w:val="auto"/>
          <w:sz w:val="24"/>
          <w:highlight w:val="none"/>
        </w:rPr>
      </w:pPr>
      <w:r>
        <w:rPr>
          <w:rFonts w:hint="eastAsia" w:ascii="宋体" w:hAnsi="宋体" w:eastAsia="宋体" w:cs="宋体"/>
          <w:color w:val="auto"/>
          <w:sz w:val="24"/>
          <w:highlight w:val="none"/>
        </w:rPr>
        <w:t>                   单位名称（盖章）：</w:t>
      </w:r>
    </w:p>
    <w:p w14:paraId="5394C7B5">
      <w:pPr>
        <w:widowControl/>
        <w:spacing w:line="499" w:lineRule="atLeast"/>
        <w:jc w:val="center"/>
        <w:rPr>
          <w:rFonts w:ascii="宋体" w:hAnsi="宋体" w:eastAsia="宋体" w:cs="宋体"/>
          <w:color w:val="auto"/>
          <w:sz w:val="24"/>
          <w:highlight w:val="none"/>
        </w:rPr>
      </w:pPr>
      <w:r>
        <w:rPr>
          <w:rFonts w:hint="eastAsia" w:ascii="宋体" w:hAnsi="宋体" w:eastAsia="宋体" w:cs="宋体"/>
          <w:color w:val="auto"/>
          <w:sz w:val="24"/>
          <w:highlight w:val="none"/>
        </w:rPr>
        <w:t>                      年月日</w:t>
      </w:r>
    </w:p>
    <w:p w14:paraId="36D0A244">
      <w:pPr>
        <w:pStyle w:val="14"/>
        <w:spacing w:beforeAutospacing="0" w:afterAutospacing="0"/>
        <w:jc w:val="center"/>
        <w:rPr>
          <w:color w:val="auto"/>
          <w:highlight w:val="none"/>
        </w:rPr>
      </w:pPr>
    </w:p>
    <w:bookmarkEnd w:id="0"/>
    <w:bookmarkEnd w:id="67"/>
    <w:bookmarkEnd w:id="138"/>
    <w:bookmarkEnd w:id="139"/>
    <w:bookmarkEnd w:id="140"/>
    <w:bookmarkEnd w:id="145"/>
    <w:bookmarkEnd w:id="146"/>
    <w:bookmarkEnd w:id="147"/>
    <w:bookmarkEnd w:id="148"/>
    <w:bookmarkEnd w:id="149"/>
    <w:bookmarkEnd w:id="168"/>
    <w:bookmarkEnd w:id="169"/>
    <w:bookmarkEnd w:id="178"/>
    <w:bookmarkEnd w:id="293"/>
    <w:bookmarkEnd w:id="374"/>
    <w:bookmarkEnd w:id="384"/>
    <w:bookmarkEnd w:id="385"/>
    <w:bookmarkEnd w:id="386"/>
    <w:bookmarkEnd w:id="393"/>
    <w:bookmarkEnd w:id="395"/>
    <w:bookmarkEnd w:id="396"/>
    <w:bookmarkEnd w:id="397"/>
    <w:bookmarkEnd w:id="401"/>
    <w:bookmarkEnd w:id="411"/>
    <w:bookmarkEnd w:id="412"/>
    <w:bookmarkEnd w:id="413"/>
    <w:bookmarkEnd w:id="414"/>
    <w:bookmarkEnd w:id="415"/>
    <w:p w14:paraId="1BD58B05">
      <w:pPr>
        <w:pStyle w:val="14"/>
        <w:spacing w:beforeAutospacing="0" w:afterAutospacing="0"/>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质疑函范本</w:t>
      </w:r>
    </w:p>
    <w:p w14:paraId="4408F78F">
      <w:pPr>
        <w:pStyle w:val="14"/>
        <w:spacing w:before="290" w:beforeAutospacing="0" w:afterAutospacing="0" w:line="240" w:lineRule="auto"/>
        <w:jc w:val="both"/>
        <w:outlineLvl w:val="0"/>
        <w:rPr>
          <w:rFonts w:ascii="宋体" w:hAnsi="宋体" w:eastAsia="宋体" w:cs="宋体"/>
          <w:color w:val="auto"/>
          <w:highlight w:val="none"/>
        </w:rPr>
      </w:pPr>
      <w:bookmarkStart w:id="419" w:name="_Toc19887"/>
      <w:r>
        <w:rPr>
          <w:rFonts w:hint="eastAsia" w:ascii="宋体" w:hAnsi="宋体" w:eastAsia="宋体" w:cs="宋体"/>
          <w:color w:val="auto"/>
          <w:highlight w:val="none"/>
        </w:rPr>
        <w:t>一、质疑供应商基本信息</w:t>
      </w:r>
      <w:bookmarkEnd w:id="419"/>
    </w:p>
    <w:p w14:paraId="6C307A75">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质疑供应商：</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40CDA18D">
      <w:pPr>
        <w:pStyle w:val="14"/>
        <w:spacing w:beforeAutospacing="0" w:afterAutospacing="0" w:line="240" w:lineRule="auto"/>
        <w:jc w:val="both"/>
        <w:rPr>
          <w:rFonts w:ascii="宋体" w:hAnsi="宋体" w:eastAsia="宋体" w:cs="宋体"/>
          <w:color w:val="auto"/>
          <w:highlight w:val="none"/>
          <w:u w:val="singl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w:t>
      </w:r>
    </w:p>
    <w:p w14:paraId="6204001A">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邮编：</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2CB49ACA">
      <w:pPr>
        <w:pStyle w:val="14"/>
        <w:spacing w:beforeAutospacing="0" w:afterAutospacing="0" w:line="240" w:lineRule="auto"/>
        <w:jc w:val="both"/>
        <w:rPr>
          <w:rFonts w:ascii="宋体" w:hAnsi="宋体" w:eastAsia="宋体" w:cs="宋体"/>
          <w:color w:val="auto"/>
          <w:highlight w:val="none"/>
          <w:u w:val="singl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2DB03877">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14:paraId="499727A8">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授权代表：</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6B88EEAA">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26720E08">
      <w:pPr>
        <w:pStyle w:val="14"/>
        <w:spacing w:beforeAutospacing="0" w:afterAutospacing="0" w:line="240" w:lineRule="auto"/>
        <w:jc w:val="both"/>
        <w:rPr>
          <w:rFonts w:ascii="宋体" w:hAnsi="宋体" w:eastAsia="宋体" w:cs="宋体"/>
          <w:color w:val="auto"/>
          <w:highlight w:val="none"/>
          <w:u w:val="single"/>
        </w:rPr>
      </w:pPr>
      <w:r>
        <w:rPr>
          <w:rFonts w:hint="eastAsia" w:ascii="宋体" w:hAnsi="宋体" w:eastAsia="宋体" w:cs="宋体"/>
          <w:color w:val="auto"/>
          <w:highlight w:val="none"/>
        </w:rPr>
        <w:t>地址： </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7C51F6AF">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邮编：</w:t>
      </w:r>
      <w:r>
        <w:rPr>
          <w:rFonts w:hint="eastAsia" w:ascii="宋体" w:hAnsi="宋体" w:eastAsia="宋体" w:cs="宋体"/>
          <w:color w:val="auto"/>
          <w:highlight w:val="none"/>
          <w:u w:val="single"/>
        </w:rPr>
        <w:t xml:space="preserve">                                </w:t>
      </w:r>
    </w:p>
    <w:p w14:paraId="6578280A">
      <w:pPr>
        <w:pStyle w:val="14"/>
        <w:spacing w:beforeAutospacing="0" w:afterAutospacing="0" w:line="240" w:lineRule="auto"/>
        <w:jc w:val="both"/>
        <w:outlineLvl w:val="0"/>
        <w:rPr>
          <w:rFonts w:ascii="宋体" w:hAnsi="宋体" w:eastAsia="宋体" w:cs="宋体"/>
          <w:color w:val="auto"/>
          <w:highlight w:val="none"/>
        </w:rPr>
      </w:pPr>
      <w:bookmarkStart w:id="420" w:name="_Toc1883"/>
      <w:bookmarkStart w:id="421" w:name="_Toc22408"/>
      <w:r>
        <w:rPr>
          <w:rFonts w:hint="eastAsia" w:ascii="宋体" w:hAnsi="宋体" w:eastAsia="宋体" w:cs="宋体"/>
          <w:color w:val="auto"/>
          <w:highlight w:val="none"/>
        </w:rPr>
        <w:t>二、质疑项目基本情况</w:t>
      </w:r>
      <w:bookmarkEnd w:id="420"/>
      <w:bookmarkEnd w:id="421"/>
    </w:p>
    <w:p w14:paraId="5CA0EF62">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质疑项目的名称：</w:t>
      </w:r>
      <w:r>
        <w:rPr>
          <w:rFonts w:hint="eastAsia" w:ascii="宋体" w:hAnsi="宋体" w:eastAsia="宋体" w:cs="宋体"/>
          <w:color w:val="auto"/>
          <w:highlight w:val="none"/>
          <w:u w:val="single"/>
        </w:rPr>
        <w:t xml:space="preserve">                            </w:t>
      </w:r>
    </w:p>
    <w:p w14:paraId="5DF92306">
      <w:pPr>
        <w:pStyle w:val="14"/>
        <w:spacing w:beforeAutospacing="0" w:afterAutospacing="0" w:line="240" w:lineRule="auto"/>
        <w:jc w:val="both"/>
        <w:rPr>
          <w:rFonts w:ascii="宋体" w:hAnsi="宋体" w:eastAsia="宋体" w:cs="宋体"/>
          <w:color w:val="auto"/>
          <w:highlight w:val="none"/>
          <w:u w:val="single"/>
        </w:rPr>
      </w:pPr>
      <w:r>
        <w:rPr>
          <w:rFonts w:hint="eastAsia" w:ascii="宋体" w:hAnsi="宋体" w:eastAsia="宋体" w:cs="宋体"/>
          <w:color w:val="auto"/>
          <w:highlight w:val="none"/>
        </w:rPr>
        <w:t>质疑项目的编号：</w:t>
      </w:r>
      <w:r>
        <w:rPr>
          <w:rFonts w:hint="eastAsia" w:ascii="宋体" w:hAnsi="宋体" w:eastAsia="宋体" w:cs="宋体"/>
          <w:color w:val="auto"/>
          <w:highlight w:val="none"/>
          <w:u w:val="single"/>
        </w:rPr>
        <w:t xml:space="preserve">                          </w:t>
      </w:r>
    </w:p>
    <w:p w14:paraId="208912AC">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6416D5F4">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采购人名称：</w:t>
      </w:r>
      <w:r>
        <w:rPr>
          <w:rFonts w:hint="eastAsia" w:ascii="宋体" w:hAnsi="宋体" w:eastAsia="宋体" w:cs="宋体"/>
          <w:color w:val="auto"/>
          <w:highlight w:val="none"/>
          <w:u w:val="single"/>
        </w:rPr>
        <w:t xml:space="preserve">                            </w:t>
      </w:r>
    </w:p>
    <w:p w14:paraId="60F609DC">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采购文件获取日期：</w:t>
      </w:r>
      <w:r>
        <w:rPr>
          <w:rFonts w:hint="eastAsia" w:ascii="宋体" w:hAnsi="宋体" w:eastAsia="宋体" w:cs="宋体"/>
          <w:color w:val="auto"/>
          <w:highlight w:val="none"/>
          <w:u w:val="single"/>
        </w:rPr>
        <w:t xml:space="preserve">                             </w:t>
      </w:r>
    </w:p>
    <w:p w14:paraId="61145962">
      <w:pPr>
        <w:pStyle w:val="14"/>
        <w:spacing w:beforeAutospacing="0" w:afterAutospacing="0" w:line="240" w:lineRule="auto"/>
        <w:jc w:val="both"/>
        <w:outlineLvl w:val="0"/>
        <w:rPr>
          <w:rFonts w:ascii="宋体" w:hAnsi="宋体" w:eastAsia="宋体" w:cs="宋体"/>
          <w:color w:val="auto"/>
          <w:highlight w:val="none"/>
        </w:rPr>
      </w:pPr>
      <w:bookmarkStart w:id="422" w:name="_Toc32548"/>
      <w:bookmarkStart w:id="423" w:name="_Toc28280"/>
      <w:r>
        <w:rPr>
          <w:rFonts w:hint="eastAsia" w:ascii="宋体" w:hAnsi="宋体" w:eastAsia="宋体" w:cs="宋体"/>
          <w:color w:val="auto"/>
          <w:highlight w:val="none"/>
        </w:rPr>
        <w:t>三、质疑事项具体内容</w:t>
      </w:r>
      <w:bookmarkEnd w:id="422"/>
      <w:bookmarkEnd w:id="423"/>
    </w:p>
    <w:p w14:paraId="50CD04C7">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质疑事项1：</w:t>
      </w:r>
      <w:r>
        <w:rPr>
          <w:rFonts w:hint="eastAsia" w:ascii="宋体" w:hAnsi="宋体" w:eastAsia="宋体" w:cs="宋体"/>
          <w:color w:val="auto"/>
          <w:highlight w:val="none"/>
          <w:u w:val="single"/>
        </w:rPr>
        <w:t xml:space="preserve">                             </w:t>
      </w:r>
    </w:p>
    <w:p w14:paraId="2D3C5A9C">
      <w:pPr>
        <w:pStyle w:val="14"/>
        <w:spacing w:beforeAutospacing="0" w:afterAutospacing="0" w:line="240" w:lineRule="auto"/>
        <w:rPr>
          <w:rFonts w:ascii="宋体" w:hAnsi="宋体" w:eastAsia="宋体" w:cs="宋体"/>
          <w:color w:val="auto"/>
          <w:highlight w:val="none"/>
        </w:rPr>
      </w:pPr>
      <w:r>
        <w:rPr>
          <w:rFonts w:hint="eastAsia" w:ascii="宋体" w:hAnsi="宋体" w:eastAsia="宋体" w:cs="宋体"/>
          <w:color w:val="auto"/>
          <w:highlight w:val="none"/>
        </w:rPr>
        <w:t>事实依据：</w:t>
      </w:r>
      <w:r>
        <w:rPr>
          <w:rFonts w:hint="eastAsia" w:ascii="宋体" w:hAnsi="宋体" w:eastAsia="宋体" w:cs="宋体"/>
          <w:color w:val="auto"/>
          <w:highlight w:val="none"/>
          <w:u w:val="single"/>
        </w:rPr>
        <w:t xml:space="preserve">                                                   </w:t>
      </w:r>
    </w:p>
    <w:p w14:paraId="7F07B8F1">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法律依据：</w:t>
      </w:r>
      <w:r>
        <w:rPr>
          <w:rFonts w:hint="eastAsia" w:ascii="宋体" w:hAnsi="宋体" w:eastAsia="宋体" w:cs="宋体"/>
          <w:color w:val="auto"/>
          <w:highlight w:val="none"/>
          <w:u w:val="single"/>
        </w:rPr>
        <w:t xml:space="preserve">                                                    </w:t>
      </w:r>
    </w:p>
    <w:p w14:paraId="0140CBED">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质疑事项2</w:t>
      </w:r>
    </w:p>
    <w:p w14:paraId="17B714BF">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w:t>
      </w:r>
    </w:p>
    <w:p w14:paraId="1A43196A">
      <w:pPr>
        <w:pStyle w:val="14"/>
        <w:spacing w:beforeAutospacing="0" w:afterAutospacing="0" w:line="240" w:lineRule="auto"/>
        <w:jc w:val="both"/>
        <w:outlineLvl w:val="0"/>
        <w:rPr>
          <w:rFonts w:ascii="宋体" w:hAnsi="宋体" w:eastAsia="宋体" w:cs="宋体"/>
          <w:color w:val="auto"/>
          <w:highlight w:val="none"/>
        </w:rPr>
      </w:pPr>
      <w:bookmarkStart w:id="424" w:name="_Toc16662"/>
      <w:bookmarkStart w:id="425" w:name="_Toc16713"/>
      <w:r>
        <w:rPr>
          <w:rFonts w:hint="eastAsia" w:ascii="宋体" w:hAnsi="宋体" w:eastAsia="宋体" w:cs="宋体"/>
          <w:color w:val="auto"/>
          <w:highlight w:val="none"/>
        </w:rPr>
        <w:t>四、与质疑事项相关的质疑请求</w:t>
      </w:r>
      <w:bookmarkEnd w:id="424"/>
      <w:bookmarkEnd w:id="425"/>
    </w:p>
    <w:p w14:paraId="166EEFF8">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请求：</w:t>
      </w:r>
      <w:r>
        <w:rPr>
          <w:rFonts w:hint="eastAsia" w:ascii="宋体" w:hAnsi="宋体" w:eastAsia="宋体" w:cs="宋体"/>
          <w:color w:val="auto"/>
          <w:highlight w:val="none"/>
          <w:u w:val="single"/>
        </w:rPr>
        <w:t xml:space="preserve">                                                          </w:t>
      </w:r>
    </w:p>
    <w:p w14:paraId="0191183A">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color w:val="auto"/>
          <w:highlight w:val="none"/>
        </w:rPr>
        <w:t xml:space="preserve">签字(签章)：                 公章：               日期：    </w:t>
      </w:r>
    </w:p>
    <w:p w14:paraId="486AA1DE">
      <w:pPr>
        <w:pStyle w:val="14"/>
        <w:spacing w:beforeAutospacing="0" w:afterAutospacing="0" w:line="240" w:lineRule="auto"/>
        <w:jc w:val="both"/>
        <w:rPr>
          <w:rFonts w:ascii="宋体" w:hAnsi="宋体" w:eastAsia="宋体" w:cs="宋体"/>
          <w:color w:val="auto"/>
          <w:highlight w:val="none"/>
        </w:rPr>
      </w:pPr>
      <w:r>
        <w:rPr>
          <w:rFonts w:hint="eastAsia" w:ascii="宋体" w:hAnsi="宋体" w:eastAsia="宋体" w:cs="宋体"/>
          <w:b/>
          <w:color w:val="auto"/>
          <w:highlight w:val="none"/>
        </w:rPr>
        <w:t>质疑函制作说明：</w:t>
      </w:r>
    </w:p>
    <w:p w14:paraId="36ED08AD">
      <w:pPr>
        <w:pStyle w:val="14"/>
        <w:widowControl/>
        <w:spacing w:beforeAutospacing="0" w:afterAutospacing="0" w:line="240" w:lineRule="auto"/>
        <w:ind w:firstLine="480"/>
        <w:rPr>
          <w:rFonts w:ascii="宋体" w:hAnsi="宋体" w:eastAsia="宋体" w:cs="宋体"/>
          <w:color w:val="auto"/>
          <w:highlight w:val="none"/>
        </w:rPr>
      </w:pPr>
      <w:r>
        <w:rPr>
          <w:rFonts w:hint="eastAsia" w:ascii="宋体" w:hAnsi="宋体" w:eastAsia="宋体" w:cs="宋体"/>
          <w:color w:val="auto"/>
          <w:highlight w:val="none"/>
        </w:rPr>
        <w:t>1.供应商提出质疑时，应提交质疑函和必要的证明材料。</w:t>
      </w:r>
    </w:p>
    <w:p w14:paraId="62091F4D">
      <w:pPr>
        <w:pStyle w:val="14"/>
        <w:widowControl/>
        <w:spacing w:beforeAutospacing="0" w:afterAutospacing="0" w:line="240" w:lineRule="auto"/>
        <w:ind w:firstLine="480"/>
        <w:rPr>
          <w:rFonts w:ascii="宋体" w:hAnsi="宋体" w:eastAsia="宋体" w:cs="宋体"/>
          <w:color w:val="auto"/>
          <w:highlight w:val="none"/>
        </w:rPr>
      </w:pPr>
      <w:r>
        <w:rPr>
          <w:rFonts w:hint="eastAsia" w:ascii="宋体" w:hAnsi="宋体" w:eastAsia="宋体" w:cs="宋体"/>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88E4F51">
      <w:pPr>
        <w:pStyle w:val="14"/>
        <w:widowControl/>
        <w:spacing w:beforeAutospacing="0" w:afterAutospacing="0" w:line="240" w:lineRule="auto"/>
        <w:ind w:firstLine="480"/>
        <w:rPr>
          <w:rFonts w:ascii="宋体" w:hAnsi="宋体" w:eastAsia="宋体" w:cs="宋体"/>
          <w:color w:val="auto"/>
          <w:highlight w:val="none"/>
        </w:rPr>
      </w:pPr>
      <w:r>
        <w:rPr>
          <w:rFonts w:hint="eastAsia" w:ascii="宋体" w:hAnsi="宋体" w:eastAsia="宋体" w:cs="宋体"/>
          <w:color w:val="auto"/>
          <w:highlight w:val="none"/>
        </w:rPr>
        <w:t>3.质疑供应商若对项目的某一分包进行质疑，质疑函中应列明具体分包号。</w:t>
      </w:r>
    </w:p>
    <w:p w14:paraId="0F2A8B16">
      <w:pPr>
        <w:pStyle w:val="14"/>
        <w:widowControl/>
        <w:spacing w:beforeAutospacing="0" w:afterAutospacing="0" w:line="240" w:lineRule="auto"/>
        <w:ind w:firstLine="480"/>
        <w:rPr>
          <w:rFonts w:ascii="宋体" w:hAnsi="宋体" w:eastAsia="宋体" w:cs="宋体"/>
          <w:color w:val="auto"/>
          <w:highlight w:val="none"/>
        </w:rPr>
      </w:pPr>
      <w:r>
        <w:rPr>
          <w:rFonts w:hint="eastAsia" w:ascii="宋体" w:hAnsi="宋体" w:eastAsia="宋体" w:cs="宋体"/>
          <w:color w:val="auto"/>
          <w:highlight w:val="none"/>
        </w:rPr>
        <w:t>4.质疑函的质疑事项应具体、明确，并有必要的事实依据和法律依据。</w:t>
      </w:r>
    </w:p>
    <w:p w14:paraId="335F536F">
      <w:pPr>
        <w:pStyle w:val="14"/>
        <w:widowControl/>
        <w:spacing w:beforeAutospacing="0" w:afterAutospacing="0" w:line="240" w:lineRule="auto"/>
        <w:ind w:firstLine="480"/>
        <w:rPr>
          <w:rFonts w:ascii="宋体" w:hAnsi="宋体" w:eastAsia="宋体" w:cs="宋体"/>
          <w:color w:val="auto"/>
          <w:highlight w:val="none"/>
        </w:rPr>
      </w:pPr>
      <w:r>
        <w:rPr>
          <w:rFonts w:hint="eastAsia" w:ascii="宋体" w:hAnsi="宋体" w:eastAsia="宋体" w:cs="宋体"/>
          <w:color w:val="auto"/>
          <w:highlight w:val="none"/>
        </w:rPr>
        <w:t>5.质疑函的质疑请求应与质疑事项相关。</w:t>
      </w:r>
    </w:p>
    <w:p w14:paraId="0F6A2591">
      <w:pPr>
        <w:pStyle w:val="14"/>
        <w:widowControl/>
        <w:spacing w:beforeAutospacing="0" w:afterAutospacing="0" w:line="240" w:lineRule="auto"/>
        <w:ind w:firstLine="480"/>
        <w:rPr>
          <w:rFonts w:ascii="宋体" w:hAnsi="宋体" w:eastAsia="宋体" w:cs="宋体"/>
          <w:color w:val="auto"/>
          <w:highlight w:val="none"/>
        </w:rPr>
      </w:pPr>
      <w:r>
        <w:rPr>
          <w:rFonts w:hint="eastAsia" w:ascii="宋体" w:hAnsi="宋体" w:eastAsia="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4A90D10F">
      <w:pPr>
        <w:pStyle w:val="14"/>
        <w:spacing w:beforeAutospacing="0" w:afterAutospacing="0"/>
        <w:rPr>
          <w:color w:val="auto"/>
          <w:highlight w:val="none"/>
        </w:rPr>
      </w:pPr>
    </w:p>
    <w:bookmarkEnd w:id="4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B556F0C-1934-4B59-8261-B16E50564455}"/>
  </w:font>
  <w:font w:name="Arial">
    <w:panose1 w:val="020B0604020202020204"/>
    <w:charset w:val="01"/>
    <w:family w:val="swiss"/>
    <w:pitch w:val="default"/>
    <w:sig w:usb0="E0002EFF" w:usb1="C000785B" w:usb2="00000009" w:usb3="00000000" w:csb0="400001FF" w:csb1="FFFF0000"/>
    <w:embedRegular r:id="rId2" w:fontKey="{64406C31-3D6E-4D53-8669-F21C5E968B45}"/>
  </w:font>
  <w:font w:name="黑体">
    <w:panose1 w:val="02010609060101010101"/>
    <w:charset w:val="86"/>
    <w:family w:val="auto"/>
    <w:pitch w:val="default"/>
    <w:sig w:usb0="800002BF" w:usb1="38CF7CFA" w:usb2="00000016" w:usb3="00000000" w:csb0="00040001" w:csb1="00000000"/>
    <w:embedRegular r:id="rId3" w:fontKey="{2263F76C-3540-49B6-A493-1CC9EC1109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B3403F15-2AB4-4203-87B1-1407FDEC0BB8}"/>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embedRegular r:id="rId5" w:fontKey="{CA74A89E-0DF2-4B14-B9B7-7ED67EB825F9}"/>
  </w:font>
  <w:font w:name="华文中宋">
    <w:panose1 w:val="02010600040101010101"/>
    <w:charset w:val="86"/>
    <w:family w:val="auto"/>
    <w:pitch w:val="default"/>
    <w:sig w:usb0="00000287" w:usb1="080F0000" w:usb2="00000000" w:usb3="00000000" w:csb0="0004009F" w:csb1="DFD70000"/>
    <w:embedRegular r:id="rId6" w:fontKey="{91CF019E-2CB3-4C1B-81B4-4AC7C75B0BD0}"/>
  </w:font>
  <w:font w:name="仿宋_GB2312">
    <w:panose1 w:val="02010609030101010101"/>
    <w:charset w:val="86"/>
    <w:family w:val="modern"/>
    <w:pitch w:val="default"/>
    <w:sig w:usb0="00000001" w:usb1="080E0000" w:usb2="00000000" w:usb3="00000000" w:csb0="00040000" w:csb1="00000000"/>
    <w:embedRegular r:id="rId7" w:fontKey="{2A8E2FED-1298-4364-9E3E-10275D130AF2}"/>
  </w:font>
  <w:font w:name="仿宋">
    <w:panose1 w:val="02010609060101010101"/>
    <w:charset w:val="86"/>
    <w:family w:val="auto"/>
    <w:pitch w:val="default"/>
    <w:sig w:usb0="800002BF" w:usb1="38CF7CFA" w:usb2="00000016" w:usb3="00000000" w:csb0="00040001" w:csb1="00000000"/>
    <w:embedRegular r:id="rId8" w:fontKey="{BBA02D07-4EFD-46DE-A835-3CF3D9405E45}"/>
  </w:font>
  <w:font w:name="WPSEMBED5">
    <w:panose1 w:val="02010600040101010101"/>
    <w:charset w:val="86"/>
    <w:family w:val="auto"/>
    <w:pitch w:val="default"/>
    <w:sig w:usb0="00000287" w:usb1="080F0000" w:usb2="00000000" w:usb3="00000000" w:csb0="0004009F" w:csb1="DFD7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5451">
    <w:pPr>
      <w:pStyle w:val="2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24</w:t>
    </w:r>
    <w:r>
      <w:rPr>
        <w:b/>
        <w:sz w:val="24"/>
        <w:szCs w:val="24"/>
      </w:rPr>
      <w:fldChar w:fldCharType="end"/>
    </w:r>
  </w:p>
  <w:p w14:paraId="6E1BBC11">
    <w:pPr>
      <w:pStyle w:val="2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pPr>
        <w:ind w:left="0" w:firstLine="0"/>
      </w:pPr>
    </w:lvl>
  </w:abstractNum>
  <w:abstractNum w:abstractNumId="1">
    <w:nsid w:val="CF092B84"/>
    <w:multiLevelType w:val="multilevel"/>
    <w:tmpl w:val="CF092B84"/>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D5B14649"/>
    <w:multiLevelType w:val="singleLevel"/>
    <w:tmpl w:val="D5B14649"/>
    <w:lvl w:ilvl="0" w:tentative="0">
      <w:start w:val="4"/>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pPr>
        <w:ind w:left="0" w:firstLine="0"/>
      </w:pPr>
    </w:lvl>
  </w:abstractNum>
  <w:abstractNum w:abstractNumId="4">
    <w:nsid w:val="DE759F4B"/>
    <w:multiLevelType w:val="singleLevel"/>
    <w:tmpl w:val="DE759F4B"/>
    <w:lvl w:ilvl="0" w:tentative="0">
      <w:start w:val="2"/>
      <w:numFmt w:val="decimal"/>
      <w:suff w:val="space"/>
      <w:lvlText w:val="%1."/>
      <w:lvlJc w:val="left"/>
      <w:pPr>
        <w:ind w:left="0" w:firstLine="0"/>
      </w:pPr>
    </w:lvl>
  </w:abstractNum>
  <w:abstractNum w:abstractNumId="5">
    <w:nsid w:val="DEABE1DB"/>
    <w:multiLevelType w:val="singleLevel"/>
    <w:tmpl w:val="DEABE1DB"/>
    <w:lvl w:ilvl="0" w:tentative="0">
      <w:start w:val="23"/>
      <w:numFmt w:val="decimal"/>
      <w:suff w:val="space"/>
      <w:lvlText w:val="%1."/>
      <w:lvlJc w:val="left"/>
      <w:pPr>
        <w:ind w:left="0" w:firstLine="0"/>
      </w:pPr>
    </w:lvl>
  </w:abstractNum>
  <w:abstractNum w:abstractNumId="6">
    <w:nsid w:val="0053208E"/>
    <w:multiLevelType w:val="multilevel"/>
    <w:tmpl w:val="0053208E"/>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1BB2EFE8"/>
    <w:multiLevelType w:val="singleLevel"/>
    <w:tmpl w:val="1BB2EFE8"/>
    <w:lvl w:ilvl="0" w:tentative="0">
      <w:start w:val="1"/>
      <w:numFmt w:val="decimal"/>
      <w:suff w:val="nothing"/>
      <w:lvlText w:val="（%1）"/>
      <w:lvlJc w:val="left"/>
    </w:lvl>
  </w:abstractNum>
  <w:abstractNum w:abstractNumId="8">
    <w:nsid w:val="3357AFD2"/>
    <w:multiLevelType w:val="singleLevel"/>
    <w:tmpl w:val="3357AFD2"/>
    <w:lvl w:ilvl="0" w:tentative="0">
      <w:start w:val="1"/>
      <w:numFmt w:val="decimal"/>
      <w:suff w:val="nothing"/>
      <w:lvlText w:val="%1、"/>
      <w:lvlJc w:val="left"/>
    </w:lvl>
  </w:abstractNum>
  <w:abstractNum w:abstractNumId="9">
    <w:nsid w:val="59ADCABA"/>
    <w:multiLevelType w:val="multilevel"/>
    <w:tmpl w:val="59ADCABA"/>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6"/>
  </w:num>
  <w:num w:numId="2">
    <w:abstractNumId w:val="1"/>
  </w:num>
  <w:num w:numId="3">
    <w:abstractNumId w:val="2"/>
  </w:num>
  <w:num w:numId="4">
    <w:abstractNumId w:val="9"/>
  </w:num>
  <w:num w:numId="5">
    <w:abstractNumId w:val="4"/>
    <w:lvlOverride w:ilvl="0">
      <w:startOverride w:val="2"/>
    </w:lvlOverride>
  </w:num>
  <w:num w:numId="6">
    <w:abstractNumId w:val="3"/>
    <w:lvlOverride w:ilvl="0">
      <w:startOverride w:val="6"/>
    </w:lvlOverride>
  </w:num>
  <w:num w:numId="7">
    <w:abstractNumId w:val="0"/>
    <w:lvlOverride w:ilvl="0">
      <w:startOverride w:val="16"/>
    </w:lvlOverride>
  </w:num>
  <w:num w:numId="8">
    <w:abstractNumId w:val="5"/>
    <w:lvlOverride w:ilvl="0">
      <w:startOverride w:val="23"/>
    </w:lvlOverride>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jQ4MDViNzI1OGY2YzE4MzhiZmY5ZTY1YTkxNGYifQ=="/>
  </w:docVars>
  <w:rsids>
    <w:rsidRoot w:val="00172A27"/>
    <w:rsid w:val="00027397"/>
    <w:rsid w:val="0008414E"/>
    <w:rsid w:val="000B6FA8"/>
    <w:rsid w:val="000D6064"/>
    <w:rsid w:val="00106EC4"/>
    <w:rsid w:val="00111440"/>
    <w:rsid w:val="00112B63"/>
    <w:rsid w:val="00152010"/>
    <w:rsid w:val="00172A27"/>
    <w:rsid w:val="002B0C85"/>
    <w:rsid w:val="003C54BE"/>
    <w:rsid w:val="004125B1"/>
    <w:rsid w:val="00427F98"/>
    <w:rsid w:val="004529E6"/>
    <w:rsid w:val="004E0F29"/>
    <w:rsid w:val="005257A0"/>
    <w:rsid w:val="00755D43"/>
    <w:rsid w:val="007E3A7B"/>
    <w:rsid w:val="00822248"/>
    <w:rsid w:val="00927A3A"/>
    <w:rsid w:val="009620FE"/>
    <w:rsid w:val="00973C6A"/>
    <w:rsid w:val="009D4169"/>
    <w:rsid w:val="009E04AF"/>
    <w:rsid w:val="00A75D0F"/>
    <w:rsid w:val="00BD1A9C"/>
    <w:rsid w:val="00BF706B"/>
    <w:rsid w:val="00C90FDD"/>
    <w:rsid w:val="00CE1146"/>
    <w:rsid w:val="00CF47B8"/>
    <w:rsid w:val="00D00F3E"/>
    <w:rsid w:val="00D20B29"/>
    <w:rsid w:val="00D3382A"/>
    <w:rsid w:val="00D550E3"/>
    <w:rsid w:val="00D724D7"/>
    <w:rsid w:val="00ED0DA8"/>
    <w:rsid w:val="00F04D35"/>
    <w:rsid w:val="00F05E1E"/>
    <w:rsid w:val="00F65A6E"/>
    <w:rsid w:val="00FA4B2E"/>
    <w:rsid w:val="00FE0994"/>
    <w:rsid w:val="00FF1D20"/>
    <w:rsid w:val="014036E0"/>
    <w:rsid w:val="015C3D17"/>
    <w:rsid w:val="01AE0C97"/>
    <w:rsid w:val="021B6523"/>
    <w:rsid w:val="02851591"/>
    <w:rsid w:val="02867E41"/>
    <w:rsid w:val="028B748A"/>
    <w:rsid w:val="02BD5381"/>
    <w:rsid w:val="02D505AD"/>
    <w:rsid w:val="02F0175E"/>
    <w:rsid w:val="034115E7"/>
    <w:rsid w:val="034E4AD1"/>
    <w:rsid w:val="037E0789"/>
    <w:rsid w:val="03912F41"/>
    <w:rsid w:val="04CF1FA6"/>
    <w:rsid w:val="056E5657"/>
    <w:rsid w:val="058663AA"/>
    <w:rsid w:val="062C42CE"/>
    <w:rsid w:val="068A6E34"/>
    <w:rsid w:val="07994E3B"/>
    <w:rsid w:val="07A02A3F"/>
    <w:rsid w:val="07A1136F"/>
    <w:rsid w:val="07A40F48"/>
    <w:rsid w:val="083420ED"/>
    <w:rsid w:val="0854758E"/>
    <w:rsid w:val="08992D34"/>
    <w:rsid w:val="09132265"/>
    <w:rsid w:val="095D46A1"/>
    <w:rsid w:val="0A7315F2"/>
    <w:rsid w:val="0ABC363A"/>
    <w:rsid w:val="0AD8294B"/>
    <w:rsid w:val="0B4B3B00"/>
    <w:rsid w:val="0B550CF8"/>
    <w:rsid w:val="0B8A23C1"/>
    <w:rsid w:val="0BAE3813"/>
    <w:rsid w:val="0C6F7B97"/>
    <w:rsid w:val="0D4D2FC1"/>
    <w:rsid w:val="0DDF1EF8"/>
    <w:rsid w:val="0DF06AB6"/>
    <w:rsid w:val="0E0362D5"/>
    <w:rsid w:val="0E0D7668"/>
    <w:rsid w:val="0E966A8C"/>
    <w:rsid w:val="0E9C09EC"/>
    <w:rsid w:val="0EE61CD2"/>
    <w:rsid w:val="0F6D24BC"/>
    <w:rsid w:val="0F7D537E"/>
    <w:rsid w:val="10007707"/>
    <w:rsid w:val="10831E63"/>
    <w:rsid w:val="109A0F5B"/>
    <w:rsid w:val="10D87CA8"/>
    <w:rsid w:val="11AB711C"/>
    <w:rsid w:val="11E249A1"/>
    <w:rsid w:val="12431559"/>
    <w:rsid w:val="12EF1B96"/>
    <w:rsid w:val="12F015A0"/>
    <w:rsid w:val="132A2A6A"/>
    <w:rsid w:val="1375205F"/>
    <w:rsid w:val="137D2B9A"/>
    <w:rsid w:val="13CF3904"/>
    <w:rsid w:val="14477BA7"/>
    <w:rsid w:val="14EB154F"/>
    <w:rsid w:val="15BF3E2F"/>
    <w:rsid w:val="169263C8"/>
    <w:rsid w:val="16A61788"/>
    <w:rsid w:val="16BA3E2C"/>
    <w:rsid w:val="16F413C5"/>
    <w:rsid w:val="17666D47"/>
    <w:rsid w:val="1792502D"/>
    <w:rsid w:val="18BC4109"/>
    <w:rsid w:val="18F46EBA"/>
    <w:rsid w:val="192F5D4A"/>
    <w:rsid w:val="193260E4"/>
    <w:rsid w:val="19835197"/>
    <w:rsid w:val="1A4F2C83"/>
    <w:rsid w:val="1A9133CF"/>
    <w:rsid w:val="1AC564D8"/>
    <w:rsid w:val="1AD2708F"/>
    <w:rsid w:val="1B5F5046"/>
    <w:rsid w:val="1B8B7B95"/>
    <w:rsid w:val="1B9509DF"/>
    <w:rsid w:val="1BA002D8"/>
    <w:rsid w:val="1BCA3215"/>
    <w:rsid w:val="1BCC6609"/>
    <w:rsid w:val="1C0025BA"/>
    <w:rsid w:val="1C0A11A4"/>
    <w:rsid w:val="1C4964B3"/>
    <w:rsid w:val="1CAC4347"/>
    <w:rsid w:val="1D1C1092"/>
    <w:rsid w:val="1D605A5A"/>
    <w:rsid w:val="1D854966"/>
    <w:rsid w:val="1DFD1285"/>
    <w:rsid w:val="1EA043BC"/>
    <w:rsid w:val="1EC70509"/>
    <w:rsid w:val="1F4A0271"/>
    <w:rsid w:val="1FC7762D"/>
    <w:rsid w:val="205730E8"/>
    <w:rsid w:val="20733730"/>
    <w:rsid w:val="20A83FAF"/>
    <w:rsid w:val="212D5EEC"/>
    <w:rsid w:val="215025DE"/>
    <w:rsid w:val="21B7196D"/>
    <w:rsid w:val="21C773F5"/>
    <w:rsid w:val="21CC717D"/>
    <w:rsid w:val="21F4671D"/>
    <w:rsid w:val="2228286B"/>
    <w:rsid w:val="22424AA4"/>
    <w:rsid w:val="227E304A"/>
    <w:rsid w:val="22DA39E0"/>
    <w:rsid w:val="22F62B8A"/>
    <w:rsid w:val="23092164"/>
    <w:rsid w:val="23254D08"/>
    <w:rsid w:val="23534E2B"/>
    <w:rsid w:val="23ED3D6C"/>
    <w:rsid w:val="242C02D7"/>
    <w:rsid w:val="24486239"/>
    <w:rsid w:val="24533DC2"/>
    <w:rsid w:val="2532334D"/>
    <w:rsid w:val="25574BE7"/>
    <w:rsid w:val="26750FF7"/>
    <w:rsid w:val="26D6553E"/>
    <w:rsid w:val="26E9418F"/>
    <w:rsid w:val="27194423"/>
    <w:rsid w:val="27290FC5"/>
    <w:rsid w:val="28301982"/>
    <w:rsid w:val="28A77F49"/>
    <w:rsid w:val="28FC627B"/>
    <w:rsid w:val="28FE41FC"/>
    <w:rsid w:val="29345C52"/>
    <w:rsid w:val="2996274E"/>
    <w:rsid w:val="2A4648B7"/>
    <w:rsid w:val="2AFB5241"/>
    <w:rsid w:val="2B005440"/>
    <w:rsid w:val="2C03574A"/>
    <w:rsid w:val="2C117DB2"/>
    <w:rsid w:val="2C4E4012"/>
    <w:rsid w:val="2C7B3B05"/>
    <w:rsid w:val="2CC277F5"/>
    <w:rsid w:val="2D67525C"/>
    <w:rsid w:val="2D784F24"/>
    <w:rsid w:val="2DAC25A2"/>
    <w:rsid w:val="2DE81100"/>
    <w:rsid w:val="2E5E7AF7"/>
    <w:rsid w:val="2E717C8A"/>
    <w:rsid w:val="2E8702E5"/>
    <w:rsid w:val="2EB711FE"/>
    <w:rsid w:val="2ED51684"/>
    <w:rsid w:val="2EE73822"/>
    <w:rsid w:val="2F1877C3"/>
    <w:rsid w:val="2FAD4FD9"/>
    <w:rsid w:val="2FB346FB"/>
    <w:rsid w:val="2FFA5778"/>
    <w:rsid w:val="30495C84"/>
    <w:rsid w:val="30626EBE"/>
    <w:rsid w:val="30650005"/>
    <w:rsid w:val="310333AD"/>
    <w:rsid w:val="31522189"/>
    <w:rsid w:val="318A49A8"/>
    <w:rsid w:val="32990C1B"/>
    <w:rsid w:val="329E6CD8"/>
    <w:rsid w:val="33440753"/>
    <w:rsid w:val="33773E42"/>
    <w:rsid w:val="33A31D51"/>
    <w:rsid w:val="34A9783B"/>
    <w:rsid w:val="34E14EA2"/>
    <w:rsid w:val="34E346A0"/>
    <w:rsid w:val="359B1151"/>
    <w:rsid w:val="35AD49A2"/>
    <w:rsid w:val="3615080F"/>
    <w:rsid w:val="36172BC3"/>
    <w:rsid w:val="36CC7C95"/>
    <w:rsid w:val="36CF07E3"/>
    <w:rsid w:val="36EB650A"/>
    <w:rsid w:val="378133A9"/>
    <w:rsid w:val="37F35292"/>
    <w:rsid w:val="383A233E"/>
    <w:rsid w:val="38FB5923"/>
    <w:rsid w:val="39101F1B"/>
    <w:rsid w:val="392D7EB3"/>
    <w:rsid w:val="39720FC7"/>
    <w:rsid w:val="39B60304"/>
    <w:rsid w:val="39CD52E9"/>
    <w:rsid w:val="3A64388F"/>
    <w:rsid w:val="3B0B043D"/>
    <w:rsid w:val="3BDF2457"/>
    <w:rsid w:val="3C420A5B"/>
    <w:rsid w:val="3C8E39AA"/>
    <w:rsid w:val="3CA53635"/>
    <w:rsid w:val="3CCC5573"/>
    <w:rsid w:val="3D23372C"/>
    <w:rsid w:val="3D751396"/>
    <w:rsid w:val="3D9646D4"/>
    <w:rsid w:val="3DAB463F"/>
    <w:rsid w:val="3DEB4A20"/>
    <w:rsid w:val="3DF80C94"/>
    <w:rsid w:val="3E064F5A"/>
    <w:rsid w:val="3E161B6B"/>
    <w:rsid w:val="3E7F5998"/>
    <w:rsid w:val="3F0056DB"/>
    <w:rsid w:val="3F1A3023"/>
    <w:rsid w:val="3F243A9D"/>
    <w:rsid w:val="3FDA7B0E"/>
    <w:rsid w:val="401D2E8B"/>
    <w:rsid w:val="40350295"/>
    <w:rsid w:val="406E1D8D"/>
    <w:rsid w:val="42053C57"/>
    <w:rsid w:val="42214BD9"/>
    <w:rsid w:val="42324DFA"/>
    <w:rsid w:val="425F30ED"/>
    <w:rsid w:val="42FA74B4"/>
    <w:rsid w:val="431353F3"/>
    <w:rsid w:val="43455446"/>
    <w:rsid w:val="43692E36"/>
    <w:rsid w:val="44140DF0"/>
    <w:rsid w:val="4457032A"/>
    <w:rsid w:val="44DA072F"/>
    <w:rsid w:val="454D0F8E"/>
    <w:rsid w:val="45A932D5"/>
    <w:rsid w:val="45FC0A54"/>
    <w:rsid w:val="461D469A"/>
    <w:rsid w:val="466976E6"/>
    <w:rsid w:val="46EA0CE7"/>
    <w:rsid w:val="46FC1A4C"/>
    <w:rsid w:val="470D4256"/>
    <w:rsid w:val="472208AE"/>
    <w:rsid w:val="47704C41"/>
    <w:rsid w:val="47B925F3"/>
    <w:rsid w:val="48910AEC"/>
    <w:rsid w:val="48B3170D"/>
    <w:rsid w:val="48B41562"/>
    <w:rsid w:val="493C7DE9"/>
    <w:rsid w:val="4A1E13B4"/>
    <w:rsid w:val="4A2C49B0"/>
    <w:rsid w:val="4A7D1B0F"/>
    <w:rsid w:val="4A802994"/>
    <w:rsid w:val="4AAC50D1"/>
    <w:rsid w:val="4AE82438"/>
    <w:rsid w:val="4B133808"/>
    <w:rsid w:val="4B816722"/>
    <w:rsid w:val="4C5A2B74"/>
    <w:rsid w:val="4C7B3413"/>
    <w:rsid w:val="4D0227B8"/>
    <w:rsid w:val="4D2D20D9"/>
    <w:rsid w:val="4D4B1038"/>
    <w:rsid w:val="4DA074F7"/>
    <w:rsid w:val="4DA33F07"/>
    <w:rsid w:val="4DDE52C0"/>
    <w:rsid w:val="4DFB00F6"/>
    <w:rsid w:val="4E8932F2"/>
    <w:rsid w:val="4F7F5871"/>
    <w:rsid w:val="508605D9"/>
    <w:rsid w:val="50A1397F"/>
    <w:rsid w:val="50BF2464"/>
    <w:rsid w:val="51C75DFE"/>
    <w:rsid w:val="52496610"/>
    <w:rsid w:val="52741FCB"/>
    <w:rsid w:val="52D06B10"/>
    <w:rsid w:val="52F537F4"/>
    <w:rsid w:val="53401A68"/>
    <w:rsid w:val="53536515"/>
    <w:rsid w:val="536B21BA"/>
    <w:rsid w:val="53A862CC"/>
    <w:rsid w:val="53B37061"/>
    <w:rsid w:val="542A0FDA"/>
    <w:rsid w:val="544D7D8B"/>
    <w:rsid w:val="54604111"/>
    <w:rsid w:val="54E877FB"/>
    <w:rsid w:val="54ED53D0"/>
    <w:rsid w:val="55091CCC"/>
    <w:rsid w:val="56307253"/>
    <w:rsid w:val="56453199"/>
    <w:rsid w:val="564B4B24"/>
    <w:rsid w:val="56EF7016"/>
    <w:rsid w:val="56FF338D"/>
    <w:rsid w:val="5797379E"/>
    <w:rsid w:val="582F6DAB"/>
    <w:rsid w:val="58AD45AF"/>
    <w:rsid w:val="58D4718C"/>
    <w:rsid w:val="590C78EE"/>
    <w:rsid w:val="59346858"/>
    <w:rsid w:val="594D7202"/>
    <w:rsid w:val="59581771"/>
    <w:rsid w:val="59A82CA5"/>
    <w:rsid w:val="5A1804F3"/>
    <w:rsid w:val="5AD536B4"/>
    <w:rsid w:val="5AEA4CCC"/>
    <w:rsid w:val="5B031B11"/>
    <w:rsid w:val="5B96574B"/>
    <w:rsid w:val="5C1E200D"/>
    <w:rsid w:val="5C507C6A"/>
    <w:rsid w:val="5C5A652B"/>
    <w:rsid w:val="5C745354"/>
    <w:rsid w:val="5D064006"/>
    <w:rsid w:val="5D320FC0"/>
    <w:rsid w:val="5D797461"/>
    <w:rsid w:val="5DE138D8"/>
    <w:rsid w:val="5E1921ED"/>
    <w:rsid w:val="5EDB106D"/>
    <w:rsid w:val="5EE035AA"/>
    <w:rsid w:val="5EEB6F8F"/>
    <w:rsid w:val="5F476F94"/>
    <w:rsid w:val="5F7D5E8E"/>
    <w:rsid w:val="5F7F522A"/>
    <w:rsid w:val="601337BB"/>
    <w:rsid w:val="606A165C"/>
    <w:rsid w:val="60A07495"/>
    <w:rsid w:val="61730705"/>
    <w:rsid w:val="61FD51A0"/>
    <w:rsid w:val="62281F6A"/>
    <w:rsid w:val="622C715E"/>
    <w:rsid w:val="62A87E16"/>
    <w:rsid w:val="62CA561A"/>
    <w:rsid w:val="6313315F"/>
    <w:rsid w:val="632F68AE"/>
    <w:rsid w:val="63531AF3"/>
    <w:rsid w:val="63CD6C1F"/>
    <w:rsid w:val="643A2D32"/>
    <w:rsid w:val="6464289D"/>
    <w:rsid w:val="64A56430"/>
    <w:rsid w:val="65055217"/>
    <w:rsid w:val="65BB2793"/>
    <w:rsid w:val="65FF1B98"/>
    <w:rsid w:val="662B5A52"/>
    <w:rsid w:val="664F5C5B"/>
    <w:rsid w:val="667027CF"/>
    <w:rsid w:val="6688694C"/>
    <w:rsid w:val="67112E9A"/>
    <w:rsid w:val="67A410D5"/>
    <w:rsid w:val="67C9169A"/>
    <w:rsid w:val="68245589"/>
    <w:rsid w:val="68777DD2"/>
    <w:rsid w:val="69201173"/>
    <w:rsid w:val="69456428"/>
    <w:rsid w:val="69983CE0"/>
    <w:rsid w:val="6A1C1694"/>
    <w:rsid w:val="6A751DB0"/>
    <w:rsid w:val="6AB95533"/>
    <w:rsid w:val="6B037E0E"/>
    <w:rsid w:val="6BDE41BB"/>
    <w:rsid w:val="6C5462A8"/>
    <w:rsid w:val="6C917FD7"/>
    <w:rsid w:val="6CB4386E"/>
    <w:rsid w:val="6D3769B4"/>
    <w:rsid w:val="6D865F2E"/>
    <w:rsid w:val="6D8B36BB"/>
    <w:rsid w:val="6E1F5E9D"/>
    <w:rsid w:val="6E3A2CD6"/>
    <w:rsid w:val="70741DD0"/>
    <w:rsid w:val="70FE1717"/>
    <w:rsid w:val="71BB7860"/>
    <w:rsid w:val="72440385"/>
    <w:rsid w:val="73412411"/>
    <w:rsid w:val="73761484"/>
    <w:rsid w:val="73C77577"/>
    <w:rsid w:val="743F3C99"/>
    <w:rsid w:val="74835482"/>
    <w:rsid w:val="74877DC7"/>
    <w:rsid w:val="755802CB"/>
    <w:rsid w:val="75890D8F"/>
    <w:rsid w:val="75B043EA"/>
    <w:rsid w:val="76D90F68"/>
    <w:rsid w:val="7706409E"/>
    <w:rsid w:val="77C1540B"/>
    <w:rsid w:val="783E7320"/>
    <w:rsid w:val="78646D02"/>
    <w:rsid w:val="78CB19C0"/>
    <w:rsid w:val="78F35EFE"/>
    <w:rsid w:val="78FF5669"/>
    <w:rsid w:val="7918780F"/>
    <w:rsid w:val="793275BA"/>
    <w:rsid w:val="79366D92"/>
    <w:rsid w:val="79A724F1"/>
    <w:rsid w:val="79B56B48"/>
    <w:rsid w:val="7A4B7878"/>
    <w:rsid w:val="7A6D100D"/>
    <w:rsid w:val="7BC736D0"/>
    <w:rsid w:val="7C5F16F8"/>
    <w:rsid w:val="7C9D3E10"/>
    <w:rsid w:val="7CAF2E48"/>
    <w:rsid w:val="7CB122FF"/>
    <w:rsid w:val="7CFC55FB"/>
    <w:rsid w:val="7D796C4C"/>
    <w:rsid w:val="7D8B2F11"/>
    <w:rsid w:val="7DBA67DE"/>
    <w:rsid w:val="7DEE3421"/>
    <w:rsid w:val="7DF53ACA"/>
    <w:rsid w:val="7E53398F"/>
    <w:rsid w:val="7EE53150"/>
    <w:rsid w:val="7F0E4C61"/>
    <w:rsid w:val="7F7F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next w:val="1"/>
    <w:unhideWhenUsed/>
    <w:qFormat/>
    <w:uiPriority w:val="99"/>
    <w:pPr>
      <w:widowControl w:val="0"/>
      <w:ind w:firstLine="420" w:firstLineChars="100"/>
      <w:jc w:val="both"/>
    </w:pPr>
    <w:rPr>
      <w:rFonts w:ascii="等线" w:hAnsi="等线" w:eastAsia="等线" w:cs="Times New Roman"/>
      <w:kern w:val="2"/>
      <w:sz w:val="21"/>
      <w:szCs w:val="22"/>
      <w:lang w:val="en-US" w:eastAsia="zh-CN" w:bidi="ar-SA"/>
    </w:rPr>
  </w:style>
  <w:style w:type="paragraph" w:styleId="6">
    <w:name w:val="annotation text"/>
    <w:basedOn w:val="1"/>
    <w:autoRedefine/>
    <w:qFormat/>
    <w:uiPriority w:val="0"/>
    <w:pPr>
      <w:jc w:val="left"/>
    </w:pPr>
  </w:style>
  <w:style w:type="paragraph" w:styleId="7">
    <w:name w:val="Body Text"/>
    <w:basedOn w:val="1"/>
    <w:next w:val="1"/>
    <w:autoRedefine/>
    <w:unhideWhenUsed/>
    <w:qFormat/>
    <w:uiPriority w:val="0"/>
    <w:pPr>
      <w:spacing w:after="120"/>
    </w:pPr>
    <w:rPr>
      <w:rFonts w:ascii="Calibri" w:hAnsi="Calibri"/>
      <w:kern w:val="2"/>
      <w:szCs w:val="22"/>
    </w:rPr>
  </w:style>
  <w:style w:type="paragraph" w:styleId="8">
    <w:name w:val="toc 3"/>
    <w:basedOn w:val="1"/>
    <w:next w:val="1"/>
    <w:qFormat/>
    <w:uiPriority w:val="0"/>
    <w:pPr>
      <w:ind w:left="840" w:leftChars="400"/>
    </w:pPr>
  </w:style>
  <w:style w:type="paragraph" w:styleId="9">
    <w:name w:val="Plain Text"/>
    <w:basedOn w:val="1"/>
    <w:autoRedefine/>
    <w:unhideWhenUsed/>
    <w:qFormat/>
    <w:uiPriority w:val="0"/>
    <w:rPr>
      <w:rFonts w:ascii="宋体" w:hAnsi="Courier New" w:cs="Courier New"/>
      <w:kern w:val="2"/>
      <w:szCs w:val="21"/>
    </w:rPr>
  </w:style>
  <w:style w:type="paragraph" w:styleId="10">
    <w:name w:val="footer"/>
    <w:basedOn w:val="1"/>
    <w:link w:val="20"/>
    <w:autoRedefine/>
    <w:qFormat/>
    <w:uiPriority w:val="0"/>
    <w:pPr>
      <w:tabs>
        <w:tab w:val="center" w:pos="4153"/>
        <w:tab w:val="right" w:pos="8306"/>
      </w:tabs>
      <w:snapToGrid w:val="0"/>
      <w:jc w:val="left"/>
    </w:pPr>
    <w:rPr>
      <w:sz w:val="18"/>
      <w:szCs w:val="18"/>
    </w:rPr>
  </w:style>
  <w:style w:type="paragraph" w:styleId="11">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autoRedefine/>
    <w:qFormat/>
    <w:uiPriority w:val="0"/>
    <w:pPr>
      <w:spacing w:beforeAutospacing="1" w:afterAutospacing="1"/>
      <w:jc w:val="left"/>
    </w:pPr>
    <w:rPr>
      <w:rFonts w:cs="Times New Roman"/>
      <w:kern w:val="0"/>
      <w:sz w:val="24"/>
    </w:rPr>
  </w:style>
  <w:style w:type="character" w:styleId="17">
    <w:name w:val="Hyperlink"/>
    <w:basedOn w:val="16"/>
    <w:qFormat/>
    <w:uiPriority w:val="0"/>
    <w:rPr>
      <w:color w:val="0000FF"/>
      <w:u w:val="single"/>
    </w:rPr>
  </w:style>
  <w:style w:type="paragraph" w:customStyle="1" w:styleId="18">
    <w:name w:val="Default"/>
    <w:basedOn w:val="1"/>
    <w:semiHidden/>
    <w:qFormat/>
    <w:uiPriority w:val="0"/>
    <w:pPr>
      <w:autoSpaceDE w:val="0"/>
      <w:autoSpaceDN w:val="0"/>
      <w:adjustRightInd w:val="0"/>
      <w:jc w:val="left"/>
    </w:pPr>
    <w:rPr>
      <w:rFonts w:ascii="宋体" w:hAnsi="Calibri" w:cs="宋体"/>
      <w:color w:val="000000"/>
      <w:kern w:val="0"/>
      <w:sz w:val="24"/>
    </w:rPr>
  </w:style>
  <w:style w:type="character" w:customStyle="1" w:styleId="19">
    <w:name w:val="页眉 Char"/>
    <w:basedOn w:val="16"/>
    <w:link w:val="11"/>
    <w:autoRedefine/>
    <w:qFormat/>
    <w:uiPriority w:val="0"/>
    <w:rPr>
      <w:rFonts w:asciiTheme="minorHAnsi" w:hAnsiTheme="minorHAnsi" w:eastAsiaTheme="minorEastAsia" w:cstheme="minorBidi"/>
      <w:kern w:val="2"/>
      <w:sz w:val="18"/>
      <w:szCs w:val="18"/>
    </w:rPr>
  </w:style>
  <w:style w:type="character" w:customStyle="1" w:styleId="20">
    <w:name w:val="页脚 Char"/>
    <w:basedOn w:val="16"/>
    <w:link w:val="10"/>
    <w:autoRedefine/>
    <w:qFormat/>
    <w:uiPriority w:val="0"/>
    <w:rPr>
      <w:rFonts w:asciiTheme="minorHAnsi" w:hAnsiTheme="minorHAnsi" w:eastAsiaTheme="minorEastAsia" w:cstheme="minorBidi"/>
      <w:kern w:val="2"/>
      <w:sz w:val="18"/>
      <w:szCs w:val="18"/>
    </w:rPr>
  </w:style>
  <w:style w:type="paragraph" w:customStyle="1" w:styleId="2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2">
    <w:name w:val="页脚1"/>
    <w:basedOn w:val="1"/>
    <w:autoRedefine/>
    <w:unhideWhenUsed/>
    <w:qFormat/>
    <w:uiPriority w:val="99"/>
    <w:pPr>
      <w:tabs>
        <w:tab w:val="center" w:pos="4153"/>
        <w:tab w:val="right" w:pos="8306"/>
      </w:tabs>
      <w:jc w:val="left"/>
    </w:pPr>
    <w:rPr>
      <w:sz w:val="18"/>
      <w:szCs w:val="18"/>
    </w:rPr>
  </w:style>
  <w:style w:type="paragraph" w:customStyle="1" w:styleId="23">
    <w:name w:val="普通正文"/>
    <w:basedOn w:val="1"/>
    <w:autoRedefine/>
    <w:qFormat/>
    <w:uiPriority w:val="0"/>
    <w:pPr>
      <w:adjustRightInd w:val="0"/>
      <w:spacing w:before="120" w:after="120" w:line="360" w:lineRule="auto"/>
      <w:ind w:firstLine="480"/>
      <w:jc w:val="left"/>
    </w:pPr>
    <w:rPr>
      <w:rFonts w:ascii="Arial" w:hAnsi="Arial" w:eastAsia="等线" w:cs="Arial"/>
      <w:sz w:val="24"/>
      <w:szCs w:val="24"/>
    </w:rPr>
  </w:style>
  <w:style w:type="paragraph" w:customStyle="1" w:styleId="24">
    <w:name w:val="正文首行缩进 21"/>
    <w:basedOn w:val="25"/>
    <w:qFormat/>
    <w:uiPriority w:val="0"/>
    <w:pPr>
      <w:ind w:firstLine="420"/>
    </w:pPr>
  </w:style>
  <w:style w:type="paragraph" w:customStyle="1" w:styleId="25">
    <w:name w:val="正文文本缩进1"/>
    <w:basedOn w:val="1"/>
    <w:qFormat/>
    <w:uiPriority w:val="0"/>
    <w:pPr>
      <w:spacing w:after="120"/>
      <w:ind w:left="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61</Pages>
  <Words>14023</Words>
  <Characters>15075</Characters>
  <Lines>183</Lines>
  <Paragraphs>51</Paragraphs>
  <TotalTime>6</TotalTime>
  <ScaleCrop>false</ScaleCrop>
  <LinksUpToDate>false</LinksUpToDate>
  <CharactersWithSpaces>15821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正式环境陈艳测试账号</dc:creator>
  <cp:lastModifiedBy>Agonia</cp:lastModifiedBy>
  <dcterms:modified xsi:type="dcterms:W3CDTF">2025-09-09T04:48:31Z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2CE725C660F74BC6B9F9F213959B39C7_13</vt:lpwstr>
  </property>
  <property fmtid="{D5CDD505-2E9C-101B-9397-08002B2CF9AE}" pid="4" name="KSOTemplateDocerSaveRecord">
    <vt:lpwstr>eyJoZGlkIjoiNDE5YjY5MWU4NGI3NDhkM2Q3ZWFkMGY0MTMyN2QxMjQiLCJ1c2VySWQiOiI2NDU4MTg3NjQifQ==</vt:lpwstr>
  </property>
</Properties>
</file>