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rPr>
          <w:rFonts w:ascii="宋体" w:hAnsi="宋体"/>
          <w:b/>
          <w:bCs/>
          <w:color w:val="000000" w:themeColor="text1"/>
          <w:sz w:val="48"/>
          <w:highlight w:val="none"/>
        </w:rPr>
      </w:pPr>
    </w:p>
    <w:p>
      <w:pPr>
        <w:pStyle w:val="18"/>
        <w:rPr>
          <w:rFonts w:ascii="宋体" w:hAnsi="宋体"/>
          <w:b/>
          <w:bCs/>
          <w:color w:val="000000" w:themeColor="text1"/>
          <w:sz w:val="48"/>
          <w:highlight w:val="none"/>
        </w:rPr>
      </w:pPr>
    </w:p>
    <w:p>
      <w:pPr>
        <w:spacing w:line="1040" w:lineRule="exact"/>
        <w:jc w:val="center"/>
        <w:rPr>
          <w:rFonts w:ascii="黑体" w:hAnsi="黑体" w:eastAsia="黑体"/>
          <w:color w:val="000000" w:themeColor="text1"/>
          <w:sz w:val="72"/>
          <w:szCs w:val="72"/>
          <w:highlight w:val="none"/>
        </w:rPr>
      </w:pPr>
      <w:r>
        <w:rPr>
          <w:rFonts w:hint="eastAsia" w:ascii="黑体" w:hAnsi="黑体" w:eastAsia="黑体"/>
          <w:color w:val="000000" w:themeColor="text1"/>
          <w:sz w:val="72"/>
          <w:szCs w:val="72"/>
          <w:highlight w:val="none"/>
        </w:rPr>
        <w:t>淮安市淮阴区政府采购项目“全流程不见面交易”</w:t>
      </w:r>
    </w:p>
    <w:p>
      <w:pPr>
        <w:spacing w:line="1040" w:lineRule="exact"/>
        <w:jc w:val="center"/>
        <w:rPr>
          <w:rFonts w:ascii="黑体" w:hAnsi="黑体" w:eastAsia="黑体"/>
          <w:color w:val="000000" w:themeColor="text1"/>
          <w:sz w:val="72"/>
          <w:szCs w:val="72"/>
          <w:highlight w:val="none"/>
        </w:rPr>
      </w:pPr>
      <w:r>
        <w:rPr>
          <w:rFonts w:hint="eastAsia" w:ascii="黑体" w:hAnsi="黑体" w:eastAsia="黑体"/>
          <w:color w:val="000000" w:themeColor="text1"/>
          <w:sz w:val="72"/>
          <w:szCs w:val="72"/>
          <w:highlight w:val="none"/>
        </w:rPr>
        <w:t>招标文件</w:t>
      </w:r>
    </w:p>
    <w:p>
      <w:pPr>
        <w:tabs>
          <w:tab w:val="center" w:pos="4621"/>
        </w:tabs>
        <w:jc w:val="left"/>
        <w:rPr>
          <w:rFonts w:ascii="黑体" w:hAnsi="黑体" w:eastAsia="黑体"/>
          <w:color w:val="000000" w:themeColor="text1"/>
          <w:sz w:val="72"/>
          <w:highlight w:val="none"/>
        </w:rPr>
      </w:pPr>
    </w:p>
    <w:p>
      <w:pPr>
        <w:spacing w:line="760" w:lineRule="exact"/>
        <w:rPr>
          <w:rFonts w:ascii="黑体" w:hAnsi="黑体" w:eastAsia="黑体"/>
          <w:b/>
          <w:color w:val="000000" w:themeColor="text1"/>
          <w:sz w:val="32"/>
          <w:highlight w:val="none"/>
        </w:rPr>
      </w:pPr>
    </w:p>
    <w:p>
      <w:pPr>
        <w:ind w:firstLine="321"/>
        <w:rPr>
          <w:rFonts w:ascii="黑体" w:hAnsi="黑体" w:eastAsia="黑体"/>
          <w:b/>
          <w:color w:val="000000" w:themeColor="text1"/>
          <w:spacing w:val="-20"/>
          <w:sz w:val="36"/>
          <w:szCs w:val="36"/>
          <w:highlight w:val="none"/>
        </w:rPr>
      </w:pPr>
    </w:p>
    <w:p>
      <w:pPr>
        <w:ind w:firstLine="320"/>
        <w:rPr>
          <w:rFonts w:ascii="黑体" w:hAnsi="黑体" w:eastAsia="黑体"/>
          <w:color w:val="000000" w:themeColor="text1"/>
          <w:spacing w:val="-20"/>
          <w:sz w:val="28"/>
          <w:szCs w:val="36"/>
          <w:highlight w:val="none"/>
        </w:rPr>
      </w:pPr>
      <w:r>
        <w:rPr>
          <w:rFonts w:hint="eastAsia" w:ascii="黑体" w:hAnsi="黑体" w:eastAsia="黑体"/>
          <w:color w:val="000000" w:themeColor="text1"/>
          <w:spacing w:val="-20"/>
          <w:sz w:val="36"/>
          <w:szCs w:val="36"/>
          <w:highlight w:val="none"/>
        </w:rPr>
        <w:t>项目名称:</w:t>
      </w:r>
      <w:r>
        <w:rPr>
          <w:rFonts w:hint="eastAsia" w:ascii="黑体" w:hAnsi="黑体" w:eastAsia="黑体"/>
          <w:color w:val="000000" w:themeColor="text1"/>
          <w:sz w:val="36"/>
          <w:szCs w:val="36"/>
          <w:highlight w:val="none"/>
        </w:rPr>
        <w:t>淮阴生态环境局监测站仪器设备项目（二次）</w:t>
      </w:r>
    </w:p>
    <w:p>
      <w:pPr>
        <w:spacing w:line="760" w:lineRule="exact"/>
        <w:ind w:firstLine="4669"/>
        <w:rPr>
          <w:rFonts w:ascii="黑体" w:hAnsi="黑体" w:eastAsia="黑体"/>
          <w:color w:val="000000" w:themeColor="text1"/>
          <w:sz w:val="36"/>
          <w:szCs w:val="36"/>
          <w:highlight w:val="none"/>
        </w:rPr>
      </w:pPr>
    </w:p>
    <w:p>
      <w:pPr>
        <w:spacing w:line="760" w:lineRule="exact"/>
        <w:ind w:left="2137" w:hanging="1782"/>
        <w:rPr>
          <w:rFonts w:ascii="黑体" w:hAnsi="黑体" w:eastAsia="黑体"/>
          <w:color w:val="000000" w:themeColor="text1"/>
          <w:sz w:val="36"/>
          <w:highlight w:val="none"/>
        </w:rPr>
      </w:pPr>
      <w:r>
        <w:rPr>
          <w:rFonts w:hint="eastAsia" w:ascii="黑体" w:hAnsi="黑体" w:eastAsia="黑体"/>
          <w:color w:val="000000" w:themeColor="text1"/>
          <w:sz w:val="36"/>
          <w:highlight w:val="none"/>
        </w:rPr>
        <w:t>项目编号:</w:t>
      </w:r>
      <w:r>
        <w:rPr>
          <w:rFonts w:hint="eastAsia" w:ascii="黑体" w:hAnsi="黑体" w:eastAsia="黑体"/>
          <w:color w:val="000000" w:themeColor="text1"/>
          <w:sz w:val="36"/>
          <w:highlight w:val="none"/>
          <w:lang w:val="zh-CN"/>
        </w:rPr>
        <w:t>JSZC-320804-JTZB-G2024-0001</w:t>
      </w:r>
    </w:p>
    <w:p>
      <w:pPr>
        <w:ind w:left="-359" w:firstLine="358"/>
        <w:rPr>
          <w:rFonts w:ascii="黑体" w:hAnsi="黑体" w:eastAsia="黑体"/>
          <w:color w:val="000000" w:themeColor="text1"/>
          <w:sz w:val="32"/>
          <w:highlight w:val="none"/>
        </w:rPr>
      </w:pPr>
    </w:p>
    <w:p>
      <w:pPr>
        <w:rPr>
          <w:rFonts w:ascii="黑体" w:hAnsi="黑体" w:eastAsia="黑体"/>
          <w:color w:val="000000" w:themeColor="text1"/>
          <w:sz w:val="32"/>
          <w:highlight w:val="none"/>
        </w:rPr>
      </w:pPr>
    </w:p>
    <w:p>
      <w:pPr>
        <w:rPr>
          <w:rFonts w:ascii="黑体" w:hAnsi="黑体" w:eastAsia="黑体"/>
          <w:b/>
          <w:color w:val="000000" w:themeColor="text1"/>
          <w:sz w:val="32"/>
          <w:highlight w:val="none"/>
        </w:rPr>
      </w:pPr>
    </w:p>
    <w:p>
      <w:pPr>
        <w:rPr>
          <w:rFonts w:ascii="黑体" w:hAnsi="黑体" w:eastAsia="黑体"/>
          <w:b/>
          <w:color w:val="000000" w:themeColor="text1"/>
          <w:sz w:val="32"/>
          <w:highlight w:val="none"/>
        </w:rPr>
      </w:pPr>
    </w:p>
    <w:p>
      <w:pPr>
        <w:rPr>
          <w:rFonts w:ascii="黑体" w:hAnsi="黑体" w:eastAsia="黑体"/>
          <w:b/>
          <w:color w:val="000000" w:themeColor="text1"/>
          <w:sz w:val="32"/>
          <w:highlight w:val="none"/>
        </w:rPr>
      </w:pPr>
    </w:p>
    <w:p>
      <w:pPr>
        <w:rPr>
          <w:rFonts w:ascii="黑体" w:hAnsi="黑体" w:eastAsia="黑体"/>
          <w:b/>
          <w:color w:val="000000" w:themeColor="text1"/>
          <w:sz w:val="32"/>
          <w:highlight w:val="none"/>
        </w:rPr>
      </w:pPr>
    </w:p>
    <w:p>
      <w:pPr>
        <w:spacing w:line="600" w:lineRule="exact"/>
        <w:jc w:val="center"/>
        <w:rPr>
          <w:rFonts w:ascii="黑体" w:hAnsi="黑体" w:eastAsia="黑体"/>
          <w:bCs/>
          <w:color w:val="000000" w:themeColor="text1"/>
          <w:sz w:val="36"/>
          <w:szCs w:val="36"/>
          <w:highlight w:val="none"/>
          <w:u w:val="single"/>
        </w:rPr>
      </w:pPr>
      <w:r>
        <w:rPr>
          <w:rFonts w:hint="eastAsia" w:ascii="黑体" w:hAnsi="黑体" w:eastAsia="黑体"/>
          <w:bCs/>
          <w:color w:val="000000" w:themeColor="text1"/>
          <w:sz w:val="36"/>
          <w:szCs w:val="36"/>
          <w:highlight w:val="none"/>
        </w:rPr>
        <w:t>江苏建同工程咨询有限公司</w:t>
      </w:r>
    </w:p>
    <w:p>
      <w:pPr>
        <w:tabs>
          <w:tab w:val="center" w:pos="5215"/>
        </w:tabs>
        <w:spacing w:line="600" w:lineRule="exact"/>
        <w:jc w:val="center"/>
        <w:rPr>
          <w:rFonts w:ascii="黑体" w:hAnsi="黑体" w:eastAsia="黑体"/>
          <w:bCs/>
          <w:color w:val="000000" w:themeColor="text1"/>
          <w:sz w:val="36"/>
          <w:szCs w:val="36"/>
          <w:highlight w:val="none"/>
        </w:rPr>
      </w:pPr>
      <w:r>
        <w:rPr>
          <w:rFonts w:hint="eastAsia" w:ascii="黑体" w:hAnsi="黑体" w:eastAsia="黑体"/>
          <w:bCs/>
          <w:color w:val="000000" w:themeColor="text1"/>
          <w:sz w:val="36"/>
          <w:szCs w:val="36"/>
          <w:highlight w:val="none"/>
        </w:rPr>
        <w:t>二〇二四年五月</w:t>
      </w:r>
    </w:p>
    <w:p>
      <w:pPr>
        <w:spacing w:line="440" w:lineRule="exact"/>
        <w:jc w:val="center"/>
        <w:rPr>
          <w:rFonts w:ascii="仿宋" w:hAnsi="仿宋" w:eastAsia="仿宋" w:cs="仿宋"/>
          <w:b/>
          <w:bCs/>
          <w:color w:val="000000" w:themeColor="text1"/>
          <w:sz w:val="36"/>
          <w:szCs w:val="36"/>
          <w:highlight w:val="none"/>
        </w:rPr>
      </w:pPr>
    </w:p>
    <w:p>
      <w:pPr>
        <w:rPr>
          <w:rFonts w:ascii="仿宋" w:hAnsi="仿宋" w:eastAsia="仿宋"/>
          <w:color w:val="000000" w:themeColor="text1"/>
          <w:sz w:val="36"/>
          <w:szCs w:val="36"/>
          <w:highlight w:val="none"/>
        </w:rPr>
      </w:pPr>
    </w:p>
    <w:p>
      <w:pPr>
        <w:rPr>
          <w:color w:val="000000" w:themeColor="text1"/>
          <w:highlight w:val="none"/>
        </w:rPr>
      </w:pPr>
    </w:p>
    <w:p>
      <w:pPr>
        <w:rPr>
          <w:color w:val="000000" w:themeColor="text1"/>
          <w:highlight w:val="none"/>
        </w:rPr>
      </w:pPr>
    </w:p>
    <w:p>
      <w:pPr>
        <w:spacing w:line="360" w:lineRule="auto"/>
        <w:jc w:val="center"/>
        <w:rPr>
          <w:rFonts w:ascii="仿宋" w:hAnsi="仿宋" w:eastAsia="仿宋"/>
          <w:b/>
          <w:bCs/>
          <w:color w:val="000000" w:themeColor="text1"/>
          <w:sz w:val="36"/>
          <w:szCs w:val="36"/>
          <w:highlight w:val="none"/>
        </w:rPr>
      </w:pPr>
      <w:bookmarkStart w:id="0" w:name="OLE_LINK1"/>
      <w:bookmarkStart w:id="1" w:name="OLE_LINK2"/>
      <w:r>
        <w:rPr>
          <w:rFonts w:hint="eastAsia" w:ascii="仿宋" w:hAnsi="仿宋" w:eastAsia="仿宋"/>
          <w:b/>
          <w:bCs/>
          <w:color w:val="000000" w:themeColor="text1"/>
          <w:sz w:val="36"/>
          <w:szCs w:val="36"/>
          <w:highlight w:val="none"/>
        </w:rPr>
        <w:t>第一章投标邀请</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受淮安市淮阴生态环境局的委托，</w:t>
      </w:r>
      <w:r>
        <w:rPr>
          <w:rFonts w:hint="eastAsia" w:ascii="仿宋" w:hAnsi="仿宋" w:eastAsia="仿宋" w:cs="宋体"/>
          <w:color w:val="000000" w:themeColor="text1"/>
          <w:sz w:val="24"/>
          <w:highlight w:val="none"/>
        </w:rPr>
        <w:t>江苏建同工程咨询有限公司就</w:t>
      </w:r>
      <w:r>
        <w:rPr>
          <w:rFonts w:hint="eastAsia" w:ascii="仿宋" w:hAnsi="仿宋" w:eastAsia="仿宋"/>
          <w:color w:val="000000" w:themeColor="text1"/>
          <w:sz w:val="24"/>
          <w:highlight w:val="none"/>
          <w:lang w:val="zh-CN"/>
        </w:rPr>
        <w:t>淮阴生态环境局监测站仪器设备项目（二次）</w:t>
      </w:r>
      <w:r>
        <w:rPr>
          <w:rFonts w:hint="eastAsia" w:ascii="仿宋" w:hAnsi="仿宋" w:eastAsia="仿宋" w:cs="仿宋"/>
          <w:color w:val="000000" w:themeColor="text1"/>
          <w:sz w:val="24"/>
          <w:highlight w:val="none"/>
        </w:rPr>
        <w:t>政府采购项目进行“全流程不见面交易”采购，现邀请符合条件的投标人参加投标。</w:t>
      </w:r>
    </w:p>
    <w:tbl>
      <w:tblPr>
        <w:tblStyle w:val="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0" w:hRule="atLeast"/>
        </w:trPr>
        <w:tc>
          <w:tcPr>
            <w:tcW w:w="9464" w:type="dxa"/>
          </w:tcPr>
          <w:p>
            <w:pPr>
              <w:spacing w:line="360" w:lineRule="auto"/>
              <w:ind w:firstLine="480"/>
              <w:jc w:val="left"/>
              <w:rPr>
                <w:rFonts w:ascii="仿宋" w:hAnsi="仿宋" w:eastAsia="仿宋"/>
                <w:color w:val="000000" w:themeColor="text1"/>
                <w:sz w:val="24"/>
                <w:highlight w:val="none"/>
              </w:rPr>
            </w:pPr>
            <w:bookmarkStart w:id="2" w:name="招标文件获取地址_1"/>
            <w:r>
              <w:rPr>
                <w:rFonts w:hint="eastAsia" w:ascii="仿宋" w:hAnsi="仿宋" w:eastAsia="仿宋"/>
                <w:color w:val="000000" w:themeColor="text1"/>
                <w:sz w:val="24"/>
                <w:highlight w:val="none"/>
              </w:rPr>
              <w:t>项目概况：</w:t>
            </w:r>
            <w:r>
              <w:rPr>
                <w:rFonts w:hint="eastAsia" w:ascii="仿宋" w:hAnsi="仿宋" w:eastAsia="仿宋"/>
                <w:color w:val="000000" w:themeColor="text1"/>
                <w:sz w:val="24"/>
                <w:highlight w:val="none"/>
                <w:u w:val="single"/>
              </w:rPr>
              <w:t>淮阴生态环境局监测站仪器设备项目（二次）</w:t>
            </w:r>
            <w:r>
              <w:rPr>
                <w:rFonts w:hint="eastAsia" w:ascii="仿宋" w:hAnsi="仿宋" w:eastAsia="仿宋"/>
                <w:color w:val="000000" w:themeColor="text1"/>
                <w:sz w:val="24"/>
                <w:highlight w:val="none"/>
              </w:rPr>
              <w:t>招标项目的潜在投标人应在 “淮安市政府采购网”自行免费获取招标文件，并于</w:t>
            </w:r>
            <w:r>
              <w:rPr>
                <w:rFonts w:hint="eastAsia" w:ascii="仿宋" w:hAnsi="仿宋" w:eastAsia="仿宋"/>
                <w:color w:val="000000" w:themeColor="text1"/>
                <w:sz w:val="24"/>
                <w:highlight w:val="none"/>
                <w:u w:val="single"/>
                <w:lang w:eastAsia="zh-CN"/>
              </w:rPr>
              <w:t>2024年5月31日9点00分</w:t>
            </w:r>
            <w:r>
              <w:rPr>
                <w:rFonts w:hint="eastAsia" w:ascii="仿宋" w:hAnsi="仿宋" w:eastAsia="仿宋"/>
                <w:color w:val="000000" w:themeColor="text1"/>
                <w:sz w:val="24"/>
                <w:highlight w:val="none"/>
                <w:u w:val="single"/>
              </w:rPr>
              <w:t>（北京时间）前提交投标文件。</w:t>
            </w:r>
            <w:bookmarkEnd w:id="2"/>
          </w:p>
        </w:tc>
      </w:tr>
    </w:tbl>
    <w:p>
      <w:pPr>
        <w:spacing w:line="360" w:lineRule="auto"/>
        <w:ind w:firstLine="482"/>
        <w:jc w:val="left"/>
        <w:rPr>
          <w:rFonts w:ascii="仿宋" w:hAnsi="仿宋" w:eastAsia="仿宋"/>
          <w:b/>
          <w:bCs/>
          <w:color w:val="000000" w:themeColor="text1"/>
          <w:sz w:val="24"/>
          <w:highlight w:val="none"/>
          <w:lang w:val="zh-CN"/>
        </w:rPr>
      </w:pPr>
      <w:r>
        <w:rPr>
          <w:rFonts w:hint="eastAsia" w:ascii="仿宋" w:hAnsi="仿宋" w:eastAsia="仿宋"/>
          <w:b/>
          <w:bCs/>
          <w:color w:val="000000" w:themeColor="text1"/>
          <w:sz w:val="24"/>
          <w:highlight w:val="none"/>
          <w:lang w:val="zh-CN"/>
        </w:rPr>
        <w:t>一、项目基本情况</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lang w:val="zh-CN"/>
        </w:rPr>
        <w:t>1、项目编号:JSZC-320804-JTZB-G2024-0001</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rPr>
        <w:t>2、</w:t>
      </w:r>
      <w:r>
        <w:rPr>
          <w:rFonts w:hint="eastAsia" w:ascii="仿宋" w:hAnsi="仿宋" w:eastAsia="仿宋"/>
          <w:color w:val="000000" w:themeColor="text1"/>
          <w:sz w:val="24"/>
          <w:highlight w:val="none"/>
          <w:lang w:val="zh-CN"/>
        </w:rPr>
        <w:t>项目名称:淮阴生态环境局监测站仪器设备项目（二次）</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rPr>
        <w:t>3、</w:t>
      </w:r>
      <w:r>
        <w:rPr>
          <w:rFonts w:hint="eastAsia" w:ascii="仿宋" w:hAnsi="仿宋" w:eastAsia="仿宋"/>
          <w:color w:val="000000" w:themeColor="text1"/>
          <w:sz w:val="24"/>
          <w:highlight w:val="none"/>
          <w:lang w:val="zh-CN"/>
        </w:rPr>
        <w:t>采购方式:公开招标</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rPr>
        <w:t>4、</w:t>
      </w:r>
      <w:r>
        <w:rPr>
          <w:rFonts w:hint="eastAsia" w:ascii="仿宋" w:hAnsi="仿宋" w:eastAsia="仿宋"/>
          <w:color w:val="000000" w:themeColor="text1"/>
          <w:sz w:val="24"/>
          <w:highlight w:val="none"/>
          <w:lang w:val="zh-CN"/>
        </w:rPr>
        <w:t>预算金额:</w:t>
      </w:r>
      <w:r>
        <w:rPr>
          <w:rFonts w:hint="eastAsia" w:ascii="仿宋" w:hAnsi="仿宋" w:eastAsia="仿宋"/>
          <w:color w:val="000000" w:themeColor="text1"/>
          <w:sz w:val="24"/>
          <w:highlight w:val="none"/>
        </w:rPr>
        <w:t>453</w:t>
      </w:r>
      <w:r>
        <w:rPr>
          <w:rFonts w:hint="eastAsia" w:ascii="仿宋" w:hAnsi="仿宋" w:eastAsia="仿宋"/>
          <w:color w:val="000000" w:themeColor="text1"/>
          <w:sz w:val="24"/>
          <w:highlight w:val="none"/>
          <w:lang w:val="zh-CN"/>
        </w:rPr>
        <w:t>万元</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5、</w:t>
      </w:r>
      <w:r>
        <w:rPr>
          <w:rFonts w:hint="eastAsia" w:ascii="仿宋" w:hAnsi="仿宋" w:eastAsia="仿宋"/>
          <w:color w:val="000000" w:themeColor="text1"/>
          <w:sz w:val="24"/>
          <w:highlight w:val="none"/>
          <w:lang w:val="zh-CN"/>
        </w:rPr>
        <w:t>最高限价:</w:t>
      </w:r>
      <w:r>
        <w:rPr>
          <w:rFonts w:hint="eastAsia" w:ascii="仿宋" w:hAnsi="仿宋" w:eastAsia="仿宋"/>
          <w:color w:val="000000" w:themeColor="text1"/>
          <w:sz w:val="24"/>
          <w:highlight w:val="none"/>
        </w:rPr>
        <w:t>453</w:t>
      </w:r>
      <w:r>
        <w:rPr>
          <w:rFonts w:hint="eastAsia" w:ascii="仿宋" w:hAnsi="仿宋" w:eastAsia="仿宋"/>
          <w:color w:val="000000" w:themeColor="text1"/>
          <w:sz w:val="24"/>
          <w:highlight w:val="none"/>
          <w:lang w:val="zh-CN"/>
        </w:rPr>
        <w:t>万元</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rPr>
        <w:t>6、</w:t>
      </w:r>
      <w:r>
        <w:rPr>
          <w:rFonts w:hint="eastAsia" w:ascii="仿宋" w:hAnsi="仿宋" w:eastAsia="仿宋"/>
          <w:color w:val="000000" w:themeColor="text1"/>
          <w:sz w:val="24"/>
          <w:highlight w:val="none"/>
          <w:lang w:val="zh-CN"/>
        </w:rPr>
        <w:t>采购需求:</w:t>
      </w:r>
      <w:r>
        <w:rPr>
          <w:rFonts w:hint="eastAsia" w:ascii="仿宋" w:hAnsi="仿宋" w:eastAsia="仿宋"/>
          <w:color w:val="000000" w:themeColor="text1"/>
          <w:sz w:val="24"/>
          <w:highlight w:val="none"/>
        </w:rPr>
        <w:t>淮安市淮阴生态环境局</w:t>
      </w:r>
      <w:r>
        <w:rPr>
          <w:rFonts w:ascii="仿宋" w:hAnsi="仿宋" w:eastAsia="仿宋"/>
          <w:color w:val="000000" w:themeColor="text1"/>
          <w:sz w:val="24"/>
          <w:highlight w:val="none"/>
        </w:rPr>
        <w:t>购买</w:t>
      </w:r>
      <w:r>
        <w:rPr>
          <w:rFonts w:hint="eastAsia" w:ascii="仿宋" w:hAnsi="仿宋" w:eastAsia="仿宋"/>
          <w:color w:val="000000" w:themeColor="text1"/>
          <w:sz w:val="24"/>
          <w:highlight w:val="none"/>
          <w:lang w:val="zh-CN"/>
        </w:rPr>
        <w:t>监测站仪器设备</w:t>
      </w:r>
      <w:r>
        <w:rPr>
          <w:rFonts w:hint="eastAsia" w:ascii="仿宋" w:hAnsi="仿宋" w:eastAsia="仿宋"/>
          <w:bCs/>
          <w:color w:val="000000" w:themeColor="text1"/>
          <w:sz w:val="24"/>
          <w:highlight w:val="none"/>
        </w:rPr>
        <w:t>,具体</w:t>
      </w:r>
      <w:r>
        <w:rPr>
          <w:rFonts w:hint="eastAsia" w:ascii="仿宋" w:hAnsi="仿宋" w:eastAsia="仿宋"/>
          <w:color w:val="000000" w:themeColor="text1"/>
          <w:sz w:val="24"/>
          <w:highlight w:val="none"/>
          <w:lang w:val="zh-CN"/>
        </w:rPr>
        <w:t>详见招标文件第五章“</w:t>
      </w:r>
      <w:r>
        <w:rPr>
          <w:rFonts w:hint="eastAsia" w:ascii="仿宋" w:hAnsi="仿宋" w:eastAsia="仿宋"/>
          <w:color w:val="000000" w:themeColor="text1"/>
          <w:sz w:val="24"/>
          <w:highlight w:val="none"/>
        </w:rPr>
        <w:t>项目采购需求”</w:t>
      </w:r>
      <w:r>
        <w:rPr>
          <w:rFonts w:hint="eastAsia" w:ascii="仿宋" w:hAnsi="仿宋" w:eastAsia="仿宋"/>
          <w:color w:val="000000" w:themeColor="text1"/>
          <w:sz w:val="24"/>
          <w:highlight w:val="none"/>
          <w:lang w:val="zh-CN"/>
        </w:rPr>
        <w:t>。</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7、合同履行期限</w:t>
      </w:r>
      <w:r>
        <w:rPr>
          <w:rFonts w:hint="eastAsia" w:ascii="仿宋" w:hAnsi="仿宋" w:eastAsia="仿宋"/>
          <w:color w:val="000000" w:themeColor="text1"/>
          <w:sz w:val="24"/>
          <w:highlight w:val="none"/>
          <w:lang w:val="zh-CN"/>
        </w:rPr>
        <w:t>：</w:t>
      </w:r>
      <w:r>
        <w:rPr>
          <w:rFonts w:hint="eastAsia" w:ascii="仿宋" w:hAnsi="仿宋" w:eastAsia="仿宋" w:cs="仿宋"/>
          <w:color w:val="000000" w:themeColor="text1"/>
          <w:sz w:val="24"/>
          <w:highlight w:val="none"/>
        </w:rPr>
        <w:t>合同签订后</w:t>
      </w:r>
      <w:r>
        <w:rPr>
          <w:rFonts w:hint="eastAsia" w:ascii="仿宋" w:hAnsi="仿宋" w:eastAsia="仿宋" w:cs="仿宋"/>
          <w:color w:val="000000" w:themeColor="text1"/>
          <w:sz w:val="24"/>
          <w:highlight w:val="none"/>
          <w:u w:val="single"/>
        </w:rPr>
        <w:t xml:space="preserve"> 30 </w:t>
      </w:r>
      <w:r>
        <w:rPr>
          <w:rFonts w:hint="eastAsia" w:ascii="仿宋" w:hAnsi="仿宋" w:eastAsia="仿宋" w:cs="仿宋"/>
          <w:color w:val="000000" w:themeColor="text1"/>
          <w:sz w:val="24"/>
          <w:highlight w:val="none"/>
        </w:rPr>
        <w:t>日内完成供货</w:t>
      </w:r>
      <w:r>
        <w:rPr>
          <w:rFonts w:hint="eastAsia" w:ascii="仿宋" w:hAnsi="仿宋" w:eastAsia="仿宋"/>
          <w:color w:val="000000" w:themeColor="text1"/>
          <w:sz w:val="24"/>
          <w:highlight w:val="none"/>
        </w:rPr>
        <w:t>。</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8、本项目不接受联合体。</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9、本项目采购标的对应的中小企业划分标准所属行业为</w:t>
      </w:r>
      <w:r>
        <w:rPr>
          <w:rFonts w:hint="eastAsia" w:ascii="仿宋" w:hAnsi="仿宋" w:eastAsia="仿宋" w:cs="仿宋"/>
          <w:color w:val="000000" w:themeColor="text1"/>
          <w:spacing w:val="-3"/>
          <w:sz w:val="24"/>
          <w:highlight w:val="none"/>
          <w:u w:val="single"/>
          <w:shd w:val="clear" w:color="auto" w:fill="FFFFFF"/>
        </w:rPr>
        <w:t>工业</w:t>
      </w:r>
      <w:r>
        <w:rPr>
          <w:rFonts w:hint="eastAsia" w:ascii="仿宋" w:hAnsi="仿宋" w:eastAsia="仿宋"/>
          <w:color w:val="000000" w:themeColor="text1"/>
          <w:sz w:val="24"/>
          <w:highlight w:val="none"/>
        </w:rPr>
        <w:t>。</w:t>
      </w:r>
    </w:p>
    <w:p>
      <w:pPr>
        <w:spacing w:line="360" w:lineRule="auto"/>
        <w:ind w:firstLine="482"/>
        <w:jc w:val="left"/>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lang w:val="zh-CN"/>
        </w:rPr>
        <w:t>二、</w:t>
      </w:r>
      <w:r>
        <w:rPr>
          <w:rFonts w:hint="eastAsia" w:ascii="仿宋" w:hAnsi="仿宋" w:eastAsia="仿宋"/>
          <w:b/>
          <w:bCs/>
          <w:color w:val="000000" w:themeColor="text1"/>
          <w:sz w:val="24"/>
          <w:highlight w:val="none"/>
        </w:rPr>
        <w:t>申请人的资格要求：</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s="仿宋"/>
          <w:bCs/>
          <w:color w:val="000000" w:themeColor="text1"/>
          <w:sz w:val="24"/>
          <w:highlight w:val="none"/>
        </w:rPr>
        <w:t>（一）符合《中华人民共和国政府采购法》第二十二条规定；</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（二）落实政府采购政策需满足的资格要求:</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lang w:val="zh-CN"/>
        </w:rPr>
        <w:t>本项目</w:t>
      </w:r>
      <w:r>
        <w:rPr>
          <w:rFonts w:hint="eastAsia" w:ascii="仿宋" w:hAnsi="仿宋" w:eastAsia="仿宋"/>
          <w:color w:val="000000" w:themeColor="text1"/>
          <w:sz w:val="24"/>
          <w:highlight w:val="none"/>
        </w:rPr>
        <w:t>按照</w:t>
      </w:r>
      <w:r>
        <w:rPr>
          <w:rFonts w:hint="eastAsia" w:ascii="仿宋" w:hAnsi="仿宋" w:eastAsia="仿宋"/>
          <w:color w:val="000000" w:themeColor="text1"/>
          <w:sz w:val="24"/>
          <w:highlight w:val="none"/>
          <w:lang w:val="zh-CN"/>
        </w:rPr>
        <w:t>以下第</w:t>
      </w:r>
      <w:r>
        <w:rPr>
          <w:rFonts w:hint="eastAsia" w:ascii="仿宋" w:hAnsi="仿宋" w:eastAsia="仿宋"/>
          <w:color w:val="000000" w:themeColor="text1"/>
          <w:sz w:val="24"/>
          <w:highlight w:val="none"/>
          <w:u w:val="single"/>
        </w:rPr>
        <w:t>3</w:t>
      </w:r>
      <w:r>
        <w:rPr>
          <w:rFonts w:hint="eastAsia" w:ascii="仿宋" w:hAnsi="仿宋" w:eastAsia="仿宋"/>
          <w:color w:val="000000" w:themeColor="text1"/>
          <w:sz w:val="24"/>
          <w:highlight w:val="none"/>
          <w:lang w:val="zh-CN"/>
        </w:rPr>
        <w:t>种方式落实政府采购促进中小企业发展的要求：</w:t>
      </w:r>
    </w:p>
    <w:p>
      <w:pPr>
        <w:numPr>
          <w:ilvl w:val="0"/>
          <w:numId w:val="2"/>
        </w:numPr>
        <w:spacing w:line="360" w:lineRule="auto"/>
        <w:ind w:firstLine="480"/>
        <w:jc w:val="left"/>
        <w:rPr>
          <w:rFonts w:ascii="仿宋" w:hAnsi="仿宋" w:eastAsia="仿宋"/>
          <w:color w:val="000000" w:themeColor="text1"/>
          <w:sz w:val="24"/>
          <w:highlight w:val="none"/>
        </w:rPr>
      </w:pPr>
      <w:r>
        <w:rPr>
          <w:rFonts w:ascii="仿宋" w:hAnsi="仿宋" w:eastAsia="仿宋"/>
          <w:color w:val="000000" w:themeColor="text1"/>
          <w:sz w:val="24"/>
          <w:highlight w:val="none"/>
        </w:rPr>
        <w:t>本项目为专门面向中小企业采购的项目</w:t>
      </w:r>
      <w:r>
        <w:rPr>
          <w:rFonts w:hint="eastAsia" w:ascii="仿宋" w:hAnsi="仿宋" w:eastAsia="仿宋"/>
          <w:color w:val="000000" w:themeColor="text1"/>
          <w:sz w:val="24"/>
          <w:highlight w:val="none"/>
        </w:rPr>
        <w:t>。</w:t>
      </w:r>
    </w:p>
    <w:p>
      <w:pPr>
        <w:numPr>
          <w:ilvl w:val="0"/>
          <w:numId w:val="2"/>
        </w:num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lang w:val="zh-CN"/>
        </w:rPr>
        <w:t>本项目通过以下第（）种方式预留部分采购份额</w:t>
      </w:r>
      <w:r>
        <w:rPr>
          <w:rFonts w:hint="eastAsia" w:ascii="仿宋" w:hAnsi="仿宋" w:eastAsia="仿宋"/>
          <w:color w:val="000000" w:themeColor="text1"/>
          <w:sz w:val="24"/>
          <w:highlight w:val="none"/>
        </w:rPr>
        <w:t>采购</w:t>
      </w:r>
      <w:r>
        <w:rPr>
          <w:rFonts w:hint="eastAsia" w:ascii="仿宋" w:hAnsi="仿宋" w:eastAsia="仿宋"/>
          <w:color w:val="000000" w:themeColor="text1"/>
          <w:sz w:val="24"/>
          <w:highlight w:val="none"/>
          <w:lang w:val="zh-CN"/>
        </w:rPr>
        <w:t>中小企业</w:t>
      </w:r>
      <w:r>
        <w:rPr>
          <w:rFonts w:hint="eastAsia" w:ascii="仿宋" w:hAnsi="仿宋" w:eastAsia="仿宋"/>
          <w:color w:val="000000" w:themeColor="text1"/>
          <w:sz w:val="24"/>
          <w:highlight w:val="none"/>
        </w:rPr>
        <w:t>服务</w:t>
      </w:r>
      <w:r>
        <w:rPr>
          <w:rFonts w:hint="eastAsia" w:ascii="仿宋" w:hAnsi="仿宋" w:eastAsia="仿宋"/>
          <w:color w:val="000000" w:themeColor="text1"/>
          <w:sz w:val="24"/>
          <w:highlight w:val="none"/>
          <w:lang w:val="zh-CN"/>
        </w:rPr>
        <w:t>：</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lang w:val="zh-CN"/>
        </w:rPr>
        <w:t>（1）本项目要求投标人以联合体形式参加，中小企业合同金额应当达到的比例为</w:t>
      </w:r>
      <w:r>
        <w:rPr>
          <w:rFonts w:hint="eastAsia" w:ascii="仿宋" w:hAnsi="仿宋" w:eastAsia="仿宋"/>
          <w:color w:val="000000" w:themeColor="text1"/>
          <w:sz w:val="24"/>
          <w:highlight w:val="none"/>
          <w:u w:val="single"/>
          <w:lang w:val="zh-CN"/>
        </w:rPr>
        <w:t xml:space="preserve">  </w:t>
      </w:r>
      <w:r>
        <w:rPr>
          <w:rFonts w:hint="eastAsia" w:ascii="仿宋" w:hAnsi="仿宋" w:eastAsia="仿宋"/>
          <w:color w:val="000000" w:themeColor="text1"/>
          <w:sz w:val="24"/>
          <w:highlight w:val="none"/>
        </w:rPr>
        <w:t>%</w:t>
      </w:r>
      <w:r>
        <w:rPr>
          <w:rFonts w:hint="eastAsia" w:ascii="仿宋" w:hAnsi="仿宋" w:eastAsia="仿宋"/>
          <w:color w:val="000000" w:themeColor="text1"/>
          <w:sz w:val="24"/>
          <w:highlight w:val="none"/>
          <w:lang w:val="zh-CN"/>
        </w:rPr>
        <w:t>，其中小微企业所占比例应为</w:t>
      </w:r>
      <w:r>
        <w:rPr>
          <w:rFonts w:hint="eastAsia" w:ascii="仿宋" w:hAnsi="仿宋" w:eastAsia="仿宋"/>
          <w:color w:val="000000" w:themeColor="text1"/>
          <w:sz w:val="24"/>
          <w:highlight w:val="none"/>
          <w:u w:val="single"/>
          <w:lang w:val="zh-CN"/>
        </w:rPr>
        <w:t xml:space="preserve">  </w:t>
      </w:r>
      <w:r>
        <w:rPr>
          <w:rFonts w:hint="eastAsia" w:ascii="仿宋" w:hAnsi="仿宋" w:eastAsia="仿宋"/>
          <w:color w:val="000000" w:themeColor="text1"/>
          <w:sz w:val="24"/>
          <w:highlight w:val="none"/>
        </w:rPr>
        <w:t>%</w:t>
      </w:r>
      <w:r>
        <w:rPr>
          <w:rFonts w:hint="eastAsia" w:ascii="仿宋" w:hAnsi="仿宋" w:eastAsia="仿宋"/>
          <w:color w:val="000000" w:themeColor="text1"/>
          <w:sz w:val="24"/>
          <w:highlight w:val="none"/>
          <w:lang w:val="zh-CN"/>
        </w:rPr>
        <w:t>（两项比例均应符合《政府采购促进中小企业发展管理办法》第八条规定）。</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lang w:val="zh-CN"/>
        </w:rPr>
        <w:t>（2）本项目要求投标人进行合同分包，中小企业合同金额应当达到的比例为</w:t>
      </w:r>
      <w:r>
        <w:rPr>
          <w:rFonts w:hint="eastAsia" w:ascii="仿宋" w:hAnsi="仿宋" w:eastAsia="仿宋"/>
          <w:color w:val="000000" w:themeColor="text1"/>
          <w:sz w:val="24"/>
          <w:highlight w:val="none"/>
          <w:u w:val="single"/>
          <w:lang w:val="zh-CN"/>
        </w:rPr>
        <w:t xml:space="preserve">  </w:t>
      </w:r>
      <w:r>
        <w:rPr>
          <w:rFonts w:hint="eastAsia" w:ascii="仿宋" w:hAnsi="仿宋" w:eastAsia="仿宋"/>
          <w:color w:val="000000" w:themeColor="text1"/>
          <w:sz w:val="24"/>
          <w:highlight w:val="none"/>
        </w:rPr>
        <w:t>%</w:t>
      </w:r>
      <w:r>
        <w:rPr>
          <w:rFonts w:hint="eastAsia" w:ascii="仿宋" w:hAnsi="仿宋" w:eastAsia="仿宋"/>
          <w:color w:val="000000" w:themeColor="text1"/>
          <w:sz w:val="24"/>
          <w:highlight w:val="none"/>
          <w:lang w:val="zh-CN"/>
        </w:rPr>
        <w:t>，其中小微企业所占比例应为</w:t>
      </w:r>
      <w:r>
        <w:rPr>
          <w:rFonts w:hint="eastAsia" w:ascii="仿宋" w:hAnsi="仿宋" w:eastAsia="仿宋"/>
          <w:color w:val="000000" w:themeColor="text1"/>
          <w:sz w:val="24"/>
          <w:highlight w:val="none"/>
          <w:u w:val="single"/>
          <w:lang w:val="zh-CN"/>
        </w:rPr>
        <w:t xml:space="preserve">  </w:t>
      </w:r>
      <w:r>
        <w:rPr>
          <w:rFonts w:hint="eastAsia" w:ascii="仿宋" w:hAnsi="仿宋" w:eastAsia="仿宋"/>
          <w:color w:val="000000" w:themeColor="text1"/>
          <w:sz w:val="24"/>
          <w:highlight w:val="none"/>
        </w:rPr>
        <w:t>%</w:t>
      </w:r>
      <w:r>
        <w:rPr>
          <w:rFonts w:hint="eastAsia" w:ascii="仿宋" w:hAnsi="仿宋" w:eastAsia="仿宋"/>
          <w:color w:val="000000" w:themeColor="text1"/>
          <w:sz w:val="24"/>
          <w:highlight w:val="none"/>
          <w:lang w:val="zh-CN"/>
        </w:rPr>
        <w:t>（两项比例均应符合《政府采购促进中小企业发展管理办法》第八条规定）。</w:t>
      </w:r>
    </w:p>
    <w:p>
      <w:pPr>
        <w:spacing w:line="360" w:lineRule="auto"/>
        <w:ind w:firstLine="480"/>
        <w:jc w:val="left"/>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lang w:val="zh-CN"/>
        </w:rPr>
        <w:t>3、本项目为非预留份额的采购项目，</w:t>
      </w:r>
      <w:r>
        <w:rPr>
          <w:rFonts w:hint="eastAsia" w:ascii="仿宋" w:hAnsi="仿宋" w:eastAsia="仿宋"/>
          <w:color w:val="000000" w:themeColor="text1"/>
          <w:sz w:val="24"/>
          <w:highlight w:val="none"/>
        </w:rPr>
        <w:t>对小微企业报价给予扣除，用扣除后的价格参加评审，具体详见第二章“投标人须知”第32.1项</w:t>
      </w:r>
      <w:r>
        <w:rPr>
          <w:rFonts w:hint="eastAsia" w:ascii="仿宋" w:hAnsi="仿宋" w:eastAsia="仿宋"/>
          <w:color w:val="000000" w:themeColor="text1"/>
          <w:sz w:val="24"/>
          <w:highlight w:val="none"/>
          <w:lang w:val="zh-CN"/>
        </w:rPr>
        <w:t>。</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注:监狱企业、残疾人福利性单位视同小微企业。</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（三）本项目的特定资格要求:无。</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（四）拒绝下述条件的投标人参加本次采购活动:</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1、投标人</w:t>
      </w:r>
      <w:r>
        <w:rPr>
          <w:rFonts w:ascii="仿宋" w:hAnsi="仿宋" w:eastAsia="仿宋"/>
          <w:color w:val="000000" w:themeColor="text1"/>
          <w:sz w:val="24"/>
          <w:highlight w:val="none"/>
        </w:rPr>
        <w:t>单位负责人为同一人或者存在直接控股、管理关系的不同投标人，不得</w:t>
      </w:r>
      <w:r>
        <w:rPr>
          <w:rFonts w:hint="eastAsia" w:ascii="仿宋" w:hAnsi="仿宋" w:eastAsia="仿宋"/>
          <w:color w:val="000000" w:themeColor="text1"/>
          <w:sz w:val="24"/>
          <w:highlight w:val="none"/>
        </w:rPr>
        <w:t>同时</w:t>
      </w:r>
      <w:r>
        <w:rPr>
          <w:rFonts w:ascii="仿宋" w:hAnsi="仿宋" w:eastAsia="仿宋"/>
          <w:color w:val="000000" w:themeColor="text1"/>
          <w:sz w:val="24"/>
          <w:highlight w:val="none"/>
        </w:rPr>
        <w:t>参加同一合同项下的政府采购活动。</w:t>
      </w:r>
    </w:p>
    <w:p>
      <w:pPr>
        <w:spacing w:line="360" w:lineRule="auto"/>
        <w:ind w:firstLine="480"/>
        <w:jc w:val="left"/>
        <w:rPr>
          <w:rFonts w:ascii="仿宋" w:hAnsi="仿宋" w:eastAsia="仿宋"/>
          <w:b/>
          <w:i/>
          <w:color w:val="000000" w:themeColor="text1"/>
          <w:sz w:val="24"/>
          <w:highlight w:val="none"/>
        </w:rPr>
      </w:pPr>
      <w:r>
        <w:rPr>
          <w:rFonts w:hint="eastAsia" w:ascii="仿宋" w:hAnsi="仿宋" w:eastAsia="仿宋"/>
          <w:color w:val="000000" w:themeColor="text1"/>
          <w:sz w:val="24"/>
          <w:highlight w:val="none"/>
        </w:rPr>
        <w:t>2、凡</w:t>
      </w:r>
      <w:r>
        <w:rPr>
          <w:rFonts w:ascii="仿宋" w:hAnsi="仿宋" w:eastAsia="仿宋"/>
          <w:color w:val="000000" w:themeColor="text1"/>
          <w:sz w:val="24"/>
          <w:highlight w:val="none"/>
        </w:rPr>
        <w:t>为采购项目提供整体设计、规范编制或者项目管理、监理、检测等服务的投标人，不得再参加</w:t>
      </w:r>
      <w:r>
        <w:rPr>
          <w:rFonts w:hint="eastAsia" w:ascii="仿宋" w:hAnsi="仿宋" w:eastAsia="仿宋"/>
          <w:color w:val="000000" w:themeColor="text1"/>
          <w:sz w:val="24"/>
          <w:highlight w:val="none"/>
        </w:rPr>
        <w:t>本</w:t>
      </w:r>
      <w:r>
        <w:rPr>
          <w:rFonts w:ascii="仿宋" w:hAnsi="仿宋" w:eastAsia="仿宋"/>
          <w:color w:val="000000" w:themeColor="text1"/>
          <w:sz w:val="24"/>
          <w:highlight w:val="none"/>
        </w:rPr>
        <w:t>项目的采购活动。</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3、投标人被“信用中国”网站（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Style w:val="58"/>
          <w:rFonts w:hint="eastAsia" w:ascii="仿宋" w:hAnsi="仿宋" w:eastAsia="仿宋"/>
          <w:color w:val="000000" w:themeColor="text1"/>
          <w:sz w:val="24"/>
          <w:highlight w:val="none"/>
        </w:rPr>
        <w:t>www.creditchina.gov.cn</w:t>
      </w:r>
      <w:r>
        <w:rPr>
          <w:rStyle w:val="58"/>
          <w:rFonts w:hint="eastAsia" w:ascii="仿宋" w:hAnsi="仿宋" w:eastAsia="仿宋"/>
          <w:color w:val="000000" w:themeColor="text1"/>
          <w:sz w:val="24"/>
          <w:highlight w:val="none"/>
        </w:rPr>
        <w:fldChar w:fldCharType="end"/>
      </w:r>
      <w:r>
        <w:rPr>
          <w:rFonts w:hint="eastAsia" w:ascii="仿宋" w:hAnsi="仿宋" w:eastAsia="仿宋"/>
          <w:color w:val="000000" w:themeColor="text1"/>
          <w:sz w:val="24"/>
          <w:highlight w:val="none"/>
        </w:rPr>
        <w:t>）、“中国政府采购网”（</w:t>
      </w:r>
      <w:r>
        <w:rPr>
          <w:color w:val="000000" w:themeColor="text1"/>
          <w:highlight w:val="none"/>
        </w:rPr>
        <w:fldChar w:fldCharType="begin"/>
      </w:r>
      <w:r>
        <w:rPr>
          <w:color w:val="000000" w:themeColor="text1"/>
          <w:highlight w:val="none"/>
        </w:rPr>
        <w:instrText xml:space="preserve"> HYPERLINK "http://www.ccgp.gov.cn" </w:instrText>
      </w:r>
      <w:r>
        <w:rPr>
          <w:color w:val="000000" w:themeColor="text1"/>
          <w:highlight w:val="none"/>
        </w:rPr>
        <w:fldChar w:fldCharType="separate"/>
      </w:r>
      <w:r>
        <w:rPr>
          <w:rStyle w:val="58"/>
          <w:rFonts w:hint="eastAsia" w:ascii="仿宋" w:hAnsi="仿宋" w:eastAsia="仿宋"/>
          <w:color w:val="000000" w:themeColor="text1"/>
          <w:sz w:val="24"/>
          <w:highlight w:val="none"/>
        </w:rPr>
        <w:t>www.ccgp.gov.cn</w:t>
      </w:r>
      <w:r>
        <w:rPr>
          <w:rStyle w:val="58"/>
          <w:rFonts w:hint="eastAsia" w:ascii="仿宋" w:hAnsi="仿宋" w:eastAsia="仿宋"/>
          <w:color w:val="000000" w:themeColor="text1"/>
          <w:sz w:val="24"/>
          <w:highlight w:val="none"/>
        </w:rPr>
        <w:fldChar w:fldCharType="end"/>
      </w:r>
      <w:r>
        <w:rPr>
          <w:rFonts w:hint="eastAsia" w:ascii="仿宋" w:hAnsi="仿宋" w:eastAsia="仿宋"/>
          <w:color w:val="000000" w:themeColor="text1"/>
          <w:sz w:val="24"/>
          <w:highlight w:val="none"/>
        </w:rPr>
        <w:t>）列入失信被执行人、重大税收违法案件当事人名单、政府采购严重违法失信行为记录名单。</w:t>
      </w:r>
    </w:p>
    <w:p>
      <w:pPr>
        <w:spacing w:line="360" w:lineRule="auto"/>
        <w:ind w:firstLine="482"/>
        <w:jc w:val="left"/>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三、获取招标文件</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1、时间:自招标公告发布之日起五个工作日。</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获取方式：投标人登录淮安市政府采购网，在网站首页点击“苏采云”→使用CA锁登录系统（新用户需进行“平台用户注册”）→“项目参与”进行登记，在“可参与项目”中选择“我要参与”，参与成功后到“已参与项目”界面中找到该项目下载招标文件并进行操作。</w:t>
      </w:r>
    </w:p>
    <w:p>
      <w:pPr>
        <w:pStyle w:val="62"/>
        <w:ind w:firstLine="468" w:firstLineChars="195"/>
        <w:rPr>
          <w:rFonts w:eastAsia="仿宋"/>
          <w:color w:val="000000" w:themeColor="text1"/>
          <w:highlight w:val="none"/>
        </w:rPr>
      </w:pPr>
      <w:r>
        <w:rPr>
          <w:rFonts w:hint="eastAsia" w:ascii="仿宋" w:hAnsi="仿宋" w:eastAsia="仿宋"/>
          <w:color w:val="000000" w:themeColor="text1"/>
          <w:sz w:val="24"/>
          <w:highlight w:val="none"/>
        </w:rPr>
        <w:t>3、售价：0元。</w:t>
      </w:r>
    </w:p>
    <w:p>
      <w:pPr>
        <w:spacing w:line="360" w:lineRule="auto"/>
        <w:ind w:firstLine="482"/>
        <w:jc w:val="left"/>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四、投标文件提交截止时间、开标时间和地点</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1.投标文件提交截止时间及开标时间：</w:t>
      </w:r>
      <w:r>
        <w:rPr>
          <w:rFonts w:hint="eastAsia" w:ascii="仿宋" w:hAnsi="仿宋" w:eastAsia="仿宋"/>
          <w:color w:val="000000" w:themeColor="text1"/>
          <w:sz w:val="24"/>
          <w:highlight w:val="none"/>
          <w:u w:val="single"/>
          <w:lang w:eastAsia="zh-CN"/>
        </w:rPr>
        <w:t>2024年5月31日9点00分</w:t>
      </w:r>
      <w:r>
        <w:rPr>
          <w:rFonts w:hint="eastAsia" w:ascii="仿宋" w:hAnsi="仿宋" w:eastAsia="仿宋"/>
          <w:color w:val="000000" w:themeColor="text1"/>
          <w:sz w:val="24"/>
          <w:highlight w:val="none"/>
        </w:rPr>
        <w:t>；</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2.投标文件上传地址：http://jszfcg.jscz.gov.cn/jszc/login；</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3.开标地点：淮安市公共资源交易中心淮阴分中心二楼不见面开标室</w:t>
      </w:r>
    </w:p>
    <w:p>
      <w:pPr>
        <w:spacing w:line="360" w:lineRule="auto"/>
        <w:ind w:firstLine="482"/>
        <w:jc w:val="left"/>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五、公告期限</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自本公告发布之日起5个工作日。</w:t>
      </w:r>
    </w:p>
    <w:p>
      <w:pPr>
        <w:spacing w:line="360" w:lineRule="auto"/>
        <w:ind w:firstLine="482"/>
        <w:jc w:val="left"/>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六、其他补充事项</w:t>
      </w:r>
      <w:bookmarkEnd w:id="0"/>
      <w:bookmarkEnd w:id="1"/>
      <w:r>
        <w:rPr>
          <w:rFonts w:hint="eastAsia" w:ascii="仿宋" w:hAnsi="仿宋" w:eastAsia="仿宋"/>
          <w:b/>
          <w:bCs/>
          <w:color w:val="000000" w:themeColor="text1"/>
          <w:sz w:val="24"/>
          <w:highlight w:val="none"/>
        </w:rPr>
        <w:t>：</w:t>
      </w:r>
    </w:p>
    <w:p>
      <w:pPr>
        <w:spacing w:line="360" w:lineRule="auto"/>
        <w:ind w:firstLine="480"/>
        <w:jc w:val="left"/>
        <w:rPr>
          <w:rFonts w:ascii="仿宋" w:hAnsi="仿宋" w:eastAsia="仿宋"/>
          <w:color w:val="000000" w:themeColor="text1"/>
          <w:sz w:val="24"/>
          <w:highlight w:val="none"/>
        </w:rPr>
      </w:pPr>
      <w:bookmarkStart w:id="3" w:name="_Toc28359018"/>
      <w:bookmarkStart w:id="4" w:name="_Toc35393805"/>
      <w:bookmarkStart w:id="5" w:name="_Toc28359095"/>
      <w:bookmarkStart w:id="6" w:name="_Toc35393636"/>
      <w:r>
        <w:rPr>
          <w:rFonts w:hint="eastAsia" w:ascii="仿宋" w:hAnsi="仿宋" w:eastAsia="仿宋"/>
          <w:color w:val="000000" w:themeColor="text1"/>
          <w:sz w:val="24"/>
          <w:highlight w:val="none"/>
        </w:rPr>
        <w:t>1、投标保证金:根据苏财购〔2020〕52号文件要求，为进一步降低投标人投标成本，</w:t>
      </w:r>
      <w:r>
        <w:rPr>
          <w:rFonts w:hint="eastAsia" w:ascii="仿宋" w:hAnsi="仿宋" w:eastAsia="仿宋"/>
          <w:bCs/>
          <w:color w:val="000000" w:themeColor="text1"/>
          <w:sz w:val="24"/>
          <w:highlight w:val="none"/>
        </w:rPr>
        <w:t>本项目不收取投标保证金。</w:t>
      </w:r>
    </w:p>
    <w:p>
      <w:pPr>
        <w:spacing w:line="360" w:lineRule="auto"/>
        <w:ind w:firstLine="480"/>
        <w:jc w:val="left"/>
        <w:rPr>
          <w:rFonts w:ascii="仿宋" w:hAnsi="仿宋" w:eastAsia="仿宋" w:cs="仿宋"/>
          <w:bCs/>
          <w:color w:val="000000" w:themeColor="text1"/>
          <w:sz w:val="24"/>
          <w:highlight w:val="none"/>
        </w:rPr>
      </w:pPr>
      <w:r>
        <w:rPr>
          <w:rFonts w:hint="eastAsia" w:ascii="仿宋" w:hAnsi="仿宋" w:eastAsia="仿宋"/>
          <w:bCs/>
          <w:color w:val="000000" w:themeColor="text1"/>
          <w:sz w:val="24"/>
          <w:highlight w:val="none"/>
        </w:rPr>
        <w:t>2、</w:t>
      </w:r>
      <w:r>
        <w:rPr>
          <w:rFonts w:hint="eastAsia" w:ascii="仿宋_GB2312" w:hAnsi="仿宋_GB2312" w:eastAsia="仿宋_GB2312" w:cs="仿宋_GB2312"/>
          <w:bCs/>
          <w:color w:val="000000" w:themeColor="text1"/>
          <w:sz w:val="24"/>
          <w:highlight w:val="none"/>
        </w:rPr>
        <w:t>履约保证金:本项目不收取履约保证金。</w:t>
      </w:r>
    </w:p>
    <w:p>
      <w:pPr>
        <w:spacing w:line="360" w:lineRule="auto"/>
        <w:ind w:firstLine="482"/>
        <w:jc w:val="left"/>
        <w:rPr>
          <w:rFonts w:ascii="仿宋" w:hAnsi="仿宋" w:eastAsia="仿宋"/>
          <w:b/>
          <w:bCs/>
          <w:color w:val="000000" w:themeColor="text1"/>
          <w:sz w:val="24"/>
          <w:highlight w:val="none"/>
          <w:lang w:val="zh-CN"/>
        </w:rPr>
      </w:pPr>
      <w:r>
        <w:rPr>
          <w:rFonts w:hint="eastAsia" w:ascii="仿宋" w:hAnsi="仿宋" w:eastAsia="仿宋"/>
          <w:b/>
          <w:bCs/>
          <w:color w:val="000000" w:themeColor="text1"/>
          <w:sz w:val="24"/>
          <w:highlight w:val="none"/>
          <w:lang w:val="zh-CN"/>
        </w:rPr>
        <w:t>七、凡对本次采购提出询问，请按以下方式联系。</w:t>
      </w:r>
      <w:bookmarkEnd w:id="3"/>
      <w:bookmarkEnd w:id="4"/>
      <w:bookmarkEnd w:id="5"/>
      <w:bookmarkEnd w:id="6"/>
    </w:p>
    <w:p>
      <w:pPr>
        <w:spacing w:line="360" w:lineRule="auto"/>
        <w:ind w:firstLine="480"/>
        <w:jc w:val="left"/>
        <w:rPr>
          <w:rFonts w:ascii="仿宋" w:hAnsi="仿宋" w:eastAsia="仿宋"/>
          <w:color w:val="000000" w:themeColor="text1"/>
          <w:sz w:val="24"/>
          <w:highlight w:val="none"/>
          <w:lang w:val="zh-CN"/>
        </w:rPr>
      </w:pPr>
      <w:bookmarkStart w:id="7" w:name="_Toc35393637"/>
      <w:bookmarkStart w:id="8" w:name="_Toc35393806"/>
      <w:bookmarkStart w:id="9" w:name="_Toc28359019"/>
      <w:bookmarkStart w:id="10" w:name="_Toc28359096"/>
      <w:r>
        <w:rPr>
          <w:rFonts w:hint="eastAsia" w:ascii="仿宋" w:hAnsi="仿宋" w:eastAsia="仿宋"/>
          <w:color w:val="000000" w:themeColor="text1"/>
          <w:sz w:val="24"/>
          <w:highlight w:val="none"/>
          <w:lang w:val="zh-CN"/>
        </w:rPr>
        <w:t>1.采购人信息</w:t>
      </w:r>
      <w:bookmarkEnd w:id="7"/>
      <w:bookmarkEnd w:id="8"/>
      <w:bookmarkEnd w:id="9"/>
      <w:bookmarkEnd w:id="10"/>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名称:淮安市淮阴生态环境局</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地址：淮安市淮阴区城建大厦18楼</w:t>
      </w:r>
    </w:p>
    <w:p>
      <w:pPr>
        <w:spacing w:line="360" w:lineRule="auto"/>
        <w:ind w:firstLine="480"/>
        <w:jc w:val="lef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联系方式：石先生13915106450</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2、采购代理机构信息</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名称:江苏建同工程咨询有限公司</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地址:淮阴区承德北路605号（帝景蓝湾生活广场中庭四楼）</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联系方式:孙女士13852309816</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3、项目联系方式</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项目联系人:吴女士</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电话:18360722117</w:t>
      </w:r>
    </w:p>
    <w:p>
      <w:pPr>
        <w:spacing w:line="360" w:lineRule="auto"/>
        <w:ind w:firstLine="482"/>
        <w:jc w:val="left"/>
        <w:rPr>
          <w:rFonts w:ascii="仿宋" w:hAnsi="仿宋" w:eastAsia="仿宋"/>
          <w:b/>
          <w:bCs/>
          <w:color w:val="000000" w:themeColor="text1"/>
          <w:sz w:val="24"/>
          <w:highlight w:val="none"/>
          <w:lang w:val="zh-CN"/>
        </w:rPr>
      </w:pPr>
      <w:r>
        <w:rPr>
          <w:rFonts w:hint="eastAsia" w:ascii="仿宋" w:hAnsi="仿宋" w:eastAsia="仿宋"/>
          <w:b/>
          <w:bCs/>
          <w:color w:val="000000" w:themeColor="text1"/>
          <w:sz w:val="24"/>
          <w:highlight w:val="none"/>
          <w:lang w:val="zh-CN"/>
        </w:rPr>
        <w:t>八、“全流程不见面交易采购”注意事项</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领取CA和办理电子签章（请至淮安市清江浦区深圳路16号淮安市公共资源交易中心二楼13号CA办理窗口办理，具体联系方式见《苏采云系统投标人操作手册》（以下简称《操作手册》））、进行注册并按《操作手册》要求制作、上传电子投标文件。</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3.有关本次招标的事项若存在变动或修改，敬请及时关注 “淮安市政府采购网”、“淮安市公共资源交易网”发布的更正公告。</w:t>
      </w:r>
    </w:p>
    <w:p>
      <w:pPr>
        <w:spacing w:line="360" w:lineRule="auto"/>
        <w:ind w:firstLine="482"/>
        <w:jc w:val="left"/>
        <w:rPr>
          <w:rFonts w:ascii="仿宋" w:hAnsi="仿宋" w:eastAsia="仿宋"/>
          <w:b/>
          <w:bCs/>
          <w:color w:val="000000" w:themeColor="text1"/>
          <w:sz w:val="24"/>
          <w:highlight w:val="none"/>
        </w:rPr>
      </w:pPr>
    </w:p>
    <w:p>
      <w:pPr>
        <w:spacing w:line="360" w:lineRule="auto"/>
        <w:jc w:val="left"/>
        <w:rPr>
          <w:color w:val="000000" w:themeColor="text1"/>
          <w:highlight w:val="none"/>
        </w:rPr>
      </w:pPr>
    </w:p>
    <w:p>
      <w:pPr>
        <w:spacing w:line="520" w:lineRule="exact"/>
        <w:jc w:val="center"/>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第二章投标人须知</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一、总则</w:t>
      </w:r>
    </w:p>
    <w:p>
      <w:pPr>
        <w:spacing w:line="360" w:lineRule="auto"/>
        <w:rPr>
          <w:rFonts w:ascii="仿宋" w:hAnsi="仿宋" w:eastAsia="仿宋"/>
          <w:b/>
          <w:color w:val="000000" w:themeColor="text1"/>
          <w:sz w:val="24"/>
          <w:highlight w:val="none"/>
        </w:rPr>
      </w:pPr>
      <w:bookmarkStart w:id="11" w:name="_Toc458694821"/>
      <w:bookmarkStart w:id="12" w:name="_Toc20823276"/>
      <w:bookmarkStart w:id="13" w:name="_Toc513029204"/>
      <w:bookmarkStart w:id="14" w:name="_Toc16938520"/>
      <w:r>
        <w:rPr>
          <w:rFonts w:hint="eastAsia" w:ascii="仿宋" w:hAnsi="仿宋" w:eastAsia="仿宋"/>
          <w:b/>
          <w:color w:val="000000" w:themeColor="text1"/>
          <w:sz w:val="24"/>
          <w:highlight w:val="none"/>
        </w:rPr>
        <w:t>1</w:t>
      </w:r>
      <w:bookmarkEnd w:id="11"/>
      <w:r>
        <w:rPr>
          <w:rFonts w:hint="eastAsia" w:ascii="仿宋" w:hAnsi="仿宋" w:eastAsia="仿宋"/>
          <w:b/>
          <w:color w:val="000000" w:themeColor="text1"/>
          <w:sz w:val="24"/>
          <w:highlight w:val="none"/>
        </w:rPr>
        <w:t>、</w:t>
      </w:r>
      <w:bookmarkEnd w:id="12"/>
      <w:bookmarkEnd w:id="13"/>
      <w:bookmarkEnd w:id="14"/>
      <w:r>
        <w:rPr>
          <w:rFonts w:hint="eastAsia" w:ascii="仿宋" w:hAnsi="仿宋" w:eastAsia="仿宋"/>
          <w:b/>
          <w:color w:val="000000" w:themeColor="text1"/>
          <w:sz w:val="24"/>
          <w:highlight w:val="none"/>
        </w:rPr>
        <w:t>适用范围</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本招标文件仅适用于本次投标邀请中所述项目的采购。</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2.合格的投标人</w:t>
      </w:r>
    </w:p>
    <w:p>
      <w:pPr>
        <w:spacing w:line="360" w:lineRule="auto"/>
        <w:ind w:firstLine="555"/>
        <w:rPr>
          <w:rFonts w:ascii="仿宋" w:hAnsi="仿宋" w:eastAsia="仿宋"/>
          <w:color w:val="000000" w:themeColor="text1"/>
          <w:sz w:val="24"/>
          <w:highlight w:val="none"/>
        </w:rPr>
      </w:pPr>
      <w:r>
        <w:rPr>
          <w:rFonts w:hint="eastAsia" w:ascii="仿宋" w:hAnsi="仿宋" w:eastAsia="仿宋"/>
          <w:color w:val="000000" w:themeColor="text1"/>
          <w:sz w:val="24"/>
          <w:highlight w:val="none"/>
        </w:rPr>
        <w:t>2.1满足第一章投标邀请中投标人资格要求的规定。</w:t>
      </w:r>
    </w:p>
    <w:p>
      <w:pPr>
        <w:spacing w:line="360" w:lineRule="auto"/>
        <w:ind w:firstLine="555"/>
        <w:rPr>
          <w:rFonts w:ascii="仿宋" w:hAnsi="仿宋" w:eastAsia="仿宋"/>
          <w:color w:val="000000" w:themeColor="text1"/>
          <w:sz w:val="24"/>
          <w:highlight w:val="none"/>
        </w:rPr>
      </w:pPr>
      <w:r>
        <w:rPr>
          <w:rFonts w:hint="eastAsia" w:ascii="仿宋" w:hAnsi="仿宋" w:eastAsia="仿宋"/>
          <w:color w:val="000000" w:themeColor="text1"/>
          <w:sz w:val="24"/>
          <w:highlight w:val="none"/>
        </w:rPr>
        <w:t>2.2满足招标文件中实质性条款的规定。</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3.适用法律</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3.1《中华人民共和国政府采购法》、《中华人民共和国政府采购法实施条例》、《政府采购货物和服务招标投标管理办法》等有关法律、规章和规定等。</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4.投标费用</w:t>
      </w:r>
    </w:p>
    <w:p>
      <w:pPr>
        <w:spacing w:line="360" w:lineRule="auto"/>
        <w:ind w:firstLine="555"/>
        <w:rPr>
          <w:rFonts w:ascii="仿宋" w:hAnsi="仿宋" w:eastAsia="仿宋"/>
          <w:color w:val="000000" w:themeColor="text1"/>
          <w:sz w:val="24"/>
          <w:highlight w:val="none"/>
        </w:rPr>
      </w:pPr>
      <w:r>
        <w:rPr>
          <w:rFonts w:hint="eastAsia" w:ascii="仿宋" w:hAnsi="仿宋" w:eastAsia="仿宋"/>
          <w:color w:val="000000" w:themeColor="text1"/>
          <w:sz w:val="24"/>
          <w:highlight w:val="none"/>
        </w:rPr>
        <w:t>4.1投标人应自行承担所有与参加投标有关的费用。不论投标的结果如何，江苏建同工程咨询有限公司</w:t>
      </w:r>
      <w:r>
        <w:rPr>
          <w:rFonts w:hint="eastAsia" w:ascii="仿宋" w:hAnsi="仿宋" w:eastAsia="仿宋" w:cs="仿宋"/>
          <w:color w:val="000000" w:themeColor="text1"/>
          <w:sz w:val="24"/>
          <w:highlight w:val="none"/>
        </w:rPr>
        <w:t>（以下简称代理机构）</w:t>
      </w:r>
      <w:r>
        <w:rPr>
          <w:rFonts w:hint="eastAsia" w:ascii="仿宋" w:hAnsi="仿宋" w:eastAsia="仿宋"/>
          <w:color w:val="000000" w:themeColor="text1"/>
          <w:sz w:val="24"/>
          <w:highlight w:val="none"/>
        </w:rPr>
        <w:t>及</w:t>
      </w:r>
      <w:r>
        <w:rPr>
          <w:rFonts w:hint="eastAsia" w:ascii="仿宋" w:hAnsi="仿宋" w:eastAsia="仿宋" w:cs="仿宋"/>
          <w:color w:val="000000" w:themeColor="text1"/>
          <w:sz w:val="24"/>
          <w:highlight w:val="none"/>
        </w:rPr>
        <w:t>淮安市淮阴生态环境局（以下简称招标人）</w:t>
      </w:r>
      <w:r>
        <w:rPr>
          <w:rFonts w:hint="eastAsia" w:ascii="仿宋" w:hAnsi="仿宋" w:eastAsia="仿宋"/>
          <w:color w:val="000000" w:themeColor="text1"/>
          <w:sz w:val="24"/>
          <w:highlight w:val="none"/>
        </w:rPr>
        <w:t>在任何情况下均无义务和责任承担这些费用。</w:t>
      </w:r>
    </w:p>
    <w:p>
      <w:pPr>
        <w:spacing w:line="360" w:lineRule="auto"/>
        <w:ind w:firstLine="555"/>
        <w:rPr>
          <w:rFonts w:ascii="仿宋" w:hAnsi="仿宋" w:eastAsia="仿宋"/>
          <w:color w:val="000000" w:themeColor="text1"/>
          <w:sz w:val="24"/>
          <w:highlight w:val="none"/>
        </w:rPr>
      </w:pPr>
      <w:r>
        <w:rPr>
          <w:rFonts w:hint="eastAsia" w:ascii="仿宋" w:hAnsi="仿宋" w:eastAsia="仿宋"/>
          <w:color w:val="000000" w:themeColor="text1"/>
          <w:sz w:val="24"/>
          <w:highlight w:val="none"/>
        </w:rPr>
        <w:t>4.2本次项目招标代理费按照苏招协【2022】002号《江苏省招标代理收费的指导意见》文件所规定标准的70%收取,专家评审费按实计取。中标人必须在中标通知书发出前向代理机构付清以上费用，此费用包含在投标报价中，无须单独列项计取。</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5.招标文件的约束力</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5.1投标人一旦参加本项目采购活动，即被认为接受了本招标文件的规定和约束。</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二、招标文件</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6.招标文件组成:</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6.1招标文件由以下部分组成：</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（1）投标邀请</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（2）投标人须知</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（3）评标标准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（4）合同文本</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（5）项目采购需求</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（6）投标文件</w:t>
      </w:r>
    </w:p>
    <w:p>
      <w:pPr>
        <w:spacing w:line="360" w:lineRule="auto"/>
        <w:ind w:firstLine="560"/>
        <w:rPr>
          <w:rFonts w:eastAsia="仿宋"/>
          <w:color w:val="000000" w:themeColor="text1"/>
          <w:sz w:val="24"/>
          <w:highlight w:val="none"/>
        </w:rPr>
      </w:pPr>
      <w:r>
        <w:rPr>
          <w:rFonts w:hint="eastAsia" w:ascii="仿宋" w:hAnsi="仿宋" w:eastAsia="仿宋"/>
          <w:color w:val="000000" w:themeColor="text1"/>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7.招标文件的澄清</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7.1任何要求对招标文件进行澄清的投标人，均应在投标截止时间十日前通过以书面形式并加盖公章通知招标人或代理机构，招标人或代理机构对投标截止时间前十日收到的任何澄清要求将以书面形式予以答复。</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8.招标文件的更正或补充</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8.1在投标截止时间十五日前，招标人或代理机构可主动或在解答投标人提出的澄清问题时对招标文件用更正公告的方式进行修正。</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2对招标文件的更正将在淮安市政府采购网进行公告，更正公告将作为招标文件的组成部分，对所有参加本次投标的投标人都具有约束力。</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 xml:space="preserve">8.3为使投标人有足够的时间按招标文件的更正要求修正投标文件，采购中心有权按照相关法定的要求推迟投标截止时间和开标日期。 </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三、投标文件的编制</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9.投标文件的语言及度量衡单位</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9.1投标人提交的投标文件以及投标人与招标人或代理机构就有关投标的所有来往通知、函件和文件均应使用</w:t>
      </w:r>
      <w:r>
        <w:rPr>
          <w:rFonts w:hint="eastAsia" w:ascii="仿宋" w:hAnsi="仿宋" w:eastAsia="仿宋"/>
          <w:b/>
          <w:bCs/>
          <w:color w:val="000000" w:themeColor="text1"/>
          <w:sz w:val="24"/>
          <w:highlight w:val="none"/>
        </w:rPr>
        <w:t>简体中文</w:t>
      </w:r>
      <w:r>
        <w:rPr>
          <w:rFonts w:hint="eastAsia" w:ascii="仿宋" w:hAnsi="仿宋" w:eastAsia="仿宋"/>
          <w:color w:val="000000" w:themeColor="text1"/>
          <w:sz w:val="24"/>
          <w:highlight w:val="none"/>
        </w:rPr>
        <w:t>。</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9.2除技术性能另有规定外，投标文件所使用的度量衡单位，均须采用国家法定计量单位。</w:t>
      </w:r>
    </w:p>
    <w:p>
      <w:pPr>
        <w:spacing w:line="360" w:lineRule="auto"/>
        <w:rPr>
          <w:rFonts w:ascii="仿宋" w:hAnsi="仿宋" w:eastAsia="仿宋"/>
          <w:b/>
          <w:color w:val="000000" w:themeColor="text1"/>
          <w:sz w:val="24"/>
          <w:highlight w:val="none"/>
        </w:rPr>
      </w:pPr>
      <w:bookmarkStart w:id="15" w:name="_Toc20823287"/>
      <w:bookmarkStart w:id="16" w:name="_Toc16938531"/>
      <w:bookmarkStart w:id="17" w:name="_Toc462564074"/>
      <w:bookmarkStart w:id="18" w:name="_Toc513029215"/>
      <w:r>
        <w:rPr>
          <w:rFonts w:hint="eastAsia" w:ascii="仿宋" w:hAnsi="仿宋" w:eastAsia="仿宋"/>
          <w:b/>
          <w:color w:val="000000" w:themeColor="text1"/>
          <w:sz w:val="24"/>
          <w:highlight w:val="none"/>
        </w:rPr>
        <w:t>10.投标文件构成</w:t>
      </w:r>
      <w:bookmarkEnd w:id="15"/>
      <w:bookmarkEnd w:id="16"/>
      <w:bookmarkEnd w:id="17"/>
      <w:bookmarkEnd w:id="18"/>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10.1投标人编写的投标文件应包括资格证明文件、符合性证明文件、投标分项报价表、技术要求响应及偏离表、商务要求响应及偏离表、其他证明文件、投标函、开标一览表等部分。</w:t>
      </w:r>
      <w:r>
        <w:rPr>
          <w:rFonts w:hint="eastAsia" w:ascii="仿宋" w:hAnsi="仿宋" w:eastAsia="仿宋"/>
          <w:color w:val="000000" w:themeColor="text1"/>
          <w:sz w:val="24"/>
          <w:highlight w:val="none"/>
          <w:lang w:val="zh-CN"/>
        </w:rPr>
        <w:t>请投标人根据本招标文件的要求在指定模块中上传响应的投标材料，未按招标文件要求在指定模块上传响应的投标材料的，</w:t>
      </w:r>
      <w:r>
        <w:rPr>
          <w:rFonts w:hint="eastAsia" w:ascii="仿宋" w:hAnsi="仿宋" w:eastAsia="仿宋"/>
          <w:color w:val="000000" w:themeColor="text1"/>
          <w:sz w:val="24"/>
          <w:highlight w:val="none"/>
        </w:rPr>
        <w:t>视同未提交该投标材料处理。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10.2如标书制作工具中格式和内容与“淮安市政府采购网”发布的招标文件不一致，请以“淮安市政府采购网”发布的招标文件为准。</w:t>
      </w:r>
    </w:p>
    <w:p>
      <w:pPr>
        <w:spacing w:line="360" w:lineRule="auto"/>
        <w:rPr>
          <w:rFonts w:ascii="仿宋" w:hAnsi="仿宋" w:eastAsia="仿宋"/>
          <w:b/>
          <w:color w:val="000000" w:themeColor="text1"/>
          <w:sz w:val="24"/>
          <w:highlight w:val="none"/>
        </w:rPr>
      </w:pPr>
      <w:bookmarkStart w:id="19" w:name="_Toc14577354"/>
      <w:bookmarkStart w:id="20" w:name="_Toc513029219"/>
      <w:bookmarkStart w:id="21" w:name="_Toc513029216"/>
      <w:bookmarkStart w:id="22" w:name="_Toc14577357"/>
      <w:bookmarkStart w:id="23" w:name="_Toc49090507"/>
      <w:bookmarkStart w:id="24" w:name="_Toc49090509"/>
      <w:r>
        <w:rPr>
          <w:rFonts w:hint="eastAsia" w:ascii="仿宋" w:hAnsi="仿宋" w:eastAsia="仿宋"/>
          <w:b/>
          <w:color w:val="000000" w:themeColor="text1"/>
          <w:sz w:val="24"/>
          <w:highlight w:val="none"/>
        </w:rPr>
        <w:t>11.证明投标人及投标标的符合招标文件规定的文件</w:t>
      </w:r>
      <w:bookmarkEnd w:id="19"/>
      <w:bookmarkEnd w:id="20"/>
      <w:bookmarkEnd w:id="21"/>
      <w:bookmarkEnd w:id="22"/>
      <w:bookmarkEnd w:id="23"/>
      <w:bookmarkEnd w:id="24"/>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11.1投标人应按照招标文件要求提交证明文件，证明其及投标标的符合招标文件规定。</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11.2招标文件对证明文件无明确形式要求的，证明文件可以以文字资料、图纸和数据等形式提交。</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12.投标分项报价</w:t>
      </w:r>
      <w:bookmarkStart w:id="25" w:name="_Hlt26670373"/>
      <w:bookmarkEnd w:id="25"/>
      <w:r>
        <w:rPr>
          <w:rFonts w:hint="eastAsia" w:ascii="仿宋" w:hAnsi="仿宋" w:eastAsia="仿宋"/>
          <w:b/>
          <w:color w:val="000000" w:themeColor="text1"/>
          <w:sz w:val="24"/>
          <w:highlight w:val="none"/>
        </w:rPr>
        <w:t>表</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12.1投</w:t>
      </w:r>
      <w:bookmarkStart w:id="26" w:name="_Hlt26954840"/>
      <w:bookmarkEnd w:id="26"/>
      <w:r>
        <w:rPr>
          <w:rFonts w:hint="eastAsia" w:ascii="仿宋" w:hAnsi="仿宋" w:eastAsia="仿宋"/>
          <w:color w:val="000000" w:themeColor="text1"/>
          <w:sz w:val="24"/>
          <w:highlight w:val="none"/>
        </w:rPr>
        <w:t>标人应按照招标文件规定格式填报投标分项报价表</w:t>
      </w:r>
      <w:bookmarkStart w:id="27" w:name="_Hlt26670399"/>
      <w:bookmarkEnd w:id="27"/>
      <w:r>
        <w:rPr>
          <w:rFonts w:hint="eastAsia" w:ascii="仿宋" w:hAnsi="仿宋" w:eastAsia="仿宋"/>
          <w:color w:val="000000" w:themeColor="text1"/>
          <w:sz w:val="24"/>
          <w:highlight w:val="none"/>
        </w:rPr>
        <w:t>。</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12.2投标货币。投标文件中的单价和总价无特殊规定的采用人民币报价，以元为单位标注。招标文件中另有规定的按规定执行。</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13.技术要求响应及偏离表、商务要求响应及偏离表</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13.1投标人需对招标文件中的技术要求与商务要求逐项作出响应或偏离，并说明原因。</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13.2投标人可在投标文件中提供认为需要的其他技术文件或说明。</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14.投标函和开标一览表</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14.1投标人应按照招标文件中提供的格式完整、正确填写投标函、开标一览表。</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14.2对于采用货币报价的项目，开标一览表中的投标总报价应与投标分项报价表中的投标总报价一致，如不一致，不作为无效投标处理，但评标时按开标一览表中价格为准。</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15.投标有效期</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15.1投标有效期为从开标之日起计算的九十天。投标有效期比规定短的将被视为非响应投标而予以拒绝。</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16.投标有效期的延长</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16.1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四、投标文件上传</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17.投标文件的上传</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17.1投标人应当按照《操作手册》规定，在投标截止时间前制作并上传电子投标文件。</w:t>
      </w:r>
    </w:p>
    <w:p>
      <w:pPr>
        <w:spacing w:line="360" w:lineRule="auto"/>
        <w:ind w:firstLine="560"/>
        <w:rPr>
          <w:rFonts w:ascii="仿宋" w:hAnsi="仿宋" w:eastAsia="仿宋" w:cs="宋体"/>
          <w:bCs/>
          <w:color w:val="000000" w:themeColor="text1"/>
          <w:sz w:val="24"/>
          <w:highlight w:val="none"/>
          <w:lang w:val="zh-CN"/>
        </w:rPr>
      </w:pPr>
      <w:r>
        <w:rPr>
          <w:rFonts w:hint="eastAsia" w:ascii="仿宋" w:hAnsi="仿宋" w:eastAsia="仿宋"/>
          <w:color w:val="000000" w:themeColor="text1"/>
          <w:sz w:val="24"/>
          <w:highlight w:val="none"/>
        </w:rPr>
        <w:t>17.2投标人上传的电子投标文件内容不清楚或不清晰的（含扫描</w:t>
      </w:r>
      <w:r>
        <w:rPr>
          <w:rFonts w:hint="eastAsia" w:ascii="仿宋" w:hAnsi="仿宋" w:eastAsia="仿宋" w:cs="宋体"/>
          <w:bCs/>
          <w:color w:val="000000" w:themeColor="text1"/>
          <w:sz w:val="24"/>
          <w:highlight w:val="none"/>
        </w:rPr>
        <w:t>件），造成无法评审或部分影响评审的，</w:t>
      </w:r>
      <w:r>
        <w:rPr>
          <w:rFonts w:hint="eastAsia" w:ascii="仿宋" w:hAnsi="仿宋" w:eastAsia="仿宋" w:cs="宋体"/>
          <w:bCs/>
          <w:color w:val="000000" w:themeColor="text1"/>
          <w:sz w:val="24"/>
          <w:highlight w:val="none"/>
          <w:lang w:val="zh-CN"/>
        </w:rPr>
        <w:t>责任由</w:t>
      </w:r>
      <w:r>
        <w:rPr>
          <w:rFonts w:hint="eastAsia" w:ascii="仿宋" w:hAnsi="仿宋" w:eastAsia="仿宋" w:cs="宋体"/>
          <w:bCs/>
          <w:color w:val="000000" w:themeColor="text1"/>
          <w:sz w:val="24"/>
          <w:highlight w:val="none"/>
        </w:rPr>
        <w:t>投标人</w:t>
      </w:r>
      <w:r>
        <w:rPr>
          <w:rFonts w:hint="eastAsia" w:ascii="仿宋" w:hAnsi="仿宋" w:eastAsia="仿宋" w:cs="宋体"/>
          <w:bCs/>
          <w:color w:val="000000" w:themeColor="text1"/>
          <w:sz w:val="24"/>
          <w:highlight w:val="none"/>
          <w:lang w:val="zh-CN"/>
        </w:rPr>
        <w:t>自负。</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17.3中标单位在领取中标通知书之前，必须提供叁份与电子投标文件一致的纸质打印投标文件。</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18.投标截止时间</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18.1投标人上传电子投标文件的时间不得迟于招标公告中规定的投标截止时间。</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投标人应充分考虑到网络环境、网络带宽等风险因素，如因投标人自身原因造成的电子投标文件上传不成功的按照本招标文件第二章第26.1.2条规定作无效投标处理。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18.2采购人可以按照第8条规定，通过修改招标文件酌情延长投标截止时间，在此情况下，投标人的所有权利和义务以及投标人受制的截止时间均应以延长后新的截止时间为准。</w:t>
      </w:r>
      <w:bookmarkStart w:id="28" w:name="_Toc513029227"/>
      <w:bookmarkStart w:id="29" w:name="_Toc16938543"/>
      <w:bookmarkStart w:id="30" w:name="_Toc20823299"/>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19.投标文件</w:t>
      </w:r>
      <w:bookmarkEnd w:id="28"/>
      <w:bookmarkEnd w:id="29"/>
      <w:bookmarkEnd w:id="30"/>
      <w:r>
        <w:rPr>
          <w:rFonts w:hint="eastAsia" w:ascii="仿宋" w:hAnsi="仿宋" w:eastAsia="仿宋"/>
          <w:b/>
          <w:color w:val="000000" w:themeColor="text1"/>
          <w:sz w:val="24"/>
          <w:highlight w:val="none"/>
        </w:rPr>
        <w:t>的拒收</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19.1在招标文件规定的提交投标文件截止时间后上传的电子投标文件。</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20.投标文件的修改和撤回</w:t>
      </w:r>
    </w:p>
    <w:p>
      <w:pPr>
        <w:spacing w:line="360" w:lineRule="auto"/>
        <w:ind w:firstLine="560"/>
        <w:rPr>
          <w:rFonts w:ascii="仿宋" w:hAnsi="仿宋" w:eastAsia="仿宋"/>
          <w:color w:val="000000" w:themeColor="text1"/>
          <w:sz w:val="24"/>
          <w:highlight w:val="none"/>
        </w:rPr>
      </w:pPr>
      <w:bookmarkStart w:id="31" w:name="_Toc162083530"/>
      <w:r>
        <w:rPr>
          <w:rFonts w:hint="eastAsia" w:ascii="仿宋" w:hAnsi="仿宋" w:eastAsia="仿宋"/>
          <w:color w:val="000000" w:themeColor="text1"/>
          <w:sz w:val="24"/>
          <w:highlight w:val="none"/>
        </w:rPr>
        <w:t>20.1投标人在上传电子投标文件后可以对其修改或撤回，但这种修改和撤回，必须在规定的开标时间之前，具体操作方法见《操作手册》。</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20.2投标人不得在开标时间以后修改电子投标文件。</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20.3投标人不得在提交电子投标文件截止时间起至投标有效期满前撤回电子投标文件。</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五、开标及评标</w:t>
      </w:r>
      <w:bookmarkEnd w:id="31"/>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21.开标</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21.1采购人将在招标公告中规定的时间和地点组织公开开标。投标人应当按照《操作手册》规定，参加开标活动和在苏采云系统规定的时间内对投标文件进行解密。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21.2开标仪式由采购人或代理机构组织。苏采云系统将自动对项目进行开标，并宣布各投标人名称和投标价格。</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21.3投标人在开标过程中涉及的投标文件解密、开标结果确认等工作，应按照《操作手册》规定执行。</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21.4投标人如果对开标过程和开标记录有疑义，应当根据《操作手册》规定提出，如苏采云系统中《开标记录表》宣布后5分钟内未提出的，视同认可开标结果。</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22.评标委员会</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22.1开标后，代理机构将立即组织评标委员会（以下简称评委会）进行评标。</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22.2评委会由采购人代表和有关技术、经济等方面的专家组成，且人员构成符合政府采购有关规定。</w:t>
      </w:r>
    </w:p>
    <w:p>
      <w:pPr>
        <w:spacing w:line="360" w:lineRule="auto"/>
        <w:ind w:firstLine="480" w:firstLineChars="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22.3评委会独立工作，负责评审所有投标文件并确定中标候选人</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23.评标过程的保密与公正</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23.1凡是与审查、澄清、评价和比较投标的有关资料以及授标建议等，采购人、评委、代理机构均不得向投标人或与评标无关的其他人员透露。</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23.2在评标过程中，投标人不得以任何行为影响评标过程，否则其投标文件将被作为无效投标文件。</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23.3代理机构和评标委员会不向未中标的投标人解释未中标原因，也不公布评标过程中的相关细节。</w:t>
      </w:r>
    </w:p>
    <w:p>
      <w:pPr>
        <w:spacing w:line="360" w:lineRule="auto"/>
        <w:ind w:firstLine="560"/>
        <w:rPr>
          <w:rFonts w:ascii="仿宋" w:hAnsi="仿宋" w:eastAsia="仿宋"/>
          <w:color w:val="000000" w:themeColor="text1"/>
          <w:sz w:val="24"/>
          <w:highlight w:val="none"/>
          <w:lang w:val="zh-CN"/>
        </w:rPr>
      </w:pPr>
      <w:r>
        <w:rPr>
          <w:rFonts w:hint="eastAsia" w:ascii="仿宋" w:hAnsi="仿宋" w:eastAsia="仿宋"/>
          <w:color w:val="000000" w:themeColor="text1"/>
          <w:sz w:val="24"/>
          <w:highlight w:val="none"/>
        </w:rPr>
        <w:t>23.4采用综合评分法的项目，未中标的投标人可于中标结果公告期限届满之日起通过苏采云系统查看自己的评审得分及排序情况。</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24.投标文件的澄清</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24.1评标期间，评委会对投标文件中含义不明确、同类问题表述不一致或者有明显文字和计算错误的内容，有权要求投标人作出必要的澄清、说明或者补正。</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投标人的澄清、说明或者补正不得超出投标文件的范围或者改变投标文件的实质性内容。</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评标委员会并非对每个投标人都做澄清要求。</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24.3接到评委会澄清、说明和补正要求的投标人如未按规定作出澄清、说明和补正，其风险由投标人自行承担。</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25.对投标文件的初审</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25.1投标文件初审分为资格审查和符合性审查。</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25.1.1资格审查：依据法律法规和招标文件的规定，由采购人对投标文件中的资格证明文件进行审查。资格审查的结论，采购人以书面形式向评委会进行反馈。</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采购人在进行资格性审查的同时，将在“信用中国”网站（www.creditchina.gov.cn）查询投标人的信用记录，以确定投标人是否具备投标资格,查询结果留存并归档。</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接受联合体的项目，两个以上的自然人、法人或者其他组织组成一个联合体，以一个投标人的身份共同参加政府采购活动的,联合体成员存在不良信用记录的，视同联合体存在不良信用记录。</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25.1.2符合性审查：依据招标文件的规定，由评委会从投标文件的有效性、完整性和对招标文件的响应程度进行审查，以确定是否对招标文件的实质性要求作出响应。</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25.1.3未通过资格审查或符合性审查的投标人，代理机构将在苏采云系统中告知未通过资格审查或符合性审查的原因，评标结束后，代理机构将不再告知未通过资格审查和符合性审查的原因。</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25.3如果投标文件实质上没有响应招标文件的要求，评委会将予以拒绝，投标人不得通过修改或撤销不合要求的偏离或保留而使其投标成为实质性响应的投标。</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25.4评委会将对确定为实质性响应的投标进行进一步审核，确定其是否有计算上或累加上的算术错误，修正错误的原则如下：</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（1）投标文件中开标一览表内容与投标文件中相应内容不一致的，以开标一览表为准。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（2）大写金额和小写金额不一致的，以大写金额为准。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（3）单价金额小数点或者百分比有明显错位的，以开标一览表的总价为准，并修改单价。</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（4）总价金额与按单价汇总金额不一致的，以单价金额计算结果为准。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同时出现两种以上错误的，按照前款规定的顺序修正。</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25.6</w:t>
      </w:r>
      <w:r>
        <w:rPr>
          <w:rFonts w:ascii="仿宋" w:hAnsi="仿宋" w:eastAsia="仿宋"/>
          <w:color w:val="000000" w:themeColor="text1"/>
          <w:sz w:val="24"/>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4"/>
          <w:highlight w:val="none"/>
        </w:rPr>
        <w:t>按照招标文件规定的方式（招标文件未规定的通过</w:t>
      </w:r>
      <w:r>
        <w:rPr>
          <w:rFonts w:ascii="仿宋" w:hAnsi="仿宋" w:eastAsia="仿宋"/>
          <w:color w:val="000000" w:themeColor="text1"/>
          <w:sz w:val="24"/>
          <w:highlight w:val="none"/>
        </w:rPr>
        <w:t>随机抽取</w:t>
      </w:r>
      <w:r>
        <w:rPr>
          <w:rFonts w:hint="eastAsia" w:ascii="仿宋" w:hAnsi="仿宋" w:eastAsia="仿宋"/>
          <w:color w:val="000000" w:themeColor="text1"/>
          <w:sz w:val="24"/>
          <w:highlight w:val="none"/>
        </w:rPr>
        <w:t>的</w:t>
      </w:r>
      <w:r>
        <w:rPr>
          <w:rFonts w:ascii="仿宋" w:hAnsi="仿宋" w:eastAsia="仿宋"/>
          <w:color w:val="000000" w:themeColor="text1"/>
          <w:sz w:val="24"/>
          <w:highlight w:val="none"/>
        </w:rPr>
        <w:t>方式</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确定一个参加评标的投标人，其他投标无效。</w:t>
      </w:r>
    </w:p>
    <w:p>
      <w:pPr>
        <w:spacing w:line="360" w:lineRule="auto"/>
        <w:ind w:firstLine="560"/>
        <w:rPr>
          <w:rFonts w:ascii="仿宋" w:hAnsi="仿宋" w:eastAsia="仿宋"/>
          <w:color w:val="000000" w:themeColor="text1"/>
          <w:sz w:val="24"/>
          <w:highlight w:val="none"/>
        </w:rPr>
      </w:pPr>
      <w:r>
        <w:rPr>
          <w:rFonts w:ascii="仿宋" w:hAnsi="仿宋" w:eastAsia="仿宋"/>
          <w:color w:val="000000" w:themeColor="text1"/>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4"/>
          <w:highlight w:val="none"/>
        </w:rPr>
        <w:t>根据招标文件规定的方式（招标文件未规定的采取随机抽取的方式）</w:t>
      </w:r>
      <w:r>
        <w:rPr>
          <w:rFonts w:ascii="仿宋" w:hAnsi="仿宋" w:eastAsia="仿宋"/>
          <w:color w:val="000000" w:themeColor="text1"/>
          <w:sz w:val="24"/>
          <w:highlight w:val="none"/>
        </w:rPr>
        <w:t>确定</w:t>
      </w:r>
      <w:r>
        <w:rPr>
          <w:rFonts w:hint="eastAsia" w:ascii="仿宋" w:hAnsi="仿宋" w:eastAsia="仿宋"/>
          <w:color w:val="000000" w:themeColor="text1"/>
          <w:sz w:val="24"/>
          <w:highlight w:val="none"/>
        </w:rPr>
        <w:t>一个中标候选人</w:t>
      </w:r>
      <w:r>
        <w:rPr>
          <w:rFonts w:ascii="仿宋" w:hAnsi="仿宋" w:eastAsia="仿宋"/>
          <w:color w:val="000000" w:themeColor="text1"/>
          <w:sz w:val="24"/>
          <w:highlight w:val="none"/>
        </w:rPr>
        <w:t>，其他同品牌投标人不作为中标候选人。</w:t>
      </w:r>
    </w:p>
    <w:p>
      <w:pPr>
        <w:spacing w:line="360" w:lineRule="auto"/>
        <w:ind w:firstLine="560"/>
        <w:rPr>
          <w:rFonts w:ascii="仿宋" w:hAnsi="仿宋" w:eastAsia="仿宋"/>
          <w:color w:val="000000" w:themeColor="text1"/>
          <w:sz w:val="24"/>
          <w:highlight w:val="none"/>
        </w:rPr>
      </w:pPr>
      <w:r>
        <w:rPr>
          <w:rFonts w:ascii="仿宋" w:hAnsi="仿宋" w:eastAsia="仿宋"/>
          <w:color w:val="000000" w:themeColor="text1"/>
          <w:sz w:val="24"/>
          <w:highlight w:val="none"/>
        </w:rPr>
        <w:t>非单一产品采购项目，招标文件中</w:t>
      </w:r>
      <w:r>
        <w:rPr>
          <w:rFonts w:hint="eastAsia" w:ascii="仿宋" w:hAnsi="仿宋" w:eastAsia="仿宋"/>
          <w:color w:val="000000" w:themeColor="text1"/>
          <w:sz w:val="24"/>
          <w:highlight w:val="none"/>
        </w:rPr>
        <w:t>将载明其中的核心产品</w:t>
      </w:r>
      <w:r>
        <w:rPr>
          <w:rFonts w:ascii="仿宋" w:hAnsi="仿宋" w:eastAsia="仿宋"/>
          <w:color w:val="000000" w:themeColor="text1"/>
          <w:sz w:val="24"/>
          <w:highlight w:val="none"/>
        </w:rPr>
        <w:t>。多家投标人提供的核心产品品牌相同的，按前两款规定处理。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25.7投标人在开、评标全过程中应保持通讯畅通，及时登录苏采云系统查阅、答复相关信息，并安排专人与代理机构及评标委员会联系。</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26.无效投标条款和废标条款</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26.1无效投标条款</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26.1.1投标人在苏采云系统规定的时间内未成功解密电子投标文件的。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26.1.2投标人未按照招标文件要求上传电子投标文件的。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26.1.3同一投标人提交两个（含两个）以上不同的投标报价的。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26.1.4投标人不具备招标文件中规定资格要求的。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26.1.5投标人的报价超过了采购预算或最高限价的。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26.1.6未通过符合性审查的。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26.1.7不符合招标文件中规定的实质性要求和条件的（实质性要求和条件是指本招标文件中用带“</w:t>
      </w:r>
      <w:r>
        <w:rPr>
          <w:rFonts w:hint="eastAsia"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”号的商务和技术要求）。</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26.1.9投标文件含有采购人不能接受的附加条件的。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26.1.11投标文件未按照招标文件要求加盖CA电子公章的。</w:t>
      </w:r>
    </w:p>
    <w:p>
      <w:pPr>
        <w:spacing w:line="360" w:lineRule="auto"/>
        <w:ind w:firstLine="48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26.1.12其他法律、法规及本招标文件规定的属无效投标的情形。</w:t>
      </w:r>
    </w:p>
    <w:p>
      <w:pPr>
        <w:spacing w:line="360" w:lineRule="auto"/>
        <w:ind w:firstLine="561"/>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26.2废标条款</w:t>
      </w:r>
    </w:p>
    <w:p>
      <w:pPr>
        <w:spacing w:line="360" w:lineRule="auto"/>
        <w:ind w:firstLine="56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26.2.1符合专业条件的投标人或者对招标文件作实质响应的投标人不足三家的。</w:t>
      </w:r>
    </w:p>
    <w:p>
      <w:pPr>
        <w:spacing w:line="360" w:lineRule="auto"/>
        <w:ind w:firstLine="56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26.2.2出现影响采购公正的违法、违规行为的。</w:t>
      </w:r>
    </w:p>
    <w:p>
      <w:pPr>
        <w:spacing w:line="360" w:lineRule="auto"/>
        <w:ind w:firstLine="56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26.2.3因重大变故，采购任务取消的。</w:t>
      </w:r>
    </w:p>
    <w:p>
      <w:pPr>
        <w:spacing w:line="360" w:lineRule="auto"/>
        <w:ind w:firstLine="56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26.2.4评标委员会认定招标文件存在歧义、重大缺陷导致评审工作无法进行。</w:t>
      </w:r>
    </w:p>
    <w:p>
      <w:pPr>
        <w:spacing w:line="360" w:lineRule="auto"/>
        <w:ind w:firstLine="56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26.2.5因苏采云系统故障原因造成开标不成功的。</w:t>
      </w:r>
    </w:p>
    <w:p>
      <w:pPr>
        <w:spacing w:line="360" w:lineRule="auto"/>
        <w:ind w:firstLine="56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26.3投标截止时间结束后参加投标的投标人不足三家的处理：</w:t>
      </w:r>
    </w:p>
    <w:p>
      <w:pPr>
        <w:spacing w:line="360" w:lineRule="auto"/>
        <w:ind w:firstLine="560"/>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26.3.1如出现投标截止时间结束后参加投标的投标人或者在评标期间对招标文件做出实质响应的投标人不足三家情况，按政府采购相关规定执行。</w:t>
      </w:r>
    </w:p>
    <w:p>
      <w:pPr>
        <w:spacing w:line="360" w:lineRule="auto"/>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六、定标</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27.确定中标单位</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27.1中标候选人的选取原则和数量见招标文件第三章规定。</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27.2采购人应根据评委会推荐的中标候选人确定中标人。</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27.3代理机构将在“淮安市政府采购网”发布中标公告，公告期限为1个工作日。</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27.4若有充分证据证明，中标人出现下列情况之一的，一经查实，将被取消中标资格：</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27.4.1提供虚假材料谋取中标的。</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27.4.2向采购人、代理机构行贿或者提供其他不正当利益的。</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27.4.3属于本文件规定的无效条件，但在评标过程中又未被评委会发现的。</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27.4.4与采购人或者其他投标人恶意串通的。</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27.4.5采取不正当手段诋毁、排挤其他投标人的。</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27.5有下列情形之一的，视为投标人串通投标，投标无效：</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27.5.1不同投标人的投标文件由同一单位或者个人编制。</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27.5.2不同投标人委托同一单位或者个人办理投标事宜。</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27.5.3不同投标人的投标文件载明的项目管理成员或者联系人员为同一人。</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27.5.4不同投标人的投标文件异常一致或者投标报价呈规律性差异。</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28.质疑处理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28.1投标人认为采购文件、采购过程和中标结果使自己的权益受到损害的，可以在知道或者应知其权益受到损害之日起七个工作日内，</w:t>
      </w:r>
      <w:r>
        <w:rPr>
          <w:rFonts w:ascii="仿宋" w:hAnsi="仿宋" w:eastAsia="仿宋"/>
          <w:color w:val="000000" w:themeColor="text1"/>
          <w:sz w:val="24"/>
          <w:highlight w:val="none"/>
        </w:rPr>
        <w:t>将质疑函的原件邮寄至采购人或淮阴分中心。未邮寄质疑函原件</w:t>
      </w:r>
      <w:r>
        <w:rPr>
          <w:rFonts w:hint="eastAsia" w:ascii="仿宋" w:hAnsi="仿宋" w:eastAsia="仿宋"/>
          <w:color w:val="000000" w:themeColor="text1"/>
          <w:sz w:val="24"/>
          <w:highlight w:val="none"/>
        </w:rPr>
        <w:t>、七个工作日之外以及未按28.5条的要求提供质疑的均不予受理。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28.2上述应知其权益受到损害之日是指:</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（1）对招标文件提出质疑的，为采购文件公告期限届满之日起计算；</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（2）对采购过程提出质疑的，为各采购程序环节结束之日起计算；</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（3）对中标结果提出质疑的，为中标结果公告期限届满之日起计算。</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28.3质疑投标人是指直接参加本次投标活动的投标人，未参加投标活动的投标人或在投标活动中自身权益未受到损害的投标人所提出的质疑不予受理。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28.4质疑投标人在法定质疑期内应当一次性针对同一采购环节提出质疑。</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28.5质疑函应当包括以下主要内容，附上相关证明材料。否则，采购人或代理机构不予受理。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（1）质疑投标人的名称、地址、邮编、联系人及联系电话；</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（2）质疑项目的名称、编号；</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（3）具体、明确的质疑事项和与质疑事实相关的请求；</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（4）事实依据；</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（5）必要的法律依据；</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（6）提起质疑的日期；</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【质疑函必须署名，由法定代表人或者其授权代表签字，并加盖单位电子公章。授权代表签字的，还需提供法定代表人出具的办理质疑事项授权书（授权中必须载明具体权限、期限和事项）。】</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28.7对于内容、格式符合规定的质疑函，采购人或代理机构将在七个工作日以电子文件的形式作出答复，但质疑答复的内容不涉及商业秘密。如果质疑投标人还需要纸质形式回复函的，需主动与采购人或代理机构联系索取，或者在质疑函中明确提出该要求。</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28.8投标人提出的质疑必须有理、有据，不得恶意质疑或提交虚假质疑。否则，一经查实，采购人或代理机构有权依据政府采购的有关规定，报请财政部门对该投标人列入失信行为或不良行为记录名单，进行相应的行政处罚。</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29.中标通知书</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29.2中标通知书将是合同的一个组成部分。对采购人和中标人均具有法律效力。中标通知书发出后，采购人改变中标结果的，或者中标人放弃中标项目的，应当依法承担法律责任。</w:t>
      </w:r>
    </w:p>
    <w:p>
      <w:pPr>
        <w:spacing w:line="360" w:lineRule="auto"/>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七、授予合同</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30.签订合同</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30.l</w:t>
      </w:r>
      <w:r>
        <w:rPr>
          <w:rFonts w:hint="eastAsia" w:ascii="仿宋" w:hAnsi="仿宋" w:eastAsia="仿宋"/>
          <w:bCs/>
          <w:color w:val="000000" w:themeColor="text1"/>
          <w:sz w:val="24"/>
          <w:highlight w:val="none"/>
        </w:rPr>
        <w:t>中标人应当在中标通知书发出之日起十五日内，按照招标文件确定的事项与采购人签订政府采购合同。</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30.2招标文件、中标人的投标文件及招标过程中有关澄清、承诺文件均应作为合同附件。</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pPr>
        <w:spacing w:line="360" w:lineRule="auto"/>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31.货物（包含与货物相关的服务）的追加</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31.1政府采购合同履行中，采购人需追加与合同标的相同的货物（包含与货物相关的服务），在不改变合同其他条款的前提下，可以与中标人协商签订补充合同，但所有补充合同的采购金额不超过原合同金额10%。</w:t>
      </w:r>
    </w:p>
    <w:p>
      <w:pPr>
        <w:spacing w:line="360" w:lineRule="auto"/>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八、政府采购政策功能落实</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32.政策功能落实</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32.1小微型企业价格扣除</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32.1.1</w:t>
      </w:r>
      <w:r>
        <w:rPr>
          <w:rFonts w:hint="eastAsia" w:ascii="仿宋" w:hAnsi="仿宋" w:eastAsia="仿宋"/>
          <w:color w:val="000000" w:themeColor="text1"/>
          <w:sz w:val="24"/>
          <w:highlight w:val="none"/>
          <w:lang w:val="zh-CN"/>
        </w:rPr>
        <w:t>对于未预留份额专门面向中小企业采购的采购项目，供应商提供的货物或者服务</w:t>
      </w:r>
      <w:r>
        <w:rPr>
          <w:rFonts w:hint="eastAsia" w:ascii="仿宋" w:hAnsi="仿宋" w:eastAsia="仿宋"/>
          <w:color w:val="000000" w:themeColor="text1"/>
          <w:sz w:val="24"/>
          <w:highlight w:val="none"/>
        </w:rPr>
        <w:t>符合下列情形的，享受本办法规定的中小企业扶持政策给予小微企业报价20%的扣除，用扣除后的价格参与评审：</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（1）在货物采购项目中，货物由中小企业制造，即货物由中小企业生产且使用该中小企业商号或者注册商标；</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（2）在服务采购项目中，服务由中小企业承接，即提供服务的人员为中小企业依照《中华人民共和国劳动合同法》订立劳动合同的从业人员。</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32.1.2在货物采购项目中，供应商提供的货物既有中小企业制造货物，也有大型企业制造货物的，不享受本办法规定的中小企业扶持政策。</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32.2联合体及分包</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32.2.1以联合体形式参加政府采购活动，联合体各方均为中小企业的，联合体视同中小企业。其中，联合体各方均为小微企业的，联合体视同小微企业。</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32.2.2享受扶持政策获得政府采购合同的，小微企业不得将合同分包给大中型企业，中型企业不得将合同分包给大型企业。</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32.3小微型企业</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（1）投标人须按照招标文件的要求提供相应的《企业声明函》，详见招标文件示范格式。</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（2）企业标准请参照《政府采购促进中小企业发展管理办法》（财库【2020】46号）文件规定自行填写。</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32.4残疾人福利单位</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（1）残疾人福利单位需按照招标文件的要求提供《残疾人福利性单位声明函》，详见招标文件示范格式。</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（2）残疾人福利单位标准请参照《关于促进残疾人就业政府采购政策的通知》（财库〔2017〕141号）。</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32.5监狱和戒毒企业</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（1）监狱企业参加政府采购活动时，需提供由省级以上监狱管理局、戒毒管理局（含新疆生产建设兵团）出具的属于监狱企业的证明文件）（投标文件中上传加盖出具单位公章的电子件）。</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（2）监狱企业标准请参照《关于政府采购支持监狱企业发展有关问题的通知》（财库[2014]68号）。</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33. 节能、环保政策</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33.2节能产品（本项目不涉及）</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本项目中</w:t>
      </w:r>
      <w:r>
        <w:rPr>
          <w:rFonts w:hint="eastAsia" w:ascii="仿宋" w:hAnsi="仿宋" w:eastAsia="仿宋"/>
          <w:color w:val="000000" w:themeColor="text1"/>
          <w:sz w:val="24"/>
          <w:highlight w:val="none"/>
          <w:u w:val="single"/>
        </w:rPr>
        <w:t xml:space="preserve"> / </w:t>
      </w:r>
      <w:r>
        <w:rPr>
          <w:rFonts w:hint="eastAsia" w:ascii="仿宋" w:hAnsi="仿宋" w:eastAsia="仿宋"/>
          <w:color w:val="000000" w:themeColor="text1"/>
          <w:sz w:val="24"/>
          <w:highlight w:val="none"/>
        </w:rPr>
        <w:t>被列入“节能产品品目清单”的，实行（优先采购/强制采购）。</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33.3环保产品（本项目不涉及）</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本项目中</w:t>
      </w:r>
      <w:r>
        <w:rPr>
          <w:rFonts w:hint="eastAsia" w:ascii="仿宋" w:hAnsi="仿宋" w:eastAsia="仿宋"/>
          <w:color w:val="000000" w:themeColor="text1"/>
          <w:sz w:val="24"/>
          <w:highlight w:val="none"/>
          <w:u w:val="single"/>
        </w:rPr>
        <w:t xml:space="preserve"> / </w:t>
      </w:r>
      <w:r>
        <w:rPr>
          <w:rFonts w:hint="eastAsia" w:ascii="仿宋" w:hAnsi="仿宋" w:eastAsia="仿宋"/>
          <w:color w:val="000000" w:themeColor="text1"/>
          <w:sz w:val="24"/>
          <w:highlight w:val="none"/>
        </w:rPr>
        <w:t>被列入“环境标志产品品目清单”的，实行（优先采购/强制采购）。</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pPr>
        <w:spacing w:line="360" w:lineRule="auto"/>
        <w:ind w:firstLine="560"/>
        <w:rPr>
          <w:rFonts w:ascii="仿宋" w:hAnsi="仿宋" w:eastAsia="仿宋"/>
          <w:bCs/>
          <w:color w:val="000000" w:themeColor="text1"/>
          <w:sz w:val="24"/>
          <w:highlight w:val="none"/>
        </w:rPr>
      </w:pPr>
      <w:r>
        <w:rPr>
          <w:rFonts w:hint="eastAsia" w:ascii="仿宋" w:hAnsi="仿宋" w:eastAsia="仿宋"/>
          <w:color w:val="000000" w:themeColor="text1"/>
          <w:sz w:val="24"/>
          <w:highlight w:val="none"/>
        </w:rPr>
        <w:t>33.5节能、环保产品的品目清单按照《关于印发环境标志产品政府采购品目清单的通知》（财库〔2019〕18号）、《关于印发节能产品政府采购品目清单的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4"/>
          <w:highlight w:val="none"/>
        </w:rPr>
        <w:t>通知》（财库〔2019〕19号）执行。国家对品目清单进行调整的，按照最新调整的品目清单执行。</w:t>
      </w:r>
    </w:p>
    <w:p>
      <w:pPr>
        <w:spacing w:line="360" w:lineRule="auto"/>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34．政府绿色采购</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根据《江苏省财政厅关于加强政府绿色采购有关事项的通知》（苏财购〔2023〕65号）的要求，落实政府绿色采购相关政策，具体如下：</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34.1本项目为货物类采购项目的，所提供的产品需综合考虑节能环保、节水、循环再生、低碳、有机等因素；本项目为物业、合同能源管理等服务类采购项目的，应在服务中加强绿色低碳管理。</w:t>
      </w:r>
    </w:p>
    <w:p>
      <w:pPr>
        <w:pStyle w:val="291"/>
        <w:spacing w:line="360" w:lineRule="auto"/>
        <w:ind w:firstLine="480"/>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pPr>
        <w:pStyle w:val="291"/>
        <w:spacing w:line="360" w:lineRule="auto"/>
        <w:ind w:firstLine="480"/>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34.3本项目中涉及涂料、胶黏剂、油墨、清洗剂等挥发性有机物产品的，要执行国家和江苏省VOCs含量限制标准，优先使用低挥发性原辅材料，使用低VOCs含量的涂料、胶黏剂等。</w:t>
      </w:r>
    </w:p>
    <w:p>
      <w:pPr>
        <w:spacing w:line="360" w:lineRule="auto"/>
        <w:rPr>
          <w:rFonts w:ascii="仿宋" w:hAnsi="仿宋" w:eastAsia="仿宋" w:cs="仿宋"/>
          <w:color w:val="000000" w:themeColor="text1"/>
          <w:sz w:val="24"/>
          <w:highlight w:val="none"/>
        </w:rPr>
      </w:pPr>
    </w:p>
    <w:p>
      <w:pPr>
        <w:pStyle w:val="62"/>
        <w:spacing w:before="0" w:after="0" w:line="360" w:lineRule="auto"/>
        <w:rPr>
          <w:color w:val="000000" w:themeColor="text1"/>
          <w:sz w:val="24"/>
          <w:szCs w:val="24"/>
          <w:highlight w:val="none"/>
        </w:rPr>
      </w:pPr>
    </w:p>
    <w:p>
      <w:pPr>
        <w:spacing w:line="360" w:lineRule="auto"/>
        <w:rPr>
          <w:color w:val="000000" w:themeColor="text1"/>
          <w:sz w:val="24"/>
          <w:highlight w:val="none"/>
        </w:rPr>
      </w:pPr>
    </w:p>
    <w:p>
      <w:pPr>
        <w:spacing w:line="360" w:lineRule="auto"/>
        <w:rPr>
          <w:color w:val="000000" w:themeColor="text1"/>
          <w:sz w:val="24"/>
          <w:highlight w:val="none"/>
        </w:rPr>
      </w:pPr>
    </w:p>
    <w:p>
      <w:pPr>
        <w:spacing w:line="360" w:lineRule="auto"/>
        <w:rPr>
          <w:color w:val="000000" w:themeColor="text1"/>
          <w:sz w:val="24"/>
          <w:highlight w:val="none"/>
        </w:rPr>
      </w:pPr>
    </w:p>
    <w:p>
      <w:pPr>
        <w:spacing w:line="360" w:lineRule="auto"/>
        <w:rPr>
          <w:color w:val="000000" w:themeColor="text1"/>
          <w:sz w:val="24"/>
          <w:highlight w:val="none"/>
        </w:rPr>
      </w:pPr>
    </w:p>
    <w:p>
      <w:pPr>
        <w:spacing w:line="360" w:lineRule="auto"/>
        <w:rPr>
          <w:color w:val="000000" w:themeColor="text1"/>
          <w:sz w:val="24"/>
          <w:highlight w:val="none"/>
        </w:rPr>
      </w:pPr>
    </w:p>
    <w:p>
      <w:pPr>
        <w:spacing w:line="360" w:lineRule="auto"/>
        <w:rPr>
          <w:color w:val="000000" w:themeColor="text1"/>
          <w:sz w:val="24"/>
          <w:highlight w:val="none"/>
        </w:rPr>
      </w:pPr>
    </w:p>
    <w:p>
      <w:pPr>
        <w:spacing w:after="120" w:line="520" w:lineRule="exact"/>
        <w:ind w:firstLine="3056"/>
        <w:rPr>
          <w:rFonts w:ascii="仿宋" w:hAnsi="仿宋" w:eastAsia="仿宋"/>
          <w:b/>
          <w:color w:val="000000" w:themeColor="text1"/>
          <w:sz w:val="36"/>
          <w:szCs w:val="36"/>
          <w:highlight w:val="none"/>
        </w:rPr>
      </w:pPr>
      <w:r>
        <w:rPr>
          <w:rFonts w:hint="eastAsia" w:ascii="仿宋" w:hAnsi="仿宋" w:eastAsia="仿宋"/>
          <w:b/>
          <w:bCs/>
          <w:color w:val="000000" w:themeColor="text1"/>
          <w:sz w:val="36"/>
          <w:szCs w:val="36"/>
          <w:highlight w:val="none"/>
        </w:rPr>
        <w:t xml:space="preserve">第三章 </w:t>
      </w:r>
      <w:r>
        <w:rPr>
          <w:rFonts w:hint="eastAsia" w:ascii="仿宋" w:hAnsi="仿宋" w:eastAsia="仿宋"/>
          <w:b/>
          <w:color w:val="000000" w:themeColor="text1"/>
          <w:sz w:val="36"/>
          <w:szCs w:val="36"/>
          <w:highlight w:val="none"/>
        </w:rPr>
        <w:t>评标标准</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二、评委会将依据下列评标标准进行评标，本评标标准的总分为100分。按评审后得分由高到低顺序排列。得分相同的，按投标报价由低到高顺序排列。得分且投标报价相同的并列,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4"/>
          <w:highlight w:val="none"/>
        </w:rPr>
        <w:t>由评标委员会</w:t>
      </w:r>
      <w:r>
        <w:rPr>
          <w:rFonts w:hint="eastAsia" w:ascii="仿宋" w:hAnsi="仿宋" w:eastAsia="仿宋"/>
          <w:color w:val="000000" w:themeColor="text1"/>
          <w:sz w:val="24"/>
          <w:highlight w:val="none"/>
        </w:rPr>
        <w:t>通过随机抽取的方式</w:t>
      </w:r>
      <w:r>
        <w:rPr>
          <w:rFonts w:ascii="仿宋" w:hAnsi="仿宋" w:eastAsia="仿宋"/>
          <w:color w:val="000000" w:themeColor="text1"/>
          <w:sz w:val="24"/>
          <w:highlight w:val="none"/>
        </w:rPr>
        <w:t>确定</w:t>
      </w:r>
      <w:r>
        <w:rPr>
          <w:rFonts w:hint="eastAsia" w:ascii="仿宋" w:hAnsi="仿宋" w:eastAsia="仿宋"/>
          <w:color w:val="000000" w:themeColor="text1"/>
          <w:sz w:val="24"/>
          <w:highlight w:val="none"/>
        </w:rPr>
        <w:t>中标候选人。</w:t>
      </w:r>
    </w:p>
    <w:p>
      <w:pPr>
        <w:spacing w:line="360" w:lineRule="auto"/>
        <w:ind w:firstLine="495"/>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三、具体评分标准:</w:t>
      </w:r>
    </w:p>
    <w:tbl>
      <w:tblPr>
        <w:tblStyle w:val="45"/>
        <w:tblW w:w="10062" w:type="dxa"/>
        <w:tblInd w:w="-4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44"/>
        <w:gridCol w:w="1238"/>
        <w:gridCol w:w="80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3" w:hRule="atLeast"/>
        </w:trPr>
        <w:tc>
          <w:tcPr>
            <w:tcW w:w="744" w:type="dxa"/>
            <w:vAlign w:val="center"/>
          </w:tcPr>
          <w:p>
            <w:pPr>
              <w:spacing w:line="360" w:lineRule="auto"/>
              <w:jc w:val="center"/>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序号</w:t>
            </w:r>
          </w:p>
        </w:tc>
        <w:tc>
          <w:tcPr>
            <w:tcW w:w="1238" w:type="dxa"/>
            <w:vAlign w:val="center"/>
          </w:tcPr>
          <w:p>
            <w:pPr>
              <w:spacing w:line="360" w:lineRule="auto"/>
              <w:jc w:val="center"/>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项目</w:t>
            </w:r>
          </w:p>
        </w:tc>
        <w:tc>
          <w:tcPr>
            <w:tcW w:w="8080" w:type="dxa"/>
            <w:vAlign w:val="center"/>
          </w:tcPr>
          <w:p>
            <w:pPr>
              <w:spacing w:line="360" w:lineRule="auto"/>
              <w:jc w:val="center"/>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评价标准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744" w:type="dxa"/>
            <w:vAlign w:val="center"/>
          </w:tcPr>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A</w:t>
            </w:r>
          </w:p>
        </w:tc>
        <w:tc>
          <w:tcPr>
            <w:tcW w:w="1238" w:type="dxa"/>
            <w:vAlign w:val="center"/>
          </w:tcPr>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价格</w:t>
            </w:r>
          </w:p>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pacing w:val="-20"/>
                <w:sz w:val="24"/>
                <w:highlight w:val="none"/>
              </w:rPr>
              <w:t>(44分)</w:t>
            </w:r>
          </w:p>
        </w:tc>
        <w:tc>
          <w:tcPr>
            <w:tcW w:w="8080" w:type="dxa"/>
            <w:vAlign w:val="center"/>
          </w:tcPr>
          <w:p>
            <w:pPr>
              <w:spacing w:line="360" w:lineRule="auto"/>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采用低价优先法计算，即满足招标文件要求且投标价格最低的投标报价为评标基准价，其价格分为满分。其他投标人的价格分统一按照下列公式计算（小数点保留两位）:</w:t>
            </w:r>
          </w:p>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color w:val="000000" w:themeColor="text1"/>
                <w:sz w:val="24"/>
                <w:highlight w:val="none"/>
              </w:rPr>
              <w:t>投标报价得分＝（评标基准价/投标报价）×44分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48" w:hRule="atLeast"/>
        </w:trPr>
        <w:tc>
          <w:tcPr>
            <w:tcW w:w="744" w:type="dxa"/>
            <w:vAlign w:val="center"/>
          </w:tcPr>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B</w:t>
            </w:r>
          </w:p>
        </w:tc>
        <w:tc>
          <w:tcPr>
            <w:tcW w:w="1238" w:type="dxa"/>
            <w:vAlign w:val="center"/>
          </w:tcPr>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技术</w:t>
            </w:r>
          </w:p>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部分</w:t>
            </w:r>
          </w:p>
          <w:p>
            <w:pPr>
              <w:spacing w:line="360" w:lineRule="auto"/>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pacing w:val="-20"/>
                <w:sz w:val="24"/>
                <w:highlight w:val="none"/>
              </w:rPr>
              <w:t>(51分)</w:t>
            </w:r>
          </w:p>
        </w:tc>
        <w:tc>
          <w:tcPr>
            <w:tcW w:w="8080" w:type="dxa"/>
            <w:vAlign w:val="center"/>
          </w:tcPr>
          <w:p>
            <w:pPr>
              <w:spacing w:line="360" w:lineRule="auto"/>
              <w:ind w:firstLine="480" w:firstLineChars="200"/>
              <w:rPr>
                <w:color w:val="000000" w:themeColor="text1"/>
                <w:highlight w:val="none"/>
              </w:rPr>
            </w:pPr>
            <w:r>
              <w:rPr>
                <w:rFonts w:hint="eastAsia" w:ascii="仿宋" w:hAnsi="仿宋" w:eastAsia="仿宋" w:cs="仿宋"/>
                <w:color w:val="000000" w:themeColor="text1"/>
                <w:sz w:val="24"/>
                <w:highlight w:val="none"/>
              </w:rPr>
              <w:t>1、投标人</w:t>
            </w:r>
            <w:r>
              <w:rPr>
                <w:rFonts w:ascii="仿宋" w:hAnsi="仿宋" w:eastAsia="仿宋" w:cs="仿宋"/>
                <w:color w:val="000000" w:themeColor="text1"/>
                <w:sz w:val="24"/>
                <w:highlight w:val="none"/>
              </w:rPr>
              <w:t>所投产品技术参数完全满足</w:t>
            </w:r>
            <w:r>
              <w:rPr>
                <w:rFonts w:hint="eastAsia" w:ascii="仿宋" w:hAnsi="仿宋" w:eastAsia="仿宋" w:cs="仿宋"/>
                <w:color w:val="000000" w:themeColor="text1"/>
                <w:sz w:val="24"/>
                <w:highlight w:val="none"/>
              </w:rPr>
              <w:t>招标文件第五章“项目采购需求”中标注</w:t>
            </w:r>
            <w:r>
              <w:rPr>
                <w:rFonts w:ascii="仿宋" w:hAnsi="仿宋" w:eastAsia="仿宋" w:cs="仿宋"/>
                <w:color w:val="000000" w:themeColor="text1"/>
                <w:sz w:val="24"/>
                <w:highlight w:val="none"/>
              </w:rPr>
              <w:t>“</w:t>
            </w:r>
            <w:r>
              <w:rPr>
                <w:rFonts w:hint="eastAsia" w:ascii="仿宋" w:hAnsi="仿宋" w:eastAsia="仿宋" w:cs="宋体"/>
                <w:color w:val="000000" w:themeColor="text1"/>
                <w:sz w:val="24"/>
                <w:szCs w:val="32"/>
                <w:highlight w:val="none"/>
              </w:rPr>
              <w:t>▲</w:t>
            </w:r>
            <w:r>
              <w:rPr>
                <w:rFonts w:ascii="仿宋" w:hAnsi="仿宋" w:eastAsia="仿宋" w:cs="仿宋"/>
                <w:color w:val="000000" w:themeColor="text1"/>
                <w:sz w:val="24"/>
                <w:highlight w:val="none"/>
              </w:rPr>
              <w:t>”</w:t>
            </w:r>
            <w:r>
              <w:rPr>
                <w:rFonts w:hint="eastAsia" w:ascii="仿宋" w:hAnsi="仿宋" w:eastAsia="仿宋" w:cs="仿宋"/>
                <w:color w:val="000000" w:themeColor="text1"/>
                <w:sz w:val="24"/>
                <w:highlight w:val="none"/>
              </w:rPr>
              <w:t>号技术参数要求，</w:t>
            </w:r>
            <w:r>
              <w:rPr>
                <w:rFonts w:hint="eastAsia" w:ascii="仿宋" w:hAnsi="仿宋" w:eastAsia="仿宋"/>
                <w:color w:val="000000" w:themeColor="text1"/>
                <w:sz w:val="24"/>
                <w:highlight w:val="none"/>
                <w:lang w:val="zh-CN"/>
              </w:rPr>
              <w:t>未完全满足的作无效响应文件处理。</w:t>
            </w:r>
          </w:p>
          <w:p>
            <w:pPr>
              <w:spacing w:line="360" w:lineRule="auto"/>
              <w:ind w:firstLine="480" w:firstLineChars="200"/>
              <w:rPr>
                <w:rFonts w:ascii="仿宋" w:hAnsi="仿宋" w:eastAsia="仿宋" w:cs="仿宋"/>
                <w:color w:val="000000" w:themeColor="text1"/>
                <w:sz w:val="24"/>
                <w:highlight w:val="none"/>
              </w:rPr>
            </w:pPr>
            <w:r>
              <w:rPr>
                <w:rFonts w:hint="eastAsia" w:ascii="仿宋" w:hAnsi="仿宋" w:eastAsia="仿宋"/>
                <w:color w:val="000000" w:themeColor="text1"/>
                <w:sz w:val="24"/>
                <w:highlight w:val="none"/>
              </w:rPr>
              <w:t>2、投标人所投产品技术参数与</w:t>
            </w:r>
            <w:r>
              <w:rPr>
                <w:rFonts w:hint="eastAsia" w:ascii="仿宋" w:hAnsi="仿宋" w:eastAsia="仿宋" w:cs="仿宋"/>
                <w:color w:val="000000" w:themeColor="text1"/>
                <w:sz w:val="24"/>
                <w:highlight w:val="none"/>
              </w:rPr>
              <w:t>招标文件第五章“项目采购需求”中标注</w:t>
            </w:r>
            <w:r>
              <w:rPr>
                <w:rFonts w:ascii="仿宋" w:hAnsi="仿宋" w:eastAsia="仿宋" w:cs="仿宋"/>
                <w:color w:val="000000" w:themeColor="text1"/>
                <w:sz w:val="24"/>
                <w:highlight w:val="none"/>
              </w:rPr>
              <w:t>“★”</w:t>
            </w:r>
            <w:r>
              <w:rPr>
                <w:rFonts w:hint="eastAsia" w:ascii="仿宋" w:hAnsi="仿宋" w:eastAsia="仿宋" w:cs="仿宋"/>
                <w:color w:val="000000" w:themeColor="text1"/>
                <w:sz w:val="24"/>
                <w:highlight w:val="none"/>
              </w:rPr>
              <w:t>号技术参数要求相比较，</w:t>
            </w:r>
            <w:r>
              <w:rPr>
                <w:rFonts w:hint="eastAsia" w:ascii="仿宋" w:hAnsi="仿宋" w:eastAsia="仿宋" w:cs="仿宋"/>
                <w:color w:val="000000" w:themeColor="text1"/>
                <w:sz w:val="24"/>
                <w:highlight w:val="none"/>
                <w:lang w:val="en-US" w:eastAsia="zh-CN"/>
              </w:rPr>
              <w:t>以30分为基数，</w:t>
            </w:r>
            <w:r>
              <w:rPr>
                <w:rFonts w:ascii="仿宋" w:hAnsi="仿宋" w:eastAsia="仿宋" w:cs="仿宋"/>
                <w:color w:val="000000" w:themeColor="text1"/>
                <w:sz w:val="24"/>
                <w:highlight w:val="none"/>
              </w:rPr>
              <w:t>每有一项负偏离扣</w:t>
            </w:r>
            <w:r>
              <w:rPr>
                <w:rFonts w:hint="eastAsia" w:ascii="仿宋" w:hAnsi="仿宋" w:eastAsia="仿宋" w:cs="仿宋"/>
                <w:color w:val="000000" w:themeColor="text1"/>
                <w:sz w:val="24"/>
                <w:highlight w:val="none"/>
              </w:rPr>
              <w:t>1</w:t>
            </w:r>
            <w:r>
              <w:rPr>
                <w:rFonts w:ascii="仿宋" w:hAnsi="仿宋" w:eastAsia="仿宋" w:cs="仿宋"/>
                <w:color w:val="000000" w:themeColor="text1"/>
                <w:sz w:val="24"/>
                <w:highlight w:val="none"/>
              </w:rPr>
              <w:t>分</w:t>
            </w:r>
            <w:r>
              <w:rPr>
                <w:rFonts w:hint="eastAsia" w:ascii="仿宋" w:hAnsi="仿宋" w:eastAsia="仿宋" w:cs="仿宋"/>
                <w:color w:val="000000" w:themeColor="text1"/>
                <w:sz w:val="24"/>
                <w:highlight w:val="none"/>
              </w:rPr>
              <w:t>。</w:t>
            </w:r>
            <w:r>
              <w:rPr>
                <w:rFonts w:hint="eastAsia" w:ascii="仿宋" w:hAnsi="仿宋" w:eastAsia="仿宋"/>
                <w:color w:val="000000" w:themeColor="text1"/>
                <w:sz w:val="24"/>
                <w:highlight w:val="none"/>
                <w:lang w:val="en-US" w:eastAsia="zh-CN"/>
              </w:rPr>
              <w:t>负偏离达到15项，本项不得分。</w:t>
            </w:r>
          </w:p>
          <w:p>
            <w:pPr>
              <w:spacing w:line="360" w:lineRule="auto"/>
              <w:ind w:firstLine="480" w:firstLineChars="200"/>
              <w:rPr>
                <w:rFonts w:hint="default" w:ascii="仿宋" w:hAnsi="仿宋" w:eastAsia="仿宋"/>
                <w:color w:val="000000" w:themeColor="text1"/>
                <w:sz w:val="24"/>
                <w:highlight w:val="none"/>
                <w:lang w:val="en-US" w:eastAsia="zh-CN"/>
              </w:rPr>
            </w:pPr>
            <w:r>
              <w:rPr>
                <w:rFonts w:hint="eastAsia" w:ascii="仿宋" w:hAnsi="仿宋" w:eastAsia="仿宋"/>
                <w:color w:val="000000" w:themeColor="text1"/>
                <w:sz w:val="24"/>
                <w:highlight w:val="none"/>
              </w:rPr>
              <w:t>3、投标人所投产品技术参数与招标文件第五章</w:t>
            </w:r>
            <w:r>
              <w:rPr>
                <w:rFonts w:hint="eastAsia" w:ascii="仿宋" w:hAnsi="仿宋" w:eastAsia="仿宋" w:cs="仿宋"/>
                <w:color w:val="000000" w:themeColor="text1"/>
                <w:sz w:val="24"/>
                <w:highlight w:val="none"/>
              </w:rPr>
              <w:t>“项目采购需求”</w:t>
            </w:r>
            <w:r>
              <w:rPr>
                <w:rFonts w:hint="eastAsia" w:ascii="仿宋" w:hAnsi="仿宋" w:eastAsia="仿宋"/>
                <w:color w:val="000000" w:themeColor="text1"/>
                <w:sz w:val="24"/>
                <w:highlight w:val="none"/>
              </w:rPr>
              <w:t>中标注“●”号技术参数相比较，</w:t>
            </w:r>
            <w:r>
              <w:rPr>
                <w:rFonts w:hint="eastAsia" w:ascii="仿宋" w:hAnsi="仿宋" w:eastAsia="仿宋" w:cs="仿宋"/>
                <w:color w:val="000000" w:themeColor="text1"/>
                <w:sz w:val="24"/>
                <w:highlight w:val="none"/>
                <w:lang w:val="en-US" w:eastAsia="zh-CN"/>
              </w:rPr>
              <w:t>以21分为基数，</w:t>
            </w:r>
            <w:r>
              <w:rPr>
                <w:rFonts w:hint="eastAsia" w:ascii="仿宋" w:hAnsi="仿宋" w:eastAsia="仿宋"/>
                <w:color w:val="000000" w:themeColor="text1"/>
                <w:sz w:val="24"/>
                <w:highlight w:val="none"/>
              </w:rPr>
              <w:t>每有一项负偏离扣0.35分。</w:t>
            </w:r>
            <w:r>
              <w:rPr>
                <w:rFonts w:hint="eastAsia" w:ascii="仿宋" w:hAnsi="仿宋" w:eastAsia="仿宋"/>
                <w:color w:val="000000" w:themeColor="text1"/>
                <w:sz w:val="24"/>
                <w:highlight w:val="none"/>
                <w:lang w:val="en-US" w:eastAsia="zh-CN"/>
              </w:rPr>
              <w:t>负偏离达到30项，本项不得分。</w:t>
            </w:r>
          </w:p>
          <w:p>
            <w:pPr>
              <w:spacing w:line="360" w:lineRule="auto"/>
              <w:ind w:firstLine="422" w:firstLineChars="200"/>
              <w:rPr>
                <w:rFonts w:hint="eastAsia" w:ascii="仿宋" w:hAnsi="仿宋" w:eastAsia="仿宋"/>
                <w:color w:val="000000" w:themeColor="text1"/>
                <w:sz w:val="24"/>
                <w:highlight w:val="none"/>
              </w:rPr>
            </w:pPr>
            <w:r>
              <w:rPr>
                <w:rFonts w:ascii="仿宋" w:hAnsi="仿宋" w:eastAsia="仿宋" w:cs="仿宋"/>
                <w:b/>
                <w:bCs/>
                <w:color w:val="000000" w:themeColor="text1"/>
                <w:szCs w:val="21"/>
                <w:highlight w:val="none"/>
              </w:rPr>
              <w:t>注：投标人针对本项评分内容在</w:t>
            </w:r>
            <w:r>
              <w:rPr>
                <w:rFonts w:hint="eastAsia" w:ascii="仿宋" w:hAnsi="仿宋" w:eastAsia="仿宋" w:cs="仿宋"/>
                <w:b/>
                <w:bCs/>
                <w:color w:val="000000" w:themeColor="text1"/>
                <w:szCs w:val="21"/>
                <w:highlight w:val="none"/>
              </w:rPr>
              <w:t>投标</w:t>
            </w:r>
            <w:r>
              <w:rPr>
                <w:rFonts w:ascii="仿宋" w:hAnsi="仿宋" w:eastAsia="仿宋" w:cs="仿宋"/>
                <w:b/>
                <w:bCs/>
                <w:color w:val="000000" w:themeColor="text1"/>
                <w:szCs w:val="21"/>
                <w:highlight w:val="none"/>
              </w:rPr>
              <w:t>文件《技术</w:t>
            </w:r>
            <w:r>
              <w:rPr>
                <w:rFonts w:hint="eastAsia" w:ascii="仿宋" w:hAnsi="仿宋" w:eastAsia="仿宋" w:cs="仿宋"/>
                <w:b/>
                <w:bCs/>
                <w:color w:val="000000" w:themeColor="text1"/>
                <w:szCs w:val="21"/>
                <w:highlight w:val="none"/>
              </w:rPr>
              <w:t>要求</w:t>
            </w:r>
            <w:r>
              <w:rPr>
                <w:rFonts w:ascii="仿宋" w:hAnsi="仿宋" w:eastAsia="仿宋" w:cs="仿宋"/>
                <w:b/>
                <w:bCs/>
                <w:color w:val="000000" w:themeColor="text1"/>
                <w:szCs w:val="21"/>
                <w:highlight w:val="none"/>
              </w:rPr>
              <w:t>响应偏离表》中逐条列出响应及偏离情况，</w:t>
            </w:r>
            <w:bookmarkStart w:id="32" w:name="_Hlk163033316"/>
            <w:r>
              <w:rPr>
                <w:rFonts w:ascii="仿宋" w:hAnsi="仿宋" w:eastAsia="仿宋" w:cs="仿宋"/>
                <w:b/>
                <w:bCs/>
                <w:color w:val="000000" w:themeColor="text1"/>
                <w:szCs w:val="21"/>
                <w:highlight w:val="none"/>
              </w:rPr>
              <w:t>采购需求中</w:t>
            </w:r>
            <w:r>
              <w:rPr>
                <w:rFonts w:hint="eastAsia" w:ascii="仿宋" w:hAnsi="仿宋" w:eastAsia="仿宋" w:cs="仿宋"/>
                <w:b/>
                <w:bCs/>
                <w:color w:val="000000" w:themeColor="text1"/>
                <w:szCs w:val="21"/>
                <w:highlight w:val="none"/>
              </w:rPr>
              <w:t>标注</w:t>
            </w:r>
            <w:r>
              <w:rPr>
                <w:rFonts w:ascii="仿宋" w:hAnsi="仿宋" w:eastAsia="仿宋" w:cs="仿宋"/>
                <w:b/>
                <w:bCs/>
                <w:color w:val="000000" w:themeColor="text1"/>
                <w:szCs w:val="21"/>
                <w:highlight w:val="none"/>
              </w:rPr>
              <w:t>“★”</w:t>
            </w:r>
            <w:r>
              <w:rPr>
                <w:rFonts w:hint="eastAsia" w:ascii="仿宋" w:hAnsi="仿宋" w:eastAsia="仿宋" w:cs="仿宋"/>
                <w:b/>
                <w:bCs/>
                <w:color w:val="000000" w:themeColor="text1"/>
                <w:szCs w:val="21"/>
                <w:highlight w:val="none"/>
              </w:rPr>
              <w:t>号参数的部分，必须提供相关证明材料并加盖投标人公章或电子签章</w:t>
            </w:r>
            <w:bookmarkEnd w:id="32"/>
            <w:r>
              <w:rPr>
                <w:rFonts w:hint="eastAsia" w:ascii="仿宋" w:hAnsi="仿宋" w:eastAsia="仿宋" w:cs="仿宋"/>
                <w:b/>
                <w:bCs/>
                <w:color w:val="000000" w:themeColor="text1"/>
                <w:szCs w:val="21"/>
                <w:highlight w:val="none"/>
              </w:rPr>
              <w:t>；</w:t>
            </w:r>
            <w:r>
              <w:rPr>
                <w:rFonts w:ascii="仿宋" w:hAnsi="仿宋" w:eastAsia="仿宋" w:cs="仿宋"/>
                <w:b/>
                <w:bCs/>
                <w:color w:val="000000" w:themeColor="text1"/>
                <w:szCs w:val="21"/>
                <w:highlight w:val="none"/>
              </w:rPr>
              <w:t>标注“</w:t>
            </w:r>
            <w:r>
              <w:rPr>
                <w:rFonts w:hint="eastAsia" w:ascii="仿宋" w:hAnsi="仿宋" w:eastAsia="仿宋" w:cs="宋体"/>
                <w:b/>
                <w:bCs/>
                <w:color w:val="000000" w:themeColor="text1"/>
                <w:szCs w:val="21"/>
                <w:highlight w:val="none"/>
              </w:rPr>
              <w:t>●</w:t>
            </w:r>
            <w:r>
              <w:rPr>
                <w:rFonts w:ascii="仿宋" w:hAnsi="仿宋" w:eastAsia="仿宋" w:cs="仿宋"/>
                <w:b/>
                <w:bCs/>
                <w:color w:val="000000" w:themeColor="text1"/>
                <w:szCs w:val="21"/>
                <w:highlight w:val="none"/>
              </w:rPr>
              <w:t>”号</w:t>
            </w:r>
            <w:r>
              <w:rPr>
                <w:rFonts w:hint="eastAsia" w:ascii="仿宋" w:hAnsi="仿宋" w:eastAsia="仿宋" w:cs="仿宋"/>
                <w:b/>
                <w:bCs/>
                <w:color w:val="000000" w:themeColor="text1"/>
                <w:szCs w:val="21"/>
                <w:highlight w:val="none"/>
              </w:rPr>
              <w:t>参数的部分，按需提供证明材料。</w:t>
            </w:r>
            <w:r>
              <w:rPr>
                <w:rFonts w:ascii="仿宋" w:hAnsi="仿宋" w:eastAsia="仿宋" w:cs="仿宋"/>
                <w:b/>
                <w:bCs/>
                <w:color w:val="000000" w:themeColor="text1"/>
                <w:szCs w:val="21"/>
                <w:highlight w:val="none"/>
              </w:rPr>
              <w:t>未按要求提供证明材料按负偏离进行处理。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26" w:hRule="atLeast"/>
        </w:trPr>
        <w:tc>
          <w:tcPr>
            <w:tcW w:w="744" w:type="dxa"/>
            <w:vAlign w:val="center"/>
          </w:tcPr>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C</w:t>
            </w:r>
          </w:p>
        </w:tc>
        <w:tc>
          <w:tcPr>
            <w:tcW w:w="1238" w:type="dxa"/>
            <w:vAlign w:val="center"/>
          </w:tcPr>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商务</w:t>
            </w:r>
          </w:p>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部分</w:t>
            </w:r>
          </w:p>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bCs/>
                <w:color w:val="000000" w:themeColor="text1"/>
                <w:spacing w:val="-20"/>
                <w:sz w:val="24"/>
                <w:highlight w:val="none"/>
              </w:rPr>
              <w:t>(4分)</w:t>
            </w:r>
          </w:p>
        </w:tc>
        <w:tc>
          <w:tcPr>
            <w:tcW w:w="8080" w:type="dxa"/>
            <w:vAlign w:val="center"/>
          </w:tcPr>
          <w:p>
            <w:pPr>
              <w:spacing w:line="360" w:lineRule="auto"/>
              <w:ind w:firstLine="480"/>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投标人具有CMA资质实验室的得4分,投标人与具有CMA资质实验室签订合作协议的得2分，未提供的不得分。本项最高4分。</w:t>
            </w:r>
            <w:r>
              <w:rPr>
                <w:rFonts w:hint="eastAsia" w:ascii="仿宋" w:hAnsi="仿宋" w:eastAsia="仿宋" w:cs="仿宋"/>
                <w:b/>
                <w:bCs/>
                <w:color w:val="000000" w:themeColor="text1"/>
                <w:sz w:val="24"/>
                <w:highlight w:val="none"/>
              </w:rPr>
              <w:t>(提供实验室资质认定证书或合作协议扫描件并加盖投标人公章或电子签章，CMA资质类别需包括水和废水；空气和废气。)</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8" w:hRule="atLeast"/>
        </w:trPr>
        <w:tc>
          <w:tcPr>
            <w:tcW w:w="744" w:type="dxa"/>
            <w:vAlign w:val="center"/>
          </w:tcPr>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bCs/>
                <w:color w:val="000000" w:themeColor="text1"/>
                <w:sz w:val="24"/>
                <w:highlight w:val="none"/>
              </w:rPr>
              <w:t>D</w:t>
            </w:r>
          </w:p>
        </w:tc>
        <w:tc>
          <w:tcPr>
            <w:tcW w:w="1238" w:type="dxa"/>
            <w:vAlign w:val="center"/>
          </w:tcPr>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售后</w:t>
            </w:r>
          </w:p>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服务</w:t>
            </w:r>
          </w:p>
          <w:p>
            <w:pPr>
              <w:spacing w:line="360" w:lineRule="auto"/>
              <w:jc w:val="center"/>
              <w:rPr>
                <w:rFonts w:ascii="仿宋" w:hAnsi="仿宋" w:eastAsia="仿宋" w:cs="仿宋"/>
                <w:color w:val="000000" w:themeColor="text1"/>
                <w:sz w:val="24"/>
                <w:highlight w:val="none"/>
              </w:rPr>
            </w:pPr>
            <w:r>
              <w:rPr>
                <w:rFonts w:hint="eastAsia" w:ascii="仿宋" w:hAnsi="仿宋" w:eastAsia="仿宋" w:cs="仿宋"/>
                <w:color w:val="000000" w:themeColor="text1"/>
                <w:spacing w:val="-20"/>
                <w:sz w:val="24"/>
                <w:highlight w:val="none"/>
              </w:rPr>
              <w:t>（1分）</w:t>
            </w:r>
          </w:p>
        </w:tc>
        <w:tc>
          <w:tcPr>
            <w:tcW w:w="8080" w:type="dxa"/>
            <w:vAlign w:val="center"/>
          </w:tcPr>
          <w:p>
            <w:pPr>
              <w:spacing w:line="360" w:lineRule="auto"/>
              <w:ind w:firstLine="480" w:firstLineChars="200"/>
              <w:jc w:val="left"/>
              <w:rPr>
                <w:rFonts w:hint="eastAsia" w:ascii="仿宋" w:hAnsi="仿宋" w:eastAsia="仿宋" w:cs="仿宋"/>
                <w:bCs/>
                <w:color w:val="000000" w:themeColor="text1"/>
                <w:sz w:val="24"/>
                <w:highlight w:val="none"/>
                <w:lang w:eastAsia="zh-CN"/>
              </w:rPr>
            </w:pPr>
            <w:r>
              <w:rPr>
                <w:rFonts w:hint="eastAsia" w:ascii="仿宋" w:hAnsi="仿宋" w:eastAsia="仿宋" w:cs="仿宋"/>
                <w:bCs/>
                <w:color w:val="000000" w:themeColor="text1"/>
                <w:sz w:val="24"/>
                <w:highlight w:val="none"/>
              </w:rPr>
              <w:t>投标人承诺接到招标人报修通知后，半小时内有效响应，一般故障2小时内予以排除，特殊故障 24小时内予以排除的得1分；一小时内有效响应，一般故障4小时内予以排除，特殊故障 48小时内予以排除的得0.5分；其他不得分。本项目最高</w:t>
            </w:r>
            <w:r>
              <w:rPr>
                <w:rFonts w:hint="eastAsia" w:ascii="仿宋" w:hAnsi="仿宋" w:eastAsia="仿宋" w:cs="仿宋"/>
                <w:bCs/>
                <w:color w:val="000000" w:themeColor="text1"/>
                <w:sz w:val="24"/>
                <w:highlight w:val="none"/>
                <w:lang w:val="en-US" w:eastAsia="zh-CN"/>
              </w:rPr>
              <w:t>1</w:t>
            </w:r>
            <w:r>
              <w:rPr>
                <w:rFonts w:hint="eastAsia" w:ascii="仿宋" w:hAnsi="仿宋" w:eastAsia="仿宋" w:cs="仿宋"/>
                <w:bCs/>
                <w:color w:val="000000" w:themeColor="text1"/>
                <w:sz w:val="24"/>
                <w:highlight w:val="none"/>
              </w:rPr>
              <w:t>分。</w:t>
            </w:r>
            <w:r>
              <w:rPr>
                <w:rFonts w:hint="eastAsia" w:ascii="仿宋" w:hAnsi="仿宋" w:eastAsia="仿宋" w:cs="仿宋"/>
                <w:bCs/>
                <w:color w:val="000000" w:themeColor="text1"/>
                <w:sz w:val="24"/>
                <w:highlight w:val="none"/>
                <w:lang w:eastAsia="zh-CN"/>
              </w:rPr>
              <w:t>（</w:t>
            </w:r>
            <w:r>
              <w:rPr>
                <w:rFonts w:hint="eastAsia" w:ascii="仿宋" w:hAnsi="仿宋" w:eastAsia="仿宋" w:cs="仿宋"/>
                <w:bCs/>
                <w:color w:val="000000" w:themeColor="text1"/>
                <w:sz w:val="24"/>
                <w:highlight w:val="none"/>
                <w:lang w:val="en-US" w:eastAsia="zh-CN"/>
              </w:rPr>
              <w:t>投标人提供承诺书，格式自拟</w:t>
            </w:r>
            <w:r>
              <w:rPr>
                <w:rFonts w:hint="eastAsia" w:ascii="仿宋" w:hAnsi="仿宋" w:eastAsia="仿宋" w:cs="仿宋"/>
                <w:bCs/>
                <w:color w:val="000000" w:themeColor="text1"/>
                <w:sz w:val="24"/>
                <w:highlight w:val="none"/>
                <w:lang w:eastAsia="zh-CN"/>
              </w:rPr>
              <w:t>）</w:t>
            </w:r>
          </w:p>
        </w:tc>
      </w:tr>
    </w:tbl>
    <w:p>
      <w:pPr>
        <w:spacing w:line="360" w:lineRule="auto"/>
        <w:rPr>
          <w:rFonts w:ascii="仿宋" w:eastAsia="仿宋" w:cs="仿宋"/>
          <w:b/>
          <w:bCs/>
          <w:color w:val="000000" w:themeColor="text1"/>
          <w:sz w:val="24"/>
          <w:highlight w:val="none"/>
        </w:rPr>
      </w:pPr>
      <w:r>
        <w:rPr>
          <w:rFonts w:hint="eastAsia" w:ascii="仿宋" w:eastAsia="仿宋" w:cs="仿宋"/>
          <w:b/>
          <w:bCs/>
          <w:color w:val="000000" w:themeColor="text1"/>
          <w:sz w:val="24"/>
          <w:highlight w:val="none"/>
        </w:rPr>
        <w:t>注：1、投标人必须提供与以上评分相关的证明材料原件扫描件上传至指定位置，不提供不得分。如未按要求提供，则与之相关的评分项不予计分。</w:t>
      </w:r>
    </w:p>
    <w:p>
      <w:pPr>
        <w:spacing w:line="360" w:lineRule="auto"/>
        <w:ind w:firstLine="482"/>
        <w:rPr>
          <w:rFonts w:ascii="仿宋" w:eastAsia="仿宋" w:cs="仿宋"/>
          <w:b/>
          <w:bCs/>
          <w:color w:val="000000" w:themeColor="text1"/>
          <w:sz w:val="24"/>
          <w:highlight w:val="none"/>
        </w:rPr>
      </w:pPr>
      <w:r>
        <w:rPr>
          <w:rFonts w:hint="eastAsia" w:ascii="仿宋" w:eastAsia="仿宋" w:cs="仿宋"/>
          <w:b/>
          <w:bCs/>
          <w:color w:val="000000" w:themeColor="text1"/>
          <w:sz w:val="24"/>
          <w:highlight w:val="none"/>
        </w:rPr>
        <w:t>2、投标人提供的证明材料扫描件必须清晰有效，如因扫描件模糊不清评标委员会无法辨认导致不得分的，其责任由投标人自行承担。</w:t>
      </w:r>
    </w:p>
    <w:p>
      <w:pPr>
        <w:spacing w:line="520" w:lineRule="exact"/>
        <w:ind w:firstLine="3054"/>
        <w:rPr>
          <w:rFonts w:ascii="仿宋" w:hAnsi="仿宋" w:eastAsia="仿宋"/>
          <w:b/>
          <w:color w:val="000000" w:themeColor="text1"/>
          <w:sz w:val="36"/>
          <w:szCs w:val="36"/>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spacing w:line="520" w:lineRule="exact"/>
        <w:ind w:firstLine="3054"/>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第四章合同格式及条款</w:t>
      </w:r>
    </w:p>
    <w:p>
      <w:pPr>
        <w:spacing w:line="42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注:</w:t>
      </w:r>
    </w:p>
    <w:p>
      <w:pPr>
        <w:spacing w:line="420" w:lineRule="exact"/>
        <w:ind w:firstLine="551"/>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1、</w:t>
      </w:r>
      <w:r>
        <w:rPr>
          <w:rFonts w:hint="eastAsia" w:ascii="仿宋" w:hAnsi="仿宋" w:eastAsia="仿宋"/>
          <w:color w:val="000000" w:themeColor="text1"/>
          <w:sz w:val="24"/>
          <w:highlight w:val="none"/>
        </w:rPr>
        <w:t>以下为招标人提出中标后签订本项目合同的条款，中标人必须实质性响应，中标人不得提出实质性的修改，关于专用条款将由招标人与中标人结合本项目具体情况协商后签订。</w:t>
      </w:r>
    </w:p>
    <w:p>
      <w:pPr>
        <w:spacing w:line="520" w:lineRule="exact"/>
        <w:ind w:firstLine="562"/>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2、甲、乙双方通过苏采云政府采购一体化平台签订电子合同，并加盖电子签章，网址：</w:t>
      </w:r>
      <w:r>
        <w:rPr>
          <w:color w:val="000000" w:themeColor="text1"/>
          <w:highlight w:val="none"/>
        </w:rPr>
        <w:fldChar w:fldCharType="begin"/>
      </w:r>
      <w:r>
        <w:rPr>
          <w:color w:val="000000" w:themeColor="text1"/>
          <w:highlight w:val="none"/>
        </w:rPr>
        <w:instrText xml:space="preserve"> HYPERLINK "http://jszfcg.jscz.gov.cn/jszc/login。" </w:instrText>
      </w:r>
      <w:r>
        <w:rPr>
          <w:color w:val="000000" w:themeColor="text1"/>
          <w:highlight w:val="none"/>
        </w:rPr>
        <w:fldChar w:fldCharType="separate"/>
      </w:r>
      <w:r>
        <w:rPr>
          <w:rStyle w:val="58"/>
          <w:rFonts w:hint="eastAsia" w:ascii="仿宋" w:hAnsi="仿宋" w:eastAsia="仿宋"/>
          <w:color w:val="000000" w:themeColor="text1"/>
          <w:sz w:val="24"/>
          <w:highlight w:val="none"/>
        </w:rPr>
        <w:t>http://jszfcg.jscz.gov.cn/jszc/login。</w:t>
      </w:r>
      <w:r>
        <w:rPr>
          <w:rStyle w:val="58"/>
          <w:rFonts w:hint="eastAsia" w:ascii="仿宋" w:hAnsi="仿宋" w:eastAsia="仿宋"/>
          <w:color w:val="000000" w:themeColor="text1"/>
          <w:sz w:val="24"/>
          <w:highlight w:val="none"/>
        </w:rPr>
        <w:fldChar w:fldCharType="end"/>
      </w:r>
    </w:p>
    <w:p>
      <w:pPr>
        <w:spacing w:line="520" w:lineRule="exact"/>
        <w:jc w:val="left"/>
        <w:rPr>
          <w:rFonts w:ascii="仿宋" w:hAnsi="仿宋" w:eastAsia="仿宋"/>
          <w:color w:val="000000" w:themeColor="text1"/>
          <w:sz w:val="28"/>
          <w:highlight w:val="none"/>
        </w:rPr>
      </w:pPr>
    </w:p>
    <w:p>
      <w:pPr>
        <w:spacing w:line="520" w:lineRule="exact"/>
        <w:ind w:firstLine="539"/>
        <w:jc w:val="center"/>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合同格式</w:t>
      </w:r>
    </w:p>
    <w:p>
      <w:pPr>
        <w:pStyle w:val="29"/>
        <w:spacing w:line="600" w:lineRule="exact"/>
        <w:rPr>
          <w:rFonts w:ascii="仿宋" w:hAnsi="仿宋" w:eastAsia="仿宋"/>
          <w:color w:val="000000" w:themeColor="text1"/>
          <w:sz w:val="28"/>
          <w:szCs w:val="28"/>
          <w:highlight w:val="none"/>
        </w:rPr>
      </w:pPr>
    </w:p>
    <w:p>
      <w:pPr>
        <w:spacing w:line="360" w:lineRule="auto"/>
        <w:jc w:val="left"/>
        <w:rPr>
          <w:rFonts w:ascii="仿宋" w:hAnsi="仿宋" w:eastAsia="仿宋" w:cs="Arial Unicode MS"/>
          <w:color w:val="000000" w:themeColor="text1"/>
          <w:sz w:val="24"/>
          <w:highlight w:val="none"/>
          <w:u w:val="single"/>
        </w:rPr>
      </w:pPr>
      <w:r>
        <w:rPr>
          <w:rFonts w:hint="eastAsia" w:ascii="仿宋" w:hAnsi="仿宋" w:eastAsia="仿宋" w:cs="Arial Unicode MS"/>
          <w:color w:val="000000" w:themeColor="text1"/>
          <w:sz w:val="24"/>
          <w:highlight w:val="none"/>
        </w:rPr>
        <w:t>甲方:</w:t>
      </w:r>
    </w:p>
    <w:p>
      <w:pPr>
        <w:pStyle w:val="29"/>
        <w:spacing w:line="360" w:lineRule="auto"/>
        <w:rPr>
          <w:rFonts w:ascii="仿宋" w:hAnsi="仿宋" w:eastAsia="仿宋"/>
          <w:color w:val="000000" w:themeColor="text1"/>
          <w:sz w:val="24"/>
          <w:highlight w:val="none"/>
          <w:u w:val="single"/>
        </w:rPr>
      </w:pPr>
      <w:r>
        <w:rPr>
          <w:rFonts w:hint="eastAsia" w:ascii="仿宋" w:hAnsi="仿宋" w:eastAsia="仿宋" w:cs="Arial Unicode MS"/>
          <w:color w:val="000000" w:themeColor="text1"/>
          <w:sz w:val="24"/>
          <w:highlight w:val="none"/>
        </w:rPr>
        <w:t>乙方:</w:t>
      </w:r>
    </w:p>
    <w:p>
      <w:pPr>
        <w:pStyle w:val="29"/>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甲、乙双方根据项目编号</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的</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采购项目公开招标采购结果及招标文件的要求,经协商一致,达成如下购销合同：</w:t>
      </w:r>
    </w:p>
    <w:p>
      <w:pPr>
        <w:pStyle w:val="29"/>
        <w:tabs>
          <w:tab w:val="left" w:pos="3293"/>
        </w:tabs>
        <w:spacing w:line="360" w:lineRule="auto"/>
        <w:ind w:left="-359" w:firstLine="825"/>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一、货物及数量</w:t>
      </w:r>
      <w:r>
        <w:rPr>
          <w:rFonts w:hint="eastAsia" w:ascii="仿宋" w:hAnsi="仿宋" w:eastAsia="仿宋"/>
          <w:b/>
          <w:color w:val="000000" w:themeColor="text1"/>
          <w:sz w:val="24"/>
          <w:highlight w:val="none"/>
        </w:rPr>
        <w:tab/>
      </w:r>
    </w:p>
    <w:tbl>
      <w:tblPr>
        <w:tblStyle w:val="45"/>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275"/>
        <w:gridCol w:w="1274"/>
        <w:gridCol w:w="709"/>
        <w:gridCol w:w="709"/>
        <w:gridCol w:w="709"/>
        <w:gridCol w:w="708"/>
        <w:gridCol w:w="851"/>
        <w:gridCol w:w="709"/>
        <w:gridCol w:w="992"/>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9" w:type="dxa"/>
            <w:vAlign w:val="center"/>
          </w:tcPr>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序号</w:t>
            </w:r>
          </w:p>
        </w:tc>
        <w:tc>
          <w:tcPr>
            <w:tcW w:w="1275" w:type="dxa"/>
            <w:vAlign w:val="center"/>
          </w:tcPr>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货物名称</w:t>
            </w:r>
          </w:p>
        </w:tc>
        <w:tc>
          <w:tcPr>
            <w:tcW w:w="1274"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品牌型号</w:t>
            </w:r>
          </w:p>
        </w:tc>
        <w:tc>
          <w:tcPr>
            <w:tcW w:w="709" w:type="dxa"/>
            <w:vAlign w:val="center"/>
          </w:tcPr>
          <w:p>
            <w:pPr>
              <w:pStyle w:val="29"/>
              <w:spacing w:line="360" w:lineRule="auto"/>
              <w:ind w:left="120" w:hanging="120"/>
              <w:rPr>
                <w:rFonts w:ascii="仿宋" w:hAnsi="仿宋" w:eastAsia="仿宋"/>
                <w:color w:val="000000" w:themeColor="text1"/>
                <w:sz w:val="24"/>
                <w:highlight w:val="none"/>
              </w:rPr>
            </w:pPr>
            <w:r>
              <w:rPr>
                <w:rFonts w:hint="eastAsia" w:ascii="仿宋" w:hAnsi="仿宋" w:eastAsia="仿宋"/>
                <w:color w:val="000000" w:themeColor="text1"/>
                <w:sz w:val="24"/>
                <w:highlight w:val="none"/>
              </w:rPr>
              <w:t>数量</w:t>
            </w:r>
          </w:p>
        </w:tc>
        <w:tc>
          <w:tcPr>
            <w:tcW w:w="709" w:type="dxa"/>
            <w:vAlign w:val="center"/>
          </w:tcPr>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单位</w:t>
            </w:r>
          </w:p>
        </w:tc>
        <w:tc>
          <w:tcPr>
            <w:tcW w:w="709"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单价</w:t>
            </w:r>
          </w:p>
        </w:tc>
        <w:tc>
          <w:tcPr>
            <w:tcW w:w="708"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总价</w:t>
            </w:r>
          </w:p>
        </w:tc>
        <w:tc>
          <w:tcPr>
            <w:tcW w:w="851"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生产</w:t>
            </w:r>
          </w:p>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厂商</w:t>
            </w:r>
          </w:p>
        </w:tc>
        <w:tc>
          <w:tcPr>
            <w:tcW w:w="709"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产地</w:t>
            </w:r>
          </w:p>
        </w:tc>
        <w:tc>
          <w:tcPr>
            <w:tcW w:w="992"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质保期</w:t>
            </w:r>
          </w:p>
        </w:tc>
        <w:tc>
          <w:tcPr>
            <w:tcW w:w="850" w:type="dxa"/>
            <w:vAlign w:val="center"/>
          </w:tcPr>
          <w:p>
            <w:pPr>
              <w:widowControl/>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9"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275" w:type="dxa"/>
            <w:vAlign w:val="center"/>
          </w:tcPr>
          <w:p>
            <w:pPr>
              <w:pStyle w:val="29"/>
              <w:spacing w:line="360" w:lineRule="auto"/>
              <w:jc w:val="center"/>
              <w:rPr>
                <w:rFonts w:ascii="仿宋" w:hAnsi="仿宋" w:eastAsia="仿宋"/>
                <w:color w:val="000000" w:themeColor="text1"/>
                <w:sz w:val="24"/>
                <w:highlight w:val="none"/>
              </w:rPr>
            </w:pPr>
          </w:p>
        </w:tc>
        <w:tc>
          <w:tcPr>
            <w:tcW w:w="1274"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8" w:type="dxa"/>
            <w:vAlign w:val="center"/>
          </w:tcPr>
          <w:p>
            <w:pPr>
              <w:pStyle w:val="29"/>
              <w:spacing w:line="360" w:lineRule="auto"/>
              <w:jc w:val="center"/>
              <w:rPr>
                <w:rFonts w:ascii="仿宋" w:hAnsi="仿宋" w:eastAsia="仿宋"/>
                <w:color w:val="000000" w:themeColor="text1"/>
                <w:sz w:val="24"/>
                <w:highlight w:val="none"/>
              </w:rPr>
            </w:pPr>
          </w:p>
        </w:tc>
        <w:tc>
          <w:tcPr>
            <w:tcW w:w="851"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992" w:type="dxa"/>
            <w:vAlign w:val="center"/>
          </w:tcPr>
          <w:p>
            <w:pPr>
              <w:pStyle w:val="29"/>
              <w:spacing w:line="360" w:lineRule="auto"/>
              <w:jc w:val="center"/>
              <w:rPr>
                <w:rFonts w:ascii="仿宋" w:hAnsi="仿宋" w:eastAsia="仿宋"/>
                <w:color w:val="000000" w:themeColor="text1"/>
                <w:sz w:val="24"/>
                <w:highlight w:val="none"/>
              </w:rPr>
            </w:pPr>
          </w:p>
        </w:tc>
        <w:tc>
          <w:tcPr>
            <w:tcW w:w="850" w:type="dxa"/>
          </w:tcPr>
          <w:p>
            <w:pPr>
              <w:widowControl/>
              <w:spacing w:line="360" w:lineRule="auto"/>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9" w:type="dxa"/>
            <w:vAlign w:val="center"/>
          </w:tcPr>
          <w:p>
            <w:pPr>
              <w:pStyle w:val="29"/>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1275" w:type="dxa"/>
            <w:vAlign w:val="center"/>
          </w:tcPr>
          <w:p>
            <w:pPr>
              <w:pStyle w:val="29"/>
              <w:spacing w:line="360" w:lineRule="auto"/>
              <w:jc w:val="center"/>
              <w:rPr>
                <w:rFonts w:ascii="仿宋" w:hAnsi="仿宋" w:eastAsia="仿宋"/>
                <w:color w:val="000000" w:themeColor="text1"/>
                <w:sz w:val="24"/>
                <w:highlight w:val="none"/>
              </w:rPr>
            </w:pPr>
          </w:p>
        </w:tc>
        <w:tc>
          <w:tcPr>
            <w:tcW w:w="1274"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8" w:type="dxa"/>
            <w:vAlign w:val="center"/>
          </w:tcPr>
          <w:p>
            <w:pPr>
              <w:pStyle w:val="29"/>
              <w:spacing w:line="360" w:lineRule="auto"/>
              <w:jc w:val="center"/>
              <w:rPr>
                <w:rFonts w:ascii="仿宋" w:hAnsi="仿宋" w:eastAsia="仿宋"/>
                <w:color w:val="000000" w:themeColor="text1"/>
                <w:sz w:val="24"/>
                <w:highlight w:val="none"/>
              </w:rPr>
            </w:pPr>
          </w:p>
        </w:tc>
        <w:tc>
          <w:tcPr>
            <w:tcW w:w="851"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992" w:type="dxa"/>
            <w:vAlign w:val="center"/>
          </w:tcPr>
          <w:p>
            <w:pPr>
              <w:pStyle w:val="29"/>
              <w:spacing w:line="360" w:lineRule="auto"/>
              <w:jc w:val="center"/>
              <w:rPr>
                <w:rFonts w:ascii="仿宋" w:hAnsi="仿宋" w:eastAsia="仿宋"/>
                <w:color w:val="000000" w:themeColor="text1"/>
                <w:sz w:val="24"/>
                <w:highlight w:val="none"/>
              </w:rPr>
            </w:pPr>
          </w:p>
        </w:tc>
        <w:tc>
          <w:tcPr>
            <w:tcW w:w="850" w:type="dxa"/>
          </w:tcPr>
          <w:p>
            <w:pPr>
              <w:widowControl/>
              <w:spacing w:line="360" w:lineRule="auto"/>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1275" w:type="dxa"/>
            <w:vAlign w:val="center"/>
          </w:tcPr>
          <w:p>
            <w:pPr>
              <w:pStyle w:val="29"/>
              <w:spacing w:line="360" w:lineRule="auto"/>
              <w:jc w:val="center"/>
              <w:rPr>
                <w:rFonts w:ascii="仿宋" w:hAnsi="仿宋" w:eastAsia="仿宋"/>
                <w:color w:val="000000" w:themeColor="text1"/>
                <w:sz w:val="24"/>
                <w:highlight w:val="none"/>
              </w:rPr>
            </w:pPr>
          </w:p>
        </w:tc>
        <w:tc>
          <w:tcPr>
            <w:tcW w:w="1274"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8" w:type="dxa"/>
            <w:vAlign w:val="center"/>
          </w:tcPr>
          <w:p>
            <w:pPr>
              <w:pStyle w:val="29"/>
              <w:spacing w:line="360" w:lineRule="auto"/>
              <w:jc w:val="center"/>
              <w:rPr>
                <w:rFonts w:ascii="仿宋" w:hAnsi="仿宋" w:eastAsia="仿宋"/>
                <w:color w:val="000000" w:themeColor="text1"/>
                <w:sz w:val="24"/>
                <w:highlight w:val="none"/>
              </w:rPr>
            </w:pPr>
          </w:p>
        </w:tc>
        <w:tc>
          <w:tcPr>
            <w:tcW w:w="851"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992" w:type="dxa"/>
            <w:vAlign w:val="center"/>
          </w:tcPr>
          <w:p>
            <w:pPr>
              <w:pStyle w:val="29"/>
              <w:spacing w:line="360" w:lineRule="auto"/>
              <w:jc w:val="center"/>
              <w:rPr>
                <w:rFonts w:ascii="仿宋" w:hAnsi="仿宋" w:eastAsia="仿宋"/>
                <w:color w:val="000000" w:themeColor="text1"/>
                <w:sz w:val="24"/>
                <w:highlight w:val="none"/>
              </w:rPr>
            </w:pPr>
          </w:p>
        </w:tc>
        <w:tc>
          <w:tcPr>
            <w:tcW w:w="850" w:type="dxa"/>
          </w:tcPr>
          <w:p>
            <w:pPr>
              <w:widowControl/>
              <w:spacing w:line="360" w:lineRule="auto"/>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1275" w:type="dxa"/>
            <w:vAlign w:val="center"/>
          </w:tcPr>
          <w:p>
            <w:pPr>
              <w:pStyle w:val="29"/>
              <w:spacing w:line="360" w:lineRule="auto"/>
              <w:jc w:val="center"/>
              <w:rPr>
                <w:rFonts w:ascii="仿宋" w:hAnsi="仿宋" w:eastAsia="仿宋"/>
                <w:color w:val="000000" w:themeColor="text1"/>
                <w:sz w:val="24"/>
                <w:highlight w:val="none"/>
              </w:rPr>
            </w:pPr>
          </w:p>
        </w:tc>
        <w:tc>
          <w:tcPr>
            <w:tcW w:w="1274"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8" w:type="dxa"/>
            <w:vAlign w:val="center"/>
          </w:tcPr>
          <w:p>
            <w:pPr>
              <w:pStyle w:val="29"/>
              <w:spacing w:line="360" w:lineRule="auto"/>
              <w:jc w:val="center"/>
              <w:rPr>
                <w:rFonts w:ascii="仿宋" w:hAnsi="仿宋" w:eastAsia="仿宋"/>
                <w:color w:val="000000" w:themeColor="text1"/>
                <w:sz w:val="24"/>
                <w:highlight w:val="none"/>
              </w:rPr>
            </w:pPr>
          </w:p>
        </w:tc>
        <w:tc>
          <w:tcPr>
            <w:tcW w:w="851"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992" w:type="dxa"/>
            <w:vAlign w:val="center"/>
          </w:tcPr>
          <w:p>
            <w:pPr>
              <w:pStyle w:val="29"/>
              <w:spacing w:line="360" w:lineRule="auto"/>
              <w:jc w:val="center"/>
              <w:rPr>
                <w:rFonts w:ascii="仿宋" w:hAnsi="仿宋" w:eastAsia="仿宋"/>
                <w:color w:val="000000" w:themeColor="text1"/>
                <w:sz w:val="24"/>
                <w:highlight w:val="none"/>
              </w:rPr>
            </w:pPr>
          </w:p>
        </w:tc>
        <w:tc>
          <w:tcPr>
            <w:tcW w:w="850" w:type="dxa"/>
          </w:tcPr>
          <w:p>
            <w:pPr>
              <w:widowControl/>
              <w:spacing w:line="360" w:lineRule="auto"/>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1275" w:type="dxa"/>
            <w:vAlign w:val="center"/>
          </w:tcPr>
          <w:p>
            <w:pPr>
              <w:pStyle w:val="29"/>
              <w:spacing w:line="360" w:lineRule="auto"/>
              <w:jc w:val="center"/>
              <w:rPr>
                <w:rFonts w:ascii="仿宋" w:hAnsi="仿宋" w:eastAsia="仿宋"/>
                <w:color w:val="000000" w:themeColor="text1"/>
                <w:sz w:val="24"/>
                <w:highlight w:val="none"/>
              </w:rPr>
            </w:pPr>
          </w:p>
        </w:tc>
        <w:tc>
          <w:tcPr>
            <w:tcW w:w="1274"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8" w:type="dxa"/>
            <w:vAlign w:val="center"/>
          </w:tcPr>
          <w:p>
            <w:pPr>
              <w:pStyle w:val="29"/>
              <w:spacing w:line="360" w:lineRule="auto"/>
              <w:jc w:val="center"/>
              <w:rPr>
                <w:rFonts w:ascii="仿宋" w:hAnsi="仿宋" w:eastAsia="仿宋"/>
                <w:color w:val="000000" w:themeColor="text1"/>
                <w:sz w:val="24"/>
                <w:highlight w:val="none"/>
              </w:rPr>
            </w:pPr>
          </w:p>
        </w:tc>
        <w:tc>
          <w:tcPr>
            <w:tcW w:w="851"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992" w:type="dxa"/>
            <w:vAlign w:val="center"/>
          </w:tcPr>
          <w:p>
            <w:pPr>
              <w:pStyle w:val="29"/>
              <w:spacing w:line="360" w:lineRule="auto"/>
              <w:jc w:val="center"/>
              <w:rPr>
                <w:rFonts w:ascii="仿宋" w:hAnsi="仿宋" w:eastAsia="仿宋"/>
                <w:color w:val="000000" w:themeColor="text1"/>
                <w:sz w:val="24"/>
                <w:highlight w:val="none"/>
              </w:rPr>
            </w:pPr>
          </w:p>
        </w:tc>
        <w:tc>
          <w:tcPr>
            <w:tcW w:w="850" w:type="dxa"/>
          </w:tcPr>
          <w:p>
            <w:pPr>
              <w:widowControl/>
              <w:spacing w:line="360" w:lineRule="auto"/>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1275" w:type="dxa"/>
            <w:vAlign w:val="center"/>
          </w:tcPr>
          <w:p>
            <w:pPr>
              <w:pStyle w:val="29"/>
              <w:spacing w:line="360" w:lineRule="auto"/>
              <w:jc w:val="center"/>
              <w:rPr>
                <w:rFonts w:ascii="仿宋" w:hAnsi="仿宋" w:eastAsia="仿宋"/>
                <w:color w:val="000000" w:themeColor="text1"/>
                <w:sz w:val="24"/>
                <w:highlight w:val="none"/>
              </w:rPr>
            </w:pPr>
          </w:p>
        </w:tc>
        <w:tc>
          <w:tcPr>
            <w:tcW w:w="1274"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708" w:type="dxa"/>
            <w:vAlign w:val="center"/>
          </w:tcPr>
          <w:p>
            <w:pPr>
              <w:pStyle w:val="29"/>
              <w:spacing w:line="360" w:lineRule="auto"/>
              <w:jc w:val="center"/>
              <w:rPr>
                <w:rFonts w:ascii="仿宋" w:hAnsi="仿宋" w:eastAsia="仿宋"/>
                <w:color w:val="000000" w:themeColor="text1"/>
                <w:sz w:val="24"/>
                <w:highlight w:val="none"/>
              </w:rPr>
            </w:pPr>
          </w:p>
        </w:tc>
        <w:tc>
          <w:tcPr>
            <w:tcW w:w="851" w:type="dxa"/>
            <w:vAlign w:val="center"/>
          </w:tcPr>
          <w:p>
            <w:pPr>
              <w:pStyle w:val="29"/>
              <w:spacing w:line="360" w:lineRule="auto"/>
              <w:jc w:val="center"/>
              <w:rPr>
                <w:rFonts w:ascii="仿宋" w:hAnsi="仿宋" w:eastAsia="仿宋"/>
                <w:color w:val="000000" w:themeColor="text1"/>
                <w:sz w:val="24"/>
                <w:highlight w:val="none"/>
              </w:rPr>
            </w:pPr>
          </w:p>
        </w:tc>
        <w:tc>
          <w:tcPr>
            <w:tcW w:w="709" w:type="dxa"/>
            <w:vAlign w:val="center"/>
          </w:tcPr>
          <w:p>
            <w:pPr>
              <w:pStyle w:val="29"/>
              <w:spacing w:line="360" w:lineRule="auto"/>
              <w:jc w:val="center"/>
              <w:rPr>
                <w:rFonts w:ascii="仿宋" w:hAnsi="仿宋" w:eastAsia="仿宋"/>
                <w:color w:val="000000" w:themeColor="text1"/>
                <w:sz w:val="24"/>
                <w:highlight w:val="none"/>
              </w:rPr>
            </w:pPr>
          </w:p>
        </w:tc>
        <w:tc>
          <w:tcPr>
            <w:tcW w:w="992" w:type="dxa"/>
            <w:vAlign w:val="center"/>
          </w:tcPr>
          <w:p>
            <w:pPr>
              <w:pStyle w:val="29"/>
              <w:spacing w:line="360" w:lineRule="auto"/>
              <w:jc w:val="center"/>
              <w:rPr>
                <w:rFonts w:ascii="仿宋" w:hAnsi="仿宋" w:eastAsia="仿宋"/>
                <w:color w:val="000000" w:themeColor="text1"/>
                <w:sz w:val="24"/>
                <w:highlight w:val="none"/>
              </w:rPr>
            </w:pPr>
          </w:p>
        </w:tc>
        <w:tc>
          <w:tcPr>
            <w:tcW w:w="850" w:type="dxa"/>
          </w:tcPr>
          <w:p>
            <w:pPr>
              <w:widowControl/>
              <w:spacing w:line="360" w:lineRule="auto"/>
              <w:jc w:val="left"/>
              <w:rPr>
                <w:rFonts w:ascii="仿宋" w:hAnsi="仿宋" w:eastAsia="仿宋"/>
                <w:color w:val="000000" w:themeColor="text1"/>
                <w:sz w:val="24"/>
                <w:highlight w:val="none"/>
              </w:rPr>
            </w:pPr>
          </w:p>
        </w:tc>
      </w:tr>
    </w:tbl>
    <w:p>
      <w:pPr>
        <w:pStyle w:val="29"/>
        <w:spacing w:line="360" w:lineRule="auto"/>
        <w:ind w:firstLine="480"/>
        <w:rPr>
          <w:rFonts w:ascii="仿宋" w:hAnsi="仿宋" w:eastAsia="仿宋"/>
          <w:b/>
          <w:color w:val="000000" w:themeColor="text1"/>
          <w:sz w:val="24"/>
          <w:highlight w:val="none"/>
        </w:rPr>
      </w:pPr>
    </w:p>
    <w:p>
      <w:pPr>
        <w:pStyle w:val="29"/>
        <w:spacing w:line="360" w:lineRule="auto"/>
        <w:ind w:firstLine="480"/>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二、合同金额</w:t>
      </w:r>
    </w:p>
    <w:p>
      <w:pPr>
        <w:pStyle w:val="29"/>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本合同的总金额(大写)为人民币___________元。</w:t>
      </w:r>
    </w:p>
    <w:p>
      <w:pPr>
        <w:pStyle w:val="29"/>
        <w:spacing w:line="360" w:lineRule="auto"/>
        <w:ind w:firstLine="480"/>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三、</w:t>
      </w:r>
      <w:r>
        <w:rPr>
          <w:rFonts w:hint="eastAsia" w:ascii="仿宋" w:hAnsi="仿宋" w:eastAsia="仿宋"/>
          <w:b/>
          <w:color w:val="000000" w:themeColor="text1"/>
          <w:sz w:val="24"/>
          <w:highlight w:val="none"/>
        </w:rPr>
        <w:t>供货时间和地点</w:t>
      </w:r>
    </w:p>
    <w:p>
      <w:pPr>
        <w:pStyle w:val="29"/>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1.交货时间:</w:t>
      </w:r>
      <w:r>
        <w:rPr>
          <w:rFonts w:hint="eastAsia" w:ascii="仿宋" w:hAnsi="仿宋" w:eastAsia="仿宋"/>
          <w:bCs/>
          <w:color w:val="000000" w:themeColor="text1"/>
          <w:sz w:val="24"/>
          <w:highlight w:val="none"/>
        </w:rPr>
        <w:t>签订合同后</w:t>
      </w:r>
      <w:r>
        <w:rPr>
          <w:rFonts w:hint="eastAsia" w:ascii="仿宋" w:hAnsi="仿宋" w:eastAsia="仿宋"/>
          <w:bCs/>
          <w:color w:val="000000" w:themeColor="text1"/>
          <w:sz w:val="24"/>
          <w:highlight w:val="none"/>
          <w:u w:val="single"/>
        </w:rPr>
        <w:t xml:space="preserve"> 30 </w:t>
      </w:r>
      <w:r>
        <w:rPr>
          <w:rFonts w:hint="eastAsia" w:ascii="仿宋" w:hAnsi="仿宋" w:eastAsia="仿宋"/>
          <w:bCs/>
          <w:color w:val="000000" w:themeColor="text1"/>
          <w:sz w:val="24"/>
          <w:highlight w:val="none"/>
        </w:rPr>
        <w:t>日内完成供货。</w:t>
      </w:r>
    </w:p>
    <w:p>
      <w:pPr>
        <w:pStyle w:val="29"/>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2.交货地点: 淮阴区城建大厦18楼。</w:t>
      </w:r>
    </w:p>
    <w:p>
      <w:pPr>
        <w:pStyle w:val="29"/>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3.标的物的所有权自标的物交付时转移。</w:t>
      </w:r>
    </w:p>
    <w:p>
      <w:pPr>
        <w:pStyle w:val="29"/>
        <w:spacing w:line="360" w:lineRule="auto"/>
        <w:ind w:firstLine="480"/>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四、付款</w:t>
      </w:r>
    </w:p>
    <w:p>
      <w:pPr>
        <w:spacing w:line="360" w:lineRule="auto"/>
        <w:ind w:firstLine="482"/>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合同签订后，支付合同总价的40%作为预付款，供货结束验收合格后付至合同总价的100%（不计利息）。</w:t>
      </w:r>
    </w:p>
    <w:p>
      <w:pPr>
        <w:spacing w:line="360" w:lineRule="auto"/>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注：以上付款均不计利息，</w:t>
      </w:r>
      <w:r>
        <w:rPr>
          <w:rFonts w:hint="eastAsia" w:ascii="仿宋" w:hAnsi="仿宋" w:eastAsia="仿宋" w:cs="仿宋"/>
          <w:bCs/>
          <w:color w:val="000000" w:themeColor="text1"/>
          <w:sz w:val="24"/>
          <w:highlight w:val="none"/>
        </w:rPr>
        <w:t>乙方须执行淮阴区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甲方逾期付款的，应按照逾期付款金额的银行同期活期利率支付逾期付款违约金，但违约金总额不超过应付款金额的5%</w:t>
      </w:r>
      <w:r>
        <w:rPr>
          <w:rFonts w:hint="eastAsia" w:ascii="仿宋" w:hAnsi="仿宋" w:eastAsia="仿宋" w:cs="仿宋"/>
          <w:color w:val="000000" w:themeColor="text1"/>
          <w:sz w:val="24"/>
          <w:highlight w:val="none"/>
        </w:rPr>
        <w:t>。</w:t>
      </w:r>
    </w:p>
    <w:p>
      <w:pPr>
        <w:pStyle w:val="29"/>
        <w:spacing w:line="360" w:lineRule="auto"/>
        <w:ind w:firstLine="480"/>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五、验收</w:t>
      </w:r>
    </w:p>
    <w:p>
      <w:pPr>
        <w:pStyle w:val="29"/>
        <w:spacing w:line="360" w:lineRule="auto"/>
        <w:ind w:firstLine="482"/>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 xml:space="preserve">1. </w:t>
      </w:r>
      <w:r>
        <w:rPr>
          <w:rFonts w:hint="eastAsia" w:ascii="仿宋" w:hAnsi="仿宋" w:eastAsia="仿宋"/>
          <w:color w:val="000000" w:themeColor="text1"/>
          <w:sz w:val="24"/>
          <w:highlight w:val="none"/>
        </w:rPr>
        <w:t>乙方需在合同签订后2个月内，按照技术规范及甲方要求对仪器设备完成安装调试，并提供合格的调试技术报告。</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 xml:space="preserve">2. </w:t>
      </w:r>
      <w:r>
        <w:rPr>
          <w:rFonts w:hint="eastAsia" w:ascii="仿宋" w:hAnsi="仿宋" w:eastAsia="仿宋"/>
          <w:bCs/>
          <w:color w:val="000000" w:themeColor="text1"/>
          <w:sz w:val="24"/>
          <w:highlight w:val="none"/>
        </w:rPr>
        <w:t>验收时间：乙方出具合格的调试技术报告后15日内完成验收。</w:t>
      </w:r>
    </w:p>
    <w:p>
      <w:pPr>
        <w:pStyle w:val="29"/>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3.甲方依法组成验收小组对乙方履约进行验收。如需委托第三方验收，第三方是指：</w:t>
      </w:r>
      <w:r>
        <w:rPr>
          <w:rFonts w:hint="eastAsia" w:ascii="仿宋" w:hAnsi="仿宋" w:eastAsia="仿宋"/>
          <w:color w:val="000000" w:themeColor="text1"/>
          <w:sz w:val="24"/>
          <w:highlight w:val="none"/>
          <w:u w:val="single"/>
        </w:rPr>
        <w:t>专业技术专家</w:t>
      </w:r>
      <w:r>
        <w:rPr>
          <w:rFonts w:hint="eastAsia" w:ascii="仿宋" w:hAnsi="仿宋" w:eastAsia="仿宋"/>
          <w:color w:val="000000" w:themeColor="text1"/>
          <w:sz w:val="24"/>
          <w:highlight w:val="none"/>
        </w:rPr>
        <w:t>，验收费用由甲方承担。因乙方交付的货物不符合标准导致甲方重复支出的验收费用，由乙方承担。</w:t>
      </w:r>
    </w:p>
    <w:p>
      <w:pPr>
        <w:spacing w:line="360" w:lineRule="auto"/>
        <w:ind w:firstLine="480"/>
        <w:rPr>
          <w:rFonts w:ascii="仿宋" w:hAnsi="仿宋" w:eastAsia="仿宋"/>
          <w:color w:val="000000" w:themeColor="text1"/>
          <w:sz w:val="24"/>
          <w:highlight w:val="none"/>
        </w:rPr>
      </w:pPr>
      <w:r>
        <w:rPr>
          <w:rFonts w:hint="eastAsia" w:ascii="仿宋" w:hAnsi="仿宋" w:eastAsia="仿宋"/>
          <w:b/>
          <w:color w:val="000000" w:themeColor="text1"/>
          <w:sz w:val="24"/>
          <w:highlight w:val="none"/>
        </w:rPr>
        <w:t>六、履约保证金</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 xml:space="preserve"> </w:t>
      </w:r>
    </w:p>
    <w:p>
      <w:pPr>
        <w:spacing w:line="360" w:lineRule="auto"/>
        <w:ind w:firstLine="480"/>
        <w:rPr>
          <w:rFonts w:hint="eastAsia" w:ascii="仿宋" w:hAnsi="仿宋" w:eastAsia="仿宋"/>
          <w:color w:val="000000" w:themeColor="text1"/>
          <w:sz w:val="24"/>
          <w:highlight w:val="none"/>
        </w:rPr>
      </w:pPr>
      <w:r>
        <w:rPr>
          <w:rFonts w:hint="eastAsia" w:ascii="仿宋" w:hAnsi="仿宋" w:eastAsia="仿宋"/>
          <w:color w:val="000000" w:themeColor="text1"/>
          <w:sz w:val="24"/>
          <w:highlight w:val="none"/>
        </w:rPr>
        <w:t>本项目不收取履约保证金。</w:t>
      </w:r>
    </w:p>
    <w:p>
      <w:pPr>
        <w:numPr>
          <w:ilvl w:val="0"/>
          <w:numId w:val="3"/>
        </w:numPr>
        <w:spacing w:line="360" w:lineRule="auto"/>
        <w:ind w:firstLine="480"/>
        <w:rPr>
          <w:rFonts w:hint="eastAsia" w:ascii="仿宋" w:hAnsi="仿宋" w:eastAsia="仿宋" w:cs="仿宋"/>
          <w:b/>
          <w:bCs w:val="0"/>
          <w:color w:val="000000" w:themeColor="text1"/>
          <w:sz w:val="24"/>
          <w:highlight w:val="none"/>
        </w:rPr>
      </w:pPr>
      <w:r>
        <w:rPr>
          <w:rFonts w:hint="eastAsia" w:ascii="仿宋" w:hAnsi="仿宋" w:eastAsia="仿宋" w:cs="仿宋"/>
          <w:b/>
          <w:bCs w:val="0"/>
          <w:color w:val="000000" w:themeColor="text1"/>
          <w:sz w:val="24"/>
          <w:highlight w:val="none"/>
          <w:lang w:val="en-US" w:eastAsia="zh-CN"/>
        </w:rPr>
        <w:t>其他要求</w:t>
      </w:r>
    </w:p>
    <w:p>
      <w:pPr>
        <w:numPr>
          <w:ilvl w:val="0"/>
          <w:numId w:val="4"/>
        </w:numPr>
        <w:spacing w:line="360" w:lineRule="auto"/>
        <w:ind w:firstLine="480" w:firstLineChars="200"/>
        <w:rPr>
          <w:rFonts w:hint="eastAsia" w:ascii="仿宋" w:hAnsi="仿宋" w:eastAsia="仿宋" w:cs="仿宋"/>
          <w:bCs/>
          <w:color w:val="000000" w:themeColor="text1"/>
          <w:sz w:val="24"/>
          <w:highlight w:val="none"/>
        </w:rPr>
      </w:pPr>
      <w:r>
        <w:rPr>
          <w:rFonts w:hint="eastAsia" w:ascii="仿宋" w:hAnsi="仿宋" w:eastAsia="仿宋" w:cs="宋体"/>
          <w:color w:val="000000" w:themeColor="text1"/>
          <w:sz w:val="24"/>
          <w:szCs w:val="32"/>
          <w:highlight w:val="none"/>
        </w:rPr>
        <w:t>中标人对采购人相关人员</w:t>
      </w:r>
      <w:r>
        <w:rPr>
          <w:rFonts w:hint="eastAsia" w:ascii="仿宋" w:hAnsi="仿宋" w:eastAsia="仿宋" w:cs="仿宋"/>
          <w:bCs/>
          <w:color w:val="000000" w:themeColor="text1"/>
          <w:sz w:val="24"/>
          <w:highlight w:val="none"/>
        </w:rPr>
        <w:t>提供不少于50人次技术培训，培训地点城建大厦18楼，培训方式为理论加实践，培训效果以被培训对象签字确认为准。</w:t>
      </w:r>
    </w:p>
    <w:p>
      <w:pPr>
        <w:numPr>
          <w:ilvl w:val="0"/>
          <w:numId w:val="0"/>
        </w:numPr>
        <w:spacing w:line="360" w:lineRule="auto"/>
        <w:ind w:firstLine="480" w:firstLineChars="200"/>
        <w:rPr>
          <w:rFonts w:hint="eastAsia" w:ascii="仿宋" w:hAnsi="仿宋" w:eastAsia="仿宋" w:cs="仿宋"/>
          <w:bCs/>
          <w:color w:val="000000" w:themeColor="text1"/>
          <w:sz w:val="24"/>
          <w:highlight w:val="none"/>
        </w:rPr>
      </w:pPr>
      <w:r>
        <w:rPr>
          <w:rFonts w:hint="eastAsia" w:ascii="仿宋" w:hAnsi="仿宋" w:eastAsia="仿宋" w:cs="宋体"/>
          <w:color w:val="000000" w:themeColor="text1"/>
          <w:sz w:val="24"/>
          <w:szCs w:val="32"/>
          <w:highlight w:val="none"/>
          <w:lang w:val="en-US" w:eastAsia="zh-CN"/>
        </w:rPr>
        <w:t>2、</w:t>
      </w:r>
      <w:r>
        <w:rPr>
          <w:rFonts w:hint="eastAsia" w:ascii="仿宋" w:hAnsi="仿宋" w:eastAsia="仿宋" w:cs="仿宋"/>
          <w:bCs/>
          <w:color w:val="000000" w:themeColor="text1"/>
          <w:sz w:val="24"/>
          <w:highlight w:val="none"/>
        </w:rPr>
        <w:t>采购人设备发生故障</w:t>
      </w:r>
      <w:r>
        <w:rPr>
          <w:rFonts w:hint="eastAsia" w:ascii="仿宋" w:hAnsi="仿宋" w:eastAsia="仿宋" w:cs="仿宋"/>
          <w:bCs/>
          <w:color w:val="000000" w:themeColor="text1"/>
          <w:sz w:val="24"/>
          <w:highlight w:val="none"/>
          <w:lang w:val="en-US" w:eastAsia="zh-CN"/>
        </w:rPr>
        <w:t>的</w:t>
      </w:r>
      <w:r>
        <w:rPr>
          <w:rFonts w:hint="eastAsia" w:ascii="仿宋" w:hAnsi="仿宋" w:eastAsia="仿宋" w:cs="仿宋"/>
          <w:bCs/>
          <w:color w:val="000000" w:themeColor="text1"/>
          <w:sz w:val="24"/>
          <w:highlight w:val="none"/>
        </w:rPr>
        <w:t>，在48小时内不能解决问题的，应免费用同样品牌、规格或更高的仪器设备更换到位，否则视为违约，中标人按照故障仪器设备金额的千分之一每天进行赔偿。</w:t>
      </w:r>
    </w:p>
    <w:p>
      <w:pPr>
        <w:pStyle w:val="29"/>
        <w:spacing w:line="360" w:lineRule="auto"/>
        <w:ind w:firstLine="480"/>
        <w:rPr>
          <w:rFonts w:ascii="仿宋" w:hAnsi="仿宋" w:eastAsia="仿宋"/>
          <w:b/>
          <w:color w:val="000000" w:themeColor="text1"/>
          <w:sz w:val="24"/>
          <w:highlight w:val="none"/>
        </w:rPr>
      </w:pPr>
      <w:r>
        <w:rPr>
          <w:rFonts w:hint="eastAsia" w:ascii="仿宋" w:hAnsi="仿宋" w:eastAsia="仿宋"/>
          <w:b/>
          <w:color w:val="000000" w:themeColor="text1"/>
          <w:sz w:val="24"/>
          <w:highlight w:val="none"/>
          <w:lang w:val="en-US" w:eastAsia="zh-CN"/>
        </w:rPr>
        <w:t>八、</w:t>
      </w:r>
      <w:r>
        <w:rPr>
          <w:rFonts w:hint="eastAsia" w:ascii="仿宋" w:hAnsi="仿宋" w:eastAsia="仿宋"/>
          <w:b/>
          <w:color w:val="000000" w:themeColor="text1"/>
          <w:sz w:val="24"/>
          <w:highlight w:val="none"/>
        </w:rPr>
        <w:t>合同纠纷处理</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本合同执行过程中发生纠纷，由甲乙双方协商解决，若协商不成，作如下</w:t>
      </w:r>
      <w:r>
        <w:rPr>
          <w:rFonts w:hint="eastAsia" w:ascii="仿宋" w:hAnsi="仿宋" w:eastAsia="仿宋"/>
          <w:color w:val="000000" w:themeColor="text1"/>
          <w:sz w:val="24"/>
          <w:highlight w:val="none"/>
          <w:u w:val="single"/>
        </w:rPr>
        <w:t>2</w:t>
      </w:r>
      <w:r>
        <w:rPr>
          <w:rFonts w:hint="eastAsia" w:ascii="仿宋" w:hAnsi="仿宋" w:eastAsia="仿宋"/>
          <w:color w:val="000000" w:themeColor="text1"/>
          <w:sz w:val="24"/>
          <w:highlight w:val="none"/>
        </w:rPr>
        <w:t>处理：</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1.申请仲裁。选定仲裁机构为淮安市仲裁委员会。</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2.提起诉讼。约定由甲方所在地法院管辖。</w:t>
      </w:r>
    </w:p>
    <w:p>
      <w:pPr>
        <w:spacing w:line="360" w:lineRule="auto"/>
        <w:ind w:firstLine="480"/>
        <w:rPr>
          <w:rFonts w:ascii="仿宋" w:hAnsi="仿宋" w:eastAsia="仿宋"/>
          <w:b/>
          <w:color w:val="000000" w:themeColor="text1"/>
          <w:sz w:val="24"/>
          <w:highlight w:val="none"/>
        </w:rPr>
      </w:pPr>
      <w:r>
        <w:rPr>
          <w:rFonts w:hint="eastAsia" w:ascii="仿宋" w:hAnsi="仿宋" w:eastAsia="仿宋"/>
          <w:b/>
          <w:color w:val="000000" w:themeColor="text1"/>
          <w:sz w:val="24"/>
          <w:highlight w:val="none"/>
          <w:lang w:val="en-US" w:eastAsia="zh-CN"/>
        </w:rPr>
        <w:t>九</w:t>
      </w:r>
      <w:r>
        <w:rPr>
          <w:rFonts w:hint="eastAsia" w:ascii="仿宋" w:hAnsi="仿宋" w:eastAsia="仿宋"/>
          <w:b/>
          <w:color w:val="000000" w:themeColor="text1"/>
          <w:sz w:val="24"/>
          <w:highlight w:val="none"/>
        </w:rPr>
        <w:t>、合同生效及其它</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本合同经甲、乙双方加盖电子签章后生效。如有变动，必须经甲方、乙方协商一致后方可更改。</w:t>
      </w:r>
    </w:p>
    <w:p>
      <w:pPr>
        <w:spacing w:line="360" w:lineRule="auto"/>
        <w:ind w:firstLine="480"/>
        <w:rPr>
          <w:rFonts w:ascii="仿宋" w:hAnsi="仿宋" w:eastAsia="仿宋"/>
          <w:b/>
          <w:color w:val="000000" w:themeColor="text1"/>
          <w:sz w:val="24"/>
          <w:highlight w:val="none"/>
        </w:rPr>
      </w:pPr>
      <w:r>
        <w:rPr>
          <w:rFonts w:hint="eastAsia" w:ascii="仿宋" w:hAnsi="仿宋" w:eastAsia="仿宋"/>
          <w:b/>
          <w:color w:val="000000" w:themeColor="text1"/>
          <w:sz w:val="24"/>
          <w:highlight w:val="none"/>
          <w:lang w:val="en-US" w:eastAsia="zh-CN"/>
        </w:rPr>
        <w:t>十</w:t>
      </w:r>
      <w:r>
        <w:rPr>
          <w:rFonts w:hint="eastAsia" w:ascii="仿宋" w:hAnsi="仿宋" w:eastAsia="仿宋"/>
          <w:b/>
          <w:color w:val="000000" w:themeColor="text1"/>
          <w:sz w:val="24"/>
          <w:highlight w:val="none"/>
        </w:rPr>
        <w:t>、组成本合同的文件包括</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1.合同格式及条款；</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2.招标文件和乙方的投标文件；</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3.中标通知书；</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4. 甲乙双方商定的其他必要文件。上述合同文件内容互为补充，如有不明确，由甲方负责解释。</w:t>
      </w:r>
    </w:p>
    <w:p>
      <w:pPr>
        <w:pStyle w:val="29"/>
        <w:spacing w:line="360" w:lineRule="auto"/>
        <w:rPr>
          <w:rFonts w:ascii="仿宋" w:hAnsi="仿宋" w:eastAsia="仿宋"/>
          <w:color w:val="000000" w:themeColor="text1"/>
          <w:sz w:val="24"/>
          <w:highlight w:val="none"/>
        </w:rPr>
      </w:pPr>
    </w:p>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甲方：                                乙方：</w:t>
      </w:r>
    </w:p>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单位盖章：                            单位盖章：</w:t>
      </w:r>
    </w:p>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代表签字：                            代表签字：</w:t>
      </w:r>
    </w:p>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签订日期：                            签订日期：</w:t>
      </w:r>
    </w:p>
    <w:p>
      <w:pPr>
        <w:pStyle w:val="29"/>
        <w:spacing w:line="460" w:lineRule="exact"/>
        <w:jc w:val="center"/>
        <w:rPr>
          <w:rFonts w:ascii="仿宋" w:hAnsi="仿宋" w:eastAsia="仿宋"/>
          <w:b/>
          <w:color w:val="000000" w:themeColor="text1"/>
          <w:sz w:val="24"/>
          <w:highlight w:val="none"/>
        </w:rPr>
      </w:pPr>
    </w:p>
    <w:p>
      <w:pPr>
        <w:pStyle w:val="29"/>
        <w:spacing w:line="460" w:lineRule="exact"/>
        <w:jc w:val="center"/>
        <w:rPr>
          <w:rFonts w:ascii="仿宋" w:hAnsi="仿宋" w:eastAsia="仿宋"/>
          <w:b/>
          <w:color w:val="000000" w:themeColor="text1"/>
          <w:sz w:val="24"/>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tabs>
          <w:tab w:val="left" w:pos="180"/>
        </w:tabs>
        <w:spacing w:line="360" w:lineRule="auto"/>
        <w:jc w:val="center"/>
        <w:rPr>
          <w:rFonts w:ascii="仿宋" w:hAnsi="仿宋" w:eastAsia="仿宋"/>
          <w:b/>
          <w:bCs/>
          <w:color w:val="000000" w:themeColor="text1"/>
          <w:sz w:val="32"/>
          <w:szCs w:val="32"/>
          <w:highlight w:val="none"/>
        </w:rPr>
      </w:pPr>
      <w:r>
        <w:rPr>
          <w:rFonts w:hint="eastAsia" w:ascii="仿宋" w:hAnsi="仿宋" w:eastAsia="仿宋"/>
          <w:b/>
          <w:bCs/>
          <w:color w:val="000000" w:themeColor="text1"/>
          <w:sz w:val="32"/>
          <w:szCs w:val="32"/>
          <w:highlight w:val="none"/>
        </w:rPr>
        <w:t>二、合同条款</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1.定义</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本合同中下列术语应解释为:</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（1）“合同”系指甲方和乙方（以下简称合同双方）签署的、合同格式中列明的合同双方所达成的协议，包括所有的附件、附录和构成合同的所有文件。</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（2）“合同价”系指根据合同规定，乙方在完全履行合同义务后甲方应支付给乙方的价格。</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（3）“货物（含软件及相关服务）”系指乙方按合同要求，须向甲方提供的一切设备、机械、仪表、备件、工具、技术及手册等有关材料。</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（4）“服务”系指根据合同规定乙方承担与供货有关的所有辅助服务，如运输、保险以及其它的服务，如安装、调试、提供技术援助、培训和其他类似的义务。</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（5）“甲方”系指购买货物（含软件及相关服务）的单位。</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（6）“乙方”系指根据合同规定提供货物（含软件及相关服务）和服务的投标人。</w:t>
      </w:r>
    </w:p>
    <w:p>
      <w:pPr>
        <w:spacing w:line="360" w:lineRule="auto"/>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2.技术规范</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000000" w:themeColor="text1"/>
          <w:sz w:val="24"/>
          <w:highlight w:val="none"/>
        </w:rPr>
        <w:t xml:space="preserve"> </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3.专利权</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4.包装要求</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4.1本项目中涉及商品的</w:t>
      </w:r>
      <w:r>
        <w:rPr>
          <w:rFonts w:ascii="仿宋" w:hAnsi="仿宋" w:eastAsia="仿宋"/>
          <w:color w:val="000000" w:themeColor="text1"/>
          <w:sz w:val="24"/>
          <w:highlight w:val="none"/>
        </w:rPr>
        <w:t>包装应按照“财办库〔2020〕123号《关于印发《商品包装政府采购需求标准（试行）》、《快递包装政府采购需求标准（试行）》的通知》”执行</w:t>
      </w:r>
      <w:r>
        <w:rPr>
          <w:rFonts w:hint="eastAsia" w:ascii="仿宋" w:hAnsi="仿宋" w:eastAsia="仿宋"/>
          <w:color w:val="000000" w:themeColor="text1"/>
          <w:sz w:val="24"/>
          <w:highlight w:val="none"/>
        </w:rPr>
        <w:t>,在供货、安装过程中能到做到低碳物流、环保节约、提高资源利用率；涉及设备运维参考《绿色数据中心政府采购需求标准（试行）》（财库【2023】7号文）执行。</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4.2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4.3每件包装箱内应附一份详细装箱单和质量合格证。</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5.装运标志</w:t>
      </w:r>
    </w:p>
    <w:p>
      <w:pPr>
        <w:spacing w:line="360" w:lineRule="auto"/>
        <w:ind w:firstLine="660"/>
        <w:rPr>
          <w:rFonts w:ascii="仿宋" w:hAnsi="仿宋" w:eastAsia="仿宋"/>
          <w:color w:val="000000" w:themeColor="text1"/>
          <w:sz w:val="24"/>
          <w:highlight w:val="none"/>
        </w:rPr>
      </w:pPr>
      <w:r>
        <w:rPr>
          <w:rFonts w:ascii="仿宋" w:hAnsi="仿宋" w:eastAsia="仿宋"/>
          <w:color w:val="000000" w:themeColor="text1"/>
          <w:sz w:val="24"/>
          <w:highlight w:val="none"/>
        </w:rPr>
        <w:t xml:space="preserve">5.1 </w:t>
      </w:r>
      <w:r>
        <w:rPr>
          <w:rFonts w:hint="eastAsia" w:ascii="仿宋" w:hAnsi="仿宋" w:eastAsia="仿宋"/>
          <w:color w:val="000000" w:themeColor="text1"/>
          <w:sz w:val="24"/>
          <w:highlight w:val="none"/>
        </w:rPr>
        <w:t>乙方应在每一包装箱邻接的四侧用不褪色的油漆以醒目的中文字样做出下列标记:</w:t>
      </w:r>
      <w:r>
        <w:rPr>
          <w:rFonts w:ascii="仿宋" w:hAnsi="仿宋" w:eastAsia="仿宋"/>
          <w:color w:val="000000" w:themeColor="text1"/>
          <w:sz w:val="24"/>
          <w:highlight w:val="none"/>
        </w:rPr>
        <w:t xml:space="preserve"> </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（1）收货人</w:t>
      </w:r>
      <w:r>
        <w:rPr>
          <w:rFonts w:ascii="仿宋" w:hAnsi="仿宋" w:eastAsia="仿宋"/>
          <w:color w:val="000000" w:themeColor="text1"/>
          <w:sz w:val="24"/>
          <w:highlight w:val="none"/>
        </w:rPr>
        <w:t xml:space="preserve"> </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2</w:t>
      </w:r>
      <w:r>
        <w:rPr>
          <w:rFonts w:hint="eastAsia" w:ascii="仿宋" w:hAnsi="仿宋" w:eastAsia="仿宋"/>
          <w:color w:val="000000" w:themeColor="text1"/>
          <w:sz w:val="24"/>
          <w:highlight w:val="none"/>
        </w:rPr>
        <w:t>）合同号</w:t>
      </w:r>
      <w:r>
        <w:rPr>
          <w:rFonts w:ascii="仿宋" w:hAnsi="仿宋" w:eastAsia="仿宋"/>
          <w:color w:val="000000" w:themeColor="text1"/>
          <w:sz w:val="24"/>
          <w:highlight w:val="none"/>
        </w:rPr>
        <w:t xml:space="preserve"> </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3</w:t>
      </w:r>
      <w:r>
        <w:rPr>
          <w:rFonts w:hint="eastAsia" w:ascii="仿宋" w:hAnsi="仿宋" w:eastAsia="仿宋"/>
          <w:color w:val="000000" w:themeColor="text1"/>
          <w:sz w:val="24"/>
          <w:highlight w:val="none"/>
        </w:rPr>
        <w:t>）装运标志</w:t>
      </w:r>
      <w:r>
        <w:rPr>
          <w:rFonts w:ascii="仿宋" w:hAnsi="仿宋" w:eastAsia="仿宋"/>
          <w:color w:val="000000" w:themeColor="text1"/>
          <w:sz w:val="24"/>
          <w:highlight w:val="none"/>
        </w:rPr>
        <w:t xml:space="preserve"> </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4</w:t>
      </w:r>
      <w:r>
        <w:rPr>
          <w:rFonts w:hint="eastAsia" w:ascii="仿宋" w:hAnsi="仿宋" w:eastAsia="仿宋"/>
          <w:color w:val="000000" w:themeColor="text1"/>
          <w:sz w:val="24"/>
          <w:highlight w:val="none"/>
        </w:rPr>
        <w:t>）收货人代号</w:t>
      </w:r>
      <w:r>
        <w:rPr>
          <w:rFonts w:ascii="仿宋" w:hAnsi="仿宋" w:eastAsia="仿宋"/>
          <w:color w:val="000000" w:themeColor="text1"/>
          <w:sz w:val="24"/>
          <w:highlight w:val="none"/>
        </w:rPr>
        <w:t xml:space="preserve"> </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5</w:t>
      </w:r>
      <w:r>
        <w:rPr>
          <w:rFonts w:hint="eastAsia" w:ascii="仿宋" w:hAnsi="仿宋" w:eastAsia="仿宋"/>
          <w:color w:val="000000" w:themeColor="text1"/>
          <w:sz w:val="24"/>
          <w:highlight w:val="none"/>
        </w:rPr>
        <w:t>）目的地</w:t>
      </w:r>
      <w:r>
        <w:rPr>
          <w:rFonts w:ascii="仿宋" w:hAnsi="仿宋" w:eastAsia="仿宋"/>
          <w:color w:val="000000" w:themeColor="text1"/>
          <w:sz w:val="24"/>
          <w:highlight w:val="none"/>
        </w:rPr>
        <w:t xml:space="preserve"> </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6</w:t>
      </w:r>
      <w:r>
        <w:rPr>
          <w:rFonts w:hint="eastAsia" w:ascii="仿宋" w:hAnsi="仿宋" w:eastAsia="仿宋"/>
          <w:color w:val="000000" w:themeColor="text1"/>
          <w:sz w:val="24"/>
          <w:highlight w:val="none"/>
        </w:rPr>
        <w:t>）货物（含软件及相关服务）名称、品目号和箱号</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7</w:t>
      </w:r>
      <w:r>
        <w:rPr>
          <w:rFonts w:hint="eastAsia" w:ascii="仿宋" w:hAnsi="仿宋" w:eastAsia="仿宋"/>
          <w:color w:val="000000" w:themeColor="text1"/>
          <w:sz w:val="24"/>
          <w:highlight w:val="none"/>
        </w:rPr>
        <w:t>）毛重／净重</w:t>
      </w:r>
      <w:r>
        <w:rPr>
          <w:rFonts w:ascii="仿宋" w:hAnsi="仿宋" w:eastAsia="仿宋"/>
          <w:color w:val="000000" w:themeColor="text1"/>
          <w:sz w:val="24"/>
          <w:highlight w:val="none"/>
        </w:rPr>
        <w:t xml:space="preserve"> </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8</w:t>
      </w:r>
      <w:r>
        <w:rPr>
          <w:rFonts w:hint="eastAsia" w:ascii="仿宋" w:hAnsi="仿宋" w:eastAsia="仿宋"/>
          <w:color w:val="000000" w:themeColor="text1"/>
          <w:sz w:val="24"/>
          <w:highlight w:val="none"/>
        </w:rPr>
        <w:t>）尺寸（长</w:t>
      </w:r>
      <w:r>
        <w:rPr>
          <w:rFonts w:ascii="仿宋" w:hAnsi="仿宋" w:eastAsia="仿宋"/>
          <w:color w:val="000000" w:themeColor="text1"/>
          <w:sz w:val="24"/>
          <w:highlight w:val="none"/>
        </w:rPr>
        <w:t>X</w:t>
      </w:r>
      <w:r>
        <w:rPr>
          <w:rFonts w:hint="eastAsia" w:ascii="仿宋" w:hAnsi="仿宋" w:eastAsia="仿宋"/>
          <w:color w:val="000000" w:themeColor="text1"/>
          <w:sz w:val="24"/>
          <w:highlight w:val="none"/>
        </w:rPr>
        <w:t>宽</w:t>
      </w:r>
      <w:r>
        <w:rPr>
          <w:rFonts w:ascii="仿宋" w:hAnsi="仿宋" w:eastAsia="仿宋"/>
          <w:color w:val="000000" w:themeColor="text1"/>
          <w:sz w:val="24"/>
          <w:highlight w:val="none"/>
        </w:rPr>
        <w:t>X</w:t>
      </w:r>
      <w:r>
        <w:rPr>
          <w:rFonts w:hint="eastAsia" w:ascii="仿宋" w:hAnsi="仿宋" w:eastAsia="仿宋"/>
          <w:color w:val="000000" w:themeColor="text1"/>
          <w:sz w:val="24"/>
          <w:highlight w:val="none"/>
        </w:rPr>
        <w:t>高，以厘米计）</w:t>
      </w:r>
      <w:r>
        <w:rPr>
          <w:rFonts w:ascii="仿宋" w:hAnsi="仿宋" w:eastAsia="仿宋"/>
          <w:color w:val="000000" w:themeColor="text1"/>
          <w:sz w:val="24"/>
          <w:highlight w:val="none"/>
        </w:rPr>
        <w:t xml:space="preserve"> </w:t>
      </w:r>
    </w:p>
    <w:p>
      <w:pPr>
        <w:spacing w:line="360" w:lineRule="auto"/>
        <w:ind w:firstLine="660"/>
        <w:rPr>
          <w:rFonts w:ascii="仿宋" w:hAnsi="仿宋" w:eastAsia="仿宋"/>
          <w:color w:val="000000" w:themeColor="text1"/>
          <w:sz w:val="24"/>
          <w:highlight w:val="none"/>
        </w:rPr>
      </w:pPr>
      <w:r>
        <w:rPr>
          <w:rFonts w:ascii="仿宋" w:hAnsi="仿宋" w:eastAsia="仿宋"/>
          <w:color w:val="000000" w:themeColor="text1"/>
          <w:sz w:val="24"/>
          <w:highlight w:val="none"/>
        </w:rPr>
        <w:t xml:space="preserve">5.2 </w:t>
      </w:r>
      <w:r>
        <w:rPr>
          <w:rFonts w:hint="eastAsia" w:ascii="仿宋" w:hAnsi="仿宋" w:eastAsia="仿宋"/>
          <w:color w:val="000000" w:themeColor="text1"/>
          <w:sz w:val="24"/>
          <w:highlight w:val="none"/>
        </w:rPr>
        <w:t>如果货物（含软件及相关服务）单件重量在两吨或两吨以上，乙方应在每件包装箱的两侧用中文和适当的运输标志标明</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重心</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和</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吊装点</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，以便装卸和搬运。根据货物（含软件及相关服务）的特点和运输的不同要求，乙方应在包装箱上清楚地标有“小心轻放”、</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勿倒置”、</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防潮</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等字样和其他适当的标记。</w:t>
      </w:r>
      <w:r>
        <w:rPr>
          <w:rFonts w:ascii="仿宋" w:hAnsi="仿宋" w:eastAsia="仿宋"/>
          <w:color w:val="000000" w:themeColor="text1"/>
          <w:sz w:val="24"/>
          <w:highlight w:val="none"/>
        </w:rPr>
        <w:t xml:space="preserve"> </w:t>
      </w:r>
    </w:p>
    <w:p>
      <w:pPr>
        <w:spacing w:line="360" w:lineRule="auto"/>
        <w:ind w:firstLine="660"/>
        <w:rPr>
          <w:rFonts w:ascii="仿宋" w:hAnsi="仿宋" w:eastAsia="仿宋"/>
          <w:color w:val="000000" w:themeColor="text1"/>
          <w:sz w:val="24"/>
          <w:highlight w:val="none"/>
        </w:rPr>
      </w:pPr>
      <w:r>
        <w:rPr>
          <w:rFonts w:ascii="仿宋" w:hAnsi="仿宋" w:eastAsia="仿宋"/>
          <w:color w:val="000000" w:themeColor="text1"/>
          <w:sz w:val="24"/>
          <w:highlight w:val="none"/>
        </w:rPr>
        <w:t>5</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3</w:t>
      </w:r>
      <w:r>
        <w:rPr>
          <w:rFonts w:hint="eastAsia" w:ascii="仿宋" w:hAnsi="仿宋" w:eastAsia="仿宋"/>
          <w:color w:val="000000" w:themeColor="text1"/>
          <w:sz w:val="24"/>
          <w:highlight w:val="none"/>
        </w:rPr>
        <w:t>因缺少装运标志或者装运标志不明确导致货物在运输、装卸过程中产生的损失，乙方应承担相应的过错责任。</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6.付款方式</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6.1本合同以人民币付款。</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6.2乙方应按照与甲方签订的合同规定交货。交货后乙方向甲方提供下列单据，甲方按合同规定审核后付款:</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（1）发票；</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（2）制造厂家出具的质量检验证书等；</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（3）装箱单；</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（4）验收合格证；</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（5）使用方加盖公章证明货物交付使用合格的验收表。</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6.3甲方将按招标文件中规定的付款方式安排付款。</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7.伴随服务</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7.1乙方应按照国家有关规定和合同中所附的服务承诺提供服务。</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7.2除第7.1条规定外，乙方还应提供下列服务:</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（1）货物的现场安装和启动监督；</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（2）提供货物组装和维修所需的工具；</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（3）在合同中乙方承诺的期限内对所提供货物实施运行监督、维修，但前提条件是该服务并不能免除乙方在质量保证期内应承担的义务；</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（4）在项目交货现场就货物的安装、启动、运行、维护对甲方人员进行培训。</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7.3伴随服务的费用应含在合同价中，不单独进行支付。</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8.质量保证</w:t>
      </w:r>
    </w:p>
    <w:p>
      <w:pPr>
        <w:spacing w:line="360" w:lineRule="auto"/>
        <w:ind w:firstLine="658"/>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 xml:space="preserve"> </w:t>
      </w:r>
      <w:r>
        <w:rPr>
          <w:rFonts w:hint="eastAsia" w:ascii="仿宋" w:hAnsi="仿宋" w:eastAsia="仿宋"/>
          <w:color w:val="000000" w:themeColor="text1"/>
          <w:sz w:val="24"/>
          <w:highlight w:val="none"/>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000000" w:themeColor="text1"/>
          <w:sz w:val="24"/>
          <w:highlight w:val="none"/>
        </w:rPr>
        <w:t xml:space="preserve"> </w:t>
      </w:r>
    </w:p>
    <w:p>
      <w:pPr>
        <w:spacing w:line="360" w:lineRule="auto"/>
        <w:ind w:firstLine="658"/>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r>
        <w:rPr>
          <w:rFonts w:ascii="仿宋" w:hAnsi="仿宋" w:eastAsia="仿宋"/>
          <w:color w:val="000000" w:themeColor="text1"/>
          <w:sz w:val="24"/>
          <w:highlight w:val="none"/>
        </w:rPr>
        <w:t xml:space="preserve">.2 </w:t>
      </w:r>
      <w:r>
        <w:rPr>
          <w:rFonts w:hint="eastAsia" w:ascii="仿宋" w:hAnsi="仿宋" w:eastAsia="仿宋"/>
          <w:color w:val="000000" w:themeColor="text1"/>
          <w:sz w:val="24"/>
          <w:highlight w:val="none"/>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000000" w:themeColor="text1"/>
          <w:sz w:val="24"/>
          <w:highlight w:val="none"/>
        </w:rPr>
        <w:t xml:space="preserve"> </w:t>
      </w:r>
    </w:p>
    <w:p>
      <w:pPr>
        <w:spacing w:line="360" w:lineRule="auto"/>
        <w:ind w:firstLine="658"/>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r>
        <w:rPr>
          <w:rFonts w:ascii="仿宋" w:hAnsi="仿宋" w:eastAsia="仿宋"/>
          <w:color w:val="000000" w:themeColor="text1"/>
          <w:sz w:val="24"/>
          <w:highlight w:val="none"/>
        </w:rPr>
        <w:t xml:space="preserve">.3 </w:t>
      </w:r>
      <w:r>
        <w:rPr>
          <w:rFonts w:hint="eastAsia" w:ascii="仿宋" w:hAnsi="仿宋" w:eastAsia="仿宋"/>
          <w:color w:val="000000" w:themeColor="text1"/>
          <w:sz w:val="24"/>
          <w:highlight w:val="none"/>
        </w:rPr>
        <w:t>乙方在收到通知后三十天内应免费维修或更换有缺陷的货物（含软件及相关服务）或部件。</w:t>
      </w:r>
      <w:r>
        <w:rPr>
          <w:rFonts w:ascii="仿宋" w:hAnsi="仿宋" w:eastAsia="仿宋"/>
          <w:color w:val="000000" w:themeColor="text1"/>
          <w:sz w:val="24"/>
          <w:highlight w:val="none"/>
        </w:rPr>
        <w:t xml:space="preserve"> </w:t>
      </w:r>
    </w:p>
    <w:p>
      <w:pPr>
        <w:spacing w:line="360" w:lineRule="auto"/>
        <w:ind w:firstLine="658"/>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r>
        <w:rPr>
          <w:rFonts w:ascii="仿宋" w:hAnsi="仿宋" w:eastAsia="仿宋"/>
          <w:color w:val="000000" w:themeColor="text1"/>
          <w:sz w:val="24"/>
          <w:highlight w:val="none"/>
        </w:rPr>
        <w:t xml:space="preserve">.4 </w:t>
      </w:r>
      <w:r>
        <w:rPr>
          <w:rFonts w:hint="eastAsia" w:ascii="仿宋" w:hAnsi="仿宋" w:eastAsia="仿宋"/>
          <w:color w:val="000000" w:themeColor="text1"/>
          <w:sz w:val="24"/>
          <w:highlight w:val="none"/>
        </w:rPr>
        <w:t>如果乙方在收到通知后三十天内没有弥补缺陷，甲方可采取必要的补救措施，但风险和费用将由乙方承担。</w:t>
      </w:r>
    </w:p>
    <w:p>
      <w:pPr>
        <w:spacing w:line="360" w:lineRule="auto"/>
        <w:ind w:firstLine="658"/>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r>
        <w:rPr>
          <w:rFonts w:ascii="仿宋" w:hAnsi="仿宋" w:eastAsia="仿宋"/>
          <w:color w:val="000000" w:themeColor="text1"/>
          <w:sz w:val="24"/>
          <w:highlight w:val="none"/>
        </w:rPr>
        <w:t xml:space="preserve">.5 </w:t>
      </w:r>
      <w:r>
        <w:rPr>
          <w:rFonts w:hint="eastAsia" w:ascii="仿宋" w:hAnsi="仿宋" w:eastAsia="仿宋"/>
          <w:color w:val="000000" w:themeColor="text1"/>
          <w:sz w:val="24"/>
          <w:highlight w:val="none"/>
        </w:rPr>
        <w:t>除合同专用条款规定外，合同项下货物（含软件及相关服务）的质量保证期为自货物（含软件及相关服务）通过最终验收起</w:t>
      </w:r>
      <w:r>
        <w:rPr>
          <w:rFonts w:ascii="仿宋" w:hAnsi="仿宋" w:eastAsia="仿宋"/>
          <w:color w:val="000000" w:themeColor="text1"/>
          <w:sz w:val="24"/>
          <w:highlight w:val="none"/>
        </w:rPr>
        <w:t>12</w:t>
      </w:r>
      <w:r>
        <w:rPr>
          <w:rFonts w:hint="eastAsia" w:ascii="仿宋" w:hAnsi="仿宋" w:eastAsia="仿宋"/>
          <w:color w:val="000000" w:themeColor="text1"/>
          <w:sz w:val="24"/>
          <w:highlight w:val="none"/>
        </w:rPr>
        <w:t>个月。</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9.检验及安装</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9</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 xml:space="preserve"> </w:t>
      </w:r>
      <w:r>
        <w:rPr>
          <w:rFonts w:hint="eastAsia" w:ascii="仿宋" w:hAnsi="仿宋" w:eastAsia="仿宋"/>
          <w:color w:val="000000" w:themeColor="text1"/>
          <w:sz w:val="24"/>
          <w:highlight w:val="none"/>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000000" w:themeColor="text1"/>
          <w:sz w:val="24"/>
          <w:highlight w:val="none"/>
        </w:rPr>
        <w:t xml:space="preserve"> </w:t>
      </w:r>
    </w:p>
    <w:p>
      <w:pPr>
        <w:spacing w:line="360" w:lineRule="auto"/>
        <w:ind w:firstLine="660"/>
        <w:rPr>
          <w:rFonts w:ascii="仿宋" w:hAnsi="仿宋" w:eastAsia="仿宋"/>
          <w:b/>
          <w:color w:val="000000" w:themeColor="text1"/>
          <w:sz w:val="24"/>
          <w:highlight w:val="none"/>
        </w:rPr>
      </w:pPr>
      <w:r>
        <w:rPr>
          <w:rFonts w:hint="eastAsia" w:ascii="仿宋" w:hAnsi="仿宋" w:eastAsia="仿宋"/>
          <w:color w:val="000000" w:themeColor="text1"/>
          <w:sz w:val="24"/>
          <w:highlight w:val="none"/>
        </w:rPr>
        <w:t>9</w:t>
      </w:r>
      <w:r>
        <w:rPr>
          <w:rFonts w:ascii="仿宋" w:hAnsi="仿宋" w:eastAsia="仿宋"/>
          <w:color w:val="000000" w:themeColor="text1"/>
          <w:sz w:val="24"/>
          <w:highlight w:val="none"/>
        </w:rPr>
        <w:t xml:space="preserve">.2 </w:t>
      </w:r>
      <w:r>
        <w:rPr>
          <w:rFonts w:hint="eastAsia" w:ascii="仿宋" w:hAnsi="仿宋" w:eastAsia="仿宋"/>
          <w:color w:val="000000" w:themeColor="text1"/>
          <w:sz w:val="24"/>
          <w:highlight w:val="none"/>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000000" w:themeColor="text1"/>
          <w:sz w:val="24"/>
          <w:highlight w:val="none"/>
        </w:rPr>
        <w:t>90</w:t>
      </w:r>
      <w:r>
        <w:rPr>
          <w:rFonts w:hint="eastAsia" w:ascii="仿宋" w:hAnsi="仿宋" w:eastAsia="仿宋"/>
          <w:color w:val="000000" w:themeColor="text1"/>
          <w:sz w:val="24"/>
          <w:highlight w:val="none"/>
        </w:rPr>
        <w:t>天内，根据甲方按检验标准自己检验的结果或当地商检部门出具的检验证书向乙方提出索赔，除责任由保险公司或运输部门承担的之外。</w:t>
      </w:r>
      <w:r>
        <w:rPr>
          <w:rFonts w:ascii="仿宋" w:hAnsi="仿宋" w:eastAsia="仿宋"/>
          <w:color w:val="000000" w:themeColor="text1"/>
          <w:sz w:val="24"/>
          <w:highlight w:val="none"/>
        </w:rPr>
        <w:t xml:space="preserve"> </w:t>
      </w:r>
    </w:p>
    <w:p>
      <w:pPr>
        <w:spacing w:line="360" w:lineRule="auto"/>
        <w:ind w:firstLine="660"/>
        <w:rPr>
          <w:rFonts w:ascii="仿宋" w:hAnsi="仿宋" w:eastAsia="仿宋"/>
          <w:b/>
          <w:color w:val="000000" w:themeColor="text1"/>
          <w:sz w:val="24"/>
          <w:highlight w:val="none"/>
        </w:rPr>
      </w:pPr>
      <w:r>
        <w:rPr>
          <w:rFonts w:hint="eastAsia" w:ascii="仿宋" w:hAnsi="仿宋" w:eastAsia="仿宋"/>
          <w:color w:val="000000" w:themeColor="text1"/>
          <w:sz w:val="24"/>
          <w:highlight w:val="none"/>
        </w:rPr>
        <w:t>9</w:t>
      </w:r>
      <w:r>
        <w:rPr>
          <w:rFonts w:ascii="仿宋" w:hAnsi="仿宋" w:eastAsia="仿宋"/>
          <w:color w:val="000000" w:themeColor="text1"/>
          <w:sz w:val="24"/>
          <w:highlight w:val="none"/>
        </w:rPr>
        <w:t xml:space="preserve">.3 </w:t>
      </w:r>
      <w:r>
        <w:rPr>
          <w:rFonts w:hint="eastAsia" w:ascii="仿宋" w:hAnsi="仿宋" w:eastAsia="仿宋"/>
          <w:color w:val="000000" w:themeColor="text1"/>
          <w:sz w:val="24"/>
          <w:highlight w:val="none"/>
        </w:rPr>
        <w:t>如果货物（含软件及相关服务）的质量和规格与合同不符，或在第</w:t>
      </w:r>
      <w:r>
        <w:rPr>
          <w:rFonts w:ascii="仿宋" w:hAnsi="仿宋" w:eastAsia="仿宋"/>
          <w:color w:val="000000" w:themeColor="text1"/>
          <w:sz w:val="24"/>
          <w:highlight w:val="none"/>
        </w:rPr>
        <w:t>11</w:t>
      </w:r>
      <w:r>
        <w:rPr>
          <w:rFonts w:hint="eastAsia" w:ascii="仿宋" w:hAnsi="仿宋" w:eastAsia="仿宋"/>
          <w:color w:val="000000" w:themeColor="text1"/>
          <w:sz w:val="24"/>
          <w:highlight w:val="none"/>
        </w:rPr>
        <w:t>条规定的质量保证期内证实货物（含软件及相关服务）是有缺陷的，包括潜在的缺陷或使用不符合要求的材料，甲方将有权向乙方提出索赔。</w:t>
      </w:r>
      <w:r>
        <w:rPr>
          <w:rFonts w:ascii="仿宋" w:hAnsi="仿宋" w:eastAsia="仿宋"/>
          <w:color w:val="000000" w:themeColor="text1"/>
          <w:sz w:val="24"/>
          <w:highlight w:val="none"/>
        </w:rPr>
        <w:t xml:space="preserve"> </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9</w:t>
      </w:r>
      <w:r>
        <w:rPr>
          <w:rFonts w:ascii="仿宋" w:hAnsi="仿宋" w:eastAsia="仿宋"/>
          <w:color w:val="000000" w:themeColor="text1"/>
          <w:sz w:val="24"/>
          <w:highlight w:val="none"/>
        </w:rPr>
        <w:t xml:space="preserve">.4 </w:t>
      </w:r>
      <w:r>
        <w:rPr>
          <w:rFonts w:hint="eastAsia" w:ascii="仿宋" w:hAnsi="仿宋" w:eastAsia="仿宋"/>
          <w:color w:val="000000" w:themeColor="text1"/>
          <w:sz w:val="24"/>
          <w:highlight w:val="none"/>
        </w:rPr>
        <w:t>甲方有权提出在货物（含软件及相关服务）制造过程中派人到制造厂进行监造，乙方有义务为甲方监造人员提供方便。</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9</w:t>
      </w:r>
      <w:r>
        <w:rPr>
          <w:rFonts w:ascii="仿宋" w:hAnsi="仿宋" w:eastAsia="仿宋"/>
          <w:color w:val="000000" w:themeColor="text1"/>
          <w:sz w:val="24"/>
          <w:highlight w:val="none"/>
        </w:rPr>
        <w:t xml:space="preserve">.5 </w:t>
      </w:r>
      <w:r>
        <w:rPr>
          <w:rFonts w:hint="eastAsia" w:ascii="仿宋" w:hAnsi="仿宋" w:eastAsia="仿宋"/>
          <w:color w:val="000000" w:themeColor="text1"/>
          <w:sz w:val="24"/>
          <w:highlight w:val="none"/>
        </w:rPr>
        <w:t>制造厂对所供货物（含软件及相关服务）进行机械运转试验和性能试验时，必须提前通知甲方。</w:t>
      </w:r>
      <w:r>
        <w:rPr>
          <w:rFonts w:ascii="仿宋" w:hAnsi="仿宋" w:eastAsia="仿宋"/>
          <w:color w:val="000000" w:themeColor="text1"/>
          <w:sz w:val="24"/>
          <w:highlight w:val="none"/>
        </w:rPr>
        <w:t xml:space="preserve"> </w:t>
      </w:r>
    </w:p>
    <w:p>
      <w:pPr>
        <w:spacing w:line="360" w:lineRule="auto"/>
        <w:ind w:firstLine="660"/>
        <w:rPr>
          <w:rFonts w:ascii="仿宋" w:hAnsi="仿宋" w:eastAsia="仿宋"/>
          <w:color w:val="000000" w:themeColor="text1"/>
          <w:sz w:val="24"/>
          <w:highlight w:val="none"/>
        </w:rPr>
      </w:pPr>
      <w:r>
        <w:rPr>
          <w:rFonts w:hint="eastAsia" w:ascii="仿宋" w:hAnsi="仿宋" w:eastAsia="仿宋"/>
          <w:color w:val="000000" w:themeColor="text1"/>
          <w:sz w:val="24"/>
          <w:highlight w:val="none"/>
        </w:rPr>
        <w:t>9</w:t>
      </w:r>
      <w:r>
        <w:rPr>
          <w:rFonts w:ascii="仿宋" w:hAnsi="仿宋" w:eastAsia="仿宋"/>
          <w:color w:val="000000" w:themeColor="text1"/>
          <w:sz w:val="24"/>
          <w:highlight w:val="none"/>
        </w:rPr>
        <w:t xml:space="preserve">.6 </w:t>
      </w:r>
      <w:r>
        <w:rPr>
          <w:rFonts w:hint="eastAsia" w:ascii="仿宋" w:hAnsi="仿宋" w:eastAsia="仿宋"/>
          <w:color w:val="000000" w:themeColor="text1"/>
          <w:sz w:val="24"/>
          <w:highlight w:val="none"/>
        </w:rPr>
        <w:t>货物（含软件及相关服务）的安装按文件要求进行。</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10.索赔</w:t>
      </w:r>
    </w:p>
    <w:p>
      <w:pPr>
        <w:spacing w:line="360" w:lineRule="auto"/>
        <w:ind w:firstLine="658"/>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0</w:t>
      </w:r>
      <w:r>
        <w:rPr>
          <w:rFonts w:ascii="仿宋" w:hAnsi="仿宋" w:eastAsia="仿宋"/>
          <w:color w:val="000000" w:themeColor="text1"/>
          <w:sz w:val="24"/>
          <w:highlight w:val="none"/>
        </w:rPr>
        <w:t xml:space="preserve">.1 </w:t>
      </w:r>
      <w:r>
        <w:rPr>
          <w:rFonts w:hint="eastAsia" w:ascii="仿宋" w:hAnsi="仿宋" w:eastAsia="仿宋"/>
          <w:color w:val="000000" w:themeColor="text1"/>
          <w:sz w:val="24"/>
          <w:highlight w:val="none"/>
        </w:rPr>
        <w:t>除责任应由保险公司或运输部门承担的之外，甲方有权根据甲方按检验标准自己检验的结果或当地商检部门出具的商检证书向乙方提出索赔。</w:t>
      </w:r>
      <w:r>
        <w:rPr>
          <w:rFonts w:ascii="仿宋" w:hAnsi="仿宋" w:eastAsia="仿宋"/>
          <w:color w:val="000000" w:themeColor="text1"/>
          <w:sz w:val="24"/>
          <w:highlight w:val="none"/>
        </w:rPr>
        <w:t xml:space="preserve"> </w:t>
      </w:r>
    </w:p>
    <w:p>
      <w:pPr>
        <w:spacing w:line="360" w:lineRule="auto"/>
        <w:ind w:firstLine="658"/>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0</w:t>
      </w:r>
      <w:r>
        <w:rPr>
          <w:rFonts w:ascii="仿宋" w:hAnsi="仿宋" w:eastAsia="仿宋"/>
          <w:color w:val="000000" w:themeColor="text1"/>
          <w:sz w:val="24"/>
          <w:highlight w:val="none"/>
        </w:rPr>
        <w:t xml:space="preserve">.2 </w:t>
      </w:r>
      <w:r>
        <w:rPr>
          <w:rFonts w:hint="eastAsia" w:ascii="仿宋" w:hAnsi="仿宋" w:eastAsia="仿宋"/>
          <w:color w:val="000000" w:themeColor="text1"/>
          <w:sz w:val="24"/>
          <w:highlight w:val="none"/>
        </w:rPr>
        <w:t>在第</w:t>
      </w:r>
      <w:r>
        <w:rPr>
          <w:rFonts w:ascii="仿宋" w:hAnsi="仿宋" w:eastAsia="仿宋"/>
          <w:color w:val="000000" w:themeColor="text1"/>
          <w:sz w:val="24"/>
          <w:highlight w:val="none"/>
        </w:rPr>
        <w:t xml:space="preserve"> </w:t>
      </w:r>
      <w:r>
        <w:rPr>
          <w:rFonts w:hint="eastAsia" w:ascii="仿宋" w:hAnsi="仿宋" w:eastAsia="仿宋"/>
          <w:color w:val="000000" w:themeColor="text1"/>
          <w:sz w:val="24"/>
          <w:highlight w:val="none"/>
        </w:rPr>
        <w:t>8条和第9条规定的检验期和质量保证期内，如果乙方对甲方提出的索赔和差异负有责任，乙方应按照甲方同意的下列一种或多种方式解决索赔事宜:</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2</w:t>
      </w:r>
      <w:r>
        <w:rPr>
          <w:rFonts w:hint="eastAsia" w:ascii="仿宋" w:hAnsi="仿宋" w:eastAsia="仿宋"/>
          <w:color w:val="000000" w:themeColor="text1"/>
          <w:sz w:val="24"/>
          <w:highlight w:val="none"/>
        </w:rPr>
        <w:t>）根据货物（含软件及相关服务）的低劣程度、损坏程度以及甲方遭受损失的数额，经买卖双方商定降低货物（含软件及相关服务）的价格。</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3</w:t>
      </w:r>
      <w:r>
        <w:rPr>
          <w:rFonts w:hint="eastAsia" w:ascii="仿宋" w:hAnsi="仿宋" w:eastAsia="仿宋"/>
          <w:color w:val="000000" w:themeColor="text1"/>
          <w:sz w:val="24"/>
          <w:highlight w:val="none"/>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000000" w:themeColor="text1"/>
          <w:sz w:val="24"/>
          <w:highlight w:val="none"/>
        </w:rPr>
        <w:t xml:space="preserve"> </w:t>
      </w:r>
    </w:p>
    <w:p>
      <w:pPr>
        <w:spacing w:line="360" w:lineRule="auto"/>
        <w:ind w:firstLine="480"/>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0</w:t>
      </w:r>
      <w:r>
        <w:rPr>
          <w:rFonts w:ascii="仿宋" w:hAnsi="仿宋" w:eastAsia="仿宋"/>
          <w:color w:val="000000" w:themeColor="text1"/>
          <w:sz w:val="24"/>
          <w:highlight w:val="none"/>
        </w:rPr>
        <w:t xml:space="preserve">.3 </w:t>
      </w:r>
      <w:r>
        <w:rPr>
          <w:rFonts w:hint="eastAsia" w:ascii="仿宋" w:hAnsi="仿宋" w:eastAsia="仿宋"/>
          <w:color w:val="000000" w:themeColor="text1"/>
          <w:sz w:val="24"/>
          <w:highlight w:val="none"/>
        </w:rPr>
        <w:t>如果在甲方发出索赔通知后</w:t>
      </w:r>
      <w:r>
        <w:rPr>
          <w:rFonts w:ascii="仿宋" w:hAnsi="仿宋" w:eastAsia="仿宋"/>
          <w:color w:val="000000" w:themeColor="text1"/>
          <w:sz w:val="24"/>
          <w:highlight w:val="none"/>
        </w:rPr>
        <w:t>3</w:t>
      </w:r>
      <w:r>
        <w:rPr>
          <w:rFonts w:hint="eastAsia" w:ascii="仿宋" w:hAnsi="仿宋" w:eastAsia="仿宋"/>
          <w:color w:val="000000" w:themeColor="text1"/>
          <w:sz w:val="24"/>
          <w:highlight w:val="none"/>
        </w:rPr>
        <w:t>0天内，乙方未能答复，上达索赔应视为已被乙方接受。若乙方未能在甲方提出索赔通知后</w:t>
      </w:r>
      <w:r>
        <w:rPr>
          <w:rFonts w:ascii="仿宋" w:hAnsi="仿宋" w:eastAsia="仿宋"/>
          <w:color w:val="000000" w:themeColor="text1"/>
          <w:sz w:val="24"/>
          <w:highlight w:val="none"/>
        </w:rPr>
        <w:t>30</w:t>
      </w:r>
      <w:r>
        <w:rPr>
          <w:rFonts w:hint="eastAsia" w:ascii="仿宋" w:hAnsi="仿宋" w:eastAsia="仿宋"/>
          <w:color w:val="000000" w:themeColor="text1"/>
          <w:sz w:val="24"/>
          <w:highlight w:val="none"/>
        </w:rPr>
        <w:t>天内或甲方同意的更长时间内，按照第</w:t>
      </w: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0.</w:t>
      </w:r>
      <w:r>
        <w:rPr>
          <w:rFonts w:ascii="仿宋" w:hAnsi="仿宋" w:eastAsia="仿宋"/>
          <w:color w:val="000000" w:themeColor="text1"/>
          <w:sz w:val="24"/>
          <w:highlight w:val="none"/>
        </w:rPr>
        <w:t>2</w:t>
      </w:r>
      <w:r>
        <w:rPr>
          <w:rFonts w:hint="eastAsia" w:ascii="仿宋" w:hAnsi="仿宋" w:eastAsia="仿宋"/>
          <w:color w:val="000000" w:themeColor="text1"/>
          <w:sz w:val="24"/>
          <w:highlight w:val="none"/>
        </w:rPr>
        <w:t>条规定的任何一种方法解决索赔事宜，甲方将从已付款或从乙方开具的履约保证金中扣回索赔金颔。如果这些金额不足以补偿索赔金额，甲方有权向乙方提出不足部分的补偿。</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11.拖延交货</w:t>
      </w:r>
    </w:p>
    <w:p>
      <w:pPr>
        <w:spacing w:line="360" w:lineRule="auto"/>
        <w:ind w:firstLine="567"/>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 xml:space="preserve"> </w:t>
      </w:r>
      <w:r>
        <w:rPr>
          <w:rFonts w:hint="eastAsia" w:ascii="仿宋" w:hAnsi="仿宋" w:eastAsia="仿宋"/>
          <w:color w:val="000000" w:themeColor="text1"/>
          <w:sz w:val="24"/>
          <w:highlight w:val="none"/>
        </w:rPr>
        <w:t>乙方应按照合同专用条款中规定的交货期交货和提供服务。</w:t>
      </w:r>
      <w:r>
        <w:rPr>
          <w:rFonts w:ascii="仿宋" w:hAnsi="仿宋" w:eastAsia="仿宋"/>
          <w:color w:val="000000" w:themeColor="text1"/>
          <w:sz w:val="24"/>
          <w:highlight w:val="none"/>
        </w:rPr>
        <w:t xml:space="preserve"> </w:t>
      </w:r>
    </w:p>
    <w:p>
      <w:pPr>
        <w:spacing w:line="360" w:lineRule="auto"/>
        <w:ind w:firstLine="567"/>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 xml:space="preserve">.2 </w:t>
      </w:r>
      <w:r>
        <w:rPr>
          <w:rFonts w:hint="eastAsia" w:ascii="仿宋" w:hAnsi="仿宋" w:eastAsia="仿宋"/>
          <w:color w:val="000000" w:themeColor="text1"/>
          <w:sz w:val="24"/>
          <w:highlight w:val="none"/>
        </w:rPr>
        <w:t>如果乙方毫无理由地拖延交货，将受到以下制裁:没收履约保证金，加收违约损失赔偿或终止合同。</w:t>
      </w:r>
      <w:r>
        <w:rPr>
          <w:rFonts w:ascii="仿宋" w:hAnsi="仿宋" w:eastAsia="仿宋"/>
          <w:color w:val="000000" w:themeColor="text1"/>
          <w:sz w:val="24"/>
          <w:highlight w:val="none"/>
        </w:rPr>
        <w:t xml:space="preserve"> </w:t>
      </w:r>
    </w:p>
    <w:p>
      <w:pPr>
        <w:spacing w:line="360" w:lineRule="auto"/>
        <w:ind w:firstLine="567"/>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 xml:space="preserve">.3 </w:t>
      </w:r>
      <w:r>
        <w:rPr>
          <w:rFonts w:hint="eastAsia" w:ascii="仿宋" w:hAnsi="仿宋" w:eastAsia="仿宋"/>
          <w:color w:val="000000" w:themeColor="text1"/>
          <w:sz w:val="24"/>
          <w:highlight w:val="none"/>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000000" w:themeColor="text1"/>
          <w:sz w:val="24"/>
          <w:highlight w:val="none"/>
        </w:rPr>
        <w:t xml:space="preserve"> </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12.误期赔偿</w:t>
      </w:r>
    </w:p>
    <w:p>
      <w:pPr>
        <w:spacing w:line="360" w:lineRule="auto"/>
        <w:ind w:firstLine="567"/>
        <w:rPr>
          <w:rFonts w:ascii="仿宋" w:hAnsi="仿宋" w:eastAsia="仿宋"/>
          <w:color w:val="000000" w:themeColor="text1"/>
          <w:sz w:val="24"/>
          <w:highlight w:val="none"/>
        </w:rPr>
      </w:pPr>
      <w:r>
        <w:rPr>
          <w:rFonts w:hint="eastAsia" w:ascii="仿宋" w:hAnsi="仿宋" w:eastAsia="仿宋"/>
          <w:color w:val="000000" w:themeColor="text1"/>
          <w:sz w:val="24"/>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13.不可抗力</w:t>
      </w:r>
    </w:p>
    <w:p>
      <w:pPr>
        <w:spacing w:line="360" w:lineRule="auto"/>
        <w:ind w:firstLine="567"/>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3</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 xml:space="preserve"> </w:t>
      </w:r>
      <w:r>
        <w:rPr>
          <w:rFonts w:hint="eastAsia" w:ascii="仿宋" w:hAnsi="仿宋" w:eastAsia="仿宋"/>
          <w:color w:val="000000" w:themeColor="text1"/>
          <w:sz w:val="24"/>
          <w:highlight w:val="none"/>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000000" w:themeColor="text1"/>
          <w:sz w:val="24"/>
          <w:highlight w:val="none"/>
        </w:rPr>
        <w:t xml:space="preserve"> </w:t>
      </w:r>
    </w:p>
    <w:p>
      <w:pPr>
        <w:spacing w:line="360" w:lineRule="auto"/>
        <w:ind w:firstLine="567"/>
        <w:rPr>
          <w:rFonts w:ascii="仿宋" w:hAnsi="仿宋" w:eastAsia="仿宋"/>
          <w:color w:val="000000" w:themeColor="text1"/>
          <w:sz w:val="24"/>
          <w:highlight w:val="none"/>
        </w:rPr>
      </w:pP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3</w:t>
      </w:r>
      <w:r>
        <w:rPr>
          <w:rFonts w:ascii="仿宋" w:hAnsi="仿宋" w:eastAsia="仿宋"/>
          <w:color w:val="000000" w:themeColor="text1"/>
          <w:sz w:val="24"/>
          <w:highlight w:val="none"/>
        </w:rPr>
        <w:t xml:space="preserve">.2 </w:t>
      </w:r>
      <w:r>
        <w:rPr>
          <w:rFonts w:hint="eastAsia" w:ascii="仿宋" w:hAnsi="仿宋" w:eastAsia="仿宋"/>
          <w:color w:val="000000" w:themeColor="text1"/>
          <w:sz w:val="24"/>
          <w:highlight w:val="none"/>
        </w:rPr>
        <w:t>受事故影响的一方应在不可抗力事故发生后尽快以电报、传真或电传通知另一方，并在事故发生后</w:t>
      </w:r>
      <w:r>
        <w:rPr>
          <w:rFonts w:ascii="仿宋" w:hAnsi="仿宋" w:eastAsia="仿宋"/>
          <w:color w:val="000000" w:themeColor="text1"/>
          <w:sz w:val="24"/>
          <w:highlight w:val="none"/>
        </w:rPr>
        <w:t>14</w:t>
      </w:r>
      <w:r>
        <w:rPr>
          <w:rFonts w:hint="eastAsia" w:ascii="仿宋" w:hAnsi="仿宋" w:eastAsia="仿宋"/>
          <w:color w:val="000000" w:themeColor="text1"/>
          <w:sz w:val="24"/>
          <w:highlight w:val="none"/>
        </w:rPr>
        <w:t>天内，将有关部门出具的证明文件用特快专递寄给或送给另一方。如果不可抗力影响时间延续</w:t>
      </w:r>
      <w:r>
        <w:rPr>
          <w:rFonts w:ascii="仿宋" w:hAnsi="仿宋" w:eastAsia="仿宋"/>
          <w:color w:val="000000" w:themeColor="text1"/>
          <w:sz w:val="24"/>
          <w:highlight w:val="none"/>
        </w:rPr>
        <w:t>120</w:t>
      </w:r>
      <w:r>
        <w:rPr>
          <w:rFonts w:hint="eastAsia" w:ascii="仿宋" w:hAnsi="仿宋" w:eastAsia="仿宋"/>
          <w:color w:val="000000" w:themeColor="text1"/>
          <w:sz w:val="24"/>
          <w:highlight w:val="none"/>
        </w:rPr>
        <w:t>天以上，双方应通过友好协商在合理的时间内达成进一步履行合同的协议。</w:t>
      </w:r>
      <w:r>
        <w:rPr>
          <w:rFonts w:ascii="仿宋" w:hAnsi="仿宋" w:eastAsia="仿宋"/>
          <w:color w:val="000000" w:themeColor="text1"/>
          <w:sz w:val="24"/>
          <w:highlight w:val="none"/>
        </w:rPr>
        <w:t xml:space="preserve"> </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14.税费</w:t>
      </w:r>
    </w:p>
    <w:p>
      <w:pPr>
        <w:spacing w:line="360" w:lineRule="auto"/>
        <w:ind w:firstLine="567"/>
        <w:rPr>
          <w:rFonts w:ascii="仿宋" w:hAnsi="仿宋" w:eastAsia="仿宋"/>
          <w:color w:val="000000" w:themeColor="text1"/>
          <w:sz w:val="24"/>
          <w:highlight w:val="none"/>
        </w:rPr>
      </w:pPr>
      <w:r>
        <w:rPr>
          <w:rFonts w:hint="eastAsia" w:ascii="仿宋" w:hAnsi="仿宋" w:eastAsia="仿宋"/>
          <w:color w:val="000000" w:themeColor="text1"/>
          <w:sz w:val="24"/>
          <w:highlight w:val="none"/>
        </w:rPr>
        <w:t>14.1 中国政府根据现行税法规定对甲方征收的与本合同有关的一切税费，均由甲方负担。</w:t>
      </w:r>
    </w:p>
    <w:p>
      <w:pPr>
        <w:spacing w:line="360" w:lineRule="auto"/>
        <w:ind w:firstLine="567"/>
        <w:rPr>
          <w:rFonts w:ascii="仿宋" w:hAnsi="仿宋" w:eastAsia="仿宋"/>
          <w:color w:val="000000" w:themeColor="text1"/>
          <w:sz w:val="24"/>
          <w:highlight w:val="none"/>
        </w:rPr>
      </w:pPr>
      <w:r>
        <w:rPr>
          <w:rFonts w:hint="eastAsia" w:ascii="仿宋" w:hAnsi="仿宋" w:eastAsia="仿宋"/>
          <w:color w:val="000000" w:themeColor="text1"/>
          <w:sz w:val="24"/>
          <w:highlight w:val="none"/>
        </w:rPr>
        <w:t>14.2 中国政府根据现行税法规定对乙方征收的与本合同有关的一切税费均由乙方负担。</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 xml:space="preserve">15. </w:t>
      </w:r>
      <w:r>
        <w:rPr>
          <w:rFonts w:hint="eastAsia" w:ascii="仿宋" w:hAnsi="仿宋" w:eastAsia="仿宋" w:cs="仿宋"/>
          <w:color w:val="000000" w:themeColor="text1"/>
          <w:sz w:val="24"/>
          <w:highlight w:val="none"/>
        </w:rPr>
        <w:t>争议解决办法</w:t>
      </w:r>
    </w:p>
    <w:p>
      <w:pPr>
        <w:spacing w:line="360" w:lineRule="auto"/>
        <w:ind w:firstLine="480"/>
        <w:rPr>
          <w:rFonts w:ascii="仿宋" w:hAnsi="仿宋" w:eastAsia="仿宋"/>
          <w:color w:val="000000" w:themeColor="text1"/>
          <w:sz w:val="24"/>
          <w:highlight w:val="none"/>
        </w:rPr>
      </w:pPr>
      <w:r>
        <w:rPr>
          <w:rFonts w:hint="eastAsia" w:ascii="仿宋" w:hAnsi="仿宋" w:eastAsia="仿宋" w:cs="仿宋"/>
          <w:color w:val="000000" w:themeColor="text1"/>
          <w:sz w:val="24"/>
          <w:highlight w:val="none"/>
        </w:rPr>
        <w:t>因本合同或与本合同有关的一切事项发生争议，由双方友好协商解决。协商不成的，任何一方均可选择向甲方所在地的人民法院起诉。</w:t>
      </w:r>
    </w:p>
    <w:p>
      <w:pPr>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rPr>
        <w:t>16.违约终止合同</w:t>
      </w:r>
    </w:p>
    <w:p>
      <w:pPr>
        <w:spacing w:line="360" w:lineRule="auto"/>
        <w:ind w:firstLine="570"/>
        <w:rPr>
          <w:rFonts w:ascii="仿宋" w:hAnsi="仿宋" w:eastAsia="仿宋"/>
          <w:color w:val="000000" w:themeColor="text1"/>
          <w:sz w:val="24"/>
          <w:highlight w:val="none"/>
        </w:rPr>
      </w:pPr>
      <w:r>
        <w:rPr>
          <w:rFonts w:hint="eastAsia" w:ascii="仿宋" w:hAnsi="仿宋" w:eastAsia="仿宋"/>
          <w:color w:val="000000" w:themeColor="text1"/>
          <w:sz w:val="24"/>
          <w:highlight w:val="none"/>
        </w:rPr>
        <w:t>16</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 xml:space="preserve"> </w:t>
      </w:r>
      <w:r>
        <w:rPr>
          <w:rFonts w:hint="eastAsia" w:ascii="仿宋" w:hAnsi="仿宋" w:eastAsia="仿宋"/>
          <w:color w:val="000000" w:themeColor="text1"/>
          <w:sz w:val="24"/>
          <w:highlight w:val="none"/>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color w:val="000000" w:themeColor="text1"/>
          <w:sz w:val="24"/>
          <w:highlight w:val="none"/>
        </w:rPr>
        <w:t xml:space="preserve"> </w:t>
      </w:r>
    </w:p>
    <w:p>
      <w:pPr>
        <w:pStyle w:val="67"/>
        <w:spacing w:line="360" w:lineRule="auto"/>
        <w:ind w:firstLine="560"/>
        <w:rPr>
          <w:rFonts w:hAnsi="仿宋" w:cs="Times New Roman"/>
          <w:color w:val="000000" w:themeColor="text1"/>
          <w:highlight w:val="none"/>
        </w:rPr>
      </w:pPr>
      <w:r>
        <w:rPr>
          <w:rFonts w:hint="eastAsia" w:hAnsi="仿宋" w:cs="Times New Roman"/>
          <w:color w:val="000000" w:themeColor="text1"/>
          <w:highlight w:val="none"/>
        </w:rPr>
        <w:t>（1）如果乙方未能在合同规定的期限或甲方同意延期的限期内提供全部或部分货物（含软件及相关服务）；</w:t>
      </w:r>
      <w:r>
        <w:rPr>
          <w:rFonts w:hAnsi="仿宋" w:cs="Times New Roman"/>
          <w:color w:val="000000" w:themeColor="text1"/>
          <w:highlight w:val="none"/>
        </w:rPr>
        <w:t xml:space="preserve"> </w:t>
      </w:r>
    </w:p>
    <w:p>
      <w:pPr>
        <w:pStyle w:val="67"/>
        <w:spacing w:line="360" w:lineRule="auto"/>
        <w:ind w:firstLine="560"/>
        <w:rPr>
          <w:rFonts w:hAnsi="仿宋" w:cs="Times New Roman"/>
          <w:color w:val="000000" w:themeColor="text1"/>
          <w:highlight w:val="none"/>
        </w:rPr>
      </w:pPr>
      <w:r>
        <w:rPr>
          <w:rFonts w:hint="eastAsia" w:hAnsi="仿宋" w:cs="Times New Roman"/>
          <w:color w:val="000000" w:themeColor="text1"/>
          <w:highlight w:val="none"/>
        </w:rPr>
        <w:t>（</w:t>
      </w:r>
      <w:r>
        <w:rPr>
          <w:rFonts w:hAnsi="仿宋" w:cs="Times New Roman"/>
          <w:color w:val="000000" w:themeColor="text1"/>
          <w:highlight w:val="none"/>
        </w:rPr>
        <w:t>2</w:t>
      </w:r>
      <w:r>
        <w:rPr>
          <w:rFonts w:hint="eastAsia" w:hAnsi="仿宋" w:cs="Times New Roman"/>
          <w:color w:val="000000" w:themeColor="text1"/>
          <w:highlight w:val="none"/>
        </w:rPr>
        <w:t>）如果乙方未能履行合同规定的其它义务。</w:t>
      </w:r>
      <w:r>
        <w:rPr>
          <w:rFonts w:hAnsi="仿宋" w:cs="Times New Roman"/>
          <w:color w:val="000000" w:themeColor="text1"/>
          <w:highlight w:val="none"/>
        </w:rPr>
        <w:t xml:space="preserve"> </w:t>
      </w:r>
    </w:p>
    <w:p>
      <w:pPr>
        <w:pStyle w:val="67"/>
        <w:spacing w:line="360" w:lineRule="auto"/>
        <w:ind w:firstLine="560"/>
        <w:rPr>
          <w:rFonts w:hAnsi="仿宋" w:cs="Times New Roman"/>
          <w:color w:val="000000" w:themeColor="text1"/>
          <w:highlight w:val="none"/>
        </w:rPr>
      </w:pPr>
      <w:r>
        <w:rPr>
          <w:rFonts w:hint="eastAsia" w:hAnsi="仿宋" w:cs="Times New Roman"/>
          <w:color w:val="000000" w:themeColor="text1"/>
          <w:highlight w:val="none"/>
        </w:rPr>
        <w:t>16</w:t>
      </w:r>
      <w:r>
        <w:rPr>
          <w:rFonts w:hAnsi="仿宋" w:cs="Times New Roman"/>
          <w:color w:val="000000" w:themeColor="text1"/>
          <w:highlight w:val="none"/>
        </w:rPr>
        <w:t xml:space="preserve">.2 </w:t>
      </w:r>
      <w:r>
        <w:rPr>
          <w:rFonts w:hint="eastAsia" w:hAnsi="仿宋" w:cs="Times New Roman"/>
          <w:color w:val="000000" w:themeColor="text1"/>
          <w:highlight w:val="none"/>
        </w:rPr>
        <w:t>在甲方根据第17</w:t>
      </w:r>
      <w:r>
        <w:rPr>
          <w:rFonts w:hAnsi="仿宋" w:cs="Times New Roman"/>
          <w:color w:val="000000" w:themeColor="text1"/>
          <w:highlight w:val="none"/>
        </w:rPr>
        <w:t>.</w:t>
      </w:r>
      <w:r>
        <w:rPr>
          <w:rFonts w:hint="eastAsia" w:hAnsi="仿宋" w:cs="Times New Roman"/>
          <w:color w:val="000000" w:themeColor="text1"/>
          <w:highlight w:val="none"/>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Style w:val="22"/>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17.破产中止合同</w:t>
      </w:r>
    </w:p>
    <w:p>
      <w:pPr>
        <w:pStyle w:val="22"/>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    17.1 如果乙方破产或无清偿能力，甲方可在任何时候以书面形式通知乙方中止合同而不给乙方补偿。该中止合同将不损害或影响甲方和使用方已经采取或将要采取的任何行动或补救措施的权力。</w:t>
      </w:r>
    </w:p>
    <w:p>
      <w:pPr>
        <w:pStyle w:val="22"/>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18.转让</w:t>
      </w:r>
    </w:p>
    <w:p>
      <w:pPr>
        <w:pStyle w:val="22"/>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    18.1 除甲方事先书面同意外，乙方不得部分转让或全部转让其应履行的合同义务。</w:t>
      </w:r>
    </w:p>
    <w:p>
      <w:pPr>
        <w:pStyle w:val="22"/>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19.合同生效及其它</w:t>
      </w:r>
    </w:p>
    <w:p>
      <w:pPr>
        <w:spacing w:line="360" w:lineRule="auto"/>
        <w:rPr>
          <w:rFonts w:ascii="仿宋" w:hAnsi="仿宋" w:eastAsia="仿宋"/>
          <w:b/>
          <w:color w:val="000000" w:themeColor="text1"/>
          <w:sz w:val="24"/>
          <w:highlight w:val="none"/>
        </w:rPr>
      </w:pPr>
      <w:r>
        <w:rPr>
          <w:rFonts w:hint="eastAsia" w:ascii="仿宋" w:hAnsi="仿宋" w:eastAsia="仿宋"/>
          <w:color w:val="000000" w:themeColor="text1"/>
          <w:sz w:val="24"/>
          <w:highlight w:val="none"/>
        </w:rPr>
        <w:t xml:space="preserve">    19.1 </w:t>
      </w:r>
      <w:r>
        <w:rPr>
          <w:rFonts w:hint="eastAsia" w:ascii="仿宋" w:hAnsi="仿宋" w:eastAsia="仿宋" w:cs="仿宋"/>
          <w:bCs/>
          <w:color w:val="000000" w:themeColor="text1"/>
          <w:sz w:val="24"/>
          <w:highlight w:val="none"/>
        </w:rPr>
        <w:t>采购人</w:t>
      </w:r>
      <w:r>
        <w:rPr>
          <w:rFonts w:hint="eastAsia" w:ascii="仿宋" w:hAnsi="仿宋" w:eastAsia="仿宋" w:cs="仿宋"/>
          <w:bCs/>
          <w:color w:val="000000" w:themeColor="text1"/>
          <w:sz w:val="24"/>
          <w:highlight w:val="none"/>
          <w:lang w:val="zh-CN"/>
        </w:rPr>
        <w:t>JSZC-320804-JTZB-G2024-0001</w:t>
      </w:r>
      <w:r>
        <w:rPr>
          <w:rFonts w:hint="eastAsia" w:ascii="仿宋" w:hAnsi="仿宋" w:eastAsia="仿宋"/>
          <w:color w:val="000000" w:themeColor="text1"/>
          <w:sz w:val="24"/>
          <w:highlight w:val="none"/>
        </w:rPr>
        <w:t>招标文件、乙方提交的</w:t>
      </w:r>
      <w:r>
        <w:rPr>
          <w:rFonts w:hint="eastAsia" w:ascii="仿宋" w:hAnsi="仿宋" w:eastAsia="仿宋" w:cs="仿宋"/>
          <w:bCs/>
          <w:color w:val="000000" w:themeColor="text1"/>
          <w:sz w:val="24"/>
          <w:highlight w:val="none"/>
          <w:lang w:val="zh-CN"/>
        </w:rPr>
        <w:t>JSZC-320804-JTZB-G2024-0001</w:t>
      </w:r>
      <w:r>
        <w:rPr>
          <w:rFonts w:hint="eastAsia" w:ascii="仿宋" w:hAnsi="仿宋" w:eastAsia="仿宋"/>
          <w:color w:val="000000" w:themeColor="text1"/>
          <w:sz w:val="24"/>
          <w:highlight w:val="none"/>
        </w:rPr>
        <w:t>投标文件、本次招标的中标通知书和乙方的澄清等内容将作为本次合同文件的主要内容。乙方在合同履行过程中若发生服务内容缩减、服务不及时的现象，甲方有权对乙方处以适当的经济处罚。</w:t>
      </w:r>
    </w:p>
    <w:p>
      <w:pPr>
        <w:pStyle w:val="22"/>
        <w:spacing w:line="360" w:lineRule="auto"/>
        <w:ind w:firstLine="480"/>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19.2 </w:t>
      </w:r>
      <w:r>
        <w:rPr>
          <w:rFonts w:hint="eastAsia" w:ascii="仿宋" w:hAnsi="仿宋" w:eastAsia="仿宋" w:cs="仿宋"/>
          <w:color w:val="000000" w:themeColor="text1"/>
          <w:sz w:val="24"/>
          <w:szCs w:val="24"/>
          <w:highlight w:val="none"/>
        </w:rPr>
        <w:t>本合同在经甲、乙双方加盖电子签章后生效</w:t>
      </w:r>
      <w:r>
        <w:rPr>
          <w:rFonts w:hint="eastAsia" w:ascii="仿宋" w:hAnsi="仿宋" w:eastAsia="仿宋"/>
          <w:color w:val="000000" w:themeColor="text1"/>
          <w:sz w:val="24"/>
          <w:szCs w:val="24"/>
          <w:highlight w:val="none"/>
        </w:rPr>
        <w:t xml:space="preserve">。    </w:t>
      </w:r>
    </w:p>
    <w:p>
      <w:pPr>
        <w:pStyle w:val="22"/>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    19.3 合同货物交付使用后所发生的合同纠纷，甲方与乙方进行处理。</w:t>
      </w:r>
    </w:p>
    <w:p>
      <w:pPr>
        <w:pStyle w:val="22"/>
        <w:spacing w:line="360" w:lineRule="auto"/>
        <w:rPr>
          <w:rFonts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    19.4 如需修改或补充合同内容，应经甲方、乙方协商，签署书面修改或补充协议。该协议将作为本合同不可分割的一部分。</w:t>
      </w:r>
    </w:p>
    <w:p>
      <w:pPr>
        <w:spacing w:line="360" w:lineRule="auto"/>
        <w:ind w:firstLine="480"/>
        <w:rPr>
          <w:rFonts w:ascii="宋体" w:hAnsi="宋体" w:cs="宋体"/>
          <w:b/>
          <w:bCs/>
          <w:color w:val="000000" w:themeColor="text1"/>
          <w:sz w:val="24"/>
          <w:highlight w:val="none"/>
        </w:rPr>
      </w:pPr>
      <w:r>
        <w:rPr>
          <w:rFonts w:hint="eastAsia" w:ascii="仿宋" w:hAnsi="仿宋" w:eastAsia="仿宋"/>
          <w:color w:val="000000" w:themeColor="text1"/>
          <w:sz w:val="24"/>
          <w:highlight w:val="none"/>
        </w:rPr>
        <w:t>19.5 本合同应按照中华人民共和国的现行法律进行解释。</w:t>
      </w: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color w:val="000000" w:themeColor="text1"/>
          <w:sz w:val="36"/>
          <w:szCs w:val="36"/>
          <w:highlight w:val="none"/>
        </w:rPr>
      </w:pPr>
    </w:p>
    <w:p>
      <w:pPr>
        <w:pStyle w:val="29"/>
        <w:spacing w:line="460" w:lineRule="exact"/>
        <w:jc w:val="center"/>
        <w:rPr>
          <w:rFonts w:ascii="仿宋" w:hAnsi="仿宋" w:eastAsia="仿宋"/>
          <w:b/>
          <w:bCs/>
          <w:color w:val="000000" w:themeColor="text1"/>
          <w:sz w:val="36"/>
          <w:szCs w:val="36"/>
          <w:highlight w:val="none"/>
        </w:rPr>
      </w:pPr>
      <w:r>
        <w:rPr>
          <w:rFonts w:hint="eastAsia" w:ascii="仿宋" w:hAnsi="仿宋" w:eastAsia="仿宋"/>
          <w:b/>
          <w:color w:val="000000" w:themeColor="text1"/>
          <w:sz w:val="36"/>
          <w:szCs w:val="36"/>
          <w:highlight w:val="none"/>
        </w:rPr>
        <w:t xml:space="preserve">第五章 </w:t>
      </w:r>
      <w:r>
        <w:rPr>
          <w:rFonts w:hint="eastAsia" w:ascii="仿宋" w:hAnsi="仿宋" w:eastAsia="仿宋"/>
          <w:b/>
          <w:bCs/>
          <w:color w:val="000000" w:themeColor="text1"/>
          <w:sz w:val="36"/>
          <w:szCs w:val="36"/>
          <w:highlight w:val="none"/>
        </w:rPr>
        <w:t>项目采购需求</w:t>
      </w:r>
    </w:p>
    <w:p>
      <w:pPr>
        <w:rPr>
          <w:color w:val="000000" w:themeColor="text1"/>
          <w:highlight w:val="none"/>
        </w:rPr>
      </w:pPr>
    </w:p>
    <w:p>
      <w:pPr>
        <w:rPr>
          <w:b/>
          <w:color w:val="000000" w:themeColor="text1"/>
          <w:sz w:val="28"/>
          <w:szCs w:val="28"/>
          <w:highlight w:val="none"/>
        </w:rPr>
      </w:pPr>
      <w:r>
        <w:rPr>
          <w:rFonts w:hint="eastAsia"/>
          <w:b/>
          <w:color w:val="000000" w:themeColor="text1"/>
          <w:sz w:val="28"/>
          <w:szCs w:val="28"/>
          <w:highlight w:val="none"/>
        </w:rPr>
        <w:t>一、采购清单</w:t>
      </w:r>
    </w:p>
    <w:p>
      <w:pPr>
        <w:rPr>
          <w:b/>
          <w:color w:val="000000" w:themeColor="text1"/>
          <w:sz w:val="28"/>
          <w:szCs w:val="28"/>
          <w:highlight w:val="none"/>
        </w:rPr>
      </w:pPr>
    </w:p>
    <w:tbl>
      <w:tblPr>
        <w:tblStyle w:val="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4253"/>
        <w:gridCol w:w="1559"/>
        <w:gridCol w:w="1417"/>
        <w:gridCol w:w="12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序号</w:t>
            </w:r>
          </w:p>
        </w:tc>
        <w:tc>
          <w:tcPr>
            <w:tcW w:w="4253" w:type="dxa"/>
            <w:vAlign w:val="center"/>
          </w:tcPr>
          <w:p>
            <w:pPr>
              <w:spacing w:line="300" w:lineRule="exact"/>
              <w:jc w:val="center"/>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设备名称</w:t>
            </w:r>
          </w:p>
        </w:tc>
        <w:tc>
          <w:tcPr>
            <w:tcW w:w="1559" w:type="dxa"/>
            <w:vAlign w:val="center"/>
          </w:tcPr>
          <w:p>
            <w:pPr>
              <w:spacing w:line="300" w:lineRule="exact"/>
              <w:jc w:val="center"/>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数量</w:t>
            </w:r>
          </w:p>
        </w:tc>
        <w:tc>
          <w:tcPr>
            <w:tcW w:w="1417" w:type="dxa"/>
            <w:vAlign w:val="center"/>
          </w:tcPr>
          <w:p>
            <w:pPr>
              <w:spacing w:line="300" w:lineRule="exact"/>
              <w:jc w:val="center"/>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单位</w:t>
            </w:r>
          </w:p>
        </w:tc>
        <w:tc>
          <w:tcPr>
            <w:tcW w:w="1240" w:type="dxa"/>
            <w:vAlign w:val="center"/>
          </w:tcPr>
          <w:p>
            <w:pPr>
              <w:spacing w:line="300" w:lineRule="exact"/>
              <w:jc w:val="center"/>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离子色谱仪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ICP-OES</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石墨炉原子吸收分光光度计</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全自动化学需氧量分析仪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5</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全自动总磷、总氮分析仪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6</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全自动阴离子挥发酚分析仪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7</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全自动高锰酸盐指数分析仪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便携式抽滤机</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9</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噪声声级计</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10</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便携式离心机</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11</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移液枪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8</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支</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12</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自动氰化物分析仪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13</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余氯测定仪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14</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浊度测试仪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15</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PH电极</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个</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16</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PH计实验室用</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tabs>
                <w:tab w:val="left" w:pos="465"/>
                <w:tab w:val="center" w:pos="660"/>
              </w:tabs>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17</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高压灭菌锅</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18</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培养箱</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19</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紫外-可见光分光光度计</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20</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样品冷藏柜</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个</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21</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自动蒸馏仪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22</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可见分光光度计</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23</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便携式声学多普勒流速仪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24</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烟气测试仪综合校准仪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25</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自动洗瓶机</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26</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废气多功能采样装置</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27</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紫外烟气分析仪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28</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非甲烷总烃监测分析系统</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29</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噪声校准仪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30</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智能双路烟气采样器</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31</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便携式水质多参数快速分析仪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32</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手持卫星定位仪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33</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应急工作箱（含数据处理端、便携式打印机、执法记录仪、录音笔、手持终端、便携式电源等）</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34</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应急器材箱（应急电源、应急灯、激光测距望远镜、高倍望远镜等、便携式气象参数测定仪风速风向气温气压、防爆对讲机等）</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35</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标准化水质应急采样装备箱（含采样器、固定剂箱、冷藏保存箱、样品瓶及必要的辅助器材）</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36</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救护装备箱（水上救生设备、急救器材箱、重型防化服等）</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37</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气相分子光谱仪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38</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便携式测油仪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39</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便携式多参数分光光度计氰化物、六价铬、余氯</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40</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深井采样器</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41</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生物毒性检测仪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42</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苏玛罐</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43</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便携式VOC检测仪（PID）</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44</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气体检测管</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套</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45</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s="宋体"/>
                <w:color w:val="000000" w:themeColor="text1"/>
                <w:sz w:val="24"/>
                <w:szCs w:val="32"/>
                <w:highlight w:val="none"/>
              </w:rPr>
              <w:t>便携式多种气体检测仪(电化学传感器法)</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46</w:t>
            </w:r>
          </w:p>
        </w:tc>
        <w:tc>
          <w:tcPr>
            <w:tcW w:w="4253" w:type="dxa"/>
            <w:vAlign w:val="center"/>
          </w:tcPr>
          <w:p>
            <w:pPr>
              <w:spacing w:line="300" w:lineRule="exact"/>
              <w:rPr>
                <w:rFonts w:ascii="仿宋" w:hAnsi="仿宋" w:eastAsia="仿宋"/>
                <w:color w:val="000000" w:themeColor="text1"/>
                <w:highlight w:val="none"/>
              </w:rPr>
            </w:pPr>
            <w:r>
              <w:rPr>
                <w:rFonts w:hint="eastAsia" w:ascii="仿宋" w:hAnsi="仿宋" w:eastAsia="仿宋" w:cs="宋体"/>
                <w:color w:val="000000" w:themeColor="text1"/>
                <w:sz w:val="24"/>
                <w:szCs w:val="32"/>
                <w:highlight w:val="none"/>
              </w:rPr>
              <w:t>便携式蓝绿藻叶绿素测定仪</w:t>
            </w:r>
          </w:p>
        </w:tc>
        <w:tc>
          <w:tcPr>
            <w:tcW w:w="1559"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台</w:t>
            </w:r>
          </w:p>
        </w:tc>
        <w:tc>
          <w:tcPr>
            <w:tcW w:w="1240" w:type="dxa"/>
            <w:vAlign w:val="center"/>
          </w:tcPr>
          <w:p>
            <w:pPr>
              <w:spacing w:line="300" w:lineRule="exac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7" w:type="dxa"/>
            <w:vAlign w:val="center"/>
          </w:tcPr>
          <w:p>
            <w:pPr>
              <w:spacing w:line="30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47</w:t>
            </w:r>
          </w:p>
        </w:tc>
        <w:tc>
          <w:tcPr>
            <w:tcW w:w="4253" w:type="dxa"/>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实验台、试剂柜、样品柜、仪器架、通风橱、吸气罩</w:t>
            </w:r>
          </w:p>
        </w:tc>
        <w:tc>
          <w:tcPr>
            <w:tcW w:w="4216" w:type="dxa"/>
            <w:gridSpan w:val="3"/>
            <w:vAlign w:val="center"/>
          </w:tcPr>
          <w:p>
            <w:pPr>
              <w:spacing w:line="30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详见二、技术参数要求 （四十七）</w:t>
            </w:r>
          </w:p>
        </w:tc>
      </w:tr>
    </w:tbl>
    <w:p>
      <w:pPr>
        <w:pStyle w:val="62"/>
        <w:spacing w:line="360" w:lineRule="auto"/>
        <w:ind w:firstLine="0"/>
        <w:rPr>
          <w:rFonts w:ascii="仿宋" w:hAnsi="仿宋" w:eastAsia="仿宋" w:cs="仿宋"/>
          <w:b/>
          <w:bCs/>
          <w:color w:val="000000" w:themeColor="text1"/>
          <w:sz w:val="28"/>
          <w:szCs w:val="28"/>
          <w:highlight w:val="none"/>
        </w:rPr>
      </w:pPr>
    </w:p>
    <w:p>
      <w:pPr>
        <w:spacing w:before="100" w:beforeAutospacing="1" w:line="360" w:lineRule="auto"/>
        <w:rPr>
          <w:b/>
          <w:color w:val="000000" w:themeColor="text1"/>
          <w:sz w:val="28"/>
          <w:szCs w:val="28"/>
          <w:highlight w:val="none"/>
        </w:rPr>
      </w:pPr>
      <w:r>
        <w:rPr>
          <w:rFonts w:hint="eastAsia"/>
          <w:b/>
          <w:color w:val="000000" w:themeColor="text1"/>
          <w:sz w:val="28"/>
          <w:szCs w:val="28"/>
          <w:highlight w:val="none"/>
        </w:rPr>
        <w:t>二、技术参数要求</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bookmarkStart w:id="33" w:name="_Toc24112"/>
      <w:bookmarkStart w:id="34" w:name="_Hlk164259163"/>
      <w:r>
        <w:rPr>
          <w:rFonts w:hint="eastAsia" w:ascii="仿宋" w:hAnsi="仿宋" w:eastAsia="仿宋" w:cs="宋体"/>
          <w:color w:val="000000" w:themeColor="text1"/>
          <w:sz w:val="24"/>
          <w:szCs w:val="32"/>
          <w:highlight w:val="none"/>
        </w:rPr>
        <w:t>离子色谱仪</w:t>
      </w:r>
      <w:bookmarkEnd w:id="33"/>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w:t>
      </w:r>
      <w:r>
        <w:rPr>
          <w:rFonts w:ascii="仿宋" w:hAnsi="仿宋" w:eastAsia="仿宋" w:cs="宋体"/>
          <w:color w:val="000000" w:themeColor="text1"/>
          <w:sz w:val="24"/>
          <w:szCs w:val="32"/>
          <w:highlight w:val="none"/>
        </w:rPr>
        <w:t>高压泵1套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w:t>
      </w:r>
      <w:r>
        <w:rPr>
          <w:rFonts w:ascii="仿宋" w:hAnsi="仿宋" w:eastAsia="仿宋" w:cs="宋体"/>
          <w:color w:val="000000" w:themeColor="text1"/>
          <w:sz w:val="24"/>
          <w:szCs w:val="32"/>
          <w:highlight w:val="none"/>
        </w:rPr>
        <w:t>内置柱温箱1套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w:t>
      </w:r>
      <w:r>
        <w:rPr>
          <w:rFonts w:ascii="仿宋" w:hAnsi="仿宋" w:eastAsia="仿宋" w:cs="宋体"/>
          <w:color w:val="000000" w:themeColor="text1"/>
          <w:sz w:val="24"/>
          <w:szCs w:val="32"/>
          <w:highlight w:val="none"/>
        </w:rPr>
        <w:t>保护柱1套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w:t>
      </w:r>
      <w:r>
        <w:rPr>
          <w:rFonts w:ascii="仿宋" w:hAnsi="仿宋" w:eastAsia="仿宋" w:cs="宋体"/>
          <w:color w:val="000000" w:themeColor="text1"/>
          <w:sz w:val="24"/>
          <w:szCs w:val="32"/>
          <w:highlight w:val="none"/>
        </w:rPr>
        <w:t>阴离子色谱柱1套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w:t>
      </w:r>
      <w:r>
        <w:rPr>
          <w:rFonts w:ascii="仿宋" w:hAnsi="仿宋" w:eastAsia="仿宋" w:cs="宋体"/>
          <w:color w:val="000000" w:themeColor="text1"/>
          <w:sz w:val="24"/>
          <w:szCs w:val="32"/>
          <w:highlight w:val="none"/>
        </w:rPr>
        <w:t>阴离子抑制器1套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1.6</w:t>
      </w:r>
      <w:r>
        <w:rPr>
          <w:rFonts w:ascii="仿宋" w:hAnsi="仿宋" w:eastAsia="仿宋" w:cs="宋体"/>
          <w:color w:val="000000" w:themeColor="text1"/>
          <w:sz w:val="24"/>
          <w:szCs w:val="32"/>
          <w:highlight w:val="none"/>
        </w:rPr>
        <w:t>电导检测器1套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1.7 不少于40</w:t>
      </w:r>
      <w:r>
        <w:rPr>
          <w:rFonts w:ascii="仿宋" w:hAnsi="仿宋" w:eastAsia="仿宋" w:cs="宋体"/>
          <w:color w:val="000000" w:themeColor="text1"/>
          <w:sz w:val="24"/>
          <w:szCs w:val="32"/>
          <w:highlight w:val="none"/>
        </w:rPr>
        <w:t>位自动进样器1套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1.8</w:t>
      </w:r>
      <w:r>
        <w:rPr>
          <w:rFonts w:ascii="仿宋" w:hAnsi="仿宋" w:eastAsia="仿宋" w:cs="宋体"/>
          <w:color w:val="000000" w:themeColor="text1"/>
          <w:sz w:val="24"/>
          <w:szCs w:val="32"/>
          <w:highlight w:val="none"/>
        </w:rPr>
        <w:t>软件操作系统1套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1.9</w:t>
      </w:r>
      <w:r>
        <w:rPr>
          <w:rFonts w:ascii="仿宋" w:hAnsi="仿宋" w:eastAsia="仿宋" w:cs="宋体"/>
          <w:color w:val="000000" w:themeColor="text1"/>
          <w:sz w:val="24"/>
          <w:szCs w:val="32"/>
          <w:highlight w:val="none"/>
        </w:rPr>
        <w:t>报警传感器1套</w:t>
      </w:r>
      <w:r>
        <w:rPr>
          <w:rFonts w:hint="eastAsia" w:ascii="仿宋" w:hAnsi="仿宋" w:eastAsia="仿宋" w:cs="宋体"/>
          <w:color w:val="000000" w:themeColor="text1"/>
          <w:sz w:val="24"/>
          <w:szCs w:val="32"/>
          <w:highlight w:val="none"/>
        </w:rPr>
        <w:t>；</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1.10终端数据处理器1台：win11系统，内存≥8G，硬盘≥512G，≥27英寸显示器，处理器：双核</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1.11数据信息记录仪1台；</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1.12温湿度计1个（带检定或校准证书）；</w:t>
      </w:r>
    </w:p>
    <w:p>
      <w:pPr>
        <w:spacing w:line="360" w:lineRule="auto"/>
        <w:ind w:firstLine="24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1.13仪器设备状态标识牌。</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12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.1泵</w:t>
      </w:r>
    </w:p>
    <w:p>
      <w:pPr>
        <w:spacing w:line="360" w:lineRule="auto"/>
        <w:ind w:firstLine="200"/>
        <w:rPr>
          <w:rFonts w:ascii="仿宋" w:hAnsi="仿宋" w:eastAsia="仿宋" w:cs="宋体"/>
          <w:color w:val="000000" w:themeColor="text1"/>
          <w:sz w:val="24"/>
          <w:szCs w:val="32"/>
          <w:highlight w:val="none"/>
        </w:rPr>
      </w:pPr>
      <w:bookmarkStart w:id="35" w:name="_Hlk162790830"/>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1</w:t>
      </w:r>
      <w:r>
        <w:rPr>
          <w:rFonts w:ascii="仿宋" w:hAnsi="仿宋" w:eastAsia="仿宋" w:cs="宋体"/>
          <w:color w:val="000000" w:themeColor="text1"/>
          <w:sz w:val="24"/>
          <w:szCs w:val="32"/>
          <w:highlight w:val="none"/>
        </w:rPr>
        <w:t>最大耐压：42MPa（peek材质）；</w:t>
      </w:r>
    </w:p>
    <w:bookmarkEnd w:id="35"/>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流量设定值允许误差：≤0.1%；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流量稳定性：≤0.1%</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.2电导检测器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.2.1自动量程电导检测器，μg/L~g/L浓度范围信号直接拓展，无需调整量程；</w:t>
      </w:r>
    </w:p>
    <w:p>
      <w:pPr>
        <w:spacing w:line="360" w:lineRule="auto"/>
        <w:ind w:firstLine="200"/>
        <w:rPr>
          <w:rFonts w:ascii="仿宋" w:hAnsi="仿宋" w:eastAsia="仿宋" w:cs="宋体"/>
          <w:color w:val="000000" w:themeColor="text1"/>
          <w:sz w:val="24"/>
          <w:szCs w:val="32"/>
          <w:highlight w:val="none"/>
        </w:rPr>
      </w:pPr>
      <w:bookmarkStart w:id="36" w:name="_Hlk162790835"/>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.2.</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基线漂移：≤0.008μS/30min</w:t>
      </w:r>
      <w:r>
        <w:rPr>
          <w:rFonts w:hint="eastAsia" w:ascii="仿宋" w:hAnsi="仿宋" w:eastAsia="仿宋" w:cs="宋体"/>
          <w:color w:val="000000" w:themeColor="text1"/>
          <w:sz w:val="24"/>
          <w:szCs w:val="32"/>
          <w:highlight w:val="none"/>
        </w:rPr>
        <w:t>；</w:t>
      </w:r>
    </w:p>
    <w:bookmarkEnd w:id="36"/>
    <w:p>
      <w:pPr>
        <w:spacing w:line="360" w:lineRule="auto"/>
        <w:ind w:firstLine="200"/>
        <w:rPr>
          <w:rFonts w:ascii="仿宋" w:hAnsi="仿宋" w:eastAsia="仿宋" w:cs="宋体"/>
          <w:color w:val="000000" w:themeColor="text1"/>
          <w:sz w:val="24"/>
          <w:szCs w:val="32"/>
          <w:highlight w:val="none"/>
        </w:rPr>
      </w:pPr>
      <w:bookmarkStart w:id="37" w:name="_Hlk162790840"/>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.2.</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最小检测浓度：Cl-≤0.0005μg/mL Li+≤0.0005μg/mL</w:t>
      </w:r>
      <w:r>
        <w:rPr>
          <w:rFonts w:hint="eastAsia" w:ascii="仿宋" w:hAnsi="仿宋" w:eastAsia="仿宋" w:cs="宋体"/>
          <w:color w:val="000000" w:themeColor="text1"/>
          <w:sz w:val="24"/>
          <w:szCs w:val="32"/>
          <w:highlight w:val="none"/>
        </w:rPr>
        <w:t>。</w:t>
      </w:r>
    </w:p>
    <w:bookmarkEnd w:id="37"/>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.3抑制器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.3.1使用电解技术在线产生抑制所需的H+或OH-，不需通入酸、碱进行再生；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.3.2并联式再生液流路设计，再生液经抑制器内部管路同时向阴阳电极同时提供再生液，而不是经过一个电极后再达到另一个电极，流路压力低</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.3.</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具备软件监控功能。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.4色谱柱</w:t>
      </w:r>
    </w:p>
    <w:p>
      <w:pPr>
        <w:spacing w:line="360" w:lineRule="auto"/>
        <w:ind w:firstLine="200"/>
        <w:rPr>
          <w:rFonts w:ascii="仿宋" w:hAnsi="仿宋" w:eastAsia="仿宋" w:cs="宋体"/>
          <w:color w:val="000000" w:themeColor="text1"/>
          <w:sz w:val="24"/>
          <w:szCs w:val="32"/>
          <w:highlight w:val="none"/>
        </w:rPr>
      </w:pPr>
      <w:bookmarkStart w:id="38" w:name="_Hlk163034242"/>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.4.1高效高容量阴、阳离子色谱柱能够耐受pH 0-14的工作范围，可耐受3000 psi以上压力，100%兼容反相试剂,可以使用强酸强碱淋洗液；</w:t>
      </w:r>
    </w:p>
    <w:bookmarkEnd w:id="38"/>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.4.</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氢氧根体系色谱柱：一次进样，可在45分钟内完成17种以上离子的分离</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bookmarkStart w:id="39" w:name="_Hlk163034250"/>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4</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具备基线扣除功能，去除梯度洗脱导致的基线漂移，降低痕量检测数据的处理难度。</w:t>
      </w:r>
    </w:p>
    <w:bookmarkEnd w:id="3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.6柱温箱</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.6.1循环立体风热加温模式，可视化设计，无需拆卸即可观察色谱柱型号与运行状态</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.7安全报警装置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.7.1对仪器进行多位点、实时监测，仪器发生低压、超压、漏液、纯水余量不足等情况时，仪器会自动报警，自动关停仪器处理</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.8气液分离器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.8.1标配气液分离器用于拦截进入流路的气泡</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.9自动进样器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.9.1三轴式自动进样器，无需人工值守，可连续完成进样，进样批次一致性高；</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.9.2样品位数：</w:t>
      </w:r>
      <w:r>
        <w:rPr>
          <w:rFonts w:hint="eastAsia" w:ascii="仿宋" w:hAnsi="仿宋" w:eastAsia="仿宋" w:cs="宋体"/>
          <w:color w:val="000000" w:themeColor="text1"/>
          <w:sz w:val="24"/>
          <w:szCs w:val="32"/>
          <w:highlight w:val="none"/>
        </w:rPr>
        <w:t>大于40</w:t>
      </w:r>
      <w:r>
        <w:rPr>
          <w:rFonts w:ascii="仿宋" w:hAnsi="仿宋" w:eastAsia="仿宋" w:cs="宋体"/>
          <w:color w:val="000000" w:themeColor="text1"/>
          <w:sz w:val="24"/>
          <w:szCs w:val="32"/>
          <w:highlight w:val="none"/>
        </w:rPr>
        <w:t>位；</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.9.</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进样方式：全定量环/部分定量环/微量进样；</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.9.</w:t>
      </w:r>
      <w:r>
        <w:rPr>
          <w:rFonts w:hint="eastAsia" w:ascii="仿宋" w:hAnsi="仿宋" w:eastAsia="仿宋" w:cs="宋体"/>
          <w:color w:val="000000" w:themeColor="text1"/>
          <w:sz w:val="24"/>
          <w:szCs w:val="32"/>
          <w:highlight w:val="none"/>
        </w:rPr>
        <w:t>4</w:t>
      </w:r>
      <w:r>
        <w:rPr>
          <w:rFonts w:ascii="仿宋" w:hAnsi="仿宋" w:eastAsia="仿宋" w:cs="宋体"/>
          <w:color w:val="000000" w:themeColor="text1"/>
          <w:sz w:val="24"/>
          <w:szCs w:val="32"/>
          <w:highlight w:val="none"/>
        </w:rPr>
        <w:t>可选配2ml、5ml、10ml样品管</w:t>
      </w:r>
      <w:r>
        <w:rPr>
          <w:rFonts w:hint="eastAsia" w:ascii="仿宋" w:hAnsi="仿宋" w:eastAsia="仿宋" w:cs="宋体"/>
          <w:color w:val="000000" w:themeColor="text1"/>
          <w:sz w:val="24"/>
          <w:szCs w:val="32"/>
          <w:highlight w:val="none"/>
        </w:rPr>
        <w:t>。</w:t>
      </w:r>
    </w:p>
    <w:p>
      <w:pPr>
        <w:pStyle w:val="62"/>
        <w:rPr>
          <w:color w:val="000000" w:themeColor="text1"/>
          <w:highlight w:val="none"/>
        </w:rPr>
      </w:pPr>
    </w:p>
    <w:bookmarkEnd w:id="34"/>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w:t>
      </w:r>
      <w:r>
        <w:rPr>
          <w:rFonts w:ascii="仿宋" w:hAnsi="仿宋" w:eastAsia="仿宋" w:cs="宋体"/>
          <w:color w:val="000000" w:themeColor="text1"/>
          <w:sz w:val="24"/>
          <w:szCs w:val="32"/>
          <w:highlight w:val="none"/>
        </w:rPr>
        <w:t>为保证仪器性能满足甲方CMA技术评审需求，仪器安装后，中标单位需使用该仪器对甲方指定的</w:t>
      </w:r>
      <w:r>
        <w:rPr>
          <w:rFonts w:hint="eastAsia" w:ascii="仿宋" w:hAnsi="仿宋" w:eastAsia="仿宋" w:cs="宋体"/>
          <w:color w:val="000000" w:themeColor="text1"/>
          <w:sz w:val="24"/>
          <w:szCs w:val="32"/>
          <w:highlight w:val="none"/>
        </w:rPr>
        <w:t>硫酸盐等6个</w:t>
      </w:r>
      <w:r>
        <w:rPr>
          <w:rFonts w:ascii="仿宋" w:hAnsi="仿宋" w:eastAsia="仿宋" w:cs="宋体"/>
          <w:color w:val="000000" w:themeColor="text1"/>
          <w:sz w:val="24"/>
          <w:szCs w:val="32"/>
          <w:highlight w:val="none"/>
        </w:rPr>
        <w:t>检测项目按照《生态环境监测机构资质认定方法验证通用技术指南》对仪器性能现场测试，并提供测试报告，测试过程中的所需试剂耗材、标样、甲方没有且需要的玻璃器皿等由中标单位负责提供（易制毒、易制爆试剂除外）</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3.2供货时提供仪器检定或校准证书。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40" w:name="_Toc23280"/>
      <w:r>
        <w:rPr>
          <w:rFonts w:hint="eastAsia" w:ascii="仿宋" w:hAnsi="仿宋" w:eastAsia="仿宋" w:cs="宋体"/>
          <w:color w:val="000000" w:themeColor="text1"/>
          <w:sz w:val="24"/>
          <w:szCs w:val="32"/>
          <w:highlight w:val="none"/>
        </w:rPr>
        <w:t>ICP-OES</w:t>
      </w:r>
      <w:bookmarkEnd w:id="40"/>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w:t>
      </w:r>
      <w:bookmarkStart w:id="41" w:name="_Hlk162457823"/>
      <w:r>
        <w:rPr>
          <w:rFonts w:hint="eastAsia" w:ascii="仿宋" w:hAnsi="仿宋" w:eastAsia="仿宋" w:cs="宋体"/>
          <w:color w:val="000000" w:themeColor="text1"/>
          <w:sz w:val="24"/>
          <w:szCs w:val="32"/>
          <w:highlight w:val="none"/>
        </w:rPr>
        <w:t>电感耦合等离子体发射光谱仪主机1台；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1.2冷却循环水机1套；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w:t>
      </w:r>
      <w:r>
        <w:rPr>
          <w:rFonts w:hint="eastAsia" w:ascii="仿宋" w:hAnsi="仿宋" w:eastAsia="仿宋"/>
          <w:color w:val="000000" w:themeColor="text1"/>
          <w:sz w:val="24"/>
          <w:highlight w:val="none"/>
        </w:rPr>
        <w:t>终端数据处理器1套：win</w:t>
      </w:r>
      <w:r>
        <w:rPr>
          <w:rFonts w:ascii="仿宋" w:hAnsi="仿宋" w:eastAsia="仿宋"/>
          <w:color w:val="000000" w:themeColor="text1"/>
          <w:sz w:val="24"/>
          <w:highlight w:val="none"/>
        </w:rPr>
        <w:t>10</w:t>
      </w:r>
      <w:r>
        <w:rPr>
          <w:rFonts w:hint="eastAsia" w:ascii="仿宋" w:hAnsi="仿宋" w:eastAsia="仿宋"/>
          <w:color w:val="000000" w:themeColor="text1"/>
          <w:sz w:val="24"/>
          <w:highlight w:val="none"/>
        </w:rPr>
        <w:t>系统，内存</w:t>
      </w:r>
      <w:r>
        <w:rPr>
          <w:rFonts w:hint="eastAsia"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3</w:t>
      </w:r>
      <w:r>
        <w:rPr>
          <w:rFonts w:ascii="仿宋" w:hAnsi="仿宋" w:eastAsia="仿宋"/>
          <w:color w:val="000000" w:themeColor="text1"/>
          <w:sz w:val="24"/>
          <w:highlight w:val="none"/>
        </w:rPr>
        <w:t>2</w:t>
      </w:r>
      <w:r>
        <w:rPr>
          <w:rFonts w:hint="eastAsia" w:ascii="仿宋" w:hAnsi="仿宋" w:eastAsia="仿宋"/>
          <w:color w:val="000000" w:themeColor="text1"/>
          <w:sz w:val="24"/>
          <w:highlight w:val="none"/>
        </w:rPr>
        <w:t>G，硬盘</w:t>
      </w:r>
      <w:r>
        <w:rPr>
          <w:rFonts w:hint="eastAsia"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5</w:t>
      </w:r>
      <w:r>
        <w:rPr>
          <w:rFonts w:ascii="仿宋" w:hAnsi="仿宋" w:eastAsia="仿宋"/>
          <w:color w:val="000000" w:themeColor="text1"/>
          <w:sz w:val="24"/>
          <w:highlight w:val="none"/>
        </w:rPr>
        <w:t>00</w:t>
      </w:r>
      <w:r>
        <w:rPr>
          <w:rFonts w:hint="eastAsia" w:ascii="仿宋" w:hAnsi="仿宋" w:eastAsia="仿宋"/>
          <w:color w:val="000000" w:themeColor="text1"/>
          <w:sz w:val="24"/>
          <w:highlight w:val="none"/>
        </w:rPr>
        <w:t>G，</w:t>
      </w:r>
      <w:r>
        <w:rPr>
          <w:rFonts w:hint="eastAsia"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2</w:t>
      </w:r>
      <w:r>
        <w:rPr>
          <w:rFonts w:ascii="仿宋" w:hAnsi="仿宋" w:eastAsia="仿宋"/>
          <w:color w:val="000000" w:themeColor="text1"/>
          <w:sz w:val="24"/>
          <w:highlight w:val="none"/>
        </w:rPr>
        <w:t>7</w:t>
      </w:r>
      <w:r>
        <w:rPr>
          <w:rFonts w:hint="eastAsia" w:ascii="仿宋" w:hAnsi="仿宋" w:eastAsia="仿宋"/>
          <w:color w:val="000000" w:themeColor="text1"/>
          <w:sz w:val="24"/>
          <w:highlight w:val="none"/>
        </w:rPr>
        <w:t>英寸显示器，i7-12700或同等性能；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1.4耗材包1套（进液管*2、废液管*2、矩管*2、中心管*1、进样系统耗材包*1）；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1.5自动扫描仪1台；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1.6温湿度计1个（带检定或校准证书）；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1.7仪器设备状态标识牌。</w:t>
      </w:r>
    </w:p>
    <w:p>
      <w:pPr>
        <w:tabs>
          <w:tab w:val="left" w:pos="312"/>
        </w:tabs>
        <w:spacing w:line="360" w:lineRule="auto"/>
        <w:ind w:left="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2.1仪器总体要求：光谱仪可在一分钟内分析几十种元素含量。仪器必需包括高频发生器、等离子体及进样系统、分光系统、检测器、分析软件和计算机系统，全自动控制。</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2.2性能指标：</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2.2.1检测器：</w:t>
      </w:r>
    </w:p>
    <w:p>
      <w:pPr>
        <w:spacing w:line="360" w:lineRule="auto"/>
        <w:ind w:firstLine="200"/>
        <w:rPr>
          <w:rFonts w:ascii="仿宋" w:hAnsi="仿宋" w:eastAsia="仿宋"/>
          <w:color w:val="000000" w:themeColor="text1"/>
          <w:sz w:val="24"/>
          <w:highlight w:val="none"/>
        </w:rPr>
      </w:pPr>
      <w:r>
        <w:rPr>
          <w:rFonts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2.2.1.1带高效半导体制冷的固体检测器，在光谱仪波长范围内具有连续像素，能任意选择波长，且具有天然的防溢出功能设计，采用大面积检测器设计，一次接受全波长范围，不得使用两个或两个以上检测器；工作温度≤-40</w:t>
      </w:r>
      <w:bookmarkStart w:id="42" w:name="_Hlk163035075"/>
      <w:r>
        <w:rPr>
          <w:rFonts w:hint="eastAsia" w:ascii="仿宋" w:hAnsi="仿宋" w:eastAsia="仿宋"/>
          <w:color w:val="000000" w:themeColor="text1"/>
          <w:sz w:val="24"/>
          <w:highlight w:val="none"/>
        </w:rPr>
        <w:t>摄氏度。</w:t>
      </w:r>
    </w:p>
    <w:p>
      <w:pPr>
        <w:spacing w:line="360" w:lineRule="auto"/>
        <w:ind w:firstLine="240" w:firstLineChars="1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2.2.1.2检测单元：大于1</w:t>
      </w:r>
      <w:r>
        <w:rPr>
          <w:rFonts w:ascii="仿宋" w:hAnsi="仿宋" w:eastAsia="仿宋"/>
          <w:color w:val="000000" w:themeColor="text1"/>
          <w:sz w:val="24"/>
          <w:highlight w:val="none"/>
        </w:rPr>
        <w:t>,00</w:t>
      </w:r>
      <w:r>
        <w:rPr>
          <w:rFonts w:hint="eastAsia" w:ascii="仿宋" w:hAnsi="仿宋" w:eastAsia="仿宋"/>
          <w:color w:val="000000" w:themeColor="text1"/>
          <w:sz w:val="24"/>
          <w:highlight w:val="none"/>
        </w:rPr>
        <w:t>0,000个检测单元，读取速度≥2MHz；</w:t>
      </w:r>
      <w:r>
        <w:rPr>
          <w:rFonts w:ascii="仿宋" w:hAnsi="仿宋" w:eastAsia="仿宋"/>
          <w:color w:val="000000" w:themeColor="text1"/>
          <w:sz w:val="24"/>
          <w:highlight w:val="none"/>
        </w:rPr>
        <w:t xml:space="preserve"> </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r>
        <w:rPr>
          <w:rFonts w:ascii="仿宋" w:hAnsi="仿宋" w:eastAsia="仿宋"/>
          <w:color w:val="000000" w:themeColor="text1"/>
          <w:sz w:val="24"/>
          <w:highlight w:val="none"/>
        </w:rPr>
        <w:t>.2.1.3</w:t>
      </w:r>
      <w:r>
        <w:rPr>
          <w:rFonts w:hint="eastAsia" w:ascii="仿宋" w:hAnsi="仿宋" w:eastAsia="仿宋"/>
          <w:color w:val="000000" w:themeColor="text1"/>
          <w:sz w:val="24"/>
          <w:highlight w:val="none"/>
        </w:rPr>
        <w:t>像素分辨率：≤0</w:t>
      </w:r>
      <w:r>
        <w:rPr>
          <w:rFonts w:ascii="仿宋" w:hAnsi="仿宋" w:eastAsia="仿宋"/>
          <w:color w:val="000000" w:themeColor="text1"/>
          <w:sz w:val="24"/>
          <w:highlight w:val="none"/>
        </w:rPr>
        <w:t>.00</w:t>
      </w:r>
      <w:r>
        <w:rPr>
          <w:rFonts w:hint="eastAsia" w:ascii="仿宋" w:hAnsi="仿宋" w:eastAsia="仿宋"/>
          <w:color w:val="000000" w:themeColor="text1"/>
          <w:sz w:val="24"/>
          <w:highlight w:val="none"/>
        </w:rPr>
        <w:t>3</w:t>
      </w:r>
      <w:r>
        <w:rPr>
          <w:rFonts w:ascii="仿宋" w:hAnsi="仿宋" w:eastAsia="仿宋"/>
          <w:color w:val="000000" w:themeColor="text1"/>
          <w:sz w:val="24"/>
          <w:highlight w:val="none"/>
        </w:rPr>
        <w:t>nm</w:t>
      </w:r>
      <w:r>
        <w:rPr>
          <w:rFonts w:hint="eastAsia" w:ascii="仿宋" w:hAnsi="仿宋" w:eastAsia="仿宋"/>
          <w:color w:val="000000" w:themeColor="text1"/>
          <w:sz w:val="24"/>
          <w:highlight w:val="none"/>
        </w:rPr>
        <w:t>；</w:t>
      </w:r>
    </w:p>
    <w:bookmarkEnd w:id="42"/>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2.3.2光学系统：恒温驱气型中阶梯分光系统</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2.3.2.1单色器：中阶梯光栅和棱镜二维色散系统，高能量，为保证仪器测试的稳定性，光栅和棱镜等内光路部件位置固定不动，在光谱仪全波长范围内一次曝光同时测定所有元素；</w:t>
      </w:r>
    </w:p>
    <w:p>
      <w:pPr>
        <w:spacing w:line="360" w:lineRule="auto"/>
        <w:ind w:firstLine="240" w:firstLineChars="100"/>
        <w:rPr>
          <w:rFonts w:hint="eastAsia" w:ascii="仿宋" w:hAnsi="仿宋" w:eastAsia="仿宋"/>
          <w:color w:val="000000" w:themeColor="text1"/>
          <w:sz w:val="24"/>
          <w:highlight w:val="none"/>
        </w:rPr>
      </w:pPr>
      <w:bookmarkStart w:id="43" w:name="_Hlk163035082"/>
      <w:r>
        <w:rPr>
          <w:rFonts w:hint="eastAsia"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2.3.2.2 光室：带精密光室恒温（提供光室温度实时反馈软件截图），可使用氩气或氮气进行光室吹扫，测定&lt;200nm谱线时驱气量&lt;3L/min；</w:t>
      </w:r>
    </w:p>
    <w:p>
      <w:pPr>
        <w:spacing w:line="360" w:lineRule="auto"/>
        <w:ind w:firstLine="240" w:firstLineChars="100"/>
        <w:rPr>
          <w:rFonts w:ascii="仿宋" w:hAnsi="仿宋" w:eastAsia="仿宋"/>
          <w:color w:val="000000" w:themeColor="text1"/>
          <w:sz w:val="24"/>
          <w:highlight w:val="none"/>
        </w:rPr>
      </w:pPr>
      <w:r>
        <w:rPr>
          <w:rFonts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2.3.2.3波长范围：必须包含16</w:t>
      </w:r>
      <w:r>
        <w:rPr>
          <w:rFonts w:ascii="仿宋" w:hAnsi="仿宋" w:eastAsia="仿宋"/>
          <w:color w:val="000000" w:themeColor="text1"/>
          <w:sz w:val="24"/>
          <w:highlight w:val="none"/>
        </w:rPr>
        <w:t>7</w:t>
      </w:r>
      <w:r>
        <w:rPr>
          <w:rFonts w:hint="eastAsia" w:ascii="仿宋" w:hAnsi="仿宋" w:eastAsia="仿宋"/>
          <w:color w:val="000000" w:themeColor="text1"/>
          <w:sz w:val="24"/>
          <w:highlight w:val="none"/>
        </w:rPr>
        <w:t>-8</w:t>
      </w:r>
      <w:r>
        <w:rPr>
          <w:rFonts w:ascii="仿宋" w:hAnsi="仿宋" w:eastAsia="仿宋"/>
          <w:color w:val="000000" w:themeColor="text1"/>
          <w:sz w:val="24"/>
          <w:highlight w:val="none"/>
        </w:rPr>
        <w:t>20</w:t>
      </w:r>
      <w:r>
        <w:rPr>
          <w:rFonts w:hint="eastAsia" w:ascii="仿宋" w:hAnsi="仿宋" w:eastAsia="仿宋"/>
          <w:color w:val="000000" w:themeColor="text1"/>
          <w:sz w:val="24"/>
          <w:highlight w:val="none"/>
        </w:rPr>
        <w:t>nm，全波长覆盖，可测Al167.079nm，P178.2nm，B182.6nm,N</w:t>
      </w:r>
      <w:r>
        <w:rPr>
          <w:rFonts w:ascii="仿宋" w:hAnsi="仿宋" w:eastAsia="仿宋"/>
          <w:color w:val="000000" w:themeColor="text1"/>
          <w:sz w:val="24"/>
          <w:highlight w:val="none"/>
        </w:rPr>
        <w:t>a818.326nm</w:t>
      </w:r>
      <w:r>
        <w:rPr>
          <w:rFonts w:hint="eastAsia" w:ascii="仿宋" w:hAnsi="仿宋" w:eastAsia="仿宋"/>
          <w:color w:val="000000" w:themeColor="text1"/>
          <w:sz w:val="24"/>
          <w:highlight w:val="none"/>
        </w:rPr>
        <w:t>；（提供技术证明）</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2.3.2.4光学分辨率（FHW）：</w:t>
      </w:r>
      <w:r>
        <w:rPr>
          <w:rFonts w:ascii="仿宋" w:hAnsi="仿宋" w:eastAsia="仿宋"/>
          <w:color w:val="000000" w:themeColor="text1"/>
          <w:sz w:val="24"/>
          <w:highlight w:val="none"/>
        </w:rPr>
        <w:t>As189.042nm</w:t>
      </w:r>
      <w:r>
        <w:rPr>
          <w:rFonts w:hint="eastAsia" w:ascii="仿宋" w:hAnsi="仿宋" w:eastAsia="仿宋"/>
          <w:color w:val="000000" w:themeColor="text1"/>
          <w:sz w:val="24"/>
          <w:highlight w:val="none"/>
        </w:rPr>
        <w:t>半峰宽&lt;</w:t>
      </w:r>
      <w:r>
        <w:rPr>
          <w:rFonts w:ascii="仿宋" w:hAnsi="仿宋" w:eastAsia="仿宋"/>
          <w:color w:val="000000" w:themeColor="text1"/>
          <w:sz w:val="24"/>
          <w:highlight w:val="none"/>
        </w:rPr>
        <w:t>0.007nm</w:t>
      </w:r>
      <w:r>
        <w:rPr>
          <w:rFonts w:hint="eastAsia" w:ascii="仿宋" w:hAnsi="仿宋" w:eastAsia="仿宋"/>
          <w:color w:val="000000" w:themeColor="text1"/>
          <w:sz w:val="24"/>
          <w:highlight w:val="none"/>
        </w:rPr>
        <w:t>，Ca393.366nm半峰宽&lt;0.017nm，B</w:t>
      </w:r>
      <w:r>
        <w:rPr>
          <w:rFonts w:ascii="仿宋" w:hAnsi="仿宋" w:eastAsia="仿宋"/>
          <w:color w:val="000000" w:themeColor="text1"/>
          <w:sz w:val="24"/>
          <w:highlight w:val="none"/>
        </w:rPr>
        <w:t>a614.172</w:t>
      </w:r>
      <w:r>
        <w:rPr>
          <w:rFonts w:hint="eastAsia" w:ascii="仿宋" w:hAnsi="仿宋" w:eastAsia="仿宋"/>
          <w:color w:val="000000" w:themeColor="text1"/>
          <w:sz w:val="24"/>
          <w:highlight w:val="none"/>
        </w:rPr>
        <w:t>半峰宽</w:t>
      </w:r>
      <w:r>
        <w:rPr>
          <w:rFonts w:ascii="仿宋" w:hAnsi="仿宋" w:eastAsia="仿宋"/>
          <w:color w:val="000000" w:themeColor="text1"/>
          <w:sz w:val="24"/>
          <w:highlight w:val="none"/>
        </w:rPr>
        <w:t>&lt;0.024nm,K766.490nm</w:t>
      </w:r>
      <w:r>
        <w:rPr>
          <w:rFonts w:hint="eastAsia" w:ascii="仿宋" w:hAnsi="仿宋" w:eastAsia="仿宋"/>
          <w:color w:val="000000" w:themeColor="text1"/>
          <w:sz w:val="24"/>
          <w:highlight w:val="none"/>
        </w:rPr>
        <w:t>半峰宽&lt;</w:t>
      </w:r>
      <w:r>
        <w:rPr>
          <w:rFonts w:ascii="仿宋" w:hAnsi="仿宋" w:eastAsia="仿宋"/>
          <w:color w:val="000000" w:themeColor="text1"/>
          <w:sz w:val="24"/>
          <w:highlight w:val="none"/>
        </w:rPr>
        <w:t>0.035nm</w:t>
      </w:r>
      <w:r>
        <w:rPr>
          <w:rFonts w:hint="eastAsia" w:ascii="仿宋" w:hAnsi="仿宋" w:eastAsia="仿宋"/>
          <w:color w:val="000000" w:themeColor="text1"/>
          <w:sz w:val="24"/>
          <w:highlight w:val="none"/>
        </w:rPr>
        <w:t>（分辨率和检出限指标须在相同条件获得）；</w:t>
      </w:r>
    </w:p>
    <w:bookmarkEnd w:id="43"/>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2.3.2.5为保证光学系统的稳定性和最佳的光通量，焦距≤</w:t>
      </w:r>
      <w:r>
        <w:rPr>
          <w:rFonts w:ascii="仿宋" w:hAnsi="仿宋" w:eastAsia="仿宋"/>
          <w:color w:val="000000" w:themeColor="text1"/>
          <w:sz w:val="24"/>
          <w:highlight w:val="none"/>
        </w:rPr>
        <w:t>3</w:t>
      </w:r>
      <w:r>
        <w:rPr>
          <w:rFonts w:hint="eastAsia" w:ascii="仿宋" w:hAnsi="仿宋" w:eastAsia="仿宋"/>
          <w:color w:val="000000" w:themeColor="text1"/>
          <w:sz w:val="24"/>
          <w:highlight w:val="none"/>
        </w:rPr>
        <w:t>00mm。</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2.3.3等离子体：</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2.3.3.1等离子体观察方式：炬管垂直放置，双向观测，在一次分析中同时给出水平和垂直观测的结果；</w:t>
      </w:r>
    </w:p>
    <w:p>
      <w:pPr>
        <w:spacing w:line="360" w:lineRule="auto"/>
        <w:ind w:firstLine="200"/>
        <w:rPr>
          <w:rFonts w:ascii="仿宋" w:hAnsi="仿宋" w:eastAsia="仿宋"/>
          <w:color w:val="000000" w:themeColor="text1"/>
          <w:sz w:val="24"/>
          <w:highlight w:val="none"/>
        </w:rPr>
      </w:pPr>
      <w:r>
        <w:rPr>
          <w:rFonts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2.3.3.2 RF发生器：固态发生器，直接耦合、自动调谐，变频，无匹配箱设计，等离子体线圈具有聚四氟乙烯保护层设计，防腐蚀，免维护；（提供技术证明）</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2.3.3.3频率：27</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12MHZ；</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2.3.3.4 RF功率范围必须包含7</w:t>
      </w:r>
      <w:r>
        <w:rPr>
          <w:rFonts w:ascii="仿宋" w:hAnsi="仿宋" w:eastAsia="仿宋"/>
          <w:color w:val="000000" w:themeColor="text1"/>
          <w:sz w:val="24"/>
          <w:highlight w:val="none"/>
        </w:rPr>
        <w:t>50W</w:t>
      </w:r>
      <w:r>
        <w:rPr>
          <w:rFonts w:hint="eastAsia" w:ascii="仿宋" w:hAnsi="仿宋" w:eastAsia="仿宋"/>
          <w:color w:val="000000" w:themeColor="text1"/>
          <w:sz w:val="24"/>
          <w:highlight w:val="none"/>
        </w:rPr>
        <w:t>-1</w:t>
      </w:r>
      <w:r>
        <w:rPr>
          <w:rFonts w:ascii="仿宋" w:hAnsi="仿宋" w:eastAsia="仿宋"/>
          <w:color w:val="000000" w:themeColor="text1"/>
          <w:sz w:val="24"/>
          <w:highlight w:val="none"/>
        </w:rPr>
        <w:t>300W</w:t>
      </w:r>
      <w:r>
        <w:rPr>
          <w:rFonts w:hint="eastAsia" w:ascii="仿宋" w:hAnsi="仿宋" w:eastAsia="仿宋"/>
          <w:color w:val="000000" w:themeColor="text1"/>
          <w:sz w:val="24"/>
          <w:highlight w:val="none"/>
        </w:rPr>
        <w:t>；</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2.3.3.5气路控制：配置</w:t>
      </w:r>
      <w:r>
        <w:rPr>
          <w:rFonts w:ascii="仿宋" w:hAnsi="仿宋" w:eastAsia="仿宋"/>
          <w:color w:val="000000" w:themeColor="text1"/>
          <w:sz w:val="24"/>
          <w:highlight w:val="none"/>
        </w:rPr>
        <w:t>3</w:t>
      </w:r>
      <w:r>
        <w:rPr>
          <w:rFonts w:hint="eastAsia" w:ascii="仿宋" w:hAnsi="仿宋" w:eastAsia="仿宋"/>
          <w:color w:val="000000" w:themeColor="text1"/>
          <w:sz w:val="24"/>
          <w:highlight w:val="none"/>
        </w:rPr>
        <w:t>路高精度质量流量计，由I</w:t>
      </w:r>
      <w:r>
        <w:rPr>
          <w:rFonts w:ascii="仿宋" w:hAnsi="仿宋" w:eastAsia="仿宋"/>
          <w:color w:val="000000" w:themeColor="text1"/>
          <w:sz w:val="24"/>
          <w:highlight w:val="none"/>
        </w:rPr>
        <w:t>CPOES</w:t>
      </w:r>
      <w:r>
        <w:rPr>
          <w:rFonts w:hint="eastAsia" w:ascii="仿宋" w:hAnsi="仿宋" w:eastAsia="仿宋"/>
          <w:color w:val="000000" w:themeColor="text1"/>
          <w:sz w:val="24"/>
          <w:highlight w:val="none"/>
        </w:rPr>
        <w:t>软件直接控制，包括冷却气、辅助气、雾化</w:t>
      </w:r>
      <w:r>
        <w:rPr>
          <w:rFonts w:ascii="仿宋" w:hAnsi="仿宋" w:eastAsia="仿宋"/>
          <w:color w:val="000000" w:themeColor="text1"/>
          <w:sz w:val="24"/>
          <w:highlight w:val="none"/>
        </w:rPr>
        <w:t>气</w:t>
      </w:r>
      <w:r>
        <w:rPr>
          <w:rFonts w:hint="eastAsia" w:ascii="仿宋" w:hAnsi="仿宋" w:eastAsia="仿宋"/>
          <w:color w:val="000000" w:themeColor="text1"/>
          <w:sz w:val="24"/>
          <w:highlight w:val="none"/>
        </w:rPr>
        <w:t>（精度0</w:t>
      </w:r>
      <w:r>
        <w:rPr>
          <w:rFonts w:ascii="仿宋" w:hAnsi="仿宋" w:eastAsia="仿宋"/>
          <w:color w:val="000000" w:themeColor="text1"/>
          <w:sz w:val="24"/>
          <w:highlight w:val="none"/>
        </w:rPr>
        <w:t>.01L</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min</w:t>
      </w:r>
      <w:r>
        <w:rPr>
          <w:rFonts w:hint="eastAsia" w:ascii="仿宋" w:hAnsi="仿宋" w:eastAsia="仿宋"/>
          <w:color w:val="000000" w:themeColor="text1"/>
          <w:sz w:val="24"/>
          <w:highlight w:val="none"/>
        </w:rPr>
        <w:t>）；</w:t>
      </w:r>
    </w:p>
    <w:p>
      <w:pPr>
        <w:spacing w:line="360" w:lineRule="auto"/>
        <w:ind w:firstLine="200"/>
        <w:rPr>
          <w:rFonts w:ascii="仿宋" w:hAnsi="仿宋" w:eastAsia="仿宋"/>
          <w:color w:val="000000" w:themeColor="text1"/>
          <w:sz w:val="24"/>
          <w:highlight w:val="none"/>
        </w:rPr>
      </w:pPr>
      <w:bookmarkStart w:id="44" w:name="_Hlk163035088"/>
      <w:r>
        <w:rPr>
          <w:rFonts w:ascii="仿宋" w:hAnsi="仿宋" w:eastAsia="仿宋" w:cs="宋体"/>
          <w:color w:val="000000" w:themeColor="text1"/>
          <w:sz w:val="24"/>
          <w:szCs w:val="32"/>
          <w:highlight w:val="none"/>
        </w:rPr>
        <w:t>★</w:t>
      </w:r>
      <w:r>
        <w:rPr>
          <w:rFonts w:hint="eastAsia" w:ascii="仿宋" w:hAnsi="仿宋" w:eastAsia="仿宋"/>
          <w:color w:val="000000" w:themeColor="text1"/>
          <w:sz w:val="24"/>
          <w:highlight w:val="none"/>
        </w:rPr>
        <w:t>2</w:t>
      </w:r>
      <w:r>
        <w:rPr>
          <w:rFonts w:ascii="仿宋" w:hAnsi="仿宋" w:eastAsia="仿宋"/>
          <w:color w:val="000000" w:themeColor="text1"/>
          <w:sz w:val="24"/>
          <w:highlight w:val="none"/>
        </w:rPr>
        <w:t>.3.3.</w:t>
      </w:r>
      <w:r>
        <w:rPr>
          <w:rFonts w:hint="eastAsia" w:ascii="仿宋" w:hAnsi="仿宋" w:eastAsia="仿宋"/>
          <w:color w:val="000000" w:themeColor="text1"/>
          <w:sz w:val="24"/>
          <w:highlight w:val="none"/>
        </w:rPr>
        <w:t>6尾焰处理技术：采用锥内反吹氩气技术，避免使用空气切割等技术对紫外区谱线灵敏度造成损失，如使用氮气或氩气等气体切割，为节省成本，消耗量需小于</w:t>
      </w:r>
      <w:r>
        <w:rPr>
          <w:rFonts w:ascii="仿宋" w:hAnsi="仿宋" w:eastAsia="仿宋"/>
          <w:color w:val="000000" w:themeColor="text1"/>
          <w:sz w:val="24"/>
          <w:highlight w:val="none"/>
        </w:rPr>
        <w:t>3L</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min</w:t>
      </w:r>
      <w:r>
        <w:rPr>
          <w:rFonts w:hint="eastAsia" w:ascii="仿宋" w:hAnsi="仿宋" w:eastAsia="仿宋"/>
          <w:color w:val="000000" w:themeColor="text1"/>
          <w:sz w:val="24"/>
          <w:highlight w:val="none"/>
        </w:rPr>
        <w:t>。</w:t>
      </w:r>
    </w:p>
    <w:bookmarkEnd w:id="44"/>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2.3.4进样系统：</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2.3.4.1炬管：</w:t>
      </w:r>
      <w:r>
        <w:rPr>
          <w:rFonts w:ascii="仿宋" w:hAnsi="仿宋" w:eastAsia="仿宋"/>
          <w:color w:val="000000" w:themeColor="text1"/>
          <w:sz w:val="24"/>
          <w:highlight w:val="none"/>
        </w:rPr>
        <w:t>采用无需手动连接等离子气，辅助气气路的</w:t>
      </w:r>
      <w:r>
        <w:rPr>
          <w:rFonts w:hint="eastAsia" w:ascii="仿宋" w:hAnsi="仿宋" w:eastAsia="仿宋"/>
          <w:color w:val="000000" w:themeColor="text1"/>
          <w:sz w:val="24"/>
          <w:highlight w:val="none"/>
        </w:rPr>
        <w:t>卡口式</w:t>
      </w:r>
      <w:r>
        <w:rPr>
          <w:rFonts w:ascii="仿宋" w:hAnsi="仿宋" w:eastAsia="仿宋"/>
          <w:color w:val="000000" w:themeColor="text1"/>
          <w:sz w:val="24"/>
          <w:highlight w:val="none"/>
        </w:rPr>
        <w:t>炬管设计，以方便日常更换维护且避免多次维护导致的漏气现象；可配置多种口径中心管的分体式石英炬管，用以降低炬管的后期使用成本</w:t>
      </w:r>
      <w:r>
        <w:rPr>
          <w:rFonts w:hint="eastAsia" w:ascii="仿宋" w:hAnsi="仿宋" w:eastAsia="仿宋"/>
          <w:color w:val="000000" w:themeColor="text1"/>
          <w:sz w:val="24"/>
          <w:highlight w:val="none"/>
        </w:rPr>
        <w:t>；</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2.3.4.2雾化器：高效同心雾化器；</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2.3.4.3雾化室：旋流雾化室；</w:t>
      </w:r>
    </w:p>
    <w:p>
      <w:pPr>
        <w:spacing w:line="360" w:lineRule="auto"/>
        <w:ind w:firstLine="200"/>
        <w:rPr>
          <w:rFonts w:ascii="仿宋" w:hAnsi="仿宋" w:eastAsia="仿宋" w:cs="宋体"/>
          <w:color w:val="000000" w:themeColor="text1"/>
          <w:sz w:val="24"/>
          <w:szCs w:val="32"/>
          <w:highlight w:val="none"/>
        </w:rPr>
      </w:pPr>
      <w:bookmarkStart w:id="45" w:name="_Hlk163035093"/>
      <w:r>
        <w:rPr>
          <w:rFonts w:hint="eastAsia" w:ascii="仿宋" w:hAnsi="仿宋" w:eastAsia="仿宋"/>
          <w:color w:val="000000" w:themeColor="text1"/>
          <w:sz w:val="24"/>
          <w:highlight w:val="none"/>
        </w:rPr>
        <w:t>2.3.4.4废液安全在线自动监控：有废液传感器，能对仪器状态进行实时自动的监控，保障数据准确及仪器使用安全；</w:t>
      </w:r>
      <w:r>
        <w:rPr>
          <w:rFonts w:ascii="仿宋" w:hAnsi="仿宋" w:eastAsia="仿宋" w:cs="宋体"/>
          <w:color w:val="000000" w:themeColor="text1"/>
          <w:sz w:val="24"/>
          <w:szCs w:val="32"/>
          <w:highlight w:val="none"/>
        </w:rPr>
        <w:t xml:space="preserve"> </w:t>
      </w:r>
    </w:p>
    <w:bookmarkEnd w:id="45"/>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2.3.4.5蠕动泵：</w:t>
      </w:r>
      <w:r>
        <w:rPr>
          <w:rFonts w:ascii="仿宋" w:hAnsi="仿宋" w:eastAsia="仿宋"/>
          <w:color w:val="000000" w:themeColor="text1"/>
          <w:sz w:val="24"/>
          <w:highlight w:val="none"/>
        </w:rPr>
        <w:t>12</w:t>
      </w:r>
      <w:r>
        <w:rPr>
          <w:rFonts w:hint="eastAsia" w:ascii="仿宋" w:hAnsi="仿宋" w:eastAsia="仿宋"/>
          <w:color w:val="000000" w:themeColor="text1"/>
          <w:sz w:val="24"/>
          <w:highlight w:val="none"/>
        </w:rPr>
        <w:t>滚轮3通道蠕动泵。</w:t>
      </w:r>
    </w:p>
    <w:p>
      <w:pPr>
        <w:spacing w:line="360" w:lineRule="auto"/>
        <w:ind w:firstLine="200"/>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2.3.5分析软件：</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2.3.5.1基于网络化连接与控制的多任务、多用途操作平台.符合21CFR Part 11的要求，具有登录口令保护，多级操作权限设置和网络安全管理，具有历史记录和电子签名、自动备份等功能；</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2.3.5.2软件操作方便、直观，具有定性、半定量、定量分析功能；</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2.3.5.3具有同时记录所有元素谱线的“摄谱”功能；</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2.3.5.4具有元素间干扰校正技术和实时背景扣除等不少于三种干扰校正技术；</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2.3.5.5仪器诊断软件和网络通讯，数据再处理功能；</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r>
        <w:rPr>
          <w:rFonts w:ascii="仿宋" w:hAnsi="仿宋" w:eastAsia="仿宋"/>
          <w:color w:val="000000" w:themeColor="text1"/>
          <w:sz w:val="24"/>
          <w:highlight w:val="none"/>
        </w:rPr>
        <w:t>.3.5.</w:t>
      </w:r>
      <w:r>
        <w:rPr>
          <w:rFonts w:hint="eastAsia" w:ascii="仿宋" w:hAnsi="仿宋" w:eastAsia="仿宋"/>
          <w:color w:val="000000" w:themeColor="text1"/>
          <w:sz w:val="24"/>
          <w:highlight w:val="none"/>
        </w:rPr>
        <w:t>6支持</w:t>
      </w:r>
      <w:r>
        <w:rPr>
          <w:rFonts w:ascii="仿宋" w:hAnsi="仿宋" w:eastAsia="仿宋"/>
          <w:color w:val="000000" w:themeColor="text1"/>
          <w:sz w:val="24"/>
          <w:highlight w:val="none"/>
        </w:rPr>
        <w:t>Excel</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XML,CSV</w:t>
      </w:r>
      <w:r>
        <w:rPr>
          <w:rFonts w:hint="eastAsia" w:ascii="仿宋" w:hAnsi="仿宋" w:eastAsia="仿宋"/>
          <w:color w:val="000000" w:themeColor="text1"/>
          <w:sz w:val="24"/>
          <w:highlight w:val="none"/>
        </w:rPr>
        <w:t>数据导出,可直接与L</w:t>
      </w:r>
      <w:r>
        <w:rPr>
          <w:rFonts w:ascii="仿宋" w:hAnsi="仿宋" w:eastAsia="仿宋"/>
          <w:color w:val="000000" w:themeColor="text1"/>
          <w:sz w:val="24"/>
          <w:highlight w:val="none"/>
        </w:rPr>
        <w:t>IMS</w:t>
      </w:r>
      <w:r>
        <w:rPr>
          <w:rFonts w:hint="eastAsia" w:ascii="仿宋" w:hAnsi="仿宋" w:eastAsia="仿宋"/>
          <w:color w:val="000000" w:themeColor="text1"/>
          <w:sz w:val="24"/>
          <w:highlight w:val="none"/>
        </w:rPr>
        <w:t>系统对接；</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r>
        <w:rPr>
          <w:rFonts w:ascii="仿宋" w:hAnsi="仿宋" w:eastAsia="仿宋"/>
          <w:color w:val="000000" w:themeColor="text1"/>
          <w:sz w:val="24"/>
          <w:highlight w:val="none"/>
        </w:rPr>
        <w:t>.3.5.</w:t>
      </w:r>
      <w:r>
        <w:rPr>
          <w:rFonts w:hint="eastAsia" w:ascii="仿宋" w:hAnsi="仿宋" w:eastAsia="仿宋"/>
          <w:color w:val="000000" w:themeColor="text1"/>
          <w:sz w:val="24"/>
          <w:highlight w:val="none"/>
        </w:rPr>
        <w:t>7具有仪器状态记录功能，样品测试时的仪器参数全部被软件记录下来，当样品结果异常时可追溯当时仪器状态。</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2.3.6分析性能：</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2.3.6.1分析速度：可实现1.5min内测试超过180条谱线，而且每条测量谱线的积分时间≥10秒，重复3次，冲洗时间≥20秒；</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2.3.6.2样品消耗量：</w:t>
      </w:r>
      <w:r>
        <w:rPr>
          <w:rFonts w:ascii="仿宋" w:hAnsi="仿宋" w:eastAsia="仿宋"/>
          <w:color w:val="000000" w:themeColor="text1"/>
          <w:sz w:val="24"/>
          <w:highlight w:val="none"/>
        </w:rPr>
        <w:t>&lt;</w:t>
      </w:r>
      <w:r>
        <w:rPr>
          <w:rFonts w:hint="eastAsia" w:ascii="仿宋" w:hAnsi="仿宋" w:eastAsia="仿宋"/>
          <w:color w:val="000000" w:themeColor="text1"/>
          <w:sz w:val="24"/>
          <w:highlight w:val="none"/>
        </w:rPr>
        <w:t>2</w:t>
      </w:r>
      <w:r>
        <w:rPr>
          <w:rFonts w:ascii="仿宋" w:hAnsi="仿宋" w:eastAsia="仿宋"/>
          <w:color w:val="000000" w:themeColor="text1"/>
          <w:sz w:val="24"/>
          <w:highlight w:val="none"/>
        </w:rPr>
        <w:t>ml</w:t>
      </w:r>
      <w:r>
        <w:rPr>
          <w:rFonts w:hint="eastAsia" w:ascii="仿宋" w:hAnsi="仿宋" w:eastAsia="仿宋"/>
          <w:color w:val="000000" w:themeColor="text1"/>
          <w:sz w:val="24"/>
          <w:highlight w:val="none"/>
        </w:rPr>
        <w:t>，测定大于70个元素；</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2.3.6.3谱线灵活性：可对分析元素的任何一条谱线进行定性、半定量和定量分析，便于分析研究；</w:t>
      </w:r>
    </w:p>
    <w:p>
      <w:pPr>
        <w:spacing w:line="360" w:lineRule="auto"/>
        <w:ind w:firstLine="200"/>
        <w:rPr>
          <w:rFonts w:ascii="仿宋" w:hAnsi="仿宋" w:eastAsia="仿宋"/>
          <w:co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2.3.6.4测定谱线的线性动态范围：≥10</w:t>
      </w:r>
      <w:r>
        <w:rPr>
          <w:rFonts w:ascii="仿宋" w:hAnsi="仿宋" w:eastAsia="仿宋"/>
          <w:color w:val="000000" w:themeColor="text1"/>
          <w:sz w:val="24"/>
          <w:highlight w:val="none"/>
          <w:vertAlign w:val="superscript"/>
        </w:rPr>
        <w:t>6</w:t>
      </w:r>
      <w:r>
        <w:rPr>
          <w:rFonts w:hint="eastAsia" w:ascii="仿宋" w:hAnsi="仿宋" w:eastAsia="仿宋"/>
          <w:color w:val="000000" w:themeColor="text1"/>
          <w:sz w:val="24"/>
          <w:highlight w:val="none"/>
        </w:rPr>
        <w:t>（以Mn257.6nm来测定，相关系数≥0.9996）；</w:t>
      </w:r>
    </w:p>
    <w:bookmarkEnd w:id="46"/>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2.3.6.5内标校正：同时的内标校正，即内标元素和测量元素必须同时曝光；</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2.3.6.6精密度：测定1</w:t>
      </w:r>
      <w:r>
        <w:rPr>
          <w:rFonts w:ascii="仿宋" w:hAnsi="仿宋" w:eastAsia="仿宋"/>
          <w:color w:val="000000" w:themeColor="text1"/>
          <w:sz w:val="24"/>
          <w:highlight w:val="none"/>
        </w:rPr>
        <w:t>ppm</w:t>
      </w:r>
      <w:r>
        <w:rPr>
          <w:rFonts w:hint="eastAsia" w:ascii="仿宋" w:hAnsi="仿宋" w:eastAsia="仿宋"/>
          <w:color w:val="000000" w:themeColor="text1"/>
          <w:sz w:val="24"/>
          <w:highlight w:val="none"/>
        </w:rPr>
        <w:t>或10</w:t>
      </w:r>
      <w:r>
        <w:rPr>
          <w:rFonts w:ascii="仿宋" w:hAnsi="仿宋" w:eastAsia="仿宋"/>
          <w:color w:val="000000" w:themeColor="text1"/>
          <w:sz w:val="24"/>
          <w:highlight w:val="none"/>
        </w:rPr>
        <w:t>ppm</w:t>
      </w:r>
      <w:r>
        <w:rPr>
          <w:rFonts w:hint="eastAsia" w:ascii="仿宋" w:hAnsi="仿宋" w:eastAsia="仿宋"/>
          <w:color w:val="000000" w:themeColor="text1"/>
          <w:sz w:val="24"/>
          <w:highlight w:val="none"/>
        </w:rPr>
        <w:t>多元素混合标准溶液，重复测定十次的RSD≤0.5%；</w:t>
      </w:r>
    </w:p>
    <w:p>
      <w:pPr>
        <w:spacing w:line="360" w:lineRule="auto"/>
        <w:ind w:firstLine="200"/>
        <w:rPr>
          <w:rFonts w:ascii="仿宋" w:hAnsi="仿宋" w:eastAsia="仿宋"/>
          <w:color w:val="000000" w:themeColor="text1"/>
          <w:sz w:val="24"/>
          <w:highlight w:val="none"/>
        </w:rPr>
      </w:pPr>
      <w:r>
        <w:rPr>
          <w:rFonts w:hint="eastAsia" w:ascii="仿宋" w:hAnsi="仿宋" w:eastAsia="仿宋"/>
          <w:color w:val="000000" w:themeColor="text1"/>
          <w:sz w:val="24"/>
          <w:highlight w:val="none"/>
        </w:rPr>
        <w:t>2.3.6.7稳定性：测定1</w:t>
      </w:r>
      <w:r>
        <w:rPr>
          <w:rFonts w:ascii="仿宋" w:hAnsi="仿宋" w:eastAsia="仿宋"/>
          <w:color w:val="000000" w:themeColor="text1"/>
          <w:sz w:val="24"/>
          <w:highlight w:val="none"/>
        </w:rPr>
        <w:t>ppm</w:t>
      </w:r>
      <w:r>
        <w:rPr>
          <w:rFonts w:hint="eastAsia" w:ascii="仿宋" w:hAnsi="仿宋" w:eastAsia="仿宋"/>
          <w:color w:val="000000" w:themeColor="text1"/>
          <w:sz w:val="24"/>
          <w:highlight w:val="none"/>
        </w:rPr>
        <w:t>或10</w:t>
      </w:r>
      <w:r>
        <w:rPr>
          <w:rFonts w:ascii="仿宋" w:hAnsi="仿宋" w:eastAsia="仿宋"/>
          <w:color w:val="000000" w:themeColor="text1"/>
          <w:sz w:val="24"/>
          <w:highlight w:val="none"/>
        </w:rPr>
        <w:t>ppm</w:t>
      </w:r>
      <w:r>
        <w:rPr>
          <w:rFonts w:hint="eastAsia" w:ascii="仿宋" w:hAnsi="仿宋" w:eastAsia="仿宋"/>
          <w:color w:val="000000" w:themeColor="text1"/>
          <w:sz w:val="24"/>
          <w:highlight w:val="none"/>
        </w:rPr>
        <w:t>多元素混合标准溶液，不使用内标校正，连续测定</w:t>
      </w:r>
      <w:r>
        <w:rPr>
          <w:rFonts w:ascii="仿宋" w:hAnsi="仿宋" w:eastAsia="仿宋"/>
          <w:color w:val="000000" w:themeColor="text1"/>
          <w:sz w:val="24"/>
          <w:highlight w:val="none"/>
        </w:rPr>
        <w:t>4</w:t>
      </w:r>
      <w:r>
        <w:rPr>
          <w:rFonts w:hint="eastAsia" w:ascii="仿宋" w:hAnsi="仿宋" w:eastAsia="仿宋"/>
          <w:color w:val="000000" w:themeColor="text1"/>
          <w:sz w:val="24"/>
          <w:highlight w:val="none"/>
        </w:rPr>
        <w:t>小时的长时间稳定性RSD＜</w:t>
      </w: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.0%；</w:t>
      </w:r>
    </w:p>
    <w:p>
      <w:pPr>
        <w:spacing w:line="360" w:lineRule="auto"/>
        <w:ind w:firstLine="200"/>
        <w:rPr>
          <w:rFonts w:ascii="仿宋" w:hAnsi="仿宋" w:eastAsia="仿宋"/>
          <w:color w:val="000000" w:themeColor="text1"/>
          <w:sz w:val="24"/>
          <w:highlight w:val="none"/>
        </w:rPr>
      </w:pPr>
      <w:bookmarkStart w:id="47" w:name="_Hlk163035105"/>
      <w:r>
        <w:rPr>
          <w:rFonts w:hint="eastAsia" w:ascii="仿宋" w:hAnsi="仿宋" w:eastAsia="仿宋"/>
          <w:color w:val="000000" w:themeColor="text1"/>
          <w:sz w:val="24"/>
          <w:highlight w:val="none"/>
        </w:rPr>
        <w:t>2</w:t>
      </w:r>
      <w:r>
        <w:rPr>
          <w:rFonts w:ascii="仿宋" w:hAnsi="仿宋" w:eastAsia="仿宋"/>
          <w:color w:val="000000" w:themeColor="text1"/>
          <w:sz w:val="24"/>
          <w:highlight w:val="none"/>
        </w:rPr>
        <w:t>.3.6.8</w:t>
      </w:r>
      <w:r>
        <w:rPr>
          <w:rFonts w:hint="eastAsia" w:ascii="仿宋" w:hAnsi="仿宋" w:eastAsia="仿宋"/>
          <w:color w:val="000000" w:themeColor="text1"/>
          <w:sz w:val="24"/>
          <w:highlight w:val="none"/>
        </w:rPr>
        <w:t>检出限：</w:t>
      </w:r>
    </w:p>
    <w:tbl>
      <w:tblPr>
        <w:tblStyle w:val="45"/>
        <w:tblW w:w="0" w:type="auto"/>
        <w:jc w:val="center"/>
        <w:tblLayout w:type="fixed"/>
        <w:tblCellMar>
          <w:top w:w="0" w:type="dxa"/>
          <w:left w:w="108" w:type="dxa"/>
          <w:bottom w:w="0" w:type="dxa"/>
          <w:right w:w="108" w:type="dxa"/>
        </w:tblCellMar>
      </w:tblPr>
      <w:tblGrid>
        <w:gridCol w:w="1180"/>
        <w:gridCol w:w="1300"/>
        <w:gridCol w:w="1484"/>
      </w:tblGrid>
      <w:tr>
        <w:tblPrEx>
          <w:tblCellMar>
            <w:top w:w="0" w:type="dxa"/>
            <w:left w:w="108" w:type="dxa"/>
            <w:bottom w:w="0" w:type="dxa"/>
            <w:right w:w="108" w:type="dxa"/>
          </w:tblCellMar>
        </w:tblPrEx>
        <w:trPr>
          <w:trHeight w:val="570" w:hRule="atLeast"/>
          <w:jc w:val="center"/>
        </w:trPr>
        <w:tc>
          <w:tcPr>
            <w:tcW w:w="118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元素</w:t>
            </w:r>
          </w:p>
        </w:tc>
        <w:tc>
          <w:tcPr>
            <w:tcW w:w="1300" w:type="dxa"/>
            <w:tcBorders>
              <w:top w:val="single" w:color="000000" w:sz="4" w:space="0"/>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波长/nm</w:t>
            </w:r>
          </w:p>
        </w:tc>
        <w:tc>
          <w:tcPr>
            <w:tcW w:w="1484" w:type="dxa"/>
            <w:tcBorders>
              <w:top w:val="single" w:color="000000" w:sz="4" w:space="0"/>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检出限/ug/L</w:t>
            </w:r>
          </w:p>
        </w:tc>
      </w:tr>
      <w:tr>
        <w:tblPrEx>
          <w:tblCellMar>
            <w:top w:w="0" w:type="dxa"/>
            <w:left w:w="108" w:type="dxa"/>
            <w:bottom w:w="0" w:type="dxa"/>
            <w:right w:w="108" w:type="dxa"/>
          </w:tblCellMar>
        </w:tblPrEx>
        <w:trPr>
          <w:trHeight w:val="285" w:hRule="atLeast"/>
          <w:jc w:val="center"/>
        </w:trPr>
        <w:tc>
          <w:tcPr>
            <w:tcW w:w="1180" w:type="dxa"/>
            <w:tcBorders>
              <w:top w:val="nil"/>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Zn</w:t>
            </w:r>
          </w:p>
        </w:tc>
        <w:tc>
          <w:tcPr>
            <w:tcW w:w="1300"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213.856</w:t>
            </w:r>
          </w:p>
        </w:tc>
        <w:tc>
          <w:tcPr>
            <w:tcW w:w="1484"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&lt;0.</w:t>
            </w:r>
            <w:r>
              <w:rPr>
                <w:rFonts w:ascii="仿宋" w:hAnsi="仿宋" w:eastAsia="仿宋" w:cs="宋体"/>
                <w:color w:val="000000" w:themeColor="text1"/>
                <w:sz w:val="22"/>
                <w:szCs w:val="22"/>
                <w:highlight w:val="none"/>
              </w:rPr>
              <w:t>20</w:t>
            </w:r>
          </w:p>
        </w:tc>
      </w:tr>
      <w:tr>
        <w:tblPrEx>
          <w:tblCellMar>
            <w:top w:w="0" w:type="dxa"/>
            <w:left w:w="108" w:type="dxa"/>
            <w:bottom w:w="0" w:type="dxa"/>
            <w:right w:w="108" w:type="dxa"/>
          </w:tblCellMar>
        </w:tblPrEx>
        <w:trPr>
          <w:trHeight w:val="285" w:hRule="atLeast"/>
          <w:jc w:val="center"/>
        </w:trPr>
        <w:tc>
          <w:tcPr>
            <w:tcW w:w="1180" w:type="dxa"/>
            <w:tcBorders>
              <w:top w:val="nil"/>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Cu</w:t>
            </w:r>
          </w:p>
        </w:tc>
        <w:tc>
          <w:tcPr>
            <w:tcW w:w="1300"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324.754</w:t>
            </w:r>
          </w:p>
        </w:tc>
        <w:tc>
          <w:tcPr>
            <w:tcW w:w="1484"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ascii="仿宋" w:hAnsi="仿宋" w:eastAsia="仿宋" w:cs="宋体"/>
                <w:color w:val="000000" w:themeColor="text1"/>
                <w:sz w:val="22"/>
                <w:szCs w:val="22"/>
                <w:highlight w:val="none"/>
              </w:rPr>
              <w:t>&lt;</w:t>
            </w:r>
            <w:r>
              <w:rPr>
                <w:rFonts w:hint="eastAsia" w:ascii="仿宋" w:hAnsi="仿宋" w:eastAsia="仿宋" w:cs="宋体"/>
                <w:color w:val="000000" w:themeColor="text1"/>
                <w:sz w:val="22"/>
                <w:szCs w:val="22"/>
                <w:highlight w:val="none"/>
              </w:rPr>
              <w:t>0.</w:t>
            </w:r>
            <w:r>
              <w:rPr>
                <w:rFonts w:ascii="仿宋" w:hAnsi="仿宋" w:eastAsia="仿宋" w:cs="宋体"/>
                <w:color w:val="000000" w:themeColor="text1"/>
                <w:sz w:val="22"/>
                <w:szCs w:val="22"/>
                <w:highlight w:val="none"/>
              </w:rPr>
              <w:t>60</w:t>
            </w:r>
          </w:p>
        </w:tc>
      </w:tr>
      <w:tr>
        <w:tblPrEx>
          <w:tblCellMar>
            <w:top w:w="0" w:type="dxa"/>
            <w:left w:w="108" w:type="dxa"/>
            <w:bottom w:w="0" w:type="dxa"/>
            <w:right w:w="108" w:type="dxa"/>
          </w:tblCellMar>
        </w:tblPrEx>
        <w:trPr>
          <w:trHeight w:val="285" w:hRule="atLeast"/>
          <w:jc w:val="center"/>
        </w:trPr>
        <w:tc>
          <w:tcPr>
            <w:tcW w:w="1180" w:type="dxa"/>
            <w:tcBorders>
              <w:top w:val="nil"/>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Ni</w:t>
            </w:r>
          </w:p>
        </w:tc>
        <w:tc>
          <w:tcPr>
            <w:tcW w:w="1300"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231.604</w:t>
            </w:r>
          </w:p>
        </w:tc>
        <w:tc>
          <w:tcPr>
            <w:tcW w:w="1484"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ascii="仿宋" w:hAnsi="仿宋" w:eastAsia="仿宋" w:cs="宋体"/>
                <w:color w:val="000000" w:themeColor="text1"/>
                <w:sz w:val="22"/>
                <w:szCs w:val="22"/>
                <w:highlight w:val="none"/>
              </w:rPr>
              <w:t>&lt;</w:t>
            </w:r>
            <w:r>
              <w:rPr>
                <w:rFonts w:hint="eastAsia" w:ascii="仿宋" w:hAnsi="仿宋" w:eastAsia="仿宋" w:cs="宋体"/>
                <w:color w:val="000000" w:themeColor="text1"/>
                <w:sz w:val="22"/>
                <w:szCs w:val="22"/>
                <w:highlight w:val="none"/>
              </w:rPr>
              <w:t>0.60</w:t>
            </w:r>
          </w:p>
        </w:tc>
      </w:tr>
      <w:tr>
        <w:tblPrEx>
          <w:tblCellMar>
            <w:top w:w="0" w:type="dxa"/>
            <w:left w:w="108" w:type="dxa"/>
            <w:bottom w:w="0" w:type="dxa"/>
            <w:right w:w="108" w:type="dxa"/>
          </w:tblCellMar>
        </w:tblPrEx>
        <w:trPr>
          <w:trHeight w:val="285" w:hRule="atLeast"/>
          <w:jc w:val="center"/>
        </w:trPr>
        <w:tc>
          <w:tcPr>
            <w:tcW w:w="1180" w:type="dxa"/>
            <w:tcBorders>
              <w:top w:val="nil"/>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Cr</w:t>
            </w:r>
          </w:p>
        </w:tc>
        <w:tc>
          <w:tcPr>
            <w:tcW w:w="1300"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267.716</w:t>
            </w:r>
          </w:p>
        </w:tc>
        <w:tc>
          <w:tcPr>
            <w:tcW w:w="1484"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ascii="仿宋" w:hAnsi="仿宋" w:eastAsia="仿宋" w:cs="宋体"/>
                <w:color w:val="000000" w:themeColor="text1"/>
                <w:sz w:val="22"/>
                <w:szCs w:val="22"/>
                <w:highlight w:val="none"/>
              </w:rPr>
              <w:t>&lt;</w:t>
            </w:r>
            <w:r>
              <w:rPr>
                <w:rFonts w:hint="eastAsia" w:ascii="仿宋" w:hAnsi="仿宋" w:eastAsia="仿宋" w:cs="宋体"/>
                <w:color w:val="000000" w:themeColor="text1"/>
                <w:sz w:val="22"/>
                <w:szCs w:val="22"/>
                <w:highlight w:val="none"/>
              </w:rPr>
              <w:t>0.</w:t>
            </w:r>
            <w:r>
              <w:rPr>
                <w:rFonts w:ascii="仿宋" w:hAnsi="仿宋" w:eastAsia="仿宋" w:cs="宋体"/>
                <w:color w:val="000000" w:themeColor="text1"/>
                <w:sz w:val="22"/>
                <w:szCs w:val="22"/>
                <w:highlight w:val="none"/>
              </w:rPr>
              <w:t>60</w:t>
            </w:r>
          </w:p>
        </w:tc>
      </w:tr>
      <w:tr>
        <w:tblPrEx>
          <w:tblCellMar>
            <w:top w:w="0" w:type="dxa"/>
            <w:left w:w="108" w:type="dxa"/>
            <w:bottom w:w="0" w:type="dxa"/>
            <w:right w:w="108" w:type="dxa"/>
          </w:tblCellMar>
        </w:tblPrEx>
        <w:trPr>
          <w:trHeight w:val="285" w:hRule="atLeast"/>
          <w:jc w:val="center"/>
        </w:trPr>
        <w:tc>
          <w:tcPr>
            <w:tcW w:w="1180" w:type="dxa"/>
            <w:tcBorders>
              <w:top w:val="nil"/>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Ba</w:t>
            </w:r>
          </w:p>
        </w:tc>
        <w:tc>
          <w:tcPr>
            <w:tcW w:w="1300"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455.403</w:t>
            </w:r>
          </w:p>
        </w:tc>
        <w:tc>
          <w:tcPr>
            <w:tcW w:w="1484"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ascii="仿宋" w:hAnsi="仿宋" w:eastAsia="仿宋" w:cs="宋体"/>
                <w:color w:val="000000" w:themeColor="text1"/>
                <w:sz w:val="22"/>
                <w:szCs w:val="22"/>
                <w:highlight w:val="none"/>
              </w:rPr>
              <w:t>&lt;</w:t>
            </w:r>
            <w:r>
              <w:rPr>
                <w:rFonts w:hint="eastAsia" w:ascii="仿宋" w:hAnsi="仿宋" w:eastAsia="仿宋" w:cs="宋体"/>
                <w:color w:val="000000" w:themeColor="text1"/>
                <w:sz w:val="22"/>
                <w:szCs w:val="22"/>
                <w:highlight w:val="none"/>
              </w:rPr>
              <w:t>0.0</w:t>
            </w:r>
            <w:r>
              <w:rPr>
                <w:rFonts w:ascii="仿宋" w:hAnsi="仿宋" w:eastAsia="仿宋" w:cs="宋体"/>
                <w:color w:val="000000" w:themeColor="text1"/>
                <w:sz w:val="22"/>
                <w:szCs w:val="22"/>
                <w:highlight w:val="none"/>
              </w:rPr>
              <w:t>3</w:t>
            </w:r>
          </w:p>
        </w:tc>
      </w:tr>
      <w:tr>
        <w:tblPrEx>
          <w:tblCellMar>
            <w:top w:w="0" w:type="dxa"/>
            <w:left w:w="108" w:type="dxa"/>
            <w:bottom w:w="0" w:type="dxa"/>
            <w:right w:w="108" w:type="dxa"/>
          </w:tblCellMar>
        </w:tblPrEx>
        <w:trPr>
          <w:trHeight w:val="285" w:hRule="atLeast"/>
          <w:jc w:val="center"/>
        </w:trPr>
        <w:tc>
          <w:tcPr>
            <w:tcW w:w="1180" w:type="dxa"/>
            <w:tcBorders>
              <w:top w:val="nil"/>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Mn</w:t>
            </w:r>
          </w:p>
        </w:tc>
        <w:tc>
          <w:tcPr>
            <w:tcW w:w="1300"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257.61</w:t>
            </w:r>
          </w:p>
        </w:tc>
        <w:tc>
          <w:tcPr>
            <w:tcW w:w="1484"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ascii="仿宋" w:hAnsi="仿宋" w:eastAsia="仿宋" w:cs="宋体"/>
                <w:color w:val="000000" w:themeColor="text1"/>
                <w:sz w:val="22"/>
                <w:szCs w:val="22"/>
                <w:highlight w:val="none"/>
              </w:rPr>
              <w:t>&lt;</w:t>
            </w:r>
            <w:r>
              <w:rPr>
                <w:rFonts w:hint="eastAsia" w:ascii="仿宋" w:hAnsi="仿宋" w:eastAsia="仿宋" w:cs="宋体"/>
                <w:color w:val="000000" w:themeColor="text1"/>
                <w:sz w:val="22"/>
                <w:szCs w:val="22"/>
                <w:highlight w:val="none"/>
              </w:rPr>
              <w:t>0.0</w:t>
            </w:r>
            <w:r>
              <w:rPr>
                <w:rFonts w:ascii="仿宋" w:hAnsi="仿宋" w:eastAsia="仿宋" w:cs="宋体"/>
                <w:color w:val="000000" w:themeColor="text1"/>
                <w:sz w:val="22"/>
                <w:szCs w:val="22"/>
                <w:highlight w:val="none"/>
              </w:rPr>
              <w:t>7</w:t>
            </w:r>
          </w:p>
        </w:tc>
      </w:tr>
      <w:tr>
        <w:tblPrEx>
          <w:tblCellMar>
            <w:top w:w="0" w:type="dxa"/>
            <w:left w:w="108" w:type="dxa"/>
            <w:bottom w:w="0" w:type="dxa"/>
            <w:right w:w="108" w:type="dxa"/>
          </w:tblCellMar>
        </w:tblPrEx>
        <w:trPr>
          <w:trHeight w:val="484" w:hRule="atLeast"/>
          <w:jc w:val="center"/>
        </w:trPr>
        <w:tc>
          <w:tcPr>
            <w:tcW w:w="1180" w:type="dxa"/>
            <w:tcBorders>
              <w:top w:val="nil"/>
              <w:left w:val="single" w:color="000000" w:sz="4" w:space="0"/>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Al</w:t>
            </w:r>
          </w:p>
        </w:tc>
        <w:tc>
          <w:tcPr>
            <w:tcW w:w="1300"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hint="eastAsia" w:ascii="仿宋" w:hAnsi="仿宋" w:eastAsia="仿宋" w:cs="宋体"/>
                <w:color w:val="000000" w:themeColor="text1"/>
                <w:sz w:val="22"/>
                <w:szCs w:val="22"/>
                <w:highlight w:val="none"/>
              </w:rPr>
              <w:t>167.079</w:t>
            </w:r>
          </w:p>
        </w:tc>
        <w:tc>
          <w:tcPr>
            <w:tcW w:w="1484" w:type="dxa"/>
            <w:tcBorders>
              <w:top w:val="nil"/>
              <w:left w:val="nil"/>
              <w:bottom w:val="single" w:color="000000" w:sz="4" w:space="0"/>
              <w:right w:val="single" w:color="000000" w:sz="4" w:space="0"/>
            </w:tcBorders>
            <w:vAlign w:val="center"/>
          </w:tcPr>
          <w:p>
            <w:pPr>
              <w:widowControl/>
              <w:spacing w:line="360" w:lineRule="auto"/>
              <w:ind w:firstLine="200"/>
              <w:jc w:val="center"/>
              <w:rPr>
                <w:rFonts w:ascii="仿宋" w:hAnsi="仿宋" w:eastAsia="仿宋" w:cs="宋体"/>
                <w:color w:val="000000" w:themeColor="text1"/>
                <w:sz w:val="22"/>
                <w:szCs w:val="22"/>
                <w:highlight w:val="none"/>
              </w:rPr>
            </w:pPr>
            <w:r>
              <w:rPr>
                <w:rFonts w:ascii="仿宋" w:hAnsi="仿宋" w:eastAsia="仿宋" w:cs="宋体"/>
                <w:color w:val="000000" w:themeColor="text1"/>
                <w:sz w:val="22"/>
                <w:szCs w:val="22"/>
                <w:highlight w:val="none"/>
              </w:rPr>
              <w:t>&lt;</w:t>
            </w:r>
            <w:r>
              <w:rPr>
                <w:rFonts w:hint="eastAsia" w:ascii="仿宋" w:hAnsi="仿宋" w:eastAsia="仿宋" w:cs="宋体"/>
                <w:color w:val="000000" w:themeColor="text1"/>
                <w:sz w:val="22"/>
                <w:szCs w:val="22"/>
                <w:highlight w:val="none"/>
              </w:rPr>
              <w:t>0.</w:t>
            </w:r>
            <w:r>
              <w:rPr>
                <w:rFonts w:ascii="仿宋" w:hAnsi="仿宋" w:eastAsia="仿宋" w:cs="宋体"/>
                <w:color w:val="000000" w:themeColor="text1"/>
                <w:sz w:val="22"/>
                <w:szCs w:val="22"/>
                <w:highlight w:val="none"/>
              </w:rPr>
              <w:t>10</w:t>
            </w:r>
          </w:p>
        </w:tc>
      </w:tr>
      <w:bookmarkEnd w:id="47"/>
    </w:tbl>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2.4自动扫描仪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2.4.1扫描速度35张/每分钟；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2.4.2支持PDF，TIF，BMP，JPEG，PDF/A多种图像格式传输；</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2.4.3 600*600的分辨率，双面彩色扫描一次性过纸；</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2.4.4纸张护送系统；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2.4.5进口导纸轮；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2.4.6一次性放纸100张，支持A4文件，快递单，相册、卡片、发票等；</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2.4.7支持A3折页文稿扫描，扫描图像双面可自动合成一张。</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铜、铅等13个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3.2供货时提供仪器检定或校准证书。</w:t>
      </w:r>
    </w:p>
    <w:bookmarkEnd w:id="41"/>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48" w:name="_Toc18282"/>
      <w:r>
        <w:rPr>
          <w:rFonts w:hint="eastAsia" w:ascii="仿宋" w:hAnsi="仿宋" w:eastAsia="仿宋" w:cs="宋体"/>
          <w:color w:val="000000" w:themeColor="text1"/>
          <w:sz w:val="24"/>
          <w:szCs w:val="32"/>
          <w:highlight w:val="none"/>
        </w:rPr>
        <w:t>石墨炉原子吸收分光光度计</w:t>
      </w:r>
      <w:bookmarkEnd w:id="48"/>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1.1石墨炉原子吸收分光光度计主机</w:t>
      </w:r>
      <w:r>
        <w:rPr>
          <w:rFonts w:hint="eastAsia" w:ascii="仿宋" w:hAnsi="仿宋" w:eastAsia="仿宋" w:cs="宋体"/>
          <w:color w:val="000000" w:themeColor="text1"/>
          <w:sz w:val="24"/>
          <w:szCs w:val="32"/>
          <w:highlight w:val="none"/>
        </w:rPr>
        <w:t>1</w:t>
      </w:r>
      <w:r>
        <w:rPr>
          <w:rFonts w:ascii="仿宋" w:hAnsi="仿宋" w:eastAsia="仿宋" w:cs="宋体"/>
          <w:color w:val="000000" w:themeColor="text1"/>
          <w:sz w:val="24"/>
          <w:szCs w:val="32"/>
          <w:highlight w:val="none"/>
        </w:rPr>
        <w:t>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配置铜、锌、铅、镉、硒元素灯各</w:t>
      </w:r>
      <w:r>
        <w:rPr>
          <w:rFonts w:hint="eastAsia" w:ascii="仿宋" w:hAnsi="仿宋" w:eastAsia="仿宋" w:cs="宋体"/>
          <w:color w:val="000000" w:themeColor="text1"/>
          <w:sz w:val="24"/>
          <w:szCs w:val="32"/>
          <w:highlight w:val="none"/>
        </w:rPr>
        <w:t>1</w:t>
      </w:r>
      <w:r>
        <w:rPr>
          <w:rFonts w:ascii="仿宋" w:hAnsi="仿宋" w:eastAsia="仿宋" w:cs="宋体"/>
          <w:color w:val="000000" w:themeColor="text1"/>
          <w:sz w:val="24"/>
          <w:szCs w:val="32"/>
          <w:highlight w:val="none"/>
        </w:rPr>
        <w:t>支；</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仪器控制软件1套，全中文操作系统；</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4</w:t>
      </w:r>
      <w:r>
        <w:rPr>
          <w:rFonts w:ascii="仿宋" w:hAnsi="仿宋" w:eastAsia="仿宋" w:cs="宋体"/>
          <w:color w:val="000000" w:themeColor="text1"/>
          <w:sz w:val="24"/>
          <w:szCs w:val="32"/>
          <w:highlight w:val="none"/>
        </w:rPr>
        <w:t>横向石墨管5支；</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5</w:t>
      </w:r>
      <w:r>
        <w:rPr>
          <w:rFonts w:ascii="仿宋" w:hAnsi="仿宋" w:eastAsia="仿宋" w:cs="宋体"/>
          <w:color w:val="000000" w:themeColor="text1"/>
          <w:sz w:val="24"/>
          <w:szCs w:val="32"/>
          <w:highlight w:val="none"/>
        </w:rPr>
        <w:t>配套重金属检测专用耗材及方法包（铅/镉）1套；</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6</w:t>
      </w:r>
      <w:r>
        <w:rPr>
          <w:rFonts w:ascii="仿宋" w:hAnsi="仿宋" w:eastAsia="仿宋" w:cs="宋体"/>
          <w:color w:val="000000" w:themeColor="text1"/>
          <w:sz w:val="24"/>
          <w:szCs w:val="32"/>
          <w:highlight w:val="none"/>
        </w:rPr>
        <w:t>终端处理系统</w:t>
      </w:r>
      <w:r>
        <w:rPr>
          <w:rFonts w:hint="eastAsia" w:ascii="仿宋" w:hAnsi="仿宋" w:eastAsia="仿宋" w:cs="宋体"/>
          <w:color w:val="000000" w:themeColor="text1"/>
          <w:sz w:val="24"/>
          <w:szCs w:val="32"/>
          <w:highlight w:val="none"/>
        </w:rPr>
        <w:t>1</w:t>
      </w:r>
      <w:r>
        <w:rPr>
          <w:rFonts w:ascii="仿宋" w:hAnsi="仿宋" w:eastAsia="仿宋" w:cs="宋体"/>
          <w:color w:val="000000" w:themeColor="text1"/>
          <w:sz w:val="24"/>
          <w:szCs w:val="32"/>
          <w:highlight w:val="none"/>
        </w:rPr>
        <w:t>套；</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7</w:t>
      </w:r>
      <w:r>
        <w:rPr>
          <w:rFonts w:ascii="仿宋" w:hAnsi="仿宋" w:eastAsia="仿宋" w:cs="宋体"/>
          <w:color w:val="000000" w:themeColor="text1"/>
          <w:sz w:val="24"/>
          <w:szCs w:val="32"/>
          <w:highlight w:val="none"/>
        </w:rPr>
        <w:t>数据导出系统</w:t>
      </w:r>
      <w:r>
        <w:rPr>
          <w:rFonts w:hint="eastAsia" w:ascii="仿宋" w:hAnsi="仿宋" w:eastAsia="仿宋" w:cs="宋体"/>
          <w:color w:val="000000" w:themeColor="text1"/>
          <w:sz w:val="24"/>
          <w:szCs w:val="32"/>
          <w:highlight w:val="none"/>
        </w:rPr>
        <w:t>1</w:t>
      </w:r>
      <w:r>
        <w:rPr>
          <w:rFonts w:ascii="仿宋" w:hAnsi="仿宋" w:eastAsia="仿宋" w:cs="宋体"/>
          <w:color w:val="000000" w:themeColor="text1"/>
          <w:sz w:val="24"/>
          <w:szCs w:val="32"/>
          <w:highlight w:val="none"/>
        </w:rPr>
        <w:t>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1.8终端数据处理器1台：win11系统，内存≥8G，硬盘≥512G，≥27英寸显示器，处理器：双核；</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1.9数据信息记录仪1台；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1.10温湿度计1个（带检定或校准证书）；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1.11仪器设备状态标识牌。</w:t>
      </w:r>
    </w:p>
    <w:p>
      <w:pPr>
        <w:spacing w:line="360" w:lineRule="auto"/>
        <w:ind w:firstLine="200"/>
        <w:rPr>
          <w:rFonts w:ascii="仿宋" w:hAnsi="仿宋" w:eastAsia="仿宋" w:cs="宋体"/>
          <w:color w:val="000000" w:themeColor="text1"/>
          <w:sz w:val="24"/>
          <w:szCs w:val="32"/>
          <w:highlight w:val="none"/>
        </w:rPr>
      </w:pPr>
    </w:p>
    <w:p>
      <w:pPr>
        <w:numPr>
          <w:ilvl w:val="0"/>
          <w:numId w:val="6"/>
        </w:numPr>
        <w:tabs>
          <w:tab w:val="left" w:pos="312"/>
        </w:tabs>
        <w:spacing w:line="360" w:lineRule="auto"/>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2.1分光系统</w:t>
      </w:r>
    </w:p>
    <w:p>
      <w:pPr>
        <w:spacing w:line="360" w:lineRule="auto"/>
        <w:ind w:firstLine="200"/>
        <w:rPr>
          <w:rFonts w:ascii="仿宋" w:hAnsi="仿宋" w:eastAsia="仿宋" w:cs="宋体"/>
          <w:color w:val="000000" w:themeColor="text1"/>
          <w:sz w:val="24"/>
          <w:szCs w:val="32"/>
          <w:highlight w:val="none"/>
        </w:rPr>
      </w:pPr>
      <w:bookmarkStart w:id="49" w:name="_Hlk163043903"/>
      <w:r>
        <w:rPr>
          <w:rFonts w:hint="eastAsia" w:ascii="仿宋" w:hAnsi="仿宋" w:eastAsia="仿宋" w:cs="宋体"/>
          <w:color w:val="000000" w:themeColor="text1"/>
          <w:sz w:val="24"/>
          <w:szCs w:val="32"/>
          <w:highlight w:val="none"/>
        </w:rPr>
        <w:t>●2.1.1波长范围：185nm-910nm；（提供技术证明）</w:t>
      </w:r>
    </w:p>
    <w:bookmarkEnd w:id="4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2.1.2单色器：消象差C-T型单色器；</w:t>
      </w:r>
    </w:p>
    <w:p>
      <w:pPr>
        <w:spacing w:line="360" w:lineRule="auto"/>
        <w:ind w:firstLine="200"/>
        <w:rPr>
          <w:rFonts w:ascii="仿宋" w:hAnsi="仿宋" w:eastAsia="仿宋" w:cs="宋体"/>
          <w:color w:val="000000" w:themeColor="text1"/>
          <w:sz w:val="24"/>
          <w:szCs w:val="32"/>
          <w:highlight w:val="none"/>
        </w:rPr>
      </w:pPr>
      <w:bookmarkStart w:id="50" w:name="_Hlk163043908"/>
      <w:r>
        <w:rPr>
          <w:rFonts w:hint="eastAsia" w:ascii="仿宋" w:hAnsi="仿宋" w:eastAsia="仿宋" w:cs="宋体"/>
          <w:color w:val="000000" w:themeColor="text1"/>
          <w:sz w:val="24"/>
          <w:szCs w:val="32"/>
          <w:highlight w:val="none"/>
        </w:rPr>
        <w:t>●2.1.3八只灯的回转灯架，自动精准找位；（提供技术证明）</w:t>
      </w:r>
    </w:p>
    <w:bookmarkEnd w:id="50"/>
    <w:p>
      <w:pPr>
        <w:spacing w:line="360" w:lineRule="auto"/>
        <w:ind w:firstLine="200"/>
        <w:rPr>
          <w:rFonts w:ascii="仿宋" w:hAnsi="仿宋" w:eastAsia="仿宋" w:cs="宋体"/>
          <w:color w:val="000000" w:themeColor="text1"/>
          <w:sz w:val="24"/>
          <w:szCs w:val="32"/>
          <w:highlight w:val="none"/>
        </w:rPr>
      </w:pPr>
      <w:bookmarkStart w:id="51" w:name="_Hlk163043914"/>
      <w:r>
        <w:rPr>
          <w:rFonts w:hint="eastAsia" w:ascii="仿宋" w:hAnsi="仿宋" w:eastAsia="仿宋" w:cs="宋体"/>
          <w:color w:val="000000" w:themeColor="text1"/>
          <w:sz w:val="24"/>
          <w:szCs w:val="32"/>
          <w:highlight w:val="none"/>
        </w:rPr>
        <w:t>2.1.4光谱带宽：0.1nm,0.2nm,0.4nm,1.0nm,2.0nm五档自动切换；</w:t>
      </w:r>
    </w:p>
    <w:bookmarkEnd w:id="51"/>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2.1.5波长准确度：±0.15nm；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2.1.6波长重复性：≤0.05nm；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2.1.7基线漂移：±0.002A/30min（静态）。</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2.2石墨炉分析</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2.2.1特征量(Cd)：Cu＜0.2×10-10 g，Cd＜0.4×10-12g；</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2.2.2检出限(Cd)：≤0.4×10-12g；</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2.2.3精密度：Cu＜2%，Cd＜2%；</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2.2.4加热控温方式：干燥灰化阶段功率控制方式;原子化阶段采用光控最大功率方式；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2.2.5升温方式：斜坡升温、阶梯升温、最大功率升温；</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2.2.6控温精度：﹤1%。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★2.2.7石墨管加热方式：先进的石墨炉横向加热，实现了石墨管的温度均匀一致，降低记忆效应（提供实物图证明）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2.3软件操作系统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2.3.1中文操作软件；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2.3.2提供自吸收扣背景和氘灯扣背景两种扣背景方式；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2.3.3采用向导的方式对测量元素进行设置，自动完成8只元素灯的切换和寻峰工作；</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2.3.4提供报告汇总显示和打印功能，同时可以显示和打印元素灯的波谱图、分析工作曲线、样品分析信号线及分析参数等；</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2.3.5自动调入优化的工作参数及分析条件，亦可人工输入各种工作参数及条件，控制仪器自动完成设置；</w:t>
      </w:r>
    </w:p>
    <w:p>
      <w:pPr>
        <w:spacing w:line="360" w:lineRule="auto"/>
        <w:ind w:firstLine="200"/>
        <w:rPr>
          <w:rFonts w:ascii="仿宋" w:hAnsi="仿宋" w:eastAsia="仿宋" w:cs="宋体"/>
          <w:color w:val="000000" w:themeColor="text1"/>
          <w:sz w:val="24"/>
          <w:szCs w:val="32"/>
          <w:highlight w:val="none"/>
        </w:rPr>
      </w:pPr>
      <w:bookmarkStart w:id="52" w:name="_Hlk163292459"/>
      <w:r>
        <w:rPr>
          <w:rFonts w:hint="eastAsia" w:ascii="仿宋" w:hAnsi="仿宋" w:eastAsia="仿宋" w:cs="宋体"/>
          <w:color w:val="000000" w:themeColor="text1"/>
          <w:sz w:val="24"/>
          <w:szCs w:val="32"/>
          <w:highlight w:val="none"/>
        </w:rPr>
        <w:t>2.3.6支持网络远程控制，实验室设备网络组建，进行一台计算机多台设备的操控。</w:t>
      </w:r>
    </w:p>
    <w:bookmarkEnd w:id="52"/>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2.4背景校正</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2.4.1氘灯背景校正&gt;55倍@1Abs；</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2.4.2自吸背景校正&gt;60倍@1Abs；</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2.5自动进样器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2.5.1功能指标</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自动清洗功能：每次进样前对样品管进行自动清洗。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欠压保护功能：自动检测气体压力，气体小于0.2Mpa压力欠压报警。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调节取样深度：通过软件可以调节取样深度。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自动添加改进剂：每次可以添加不少于3种改进剂。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2.5.2规格参数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注射器容积：500μL；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清洗瓶容积：800 mL；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样品盘杯位数：不少于76杯位；</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进样范围：5μL~300μL；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进样重复性：&lt;1%。</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硒等3个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3.2供货时提供仪器检定或校准证书。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53" w:name="_Toc7484"/>
      <w:bookmarkStart w:id="54" w:name="_Hlk164673079"/>
      <w:r>
        <w:rPr>
          <w:rFonts w:hint="eastAsia" w:ascii="仿宋" w:hAnsi="仿宋" w:eastAsia="仿宋" w:cs="宋体"/>
          <w:color w:val="000000" w:themeColor="text1"/>
          <w:sz w:val="24"/>
          <w:szCs w:val="32"/>
          <w:highlight w:val="none"/>
        </w:rPr>
        <w:t>全自</w:t>
      </w:r>
      <w:bookmarkStart w:id="55" w:name="_Hlk164774424"/>
      <w:r>
        <w:rPr>
          <w:rFonts w:hint="eastAsia" w:ascii="仿宋" w:hAnsi="仿宋" w:eastAsia="仿宋" w:cs="宋体"/>
          <w:color w:val="000000" w:themeColor="text1"/>
          <w:sz w:val="24"/>
          <w:szCs w:val="32"/>
          <w:highlight w:val="none"/>
        </w:rPr>
        <w:t>动化学需氧量分析仪</w:t>
      </w:r>
      <w:bookmarkEnd w:id="53"/>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主机1套；</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试剂瓶8个；</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试剂溶液机器人手臂3套；</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数据分析工作站1套；</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恒温循环冷凝水机1套；</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微晶防护升降热源2套；</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8通道风冷降温1套；</w:t>
      </w:r>
    </w:p>
    <w:p>
      <w:pPr>
        <w:numPr>
          <w:ilvl w:val="1"/>
          <w:numId w:val="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附件1套；</w:t>
      </w:r>
    </w:p>
    <w:p>
      <w:pPr>
        <w:pStyle w:val="62"/>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1.9废液收集动力通道3套</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1.10定量注射泵6套</w:t>
      </w:r>
    </w:p>
    <w:p>
      <w:pPr>
        <w:pStyle w:val="62"/>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1.11独立控制阀12套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1.12温湿度计1个（带检定或校准证书）；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1.13仪器设备状态标识牌。</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2.1整机要求：</w:t>
      </w:r>
    </w:p>
    <w:p>
      <w:pPr>
        <w:spacing w:line="360" w:lineRule="auto"/>
        <w:ind w:firstLine="200"/>
        <w:rPr>
          <w:rFonts w:ascii="仿宋" w:hAnsi="仿宋" w:eastAsia="仿宋" w:cs="宋体"/>
          <w:color w:val="000000" w:themeColor="text1"/>
          <w:sz w:val="24"/>
          <w:szCs w:val="32"/>
          <w:highlight w:val="none"/>
        </w:rPr>
      </w:pPr>
      <w:bookmarkStart w:id="56" w:name="_Hlk163045614"/>
      <w:r>
        <w:rPr>
          <w:rFonts w:hint="eastAsia" w:ascii="仿宋" w:hAnsi="仿宋" w:eastAsia="仿宋" w:cs="宋体"/>
          <w:color w:val="000000" w:themeColor="text1"/>
          <w:sz w:val="24"/>
          <w:szCs w:val="32"/>
          <w:highlight w:val="none"/>
        </w:rPr>
        <w:t>▲2.1.1</w:t>
      </w:r>
      <w:bookmarkEnd w:id="56"/>
      <w:r>
        <w:rPr>
          <w:rFonts w:hint="eastAsia" w:ascii="仿宋" w:hAnsi="仿宋" w:eastAsia="仿宋" w:cs="宋体"/>
          <w:color w:val="000000" w:themeColor="text1"/>
          <w:sz w:val="24"/>
          <w:szCs w:val="32"/>
          <w:highlight w:val="none"/>
        </w:rPr>
        <w:t>要求满足HJ828-2017化学需氧量的测定标准，要求整机一体化结构，高、低浓度样品同时分析；</w:t>
      </w:r>
      <w:r>
        <w:rPr>
          <w:rFonts w:ascii="仿宋" w:hAnsi="仿宋" w:eastAsia="仿宋" w:cs="宋体"/>
          <w:color w:val="000000" w:themeColor="text1"/>
          <w:sz w:val="24"/>
          <w:szCs w:val="32"/>
          <w:highlight w:val="none"/>
        </w:rPr>
        <w:t xml:space="preserve"> </w:t>
      </w:r>
    </w:p>
    <w:p>
      <w:pPr>
        <w:spacing w:line="360" w:lineRule="auto"/>
        <w:ind w:firstLine="200"/>
        <w:rPr>
          <w:color w:val="000000" w:themeColor="text1"/>
          <w:highlight w:val="none"/>
        </w:rPr>
      </w:pPr>
      <w:r>
        <w:rPr>
          <w:rFonts w:hint="eastAsia" w:ascii="仿宋" w:hAnsi="仿宋" w:eastAsia="仿宋" w:cs="宋体"/>
          <w:color w:val="000000" w:themeColor="text1"/>
          <w:sz w:val="24"/>
          <w:szCs w:val="32"/>
          <w:highlight w:val="none"/>
        </w:rPr>
        <w:t>★2.1.2不少于32位热源通道，所有试剂溶液均为独立的定量泵阀，硫酸-硫酸银试剂满足同时进行两个样品加液，确保高效稳定运行；</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2.1.3要求冷凝瓶结构为传统球形玻璃容器，循环水冷凝，机器人自动实现消解瓶与冷凝瓶的密封配合，容器对接具有弹性密封圈密封，不接受单一易漏气的磨砂对接模式；</w:t>
      </w:r>
    </w:p>
    <w:p>
      <w:pPr>
        <w:spacing w:line="360" w:lineRule="auto"/>
        <w:ind w:firstLine="200"/>
        <w:rPr>
          <w:rFonts w:ascii="仿宋" w:hAnsi="仿宋" w:eastAsia="仿宋" w:cs="宋体"/>
          <w:color w:val="000000" w:themeColor="text1"/>
          <w:sz w:val="24"/>
          <w:szCs w:val="32"/>
          <w:highlight w:val="none"/>
        </w:rPr>
      </w:pPr>
      <w:bookmarkStart w:id="57" w:name="_Hlk163045628"/>
      <w:r>
        <w:rPr>
          <w:rFonts w:hint="eastAsia" w:ascii="仿宋" w:hAnsi="仿宋" w:eastAsia="仿宋" w:cs="宋体"/>
          <w:color w:val="000000" w:themeColor="text1"/>
          <w:sz w:val="24"/>
          <w:szCs w:val="32"/>
          <w:highlight w:val="none"/>
        </w:rPr>
        <w:t>●2.1.4样品运行过程中，可随时追加循环上样分析，无需等待运行中样品分析结束，提高运行效率；（提供技术证明）</w:t>
      </w:r>
    </w:p>
    <w:bookmarkEnd w:id="57"/>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2.2消解模式要求：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★2.2.1要求采用热传递均匀，耐腐蚀抗氧化，升温降温迅速的远红外辐射微晶碳化防护</w:t>
      </w:r>
      <w:bookmarkStart w:id="58" w:name="_Hlk163045639"/>
      <w:r>
        <w:rPr>
          <w:rFonts w:hint="eastAsia" w:ascii="仿宋" w:hAnsi="仿宋" w:eastAsia="仿宋" w:cs="宋体"/>
          <w:color w:val="000000" w:themeColor="text1"/>
          <w:sz w:val="24"/>
          <w:szCs w:val="32"/>
          <w:highlight w:val="none"/>
        </w:rPr>
        <w:t>热源；</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●2.2.2不少于2套独立运行热源，多个样品同时消解分析，实现批量样品消解反应；</w:t>
      </w:r>
      <w:r>
        <w:rPr>
          <w:rFonts w:ascii="仿宋" w:hAnsi="仿宋" w:eastAsia="仿宋" w:cs="宋体"/>
          <w:color w:val="000000" w:themeColor="text1"/>
          <w:sz w:val="24"/>
          <w:szCs w:val="32"/>
          <w:highlight w:val="none"/>
        </w:rPr>
        <w:t xml:space="preserve"> </w:t>
      </w:r>
      <w:r>
        <w:rPr>
          <w:rFonts w:hint="eastAsia" w:ascii="仿宋" w:hAnsi="仿宋" w:eastAsia="仿宋" w:cs="宋体"/>
          <w:color w:val="000000" w:themeColor="text1"/>
          <w:sz w:val="24"/>
          <w:szCs w:val="32"/>
          <w:highlight w:val="none"/>
        </w:rPr>
        <w:t>(提供实物图证明)</w:t>
      </w:r>
    </w:p>
    <w:bookmarkEnd w:id="58"/>
    <w:p>
      <w:pPr>
        <w:spacing w:line="360" w:lineRule="auto"/>
        <w:ind w:firstLine="200"/>
        <w:rPr>
          <w:rFonts w:ascii="仿宋" w:hAnsi="仿宋" w:eastAsia="仿宋" w:cs="宋体"/>
          <w:color w:val="000000" w:themeColor="text1"/>
          <w:sz w:val="24"/>
          <w:szCs w:val="32"/>
          <w:highlight w:val="none"/>
        </w:rPr>
      </w:pPr>
      <w:bookmarkStart w:id="59" w:name="_Hlk163045643"/>
      <w:r>
        <w:rPr>
          <w:rFonts w:hint="eastAsia" w:ascii="仿宋" w:hAnsi="仿宋" w:eastAsia="仿宋" w:cs="宋体"/>
          <w:color w:val="000000" w:themeColor="text1"/>
          <w:sz w:val="24"/>
          <w:szCs w:val="32"/>
          <w:highlight w:val="none"/>
        </w:rPr>
        <w:t>2.2.3消解结束，热源自动下移与消解样品杯脱离，减少余温影响温降，提高降温效率。</w:t>
      </w:r>
    </w:p>
    <w:bookmarkEnd w:id="5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2.3试剂溶液动源要求：</w:t>
      </w:r>
    </w:p>
    <w:p>
      <w:pPr>
        <w:spacing w:line="360" w:lineRule="auto"/>
        <w:ind w:firstLine="200"/>
        <w:rPr>
          <w:rFonts w:ascii="仿宋" w:hAnsi="仿宋" w:eastAsia="仿宋" w:cs="宋体"/>
          <w:color w:val="000000" w:themeColor="text1"/>
          <w:sz w:val="24"/>
          <w:szCs w:val="32"/>
          <w:highlight w:val="none"/>
        </w:rPr>
      </w:pPr>
      <w:bookmarkStart w:id="60" w:name="_Hlk163045648"/>
      <w:r>
        <w:rPr>
          <w:rFonts w:hint="eastAsia" w:ascii="仿宋" w:hAnsi="仿宋" w:eastAsia="仿宋" w:cs="宋体"/>
          <w:color w:val="000000" w:themeColor="text1"/>
          <w:sz w:val="24"/>
          <w:szCs w:val="32"/>
          <w:highlight w:val="none"/>
        </w:rPr>
        <w:t>●2.3.1不少于6种独立试剂通道，采用6套定量注射泵试剂添加，减少不同试剂交叉污染影响；（提供实物图证明）</w:t>
      </w:r>
    </w:p>
    <w:bookmarkEnd w:id="60"/>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2.3.2定量比例注射泵，各试剂溶液要求均为独立泵体，实现各类试剂溶液无交叉，高精度定量添加，减少不同试剂溶液间的互相干扰；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2.3.3要求具有多组机器人旋转试剂溶液手臂，实现硫酸汞、重铬酸钾标准溶液在样品杯内添加，硫酸银-硫酸溶液冷凝瓶口上方添加，完全符合标准要求试剂添加方式。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2.4冷凝回流要求：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2.4.1要求采用循环水恒温冷凝模式，全球形回流冷凝管，减少毛刺冷凝管清洗残留隐患；压缩机制冷，具有超压、超温、缺水报警保护；</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2.4.2整机两侧具备风冷模式提高消解后样品降温，8个通道降温防护，确保各部件运行稳定。</w:t>
      </w:r>
    </w:p>
    <w:p>
      <w:pPr>
        <w:tabs>
          <w:tab w:val="right" w:pos="8306"/>
        </w:tabs>
        <w:snapToGrid w:val="0"/>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2.4.3自动控制冷凝循环水的开启和关闭，实验开始自动启动循环水开启，分析结束自动关闭循环水。</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2.5滴定分析要求：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2.5.1要求全色域颜色滴定实时分析，代替人眼观察，全色域识别颜色滴定终点；</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2.5.2要求高低浓度样品可同时进行滴定分析，仪器自动选择高低浓度试剂溶液，滴定精度小于0.02mL；</w:t>
      </w:r>
    </w:p>
    <w:p>
      <w:pPr>
        <w:spacing w:line="360" w:lineRule="auto"/>
        <w:ind w:firstLine="200"/>
        <w:rPr>
          <w:rFonts w:ascii="仿宋" w:hAnsi="仿宋" w:eastAsia="仿宋" w:cs="宋体"/>
          <w:color w:val="000000" w:themeColor="text1"/>
          <w:sz w:val="24"/>
          <w:szCs w:val="32"/>
          <w:highlight w:val="none"/>
        </w:rPr>
      </w:pPr>
      <w:bookmarkStart w:id="61" w:name="_Hlk163056158"/>
      <w:r>
        <w:rPr>
          <w:rFonts w:hint="eastAsia" w:ascii="仿宋" w:hAnsi="仿宋" w:eastAsia="仿宋" w:cs="宋体"/>
          <w:color w:val="000000" w:themeColor="text1"/>
          <w:sz w:val="24"/>
          <w:szCs w:val="32"/>
          <w:highlight w:val="none"/>
        </w:rPr>
        <w:t>●2.5.3要求在样品杯内消解、样品杯内滴定分析，减少抓手转移样品杯或抽液转移样品产生的故障隐患和样品试剂间的交叉污染。（提供实物图证明）</w:t>
      </w:r>
    </w:p>
    <w:bookmarkEnd w:id="61"/>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2.6数据工作站要求：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2.6.1样品运行分析指示图呈现，选取、运行、结束状态不同颜色标示，直观显现运行状态；</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2.6.2终端数据处理器联机操控，减少主机镶嵌触控屏幕的干扰模式，自由编辑序列和样品类型。</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2.7参数要求：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2.7.1加热通道：不少于32位热源通道，耐腐蚀的微晶防护面板，减少酸液注入影响运行安全；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2.7.2试剂溶液双模式：硫酸汞、重铬酸钾溶液样品杯内添加，硫酸银溶液冷凝瓶上口添加；</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2.7.3测定数据：检出限4mg/L、（16-50）mg/L、（50-700）mg/L，高低浓度同时运行；</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2.7.4冷凝方式：压缩机制冷循环水冷模式，减少风冷易受环境温度影响方式；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2.7.5容器对接密封：标准磨砂，弹性四氟密封，非单一磨砂方式；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2.7.6热源脱离：热源自动下移与样品杯脱离降温，提高消解后样品降温效率；</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2.7.7安全防护：样品位与编辑序列运行自检，空位自检，减少酸液腐蚀导致安全事故；</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2.7.8分析模式：标定与样品分析同时进行，减少不同流程分析耗时。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2.10废液收集：3套独立的废液接收通道，接收杯具备动力源排废</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3.商务要求：供货时提供仪器检定或校准证书。</w:t>
      </w:r>
    </w:p>
    <w:p>
      <w:pPr>
        <w:spacing w:line="360" w:lineRule="auto"/>
        <w:ind w:firstLine="200"/>
        <w:rPr>
          <w:rFonts w:ascii="仿宋" w:hAnsi="仿宋" w:eastAsia="仿宋" w:cs="宋体"/>
          <w:color w:val="000000" w:themeColor="text1"/>
          <w:sz w:val="24"/>
          <w:szCs w:val="32"/>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62" w:name="_Toc16306"/>
      <w:r>
        <w:rPr>
          <w:rFonts w:hint="eastAsia" w:ascii="仿宋" w:hAnsi="仿宋" w:eastAsia="仿宋" w:cs="宋体"/>
          <w:color w:val="000000" w:themeColor="text1"/>
          <w:sz w:val="24"/>
          <w:szCs w:val="32"/>
          <w:highlight w:val="none"/>
        </w:rPr>
        <w:t>全自动总磷、总氮分析仪</w:t>
      </w:r>
      <w:bookmarkEnd w:id="62"/>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主机1套；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样品盘1套；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试剂瓶8个；</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数据工作站软件1套；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自动定量取样1套；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高压消解一体机1套；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机器人手臂1套；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恒温循环水系统1套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电子泄压阀1套</w:t>
      </w:r>
    </w:p>
    <w:p>
      <w:pPr>
        <w:numPr>
          <w:ilvl w:val="1"/>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随机附件1套；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1.11温湿度计1个（带检定或校准证书）；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1.12仪器设备状态标识牌。</w:t>
      </w:r>
    </w:p>
    <w:p>
      <w:pPr>
        <w:spacing w:line="360" w:lineRule="auto"/>
        <w:ind w:firstLine="200"/>
        <w:rPr>
          <w:rFonts w:ascii="仿宋" w:hAnsi="仿宋" w:eastAsia="仿宋" w:cs="宋体"/>
          <w:color w:val="000000" w:themeColor="text1"/>
          <w:sz w:val="24"/>
          <w:szCs w:val="32"/>
          <w:highlight w:val="none"/>
        </w:rPr>
      </w:pPr>
    </w:p>
    <w:p>
      <w:pPr>
        <w:numPr>
          <w:ilvl w:val="0"/>
          <w:numId w:val="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bookmarkStart w:id="63" w:name="_Hlk163056238"/>
      <w:r>
        <w:rPr>
          <w:rFonts w:hint="eastAsia" w:ascii="仿宋" w:hAnsi="仿宋" w:eastAsia="仿宋" w:cs="宋体"/>
          <w:color w:val="000000" w:themeColor="text1"/>
          <w:sz w:val="24"/>
          <w:szCs w:val="32"/>
          <w:highlight w:val="none"/>
        </w:rPr>
        <w:t>▲2.1要求符合钼酸铵分光光度法、碱性过硫酸钾消解紫外分光光度法，实现总磷、总氮的自动消解测定。</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★2.2要求密闭高压消解一体化整机，实现样品自动进样、密闭消解、分析、数据处理等全过程，无需人员干预值守。(提供实物图证明)</w:t>
      </w:r>
    </w:p>
    <w:bookmarkEnd w:id="63"/>
    <w:p>
      <w:pPr>
        <w:spacing w:line="360" w:lineRule="auto"/>
        <w:ind w:firstLine="200"/>
        <w:rPr>
          <w:rFonts w:ascii="仿宋" w:hAnsi="仿宋" w:eastAsia="仿宋" w:cs="宋体"/>
          <w:color w:val="000000" w:themeColor="text1"/>
          <w:sz w:val="24"/>
          <w:szCs w:val="32"/>
          <w:highlight w:val="none"/>
        </w:rPr>
      </w:pPr>
      <w:bookmarkStart w:id="64" w:name="_Hlk162880864"/>
      <w:r>
        <w:rPr>
          <w:rFonts w:hint="eastAsia" w:ascii="仿宋" w:hAnsi="仿宋" w:eastAsia="仿宋" w:cs="宋体"/>
          <w:color w:val="000000" w:themeColor="text1"/>
          <w:sz w:val="24"/>
          <w:szCs w:val="32"/>
          <w:highlight w:val="none"/>
        </w:rPr>
        <w:t>●2.3恒温循环水冷却，冷凝温度自由设定，水箱容量不小于10L。（提供实物图证明）</w:t>
      </w:r>
    </w:p>
    <w:bookmarkEnd w:id="64"/>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●2.4运行安全防护，具有高低水位自动识别，超水和缺水自动报警，并自动停机，提供加盖制造商公章的实物照片验证。（提供实物图证明）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2.5独立的光度计检测器，便于计量校准，自动紫外-可见波段全光谱检测，自动比色分析数据汇总。</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●2.6要求具备消解后样品自动排空，自动清洗消解管功能。（提供实物图证明）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2.7多通道独立定量试剂系统，减少试剂间的交叉污染，保证试剂注入精度。</w:t>
      </w:r>
    </w:p>
    <w:p>
      <w:pPr>
        <w:spacing w:line="360" w:lineRule="auto"/>
        <w:ind w:firstLine="200"/>
        <w:rPr>
          <w:rFonts w:ascii="仿宋" w:hAnsi="仿宋" w:eastAsia="仿宋" w:cs="宋体"/>
          <w:color w:val="000000" w:themeColor="text1"/>
          <w:sz w:val="24"/>
          <w:szCs w:val="32"/>
          <w:highlight w:val="none"/>
        </w:rPr>
      </w:pPr>
      <w:bookmarkStart w:id="65" w:name="_Hlk163056257"/>
      <w:r>
        <w:rPr>
          <w:rFonts w:hint="eastAsia" w:ascii="仿宋" w:hAnsi="仿宋" w:eastAsia="仿宋" w:cs="宋体"/>
          <w:color w:val="000000" w:themeColor="text1"/>
          <w:sz w:val="24"/>
          <w:szCs w:val="32"/>
          <w:highlight w:val="none"/>
        </w:rPr>
        <w:t>★2.8要求不少于45位样品通道，样品托架可灵活取放。</w:t>
      </w:r>
    </w:p>
    <w:bookmarkEnd w:id="65"/>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2.9具备远程仪器开关机控制，以及远程软件查看/控制，方便数据查看操作。</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2.10指标要求：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2.10.1标准选择：钼酸铵分光光度法、碱性过硫酸钾消解紫外分光光度法；</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2.10.2运行模式：两个项目同时进行，具有双安全泄压监控；</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2.10.3自动进样器通道：不少于45位；</w:t>
      </w:r>
    </w:p>
    <w:p>
      <w:pPr>
        <w:spacing w:line="360" w:lineRule="auto"/>
        <w:ind w:firstLine="200"/>
        <w:rPr>
          <w:rFonts w:ascii="仿宋" w:hAnsi="仿宋" w:eastAsia="仿宋" w:cs="宋体"/>
          <w:color w:val="000000" w:themeColor="text1"/>
          <w:sz w:val="24"/>
          <w:szCs w:val="32"/>
          <w:highlight w:val="none"/>
        </w:rPr>
      </w:pPr>
      <w:bookmarkStart w:id="66" w:name="_Hlk163056262"/>
      <w:r>
        <w:rPr>
          <w:rFonts w:hint="eastAsia" w:ascii="仿宋" w:hAnsi="仿宋" w:eastAsia="仿宋" w:cs="宋体"/>
          <w:color w:val="000000" w:themeColor="text1"/>
          <w:sz w:val="24"/>
          <w:szCs w:val="32"/>
          <w:highlight w:val="none"/>
        </w:rPr>
        <w:t>★2.10.4样品瓶密封：独立瓶盖密封，减少开放式样品瓶消解逃逸；</w:t>
      </w:r>
    </w:p>
    <w:bookmarkEnd w:id="66"/>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2.10.5检出限：0.01mg/L（总磷），0.05mg/L（总氮）；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●2.10.6测量范围：(0.01-0.6)mg/L（总磷），(0.05-4)mg/L（总氮）；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2.10.7重复性：5%；</w:t>
      </w:r>
    </w:p>
    <w:p>
      <w:pPr>
        <w:spacing w:line="360" w:lineRule="auto"/>
        <w:ind w:firstLine="200"/>
        <w:rPr>
          <w:rFonts w:ascii="仿宋" w:hAnsi="仿宋" w:eastAsia="仿宋" w:cs="宋体"/>
          <w:color w:val="000000" w:themeColor="text1"/>
          <w:sz w:val="24"/>
          <w:szCs w:val="32"/>
          <w:highlight w:val="none"/>
        </w:rPr>
      </w:pPr>
      <w:bookmarkStart w:id="67" w:name="_Hlk163056269"/>
      <w:r>
        <w:rPr>
          <w:rFonts w:hint="eastAsia" w:ascii="仿宋" w:hAnsi="仿宋" w:eastAsia="仿宋" w:cs="宋体"/>
          <w:color w:val="000000" w:themeColor="text1"/>
          <w:sz w:val="24"/>
          <w:szCs w:val="32"/>
          <w:highlight w:val="none"/>
        </w:rPr>
        <w:t>●2.10.8线性系数：r&gt;0.999自动配标（不少于7个配标浓度点）；</w:t>
      </w:r>
      <w:bookmarkEnd w:id="67"/>
      <w:r>
        <w:rPr>
          <w:rFonts w:ascii="仿宋" w:hAnsi="仿宋" w:eastAsia="仿宋" w:cs="宋体"/>
          <w:color w:val="000000" w:themeColor="text1"/>
          <w:sz w:val="24"/>
          <w:szCs w:val="32"/>
          <w:highlight w:val="none"/>
        </w:rPr>
        <w:t xml:space="preserve"> </w:t>
      </w:r>
      <w:r>
        <w:rPr>
          <w:rFonts w:hint="eastAsia" w:ascii="仿宋" w:hAnsi="仿宋" w:eastAsia="仿宋" w:cs="宋体"/>
          <w:color w:val="000000" w:themeColor="text1"/>
          <w:sz w:val="24"/>
          <w:szCs w:val="32"/>
          <w:highlight w:val="none"/>
        </w:rPr>
        <w:t>（提供操作软件截图证明）</w:t>
      </w:r>
    </w:p>
    <w:p>
      <w:pPr>
        <w:pStyle w:val="62"/>
        <w:ind w:firstLine="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68" w:name="_Toc19327"/>
      <w:bookmarkStart w:id="69" w:name="_Hlk164673024"/>
      <w:r>
        <w:rPr>
          <w:rFonts w:hint="eastAsia" w:ascii="仿宋" w:hAnsi="仿宋" w:eastAsia="仿宋" w:cs="宋体"/>
          <w:color w:val="000000" w:themeColor="text1"/>
          <w:sz w:val="24"/>
          <w:szCs w:val="32"/>
          <w:highlight w:val="none"/>
        </w:rPr>
        <w:t>全自动阴离子挥发酚分析仪</w:t>
      </w:r>
      <w:bookmarkEnd w:id="68"/>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阴离子/挥发酚主机1套；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试剂定量注射泵3套；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进口脱水膜1包；</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试剂瓶6个；</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数据工作站软件1套；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不少于30位通道自动样器1套；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自动蒸馏系统1套；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恒温循环水1套；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试剂恒温箱1套；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4联池光度计1套；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密闭萃取1套；</w:t>
      </w:r>
    </w:p>
    <w:p>
      <w:pPr>
        <w:numPr>
          <w:ilvl w:val="1"/>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随机附件1套；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1.13温湿度计1个（带检定或校准证书）；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1.14仪器设备状态标识牌。</w:t>
      </w:r>
    </w:p>
    <w:p>
      <w:pPr>
        <w:spacing w:line="360" w:lineRule="auto"/>
        <w:ind w:firstLine="200"/>
        <w:rPr>
          <w:rFonts w:ascii="仿宋" w:hAnsi="仿宋" w:eastAsia="仿宋" w:cs="宋体"/>
          <w:color w:val="000000" w:themeColor="text1"/>
          <w:sz w:val="24"/>
          <w:szCs w:val="32"/>
          <w:highlight w:val="none"/>
        </w:rPr>
      </w:pPr>
    </w:p>
    <w:p>
      <w:pPr>
        <w:numPr>
          <w:ilvl w:val="0"/>
          <w:numId w:val="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▲2.1要求符合阴离子表面活性剂亚甲蓝分光光度法和4-氨基安替比林萃取光度法，实现阴离子、挥发酚的自动进样萃取测定。</w:t>
      </w:r>
    </w:p>
    <w:p>
      <w:pPr>
        <w:spacing w:line="360" w:lineRule="auto"/>
        <w:ind w:firstLine="200"/>
        <w:rPr>
          <w:rFonts w:ascii="仿宋" w:hAnsi="仿宋" w:eastAsia="仿宋" w:cs="宋体"/>
          <w:color w:val="000000" w:themeColor="text1"/>
          <w:sz w:val="24"/>
          <w:szCs w:val="32"/>
          <w:highlight w:val="none"/>
        </w:rPr>
      </w:pPr>
      <w:bookmarkStart w:id="70" w:name="_Hlk162880905"/>
      <w:r>
        <w:rPr>
          <w:rFonts w:hint="eastAsia" w:ascii="仿宋" w:hAnsi="仿宋" w:eastAsia="仿宋" w:cs="宋体"/>
          <w:color w:val="000000" w:themeColor="text1"/>
          <w:sz w:val="24"/>
          <w:szCs w:val="32"/>
          <w:highlight w:val="none"/>
        </w:rPr>
        <w:t>●2.2</w:t>
      </w:r>
      <w:bookmarkEnd w:id="70"/>
      <w:bookmarkStart w:id="71" w:name="_Hlk163056617"/>
      <w:r>
        <w:rPr>
          <w:rFonts w:hint="eastAsia" w:ascii="仿宋" w:hAnsi="仿宋" w:eastAsia="仿宋" w:cs="宋体"/>
          <w:color w:val="000000" w:themeColor="text1"/>
          <w:sz w:val="24"/>
          <w:szCs w:val="32"/>
          <w:highlight w:val="none"/>
        </w:rPr>
        <w:t>要求全自动蒸馏系统具备多通道循环蒸馏、所需蒸馏试剂自动定量添加、烧瓶容器自动清洗、馏出液自动定量收集并转移等功能。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●2.3单个样品容量450mL，要求自动定量取样分析，容量100或250mL自动取样。</w:t>
      </w:r>
    </w:p>
    <w:bookmarkEnd w:id="71"/>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2.4要求萃取容器密闭运行，减少萃取溶剂挥发损失，萃取强度可调节，减少开放式容器萃取时氯仿溶剂的挥发，影响数据偏差，提高实验过程安全。</w:t>
      </w:r>
    </w:p>
    <w:p>
      <w:pPr>
        <w:spacing w:line="360" w:lineRule="auto"/>
        <w:ind w:firstLine="200"/>
        <w:rPr>
          <w:rFonts w:ascii="仿宋" w:hAnsi="仿宋" w:eastAsia="仿宋" w:cs="宋体"/>
          <w:color w:val="000000" w:themeColor="text1"/>
          <w:sz w:val="24"/>
          <w:szCs w:val="32"/>
          <w:highlight w:val="none"/>
        </w:rPr>
      </w:pPr>
      <w:bookmarkStart w:id="72" w:name="_Hlk163056623"/>
      <w:r>
        <w:rPr>
          <w:rFonts w:hint="eastAsia" w:ascii="仿宋" w:hAnsi="仿宋" w:eastAsia="仿宋" w:cs="宋体"/>
          <w:color w:val="000000" w:themeColor="text1"/>
          <w:sz w:val="24"/>
          <w:szCs w:val="32"/>
          <w:highlight w:val="none"/>
        </w:rPr>
        <w:t>●2.5要求高精度定量泵实现溶液的定量转移及定容，不少于4套独立的定量注射泵。（提供实物图证明）</w:t>
      </w:r>
    </w:p>
    <w:bookmarkEnd w:id="72"/>
    <w:p>
      <w:pPr>
        <w:spacing w:line="360" w:lineRule="auto"/>
        <w:ind w:firstLine="200"/>
        <w:rPr>
          <w:rFonts w:ascii="仿宋" w:hAnsi="仿宋" w:eastAsia="仿宋" w:cs="宋体"/>
          <w:color w:val="000000" w:themeColor="text1"/>
          <w:sz w:val="24"/>
          <w:szCs w:val="32"/>
          <w:highlight w:val="none"/>
        </w:rPr>
      </w:pPr>
      <w:bookmarkStart w:id="73" w:name="_Hlk163056627"/>
      <w:r>
        <w:rPr>
          <w:rFonts w:hint="eastAsia" w:ascii="仿宋" w:hAnsi="仿宋" w:eastAsia="仿宋" w:cs="宋体"/>
          <w:color w:val="000000" w:themeColor="text1"/>
          <w:sz w:val="24"/>
          <w:szCs w:val="32"/>
          <w:highlight w:val="none"/>
        </w:rPr>
        <w:t>●2.6独立的光度计检测器，满足4套比色皿同时安置，电驱动比色皿池自动调节适合光程，无需手工移动调节，适应1cm或3cm比色皿。</w:t>
      </w:r>
      <w:bookmarkEnd w:id="73"/>
      <w:r>
        <w:rPr>
          <w:rFonts w:hint="eastAsia" w:ascii="仿宋" w:hAnsi="仿宋" w:eastAsia="仿宋" w:cs="宋体"/>
          <w:color w:val="000000" w:themeColor="text1"/>
          <w:sz w:val="24"/>
          <w:szCs w:val="32"/>
          <w:highlight w:val="none"/>
        </w:rPr>
        <w:t>(提供实物图证明)</w:t>
      </w:r>
    </w:p>
    <w:p>
      <w:pPr>
        <w:spacing w:line="360" w:lineRule="auto"/>
        <w:ind w:firstLine="200"/>
        <w:rPr>
          <w:rFonts w:ascii="仿宋" w:hAnsi="仿宋" w:eastAsia="仿宋" w:cs="宋体"/>
          <w:color w:val="000000" w:themeColor="text1"/>
          <w:sz w:val="24"/>
          <w:szCs w:val="32"/>
          <w:highlight w:val="none"/>
        </w:rPr>
      </w:pPr>
      <w:bookmarkStart w:id="74" w:name="_Hlk163056634"/>
      <w:r>
        <w:rPr>
          <w:rFonts w:hint="eastAsia" w:ascii="仿宋" w:hAnsi="仿宋" w:eastAsia="仿宋" w:cs="宋体"/>
          <w:color w:val="000000" w:themeColor="text1"/>
          <w:sz w:val="24"/>
          <w:szCs w:val="32"/>
          <w:highlight w:val="none"/>
        </w:rPr>
        <w:t>2.7蒸馏过程具备自动混匀功能，混匀速度可调，确保馏出液匀速流出</w:t>
      </w:r>
    </w:p>
    <w:bookmarkEnd w:id="74"/>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2.8指标要求：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2.8.1标准选择：阴离子表面活性剂亚甲蓝分光光度法、4-氨基安替比林萃取光度法；</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2.8.2试剂箱：配套冷藏试剂箱，确保试剂条件恒定；</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2.8.3自动进样器通道：不少于30位，满足450mL容量样品；</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2.8.4萃取模式：密闭容器搅拌萃取，定时废气排放，减少开放式萃取溶剂的挥发；</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2.8.5蒸馏模式：自动进样蒸馏、自动加注试剂、烧瓶等容器自动清洗</w:t>
      </w:r>
    </w:p>
    <w:p>
      <w:pPr>
        <w:spacing w:line="360" w:lineRule="auto"/>
        <w:ind w:firstLine="200"/>
        <w:rPr>
          <w:rFonts w:ascii="仿宋" w:hAnsi="仿宋" w:eastAsia="仿宋" w:cs="宋体"/>
          <w:color w:val="000000" w:themeColor="text1"/>
          <w:sz w:val="24"/>
          <w:szCs w:val="32"/>
          <w:highlight w:val="none"/>
        </w:rPr>
      </w:pPr>
      <w:bookmarkStart w:id="75" w:name="_Hlk163056638"/>
      <w:r>
        <w:rPr>
          <w:rFonts w:hint="eastAsia" w:ascii="仿宋" w:hAnsi="仿宋" w:eastAsia="仿宋" w:cs="宋体"/>
          <w:color w:val="000000" w:themeColor="text1"/>
          <w:sz w:val="24"/>
          <w:szCs w:val="32"/>
          <w:highlight w:val="none"/>
        </w:rPr>
        <w:t>●2.9.6自动配标：母液自动比例稀释，独立的配标通道位，不占用自动进样器通道；(提供实物图证明)</w:t>
      </w:r>
    </w:p>
    <w:bookmarkEnd w:id="75"/>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2.9.7检出限：0.02mg/L（阴离子洗涤剂）0.0003mg/L（挥发酚）；</w:t>
      </w:r>
    </w:p>
    <w:p>
      <w:pPr>
        <w:spacing w:line="360" w:lineRule="auto"/>
        <w:ind w:firstLine="200"/>
        <w:rPr>
          <w:rFonts w:ascii="仿宋" w:hAnsi="仿宋" w:eastAsia="仿宋" w:cs="宋体"/>
          <w:color w:val="000000" w:themeColor="text1"/>
          <w:sz w:val="24"/>
          <w:szCs w:val="32"/>
          <w:highlight w:val="none"/>
        </w:rPr>
      </w:pPr>
      <w:bookmarkStart w:id="76" w:name="_Hlk163056643"/>
      <w:r>
        <w:rPr>
          <w:rFonts w:hint="eastAsia" w:ascii="仿宋" w:hAnsi="仿宋" w:eastAsia="仿宋" w:cs="宋体"/>
          <w:color w:val="000000" w:themeColor="text1"/>
          <w:sz w:val="24"/>
          <w:szCs w:val="32"/>
          <w:highlight w:val="none"/>
        </w:rPr>
        <w:t>2.9.8溶液泵：高精度定量注射泵，不少于4套独立运行；</w:t>
      </w:r>
    </w:p>
    <w:bookmarkEnd w:id="76"/>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●2.9.9测量范围：（0.05-2.0）mg/L（阴离子洗涤剂）（0.001-0.04）mg/L（挥发酚）；</w:t>
      </w:r>
    </w:p>
    <w:p>
      <w:pPr>
        <w:spacing w:line="360" w:lineRule="auto"/>
        <w:ind w:firstLine="200"/>
        <w:rPr>
          <w:rFonts w:ascii="仿宋" w:hAnsi="仿宋" w:eastAsia="仿宋" w:cs="宋体"/>
          <w:color w:val="000000" w:themeColor="text1"/>
          <w:sz w:val="24"/>
          <w:szCs w:val="32"/>
          <w:highlight w:val="none"/>
        </w:rPr>
      </w:pPr>
      <w:bookmarkStart w:id="77" w:name="_Hlk162881003"/>
      <w:bookmarkStart w:id="78" w:name="_Hlk163056648"/>
      <w:r>
        <w:rPr>
          <w:rFonts w:hint="eastAsia" w:ascii="仿宋" w:hAnsi="仿宋" w:eastAsia="仿宋" w:cs="宋体"/>
          <w:color w:val="000000" w:themeColor="text1"/>
          <w:sz w:val="24"/>
          <w:szCs w:val="32"/>
          <w:highlight w:val="none"/>
        </w:rPr>
        <w:t>2.9.10重复性：≤3%</w:t>
      </w:r>
      <w:bookmarkEnd w:id="77"/>
      <w:r>
        <w:rPr>
          <w:rFonts w:hint="eastAsia" w:ascii="仿宋" w:hAnsi="仿宋" w:eastAsia="仿宋" w:cs="宋体"/>
          <w:color w:val="000000" w:themeColor="text1"/>
          <w:sz w:val="24"/>
          <w:szCs w:val="32"/>
          <w:highlight w:val="none"/>
        </w:rPr>
        <w:t>；</w:t>
      </w:r>
    </w:p>
    <w:bookmarkEnd w:id="78"/>
    <w:p>
      <w:pPr>
        <w:spacing w:line="360" w:lineRule="auto"/>
        <w:ind w:firstLine="200"/>
        <w:rPr>
          <w:rFonts w:ascii="仿宋" w:hAnsi="仿宋" w:eastAsia="仿宋" w:cs="宋体"/>
          <w:color w:val="000000" w:themeColor="text1"/>
          <w:sz w:val="24"/>
          <w:szCs w:val="32"/>
          <w:highlight w:val="none"/>
        </w:rPr>
      </w:pPr>
      <w:bookmarkStart w:id="79" w:name="_Hlk163056652"/>
      <w:r>
        <w:rPr>
          <w:rFonts w:hint="eastAsia" w:ascii="仿宋" w:hAnsi="仿宋" w:eastAsia="仿宋" w:cs="宋体"/>
          <w:color w:val="000000" w:themeColor="text1"/>
          <w:sz w:val="24"/>
          <w:szCs w:val="32"/>
          <w:highlight w:val="none"/>
        </w:rPr>
        <w:t>●2.9.11线性系数：r&gt;0.999自动配标（不少于10个配标浓度点）。（提供操作软件截图证明）</w:t>
      </w:r>
    </w:p>
    <w:p>
      <w:pPr>
        <w:pStyle w:val="62"/>
        <w:rPr>
          <w:color w:val="000000" w:themeColor="text1"/>
          <w:highlight w:val="none"/>
        </w:rPr>
      </w:pPr>
    </w:p>
    <w:bookmarkEnd w:id="7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80" w:name="_Toc29115"/>
      <w:r>
        <w:rPr>
          <w:rFonts w:hint="eastAsia" w:ascii="仿宋" w:hAnsi="仿宋" w:eastAsia="仿宋" w:cs="宋体"/>
          <w:color w:val="000000" w:themeColor="text1"/>
          <w:sz w:val="24"/>
          <w:szCs w:val="32"/>
          <w:highlight w:val="none"/>
        </w:rPr>
        <w:t>全自动高锰酸盐指数分析仪</w:t>
      </w:r>
      <w:bookmarkEnd w:id="80"/>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主机1套；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样品托架1套；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自适应力度电驱动机器手臂1套；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光感控制沸水浴1套；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开放式滴定池3套；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试剂废液槽1套；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试剂混匀1套；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移动广角颜色滴定传感器1套；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独立试剂管路6套；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试剂手臂2套；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分析工作站1套；</w:t>
      </w:r>
    </w:p>
    <w:p>
      <w:pPr>
        <w:numPr>
          <w:ilvl w:val="1"/>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随机配件1套；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1.13温湿度计1个（带检定或校准证书）；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1.14仪器设备状态标识牌。</w:t>
      </w:r>
    </w:p>
    <w:p>
      <w:pPr>
        <w:spacing w:line="360" w:lineRule="auto"/>
        <w:ind w:firstLine="200"/>
        <w:rPr>
          <w:rFonts w:ascii="仿宋" w:hAnsi="仿宋" w:eastAsia="仿宋" w:cs="宋体"/>
          <w:color w:val="000000" w:themeColor="text1"/>
          <w:sz w:val="24"/>
          <w:szCs w:val="32"/>
          <w:highlight w:val="none"/>
        </w:rPr>
      </w:pPr>
    </w:p>
    <w:p>
      <w:pPr>
        <w:numPr>
          <w:ilvl w:val="0"/>
          <w:numId w:val="1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w:t>
      </w:r>
      <w:bookmarkStart w:id="81" w:name="_Hlk163056917"/>
      <w:r>
        <w:rPr>
          <w:rFonts w:hint="eastAsia" w:ascii="仿宋" w:hAnsi="仿宋" w:eastAsia="仿宋" w:cs="宋体"/>
          <w:color w:val="000000" w:themeColor="text1"/>
          <w:sz w:val="24"/>
          <w:szCs w:val="32"/>
          <w:highlight w:val="none"/>
        </w:rPr>
        <w:t>设备要求符合GB/T11892水质高锰酸盐指数的测定方法。</w:t>
      </w:r>
    </w:p>
    <w:bookmarkEnd w:id="81"/>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2.2样品盘单元要求：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★2.2.1不少36位样品通道，磨砂口样品杯，满足循环上样、替换上样、加急上样分析（提供实物图证明）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2.2.2要求自适应电驱动力机器人手臂，实现样品分析转移等国标分析步骤。不接受占空间噪音大的空压机气驱动抓取方式，避免管路漏气，样品转移过程中样品杯掉落影响，稳定的自适应抓力运行模式。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2.2.3要求具备独立的试剂混运通道，实现硫酸、高锰酸钾等试剂在此通道内添加后再放入水浴消解，保证试剂与样品充分混合。</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2.3消解系统要求：</w:t>
      </w:r>
    </w:p>
    <w:p>
      <w:pPr>
        <w:spacing w:line="360" w:lineRule="auto"/>
        <w:ind w:firstLine="200"/>
        <w:rPr>
          <w:rFonts w:ascii="仿宋" w:hAnsi="仿宋" w:eastAsia="仿宋" w:cs="宋体"/>
          <w:color w:val="000000" w:themeColor="text1"/>
          <w:sz w:val="24"/>
          <w:szCs w:val="32"/>
          <w:highlight w:val="none"/>
        </w:rPr>
      </w:pPr>
      <w:bookmarkStart w:id="82" w:name="_Hlk163056927"/>
      <w:r>
        <w:rPr>
          <w:rFonts w:hint="eastAsia" w:ascii="仿宋" w:hAnsi="仿宋" w:eastAsia="仿宋" w:cs="宋体"/>
          <w:color w:val="000000" w:themeColor="text1"/>
          <w:sz w:val="24"/>
          <w:szCs w:val="32"/>
          <w:highlight w:val="none"/>
        </w:rPr>
        <w:t>●2.3.1样品消解12个一体化沸水浴通道，满足12个样品同时消解，样品循环消解处理。(提供实物图证明)</w:t>
      </w:r>
    </w:p>
    <w:bookmarkEnd w:id="82"/>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2.3.2要求国标沸水浴消解方式，开机可选择单独开启预热，样品循环计时消解，水浴消解能够自动计时，水源低位预警保护，并自动补水，消解结束自动停止水浴加热。</w:t>
      </w:r>
    </w:p>
    <w:p>
      <w:pPr>
        <w:spacing w:line="360" w:lineRule="auto"/>
        <w:ind w:firstLine="200"/>
        <w:rPr>
          <w:rFonts w:ascii="仿宋" w:hAnsi="仿宋" w:eastAsia="仿宋" w:cs="宋体"/>
          <w:color w:val="000000" w:themeColor="text1"/>
          <w:sz w:val="24"/>
          <w:szCs w:val="32"/>
          <w:highlight w:val="none"/>
        </w:rPr>
      </w:pPr>
      <w:bookmarkStart w:id="83" w:name="_Hlk163056957"/>
      <w:r>
        <w:rPr>
          <w:rFonts w:hint="eastAsia" w:ascii="仿宋" w:hAnsi="仿宋" w:eastAsia="仿宋" w:cs="宋体"/>
          <w:color w:val="000000" w:themeColor="text1"/>
          <w:sz w:val="24"/>
          <w:szCs w:val="32"/>
          <w:highlight w:val="none"/>
        </w:rPr>
        <w:t>●2.3.3要求沸水浴液位采用光纤传感器，不接触沸水浴检测液位损耗，减少机械浮子传感器长期高温水浴影响寿命，具备水浴液位高度灵活可调。（提供实物图证明）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●要求恒温滴定与沸水浴消解在并排一侧的结构模式，实现各类样品无人值守自动测定分析。(提供技术证明)</w:t>
      </w:r>
    </w:p>
    <w:bookmarkEnd w:id="83"/>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2.4滴定系统要求：</w:t>
      </w:r>
    </w:p>
    <w:p>
      <w:pPr>
        <w:spacing w:line="360" w:lineRule="auto"/>
        <w:ind w:firstLine="200"/>
        <w:rPr>
          <w:rFonts w:ascii="仿宋" w:hAnsi="仿宋" w:eastAsia="仿宋" w:cs="宋体"/>
          <w:color w:val="000000" w:themeColor="text1"/>
          <w:sz w:val="24"/>
          <w:szCs w:val="32"/>
          <w:highlight w:val="none"/>
        </w:rPr>
      </w:pPr>
      <w:bookmarkStart w:id="84" w:name="_Hlk163056963"/>
      <w:r>
        <w:rPr>
          <w:rFonts w:hint="eastAsia" w:ascii="仿宋" w:hAnsi="仿宋" w:eastAsia="仿宋" w:cs="宋体"/>
          <w:color w:val="000000" w:themeColor="text1"/>
          <w:sz w:val="24"/>
          <w:szCs w:val="32"/>
          <w:highlight w:val="none"/>
        </w:rPr>
        <w:t>★2.4.1要求3个独立的半封闭滴定通道，满足3个样品广角判断滴定分析，样品消解结束后恒温滴定，减少分析过程温度变化影响实验结果，确保实验数据准确稳定。</w:t>
      </w:r>
    </w:p>
    <w:bookmarkEnd w:id="84"/>
    <w:p>
      <w:pPr>
        <w:spacing w:line="360" w:lineRule="auto"/>
        <w:ind w:firstLine="200"/>
        <w:rPr>
          <w:rFonts w:ascii="仿宋" w:hAnsi="仿宋" w:eastAsia="仿宋" w:cs="宋体"/>
          <w:color w:val="000000" w:themeColor="text1"/>
          <w:sz w:val="24"/>
          <w:szCs w:val="32"/>
          <w:highlight w:val="none"/>
        </w:rPr>
      </w:pPr>
      <w:bookmarkStart w:id="85" w:name="_Hlk163056967"/>
      <w:r>
        <w:rPr>
          <w:rFonts w:hint="eastAsia" w:ascii="仿宋" w:hAnsi="仿宋" w:eastAsia="仿宋" w:cs="宋体"/>
          <w:color w:val="000000" w:themeColor="text1"/>
          <w:sz w:val="24"/>
          <w:szCs w:val="32"/>
          <w:highlight w:val="none"/>
        </w:rPr>
        <w:t>★2.4.2要求颜色移动判断滴定终点，减少固定颜色传感器孔状侦测对样品终点的误判，全色域多角度广角识别样品滴定终点，颜色传感器非固定安置可移动不同位置判断样品滴定终点。</w:t>
      </w:r>
    </w:p>
    <w:bookmarkEnd w:id="85"/>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2.4.3要求具有两组独立运行的试剂手臂，实现试剂添加和样品滴定独立运行。</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2.5数据工作站系统要求：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2.5.1具有试剂液量消耗监控，低于预警值能够实现人性化提醒，确保实验有效进行。</w:t>
      </w:r>
    </w:p>
    <w:p>
      <w:pPr>
        <w:spacing w:line="360" w:lineRule="auto"/>
        <w:ind w:firstLine="200"/>
        <w:rPr>
          <w:rFonts w:ascii="仿宋" w:hAnsi="仿宋" w:eastAsia="仿宋" w:cs="宋体"/>
          <w:color w:val="000000" w:themeColor="text1"/>
          <w:sz w:val="24"/>
          <w:szCs w:val="32"/>
          <w:highlight w:val="none"/>
        </w:rPr>
      </w:pPr>
      <w:bookmarkStart w:id="86" w:name="_Hlk163056972"/>
      <w:r>
        <w:rPr>
          <w:rFonts w:hint="eastAsia" w:ascii="仿宋" w:hAnsi="仿宋" w:eastAsia="仿宋" w:cs="宋体"/>
          <w:color w:val="000000" w:themeColor="text1"/>
          <w:sz w:val="24"/>
          <w:szCs w:val="32"/>
          <w:highlight w:val="none"/>
        </w:rPr>
        <w:t>★2.5.2具备水浴消解温度、总体运行时间状态、每个样品水浴消解比例时间、滴定过程颜色数值等实时显示，滴定结束后具有曲线图呈现滴定状态，方便随时查看。</w:t>
      </w:r>
    </w:p>
    <w:bookmarkEnd w:id="86"/>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2.6指标要求：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2.6.1消解通道：12个有效通道一体化沸水浴模式，不接触沸水浴的光感液位控制；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2.6.2滴定通道：3个半封闭通道，直观观察整个样品颜色变化；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2.6.3排废通道：1个独立通道；</w:t>
      </w:r>
    </w:p>
    <w:p>
      <w:pPr>
        <w:pStyle w:val="62"/>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2.6.4清洗模式：5通道独立选择，每通道清洗次数任选</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2.6.5试剂通道：6套独立试剂定量泵和6套管路，确保试剂溶液不交叉污染；</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2.6.6高锰酸钾：两套独立的高锰酸钾定量注射泵，1套10ml试剂添加，1套滴定分析；</w:t>
      </w:r>
    </w:p>
    <w:p>
      <w:pPr>
        <w:spacing w:line="360" w:lineRule="auto"/>
        <w:ind w:firstLine="200"/>
        <w:rPr>
          <w:rFonts w:ascii="仿宋" w:hAnsi="仿宋" w:eastAsia="仿宋" w:cs="宋体"/>
          <w:color w:val="000000" w:themeColor="text1"/>
          <w:sz w:val="24"/>
          <w:szCs w:val="32"/>
          <w:highlight w:val="none"/>
        </w:rPr>
      </w:pPr>
      <w:bookmarkStart w:id="87" w:name="_Hlk163056977"/>
      <w:r>
        <w:rPr>
          <w:rFonts w:hint="eastAsia" w:ascii="仿宋" w:hAnsi="仿宋" w:eastAsia="仿宋" w:cs="宋体"/>
          <w:color w:val="000000" w:themeColor="text1"/>
          <w:sz w:val="24"/>
          <w:szCs w:val="32"/>
          <w:highlight w:val="none"/>
        </w:rPr>
        <w:t>●2.6.7样品分析时间：&lt;3min/个样品的循环分析速率；（提供技术证明）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●2.6.8分析方法：酸性、碱性样品同批次同时运行，无需分批次分开运行</w:t>
      </w:r>
      <w:bookmarkEnd w:id="87"/>
      <w:bookmarkStart w:id="88" w:name="_Hlk163056981"/>
      <w:r>
        <w:rPr>
          <w:rFonts w:hint="eastAsia" w:ascii="仿宋" w:hAnsi="仿宋" w:eastAsia="仿宋" w:cs="宋体"/>
          <w:color w:val="000000" w:themeColor="text1"/>
          <w:sz w:val="24"/>
          <w:szCs w:val="32"/>
          <w:highlight w:val="none"/>
        </w:rPr>
        <w:t>（提供软件操作截图证明）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●2.6.9滴定液体积：0.02mL；（提供技术证明）</w:t>
      </w:r>
    </w:p>
    <w:bookmarkEnd w:id="88"/>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2.6.10测量范围IMN：（0.05-6）mg/L（样品不稀释测定范围）；</w:t>
      </w:r>
    </w:p>
    <w:p>
      <w:pPr>
        <w:spacing w:line="360" w:lineRule="auto"/>
        <w:ind w:firstLine="200"/>
        <w:rPr>
          <w:rFonts w:ascii="仿宋" w:hAnsi="仿宋" w:eastAsia="仿宋" w:cs="宋体"/>
          <w:color w:val="000000" w:themeColor="text1"/>
          <w:sz w:val="24"/>
          <w:szCs w:val="32"/>
          <w:highlight w:val="none"/>
        </w:rPr>
      </w:pPr>
      <w:bookmarkStart w:id="89" w:name="_Hlk162881226"/>
      <w:bookmarkStart w:id="90" w:name="_Hlk163056985"/>
      <w:r>
        <w:rPr>
          <w:rFonts w:hint="eastAsia" w:ascii="仿宋" w:hAnsi="仿宋" w:eastAsia="仿宋" w:cs="宋体"/>
          <w:color w:val="000000" w:themeColor="text1"/>
          <w:sz w:val="24"/>
          <w:szCs w:val="32"/>
          <w:highlight w:val="none"/>
        </w:rPr>
        <w:t>2.6.11 RSD&lt;2.0%</w:t>
      </w:r>
      <w:bookmarkEnd w:id="89"/>
      <w:r>
        <w:rPr>
          <w:rFonts w:hint="eastAsia" w:ascii="仿宋" w:hAnsi="仿宋" w:eastAsia="仿宋" w:cs="宋体"/>
          <w:color w:val="000000" w:themeColor="text1"/>
          <w:sz w:val="24"/>
          <w:szCs w:val="32"/>
          <w:highlight w:val="none"/>
        </w:rPr>
        <w:t>。</w:t>
      </w:r>
    </w:p>
    <w:p>
      <w:pPr>
        <w:pStyle w:val="62"/>
        <w:rPr>
          <w:color w:val="000000" w:themeColor="text1"/>
          <w:highlight w:val="none"/>
        </w:rPr>
      </w:pPr>
    </w:p>
    <w:bookmarkEnd w:id="90"/>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bookmarkEnd w:id="54"/>
    <w:bookmarkEnd w:id="69"/>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End w:id="55"/>
      <w:bookmarkStart w:id="91" w:name="_Toc30862"/>
      <w:r>
        <w:rPr>
          <w:rFonts w:hint="eastAsia" w:ascii="仿宋" w:hAnsi="仿宋" w:eastAsia="仿宋" w:cs="宋体"/>
          <w:color w:val="000000" w:themeColor="text1"/>
          <w:sz w:val="24"/>
          <w:szCs w:val="32"/>
          <w:highlight w:val="none"/>
        </w:rPr>
        <w:t>便携式抽滤机</w:t>
      </w:r>
      <w:bookmarkEnd w:id="91"/>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便携式抽滤器主机1套；</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滤膜5盒；</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充电器1个；</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样品瓶2个；</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镊子1个；</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防护箱1个。</w:t>
      </w:r>
    </w:p>
    <w:p>
      <w:pPr>
        <w:spacing w:line="360" w:lineRule="auto"/>
        <w:ind w:firstLine="200"/>
        <w:rPr>
          <w:rFonts w:ascii="仿宋" w:hAnsi="仿宋" w:eastAsia="仿宋" w:cs="宋体"/>
          <w:color w:val="000000" w:themeColor="text1"/>
          <w:sz w:val="24"/>
          <w:szCs w:val="32"/>
          <w:highlight w:val="none"/>
        </w:rPr>
      </w:pPr>
    </w:p>
    <w:p>
      <w:pPr>
        <w:numPr>
          <w:ilvl w:val="0"/>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采样流量（空载）：12L/Min；</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负载能力：-80kPa；</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电池电量：24V 10.4Ah；</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续航时间：大于20小时；</w:t>
      </w:r>
    </w:p>
    <w:p>
      <w:pPr>
        <w:numPr>
          <w:ilvl w:val="1"/>
          <w:numId w:val="1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采样时间：99小时59秒；</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92" w:name="_Toc13358"/>
      <w:r>
        <w:rPr>
          <w:rFonts w:hint="eastAsia" w:ascii="仿宋" w:hAnsi="仿宋" w:eastAsia="仿宋" w:cs="宋体"/>
          <w:color w:val="000000" w:themeColor="text1"/>
          <w:sz w:val="24"/>
          <w:szCs w:val="32"/>
          <w:highlight w:val="none"/>
        </w:rPr>
        <w:t>噪声声级计</w:t>
      </w:r>
      <w:bookmarkEnd w:id="92"/>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1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主机2套；</w:t>
      </w:r>
    </w:p>
    <w:p>
      <w:pPr>
        <w:numPr>
          <w:ilvl w:val="1"/>
          <w:numId w:val="1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数据信息记录仪2套；</w:t>
      </w:r>
    </w:p>
    <w:p>
      <w:pPr>
        <w:numPr>
          <w:ilvl w:val="1"/>
          <w:numId w:val="1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仪器支架2套。</w:t>
      </w:r>
    </w:p>
    <w:p>
      <w:pPr>
        <w:spacing w:line="360" w:lineRule="auto"/>
        <w:ind w:firstLine="200"/>
        <w:rPr>
          <w:rFonts w:ascii="仿宋" w:hAnsi="仿宋" w:eastAsia="仿宋" w:cs="宋体"/>
          <w:color w:val="000000" w:themeColor="text1"/>
          <w:sz w:val="24"/>
          <w:szCs w:val="32"/>
          <w:highlight w:val="none"/>
        </w:rPr>
      </w:pPr>
    </w:p>
    <w:p>
      <w:pPr>
        <w:numPr>
          <w:ilvl w:val="0"/>
          <w:numId w:val="1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2.1传声器灵敏度级：-28 dB(以1 V/Pa为参考0 dB)，以下参数以-28 dB灵敏度级为参考；</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2.2前置放大器：LEMO插头；</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2.3频率范围：10 Hz～20 kHz；</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2.4Ａ/Ｄ位数：24位；</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2.5采样频率：48 kHz；</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2.6本机电噪声：10 dBA，15 dBC，20 dBZ；</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2.7测量范围：A计权声级20 dB～143 dB，C计权声级25 dB～143 dB，Z计权声级30 dB～143 dB，C计权峰值声级60 dB～146 dB。</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2.8其他频率线性范围：31.5 Hz 20 dB～103 dB（A），4 kHz 20 dB～144 dB（A），8 kHz 20 dB～142 dB（A），12.5 kHz 20 dB～138 dB（A）。</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2.9时间计权：并行（同时）F、S、I；</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2.10频率计权：并行（同时）A、C、Z；</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2.11检波特性：真有效值数字检波；</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▲2.12仪器类型：声级计符合GB/T 3785.1—2010 1级/IEC 61672-1：2013 Class 1，滤波器符合GB/T 3241—2010 1级/IEC 61260-1:2014 Class 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2.13显示器：电容型触摸屏；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2.14外壳防护等级：IP65</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2.15主要显示内容：可实时测量及显示9个以上测量指标、统计分布图、累积分布图、24小时分布图；</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2.16主要测量功能：总值积分、统计积分、24小时自动监测、1/1 OCT分析；</w:t>
      </w:r>
    </w:p>
    <w:p>
      <w:pPr>
        <w:spacing w:line="360" w:lineRule="auto"/>
        <w:ind w:firstLine="198"/>
        <w:jc w:val="left"/>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2.17主要测量指标：Lxyp、Lxeq,T、Lxeq,t、Lxmax、Lxmin、LxN、SD、SEL、Lxpeak等（注：x为A，C，Z；y为F，S，I；N为5，10，50，90，95）；</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p>
      <w:pPr>
        <w:spacing w:line="360" w:lineRule="auto"/>
        <w:ind w:firstLine="200"/>
        <w:rPr>
          <w:rFonts w:ascii="仿宋" w:hAnsi="仿宋" w:eastAsia="仿宋" w:cs="宋体"/>
          <w:color w:val="000000" w:themeColor="text1"/>
          <w:sz w:val="24"/>
          <w:szCs w:val="32"/>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93" w:name="_Toc6898"/>
      <w:r>
        <w:rPr>
          <w:rFonts w:hint="eastAsia" w:ascii="仿宋" w:hAnsi="仿宋" w:eastAsia="仿宋" w:cs="宋体"/>
          <w:color w:val="000000" w:themeColor="text1"/>
          <w:sz w:val="24"/>
          <w:szCs w:val="32"/>
          <w:highlight w:val="none"/>
        </w:rPr>
        <w:t>便携式离心机</w:t>
      </w:r>
      <w:bookmarkEnd w:id="93"/>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numPr>
          <w:ilvl w:val="0"/>
          <w:numId w:val="13"/>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●2.1转速设置范围：0-2500rpm；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2.2转速增量：</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50rpm；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2.3相对颇离心力：1221xg；</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●2.4最大容量：</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4*300ml；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2.5转速精度：+20r/min；</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94" w:name="_Toc15341"/>
      <w:r>
        <w:rPr>
          <w:rFonts w:hint="eastAsia" w:ascii="仿宋" w:hAnsi="仿宋" w:eastAsia="仿宋" w:cs="宋体"/>
          <w:color w:val="000000" w:themeColor="text1"/>
          <w:sz w:val="24"/>
          <w:szCs w:val="32"/>
          <w:highlight w:val="none"/>
        </w:rPr>
        <w:t>移液枪</w:t>
      </w:r>
      <w:bookmarkEnd w:id="94"/>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移液枪8支（200μL、1mL、5mL、10mL四个量程各2支）；</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200μL枪头1000支；</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1mL枪头1000支；</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5mL枪头1000支；</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10mL枪头1000支。</w:t>
      </w:r>
    </w:p>
    <w:p>
      <w:pPr>
        <w:spacing w:line="360" w:lineRule="auto"/>
        <w:ind w:firstLine="200"/>
        <w:rPr>
          <w:rFonts w:ascii="仿宋" w:hAnsi="仿宋" w:eastAsia="仿宋" w:cs="宋体"/>
          <w:color w:val="000000" w:themeColor="text1"/>
          <w:sz w:val="24"/>
          <w:szCs w:val="32"/>
          <w:highlight w:val="none"/>
        </w:rPr>
      </w:pPr>
    </w:p>
    <w:p>
      <w:pPr>
        <w:numPr>
          <w:ilvl w:val="0"/>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200μL移液枪</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 准确度</w:t>
      </w:r>
      <w:r>
        <w:rPr>
          <w:rFonts w:hint="eastAsia" w:ascii="仿宋" w:hAnsi="仿宋" w:eastAsia="仿宋" w:cs="宋体"/>
          <w:color w:val="000000" w:themeColor="text1"/>
          <w:sz w:val="24"/>
          <w:szCs w:val="32"/>
          <w:highlight w:val="none"/>
        </w:rPr>
        <w:tab/>
      </w:r>
      <w:r>
        <w:rPr>
          <w:rFonts w:hint="eastAsia" w:ascii="仿宋" w:hAnsi="仿宋" w:eastAsia="仿宋" w:cs="宋体"/>
          <w:color w:val="000000" w:themeColor="text1"/>
          <w:sz w:val="24"/>
          <w:szCs w:val="32"/>
          <w:highlight w:val="none"/>
        </w:rPr>
        <w:t>：±3.0至0.6%；</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 类型：可调容量移液器；</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 容积（公制）：20至200μL；</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 精确度：1.5 至 0.3%；</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1mL移液枪</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2.2.1 准确度</w:t>
      </w:r>
      <w:r>
        <w:rPr>
          <w:rFonts w:hint="eastAsia" w:ascii="仿宋" w:hAnsi="仿宋" w:eastAsia="仿宋" w:cs="宋体"/>
          <w:color w:val="000000" w:themeColor="text1"/>
          <w:sz w:val="24"/>
          <w:szCs w:val="32"/>
          <w:highlight w:val="none"/>
        </w:rPr>
        <w:tab/>
      </w:r>
      <w:r>
        <w:rPr>
          <w:rFonts w:hint="eastAsia" w:ascii="仿宋" w:hAnsi="仿宋" w:eastAsia="仿宋" w:cs="宋体"/>
          <w:color w:val="000000" w:themeColor="text1"/>
          <w:sz w:val="24"/>
          <w:szCs w:val="32"/>
          <w:highlight w:val="none"/>
        </w:rPr>
        <w:t>：±1.5至0.5%；</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 类型：可调容量移液器；</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2.2.3 容积（公制）：100至1000μL；</w:t>
      </w:r>
    </w:p>
    <w:p>
      <w:pPr>
        <w:spacing w:line="360" w:lineRule="auto"/>
        <w:ind w:left="200"/>
        <w:rPr>
          <w:color w:val="000000" w:themeColor="text1"/>
          <w:highlight w:val="none"/>
        </w:rPr>
      </w:pPr>
      <w:r>
        <w:rPr>
          <w:rFonts w:hint="eastAsia" w:ascii="仿宋" w:hAnsi="仿宋" w:eastAsia="仿宋" w:cs="宋体"/>
          <w:color w:val="000000" w:themeColor="text1"/>
          <w:sz w:val="24"/>
          <w:szCs w:val="32"/>
          <w:highlight w:val="none"/>
        </w:rPr>
        <w:t>2.2.4 精确度：0.6至0.2%；</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5mL移液枪</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2.3.1 准确度</w:t>
      </w:r>
      <w:r>
        <w:rPr>
          <w:rFonts w:hint="eastAsia" w:ascii="仿宋" w:hAnsi="仿宋" w:eastAsia="仿宋" w:cs="宋体"/>
          <w:color w:val="000000" w:themeColor="text1"/>
          <w:sz w:val="24"/>
          <w:szCs w:val="32"/>
          <w:highlight w:val="none"/>
        </w:rPr>
        <w:tab/>
      </w:r>
      <w:r>
        <w:rPr>
          <w:rFonts w:hint="eastAsia" w:ascii="仿宋" w:hAnsi="仿宋" w:eastAsia="仿宋" w:cs="宋体"/>
          <w:color w:val="000000" w:themeColor="text1"/>
          <w:sz w:val="24"/>
          <w:szCs w:val="32"/>
          <w:highlight w:val="none"/>
        </w:rPr>
        <w:t>：±2.0至0.5%；</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2.3.2 类型：可调容量移液器；</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2.3.3 容积（公制）：0.5至5mL；</w:t>
      </w:r>
    </w:p>
    <w:p>
      <w:pPr>
        <w:spacing w:line="360" w:lineRule="auto"/>
        <w:ind w:left="200"/>
        <w:rPr>
          <w:color w:val="000000" w:themeColor="text1"/>
          <w:highlight w:val="none"/>
        </w:rPr>
      </w:pPr>
      <w:r>
        <w:rPr>
          <w:rFonts w:hint="eastAsia" w:ascii="仿宋" w:hAnsi="仿宋" w:eastAsia="仿宋" w:cs="宋体"/>
          <w:color w:val="000000" w:themeColor="text1"/>
          <w:sz w:val="24"/>
          <w:szCs w:val="32"/>
          <w:highlight w:val="none"/>
        </w:rPr>
        <w:t>2.3.4 精确度：0.8至0.2%；</w:t>
      </w:r>
    </w:p>
    <w:p>
      <w:pPr>
        <w:numPr>
          <w:ilvl w:val="1"/>
          <w:numId w:val="1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10mL移液枪</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2.4.1 准确度</w:t>
      </w:r>
      <w:r>
        <w:rPr>
          <w:rFonts w:hint="eastAsia" w:ascii="仿宋" w:hAnsi="仿宋" w:eastAsia="仿宋" w:cs="宋体"/>
          <w:color w:val="000000" w:themeColor="text1"/>
          <w:sz w:val="24"/>
          <w:szCs w:val="32"/>
          <w:highlight w:val="none"/>
        </w:rPr>
        <w:tab/>
      </w:r>
      <w:r>
        <w:rPr>
          <w:rFonts w:hint="eastAsia" w:ascii="仿宋" w:hAnsi="仿宋" w:eastAsia="仿宋" w:cs="宋体"/>
          <w:color w:val="000000" w:themeColor="text1"/>
          <w:sz w:val="24"/>
          <w:szCs w:val="32"/>
          <w:highlight w:val="none"/>
        </w:rPr>
        <w:t>：±2.0至0.5%；</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2.4.2 类型：可调容量移液器；</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2.4.3 容积（公制）：1至10mL；</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2.4.4 精确度：0.8至0.2%；</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95" w:name="_Toc12948"/>
      <w:bookmarkStart w:id="96" w:name="_Hlk164673097"/>
      <w:r>
        <w:rPr>
          <w:rFonts w:hint="eastAsia" w:ascii="仿宋" w:hAnsi="仿宋" w:eastAsia="仿宋" w:cs="宋体"/>
          <w:color w:val="000000" w:themeColor="text1"/>
          <w:sz w:val="24"/>
          <w:szCs w:val="32"/>
          <w:highlight w:val="none"/>
        </w:rPr>
        <w:t>自动氰化物分析仪</w:t>
      </w:r>
      <w:bookmarkEnd w:id="95"/>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氰化物主机1套；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样品盘1套；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试剂瓶5个；</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蒸馏系统1套；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不小于40位自动进样器1套；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循环水冷阱1套；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数据工作站软件1套；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可调比色池光度计1套；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废液收集1套；</w:t>
      </w:r>
    </w:p>
    <w:p>
      <w:pPr>
        <w:numPr>
          <w:ilvl w:val="1"/>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随机附件1套；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1.11温湿度计1个（带检定或校准证书）；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1.12仪器设备状态标识牌。</w:t>
      </w:r>
    </w:p>
    <w:p>
      <w:pPr>
        <w:spacing w:line="360" w:lineRule="auto"/>
        <w:ind w:firstLine="200"/>
        <w:rPr>
          <w:rFonts w:ascii="仿宋" w:hAnsi="仿宋" w:eastAsia="仿宋" w:cs="宋体"/>
          <w:color w:val="000000" w:themeColor="text1"/>
          <w:sz w:val="24"/>
          <w:szCs w:val="32"/>
          <w:highlight w:val="none"/>
        </w:rPr>
      </w:pPr>
    </w:p>
    <w:p>
      <w:pPr>
        <w:numPr>
          <w:ilvl w:val="0"/>
          <w:numId w:val="1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bookmarkStart w:id="97" w:name="_Hlk163057452"/>
      <w:r>
        <w:rPr>
          <w:rFonts w:hint="eastAsia" w:ascii="仿宋" w:hAnsi="仿宋" w:eastAsia="仿宋" w:cs="宋体"/>
          <w:color w:val="000000" w:themeColor="text1"/>
          <w:sz w:val="24"/>
          <w:szCs w:val="32"/>
          <w:highlight w:val="none"/>
        </w:rPr>
        <w:t>▲2.1要求符合HJ484氰化物的测定方法。</w:t>
      </w:r>
    </w:p>
    <w:bookmarkEnd w:id="97"/>
    <w:p>
      <w:pPr>
        <w:spacing w:line="360" w:lineRule="auto"/>
        <w:ind w:firstLine="200"/>
        <w:rPr>
          <w:rFonts w:ascii="仿宋" w:hAnsi="仿宋" w:eastAsia="仿宋" w:cs="宋体"/>
          <w:color w:val="000000" w:themeColor="text1"/>
          <w:sz w:val="24"/>
          <w:szCs w:val="32"/>
          <w:highlight w:val="none"/>
        </w:rPr>
      </w:pPr>
      <w:bookmarkStart w:id="98" w:name="_Hlk163057461"/>
      <w:r>
        <w:rPr>
          <w:rFonts w:hint="eastAsia" w:ascii="仿宋" w:hAnsi="仿宋" w:eastAsia="仿宋" w:cs="宋体"/>
          <w:color w:val="000000" w:themeColor="text1"/>
          <w:sz w:val="24"/>
          <w:szCs w:val="32"/>
          <w:highlight w:val="none"/>
        </w:rPr>
        <w:t>★2.2要求全自动蒸馏系统具备多通道循环蒸馏、所需蒸馏试剂自动定量添加、烧瓶容器自动清洗、馏出液自动定量收集并转移等功能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●2.3实现整个分析过程蒸馏、显色、分析、数据处理及试剂添加和各环节容器清洗的全自动化运行，无需人员干预值守。（提供实物图证明）</w:t>
      </w:r>
    </w:p>
    <w:bookmarkEnd w:id="98"/>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2.4要求自动绘制标准曲线，标准母液自动比例稀释，且线性系数&gt;0.999。</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2.5不少于4组恒温水浴显色通道，显色温度及时间可调，显色试剂自动加注。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2.6独立的电驱动比色皿池光度计检测器，满足2套密闭比色皿同时安置自动调节光程。</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2.7要求各分析环节过程自动清洗，进样针、蒸馏容器、恒温显色容器、接收容器和比色皿等自动清洗。</w:t>
      </w:r>
    </w:p>
    <w:p>
      <w:pPr>
        <w:spacing w:line="360" w:lineRule="auto"/>
        <w:ind w:firstLine="200"/>
        <w:rPr>
          <w:rFonts w:ascii="仿宋" w:hAnsi="仿宋" w:eastAsia="仿宋" w:cs="宋体"/>
          <w:color w:val="000000" w:themeColor="text1"/>
          <w:sz w:val="24"/>
          <w:szCs w:val="32"/>
          <w:highlight w:val="none"/>
        </w:rPr>
      </w:pPr>
      <w:bookmarkStart w:id="99" w:name="_Hlk163057466"/>
      <w:r>
        <w:rPr>
          <w:rFonts w:hint="eastAsia" w:ascii="仿宋" w:hAnsi="仿宋" w:eastAsia="仿宋" w:cs="宋体"/>
          <w:color w:val="000000" w:themeColor="text1"/>
          <w:sz w:val="24"/>
          <w:szCs w:val="32"/>
          <w:highlight w:val="none"/>
        </w:rPr>
        <w:t>●2.8要求自动进样器满足450mL样品容量安置的，自动定量取样上机分析。（提供实物图证明）</w:t>
      </w:r>
    </w:p>
    <w:bookmarkEnd w:id="9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2.9终端数据处理器联机操控，减少主机镶嵌触控屏幕的干扰模式，自由编辑序列和样品类型。</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2.10指标要求：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2.10.1标准选择：异烟酸-巴比妥酸光度法；</w:t>
      </w:r>
    </w:p>
    <w:p>
      <w:pPr>
        <w:spacing w:line="360" w:lineRule="auto"/>
        <w:ind w:firstLine="200"/>
        <w:rPr>
          <w:rFonts w:ascii="仿宋" w:hAnsi="仿宋" w:eastAsia="仿宋" w:cs="宋体"/>
          <w:color w:val="000000" w:themeColor="text1"/>
          <w:sz w:val="24"/>
          <w:szCs w:val="32"/>
          <w:highlight w:val="none"/>
        </w:rPr>
      </w:pPr>
      <w:bookmarkStart w:id="100" w:name="_Hlk163057472"/>
      <w:r>
        <w:rPr>
          <w:rFonts w:hint="eastAsia" w:ascii="仿宋" w:hAnsi="仿宋" w:eastAsia="仿宋" w:cs="宋体"/>
          <w:color w:val="000000" w:themeColor="text1"/>
          <w:sz w:val="24"/>
          <w:szCs w:val="32"/>
          <w:highlight w:val="none"/>
        </w:rPr>
        <w:t>2.10.2蒸馏模式：自动加注试剂智能定量蒸馏，烧瓶等容器自动清洗；</w:t>
      </w:r>
    </w:p>
    <w:bookmarkEnd w:id="100"/>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2.10.3显色系统：4通道恒温水浴，自动定容；</w:t>
      </w:r>
    </w:p>
    <w:p>
      <w:pPr>
        <w:spacing w:line="360" w:lineRule="auto"/>
        <w:ind w:firstLine="200"/>
        <w:rPr>
          <w:rFonts w:ascii="仿宋" w:hAnsi="仿宋" w:eastAsia="仿宋" w:cs="宋体"/>
          <w:color w:val="000000" w:themeColor="text1"/>
          <w:sz w:val="24"/>
          <w:szCs w:val="32"/>
          <w:highlight w:val="none"/>
        </w:rPr>
      </w:pPr>
      <w:bookmarkStart w:id="101" w:name="_Hlk163057476"/>
      <w:r>
        <w:rPr>
          <w:rFonts w:hint="eastAsia" w:ascii="仿宋" w:hAnsi="仿宋" w:eastAsia="仿宋" w:cs="宋体"/>
          <w:color w:val="000000" w:themeColor="text1"/>
          <w:sz w:val="24"/>
          <w:szCs w:val="32"/>
          <w:highlight w:val="none"/>
        </w:rPr>
        <w:t>●2.10.4自动进样器：不少于40位，满足450mL容量样品；</w:t>
      </w:r>
    </w:p>
    <w:bookmarkEnd w:id="101"/>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2.10.5试剂加液：所有试剂自动加液，高精度定量注射泵加液；</w:t>
      </w:r>
    </w:p>
    <w:p>
      <w:pPr>
        <w:spacing w:line="360" w:lineRule="auto"/>
        <w:ind w:firstLine="200"/>
        <w:rPr>
          <w:rFonts w:ascii="仿宋" w:hAnsi="仿宋" w:eastAsia="仿宋" w:cs="宋体"/>
          <w:color w:val="000000" w:themeColor="text1"/>
          <w:sz w:val="24"/>
          <w:szCs w:val="32"/>
          <w:highlight w:val="none"/>
        </w:rPr>
      </w:pPr>
      <w:bookmarkStart w:id="102" w:name="_Hlk163057480"/>
      <w:r>
        <w:rPr>
          <w:rFonts w:hint="eastAsia" w:ascii="仿宋" w:hAnsi="仿宋" w:eastAsia="仿宋" w:cs="宋体"/>
          <w:color w:val="000000" w:themeColor="text1"/>
          <w:sz w:val="24"/>
          <w:szCs w:val="32"/>
          <w:highlight w:val="none"/>
        </w:rPr>
        <w:t>2.10.6防暴沸：蒸馏烧瓶内可调转速转子防暴沸；</w:t>
      </w:r>
      <w:r>
        <w:rPr>
          <w:rFonts w:ascii="仿宋" w:hAnsi="仿宋" w:eastAsia="仿宋" w:cs="宋体"/>
          <w:color w:val="000000" w:themeColor="text1"/>
          <w:sz w:val="24"/>
          <w:szCs w:val="32"/>
          <w:highlight w:val="none"/>
        </w:rPr>
        <w:t xml:space="preserve"> </w:t>
      </w:r>
    </w:p>
    <w:bookmarkEnd w:id="102"/>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2.10.7检出限：0.001mg/L；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●2.10.8测量范围：（0.004-0.45）mg/L；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●2.10.9线性系数：r&gt;0.999自动配标（不少于8个配标浓度点）。（提供操作软件截图证明）</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bookmarkEnd w:id="96"/>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03" w:name="_Toc30084"/>
      <w:r>
        <w:rPr>
          <w:rFonts w:hint="eastAsia" w:ascii="仿宋" w:hAnsi="仿宋" w:eastAsia="仿宋" w:cs="宋体"/>
          <w:color w:val="000000" w:themeColor="text1"/>
          <w:sz w:val="24"/>
          <w:szCs w:val="32"/>
          <w:highlight w:val="none"/>
        </w:rPr>
        <w:t>余氯测定仪</w:t>
      </w:r>
      <w:bookmarkEnd w:id="103"/>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●2.1光源：发光二极管（LED）；</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2.2检测器：硅光电二极管；</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●2.3防护等级：IP67，1 m水深防水30min；</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2.4波长准确度：视型号而定，±2 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2.5光谱带宽：15 nm滤波器带宽；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●2.6吸光度范围：0-2.5 Abs；</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2.7样品池：1 cm（10 mL），25 mm（10 mL）；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2.8操作条件：0-50°C（32-122°F）；0-90%相对湿度（无冷凝）；</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2.9显示：LCD，带背光；</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余氯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04" w:name="_Toc23801"/>
      <w:r>
        <w:rPr>
          <w:rFonts w:hint="eastAsia" w:ascii="仿宋" w:hAnsi="仿宋" w:eastAsia="仿宋" w:cs="宋体"/>
          <w:color w:val="000000" w:themeColor="text1"/>
          <w:sz w:val="24"/>
          <w:szCs w:val="32"/>
          <w:highlight w:val="none"/>
        </w:rPr>
        <w:t>浊度测试仪</w:t>
      </w:r>
      <w:bookmarkEnd w:id="104"/>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w:t>
      </w:r>
      <w:r>
        <w:rPr>
          <w:rFonts w:hint="eastAsia" w:ascii="仿宋" w:hAnsi="仿宋" w:eastAsia="仿宋" w:cs="宋体"/>
          <w:color w:val="000000" w:themeColor="text1"/>
          <w:sz w:val="24"/>
          <w:szCs w:val="32"/>
          <w:highlight w:val="none"/>
        </w:rPr>
        <w:t xml:space="preserve"> 标配浊度瓶1套；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 便携式防护箱1个；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 标配长效浊度校准套装20/200/500/1000/2000 NTU；</w:t>
      </w:r>
    </w:p>
    <w:p>
      <w:pPr>
        <w:spacing w:line="360" w:lineRule="auto"/>
        <w:ind w:firstLine="196" w:firstLineChars="82"/>
        <w:rPr>
          <w:rFonts w:ascii="仿宋" w:hAnsi="仿宋" w:eastAsia="仿宋" w:cs="宋体"/>
          <w:color w:val="000000" w:themeColor="text1"/>
          <w:sz w:val="24"/>
          <w:szCs w:val="32"/>
          <w:highlight w:val="none"/>
        </w:rPr>
      </w:pPr>
    </w:p>
    <w:p>
      <w:pPr>
        <w:spacing w:line="360" w:lineRule="auto"/>
        <w:ind w:firstLine="196" w:firstLineChars="82"/>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2.1光源：钨卤素灯，波长400nm~600nm；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2.2测量范围：（0.00～9.99）NTU，（10.00～99.9）NTU，（100.0～999）NTU，（1000～2000）NTU；</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2.3分辨率：0.01/0.1/1 NTU；</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2.4示值误差：±6%；</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2.5重复性：≤0.5%；</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2.7零点漂移：±0.5% FS/30min；</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2.8稳定性：±0.5%FS/30min；</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2.9校准：零点和最多6点；</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05" w:name="_Toc26370"/>
      <w:r>
        <w:rPr>
          <w:rFonts w:hint="eastAsia" w:ascii="仿宋" w:hAnsi="仿宋" w:eastAsia="仿宋" w:cs="宋体"/>
          <w:color w:val="000000" w:themeColor="text1"/>
          <w:sz w:val="24"/>
          <w:szCs w:val="32"/>
          <w:highlight w:val="none"/>
        </w:rPr>
        <w:t>PH电极</w:t>
      </w:r>
      <w:bookmarkEnd w:id="105"/>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1.1电极1个；</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2.1量程:0~14</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2.2分辨率:0.1/0.01/0.001</w:t>
      </w:r>
      <w:r>
        <w:rPr>
          <w:rFonts w:ascii="仿宋" w:hAnsi="仿宋" w:eastAsia="仿宋" w:cs="宋体"/>
          <w:color w:val="000000" w:themeColor="text1"/>
          <w:sz w:val="24"/>
          <w:szCs w:val="32"/>
          <w:highlight w:val="none"/>
        </w:rPr>
        <w:t>pH</w:t>
      </w:r>
      <w:r>
        <w:rPr>
          <w:rFonts w:hint="eastAsia" w:ascii="仿宋" w:hAnsi="仿宋" w:eastAsia="仿宋" w:cs="宋体"/>
          <w:color w:val="000000" w:themeColor="text1"/>
          <w:sz w:val="24"/>
          <w:szCs w:val="32"/>
          <w:highlight w:val="none"/>
        </w:rPr>
        <w:t>可选</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2.3精度:0.02</w:t>
      </w:r>
      <w:r>
        <w:rPr>
          <w:rFonts w:ascii="仿宋" w:hAnsi="仿宋" w:eastAsia="仿宋" w:cs="宋体"/>
          <w:color w:val="000000" w:themeColor="text1"/>
          <w:sz w:val="24"/>
          <w:szCs w:val="32"/>
          <w:highlight w:val="none"/>
        </w:rPr>
        <w:t>pH</w:t>
      </w:r>
    </w:p>
    <w:p>
      <w:pPr>
        <w:pStyle w:val="62"/>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 需与本单位仪器配套使用，投标人自行勘察现场</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06" w:name="_Toc21532"/>
      <w:r>
        <w:rPr>
          <w:rFonts w:hint="eastAsia" w:ascii="仿宋" w:hAnsi="仿宋" w:eastAsia="仿宋" w:cs="宋体"/>
          <w:color w:val="000000" w:themeColor="text1"/>
          <w:sz w:val="24"/>
          <w:szCs w:val="32"/>
          <w:highlight w:val="none"/>
        </w:rPr>
        <w:t>PH计实验室用</w:t>
      </w:r>
      <w:bookmarkEnd w:id="106"/>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1.4仪器设备状态标识牌。</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2.1采用高清液晶屏幕；</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2.2支持中英文；</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2.3两种分辨率可选:pH支持0.01pH和0.1pH，mV支持0.1mV和1mV；</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2.4温度单位可选:℃和℉；</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2.5支持开机自诊断、自动关机、断电保护和恢复出厂设置等功能；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2.6支持固件升级功能，允许功能扩展和个性化要求；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2.7支持IP54防护等级；</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●2.8标配三复合pH电极、电极支架、防尘罩和校准缓冲溶液；</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2.9智能判别终点，支持自动读数、定时读数、定时间隔读数、手动读数；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●2.10支持自动/手动温度补偿；</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2.11支持1-5点pH电极标定；</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2.12自动识别GB、DIN、NIST等3组标准缓冲溶液,支持标液组管理支持自定义pH缓冲溶液和标液组；</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2.13支持数据存储(各500套)、查阅、删除、传输和打印；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2.14符合GLP，实现数据追溯；</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2.15具有RS-232接口，支持连接标准RS-232串口数据信息记录仪，直接打印测量结果，打印格式可选；</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2.16具有USB接口，通过专用通信软件与PC连接，实现数据传输；</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07" w:name="_Toc17882"/>
      <w:r>
        <w:rPr>
          <w:rFonts w:hint="eastAsia" w:ascii="仿宋" w:hAnsi="仿宋" w:eastAsia="仿宋" w:cs="宋体"/>
          <w:color w:val="000000" w:themeColor="text1"/>
          <w:sz w:val="24"/>
          <w:szCs w:val="32"/>
          <w:highlight w:val="none"/>
        </w:rPr>
        <w:t>高压灭菌锅</w:t>
      </w:r>
      <w:bookmarkEnd w:id="107"/>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w:t>
      </w:r>
      <w:r>
        <w:rPr>
          <w:rFonts w:hint="eastAsia" w:ascii="仿宋" w:hAnsi="仿宋" w:eastAsia="仿宋" w:cs="宋体"/>
          <w:color w:val="000000" w:themeColor="text1"/>
          <w:sz w:val="24"/>
          <w:szCs w:val="32"/>
          <w:highlight w:val="none"/>
        </w:rPr>
        <w:t>2</w:t>
      </w:r>
      <w:r>
        <w:rPr>
          <w:rFonts w:ascii="仿宋" w:hAnsi="仿宋" w:eastAsia="仿宋" w:cs="宋体"/>
          <w:color w:val="000000" w:themeColor="text1"/>
          <w:sz w:val="24"/>
          <w:szCs w:val="32"/>
          <w:highlight w:val="none"/>
        </w:rPr>
        <w:t>套</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1.4仪器设备状态标识牌2个。</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●2.1容积：</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 xml:space="preserve"> 30L；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2.2灭菌时间：0-120min；</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2.3电源：220V；</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2.4设计温度：128℃；</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2.5设计压力：0.165MPa；</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08" w:name="_Toc30064"/>
      <w:r>
        <w:rPr>
          <w:rFonts w:hint="eastAsia" w:ascii="仿宋" w:hAnsi="仿宋" w:eastAsia="仿宋" w:cs="宋体"/>
          <w:color w:val="000000" w:themeColor="text1"/>
          <w:sz w:val="24"/>
          <w:szCs w:val="32"/>
          <w:highlight w:val="none"/>
        </w:rPr>
        <w:t>培养箱</w:t>
      </w:r>
      <w:bookmarkEnd w:id="108"/>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套</w:t>
      </w:r>
      <w:r>
        <w:rPr>
          <w:rFonts w:hint="eastAsia" w:ascii="仿宋" w:hAnsi="仿宋" w:eastAsia="仿宋" w:cs="宋体"/>
          <w:color w:val="000000" w:themeColor="text1"/>
          <w:sz w:val="24"/>
          <w:szCs w:val="32"/>
          <w:highlight w:val="none"/>
        </w:rPr>
        <w:t>（标配载物托架6块）；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1.4仪器设备状态标识牌3个。</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2.1控温范围：0-60℃；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2.2温度分辨率：0.1℃；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2.3温度波动度：高温±0.5℃，低温±1.0℃；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2.4温度均匀度：±1.5℃（测试点为25℃）；</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2.5内胆尺寸（mm）W*D*H：≥400*350*500；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2.6定时范围：0~9999min；</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2.7工作室内可加装</w:t>
      </w:r>
      <w:r>
        <w:rPr>
          <w:rFonts w:ascii="仿宋" w:hAnsi="仿宋" w:eastAsia="仿宋" w:cs="宋体"/>
          <w:color w:val="000000" w:themeColor="text1"/>
          <w:sz w:val="24"/>
          <w:szCs w:val="32"/>
          <w:highlight w:val="none"/>
        </w:rPr>
        <w:t>220V</w:t>
      </w:r>
      <w:r>
        <w:rPr>
          <w:rFonts w:hint="eastAsia" w:ascii="仿宋" w:hAnsi="仿宋" w:eastAsia="仿宋" w:cs="宋体"/>
          <w:color w:val="000000" w:themeColor="text1"/>
          <w:sz w:val="24"/>
          <w:szCs w:val="32"/>
          <w:highlight w:val="none"/>
        </w:rPr>
        <w:t>插座，用于</w:t>
      </w:r>
      <w:r>
        <w:rPr>
          <w:rFonts w:ascii="仿宋" w:hAnsi="仿宋" w:eastAsia="仿宋" w:cs="宋体"/>
          <w:color w:val="000000" w:themeColor="text1"/>
          <w:sz w:val="24"/>
          <w:szCs w:val="32"/>
          <w:highlight w:val="none"/>
        </w:rPr>
        <w:t>BOD</w:t>
      </w:r>
      <w:r>
        <w:rPr>
          <w:rFonts w:hint="eastAsia" w:ascii="仿宋" w:hAnsi="仿宋" w:eastAsia="仿宋" w:cs="宋体"/>
          <w:color w:val="000000" w:themeColor="text1"/>
          <w:sz w:val="24"/>
          <w:szCs w:val="32"/>
          <w:highlight w:val="none"/>
          <w:vertAlign w:val="subscript"/>
        </w:rPr>
        <w:t>5</w:t>
      </w:r>
      <w:r>
        <w:rPr>
          <w:rFonts w:hint="eastAsia" w:ascii="仿宋" w:hAnsi="仿宋" w:eastAsia="仿宋" w:cs="宋体"/>
          <w:color w:val="000000" w:themeColor="text1"/>
          <w:sz w:val="24"/>
          <w:szCs w:val="32"/>
          <w:highlight w:val="none"/>
        </w:rPr>
        <w:t>测定；</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3.商务要求：供货时提供仪器20、37.5、44.5℃校准证书。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09" w:name="_Toc2163"/>
      <w:r>
        <w:rPr>
          <w:rFonts w:hint="eastAsia" w:ascii="仿宋" w:hAnsi="仿宋" w:eastAsia="仿宋" w:cs="宋体"/>
          <w:color w:val="000000" w:themeColor="text1"/>
          <w:sz w:val="24"/>
          <w:szCs w:val="32"/>
          <w:highlight w:val="none"/>
        </w:rPr>
        <w:t>紫外-可见光分光光度计</w:t>
      </w:r>
      <w:bookmarkEnd w:id="109"/>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1.4仪器设备状态标识牌1个。</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2.1测光方式：单光束；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2.2单色器：自准直；</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2.3焦距：160mm；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2.4光栅：1200线/mm；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2.5光谱带宽：2nm；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2.6波长设定：触控屏输入；</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2.7波长范围：190~1100nm；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2.8波长准确度：±1nm；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2.9波长重复性：≤0.5nm；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2.10光源切换波长：340nm；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2.11杂散光：≤0.1%(T)(在220nm处，以Nal测定)(在360nm处，以NaNO2测定)；</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2.12光度范围：0.0~200.0%T；-0.301~4.000A；0.000~9999C；</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2.13光度准确度：±0.5%T；±0.004Abs（0~0.5A）；±0.008Abs（0.5~1A）；</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2.14光度重复性：≤0.2%T；0.002Abs（0~0.5A）；0.004Abs（0.5~1 A）；</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2.15基线平直度：≤±0.002A（限S款）；</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2.16噪声：100(T%)≤0.2(T%)0(T%)≤0.1(T%)；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2.17基线漂移：0.004Abs/0.5h；</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10" w:name="_Toc6539"/>
      <w:r>
        <w:rPr>
          <w:rFonts w:hint="eastAsia" w:ascii="仿宋" w:hAnsi="仿宋" w:eastAsia="仿宋" w:cs="宋体"/>
          <w:color w:val="000000" w:themeColor="text1"/>
          <w:sz w:val="24"/>
          <w:szCs w:val="32"/>
          <w:highlight w:val="none"/>
        </w:rPr>
        <w:t>样品冷藏柜</w:t>
      </w:r>
      <w:bookmarkEnd w:id="110"/>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w:t>
      </w:r>
      <w:r>
        <w:rPr>
          <w:rFonts w:hint="eastAsia" w:ascii="仿宋" w:hAnsi="仿宋" w:eastAsia="仿宋" w:cs="宋体"/>
          <w:color w:val="000000" w:themeColor="text1"/>
          <w:sz w:val="24"/>
          <w:szCs w:val="32"/>
          <w:highlight w:val="none"/>
        </w:rPr>
        <w:t>冷藏柜4个</w:t>
      </w:r>
      <w:r>
        <w:rPr>
          <w:rFonts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w:t>
      </w:r>
      <w:r>
        <w:rPr>
          <w:rFonts w:hint="eastAsia" w:ascii="仿宋" w:hAnsi="仿宋" w:eastAsia="仿宋" w:cs="宋体"/>
          <w:color w:val="000000" w:themeColor="text1"/>
          <w:sz w:val="24"/>
          <w:szCs w:val="32"/>
          <w:highlight w:val="none"/>
        </w:rPr>
        <w:t>4</w:t>
      </w:r>
      <w:r>
        <w:rPr>
          <w:rFonts w:ascii="仿宋" w:hAnsi="仿宋" w:eastAsia="仿宋" w:cs="宋体"/>
          <w:color w:val="000000" w:themeColor="text1"/>
          <w:sz w:val="24"/>
          <w:szCs w:val="32"/>
          <w:highlight w:val="none"/>
        </w:rPr>
        <w:t>套</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1.4仪器设备状态标识牌4个。</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2.1制冷方式：直冷；</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2.2功率：101-200W；</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2.3是否带加热除雾：支持加热除雾；</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●2.4有效容积：≥300L；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2.5温度范围：0-10℃。</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11" w:name="_Toc14736"/>
      <w:bookmarkStart w:id="112" w:name="_Hlk164774667"/>
      <w:bookmarkStart w:id="113" w:name="_Hlk164673116"/>
      <w:r>
        <w:rPr>
          <w:rFonts w:hint="eastAsia" w:ascii="仿宋" w:hAnsi="仿宋" w:eastAsia="仿宋" w:cs="宋体"/>
          <w:color w:val="000000" w:themeColor="text1"/>
          <w:sz w:val="24"/>
          <w:szCs w:val="32"/>
          <w:highlight w:val="none"/>
        </w:rPr>
        <w:t>自动蒸馏仪</w:t>
      </w:r>
      <w:bookmarkEnd w:id="111"/>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1.1全自动蒸馏仪主机1套；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1.2碳纤维热源6套；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1.3冷循环水系统1套；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1.4馏出液定量监控6套；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1.5 500mL双颈圆底烧瓶6支；</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1.6定量控制保护6套；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1.7防倒吸保护6套；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1.8真空冷凝管6支；</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1.9硅胶管路1套；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1.10馏出液管路清洗1套；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1.11随机工具1套；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1.12温湿度计1个（带检定或校准证书）；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1.13仪器设备状态标识牌1个。</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2.1具备彩色触控屏幕操作，具备馏出液精度校准菜单；</w:t>
      </w:r>
    </w:p>
    <w:p>
      <w:pPr>
        <w:spacing w:line="360" w:lineRule="auto"/>
        <w:ind w:firstLine="200"/>
        <w:rPr>
          <w:rFonts w:ascii="仿宋" w:hAnsi="仿宋" w:eastAsia="仿宋" w:cs="宋体"/>
          <w:color w:val="000000" w:themeColor="text1"/>
          <w:sz w:val="24"/>
          <w:szCs w:val="32"/>
          <w:highlight w:val="none"/>
        </w:rPr>
      </w:pPr>
      <w:bookmarkStart w:id="114" w:name="_Hlk163057975"/>
      <w:r>
        <w:rPr>
          <w:rFonts w:hint="eastAsia" w:ascii="仿宋" w:hAnsi="仿宋" w:eastAsia="仿宋" w:cs="宋体"/>
          <w:color w:val="000000" w:themeColor="text1"/>
          <w:sz w:val="24"/>
          <w:szCs w:val="32"/>
          <w:highlight w:val="none"/>
        </w:rPr>
        <w:t>●2.2加热源要求环形碳纤维材质，减少陶瓷热源高温龟裂和容器贴合度差热损失影响；（提供技术证明）</w:t>
      </w:r>
    </w:p>
    <w:bookmarkEnd w:id="114"/>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2.3不少于六组蒸馏通道，各通道加热功率、蒸馏时间、馏出液量等均可自由设定；</w:t>
      </w:r>
    </w:p>
    <w:p>
      <w:pPr>
        <w:spacing w:line="360" w:lineRule="auto"/>
        <w:ind w:firstLine="200"/>
        <w:rPr>
          <w:rFonts w:ascii="仿宋" w:hAnsi="仿宋" w:eastAsia="仿宋" w:cs="宋体"/>
          <w:color w:val="000000" w:themeColor="text1"/>
          <w:sz w:val="24"/>
          <w:szCs w:val="32"/>
          <w:highlight w:val="none"/>
        </w:rPr>
      </w:pPr>
      <w:bookmarkStart w:id="115" w:name="_Hlk163057979"/>
      <w:r>
        <w:rPr>
          <w:rFonts w:hint="eastAsia" w:ascii="仿宋" w:hAnsi="仿宋" w:eastAsia="仿宋" w:cs="宋体"/>
          <w:color w:val="000000" w:themeColor="text1"/>
          <w:sz w:val="24"/>
          <w:szCs w:val="32"/>
          <w:highlight w:val="none"/>
        </w:rPr>
        <w:t>●2.4冷凝瓶要求蒸汽导管内置于蛇形管内部的真空隔离结构；（提供技术证明）</w:t>
      </w:r>
    </w:p>
    <w:bookmarkEnd w:id="115"/>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2.5要求冷凝循环水具备温度实时显示、超压报警和缺水报警等保护，温度可调节的恒温冷凝；</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2.6馏出液要求时间和液量双重控制收集，馏出液300mL内定量可调；</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2.7要求馏出液管路智能倒吸清洗，清洗次数和清洗时间随意开启；</w:t>
      </w:r>
    </w:p>
    <w:p>
      <w:pPr>
        <w:spacing w:line="360" w:lineRule="auto"/>
        <w:ind w:firstLine="200"/>
        <w:rPr>
          <w:rFonts w:ascii="仿宋" w:hAnsi="仿宋" w:eastAsia="仿宋" w:cs="宋体"/>
          <w:color w:val="000000" w:themeColor="text1"/>
          <w:sz w:val="24"/>
          <w:szCs w:val="32"/>
          <w:highlight w:val="none"/>
        </w:rPr>
      </w:pPr>
      <w:bookmarkStart w:id="116" w:name="_Hlk163057984"/>
      <w:r>
        <w:rPr>
          <w:rFonts w:hint="eastAsia" w:ascii="仿宋" w:hAnsi="仿宋" w:eastAsia="仿宋" w:cs="宋体"/>
          <w:color w:val="000000" w:themeColor="text1"/>
          <w:sz w:val="24"/>
          <w:szCs w:val="32"/>
          <w:highlight w:val="none"/>
        </w:rPr>
        <w:t>●2.8要求冷凝水自动排空保护，自动将冷凝瓶循环水排空，降低绿苔滋生；（提供技术证明）</w:t>
      </w:r>
    </w:p>
    <w:bookmarkEnd w:id="116"/>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2.9参数要求：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2.9.1容器安置架：独立圆底烧瓶安置架和主机侧口塞固定架；</w:t>
      </w:r>
    </w:p>
    <w:p>
      <w:pPr>
        <w:spacing w:line="360" w:lineRule="auto"/>
        <w:ind w:firstLine="200"/>
        <w:rPr>
          <w:rFonts w:ascii="仿宋" w:hAnsi="仿宋" w:eastAsia="仿宋" w:cs="宋体"/>
          <w:color w:val="000000" w:themeColor="text1"/>
          <w:sz w:val="24"/>
          <w:szCs w:val="32"/>
          <w:highlight w:val="none"/>
        </w:rPr>
      </w:pPr>
      <w:bookmarkStart w:id="117" w:name="_Hlk163057993"/>
      <w:r>
        <w:rPr>
          <w:rFonts w:hint="eastAsia" w:ascii="仿宋" w:hAnsi="仿宋" w:eastAsia="仿宋" w:cs="宋体"/>
          <w:color w:val="000000" w:themeColor="text1"/>
          <w:sz w:val="24"/>
          <w:szCs w:val="32"/>
          <w:highlight w:val="none"/>
        </w:rPr>
        <w:t>2.9.2 6套独立止流阀，自动控制开启关闭；</w:t>
      </w:r>
    </w:p>
    <w:bookmarkEnd w:id="117"/>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2.9.3泄压控制：自动泄压，6组对应独立热源泄压阀，自动控制开启关闭；</w:t>
      </w:r>
      <w:r>
        <w:rPr>
          <w:rFonts w:ascii="仿宋" w:hAnsi="仿宋" w:eastAsia="仿宋" w:cs="宋体"/>
          <w:color w:val="000000" w:themeColor="text1"/>
          <w:sz w:val="24"/>
          <w:szCs w:val="32"/>
          <w:highlight w:val="none"/>
        </w:rPr>
        <w:t xml:space="preserve"> </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2.9.4升温沸腾时间：8min内；</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2.9.5循环水：不小于10L，具有一键换水功能；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2.9.6接收容器：满足容量瓶、烧瓶、比色管、量筒等不同规格容器；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2.9.7废液收集：热源与泄压蒸汽均配套独立废液口，自动收集。</w:t>
      </w:r>
    </w:p>
    <w:bookmarkEnd w:id="112"/>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End w:id="113"/>
      <w:bookmarkStart w:id="118" w:name="_Toc2694"/>
      <w:r>
        <w:rPr>
          <w:rFonts w:hint="eastAsia" w:ascii="仿宋" w:hAnsi="仿宋" w:eastAsia="仿宋" w:cs="宋体"/>
          <w:color w:val="000000" w:themeColor="text1"/>
          <w:sz w:val="24"/>
          <w:szCs w:val="32"/>
          <w:highlight w:val="none"/>
        </w:rPr>
        <w:t>可见分光光度计</w:t>
      </w:r>
      <w:bookmarkEnd w:id="118"/>
    </w:p>
    <w:p>
      <w:pPr>
        <w:pStyle w:val="62"/>
        <w:rPr>
          <w:rFonts w:eastAsia="仿宋"/>
          <w:color w:val="000000" w:themeColor="text1"/>
          <w:highlight w:val="none"/>
        </w:rPr>
      </w:pPr>
      <w:r>
        <w:rPr>
          <w:rFonts w:hint="eastAsia" w:ascii="仿宋" w:hAnsi="仿宋" w:eastAsia="仿宋" w:cs="宋体"/>
          <w:color w:val="000000" w:themeColor="text1"/>
          <w:sz w:val="24"/>
          <w:szCs w:val="32"/>
          <w:highlight w:val="none"/>
        </w:rPr>
        <w:t>一、可见分光光度计①</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可见分光光度计主机1台；</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合格证1张；</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玻璃比色皿2只；</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组合工具1套；</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保险管2只；</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电源线1根；</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使用说明书1本；</w:t>
      </w:r>
    </w:p>
    <w:p>
      <w:pPr>
        <w:numPr>
          <w:ilvl w:val="1"/>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装箱单1张；</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1.9仪器设备状态标识牌1个；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1.10温湿度计1个（带检定或校准证书）。</w:t>
      </w:r>
    </w:p>
    <w:p>
      <w:pPr>
        <w:spacing w:line="360" w:lineRule="auto"/>
        <w:ind w:firstLine="200"/>
        <w:rPr>
          <w:rFonts w:ascii="仿宋" w:hAnsi="仿宋" w:eastAsia="仿宋" w:cs="宋体"/>
          <w:color w:val="000000" w:themeColor="text1"/>
          <w:sz w:val="24"/>
          <w:szCs w:val="32"/>
          <w:highlight w:val="none"/>
        </w:rPr>
      </w:pPr>
    </w:p>
    <w:p>
      <w:pPr>
        <w:numPr>
          <w:ilvl w:val="0"/>
          <w:numId w:val="16"/>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bookmarkStart w:id="119" w:name="_Hlk163051770"/>
      <w:r>
        <w:rPr>
          <w:rFonts w:hint="eastAsia" w:ascii="仿宋" w:hAnsi="仿宋" w:eastAsia="仿宋" w:cs="宋体"/>
          <w:color w:val="000000" w:themeColor="text1"/>
          <w:sz w:val="24"/>
          <w:szCs w:val="32"/>
          <w:highlight w:val="none"/>
        </w:rPr>
        <w:t>2.1光学系统：双光束比例监测；</w:t>
      </w:r>
    </w:p>
    <w:bookmarkEnd w:id="11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2.2波长范围：325—1100nm；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2.3波长准确度：±2nm；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2.4波长重复性：≤0.4nm；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2.5光谱带宽：2nm；</w:t>
      </w:r>
    </w:p>
    <w:p>
      <w:pPr>
        <w:spacing w:line="360" w:lineRule="auto"/>
        <w:ind w:firstLine="200"/>
        <w:rPr>
          <w:rFonts w:ascii="仿宋" w:hAnsi="仿宋" w:eastAsia="仿宋" w:cs="宋体"/>
          <w:color w:val="000000" w:themeColor="text1"/>
          <w:sz w:val="24"/>
          <w:szCs w:val="32"/>
          <w:highlight w:val="none"/>
        </w:rPr>
      </w:pPr>
      <w:bookmarkStart w:id="120" w:name="_Hlk163051774"/>
      <w:r>
        <w:rPr>
          <w:rFonts w:hint="eastAsia" w:ascii="仿宋" w:hAnsi="仿宋" w:eastAsia="仿宋" w:cs="宋体"/>
          <w:color w:val="000000" w:themeColor="text1"/>
          <w:sz w:val="24"/>
          <w:szCs w:val="32"/>
          <w:highlight w:val="none"/>
        </w:rPr>
        <w:t>2.6杂散光：≤0.1%T；</w:t>
      </w:r>
    </w:p>
    <w:bookmarkEnd w:id="120"/>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2.7光度范围：-0.3—3Abs；</w:t>
      </w:r>
    </w:p>
    <w:p>
      <w:pPr>
        <w:spacing w:line="360" w:lineRule="auto"/>
        <w:ind w:firstLine="200"/>
        <w:rPr>
          <w:rFonts w:ascii="仿宋" w:hAnsi="仿宋" w:eastAsia="仿宋" w:cs="宋体"/>
          <w:color w:val="000000" w:themeColor="text1"/>
          <w:sz w:val="24"/>
          <w:szCs w:val="32"/>
          <w:highlight w:val="none"/>
        </w:rPr>
      </w:pPr>
      <w:bookmarkStart w:id="121" w:name="_Hlk163051778"/>
      <w:r>
        <w:rPr>
          <w:rFonts w:hint="eastAsia" w:ascii="仿宋" w:hAnsi="仿宋" w:eastAsia="仿宋" w:cs="宋体"/>
          <w:color w:val="000000" w:themeColor="text1"/>
          <w:sz w:val="24"/>
          <w:szCs w:val="32"/>
          <w:highlight w:val="none"/>
        </w:rPr>
        <w:t>2.8光度准确度:±0.002Abs(0-0.5Abs),±0.004Abs(0.5-1Abs),±0.3%T(0-100%T)；</w:t>
      </w:r>
    </w:p>
    <w:bookmarkEnd w:id="121"/>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2.9光度重复性:≤0.001（0-0.5Abs）,≤0.002（0.5-1Abs）,≤0.15%T(0-100%T)；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2.10基线平直度：±0.002；</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2.11噪声：≤0.15%（500nm，P-P）,开机预热半小时后；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2.12基线漂移：≤35%/h(500nm,)开机预热2小时后；</w:t>
      </w:r>
    </w:p>
    <w:p>
      <w:pPr>
        <w:pStyle w:val="62"/>
        <w:spacing w:before="0" w:after="0" w:line="360" w:lineRule="auto"/>
        <w:ind w:firstLine="198"/>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pStyle w:val="62"/>
        <w:spacing w:before="0" w:after="0" w:line="360" w:lineRule="auto"/>
        <w:ind w:firstLine="198"/>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甲醛等4个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3.2供货时提供校准或检定证书。</w:t>
      </w:r>
    </w:p>
    <w:p>
      <w:pPr>
        <w:pStyle w:val="62"/>
        <w:rPr>
          <w:rFonts w:eastAsia="仿宋"/>
          <w:color w:val="000000" w:themeColor="text1"/>
          <w:highlight w:val="none"/>
        </w:rPr>
      </w:pPr>
      <w:r>
        <w:rPr>
          <w:rFonts w:hint="eastAsia" w:ascii="仿宋" w:hAnsi="仿宋" w:eastAsia="仿宋" w:cs="宋体"/>
          <w:color w:val="000000" w:themeColor="text1"/>
          <w:sz w:val="24"/>
          <w:szCs w:val="32"/>
          <w:highlight w:val="none"/>
        </w:rPr>
        <w:t>二、可见分光光度计②</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可见分光光度计主机1台；</w:t>
      </w:r>
    </w:p>
    <w:p>
      <w:pPr>
        <w:numPr>
          <w:ilvl w:val="1"/>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合格证1张；</w:t>
      </w:r>
    </w:p>
    <w:p>
      <w:pPr>
        <w:numPr>
          <w:ilvl w:val="1"/>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标配5cm比色皿架1个；</w:t>
      </w:r>
    </w:p>
    <w:p>
      <w:pPr>
        <w:numPr>
          <w:ilvl w:val="1"/>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电源线1根；</w:t>
      </w:r>
    </w:p>
    <w:p>
      <w:pPr>
        <w:numPr>
          <w:ilvl w:val="1"/>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使用说明书1本；</w:t>
      </w:r>
    </w:p>
    <w:p>
      <w:pPr>
        <w:numPr>
          <w:ilvl w:val="1"/>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仪器设备状态标识牌1个；</w:t>
      </w:r>
    </w:p>
    <w:p>
      <w:pPr>
        <w:numPr>
          <w:ilvl w:val="1"/>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温湿度计1个（带检定或校准证书）。</w:t>
      </w:r>
    </w:p>
    <w:p>
      <w:pPr>
        <w:spacing w:line="360" w:lineRule="auto"/>
        <w:ind w:firstLine="200"/>
        <w:rPr>
          <w:rFonts w:ascii="仿宋" w:hAnsi="仿宋" w:eastAsia="仿宋" w:cs="宋体"/>
          <w:color w:val="000000" w:themeColor="text1"/>
          <w:sz w:val="24"/>
          <w:szCs w:val="32"/>
          <w:highlight w:val="none"/>
        </w:rPr>
      </w:pPr>
    </w:p>
    <w:p>
      <w:pPr>
        <w:numPr>
          <w:ilvl w:val="0"/>
          <w:numId w:val="17"/>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2.1检测器：进口光电池；</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2.2光谱带宽：5nm；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2.3波长范围：325nm~1000nm；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2.4波长准确度：±2nm；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2.5波长重复性：≤1nm；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2.6杂散光：≤0.1%(T)(在360nm处，以NaNO2测定)；</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2.7光度准确度：±0.5%T，±0.004Abs（0~0.5A），±0.008Abs（0.5~1A）；</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2.8光度重复性：≤0.2%T，0.002Abs（0~0.5A），0.004Abs（0.5~1 A）；</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2.9噪声：≤0.2%(T)；</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22" w:name="_Toc17347"/>
      <w:r>
        <w:rPr>
          <w:rFonts w:hint="eastAsia" w:ascii="仿宋" w:hAnsi="仿宋" w:eastAsia="仿宋" w:cs="宋体"/>
          <w:color w:val="000000" w:themeColor="text1"/>
          <w:sz w:val="24"/>
          <w:szCs w:val="32"/>
          <w:highlight w:val="none"/>
        </w:rPr>
        <w:t>便携式声学多普勒流速仪</w:t>
      </w:r>
      <w:bookmarkEnd w:id="122"/>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2.1原理：多普勒或雷达电波原理</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2.2智能测量程序，可在五秒内报告平均速度测量值；</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2.3倾斜传感器，可自动进行余弦补偿；</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2.4可存储和调用多达32K的速度数据、时间和日期数据；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 USB数据传输，用于数据检索和分析；</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2.6可显示瞬时速度、平均速度——带有跟踪标记的频谱显示和频谱图显示；</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2.7测量速度范围0.1米/秒-33米/秒。</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23" w:name="_Toc5664"/>
      <w:r>
        <w:rPr>
          <w:rFonts w:hint="eastAsia" w:ascii="仿宋" w:hAnsi="仿宋" w:eastAsia="仿宋" w:cs="宋体"/>
          <w:color w:val="000000" w:themeColor="text1"/>
          <w:sz w:val="24"/>
          <w:szCs w:val="32"/>
          <w:highlight w:val="none"/>
        </w:rPr>
        <w:t>烟气测试仪综合校准仪</w:t>
      </w:r>
      <w:bookmarkEnd w:id="123"/>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1.2主机箱1个；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1.3充电器1个；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1.4阻力模块1个；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1.5转接嘴1套。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●2.1多路流量可同时运行，同步进行校准,对符合协议的仪器可进行一键标定；</w:t>
      </w:r>
    </w:p>
    <w:p>
      <w:pPr>
        <w:spacing w:line="360" w:lineRule="auto"/>
        <w:ind w:firstLine="198"/>
        <w:jc w:val="left"/>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2.2具有PT100烟温标定和验证功能（包括0℃、44℃、80℃、120℃、195℃、200℃、300℃、400℃），具有干湿球检验功能；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2.3显示方式：触摸屏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2.4具有流量计计温、计压测量功能，能自动进行标况、参比、环境等多种状态下流量换算；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2.5具有环境温度和大气压测量功能；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2.6配有高能锂电池，可在无外接电源的情况下工作；</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2.7可支持扩展罗茨与皂膜流量计；</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2.8仪器内置电子标签，可与仪器出入库管理平台软件配合实现仪器智能化管理；</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24" w:name="_Toc23926"/>
      <w:r>
        <w:rPr>
          <w:rFonts w:hint="eastAsia" w:ascii="仿宋" w:hAnsi="仿宋" w:eastAsia="仿宋" w:cs="宋体"/>
          <w:color w:val="000000" w:themeColor="text1"/>
          <w:sz w:val="24"/>
          <w:szCs w:val="32"/>
          <w:highlight w:val="none"/>
        </w:rPr>
        <w:t>自动洗瓶机</w:t>
      </w:r>
      <w:bookmarkEnd w:id="124"/>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全自动玻璃器皿清洗机1台；</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基础篮架2套；</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26位容量瓶和顶空瓶清洗篮架1套；</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15位采样瓶、扁量瓶、锥形瓶、碘量瓶清洗篮架2套；</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烧杯、称量瓶、坩埚、瓶盖清洗篮架1套</w:t>
      </w:r>
      <w:r>
        <w:rPr>
          <w:rFonts w:ascii="仿宋" w:hAnsi="仿宋" w:eastAsia="仿宋" w:cs="宋体"/>
          <w:color w:val="000000" w:themeColor="text1"/>
          <w:sz w:val="24"/>
          <w:szCs w:val="32"/>
          <w:highlight w:val="none"/>
        </w:rPr>
        <w:t>；</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88位移液管、滴管及试管、比色管、顶空瓶、离心管清洗篮架1套；</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强碱性清洗剂（5L）3桶；</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酸性清洗剂（5L）3桶；</w:t>
      </w:r>
    </w:p>
    <w:p>
      <w:pPr>
        <w:numPr>
          <w:ilvl w:val="1"/>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纯水供水系统</w:t>
      </w: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套，纯水系统另附耗材</w:t>
      </w:r>
      <w:r>
        <w:rPr>
          <w:rFonts w:ascii="仿宋" w:hAnsi="仿宋" w:eastAsia="仿宋" w:cs="宋体"/>
          <w:color w:val="000000" w:themeColor="text1"/>
          <w:sz w:val="24"/>
          <w:szCs w:val="32"/>
          <w:highlight w:val="none"/>
        </w:rPr>
        <w:t>2</w:t>
      </w:r>
      <w:r>
        <w:rPr>
          <w:rFonts w:hint="eastAsia" w:ascii="仿宋" w:hAnsi="仿宋" w:eastAsia="仿宋" w:cs="宋体"/>
          <w:color w:val="000000" w:themeColor="text1"/>
          <w:sz w:val="24"/>
          <w:szCs w:val="32"/>
          <w:highlight w:val="none"/>
        </w:rPr>
        <w:t>套</w:t>
      </w:r>
      <w:r>
        <w:rPr>
          <w:rFonts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w:t>
      </w:r>
      <w:r>
        <w:rPr>
          <w:rFonts w:ascii="仿宋" w:hAnsi="仿宋" w:eastAsia="仿宋" w:cs="宋体"/>
          <w:color w:val="000000" w:themeColor="text1"/>
          <w:sz w:val="24"/>
          <w:szCs w:val="32"/>
          <w:highlight w:val="none"/>
        </w:rPr>
        <w:t>10</w:t>
      </w:r>
      <w:r>
        <w:rPr>
          <w:rFonts w:hint="eastAsia" w:ascii="仿宋" w:hAnsi="仿宋" w:eastAsia="仿宋" w:cs="宋体"/>
          <w:color w:val="000000" w:themeColor="text1"/>
          <w:sz w:val="24"/>
          <w:szCs w:val="32"/>
          <w:highlight w:val="none"/>
        </w:rPr>
        <w:t>仪器设备状态标识牌1个。</w:t>
      </w:r>
    </w:p>
    <w:p>
      <w:pPr>
        <w:spacing w:line="360" w:lineRule="auto"/>
        <w:ind w:firstLine="200"/>
        <w:rPr>
          <w:rFonts w:ascii="仿宋" w:hAnsi="仿宋" w:eastAsia="仿宋" w:cs="宋体"/>
          <w:color w:val="000000" w:themeColor="text1"/>
          <w:sz w:val="24"/>
          <w:szCs w:val="32"/>
          <w:highlight w:val="none"/>
        </w:rPr>
      </w:pPr>
    </w:p>
    <w:p>
      <w:pPr>
        <w:numPr>
          <w:ilvl w:val="0"/>
          <w:numId w:val="18"/>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2.1控制系统</w:t>
      </w:r>
    </w:p>
    <w:p>
      <w:pPr>
        <w:spacing w:line="360" w:lineRule="auto"/>
        <w:ind w:firstLine="200"/>
        <w:rPr>
          <w:rFonts w:ascii="仿宋" w:hAnsi="仿宋" w:eastAsia="仿宋" w:cs="宋体"/>
          <w:color w:val="000000" w:themeColor="text1"/>
          <w:sz w:val="24"/>
          <w:szCs w:val="32"/>
          <w:highlight w:val="none"/>
        </w:rPr>
      </w:pPr>
      <w:bookmarkStart w:id="125" w:name="_Hlk163052131"/>
      <w:r>
        <w:rPr>
          <w:rFonts w:hint="eastAsia" w:ascii="仿宋" w:hAnsi="仿宋" w:eastAsia="仿宋" w:cs="宋体"/>
          <w:color w:val="000000" w:themeColor="text1"/>
          <w:sz w:val="24"/>
          <w:szCs w:val="32"/>
          <w:highlight w:val="none"/>
        </w:rPr>
        <w:t>●2.1.1微终端数据处理器控制系统，运行稳定，液晶触摸显示屏，显示屏亮度可根据用户需求调节；3个快捷程序+20个标准清洗程序，可根据需要可设置20个自定义清洗程序。</w:t>
      </w:r>
    </w:p>
    <w:bookmarkEnd w:id="125"/>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2.1.2联锁装置：电子门锁开关门，确保运行安全，可以通过按键、程序和手动三种方式打开。</w:t>
      </w:r>
    </w:p>
    <w:p>
      <w:pPr>
        <w:spacing w:line="360" w:lineRule="auto"/>
        <w:ind w:firstLine="200"/>
        <w:rPr>
          <w:rFonts w:ascii="仿宋" w:hAnsi="仿宋" w:eastAsia="仿宋" w:cs="宋体"/>
          <w:color w:val="000000" w:themeColor="text1"/>
          <w:sz w:val="24"/>
          <w:szCs w:val="32"/>
          <w:highlight w:val="none"/>
        </w:rPr>
      </w:pPr>
      <w:bookmarkStart w:id="126" w:name="_Hlk163052137"/>
      <w:r>
        <w:rPr>
          <w:rFonts w:hint="eastAsia" w:ascii="仿宋" w:hAnsi="仿宋" w:eastAsia="仿宋" w:cs="宋体"/>
          <w:color w:val="000000" w:themeColor="text1"/>
          <w:sz w:val="24"/>
          <w:szCs w:val="32"/>
          <w:highlight w:val="none"/>
        </w:rPr>
        <w:t>●2.1.3操作权限：操作权限分为系统工程师、管理员、操作员，其中系统工程师有1个账户，管理员有2个账户，操作员有3个账户，每个账户都有相应的权限密码进行登录。(提供操作软件截图)</w:t>
      </w:r>
    </w:p>
    <w:bookmarkEnd w:id="126"/>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2.1.4报警装置：控制系统应对设备的异常和偏离情况进行报警，能够实现自动声音报警，在显示屏显示报警信息并自动打印记录，操作界面上可以显示警报信息。</w:t>
      </w:r>
    </w:p>
    <w:p>
      <w:pPr>
        <w:spacing w:line="360" w:lineRule="auto"/>
        <w:ind w:firstLine="240" w:firstLineChars="100"/>
        <w:rPr>
          <w:rFonts w:ascii="仿宋" w:hAnsi="仿宋" w:eastAsia="仿宋" w:cs="宋体"/>
          <w:color w:val="000000" w:themeColor="text1"/>
          <w:sz w:val="24"/>
          <w:szCs w:val="32"/>
          <w:highlight w:val="none"/>
        </w:rPr>
      </w:pPr>
      <w:bookmarkStart w:id="127" w:name="_Hlk163052142"/>
      <w:r>
        <w:rPr>
          <w:rFonts w:hint="eastAsia" w:ascii="仿宋" w:hAnsi="仿宋" w:eastAsia="仿宋" w:cs="宋体"/>
          <w:color w:val="000000" w:themeColor="text1"/>
          <w:sz w:val="24"/>
          <w:szCs w:val="32"/>
          <w:highlight w:val="none"/>
        </w:rPr>
        <w:t>2.1.5设备自带中英文语言系统</w:t>
      </w:r>
    </w:p>
    <w:bookmarkEnd w:id="127"/>
    <w:p>
      <w:pPr>
        <w:spacing w:line="360" w:lineRule="auto"/>
        <w:ind w:firstLine="200"/>
        <w:rPr>
          <w:rFonts w:ascii="仿宋" w:hAnsi="仿宋" w:eastAsia="仿宋" w:cs="宋体"/>
          <w:color w:val="000000" w:themeColor="text1"/>
          <w:sz w:val="24"/>
          <w:szCs w:val="32"/>
          <w:highlight w:val="none"/>
        </w:rPr>
      </w:pPr>
      <w:bookmarkStart w:id="128" w:name="_Hlk163052147"/>
      <w:r>
        <w:rPr>
          <w:rFonts w:hint="eastAsia" w:ascii="仿宋" w:hAnsi="仿宋" w:eastAsia="仿宋" w:cs="宋体"/>
          <w:color w:val="000000" w:themeColor="text1"/>
          <w:sz w:val="24"/>
          <w:szCs w:val="32"/>
          <w:highlight w:val="none"/>
        </w:rPr>
        <w:t>2.1.6设备带有延迟3秒开机、关机功能；防止客户误操作。</w:t>
      </w:r>
    </w:p>
    <w:bookmarkEnd w:id="128"/>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2.2在线监测</w:t>
      </w:r>
      <w:r>
        <w:rPr>
          <w:rFonts w:hint="eastAsia" w:ascii="仿宋" w:hAnsi="仿宋" w:eastAsia="仿宋" w:cs="宋体"/>
          <w:color w:val="000000" w:themeColor="text1"/>
          <w:sz w:val="24"/>
          <w:szCs w:val="32"/>
          <w:highlight w:val="none"/>
        </w:rPr>
        <w:tab/>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2.2.1联锁装置：保证设备的运行状态下是不能打开门锁，以免热水烫伤。</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2.2.2进水监测：保证设备清洗过程中正常的用水需求。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2.2.3双温监控：按照清洗温度图谱精确控制温度。</w:t>
      </w:r>
    </w:p>
    <w:p>
      <w:pPr>
        <w:spacing w:line="360" w:lineRule="auto"/>
        <w:ind w:firstLine="200"/>
        <w:rPr>
          <w:rFonts w:ascii="仿宋" w:hAnsi="仿宋" w:eastAsia="仿宋" w:cs="宋体"/>
          <w:color w:val="000000" w:themeColor="text1"/>
          <w:sz w:val="24"/>
          <w:szCs w:val="32"/>
          <w:highlight w:val="none"/>
        </w:rPr>
      </w:pPr>
      <w:bookmarkStart w:id="129" w:name="_Hlk163052153"/>
      <w:r>
        <w:rPr>
          <w:rFonts w:hint="eastAsia" w:ascii="仿宋" w:hAnsi="仿宋" w:eastAsia="仿宋" w:cs="宋体"/>
          <w:color w:val="000000" w:themeColor="text1"/>
          <w:sz w:val="24"/>
          <w:szCs w:val="32"/>
          <w:highlight w:val="none"/>
        </w:rPr>
        <w:t>●2.2.4可通过显示屏PID运行程序实时监测和显示整个设备的运行状态。</w:t>
      </w:r>
    </w:p>
    <w:bookmarkEnd w:id="12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2.3循环系统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2.3.1循环泵最大循环能力可自动调节0-400L/min，安装有软启动和防过载装传感器。</w:t>
      </w:r>
    </w:p>
    <w:p>
      <w:pPr>
        <w:spacing w:line="360" w:lineRule="auto"/>
        <w:ind w:firstLine="200"/>
        <w:rPr>
          <w:rFonts w:ascii="仿宋" w:hAnsi="仿宋" w:eastAsia="仿宋" w:cs="宋体"/>
          <w:color w:val="000000" w:themeColor="text1"/>
          <w:sz w:val="24"/>
          <w:szCs w:val="32"/>
          <w:highlight w:val="none"/>
        </w:rPr>
      </w:pPr>
      <w:bookmarkStart w:id="130" w:name="_Hlk163052181"/>
      <w:r>
        <w:rPr>
          <w:rFonts w:hint="eastAsia" w:ascii="仿宋" w:hAnsi="仿宋" w:eastAsia="仿宋" w:cs="宋体"/>
          <w:color w:val="000000" w:themeColor="text1"/>
          <w:sz w:val="24"/>
          <w:szCs w:val="32"/>
          <w:highlight w:val="none"/>
        </w:rPr>
        <w:t>2.4资质要求：</w:t>
      </w:r>
    </w:p>
    <w:bookmarkEnd w:id="130"/>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●2.4.1具备篮架报告：提供不锈钢托架的篮架疲劳度测试报告，盐雾测试报告及表面电解处理报告。</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31" w:name="_Toc25118"/>
      <w:r>
        <w:rPr>
          <w:rFonts w:hint="eastAsia" w:ascii="仿宋" w:hAnsi="仿宋" w:eastAsia="仿宋" w:cs="宋体"/>
          <w:color w:val="000000" w:themeColor="text1"/>
          <w:sz w:val="24"/>
          <w:szCs w:val="32"/>
          <w:highlight w:val="none"/>
        </w:rPr>
        <w:t>废气多功能采样装置</w:t>
      </w:r>
      <w:bookmarkEnd w:id="131"/>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2.1取样外管采用钛金属材质，重量轻，耐腐蚀。</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2.2气路采用聚四氟乙烯材料，有效降低吸附。</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2.3配有烟气采样泵，可独立完成烟气采样。</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2.4滤筒或滤膜及采样管全程两点加热，可单独设置加热温度，自动恒温加热，能对颗粒态、蒸汽态和气态硫酸雾\盐酸雾进行采集。</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2.5高效保温箱，独特设计吸收瓶支架，可满足不同规格吸收瓶。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2.6冰浴箱外挂式，既可用于水平烟道采样也可以用于垂直烟道采样。</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2.7多功能组合型采样枪，包含测量烟温及皮托管测流速功能。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●2.8一机多用，可满足硫酸雾\氯化氢\氟化氢\溴化氢等多种酸性气体采样。</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2.9配有单向阀，防止采样时吸收液回流。</w:t>
      </w:r>
    </w:p>
    <w:p>
      <w:pPr>
        <w:pStyle w:val="62"/>
        <w:rPr>
          <w:color w:val="000000" w:themeColor="text1"/>
          <w:highlight w:val="none"/>
        </w:rPr>
      </w:pPr>
    </w:p>
    <w:p>
      <w:pPr>
        <w:pStyle w:val="62"/>
        <w:rPr>
          <w:color w:val="000000" w:themeColor="text1"/>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32" w:name="_Toc16986"/>
      <w:r>
        <w:rPr>
          <w:rFonts w:hint="eastAsia" w:ascii="仿宋" w:hAnsi="仿宋" w:eastAsia="仿宋" w:cs="宋体"/>
          <w:color w:val="000000" w:themeColor="text1"/>
          <w:sz w:val="24"/>
          <w:szCs w:val="32"/>
          <w:highlight w:val="none"/>
        </w:rPr>
        <w:t>紫外烟气分析仪</w:t>
      </w:r>
      <w:bookmarkEnd w:id="132"/>
    </w:p>
    <w:p>
      <w:pPr>
        <w:spacing w:line="360" w:lineRule="auto"/>
        <w:ind w:left="200"/>
        <w:rPr>
          <w:rFonts w:ascii="仿宋" w:hAnsi="仿宋" w:eastAsia="仿宋" w:cs="宋体"/>
          <w:color w:val="000000" w:themeColor="text1"/>
          <w:sz w:val="24"/>
          <w:szCs w:val="32"/>
          <w:highlight w:val="none"/>
        </w:rPr>
      </w:pPr>
      <w:bookmarkStart w:id="133" w:name="_Hlk162432231"/>
      <w:r>
        <w:rPr>
          <w:rFonts w:hint="eastAsia" w:ascii="仿宋" w:hAnsi="仿宋" w:eastAsia="仿宋" w:cs="宋体"/>
          <w:color w:val="000000" w:themeColor="text1"/>
          <w:sz w:val="24"/>
          <w:szCs w:val="32"/>
          <w:highlight w:val="none"/>
        </w:rPr>
        <w:t>▲1.  系统配置要求</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主机1台（含O2、SO2、NO、NO2、CO、CO2</w:t>
      </w:r>
      <w:r>
        <w:rPr>
          <w:rFonts w:hint="eastAsia" w:ascii="仿宋" w:hAnsi="仿宋" w:eastAsia="仿宋" w:cs="宋体"/>
          <w:color w:val="000000" w:themeColor="text1"/>
          <w:sz w:val="24"/>
          <w:szCs w:val="32"/>
          <w:highlight w:val="none"/>
        </w:rPr>
        <w:t>传感器</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手操器1个</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电源适配器1套</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背包1个</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过滤器1个</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耐高温延长管1根</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校准证书1份</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仪器合格证1份</w:t>
      </w:r>
      <w:r>
        <w:rPr>
          <w:rFonts w:hint="eastAsia" w:ascii="仿宋" w:hAnsi="仿宋" w:eastAsia="仿宋" w:cs="宋体"/>
          <w:color w:val="000000" w:themeColor="text1"/>
          <w:sz w:val="24"/>
          <w:szCs w:val="32"/>
          <w:highlight w:val="none"/>
        </w:rPr>
        <w:t>；</w:t>
      </w:r>
    </w:p>
    <w:p>
      <w:pPr>
        <w:numPr>
          <w:ilvl w:val="1"/>
          <w:numId w:val="1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O2、SO2、NO、NO2、CO、CO2标气高中低浓度各1套。</w:t>
      </w:r>
    </w:p>
    <w:p>
      <w:pPr>
        <w:spacing w:line="360" w:lineRule="auto"/>
        <w:ind w:firstLine="200"/>
        <w:rPr>
          <w:rFonts w:ascii="仿宋" w:hAnsi="仿宋" w:eastAsia="仿宋" w:cs="宋体"/>
          <w:color w:val="000000" w:themeColor="text1"/>
          <w:sz w:val="24"/>
          <w:szCs w:val="32"/>
          <w:highlight w:val="none"/>
        </w:rPr>
      </w:pPr>
    </w:p>
    <w:p>
      <w:pPr>
        <w:numPr>
          <w:ilvl w:val="0"/>
          <w:numId w:val="19"/>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▲2.1采用差分吸收光谱技术，抗干扰能力强，不受水分和粉尘影响，有效避免气体间的交叉干扰；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2.2热湿法测量，全程伴热，采样过程中水分完全气化，避免水分对于气体的吸附损失，保证测量精度；</w:t>
      </w:r>
    </w:p>
    <w:p>
      <w:pPr>
        <w:spacing w:line="360" w:lineRule="auto"/>
        <w:ind w:firstLine="200"/>
        <w:rPr>
          <w:rFonts w:ascii="仿宋" w:hAnsi="仿宋" w:eastAsia="仿宋" w:cs="宋体"/>
          <w:color w:val="000000" w:themeColor="text1"/>
          <w:sz w:val="24"/>
          <w:szCs w:val="32"/>
          <w:highlight w:val="none"/>
        </w:rPr>
      </w:pPr>
      <w:bookmarkStart w:id="134" w:name="_Hlk163053257"/>
      <w:r>
        <w:rPr>
          <w:rFonts w:hint="eastAsia" w:ascii="仿宋" w:hAnsi="仿宋" w:eastAsia="仿宋" w:cs="宋体"/>
          <w:color w:val="000000" w:themeColor="text1"/>
          <w:sz w:val="24"/>
          <w:szCs w:val="32"/>
          <w:highlight w:val="none"/>
        </w:rPr>
        <w:t>2.3仪器通过中华人民共和国计量器具型式批准证书；</w:t>
      </w:r>
    </w:p>
    <w:bookmarkEnd w:id="134"/>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2.4实时测量显示烟气湿度，同时显示、记录干基浓度和湿基浓度；</w:t>
      </w:r>
    </w:p>
    <w:p>
      <w:pPr>
        <w:spacing w:line="360" w:lineRule="auto"/>
        <w:ind w:firstLine="200"/>
        <w:rPr>
          <w:rFonts w:ascii="仿宋" w:hAnsi="仿宋" w:eastAsia="仿宋" w:cs="宋体"/>
          <w:color w:val="000000" w:themeColor="text1"/>
          <w:sz w:val="24"/>
          <w:szCs w:val="32"/>
          <w:highlight w:val="none"/>
        </w:rPr>
      </w:pPr>
      <w:bookmarkStart w:id="135" w:name="_Hlk163053270"/>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2.5采用脉冲氙灯冷光源，预热时间短，使用寿命长，光谱范围宽，覆盖NO2最佳吸收波段；</w:t>
      </w:r>
    </w:p>
    <w:bookmarkEnd w:id="135"/>
    <w:p>
      <w:pPr>
        <w:spacing w:line="360" w:lineRule="auto"/>
        <w:ind w:firstLine="200"/>
        <w:rPr>
          <w:rFonts w:ascii="仿宋" w:hAnsi="仿宋" w:eastAsia="仿宋" w:cs="宋体"/>
          <w:color w:val="000000" w:themeColor="text1"/>
          <w:sz w:val="24"/>
          <w:szCs w:val="32"/>
          <w:highlight w:val="none"/>
        </w:rPr>
      </w:pPr>
      <w:bookmarkStart w:id="136" w:name="_Hlk163053276"/>
      <w:r>
        <w:rPr>
          <w:rFonts w:hint="eastAsia" w:ascii="仿宋" w:hAnsi="仿宋" w:eastAsia="仿宋" w:cs="宋体"/>
          <w:color w:val="000000" w:themeColor="text1"/>
          <w:sz w:val="24"/>
          <w:szCs w:val="32"/>
          <w:highlight w:val="none"/>
        </w:rPr>
        <w:t>2.6配合S型皮托管可实现烟温、流速等工况测量；</w:t>
      </w:r>
    </w:p>
    <w:bookmarkEnd w:id="136"/>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2.7长光程设计，检出下限低，量程范围宽，用户可根据需要定制量程；</w:t>
      </w:r>
    </w:p>
    <w:p>
      <w:pPr>
        <w:spacing w:line="360" w:lineRule="auto"/>
        <w:ind w:firstLine="200"/>
        <w:rPr>
          <w:rFonts w:ascii="仿宋" w:hAnsi="仿宋" w:eastAsia="仿宋" w:cs="宋体"/>
          <w:color w:val="000000" w:themeColor="text1"/>
          <w:sz w:val="24"/>
          <w:szCs w:val="32"/>
          <w:highlight w:val="none"/>
        </w:rPr>
      </w:pPr>
      <w:bookmarkStart w:id="137" w:name="_Hlk163053280"/>
      <w:r>
        <w:rPr>
          <w:rFonts w:hint="eastAsia" w:ascii="仿宋" w:hAnsi="仿宋" w:eastAsia="仿宋" w:cs="宋体"/>
          <w:color w:val="000000" w:themeColor="text1"/>
          <w:sz w:val="24"/>
          <w:szCs w:val="32"/>
          <w:highlight w:val="none"/>
        </w:rPr>
        <w:t>●2.8 SO2分析双量程设计，根据浓度值自动切换量程；（提供技术证明）</w:t>
      </w:r>
    </w:p>
    <w:bookmarkEnd w:id="137"/>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2.9具备气密性自动检测，采样结束后自动清洗气路等功能；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2.10内置吹扫专用锂电池，测量结束后自动吹扫，避免气室污染；</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2.11烟气测量方式自动、手动可选择，自动模式下可设置单次测量时间和测量次数，方便与在线仪器的比对；</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2.12具备质量浓度（mg/m3）和体积浓度（μmol/mol）单位切换功能；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2.13具备采样流量实时显示功能；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2.14可拓展内置大容量锂电池，支持仪器提前预热和采样，采样时无需外接交流电；</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2.15可拓展测量氨气功能，用于氨逃逸测量；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2.16精密芯泵，耐腐蚀，连续运转免维护，适应各种工况，具有过载保护功能结构设计；</w:t>
      </w:r>
    </w:p>
    <w:p>
      <w:pPr>
        <w:spacing w:line="360" w:lineRule="auto"/>
        <w:ind w:firstLine="200"/>
        <w:rPr>
          <w:rFonts w:ascii="仿宋" w:hAnsi="仿宋" w:eastAsia="仿宋" w:cs="宋体"/>
          <w:color w:val="000000" w:themeColor="text1"/>
          <w:sz w:val="24"/>
          <w:szCs w:val="32"/>
          <w:highlight w:val="none"/>
        </w:rPr>
      </w:pPr>
      <w:bookmarkStart w:id="138" w:name="_Hlk163053285"/>
      <w:r>
        <w:rPr>
          <w:rFonts w:hint="eastAsia" w:ascii="仿宋" w:hAnsi="仿宋" w:eastAsia="仿宋" w:cs="宋体"/>
          <w:color w:val="000000" w:themeColor="text1"/>
          <w:sz w:val="24"/>
          <w:szCs w:val="32"/>
          <w:highlight w:val="none"/>
        </w:rPr>
        <w:t>●2.17仪器外壳防护等级需通过正规质量检验检测机构出具的检验报告，外壳防护等级不低于IP56；</w:t>
      </w:r>
      <w:r>
        <w:rPr>
          <w:rFonts w:ascii="仿宋" w:hAnsi="仿宋" w:eastAsia="仿宋" w:cs="宋体"/>
          <w:color w:val="000000" w:themeColor="text1"/>
          <w:sz w:val="24"/>
          <w:szCs w:val="32"/>
          <w:highlight w:val="none"/>
        </w:rPr>
        <w:t xml:space="preserve"> </w:t>
      </w:r>
      <w:r>
        <w:rPr>
          <w:rFonts w:hint="eastAsia" w:ascii="仿宋" w:hAnsi="仿宋" w:eastAsia="仿宋" w:cs="宋体"/>
          <w:color w:val="000000" w:themeColor="text1"/>
          <w:sz w:val="24"/>
          <w:szCs w:val="32"/>
          <w:highlight w:val="none"/>
        </w:rPr>
        <w:t>（提供技术证明）</w:t>
      </w:r>
    </w:p>
    <w:bookmarkEnd w:id="138"/>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2.18采用一体化设计，功能高度集成，无需繁琐的管路连接；</w:t>
      </w:r>
    </w:p>
    <w:p>
      <w:pPr>
        <w:spacing w:line="360" w:lineRule="auto"/>
        <w:ind w:firstLine="200"/>
        <w:rPr>
          <w:rFonts w:ascii="仿宋" w:hAnsi="仿宋" w:eastAsia="仿宋" w:cs="宋体"/>
          <w:color w:val="000000" w:themeColor="text1"/>
          <w:sz w:val="24"/>
          <w:szCs w:val="32"/>
          <w:highlight w:val="none"/>
        </w:rPr>
      </w:pPr>
      <w:bookmarkStart w:id="139" w:name="_Hlk163053289"/>
      <w:r>
        <w:rPr>
          <w:rFonts w:hint="eastAsia" w:ascii="仿宋" w:hAnsi="仿宋" w:eastAsia="仿宋" w:cs="宋体"/>
          <w:color w:val="000000" w:themeColor="text1"/>
          <w:sz w:val="24"/>
          <w:szCs w:val="32"/>
          <w:highlight w:val="none"/>
        </w:rPr>
        <w:t>2.19取样管可拆卸设计，用户可另外根据需要选配不同长度的取样管；</w:t>
      </w:r>
    </w:p>
    <w:bookmarkEnd w:id="139"/>
    <w:p>
      <w:pPr>
        <w:spacing w:line="360" w:lineRule="auto"/>
        <w:ind w:firstLine="200"/>
        <w:rPr>
          <w:rFonts w:ascii="仿宋" w:hAnsi="仿宋" w:eastAsia="仿宋" w:cs="宋体"/>
          <w:color w:val="000000" w:themeColor="text1"/>
          <w:sz w:val="24"/>
          <w:szCs w:val="32"/>
          <w:highlight w:val="none"/>
        </w:rPr>
      </w:pPr>
      <w:bookmarkStart w:id="140" w:name="_Hlk163053293"/>
      <w:r>
        <w:rPr>
          <w:rFonts w:hint="eastAsia" w:ascii="仿宋" w:hAnsi="仿宋" w:eastAsia="仿宋" w:cs="宋体"/>
          <w:color w:val="000000" w:themeColor="text1"/>
          <w:sz w:val="24"/>
          <w:szCs w:val="32"/>
          <w:highlight w:val="none"/>
        </w:rPr>
        <w:t>●2.20双操控系统设计：支持手操器遥控和主机OLED屏按键两种操控模式，满足用户的多样化选择，手操器支持</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30m远距离操控，主机OLED屏和按键操控满足低温使用需求；（提供实物图证明）</w:t>
      </w:r>
    </w:p>
    <w:bookmarkEnd w:id="140"/>
    <w:p>
      <w:pPr>
        <w:spacing w:line="360" w:lineRule="auto"/>
        <w:ind w:firstLine="200"/>
        <w:rPr>
          <w:rFonts w:ascii="仿宋" w:hAnsi="仿宋" w:eastAsia="仿宋" w:cs="宋体"/>
          <w:color w:val="000000" w:themeColor="text1"/>
          <w:sz w:val="24"/>
          <w:szCs w:val="32"/>
          <w:highlight w:val="none"/>
        </w:rPr>
      </w:pPr>
      <w:bookmarkStart w:id="141" w:name="_Hlk163053298"/>
      <w:r>
        <w:rPr>
          <w:rFonts w:hint="eastAsia" w:ascii="仿宋" w:hAnsi="仿宋" w:eastAsia="仿宋" w:cs="宋体"/>
          <w:color w:val="000000" w:themeColor="text1"/>
          <w:sz w:val="24"/>
          <w:szCs w:val="32"/>
          <w:highlight w:val="none"/>
        </w:rPr>
        <w:t>●2.21触摸手操器，集高速热敏数据信息记录仪于一体；（提供实物图证明）</w:t>
      </w:r>
    </w:p>
    <w:bookmarkEnd w:id="141"/>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2.22支持中、英文输入，方便用户输入采样地点等信息，实现良好人机交互交、直流双供电工作模式；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2.23具有仪器故障、密闭性自动检测与报警功能；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2.24仪器采样过程中，仪器具备定时自动排水功能；</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二氧化硫等3个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3.2供货时提供仪器校准或检定证书。</w:t>
      </w:r>
    </w:p>
    <w:p>
      <w:pPr>
        <w:pStyle w:val="62"/>
        <w:rPr>
          <w:rFonts w:ascii="仿宋" w:hAnsi="仿宋" w:eastAsia="仿宋" w:cs="宋体"/>
          <w:color w:val="000000" w:themeColor="text1"/>
          <w:sz w:val="24"/>
          <w:szCs w:val="32"/>
          <w:highlight w:val="none"/>
        </w:rPr>
      </w:pPr>
    </w:p>
    <w:p>
      <w:pPr>
        <w:pStyle w:val="62"/>
        <w:ind w:firstLine="0"/>
        <w:rPr>
          <w:color w:val="000000" w:themeColor="text1"/>
          <w:highlight w:val="none"/>
        </w:rPr>
      </w:pPr>
    </w:p>
    <w:p>
      <w:pPr>
        <w:rPr>
          <w:color w:val="000000" w:themeColor="text1"/>
          <w:highlight w:val="none"/>
        </w:rPr>
      </w:pPr>
    </w:p>
    <w:p>
      <w:pPr>
        <w:pStyle w:val="62"/>
        <w:rPr>
          <w:color w:val="000000" w:themeColor="text1"/>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bookmarkStart w:id="142" w:name="_Toc3389"/>
      <w:bookmarkStart w:id="143" w:name="_Hlk163053778"/>
      <w:bookmarkStart w:id="144" w:name="_Hlk164774995"/>
      <w:r>
        <w:rPr>
          <w:rFonts w:hint="eastAsia" w:ascii="仿宋" w:hAnsi="仿宋" w:eastAsia="仿宋" w:cs="宋体"/>
          <w:color w:val="000000" w:themeColor="text1"/>
          <w:sz w:val="24"/>
          <w:szCs w:val="32"/>
          <w:highlight w:val="none"/>
        </w:rPr>
        <w:t>非甲烷总烃监测分析系统</w:t>
      </w:r>
      <w:bookmarkEnd w:id="142"/>
    </w:p>
    <w:bookmarkEnd w:id="143"/>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w:t>
      </w:r>
      <w:r>
        <w:rPr>
          <w:rFonts w:ascii="仿宋" w:hAnsi="仿宋" w:eastAsia="仿宋" w:cs="宋体"/>
          <w:color w:val="000000" w:themeColor="text1"/>
          <w:sz w:val="24"/>
          <w:szCs w:val="32"/>
          <w:highlight w:val="none"/>
        </w:rPr>
        <w:t>反复充放式气瓶以及充放气装置</w:t>
      </w:r>
      <w:r>
        <w:rPr>
          <w:rFonts w:hint="eastAsia" w:ascii="仿宋" w:hAnsi="仿宋" w:eastAsia="仿宋" w:cs="宋体"/>
          <w:color w:val="000000" w:themeColor="text1"/>
          <w:sz w:val="24"/>
          <w:szCs w:val="32"/>
          <w:highlight w:val="none"/>
        </w:rPr>
        <w:t>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w:t>
      </w:r>
      <w:r>
        <w:rPr>
          <w:rFonts w:ascii="仿宋" w:hAnsi="仿宋" w:eastAsia="仿宋" w:cs="宋体"/>
          <w:color w:val="000000" w:themeColor="text1"/>
          <w:sz w:val="24"/>
          <w:szCs w:val="32"/>
          <w:highlight w:val="none"/>
        </w:rPr>
        <w:t>储氢合金气瓶</w:t>
      </w:r>
      <w:r>
        <w:rPr>
          <w:rFonts w:hint="eastAsia" w:ascii="仿宋" w:hAnsi="仿宋" w:eastAsia="仿宋" w:cs="宋体"/>
          <w:color w:val="000000" w:themeColor="text1"/>
          <w:sz w:val="24"/>
          <w:szCs w:val="32"/>
          <w:highlight w:val="none"/>
        </w:rPr>
        <w:t>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w:t>
      </w:r>
      <w:r>
        <w:rPr>
          <w:rFonts w:ascii="仿宋" w:hAnsi="仿宋" w:eastAsia="仿宋" w:cs="宋体"/>
          <w:color w:val="000000" w:themeColor="text1"/>
          <w:sz w:val="24"/>
          <w:szCs w:val="32"/>
          <w:highlight w:val="none"/>
        </w:rPr>
        <w:t>氢气发生器</w:t>
      </w:r>
      <w:r>
        <w:rPr>
          <w:rFonts w:hint="eastAsia" w:ascii="仿宋" w:hAnsi="仿宋" w:eastAsia="仿宋" w:cs="宋体"/>
          <w:color w:val="000000" w:themeColor="text1"/>
          <w:sz w:val="24"/>
          <w:szCs w:val="32"/>
          <w:highlight w:val="none"/>
        </w:rPr>
        <w:t>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1.5电源适配器1套；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1.6</w:t>
      </w:r>
      <w:r>
        <w:rPr>
          <w:rFonts w:ascii="仿宋" w:hAnsi="仿宋" w:eastAsia="仿宋" w:cs="宋体"/>
          <w:color w:val="000000" w:themeColor="text1"/>
          <w:sz w:val="24"/>
          <w:szCs w:val="32"/>
          <w:highlight w:val="none"/>
        </w:rPr>
        <w:t>温度可调采样伴热管线</w:t>
      </w:r>
      <w:r>
        <w:rPr>
          <w:rFonts w:hint="eastAsia" w:ascii="仿宋" w:hAnsi="仿宋" w:eastAsia="仿宋" w:cs="宋体"/>
          <w:color w:val="000000" w:themeColor="text1"/>
          <w:sz w:val="24"/>
          <w:szCs w:val="32"/>
          <w:highlight w:val="none"/>
        </w:rPr>
        <w:t>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1.7</w:t>
      </w:r>
      <w:r>
        <w:rPr>
          <w:rFonts w:ascii="仿宋" w:hAnsi="仿宋" w:eastAsia="仿宋" w:cs="宋体"/>
          <w:color w:val="000000" w:themeColor="text1"/>
          <w:sz w:val="24"/>
          <w:szCs w:val="32"/>
          <w:highlight w:val="none"/>
        </w:rPr>
        <w:t>甲烷（10ppm</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160ppm）</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丙烷标气（30ppm</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200ppm</w:t>
      </w:r>
      <w:r>
        <w:rPr>
          <w:rFonts w:hint="eastAsia" w:ascii="仿宋" w:hAnsi="仿宋" w:eastAsia="仿宋" w:cs="宋体"/>
          <w:color w:val="000000" w:themeColor="text1"/>
          <w:sz w:val="24"/>
          <w:szCs w:val="32"/>
          <w:highlight w:val="none"/>
        </w:rPr>
        <w:t>）标气各1套；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1.8</w:t>
      </w:r>
      <w:r>
        <w:rPr>
          <w:rFonts w:ascii="仿宋" w:hAnsi="仿宋" w:eastAsia="仿宋" w:cs="宋体"/>
          <w:color w:val="000000" w:themeColor="text1"/>
          <w:sz w:val="24"/>
          <w:szCs w:val="32"/>
          <w:highlight w:val="none"/>
        </w:rPr>
        <w:t>高纯氮气</w:t>
      </w:r>
      <w:r>
        <w:rPr>
          <w:rFonts w:hint="eastAsia" w:ascii="仿宋" w:hAnsi="仿宋" w:eastAsia="仿宋" w:cs="宋体"/>
          <w:color w:val="000000" w:themeColor="text1"/>
          <w:sz w:val="24"/>
          <w:szCs w:val="32"/>
          <w:highlight w:val="none"/>
        </w:rPr>
        <w:t>1套。</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w:t>
      </w:r>
      <w:r>
        <w:rPr>
          <w:rFonts w:ascii="仿宋" w:hAnsi="仿宋" w:eastAsia="仿宋" w:cs="宋体"/>
          <w:color w:val="000000" w:themeColor="text1"/>
          <w:sz w:val="24"/>
          <w:szCs w:val="32"/>
          <w:highlight w:val="none"/>
        </w:rPr>
        <w:t>监测项目：固定污染源、厂界无组织、环境空气中的总烃、甲烷和非甲烷总烃，分离模块应采用色谱法原理。</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w:t>
      </w:r>
      <w:r>
        <w:rPr>
          <w:rFonts w:ascii="仿宋" w:hAnsi="仿宋" w:eastAsia="仿宋" w:cs="宋体"/>
          <w:color w:val="000000" w:themeColor="text1"/>
          <w:sz w:val="24"/>
          <w:szCs w:val="32"/>
          <w:highlight w:val="none"/>
        </w:rPr>
        <w:t>检测器：FID检测器，具有火焰温度判断和熄火保护功能，能实时监测火焰状态，当检测到火焰熄灭故障状态后发出报警并一键自动点火。</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w:t>
      </w:r>
      <w:r>
        <w:rPr>
          <w:rFonts w:ascii="仿宋" w:hAnsi="仿宋" w:eastAsia="仿宋" w:cs="宋体"/>
          <w:color w:val="000000" w:themeColor="text1"/>
          <w:sz w:val="24"/>
          <w:szCs w:val="32"/>
          <w:highlight w:val="none"/>
        </w:rPr>
        <w:t>高集成度：色谱分析模块、FID检测器、电池模块、氢气瓶、载气瓶、标气瓶全部集成在一台分析仪。电池模块、氢气瓶、载气瓶、标气瓶应支持无工具快速拆卸。（提供检测报告</w:t>
      </w:r>
      <w:r>
        <w:rPr>
          <w:rFonts w:hint="eastAsia" w:ascii="仿宋" w:hAnsi="仿宋" w:eastAsia="仿宋" w:cs="宋体"/>
          <w:color w:val="000000" w:themeColor="text1"/>
          <w:sz w:val="24"/>
          <w:szCs w:val="32"/>
          <w:highlight w:val="none"/>
        </w:rPr>
        <w:t>证明</w:t>
      </w:r>
      <w:r>
        <w:rPr>
          <w:rFonts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w:t>
      </w:r>
      <w:r>
        <w:rPr>
          <w:rFonts w:ascii="仿宋" w:hAnsi="仿宋" w:eastAsia="仿宋" w:cs="宋体"/>
          <w:color w:val="000000" w:themeColor="text1"/>
          <w:sz w:val="24"/>
          <w:szCs w:val="32"/>
          <w:highlight w:val="none"/>
        </w:rPr>
        <w:t>全程高温伴热：样品采集部件及流路应具备全程加热和保温功能，加热温度不低于120℃，实际温度值可在仪器中显示。</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w:t>
      </w:r>
      <w:r>
        <w:rPr>
          <w:rFonts w:ascii="仿宋" w:hAnsi="仿宋" w:eastAsia="仿宋" w:cs="宋体"/>
          <w:color w:val="000000" w:themeColor="text1"/>
          <w:sz w:val="24"/>
          <w:szCs w:val="32"/>
          <w:highlight w:val="none"/>
        </w:rPr>
        <w:t>样品采集部件应具备颗粒物过滤功能，采样设备前端或后端具备便于更换或清洗的颗粒物过滤器，过滤器应至少能过滤5μm粒径的颗粒物，在气体样品进入分析仪之前应设置精细过滤器；过滤器滤材的材质应不吸附并不与气体污染物发生反应，过滤器应至少能过滤（0.5~1）μm粒径的颗粒物。</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w:t>
      </w:r>
      <w:r>
        <w:rPr>
          <w:rFonts w:ascii="仿宋" w:hAnsi="仿宋" w:eastAsia="仿宋" w:cs="宋体"/>
          <w:color w:val="000000" w:themeColor="text1"/>
          <w:sz w:val="24"/>
          <w:szCs w:val="32"/>
          <w:highlight w:val="none"/>
        </w:rPr>
        <w:t>样品采集部件应可搭载专门设计的除液态水装置，可除去液态水。（提供技术证明材料）阀箱、色谱柱箱独立控温，最高不小于120℃，控温精度≤±0.2℃。</w:t>
      </w:r>
    </w:p>
    <w:p>
      <w:pPr>
        <w:spacing w:line="360" w:lineRule="auto"/>
        <w:ind w:firstLine="200"/>
        <w:rPr>
          <w:rFonts w:ascii="仿宋" w:hAnsi="仿宋" w:eastAsia="仿宋" w:cs="宋体"/>
          <w:color w:val="000000" w:themeColor="text1"/>
          <w:sz w:val="24"/>
          <w:szCs w:val="32"/>
          <w:highlight w:val="none"/>
        </w:rPr>
      </w:pPr>
      <w:bookmarkStart w:id="145" w:name="_Hlk135664144"/>
      <w:r>
        <w:rPr>
          <w:rFonts w:hint="eastAsia" w:ascii="仿宋" w:hAnsi="仿宋" w:eastAsia="仿宋" w:cs="宋体"/>
          <w:color w:val="000000" w:themeColor="text1"/>
          <w:sz w:val="24"/>
          <w:szCs w:val="32"/>
          <w:highlight w:val="none"/>
        </w:rPr>
        <w:t>2.7</w:t>
      </w:r>
      <w:r>
        <w:rPr>
          <w:rFonts w:ascii="仿宋" w:hAnsi="仿宋" w:eastAsia="仿宋" w:cs="宋体"/>
          <w:color w:val="000000" w:themeColor="text1"/>
          <w:sz w:val="24"/>
          <w:szCs w:val="32"/>
          <w:highlight w:val="none"/>
        </w:rPr>
        <w:t>供气要求：内置可充放自密封高压气瓶（包括载气、氢气和标气），内置气瓶体积不超过300mL，耐压不小于2000psi，充气时间小于5s，可重复灌充，可无工具拆卸，气瓶自带压力表，可随时查看剩余压力。</w:t>
      </w:r>
      <w:bookmarkEnd w:id="145"/>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w:t>
      </w:r>
      <w:r>
        <w:rPr>
          <w:rFonts w:ascii="仿宋" w:hAnsi="仿宋" w:eastAsia="仿宋" w:cs="宋体"/>
          <w:color w:val="000000" w:themeColor="text1"/>
          <w:sz w:val="24"/>
          <w:szCs w:val="32"/>
          <w:highlight w:val="none"/>
        </w:rPr>
        <w:t>氢气和载气高压气瓶正常运行的连续工作时间不小于3小时，标准气体高压气瓶正常运行的连续工作时间不小于1小时。</w:t>
      </w:r>
    </w:p>
    <w:p>
      <w:pPr>
        <w:spacing w:line="360" w:lineRule="auto"/>
        <w:ind w:firstLine="200"/>
        <w:rPr>
          <w:rFonts w:ascii="仿宋" w:hAnsi="仿宋" w:eastAsia="仿宋" w:cs="宋体"/>
          <w:color w:val="000000" w:themeColor="text1"/>
          <w:sz w:val="24"/>
          <w:szCs w:val="32"/>
          <w:highlight w:val="none"/>
        </w:rPr>
      </w:pPr>
      <w:bookmarkStart w:id="146" w:name="_Hlk135664225"/>
      <w:r>
        <w:rPr>
          <w:rFonts w:hint="eastAsia" w:ascii="仿宋" w:hAnsi="仿宋" w:eastAsia="仿宋" w:cs="宋体"/>
          <w:color w:val="000000" w:themeColor="text1"/>
          <w:sz w:val="24"/>
          <w:szCs w:val="32"/>
          <w:highlight w:val="none"/>
        </w:rPr>
        <w:t>★2.9</w:t>
      </w:r>
      <w:r>
        <w:rPr>
          <w:rFonts w:ascii="仿宋" w:hAnsi="仿宋" w:eastAsia="仿宋" w:cs="宋体"/>
          <w:color w:val="000000" w:themeColor="text1"/>
          <w:sz w:val="24"/>
          <w:szCs w:val="32"/>
          <w:highlight w:val="none"/>
        </w:rPr>
        <w:t>供气方式：仪器应可采用内置储氢合金和内置钢瓶两种方式供氢。（提供检测报告</w:t>
      </w:r>
      <w:r>
        <w:rPr>
          <w:rFonts w:hint="eastAsia" w:ascii="仿宋" w:hAnsi="仿宋" w:eastAsia="仿宋" w:cs="宋体"/>
          <w:color w:val="000000" w:themeColor="text1"/>
          <w:sz w:val="24"/>
          <w:szCs w:val="32"/>
          <w:highlight w:val="none"/>
        </w:rPr>
        <w:t>证明</w:t>
      </w:r>
      <w:r>
        <w:rPr>
          <w:rFonts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w:t>
      </w:r>
      <w:r>
        <w:rPr>
          <w:rFonts w:ascii="仿宋" w:hAnsi="仿宋" w:eastAsia="仿宋" w:cs="宋体"/>
          <w:color w:val="000000" w:themeColor="text1"/>
          <w:sz w:val="24"/>
          <w:szCs w:val="32"/>
          <w:highlight w:val="none"/>
        </w:rPr>
        <w:t>充氢方式：储氢合金可使用氢气发生器充氢，氢气发生器采用电解水原理。（提供检测报告</w:t>
      </w:r>
      <w:r>
        <w:rPr>
          <w:rFonts w:hint="eastAsia" w:ascii="仿宋" w:hAnsi="仿宋" w:eastAsia="仿宋" w:cs="宋体"/>
          <w:color w:val="000000" w:themeColor="text1"/>
          <w:sz w:val="24"/>
          <w:szCs w:val="32"/>
          <w:highlight w:val="none"/>
        </w:rPr>
        <w:t>证明</w:t>
      </w:r>
      <w:r>
        <w:rPr>
          <w:rFonts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供电要求：具有直接电池供电和市电供电两种形式。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w:t>
      </w:r>
      <w:r>
        <w:rPr>
          <w:rFonts w:ascii="仿宋" w:hAnsi="仿宋" w:eastAsia="仿宋" w:cs="宋体"/>
          <w:color w:val="000000" w:themeColor="text1"/>
          <w:sz w:val="24"/>
          <w:szCs w:val="32"/>
          <w:highlight w:val="none"/>
        </w:rPr>
        <w:t>电池持续时间不小于4h，电池采用分体底座式设计，可拆卸，标称容量≥18Ah，电池电量可视化，不开机即</w:t>
      </w:r>
      <w:r>
        <w:rPr>
          <w:rFonts w:hint="eastAsia" w:ascii="仿宋" w:hAnsi="仿宋" w:eastAsia="仿宋" w:cs="宋体"/>
          <w:color w:val="000000" w:themeColor="text1"/>
          <w:sz w:val="24"/>
          <w:szCs w:val="32"/>
          <w:highlight w:val="none"/>
        </w:rPr>
        <w:t>可</w:t>
      </w:r>
      <w:r>
        <w:rPr>
          <w:rFonts w:ascii="仿宋" w:hAnsi="仿宋" w:eastAsia="仿宋" w:cs="宋体"/>
          <w:color w:val="000000" w:themeColor="text1"/>
          <w:sz w:val="24"/>
          <w:szCs w:val="32"/>
          <w:highlight w:val="none"/>
        </w:rPr>
        <w:t>查看电池电量。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w:t>
      </w:r>
      <w:r>
        <w:rPr>
          <w:rFonts w:ascii="仿宋" w:hAnsi="仿宋" w:eastAsia="仿宋" w:cs="宋体"/>
          <w:color w:val="000000" w:themeColor="text1"/>
          <w:sz w:val="24"/>
          <w:szCs w:val="32"/>
          <w:highlight w:val="none"/>
        </w:rPr>
        <w:t>质控要求：内置不少于5条单点校准曲线和多点校准曲线，校准曲线可在仪器运行时进行切换。</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w:t>
      </w:r>
      <w:r>
        <w:rPr>
          <w:rFonts w:ascii="仿宋" w:hAnsi="仿宋" w:eastAsia="仿宋" w:cs="宋体"/>
          <w:color w:val="000000" w:themeColor="text1"/>
          <w:sz w:val="24"/>
          <w:szCs w:val="32"/>
          <w:highlight w:val="none"/>
        </w:rPr>
        <w:t>仪器具有预抽和反吹功能，采用定量环定量。（提供检测报告</w:t>
      </w:r>
      <w:r>
        <w:rPr>
          <w:rFonts w:hint="eastAsia" w:ascii="仿宋" w:hAnsi="仿宋" w:eastAsia="仿宋" w:cs="宋体"/>
          <w:color w:val="000000" w:themeColor="text1"/>
          <w:sz w:val="24"/>
          <w:szCs w:val="32"/>
          <w:highlight w:val="none"/>
        </w:rPr>
        <w:t>证明</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2.14</w:t>
      </w:r>
      <w:r>
        <w:rPr>
          <w:rFonts w:ascii="仿宋" w:hAnsi="仿宋" w:eastAsia="仿宋" w:cs="宋体"/>
          <w:color w:val="000000" w:themeColor="text1"/>
          <w:sz w:val="24"/>
          <w:szCs w:val="32"/>
          <w:highlight w:val="none"/>
        </w:rPr>
        <w:t>主机分析软件要求：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2.14.1</w:t>
      </w:r>
      <w:r>
        <w:rPr>
          <w:rFonts w:ascii="仿宋" w:hAnsi="仿宋" w:eastAsia="仿宋" w:cs="宋体"/>
          <w:color w:val="000000" w:themeColor="text1"/>
          <w:sz w:val="24"/>
          <w:szCs w:val="32"/>
          <w:highlight w:val="none"/>
        </w:rPr>
        <w:t>主机采用内置不可拆卸彩色触控大屏；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2.14.2</w:t>
      </w:r>
      <w:r>
        <w:rPr>
          <w:rFonts w:ascii="仿宋" w:hAnsi="仿宋" w:eastAsia="仿宋" w:cs="宋体"/>
          <w:color w:val="000000" w:themeColor="text1"/>
          <w:sz w:val="24"/>
          <w:szCs w:val="32"/>
          <w:highlight w:val="none"/>
        </w:rPr>
        <w:t>软件全中文数据采集、记录和处理控制界面，具有实时浓度显示、方法选择、参数监控、校准曲线建立、历史数据和谱图查询、峰窗口设置等功能；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2.14.3</w:t>
      </w:r>
      <w:r>
        <w:rPr>
          <w:rFonts w:ascii="仿宋" w:hAnsi="仿宋" w:eastAsia="仿宋" w:cs="宋体"/>
          <w:color w:val="000000" w:themeColor="text1"/>
          <w:sz w:val="24"/>
          <w:szCs w:val="32"/>
          <w:highlight w:val="none"/>
        </w:rPr>
        <w:t>软件应能够显示实时数据和实时谱图，需具备查询至少30天历史数据和谱图的功能，并能以报表或报告形式输出；</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2.14.4</w:t>
      </w:r>
      <w:r>
        <w:rPr>
          <w:rFonts w:ascii="仿宋" w:hAnsi="仿宋" w:eastAsia="仿宋" w:cs="宋体"/>
          <w:color w:val="000000" w:themeColor="text1"/>
          <w:sz w:val="24"/>
          <w:szCs w:val="32"/>
          <w:highlight w:val="none"/>
        </w:rPr>
        <w:t>谱图能显示总烃和甲烷两个峰，满足HJ 38和HJ 604标准要求；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2.14.5</w:t>
      </w:r>
      <w:r>
        <w:rPr>
          <w:rFonts w:ascii="仿宋" w:hAnsi="仿宋" w:eastAsia="仿宋" w:cs="宋体"/>
          <w:color w:val="000000" w:themeColor="text1"/>
          <w:sz w:val="24"/>
          <w:szCs w:val="32"/>
          <w:highlight w:val="none"/>
        </w:rPr>
        <w:t>仪器断电故障后，应能自动保存数据；恢复供电后系统可自动启动，恢复运行状态并正常开始工作。</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w:t>
      </w:r>
      <w:r>
        <w:rPr>
          <w:rFonts w:ascii="仿宋" w:hAnsi="仿宋" w:eastAsia="仿宋" w:cs="宋体"/>
          <w:color w:val="000000" w:themeColor="text1"/>
          <w:sz w:val="24"/>
          <w:szCs w:val="32"/>
          <w:highlight w:val="none"/>
        </w:rPr>
        <w:t>整机一体化设计：甲烷测试模块和总烃测试模块采用一体化设计，集成于同一主机箱内，减少分体带来的携带和操作不便。</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w:t>
      </w:r>
      <w:r>
        <w:rPr>
          <w:rFonts w:ascii="仿宋" w:hAnsi="仿宋" w:eastAsia="仿宋" w:cs="宋体"/>
          <w:color w:val="000000" w:themeColor="text1"/>
          <w:sz w:val="24"/>
          <w:szCs w:val="32"/>
          <w:highlight w:val="none"/>
        </w:rPr>
        <w:t>现场操作便捷性：可现场无工具进行仪器电池、各种气瓶和伴热管的安装与替换，内置标气瓶，现场校准无需外置标气瓶。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2.17</w:t>
      </w:r>
      <w:r>
        <w:rPr>
          <w:rFonts w:ascii="仿宋" w:hAnsi="仿宋" w:eastAsia="仿宋" w:cs="宋体"/>
          <w:color w:val="000000" w:themeColor="text1"/>
          <w:sz w:val="24"/>
          <w:szCs w:val="32"/>
          <w:highlight w:val="none"/>
        </w:rPr>
        <w:t>数据传输功能：主机测试数据可以通过无线WI-FI及时把所测结果导出到客户端平台，远程掌握现场工况。</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2.18</w:t>
      </w:r>
      <w:r>
        <w:rPr>
          <w:rFonts w:ascii="仿宋" w:hAnsi="仿宋" w:eastAsia="仿宋" w:cs="宋体"/>
          <w:color w:val="000000" w:themeColor="text1"/>
          <w:sz w:val="24"/>
          <w:szCs w:val="32"/>
          <w:highlight w:val="none"/>
        </w:rPr>
        <w:t>仪器可通过蓝牙或WI-FI连接打印机，实时打印总烃、甲烷、非甲烷总烃浓度数据。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2.19</w:t>
      </w:r>
      <w:r>
        <w:rPr>
          <w:rFonts w:ascii="仿宋" w:hAnsi="仿宋" w:eastAsia="仿宋" w:cs="宋体"/>
          <w:color w:val="000000" w:themeColor="text1"/>
          <w:sz w:val="24"/>
          <w:szCs w:val="32"/>
          <w:highlight w:val="none"/>
        </w:rPr>
        <w:t>仪器应具备多种分析模式：样气分析、标气测试、样气吹扫。</w:t>
      </w:r>
      <w:bookmarkEnd w:id="146"/>
    </w:p>
    <w:p>
      <w:pPr>
        <w:pStyle w:val="62"/>
        <w:rPr>
          <w:rFonts w:ascii="仿宋" w:hAnsi="仿宋" w:eastAsia="仿宋" w:cs="宋体"/>
          <w:color w:val="000000" w:themeColor="text1"/>
          <w:sz w:val="24"/>
          <w:szCs w:val="32"/>
          <w:highlight w:val="none"/>
        </w:rPr>
      </w:pPr>
    </w:p>
    <w:p>
      <w:pPr>
        <w:pStyle w:val="62"/>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非甲烷总烃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 供货时提供仪器校准或检定证书。</w:t>
      </w:r>
    </w:p>
    <w:bookmarkEnd w:id="133"/>
    <w:bookmarkEnd w:id="144"/>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47" w:name="_Toc11893"/>
      <w:r>
        <w:rPr>
          <w:rFonts w:hint="eastAsia" w:ascii="仿宋" w:hAnsi="仿宋" w:eastAsia="仿宋" w:cs="宋体"/>
          <w:color w:val="000000" w:themeColor="text1"/>
          <w:sz w:val="24"/>
          <w:szCs w:val="32"/>
          <w:highlight w:val="none"/>
        </w:rPr>
        <w:t>噪声校准仪</w:t>
      </w:r>
      <w:bookmarkEnd w:id="147"/>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w:t>
      </w:r>
      <w:r>
        <w:rPr>
          <w:rFonts w:hint="eastAsia" w:ascii="仿宋" w:hAnsi="仿宋" w:eastAsia="仿宋" w:cs="宋体"/>
          <w:color w:val="000000" w:themeColor="text1"/>
          <w:sz w:val="24"/>
          <w:szCs w:val="32"/>
          <w:highlight w:val="none"/>
        </w:rPr>
        <w:t>3</w:t>
      </w:r>
      <w:r>
        <w:rPr>
          <w:rFonts w:ascii="仿宋" w:hAnsi="仿宋" w:eastAsia="仿宋" w:cs="宋体"/>
          <w:color w:val="000000" w:themeColor="text1"/>
          <w:sz w:val="24"/>
          <w:szCs w:val="32"/>
          <w:highlight w:val="none"/>
        </w:rPr>
        <w:t>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▲2.1符合标准：GB/T 15173-2010  1级和IEC 60942:2017；</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2.2声压级：114dB及94dB（以2×10-5Pa为参考）；</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2.3声压级精度：±0.25 dB（-10℃~+50℃）；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2.4频率准确度：1000 Hz±1%；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2.5总失真：≤2.5%；</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48" w:name="_Toc7293"/>
      <w:r>
        <w:rPr>
          <w:rFonts w:hint="eastAsia" w:ascii="仿宋" w:hAnsi="仿宋" w:eastAsia="仿宋" w:cs="宋体"/>
          <w:color w:val="000000" w:themeColor="text1"/>
          <w:sz w:val="24"/>
          <w:szCs w:val="32"/>
          <w:highlight w:val="none"/>
        </w:rPr>
        <w:t>智能双路烟气采样器</w:t>
      </w:r>
      <w:bookmarkEnd w:id="148"/>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2.1采样流量：参数范围为(0.2~1.5)L/min，分辨率为0.01L/min，最大允许误差为±2.0%；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2.2计前压力：参数范围为(-30~10)kPa，分辨率为0.01kPa，最大允许误差为±2.0%；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2.3采样时间：参数范围为1min~23h59min，分辨率为1s，最大允许误差为±0.1%；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2.4采样体积：参数范围为（0~9999.99）L，分辨率为0.01L；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2.5电池工作时间：</w:t>
      </w:r>
      <w:r>
        <w:rPr>
          <w:rFonts w:hint="eastAsia" w:ascii="仿宋" w:hAnsi="仿宋" w:eastAsia="仿宋" w:cs="宋体"/>
          <w:color w:val="000000" w:themeColor="text1"/>
          <w:sz w:val="24"/>
          <w:szCs w:val="32"/>
          <w:highlight w:val="none"/>
          <w:u w:val="single"/>
        </w:rPr>
        <w:t>＞</w:t>
      </w:r>
      <w:r>
        <w:rPr>
          <w:rFonts w:hint="eastAsia" w:ascii="仿宋" w:hAnsi="仿宋" w:eastAsia="仿宋" w:cs="宋体"/>
          <w:color w:val="000000" w:themeColor="text1"/>
          <w:sz w:val="24"/>
          <w:szCs w:val="32"/>
          <w:highlight w:val="none"/>
        </w:rPr>
        <w:t>8h；</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3.商务要求:供货时提供仪器或校准证书。</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49" w:name="_Toc23953"/>
      <w:r>
        <w:rPr>
          <w:rFonts w:hint="eastAsia" w:ascii="仿宋" w:hAnsi="仿宋" w:eastAsia="仿宋" w:cs="宋体"/>
          <w:color w:val="000000" w:themeColor="text1"/>
          <w:sz w:val="24"/>
          <w:szCs w:val="32"/>
          <w:highlight w:val="none"/>
        </w:rPr>
        <w:t>便携式水质多参数快速分析仪</w:t>
      </w:r>
      <w:bookmarkEnd w:id="149"/>
    </w:p>
    <w:p>
      <w:pPr>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标配三复合pH电极1个；</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复合电导电极1个；</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溶解氧电极1个；</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氧化还原电位1个</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电极挂架1个；</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硅胶保护套1个；</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便携式手提箱1个；</w:t>
      </w:r>
    </w:p>
    <w:p>
      <w:pPr>
        <w:numPr>
          <w:ilvl w:val="1"/>
          <w:numId w:val="20"/>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校准溶液1套。</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2.1彩色液晶触摸屏，显示清晰；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2.2支持中英文；</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2.3温度单位可选：℃和℉；</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2.4支持开机自诊断、自动关机、断电保护和恢复出厂设置等功能；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2.5支持固件升级功能，允许功能扩展和个性化要求；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2.6支持IP65防护等级；</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3.商务要求：供货时提供仪器校准或检定证书。</w:t>
      </w:r>
    </w:p>
    <w:p>
      <w:pPr>
        <w:spacing w:line="360" w:lineRule="auto"/>
        <w:ind w:firstLine="200"/>
        <w:rPr>
          <w:rFonts w:ascii="仿宋" w:hAnsi="仿宋" w:eastAsia="仿宋" w:cs="宋体"/>
          <w:color w:val="000000" w:themeColor="text1"/>
          <w:sz w:val="24"/>
          <w:szCs w:val="32"/>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50" w:name="_Toc4195"/>
      <w:r>
        <w:rPr>
          <w:rFonts w:hint="eastAsia" w:ascii="仿宋" w:hAnsi="仿宋" w:eastAsia="仿宋" w:cs="宋体"/>
          <w:color w:val="000000" w:themeColor="text1"/>
          <w:sz w:val="24"/>
          <w:szCs w:val="32"/>
          <w:highlight w:val="none"/>
        </w:rPr>
        <w:t>手持</w:t>
      </w:r>
      <w:bookmarkEnd w:id="150"/>
      <w:r>
        <w:rPr>
          <w:rFonts w:hint="eastAsia" w:ascii="仿宋" w:hAnsi="仿宋" w:eastAsia="仿宋" w:cs="宋体"/>
          <w:color w:val="000000" w:themeColor="text1"/>
          <w:sz w:val="24"/>
          <w:szCs w:val="32"/>
          <w:highlight w:val="none"/>
        </w:rPr>
        <w:t>卫星定位仪</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2.1内存：≥8G；</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2.2支持存储卡：microSD卡；</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2.3卫星系统：北斗；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2.4航点数量：≥2000；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2.5航线(条×点)：≥200×250；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2.6航迹记录(点)：≥9999；</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2.7保存航迹(条X点)：≥200×9999。</w:t>
      </w: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bookmarkStart w:id="151" w:name="_Toc3589"/>
      <w:r>
        <w:rPr>
          <w:rFonts w:hint="eastAsia" w:ascii="仿宋" w:hAnsi="仿宋" w:eastAsia="仿宋" w:cs="宋体"/>
          <w:color w:val="000000" w:themeColor="text1"/>
          <w:sz w:val="24"/>
          <w:szCs w:val="32"/>
          <w:highlight w:val="none"/>
        </w:rPr>
        <w:t>应急工作箱（含数据处理端、便携式数据信息记录仪、执法记录仪、录音笔、手持终端、便携式电源等）</w:t>
      </w:r>
      <w:bookmarkEnd w:id="151"/>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数据处理端3台；</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便携式数据信息记录仪3台；</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执法记录仪3台；</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录音笔3支；</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手持终端3台；</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便携式电源3个；</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手持式叶绿素（蓝绿藻）测定仪1台；</w:t>
      </w:r>
    </w:p>
    <w:p>
      <w:pPr>
        <w:numPr>
          <w:ilvl w:val="1"/>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细菌快速检测仪1台。</w:t>
      </w:r>
    </w:p>
    <w:p>
      <w:pPr>
        <w:spacing w:line="360" w:lineRule="auto"/>
        <w:ind w:firstLine="200"/>
        <w:rPr>
          <w:rFonts w:ascii="仿宋" w:hAnsi="仿宋" w:eastAsia="仿宋" w:cs="宋体"/>
          <w:color w:val="000000" w:themeColor="text1"/>
          <w:sz w:val="24"/>
          <w:szCs w:val="32"/>
          <w:highlight w:val="none"/>
        </w:rPr>
      </w:pPr>
    </w:p>
    <w:p>
      <w:pPr>
        <w:numPr>
          <w:ilvl w:val="0"/>
          <w:numId w:val="21"/>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2.1数据处理端：I5处理器、16G内存容量、集成显卡。</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2.2便携式数据信息记录仪：支持WIFI端口、A4纸张、支持打印。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2.3执法记录仪：待机时长10-24小时、存储扩展≥32GB、分辨率≥2K。</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2.4录音笔手持终端：</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内存容量：≥16GB；</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麦克风：内置麦克风；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录音模式：3072kbps高清无损录音；</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录音距离：≥10米；</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扬声器：内置扬声器；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录音格式：WAV；MP3。</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2.5手持终端：分辨率≥2000*1200，支持HarmonyOS或安卓系统，运行内存≥8GB，屏幕尺寸≥10.1英寸。</w:t>
      </w:r>
    </w:p>
    <w:p>
      <w:pPr>
        <w:spacing w:line="360" w:lineRule="auto"/>
        <w:ind w:firstLine="12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2.6便携式电源：电池容量</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30000mAh、Micro输入、USB多接口数</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52" w:name="_Toc12042"/>
      <w:r>
        <w:rPr>
          <w:rFonts w:hint="eastAsia" w:ascii="仿宋" w:hAnsi="仿宋" w:eastAsia="仿宋" w:cs="宋体"/>
          <w:color w:val="000000" w:themeColor="text1"/>
          <w:sz w:val="24"/>
          <w:szCs w:val="32"/>
          <w:highlight w:val="none"/>
        </w:rPr>
        <w:t>应急器材箱（应急电源、应急灯、激光测距望远镜、高倍望远镜等、便携式气象参数测定仪风速风向气温气压、防爆对讲机等）</w:t>
      </w:r>
      <w:bookmarkEnd w:id="152"/>
    </w:p>
    <w:p>
      <w:pPr>
        <w:spacing w:line="360" w:lineRule="auto"/>
        <w:ind w:left="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应急电源2台；</w:t>
      </w:r>
    </w:p>
    <w:p>
      <w:pPr>
        <w:numPr>
          <w:ilvl w:val="1"/>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应急灯2台；</w:t>
      </w:r>
    </w:p>
    <w:p>
      <w:pPr>
        <w:numPr>
          <w:ilvl w:val="1"/>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激光测距望远镜2台；</w:t>
      </w:r>
    </w:p>
    <w:p>
      <w:pPr>
        <w:numPr>
          <w:ilvl w:val="1"/>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高倍望远镜2台；</w:t>
      </w:r>
    </w:p>
    <w:p>
      <w:pPr>
        <w:numPr>
          <w:ilvl w:val="1"/>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便携式气象参数测定仪2台；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1.5.1主机2台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1.5.2风向标2个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1.5.3三脚架2个</w:t>
      </w:r>
    </w:p>
    <w:p>
      <w:pPr>
        <w:numPr>
          <w:ilvl w:val="1"/>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防爆对讲机2台；</w:t>
      </w:r>
    </w:p>
    <w:p>
      <w:pPr>
        <w:numPr>
          <w:ilvl w:val="1"/>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土壤采样装备1套。</w:t>
      </w:r>
    </w:p>
    <w:p>
      <w:pPr>
        <w:spacing w:line="360" w:lineRule="auto"/>
        <w:ind w:firstLine="200"/>
        <w:rPr>
          <w:rFonts w:ascii="仿宋" w:hAnsi="仿宋" w:eastAsia="仿宋" w:cs="宋体"/>
          <w:color w:val="000000" w:themeColor="text1"/>
          <w:sz w:val="24"/>
          <w:szCs w:val="32"/>
          <w:highlight w:val="none"/>
        </w:rPr>
      </w:pPr>
    </w:p>
    <w:p>
      <w:pPr>
        <w:numPr>
          <w:ilvl w:val="0"/>
          <w:numId w:val="22"/>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2.1应急电源电池容量：500-999Wh；主流功率：500-999W；充电方式：太阳能、AC交流充电(市电)、车充充电；USB接口数：3个；支持电量数字显示。</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2.2应急灯支持强弱光的切换、红蓝彩灯警示；具有USB充电功能；照射灯照射角度可调；亮灯时长7小时左右。</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2.3激光测距望远镜：电子式操控、激光式测量。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2.4高倍望远镜：变倍、双目、中央调焦。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2.5便携式气象参数测定仪：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2.5.1风速：0.6~40.0m/S，分辨率：0.1m/S；</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2.5.2方位：0~360°，分辨率：1°；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2.5.3自动存储间隔：2秒-12小时；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2.5.4存储温度：-30℃~60℃。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2.6防爆对讲机：</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2.6.1使用距离：不低于5公里；</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2.6.2防护等级：IP65；</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2.6.3信道数量：32个；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2.6.4频率范围：430-440MHz；</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2.6.5具有语音播报功能；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2.7土壤采样装备：</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2.7.1</w:t>
      </w:r>
      <w:r>
        <w:rPr>
          <w:rFonts w:ascii="仿宋" w:hAnsi="仿宋" w:eastAsia="仿宋" w:cs="宋体"/>
          <w:color w:val="000000" w:themeColor="text1"/>
          <w:sz w:val="24"/>
          <w:szCs w:val="32"/>
          <w:highlight w:val="none"/>
        </w:rPr>
        <w:t>样品管规格：采样直径5.1cm、一次采样长度25cm(钻头可根据要求定做)</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2.7.2</w:t>
      </w:r>
      <w:r>
        <w:rPr>
          <w:rFonts w:ascii="仿宋" w:hAnsi="仿宋" w:eastAsia="仿宋" w:cs="宋体"/>
          <w:color w:val="000000" w:themeColor="text1"/>
          <w:sz w:val="24"/>
          <w:szCs w:val="32"/>
          <w:highlight w:val="none"/>
        </w:rPr>
        <w:t>采样深度：2米，延长杆插销连接</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ab/>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2.7.3</w:t>
      </w:r>
      <w:r>
        <w:rPr>
          <w:rFonts w:ascii="仿宋" w:hAnsi="仿宋" w:eastAsia="仿宋" w:cs="宋体"/>
          <w:color w:val="000000" w:themeColor="text1"/>
          <w:sz w:val="24"/>
          <w:szCs w:val="32"/>
          <w:highlight w:val="none"/>
        </w:rPr>
        <w:t>发动机形式：风冷单缸二冲程</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2.7.4</w:t>
      </w:r>
      <w:r>
        <w:rPr>
          <w:rFonts w:ascii="仿宋" w:hAnsi="仿宋" w:eastAsia="仿宋" w:cs="宋体"/>
          <w:color w:val="000000" w:themeColor="text1"/>
          <w:sz w:val="24"/>
          <w:szCs w:val="32"/>
          <w:highlight w:val="none"/>
        </w:rPr>
        <w:t>发动机排量：50.2</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2.7.5</w:t>
      </w:r>
      <w:r>
        <w:rPr>
          <w:rFonts w:ascii="仿宋" w:hAnsi="仿宋" w:eastAsia="仿宋" w:cs="宋体"/>
          <w:color w:val="000000" w:themeColor="text1"/>
          <w:sz w:val="24"/>
          <w:szCs w:val="32"/>
          <w:highlight w:val="none"/>
        </w:rPr>
        <w:t>发动机功率：1.9kw/7000r/min</w:t>
      </w:r>
      <w:r>
        <w:rPr>
          <w:rFonts w:hint="eastAsia" w:ascii="仿宋" w:hAnsi="仿宋" w:eastAsia="仿宋" w:cs="宋体"/>
          <w:color w:val="000000" w:themeColor="text1"/>
          <w:sz w:val="24"/>
          <w:szCs w:val="32"/>
          <w:highlight w:val="none"/>
        </w:rPr>
        <w:t>；</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2.7.6</w:t>
      </w:r>
      <w:r>
        <w:rPr>
          <w:rFonts w:ascii="仿宋" w:hAnsi="仿宋" w:eastAsia="仿宋" w:cs="宋体"/>
          <w:color w:val="000000" w:themeColor="text1"/>
          <w:sz w:val="24"/>
          <w:szCs w:val="32"/>
          <w:highlight w:val="none"/>
        </w:rPr>
        <w:t>齿轮箱配置：采用齿轮二级变速，轴承转动</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ab/>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2.7.7</w:t>
      </w:r>
      <w:r>
        <w:rPr>
          <w:rFonts w:ascii="仿宋" w:hAnsi="仿宋" w:eastAsia="仿宋" w:cs="宋体"/>
          <w:color w:val="000000" w:themeColor="text1"/>
          <w:sz w:val="24"/>
          <w:szCs w:val="32"/>
          <w:highlight w:val="none"/>
        </w:rPr>
        <w:t>传动方式：齿轮变速传动</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ab/>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2.7.8</w:t>
      </w:r>
      <w:r>
        <w:rPr>
          <w:rFonts w:ascii="仿宋" w:hAnsi="仿宋" w:eastAsia="仿宋" w:cs="宋体"/>
          <w:color w:val="000000" w:themeColor="text1"/>
          <w:sz w:val="24"/>
          <w:szCs w:val="32"/>
          <w:highlight w:val="none"/>
        </w:rPr>
        <w:t>启动方式：手拉反冲起动</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ab/>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2.7.9</w:t>
      </w:r>
      <w:r>
        <w:rPr>
          <w:rFonts w:ascii="仿宋" w:hAnsi="仿宋" w:eastAsia="仿宋" w:cs="宋体"/>
          <w:color w:val="000000" w:themeColor="text1"/>
          <w:sz w:val="24"/>
          <w:szCs w:val="32"/>
          <w:highlight w:val="none"/>
        </w:rPr>
        <w:t>燃油比：93号汽油与二冲程机油25:1</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ab/>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2.7.10</w:t>
      </w:r>
      <w:r>
        <w:rPr>
          <w:rFonts w:ascii="仿宋" w:hAnsi="仿宋" w:eastAsia="仿宋" w:cs="宋体"/>
          <w:color w:val="000000" w:themeColor="text1"/>
          <w:sz w:val="24"/>
          <w:szCs w:val="32"/>
          <w:highlight w:val="none"/>
        </w:rPr>
        <w:t>燃油箱容积</w:t>
      </w:r>
      <w:r>
        <w:rPr>
          <w:rFonts w:hint="eastAsia" w:ascii="仿宋" w:hAnsi="仿宋" w:eastAsia="仿宋" w:cs="宋体"/>
          <w:color w:val="000000" w:themeColor="text1"/>
          <w:sz w:val="24"/>
          <w:szCs w:val="32"/>
          <w:highlight w:val="none"/>
        </w:rPr>
        <w:t>：</w:t>
      </w:r>
      <w:r>
        <w:rPr>
          <w:rFonts w:hint="eastAsia" w:ascii="宋体" w:hAnsi="宋体" w:cs="宋体"/>
          <w:color w:val="000000" w:themeColor="text1"/>
          <w:sz w:val="22"/>
          <w:szCs w:val="22"/>
          <w:highlight w:val="none"/>
          <w:u w:val="single"/>
        </w:rPr>
        <w:t>&gt;</w:t>
      </w:r>
      <w:r>
        <w:rPr>
          <w:rFonts w:ascii="仿宋" w:hAnsi="仿宋" w:eastAsia="仿宋" w:cs="宋体"/>
          <w:color w:val="000000" w:themeColor="text1"/>
          <w:sz w:val="24"/>
          <w:szCs w:val="32"/>
          <w:highlight w:val="none"/>
        </w:rPr>
        <w:t>1</w:t>
      </w:r>
      <w:r>
        <w:rPr>
          <w:rFonts w:hint="eastAsia" w:ascii="仿宋" w:hAnsi="仿宋" w:eastAsia="仿宋" w:cs="宋体"/>
          <w:color w:val="000000" w:themeColor="text1"/>
          <w:sz w:val="24"/>
          <w:szCs w:val="32"/>
          <w:highlight w:val="none"/>
        </w:rPr>
        <w:t>0</w:t>
      </w:r>
      <w:r>
        <w:rPr>
          <w:rFonts w:ascii="仿宋" w:hAnsi="仿宋" w:eastAsia="仿宋" w:cs="宋体"/>
          <w:color w:val="000000" w:themeColor="text1"/>
          <w:sz w:val="24"/>
          <w:szCs w:val="32"/>
          <w:highlight w:val="none"/>
        </w:rPr>
        <w:t>00ml</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ab/>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53" w:name="_Toc3628"/>
      <w:r>
        <w:rPr>
          <w:rFonts w:hint="eastAsia" w:ascii="仿宋" w:hAnsi="仿宋" w:eastAsia="仿宋" w:cs="宋体"/>
          <w:color w:val="000000" w:themeColor="text1"/>
          <w:sz w:val="24"/>
          <w:szCs w:val="32"/>
          <w:highlight w:val="none"/>
        </w:rPr>
        <w:t>标准化水质应急采样装备箱（含采样器、固定剂箱、冷藏保存箱、样品瓶及必要的辅助器材）</w:t>
      </w:r>
      <w:bookmarkEnd w:id="153"/>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23"/>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特厚304不锈钢采水器2L 2个；</w:t>
      </w:r>
    </w:p>
    <w:p>
      <w:pPr>
        <w:numPr>
          <w:ilvl w:val="1"/>
          <w:numId w:val="23"/>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水质固定剂采样箱2个；</w:t>
      </w:r>
    </w:p>
    <w:p>
      <w:pPr>
        <w:numPr>
          <w:ilvl w:val="1"/>
          <w:numId w:val="23"/>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33升冷藏保存箱2个；</w:t>
      </w:r>
    </w:p>
    <w:p>
      <w:pPr>
        <w:numPr>
          <w:ilvl w:val="1"/>
          <w:numId w:val="23"/>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塑料试剂瓶大口250毫升20个。</w:t>
      </w:r>
    </w:p>
    <w:p>
      <w:pPr>
        <w:spacing w:line="360" w:lineRule="auto"/>
        <w:ind w:firstLine="200"/>
        <w:rPr>
          <w:rFonts w:ascii="仿宋" w:hAnsi="仿宋" w:eastAsia="仿宋" w:cs="宋体"/>
          <w:color w:val="000000" w:themeColor="text1"/>
          <w:sz w:val="24"/>
          <w:szCs w:val="32"/>
          <w:highlight w:val="none"/>
        </w:rPr>
      </w:pPr>
    </w:p>
    <w:p>
      <w:pPr>
        <w:numPr>
          <w:ilvl w:val="0"/>
          <w:numId w:val="23"/>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2.1水样采样器：特厚304不锈钢采水器2L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2.2水质固定剂采样箱：配备基础采样瓶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2.3冷藏保存箱：容积</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30L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2.4样品瓶：塑料试剂瓶大口250mL10个</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54" w:name="_Toc1469"/>
      <w:r>
        <w:rPr>
          <w:rFonts w:hint="eastAsia" w:ascii="仿宋" w:hAnsi="仿宋" w:eastAsia="仿宋" w:cs="宋体"/>
          <w:color w:val="000000" w:themeColor="text1"/>
          <w:sz w:val="24"/>
          <w:szCs w:val="32"/>
          <w:highlight w:val="none"/>
        </w:rPr>
        <w:t>救护装备箱（水上救生设备、急救器材箱、重型防化服等）</w:t>
      </w:r>
      <w:bookmarkEnd w:id="154"/>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1.1水上救生设备3套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单套配置：包装袋x1，防灾手册x1，防汛救援漂浮绳x1，保温杯x1，指挥棒x1，雨衣套装x1，雨鞋x1，急救包x1，探照灯x1，兵工铲x1，一次性警戒线x2，暖宝宝x5，救生衣x1，毛巾x1，手机防水袋x1，点胶手套x1，口哨x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1.2急救器材箱3套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单套配置：创口贴x35片，卫生湿巾x2包，碘伏棉棒x20支，酒精棉棒x20支，碘伏消毒片x2片，酒精消毒片x2片，6x400弹性绷带x2卷，8x400弹性绷带x1卷，三角巾x2袋，60ml乙醇消毒液x1瓶，60ml碘伏消毒液x1，棉签x50支，无纺布胶带x1卷，辅料镊x1把，止血带x1卷，口对口呼吸膜x1袋，退热贴x1袋，医用棉球x1袋，安全扣针x5支，圆头剪刀x1把，口罩x10个，口哨x1支，风油精x1瓶，清凉油x1盒，医用垃圾袋x2袋（9寸铝合金箱x1个、肩带x1根、干燥剂x1袋、配置清单x1张、合格证x1张、钥匙x2）。</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1.3重型防化服3套：全封闭重型。</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55" w:name="_Toc16916"/>
      <w:r>
        <w:rPr>
          <w:rFonts w:hint="eastAsia" w:ascii="仿宋" w:hAnsi="仿宋" w:eastAsia="仿宋" w:cs="宋体"/>
          <w:color w:val="000000" w:themeColor="text1"/>
          <w:sz w:val="24"/>
          <w:szCs w:val="32"/>
          <w:highlight w:val="none"/>
        </w:rPr>
        <w:t>气相分子光谱仪</w:t>
      </w:r>
      <w:bookmarkEnd w:id="155"/>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24"/>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主机标准套，含51位自动进样盘，流动注射进样系统、自动除水系统、在线加热系统、内置氨氮在线氧化、电子压力报警系统各1套；</w:t>
      </w:r>
    </w:p>
    <w:p>
      <w:pPr>
        <w:numPr>
          <w:ilvl w:val="1"/>
          <w:numId w:val="24"/>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总氮在线消解模块系统1套；</w:t>
      </w:r>
    </w:p>
    <w:p>
      <w:pPr>
        <w:numPr>
          <w:ilvl w:val="1"/>
          <w:numId w:val="24"/>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外接管路1套，含载气减压阀及管路接口；</w:t>
      </w:r>
    </w:p>
    <w:p>
      <w:pPr>
        <w:numPr>
          <w:ilvl w:val="1"/>
          <w:numId w:val="24"/>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壹年耗材配件，含进样软管，尾气吸收装置</w:t>
      </w:r>
      <w:r>
        <w:rPr>
          <w:rFonts w:hint="eastAsia" w:ascii="仿宋" w:hAnsi="仿宋" w:eastAsia="仿宋" w:cs="宋体"/>
          <w:color w:val="000000" w:themeColor="text1"/>
          <w:sz w:val="24"/>
          <w:szCs w:val="32"/>
          <w:highlight w:val="none"/>
        </w:rPr>
        <w:t>1套</w:t>
      </w:r>
      <w:r>
        <w:rPr>
          <w:rFonts w:ascii="仿宋" w:hAnsi="仿宋" w:eastAsia="仿宋" w:cs="宋体"/>
          <w:color w:val="000000" w:themeColor="text1"/>
          <w:sz w:val="24"/>
          <w:szCs w:val="32"/>
          <w:highlight w:val="none"/>
        </w:rPr>
        <w:t>；</w:t>
      </w:r>
    </w:p>
    <w:p>
      <w:pPr>
        <w:numPr>
          <w:ilvl w:val="1"/>
          <w:numId w:val="24"/>
        </w:num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品牌终端数据处理器1套、软件系统1套（支持工作站正常运转）；</w:t>
      </w:r>
    </w:p>
    <w:p>
      <w:pPr>
        <w:numPr>
          <w:ilvl w:val="0"/>
          <w:numId w:val="24"/>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2.1工作条件：电源电压 单相220V±10%，环境温度 15～35℃，相对湿度 20～80%；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2.2光学系统：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2.2.1波长：自动调节波长，含微调点位功能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2.2.2光源满足H/T 195～H/T 200六项气相分子吸收光谱法标准对测定波长的要求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2.2.3检测器：配备多波长同时测定的高灵敏度CCD检测器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2.3配备除水系统，分析全过程中完全不使用任何干燥剂；</w:t>
      </w:r>
    </w:p>
    <w:p>
      <w:pPr>
        <w:spacing w:line="360" w:lineRule="auto"/>
        <w:ind w:firstLine="200"/>
        <w:rPr>
          <w:rFonts w:ascii="仿宋" w:hAnsi="仿宋" w:eastAsia="仿宋" w:cs="宋体"/>
          <w:color w:val="000000" w:themeColor="text1"/>
          <w:sz w:val="24"/>
          <w:szCs w:val="32"/>
          <w:highlight w:val="none"/>
        </w:rPr>
      </w:pPr>
      <w:bookmarkStart w:id="156" w:name="_Hlk163054271"/>
      <w:r>
        <w:rPr>
          <w:rFonts w:hint="eastAsia" w:ascii="仿宋" w:hAnsi="仿宋" w:eastAsia="仿宋" w:cs="宋体"/>
          <w:color w:val="000000" w:themeColor="text1"/>
          <w:sz w:val="24"/>
          <w:szCs w:val="32"/>
          <w:highlight w:val="none"/>
        </w:rPr>
        <w:t>★2.4气液分离采用长管路连续多次萃取方式，确保待测成份能从液相中充分分离；</w:t>
      </w:r>
    </w:p>
    <w:bookmarkEnd w:id="156"/>
    <w:p>
      <w:pPr>
        <w:spacing w:line="360" w:lineRule="auto"/>
        <w:ind w:firstLine="200"/>
        <w:rPr>
          <w:rFonts w:ascii="仿宋" w:hAnsi="仿宋" w:eastAsia="仿宋" w:cs="宋体"/>
          <w:color w:val="000000" w:themeColor="text1"/>
          <w:sz w:val="24"/>
          <w:szCs w:val="32"/>
          <w:highlight w:val="none"/>
        </w:rPr>
      </w:pPr>
      <w:bookmarkStart w:id="157" w:name="_Hlk163054276"/>
      <w:r>
        <w:rPr>
          <w:rFonts w:hint="eastAsia" w:ascii="仿宋" w:hAnsi="仿宋" w:eastAsia="仿宋" w:cs="宋体"/>
          <w:color w:val="000000" w:themeColor="text1"/>
          <w:sz w:val="24"/>
          <w:szCs w:val="32"/>
          <w:highlight w:val="none"/>
        </w:rPr>
        <w:t>★2.5所有项目测定时，实时同时记录不少于5个不同波长吸光度变化情况，形成多个波长的信号图谱曲线，方便用户判断样品数据是否受干扰；所有项目在测试过程同时，自动生成待测气体的任一时间点紫外区全波段扫描图谱（波长范围190nm—390nm的），方便使用者判断样品分析是否存在干扰；</w:t>
      </w:r>
    </w:p>
    <w:bookmarkEnd w:id="157"/>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2.6载气及控制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2.6.1载气：以氮气或空气为载气，配备减压阀或对应管路接口；</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●2.6.2配备电子压力报警系统：若载气系统故障，自动蜂鸣报警并自动关闭进样及加热系统，同时锁定软件并自动保存已测定数据。（提供技术证明）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2.7自动进样器：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●2.7.1样品位数不少于51位；51位*50mL，样品管容积不小于50mL；（提供技术证明）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2.7.2进样器上的样品盘可方便拆卸清洗更换；</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2.7.3使用耐腐蚀的PTFE(进样管)和不锈钢（进样针）等材料；</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2.7.4样品位置可自由随机编号，无需顺序进行；</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2.7.5吹扫均质系统（样品搅拌装置），自动进样器取样前，自动通入气体，将样品搅拌均匀，自动去除VOC等干扰，使容易分层的样品均质化；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2.8氨氮快速氧化装置：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2.8.1配备氨氮快速氧化装置，测定氨氮项目时，仪器在线自动把氨氮氧化为亚硝酸盐氮；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2.8.2氨氮快速氧化装置的加热方式为将氨氮样品溶液预加热到温度60℃～70℃，不加热次</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溴酸盐氧化剂；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2.8.3在预热后氨氮样品溶液中迅速加入次溴酸盐氧化剂，氧化剂在加入瞬间将溶液中的氨氮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氧化为亚硝酸盐氮；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2.9.1软件系统具有自检功能:测定前仪器自动检测通讯口、波长、狭缝及灯位置等。软件具有反控功能，由软件直接设置仪器测试波长，泵转数，进样时间等测试条件；</w:t>
      </w:r>
    </w:p>
    <w:p>
      <w:pPr>
        <w:spacing w:line="360" w:lineRule="auto"/>
        <w:ind w:firstLine="200"/>
        <w:rPr>
          <w:rFonts w:ascii="仿宋" w:hAnsi="仿宋" w:eastAsia="仿宋" w:cs="宋体"/>
          <w:color w:val="000000" w:themeColor="text1"/>
          <w:sz w:val="24"/>
          <w:szCs w:val="32"/>
          <w:highlight w:val="none"/>
        </w:rPr>
      </w:pPr>
      <w:bookmarkStart w:id="158" w:name="_Hlk163054286"/>
      <w:r>
        <w:rPr>
          <w:rFonts w:hint="eastAsia" w:ascii="仿宋" w:hAnsi="仿宋" w:eastAsia="仿宋" w:cs="宋体"/>
          <w:color w:val="000000" w:themeColor="text1"/>
          <w:sz w:val="24"/>
          <w:szCs w:val="32"/>
          <w:highlight w:val="none"/>
        </w:rPr>
        <w:t>2.10为满足环保要求，节约试剂，减少二次污染产生，，要求在符合上述灵敏度检出限时，氨氮测定单个样品的进样量不大于16mL；总氮测定单个样品的进样量不大于12mL；硫化物测定单个样品的进样量不大于8mL；</w:t>
      </w:r>
      <w:r>
        <w:rPr>
          <w:rFonts w:ascii="仿宋" w:hAnsi="仿宋" w:eastAsia="仿宋" w:cs="宋体"/>
          <w:color w:val="000000" w:themeColor="text1"/>
          <w:sz w:val="24"/>
          <w:szCs w:val="32"/>
          <w:highlight w:val="none"/>
        </w:rPr>
        <w:t xml:space="preserve"> </w:t>
      </w:r>
    </w:p>
    <w:bookmarkEnd w:id="158"/>
    <w:p>
      <w:pPr>
        <w:spacing w:line="360" w:lineRule="auto"/>
        <w:ind w:firstLine="200"/>
        <w:rPr>
          <w:rFonts w:ascii="仿宋" w:hAnsi="仿宋" w:eastAsia="仿宋" w:cs="宋体"/>
          <w:color w:val="000000" w:themeColor="text1"/>
          <w:sz w:val="24"/>
          <w:szCs w:val="32"/>
          <w:highlight w:val="none"/>
        </w:rPr>
      </w:pPr>
      <w:bookmarkStart w:id="159" w:name="_Hlk163054291"/>
      <w:r>
        <w:rPr>
          <w:rFonts w:hint="eastAsia" w:ascii="仿宋" w:hAnsi="仿宋" w:eastAsia="仿宋" w:cs="宋体"/>
          <w:color w:val="000000" w:themeColor="text1"/>
          <w:sz w:val="24"/>
          <w:szCs w:val="32"/>
          <w:highlight w:val="none"/>
        </w:rPr>
        <w:t>●2.11自动在线稀释功能：可对高浓度样品自动选择合适的稀释倍数，必须自动配置稀释比达到60倍数的标准曲线，相关性系数&gt;0.9996；最大稀释倍数不小于60，稀释准确度：0~20倍时，稀释误差小于3%；20倍以上稀释误差小于5%(60倍自动稀释比例作为验收必须指标，要求稀释误差小于5%)；（提供技术证明材料）</w:t>
      </w:r>
    </w:p>
    <w:bookmarkEnd w:id="159"/>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2.12总氮在线消解模块: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2.12.1主机集成紫外在线消解模块，无需另配独立的紫外在线消解模块，占用实验室空间；</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2.12.2消解温度：常温：紫外灯能耗（智能控制功耗）：300～700W，单个样品测量含消解时间在内小于5min；</w:t>
      </w:r>
    </w:p>
    <w:p>
      <w:pPr>
        <w:pStyle w:val="62"/>
        <w:rPr>
          <w:color w:val="000000" w:themeColor="text1"/>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3.2供货时提供仪器校准或检定证书。</w:t>
      </w:r>
    </w:p>
    <w:p>
      <w:pPr>
        <w:spacing w:line="360" w:lineRule="auto"/>
        <w:ind w:firstLine="200"/>
        <w:rPr>
          <w:rFonts w:ascii="仿宋" w:hAnsi="仿宋" w:eastAsia="仿宋" w:cs="宋体"/>
          <w:color w:val="000000" w:themeColor="text1"/>
          <w:sz w:val="24"/>
          <w:szCs w:val="32"/>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0" w:name="_Toc17066"/>
      <w:r>
        <w:rPr>
          <w:rFonts w:hint="eastAsia" w:ascii="仿宋" w:hAnsi="仿宋" w:eastAsia="仿宋" w:cs="宋体"/>
          <w:color w:val="000000" w:themeColor="text1"/>
          <w:sz w:val="24"/>
          <w:szCs w:val="32"/>
          <w:highlight w:val="none"/>
        </w:rPr>
        <w:t>便携式测油仪</w:t>
      </w:r>
      <w:bookmarkEnd w:id="160"/>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1.1全自动便携式紫外测油仪主机1套；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1.2采样箱1套。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★2.1设备须一体化设计（采样瓶、试剂瓶、废液瓶、萃取装置和分析装置均集成在一个仪器箱内），可保障仪器和光学系统的稳定性；</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2.2测量项目：自动测量水中石油类，自动过硅酸镁柱。</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★2.3一键式全自动操作，应具有样品体积自动测量、加试剂、萃取、分离、转移、测量全部自动完成功能。</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2.4分离方式：萃取、分离管、隔水膜三次分离。</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2.5用棕色广口瓶现场采样，直接上机萃取，自动测量、读取水样体积。</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2.6操作方式：嵌入式工业触屏终端数据处理器。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2.7远程监控：可用手机远程操作仪器，监控、调取数据。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2.8采样瓶：棕色广口瓶，样品不转移。</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2.9萃取器：棕色广口瓶直接萃取。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2.10水样体积：0-1000毫升（任意）。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2.11体积量取：为避免交叉污染，须采用非接触式体积量取方式，不可使用探针式液位测量等其他接触式测量方式，误差小于2%。</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2.12体积输入：仪器自动读取（可适用于任何采样瓶）。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2.13剩余电量：独立显示剩余电量。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2.14校正方法：标准曲线。</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2.15线性：大于0.9999。</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2.16测量范围：0-60mg/L（超量程可自动稀释）。</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2.17分辨率：0.001mg/L。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2.18检限：0.005mg/L。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2.19重现性：RSD小于2%。</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2.20准确度：±2%。</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2.21测量波长：225nm。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2.22测量时间：小于8分钟一个水样。</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●2.23应具有抗振性能、不低于I</w:t>
      </w:r>
      <w:r>
        <w:rPr>
          <w:rFonts w:ascii="仿宋" w:hAnsi="仿宋" w:eastAsia="仿宋" w:cs="宋体"/>
          <w:color w:val="000000" w:themeColor="text1"/>
          <w:sz w:val="24"/>
          <w:szCs w:val="32"/>
          <w:highlight w:val="none"/>
        </w:rPr>
        <w:t>P67</w:t>
      </w:r>
      <w:r>
        <w:rPr>
          <w:rFonts w:hint="eastAsia" w:ascii="仿宋" w:hAnsi="仿宋" w:eastAsia="仿宋" w:cs="宋体"/>
          <w:color w:val="000000" w:themeColor="text1"/>
          <w:sz w:val="24"/>
          <w:szCs w:val="32"/>
          <w:highlight w:val="none"/>
        </w:rPr>
        <w:t>的防水性能，外箱一体式注塑成型无缝隙及开口（提供抗振、防水检测报告证明）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●2.24应配置有触摸屏的手操器，手操器与仪器无需通过线缆连接，避免线缆影响实验操作；（提供实物图证明）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★2.25箱体为手提式外箱，无需额外的配件箱，单人即可轻松拿取，无需滚轮拖拉移动；（提供实物图证明）</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●2.26设备应具备废液自动分离功能，废正己烷试剂和废水样分别自动进入不同废液瓶，两者完全分离（提供实物图证明）；</w:t>
      </w:r>
    </w:p>
    <w:p>
      <w:pPr>
        <w:pStyle w:val="62"/>
        <w:rPr>
          <w:color w:val="000000" w:themeColor="text1"/>
          <w:highlight w:val="none"/>
        </w:rPr>
      </w:pPr>
    </w:p>
    <w:p>
      <w:pPr>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3.商务要求</w:t>
      </w:r>
    </w:p>
    <w:p>
      <w:pPr>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3.1为保证仪器性能满足甲方CMA技术评审需求，仪器安装后，中标单位需使用该仪器对甲方指定的检测项目按照《生态环境监测机构资质认定方法验证通用技术指南》对仪器性能现场测试，并提供测试报告，测试过程中的所需试剂耗材、标样、甲方没有且需要的玻璃器皿等由中标单位负责提供（易制毒、易制爆试剂除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3.2供货时提供仪器校准或检定证书。</w:t>
      </w:r>
    </w:p>
    <w:p>
      <w:pPr>
        <w:spacing w:line="360" w:lineRule="auto"/>
        <w:ind w:firstLine="200"/>
        <w:rPr>
          <w:rFonts w:ascii="仿宋" w:hAnsi="仿宋" w:eastAsia="仿宋" w:cs="宋体"/>
          <w:color w:val="000000" w:themeColor="text1"/>
          <w:sz w:val="24"/>
          <w:szCs w:val="32"/>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1" w:name="_Toc31554"/>
      <w:r>
        <w:rPr>
          <w:rFonts w:hint="eastAsia" w:ascii="仿宋" w:hAnsi="仿宋" w:eastAsia="仿宋" w:cs="宋体"/>
          <w:color w:val="000000" w:themeColor="text1"/>
          <w:sz w:val="24"/>
          <w:szCs w:val="32"/>
          <w:highlight w:val="none"/>
        </w:rPr>
        <w:t>便携式多参数分光光度计氰化物、六价铬、余氯。</w:t>
      </w:r>
      <w:bookmarkEnd w:id="161"/>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2.1新型光路结构；</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2.2准平行冷光源；</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2.3仪器全塑机壳，抗氧化、耐酸碱，核心部件密封防水；</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 10mL比色瓶；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2.5支持多参数检测;</w:t>
      </w:r>
      <w:r>
        <w:rPr>
          <w:rFonts w:ascii="仿宋" w:hAnsi="仿宋" w:eastAsia="仿宋" w:cs="宋体"/>
          <w:color w:val="000000" w:themeColor="text1"/>
          <w:sz w:val="24"/>
          <w:szCs w:val="32"/>
          <w:highlight w:val="none"/>
        </w:rPr>
        <w:t xml:space="preserve"> </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2.6可保存5000条检测结果；</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2.7防水接口设计，与安卓手机数据线通用；</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2.8检测结果手动保存；</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2.9内置</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2500mAh鲤电池，也可通过数据线连接电源充电。</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▲2.10可测项目：氰化物、六价铬、余氯</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2" w:name="_Toc20704"/>
      <w:r>
        <w:rPr>
          <w:rFonts w:hint="eastAsia" w:ascii="仿宋" w:hAnsi="仿宋" w:eastAsia="仿宋" w:cs="宋体"/>
          <w:color w:val="000000" w:themeColor="text1"/>
          <w:sz w:val="24"/>
          <w:szCs w:val="32"/>
          <w:highlight w:val="none"/>
        </w:rPr>
        <w:t>深井采样器</w:t>
      </w:r>
      <w:bookmarkEnd w:id="162"/>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2.1转速范围：0-1800rpm；</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2.2工作环境：野外，室内；</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2.3适用电源：充电选用Ac220V50/60Hz；</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2.4最大吸程：≥10m。</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3" w:name="_Toc1670"/>
      <w:r>
        <w:rPr>
          <w:rFonts w:hint="eastAsia" w:ascii="仿宋" w:hAnsi="仿宋" w:eastAsia="仿宋" w:cs="宋体"/>
          <w:color w:val="000000" w:themeColor="text1"/>
          <w:sz w:val="24"/>
          <w:szCs w:val="32"/>
          <w:highlight w:val="none"/>
        </w:rPr>
        <w:t>生物毒性检测仪</w:t>
      </w:r>
      <w:bookmarkEnd w:id="163"/>
    </w:p>
    <w:p>
      <w:pPr>
        <w:spacing w:line="360" w:lineRule="auto"/>
        <w:ind w:left="200"/>
        <w:rPr>
          <w:rFonts w:ascii="仿宋" w:hAnsi="仿宋" w:eastAsia="仿宋" w:cs="宋体"/>
          <w:color w:val="000000" w:themeColor="text1"/>
          <w:sz w:val="24"/>
          <w:szCs w:val="32"/>
          <w:highlight w:val="none"/>
        </w:rPr>
      </w:pPr>
      <w:bookmarkStart w:id="164" w:name="_Hlk162448113"/>
      <w:r>
        <w:rPr>
          <w:rFonts w:hint="eastAsia" w:ascii="仿宋" w:hAnsi="仿宋" w:eastAsia="仿宋" w:cs="宋体"/>
          <w:color w:val="000000" w:themeColor="text1"/>
          <w:sz w:val="24"/>
          <w:szCs w:val="32"/>
          <w:highlight w:val="none"/>
        </w:rPr>
        <w:t>▲1.  系统配置要求</w:t>
      </w:r>
    </w:p>
    <w:p>
      <w:pPr>
        <w:spacing w:line="360" w:lineRule="auto"/>
        <w:ind w:firstLine="200"/>
        <w:rPr>
          <w:rFonts w:ascii="仿宋" w:hAnsi="仿宋" w:eastAsia="仿宋"/>
          <w:color w:val="000000" w:themeColor="text1"/>
          <w:sz w:val="20"/>
          <w:szCs w:val="2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▲2.1符合国家标准（GB/T15441 1995）及国际标准（ISO 11348-3）；</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2.2对超过近3000种以上毒性化合物敏感的生物早期预警系统；</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2.3样品制备后15分钟内得到结果，快速、可靠、可再现；</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2.4检测结果和其他传统毒性分析方法高度相关，可应用于应急水体污染检测，帮助用户实时监控排水是否符合当地法规和排放标准；</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2.5使用硅光电倍增管，大幅提升检测灵敏度；</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2.6具有生物毒性暗室自动升降检测装置</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2.7便携性PVC工程箱设计，也可外出携带现场检测；</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2.8显示方式：触控屏幕</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 Android智能操作系统，更智能，更具人性化；</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2.10具有RJ45网线接口、WIFI、4G联网和蓝牙传输功能，可实现无线传输至相关监控、监管平台，实现数据的实时性。</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2.11仪器内置内置</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6000mAH锂电池组，在外部断电或无供电情况下，可支撑连续工作8个小时以上；</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2.12一条曲线可做不少于20个曲线浓度点，可随意选择曲线点是否参与整条曲线计算，无需手动记录，保证曲线值更精准；（曲线浓度点可定制增加）</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2.13仪器内置ROM≥4GB；</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2.14具备USB通讯接口，方便数据读取和导出，导出结果为Excel表格；</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2.15内置拼音输入法，可编辑中英文信息；</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2.16高速热敏数据信息记录仪，检测完成可自动打印检测报告，检测报告附带二维码。</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2.17检测历史查询功能，可选择开始结束时间调取往期检测数据，精准方便。</w:t>
      </w:r>
    </w:p>
    <w:bookmarkEnd w:id="164"/>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5" w:name="_Toc25604"/>
      <w:r>
        <w:rPr>
          <w:rFonts w:hint="eastAsia" w:ascii="仿宋" w:hAnsi="仿宋" w:eastAsia="仿宋" w:cs="宋体"/>
          <w:color w:val="000000" w:themeColor="text1"/>
          <w:sz w:val="24"/>
          <w:szCs w:val="32"/>
          <w:highlight w:val="none"/>
        </w:rPr>
        <w:t>苏玛罐</w:t>
      </w:r>
      <w:bookmarkEnd w:id="165"/>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1.1苏玛罐1套3个；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1.2定时采样器1个。</w:t>
      </w:r>
    </w:p>
    <w:p>
      <w:pPr>
        <w:spacing w:line="360" w:lineRule="auto"/>
        <w:ind w:firstLine="200"/>
        <w:rPr>
          <w:rFonts w:ascii="仿宋" w:hAnsi="仿宋" w:eastAsia="仿宋" w:cs="宋体"/>
          <w:color w:val="000000" w:themeColor="text1"/>
          <w:sz w:val="24"/>
          <w:szCs w:val="32"/>
          <w:highlight w:val="none"/>
        </w:rPr>
      </w:pP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▲2.1容量</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3L。</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2.2苏玛罐采用316/316L不锈钢材质，内表面经过气相沉积工艺硅烷化惰性处理，对VOCs无明显吸附性。</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2.3苏玛罐容积精准设计，并使用公制单位计算容积，环境温度20℃时标称和实际容积差小于1%。</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2.4苏玛罐兼容市场上所有VOCs采样、自动进样和分析设备。</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2.5苏玛罐能采集并存储不稳定的硫、氮化合物和极性（醛、醇、酯、酮、醚）非极性化合物。</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2.6苏玛罐采用惰化处理的TOV阀。</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2.7最大耐压：50psi；最大耐温：200℃。</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6" w:name="_Toc10857"/>
      <w:r>
        <w:rPr>
          <w:rFonts w:hint="eastAsia" w:ascii="仿宋" w:hAnsi="仿宋" w:eastAsia="仿宋" w:cs="宋体"/>
          <w:color w:val="000000" w:themeColor="text1"/>
          <w:sz w:val="24"/>
          <w:szCs w:val="32"/>
          <w:highlight w:val="none"/>
        </w:rPr>
        <w:t>便携式VOC检测仪（PID）</w:t>
      </w:r>
      <w:bookmarkEnd w:id="166"/>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主机1台；</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传感器及UV灯1套；</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锂电池1个；</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充电/数据下载底座1个；</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橡胶保护套1个；</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进气管及水阱过滤器1个；</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操作说明书1份；</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资料及软件光盘1套；</w:t>
      </w:r>
    </w:p>
    <w:p>
      <w:pPr>
        <w:numPr>
          <w:ilvl w:val="1"/>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便携软包1个。</w:t>
      </w:r>
    </w:p>
    <w:p>
      <w:pPr>
        <w:spacing w:line="360" w:lineRule="auto"/>
        <w:ind w:firstLine="200"/>
        <w:rPr>
          <w:rFonts w:ascii="仿宋" w:hAnsi="仿宋" w:eastAsia="仿宋" w:cs="宋体"/>
          <w:color w:val="000000" w:themeColor="text1"/>
          <w:sz w:val="24"/>
          <w:szCs w:val="32"/>
          <w:highlight w:val="none"/>
        </w:rPr>
      </w:pPr>
    </w:p>
    <w:p>
      <w:pPr>
        <w:numPr>
          <w:ilvl w:val="0"/>
          <w:numId w:val="25"/>
        </w:num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2.1采样方式:泵吸式；</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2.2外壳材质:工程塑料，橡胶外套；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2.3防护等级:IP66</w:t>
      </w:r>
      <w:r>
        <w:rPr>
          <w:rFonts w:ascii="仿宋" w:hAnsi="仿宋" w:eastAsia="仿宋" w:cs="宋体"/>
          <w:color w:val="000000" w:themeColor="text1"/>
          <w:sz w:val="24"/>
          <w:szCs w:val="32"/>
          <w:highlight w:val="none"/>
        </w:rPr>
        <w:t xml:space="preserve"> </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2.4抗电磁辐射:EMI/RF等级:EMC Directive 2004/108/EEC；</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2.5工作温度:-20C~50C；</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2.6环境湿度:0%~95%相对湿度(无冷凝)</w:t>
      </w:r>
      <w:r>
        <w:rPr>
          <w:rFonts w:ascii="仿宋" w:hAnsi="仿宋" w:eastAsia="仿宋" w:cs="宋体"/>
          <w:color w:val="000000" w:themeColor="text1"/>
          <w:sz w:val="24"/>
          <w:szCs w:val="32"/>
          <w:highlight w:val="none"/>
        </w:rPr>
        <w:t xml:space="preserve"> </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2.7显示屏:大屏幕图形LCD显示、带自动背景灯；</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2.8显示语言:中文/英语+符号；</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2.9报警信号:气体超标、电池电压不足、传感器故障、电池电量不足报警报警点设置:单独设置TWA、STEL和高/低报警限值；</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2.10采样间隔:1-3600秒可调；</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2.11数据通讯:USB(通过底座)、RS232(通过旅行充电器)、可选内置蓝牙模块下载检测数据、上传仪器参数设定，可选内置无线模块实现无线数据传输；</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2.11采样泵流速:450~550cc/min电池:4.2V/3300mAH可充电钾离子电池，碱性电池盒使用4个AA电池；</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2.13运行时间:</w:t>
      </w:r>
      <w:r>
        <w:rPr>
          <w:rFonts w:hint="eastAsia" w:ascii="仿宋" w:hAnsi="仿宋" w:eastAsia="仿宋" w:cs="宋体"/>
          <w:color w:val="000000" w:themeColor="text1"/>
          <w:sz w:val="24"/>
          <w:szCs w:val="32"/>
          <w:highlight w:val="none"/>
          <w:u w:val="single"/>
        </w:rPr>
        <w:t>&gt;</w:t>
      </w:r>
      <w:r>
        <w:rPr>
          <w:rFonts w:hint="eastAsia" w:ascii="仿宋" w:hAnsi="仿宋" w:eastAsia="仿宋" w:cs="宋体"/>
          <w:color w:val="000000" w:themeColor="text1"/>
          <w:sz w:val="24"/>
          <w:szCs w:val="32"/>
          <w:highlight w:val="none"/>
        </w:rPr>
        <w:t>16小时(视工作环境和使用频率)；</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2.14充电时间:</w:t>
      </w:r>
      <w:r>
        <w:rPr>
          <w:rFonts w:hint="eastAsia" w:ascii="仿宋" w:hAnsi="仿宋" w:eastAsia="仿宋" w:cs="宋体"/>
          <w:color w:val="000000" w:themeColor="text1"/>
          <w:sz w:val="24"/>
          <w:szCs w:val="32"/>
          <w:highlight w:val="none"/>
          <w:u w:val="single"/>
        </w:rPr>
        <w:t>&lt;</w:t>
      </w:r>
      <w:r>
        <w:rPr>
          <w:rFonts w:hint="eastAsia" w:ascii="仿宋" w:hAnsi="仿宋" w:eastAsia="仿宋" w:cs="宋体"/>
          <w:color w:val="000000" w:themeColor="text1"/>
          <w:sz w:val="24"/>
          <w:szCs w:val="32"/>
          <w:highlight w:val="none"/>
        </w:rPr>
        <w:t>8小时；</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2.15标定方式:两点/三点式零点/扩展标定；</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7" w:name="_Toc27665"/>
      <w:r>
        <w:rPr>
          <w:rFonts w:hint="eastAsia" w:ascii="仿宋" w:hAnsi="仿宋" w:eastAsia="仿宋" w:cs="宋体"/>
          <w:color w:val="000000" w:themeColor="text1"/>
          <w:sz w:val="24"/>
          <w:szCs w:val="32"/>
          <w:highlight w:val="none"/>
        </w:rPr>
        <w:t>气体检测管</w:t>
      </w:r>
      <w:bookmarkEnd w:id="167"/>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1.1气体检测管一套10支（型号按需确定）。</w:t>
      </w:r>
    </w:p>
    <w:p>
      <w:pPr>
        <w:spacing w:line="360" w:lineRule="auto"/>
        <w:ind w:firstLine="200"/>
        <w:rPr>
          <w:rFonts w:ascii="仿宋" w:hAnsi="仿宋" w:eastAsia="仿宋" w:cs="宋体"/>
          <w:color w:val="000000" w:themeColor="text1"/>
          <w:sz w:val="24"/>
          <w:szCs w:val="32"/>
          <w:highlight w:val="none"/>
        </w:rPr>
      </w:pPr>
    </w:p>
    <w:p>
      <w:pPr>
        <w:tabs>
          <w:tab w:val="left" w:pos="312"/>
        </w:tabs>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2.1符合HJ871-2017《环境空气氯气等有毒有害气体的应急监测比长式检测管法》中5.1.1及GB/T7230-2008《气体检测管装置》的规定和要求。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2.2检测管的灵敏度、准确度、变色界面等性能符合GB/T7230的规定和要求，比长式检测管由玻璃管、指示粉、刻度线和隔离层等构成。</w:t>
      </w: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br w:type="page" w:clear="all"/>
      </w:r>
      <w:bookmarkStart w:id="168" w:name="_Toc5187"/>
      <w:r>
        <w:rPr>
          <w:rFonts w:hint="eastAsia" w:ascii="仿宋" w:hAnsi="仿宋" w:eastAsia="仿宋" w:cs="宋体"/>
          <w:color w:val="000000" w:themeColor="text1"/>
          <w:sz w:val="24"/>
          <w:szCs w:val="32"/>
          <w:highlight w:val="none"/>
        </w:rPr>
        <w:t>便携式多种气体检测仪</w:t>
      </w:r>
      <w:bookmarkEnd w:id="168"/>
      <w:r>
        <w:rPr>
          <w:rFonts w:hint="eastAsia" w:ascii="仿宋" w:hAnsi="仿宋" w:eastAsia="仿宋" w:cs="宋体"/>
          <w:color w:val="000000" w:themeColor="text1"/>
          <w:sz w:val="24"/>
          <w:szCs w:val="32"/>
          <w:highlight w:val="none"/>
        </w:rPr>
        <w:t>(电化学传感器法)</w:t>
      </w:r>
    </w:p>
    <w:p>
      <w:pPr>
        <w:spacing w:line="360" w:lineRule="auto"/>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1.2随机附件1套。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▲1.3配备 Cl2、H2S、HCl、CO、HCN、COCl2、HF、N3H传感器。</w:t>
      </w:r>
    </w:p>
    <w:p>
      <w:pPr>
        <w:tabs>
          <w:tab w:val="left" w:pos="312"/>
        </w:tabs>
        <w:spacing w:line="360" w:lineRule="auto"/>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 技术性能要求</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2.1工作温度：-10~50℃；</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2.2工作湿度：0~95%RH（无冷凝）；</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2.3负载能力：＞15kPa；</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2.4连续充电时间：≤8h；</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2.5电池工作时间：≥8h；</w:t>
      </w:r>
    </w:p>
    <w:p>
      <w:pPr>
        <w:spacing w:line="360" w:lineRule="auto"/>
        <w:ind w:firstLine="200"/>
        <w:jc w:val="left"/>
        <w:rPr>
          <w:rFonts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32"/>
          <w:highlight w:val="none"/>
        </w:rPr>
        <w:t>2.6重量：主机≤600g</w:t>
      </w:r>
      <w:r>
        <w:rPr>
          <w:rFonts w:hint="eastAsia" w:ascii="仿宋" w:hAnsi="仿宋" w:eastAsia="仿宋" w:cs="宋体"/>
          <w:color w:val="000000" w:themeColor="text1"/>
          <w:sz w:val="24"/>
          <w:szCs w:val="32"/>
          <w:highlight w:val="none"/>
        </w:rPr>
        <w:br w:type="page" w:clear="all"/>
      </w:r>
      <w:bookmarkStart w:id="169" w:name="_Toc4380"/>
    </w:p>
    <w:p>
      <w:pPr>
        <w:numPr>
          <w:ilvl w:val="0"/>
          <w:numId w:val="5"/>
        </w:numPr>
        <w:spacing w:line="360" w:lineRule="auto"/>
        <w:ind w:firstLine="200"/>
        <w:outlineLvl w:val="0"/>
        <w:rPr>
          <w:rFonts w:ascii="仿宋" w:hAnsi="仿宋" w:eastAsia="仿宋"/>
          <w:color w:val="000000" w:themeColor="text1"/>
          <w:sz w:val="24"/>
          <w:szCs w:val="24"/>
          <w:highlight w:val="none"/>
        </w:rPr>
      </w:pPr>
      <w:r>
        <w:rPr>
          <w:rFonts w:hint="eastAsia" w:ascii="仿宋" w:hAnsi="仿宋" w:eastAsia="仿宋" w:cs="宋体"/>
          <w:color w:val="000000" w:themeColor="text1"/>
          <w:sz w:val="24"/>
          <w:szCs w:val="24"/>
          <w:highlight w:val="none"/>
        </w:rPr>
        <w:t>便携式蓝绿藻叶绿素测定仪</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▲1.系统配置要求</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1.1主机1台</w:t>
      </w:r>
    </w:p>
    <w:p>
      <w:pPr>
        <w:spacing w:line="360" w:lineRule="auto"/>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1.2</w:t>
      </w:r>
      <w:r>
        <w:rPr>
          <w:rFonts w:hint="eastAsia" w:ascii="仿宋" w:hAnsi="仿宋" w:eastAsia="仿宋" w:cs="宋体"/>
          <w:color w:val="000000" w:themeColor="text1"/>
          <w:sz w:val="24"/>
          <w:szCs w:val="32"/>
          <w:highlight w:val="none"/>
        </w:rPr>
        <w:t>线缆</w:t>
      </w:r>
      <w:r>
        <w:rPr>
          <w:rFonts w:ascii="仿宋" w:hAnsi="仿宋" w:eastAsia="仿宋" w:cs="宋体"/>
          <w:color w:val="000000" w:themeColor="text1"/>
          <w:sz w:val="24"/>
          <w:szCs w:val="32"/>
          <w:highlight w:val="none"/>
        </w:rPr>
        <w:t>1套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1.3蓝绿藻叶绿素二合一传感器一套</w:t>
      </w:r>
    </w:p>
    <w:p>
      <w:pPr>
        <w:spacing w:line="360" w:lineRule="auto"/>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1.4罗丹明校准液一套</w:t>
      </w:r>
    </w:p>
    <w:p>
      <w:pPr>
        <w:spacing w:line="360" w:lineRule="auto"/>
        <w:ind w:firstLine="200"/>
        <w:rPr>
          <w:rFonts w:ascii="仿宋" w:hAnsi="仿宋" w:eastAsia="仿宋" w:cs="宋体"/>
          <w:color w:val="000000" w:themeColor="text1"/>
          <w:sz w:val="24"/>
          <w:szCs w:val="32"/>
          <w:highlight w:val="none"/>
        </w:rPr>
      </w:pPr>
    </w:p>
    <w:p>
      <w:pPr>
        <w:spacing w:line="460" w:lineRule="exact"/>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2.技术性能要求</w:t>
      </w:r>
    </w:p>
    <w:p>
      <w:pPr>
        <w:spacing w:line="460" w:lineRule="exact"/>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2.1 1</w:t>
      </w:r>
      <w:r>
        <w:rPr>
          <w:rFonts w:ascii="仿宋" w:hAnsi="仿宋" w:eastAsia="仿宋" w:cs="宋体"/>
          <w:color w:val="000000" w:themeColor="text1"/>
          <w:sz w:val="24"/>
          <w:szCs w:val="32"/>
          <w:highlight w:val="none"/>
        </w:rPr>
        <w:t>个传感器接口，用户可自行更换传感器</w:t>
      </w:r>
      <w:r>
        <w:rPr>
          <w:rFonts w:hint="eastAsia" w:ascii="仿宋" w:hAnsi="仿宋" w:eastAsia="仿宋" w:cs="宋体"/>
          <w:color w:val="000000" w:themeColor="text1"/>
          <w:sz w:val="24"/>
          <w:szCs w:val="32"/>
          <w:highlight w:val="none"/>
        </w:rPr>
        <w:t>，可切换传感器种类包含电导率、溶解氧、浊度、叶绿素、蓝绿藻、氨氮、硝氮、pH、ORP</w:t>
      </w:r>
      <w:r>
        <w:rPr>
          <w:rFonts w:ascii="仿宋" w:hAnsi="仿宋" w:eastAsia="仿宋" w:cs="宋体"/>
          <w:color w:val="000000" w:themeColor="text1"/>
          <w:sz w:val="24"/>
          <w:szCs w:val="32"/>
          <w:highlight w:val="none"/>
        </w:rPr>
        <w:t>；</w:t>
      </w:r>
    </w:p>
    <w:p>
      <w:pPr>
        <w:spacing w:line="460" w:lineRule="exact"/>
        <w:ind w:firstLine="240" w:firstLineChars="1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2.2</w:t>
      </w:r>
      <w:r>
        <w:rPr>
          <w:rFonts w:ascii="仿宋" w:hAnsi="仿宋" w:eastAsia="仿宋" w:cs="宋体"/>
          <w:color w:val="000000" w:themeColor="text1"/>
          <w:sz w:val="24"/>
          <w:szCs w:val="32"/>
          <w:highlight w:val="none"/>
        </w:rPr>
        <w:t>记忆存储：大容量记忆存储，带有大量的采样地点列表和数据标签功能；</w:t>
      </w:r>
    </w:p>
    <w:p>
      <w:pPr>
        <w:spacing w:line="460" w:lineRule="exact"/>
        <w:ind w:firstLine="2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2.3</w:t>
      </w:r>
      <w:r>
        <w:rPr>
          <w:rFonts w:ascii="仿宋" w:hAnsi="仿宋" w:eastAsia="仿宋" w:cs="宋体"/>
          <w:color w:val="000000" w:themeColor="text1"/>
          <w:sz w:val="24"/>
          <w:szCs w:val="32"/>
          <w:highlight w:val="none"/>
        </w:rPr>
        <w:t>传感器类型：数字智能传感器仪器可自动识别并存储校准数据</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钛合金材质；</w:t>
      </w:r>
    </w:p>
    <w:p>
      <w:pPr>
        <w:spacing w:line="460" w:lineRule="exact"/>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w:t>
      </w:r>
      <w:r>
        <w:rPr>
          <w:rFonts w:ascii="仿宋" w:hAnsi="仿宋" w:eastAsia="仿宋" w:cs="宋体"/>
          <w:color w:val="000000" w:themeColor="text1"/>
          <w:sz w:val="24"/>
          <w:szCs w:val="32"/>
          <w:highlight w:val="none"/>
        </w:rPr>
        <w:t>测量模式：自动稳定功能的单点测量或连续测量；</w:t>
      </w:r>
    </w:p>
    <w:p>
      <w:pPr>
        <w:spacing w:line="460" w:lineRule="exact"/>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w:t>
      </w:r>
      <w:r>
        <w:rPr>
          <w:rFonts w:ascii="仿宋" w:hAnsi="仿宋" w:eastAsia="仿宋" w:cs="宋体"/>
          <w:color w:val="000000" w:themeColor="text1"/>
          <w:sz w:val="24"/>
          <w:szCs w:val="32"/>
          <w:highlight w:val="none"/>
        </w:rPr>
        <w:t>显示：彩色液晶显示；</w:t>
      </w:r>
    </w:p>
    <w:p>
      <w:pPr>
        <w:spacing w:line="460" w:lineRule="exact"/>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w:t>
      </w:r>
      <w:r>
        <w:rPr>
          <w:rFonts w:ascii="仿宋" w:hAnsi="仿宋" w:eastAsia="仿宋" w:cs="宋体"/>
          <w:color w:val="000000" w:themeColor="text1"/>
          <w:sz w:val="24"/>
          <w:szCs w:val="32"/>
          <w:highlight w:val="none"/>
        </w:rPr>
        <w:t>供电：长寿命可充电锂离子电池组供电手持主机与传感器；</w:t>
      </w:r>
    </w:p>
    <w:p>
      <w:pPr>
        <w:spacing w:line="460" w:lineRule="exact"/>
        <w:ind w:firstLine="240" w:firstLineChars="1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2.</w:t>
      </w:r>
      <w:r>
        <w:rPr>
          <w:rFonts w:hint="eastAsia" w:ascii="仿宋" w:hAnsi="仿宋" w:eastAsia="仿宋" w:cs="宋体"/>
          <w:color w:val="000000" w:themeColor="text1"/>
          <w:sz w:val="24"/>
          <w:szCs w:val="32"/>
          <w:highlight w:val="none"/>
        </w:rPr>
        <w:t>7</w:t>
      </w:r>
      <w:r>
        <w:rPr>
          <w:rFonts w:ascii="仿宋" w:hAnsi="仿宋" w:eastAsia="仿宋" w:cs="宋体"/>
          <w:color w:val="000000" w:themeColor="text1"/>
          <w:sz w:val="24"/>
          <w:szCs w:val="32"/>
          <w:highlight w:val="none"/>
        </w:rPr>
        <w:t xml:space="preserve"> 软件：数据管理软件具有数据地理标注功能，支持英语以及中文（简体与繁体）；</w:t>
      </w:r>
    </w:p>
    <w:p>
      <w:pPr>
        <w:spacing w:line="460" w:lineRule="exact"/>
        <w:ind w:firstLine="240" w:firstLineChars="1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2.</w:t>
      </w:r>
      <w:r>
        <w:rPr>
          <w:rFonts w:hint="eastAsia" w:ascii="仿宋" w:hAnsi="仿宋" w:eastAsia="仿宋" w:cs="宋体"/>
          <w:color w:val="000000" w:themeColor="text1"/>
          <w:sz w:val="24"/>
          <w:szCs w:val="32"/>
          <w:highlight w:val="none"/>
        </w:rPr>
        <w:t>8</w:t>
      </w:r>
      <w:r>
        <w:rPr>
          <w:rFonts w:ascii="仿宋" w:hAnsi="仿宋" w:eastAsia="仿宋" w:cs="宋体"/>
          <w:color w:val="000000" w:themeColor="text1"/>
          <w:sz w:val="24"/>
          <w:szCs w:val="32"/>
          <w:highlight w:val="none"/>
        </w:rPr>
        <w:t>接口：USB接口，用于PC 连接、为</w:t>
      </w:r>
      <w:r>
        <w:rPr>
          <w:rFonts w:hint="eastAsia" w:ascii="仿宋" w:hAnsi="仿宋" w:eastAsia="仿宋" w:cs="宋体"/>
          <w:color w:val="000000" w:themeColor="text1"/>
          <w:sz w:val="24"/>
          <w:szCs w:val="32"/>
          <w:highlight w:val="none"/>
        </w:rPr>
        <w:t>主机</w:t>
      </w:r>
      <w:r>
        <w:rPr>
          <w:rFonts w:ascii="仿宋" w:hAnsi="仿宋" w:eastAsia="仿宋" w:cs="宋体"/>
          <w:color w:val="000000" w:themeColor="text1"/>
          <w:sz w:val="24"/>
          <w:szCs w:val="32"/>
          <w:highlight w:val="none"/>
        </w:rPr>
        <w:t>充电 /供电且可直接连接于 USB 记忆棒；</w:t>
      </w:r>
    </w:p>
    <w:p>
      <w:pPr>
        <w:spacing w:line="460" w:lineRule="exact"/>
        <w:ind w:firstLine="240" w:firstLineChars="1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2.</w:t>
      </w:r>
      <w:r>
        <w:rPr>
          <w:rFonts w:hint="eastAsia" w:ascii="仿宋" w:hAnsi="仿宋" w:eastAsia="仿宋" w:cs="宋体"/>
          <w:color w:val="000000" w:themeColor="text1"/>
          <w:sz w:val="24"/>
          <w:szCs w:val="32"/>
          <w:highlight w:val="none"/>
        </w:rPr>
        <w:t>9</w:t>
      </w:r>
      <w:r>
        <w:rPr>
          <w:rFonts w:ascii="仿宋" w:hAnsi="仿宋" w:eastAsia="仿宋" w:cs="宋体"/>
          <w:color w:val="000000" w:themeColor="text1"/>
          <w:sz w:val="24"/>
          <w:szCs w:val="32"/>
          <w:highlight w:val="none"/>
        </w:rPr>
        <w:t xml:space="preserve"> 防水等级：IP67；</w:t>
      </w:r>
    </w:p>
    <w:p>
      <w:pPr>
        <w:spacing w:line="460" w:lineRule="exact"/>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 传感器</w:t>
      </w:r>
    </w:p>
    <w:p>
      <w:pPr>
        <w:spacing w:line="460" w:lineRule="exact"/>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2．10.1</w:t>
      </w:r>
      <w:r>
        <w:rPr>
          <w:rFonts w:ascii="仿宋" w:hAnsi="仿宋" w:eastAsia="仿宋" w:cs="宋体"/>
          <w:color w:val="000000" w:themeColor="text1"/>
          <w:sz w:val="24"/>
          <w:szCs w:val="32"/>
          <w:highlight w:val="none"/>
        </w:rPr>
        <w:t>温度传感器：测量范围：-5~70</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，准确度：±0.2</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分辨率</w:t>
      </w:r>
      <w:r>
        <w:rPr>
          <w:rFonts w:ascii="仿宋" w:hAnsi="仿宋" w:eastAsia="仿宋" w:cs="宋体"/>
          <w:color w:val="000000" w:themeColor="text1"/>
          <w:sz w:val="24"/>
          <w:szCs w:val="32"/>
          <w:highlight w:val="none"/>
        </w:rPr>
        <w:t>：0.1</w:t>
      </w:r>
      <w:r>
        <w:rPr>
          <w:rFonts w:hint="eastAsia" w:ascii="仿宋" w:hAnsi="仿宋" w:eastAsia="仿宋" w:cs="宋体"/>
          <w:color w:val="000000" w:themeColor="text1"/>
          <w:sz w:val="24"/>
          <w:szCs w:val="32"/>
          <w:highlight w:val="none"/>
        </w:rPr>
        <w:t>℃</w:t>
      </w:r>
    </w:p>
    <w:p>
      <w:pPr>
        <w:spacing w:line="460" w:lineRule="exact"/>
        <w:ind w:firstLine="240" w:firstLineChars="1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2.10.2叶绿素</w:t>
      </w:r>
      <w:r>
        <w:rPr>
          <w:rFonts w:ascii="仿宋" w:hAnsi="仿宋" w:eastAsia="仿宋" w:cs="宋体"/>
          <w:color w:val="000000" w:themeColor="text1"/>
          <w:sz w:val="24"/>
          <w:szCs w:val="32"/>
          <w:highlight w:val="none"/>
        </w:rPr>
        <w:t>：测量范围：0~</w:t>
      </w:r>
      <w:r>
        <w:rPr>
          <w:rFonts w:hint="eastAsia" w:ascii="仿宋" w:hAnsi="仿宋" w:eastAsia="仿宋" w:cs="宋体"/>
          <w:color w:val="000000" w:themeColor="text1"/>
          <w:sz w:val="24"/>
          <w:szCs w:val="32"/>
          <w:highlight w:val="none"/>
        </w:rPr>
        <w:t>100RFU或0~400μg/L</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准确度</w:t>
      </w:r>
      <w:r>
        <w:rPr>
          <w:rFonts w:ascii="仿宋" w:hAnsi="仿宋" w:eastAsia="仿宋" w:cs="宋体"/>
          <w:color w:val="000000" w:themeColor="text1"/>
          <w:sz w:val="24"/>
          <w:szCs w:val="32"/>
          <w:highlight w:val="none"/>
        </w:rPr>
        <w:t>：线性</w:t>
      </w:r>
      <w:r>
        <w:rPr>
          <w:rFonts w:hint="eastAsia" w:ascii="仿宋" w:hAnsi="仿宋" w:eastAsia="仿宋" w:cs="宋体"/>
          <w:color w:val="000000" w:themeColor="text1"/>
          <w:sz w:val="24"/>
          <w:szCs w:val="32"/>
          <w:highlight w:val="none"/>
        </w:rPr>
        <w:t>：r2≥0.999对罗丹明WT全范围，</w:t>
      </w:r>
      <w:r>
        <w:rPr>
          <w:rFonts w:ascii="仿宋" w:hAnsi="仿宋" w:eastAsia="仿宋" w:cs="宋体"/>
          <w:color w:val="000000" w:themeColor="text1"/>
          <w:sz w:val="24"/>
          <w:szCs w:val="32"/>
          <w:highlight w:val="none"/>
        </w:rPr>
        <w:t>分辨率</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0.</w:t>
      </w:r>
      <w:r>
        <w:rPr>
          <w:rFonts w:hint="eastAsia" w:ascii="仿宋" w:hAnsi="仿宋" w:eastAsia="仿宋" w:cs="宋体"/>
          <w:color w:val="000000" w:themeColor="text1"/>
          <w:sz w:val="24"/>
          <w:szCs w:val="32"/>
          <w:highlight w:val="none"/>
        </w:rPr>
        <w:t>0</w:t>
      </w:r>
      <w:r>
        <w:rPr>
          <w:rFonts w:ascii="仿宋" w:hAnsi="仿宋" w:eastAsia="仿宋" w:cs="宋体"/>
          <w:color w:val="000000" w:themeColor="text1"/>
          <w:sz w:val="24"/>
          <w:szCs w:val="32"/>
          <w:highlight w:val="none"/>
        </w:rPr>
        <w:t xml:space="preserve">1 </w:t>
      </w:r>
      <w:r>
        <w:rPr>
          <w:rFonts w:hint="eastAsia" w:ascii="仿宋" w:hAnsi="仿宋" w:eastAsia="仿宋" w:cs="宋体"/>
          <w:color w:val="000000" w:themeColor="text1"/>
          <w:sz w:val="24"/>
          <w:szCs w:val="32"/>
          <w:highlight w:val="none"/>
        </w:rPr>
        <w:t>RFU或0.01μg/L</w:t>
      </w:r>
    </w:p>
    <w:p>
      <w:pPr>
        <w:spacing w:line="460" w:lineRule="exact"/>
        <w:ind w:firstLine="240" w:firstLineChars="100"/>
        <w:rPr>
          <w:rFonts w:ascii="仿宋" w:hAnsi="仿宋" w:eastAsia="仿宋" w:cs="宋体"/>
          <w:color w:val="000000" w:themeColor="text1"/>
          <w:sz w:val="24"/>
          <w:szCs w:val="32"/>
          <w:highlight w:val="none"/>
        </w:rPr>
      </w:pPr>
      <w:r>
        <w:rPr>
          <w:rFonts w:ascii="仿宋" w:hAnsi="仿宋" w:eastAsia="仿宋" w:cs="宋体"/>
          <w:color w:val="000000" w:themeColor="text1"/>
          <w:sz w:val="24"/>
          <w:szCs w:val="32"/>
          <w:highlight w:val="none"/>
        </w:rPr>
        <w:t>2.</w:t>
      </w:r>
      <w:r>
        <w:rPr>
          <w:rFonts w:hint="eastAsia" w:ascii="仿宋" w:hAnsi="仿宋" w:eastAsia="仿宋" w:cs="宋体"/>
          <w:color w:val="000000" w:themeColor="text1"/>
          <w:sz w:val="24"/>
          <w:szCs w:val="32"/>
          <w:highlight w:val="none"/>
        </w:rPr>
        <w:t>10</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3藻蓝蛋白</w:t>
      </w:r>
      <w:r>
        <w:rPr>
          <w:rFonts w:ascii="仿宋" w:hAnsi="仿宋" w:eastAsia="仿宋" w:cs="宋体"/>
          <w:color w:val="000000" w:themeColor="text1"/>
          <w:sz w:val="24"/>
          <w:szCs w:val="32"/>
          <w:highlight w:val="none"/>
        </w:rPr>
        <w:t>：测量范围：0~</w:t>
      </w:r>
      <w:r>
        <w:rPr>
          <w:rFonts w:hint="eastAsia" w:ascii="仿宋" w:hAnsi="仿宋" w:eastAsia="仿宋" w:cs="宋体"/>
          <w:color w:val="000000" w:themeColor="text1"/>
          <w:sz w:val="24"/>
          <w:szCs w:val="32"/>
          <w:highlight w:val="none"/>
        </w:rPr>
        <w:t>100RFU或0~100μg/L</w:t>
      </w:r>
      <w:r>
        <w:rPr>
          <w:rFonts w:ascii="仿宋" w:hAnsi="仿宋" w:eastAsia="仿宋" w:cs="宋体"/>
          <w:color w:val="000000" w:themeColor="text1"/>
          <w:sz w:val="24"/>
          <w:szCs w:val="32"/>
          <w:highlight w:val="none"/>
        </w:rPr>
        <w:t>；</w:t>
      </w:r>
      <w:r>
        <w:rPr>
          <w:rFonts w:hint="eastAsia" w:ascii="仿宋" w:hAnsi="仿宋" w:eastAsia="仿宋" w:cs="宋体"/>
          <w:color w:val="000000" w:themeColor="text1"/>
          <w:sz w:val="24"/>
          <w:szCs w:val="32"/>
          <w:highlight w:val="none"/>
        </w:rPr>
        <w:t>准确度</w:t>
      </w:r>
      <w:r>
        <w:rPr>
          <w:rFonts w:ascii="仿宋" w:hAnsi="仿宋" w:eastAsia="仿宋" w:cs="宋体"/>
          <w:color w:val="000000" w:themeColor="text1"/>
          <w:sz w:val="24"/>
          <w:szCs w:val="32"/>
          <w:highlight w:val="none"/>
        </w:rPr>
        <w:t>：线性</w:t>
      </w:r>
      <w:r>
        <w:rPr>
          <w:rFonts w:hint="eastAsia" w:ascii="仿宋" w:hAnsi="仿宋" w:eastAsia="仿宋" w:cs="宋体"/>
          <w:color w:val="000000" w:themeColor="text1"/>
          <w:sz w:val="24"/>
          <w:szCs w:val="32"/>
          <w:highlight w:val="none"/>
        </w:rPr>
        <w:t>：r2≥0.999对罗丹明WT全范围，</w:t>
      </w:r>
      <w:r>
        <w:rPr>
          <w:rFonts w:ascii="仿宋" w:hAnsi="仿宋" w:eastAsia="仿宋" w:cs="宋体"/>
          <w:color w:val="000000" w:themeColor="text1"/>
          <w:sz w:val="24"/>
          <w:szCs w:val="32"/>
          <w:highlight w:val="none"/>
        </w:rPr>
        <w:t>分辨率</w:t>
      </w:r>
      <w:r>
        <w:rPr>
          <w:rFonts w:hint="eastAsia" w:ascii="仿宋" w:hAnsi="仿宋" w:eastAsia="仿宋" w:cs="宋体"/>
          <w:color w:val="000000" w:themeColor="text1"/>
          <w:sz w:val="24"/>
          <w:szCs w:val="32"/>
          <w:highlight w:val="none"/>
        </w:rPr>
        <w:t>：</w:t>
      </w:r>
      <w:r>
        <w:rPr>
          <w:rFonts w:ascii="仿宋" w:hAnsi="仿宋" w:eastAsia="仿宋" w:cs="宋体"/>
          <w:color w:val="000000" w:themeColor="text1"/>
          <w:sz w:val="24"/>
          <w:szCs w:val="32"/>
          <w:highlight w:val="none"/>
        </w:rPr>
        <w:t>0.</w:t>
      </w:r>
      <w:r>
        <w:rPr>
          <w:rFonts w:hint="eastAsia" w:ascii="仿宋" w:hAnsi="仿宋" w:eastAsia="仿宋" w:cs="宋体"/>
          <w:color w:val="000000" w:themeColor="text1"/>
          <w:sz w:val="24"/>
          <w:szCs w:val="32"/>
          <w:highlight w:val="none"/>
        </w:rPr>
        <w:t>0</w:t>
      </w:r>
      <w:r>
        <w:rPr>
          <w:rFonts w:ascii="仿宋" w:hAnsi="仿宋" w:eastAsia="仿宋" w:cs="宋体"/>
          <w:color w:val="000000" w:themeColor="text1"/>
          <w:sz w:val="24"/>
          <w:szCs w:val="32"/>
          <w:highlight w:val="none"/>
        </w:rPr>
        <w:t xml:space="preserve">1 </w:t>
      </w:r>
      <w:r>
        <w:rPr>
          <w:rFonts w:hint="eastAsia" w:ascii="仿宋" w:hAnsi="仿宋" w:eastAsia="仿宋" w:cs="宋体"/>
          <w:color w:val="000000" w:themeColor="text1"/>
          <w:sz w:val="24"/>
          <w:szCs w:val="32"/>
          <w:highlight w:val="none"/>
        </w:rPr>
        <w:t>RFU或0.01μg/L</w:t>
      </w:r>
    </w:p>
    <w:p>
      <w:pPr>
        <w:spacing w:line="460" w:lineRule="exact"/>
        <w:ind w:firstLine="240" w:firstLineChars="100"/>
        <w:rPr>
          <w:rFonts w:ascii="仿宋" w:hAnsi="仿宋" w:eastAsia="仿宋" w:cs="宋体"/>
          <w:color w:val="000000" w:themeColor="text1"/>
          <w:sz w:val="24"/>
          <w:szCs w:val="32"/>
          <w:highlight w:val="none"/>
        </w:rPr>
      </w:pPr>
    </w:p>
    <w:p>
      <w:pPr>
        <w:pStyle w:val="62"/>
        <w:rPr>
          <w:color w:val="000000" w:themeColor="text1"/>
          <w:highlight w:val="none"/>
        </w:rPr>
      </w:pPr>
    </w:p>
    <w:p>
      <w:pPr>
        <w:numPr>
          <w:ilvl w:val="0"/>
          <w:numId w:val="5"/>
        </w:numPr>
        <w:spacing w:line="360" w:lineRule="auto"/>
        <w:ind w:firstLine="200"/>
        <w:outlineLvl w:val="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实验台、试剂柜、样品柜、仪器架、通风橱、吸气罩</w:t>
      </w:r>
      <w:bookmarkEnd w:id="169"/>
    </w:p>
    <w:p>
      <w:pPr>
        <w:spacing w:line="460" w:lineRule="exact"/>
        <w:ind w:left="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  系统配置要求</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仪器台3套；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边台3套；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转角台2套；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万象抽气罩6套；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样品柜10套；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试剂柜8套；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现场货架16套；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毒品柜4套；</w:t>
      </w:r>
    </w:p>
    <w:p>
      <w:pPr>
        <w:numPr>
          <w:ilvl w:val="1"/>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通风柜2套。</w:t>
      </w:r>
    </w:p>
    <w:p>
      <w:pPr>
        <w:numPr>
          <w:ilvl w:val="0"/>
          <w:numId w:val="26"/>
        </w:num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技术性能要求</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2.1实验室台要求：</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2.1.1仪器台三套</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（1）尺寸：6200*900*800一套；尺寸：1950*750*800两套（2）材质：钢木1.5结构，12.7mm理化板</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2.1.2边台2三套</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（1）尺寸：5800*750*800一套；尺寸：1750*750*800一套（2）材质：钢木1.5结构，12.7mm理化板台面</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2.1.3转角台两套</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（1）尺寸：1000*1000*800（2）材质：钢木1.5结构，12.7mm理化板台面</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2.2万象抽气罩要求</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1、数量：6套；2、材质：pp材质</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2.3样品柜要求</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1、数量：10套；2、材质：全钢；3、尺寸：900*450*180mm</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2.4试剂柜要求</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1、数量：8套；2、材质：全钢；3、尺寸：900*450*180mm</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2.5现场货架要求</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1、数量:16套；2、材质：全钢；3、尺寸：1200*500*1800mm</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2.6毒品柜</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1、数量：4套；2、材质：45加仑；3、尺寸：1090*460*1650mm</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2.7通风柜</w:t>
      </w:r>
    </w:p>
    <w:p>
      <w:pPr>
        <w:spacing w:line="460" w:lineRule="exact"/>
        <w:ind w:firstLine="200"/>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1、数量：2套；2、尺寸：1500*850*2350；3、全钢材质，12.7mm理化板台面，内衬抗倍特板。</w:t>
      </w:r>
    </w:p>
    <w:p>
      <w:pPr>
        <w:pStyle w:val="62"/>
        <w:spacing w:before="0" w:after="0" w:line="460" w:lineRule="exact"/>
        <w:ind w:firstLine="468"/>
        <w:rPr>
          <w:rFonts w:ascii="仿宋" w:hAnsi="仿宋" w:eastAsia="仿宋" w:cs="宋体"/>
          <w:color w:val="000000" w:themeColor="text1"/>
          <w:sz w:val="24"/>
          <w:szCs w:val="32"/>
          <w:highlight w:val="none"/>
        </w:rPr>
      </w:pPr>
      <w:r>
        <w:rPr>
          <w:rFonts w:hint="eastAsia" w:ascii="仿宋" w:hAnsi="仿宋" w:eastAsia="仿宋" w:cs="宋体"/>
          <w:color w:val="000000" w:themeColor="text1"/>
          <w:sz w:val="24"/>
          <w:szCs w:val="32"/>
          <w:highlight w:val="none"/>
        </w:rPr>
        <w:t>注：实验室台接受尺寸误差（需投标人自行勘察现场进行测量）。</w:t>
      </w:r>
    </w:p>
    <w:p>
      <w:pPr>
        <w:rPr>
          <w:color w:val="000000" w:themeColor="text1"/>
          <w:highlight w:val="none"/>
        </w:rPr>
      </w:pPr>
    </w:p>
    <w:p>
      <w:pPr>
        <w:pStyle w:val="62"/>
        <w:spacing w:line="360" w:lineRule="auto"/>
        <w:rPr>
          <w:rFonts w:ascii="仿宋" w:hAnsi="仿宋" w:eastAsia="仿宋" w:cs="仿宋"/>
          <w:b/>
          <w:bCs/>
          <w:color w:val="000000" w:themeColor="text1"/>
          <w:sz w:val="28"/>
          <w:szCs w:val="28"/>
          <w:highlight w:val="none"/>
        </w:rPr>
      </w:pPr>
      <w:r>
        <w:rPr>
          <w:rFonts w:hint="eastAsia" w:ascii="仿宋" w:hAnsi="仿宋" w:eastAsia="仿宋" w:cs="宋体"/>
          <w:color w:val="000000" w:themeColor="text1"/>
          <w:sz w:val="24"/>
          <w:szCs w:val="32"/>
          <w:highlight w:val="none"/>
        </w:rPr>
        <w:t>▲</w:t>
      </w:r>
      <w:r>
        <w:rPr>
          <w:rFonts w:hint="eastAsia" w:ascii="仿宋" w:hAnsi="仿宋" w:eastAsia="仿宋" w:cs="仿宋"/>
          <w:b/>
          <w:bCs/>
          <w:color w:val="000000" w:themeColor="text1"/>
          <w:sz w:val="28"/>
          <w:szCs w:val="28"/>
          <w:highlight w:val="none"/>
        </w:rPr>
        <w:t>三、商务部分</w:t>
      </w:r>
    </w:p>
    <w:p>
      <w:pPr>
        <w:pStyle w:val="62"/>
        <w:spacing w:before="0" w:after="0" w:line="360" w:lineRule="auto"/>
        <w:ind w:firstLine="468"/>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1、供货时间:签订合同后 30 日内完成供货。</w:t>
      </w:r>
    </w:p>
    <w:p>
      <w:pPr>
        <w:pStyle w:val="62"/>
        <w:spacing w:before="0" w:after="0" w:line="360" w:lineRule="auto"/>
        <w:ind w:firstLine="468"/>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2、供货地点:淮阴区城建大厦18楼。</w:t>
      </w:r>
    </w:p>
    <w:p>
      <w:pPr>
        <w:spacing w:line="360" w:lineRule="auto"/>
        <w:ind w:firstLine="480" w:firstLineChars="200"/>
        <w:outlineLvl w:val="0"/>
        <w:rPr>
          <w:rFonts w:ascii="仿宋" w:hAnsi="仿宋" w:eastAsia="仿宋" w:cs="仿宋"/>
          <w:b w:val="0"/>
          <w:bCs/>
          <w:color w:val="000000" w:themeColor="text1"/>
          <w:sz w:val="24"/>
          <w:highlight w:val="none"/>
        </w:rPr>
      </w:pPr>
      <w:r>
        <w:rPr>
          <w:rFonts w:hint="eastAsia" w:ascii="仿宋" w:hAnsi="仿宋" w:eastAsia="仿宋" w:cs="仿宋"/>
          <w:bCs/>
          <w:color w:val="000000" w:themeColor="text1"/>
          <w:sz w:val="24"/>
          <w:szCs w:val="21"/>
          <w:highlight w:val="none"/>
        </w:rPr>
        <w:t>3、质保期:所有仪器设备质保期不少于</w:t>
      </w:r>
      <w:r>
        <w:rPr>
          <w:rFonts w:hint="eastAsia" w:ascii="仿宋" w:hAnsi="仿宋" w:eastAsia="仿宋" w:cs="仿宋"/>
          <w:bCs/>
          <w:color w:val="000000" w:themeColor="text1"/>
          <w:sz w:val="24"/>
          <w:highlight w:val="none"/>
        </w:rPr>
        <w:t>2年(耗材除外)。（投标人提供承诺书并加盖公章</w:t>
      </w:r>
      <w:r>
        <w:rPr>
          <w:rFonts w:hint="eastAsia" w:ascii="仿宋" w:hAnsi="仿宋" w:eastAsia="仿宋" w:cs="仿宋"/>
          <w:b w:val="0"/>
          <w:bCs/>
          <w:color w:val="000000" w:themeColor="text1"/>
          <w:sz w:val="24"/>
          <w:highlight w:val="none"/>
        </w:rPr>
        <w:t>）</w:t>
      </w:r>
    </w:p>
    <w:p>
      <w:pPr>
        <w:spacing w:line="360" w:lineRule="auto"/>
        <w:ind w:firstLine="560"/>
        <w:rPr>
          <w:rFonts w:ascii="仿宋" w:hAnsi="仿宋" w:eastAsia="仿宋" w:cs="宋体"/>
          <w:color w:val="000000" w:themeColor="text1"/>
          <w:sz w:val="24"/>
          <w:szCs w:val="32"/>
          <w:highlight w:val="none"/>
        </w:rPr>
      </w:pPr>
      <w:r>
        <w:rPr>
          <w:rFonts w:hint="eastAsia" w:ascii="仿宋" w:hAnsi="仿宋" w:eastAsia="仿宋" w:cs="仿宋"/>
          <w:b w:val="0"/>
          <w:bCs/>
          <w:color w:val="000000" w:themeColor="text1"/>
          <w:sz w:val="24"/>
          <w:highlight w:val="none"/>
        </w:rPr>
        <w:t>4</w:t>
      </w:r>
      <w:r>
        <w:rPr>
          <w:rFonts w:hint="eastAsia" w:ascii="仿宋" w:hAnsi="仿宋" w:eastAsia="仿宋" w:cs="仿宋"/>
          <w:b w:val="0"/>
          <w:bCs/>
          <w:color w:val="000000" w:themeColor="text1"/>
          <w:sz w:val="24"/>
          <w:szCs w:val="21"/>
          <w:highlight w:val="none"/>
        </w:rPr>
        <w:t>、</w:t>
      </w:r>
      <w:bookmarkStart w:id="184" w:name="_GoBack"/>
      <w:bookmarkEnd w:id="184"/>
      <w:r>
        <w:rPr>
          <w:rFonts w:hint="eastAsia" w:ascii="仿宋" w:hAnsi="仿宋" w:eastAsia="仿宋"/>
          <w:b w:val="0"/>
          <w:bCs/>
          <w:color w:val="000000" w:themeColor="text1"/>
          <w:sz w:val="24"/>
          <w:highlight w:val="none"/>
        </w:rPr>
        <w:t>中标人须在中标结果公告发布后</w:t>
      </w:r>
      <w:r>
        <w:rPr>
          <w:rFonts w:hint="eastAsia" w:ascii="仿宋" w:hAnsi="仿宋" w:eastAsia="仿宋"/>
          <w:b w:val="0"/>
          <w:bCs/>
          <w:color w:val="000000" w:themeColor="text1"/>
          <w:sz w:val="24"/>
          <w:highlight w:val="none"/>
          <w:lang w:val="en-US" w:eastAsia="zh-CN"/>
        </w:rPr>
        <w:t>7</w:t>
      </w:r>
      <w:r>
        <w:rPr>
          <w:rFonts w:hint="eastAsia" w:ascii="仿宋" w:hAnsi="仿宋" w:eastAsia="仿宋"/>
          <w:b w:val="0"/>
          <w:bCs/>
          <w:color w:val="000000" w:themeColor="text1"/>
          <w:sz w:val="24"/>
          <w:highlight w:val="none"/>
        </w:rPr>
        <w:t>个工作日内向采购人提供所投仪器的参数中所有标注“★”参数和标注“●”参数中要求提供证明材料的相关参数的制造商盖章证明材料</w:t>
      </w:r>
      <w:r>
        <w:rPr>
          <w:rFonts w:hint="eastAsia" w:ascii="仿宋" w:hAnsi="仿宋" w:eastAsia="仿宋"/>
          <w:b w:val="0"/>
          <w:bCs/>
          <w:color w:val="000000" w:themeColor="text1"/>
          <w:sz w:val="24"/>
          <w:highlight w:val="none"/>
          <w:lang w:eastAsia="zh-CN"/>
        </w:rPr>
        <w:t>。</w:t>
      </w:r>
      <w:r>
        <w:rPr>
          <w:rFonts w:hint="eastAsia" w:ascii="仿宋" w:hAnsi="仿宋" w:eastAsia="仿宋" w:cs="仿宋"/>
          <w:bCs/>
          <w:color w:val="000000" w:themeColor="text1"/>
          <w:sz w:val="24"/>
          <w:szCs w:val="21"/>
          <w:highlight w:val="none"/>
        </w:rPr>
        <w:t>中标人在中标结果公告发布后7个工作日内提供</w:t>
      </w:r>
      <w:r>
        <w:rPr>
          <w:rFonts w:hint="eastAsia" w:ascii="仿宋" w:hAnsi="仿宋" w:eastAsia="仿宋" w:cs="仿宋"/>
          <w:bCs/>
          <w:color w:val="000000" w:themeColor="text1"/>
          <w:sz w:val="24"/>
          <w:highlight w:val="none"/>
        </w:rPr>
        <w:t>以下产品由制造商盖章的不少于2年质保承诺函，分别是:离子色谱仪、ICP-OES、石墨炉原子吸收分光光度计、</w:t>
      </w:r>
      <w:r>
        <w:rPr>
          <w:rFonts w:hint="eastAsia" w:ascii="仿宋" w:hAnsi="仿宋" w:eastAsia="仿宋" w:cs="宋体"/>
          <w:color w:val="000000" w:themeColor="text1"/>
          <w:sz w:val="24"/>
          <w:szCs w:val="32"/>
          <w:highlight w:val="none"/>
        </w:rPr>
        <w:t>全自动化学需氧量分析仪</w:t>
      </w:r>
      <w:r>
        <w:rPr>
          <w:rFonts w:hint="eastAsia" w:ascii="仿宋" w:hAnsi="仿宋" w:eastAsia="仿宋" w:cs="仿宋"/>
          <w:bCs/>
          <w:color w:val="000000" w:themeColor="text1"/>
          <w:sz w:val="24"/>
          <w:highlight w:val="none"/>
        </w:rPr>
        <w:t>、</w:t>
      </w:r>
      <w:r>
        <w:rPr>
          <w:rFonts w:hint="eastAsia" w:ascii="仿宋" w:hAnsi="仿宋" w:eastAsia="仿宋" w:cs="宋体"/>
          <w:color w:val="000000" w:themeColor="text1"/>
          <w:sz w:val="24"/>
          <w:szCs w:val="32"/>
          <w:highlight w:val="none"/>
        </w:rPr>
        <w:t>全自动总磷总氮分析仪</w:t>
      </w:r>
      <w:r>
        <w:rPr>
          <w:rFonts w:hint="eastAsia" w:ascii="仿宋" w:hAnsi="仿宋" w:eastAsia="仿宋" w:cs="仿宋"/>
          <w:bCs/>
          <w:color w:val="000000" w:themeColor="text1"/>
          <w:sz w:val="24"/>
          <w:highlight w:val="none"/>
        </w:rPr>
        <w:t>、</w:t>
      </w:r>
      <w:r>
        <w:rPr>
          <w:rFonts w:hint="eastAsia" w:ascii="仿宋" w:hAnsi="仿宋" w:eastAsia="仿宋" w:cs="宋体"/>
          <w:color w:val="000000" w:themeColor="text1"/>
          <w:sz w:val="24"/>
          <w:szCs w:val="32"/>
          <w:highlight w:val="none"/>
        </w:rPr>
        <w:t>全自动阴离子挥发酚分析仪</w:t>
      </w:r>
      <w:r>
        <w:rPr>
          <w:rFonts w:hint="eastAsia" w:ascii="仿宋" w:hAnsi="仿宋" w:eastAsia="仿宋" w:cs="仿宋"/>
          <w:bCs/>
          <w:color w:val="000000" w:themeColor="text1"/>
          <w:sz w:val="24"/>
          <w:highlight w:val="none"/>
        </w:rPr>
        <w:t>、</w:t>
      </w:r>
      <w:r>
        <w:rPr>
          <w:rFonts w:hint="eastAsia" w:ascii="仿宋" w:hAnsi="仿宋" w:eastAsia="仿宋" w:cs="宋体"/>
          <w:color w:val="000000" w:themeColor="text1"/>
          <w:sz w:val="24"/>
          <w:szCs w:val="32"/>
          <w:highlight w:val="none"/>
        </w:rPr>
        <w:t>全自动高锰酸盐指数分析仪</w:t>
      </w:r>
      <w:r>
        <w:rPr>
          <w:rFonts w:hint="eastAsia" w:ascii="仿宋" w:hAnsi="仿宋" w:eastAsia="仿宋" w:cs="仿宋"/>
          <w:bCs/>
          <w:color w:val="000000" w:themeColor="text1"/>
          <w:sz w:val="24"/>
          <w:highlight w:val="none"/>
        </w:rPr>
        <w:t>、</w:t>
      </w:r>
      <w:r>
        <w:rPr>
          <w:rFonts w:hint="eastAsia" w:ascii="仿宋" w:hAnsi="仿宋" w:eastAsia="仿宋" w:cs="宋体"/>
          <w:color w:val="000000" w:themeColor="text1"/>
          <w:sz w:val="24"/>
          <w:szCs w:val="32"/>
          <w:highlight w:val="none"/>
        </w:rPr>
        <w:t>自动氰化物分析仪</w:t>
      </w:r>
      <w:r>
        <w:rPr>
          <w:rFonts w:hint="eastAsia" w:ascii="仿宋" w:hAnsi="仿宋" w:eastAsia="仿宋" w:cs="仿宋"/>
          <w:bCs/>
          <w:color w:val="000000" w:themeColor="text1"/>
          <w:sz w:val="24"/>
          <w:highlight w:val="none"/>
        </w:rPr>
        <w:t>、</w:t>
      </w:r>
      <w:r>
        <w:rPr>
          <w:rFonts w:hint="eastAsia" w:ascii="仿宋" w:hAnsi="仿宋" w:eastAsia="仿宋" w:cs="宋体"/>
          <w:color w:val="000000" w:themeColor="text1"/>
          <w:sz w:val="24"/>
          <w:szCs w:val="32"/>
          <w:highlight w:val="none"/>
        </w:rPr>
        <w:t>自动洗瓶机</w:t>
      </w:r>
      <w:r>
        <w:rPr>
          <w:rFonts w:hint="eastAsia" w:ascii="仿宋" w:hAnsi="仿宋" w:eastAsia="仿宋" w:cs="仿宋"/>
          <w:bCs/>
          <w:color w:val="000000" w:themeColor="text1"/>
          <w:sz w:val="24"/>
          <w:highlight w:val="none"/>
        </w:rPr>
        <w:t>、</w:t>
      </w:r>
      <w:r>
        <w:rPr>
          <w:rFonts w:hint="eastAsia" w:ascii="仿宋" w:hAnsi="仿宋" w:eastAsia="仿宋" w:cs="宋体"/>
          <w:color w:val="000000" w:themeColor="text1"/>
          <w:sz w:val="24"/>
          <w:szCs w:val="32"/>
          <w:highlight w:val="none"/>
        </w:rPr>
        <w:t>紫外烟气分析仪</w:t>
      </w:r>
      <w:r>
        <w:rPr>
          <w:rFonts w:hint="eastAsia" w:ascii="仿宋" w:hAnsi="仿宋" w:eastAsia="仿宋" w:cs="仿宋"/>
          <w:bCs/>
          <w:color w:val="000000" w:themeColor="text1"/>
          <w:sz w:val="24"/>
          <w:highlight w:val="none"/>
        </w:rPr>
        <w:t>、</w:t>
      </w:r>
      <w:r>
        <w:rPr>
          <w:rFonts w:hint="eastAsia" w:ascii="仿宋" w:hAnsi="仿宋" w:eastAsia="仿宋" w:cs="宋体"/>
          <w:color w:val="000000" w:themeColor="text1"/>
          <w:sz w:val="24"/>
          <w:szCs w:val="32"/>
          <w:highlight w:val="none"/>
        </w:rPr>
        <w:t>非甲烷总烃监测分析系统、气相分子光谱仪、便携式测油仪。</w:t>
      </w:r>
    </w:p>
    <w:p>
      <w:pPr>
        <w:spacing w:line="360" w:lineRule="auto"/>
        <w:ind w:firstLine="480" w:firstLineChars="200"/>
        <w:outlineLvl w:val="0"/>
        <w:rPr>
          <w:rFonts w:ascii="仿宋" w:hAnsi="仿宋" w:eastAsia="仿宋" w:cs="仿宋"/>
          <w:bCs/>
          <w:color w:val="000000" w:themeColor="text1"/>
          <w:sz w:val="24"/>
          <w:highlight w:val="none"/>
        </w:rPr>
      </w:pPr>
      <w:r>
        <w:rPr>
          <w:rFonts w:hint="eastAsia" w:ascii="仿宋" w:hAnsi="仿宋" w:eastAsia="仿宋" w:cs="宋体"/>
          <w:color w:val="000000" w:themeColor="text1"/>
          <w:sz w:val="24"/>
          <w:szCs w:val="32"/>
          <w:highlight w:val="none"/>
        </w:rPr>
        <w:t>5、本项目采购后，采购人的实验室将进行CMA扩项，因采购人的人员不具备CMA扩项设备技术操作能力，且时间紧，中标人需对采购人相关人员</w:t>
      </w:r>
      <w:r>
        <w:rPr>
          <w:rFonts w:hint="eastAsia" w:ascii="仿宋" w:hAnsi="仿宋" w:eastAsia="仿宋" w:cs="仿宋"/>
          <w:bCs/>
          <w:color w:val="000000" w:themeColor="text1"/>
          <w:sz w:val="24"/>
          <w:highlight w:val="none"/>
        </w:rPr>
        <w:t>提供不少于50人次技术培训，培训地点城建大厦18楼，培训方式为理论加实践，培训效果以被培训对象签字确认为准。（投标人提供承诺书，格式自拟，不提供承诺书作无效标处理）</w:t>
      </w:r>
    </w:p>
    <w:p>
      <w:pPr>
        <w:pStyle w:val="62"/>
        <w:spacing w:before="0" w:after="0" w:line="360" w:lineRule="auto"/>
        <w:ind w:firstLine="468"/>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6、售后服务：一般情况下，采购人设备发生故障，中标人在接到招标人报修通知后，1小时内有效响应，一般故障中标人在到达现场后 4小时内予以排除，特殊故障 48小时内予以排除，并保证采购人仪器设备正常运行。（投标人提供承诺书，格式自拟，不提供承诺书作无效标处理）</w:t>
      </w:r>
    </w:p>
    <w:p>
      <w:pPr>
        <w:pStyle w:val="29"/>
        <w:jc w:val="center"/>
        <w:rPr>
          <w:rFonts w:ascii="黑体" w:hAnsi="黑体" w:eastAsia="黑体"/>
          <w:color w:val="000000" w:themeColor="text1"/>
          <w:sz w:val="36"/>
          <w:szCs w:val="36"/>
          <w:highlight w:val="none"/>
        </w:rPr>
      </w:pPr>
    </w:p>
    <w:p>
      <w:pPr>
        <w:pStyle w:val="29"/>
        <w:jc w:val="center"/>
        <w:rPr>
          <w:rFonts w:ascii="黑体" w:hAnsi="黑体" w:eastAsia="黑体"/>
          <w:color w:val="000000" w:themeColor="text1"/>
          <w:sz w:val="36"/>
          <w:szCs w:val="36"/>
          <w:highlight w:val="none"/>
        </w:rPr>
      </w:pPr>
    </w:p>
    <w:p>
      <w:pPr>
        <w:pStyle w:val="29"/>
        <w:jc w:val="center"/>
        <w:rPr>
          <w:rFonts w:ascii="黑体" w:hAnsi="黑体" w:eastAsia="黑体"/>
          <w:color w:val="000000" w:themeColor="text1"/>
          <w:sz w:val="36"/>
          <w:szCs w:val="36"/>
          <w:highlight w:val="none"/>
        </w:rPr>
      </w:pPr>
      <w:r>
        <w:rPr>
          <w:rFonts w:hint="eastAsia" w:ascii="黑体" w:hAnsi="黑体" w:eastAsia="黑体"/>
          <w:color w:val="000000" w:themeColor="text1"/>
          <w:sz w:val="36"/>
          <w:szCs w:val="36"/>
          <w:highlight w:val="none"/>
        </w:rPr>
        <w:t>第六章 投标文件</w:t>
      </w:r>
    </w:p>
    <w:p>
      <w:pPr>
        <w:pStyle w:val="29"/>
        <w:ind w:firstLine="2640"/>
        <w:rPr>
          <w:rFonts w:ascii="黑体" w:hAnsi="黑体" w:eastAsia="黑体"/>
          <w:color w:val="000000" w:themeColor="text1"/>
          <w:sz w:val="44"/>
          <w:szCs w:val="44"/>
          <w:highlight w:val="none"/>
        </w:rPr>
      </w:pPr>
    </w:p>
    <w:p>
      <w:pPr>
        <w:pStyle w:val="29"/>
        <w:ind w:firstLine="2600"/>
        <w:rPr>
          <w:rFonts w:ascii="黑体" w:hAnsi="黑体" w:eastAsia="黑体"/>
          <w:color w:val="000000" w:themeColor="text1"/>
          <w:sz w:val="52"/>
          <w:szCs w:val="52"/>
          <w:highlight w:val="none"/>
        </w:rPr>
      </w:pPr>
    </w:p>
    <w:p>
      <w:pPr>
        <w:pStyle w:val="29"/>
        <w:ind w:firstLine="2600"/>
        <w:rPr>
          <w:rFonts w:ascii="黑体" w:hAnsi="黑体" w:eastAsia="黑体"/>
          <w:color w:val="000000" w:themeColor="text1"/>
          <w:sz w:val="52"/>
          <w:szCs w:val="52"/>
          <w:highlight w:val="none"/>
        </w:rPr>
      </w:pPr>
    </w:p>
    <w:p>
      <w:pPr>
        <w:pStyle w:val="29"/>
        <w:jc w:val="center"/>
        <w:rPr>
          <w:rFonts w:ascii="黑体" w:hAnsi="黑体" w:eastAsia="黑体"/>
          <w:color w:val="000000" w:themeColor="text1"/>
          <w:sz w:val="52"/>
          <w:szCs w:val="52"/>
          <w:highlight w:val="none"/>
        </w:rPr>
      </w:pPr>
      <w:r>
        <w:rPr>
          <w:rFonts w:hint="eastAsia" w:ascii="黑体" w:hAnsi="黑体" w:eastAsia="黑体"/>
          <w:color w:val="000000" w:themeColor="text1"/>
          <w:sz w:val="52"/>
          <w:szCs w:val="52"/>
          <w:highlight w:val="none"/>
        </w:rPr>
        <w:t>投标文件</w:t>
      </w:r>
    </w:p>
    <w:p>
      <w:pPr>
        <w:pStyle w:val="29"/>
        <w:rPr>
          <w:rFonts w:ascii="黑体" w:hAnsi="黑体" w:eastAsia="黑体"/>
          <w:color w:val="000000" w:themeColor="text1"/>
          <w:sz w:val="44"/>
          <w:szCs w:val="44"/>
          <w:highlight w:val="none"/>
        </w:rPr>
      </w:pPr>
    </w:p>
    <w:p>
      <w:pPr>
        <w:pStyle w:val="29"/>
        <w:rPr>
          <w:rFonts w:ascii="黑体" w:hAnsi="黑体" w:eastAsia="黑体"/>
          <w:color w:val="000000" w:themeColor="text1"/>
          <w:sz w:val="32"/>
          <w:highlight w:val="none"/>
        </w:rPr>
      </w:pPr>
    </w:p>
    <w:p>
      <w:pPr>
        <w:pStyle w:val="29"/>
        <w:rPr>
          <w:rFonts w:ascii="黑体" w:hAnsi="黑体" w:eastAsia="黑体"/>
          <w:color w:val="000000" w:themeColor="text1"/>
          <w:sz w:val="32"/>
          <w:highlight w:val="none"/>
        </w:rPr>
      </w:pPr>
    </w:p>
    <w:p>
      <w:pPr>
        <w:spacing w:line="400" w:lineRule="exact"/>
        <w:ind w:firstLine="1440"/>
        <w:rPr>
          <w:rFonts w:ascii="黑体" w:hAnsi="黑体" w:eastAsia="黑体"/>
          <w:color w:val="000000" w:themeColor="text1"/>
          <w:sz w:val="36"/>
          <w:highlight w:val="none"/>
        </w:rPr>
      </w:pPr>
      <w:r>
        <w:rPr>
          <w:rFonts w:hint="eastAsia" w:ascii="黑体" w:hAnsi="黑体" w:eastAsia="黑体"/>
          <w:color w:val="000000" w:themeColor="text1"/>
          <w:sz w:val="36"/>
          <w:highlight w:val="none"/>
        </w:rPr>
        <w:t>项目名称:</w:t>
      </w:r>
    </w:p>
    <w:p>
      <w:pPr>
        <w:pStyle w:val="29"/>
        <w:rPr>
          <w:rFonts w:ascii="黑体" w:hAnsi="黑体" w:eastAsia="黑体"/>
          <w:color w:val="000000" w:themeColor="text1"/>
          <w:sz w:val="32"/>
          <w:highlight w:val="none"/>
        </w:rPr>
      </w:pPr>
    </w:p>
    <w:p>
      <w:pPr>
        <w:pStyle w:val="29"/>
        <w:ind w:firstLine="1062"/>
        <w:rPr>
          <w:rFonts w:ascii="黑体" w:hAnsi="黑体" w:eastAsia="黑体"/>
          <w:color w:val="000000" w:themeColor="text1"/>
          <w:sz w:val="36"/>
          <w:highlight w:val="none"/>
        </w:rPr>
      </w:pPr>
    </w:p>
    <w:p>
      <w:pPr>
        <w:pStyle w:val="29"/>
        <w:ind w:firstLine="1062"/>
        <w:rPr>
          <w:rFonts w:ascii="黑体" w:hAnsi="黑体" w:eastAsia="黑体"/>
          <w:color w:val="000000" w:themeColor="text1"/>
          <w:sz w:val="36"/>
          <w:highlight w:val="none"/>
        </w:rPr>
      </w:pPr>
    </w:p>
    <w:p>
      <w:pPr>
        <w:pStyle w:val="29"/>
        <w:ind w:firstLine="1422"/>
        <w:rPr>
          <w:rFonts w:ascii="黑体" w:hAnsi="黑体" w:eastAsia="黑体"/>
          <w:color w:val="000000" w:themeColor="text1"/>
          <w:sz w:val="36"/>
          <w:highlight w:val="none"/>
        </w:rPr>
      </w:pPr>
      <w:r>
        <w:rPr>
          <w:rFonts w:hint="eastAsia" w:ascii="黑体" w:hAnsi="黑体" w:eastAsia="黑体"/>
          <w:color w:val="000000" w:themeColor="text1"/>
          <w:sz w:val="36"/>
          <w:highlight w:val="none"/>
        </w:rPr>
        <w:t>项目编号:</w:t>
      </w:r>
    </w:p>
    <w:p>
      <w:pPr>
        <w:spacing w:line="400" w:lineRule="exact"/>
        <w:rPr>
          <w:rFonts w:ascii="黑体" w:hAnsi="黑体" w:eastAsia="黑体"/>
          <w:color w:val="000000" w:themeColor="text1"/>
          <w:sz w:val="32"/>
          <w:szCs w:val="20"/>
          <w:highlight w:val="none"/>
        </w:rPr>
      </w:pPr>
    </w:p>
    <w:p>
      <w:pPr>
        <w:spacing w:line="400" w:lineRule="exact"/>
        <w:rPr>
          <w:rFonts w:ascii="黑体" w:hAnsi="黑体" w:eastAsia="黑体"/>
          <w:color w:val="000000" w:themeColor="text1"/>
          <w:sz w:val="32"/>
          <w:szCs w:val="20"/>
          <w:highlight w:val="none"/>
        </w:rPr>
      </w:pPr>
    </w:p>
    <w:p>
      <w:pPr>
        <w:spacing w:line="400" w:lineRule="exact"/>
        <w:rPr>
          <w:rFonts w:ascii="黑体" w:hAnsi="黑体" w:eastAsia="黑体"/>
          <w:color w:val="000000" w:themeColor="text1"/>
          <w:sz w:val="32"/>
          <w:szCs w:val="20"/>
          <w:highlight w:val="none"/>
        </w:rPr>
      </w:pPr>
    </w:p>
    <w:p>
      <w:pPr>
        <w:spacing w:line="400" w:lineRule="exact"/>
        <w:rPr>
          <w:rFonts w:ascii="黑体" w:hAnsi="黑体" w:eastAsia="黑体"/>
          <w:color w:val="000000" w:themeColor="text1"/>
          <w:sz w:val="32"/>
          <w:szCs w:val="20"/>
          <w:highlight w:val="none"/>
        </w:rPr>
      </w:pPr>
    </w:p>
    <w:p>
      <w:pPr>
        <w:spacing w:line="400" w:lineRule="exact"/>
        <w:rPr>
          <w:rFonts w:ascii="黑体" w:hAnsi="黑体" w:eastAsia="黑体"/>
          <w:color w:val="000000" w:themeColor="text1"/>
          <w:sz w:val="32"/>
          <w:szCs w:val="20"/>
          <w:highlight w:val="none"/>
        </w:rPr>
      </w:pPr>
    </w:p>
    <w:p>
      <w:pPr>
        <w:spacing w:line="400" w:lineRule="exact"/>
        <w:ind w:firstLine="1422"/>
        <w:rPr>
          <w:rFonts w:ascii="黑体" w:hAnsi="黑体" w:eastAsia="黑体"/>
          <w:color w:val="000000" w:themeColor="text1"/>
          <w:sz w:val="32"/>
          <w:highlight w:val="none"/>
        </w:rPr>
      </w:pPr>
      <w:r>
        <w:rPr>
          <w:rFonts w:hint="eastAsia" w:ascii="黑体" w:hAnsi="黑体" w:eastAsia="黑体"/>
          <w:color w:val="000000" w:themeColor="text1"/>
          <w:sz w:val="36"/>
          <w:highlight w:val="none"/>
        </w:rPr>
        <w:t>投标人:</w:t>
      </w:r>
      <w:r>
        <w:rPr>
          <w:rFonts w:hint="eastAsia" w:ascii="宋体" w:hAnsi="宋体"/>
          <w:color w:val="000000" w:themeColor="text1"/>
          <w:sz w:val="36"/>
          <w:highlight w:val="none"/>
        </w:rPr>
        <w:t>（加盖CA电子公章）</w:t>
      </w:r>
    </w:p>
    <w:p>
      <w:pPr>
        <w:pStyle w:val="29"/>
        <w:ind w:firstLine="1904"/>
        <w:rPr>
          <w:rFonts w:ascii="黑体" w:hAnsi="黑体" w:eastAsia="黑体"/>
          <w:color w:val="000000" w:themeColor="text1"/>
          <w:sz w:val="32"/>
          <w:highlight w:val="none"/>
        </w:rPr>
      </w:pPr>
    </w:p>
    <w:p>
      <w:pPr>
        <w:pStyle w:val="29"/>
        <w:ind w:firstLine="1904"/>
        <w:rPr>
          <w:rFonts w:ascii="黑体" w:hAnsi="黑体" w:eastAsia="黑体"/>
          <w:color w:val="000000" w:themeColor="text1"/>
          <w:sz w:val="32"/>
          <w:highlight w:val="none"/>
        </w:rPr>
      </w:pPr>
    </w:p>
    <w:p>
      <w:pPr>
        <w:pStyle w:val="29"/>
        <w:ind w:firstLine="1904"/>
        <w:rPr>
          <w:rFonts w:ascii="黑体" w:hAnsi="黑体" w:eastAsia="黑体"/>
          <w:color w:val="000000" w:themeColor="text1"/>
          <w:sz w:val="32"/>
          <w:highlight w:val="none"/>
        </w:rPr>
      </w:pPr>
    </w:p>
    <w:p>
      <w:pPr>
        <w:pStyle w:val="29"/>
        <w:ind w:firstLine="2635"/>
        <w:rPr>
          <w:rFonts w:ascii="黑体" w:hAnsi="黑体" w:eastAsia="黑体"/>
          <w:b/>
          <w:color w:val="000000" w:themeColor="text1"/>
          <w:sz w:val="32"/>
          <w:highlight w:val="none"/>
        </w:rPr>
      </w:pPr>
      <w:r>
        <w:rPr>
          <w:rFonts w:hint="eastAsia" w:ascii="黑体" w:hAnsi="黑体" w:eastAsia="黑体"/>
          <w:color w:val="000000" w:themeColor="text1"/>
          <w:sz w:val="36"/>
          <w:highlight w:val="none"/>
        </w:rPr>
        <w:t>二0二四年 月 日</w:t>
      </w:r>
    </w:p>
    <w:p>
      <w:pPr>
        <w:spacing w:line="520" w:lineRule="exact"/>
        <w:rPr>
          <w:rFonts w:ascii="仿宋" w:hAnsi="仿宋" w:eastAsia="仿宋"/>
          <w:color w:val="000000" w:themeColor="text1"/>
          <w:sz w:val="28"/>
          <w:szCs w:val="28"/>
          <w:highlight w:val="none"/>
        </w:rPr>
      </w:pPr>
    </w:p>
    <w:p>
      <w:pPr>
        <w:spacing w:line="520" w:lineRule="exact"/>
        <w:rPr>
          <w:rFonts w:ascii="仿宋" w:hAnsi="仿宋" w:eastAsia="仿宋"/>
          <w:color w:val="000000" w:themeColor="text1"/>
          <w:sz w:val="28"/>
          <w:szCs w:val="28"/>
          <w:highlight w:val="none"/>
        </w:rPr>
      </w:pPr>
    </w:p>
    <w:p>
      <w:pPr>
        <w:spacing w:line="520" w:lineRule="exact"/>
        <w:rPr>
          <w:rFonts w:ascii="仿宋" w:hAnsi="仿宋" w:eastAsia="仿宋"/>
          <w:color w:val="000000" w:themeColor="text1"/>
          <w:sz w:val="28"/>
          <w:szCs w:val="28"/>
          <w:highlight w:val="none"/>
        </w:rPr>
      </w:pPr>
    </w:p>
    <w:p>
      <w:pPr>
        <w:pStyle w:val="62"/>
        <w:rPr>
          <w:color w:val="000000" w:themeColor="text1"/>
          <w:highlight w:val="none"/>
        </w:rPr>
      </w:pPr>
    </w:p>
    <w:p>
      <w:pPr>
        <w:pStyle w:val="3"/>
        <w:spacing w:before="0" w:after="0" w:line="300" w:lineRule="auto"/>
        <w:ind w:left="420"/>
        <w:jc w:val="center"/>
        <w:rPr>
          <w:rFonts w:ascii="仿宋" w:hAnsi="仿宋" w:eastAsia="仿宋"/>
          <w:b/>
          <w:bCs/>
          <w:color w:val="000000" w:themeColor="text1"/>
          <w:sz w:val="30"/>
          <w:szCs w:val="30"/>
          <w:highlight w:val="none"/>
        </w:rPr>
      </w:pPr>
      <w:r>
        <w:rPr>
          <w:rFonts w:hint="eastAsia" w:ascii="仿宋" w:hAnsi="仿宋" w:eastAsia="仿宋"/>
          <w:b/>
          <w:bCs/>
          <w:color w:val="000000" w:themeColor="text1"/>
          <w:sz w:val="30"/>
          <w:szCs w:val="30"/>
          <w:highlight w:val="none"/>
        </w:rPr>
        <w:t>一、投标函</w:t>
      </w:r>
    </w:p>
    <w:p>
      <w:pPr>
        <w:pStyle w:val="29"/>
        <w:spacing w:line="360" w:lineRule="auto"/>
        <w:rPr>
          <w:rFonts w:ascii="仿宋" w:hAnsi="仿宋" w:eastAsia="仿宋"/>
          <w:color w:val="000000" w:themeColor="text1"/>
          <w:sz w:val="24"/>
          <w:highlight w:val="none"/>
        </w:rPr>
      </w:pPr>
      <w:r>
        <w:rPr>
          <w:rFonts w:hint="eastAsia" w:ascii="仿宋" w:hAnsi="仿宋" w:eastAsia="仿宋"/>
          <w:color w:val="000000" w:themeColor="text1"/>
          <w:sz w:val="24"/>
          <w:highlight w:val="none"/>
          <w:u w:val="single"/>
        </w:rPr>
        <w:t>（采购人名称）</w:t>
      </w:r>
      <w:r>
        <w:rPr>
          <w:rFonts w:hint="eastAsia" w:ascii="仿宋" w:hAnsi="仿宋" w:eastAsia="仿宋"/>
          <w:color w:val="000000" w:themeColor="text1"/>
          <w:sz w:val="24"/>
          <w:highlight w:val="none"/>
        </w:rPr>
        <w:t>:</w:t>
      </w:r>
    </w:p>
    <w:p>
      <w:pPr>
        <w:pStyle w:val="151"/>
        <w:spacing w:line="360" w:lineRule="auto"/>
        <w:ind w:firstLine="600"/>
        <w:rPr>
          <w:rFonts w:ascii="仿宋" w:hAnsi="仿宋" w:eastAsia="仿宋"/>
          <w:color w:val="000000" w:themeColor="text1"/>
          <w:sz w:val="24"/>
          <w:highlight w:val="none"/>
        </w:rPr>
      </w:pPr>
      <w:r>
        <w:rPr>
          <w:rFonts w:hint="eastAsia" w:ascii="仿宋" w:hAnsi="仿宋" w:eastAsia="仿宋"/>
          <w:color w:val="000000" w:themeColor="text1"/>
          <w:sz w:val="24"/>
          <w:highlight w:val="none"/>
        </w:rPr>
        <w:t>关于</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采购项目（项目编号:</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）招标文件（包括更正公告、如果有的话）收悉，我们经详细审阅和研究，现决定参加投标。同时，正式授权下述签字人</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（姓名和职务）代表</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（投标人单位名称），全权处理本次项目投标的有关事宜。</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1、我公司没有</w:t>
      </w:r>
      <w:r>
        <w:rPr>
          <w:rFonts w:ascii="仿宋" w:hAnsi="仿宋" w:eastAsia="仿宋"/>
          <w:color w:val="000000" w:themeColor="text1"/>
          <w:sz w:val="24"/>
          <w:highlight w:val="none"/>
        </w:rPr>
        <w:t>为</w:t>
      </w:r>
      <w:r>
        <w:rPr>
          <w:rFonts w:hint="eastAsia" w:ascii="仿宋" w:hAnsi="仿宋" w:eastAsia="仿宋"/>
          <w:color w:val="000000" w:themeColor="text1"/>
          <w:sz w:val="24"/>
          <w:highlight w:val="none"/>
        </w:rPr>
        <w:t>本</w:t>
      </w:r>
      <w:r>
        <w:rPr>
          <w:rFonts w:ascii="仿宋" w:hAnsi="仿宋" w:eastAsia="仿宋"/>
          <w:color w:val="000000" w:themeColor="text1"/>
          <w:sz w:val="24"/>
          <w:highlight w:val="none"/>
        </w:rPr>
        <w:t>项目提供整体设计、规范编制或者项目管理、监理、检测等服务。</w:t>
      </w:r>
    </w:p>
    <w:p>
      <w:pPr>
        <w:spacing w:line="360" w:lineRule="auto"/>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2、参加本次采购活动前，我方没有被“信用中国”网站、“中国政府采购网”列入失信被执行人名单、重大税收违法案件当事人名单、政府采购严重违法失信行为记录名单。</w:t>
      </w:r>
    </w:p>
    <w:p>
      <w:pPr>
        <w:pStyle w:val="129"/>
        <w:spacing w:before="0" w:after="0"/>
        <w:ind w:firstLine="560"/>
        <w:rPr>
          <w:rFonts w:ascii="仿宋" w:hAnsi="仿宋" w:eastAsia="仿宋"/>
          <w:color w:val="000000" w:themeColor="text1"/>
          <w:highlight w:val="none"/>
        </w:rPr>
      </w:pPr>
      <w:r>
        <w:rPr>
          <w:rFonts w:hint="eastAsia" w:ascii="仿宋" w:hAnsi="仿宋" w:eastAsia="仿宋"/>
          <w:color w:val="000000" w:themeColor="text1"/>
          <w:highlight w:val="none"/>
        </w:rPr>
        <w:t>3、我们接受招标文件的所有的条款和规定。</w:t>
      </w:r>
    </w:p>
    <w:p>
      <w:pPr>
        <w:pStyle w:val="129"/>
        <w:spacing w:before="0" w:after="0"/>
        <w:ind w:firstLine="560"/>
        <w:rPr>
          <w:rFonts w:ascii="仿宋" w:hAnsi="仿宋" w:eastAsia="仿宋"/>
          <w:color w:val="000000" w:themeColor="text1"/>
          <w:highlight w:val="none"/>
        </w:rPr>
      </w:pPr>
      <w:r>
        <w:rPr>
          <w:rFonts w:hint="eastAsia" w:ascii="仿宋" w:hAnsi="仿宋" w:eastAsia="仿宋"/>
          <w:color w:val="000000" w:themeColor="text1"/>
          <w:highlight w:val="none"/>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pPr>
        <w:pStyle w:val="129"/>
        <w:spacing w:before="0" w:after="0"/>
        <w:ind w:firstLine="560"/>
        <w:rPr>
          <w:rFonts w:ascii="仿宋" w:hAnsi="仿宋" w:eastAsia="仿宋"/>
          <w:color w:val="000000" w:themeColor="text1"/>
          <w:highlight w:val="none"/>
        </w:rPr>
      </w:pPr>
      <w:r>
        <w:rPr>
          <w:rFonts w:hint="eastAsia" w:ascii="仿宋" w:hAnsi="仿宋" w:eastAsia="仿宋"/>
          <w:color w:val="000000" w:themeColor="text1"/>
          <w:highlight w:val="none"/>
        </w:rPr>
        <w:t>5、我们理解，你们无义务必须接受投标价最低的投标。同时也理解你们不承担我们本次投标的费用。</w:t>
      </w:r>
    </w:p>
    <w:p>
      <w:pPr>
        <w:pStyle w:val="129"/>
        <w:spacing w:before="0" w:after="0"/>
        <w:ind w:firstLine="560"/>
        <w:rPr>
          <w:rFonts w:ascii="仿宋" w:hAnsi="仿宋" w:eastAsia="仿宋"/>
          <w:color w:val="000000" w:themeColor="text1"/>
          <w:highlight w:val="none"/>
        </w:rPr>
      </w:pPr>
      <w:r>
        <w:rPr>
          <w:rFonts w:hint="eastAsia" w:ascii="仿宋" w:hAnsi="仿宋" w:eastAsia="仿宋"/>
          <w:color w:val="000000" w:themeColor="text1"/>
          <w:highlight w:val="none"/>
        </w:rPr>
        <w:t>6、我们同意向贵方提供贵方可能要求的与投标有关的任何证据或资料，并保证所提供的都是真实的、准确的。</w:t>
      </w:r>
    </w:p>
    <w:p>
      <w:pPr>
        <w:pStyle w:val="129"/>
        <w:spacing w:before="0" w:after="0"/>
        <w:ind w:firstLine="560"/>
        <w:rPr>
          <w:rFonts w:ascii="仿宋" w:hAnsi="仿宋" w:eastAsia="仿宋"/>
          <w:color w:val="000000" w:themeColor="text1"/>
          <w:highlight w:val="none"/>
        </w:rPr>
      </w:pPr>
      <w:r>
        <w:rPr>
          <w:rFonts w:hint="eastAsia" w:ascii="仿宋" w:hAnsi="仿宋" w:eastAsia="仿宋"/>
          <w:color w:val="000000" w:themeColor="text1"/>
          <w:highlight w:val="none"/>
        </w:rPr>
        <w:t>7、一旦我方中标，我方将根据招标文件的规定，严格履行合同的责任和义务，并保证在按招标文件中规定的时间内供货，并完成项目的施工、调试、交付买方验收、使用。</w:t>
      </w:r>
    </w:p>
    <w:p>
      <w:pPr>
        <w:pStyle w:val="151"/>
        <w:spacing w:line="360" w:lineRule="auto"/>
        <w:ind w:right="560" w:firstLine="2160"/>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投标人名称（电子签章）:</w:t>
      </w:r>
      <w:r>
        <w:rPr>
          <w:rFonts w:hint="eastAsia" w:ascii="仿宋" w:hAnsi="仿宋" w:eastAsia="仿宋"/>
          <w:color w:val="000000" w:themeColor="text1"/>
          <w:sz w:val="24"/>
          <w:highlight w:val="none"/>
          <w:u w:val="single"/>
        </w:rPr>
        <w:t xml:space="preserve">                  </w:t>
      </w:r>
    </w:p>
    <w:p>
      <w:pPr>
        <w:pStyle w:val="151"/>
        <w:spacing w:line="360" w:lineRule="auto"/>
        <w:ind w:right="560" w:firstLine="2520"/>
        <w:rPr>
          <w:rFonts w:ascii="仿宋" w:hAnsi="仿宋" w:eastAsia="仿宋"/>
          <w:color w:val="000000" w:themeColor="text1"/>
          <w:sz w:val="24"/>
          <w:highlight w:val="none"/>
        </w:rPr>
      </w:pPr>
      <w:r>
        <w:rPr>
          <w:rFonts w:hint="eastAsia" w:ascii="仿宋" w:hAnsi="仿宋" w:eastAsia="仿宋"/>
          <w:color w:val="000000" w:themeColor="text1"/>
          <w:sz w:val="24"/>
          <w:highlight w:val="none"/>
        </w:rPr>
        <w:t xml:space="preserve">地址: </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邮编:</w:t>
      </w:r>
      <w:r>
        <w:rPr>
          <w:rFonts w:hint="eastAsia" w:ascii="仿宋" w:hAnsi="仿宋" w:eastAsia="仿宋"/>
          <w:color w:val="000000" w:themeColor="text1"/>
          <w:sz w:val="24"/>
          <w:highlight w:val="none"/>
          <w:u w:val="single"/>
        </w:rPr>
        <w:t xml:space="preserve">                   </w:t>
      </w:r>
    </w:p>
    <w:p>
      <w:pPr>
        <w:spacing w:line="360" w:lineRule="auto"/>
        <w:ind w:right="560" w:firstLine="2520"/>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电话:</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传真:</w:t>
      </w:r>
      <w:r>
        <w:rPr>
          <w:rFonts w:hint="eastAsia" w:ascii="仿宋" w:hAnsi="仿宋" w:eastAsia="仿宋"/>
          <w:color w:val="000000" w:themeColor="text1"/>
          <w:sz w:val="24"/>
          <w:highlight w:val="none"/>
          <w:u w:val="single"/>
        </w:rPr>
        <w:t xml:space="preserve">                   </w:t>
      </w:r>
    </w:p>
    <w:p>
      <w:pPr>
        <w:pStyle w:val="29"/>
        <w:spacing w:line="360" w:lineRule="auto"/>
        <w:ind w:right="560" w:firstLine="2520"/>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 xml:space="preserve">法定代表人（电子签章或电子签字）: </w:t>
      </w:r>
      <w:r>
        <w:rPr>
          <w:rFonts w:hint="eastAsia" w:ascii="仿宋" w:hAnsi="仿宋" w:eastAsia="仿宋"/>
          <w:color w:val="000000" w:themeColor="text1"/>
          <w:sz w:val="24"/>
          <w:highlight w:val="none"/>
          <w:u w:val="single"/>
        </w:rPr>
        <w:t xml:space="preserve">       </w:t>
      </w:r>
    </w:p>
    <w:p>
      <w:pPr>
        <w:pStyle w:val="29"/>
        <w:spacing w:line="360" w:lineRule="auto"/>
        <w:ind w:right="560" w:firstLine="2520"/>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职务:</w:t>
      </w:r>
      <w:r>
        <w:rPr>
          <w:rFonts w:hint="eastAsia" w:ascii="仿宋" w:hAnsi="仿宋" w:eastAsia="仿宋"/>
          <w:color w:val="000000" w:themeColor="text1"/>
          <w:sz w:val="24"/>
          <w:highlight w:val="none"/>
          <w:u w:val="single"/>
        </w:rPr>
        <w:t xml:space="preserve">                      </w:t>
      </w:r>
    </w:p>
    <w:p>
      <w:pPr>
        <w:pStyle w:val="29"/>
        <w:spacing w:line="360" w:lineRule="auto"/>
        <w:ind w:right="560" w:firstLine="2642" w:firstLineChars="1101"/>
        <w:rPr>
          <w:rFonts w:ascii="仿宋" w:hAnsi="仿宋" w:eastAsia="仿宋"/>
          <w:color w:val="000000" w:themeColor="text1"/>
          <w:sz w:val="24"/>
          <w:highlight w:val="none"/>
        </w:rPr>
      </w:pPr>
      <w:r>
        <w:rPr>
          <w:rFonts w:hint="eastAsia" w:ascii="仿宋" w:hAnsi="仿宋" w:eastAsia="仿宋"/>
          <w:color w:val="000000" w:themeColor="text1"/>
          <w:sz w:val="24"/>
          <w:highlight w:val="none"/>
        </w:rPr>
        <w:t>日期:  年 月 日</w:t>
      </w:r>
    </w:p>
    <w:p>
      <w:pPr>
        <w:pStyle w:val="3"/>
        <w:spacing w:before="0" w:after="0" w:line="300" w:lineRule="auto"/>
        <w:ind w:left="420"/>
        <w:jc w:val="center"/>
        <w:rPr>
          <w:rFonts w:ascii="仿宋" w:hAnsi="仿宋" w:eastAsia="仿宋"/>
          <w:b/>
          <w:bCs/>
          <w:color w:val="000000" w:themeColor="text1"/>
          <w:sz w:val="30"/>
          <w:szCs w:val="30"/>
          <w:highlight w:val="none"/>
        </w:rPr>
      </w:pPr>
      <w:bookmarkStart w:id="170" w:name="_Toc455416580"/>
    </w:p>
    <w:p>
      <w:pPr>
        <w:pStyle w:val="3"/>
        <w:spacing w:before="0" w:after="0" w:line="300" w:lineRule="auto"/>
        <w:ind w:left="420"/>
        <w:jc w:val="center"/>
        <w:rPr>
          <w:rFonts w:ascii="仿宋" w:hAnsi="仿宋" w:eastAsia="仿宋"/>
          <w:b/>
          <w:bCs/>
          <w:color w:val="000000" w:themeColor="text1"/>
          <w:sz w:val="30"/>
          <w:szCs w:val="30"/>
          <w:highlight w:val="none"/>
        </w:rPr>
      </w:pPr>
      <w:r>
        <w:rPr>
          <w:rFonts w:hint="eastAsia" w:ascii="仿宋" w:hAnsi="仿宋" w:eastAsia="仿宋"/>
          <w:b/>
          <w:bCs/>
          <w:color w:val="000000" w:themeColor="text1"/>
          <w:sz w:val="30"/>
          <w:szCs w:val="30"/>
          <w:highlight w:val="none"/>
        </w:rPr>
        <w:t>二、开标一览表</w:t>
      </w:r>
      <w:bookmarkEnd w:id="170"/>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0"/>
        <w:gridCol w:w="70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3" w:hRule="exact"/>
        </w:trPr>
        <w:tc>
          <w:tcPr>
            <w:tcW w:w="1440" w:type="dxa"/>
            <w:vAlign w:val="center"/>
          </w:tcPr>
          <w:p>
            <w:pPr>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项目名称</w:t>
            </w:r>
          </w:p>
        </w:tc>
        <w:tc>
          <w:tcPr>
            <w:tcW w:w="7020" w:type="dxa"/>
            <w:vAlign w:val="center"/>
          </w:tcPr>
          <w:p>
            <w:pPr>
              <w:tabs>
                <w:tab w:val="left" w:pos="900"/>
              </w:tabs>
              <w:spacing w:line="440" w:lineRule="exact"/>
              <w:jc w:val="center"/>
              <w:rPr>
                <w:rFonts w:ascii="仿宋" w:hAnsi="仿宋" w:eastAsia="仿宋"/>
                <w:b/>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24" w:hRule="atLeast"/>
        </w:trPr>
        <w:tc>
          <w:tcPr>
            <w:tcW w:w="1440" w:type="dxa"/>
            <w:vAlign w:val="center"/>
          </w:tcPr>
          <w:p>
            <w:pPr>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投标报价</w:t>
            </w:r>
          </w:p>
          <w:p>
            <w:pPr>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总价</w:t>
            </w:r>
          </w:p>
        </w:tc>
        <w:tc>
          <w:tcPr>
            <w:tcW w:w="7020" w:type="dxa"/>
            <w:vAlign w:val="center"/>
          </w:tcPr>
          <w:p>
            <w:pPr>
              <w:spacing w:line="360" w:lineRule="auto"/>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（小写）</w:t>
            </w:r>
            <w:r>
              <w:rPr>
                <w:rFonts w:hint="eastAsia" w:ascii="宋体" w:hAnsi="宋体" w:cs="宋体"/>
                <w:color w:val="000000" w:themeColor="text1"/>
                <w:sz w:val="24"/>
                <w:highlight w:val="none"/>
              </w:rPr>
              <w:t>¥</w:t>
            </w:r>
            <w:r>
              <w:rPr>
                <w:rFonts w:hint="eastAsia" w:ascii="宋体" w:hAnsi="宋体" w:cs="宋体"/>
                <w:color w:val="000000" w:themeColor="text1"/>
                <w:sz w:val="24"/>
                <w:highlight w:val="none"/>
                <w:u w:val="single"/>
              </w:rPr>
              <w:t xml:space="preserve">                 </w:t>
            </w:r>
          </w:p>
          <w:p>
            <w:pPr>
              <w:spacing w:line="360" w:lineRule="auto"/>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（大写）人民币</w:t>
            </w:r>
            <w:r>
              <w:rPr>
                <w:rFonts w:hint="eastAsia" w:ascii="仿宋" w:hAnsi="仿宋" w:eastAsia="仿宋"/>
                <w:color w:val="000000" w:themeColor="text1"/>
                <w:sz w:val="24"/>
                <w:highlight w:val="none"/>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7" w:hRule="atLeast"/>
        </w:trPr>
        <w:tc>
          <w:tcPr>
            <w:tcW w:w="1440" w:type="dxa"/>
            <w:vAlign w:val="center"/>
          </w:tcPr>
          <w:p>
            <w:pPr>
              <w:spacing w:line="360" w:lineRule="auto"/>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供货时间</w:t>
            </w:r>
          </w:p>
        </w:tc>
        <w:tc>
          <w:tcPr>
            <w:tcW w:w="7020" w:type="dxa"/>
            <w:vAlign w:val="center"/>
          </w:tcPr>
          <w:p>
            <w:pPr>
              <w:spacing w:line="6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按招标文件要求执行。</w:t>
            </w:r>
          </w:p>
        </w:tc>
      </w:tr>
    </w:tbl>
    <w:p>
      <w:pPr>
        <w:spacing w:line="520" w:lineRule="exact"/>
        <w:rPr>
          <w:rFonts w:ascii="仿宋" w:hAnsi="仿宋" w:eastAsia="仿宋"/>
          <w:color w:val="000000" w:themeColor="text1"/>
          <w:sz w:val="28"/>
          <w:szCs w:val="28"/>
          <w:highlight w:val="none"/>
        </w:rPr>
      </w:pPr>
    </w:p>
    <w:p>
      <w:pPr>
        <w:spacing w:line="520" w:lineRule="exact"/>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投标人：</w:t>
      </w:r>
      <w:r>
        <w:rPr>
          <w:rFonts w:hint="eastAsia" w:ascii="仿宋" w:hAnsi="仿宋" w:eastAsia="仿宋"/>
          <w:color w:val="000000" w:themeColor="text1"/>
          <w:sz w:val="24"/>
          <w:highlight w:val="none"/>
          <w:u w:val="single"/>
        </w:rPr>
        <w:t>（电子签章）</w:t>
      </w:r>
    </w:p>
    <w:p>
      <w:pPr>
        <w:spacing w:line="520" w:lineRule="exact"/>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法定代表人：</w:t>
      </w:r>
      <w:r>
        <w:rPr>
          <w:rFonts w:hint="eastAsia" w:ascii="仿宋" w:hAnsi="仿宋" w:eastAsia="仿宋"/>
          <w:bCs/>
          <w:color w:val="000000" w:themeColor="text1"/>
          <w:sz w:val="24"/>
          <w:highlight w:val="none"/>
          <w:u w:val="single"/>
        </w:rPr>
        <w:t>（电子签章或电子签字）</w:t>
      </w:r>
    </w:p>
    <w:p>
      <w:pPr>
        <w:spacing w:line="440" w:lineRule="exact"/>
        <w:ind w:firstLine="480"/>
        <w:rPr>
          <w:rFonts w:ascii="仿宋" w:hAnsi="仿宋" w:eastAsia="仿宋"/>
          <w:color w:val="000000" w:themeColor="text1"/>
          <w:sz w:val="24"/>
          <w:highlight w:val="none"/>
        </w:rPr>
      </w:pPr>
    </w:p>
    <w:p>
      <w:pPr>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注:</w:t>
      </w:r>
    </w:p>
    <w:p>
      <w:pPr>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（1）投标报价总计为招标文件中所述内容。</w:t>
      </w:r>
    </w:p>
    <w:p>
      <w:pPr>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（2）开标一览表格式不得自行改动。</w:t>
      </w:r>
      <w:bookmarkStart w:id="171" w:name="_Toc157775459"/>
      <w:bookmarkEnd w:id="171"/>
      <w:bookmarkStart w:id="172" w:name="_Toc136924766"/>
      <w:bookmarkEnd w:id="172"/>
    </w:p>
    <w:p>
      <w:pPr>
        <w:pStyle w:val="29"/>
        <w:ind w:firstLine="2875"/>
        <w:rPr>
          <w:rFonts w:ascii="仿宋" w:hAnsi="仿宋" w:eastAsia="仿宋"/>
          <w:b/>
          <w:color w:val="000000" w:themeColor="text1"/>
          <w:sz w:val="24"/>
          <w:highlight w:val="none"/>
        </w:rPr>
      </w:pPr>
      <w:bookmarkStart w:id="173" w:name="_Toc157775468"/>
    </w:p>
    <w:p>
      <w:pPr>
        <w:pStyle w:val="29"/>
        <w:ind w:firstLine="2875"/>
        <w:rPr>
          <w:rFonts w:ascii="仿宋" w:hAnsi="仿宋" w:eastAsia="仿宋"/>
          <w:b/>
          <w:color w:val="000000" w:themeColor="text1"/>
          <w:sz w:val="24"/>
          <w:highlight w:val="none"/>
        </w:rPr>
      </w:pPr>
    </w:p>
    <w:p>
      <w:pPr>
        <w:pStyle w:val="29"/>
        <w:ind w:firstLine="2875"/>
        <w:rPr>
          <w:rFonts w:ascii="仿宋" w:hAnsi="仿宋" w:eastAsia="仿宋"/>
          <w:b/>
          <w:color w:val="000000" w:themeColor="text1"/>
          <w:sz w:val="24"/>
          <w:highlight w:val="none"/>
        </w:rPr>
      </w:pPr>
    </w:p>
    <w:p>
      <w:pPr>
        <w:pStyle w:val="29"/>
        <w:ind w:firstLine="2875"/>
        <w:rPr>
          <w:rFonts w:ascii="仿宋" w:hAnsi="仿宋" w:eastAsia="仿宋"/>
          <w:b/>
          <w:color w:val="000000" w:themeColor="text1"/>
          <w:sz w:val="24"/>
          <w:highlight w:val="none"/>
        </w:rPr>
      </w:pPr>
    </w:p>
    <w:p>
      <w:pPr>
        <w:pStyle w:val="29"/>
        <w:ind w:firstLine="2875"/>
        <w:rPr>
          <w:rFonts w:ascii="仿宋" w:hAnsi="仿宋" w:eastAsia="仿宋"/>
          <w:b/>
          <w:color w:val="000000" w:themeColor="text1"/>
          <w:sz w:val="24"/>
          <w:highlight w:val="none"/>
        </w:rPr>
      </w:pPr>
    </w:p>
    <w:p>
      <w:pPr>
        <w:pStyle w:val="29"/>
        <w:ind w:firstLine="2875"/>
        <w:rPr>
          <w:rFonts w:ascii="仿宋" w:hAnsi="仿宋" w:eastAsia="仿宋"/>
          <w:b/>
          <w:color w:val="000000" w:themeColor="text1"/>
          <w:sz w:val="24"/>
          <w:highlight w:val="none"/>
        </w:rPr>
      </w:pPr>
    </w:p>
    <w:p>
      <w:pPr>
        <w:pStyle w:val="29"/>
        <w:ind w:firstLine="2875"/>
        <w:rPr>
          <w:rFonts w:ascii="仿宋" w:hAnsi="仿宋" w:eastAsia="仿宋"/>
          <w:b/>
          <w:color w:val="000000" w:themeColor="text1"/>
          <w:sz w:val="24"/>
          <w:highlight w:val="none"/>
        </w:rPr>
      </w:pPr>
    </w:p>
    <w:p>
      <w:pPr>
        <w:pStyle w:val="29"/>
        <w:ind w:firstLine="2875"/>
        <w:rPr>
          <w:rFonts w:hAnsi="宋体"/>
          <w:b/>
          <w:color w:val="000000" w:themeColor="text1"/>
          <w:sz w:val="24"/>
          <w:highlight w:val="none"/>
        </w:rPr>
      </w:pPr>
    </w:p>
    <w:p>
      <w:pPr>
        <w:pStyle w:val="29"/>
        <w:ind w:firstLine="2875"/>
        <w:rPr>
          <w:rFonts w:hAnsi="宋体"/>
          <w:b/>
          <w:color w:val="000000" w:themeColor="text1"/>
          <w:sz w:val="24"/>
          <w:highlight w:val="none"/>
        </w:rPr>
      </w:pPr>
    </w:p>
    <w:p>
      <w:pPr>
        <w:pStyle w:val="29"/>
        <w:ind w:firstLine="2875"/>
        <w:rPr>
          <w:rFonts w:hAnsi="宋体"/>
          <w:b/>
          <w:color w:val="000000" w:themeColor="text1"/>
          <w:sz w:val="32"/>
          <w:szCs w:val="32"/>
          <w:highlight w:val="none"/>
        </w:rPr>
      </w:pPr>
    </w:p>
    <w:p>
      <w:pPr>
        <w:pStyle w:val="29"/>
        <w:ind w:firstLine="2875"/>
        <w:rPr>
          <w:rFonts w:hAnsi="宋体"/>
          <w:b/>
          <w:bCs/>
          <w:color w:val="000000" w:themeColor="text1"/>
          <w:sz w:val="32"/>
          <w:szCs w:val="32"/>
          <w:highlight w:val="none"/>
        </w:rPr>
      </w:pPr>
    </w:p>
    <w:p>
      <w:pPr>
        <w:pStyle w:val="29"/>
        <w:ind w:firstLine="2875"/>
        <w:rPr>
          <w:rFonts w:hAnsi="宋体"/>
          <w:b/>
          <w:bCs/>
          <w:color w:val="000000" w:themeColor="text1"/>
          <w:sz w:val="32"/>
          <w:szCs w:val="32"/>
          <w:highlight w:val="none"/>
        </w:rPr>
      </w:pPr>
    </w:p>
    <w:p>
      <w:pPr>
        <w:pStyle w:val="29"/>
        <w:ind w:firstLine="2875"/>
        <w:rPr>
          <w:rFonts w:hAnsi="宋体"/>
          <w:b/>
          <w:bCs/>
          <w:color w:val="000000" w:themeColor="text1"/>
          <w:sz w:val="32"/>
          <w:szCs w:val="32"/>
          <w:highlight w:val="none"/>
        </w:rPr>
      </w:pPr>
    </w:p>
    <w:p>
      <w:pPr>
        <w:pStyle w:val="29"/>
        <w:ind w:firstLine="2875"/>
        <w:rPr>
          <w:rFonts w:hAnsi="宋体"/>
          <w:b/>
          <w:bCs/>
          <w:color w:val="000000" w:themeColor="text1"/>
          <w:sz w:val="32"/>
          <w:szCs w:val="32"/>
          <w:highlight w:val="none"/>
        </w:rPr>
      </w:pPr>
    </w:p>
    <w:p>
      <w:pPr>
        <w:pStyle w:val="29"/>
        <w:ind w:firstLine="2875"/>
        <w:rPr>
          <w:rFonts w:hAnsi="宋体"/>
          <w:b/>
          <w:bCs/>
          <w:color w:val="000000" w:themeColor="text1"/>
          <w:sz w:val="32"/>
          <w:szCs w:val="32"/>
          <w:highlight w:val="none"/>
        </w:rPr>
      </w:pPr>
    </w:p>
    <w:p>
      <w:pPr>
        <w:pStyle w:val="29"/>
        <w:ind w:firstLine="2875"/>
        <w:rPr>
          <w:rFonts w:hAnsi="宋体"/>
          <w:b/>
          <w:bCs/>
          <w:color w:val="000000" w:themeColor="text1"/>
          <w:sz w:val="32"/>
          <w:szCs w:val="32"/>
          <w:highlight w:val="none"/>
        </w:rPr>
      </w:pPr>
    </w:p>
    <w:p>
      <w:pPr>
        <w:pStyle w:val="3"/>
        <w:spacing w:before="181" w:after="181" w:line="300" w:lineRule="auto"/>
        <w:jc w:val="center"/>
        <w:rPr>
          <w:rFonts w:ascii="仿宋" w:hAnsi="仿宋" w:eastAsia="仿宋"/>
          <w:b/>
          <w:bCs/>
          <w:color w:val="000000" w:themeColor="text1"/>
          <w:sz w:val="30"/>
          <w:szCs w:val="30"/>
          <w:highlight w:val="none"/>
        </w:rPr>
      </w:pPr>
      <w:bookmarkStart w:id="174" w:name="_Toc455416585"/>
      <w:r>
        <w:rPr>
          <w:rFonts w:hint="eastAsia" w:ascii="仿宋" w:hAnsi="仿宋" w:eastAsia="仿宋"/>
          <w:b/>
          <w:bCs/>
          <w:color w:val="000000" w:themeColor="text1"/>
          <w:sz w:val="30"/>
          <w:szCs w:val="30"/>
          <w:highlight w:val="none"/>
        </w:rPr>
        <w:t>三、投标报价明细表</w:t>
      </w:r>
      <w:bookmarkEnd w:id="174"/>
    </w:p>
    <w:tbl>
      <w:tblPr>
        <w:tblStyle w:val="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1417"/>
        <w:gridCol w:w="1310"/>
        <w:gridCol w:w="709"/>
        <w:gridCol w:w="708"/>
        <w:gridCol w:w="709"/>
        <w:gridCol w:w="992"/>
        <w:gridCol w:w="851"/>
        <w:gridCol w:w="709"/>
        <w:gridCol w:w="992"/>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序号</w:t>
            </w:r>
          </w:p>
        </w:tc>
        <w:tc>
          <w:tcPr>
            <w:tcW w:w="1417"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货物名称</w:t>
            </w:r>
          </w:p>
        </w:tc>
        <w:tc>
          <w:tcPr>
            <w:tcW w:w="1310"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品牌型号</w:t>
            </w:r>
          </w:p>
        </w:tc>
        <w:tc>
          <w:tcPr>
            <w:tcW w:w="709" w:type="dxa"/>
            <w:vAlign w:val="center"/>
          </w:tcPr>
          <w:p>
            <w:pPr>
              <w:pStyle w:val="29"/>
              <w:spacing w:line="340" w:lineRule="exact"/>
              <w:ind w:left="120" w:hanging="120"/>
              <w:rPr>
                <w:rFonts w:ascii="仿宋" w:hAnsi="仿宋" w:eastAsia="仿宋"/>
                <w:color w:val="000000" w:themeColor="text1"/>
                <w:sz w:val="24"/>
                <w:highlight w:val="none"/>
              </w:rPr>
            </w:pPr>
            <w:r>
              <w:rPr>
                <w:rFonts w:hint="eastAsia" w:ascii="仿宋" w:hAnsi="仿宋" w:eastAsia="仿宋"/>
                <w:color w:val="000000" w:themeColor="text1"/>
                <w:sz w:val="24"/>
                <w:highlight w:val="none"/>
              </w:rPr>
              <w:t>数量</w:t>
            </w:r>
          </w:p>
        </w:tc>
        <w:tc>
          <w:tcPr>
            <w:tcW w:w="708" w:type="dxa"/>
            <w:vAlign w:val="center"/>
          </w:tcPr>
          <w:p>
            <w:pPr>
              <w:pStyle w:val="29"/>
              <w:spacing w:line="34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单位</w:t>
            </w:r>
          </w:p>
        </w:tc>
        <w:tc>
          <w:tcPr>
            <w:tcW w:w="709"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单价</w:t>
            </w:r>
          </w:p>
        </w:tc>
        <w:tc>
          <w:tcPr>
            <w:tcW w:w="992"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总价</w:t>
            </w:r>
          </w:p>
        </w:tc>
        <w:tc>
          <w:tcPr>
            <w:tcW w:w="851"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生产</w:t>
            </w:r>
          </w:p>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厂商</w:t>
            </w:r>
          </w:p>
        </w:tc>
        <w:tc>
          <w:tcPr>
            <w:tcW w:w="709"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产地</w:t>
            </w:r>
          </w:p>
        </w:tc>
        <w:tc>
          <w:tcPr>
            <w:tcW w:w="992"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质保期</w:t>
            </w:r>
          </w:p>
        </w:tc>
        <w:tc>
          <w:tcPr>
            <w:tcW w:w="850" w:type="dxa"/>
            <w:vAlign w:val="center"/>
          </w:tcPr>
          <w:p>
            <w:pPr>
              <w:widowControl/>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1</w:t>
            </w:r>
          </w:p>
        </w:tc>
        <w:tc>
          <w:tcPr>
            <w:tcW w:w="1417" w:type="dxa"/>
            <w:vAlign w:val="center"/>
          </w:tcPr>
          <w:p>
            <w:pPr>
              <w:pStyle w:val="29"/>
              <w:spacing w:line="340" w:lineRule="exact"/>
              <w:jc w:val="center"/>
              <w:rPr>
                <w:rFonts w:ascii="仿宋" w:hAnsi="仿宋" w:eastAsia="仿宋"/>
                <w:color w:val="000000" w:themeColor="text1"/>
                <w:sz w:val="24"/>
                <w:highlight w:val="none"/>
              </w:rPr>
            </w:pP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2</w:t>
            </w:r>
          </w:p>
        </w:tc>
        <w:tc>
          <w:tcPr>
            <w:tcW w:w="1417" w:type="dxa"/>
            <w:vAlign w:val="center"/>
          </w:tcPr>
          <w:p>
            <w:pPr>
              <w:pStyle w:val="29"/>
              <w:spacing w:line="340" w:lineRule="exact"/>
              <w:jc w:val="center"/>
              <w:rPr>
                <w:rFonts w:ascii="仿宋" w:hAnsi="仿宋" w:eastAsia="仿宋"/>
                <w:color w:val="000000" w:themeColor="text1"/>
                <w:sz w:val="24"/>
                <w:highlight w:val="none"/>
              </w:rPr>
            </w:pP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3</w:t>
            </w:r>
          </w:p>
        </w:tc>
        <w:tc>
          <w:tcPr>
            <w:tcW w:w="1417" w:type="dxa"/>
            <w:vAlign w:val="center"/>
          </w:tcPr>
          <w:p>
            <w:pPr>
              <w:pStyle w:val="29"/>
              <w:spacing w:line="340" w:lineRule="exact"/>
              <w:jc w:val="center"/>
              <w:rPr>
                <w:rFonts w:ascii="仿宋" w:hAnsi="仿宋" w:eastAsia="仿宋"/>
                <w:color w:val="000000" w:themeColor="text1"/>
                <w:sz w:val="24"/>
                <w:highlight w:val="none"/>
              </w:rPr>
            </w:pP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p>
        </w:tc>
        <w:tc>
          <w:tcPr>
            <w:tcW w:w="1417" w:type="dxa"/>
            <w:vAlign w:val="center"/>
          </w:tcPr>
          <w:p>
            <w:pPr>
              <w:pStyle w:val="29"/>
              <w:spacing w:line="340" w:lineRule="exact"/>
              <w:jc w:val="center"/>
              <w:rPr>
                <w:rFonts w:ascii="仿宋" w:hAnsi="仿宋" w:eastAsia="仿宋"/>
                <w:color w:val="000000" w:themeColor="text1"/>
                <w:sz w:val="24"/>
                <w:highlight w:val="none"/>
              </w:rPr>
            </w:pP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w:t>
            </w:r>
          </w:p>
        </w:tc>
        <w:tc>
          <w:tcPr>
            <w:tcW w:w="1417" w:type="dxa"/>
            <w:vAlign w:val="center"/>
          </w:tcPr>
          <w:p>
            <w:pPr>
              <w:pStyle w:val="29"/>
              <w:spacing w:line="340" w:lineRule="exact"/>
              <w:jc w:val="center"/>
              <w:rPr>
                <w:rFonts w:ascii="仿宋" w:hAnsi="仿宋" w:eastAsia="仿宋"/>
                <w:color w:val="000000" w:themeColor="text1"/>
                <w:sz w:val="24"/>
                <w:highlight w:val="none"/>
              </w:rPr>
            </w:pP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p>
        </w:tc>
        <w:tc>
          <w:tcPr>
            <w:tcW w:w="1417" w:type="dxa"/>
            <w:vAlign w:val="center"/>
          </w:tcPr>
          <w:p>
            <w:pPr>
              <w:pStyle w:val="29"/>
              <w:spacing w:line="340" w:lineRule="exact"/>
              <w:jc w:val="center"/>
              <w:rPr>
                <w:rFonts w:ascii="仿宋" w:hAnsi="仿宋" w:eastAsia="仿宋"/>
                <w:color w:val="000000" w:themeColor="text1"/>
                <w:sz w:val="24"/>
                <w:highlight w:val="none"/>
              </w:rPr>
            </w:pPr>
            <w:r>
              <w:rPr>
                <w:rFonts w:hint="eastAsia" w:ascii="仿宋" w:hAnsi="仿宋" w:eastAsia="仿宋"/>
                <w:color w:val="000000" w:themeColor="text1"/>
                <w:sz w:val="24"/>
                <w:highlight w:val="none"/>
              </w:rPr>
              <w:t>安装调试、培训、售后服务等其他所有费用</w:t>
            </w: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p>
        </w:tc>
        <w:tc>
          <w:tcPr>
            <w:tcW w:w="1417" w:type="dxa"/>
            <w:vAlign w:val="center"/>
          </w:tcPr>
          <w:p>
            <w:pPr>
              <w:pStyle w:val="29"/>
              <w:spacing w:line="340" w:lineRule="exact"/>
              <w:jc w:val="center"/>
              <w:rPr>
                <w:rFonts w:ascii="仿宋" w:hAnsi="仿宋" w:eastAsia="仿宋"/>
                <w:color w:val="000000" w:themeColor="text1"/>
                <w:sz w:val="24"/>
                <w:highlight w:val="none"/>
              </w:rPr>
            </w:pP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34" w:type="dxa"/>
            <w:vAlign w:val="center"/>
          </w:tcPr>
          <w:p>
            <w:pPr>
              <w:pStyle w:val="29"/>
              <w:spacing w:line="340" w:lineRule="exact"/>
              <w:jc w:val="center"/>
              <w:rPr>
                <w:rFonts w:ascii="仿宋" w:hAnsi="仿宋" w:eastAsia="仿宋"/>
                <w:color w:val="000000" w:themeColor="text1"/>
                <w:sz w:val="24"/>
                <w:highlight w:val="none"/>
              </w:rPr>
            </w:pPr>
          </w:p>
        </w:tc>
        <w:tc>
          <w:tcPr>
            <w:tcW w:w="1417" w:type="dxa"/>
            <w:vAlign w:val="center"/>
          </w:tcPr>
          <w:p>
            <w:pPr>
              <w:pStyle w:val="29"/>
              <w:spacing w:line="340" w:lineRule="exact"/>
              <w:jc w:val="center"/>
              <w:rPr>
                <w:rFonts w:ascii="仿宋" w:hAnsi="仿宋" w:eastAsia="仿宋"/>
                <w:color w:val="000000" w:themeColor="text1"/>
                <w:sz w:val="24"/>
                <w:highlight w:val="none"/>
              </w:rPr>
            </w:pPr>
          </w:p>
        </w:tc>
        <w:tc>
          <w:tcPr>
            <w:tcW w:w="1310"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708"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1" w:type="dxa"/>
            <w:vAlign w:val="center"/>
          </w:tcPr>
          <w:p>
            <w:pPr>
              <w:pStyle w:val="29"/>
              <w:spacing w:line="340" w:lineRule="exact"/>
              <w:jc w:val="center"/>
              <w:rPr>
                <w:rFonts w:ascii="仿宋" w:hAnsi="仿宋" w:eastAsia="仿宋"/>
                <w:color w:val="000000" w:themeColor="text1"/>
                <w:sz w:val="24"/>
                <w:highlight w:val="none"/>
              </w:rPr>
            </w:pPr>
          </w:p>
        </w:tc>
        <w:tc>
          <w:tcPr>
            <w:tcW w:w="709" w:type="dxa"/>
            <w:vAlign w:val="center"/>
          </w:tcPr>
          <w:p>
            <w:pPr>
              <w:pStyle w:val="29"/>
              <w:spacing w:line="340" w:lineRule="exact"/>
              <w:jc w:val="center"/>
              <w:rPr>
                <w:rFonts w:ascii="仿宋" w:hAnsi="仿宋" w:eastAsia="仿宋"/>
                <w:color w:val="000000" w:themeColor="text1"/>
                <w:sz w:val="24"/>
                <w:highlight w:val="none"/>
              </w:rPr>
            </w:pPr>
          </w:p>
        </w:tc>
        <w:tc>
          <w:tcPr>
            <w:tcW w:w="992" w:type="dxa"/>
            <w:vAlign w:val="center"/>
          </w:tcPr>
          <w:p>
            <w:pPr>
              <w:pStyle w:val="29"/>
              <w:spacing w:line="340" w:lineRule="exact"/>
              <w:jc w:val="center"/>
              <w:rPr>
                <w:rFonts w:ascii="仿宋" w:hAnsi="仿宋" w:eastAsia="仿宋"/>
                <w:color w:val="000000" w:themeColor="text1"/>
                <w:sz w:val="24"/>
                <w:highlight w:val="none"/>
              </w:rPr>
            </w:pPr>
          </w:p>
        </w:tc>
        <w:tc>
          <w:tcPr>
            <w:tcW w:w="850" w:type="dxa"/>
          </w:tcPr>
          <w:p>
            <w:pPr>
              <w:widowControl/>
              <w:jc w:val="left"/>
              <w:rPr>
                <w:rFonts w:ascii="仿宋" w:hAnsi="仿宋" w:eastAsia="仿宋"/>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781" w:type="dxa"/>
            <w:gridSpan w:val="11"/>
            <w:vAlign w:val="center"/>
          </w:tcPr>
          <w:p>
            <w:pPr>
              <w:widowControl/>
              <w:jc w:val="left"/>
              <w:rPr>
                <w:rFonts w:ascii="仿宋" w:hAnsi="仿宋" w:eastAsia="仿宋"/>
                <w:color w:val="000000" w:themeColor="text1"/>
                <w:sz w:val="24"/>
                <w:highlight w:val="none"/>
              </w:rPr>
            </w:pPr>
            <w:r>
              <w:rPr>
                <w:rFonts w:hint="eastAsia" w:ascii="仿宋" w:hAnsi="仿宋" w:eastAsia="仿宋"/>
                <w:color w:val="000000" w:themeColor="text1"/>
                <w:sz w:val="24"/>
                <w:highlight w:val="none"/>
              </w:rPr>
              <w:t>投标总报价（人民币大写）：</w:t>
            </w:r>
            <w:r>
              <w:rPr>
                <w:rFonts w:hint="eastAsia" w:ascii="仿宋" w:hAnsi="仿宋" w:eastAsia="仿宋"/>
                <w:color w:val="000000" w:themeColor="text1"/>
                <w:sz w:val="24"/>
                <w:highlight w:val="none"/>
                <w:u w:val="single"/>
              </w:rPr>
              <w:t xml:space="preserve">                                </w:t>
            </w:r>
          </w:p>
        </w:tc>
      </w:tr>
    </w:tbl>
    <w:p>
      <w:pPr>
        <w:spacing w:line="520" w:lineRule="exact"/>
        <w:ind w:left="-708" w:firstLine="240"/>
        <w:rPr>
          <w:rFonts w:ascii="仿宋" w:hAnsi="仿宋" w:eastAsia="仿宋"/>
          <w:color w:val="000000" w:themeColor="text1"/>
          <w:sz w:val="24"/>
          <w:highlight w:val="none"/>
        </w:rPr>
      </w:pPr>
      <w:r>
        <w:rPr>
          <w:rFonts w:hint="eastAsia" w:ascii="仿宋" w:hAnsi="仿宋" w:eastAsia="仿宋"/>
          <w:color w:val="000000" w:themeColor="text1"/>
          <w:sz w:val="24"/>
          <w:highlight w:val="none"/>
        </w:rPr>
        <w:t>投标人：</w:t>
      </w:r>
      <w:r>
        <w:rPr>
          <w:rFonts w:hint="eastAsia" w:ascii="仿宋" w:hAnsi="仿宋" w:eastAsia="仿宋"/>
          <w:color w:val="000000" w:themeColor="text1"/>
          <w:sz w:val="24"/>
          <w:highlight w:val="none"/>
          <w:u w:val="single"/>
        </w:rPr>
        <w:t>（电子签章）</w:t>
      </w:r>
    </w:p>
    <w:p>
      <w:pPr>
        <w:spacing w:line="520" w:lineRule="exact"/>
        <w:ind w:left="-708" w:firstLine="240"/>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法定代表人：</w:t>
      </w:r>
      <w:r>
        <w:rPr>
          <w:rFonts w:hint="eastAsia" w:ascii="仿宋" w:hAnsi="仿宋" w:eastAsia="仿宋"/>
          <w:bCs/>
          <w:color w:val="000000" w:themeColor="text1"/>
          <w:sz w:val="24"/>
          <w:highlight w:val="none"/>
          <w:u w:val="single"/>
        </w:rPr>
        <w:t>（电子签章或电子签字）</w:t>
      </w:r>
    </w:p>
    <w:p>
      <w:pPr>
        <w:pStyle w:val="29"/>
        <w:spacing w:line="440" w:lineRule="exact"/>
        <w:ind w:firstLine="482"/>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注：</w:t>
      </w:r>
    </w:p>
    <w:p>
      <w:pPr>
        <w:pStyle w:val="29"/>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（1）此表为表样，行数可自行添加，但表式不变。</w:t>
      </w:r>
    </w:p>
    <w:p>
      <w:pPr>
        <w:pStyle w:val="29"/>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（2）上述表中的单价应包括全部安装、调试、培训、技术服务、必不可少的部件、标准备件、专用工具等费用。</w:t>
      </w:r>
    </w:p>
    <w:p>
      <w:pPr>
        <w:pStyle w:val="29"/>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（3）如果单价和总价不符时，以单价为准。</w:t>
      </w:r>
    </w:p>
    <w:p>
      <w:pPr>
        <w:pStyle w:val="29"/>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（4）价格应按照招标文件的要求报价。</w:t>
      </w:r>
      <w:bookmarkStart w:id="175" w:name="_Toc455416586"/>
    </w:p>
    <w:p>
      <w:pPr>
        <w:rPr>
          <w:color w:val="000000" w:themeColor="text1"/>
          <w:highlight w:val="none"/>
        </w:rPr>
      </w:pPr>
    </w:p>
    <w:p>
      <w:pPr>
        <w:rPr>
          <w:color w:val="000000" w:themeColor="text1"/>
          <w:highlight w:val="none"/>
        </w:rPr>
      </w:pPr>
    </w:p>
    <w:p>
      <w:pPr>
        <w:rPr>
          <w:color w:val="000000" w:themeColor="text1"/>
          <w:highlight w:val="none"/>
        </w:rPr>
      </w:pPr>
    </w:p>
    <w:p>
      <w:pPr>
        <w:pStyle w:val="3"/>
        <w:spacing w:before="181" w:after="181" w:line="300" w:lineRule="auto"/>
        <w:jc w:val="center"/>
        <w:rPr>
          <w:rFonts w:ascii="仿宋" w:hAnsi="仿宋" w:eastAsia="仿宋"/>
          <w:b/>
          <w:bCs/>
          <w:color w:val="000000" w:themeColor="text1"/>
          <w:sz w:val="30"/>
          <w:szCs w:val="30"/>
          <w:highlight w:val="none"/>
        </w:rPr>
      </w:pPr>
      <w:r>
        <w:rPr>
          <w:rFonts w:hint="eastAsia" w:ascii="仿宋" w:hAnsi="仿宋" w:eastAsia="仿宋"/>
          <w:b/>
          <w:bCs/>
          <w:color w:val="000000" w:themeColor="text1"/>
          <w:sz w:val="30"/>
          <w:szCs w:val="30"/>
          <w:highlight w:val="none"/>
        </w:rPr>
        <w:t>四、技术要求响应偏离表</w:t>
      </w:r>
      <w:bookmarkEnd w:id="175"/>
    </w:p>
    <w:tbl>
      <w:tblPr>
        <w:tblStyle w:val="45"/>
        <w:tblW w:w="0" w:type="auto"/>
        <w:tblInd w:w="-3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 w:type="dxa"/>
          <w:bottom w:w="0" w:type="dxa"/>
          <w:right w:w="3" w:type="dxa"/>
        </w:tblCellMar>
      </w:tblPr>
      <w:tblGrid>
        <w:gridCol w:w="1083"/>
        <w:gridCol w:w="3237"/>
        <w:gridCol w:w="3411"/>
        <w:gridCol w:w="993"/>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r>
              <w:rPr>
                <w:rFonts w:hint="eastAsia" w:ascii="仿宋" w:hAnsi="仿宋" w:eastAsia="仿宋" w:cs="Arial"/>
                <w:color w:val="000000" w:themeColor="text1"/>
                <w:sz w:val="24"/>
                <w:highlight w:val="none"/>
              </w:rPr>
              <w:t>序号</w:t>
            </w:r>
          </w:p>
        </w:tc>
        <w:tc>
          <w:tcPr>
            <w:tcW w:w="3237" w:type="dxa"/>
            <w:vAlign w:val="center"/>
          </w:tcPr>
          <w:p>
            <w:pPr>
              <w:jc w:val="center"/>
              <w:rPr>
                <w:rFonts w:ascii="仿宋" w:hAnsi="仿宋" w:eastAsia="仿宋" w:cs="Arial"/>
                <w:color w:val="000000" w:themeColor="text1"/>
                <w:sz w:val="24"/>
                <w:highlight w:val="none"/>
              </w:rPr>
            </w:pPr>
            <w:r>
              <w:rPr>
                <w:rFonts w:hint="eastAsia" w:ascii="仿宋" w:hAnsi="仿宋" w:eastAsia="仿宋" w:cs="Arial"/>
                <w:color w:val="000000" w:themeColor="text1"/>
                <w:sz w:val="24"/>
                <w:highlight w:val="none"/>
              </w:rPr>
              <w:t>项目采购需求中主要技术</w:t>
            </w:r>
          </w:p>
          <w:p>
            <w:pPr>
              <w:jc w:val="center"/>
              <w:rPr>
                <w:rFonts w:ascii="仿宋" w:hAnsi="仿宋" w:eastAsia="仿宋" w:cs="Arial"/>
                <w:color w:val="000000" w:themeColor="text1"/>
                <w:sz w:val="24"/>
                <w:highlight w:val="none"/>
              </w:rPr>
            </w:pPr>
            <w:r>
              <w:rPr>
                <w:rFonts w:hint="eastAsia" w:ascii="仿宋" w:hAnsi="仿宋" w:eastAsia="仿宋" w:cs="Arial"/>
                <w:color w:val="000000" w:themeColor="text1"/>
                <w:sz w:val="24"/>
                <w:highlight w:val="none"/>
              </w:rPr>
              <w:t>条款描述</w:t>
            </w:r>
          </w:p>
        </w:tc>
        <w:tc>
          <w:tcPr>
            <w:tcW w:w="3411" w:type="dxa"/>
            <w:vAlign w:val="center"/>
          </w:tcPr>
          <w:p>
            <w:pPr>
              <w:jc w:val="center"/>
              <w:rPr>
                <w:rFonts w:ascii="仿宋" w:hAnsi="仿宋" w:eastAsia="仿宋" w:cs="Arial"/>
                <w:color w:val="000000" w:themeColor="text1"/>
                <w:sz w:val="24"/>
                <w:highlight w:val="none"/>
              </w:rPr>
            </w:pPr>
            <w:r>
              <w:rPr>
                <w:rFonts w:hint="eastAsia" w:ascii="仿宋" w:hAnsi="仿宋" w:eastAsia="仿宋" w:cs="Arial"/>
                <w:color w:val="000000" w:themeColor="text1"/>
                <w:sz w:val="24"/>
                <w:highlight w:val="none"/>
              </w:rPr>
              <w:t>所投产品规格、型号及相应技术参数描述</w:t>
            </w:r>
          </w:p>
        </w:tc>
        <w:tc>
          <w:tcPr>
            <w:tcW w:w="993" w:type="dxa"/>
            <w:vAlign w:val="center"/>
          </w:tcPr>
          <w:p>
            <w:pPr>
              <w:ind w:firstLine="240"/>
              <w:rPr>
                <w:rFonts w:ascii="仿宋" w:hAnsi="仿宋" w:eastAsia="仿宋" w:cs="Arial"/>
                <w:color w:val="000000" w:themeColor="text1"/>
                <w:sz w:val="24"/>
                <w:highlight w:val="none"/>
              </w:rPr>
            </w:pPr>
            <w:r>
              <w:rPr>
                <w:rFonts w:hint="eastAsia" w:ascii="仿宋" w:hAnsi="仿宋" w:eastAsia="仿宋" w:cs="Arial"/>
                <w:color w:val="000000" w:themeColor="text1"/>
                <w:sz w:val="24"/>
                <w:highlight w:val="none"/>
              </w:rPr>
              <w:t>偏离</w:t>
            </w:r>
          </w:p>
          <w:p>
            <w:pPr>
              <w:ind w:firstLine="240"/>
              <w:rPr>
                <w:rFonts w:ascii="仿宋" w:hAnsi="仿宋" w:eastAsia="仿宋" w:cs="Arial"/>
                <w:color w:val="000000" w:themeColor="text1"/>
                <w:sz w:val="24"/>
                <w:highlight w:val="none"/>
              </w:rPr>
            </w:pPr>
            <w:r>
              <w:rPr>
                <w:rFonts w:hint="eastAsia" w:ascii="仿宋" w:hAnsi="仿宋" w:eastAsia="仿宋" w:cs="Arial"/>
                <w:color w:val="000000" w:themeColor="text1"/>
                <w:sz w:val="24"/>
                <w:highlight w:val="none"/>
              </w:rPr>
              <w:t>情况</w:t>
            </w:r>
          </w:p>
        </w:tc>
        <w:tc>
          <w:tcPr>
            <w:tcW w:w="1134" w:type="dxa"/>
            <w:vAlign w:val="center"/>
          </w:tcPr>
          <w:p>
            <w:pPr>
              <w:spacing w:line="360" w:lineRule="auto"/>
              <w:jc w:val="center"/>
              <w:rPr>
                <w:rFonts w:ascii="仿宋" w:hAnsi="仿宋" w:eastAsia="仿宋" w:cs="Arial"/>
                <w:color w:val="000000" w:themeColor="text1"/>
                <w:sz w:val="24"/>
                <w:highlight w:val="none"/>
              </w:rPr>
            </w:pPr>
            <w:r>
              <w:rPr>
                <w:rFonts w:hint="eastAsia" w:ascii="仿宋" w:hAnsi="仿宋" w:eastAsia="仿宋" w:cs="Arial"/>
                <w:color w:val="000000" w:themeColor="text1"/>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1083" w:type="dxa"/>
            <w:vAlign w:val="center"/>
          </w:tcPr>
          <w:p>
            <w:pPr>
              <w:spacing w:line="360" w:lineRule="auto"/>
              <w:jc w:val="center"/>
              <w:rPr>
                <w:rFonts w:ascii="仿宋" w:hAnsi="仿宋" w:eastAsia="仿宋" w:cs="Arial"/>
                <w:color w:val="000000" w:themeColor="text1"/>
                <w:sz w:val="24"/>
                <w:highlight w:val="none"/>
              </w:rPr>
            </w:pPr>
          </w:p>
        </w:tc>
        <w:tc>
          <w:tcPr>
            <w:tcW w:w="3237" w:type="dxa"/>
            <w:vAlign w:val="center"/>
          </w:tcPr>
          <w:p>
            <w:pPr>
              <w:jc w:val="center"/>
              <w:rPr>
                <w:rFonts w:ascii="仿宋" w:hAnsi="仿宋" w:eastAsia="仿宋" w:cs="Arial"/>
                <w:color w:val="000000" w:themeColor="text1"/>
                <w:sz w:val="24"/>
                <w:highlight w:val="none"/>
              </w:rPr>
            </w:pPr>
          </w:p>
        </w:tc>
        <w:tc>
          <w:tcPr>
            <w:tcW w:w="3411" w:type="dxa"/>
            <w:vAlign w:val="center"/>
          </w:tcPr>
          <w:p>
            <w:pPr>
              <w:jc w:val="center"/>
              <w:rPr>
                <w:rFonts w:ascii="仿宋" w:hAnsi="仿宋" w:eastAsia="仿宋" w:cs="Arial"/>
                <w:color w:val="000000" w:themeColor="text1"/>
                <w:sz w:val="24"/>
                <w:highlight w:val="none"/>
              </w:rPr>
            </w:pPr>
          </w:p>
        </w:tc>
        <w:tc>
          <w:tcPr>
            <w:tcW w:w="993" w:type="dxa"/>
            <w:vAlign w:val="center"/>
          </w:tcPr>
          <w:p>
            <w:pPr>
              <w:spacing w:line="360" w:lineRule="auto"/>
              <w:jc w:val="center"/>
              <w:rPr>
                <w:rFonts w:ascii="仿宋" w:hAnsi="仿宋" w:eastAsia="仿宋" w:cs="Arial"/>
                <w:color w:val="000000" w:themeColor="text1"/>
                <w:sz w:val="24"/>
                <w:highlight w:val="none"/>
              </w:rPr>
            </w:pPr>
          </w:p>
        </w:tc>
        <w:tc>
          <w:tcPr>
            <w:tcW w:w="1134" w:type="dxa"/>
            <w:vAlign w:val="center"/>
          </w:tcPr>
          <w:p>
            <w:pPr>
              <w:spacing w:line="360" w:lineRule="auto"/>
              <w:jc w:val="center"/>
              <w:rPr>
                <w:rFonts w:ascii="仿宋" w:hAnsi="仿宋" w:eastAsia="仿宋" w:cs="Arial"/>
                <w:color w:val="000000" w:themeColor="text1"/>
                <w:sz w:val="24"/>
                <w:highlight w:val="none"/>
              </w:rPr>
            </w:pPr>
          </w:p>
        </w:tc>
      </w:tr>
    </w:tbl>
    <w:p>
      <w:pPr>
        <w:spacing w:line="520" w:lineRule="exact"/>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投标人：</w:t>
      </w:r>
      <w:r>
        <w:rPr>
          <w:rFonts w:hint="eastAsia" w:ascii="仿宋" w:hAnsi="仿宋" w:eastAsia="仿宋"/>
          <w:color w:val="000000" w:themeColor="text1"/>
          <w:sz w:val="24"/>
          <w:highlight w:val="none"/>
          <w:u w:val="single"/>
        </w:rPr>
        <w:t>（电子签章）</w:t>
      </w:r>
    </w:p>
    <w:p>
      <w:pPr>
        <w:spacing w:line="520" w:lineRule="exact"/>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法定代表人签字：</w:t>
      </w:r>
      <w:r>
        <w:rPr>
          <w:rFonts w:hint="eastAsia" w:ascii="仿宋" w:hAnsi="仿宋" w:eastAsia="仿宋"/>
          <w:bCs/>
          <w:color w:val="000000" w:themeColor="text1"/>
          <w:sz w:val="24"/>
          <w:highlight w:val="none"/>
          <w:u w:val="single"/>
        </w:rPr>
        <w:t>（电子签章或电子签字）</w:t>
      </w:r>
    </w:p>
    <w:p>
      <w:pPr>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注：（</w:t>
      </w:r>
      <w:r>
        <w:rPr>
          <w:rFonts w:ascii="仿宋" w:hAnsi="仿宋" w:eastAsia="仿宋"/>
          <w:color w:val="000000" w:themeColor="text1"/>
          <w:sz w:val="24"/>
          <w:highlight w:val="none"/>
        </w:rPr>
        <w:t>1</w:t>
      </w:r>
      <w:r>
        <w:rPr>
          <w:rFonts w:hint="eastAsia" w:ascii="仿宋" w:hAnsi="仿宋" w:eastAsia="仿宋"/>
          <w:color w:val="000000" w:themeColor="text1"/>
          <w:sz w:val="24"/>
          <w:highlight w:val="none"/>
        </w:rPr>
        <w:t>）此表为表样，行数可自行添加，但表式不变。</w:t>
      </w:r>
    </w:p>
    <w:p>
      <w:pPr>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（2）是否偏离用符号</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w:t>
      </w:r>
      <w:r>
        <w:rPr>
          <w:rFonts w:ascii="仿宋" w:hAnsi="仿宋" w:eastAsia="仿宋"/>
          <w:color w:val="000000" w:themeColor="text1"/>
          <w:sz w:val="24"/>
          <w:highlight w:val="none"/>
        </w:rPr>
        <w:t>-”</w:t>
      </w:r>
      <w:r>
        <w:rPr>
          <w:rFonts w:hint="eastAsia" w:ascii="仿宋" w:hAnsi="仿宋" w:eastAsia="仿宋"/>
          <w:color w:val="000000" w:themeColor="text1"/>
          <w:sz w:val="24"/>
          <w:highlight w:val="none"/>
        </w:rPr>
        <w:t>分别表示正偏离、完全响应、负偏离。</w:t>
      </w:r>
    </w:p>
    <w:p>
      <w:pPr>
        <w:spacing w:line="44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（3）投标人必须仔细阅读本招标文件采购需求中所有技术参数要求，并将响应情况及偏离情况逐项填入上表，投标时不得对原有技术参数进行直接复制粘贴及简单表述为完全响应，否则将影响该项得分。</w:t>
      </w:r>
    </w:p>
    <w:p>
      <w:pPr>
        <w:pStyle w:val="28"/>
        <w:spacing w:before="120" w:line="440" w:lineRule="exact"/>
        <w:ind w:right="34"/>
        <w:rPr>
          <w:rFonts w:ascii="宋体" w:hAnsi="宋体"/>
          <w:b/>
          <w:bCs/>
          <w:color w:val="000000" w:themeColor="text1"/>
          <w:sz w:val="32"/>
          <w:highlight w:val="none"/>
        </w:rPr>
      </w:pPr>
    </w:p>
    <w:p>
      <w:pPr>
        <w:pStyle w:val="3"/>
        <w:spacing w:before="0" w:after="0" w:line="300" w:lineRule="auto"/>
        <w:ind w:left="420"/>
        <w:jc w:val="center"/>
        <w:rPr>
          <w:rFonts w:ascii="仿宋" w:hAnsi="仿宋" w:eastAsia="仿宋"/>
          <w:b/>
          <w:bCs/>
          <w:color w:val="000000" w:themeColor="text1"/>
          <w:sz w:val="30"/>
          <w:szCs w:val="30"/>
          <w:highlight w:val="none"/>
        </w:rPr>
      </w:pPr>
      <w:bookmarkStart w:id="176" w:name="_Toc455416587"/>
      <w:r>
        <w:rPr>
          <w:rFonts w:hint="eastAsia" w:ascii="仿宋" w:hAnsi="仿宋" w:eastAsia="仿宋"/>
          <w:b/>
          <w:bCs/>
          <w:color w:val="000000" w:themeColor="text1"/>
          <w:sz w:val="30"/>
          <w:szCs w:val="30"/>
          <w:highlight w:val="none"/>
        </w:rPr>
        <w:t>五、服务</w:t>
      </w:r>
      <w:bookmarkEnd w:id="173"/>
      <w:bookmarkStart w:id="177" w:name="_Toc157775469"/>
      <w:r>
        <w:rPr>
          <w:rFonts w:hint="eastAsia" w:ascii="仿宋" w:hAnsi="仿宋" w:eastAsia="仿宋"/>
          <w:b/>
          <w:bCs/>
          <w:color w:val="000000" w:themeColor="text1"/>
          <w:sz w:val="30"/>
          <w:szCs w:val="30"/>
          <w:highlight w:val="none"/>
        </w:rPr>
        <w:t>承诺</w:t>
      </w:r>
      <w:bookmarkEnd w:id="176"/>
      <w:bookmarkEnd w:id="177"/>
    </w:p>
    <w:p>
      <w:pPr>
        <w:spacing w:line="520" w:lineRule="exact"/>
        <w:ind w:firstLine="1400"/>
        <w:outlineLvl w:val="0"/>
        <w:rPr>
          <w:rFonts w:ascii="仿宋" w:hAnsi="仿宋" w:eastAsia="仿宋"/>
          <w:color w:val="000000" w:themeColor="text1"/>
          <w:sz w:val="28"/>
          <w:szCs w:val="28"/>
          <w:highlight w:val="none"/>
        </w:rPr>
      </w:pPr>
      <w:bookmarkStart w:id="178" w:name="_Toc455416588"/>
      <w:r>
        <w:rPr>
          <w:rFonts w:hint="eastAsia" w:ascii="仿宋" w:hAnsi="仿宋" w:eastAsia="仿宋"/>
          <w:color w:val="000000" w:themeColor="text1"/>
          <w:sz w:val="28"/>
          <w:szCs w:val="28"/>
          <w:highlight w:val="none"/>
        </w:rPr>
        <w:t>（格式由投标人自定、加盖投标人电子签章。）</w:t>
      </w:r>
      <w:bookmarkEnd w:id="178"/>
    </w:p>
    <w:p>
      <w:pPr>
        <w:pStyle w:val="29"/>
        <w:spacing w:line="440" w:lineRule="exact"/>
        <w:rPr>
          <w:rFonts w:ascii="仿宋" w:hAnsi="仿宋" w:eastAsia="仿宋"/>
          <w:b/>
          <w:bCs/>
          <w:color w:val="000000" w:themeColor="text1"/>
          <w:sz w:val="28"/>
          <w:szCs w:val="28"/>
          <w:highlight w:val="none"/>
        </w:rPr>
      </w:pPr>
    </w:p>
    <w:p>
      <w:pPr>
        <w:rPr>
          <w:rFonts w:ascii="仿宋" w:hAnsi="仿宋" w:eastAsia="仿宋"/>
          <w:color w:val="000000" w:themeColor="text1"/>
          <w:sz w:val="28"/>
          <w:szCs w:val="28"/>
          <w:highlight w:val="none"/>
        </w:rPr>
      </w:pPr>
    </w:p>
    <w:p>
      <w:pPr>
        <w:pStyle w:val="29"/>
        <w:spacing w:line="440" w:lineRule="exact"/>
        <w:rPr>
          <w:rFonts w:ascii="仿宋" w:hAnsi="仿宋" w:eastAsia="仿宋"/>
          <w:b/>
          <w:bCs/>
          <w:color w:val="000000" w:themeColor="text1"/>
          <w:sz w:val="28"/>
          <w:szCs w:val="28"/>
          <w:highlight w:val="none"/>
        </w:rPr>
      </w:pPr>
    </w:p>
    <w:p>
      <w:pPr>
        <w:pStyle w:val="29"/>
        <w:spacing w:line="440" w:lineRule="exact"/>
        <w:rPr>
          <w:rFonts w:ascii="仿宋" w:hAnsi="仿宋" w:eastAsia="仿宋"/>
          <w:b/>
          <w:bCs/>
          <w:color w:val="000000" w:themeColor="text1"/>
          <w:sz w:val="28"/>
          <w:szCs w:val="28"/>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29"/>
        <w:spacing w:line="440" w:lineRule="exact"/>
        <w:rPr>
          <w:rFonts w:hAnsi="宋体"/>
          <w:b/>
          <w:bCs/>
          <w:color w:val="000000" w:themeColor="text1"/>
          <w:sz w:val="32"/>
          <w:highlight w:val="none"/>
        </w:rPr>
      </w:pPr>
    </w:p>
    <w:p>
      <w:pPr>
        <w:pStyle w:val="3"/>
        <w:spacing w:before="0" w:after="0" w:line="300" w:lineRule="auto"/>
        <w:ind w:left="420"/>
        <w:jc w:val="center"/>
        <w:rPr>
          <w:rFonts w:ascii="仿宋" w:hAnsi="仿宋" w:eastAsia="仿宋"/>
          <w:b/>
          <w:bCs/>
          <w:color w:val="000000" w:themeColor="text1"/>
          <w:sz w:val="30"/>
          <w:szCs w:val="30"/>
          <w:highlight w:val="none"/>
        </w:rPr>
      </w:pPr>
      <w:bookmarkStart w:id="179" w:name="_Toc455416589"/>
      <w:r>
        <w:rPr>
          <w:rFonts w:ascii="宋体" w:hAnsi="宋体" w:eastAsia="宋体"/>
          <w:bCs/>
          <w:color w:val="000000" w:themeColor="text1"/>
          <w:sz w:val="24"/>
          <w:highlight w:val="none"/>
        </w:rPr>
        <w:br w:type="page" w:clear="all"/>
      </w:r>
      <w:r>
        <w:rPr>
          <w:rFonts w:hint="eastAsia" w:ascii="仿宋" w:hAnsi="仿宋" w:eastAsia="仿宋"/>
          <w:b/>
          <w:bCs/>
          <w:color w:val="000000" w:themeColor="text1"/>
          <w:sz w:val="30"/>
          <w:szCs w:val="30"/>
          <w:highlight w:val="none"/>
        </w:rPr>
        <w:t>六、资质审查时投标人必须提供的资格证明文件</w:t>
      </w:r>
      <w:bookmarkEnd w:id="179"/>
    </w:p>
    <w:p>
      <w:pPr>
        <w:pStyle w:val="29"/>
        <w:spacing w:line="360" w:lineRule="auto"/>
        <w:ind w:firstLine="472"/>
        <w:rPr>
          <w:rFonts w:ascii="仿宋" w:hAnsi="仿宋" w:eastAsia="仿宋"/>
          <w:b/>
          <w:bCs/>
          <w:color w:val="000000" w:themeColor="text1"/>
          <w:sz w:val="24"/>
          <w:highlight w:val="none"/>
        </w:rPr>
      </w:pPr>
      <w:r>
        <w:rPr>
          <w:rFonts w:hint="eastAsia" w:ascii="仿宋" w:hAnsi="仿宋" w:eastAsia="仿宋"/>
          <w:color w:val="000000" w:themeColor="text1"/>
          <w:sz w:val="24"/>
          <w:highlight w:val="none"/>
        </w:rPr>
        <w:t>1、提供下列材料之一：</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（1）投标人提供</w:t>
      </w:r>
      <w:r>
        <w:rPr>
          <w:rFonts w:hint="eastAsia" w:ascii="仿宋" w:hAnsi="仿宋" w:eastAsia="仿宋" w:cs="Arial"/>
          <w:bCs/>
          <w:color w:val="000000" w:themeColor="text1"/>
          <w:sz w:val="24"/>
          <w:highlight w:val="none"/>
        </w:rPr>
        <w:t>法定代表人资格证明</w:t>
      </w:r>
      <w:r>
        <w:rPr>
          <w:rFonts w:hint="eastAsia" w:ascii="仿宋" w:hAnsi="仿宋" w:eastAsia="仿宋"/>
          <w:color w:val="000000" w:themeColor="text1"/>
          <w:sz w:val="24"/>
          <w:highlight w:val="none"/>
        </w:rPr>
        <w:t>（必须提供，格式详见示范格式一）和</w:t>
      </w:r>
      <w:r>
        <w:rPr>
          <w:rFonts w:hint="eastAsia" w:ascii="仿宋" w:hAnsi="仿宋" w:eastAsia="仿宋"/>
          <w:bCs/>
          <w:color w:val="000000" w:themeColor="text1"/>
          <w:sz w:val="24"/>
          <w:highlight w:val="none"/>
        </w:rPr>
        <w:t>法定代表人身份证（扫描件并加盖</w:t>
      </w:r>
      <w:r>
        <w:rPr>
          <w:rFonts w:hint="eastAsia" w:ascii="仿宋" w:hAnsi="仿宋" w:eastAsia="仿宋"/>
          <w:color w:val="000000" w:themeColor="text1"/>
          <w:sz w:val="24"/>
          <w:highlight w:val="none"/>
        </w:rPr>
        <w:t>投标人</w:t>
      </w:r>
      <w:r>
        <w:rPr>
          <w:rFonts w:hint="eastAsia" w:ascii="仿宋" w:hAnsi="仿宋" w:eastAsia="仿宋"/>
          <w:bCs/>
          <w:color w:val="000000" w:themeColor="text1"/>
          <w:sz w:val="24"/>
          <w:highlight w:val="none"/>
        </w:rPr>
        <w:t>电子签章）</w:t>
      </w:r>
      <w:r>
        <w:rPr>
          <w:rFonts w:hint="eastAsia" w:ascii="仿宋" w:hAnsi="仿宋" w:eastAsia="仿宋"/>
          <w:color w:val="000000" w:themeColor="text1"/>
          <w:sz w:val="24"/>
          <w:highlight w:val="none"/>
        </w:rPr>
        <w:t>；</w:t>
      </w:r>
    </w:p>
    <w:p>
      <w:pPr>
        <w:spacing w:line="360" w:lineRule="auto"/>
        <w:ind w:firstLine="3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（2）投标人提供授权委托书（必须提供，格式详见示范格式二）和</w:t>
      </w:r>
      <w:r>
        <w:rPr>
          <w:rFonts w:hint="eastAsia" w:ascii="仿宋" w:hAnsi="仿宋" w:eastAsia="仿宋"/>
          <w:bCs/>
          <w:color w:val="000000" w:themeColor="text1"/>
          <w:sz w:val="24"/>
          <w:highlight w:val="none"/>
        </w:rPr>
        <w:t>受托人身份证（扫描件并加盖</w:t>
      </w:r>
      <w:r>
        <w:rPr>
          <w:rFonts w:hint="eastAsia" w:ascii="仿宋" w:hAnsi="仿宋" w:eastAsia="仿宋"/>
          <w:color w:val="000000" w:themeColor="text1"/>
          <w:sz w:val="24"/>
          <w:highlight w:val="none"/>
        </w:rPr>
        <w:t>投标人</w:t>
      </w:r>
      <w:r>
        <w:rPr>
          <w:rFonts w:hint="eastAsia" w:ascii="仿宋" w:hAnsi="仿宋" w:eastAsia="仿宋"/>
          <w:bCs/>
          <w:color w:val="000000" w:themeColor="text1"/>
          <w:sz w:val="24"/>
          <w:highlight w:val="none"/>
        </w:rPr>
        <w:t>电子签章）</w:t>
      </w:r>
      <w:r>
        <w:rPr>
          <w:rFonts w:hint="eastAsia" w:ascii="仿宋" w:hAnsi="仿宋" w:eastAsia="仿宋"/>
          <w:color w:val="000000" w:themeColor="text1"/>
          <w:sz w:val="24"/>
          <w:highlight w:val="none"/>
        </w:rPr>
        <w:t>。</w:t>
      </w:r>
    </w:p>
    <w:p>
      <w:pPr>
        <w:pStyle w:val="29"/>
        <w:spacing w:line="360" w:lineRule="auto"/>
        <w:ind w:firstLine="472"/>
        <w:rPr>
          <w:rFonts w:ascii="仿宋" w:hAnsi="仿宋" w:eastAsia="仿宋"/>
          <w:color w:val="000000" w:themeColor="text1"/>
          <w:sz w:val="24"/>
          <w:highlight w:val="none"/>
        </w:rPr>
      </w:pPr>
      <w:r>
        <w:rPr>
          <w:rFonts w:hint="eastAsia" w:ascii="仿宋" w:hAnsi="仿宋" w:eastAsia="仿宋"/>
          <w:color w:val="000000" w:themeColor="text1"/>
          <w:sz w:val="24"/>
          <w:highlight w:val="none"/>
        </w:rPr>
        <w:t>2、提供营业执照（扫描件并加盖投标人电子签章，必须提供）。</w:t>
      </w:r>
    </w:p>
    <w:p>
      <w:pPr>
        <w:pStyle w:val="29"/>
        <w:spacing w:line="360" w:lineRule="auto"/>
        <w:ind w:firstLine="472"/>
        <w:rPr>
          <w:rFonts w:ascii="仿宋" w:hAnsi="仿宋" w:eastAsia="仿宋"/>
          <w:color w:val="000000" w:themeColor="text1"/>
          <w:sz w:val="24"/>
          <w:highlight w:val="none"/>
        </w:rPr>
      </w:pPr>
      <w:r>
        <w:rPr>
          <w:rFonts w:ascii="仿宋" w:hAnsi="仿宋" w:eastAsia="仿宋"/>
          <w:color w:val="000000" w:themeColor="text1"/>
          <w:sz w:val="24"/>
          <w:highlight w:val="none"/>
        </w:rPr>
        <w:t>3</w:t>
      </w:r>
      <w:r>
        <w:rPr>
          <w:rFonts w:hint="eastAsia" w:ascii="仿宋" w:hAnsi="仿宋" w:eastAsia="仿宋"/>
          <w:color w:val="000000" w:themeColor="text1"/>
          <w:sz w:val="24"/>
          <w:highlight w:val="none"/>
        </w:rPr>
        <w:t>、</w:t>
      </w:r>
      <w:bookmarkStart w:id="180" w:name="_Toc455416590"/>
      <w:r>
        <w:rPr>
          <w:rFonts w:hint="eastAsia" w:ascii="仿宋" w:hAnsi="仿宋" w:eastAsia="仿宋"/>
          <w:color w:val="000000" w:themeColor="text1"/>
          <w:sz w:val="24"/>
          <w:highlight w:val="none"/>
        </w:rPr>
        <w:t>投标人符合《政府采购法》第二十二条规定条件的承诺函</w:t>
      </w:r>
      <w:r>
        <w:rPr>
          <w:rFonts w:hint="eastAsia" w:ascii="仿宋" w:hAnsi="仿宋" w:eastAsia="仿宋"/>
          <w:color w:val="000000" w:themeColor="text1"/>
          <w:sz w:val="24"/>
          <w:highlight w:val="none"/>
          <w:lang w:val="zh-CN"/>
        </w:rPr>
        <w:t>（</w:t>
      </w:r>
      <w:r>
        <w:rPr>
          <w:rFonts w:hint="eastAsia" w:ascii="仿宋" w:hAnsi="仿宋" w:eastAsia="仿宋"/>
          <w:color w:val="000000" w:themeColor="text1"/>
          <w:sz w:val="24"/>
          <w:highlight w:val="none"/>
        </w:rPr>
        <w:t>格式详见示范格式三</w:t>
      </w:r>
      <w:r>
        <w:rPr>
          <w:rFonts w:hint="eastAsia" w:ascii="仿宋" w:hAnsi="仿宋" w:eastAsia="仿宋"/>
          <w:color w:val="000000" w:themeColor="text1"/>
          <w:sz w:val="24"/>
          <w:highlight w:val="none"/>
          <w:lang w:val="zh-CN"/>
        </w:rPr>
        <w:t>）</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4、落实政府采购政策需满足的资格要求（提供下列任一项材料即可，</w:t>
      </w:r>
      <w:r>
        <w:rPr>
          <w:rFonts w:hint="eastAsia" w:ascii="仿宋" w:hAnsi="仿宋" w:eastAsia="仿宋"/>
          <w:color w:val="000000" w:themeColor="text1"/>
          <w:sz w:val="24"/>
          <w:highlight w:val="none"/>
          <w:lang w:val="zh-CN"/>
        </w:rPr>
        <w:t>非专门面向中小企业或者预留份额的采购项目，本项无需提供</w:t>
      </w:r>
      <w:r>
        <w:rPr>
          <w:rFonts w:hint="eastAsia" w:ascii="仿宋" w:hAnsi="仿宋" w:eastAsia="仿宋"/>
          <w:color w:val="000000" w:themeColor="text1"/>
          <w:sz w:val="24"/>
          <w:highlight w:val="none"/>
        </w:rPr>
        <w:t>）:</w:t>
      </w:r>
    </w:p>
    <w:p>
      <w:pPr>
        <w:spacing w:line="360" w:lineRule="auto"/>
        <w:ind w:firstLine="480"/>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（1）《中小企业声明函》（详见示范格式四）；</w:t>
      </w:r>
    </w:p>
    <w:p>
      <w:pPr>
        <w:spacing w:line="360" w:lineRule="auto"/>
        <w:ind w:firstLine="480"/>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（2）《残疾人福利性单位声明函》（详见示范格式五）；</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（3）由省级以上监狱管理局、戒毒管理局（含新疆生产建设兵团）出具的属于监狱企业的证明文件）（加盖出具单位公章的电子件）。</w:t>
      </w:r>
    </w:p>
    <w:p>
      <w:pPr>
        <w:spacing w:line="360" w:lineRule="auto"/>
        <w:ind w:firstLine="482"/>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注：</w:t>
      </w:r>
      <w:r>
        <w:rPr>
          <w:rFonts w:hint="eastAsia" w:ascii="仿宋" w:hAnsi="仿宋" w:eastAsia="仿宋"/>
          <w:color w:val="000000" w:themeColor="text1"/>
          <w:sz w:val="24"/>
          <w:highlight w:val="none"/>
        </w:rPr>
        <w:t>1、上述相关原件，中标人必须在签订合同时提交采购人审查，中标人未能提供上述所有原件的，则取消其中标资格。</w:t>
      </w:r>
    </w:p>
    <w:p>
      <w:pPr>
        <w:spacing w:line="360" w:lineRule="auto"/>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2、上述是在对投标人资质审查时，投标人所必须要提供的资格证明文件，如投标人未能提供上述资格证明文件以及</w:t>
      </w:r>
      <w:r>
        <w:rPr>
          <w:rFonts w:ascii="仿宋" w:hAnsi="仿宋" w:eastAsia="仿宋"/>
          <w:color w:val="000000" w:themeColor="text1"/>
          <w:sz w:val="24"/>
          <w:highlight w:val="none"/>
        </w:rPr>
        <w:t>发现</w:t>
      </w:r>
      <w:r>
        <w:rPr>
          <w:rFonts w:hint="eastAsia" w:ascii="仿宋" w:hAnsi="仿宋" w:eastAsia="仿宋"/>
          <w:color w:val="000000" w:themeColor="text1"/>
          <w:sz w:val="24"/>
          <w:highlight w:val="none"/>
        </w:rPr>
        <w:t>投标人的</w:t>
      </w:r>
      <w:r>
        <w:rPr>
          <w:rFonts w:ascii="仿宋" w:hAnsi="仿宋" w:eastAsia="仿宋"/>
          <w:color w:val="000000" w:themeColor="text1"/>
          <w:sz w:val="24"/>
          <w:highlight w:val="none"/>
        </w:rPr>
        <w:t>资</w:t>
      </w:r>
      <w:r>
        <w:rPr>
          <w:rFonts w:hint="eastAsia" w:ascii="仿宋" w:hAnsi="仿宋" w:eastAsia="仿宋"/>
          <w:color w:val="000000" w:themeColor="text1"/>
          <w:sz w:val="24"/>
          <w:highlight w:val="none"/>
        </w:rPr>
        <w:t>质</w:t>
      </w:r>
      <w:r>
        <w:rPr>
          <w:rFonts w:ascii="仿宋" w:hAnsi="仿宋" w:eastAsia="仿宋"/>
          <w:color w:val="000000" w:themeColor="text1"/>
          <w:sz w:val="24"/>
          <w:highlight w:val="none"/>
        </w:rPr>
        <w:t>条件不符合</w:t>
      </w:r>
      <w:r>
        <w:rPr>
          <w:rFonts w:hint="eastAsia" w:ascii="仿宋" w:hAnsi="仿宋" w:eastAsia="仿宋"/>
          <w:color w:val="000000" w:themeColor="text1"/>
          <w:sz w:val="24"/>
          <w:highlight w:val="none"/>
        </w:rPr>
        <w:t>招标文件</w:t>
      </w:r>
      <w:r>
        <w:rPr>
          <w:rFonts w:ascii="仿宋" w:hAnsi="仿宋" w:eastAsia="仿宋"/>
          <w:color w:val="000000" w:themeColor="text1"/>
          <w:sz w:val="24"/>
          <w:highlight w:val="none"/>
        </w:rPr>
        <w:t>要求，可随时取消其</w:t>
      </w:r>
      <w:r>
        <w:rPr>
          <w:rFonts w:hint="eastAsia" w:ascii="仿宋" w:hAnsi="仿宋" w:eastAsia="仿宋"/>
          <w:color w:val="000000" w:themeColor="text1"/>
          <w:sz w:val="24"/>
          <w:highlight w:val="none"/>
        </w:rPr>
        <w:t>投标</w:t>
      </w:r>
      <w:r>
        <w:rPr>
          <w:rFonts w:ascii="仿宋" w:hAnsi="仿宋" w:eastAsia="仿宋"/>
          <w:color w:val="000000" w:themeColor="text1"/>
          <w:sz w:val="24"/>
          <w:highlight w:val="none"/>
        </w:rPr>
        <w:t>或</w:t>
      </w:r>
      <w:r>
        <w:rPr>
          <w:rFonts w:hint="eastAsia" w:ascii="仿宋" w:hAnsi="仿宋" w:eastAsia="仿宋"/>
          <w:color w:val="000000" w:themeColor="text1"/>
          <w:sz w:val="24"/>
          <w:highlight w:val="none"/>
        </w:rPr>
        <w:t>中标</w:t>
      </w:r>
      <w:r>
        <w:rPr>
          <w:rFonts w:ascii="仿宋" w:hAnsi="仿宋" w:eastAsia="仿宋"/>
          <w:color w:val="000000" w:themeColor="text1"/>
          <w:sz w:val="24"/>
          <w:highlight w:val="none"/>
        </w:rPr>
        <w:t>资格。</w:t>
      </w:r>
    </w:p>
    <w:p>
      <w:pPr>
        <w:spacing w:line="360" w:lineRule="auto"/>
        <w:ind w:firstLine="480"/>
        <w:rPr>
          <w:rFonts w:ascii="仿宋" w:hAnsi="仿宋" w:eastAsia="仿宋"/>
          <w:color w:val="000000" w:themeColor="text1"/>
          <w:sz w:val="24"/>
          <w:highlight w:val="none"/>
        </w:rPr>
      </w:pPr>
      <w:r>
        <w:rPr>
          <w:rFonts w:hint="eastAsia" w:ascii="仿宋" w:hAnsi="仿宋" w:eastAsia="仿宋"/>
          <w:bCs/>
          <w:color w:val="000000" w:themeColor="text1"/>
          <w:sz w:val="24"/>
          <w:highlight w:val="none"/>
        </w:rPr>
        <w:t>3、投标人所提供的资格证明材料应真实、有效，</w:t>
      </w:r>
      <w:r>
        <w:rPr>
          <w:rFonts w:hint="eastAsia" w:ascii="仿宋" w:hAnsi="仿宋" w:eastAsia="仿宋"/>
          <w:color w:val="000000" w:themeColor="text1"/>
          <w:sz w:val="24"/>
          <w:highlight w:val="none"/>
        </w:rPr>
        <w:t>政府采购监管部门</w:t>
      </w:r>
      <w:r>
        <w:rPr>
          <w:rFonts w:hint="eastAsia" w:ascii="仿宋" w:hAnsi="仿宋" w:eastAsia="仿宋"/>
          <w:bCs/>
          <w:color w:val="000000" w:themeColor="text1"/>
          <w:sz w:val="24"/>
          <w:highlight w:val="none"/>
        </w:rPr>
        <w:t>及采购人保留对投标人提供的资格证明材料进行核查的权利。如发现投标人提供虚假资格证明材料，</w:t>
      </w:r>
      <w:r>
        <w:rPr>
          <w:rFonts w:hint="eastAsia" w:ascii="仿宋" w:hAnsi="仿宋" w:eastAsia="仿宋"/>
          <w:color w:val="000000" w:themeColor="text1"/>
          <w:sz w:val="24"/>
          <w:highlight w:val="none"/>
        </w:rPr>
        <w:t>政府采购监管部门</w:t>
      </w:r>
      <w:r>
        <w:rPr>
          <w:rFonts w:hint="eastAsia" w:ascii="仿宋" w:hAnsi="仿宋" w:eastAsia="仿宋"/>
          <w:bCs/>
          <w:color w:val="000000" w:themeColor="text1"/>
          <w:sz w:val="24"/>
          <w:highlight w:val="none"/>
        </w:rPr>
        <w:t>将对其进行严肃处理。</w:t>
      </w:r>
    </w:p>
    <w:p>
      <w:pPr>
        <w:pStyle w:val="3"/>
        <w:spacing w:before="0" w:after="0" w:line="360" w:lineRule="auto"/>
        <w:ind w:left="420"/>
        <w:jc w:val="center"/>
        <w:rPr>
          <w:rFonts w:ascii="仿宋" w:hAnsi="仿宋" w:eastAsia="仿宋"/>
          <w:b/>
          <w:bCs/>
          <w:color w:val="000000" w:themeColor="text1"/>
          <w:sz w:val="30"/>
          <w:szCs w:val="30"/>
          <w:highlight w:val="none"/>
        </w:rPr>
      </w:pPr>
      <w:r>
        <w:rPr>
          <w:rFonts w:ascii="宋体" w:hAnsi="宋体" w:eastAsia="宋体"/>
          <w:bCs/>
          <w:color w:val="000000" w:themeColor="text1"/>
          <w:sz w:val="24"/>
          <w:szCs w:val="24"/>
          <w:highlight w:val="none"/>
        </w:rPr>
        <w:br w:type="page" w:clear="all"/>
      </w:r>
      <w:r>
        <w:rPr>
          <w:rFonts w:hint="eastAsia" w:ascii="仿宋" w:hAnsi="仿宋" w:eastAsia="仿宋"/>
          <w:b/>
          <w:bCs/>
          <w:color w:val="000000" w:themeColor="text1"/>
          <w:sz w:val="30"/>
          <w:szCs w:val="30"/>
          <w:highlight w:val="none"/>
        </w:rPr>
        <w:t>七、综合评审时投标人需提供的证明文件</w:t>
      </w:r>
      <w:bookmarkEnd w:id="180"/>
    </w:p>
    <w:p>
      <w:pPr>
        <w:spacing w:line="520" w:lineRule="exact"/>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投标人根据评审项逐一提供相关评审证明材料。</w:t>
      </w: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spacing w:line="520" w:lineRule="exact"/>
        <w:ind w:firstLine="560"/>
        <w:rPr>
          <w:rFonts w:ascii="宋体" w:hAnsi="宋体"/>
          <w:color w:val="000000" w:themeColor="text1"/>
          <w:sz w:val="28"/>
          <w:szCs w:val="28"/>
          <w:highlight w:val="none"/>
        </w:rPr>
      </w:pPr>
    </w:p>
    <w:p>
      <w:pPr>
        <w:widowControl/>
        <w:spacing w:line="520" w:lineRule="exact"/>
        <w:ind w:firstLine="826"/>
        <w:jc w:val="left"/>
        <w:rPr>
          <w:rFonts w:ascii="宋体" w:hAnsi="宋体"/>
          <w:color w:val="000000" w:themeColor="text1"/>
          <w:sz w:val="28"/>
          <w:szCs w:val="28"/>
          <w:highlight w:val="none"/>
        </w:rPr>
      </w:pPr>
    </w:p>
    <w:p>
      <w:pPr>
        <w:widowControl/>
        <w:spacing w:line="520" w:lineRule="exact"/>
        <w:ind w:firstLine="826"/>
        <w:jc w:val="left"/>
        <w:rPr>
          <w:rFonts w:ascii="宋体" w:hAnsi="宋体"/>
          <w:color w:val="000000" w:themeColor="text1"/>
          <w:sz w:val="28"/>
          <w:szCs w:val="28"/>
          <w:highlight w:val="none"/>
        </w:rPr>
      </w:pPr>
    </w:p>
    <w:p>
      <w:pPr>
        <w:widowControl/>
        <w:spacing w:line="520" w:lineRule="exact"/>
        <w:ind w:firstLine="826"/>
        <w:jc w:val="left"/>
        <w:rPr>
          <w:rFonts w:ascii="宋体" w:hAnsi="宋体"/>
          <w:color w:val="000000" w:themeColor="text1"/>
          <w:sz w:val="28"/>
          <w:szCs w:val="28"/>
          <w:highlight w:val="none"/>
        </w:rPr>
      </w:pPr>
    </w:p>
    <w:p>
      <w:pPr>
        <w:widowControl/>
        <w:spacing w:line="520" w:lineRule="exact"/>
        <w:ind w:firstLine="826"/>
        <w:jc w:val="left"/>
        <w:rPr>
          <w:rFonts w:ascii="宋体" w:hAnsi="宋体"/>
          <w:color w:val="000000" w:themeColor="text1"/>
          <w:sz w:val="28"/>
          <w:szCs w:val="28"/>
          <w:highlight w:val="none"/>
        </w:rPr>
      </w:pPr>
    </w:p>
    <w:p>
      <w:pPr>
        <w:widowControl/>
        <w:spacing w:line="520" w:lineRule="exact"/>
        <w:ind w:firstLine="826"/>
        <w:jc w:val="left"/>
        <w:rPr>
          <w:rFonts w:ascii="宋体" w:hAnsi="宋体"/>
          <w:color w:val="000000" w:themeColor="text1"/>
          <w:sz w:val="28"/>
          <w:szCs w:val="28"/>
          <w:highlight w:val="none"/>
        </w:rPr>
      </w:pPr>
    </w:p>
    <w:p>
      <w:pPr>
        <w:widowControl/>
        <w:spacing w:line="520" w:lineRule="exact"/>
        <w:ind w:firstLine="826"/>
        <w:jc w:val="left"/>
        <w:rPr>
          <w:rFonts w:ascii="宋体" w:hAnsi="宋体"/>
          <w:color w:val="000000" w:themeColor="text1"/>
          <w:sz w:val="28"/>
          <w:szCs w:val="28"/>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widowControl/>
        <w:spacing w:line="520" w:lineRule="exact"/>
        <w:ind w:firstLine="826"/>
        <w:jc w:val="left"/>
        <w:rPr>
          <w:rFonts w:ascii="宋体" w:hAnsi="宋体"/>
          <w:color w:val="000000" w:themeColor="text1"/>
          <w:sz w:val="28"/>
          <w:szCs w:val="28"/>
          <w:highlight w:val="none"/>
        </w:rPr>
      </w:pPr>
    </w:p>
    <w:p>
      <w:pPr>
        <w:pStyle w:val="3"/>
        <w:spacing w:before="0" w:after="0" w:line="300" w:lineRule="auto"/>
        <w:ind w:left="420"/>
        <w:jc w:val="center"/>
        <w:rPr>
          <w:rFonts w:ascii="仿宋" w:hAnsi="仿宋" w:eastAsia="仿宋"/>
          <w:b/>
          <w:bCs/>
          <w:color w:val="000000" w:themeColor="text1"/>
          <w:sz w:val="30"/>
          <w:szCs w:val="30"/>
          <w:highlight w:val="none"/>
        </w:rPr>
      </w:pPr>
      <w:bookmarkStart w:id="181" w:name="_Toc455416591"/>
      <w:r>
        <w:rPr>
          <w:rFonts w:hint="eastAsia" w:ascii="仿宋" w:hAnsi="仿宋" w:eastAsia="仿宋"/>
          <w:b/>
          <w:bCs/>
          <w:color w:val="000000" w:themeColor="text1"/>
          <w:sz w:val="30"/>
          <w:szCs w:val="30"/>
          <w:highlight w:val="none"/>
        </w:rPr>
        <w:t>八、投标人认为有必要提供并说明的其它资料</w:t>
      </w:r>
      <w:bookmarkEnd w:id="181"/>
    </w:p>
    <w:p>
      <w:pPr>
        <w:widowControl/>
        <w:spacing w:line="520" w:lineRule="exact"/>
        <w:ind w:firstLine="1400"/>
        <w:jc w:val="left"/>
        <w:rPr>
          <w:rFonts w:ascii="仿宋" w:hAnsi="仿宋" w:eastAsia="仿宋" w:cs="Arial"/>
          <w:bCs/>
          <w:color w:val="000000" w:themeColor="text1"/>
          <w:sz w:val="28"/>
          <w:szCs w:val="28"/>
          <w:highlight w:val="none"/>
        </w:rPr>
      </w:pPr>
      <w:r>
        <w:rPr>
          <w:rFonts w:hint="eastAsia" w:ascii="仿宋" w:hAnsi="仿宋" w:eastAsia="仿宋"/>
          <w:color w:val="000000" w:themeColor="text1"/>
          <w:sz w:val="28"/>
          <w:szCs w:val="28"/>
          <w:highlight w:val="none"/>
        </w:rPr>
        <w:t>（格式由投标人自定，加盖投标人电子签章。）</w:t>
      </w:r>
    </w:p>
    <w:p>
      <w:pPr>
        <w:spacing w:line="440" w:lineRule="exact"/>
        <w:ind w:firstLine="157"/>
        <w:rPr>
          <w:rFonts w:ascii="宋体" w:hAnsi="宋体"/>
          <w:b/>
          <w:bCs/>
          <w:color w:val="000000" w:themeColor="text1"/>
          <w:sz w:val="32"/>
          <w:szCs w:val="32"/>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widowControl/>
        <w:jc w:val="left"/>
        <w:rPr>
          <w:rFonts w:ascii="仿宋" w:hAnsi="仿宋" w:eastAsia="仿宋"/>
          <w:b/>
          <w:bCs/>
          <w:color w:val="000000" w:themeColor="text1"/>
          <w:sz w:val="28"/>
          <w:szCs w:val="28"/>
          <w:highlight w:val="none"/>
        </w:rPr>
      </w:pPr>
    </w:p>
    <w:p>
      <w:pPr>
        <w:pStyle w:val="3"/>
        <w:spacing w:before="0" w:after="0" w:line="300" w:lineRule="auto"/>
        <w:ind w:left="420"/>
        <w:jc w:val="center"/>
        <w:rPr>
          <w:rFonts w:ascii="仿宋" w:hAnsi="仿宋" w:eastAsia="仿宋"/>
          <w:b/>
          <w:bCs/>
          <w:color w:val="000000" w:themeColor="text1"/>
          <w:sz w:val="30"/>
          <w:szCs w:val="30"/>
          <w:highlight w:val="none"/>
        </w:rPr>
      </w:pPr>
      <w:bookmarkStart w:id="182" w:name="_Toc455416592"/>
      <w:bookmarkStart w:id="183" w:name="_Toc157775454"/>
      <w:r>
        <w:rPr>
          <w:rFonts w:hint="eastAsia" w:ascii="仿宋" w:hAnsi="仿宋" w:eastAsia="仿宋"/>
          <w:b/>
          <w:bCs/>
          <w:color w:val="000000" w:themeColor="text1"/>
          <w:sz w:val="30"/>
          <w:szCs w:val="30"/>
          <w:highlight w:val="none"/>
        </w:rPr>
        <w:t>九、示范格式</w:t>
      </w:r>
      <w:bookmarkEnd w:id="182"/>
    </w:p>
    <w:p>
      <w:pPr>
        <w:spacing w:line="440" w:lineRule="exact"/>
        <w:rPr>
          <w:rFonts w:ascii="仿宋" w:hAnsi="仿宋" w:eastAsia="仿宋"/>
          <w:b/>
          <w:bCs/>
          <w:color w:val="000000" w:themeColor="text1"/>
          <w:sz w:val="24"/>
          <w:highlight w:val="none"/>
        </w:rPr>
      </w:pPr>
      <w:r>
        <w:rPr>
          <w:rFonts w:hint="eastAsia" w:ascii="仿宋" w:hAnsi="仿宋" w:eastAsia="仿宋"/>
          <w:b/>
          <w:bCs/>
          <w:color w:val="000000" w:themeColor="text1"/>
          <w:sz w:val="24"/>
          <w:highlight w:val="none"/>
        </w:rPr>
        <w:t>示范格式一</w:t>
      </w:r>
    </w:p>
    <w:bookmarkEnd w:id="183"/>
    <w:p>
      <w:pPr>
        <w:spacing w:line="440" w:lineRule="exact"/>
        <w:ind w:firstLine="2570"/>
        <w:rPr>
          <w:rFonts w:ascii="仿宋" w:hAnsi="仿宋" w:eastAsia="仿宋" w:cs="Arial"/>
          <w:b/>
          <w:bCs/>
          <w:color w:val="000000" w:themeColor="text1"/>
          <w:sz w:val="28"/>
          <w:szCs w:val="28"/>
          <w:highlight w:val="none"/>
        </w:rPr>
      </w:pPr>
    </w:p>
    <w:p>
      <w:pPr>
        <w:spacing w:line="640" w:lineRule="exact"/>
        <w:ind w:firstLine="2891"/>
        <w:rPr>
          <w:rFonts w:ascii="仿宋" w:hAnsi="仿宋" w:eastAsia="仿宋" w:cs="楷体_GB2312"/>
          <w:b/>
          <w:bCs/>
          <w:color w:val="000000" w:themeColor="text1"/>
          <w:sz w:val="28"/>
          <w:szCs w:val="28"/>
          <w:highlight w:val="none"/>
          <w:lang w:val="zh-CN"/>
        </w:rPr>
      </w:pPr>
      <w:r>
        <w:rPr>
          <w:rFonts w:hint="eastAsia" w:ascii="仿宋" w:hAnsi="仿宋" w:eastAsia="仿宋" w:cs="楷体_GB2312"/>
          <w:b/>
          <w:bCs/>
          <w:color w:val="000000" w:themeColor="text1"/>
          <w:sz w:val="28"/>
          <w:szCs w:val="28"/>
          <w:highlight w:val="none"/>
          <w:lang w:val="zh-CN"/>
        </w:rPr>
        <w:t>法定代表人资格证明</w:t>
      </w:r>
    </w:p>
    <w:p>
      <w:pPr>
        <w:spacing w:line="640" w:lineRule="exac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单位名称：</w:t>
      </w:r>
    </w:p>
    <w:p>
      <w:pPr>
        <w:spacing w:line="640" w:lineRule="exac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地址：</w:t>
      </w:r>
    </w:p>
    <w:p>
      <w:pPr>
        <w:spacing w:line="640" w:lineRule="exac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 xml:space="preserve">姓名： 性别： 年龄 ：    职务： </w:t>
      </w:r>
    </w:p>
    <w:p>
      <w:pPr>
        <w:spacing w:line="640" w:lineRule="exact"/>
        <w:ind w:left="1" w:firstLine="480"/>
        <w:rPr>
          <w:rFonts w:ascii="仿宋" w:hAnsi="仿宋" w:eastAsia="仿宋"/>
          <w:color w:val="000000" w:themeColor="text1"/>
          <w:sz w:val="24"/>
          <w:highlight w:val="none"/>
        </w:rPr>
      </w:pPr>
      <w:r>
        <w:rPr>
          <w:rFonts w:hint="eastAsia" w:ascii="仿宋" w:hAnsi="仿宋" w:eastAsia="仿宋" w:cs="楷体_GB2312"/>
          <w:color w:val="000000" w:themeColor="text1"/>
          <w:sz w:val="24"/>
          <w:highlight w:val="none"/>
          <w:lang w:val="zh-CN"/>
        </w:rPr>
        <w:t>系</w:t>
      </w:r>
      <w:r>
        <w:rPr>
          <w:rFonts w:hint="eastAsia" w:ascii="仿宋" w:hAnsi="仿宋" w:eastAsia="仿宋" w:cs="楷体_GB2312"/>
          <w:color w:val="000000" w:themeColor="text1"/>
          <w:sz w:val="24"/>
          <w:highlight w:val="none"/>
          <w:u w:val="single"/>
          <w:lang w:val="zh-CN"/>
        </w:rPr>
        <w:t>（投标人单位名称）</w:t>
      </w:r>
      <w:r>
        <w:rPr>
          <w:rFonts w:hint="eastAsia" w:ascii="仿宋" w:hAnsi="仿宋" w:eastAsia="仿宋" w:cs="楷体_GB2312"/>
          <w:color w:val="000000" w:themeColor="text1"/>
          <w:sz w:val="24"/>
          <w:highlight w:val="none"/>
          <w:lang w:val="zh-CN"/>
        </w:rPr>
        <w:t>的法定代表人。</w:t>
      </w:r>
      <w:r>
        <w:rPr>
          <w:rFonts w:hint="eastAsia" w:ascii="仿宋" w:hAnsi="仿宋" w:eastAsia="仿宋"/>
          <w:color w:val="000000" w:themeColor="text1"/>
          <w:sz w:val="24"/>
          <w:highlight w:val="none"/>
        </w:rPr>
        <w:t>为参与项目，签署上述项目的投标文件、进行招标、签署合同和处理与之有关的一切事务。</w:t>
      </w:r>
    </w:p>
    <w:p>
      <w:pPr>
        <w:spacing w:line="640" w:lineRule="exact"/>
        <w:ind w:firstLine="480"/>
        <w:rPr>
          <w:rFonts w:ascii="仿宋" w:hAnsi="仿宋" w:eastAsia="仿宋" w:cs="楷体_GB2312"/>
          <w:color w:val="000000" w:themeColor="text1"/>
          <w:sz w:val="24"/>
          <w:highlight w:val="none"/>
        </w:rPr>
      </w:pPr>
    </w:p>
    <w:p>
      <w:pPr>
        <w:spacing w:line="640" w:lineRule="exact"/>
        <w:ind w:firstLine="480"/>
        <w:rPr>
          <w:rFonts w:ascii="仿宋" w:hAnsi="仿宋" w:eastAsia="仿宋" w:cs="楷体_GB2312"/>
          <w:color w:val="000000" w:themeColor="text1"/>
          <w:sz w:val="24"/>
          <w:highlight w:val="none"/>
          <w:lang w:val="zh-CN"/>
        </w:rPr>
      </w:pPr>
    </w:p>
    <w:p>
      <w:pPr>
        <w:spacing w:line="640" w:lineRule="exact"/>
        <w:ind w:firstLine="480"/>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特此证明。</w:t>
      </w:r>
    </w:p>
    <w:p>
      <w:pPr>
        <w:spacing w:line="640" w:lineRule="exact"/>
        <w:jc w:val="center"/>
        <w:rPr>
          <w:rFonts w:ascii="仿宋" w:hAnsi="仿宋" w:eastAsia="仿宋" w:cs="楷体_GB2312"/>
          <w:color w:val="000000" w:themeColor="text1"/>
          <w:sz w:val="24"/>
          <w:highlight w:val="none"/>
          <w:lang w:val="zh-CN"/>
        </w:rPr>
      </w:pPr>
    </w:p>
    <w:p>
      <w:pPr>
        <w:spacing w:line="640" w:lineRule="exact"/>
        <w:jc w:val="center"/>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投标人：</w:t>
      </w:r>
      <w:r>
        <w:rPr>
          <w:rFonts w:ascii="仿宋" w:hAnsi="仿宋" w:eastAsia="仿宋" w:cs="楷体_GB2312"/>
          <w:color w:val="000000" w:themeColor="text1"/>
          <w:sz w:val="24"/>
          <w:highlight w:val="none"/>
          <w:u w:val="single"/>
          <w:lang w:val="zh-CN"/>
        </w:rPr>
        <w:t>(</w:t>
      </w:r>
      <w:r>
        <w:rPr>
          <w:rFonts w:hint="eastAsia" w:ascii="仿宋" w:hAnsi="仿宋" w:eastAsia="仿宋" w:cs="楷体_GB2312"/>
          <w:color w:val="000000" w:themeColor="text1"/>
          <w:sz w:val="24"/>
          <w:highlight w:val="none"/>
          <w:u w:val="single"/>
          <w:lang w:val="zh-CN"/>
        </w:rPr>
        <w:t>电子签章</w:t>
      </w:r>
      <w:r>
        <w:rPr>
          <w:rFonts w:ascii="仿宋" w:hAnsi="仿宋" w:eastAsia="仿宋" w:cs="楷体_GB2312"/>
          <w:color w:val="000000" w:themeColor="text1"/>
          <w:sz w:val="24"/>
          <w:highlight w:val="none"/>
          <w:u w:val="single"/>
          <w:lang w:val="zh-CN"/>
        </w:rPr>
        <w:t>)</w:t>
      </w:r>
    </w:p>
    <w:p>
      <w:pPr>
        <w:spacing w:line="640" w:lineRule="exact"/>
        <w:jc w:val="center"/>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日期：年月日</w:t>
      </w:r>
    </w:p>
    <w:p>
      <w:pPr>
        <w:spacing w:line="640" w:lineRule="exact"/>
        <w:rPr>
          <w:rFonts w:ascii="仿宋" w:hAnsi="仿宋" w:eastAsia="仿宋" w:cs="楷体_GB2312"/>
          <w:color w:val="000000" w:themeColor="text1"/>
          <w:sz w:val="24"/>
          <w:highlight w:val="none"/>
          <w:lang w:val="zh-CN"/>
        </w:rPr>
      </w:pPr>
    </w:p>
    <w:p>
      <w:pPr>
        <w:spacing w:line="640" w:lineRule="exact"/>
        <w:rPr>
          <w:rFonts w:ascii="仿宋" w:hAnsi="仿宋" w:eastAsia="仿宋" w:cs="楷体_GB2312"/>
          <w:color w:val="000000" w:themeColor="text1"/>
          <w:sz w:val="24"/>
          <w:highlight w:val="none"/>
          <w:lang w:val="zh-CN"/>
        </w:rPr>
      </w:pPr>
    </w:p>
    <w:p>
      <w:pPr>
        <w:spacing w:line="640" w:lineRule="exact"/>
        <w:ind w:firstLine="480"/>
        <w:rPr>
          <w:rFonts w:ascii="仿宋" w:hAnsi="仿宋" w:eastAsia="仿宋"/>
          <w:color w:val="000000" w:themeColor="text1"/>
          <w:sz w:val="24"/>
          <w:highlight w:val="none"/>
        </w:rPr>
      </w:pPr>
      <w:r>
        <w:rPr>
          <w:rFonts w:hint="eastAsia" w:ascii="仿宋" w:hAnsi="仿宋" w:eastAsia="仿宋"/>
          <w:bCs/>
          <w:color w:val="000000" w:themeColor="text1"/>
          <w:sz w:val="24"/>
          <w:highlight w:val="none"/>
        </w:rPr>
        <w:t>注:投标人法定代表人参加投标的，必须附法定代表人身份证扫描件并加盖委托单位电子签章。</w:t>
      </w:r>
      <w:r>
        <w:rPr>
          <w:rFonts w:hint="eastAsia" w:ascii="仿宋" w:hAnsi="仿宋" w:eastAsia="仿宋"/>
          <w:color w:val="000000" w:themeColor="text1"/>
          <w:sz w:val="24"/>
          <w:highlight w:val="none"/>
        </w:rPr>
        <w:t>法定代表人授权其他人参加投标的，仅需填写“授权委托书”。</w:t>
      </w:r>
    </w:p>
    <w:p>
      <w:pPr>
        <w:spacing w:line="640" w:lineRule="exact"/>
        <w:ind w:left="-359" w:firstLine="472"/>
        <w:rPr>
          <w:rFonts w:ascii="仿宋" w:hAnsi="仿宋" w:eastAsia="仿宋"/>
          <w:b/>
          <w:color w:val="000000" w:themeColor="text1"/>
          <w:sz w:val="24"/>
          <w:highlight w:val="none"/>
        </w:rPr>
      </w:pPr>
    </w:p>
    <w:p>
      <w:pPr>
        <w:pStyle w:val="62"/>
        <w:rPr>
          <w:color w:val="000000" w:themeColor="text1"/>
          <w:highlight w:val="none"/>
        </w:rPr>
      </w:pPr>
    </w:p>
    <w:p>
      <w:pPr>
        <w:rPr>
          <w:color w:val="000000" w:themeColor="text1"/>
          <w:highlight w:val="none"/>
        </w:rPr>
      </w:pPr>
    </w:p>
    <w:p>
      <w:pPr>
        <w:spacing w:line="640" w:lineRule="exact"/>
        <w:ind w:left="-359" w:firstLine="357"/>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示范格式二</w:t>
      </w:r>
    </w:p>
    <w:p>
      <w:pPr>
        <w:spacing w:line="520" w:lineRule="exact"/>
        <w:ind w:firstLine="3213"/>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授权委托书</w:t>
      </w:r>
    </w:p>
    <w:p>
      <w:pPr>
        <w:spacing w:line="520" w:lineRule="exact"/>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致</w:t>
      </w:r>
      <w:r>
        <w:rPr>
          <w:rFonts w:hint="eastAsia" w:ascii="仿宋" w:hAnsi="仿宋" w:eastAsia="仿宋"/>
          <w:bCs/>
          <w:color w:val="000000" w:themeColor="text1"/>
          <w:sz w:val="24"/>
          <w:highlight w:val="none"/>
          <w:u w:val="single"/>
        </w:rPr>
        <w:t>（采购人）</w:t>
      </w:r>
      <w:r>
        <w:rPr>
          <w:rFonts w:hint="eastAsia" w:ascii="仿宋" w:hAnsi="仿宋" w:eastAsia="仿宋"/>
          <w:bCs/>
          <w:color w:val="000000" w:themeColor="text1"/>
          <w:sz w:val="24"/>
          <w:highlight w:val="none"/>
        </w:rPr>
        <w:t>：</w:t>
      </w:r>
    </w:p>
    <w:p>
      <w:pPr>
        <w:spacing w:line="52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本授权书宣告：</w:t>
      </w:r>
    </w:p>
    <w:p>
      <w:pPr>
        <w:spacing w:line="52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委托方：</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地址：</w:t>
      </w:r>
      <w:r>
        <w:rPr>
          <w:rFonts w:hint="eastAsia" w:ascii="仿宋" w:hAnsi="仿宋" w:eastAsia="仿宋"/>
          <w:color w:val="000000" w:themeColor="text1"/>
          <w:sz w:val="24"/>
          <w:highlight w:val="none"/>
          <w:u w:val="single"/>
        </w:rPr>
        <w:t xml:space="preserve">                   </w:t>
      </w:r>
    </w:p>
    <w:p>
      <w:pPr>
        <w:spacing w:line="520" w:lineRule="exact"/>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法定代表人：</w:t>
      </w:r>
      <w:r>
        <w:rPr>
          <w:rFonts w:hint="eastAsia" w:ascii="仿宋" w:hAnsi="仿宋" w:eastAsia="仿宋"/>
          <w:color w:val="000000" w:themeColor="text1"/>
          <w:sz w:val="24"/>
          <w:highlight w:val="none"/>
          <w:u w:val="single"/>
        </w:rPr>
        <w:t xml:space="preserve">                   </w:t>
      </w:r>
    </w:p>
    <w:p>
      <w:pPr>
        <w:spacing w:line="52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受托人：姓名：</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性别：</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出生日期：</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年</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月</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日</w:t>
      </w:r>
    </w:p>
    <w:p>
      <w:pPr>
        <w:spacing w:line="520" w:lineRule="exact"/>
        <w:rPr>
          <w:rFonts w:ascii="仿宋" w:hAnsi="仿宋" w:eastAsia="仿宋"/>
          <w:color w:val="000000" w:themeColor="text1"/>
          <w:sz w:val="24"/>
          <w:highlight w:val="none"/>
        </w:rPr>
      </w:pPr>
      <w:r>
        <w:rPr>
          <w:rFonts w:hint="eastAsia" w:ascii="仿宋" w:hAnsi="仿宋" w:eastAsia="仿宋"/>
          <w:color w:val="000000" w:themeColor="text1"/>
          <w:sz w:val="24"/>
          <w:highlight w:val="none"/>
        </w:rPr>
        <w:t>所在单位：</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职务：</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w:t>
      </w:r>
    </w:p>
    <w:p>
      <w:pPr>
        <w:spacing w:line="520" w:lineRule="exact"/>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身份证：</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 xml:space="preserve">  联系方式：</w:t>
      </w:r>
      <w:r>
        <w:rPr>
          <w:rFonts w:hint="eastAsia" w:ascii="仿宋" w:hAnsi="仿宋" w:eastAsia="仿宋"/>
          <w:color w:val="000000" w:themeColor="text1"/>
          <w:sz w:val="24"/>
          <w:highlight w:val="none"/>
          <w:u w:val="single"/>
        </w:rPr>
        <w:t xml:space="preserve">        </w:t>
      </w:r>
    </w:p>
    <w:p>
      <w:pPr>
        <w:spacing w:line="52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兹委托受托人代表我公司参加</w:t>
      </w:r>
      <w:r>
        <w:rPr>
          <w:rFonts w:hint="eastAsia" w:ascii="仿宋" w:hAnsi="仿宋" w:eastAsia="仿宋"/>
          <w:color w:val="000000" w:themeColor="text1"/>
          <w:sz w:val="24"/>
          <w:highlight w:val="none"/>
          <w:u w:val="single"/>
        </w:rPr>
        <w:t>（采购人）</w:t>
      </w:r>
      <w:r>
        <w:rPr>
          <w:rFonts w:hint="eastAsia" w:ascii="仿宋" w:hAnsi="仿宋" w:eastAsia="仿宋"/>
          <w:color w:val="000000" w:themeColor="text1"/>
          <w:sz w:val="24"/>
          <w:highlight w:val="none"/>
        </w:rPr>
        <w:t>组织的</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（项目编号:</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）采购项目的政府采购活动，受托人有权在该招标活动中，以我单位的名义签署投标函和投标文件，与采购人或代理机构协商、澄清、解释，签订合同书并执行一切与此有关的事项。</w:t>
      </w:r>
    </w:p>
    <w:p>
      <w:pPr>
        <w:spacing w:line="520" w:lineRule="exact"/>
        <w:ind w:firstLine="480"/>
        <w:rPr>
          <w:rFonts w:ascii="仿宋" w:hAnsi="仿宋" w:eastAsia="仿宋" w:cs="宋体"/>
          <w:color w:val="000000" w:themeColor="text1"/>
          <w:sz w:val="24"/>
          <w:highlight w:val="none"/>
        </w:rPr>
      </w:pPr>
      <w:r>
        <w:rPr>
          <w:rFonts w:hint="eastAsia" w:ascii="仿宋" w:hAnsi="仿宋" w:eastAsia="仿宋"/>
          <w:color w:val="000000" w:themeColor="text1"/>
          <w:sz w:val="24"/>
          <w:highlight w:val="none"/>
        </w:rPr>
        <w:t>受托人在办理上述事宜过程中以其自己的名义所签署的所有文件我公司均予以承认。受托人无转委托权。</w:t>
      </w:r>
    </w:p>
    <w:p>
      <w:pPr>
        <w:spacing w:line="520" w:lineRule="exact"/>
        <w:ind w:firstLine="480"/>
        <w:rPr>
          <w:rFonts w:ascii="仿宋" w:hAnsi="仿宋" w:eastAsia="仿宋"/>
          <w:color w:val="000000" w:themeColor="text1"/>
          <w:sz w:val="24"/>
          <w:highlight w:val="none"/>
        </w:rPr>
      </w:pPr>
      <w:r>
        <w:rPr>
          <w:rFonts w:hint="eastAsia" w:ascii="仿宋" w:hAnsi="仿宋" w:eastAsia="仿宋"/>
          <w:color w:val="000000" w:themeColor="text1"/>
          <w:sz w:val="24"/>
          <w:highlight w:val="none"/>
        </w:rPr>
        <w:t>委托期限：至上述事宜处理完毕止。</w:t>
      </w:r>
    </w:p>
    <w:p>
      <w:pPr>
        <w:spacing w:line="520" w:lineRule="exact"/>
        <w:ind w:firstLine="600"/>
        <w:rPr>
          <w:rFonts w:ascii="仿宋" w:hAnsi="仿宋" w:eastAsia="仿宋"/>
          <w:b/>
          <w:color w:val="000000" w:themeColor="text1"/>
          <w:sz w:val="24"/>
          <w:highlight w:val="none"/>
        </w:rPr>
      </w:pPr>
    </w:p>
    <w:p>
      <w:pPr>
        <w:spacing w:line="520" w:lineRule="exact"/>
        <w:rPr>
          <w:rFonts w:ascii="仿宋" w:hAnsi="仿宋" w:eastAsia="仿宋"/>
          <w:color w:val="000000" w:themeColor="text1"/>
          <w:sz w:val="24"/>
          <w:highlight w:val="none"/>
        </w:rPr>
      </w:pPr>
    </w:p>
    <w:p>
      <w:pPr>
        <w:spacing w:line="520" w:lineRule="exact"/>
        <w:rPr>
          <w:rFonts w:ascii="仿宋" w:hAnsi="仿宋" w:eastAsia="仿宋"/>
          <w:color w:val="000000" w:themeColor="text1"/>
          <w:sz w:val="24"/>
          <w:highlight w:val="none"/>
          <w:u w:val="single"/>
        </w:rPr>
      </w:pPr>
      <w:r>
        <w:rPr>
          <w:rFonts w:hint="eastAsia" w:ascii="仿宋" w:hAnsi="仿宋" w:eastAsia="仿宋"/>
          <w:color w:val="000000" w:themeColor="text1"/>
          <w:sz w:val="24"/>
          <w:highlight w:val="none"/>
        </w:rPr>
        <w:t>委托单位</w:t>
      </w:r>
      <w:r>
        <w:rPr>
          <w:rFonts w:hint="eastAsia" w:ascii="仿宋" w:hAnsi="仿宋" w:eastAsia="仿宋"/>
          <w:color w:val="000000" w:themeColor="text1"/>
          <w:sz w:val="24"/>
          <w:highlight w:val="none"/>
          <w:u w:val="single"/>
        </w:rPr>
        <w:t>（电子签章）</w:t>
      </w:r>
    </w:p>
    <w:p>
      <w:pPr>
        <w:spacing w:line="520" w:lineRule="exac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日期： 年 月 日</w:t>
      </w:r>
    </w:p>
    <w:p>
      <w:pPr>
        <w:spacing w:line="520" w:lineRule="exact"/>
        <w:rPr>
          <w:rFonts w:ascii="仿宋" w:hAnsi="仿宋" w:eastAsia="仿宋"/>
          <w:b/>
          <w:bCs/>
          <w:color w:val="000000" w:themeColor="text1"/>
          <w:sz w:val="24"/>
          <w:highlight w:val="none"/>
        </w:rPr>
      </w:pPr>
    </w:p>
    <w:p>
      <w:pPr>
        <w:spacing w:line="520" w:lineRule="exact"/>
        <w:ind w:firstLine="480"/>
        <w:rPr>
          <w:rFonts w:ascii="仿宋" w:hAnsi="仿宋" w:eastAsia="仿宋"/>
          <w:color w:val="000000" w:themeColor="text1"/>
          <w:sz w:val="24"/>
          <w:highlight w:val="none"/>
        </w:rPr>
      </w:pPr>
      <w:r>
        <w:rPr>
          <w:rFonts w:hint="eastAsia" w:ascii="仿宋" w:hAnsi="仿宋" w:eastAsia="仿宋"/>
          <w:bCs/>
          <w:color w:val="000000" w:themeColor="text1"/>
          <w:sz w:val="24"/>
          <w:highlight w:val="none"/>
        </w:rPr>
        <w:t>注:投标人委托受托人参加投标的，必须附受托人身份证扫描件并加盖委托单位电子签章。</w:t>
      </w:r>
      <w:r>
        <w:rPr>
          <w:rFonts w:hint="eastAsia" w:ascii="仿宋" w:hAnsi="仿宋" w:eastAsia="仿宋"/>
          <w:color w:val="000000" w:themeColor="text1"/>
          <w:sz w:val="24"/>
          <w:highlight w:val="none"/>
        </w:rPr>
        <w:t>法定代表人直接参加投标的，仅需填写“法定代表人资格证明”。</w:t>
      </w:r>
    </w:p>
    <w:p>
      <w:pPr>
        <w:spacing w:line="640" w:lineRule="exact"/>
        <w:ind w:left="-359" w:firstLine="542"/>
        <w:rPr>
          <w:rFonts w:ascii="仿宋" w:hAnsi="仿宋" w:eastAsia="仿宋"/>
          <w:b/>
          <w:color w:val="000000" w:themeColor="text1"/>
          <w:sz w:val="24"/>
          <w:highlight w:val="none"/>
        </w:rPr>
      </w:pPr>
    </w:p>
    <w:p>
      <w:pPr>
        <w:pStyle w:val="62"/>
        <w:rPr>
          <w:color w:val="000000" w:themeColor="text1"/>
          <w:highlight w:val="none"/>
        </w:rPr>
      </w:pPr>
    </w:p>
    <w:p>
      <w:pPr>
        <w:rPr>
          <w:color w:val="000000" w:themeColor="text1"/>
          <w:highlight w:val="none"/>
        </w:rPr>
      </w:pPr>
    </w:p>
    <w:p>
      <w:pPr>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示范格式三</w:t>
      </w:r>
    </w:p>
    <w:p>
      <w:pPr>
        <w:rPr>
          <w:rFonts w:ascii="仿宋" w:hAnsi="仿宋" w:eastAsia="仿宋"/>
          <w:b/>
          <w:color w:val="000000" w:themeColor="text1"/>
          <w:sz w:val="24"/>
          <w:highlight w:val="none"/>
        </w:rPr>
      </w:pPr>
    </w:p>
    <w:p>
      <w:pPr>
        <w:spacing w:line="520" w:lineRule="exact"/>
        <w:jc w:val="center"/>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符合《政府采购法》第二十二条规定条件的声明函</w:t>
      </w:r>
    </w:p>
    <w:p>
      <w:pPr>
        <w:pStyle w:val="12"/>
        <w:spacing w:line="720" w:lineRule="exact"/>
        <w:ind w:firstLine="0"/>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致</w:t>
      </w:r>
      <w:r>
        <w:rPr>
          <w:rFonts w:hint="eastAsia" w:ascii="仿宋" w:hAnsi="仿宋" w:eastAsia="仿宋"/>
          <w:bCs/>
          <w:color w:val="000000" w:themeColor="text1"/>
          <w:sz w:val="24"/>
          <w:highlight w:val="none"/>
          <w:u w:val="single"/>
        </w:rPr>
        <w:t xml:space="preserve">   （采购人）       </w:t>
      </w:r>
      <w:r>
        <w:rPr>
          <w:rFonts w:hint="eastAsia" w:ascii="仿宋" w:hAnsi="仿宋" w:eastAsia="仿宋"/>
          <w:bCs/>
          <w:color w:val="000000" w:themeColor="text1"/>
          <w:sz w:val="24"/>
          <w:highlight w:val="none"/>
        </w:rPr>
        <w:t>:</w:t>
      </w:r>
    </w:p>
    <w:p>
      <w:pPr>
        <w:spacing w:line="520" w:lineRule="exact"/>
        <w:ind w:firstLine="840"/>
        <w:rPr>
          <w:rFonts w:ascii="仿宋" w:hAnsi="仿宋" w:eastAsia="仿宋"/>
          <w:color w:val="000000" w:themeColor="text1"/>
          <w:sz w:val="24"/>
          <w:highlight w:val="none"/>
        </w:rPr>
      </w:pPr>
      <w:r>
        <w:rPr>
          <w:rFonts w:hint="eastAsia" w:ascii="仿宋" w:hAnsi="仿宋" w:eastAsia="仿宋"/>
          <w:color w:val="000000" w:themeColor="text1"/>
          <w:sz w:val="24"/>
          <w:highlight w:val="none"/>
        </w:rPr>
        <w:t>我公司参加贵单位组织实施的（项目编号:</w:t>
      </w:r>
      <w:r>
        <w:rPr>
          <w:rFonts w:hint="eastAsia" w:ascii="仿宋" w:hAnsi="仿宋" w:eastAsia="仿宋"/>
          <w:color w:val="000000" w:themeColor="text1"/>
          <w:sz w:val="24"/>
          <w:highlight w:val="none"/>
          <w:u w:val="single"/>
        </w:rPr>
        <w:t xml:space="preserve">     </w:t>
      </w:r>
      <w:r>
        <w:rPr>
          <w:rFonts w:hint="eastAsia" w:ascii="仿宋" w:hAnsi="仿宋" w:eastAsia="仿宋"/>
          <w:color w:val="000000" w:themeColor="text1"/>
          <w:sz w:val="24"/>
          <w:highlight w:val="none"/>
        </w:rPr>
        <w:t>）</w:t>
      </w:r>
      <w:r>
        <w:rPr>
          <w:rFonts w:hint="eastAsia" w:ascii="仿宋" w:hAnsi="仿宋" w:eastAsia="仿宋"/>
          <w:bCs/>
          <w:color w:val="000000" w:themeColor="text1"/>
          <w:sz w:val="24"/>
          <w:highlight w:val="none"/>
          <w:u w:val="single"/>
        </w:rPr>
        <w:t xml:space="preserve">      </w:t>
      </w:r>
      <w:r>
        <w:rPr>
          <w:rFonts w:hint="eastAsia" w:ascii="仿宋" w:hAnsi="仿宋" w:eastAsia="仿宋"/>
          <w:color w:val="000000" w:themeColor="text1"/>
          <w:sz w:val="24"/>
          <w:highlight w:val="none"/>
        </w:rPr>
        <w:t>采购项目的政府采购活动。针对《中华人民共和国政府采购法》第二十二条规定做出如下声明：</w:t>
      </w:r>
    </w:p>
    <w:p>
      <w:pPr>
        <w:spacing w:line="520" w:lineRule="exact"/>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1、我单位具有独立承担民事责任的能力；</w:t>
      </w:r>
    </w:p>
    <w:p>
      <w:pPr>
        <w:spacing w:line="520" w:lineRule="exact"/>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2、我单位具有良好的商业信誉和健全的财务会计制度；</w:t>
      </w:r>
    </w:p>
    <w:p>
      <w:pPr>
        <w:spacing w:line="520" w:lineRule="exact"/>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3、我单位具有履行合同所必需的设备和专业技术能力；</w:t>
      </w:r>
    </w:p>
    <w:p>
      <w:pPr>
        <w:spacing w:line="520" w:lineRule="exact"/>
        <w:ind w:firstLine="560"/>
        <w:rPr>
          <w:rFonts w:ascii="仿宋" w:hAnsi="仿宋" w:eastAsia="仿宋"/>
          <w:color w:val="000000" w:themeColor="text1"/>
          <w:sz w:val="24"/>
          <w:highlight w:val="none"/>
        </w:rPr>
      </w:pPr>
      <w:r>
        <w:rPr>
          <w:rFonts w:hint="eastAsia" w:ascii="仿宋" w:hAnsi="仿宋" w:eastAsia="仿宋"/>
          <w:color w:val="000000" w:themeColor="text1"/>
          <w:sz w:val="24"/>
          <w:highlight w:val="none"/>
        </w:rPr>
        <w:t>4、我单位有依法缴纳税收和社会保障资金的良好记录；</w:t>
      </w:r>
    </w:p>
    <w:p>
      <w:pPr>
        <w:spacing w:line="640" w:lineRule="exact"/>
        <w:ind w:firstLine="560"/>
        <w:jc w:val="left"/>
        <w:rPr>
          <w:rFonts w:ascii="仿宋" w:hAnsi="仿宋" w:eastAsia="仿宋" w:cs="仿宋"/>
          <w:color w:val="000000" w:themeColor="text1"/>
          <w:sz w:val="24"/>
          <w:highlight w:val="none"/>
        </w:rPr>
      </w:pPr>
      <w:r>
        <w:rPr>
          <w:rFonts w:hint="eastAsia" w:ascii="仿宋" w:hAnsi="仿宋" w:eastAsia="仿宋"/>
          <w:color w:val="000000" w:themeColor="text1"/>
          <w:sz w:val="24"/>
          <w:highlight w:val="none"/>
        </w:rPr>
        <w:t>5、</w:t>
      </w:r>
      <w:r>
        <w:rPr>
          <w:rFonts w:hint="eastAsia" w:ascii="仿宋" w:hAnsi="仿宋" w:eastAsia="仿宋" w:cs="仿宋"/>
          <w:color w:val="000000" w:themeColor="text1"/>
          <w:sz w:val="24"/>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themeColor="text1"/>
          <w:sz w:val="24"/>
          <w:highlight w:val="none"/>
        </w:rPr>
        <w:t xml:space="preserve"> </w:t>
      </w:r>
    </w:p>
    <w:p>
      <w:pPr>
        <w:spacing w:line="520" w:lineRule="exact"/>
        <w:ind w:firstLine="638"/>
        <w:rPr>
          <w:rFonts w:ascii="仿宋" w:hAnsi="仿宋" w:eastAsia="仿宋"/>
          <w:color w:val="000000" w:themeColor="text1"/>
          <w:sz w:val="24"/>
          <w:highlight w:val="none"/>
        </w:rPr>
      </w:pPr>
      <w:r>
        <w:rPr>
          <w:rFonts w:hint="eastAsia" w:ascii="仿宋" w:hAnsi="仿宋" w:eastAsia="仿宋"/>
          <w:color w:val="000000" w:themeColor="text1"/>
          <w:sz w:val="24"/>
          <w:highlight w:val="none"/>
        </w:rPr>
        <w:t>6、我单位满足法律、行政法规规定的其他条件。</w:t>
      </w:r>
    </w:p>
    <w:p>
      <w:pPr>
        <w:spacing w:line="520" w:lineRule="exact"/>
        <w:rPr>
          <w:rFonts w:ascii="仿宋" w:hAnsi="仿宋" w:eastAsia="仿宋"/>
          <w:color w:val="000000" w:themeColor="text1"/>
          <w:sz w:val="24"/>
          <w:highlight w:val="none"/>
          <w:u w:val="single"/>
        </w:rPr>
      </w:pPr>
    </w:p>
    <w:p>
      <w:pPr>
        <w:spacing w:line="520" w:lineRule="exact"/>
        <w:rPr>
          <w:rFonts w:ascii="仿宋" w:hAnsi="仿宋" w:eastAsia="仿宋"/>
          <w:color w:val="000000" w:themeColor="text1"/>
          <w:sz w:val="24"/>
          <w:highlight w:val="none"/>
          <w:u w:val="single"/>
        </w:rPr>
      </w:pPr>
    </w:p>
    <w:p>
      <w:pPr>
        <w:spacing w:line="640" w:lineRule="exact"/>
        <w:jc w:val="righ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rPr>
        <w:t xml:space="preserve">  </w:t>
      </w:r>
      <w:r>
        <w:rPr>
          <w:rFonts w:hint="eastAsia" w:ascii="仿宋" w:hAnsi="仿宋" w:eastAsia="仿宋"/>
          <w:color w:val="000000" w:themeColor="text1"/>
          <w:sz w:val="24"/>
          <w:highlight w:val="none"/>
        </w:rPr>
        <w:t>承诺人</w:t>
      </w:r>
      <w:r>
        <w:rPr>
          <w:rFonts w:hint="eastAsia" w:ascii="仿宋" w:hAnsi="仿宋" w:eastAsia="仿宋" w:cs="楷体_GB2312"/>
          <w:color w:val="000000" w:themeColor="text1"/>
          <w:sz w:val="24"/>
          <w:highlight w:val="none"/>
          <w:lang w:val="zh-CN"/>
        </w:rPr>
        <w:t>:</w:t>
      </w:r>
      <w:r>
        <w:rPr>
          <w:rFonts w:ascii="仿宋" w:hAnsi="仿宋" w:eastAsia="仿宋" w:cs="楷体_GB2312"/>
          <w:color w:val="000000" w:themeColor="text1"/>
          <w:sz w:val="24"/>
          <w:highlight w:val="none"/>
          <w:u w:val="single"/>
          <w:lang w:val="zh-CN"/>
        </w:rPr>
        <w:t xml:space="preserve">    </w:t>
      </w:r>
      <w:r>
        <w:rPr>
          <w:rFonts w:hint="eastAsia" w:ascii="仿宋" w:hAnsi="仿宋" w:eastAsia="仿宋" w:cs="楷体_GB2312"/>
          <w:color w:val="000000" w:themeColor="text1"/>
          <w:sz w:val="24"/>
          <w:highlight w:val="none"/>
          <w:u w:val="single"/>
          <w:lang w:val="zh-CN"/>
        </w:rPr>
        <w:t xml:space="preserve"> （电子签章）    </w:t>
      </w:r>
    </w:p>
    <w:p>
      <w:pPr>
        <w:spacing w:line="520" w:lineRule="exact"/>
        <w:jc w:val="right"/>
        <w:rPr>
          <w:rFonts w:ascii="仿宋" w:hAnsi="仿宋" w:eastAsia="仿宋" w:cs="楷体_GB2312"/>
          <w:color w:val="000000" w:themeColor="text1"/>
          <w:sz w:val="24"/>
          <w:highlight w:val="none"/>
          <w:lang w:val="zh-CN"/>
        </w:rPr>
      </w:pPr>
      <w:r>
        <w:rPr>
          <w:rFonts w:hint="eastAsia" w:ascii="仿宋" w:hAnsi="仿宋" w:eastAsia="仿宋"/>
          <w:color w:val="000000" w:themeColor="text1"/>
          <w:sz w:val="24"/>
          <w:highlight w:val="none"/>
        </w:rPr>
        <w:t xml:space="preserve">                                </w:t>
      </w:r>
      <w:r>
        <w:rPr>
          <w:rFonts w:hint="eastAsia" w:ascii="仿宋" w:hAnsi="仿宋" w:eastAsia="仿宋" w:cs="楷体_GB2312"/>
          <w:color w:val="000000" w:themeColor="text1"/>
          <w:sz w:val="24"/>
          <w:highlight w:val="none"/>
          <w:lang w:val="zh-CN"/>
        </w:rPr>
        <w:t>日期:</w:t>
      </w:r>
      <w:r>
        <w:rPr>
          <w:rFonts w:ascii="仿宋" w:hAnsi="仿宋" w:eastAsia="仿宋" w:cs="楷体_GB2312"/>
          <w:color w:val="000000" w:themeColor="text1"/>
          <w:sz w:val="24"/>
          <w:highlight w:val="none"/>
          <w:u w:val="single"/>
          <w:lang w:val="zh-CN"/>
        </w:rPr>
        <w:t xml:space="preserve">     </w:t>
      </w:r>
      <w:r>
        <w:rPr>
          <w:rFonts w:hint="eastAsia" w:ascii="仿宋" w:hAnsi="仿宋" w:eastAsia="仿宋" w:cs="楷体_GB2312"/>
          <w:color w:val="000000" w:themeColor="text1"/>
          <w:sz w:val="24"/>
          <w:highlight w:val="none"/>
          <w:lang w:val="zh-CN"/>
        </w:rPr>
        <w:t>年</w:t>
      </w:r>
      <w:r>
        <w:rPr>
          <w:rFonts w:ascii="仿宋" w:hAnsi="仿宋" w:eastAsia="仿宋" w:cs="楷体_GB2312"/>
          <w:color w:val="000000" w:themeColor="text1"/>
          <w:sz w:val="24"/>
          <w:highlight w:val="none"/>
          <w:lang w:val="zh-CN"/>
        </w:rPr>
        <w:t xml:space="preserve"> </w:t>
      </w:r>
      <w:r>
        <w:rPr>
          <w:rFonts w:ascii="仿宋" w:hAnsi="仿宋" w:eastAsia="仿宋" w:cs="楷体_GB2312"/>
          <w:color w:val="000000" w:themeColor="text1"/>
          <w:sz w:val="24"/>
          <w:highlight w:val="none"/>
          <w:u w:val="single"/>
          <w:lang w:val="zh-CN"/>
        </w:rPr>
        <w:t xml:space="preserve">    </w:t>
      </w:r>
      <w:r>
        <w:rPr>
          <w:rFonts w:hint="eastAsia" w:ascii="仿宋" w:hAnsi="仿宋" w:eastAsia="仿宋" w:cs="楷体_GB2312"/>
          <w:color w:val="000000" w:themeColor="text1"/>
          <w:sz w:val="24"/>
          <w:highlight w:val="none"/>
          <w:lang w:val="zh-CN"/>
        </w:rPr>
        <w:t>月</w:t>
      </w:r>
      <w:r>
        <w:rPr>
          <w:rFonts w:ascii="仿宋" w:hAnsi="仿宋" w:eastAsia="仿宋" w:cs="楷体_GB2312"/>
          <w:color w:val="000000" w:themeColor="text1"/>
          <w:sz w:val="24"/>
          <w:highlight w:val="none"/>
          <w:u w:val="single"/>
          <w:lang w:val="zh-CN"/>
        </w:rPr>
        <w:t xml:space="preserve">   </w:t>
      </w:r>
      <w:r>
        <w:rPr>
          <w:rFonts w:hint="eastAsia" w:ascii="仿宋" w:hAnsi="仿宋" w:eastAsia="仿宋" w:cs="楷体_GB2312"/>
          <w:color w:val="000000" w:themeColor="text1"/>
          <w:sz w:val="24"/>
          <w:highlight w:val="none"/>
          <w:lang w:val="zh-CN"/>
        </w:rPr>
        <w:t>日</w:t>
      </w:r>
    </w:p>
    <w:p>
      <w:pPr>
        <w:spacing w:line="640" w:lineRule="exact"/>
        <w:ind w:left="-359" w:firstLine="542"/>
        <w:jc w:val="right"/>
        <w:rPr>
          <w:rFonts w:ascii="仿宋" w:hAnsi="仿宋" w:eastAsia="仿宋"/>
          <w:b/>
          <w:color w:val="000000" w:themeColor="text1"/>
          <w:sz w:val="24"/>
          <w:highlight w:val="none"/>
        </w:rPr>
      </w:pPr>
    </w:p>
    <w:p>
      <w:pPr>
        <w:spacing w:line="640" w:lineRule="exact"/>
        <w:ind w:left="-359" w:firstLine="542"/>
        <w:rPr>
          <w:rFonts w:ascii="仿宋" w:hAnsi="仿宋" w:eastAsia="仿宋"/>
          <w:b/>
          <w:color w:val="000000" w:themeColor="text1"/>
          <w:sz w:val="24"/>
          <w:highlight w:val="none"/>
        </w:rPr>
      </w:pPr>
    </w:p>
    <w:p>
      <w:pPr>
        <w:pStyle w:val="62"/>
        <w:rPr>
          <w:color w:val="000000" w:themeColor="text1"/>
          <w:sz w:val="24"/>
          <w:szCs w:val="24"/>
          <w:highlight w:val="none"/>
        </w:rPr>
      </w:pPr>
    </w:p>
    <w:p>
      <w:pPr>
        <w:rPr>
          <w:color w:val="000000" w:themeColor="text1"/>
          <w:highlight w:val="none"/>
        </w:rPr>
      </w:pPr>
    </w:p>
    <w:p>
      <w:pPr>
        <w:pStyle w:val="62"/>
        <w:rPr>
          <w:color w:val="000000" w:themeColor="text1"/>
          <w:highlight w:val="none"/>
        </w:rPr>
      </w:pPr>
    </w:p>
    <w:p>
      <w:pPr>
        <w:rPr>
          <w:color w:val="000000" w:themeColor="text1"/>
          <w:highlight w:val="none"/>
        </w:rPr>
      </w:pPr>
    </w:p>
    <w:p>
      <w:pPr>
        <w:pStyle w:val="62"/>
        <w:rPr>
          <w:color w:val="000000" w:themeColor="text1"/>
          <w:highlight w:val="none"/>
        </w:rPr>
      </w:pPr>
    </w:p>
    <w:p>
      <w:pPr>
        <w:rPr>
          <w:color w:val="000000" w:themeColor="text1"/>
          <w:sz w:val="24"/>
          <w:highlight w:val="none"/>
        </w:rPr>
      </w:pPr>
    </w:p>
    <w:p>
      <w:pPr>
        <w:pStyle w:val="62"/>
        <w:rPr>
          <w:color w:val="000000" w:themeColor="text1"/>
          <w:sz w:val="24"/>
          <w:szCs w:val="24"/>
          <w:highlight w:val="none"/>
        </w:rPr>
      </w:pPr>
    </w:p>
    <w:p>
      <w:pPr>
        <w:rPr>
          <w:color w:val="000000" w:themeColor="text1"/>
          <w:sz w:val="24"/>
          <w:highlight w:val="none"/>
        </w:rPr>
      </w:pPr>
    </w:p>
    <w:p>
      <w:pPr>
        <w:spacing w:line="640" w:lineRule="exact"/>
        <w:ind w:left="-359" w:firstLine="542"/>
        <w:rPr>
          <w:rFonts w:ascii="仿宋" w:hAnsi="仿宋" w:eastAsia="仿宋"/>
          <w:b/>
          <w:color w:val="000000" w:themeColor="text1"/>
          <w:sz w:val="24"/>
          <w:highlight w:val="none"/>
        </w:rPr>
      </w:pPr>
      <w:r>
        <w:rPr>
          <w:rFonts w:hint="eastAsia" w:ascii="仿宋" w:hAnsi="仿宋" w:eastAsia="仿宋"/>
          <w:b/>
          <w:color w:val="000000" w:themeColor="text1"/>
          <w:sz w:val="24"/>
          <w:highlight w:val="none"/>
        </w:rPr>
        <w:t>示范格式四</w:t>
      </w:r>
    </w:p>
    <w:p>
      <w:pPr>
        <w:tabs>
          <w:tab w:val="left" w:pos="0"/>
        </w:tabs>
        <w:spacing w:line="360" w:lineRule="auto"/>
        <w:jc w:val="center"/>
        <w:rPr>
          <w:rFonts w:ascii="仿宋" w:eastAsia="仿宋"/>
          <w:b/>
          <w:bCs/>
          <w:color w:val="000000" w:themeColor="text1"/>
          <w:sz w:val="28"/>
          <w:szCs w:val="28"/>
          <w:highlight w:val="none"/>
        </w:rPr>
      </w:pPr>
      <w:r>
        <w:rPr>
          <w:rFonts w:hint="eastAsia" w:ascii="仿宋" w:eastAsia="仿宋"/>
          <w:b/>
          <w:bCs/>
          <w:color w:val="000000" w:themeColor="text1"/>
          <w:sz w:val="28"/>
          <w:szCs w:val="28"/>
          <w:highlight w:val="none"/>
        </w:rPr>
        <w:t>企业声明函（</w:t>
      </w:r>
      <w:r>
        <w:rPr>
          <w:rFonts w:hint="eastAsia" w:ascii="仿宋" w:hAnsi="仿宋" w:eastAsia="仿宋"/>
          <w:b/>
          <w:bCs/>
          <w:color w:val="000000" w:themeColor="text1"/>
          <w:sz w:val="28"/>
          <w:szCs w:val="28"/>
          <w:highlight w:val="none"/>
        </w:rPr>
        <w:t>货物</w:t>
      </w:r>
      <w:r>
        <w:rPr>
          <w:rFonts w:hint="eastAsia" w:ascii="仿宋" w:eastAsia="仿宋"/>
          <w:b/>
          <w:bCs/>
          <w:color w:val="000000" w:themeColor="text1"/>
          <w:sz w:val="28"/>
          <w:szCs w:val="28"/>
          <w:highlight w:val="none"/>
        </w:rPr>
        <w:t>）</w:t>
      </w:r>
    </w:p>
    <w:p>
      <w:pPr>
        <w:pStyle w:val="15"/>
        <w:spacing w:line="360" w:lineRule="auto"/>
        <w:jc w:val="both"/>
        <w:rPr>
          <w:rFonts w:ascii="仿宋" w:eastAsia="仿宋"/>
          <w:b/>
          <w:color w:val="000000" w:themeColor="text1"/>
          <w:sz w:val="24"/>
          <w:highlight w:val="none"/>
        </w:rPr>
      </w:pPr>
      <w:r>
        <w:rPr>
          <w:rFonts w:hint="eastAsia" w:ascii="仿宋" w:eastAsia="仿宋"/>
          <w:b/>
          <w:color w:val="000000" w:themeColor="text1"/>
          <w:sz w:val="24"/>
          <w:highlight w:val="none"/>
        </w:rPr>
        <w:t>致：</w:t>
      </w:r>
      <w:r>
        <w:rPr>
          <w:rFonts w:hint="eastAsia" w:ascii="仿宋" w:hAnsi="仿宋" w:eastAsia="仿宋"/>
          <w:bCs/>
          <w:color w:val="000000" w:themeColor="text1"/>
          <w:sz w:val="24"/>
          <w:highlight w:val="none"/>
          <w:u w:val="single"/>
        </w:rPr>
        <w:t>（采购人）</w:t>
      </w:r>
    </w:p>
    <w:p>
      <w:pPr>
        <w:tabs>
          <w:tab w:val="left" w:pos="0"/>
        </w:tabs>
        <w:spacing w:line="360" w:lineRule="auto"/>
        <w:ind w:firstLine="480"/>
        <w:jc w:val="left"/>
        <w:rPr>
          <w:rFonts w:ascii="仿宋" w:eastAsia="仿宋"/>
          <w:bCs/>
          <w:color w:val="000000" w:themeColor="text1"/>
          <w:sz w:val="24"/>
          <w:highlight w:val="none"/>
        </w:rPr>
      </w:pPr>
      <w:r>
        <w:rPr>
          <w:rFonts w:hint="eastAsia" w:ascii="仿宋" w:eastAsia="仿宋"/>
          <w:bCs/>
          <w:color w:val="000000" w:themeColor="text1"/>
          <w:sz w:val="24"/>
          <w:highlight w:val="none"/>
        </w:rPr>
        <w:t>本公司郑重声明，根据《政府采购促进中小企业发展管理办法》（财库﹝2020﹞46号）的规定，本公司参加</w:t>
      </w:r>
      <w:r>
        <w:rPr>
          <w:rFonts w:hint="eastAsia" w:ascii="仿宋" w:eastAsia="仿宋"/>
          <w:bCs/>
          <w:color w:val="000000" w:themeColor="text1"/>
          <w:sz w:val="24"/>
          <w:highlight w:val="none"/>
          <w:u w:val="single"/>
        </w:rPr>
        <w:t>（单位名称）</w:t>
      </w:r>
      <w:r>
        <w:rPr>
          <w:rFonts w:hint="eastAsia" w:ascii="仿宋" w:eastAsia="仿宋"/>
          <w:bCs/>
          <w:color w:val="000000" w:themeColor="text1"/>
          <w:sz w:val="24"/>
          <w:highlight w:val="none"/>
        </w:rPr>
        <w:t>的</w:t>
      </w:r>
      <w:r>
        <w:rPr>
          <w:rFonts w:hint="eastAsia" w:ascii="仿宋" w:eastAsia="仿宋"/>
          <w:bCs/>
          <w:color w:val="000000" w:themeColor="text1"/>
          <w:sz w:val="24"/>
          <w:highlight w:val="none"/>
          <w:u w:val="single"/>
        </w:rPr>
        <w:t>（项目名称）</w:t>
      </w:r>
      <w:r>
        <w:rPr>
          <w:rFonts w:hint="eastAsia" w:ascii="仿宋" w:eastAsia="仿宋"/>
          <w:bCs/>
          <w:color w:val="000000" w:themeColor="text1"/>
          <w:sz w:val="24"/>
          <w:highlight w:val="none"/>
        </w:rPr>
        <w:t>采购活动，提供的货物全部由符合政策要求的中小企业制造。相关企业的具体情况如下：</w:t>
      </w:r>
    </w:p>
    <w:p>
      <w:pPr>
        <w:numPr>
          <w:ilvl w:val="0"/>
          <w:numId w:val="27"/>
        </w:numPr>
        <w:tabs>
          <w:tab w:val="left" w:pos="0"/>
        </w:tabs>
        <w:spacing w:line="360" w:lineRule="auto"/>
        <w:ind w:firstLine="480"/>
        <w:jc w:val="left"/>
        <w:rPr>
          <w:rFonts w:ascii="仿宋" w:eastAsia="仿宋"/>
          <w:bCs/>
          <w:color w:val="000000" w:themeColor="text1"/>
          <w:sz w:val="24"/>
          <w:highlight w:val="none"/>
        </w:rPr>
      </w:pPr>
      <w:r>
        <w:rPr>
          <w:rFonts w:hint="eastAsia" w:ascii="仿宋" w:eastAsia="仿宋"/>
          <w:bCs/>
          <w:color w:val="000000" w:themeColor="text1"/>
          <w:sz w:val="24"/>
          <w:highlight w:val="none"/>
          <w:u w:val="single"/>
        </w:rPr>
        <w:t>（标的名称）</w:t>
      </w:r>
      <w:r>
        <w:rPr>
          <w:rFonts w:hint="eastAsia" w:ascii="仿宋" w:eastAsia="仿宋"/>
          <w:bCs/>
          <w:color w:val="000000" w:themeColor="text1"/>
          <w:sz w:val="24"/>
          <w:highlight w:val="none"/>
        </w:rPr>
        <w:t>，属于</w:t>
      </w:r>
      <w:r>
        <w:rPr>
          <w:rFonts w:hint="eastAsia" w:ascii="仿宋" w:eastAsia="仿宋"/>
          <w:bCs/>
          <w:color w:val="000000" w:themeColor="text1"/>
          <w:sz w:val="24"/>
          <w:highlight w:val="none"/>
          <w:u w:val="single"/>
        </w:rPr>
        <w:t>（采购文件中明确的所属行业）</w:t>
      </w:r>
      <w:r>
        <w:rPr>
          <w:rFonts w:hint="eastAsia" w:ascii="仿宋" w:eastAsia="仿宋"/>
          <w:bCs/>
          <w:color w:val="000000" w:themeColor="text1"/>
          <w:sz w:val="24"/>
          <w:highlight w:val="none"/>
        </w:rPr>
        <w:t>行业；制造商为</w:t>
      </w:r>
      <w:r>
        <w:rPr>
          <w:rFonts w:hint="eastAsia" w:ascii="仿宋" w:eastAsia="仿宋"/>
          <w:bCs/>
          <w:color w:val="000000" w:themeColor="text1"/>
          <w:sz w:val="24"/>
          <w:highlight w:val="none"/>
          <w:u w:val="single"/>
        </w:rPr>
        <w:t>（企业名称）</w:t>
      </w:r>
      <w:r>
        <w:rPr>
          <w:rFonts w:hint="eastAsia" w:ascii="仿宋" w:eastAsia="仿宋"/>
          <w:bCs/>
          <w:color w:val="000000" w:themeColor="text1"/>
          <w:sz w:val="24"/>
          <w:highlight w:val="none"/>
        </w:rPr>
        <w:t>，从业人员</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人，营业收入为</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 xml:space="preserve">万元，资产总额为 </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万元，属于</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（中型企业、小型企业、微型企业）；</w:t>
      </w:r>
    </w:p>
    <w:p>
      <w:pPr>
        <w:numPr>
          <w:ilvl w:val="0"/>
          <w:numId w:val="27"/>
        </w:numPr>
        <w:tabs>
          <w:tab w:val="left" w:pos="0"/>
        </w:tabs>
        <w:spacing w:line="360" w:lineRule="auto"/>
        <w:ind w:firstLine="480"/>
        <w:jc w:val="left"/>
        <w:rPr>
          <w:rFonts w:ascii="仿宋" w:eastAsia="仿宋"/>
          <w:bCs/>
          <w:color w:val="000000" w:themeColor="text1"/>
          <w:sz w:val="24"/>
          <w:highlight w:val="none"/>
        </w:rPr>
      </w:pPr>
      <w:r>
        <w:rPr>
          <w:rFonts w:hint="eastAsia" w:ascii="仿宋" w:eastAsia="仿宋"/>
          <w:bCs/>
          <w:color w:val="000000" w:themeColor="text1"/>
          <w:sz w:val="24"/>
          <w:highlight w:val="none"/>
          <w:u w:val="single"/>
        </w:rPr>
        <w:t>（标的名称）</w:t>
      </w:r>
      <w:r>
        <w:rPr>
          <w:rFonts w:hint="eastAsia" w:ascii="仿宋" w:eastAsia="仿宋"/>
          <w:bCs/>
          <w:color w:val="000000" w:themeColor="text1"/>
          <w:sz w:val="24"/>
          <w:highlight w:val="none"/>
        </w:rPr>
        <w:t>，属于</w:t>
      </w:r>
      <w:r>
        <w:rPr>
          <w:rFonts w:hint="eastAsia" w:ascii="仿宋" w:eastAsia="仿宋"/>
          <w:bCs/>
          <w:color w:val="000000" w:themeColor="text1"/>
          <w:sz w:val="24"/>
          <w:highlight w:val="none"/>
          <w:u w:val="single"/>
        </w:rPr>
        <w:t>（采购文件中明确的所属行业）</w:t>
      </w:r>
      <w:r>
        <w:rPr>
          <w:rFonts w:hint="eastAsia" w:ascii="仿宋" w:eastAsia="仿宋"/>
          <w:bCs/>
          <w:color w:val="000000" w:themeColor="text1"/>
          <w:sz w:val="24"/>
          <w:highlight w:val="none"/>
        </w:rPr>
        <w:t>行业；制造商为</w:t>
      </w:r>
      <w:r>
        <w:rPr>
          <w:rFonts w:hint="eastAsia" w:ascii="仿宋" w:eastAsia="仿宋"/>
          <w:bCs/>
          <w:color w:val="000000" w:themeColor="text1"/>
          <w:sz w:val="24"/>
          <w:highlight w:val="none"/>
          <w:u w:val="single"/>
        </w:rPr>
        <w:t>（企业名称）</w:t>
      </w:r>
      <w:r>
        <w:rPr>
          <w:rFonts w:hint="eastAsia" w:ascii="仿宋" w:eastAsia="仿宋"/>
          <w:bCs/>
          <w:color w:val="000000" w:themeColor="text1"/>
          <w:sz w:val="24"/>
          <w:highlight w:val="none"/>
        </w:rPr>
        <w:t>，从业人员</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人，营业收入为</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万元，资产总额为</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万元，属于</w:t>
      </w:r>
      <w:r>
        <w:rPr>
          <w:rFonts w:hint="eastAsia" w:ascii="仿宋" w:eastAsia="仿宋"/>
          <w:bCs/>
          <w:color w:val="000000" w:themeColor="text1"/>
          <w:sz w:val="24"/>
          <w:highlight w:val="none"/>
          <w:u w:val="single"/>
        </w:rPr>
        <w:t xml:space="preserve">         </w:t>
      </w:r>
      <w:r>
        <w:rPr>
          <w:rFonts w:hint="eastAsia" w:ascii="仿宋" w:eastAsia="仿宋"/>
          <w:bCs/>
          <w:color w:val="000000" w:themeColor="text1"/>
          <w:sz w:val="24"/>
          <w:highlight w:val="none"/>
        </w:rPr>
        <w:t>（中型企业、小型企业、微型企业）。</w:t>
      </w:r>
    </w:p>
    <w:p>
      <w:pPr>
        <w:spacing w:line="360" w:lineRule="auto"/>
        <w:ind w:firstLine="480"/>
        <w:jc w:val="lef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以上企业，不属于大企业的分支机构，不存在控股股东为大企业的情形，也不存在与大企业的负责人为同一人的情形。</w:t>
      </w:r>
    </w:p>
    <w:p>
      <w:pPr>
        <w:pStyle w:val="15"/>
        <w:spacing w:line="360" w:lineRule="auto"/>
        <w:ind w:firstLine="200"/>
        <w:jc w:val="left"/>
        <w:rPr>
          <w:rFonts w:ascii="仿宋" w:hAnsi="仿宋" w:eastAsia="仿宋"/>
          <w:bCs/>
          <w:color w:val="000000" w:themeColor="text1"/>
          <w:sz w:val="24"/>
          <w:highlight w:val="none"/>
        </w:rPr>
      </w:pPr>
      <w:r>
        <w:rPr>
          <w:rFonts w:hint="eastAsia" w:ascii="仿宋" w:eastAsia="仿宋"/>
          <w:bCs/>
          <w:color w:val="000000" w:themeColor="text1"/>
          <w:sz w:val="24"/>
          <w:highlight w:val="none"/>
        </w:rPr>
        <w:t>本企业对上述声明内容的真实性负责。如有虚假，将依法承担相应责任。</w:t>
      </w:r>
    </w:p>
    <w:p>
      <w:pPr>
        <w:spacing w:line="360" w:lineRule="auto"/>
        <w:jc w:val="center"/>
        <w:rPr>
          <w:rFonts w:ascii="仿宋" w:hAnsi="仿宋" w:eastAsia="仿宋"/>
          <w:bCs/>
          <w:color w:val="000000" w:themeColor="text1"/>
          <w:sz w:val="24"/>
          <w:highlight w:val="none"/>
          <w:lang w:val="zh-CN"/>
        </w:rPr>
      </w:pPr>
    </w:p>
    <w:p>
      <w:pPr>
        <w:spacing w:line="360" w:lineRule="auto"/>
        <w:ind w:firstLine="3600"/>
        <w:jc w:val="left"/>
        <w:rPr>
          <w:rFonts w:ascii="仿宋" w:hAnsi="仿宋" w:eastAsia="仿宋" w:cs="楷体_GB2312"/>
          <w:color w:val="000000" w:themeColor="text1"/>
          <w:sz w:val="24"/>
          <w:highlight w:val="none"/>
          <w:lang w:val="zh-CN"/>
        </w:rPr>
      </w:pPr>
      <w:r>
        <w:rPr>
          <w:rFonts w:hint="eastAsia" w:ascii="仿宋" w:hAnsi="仿宋" w:eastAsia="仿宋"/>
          <w:bCs/>
          <w:color w:val="000000" w:themeColor="text1"/>
          <w:sz w:val="24"/>
          <w:highlight w:val="none"/>
          <w:lang w:val="zh-CN"/>
        </w:rPr>
        <w:t>投标人</w:t>
      </w:r>
      <w:r>
        <w:rPr>
          <w:rFonts w:hint="eastAsia" w:ascii="仿宋" w:hAnsi="仿宋" w:eastAsia="仿宋" w:cs="楷体_GB2312"/>
          <w:color w:val="000000" w:themeColor="text1"/>
          <w:sz w:val="24"/>
          <w:highlight w:val="none"/>
          <w:lang w:val="zh-CN"/>
        </w:rPr>
        <w:t>：</w:t>
      </w:r>
      <w:r>
        <w:rPr>
          <w:rFonts w:hint="eastAsia" w:ascii="仿宋" w:hAnsi="仿宋" w:eastAsia="仿宋" w:cs="楷体_GB2312"/>
          <w:color w:val="000000" w:themeColor="text1"/>
          <w:sz w:val="24"/>
          <w:highlight w:val="none"/>
          <w:u w:val="single"/>
          <w:lang w:val="zh-CN"/>
        </w:rPr>
        <w:t>（电子签章）</w:t>
      </w:r>
    </w:p>
    <w:p>
      <w:pPr>
        <w:spacing w:line="360" w:lineRule="auto"/>
        <w:ind w:firstLine="3600"/>
        <w:jc w:val="left"/>
        <w:rPr>
          <w:rFonts w:ascii="仿宋" w:hAnsi="仿宋" w:eastAsia="仿宋" w:cs="楷体_GB2312"/>
          <w:color w:val="000000" w:themeColor="text1"/>
          <w:sz w:val="24"/>
          <w:highlight w:val="none"/>
          <w:lang w:val="zh-CN"/>
        </w:rPr>
      </w:pPr>
      <w:r>
        <w:rPr>
          <w:rFonts w:hint="eastAsia" w:ascii="仿宋" w:hAnsi="仿宋" w:eastAsia="仿宋"/>
          <w:color w:val="000000" w:themeColor="text1"/>
          <w:sz w:val="24"/>
          <w:highlight w:val="none"/>
        </w:rPr>
        <w:t>法定代表人：</w:t>
      </w:r>
      <w:r>
        <w:rPr>
          <w:rFonts w:hint="eastAsia" w:ascii="仿宋" w:hAnsi="仿宋" w:eastAsia="仿宋"/>
          <w:color w:val="000000" w:themeColor="text1"/>
          <w:sz w:val="24"/>
          <w:highlight w:val="none"/>
          <w:u w:val="single"/>
        </w:rPr>
        <w:t>（电子签章或电子签字）</w:t>
      </w:r>
    </w:p>
    <w:p>
      <w:pPr>
        <w:spacing w:line="360" w:lineRule="auto"/>
        <w:ind w:firstLine="3600"/>
        <w:jc w:val="lef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日期</w:t>
      </w:r>
      <w:r>
        <w:rPr>
          <w:rFonts w:hint="eastAsia" w:ascii="仿宋" w:hAnsi="仿宋" w:eastAsia="仿宋"/>
          <w:color w:val="000000" w:themeColor="text1"/>
          <w:sz w:val="24"/>
          <w:highlight w:val="none"/>
        </w:rPr>
        <w:t>：</w:t>
      </w:r>
      <w:r>
        <w:rPr>
          <w:rFonts w:hint="eastAsia" w:ascii="仿宋" w:hAnsi="仿宋" w:eastAsia="仿宋" w:cs="楷体_GB2312"/>
          <w:color w:val="000000" w:themeColor="text1"/>
          <w:sz w:val="24"/>
          <w:highlight w:val="none"/>
          <w:lang w:val="zh-CN"/>
        </w:rPr>
        <w:t>年月日</w:t>
      </w:r>
    </w:p>
    <w:p>
      <w:pPr>
        <w:pStyle w:val="15"/>
        <w:spacing w:line="360" w:lineRule="auto"/>
        <w:rPr>
          <w:rFonts w:ascii="仿宋" w:hAnsi="仿宋" w:eastAsia="仿宋"/>
          <w:bCs/>
          <w:color w:val="000000" w:themeColor="text1"/>
          <w:sz w:val="24"/>
          <w:highlight w:val="none"/>
        </w:rPr>
      </w:pPr>
    </w:p>
    <w:p>
      <w:pPr>
        <w:pStyle w:val="15"/>
        <w:spacing w:line="360" w:lineRule="auto"/>
        <w:jc w:val="left"/>
        <w:rPr>
          <w:rFonts w:ascii="仿宋" w:eastAsia="仿宋"/>
          <w:color w:val="000000" w:themeColor="text1"/>
          <w:sz w:val="24"/>
          <w:highlight w:val="none"/>
        </w:rPr>
      </w:pPr>
      <w:r>
        <w:rPr>
          <w:rFonts w:hint="eastAsia" w:ascii="仿宋" w:eastAsia="仿宋"/>
          <w:color w:val="000000" w:themeColor="text1"/>
          <w:sz w:val="24"/>
          <w:highlight w:val="none"/>
        </w:rPr>
        <w:t>注：从业人员、营业收入、资产总额填报上一年度数据，无上一年度数据的新成立企业可不填报。</w:t>
      </w:r>
    </w:p>
    <w:p>
      <w:pPr>
        <w:widowControl/>
        <w:spacing w:line="640" w:lineRule="exact"/>
        <w:jc w:val="left"/>
        <w:rPr>
          <w:rFonts w:ascii="仿宋" w:hAnsi="仿宋" w:eastAsia="仿宋"/>
          <w:b/>
          <w:color w:val="000000" w:themeColor="text1"/>
          <w:sz w:val="24"/>
          <w:highlight w:val="none"/>
        </w:rPr>
      </w:pPr>
    </w:p>
    <w:p>
      <w:pPr>
        <w:widowControl/>
        <w:spacing w:line="640" w:lineRule="exact"/>
        <w:jc w:val="left"/>
        <w:rPr>
          <w:rFonts w:ascii="仿宋" w:hAnsi="仿宋" w:eastAsia="仿宋"/>
          <w:b/>
          <w:color w:val="000000" w:themeColor="text1"/>
          <w:sz w:val="24"/>
          <w:highlight w:val="none"/>
        </w:rPr>
      </w:pPr>
    </w:p>
    <w:p>
      <w:pPr>
        <w:widowControl/>
        <w:spacing w:line="640" w:lineRule="exact"/>
        <w:jc w:val="left"/>
        <w:rPr>
          <w:rFonts w:ascii="仿宋" w:hAnsi="仿宋" w:eastAsia="仿宋"/>
          <w:b/>
          <w:color w:val="000000" w:themeColor="text1"/>
          <w:sz w:val="24"/>
          <w:highlight w:val="none"/>
        </w:rPr>
      </w:pPr>
    </w:p>
    <w:p>
      <w:pPr>
        <w:widowControl/>
        <w:spacing w:line="640" w:lineRule="exact"/>
        <w:jc w:val="left"/>
        <w:rPr>
          <w:rFonts w:ascii="仿宋" w:hAnsi="仿宋" w:eastAsia="仿宋"/>
          <w:b/>
          <w:color w:val="000000" w:themeColor="text1"/>
          <w:sz w:val="24"/>
          <w:highlight w:val="none"/>
        </w:rPr>
      </w:pPr>
    </w:p>
    <w:p>
      <w:pPr>
        <w:widowControl/>
        <w:spacing w:line="640" w:lineRule="exact"/>
        <w:jc w:val="left"/>
        <w:rPr>
          <w:rFonts w:ascii="仿宋" w:hAnsi="仿宋" w:eastAsia="仿宋" w:cs="宋体"/>
          <w:b/>
          <w:bCs/>
          <w:color w:val="000000" w:themeColor="text1"/>
          <w:sz w:val="24"/>
          <w:highlight w:val="none"/>
        </w:rPr>
      </w:pPr>
      <w:r>
        <w:rPr>
          <w:rFonts w:hint="eastAsia" w:ascii="仿宋" w:hAnsi="仿宋" w:eastAsia="仿宋"/>
          <w:b/>
          <w:color w:val="000000" w:themeColor="text1"/>
          <w:sz w:val="24"/>
          <w:highlight w:val="none"/>
        </w:rPr>
        <w:t>示范格式五</w:t>
      </w:r>
    </w:p>
    <w:p>
      <w:pPr>
        <w:widowControl/>
        <w:spacing w:line="640" w:lineRule="exact"/>
        <w:jc w:val="center"/>
        <w:rPr>
          <w:rFonts w:ascii="仿宋" w:hAnsi="仿宋" w:eastAsia="仿宋" w:cs="宋体"/>
          <w:color w:val="000000" w:themeColor="text1"/>
          <w:sz w:val="24"/>
          <w:highlight w:val="none"/>
        </w:rPr>
      </w:pPr>
      <w:r>
        <w:rPr>
          <w:rFonts w:hint="eastAsia" w:ascii="仿宋" w:hAnsi="仿宋" w:eastAsia="仿宋" w:cs="宋体"/>
          <w:b/>
          <w:bCs/>
          <w:color w:val="000000" w:themeColor="text1"/>
          <w:sz w:val="24"/>
          <w:highlight w:val="none"/>
        </w:rPr>
        <w:t>残疾人福利性单位声明函</w:t>
      </w:r>
    </w:p>
    <w:p>
      <w:pPr>
        <w:pStyle w:val="15"/>
        <w:spacing w:line="640" w:lineRule="exact"/>
        <w:jc w:val="both"/>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致</w:t>
      </w:r>
      <w:r>
        <w:rPr>
          <w:rFonts w:hint="eastAsia" w:ascii="仿宋" w:hAnsi="仿宋" w:eastAsia="仿宋"/>
          <w:bCs/>
          <w:color w:val="000000" w:themeColor="text1"/>
          <w:sz w:val="24"/>
          <w:highlight w:val="none"/>
          <w:u w:val="single"/>
        </w:rPr>
        <w:t>（采购人）</w:t>
      </w:r>
      <w:r>
        <w:rPr>
          <w:rFonts w:hint="eastAsia" w:ascii="仿宋" w:hAnsi="仿宋" w:eastAsia="仿宋"/>
          <w:bCs/>
          <w:color w:val="000000" w:themeColor="text1"/>
          <w:sz w:val="24"/>
          <w:highlight w:val="none"/>
        </w:rPr>
        <w:t>:</w:t>
      </w:r>
    </w:p>
    <w:p>
      <w:pPr>
        <w:pStyle w:val="15"/>
        <w:spacing w:line="640" w:lineRule="exact"/>
        <w:ind w:firstLine="480"/>
        <w:jc w:val="left"/>
        <w:rPr>
          <w:rFonts w:ascii="仿宋" w:hAnsi="仿宋" w:eastAsia="仿宋"/>
          <w:bCs/>
          <w:color w:val="000000" w:themeColor="text1"/>
          <w:sz w:val="24"/>
          <w:highlight w:val="none"/>
        </w:rPr>
      </w:pPr>
      <w:r>
        <w:rPr>
          <w:rFonts w:hint="eastAsia" w:ascii="仿宋" w:hAnsi="仿宋" w:eastAsia="仿宋"/>
          <w:bCs/>
          <w:color w:val="000000" w:themeColor="text1"/>
          <w:sz w:val="24"/>
          <w:highlight w:val="none"/>
        </w:rPr>
        <w:t>本单位郑重声明，根据《财政部民政部中国残疾人联合会关于促进残疾人就业政府采购政策的通知》（财库〔2017〕141号）的规定，本单位为符合条件的残疾人福利性单位。即，本单位同时满足以下条件:</w:t>
      </w:r>
    </w:p>
    <w:p>
      <w:pPr>
        <w:pStyle w:val="15"/>
        <w:spacing w:line="640" w:lineRule="exact"/>
        <w:ind w:firstLine="482"/>
        <w:jc w:val="left"/>
        <w:rPr>
          <w:rFonts w:ascii="仿宋" w:hAnsi="仿宋" w:eastAsia="仿宋"/>
          <w:bCs/>
          <w:color w:val="000000" w:themeColor="text1"/>
          <w:sz w:val="24"/>
          <w:highlight w:val="none"/>
        </w:rPr>
      </w:pPr>
      <w:r>
        <w:rPr>
          <w:rFonts w:ascii="仿宋" w:hAnsi="仿宋" w:eastAsia="仿宋"/>
          <w:bCs/>
          <w:color w:val="000000" w:themeColor="text1"/>
          <w:sz w:val="24"/>
          <w:highlight w:val="none"/>
        </w:rPr>
        <w:t>1</w:t>
      </w:r>
      <w:r>
        <w:rPr>
          <w:rFonts w:hint="eastAsia" w:ascii="仿宋" w:hAnsi="仿宋" w:eastAsia="仿宋"/>
          <w:bCs/>
          <w:color w:val="000000" w:themeColor="text1"/>
          <w:sz w:val="24"/>
          <w:highlight w:val="none"/>
        </w:rPr>
        <w:t>、根据《财政部民政部中国残疾人联合会关于促进残疾人就业政府采购政策的通知》（财库〔2017〕141号）规定的划分标准，本公司为残疾人福利性企业。</w:t>
      </w:r>
    </w:p>
    <w:p>
      <w:pPr>
        <w:pStyle w:val="15"/>
        <w:spacing w:line="640" w:lineRule="exact"/>
        <w:ind w:firstLine="482"/>
        <w:jc w:val="left"/>
        <w:rPr>
          <w:rFonts w:ascii="仿宋" w:hAnsi="仿宋" w:eastAsia="仿宋"/>
          <w:bCs/>
          <w:color w:val="000000" w:themeColor="text1"/>
          <w:sz w:val="24"/>
          <w:highlight w:val="none"/>
        </w:rPr>
      </w:pPr>
      <w:r>
        <w:rPr>
          <w:rFonts w:ascii="仿宋" w:hAnsi="仿宋" w:eastAsia="仿宋"/>
          <w:bCs/>
          <w:color w:val="000000" w:themeColor="text1"/>
          <w:sz w:val="24"/>
          <w:highlight w:val="none"/>
        </w:rPr>
        <w:t>2</w:t>
      </w:r>
      <w:r>
        <w:rPr>
          <w:rFonts w:hint="eastAsia" w:ascii="仿宋" w:hAnsi="仿宋" w:eastAsia="仿宋"/>
          <w:bCs/>
          <w:color w:val="000000" w:themeColor="text1"/>
          <w:sz w:val="24"/>
          <w:highlight w:val="none"/>
        </w:rPr>
        <w:t>、本单位参加</w:t>
      </w:r>
      <w:r>
        <w:rPr>
          <w:rFonts w:hint="eastAsia" w:ascii="仿宋" w:hAnsi="仿宋" w:eastAsia="仿宋"/>
          <w:bCs/>
          <w:color w:val="000000" w:themeColor="text1"/>
          <w:sz w:val="24"/>
          <w:highlight w:val="none"/>
          <w:u w:val="single"/>
        </w:rPr>
        <w:t>（采购单位名称）</w:t>
      </w:r>
      <w:r>
        <w:rPr>
          <w:rFonts w:hint="eastAsia" w:ascii="仿宋" w:hAnsi="仿宋" w:eastAsia="仿宋"/>
          <w:bCs/>
          <w:color w:val="000000" w:themeColor="text1"/>
          <w:sz w:val="24"/>
          <w:highlight w:val="none"/>
        </w:rPr>
        <w:t>的</w:t>
      </w:r>
      <w:r>
        <w:rPr>
          <w:rFonts w:hint="eastAsia" w:ascii="仿宋" w:hAnsi="仿宋" w:eastAsia="仿宋"/>
          <w:bCs/>
          <w:color w:val="000000" w:themeColor="text1"/>
          <w:sz w:val="24"/>
          <w:highlight w:val="none"/>
          <w:u w:val="single"/>
        </w:rPr>
        <w:t>（采购项目名称）</w:t>
      </w:r>
      <w:r>
        <w:rPr>
          <w:rFonts w:hint="eastAsia" w:ascii="仿宋" w:hAnsi="仿宋" w:eastAsia="仿宋"/>
          <w:bCs/>
          <w:color w:val="000000" w:themeColor="text1"/>
          <w:sz w:val="24"/>
          <w:highlight w:val="none"/>
        </w:rPr>
        <w:t>采购活动提供本企业制造的货物，由本企业承担工程、提供服务，或者提供其他残疾人福利性单位制造的货物（不包括使用非残疾人福利性单位注册商标的货物）。</w:t>
      </w:r>
    </w:p>
    <w:p>
      <w:pPr>
        <w:pStyle w:val="15"/>
        <w:spacing w:line="640" w:lineRule="exact"/>
        <w:ind w:firstLine="482"/>
        <w:jc w:val="left"/>
        <w:rPr>
          <w:rFonts w:ascii="仿宋" w:hAnsi="仿宋" w:eastAsia="仿宋"/>
          <w:color w:val="000000" w:themeColor="text1"/>
          <w:sz w:val="24"/>
          <w:highlight w:val="none"/>
        </w:rPr>
      </w:pPr>
      <w:r>
        <w:rPr>
          <w:rFonts w:hint="eastAsia" w:ascii="仿宋" w:hAnsi="仿宋" w:eastAsia="仿宋" w:cs="仿宋_GB2312"/>
          <w:color w:val="000000" w:themeColor="text1"/>
          <w:sz w:val="24"/>
          <w:highlight w:val="none"/>
        </w:rPr>
        <w:t>注:</w:t>
      </w:r>
      <w:r>
        <w:rPr>
          <w:rFonts w:hint="eastAsia" w:ascii="仿宋" w:hAnsi="仿宋" w:eastAsia="仿宋"/>
          <w:bCs/>
          <w:color w:val="000000" w:themeColor="text1"/>
          <w:sz w:val="24"/>
          <w:highlight w:val="none"/>
        </w:rPr>
        <w:t>本公司对上述声明的真实性负责。如有虚假，将依法承担相应责任。</w:t>
      </w:r>
    </w:p>
    <w:p>
      <w:pPr>
        <w:spacing w:line="640" w:lineRule="exact"/>
        <w:jc w:val="left"/>
        <w:rPr>
          <w:rFonts w:ascii="仿宋" w:hAnsi="仿宋" w:eastAsia="仿宋" w:cs="楷体_GB2312"/>
          <w:color w:val="000000" w:themeColor="text1"/>
          <w:sz w:val="24"/>
          <w:highlight w:val="none"/>
          <w:lang w:val="zh-CN"/>
        </w:rPr>
      </w:pPr>
    </w:p>
    <w:p>
      <w:pPr>
        <w:spacing w:line="640" w:lineRule="exact"/>
        <w:jc w:val="lef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投标人:</w:t>
      </w:r>
      <w:r>
        <w:rPr>
          <w:rFonts w:hint="eastAsia" w:ascii="仿宋" w:hAnsi="仿宋" w:eastAsia="仿宋" w:cs="楷体_GB2312"/>
          <w:color w:val="000000" w:themeColor="text1"/>
          <w:sz w:val="24"/>
          <w:highlight w:val="none"/>
          <w:u w:val="single"/>
          <w:lang w:val="zh-CN"/>
        </w:rPr>
        <w:t>（电子签章）</w:t>
      </w:r>
    </w:p>
    <w:p>
      <w:pPr>
        <w:spacing w:line="640" w:lineRule="exact"/>
        <w:jc w:val="left"/>
        <w:rPr>
          <w:rFonts w:ascii="仿宋" w:hAnsi="仿宋" w:eastAsia="仿宋" w:cs="楷体_GB2312"/>
          <w:color w:val="000000" w:themeColor="text1"/>
          <w:sz w:val="24"/>
          <w:highlight w:val="none"/>
          <w:lang w:val="zh-CN"/>
        </w:rPr>
      </w:pPr>
      <w:r>
        <w:rPr>
          <w:rFonts w:hint="eastAsia" w:ascii="仿宋" w:hAnsi="仿宋" w:eastAsia="仿宋"/>
          <w:color w:val="000000" w:themeColor="text1"/>
          <w:sz w:val="24"/>
          <w:highlight w:val="none"/>
        </w:rPr>
        <w:t>法定代表人:</w:t>
      </w:r>
      <w:r>
        <w:rPr>
          <w:rFonts w:hint="eastAsia" w:ascii="仿宋" w:hAnsi="仿宋" w:eastAsia="仿宋"/>
          <w:color w:val="000000" w:themeColor="text1"/>
          <w:sz w:val="24"/>
          <w:highlight w:val="none"/>
          <w:u w:val="single"/>
        </w:rPr>
        <w:t>（电子签章或电子签字）</w:t>
      </w:r>
    </w:p>
    <w:p>
      <w:pPr>
        <w:spacing w:line="640" w:lineRule="exact"/>
        <w:jc w:val="left"/>
        <w:rPr>
          <w:rFonts w:ascii="仿宋" w:hAnsi="仿宋" w:eastAsia="仿宋" w:cs="楷体_GB2312"/>
          <w:color w:val="000000" w:themeColor="text1"/>
          <w:sz w:val="24"/>
          <w:highlight w:val="none"/>
          <w:lang w:val="zh-CN"/>
        </w:rPr>
      </w:pPr>
      <w:r>
        <w:rPr>
          <w:rFonts w:hint="eastAsia" w:ascii="仿宋" w:hAnsi="仿宋" w:eastAsia="仿宋" w:cs="楷体_GB2312"/>
          <w:color w:val="000000" w:themeColor="text1"/>
          <w:sz w:val="24"/>
          <w:highlight w:val="none"/>
          <w:lang w:val="zh-CN"/>
        </w:rPr>
        <w:t>日期</w:t>
      </w:r>
      <w:r>
        <w:rPr>
          <w:rFonts w:hint="eastAsia" w:ascii="仿宋" w:hAnsi="仿宋" w:eastAsia="仿宋"/>
          <w:color w:val="000000" w:themeColor="text1"/>
          <w:sz w:val="24"/>
          <w:highlight w:val="none"/>
        </w:rPr>
        <w:t>:</w:t>
      </w:r>
      <w:r>
        <w:rPr>
          <w:rFonts w:hint="eastAsia" w:ascii="仿宋" w:hAnsi="仿宋" w:eastAsia="仿宋" w:cs="楷体_GB2312"/>
          <w:color w:val="000000" w:themeColor="text1"/>
          <w:sz w:val="24"/>
          <w:highlight w:val="none"/>
          <w:lang w:val="zh-CN"/>
        </w:rPr>
        <w:t>年月日</w:t>
      </w:r>
    </w:p>
    <w:p>
      <w:pPr>
        <w:spacing w:line="640" w:lineRule="exact"/>
        <w:ind w:firstLine="484"/>
        <w:jc w:val="left"/>
        <w:rPr>
          <w:rFonts w:ascii="仿宋" w:hAnsi="仿宋" w:eastAsia="仿宋" w:cs="仿宋_GB2312"/>
          <w:color w:val="000000" w:themeColor="text1"/>
          <w:sz w:val="24"/>
          <w:highlight w:val="none"/>
        </w:rPr>
      </w:pPr>
    </w:p>
    <w:p>
      <w:pPr>
        <w:spacing w:line="640" w:lineRule="exact"/>
        <w:ind w:firstLine="480"/>
        <w:rPr>
          <w:rFonts w:ascii="仿宋" w:hAnsi="仿宋" w:eastAsia="仿宋"/>
          <w:color w:val="000000" w:themeColor="text1"/>
          <w:sz w:val="24"/>
          <w:highlight w:val="none"/>
        </w:rPr>
      </w:pPr>
      <w:r>
        <w:rPr>
          <w:rFonts w:hint="eastAsia" w:ascii="仿宋" w:hAnsi="仿宋" w:eastAsia="仿宋" w:cs="仿宋_GB2312"/>
          <w:color w:val="000000" w:themeColor="text1"/>
          <w:sz w:val="24"/>
          <w:highlight w:val="none"/>
        </w:rPr>
        <w:t>注:</w:t>
      </w:r>
      <w:r>
        <w:rPr>
          <w:rFonts w:hint="eastAsia" w:ascii="仿宋" w:hAnsi="仿宋" w:eastAsia="仿宋"/>
          <w:color w:val="000000" w:themeColor="text1"/>
          <w:sz w:val="24"/>
          <w:highlight w:val="none"/>
        </w:rPr>
        <w:t>非残疾人福利性单位不需提供此函。</w:t>
      </w:r>
    </w:p>
    <w:sectPr>
      <w:headerReference r:id="rId3" w:type="default"/>
      <w:footerReference r:id="rId4" w:type="default"/>
      <w:footerReference r:id="rId5" w:type="even"/>
      <w:pgSz w:w="11906" w:h="16838"/>
      <w:pgMar w:top="1418" w:right="1418" w:bottom="1418" w:left="1418" w:header="907" w:footer="45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EU-F1">
    <w:altName w:val="Segoe Print"/>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rPr>
        <w:rStyle w:val="51"/>
        <w:b w:val="0"/>
      </w:rPr>
    </w:pPr>
    <w:r>
      <w:rPr>
        <w:b/>
      </w:rPr>
      <w:fldChar w:fldCharType="begin"/>
    </w:r>
    <w:r>
      <w:rPr>
        <w:rStyle w:val="51"/>
        <w:b w:val="0"/>
      </w:rPr>
      <w:instrText xml:space="preserve">PAGE  </w:instrText>
    </w:r>
    <w:r>
      <w:rPr>
        <w:b/>
      </w:rPr>
      <w:fldChar w:fldCharType="separate"/>
    </w:r>
    <w:r>
      <w:rPr>
        <w:rStyle w:val="51"/>
        <w:b w:val="0"/>
      </w:rPr>
      <w:t>35</w:t>
    </w:r>
    <w:r>
      <w:rPr>
        <w:b/>
      </w:rP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rPr>
        <w:rStyle w:val="51"/>
      </w:rPr>
    </w:pPr>
    <w:r>
      <w:fldChar w:fldCharType="begin"/>
    </w:r>
    <w:r>
      <w:rPr>
        <w:rStyle w:val="51"/>
      </w:rPr>
      <w:instrText xml:space="preserve">PAGE  </w:instrTex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040" w:lineRule="exact"/>
      <w:jc w:val="left"/>
      <w:rPr>
        <w:rFonts w:ascii="华文行楷" w:hAnsi="宋体" w:eastAsia="华文行楷"/>
        <w:spacing w:val="45"/>
        <w:sz w:val="28"/>
        <w:szCs w:val="28"/>
        <w:u w:val="single"/>
      </w:rPr>
    </w:pPr>
    <w:r>
      <w:rPr>
        <w:rFonts w:hint="eastAsia" w:ascii="华文行楷" w:hAnsi="宋体" w:eastAsia="华文行楷"/>
        <w:spacing w:val="20"/>
        <w:sz w:val="28"/>
        <w:szCs w:val="28"/>
        <w:u w:val="single"/>
      </w:rPr>
      <w:t xml:space="preserve">淮安市淮阴区政府采购项目“全流程不见面交易”招标文件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9A1115"/>
    <w:multiLevelType w:val="singleLevel"/>
    <w:tmpl w:val="C19A1115"/>
    <w:lvl w:ilvl="0" w:tentative="0">
      <w:start w:val="1"/>
      <w:numFmt w:val="decimal"/>
      <w:suff w:val="nothing"/>
      <w:lvlText w:val="%1、"/>
      <w:lvlJc w:val="left"/>
    </w:lvl>
  </w:abstractNum>
  <w:abstractNum w:abstractNumId="1">
    <w:nsid w:val="D735151A"/>
    <w:multiLevelType w:val="singleLevel"/>
    <w:tmpl w:val="D735151A"/>
    <w:lvl w:ilvl="0" w:tentative="0">
      <w:start w:val="7"/>
      <w:numFmt w:val="chineseCounting"/>
      <w:suff w:val="nothing"/>
      <w:lvlText w:val="%1、"/>
      <w:lvlJc w:val="left"/>
      <w:rPr>
        <w:rFonts w:hint="eastAsia"/>
      </w:rPr>
    </w:lvl>
  </w:abstractNum>
  <w:abstractNum w:abstractNumId="2">
    <w:nsid w:val="0CE56C0D"/>
    <w:multiLevelType w:val="multilevel"/>
    <w:tmpl w:val="0CE56C0D"/>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3">
    <w:nsid w:val="17013B9D"/>
    <w:multiLevelType w:val="multilevel"/>
    <w:tmpl w:val="17013B9D"/>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4">
    <w:nsid w:val="17944D01"/>
    <w:multiLevelType w:val="multilevel"/>
    <w:tmpl w:val="17944D01"/>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9142CE5"/>
    <w:multiLevelType w:val="multilevel"/>
    <w:tmpl w:val="29142CE5"/>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6">
    <w:nsid w:val="2BAC2CBF"/>
    <w:multiLevelType w:val="multilevel"/>
    <w:tmpl w:val="2BAC2CB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04E6934"/>
    <w:multiLevelType w:val="multilevel"/>
    <w:tmpl w:val="304E6934"/>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8">
    <w:nsid w:val="31C33047"/>
    <w:multiLevelType w:val="multilevel"/>
    <w:tmpl w:val="31C33047"/>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9">
    <w:nsid w:val="320E79D2"/>
    <w:multiLevelType w:val="multilevel"/>
    <w:tmpl w:val="320E79D2"/>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0">
    <w:nsid w:val="35A836AB"/>
    <w:multiLevelType w:val="multilevel"/>
    <w:tmpl w:val="35A836AB"/>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1">
    <w:nsid w:val="386B0F26"/>
    <w:multiLevelType w:val="multilevel"/>
    <w:tmpl w:val="386B0F26"/>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2">
    <w:nsid w:val="3DC14730"/>
    <w:multiLevelType w:val="multilevel"/>
    <w:tmpl w:val="3DC14730"/>
    <w:lvl w:ilvl="0" w:tentative="0">
      <w:start w:val="2"/>
      <w:numFmt w:val="decimal"/>
      <w:lvlText w:val="%1."/>
      <w:lvlJc w:val="left"/>
      <w:pPr>
        <w:ind w:left="560" w:hanging="360"/>
      </w:pPr>
      <w:rPr>
        <w:rFonts w:hint="default"/>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13">
    <w:nsid w:val="3F003661"/>
    <w:multiLevelType w:val="multilevel"/>
    <w:tmpl w:val="3F003661"/>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4">
    <w:nsid w:val="46F32B37"/>
    <w:multiLevelType w:val="multilevel"/>
    <w:tmpl w:val="46F32B37"/>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5">
    <w:nsid w:val="48884EAB"/>
    <w:multiLevelType w:val="multilevel"/>
    <w:tmpl w:val="48884EAB"/>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6">
    <w:nsid w:val="49870507"/>
    <w:multiLevelType w:val="multilevel"/>
    <w:tmpl w:val="49870507"/>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7">
    <w:nsid w:val="4B1821B1"/>
    <w:multiLevelType w:val="multilevel"/>
    <w:tmpl w:val="4B1821B1"/>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8">
    <w:nsid w:val="4DFD1742"/>
    <w:multiLevelType w:val="multilevel"/>
    <w:tmpl w:val="4DFD1742"/>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9">
    <w:nsid w:val="5A623B8F"/>
    <w:multiLevelType w:val="multilevel"/>
    <w:tmpl w:val="5A623B8F"/>
    <w:lvl w:ilvl="0" w:tentative="0">
      <w:start w:val="1"/>
      <w:numFmt w:val="decimal"/>
      <w:suff w:val="nothing"/>
      <w:lvlText w:val="%1、"/>
      <w:lvlJc w:val="left"/>
      <w:pPr>
        <w:ind w:left="7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0">
    <w:nsid w:val="5BE523F0"/>
    <w:multiLevelType w:val="multilevel"/>
    <w:tmpl w:val="5BE523F0"/>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21">
    <w:nsid w:val="62D42165"/>
    <w:multiLevelType w:val="multilevel"/>
    <w:tmpl w:val="62D42165"/>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22">
    <w:nsid w:val="6A7F50A0"/>
    <w:multiLevelType w:val="multilevel"/>
    <w:tmpl w:val="6A7F50A0"/>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23">
    <w:nsid w:val="6ADA025F"/>
    <w:multiLevelType w:val="multilevel"/>
    <w:tmpl w:val="6ADA025F"/>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24">
    <w:nsid w:val="7C44180B"/>
    <w:multiLevelType w:val="multilevel"/>
    <w:tmpl w:val="7C44180B"/>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25">
    <w:nsid w:val="7CB20DF4"/>
    <w:multiLevelType w:val="multilevel"/>
    <w:tmpl w:val="7CB20DF4"/>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26">
    <w:nsid w:val="7CB56D22"/>
    <w:multiLevelType w:val="multilevel"/>
    <w:tmpl w:val="7CB56D22"/>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num w:numId="1">
    <w:abstractNumId w:val="17"/>
  </w:num>
  <w:num w:numId="2">
    <w:abstractNumId w:val="19"/>
  </w:num>
  <w:num w:numId="3">
    <w:abstractNumId w:val="1"/>
  </w:num>
  <w:num w:numId="4">
    <w:abstractNumId w:val="0"/>
  </w:num>
  <w:num w:numId="5">
    <w:abstractNumId w:val="6"/>
  </w:num>
  <w:num w:numId="6">
    <w:abstractNumId w:val="12"/>
  </w:num>
  <w:num w:numId="7">
    <w:abstractNumId w:val="25"/>
  </w:num>
  <w:num w:numId="8">
    <w:abstractNumId w:val="24"/>
  </w:num>
  <w:num w:numId="9">
    <w:abstractNumId w:val="10"/>
  </w:num>
  <w:num w:numId="10">
    <w:abstractNumId w:val="13"/>
  </w:num>
  <w:num w:numId="11">
    <w:abstractNumId w:val="7"/>
  </w:num>
  <w:num w:numId="12">
    <w:abstractNumId w:val="8"/>
  </w:num>
  <w:num w:numId="13">
    <w:abstractNumId w:val="20"/>
  </w:num>
  <w:num w:numId="14">
    <w:abstractNumId w:val="11"/>
  </w:num>
  <w:num w:numId="15">
    <w:abstractNumId w:val="2"/>
  </w:num>
  <w:num w:numId="16">
    <w:abstractNumId w:val="22"/>
  </w:num>
  <w:num w:numId="17">
    <w:abstractNumId w:val="23"/>
  </w:num>
  <w:num w:numId="18">
    <w:abstractNumId w:val="21"/>
  </w:num>
  <w:num w:numId="19">
    <w:abstractNumId w:val="15"/>
  </w:num>
  <w:num w:numId="20">
    <w:abstractNumId w:val="14"/>
  </w:num>
  <w:num w:numId="21">
    <w:abstractNumId w:val="9"/>
  </w:num>
  <w:num w:numId="22">
    <w:abstractNumId w:val="16"/>
  </w:num>
  <w:num w:numId="23">
    <w:abstractNumId w:val="26"/>
  </w:num>
  <w:num w:numId="24">
    <w:abstractNumId w:val="3"/>
  </w:num>
  <w:num w:numId="25">
    <w:abstractNumId w:val="18"/>
  </w:num>
  <w:num w:numId="26">
    <w:abstractNumId w:val="5"/>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hideSpellingErrors/>
  <w:doNotTrackMoves/>
  <w:documentProtection w:enforcement="0"/>
  <w:defaultTabStop w:val="420"/>
  <w:characterSpacingControl w:val="doNotCompress"/>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WU3ZDRlN2E3MzQyNGQxZGNlMzk4YTliNWY4YmY5YWUifQ=="/>
  </w:docVars>
  <w:rsids>
    <w:rsidRoot w:val="0073071B"/>
    <w:rsid w:val="00010B43"/>
    <w:rsid w:val="000555D9"/>
    <w:rsid w:val="00066B7A"/>
    <w:rsid w:val="00080161"/>
    <w:rsid w:val="000B2C54"/>
    <w:rsid w:val="000D2362"/>
    <w:rsid w:val="000F2985"/>
    <w:rsid w:val="00127E34"/>
    <w:rsid w:val="0013160D"/>
    <w:rsid w:val="00145340"/>
    <w:rsid w:val="00151D96"/>
    <w:rsid w:val="001577D7"/>
    <w:rsid w:val="00164623"/>
    <w:rsid w:val="00166979"/>
    <w:rsid w:val="00181998"/>
    <w:rsid w:val="00197623"/>
    <w:rsid w:val="001B1093"/>
    <w:rsid w:val="001D3CFE"/>
    <w:rsid w:val="001D53E8"/>
    <w:rsid w:val="002028E5"/>
    <w:rsid w:val="002061A9"/>
    <w:rsid w:val="00207E36"/>
    <w:rsid w:val="002138F0"/>
    <w:rsid w:val="00282AD2"/>
    <w:rsid w:val="0028472D"/>
    <w:rsid w:val="002866F0"/>
    <w:rsid w:val="00287C88"/>
    <w:rsid w:val="002A14F3"/>
    <w:rsid w:val="002C1DB6"/>
    <w:rsid w:val="002C6D43"/>
    <w:rsid w:val="002E0DEC"/>
    <w:rsid w:val="00387552"/>
    <w:rsid w:val="003E368C"/>
    <w:rsid w:val="003E5B5E"/>
    <w:rsid w:val="003E6312"/>
    <w:rsid w:val="00407F57"/>
    <w:rsid w:val="004374C0"/>
    <w:rsid w:val="00440BB9"/>
    <w:rsid w:val="004848A7"/>
    <w:rsid w:val="004E7F85"/>
    <w:rsid w:val="005036A6"/>
    <w:rsid w:val="006009E7"/>
    <w:rsid w:val="006250BC"/>
    <w:rsid w:val="00673814"/>
    <w:rsid w:val="0068485A"/>
    <w:rsid w:val="006D25C7"/>
    <w:rsid w:val="006E3285"/>
    <w:rsid w:val="006E7861"/>
    <w:rsid w:val="006F7154"/>
    <w:rsid w:val="007063B4"/>
    <w:rsid w:val="0072116F"/>
    <w:rsid w:val="0073071B"/>
    <w:rsid w:val="00734AAF"/>
    <w:rsid w:val="00756D81"/>
    <w:rsid w:val="00790344"/>
    <w:rsid w:val="007B29FA"/>
    <w:rsid w:val="007B30DC"/>
    <w:rsid w:val="007E6854"/>
    <w:rsid w:val="007E7CF3"/>
    <w:rsid w:val="008102F1"/>
    <w:rsid w:val="008241E7"/>
    <w:rsid w:val="008533D6"/>
    <w:rsid w:val="00865507"/>
    <w:rsid w:val="008707C2"/>
    <w:rsid w:val="00872067"/>
    <w:rsid w:val="00890DB8"/>
    <w:rsid w:val="008B3EE1"/>
    <w:rsid w:val="008E65FF"/>
    <w:rsid w:val="008F3DB1"/>
    <w:rsid w:val="00903977"/>
    <w:rsid w:val="0093159E"/>
    <w:rsid w:val="00931FF3"/>
    <w:rsid w:val="00935514"/>
    <w:rsid w:val="0096625B"/>
    <w:rsid w:val="00967455"/>
    <w:rsid w:val="00973D07"/>
    <w:rsid w:val="009A0B6D"/>
    <w:rsid w:val="009E0760"/>
    <w:rsid w:val="009E352C"/>
    <w:rsid w:val="00A0729A"/>
    <w:rsid w:val="00A43AD2"/>
    <w:rsid w:val="00A9455D"/>
    <w:rsid w:val="00A95116"/>
    <w:rsid w:val="00AA40C8"/>
    <w:rsid w:val="00AC4BE8"/>
    <w:rsid w:val="00AE1563"/>
    <w:rsid w:val="00AF7478"/>
    <w:rsid w:val="00B0130C"/>
    <w:rsid w:val="00B0344A"/>
    <w:rsid w:val="00B176AC"/>
    <w:rsid w:val="00B214C2"/>
    <w:rsid w:val="00B335E4"/>
    <w:rsid w:val="00B35D44"/>
    <w:rsid w:val="00B5017D"/>
    <w:rsid w:val="00B745BF"/>
    <w:rsid w:val="00B91544"/>
    <w:rsid w:val="00BB4F1D"/>
    <w:rsid w:val="00C00797"/>
    <w:rsid w:val="00C12A7A"/>
    <w:rsid w:val="00CA1519"/>
    <w:rsid w:val="00D17A7D"/>
    <w:rsid w:val="00D433CD"/>
    <w:rsid w:val="00D50338"/>
    <w:rsid w:val="00D84B9F"/>
    <w:rsid w:val="00DA6B10"/>
    <w:rsid w:val="00DA7C9C"/>
    <w:rsid w:val="00DC0062"/>
    <w:rsid w:val="00DD3064"/>
    <w:rsid w:val="00DE34EC"/>
    <w:rsid w:val="00E300D2"/>
    <w:rsid w:val="00E34E51"/>
    <w:rsid w:val="00E95FD6"/>
    <w:rsid w:val="00EA0E58"/>
    <w:rsid w:val="00EC7E4F"/>
    <w:rsid w:val="00EE3918"/>
    <w:rsid w:val="00EF48A4"/>
    <w:rsid w:val="00F0593E"/>
    <w:rsid w:val="00F4678E"/>
    <w:rsid w:val="00F67946"/>
    <w:rsid w:val="00F710FD"/>
    <w:rsid w:val="00F80CBD"/>
    <w:rsid w:val="00FC75D5"/>
    <w:rsid w:val="00FC7FE8"/>
    <w:rsid w:val="00FD736B"/>
    <w:rsid w:val="00FF5959"/>
    <w:rsid w:val="0270686F"/>
    <w:rsid w:val="02777BFD"/>
    <w:rsid w:val="02941414"/>
    <w:rsid w:val="07666493"/>
    <w:rsid w:val="088F2270"/>
    <w:rsid w:val="08DA2455"/>
    <w:rsid w:val="0A550B8F"/>
    <w:rsid w:val="0A746DFD"/>
    <w:rsid w:val="0B7A71C5"/>
    <w:rsid w:val="0C550884"/>
    <w:rsid w:val="0DE87116"/>
    <w:rsid w:val="0E4A58D6"/>
    <w:rsid w:val="0E6617BB"/>
    <w:rsid w:val="0E8670D1"/>
    <w:rsid w:val="106D43EE"/>
    <w:rsid w:val="10C55FD8"/>
    <w:rsid w:val="13281702"/>
    <w:rsid w:val="143D576D"/>
    <w:rsid w:val="161112C1"/>
    <w:rsid w:val="165322D8"/>
    <w:rsid w:val="16C42F42"/>
    <w:rsid w:val="17163A31"/>
    <w:rsid w:val="17824C23"/>
    <w:rsid w:val="1A246465"/>
    <w:rsid w:val="1A801EA7"/>
    <w:rsid w:val="1D0B7468"/>
    <w:rsid w:val="1EA044B8"/>
    <w:rsid w:val="1F925A33"/>
    <w:rsid w:val="20191C70"/>
    <w:rsid w:val="27846795"/>
    <w:rsid w:val="2A8A2314"/>
    <w:rsid w:val="2D5664DE"/>
    <w:rsid w:val="2DC01BA9"/>
    <w:rsid w:val="30896BCA"/>
    <w:rsid w:val="30A62826"/>
    <w:rsid w:val="329A6E6D"/>
    <w:rsid w:val="32F730FE"/>
    <w:rsid w:val="345A59A0"/>
    <w:rsid w:val="36146F36"/>
    <w:rsid w:val="36607F9A"/>
    <w:rsid w:val="38FE5C7B"/>
    <w:rsid w:val="39050DB8"/>
    <w:rsid w:val="3B0C4680"/>
    <w:rsid w:val="3C6109FB"/>
    <w:rsid w:val="3CB7061B"/>
    <w:rsid w:val="402633BF"/>
    <w:rsid w:val="40925627"/>
    <w:rsid w:val="40E65973"/>
    <w:rsid w:val="414A7CB0"/>
    <w:rsid w:val="420936C7"/>
    <w:rsid w:val="428611BC"/>
    <w:rsid w:val="43F6411F"/>
    <w:rsid w:val="45B44292"/>
    <w:rsid w:val="47060B1D"/>
    <w:rsid w:val="4A106E82"/>
    <w:rsid w:val="4DBC1F35"/>
    <w:rsid w:val="4DC40DEA"/>
    <w:rsid w:val="500B2D00"/>
    <w:rsid w:val="50CA2BBB"/>
    <w:rsid w:val="5100482F"/>
    <w:rsid w:val="51067449"/>
    <w:rsid w:val="517D19DC"/>
    <w:rsid w:val="523F3135"/>
    <w:rsid w:val="53316F22"/>
    <w:rsid w:val="59D2663D"/>
    <w:rsid w:val="5ADB5D4D"/>
    <w:rsid w:val="5BC07095"/>
    <w:rsid w:val="5CE9261B"/>
    <w:rsid w:val="5D1A27D4"/>
    <w:rsid w:val="5D802026"/>
    <w:rsid w:val="64FD4EB5"/>
    <w:rsid w:val="65771E5F"/>
    <w:rsid w:val="66A568DE"/>
    <w:rsid w:val="693410C2"/>
    <w:rsid w:val="6A162576"/>
    <w:rsid w:val="6C223454"/>
    <w:rsid w:val="6CEC361C"/>
    <w:rsid w:val="70F96E79"/>
    <w:rsid w:val="72080E18"/>
    <w:rsid w:val="729E3AD7"/>
    <w:rsid w:val="72E06F95"/>
    <w:rsid w:val="74AA048A"/>
    <w:rsid w:val="7A2F7467"/>
    <w:rsid w:val="7D580A83"/>
    <w:rsid w:val="7EA57CE6"/>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99"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68"/>
    <w:qFormat/>
    <w:uiPriority w:val="9"/>
    <w:pPr>
      <w:keepNext/>
      <w:keepLines/>
      <w:spacing w:before="340" w:after="330" w:line="576" w:lineRule="auto"/>
      <w:outlineLvl w:val="0"/>
    </w:pPr>
    <w:rPr>
      <w:rFonts w:ascii="Arial" w:hAnsi="Arial" w:eastAsia="Arial"/>
      <w:sz w:val="40"/>
      <w:szCs w:val="40"/>
    </w:rPr>
  </w:style>
  <w:style w:type="paragraph" w:styleId="3">
    <w:name w:val="heading 2"/>
    <w:basedOn w:val="1"/>
    <w:next w:val="1"/>
    <w:link w:val="69"/>
    <w:qFormat/>
    <w:uiPriority w:val="9"/>
    <w:pPr>
      <w:keepNext/>
      <w:keepLines/>
      <w:spacing w:before="260" w:after="260" w:line="413" w:lineRule="auto"/>
      <w:outlineLvl w:val="1"/>
    </w:pPr>
    <w:rPr>
      <w:rFonts w:ascii="Arial" w:hAnsi="Arial" w:eastAsia="Arial"/>
      <w:sz w:val="34"/>
      <w:szCs w:val="20"/>
    </w:rPr>
  </w:style>
  <w:style w:type="paragraph" w:styleId="4">
    <w:name w:val="heading 3"/>
    <w:basedOn w:val="1"/>
    <w:next w:val="1"/>
    <w:link w:val="70"/>
    <w:qFormat/>
    <w:uiPriority w:val="9"/>
    <w:pPr>
      <w:keepNext/>
      <w:keepLines/>
      <w:numPr>
        <w:ilvl w:val="2"/>
        <w:numId w:val="1"/>
      </w:numPr>
      <w:spacing w:before="260" w:after="260" w:line="416" w:lineRule="auto"/>
      <w:outlineLvl w:val="2"/>
    </w:pPr>
    <w:rPr>
      <w:rFonts w:ascii="Arial" w:hAnsi="Arial" w:eastAsia="Arial"/>
      <w:sz w:val="30"/>
      <w:szCs w:val="30"/>
    </w:rPr>
  </w:style>
  <w:style w:type="paragraph" w:styleId="5">
    <w:name w:val="heading 4"/>
    <w:basedOn w:val="1"/>
    <w:next w:val="1"/>
    <w:link w:val="71"/>
    <w:qFormat/>
    <w:uiPriority w:val="9"/>
    <w:pPr>
      <w:keepNext/>
      <w:keepLines/>
      <w:spacing w:before="280" w:after="290" w:line="376" w:lineRule="auto"/>
      <w:outlineLvl w:val="3"/>
    </w:pPr>
    <w:rPr>
      <w:rFonts w:ascii="Arial" w:hAnsi="Arial" w:eastAsia="Arial"/>
      <w:b/>
      <w:bCs/>
      <w:sz w:val="26"/>
      <w:szCs w:val="26"/>
    </w:rPr>
  </w:style>
  <w:style w:type="paragraph" w:styleId="6">
    <w:name w:val="heading 5"/>
    <w:basedOn w:val="1"/>
    <w:next w:val="1"/>
    <w:link w:val="72"/>
    <w:qFormat/>
    <w:uiPriority w:val="9"/>
    <w:pPr>
      <w:keepNext/>
      <w:keepLines/>
      <w:spacing w:before="320" w:after="200"/>
      <w:outlineLvl w:val="4"/>
    </w:pPr>
    <w:rPr>
      <w:rFonts w:ascii="Arial" w:hAnsi="Arial" w:eastAsia="Arial"/>
      <w:b/>
      <w:bCs/>
      <w:sz w:val="24"/>
    </w:rPr>
  </w:style>
  <w:style w:type="paragraph" w:styleId="7">
    <w:name w:val="heading 6"/>
    <w:basedOn w:val="1"/>
    <w:next w:val="1"/>
    <w:link w:val="73"/>
    <w:qFormat/>
    <w:uiPriority w:val="9"/>
    <w:pPr>
      <w:keepNext/>
      <w:keepLines/>
      <w:spacing w:before="320" w:after="200"/>
      <w:outlineLvl w:val="5"/>
    </w:pPr>
    <w:rPr>
      <w:rFonts w:ascii="Arial" w:hAnsi="Arial" w:eastAsia="Arial"/>
      <w:b/>
      <w:bCs/>
      <w:sz w:val="22"/>
      <w:szCs w:val="22"/>
    </w:rPr>
  </w:style>
  <w:style w:type="paragraph" w:styleId="8">
    <w:name w:val="heading 7"/>
    <w:basedOn w:val="1"/>
    <w:next w:val="1"/>
    <w:link w:val="74"/>
    <w:qFormat/>
    <w:uiPriority w:val="9"/>
    <w:pPr>
      <w:keepNext/>
      <w:keepLines/>
      <w:spacing w:before="320" w:after="200"/>
      <w:outlineLvl w:val="6"/>
    </w:pPr>
    <w:rPr>
      <w:rFonts w:ascii="Arial" w:hAnsi="Arial" w:eastAsia="Arial"/>
      <w:b/>
      <w:bCs/>
      <w:i/>
      <w:iCs/>
      <w:sz w:val="22"/>
      <w:szCs w:val="22"/>
    </w:rPr>
  </w:style>
  <w:style w:type="paragraph" w:styleId="9">
    <w:name w:val="heading 8"/>
    <w:basedOn w:val="1"/>
    <w:next w:val="1"/>
    <w:link w:val="75"/>
    <w:qFormat/>
    <w:uiPriority w:val="9"/>
    <w:pPr>
      <w:keepNext/>
      <w:keepLines/>
      <w:spacing w:before="320" w:after="200"/>
      <w:outlineLvl w:val="7"/>
    </w:pPr>
    <w:rPr>
      <w:rFonts w:ascii="Arial" w:hAnsi="Arial" w:eastAsia="Arial"/>
      <w:i/>
      <w:iCs/>
      <w:sz w:val="22"/>
      <w:szCs w:val="22"/>
    </w:rPr>
  </w:style>
  <w:style w:type="paragraph" w:styleId="10">
    <w:name w:val="heading 9"/>
    <w:basedOn w:val="1"/>
    <w:next w:val="1"/>
    <w:link w:val="76"/>
    <w:qFormat/>
    <w:uiPriority w:val="9"/>
    <w:pPr>
      <w:keepNext/>
      <w:keepLines/>
      <w:spacing w:before="320" w:after="200"/>
      <w:outlineLvl w:val="8"/>
    </w:pPr>
    <w:rPr>
      <w:rFonts w:ascii="Arial" w:hAnsi="Arial" w:eastAsia="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next w:val="1"/>
    <w:link w:val="106"/>
    <w:qFormat/>
    <w:uiPriority w:val="0"/>
    <w:pPr>
      <w:ind w:firstLine="420"/>
    </w:pPr>
    <w:rPr>
      <w:rFonts w:ascii="Calibri" w:hAnsi="Calibri"/>
    </w:rPr>
  </w:style>
  <w:style w:type="paragraph" w:styleId="13">
    <w:name w:val="caption"/>
    <w:basedOn w:val="1"/>
    <w:next w:val="1"/>
    <w:autoRedefine/>
    <w:qFormat/>
    <w:uiPriority w:val="35"/>
    <w:pPr>
      <w:spacing w:line="276" w:lineRule="auto"/>
    </w:pPr>
    <w:rPr>
      <w:b/>
      <w:bCs/>
      <w:color w:val="5B9BD5"/>
      <w:sz w:val="18"/>
      <w:szCs w:val="18"/>
    </w:rPr>
  </w:style>
  <w:style w:type="paragraph" w:styleId="14">
    <w:name w:val="annotation text"/>
    <w:basedOn w:val="1"/>
    <w:link w:val="107"/>
    <w:qFormat/>
    <w:uiPriority w:val="0"/>
    <w:pPr>
      <w:jc w:val="left"/>
    </w:pPr>
  </w:style>
  <w:style w:type="paragraph" w:styleId="15">
    <w:name w:val="Body Text 3"/>
    <w:basedOn w:val="1"/>
    <w:link w:val="108"/>
    <w:qFormat/>
    <w:uiPriority w:val="0"/>
    <w:pPr>
      <w:jc w:val="center"/>
    </w:pPr>
    <w:rPr>
      <w:rFonts w:eastAsia="黑体"/>
      <w:sz w:val="72"/>
    </w:rPr>
  </w:style>
  <w:style w:type="paragraph" w:styleId="16">
    <w:name w:val="Body Text"/>
    <w:basedOn w:val="1"/>
    <w:next w:val="1"/>
    <w:link w:val="109"/>
    <w:autoRedefine/>
    <w:qFormat/>
    <w:uiPriority w:val="0"/>
    <w:pPr>
      <w:jc w:val="center"/>
    </w:pPr>
    <w:rPr>
      <w:rFonts w:eastAsia="仿宋_GB2312"/>
      <w:sz w:val="28"/>
    </w:rPr>
  </w:style>
  <w:style w:type="paragraph" w:styleId="17">
    <w:name w:val="Body Text Indent"/>
    <w:basedOn w:val="1"/>
    <w:next w:val="18"/>
    <w:link w:val="110"/>
    <w:qFormat/>
    <w:uiPriority w:val="0"/>
    <w:pPr>
      <w:spacing w:after="120"/>
      <w:ind w:left="420"/>
    </w:pPr>
  </w:style>
  <w:style w:type="paragraph" w:styleId="18">
    <w:name w:val="envelope return"/>
    <w:basedOn w:val="1"/>
    <w:qFormat/>
    <w:uiPriority w:val="0"/>
    <w:rPr>
      <w:rFonts w:ascii="Arial" w:hAnsi="Arial" w:cs="Arial"/>
    </w:rPr>
  </w:style>
  <w:style w:type="paragraph" w:styleId="19">
    <w:name w:val="Block Text"/>
    <w:basedOn w:val="1"/>
    <w:autoRedefine/>
    <w:qFormat/>
    <w:uiPriority w:val="99"/>
    <w:pPr>
      <w:ind w:left="420" w:right="33"/>
      <w:jc w:val="left"/>
    </w:pPr>
    <w:rPr>
      <w:sz w:val="24"/>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1"/>
    <w:link w:val="111"/>
    <w:autoRedefine/>
    <w:qFormat/>
    <w:uiPriority w:val="0"/>
    <w:rPr>
      <w:rFonts w:ascii="宋体" w:hAnsi="Courier New"/>
      <w:szCs w:val="20"/>
    </w:rPr>
  </w:style>
  <w:style w:type="paragraph" w:styleId="23">
    <w:name w:val="toc 8"/>
    <w:basedOn w:val="1"/>
    <w:next w:val="1"/>
    <w:unhideWhenUsed/>
    <w:qFormat/>
    <w:uiPriority w:val="39"/>
    <w:pPr>
      <w:spacing w:after="57"/>
      <w:ind w:left="1984"/>
    </w:pPr>
  </w:style>
  <w:style w:type="paragraph" w:styleId="24">
    <w:name w:val="Date"/>
    <w:basedOn w:val="1"/>
    <w:next w:val="1"/>
    <w:link w:val="319"/>
    <w:semiHidden/>
    <w:unhideWhenUsed/>
    <w:uiPriority w:val="99"/>
    <w:pPr>
      <w:ind w:left="100" w:leftChars="2500"/>
    </w:pPr>
  </w:style>
  <w:style w:type="paragraph" w:styleId="25">
    <w:name w:val="Body Text Indent 2"/>
    <w:basedOn w:val="1"/>
    <w:link w:val="112"/>
    <w:qFormat/>
    <w:uiPriority w:val="0"/>
    <w:pPr>
      <w:tabs>
        <w:tab w:val="left" w:pos="9741"/>
      </w:tabs>
      <w:ind w:right="-2" w:firstLine="540"/>
    </w:pPr>
    <w:rPr>
      <w:rFonts w:eastAsia="仿宋_GB2312"/>
      <w:sz w:val="28"/>
    </w:rPr>
  </w:style>
  <w:style w:type="paragraph" w:styleId="26">
    <w:name w:val="endnote text"/>
    <w:basedOn w:val="1"/>
    <w:link w:val="104"/>
    <w:unhideWhenUsed/>
    <w:qFormat/>
    <w:uiPriority w:val="99"/>
    <w:rPr>
      <w:rFonts w:ascii="Calibri" w:hAnsi="Calibri"/>
      <w:sz w:val="20"/>
      <w:szCs w:val="20"/>
    </w:rPr>
  </w:style>
  <w:style w:type="paragraph" w:styleId="27">
    <w:name w:val="Balloon Text"/>
    <w:basedOn w:val="1"/>
    <w:link w:val="113"/>
    <w:autoRedefine/>
    <w:unhideWhenUsed/>
    <w:qFormat/>
    <w:uiPriority w:val="99"/>
    <w:rPr>
      <w:sz w:val="18"/>
      <w:szCs w:val="18"/>
    </w:rPr>
  </w:style>
  <w:style w:type="paragraph" w:styleId="28">
    <w:name w:val="footer"/>
    <w:basedOn w:val="1"/>
    <w:link w:val="100"/>
    <w:qFormat/>
    <w:uiPriority w:val="0"/>
    <w:pPr>
      <w:tabs>
        <w:tab w:val="center" w:pos="4153"/>
        <w:tab w:val="right" w:pos="8306"/>
      </w:tabs>
      <w:jc w:val="left"/>
    </w:pPr>
    <w:rPr>
      <w:sz w:val="18"/>
      <w:szCs w:val="18"/>
    </w:rPr>
  </w:style>
  <w:style w:type="paragraph" w:styleId="29">
    <w:name w:val="header"/>
    <w:basedOn w:val="1"/>
    <w:link w:val="98"/>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30">
    <w:name w:val="toc 1"/>
    <w:basedOn w:val="1"/>
    <w:next w:val="1"/>
    <w:autoRedefine/>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index heading"/>
    <w:basedOn w:val="1"/>
    <w:next w:val="33"/>
    <w:qFormat/>
    <w:uiPriority w:val="0"/>
    <w:pPr>
      <w:tabs>
        <w:tab w:val="left" w:pos="560"/>
      </w:tabs>
    </w:pPr>
    <w:rPr>
      <w:rFonts w:ascii="Arial" w:hAnsi="Arial" w:cs="Arial"/>
      <w:b/>
      <w:bCs/>
    </w:rPr>
  </w:style>
  <w:style w:type="paragraph" w:styleId="33">
    <w:name w:val="index 1"/>
    <w:basedOn w:val="1"/>
    <w:next w:val="1"/>
    <w:autoRedefine/>
    <w:qFormat/>
    <w:uiPriority w:val="0"/>
    <w:pPr>
      <w:tabs>
        <w:tab w:val="left" w:pos="560"/>
      </w:tabs>
      <w:jc w:val="center"/>
    </w:pPr>
    <w:rPr>
      <w:rFonts w:ascii="宋体" w:hAnsi="宋体"/>
    </w:rPr>
  </w:style>
  <w:style w:type="paragraph" w:styleId="34">
    <w:name w:val="Subtitle"/>
    <w:basedOn w:val="1"/>
    <w:next w:val="1"/>
    <w:link w:val="90"/>
    <w:qFormat/>
    <w:uiPriority w:val="11"/>
    <w:pPr>
      <w:spacing w:before="200" w:after="200"/>
    </w:pPr>
    <w:rPr>
      <w:rFonts w:ascii="Calibri" w:hAnsi="Calibri"/>
      <w:sz w:val="24"/>
    </w:rPr>
  </w:style>
  <w:style w:type="paragraph" w:styleId="35">
    <w:name w:val="footnote text"/>
    <w:basedOn w:val="1"/>
    <w:link w:val="102"/>
    <w:autoRedefine/>
    <w:unhideWhenUsed/>
    <w:qFormat/>
    <w:uiPriority w:val="99"/>
    <w:pPr>
      <w:spacing w:after="40"/>
    </w:pPr>
    <w:rPr>
      <w:rFonts w:ascii="Calibri" w:hAnsi="Calibri"/>
      <w:sz w:val="18"/>
      <w:szCs w:val="20"/>
    </w:rPr>
  </w:style>
  <w:style w:type="paragraph" w:styleId="36">
    <w:name w:val="toc 6"/>
    <w:basedOn w:val="1"/>
    <w:next w:val="1"/>
    <w:autoRedefine/>
    <w:qFormat/>
    <w:uiPriority w:val="39"/>
    <w:pPr>
      <w:ind w:left="2100"/>
    </w:pPr>
    <w:rPr>
      <w:rFonts w:ascii="Calibri" w:hAnsi="Calibri"/>
      <w:szCs w:val="22"/>
    </w:rPr>
  </w:style>
  <w:style w:type="paragraph" w:styleId="37">
    <w:name w:val="table of figures"/>
    <w:basedOn w:val="1"/>
    <w:next w:val="1"/>
    <w:unhideWhenUsed/>
    <w:qFormat/>
    <w:uiPriority w:val="99"/>
  </w:style>
  <w:style w:type="paragraph" w:styleId="38">
    <w:name w:val="toc 2"/>
    <w:basedOn w:val="1"/>
    <w:next w:val="1"/>
    <w:autoRedefine/>
    <w:unhideWhenUsed/>
    <w:qFormat/>
    <w:uiPriority w:val="39"/>
    <w:pPr>
      <w:spacing w:after="57"/>
      <w:ind w:left="283"/>
    </w:pPr>
  </w:style>
  <w:style w:type="paragraph" w:styleId="39">
    <w:name w:val="toc 9"/>
    <w:basedOn w:val="1"/>
    <w:next w:val="1"/>
    <w:autoRedefine/>
    <w:unhideWhenUsed/>
    <w:qFormat/>
    <w:uiPriority w:val="39"/>
    <w:pPr>
      <w:spacing w:after="57"/>
      <w:ind w:left="2268"/>
    </w:pPr>
  </w:style>
  <w:style w:type="paragraph" w:styleId="40">
    <w:name w:val="Body Text 2"/>
    <w:basedOn w:val="1"/>
    <w:link w:val="114"/>
    <w:qFormat/>
    <w:uiPriority w:val="0"/>
    <w:pPr>
      <w:spacing w:line="440" w:lineRule="exact"/>
    </w:pPr>
    <w:rPr>
      <w:rFonts w:ascii="楷体_GB2312" w:eastAsia="楷体_GB2312"/>
      <w:sz w:val="28"/>
    </w:rPr>
  </w:style>
  <w:style w:type="paragraph" w:styleId="41">
    <w:name w:val="Message Header"/>
    <w:basedOn w:val="1"/>
    <w:next w:val="1"/>
    <w:link w:val="115"/>
    <w:autoRedefine/>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rPr>
  </w:style>
  <w:style w:type="paragraph" w:styleId="42">
    <w:name w:val="Normal (Web)"/>
    <w:basedOn w:val="1"/>
    <w:unhideWhenUsed/>
    <w:qFormat/>
    <w:uiPriority w:val="99"/>
    <w:pPr>
      <w:spacing w:before="100" w:beforeAutospacing="1" w:after="100" w:afterAutospacing="1"/>
      <w:jc w:val="left"/>
    </w:pPr>
    <w:rPr>
      <w:sz w:val="24"/>
      <w:szCs w:val="20"/>
    </w:rPr>
  </w:style>
  <w:style w:type="paragraph" w:styleId="43">
    <w:name w:val="Title"/>
    <w:basedOn w:val="1"/>
    <w:next w:val="1"/>
    <w:link w:val="88"/>
    <w:autoRedefine/>
    <w:qFormat/>
    <w:uiPriority w:val="10"/>
    <w:pPr>
      <w:spacing w:before="300" w:after="200"/>
      <w:contextualSpacing/>
    </w:pPr>
    <w:rPr>
      <w:rFonts w:ascii="Calibri" w:hAnsi="Calibri"/>
      <w:sz w:val="48"/>
      <w:szCs w:val="48"/>
    </w:rPr>
  </w:style>
  <w:style w:type="paragraph" w:styleId="44">
    <w:name w:val="Body Text First Indent 2"/>
    <w:basedOn w:val="17"/>
    <w:next w:val="1"/>
    <w:autoRedefine/>
    <w:qFormat/>
    <w:uiPriority w:val="0"/>
    <w:pPr>
      <w:ind w:firstLine="420"/>
    </w:pPr>
  </w:style>
  <w:style w:type="table" w:styleId="46">
    <w:name w:val="Table Grid"/>
    <w:basedOn w:val="45"/>
    <w:qFormat/>
    <w:uiPriority w:val="59"/>
    <w:pPr>
      <w:widowControl w:val="0"/>
      <w:jc w:val="both"/>
    </w:pPr>
    <w:tblPr>
      <w:tblCellMar>
        <w:top w:w="0" w:type="dxa"/>
        <w:left w:w="108" w:type="dxa"/>
        <w:bottom w:w="0" w:type="dxa"/>
        <w:right w:w="108" w:type="dxa"/>
      </w:tblCellMar>
    </w:tblPr>
  </w:style>
  <w:style w:type="character" w:styleId="48">
    <w:name w:val="Strong"/>
    <w:autoRedefine/>
    <w:qFormat/>
    <w:uiPriority w:val="0"/>
    <w:rPr>
      <w:b/>
      <w:bCs/>
    </w:rPr>
  </w:style>
  <w:style w:type="character" w:styleId="49">
    <w:name w:val="endnote reference"/>
    <w:unhideWhenUsed/>
    <w:qFormat/>
    <w:uiPriority w:val="99"/>
    <w:rPr>
      <w:vertAlign w:val="superscript"/>
    </w:rPr>
  </w:style>
  <w:style w:type="character" w:styleId="50">
    <w:name w:val="page number"/>
    <w:autoRedefine/>
    <w:qFormat/>
    <w:uiPriority w:val="0"/>
  </w:style>
  <w:style w:type="character" w:styleId="51">
    <w:name w:val="Emphasis"/>
    <w:autoRedefine/>
    <w:qFormat/>
    <w:uiPriority w:val="0"/>
    <w:rPr>
      <w:b/>
      <w:bCs/>
    </w:rPr>
  </w:style>
  <w:style w:type="character" w:styleId="52">
    <w:name w:val="HTML Definition"/>
    <w:qFormat/>
    <w:uiPriority w:val="0"/>
  </w:style>
  <w:style w:type="character" w:styleId="53">
    <w:name w:val="HTML Typewriter"/>
    <w:autoRedefine/>
    <w:qFormat/>
    <w:uiPriority w:val="0"/>
    <w:rPr>
      <w:rFonts w:ascii="monospace" w:hAnsi="monospace" w:eastAsia="monospace" w:cs="monospace"/>
      <w:sz w:val="20"/>
    </w:rPr>
  </w:style>
  <w:style w:type="character" w:styleId="54">
    <w:name w:val="HTML Acronym"/>
    <w:autoRedefine/>
    <w:qFormat/>
    <w:uiPriority w:val="0"/>
  </w:style>
  <w:style w:type="character" w:styleId="55">
    <w:name w:val="HTML Variable"/>
    <w:qFormat/>
    <w:uiPriority w:val="0"/>
  </w:style>
  <w:style w:type="character" w:styleId="56">
    <w:name w:val="Hyperlink"/>
    <w:autoRedefine/>
    <w:qFormat/>
    <w:uiPriority w:val="0"/>
    <w:rPr>
      <w:color w:val="0000FF"/>
      <w:u w:val="none"/>
    </w:rPr>
  </w:style>
  <w:style w:type="character" w:styleId="57">
    <w:name w:val="HTML Code"/>
    <w:qFormat/>
    <w:uiPriority w:val="0"/>
    <w:rPr>
      <w:rFonts w:ascii="monospace" w:hAnsi="monospace" w:eastAsia="monospace" w:cs="monospace"/>
      <w:sz w:val="20"/>
    </w:rPr>
  </w:style>
  <w:style w:type="character" w:styleId="58">
    <w:name w:val="HTML Cite"/>
    <w:autoRedefine/>
    <w:qFormat/>
    <w:uiPriority w:val="0"/>
  </w:style>
  <w:style w:type="character" w:styleId="59">
    <w:name w:val="footnote reference"/>
    <w:autoRedefine/>
    <w:unhideWhenUsed/>
    <w:qFormat/>
    <w:uiPriority w:val="99"/>
    <w:rPr>
      <w:vertAlign w:val="superscript"/>
    </w:rPr>
  </w:style>
  <w:style w:type="character" w:styleId="60">
    <w:name w:val="HTML Keyboard"/>
    <w:qFormat/>
    <w:uiPriority w:val="0"/>
    <w:rPr>
      <w:rFonts w:ascii="monospace" w:hAnsi="monospace" w:eastAsia="monospace" w:cs="monospace"/>
      <w:sz w:val="20"/>
    </w:rPr>
  </w:style>
  <w:style w:type="character" w:styleId="61">
    <w:name w:val="HTML Sample"/>
    <w:autoRedefine/>
    <w:qFormat/>
    <w:uiPriority w:val="0"/>
    <w:rPr>
      <w:rFonts w:ascii="monospace" w:hAnsi="monospace" w:eastAsia="monospace" w:cs="monospace"/>
    </w:rPr>
  </w:style>
  <w:style w:type="paragraph" w:customStyle="1" w:styleId="62">
    <w:name w:val="正文1"/>
    <w:basedOn w:val="63"/>
    <w:next w:val="1"/>
    <w:autoRedefine/>
    <w:qFormat/>
    <w:uiPriority w:val="0"/>
    <w:pPr>
      <w:spacing w:before="120" w:after="120" w:line="180" w:lineRule="auto"/>
      <w:ind w:firstLine="200"/>
      <w:contextualSpacing/>
    </w:pPr>
    <w:rPr>
      <w:rFonts w:eastAsia="Adobe 仿宋 Std R"/>
      <w:szCs w:val="21"/>
    </w:rPr>
  </w:style>
  <w:style w:type="paragraph" w:customStyle="1" w:styleId="63">
    <w:name w:val="正文11"/>
    <w:next w:val="6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
    <w:name w:val="文本块1"/>
    <w:basedOn w:val="63"/>
    <w:next w:val="65"/>
    <w:autoRedefine/>
    <w:qFormat/>
    <w:uiPriority w:val="0"/>
    <w:pPr>
      <w:ind w:left="256" w:right="6" w:firstLine="624"/>
    </w:pPr>
    <w:rPr>
      <w:rFonts w:eastAsia="仿宋_GB2312"/>
      <w:sz w:val="28"/>
      <w:szCs w:val="20"/>
    </w:rPr>
  </w:style>
  <w:style w:type="paragraph" w:customStyle="1" w:styleId="65">
    <w:name w:val="标题 41"/>
    <w:basedOn w:val="66"/>
    <w:next w:val="63"/>
    <w:autoRedefine/>
    <w:qFormat/>
    <w:uiPriority w:val="0"/>
    <w:pPr>
      <w:keepNext/>
      <w:keepLines/>
      <w:spacing w:before="280" w:after="290" w:line="376" w:lineRule="auto"/>
      <w:outlineLvl w:val="3"/>
    </w:pPr>
    <w:rPr>
      <w:rFonts w:ascii="Cambria" w:hAnsi="Cambria"/>
      <w:b/>
      <w:bCs/>
      <w:sz w:val="28"/>
      <w:szCs w:val="28"/>
    </w:rPr>
  </w:style>
  <w:style w:type="paragraph" w:customStyle="1" w:styleId="66">
    <w:name w:val="正文12"/>
    <w:next w:val="67"/>
    <w:qFormat/>
    <w:uiPriority w:val="0"/>
    <w:pPr>
      <w:widowControl w:val="0"/>
      <w:jc w:val="both"/>
    </w:pPr>
    <w:rPr>
      <w:rFonts w:ascii="Calibri" w:hAnsi="Calibri" w:eastAsia="Calibri" w:cs="Times New Roman"/>
      <w:sz w:val="21"/>
      <w:szCs w:val="24"/>
      <w:lang w:val="en-US" w:eastAsia="zh-CN" w:bidi="ar-SA"/>
    </w:rPr>
  </w:style>
  <w:style w:type="paragraph" w:customStyle="1" w:styleId="67">
    <w:name w:val="Default"/>
    <w:autoRedefine/>
    <w:qFormat/>
    <w:uiPriority w:val="0"/>
    <w:pPr>
      <w:widowControl w:val="0"/>
    </w:pPr>
    <w:rPr>
      <w:rFonts w:ascii="仿宋" w:hAnsi="Times New Roman" w:eastAsia="仿宋" w:cs="仿宋"/>
      <w:color w:val="000000"/>
      <w:sz w:val="24"/>
      <w:szCs w:val="24"/>
      <w:lang w:val="en-US" w:eastAsia="zh-CN" w:bidi="ar-SA"/>
    </w:rPr>
  </w:style>
  <w:style w:type="character" w:customStyle="1" w:styleId="68">
    <w:name w:val="标题 1 Char"/>
    <w:link w:val="2"/>
    <w:autoRedefine/>
    <w:qFormat/>
    <w:uiPriority w:val="9"/>
    <w:rPr>
      <w:rFonts w:ascii="Arial" w:hAnsi="Arial" w:eastAsia="Arial" w:cs="Arial"/>
      <w:sz w:val="40"/>
      <w:szCs w:val="40"/>
    </w:rPr>
  </w:style>
  <w:style w:type="character" w:customStyle="1" w:styleId="69">
    <w:name w:val="标题 2 Char"/>
    <w:link w:val="3"/>
    <w:qFormat/>
    <w:uiPriority w:val="9"/>
    <w:rPr>
      <w:rFonts w:ascii="Arial" w:hAnsi="Arial" w:eastAsia="Arial" w:cs="Arial"/>
      <w:sz w:val="34"/>
    </w:rPr>
  </w:style>
  <w:style w:type="character" w:customStyle="1" w:styleId="70">
    <w:name w:val="标题 3 Char"/>
    <w:link w:val="4"/>
    <w:autoRedefine/>
    <w:qFormat/>
    <w:uiPriority w:val="9"/>
    <w:rPr>
      <w:rFonts w:ascii="Arial" w:hAnsi="Arial" w:eastAsia="Arial"/>
      <w:sz w:val="30"/>
      <w:szCs w:val="30"/>
    </w:rPr>
  </w:style>
  <w:style w:type="character" w:customStyle="1" w:styleId="71">
    <w:name w:val="标题 4 Char"/>
    <w:link w:val="5"/>
    <w:autoRedefine/>
    <w:qFormat/>
    <w:uiPriority w:val="9"/>
    <w:rPr>
      <w:rFonts w:ascii="Arial" w:hAnsi="Arial" w:eastAsia="Arial" w:cs="Arial"/>
      <w:b/>
      <w:bCs/>
      <w:sz w:val="26"/>
      <w:szCs w:val="26"/>
    </w:rPr>
  </w:style>
  <w:style w:type="character" w:customStyle="1" w:styleId="72">
    <w:name w:val="标题 5 Char"/>
    <w:link w:val="6"/>
    <w:qFormat/>
    <w:uiPriority w:val="9"/>
    <w:rPr>
      <w:rFonts w:ascii="Arial" w:hAnsi="Arial" w:eastAsia="Arial" w:cs="Arial"/>
      <w:b/>
      <w:bCs/>
      <w:sz w:val="24"/>
      <w:szCs w:val="24"/>
    </w:rPr>
  </w:style>
  <w:style w:type="character" w:customStyle="1" w:styleId="73">
    <w:name w:val="标题 6 Char"/>
    <w:link w:val="7"/>
    <w:autoRedefine/>
    <w:qFormat/>
    <w:uiPriority w:val="9"/>
    <w:rPr>
      <w:rFonts w:ascii="Arial" w:hAnsi="Arial" w:eastAsia="Arial" w:cs="Arial"/>
      <w:b/>
      <w:bCs/>
      <w:sz w:val="22"/>
      <w:szCs w:val="22"/>
    </w:rPr>
  </w:style>
  <w:style w:type="character" w:customStyle="1" w:styleId="74">
    <w:name w:val="标题 7 Char"/>
    <w:link w:val="8"/>
    <w:autoRedefine/>
    <w:qFormat/>
    <w:uiPriority w:val="9"/>
    <w:rPr>
      <w:rFonts w:ascii="Arial" w:hAnsi="Arial" w:eastAsia="Arial" w:cs="Arial"/>
      <w:b/>
      <w:bCs/>
      <w:i/>
      <w:iCs/>
      <w:sz w:val="22"/>
      <w:szCs w:val="22"/>
    </w:rPr>
  </w:style>
  <w:style w:type="character" w:customStyle="1" w:styleId="75">
    <w:name w:val="标题 8 Char"/>
    <w:link w:val="9"/>
    <w:qFormat/>
    <w:uiPriority w:val="9"/>
    <w:rPr>
      <w:rFonts w:ascii="Arial" w:hAnsi="Arial" w:eastAsia="Arial" w:cs="Arial"/>
      <w:i/>
      <w:iCs/>
      <w:sz w:val="22"/>
      <w:szCs w:val="22"/>
    </w:rPr>
  </w:style>
  <w:style w:type="character" w:customStyle="1" w:styleId="76">
    <w:name w:val="标题 9 Char"/>
    <w:link w:val="10"/>
    <w:autoRedefine/>
    <w:qFormat/>
    <w:uiPriority w:val="9"/>
    <w:rPr>
      <w:rFonts w:ascii="Arial" w:hAnsi="Arial" w:eastAsia="Arial" w:cs="Arial"/>
      <w:i/>
      <w:iCs/>
      <w:sz w:val="21"/>
      <w:szCs w:val="21"/>
    </w:rPr>
  </w:style>
  <w:style w:type="character" w:customStyle="1" w:styleId="77">
    <w:name w:val="Heading 1 Char"/>
    <w:autoRedefine/>
    <w:qFormat/>
    <w:uiPriority w:val="9"/>
    <w:rPr>
      <w:rFonts w:ascii="Arial" w:hAnsi="Arial" w:eastAsia="Arial" w:cs="Arial"/>
      <w:sz w:val="40"/>
      <w:szCs w:val="40"/>
    </w:rPr>
  </w:style>
  <w:style w:type="character" w:customStyle="1" w:styleId="78">
    <w:name w:val="Heading 2 Char"/>
    <w:qFormat/>
    <w:uiPriority w:val="9"/>
    <w:rPr>
      <w:rFonts w:ascii="Arial" w:hAnsi="Arial" w:eastAsia="Arial" w:cs="Arial"/>
      <w:sz w:val="34"/>
    </w:rPr>
  </w:style>
  <w:style w:type="character" w:customStyle="1" w:styleId="79">
    <w:name w:val="Heading 3 Char"/>
    <w:autoRedefine/>
    <w:qFormat/>
    <w:uiPriority w:val="9"/>
    <w:rPr>
      <w:rFonts w:ascii="Arial" w:hAnsi="Arial" w:eastAsia="Arial" w:cs="Arial"/>
      <w:sz w:val="30"/>
      <w:szCs w:val="30"/>
    </w:rPr>
  </w:style>
  <w:style w:type="character" w:customStyle="1" w:styleId="80">
    <w:name w:val="Heading 4 Char"/>
    <w:autoRedefine/>
    <w:qFormat/>
    <w:uiPriority w:val="9"/>
    <w:rPr>
      <w:rFonts w:ascii="Arial" w:hAnsi="Arial" w:eastAsia="Arial" w:cs="Arial"/>
      <w:b/>
      <w:bCs/>
      <w:sz w:val="26"/>
      <w:szCs w:val="26"/>
    </w:rPr>
  </w:style>
  <w:style w:type="character" w:customStyle="1" w:styleId="81">
    <w:name w:val="Heading 5 Char"/>
    <w:qFormat/>
    <w:uiPriority w:val="9"/>
    <w:rPr>
      <w:rFonts w:ascii="Arial" w:hAnsi="Arial" w:eastAsia="Arial" w:cs="Arial"/>
      <w:b/>
      <w:bCs/>
      <w:sz w:val="24"/>
      <w:szCs w:val="24"/>
    </w:rPr>
  </w:style>
  <w:style w:type="character" w:customStyle="1" w:styleId="82">
    <w:name w:val="Heading 6 Char"/>
    <w:autoRedefine/>
    <w:qFormat/>
    <w:uiPriority w:val="9"/>
    <w:rPr>
      <w:rFonts w:ascii="Arial" w:hAnsi="Arial" w:eastAsia="Arial" w:cs="Arial"/>
      <w:b/>
      <w:bCs/>
      <w:sz w:val="22"/>
      <w:szCs w:val="22"/>
    </w:rPr>
  </w:style>
  <w:style w:type="character" w:customStyle="1" w:styleId="83">
    <w:name w:val="Heading 7 Char"/>
    <w:autoRedefine/>
    <w:qFormat/>
    <w:uiPriority w:val="9"/>
    <w:rPr>
      <w:rFonts w:ascii="Arial" w:hAnsi="Arial" w:eastAsia="Arial" w:cs="Arial"/>
      <w:b/>
      <w:bCs/>
      <w:i/>
      <w:iCs/>
      <w:sz w:val="22"/>
      <w:szCs w:val="22"/>
    </w:rPr>
  </w:style>
  <w:style w:type="character" w:customStyle="1" w:styleId="84">
    <w:name w:val="Heading 8 Char"/>
    <w:qFormat/>
    <w:uiPriority w:val="9"/>
    <w:rPr>
      <w:rFonts w:ascii="Arial" w:hAnsi="Arial" w:eastAsia="Arial" w:cs="Arial"/>
      <w:i/>
      <w:iCs/>
      <w:sz w:val="22"/>
      <w:szCs w:val="22"/>
    </w:rPr>
  </w:style>
  <w:style w:type="character" w:customStyle="1" w:styleId="85">
    <w:name w:val="Heading 9 Char"/>
    <w:autoRedefine/>
    <w:qFormat/>
    <w:uiPriority w:val="9"/>
    <w:rPr>
      <w:rFonts w:ascii="Arial" w:hAnsi="Arial" w:eastAsia="Arial" w:cs="Arial"/>
      <w:i/>
      <w:iCs/>
      <w:sz w:val="21"/>
      <w:szCs w:val="21"/>
    </w:rPr>
  </w:style>
  <w:style w:type="paragraph" w:styleId="86">
    <w:name w:val="List Paragraph"/>
    <w:basedOn w:val="1"/>
    <w:qFormat/>
    <w:uiPriority w:val="34"/>
    <w:pPr>
      <w:ind w:firstLine="420"/>
    </w:pPr>
  </w:style>
  <w:style w:type="paragraph" w:styleId="87">
    <w:name w:val="No Spacing"/>
    <w:qFormat/>
    <w:uiPriority w:val="1"/>
    <w:rPr>
      <w:rFonts w:ascii="Times New Roman" w:hAnsi="Times New Roman" w:eastAsia="宋体" w:cs="Times New Roman"/>
      <w:lang w:val="en-US" w:eastAsia="zh-CN" w:bidi="ar-SA"/>
    </w:rPr>
  </w:style>
  <w:style w:type="character" w:customStyle="1" w:styleId="88">
    <w:name w:val="标题 Char"/>
    <w:link w:val="43"/>
    <w:autoRedefine/>
    <w:qFormat/>
    <w:uiPriority w:val="10"/>
    <w:rPr>
      <w:sz w:val="48"/>
      <w:szCs w:val="48"/>
    </w:rPr>
  </w:style>
  <w:style w:type="character" w:customStyle="1" w:styleId="89">
    <w:name w:val="Title Char"/>
    <w:qFormat/>
    <w:uiPriority w:val="10"/>
    <w:rPr>
      <w:sz w:val="48"/>
      <w:szCs w:val="48"/>
    </w:rPr>
  </w:style>
  <w:style w:type="character" w:customStyle="1" w:styleId="90">
    <w:name w:val="副标题 Char"/>
    <w:link w:val="34"/>
    <w:qFormat/>
    <w:uiPriority w:val="11"/>
    <w:rPr>
      <w:sz w:val="24"/>
      <w:szCs w:val="24"/>
    </w:rPr>
  </w:style>
  <w:style w:type="character" w:customStyle="1" w:styleId="91">
    <w:name w:val="Subtitle Char"/>
    <w:autoRedefine/>
    <w:qFormat/>
    <w:uiPriority w:val="11"/>
    <w:rPr>
      <w:sz w:val="24"/>
      <w:szCs w:val="24"/>
    </w:rPr>
  </w:style>
  <w:style w:type="paragraph" w:styleId="92">
    <w:name w:val="Quote"/>
    <w:basedOn w:val="1"/>
    <w:next w:val="1"/>
    <w:link w:val="93"/>
    <w:qFormat/>
    <w:uiPriority w:val="29"/>
    <w:pPr>
      <w:ind w:left="720" w:right="720"/>
    </w:pPr>
    <w:rPr>
      <w:rFonts w:ascii="Calibri" w:hAnsi="Calibri"/>
      <w:i/>
      <w:sz w:val="20"/>
      <w:szCs w:val="20"/>
    </w:rPr>
  </w:style>
  <w:style w:type="character" w:customStyle="1" w:styleId="93">
    <w:name w:val="引用 Char"/>
    <w:link w:val="92"/>
    <w:qFormat/>
    <w:uiPriority w:val="29"/>
    <w:rPr>
      <w:i/>
    </w:rPr>
  </w:style>
  <w:style w:type="character" w:customStyle="1" w:styleId="94">
    <w:name w:val="Quote Char"/>
    <w:autoRedefine/>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Calibri" w:hAnsi="Calibri"/>
      <w:i/>
      <w:sz w:val="20"/>
      <w:szCs w:val="20"/>
    </w:rPr>
  </w:style>
  <w:style w:type="character" w:customStyle="1" w:styleId="96">
    <w:name w:val="明显引用 Char"/>
    <w:link w:val="95"/>
    <w:autoRedefine/>
    <w:qFormat/>
    <w:uiPriority w:val="30"/>
    <w:rPr>
      <w:i/>
    </w:rPr>
  </w:style>
  <w:style w:type="character" w:customStyle="1" w:styleId="97">
    <w:name w:val="Intense Quote Char"/>
    <w:autoRedefine/>
    <w:qFormat/>
    <w:uiPriority w:val="30"/>
    <w:rPr>
      <w:i/>
    </w:rPr>
  </w:style>
  <w:style w:type="character" w:customStyle="1" w:styleId="98">
    <w:name w:val="页眉 Char"/>
    <w:link w:val="29"/>
    <w:autoRedefine/>
    <w:qFormat/>
    <w:uiPriority w:val="0"/>
  </w:style>
  <w:style w:type="character" w:customStyle="1" w:styleId="99">
    <w:name w:val="Header Char"/>
    <w:autoRedefine/>
    <w:qFormat/>
    <w:uiPriority w:val="99"/>
  </w:style>
  <w:style w:type="character" w:customStyle="1" w:styleId="100">
    <w:name w:val="页脚 Char"/>
    <w:link w:val="28"/>
    <w:autoRedefine/>
    <w:qFormat/>
    <w:uiPriority w:val="0"/>
  </w:style>
  <w:style w:type="character" w:customStyle="1" w:styleId="101">
    <w:name w:val="Caption Char"/>
    <w:autoRedefine/>
    <w:qFormat/>
    <w:uiPriority w:val="99"/>
  </w:style>
  <w:style w:type="character" w:customStyle="1" w:styleId="102">
    <w:name w:val="脚注文本 Char"/>
    <w:link w:val="35"/>
    <w:autoRedefine/>
    <w:qFormat/>
    <w:uiPriority w:val="99"/>
    <w:rPr>
      <w:sz w:val="18"/>
    </w:rPr>
  </w:style>
  <w:style w:type="character" w:customStyle="1" w:styleId="103">
    <w:name w:val="Footnote Text Char"/>
    <w:qFormat/>
    <w:uiPriority w:val="99"/>
    <w:rPr>
      <w:sz w:val="18"/>
    </w:rPr>
  </w:style>
  <w:style w:type="character" w:customStyle="1" w:styleId="104">
    <w:name w:val="尾注文本 Char"/>
    <w:link w:val="26"/>
    <w:qFormat/>
    <w:uiPriority w:val="99"/>
    <w:rPr>
      <w:sz w:val="20"/>
    </w:rPr>
  </w:style>
  <w:style w:type="character" w:customStyle="1" w:styleId="105">
    <w:name w:val="Endnote Text Char"/>
    <w:qFormat/>
    <w:uiPriority w:val="99"/>
    <w:rPr>
      <w:sz w:val="20"/>
    </w:rPr>
  </w:style>
  <w:style w:type="character" w:customStyle="1" w:styleId="106">
    <w:name w:val="正文缩进 Char"/>
    <w:link w:val="12"/>
    <w:qFormat/>
    <w:uiPriority w:val="0"/>
    <w:rPr>
      <w:sz w:val="21"/>
      <w:szCs w:val="24"/>
    </w:rPr>
  </w:style>
  <w:style w:type="character" w:customStyle="1" w:styleId="107">
    <w:name w:val="批注文字 Char"/>
    <w:link w:val="14"/>
    <w:qFormat/>
    <w:uiPriority w:val="0"/>
    <w:rPr>
      <w:rFonts w:ascii="Times New Roman" w:hAnsi="Times New Roman"/>
      <w:sz w:val="21"/>
      <w:szCs w:val="24"/>
    </w:rPr>
  </w:style>
  <w:style w:type="character" w:customStyle="1" w:styleId="108">
    <w:name w:val="正文文本 3 Char"/>
    <w:link w:val="15"/>
    <w:qFormat/>
    <w:uiPriority w:val="0"/>
    <w:rPr>
      <w:rFonts w:ascii="Times New Roman" w:hAnsi="Times New Roman" w:eastAsia="黑体"/>
      <w:sz w:val="72"/>
      <w:szCs w:val="24"/>
    </w:rPr>
  </w:style>
  <w:style w:type="character" w:customStyle="1" w:styleId="109">
    <w:name w:val="正文文本 Char"/>
    <w:link w:val="16"/>
    <w:qFormat/>
    <w:uiPriority w:val="0"/>
    <w:rPr>
      <w:rFonts w:ascii="Times New Roman" w:hAnsi="Times New Roman" w:eastAsia="仿宋_GB2312"/>
      <w:sz w:val="28"/>
      <w:szCs w:val="24"/>
    </w:rPr>
  </w:style>
  <w:style w:type="character" w:customStyle="1" w:styleId="110">
    <w:name w:val="正文文本缩进 Char"/>
    <w:link w:val="17"/>
    <w:qFormat/>
    <w:uiPriority w:val="0"/>
    <w:rPr>
      <w:rFonts w:ascii="Times New Roman" w:hAnsi="Times New Roman"/>
      <w:sz w:val="21"/>
      <w:szCs w:val="24"/>
    </w:rPr>
  </w:style>
  <w:style w:type="character" w:customStyle="1" w:styleId="111">
    <w:name w:val="纯文本 Char"/>
    <w:link w:val="22"/>
    <w:qFormat/>
    <w:uiPriority w:val="0"/>
    <w:rPr>
      <w:rFonts w:ascii="宋体" w:hAnsi="Courier New"/>
      <w:sz w:val="21"/>
    </w:rPr>
  </w:style>
  <w:style w:type="character" w:customStyle="1" w:styleId="112">
    <w:name w:val="正文文本缩进 2 Char"/>
    <w:link w:val="25"/>
    <w:qFormat/>
    <w:uiPriority w:val="0"/>
    <w:rPr>
      <w:rFonts w:ascii="Times New Roman" w:hAnsi="Times New Roman" w:eastAsia="仿宋_GB2312"/>
      <w:sz w:val="28"/>
      <w:szCs w:val="24"/>
    </w:rPr>
  </w:style>
  <w:style w:type="character" w:customStyle="1" w:styleId="113">
    <w:name w:val="批注框文本 Char"/>
    <w:link w:val="27"/>
    <w:qFormat/>
    <w:uiPriority w:val="99"/>
    <w:rPr>
      <w:rFonts w:ascii="Times New Roman" w:hAnsi="Times New Roman"/>
      <w:sz w:val="18"/>
      <w:szCs w:val="18"/>
    </w:rPr>
  </w:style>
  <w:style w:type="character" w:customStyle="1" w:styleId="114">
    <w:name w:val="正文文本 2 Char"/>
    <w:link w:val="40"/>
    <w:qFormat/>
    <w:uiPriority w:val="0"/>
    <w:rPr>
      <w:rFonts w:ascii="楷体_GB2312" w:hAnsi="Times New Roman" w:eastAsia="楷体_GB2312"/>
      <w:sz w:val="28"/>
      <w:szCs w:val="24"/>
    </w:rPr>
  </w:style>
  <w:style w:type="character" w:customStyle="1" w:styleId="115">
    <w:name w:val="信息标题 Char"/>
    <w:link w:val="41"/>
    <w:qFormat/>
    <w:uiPriority w:val="99"/>
    <w:rPr>
      <w:rFonts w:ascii="Arial" w:hAnsi="Arial" w:cs="Arial"/>
      <w:sz w:val="21"/>
      <w:szCs w:val="24"/>
      <w:shd w:val="clear" w:color="auto" w:fill="7F7F7F"/>
    </w:rPr>
  </w:style>
  <w:style w:type="character" w:customStyle="1" w:styleId="116">
    <w:name w:val="已访问的超链接11"/>
    <w:qFormat/>
    <w:uiPriority w:val="0"/>
    <w:rPr>
      <w:color w:val="333333"/>
      <w:u w:val="none"/>
    </w:rPr>
  </w:style>
  <w:style w:type="character" w:customStyle="1" w:styleId="117">
    <w:name w:val="hover2"/>
    <w:qFormat/>
    <w:uiPriority w:val="0"/>
    <w:rPr>
      <w:color w:val="2590EB"/>
    </w:rPr>
  </w:style>
  <w:style w:type="character" w:customStyle="1" w:styleId="118">
    <w:name w:val="ul_li_a_1"/>
    <w:qFormat/>
    <w:uiPriority w:val="0"/>
    <w:rPr>
      <w:b/>
      <w:bCs/>
      <w:color w:val="FFFFFF"/>
    </w:rPr>
  </w:style>
  <w:style w:type="character" w:customStyle="1" w:styleId="119">
    <w:name w:val="a_p_3"/>
    <w:qFormat/>
    <w:uiPriority w:val="0"/>
    <w:rPr>
      <w:sz w:val="27"/>
      <w:szCs w:val="27"/>
    </w:rPr>
  </w:style>
  <w:style w:type="character" w:customStyle="1" w:styleId="120">
    <w:name w:val="font21"/>
    <w:qFormat/>
    <w:uiPriority w:val="0"/>
    <w:rPr>
      <w:rFonts w:hint="eastAsia" w:ascii="黑体" w:hAnsi="宋体" w:eastAsia="黑体" w:cs="黑体"/>
      <w:color w:val="000000"/>
      <w:sz w:val="24"/>
      <w:szCs w:val="24"/>
      <w:u w:val="none"/>
    </w:rPr>
  </w:style>
  <w:style w:type="character" w:customStyle="1" w:styleId="121">
    <w:name w:val="a_p_21"/>
    <w:qFormat/>
    <w:uiPriority w:val="0"/>
  </w:style>
  <w:style w:type="character" w:customStyle="1" w:styleId="122">
    <w:name w:val="hover1"/>
    <w:qFormat/>
    <w:uiPriority w:val="0"/>
  </w:style>
  <w:style w:type="character" w:customStyle="1" w:styleId="123">
    <w:name w:val="font11"/>
    <w:qFormat/>
    <w:uiPriority w:val="0"/>
    <w:rPr>
      <w:rFonts w:hint="eastAsia" w:ascii="黑体" w:hAnsi="宋体" w:eastAsia="黑体" w:cs="黑体"/>
      <w:color w:val="000000"/>
      <w:sz w:val="24"/>
      <w:szCs w:val="24"/>
      <w:u w:val="none"/>
    </w:rPr>
  </w:style>
  <w:style w:type="character" w:customStyle="1" w:styleId="124">
    <w:name w:val="a_p_2"/>
    <w:qFormat/>
    <w:uiPriority w:val="0"/>
    <w:rPr>
      <w:sz w:val="27"/>
      <w:szCs w:val="27"/>
    </w:rPr>
  </w:style>
  <w:style w:type="character" w:customStyle="1" w:styleId="125">
    <w:name w:val="纯文本 Char3"/>
    <w:qFormat/>
    <w:uiPriority w:val="0"/>
    <w:rPr>
      <w:rFonts w:ascii="宋体" w:hAnsi="Courier New" w:eastAsia="宋体"/>
    </w:rPr>
  </w:style>
  <w:style w:type="character" w:customStyle="1" w:styleId="126">
    <w:name w:val="hover3"/>
    <w:qFormat/>
    <w:uiPriority w:val="0"/>
    <w:rPr>
      <w:color w:val="2590EB"/>
    </w:rPr>
  </w:style>
  <w:style w:type="character" w:customStyle="1" w:styleId="127">
    <w:name w:val="exap"/>
    <w:qFormat/>
    <w:uiPriority w:val="0"/>
    <w:rPr>
      <w:sz w:val="27"/>
      <w:szCs w:val="27"/>
    </w:rPr>
  </w:style>
  <w:style w:type="character" w:customStyle="1" w:styleId="128">
    <w:name w:val="普通正文 Char"/>
    <w:link w:val="129"/>
    <w:qFormat/>
    <w:uiPriority w:val="0"/>
    <w:rPr>
      <w:rFonts w:ascii="Arial" w:hAnsi="Arial"/>
      <w:sz w:val="24"/>
      <w:szCs w:val="24"/>
    </w:rPr>
  </w:style>
  <w:style w:type="paragraph" w:customStyle="1" w:styleId="129">
    <w:name w:val="普通正文"/>
    <w:basedOn w:val="1"/>
    <w:link w:val="128"/>
    <w:qFormat/>
    <w:uiPriority w:val="0"/>
    <w:pPr>
      <w:spacing w:before="120" w:after="120" w:line="360" w:lineRule="auto"/>
      <w:ind w:firstLine="480"/>
      <w:jc w:val="left"/>
    </w:pPr>
    <w:rPr>
      <w:rFonts w:ascii="Arial" w:hAnsi="Arial"/>
      <w:sz w:val="24"/>
    </w:rPr>
  </w:style>
  <w:style w:type="character" w:customStyle="1" w:styleId="130">
    <w:name w:val="font51"/>
    <w:qFormat/>
    <w:uiPriority w:val="0"/>
    <w:rPr>
      <w:rFonts w:ascii="Calibri" w:hAnsi="Calibri" w:cs="Calibri"/>
      <w:color w:val="000000"/>
      <w:sz w:val="21"/>
      <w:szCs w:val="21"/>
      <w:u w:val="none"/>
    </w:rPr>
  </w:style>
  <w:style w:type="character" w:customStyle="1" w:styleId="131">
    <w:name w:val="NormalCharacter1"/>
    <w:semiHidden/>
    <w:qFormat/>
    <w:uiPriority w:val="0"/>
  </w:style>
  <w:style w:type="character" w:customStyle="1" w:styleId="132">
    <w:name w:val="a_p_1"/>
    <w:qFormat/>
    <w:uiPriority w:val="0"/>
    <w:rPr>
      <w:sz w:val="27"/>
      <w:szCs w:val="27"/>
    </w:rPr>
  </w:style>
  <w:style w:type="character" w:customStyle="1" w:styleId="133">
    <w:name w:val="dash6bb5__char1"/>
    <w:qFormat/>
    <w:uiPriority w:val="0"/>
    <w:rPr>
      <w:rFonts w:hint="eastAsia" w:ascii="宋体" w:hAnsi="宋体" w:eastAsia="宋体"/>
      <w:sz w:val="20"/>
      <w:szCs w:val="20"/>
    </w:rPr>
  </w:style>
  <w:style w:type="character" w:customStyle="1" w:styleId="134">
    <w:name w:val="hover"/>
    <w:qFormat/>
    <w:uiPriority w:val="0"/>
    <w:rPr>
      <w:color w:val="2590EB"/>
      <w:shd w:val="clear" w:color="auto" w:fill="E9F4FD"/>
    </w:rPr>
  </w:style>
  <w:style w:type="character" w:customStyle="1" w:styleId="135">
    <w:name w:val="font01"/>
    <w:qFormat/>
    <w:uiPriority w:val="0"/>
    <w:rPr>
      <w:rFonts w:hint="eastAsia" w:ascii="宋体" w:hAnsi="宋体" w:eastAsia="宋体" w:cs="宋体"/>
      <w:color w:val="000000"/>
      <w:sz w:val="21"/>
      <w:szCs w:val="21"/>
      <w:u w:val="none"/>
    </w:rPr>
  </w:style>
  <w:style w:type="character" w:customStyle="1" w:styleId="136">
    <w:name w:val="Footer Char"/>
    <w:qFormat/>
    <w:uiPriority w:val="99"/>
  </w:style>
  <w:style w:type="paragraph" w:customStyle="1" w:styleId="137">
    <w:name w:val="页脚1"/>
    <w:basedOn w:val="1"/>
    <w:qFormat/>
    <w:uiPriority w:val="0"/>
    <w:pPr>
      <w:tabs>
        <w:tab w:val="center" w:pos="4153"/>
        <w:tab w:val="right" w:pos="8306"/>
      </w:tabs>
      <w:jc w:val="left"/>
    </w:pPr>
    <w:rPr>
      <w:sz w:val="18"/>
      <w:szCs w:val="18"/>
    </w:rPr>
  </w:style>
  <w:style w:type="paragraph" w:customStyle="1" w:styleId="138">
    <w:name w:val="TOC 标题1"/>
    <w:unhideWhenUsed/>
    <w:qFormat/>
    <w:uiPriority w:val="39"/>
    <w:rPr>
      <w:rFonts w:ascii="Times New Roman" w:hAnsi="Times New Roman" w:eastAsia="宋体" w:cs="Times New Roman"/>
      <w:lang w:val="en-US" w:eastAsia="zh-CN" w:bidi="ar-SA"/>
    </w:rPr>
  </w:style>
  <w:style w:type="paragraph" w:customStyle="1" w:styleId="139">
    <w:name w:val="样式1"/>
    <w:basedOn w:val="1"/>
    <w:qFormat/>
    <w:uiPriority w:val="0"/>
    <w:pPr>
      <w:widowControl/>
      <w:spacing w:after="200" w:line="480" w:lineRule="auto"/>
      <w:jc w:val="left"/>
    </w:pPr>
    <w:rPr>
      <w:rFonts w:ascii="EU-F1" w:hAnsi="Calibri" w:eastAsia="黑体"/>
      <w:sz w:val="20"/>
      <w:szCs w:val="21"/>
    </w:rPr>
  </w:style>
  <w:style w:type="paragraph" w:customStyle="1" w:styleId="140">
    <w:name w:val="一级条标题"/>
    <w:basedOn w:val="141"/>
    <w:next w:val="14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41">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142">
    <w:name w:val="段"/>
    <w:next w:val="143"/>
    <w:qFormat/>
    <w:uiPriority w:val="0"/>
    <w:pPr>
      <w:widowControl w:val="0"/>
      <w:ind w:firstLine="200"/>
      <w:jc w:val="both"/>
    </w:pPr>
    <w:rPr>
      <w:rFonts w:ascii="Calibri" w:hAnsi="Calibri" w:eastAsia="宋体" w:cs="Times New Roman"/>
      <w:sz w:val="21"/>
      <w:szCs w:val="22"/>
      <w:lang w:val="en-US" w:eastAsia="zh-CN" w:bidi="ar-SA"/>
    </w:rPr>
  </w:style>
  <w:style w:type="paragraph" w:customStyle="1" w:styleId="143">
    <w:name w:val="正文 A"/>
    <w:next w:val="142"/>
    <w:qFormat/>
    <w:uiPriority w:val="0"/>
    <w:pPr>
      <w:framePr w:wrap="around" w:vAnchor="margin" w:hAnchor="text" w:y="1"/>
      <w:widowControl w:val="0"/>
      <w:jc w:val="both"/>
    </w:pPr>
    <w:rPr>
      <w:rFonts w:ascii="Times New Roman" w:hAnsi="Times New Roman" w:eastAsia="Times New Roman" w:cs="Times New Roman"/>
      <w:color w:val="000000"/>
      <w:sz w:val="21"/>
      <w:szCs w:val="21"/>
      <w:lang w:val="en-US" w:eastAsia="zh-CN" w:bidi="ar-SA"/>
    </w:rPr>
  </w:style>
  <w:style w:type="paragraph" w:customStyle="1" w:styleId="144">
    <w:name w:val="Table Paragraph"/>
    <w:basedOn w:val="1"/>
    <w:qFormat/>
    <w:uiPriority w:val="1"/>
    <w:pPr>
      <w:jc w:val="left"/>
    </w:pPr>
    <w:rPr>
      <w:rFonts w:ascii="宋体" w:hAnsi="宋体" w:cs="宋体"/>
      <w:sz w:val="22"/>
      <w:szCs w:val="22"/>
      <w:lang w:val="zh-CN" w:bidi="zh-CN"/>
    </w:rPr>
  </w:style>
  <w:style w:type="paragraph" w:customStyle="1" w:styleId="145">
    <w:name w:val="正文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6">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147">
    <w:name w:val="表格文字"/>
    <w:basedOn w:val="1"/>
    <w:qFormat/>
    <w:uiPriority w:val="0"/>
    <w:pPr>
      <w:spacing w:before="25" w:after="25" w:line="300" w:lineRule="auto"/>
    </w:pPr>
    <w:rPr>
      <w:rFonts w:ascii="宋体" w:hAnsi="宋体" w:cs="宋体"/>
      <w:spacing w:val="10"/>
      <w:sz w:val="24"/>
    </w:rPr>
  </w:style>
  <w:style w:type="paragraph" w:customStyle="1" w:styleId="148">
    <w:name w:val="正文1_0"/>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149">
    <w:name w:val="Char"/>
    <w:basedOn w:val="1"/>
    <w:qFormat/>
    <w:uiPriority w:val="0"/>
    <w:pPr>
      <w:tabs>
        <w:tab w:val="left" w:pos="360"/>
      </w:tabs>
    </w:pPr>
    <w:rPr>
      <w:sz w:val="24"/>
    </w:rPr>
  </w:style>
  <w:style w:type="paragraph" w:customStyle="1" w:styleId="150">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151">
    <w:name w:val="纯文本4"/>
    <w:basedOn w:val="1"/>
    <w:qFormat/>
    <w:uiPriority w:val="0"/>
    <w:rPr>
      <w:rFonts w:ascii="宋体" w:hAnsi="Courier New" w:eastAsia="楷体_GB2312"/>
      <w:sz w:val="26"/>
    </w:rPr>
  </w:style>
  <w:style w:type="paragraph" w:customStyle="1" w:styleId="152">
    <w:name w:val="WPSOffice手动目录 1"/>
    <w:qFormat/>
    <w:uiPriority w:val="0"/>
    <w:rPr>
      <w:rFonts w:ascii="Times New Roman" w:hAnsi="Times New Roman" w:eastAsia="宋体" w:cs="Times New Roman"/>
      <w:lang w:val="en-US" w:eastAsia="zh-CN" w:bidi="ar-SA"/>
    </w:rPr>
  </w:style>
  <w:style w:type="paragraph" w:customStyle="1" w:styleId="153">
    <w:name w:val="正文缩进1"/>
    <w:basedOn w:val="1"/>
    <w:qFormat/>
    <w:uiPriority w:val="0"/>
    <w:pPr>
      <w:ind w:firstLine="420"/>
    </w:pPr>
    <w:rPr>
      <w:szCs w:val="20"/>
    </w:rPr>
  </w:style>
  <w:style w:type="paragraph" w:customStyle="1" w:styleId="154">
    <w:name w:val="reader-word-layer reader-word-s1-3"/>
    <w:basedOn w:val="1"/>
    <w:qFormat/>
    <w:uiPriority w:val="0"/>
    <w:pPr>
      <w:widowControl/>
      <w:spacing w:before="100" w:beforeAutospacing="1" w:after="100" w:afterAutospacing="1"/>
      <w:jc w:val="left"/>
    </w:pPr>
    <w:rPr>
      <w:rFonts w:ascii="宋体" w:hAnsi="宋体" w:cs="宋体"/>
      <w:sz w:val="24"/>
    </w:rPr>
  </w:style>
  <w:style w:type="paragraph" w:customStyle="1" w:styleId="155">
    <w:name w:val="首行缩进"/>
    <w:basedOn w:val="1"/>
    <w:qFormat/>
    <w:uiPriority w:val="0"/>
    <w:pPr>
      <w:spacing w:line="360" w:lineRule="auto"/>
      <w:ind w:firstLine="480"/>
      <w:jc w:val="left"/>
    </w:pPr>
    <w:rPr>
      <w:rFonts w:ascii="宋体" w:hAnsi="宋体"/>
      <w:sz w:val="24"/>
    </w:rPr>
  </w:style>
  <w:style w:type="table" w:customStyle="1" w:styleId="156">
    <w:name w:val="Grid Table 2"/>
    <w:basedOn w:val="45"/>
    <w:qFormat/>
    <w:uiPriority w:val="99"/>
    <w:tblPr>
      <w:tblCellMar>
        <w:top w:w="0" w:type="dxa"/>
        <w:left w:w="108" w:type="dxa"/>
        <w:bottom w:w="0" w:type="dxa"/>
        <w:right w:w="108" w:type="dxa"/>
      </w:tblCellMar>
    </w:tblPr>
  </w:style>
  <w:style w:type="table" w:customStyle="1" w:styleId="157">
    <w:name w:val="Grid Table 2 - Accent 1"/>
    <w:basedOn w:val="45"/>
    <w:qFormat/>
    <w:uiPriority w:val="99"/>
    <w:tblPr>
      <w:tblCellMar>
        <w:top w:w="0" w:type="dxa"/>
        <w:left w:w="108" w:type="dxa"/>
        <w:bottom w:w="0" w:type="dxa"/>
        <w:right w:w="108" w:type="dxa"/>
      </w:tblCellMar>
    </w:tblPr>
  </w:style>
  <w:style w:type="table" w:customStyle="1" w:styleId="158">
    <w:name w:val="Grid Table 2 - Accent 4"/>
    <w:basedOn w:val="45"/>
    <w:qFormat/>
    <w:uiPriority w:val="99"/>
    <w:tblPr>
      <w:tblCellMar>
        <w:top w:w="0" w:type="dxa"/>
        <w:left w:w="108" w:type="dxa"/>
        <w:bottom w:w="0" w:type="dxa"/>
        <w:right w:w="108" w:type="dxa"/>
      </w:tblCellMar>
    </w:tblPr>
  </w:style>
  <w:style w:type="table" w:customStyle="1" w:styleId="159">
    <w:name w:val="Grid Table 2 - Accent 3"/>
    <w:basedOn w:val="45"/>
    <w:qFormat/>
    <w:uiPriority w:val="99"/>
    <w:tblPr>
      <w:tblCellMar>
        <w:top w:w="0" w:type="dxa"/>
        <w:left w:w="108" w:type="dxa"/>
        <w:bottom w:w="0" w:type="dxa"/>
        <w:right w:w="108" w:type="dxa"/>
      </w:tblCellMar>
    </w:tblPr>
  </w:style>
  <w:style w:type="table" w:customStyle="1" w:styleId="160">
    <w:name w:val="Grid Table 1 Light"/>
    <w:basedOn w:val="45"/>
    <w:qFormat/>
    <w:uiPriority w:val="99"/>
    <w:tblPr>
      <w:tblCellMar>
        <w:top w:w="0" w:type="dxa"/>
        <w:left w:w="108" w:type="dxa"/>
        <w:bottom w:w="0" w:type="dxa"/>
        <w:right w:w="108" w:type="dxa"/>
      </w:tblCellMar>
    </w:tblPr>
  </w:style>
  <w:style w:type="table" w:customStyle="1" w:styleId="161">
    <w:name w:val="Grid Table 2 - Accent 2"/>
    <w:basedOn w:val="45"/>
    <w:qFormat/>
    <w:uiPriority w:val="99"/>
    <w:tblPr>
      <w:tblCellMar>
        <w:top w:w="0" w:type="dxa"/>
        <w:left w:w="108" w:type="dxa"/>
        <w:bottom w:w="0" w:type="dxa"/>
        <w:right w:w="108" w:type="dxa"/>
      </w:tblCellMar>
    </w:tblPr>
  </w:style>
  <w:style w:type="table" w:customStyle="1" w:styleId="162">
    <w:name w:val="Table Grid Light"/>
    <w:basedOn w:val="45"/>
    <w:qFormat/>
    <w:uiPriority w:val="59"/>
    <w:tblPr>
      <w:tblCellMar>
        <w:top w:w="0" w:type="dxa"/>
        <w:left w:w="108" w:type="dxa"/>
        <w:bottom w:w="0" w:type="dxa"/>
        <w:right w:w="108" w:type="dxa"/>
      </w:tblCellMar>
    </w:tblPr>
  </w:style>
  <w:style w:type="table" w:customStyle="1" w:styleId="163">
    <w:name w:val="Plain Table 3"/>
    <w:basedOn w:val="45"/>
    <w:qFormat/>
    <w:uiPriority w:val="99"/>
    <w:tblPr>
      <w:tblCellMar>
        <w:top w:w="0" w:type="dxa"/>
        <w:left w:w="108" w:type="dxa"/>
        <w:bottom w:w="0" w:type="dxa"/>
        <w:right w:w="108" w:type="dxa"/>
      </w:tblCellMar>
    </w:tblPr>
  </w:style>
  <w:style w:type="table" w:customStyle="1" w:styleId="164">
    <w:name w:val="Grid Table 1 Light - Accent 1"/>
    <w:basedOn w:val="45"/>
    <w:qFormat/>
    <w:uiPriority w:val="99"/>
    <w:tblPr>
      <w:tblCellMar>
        <w:top w:w="0" w:type="dxa"/>
        <w:left w:w="108" w:type="dxa"/>
        <w:bottom w:w="0" w:type="dxa"/>
        <w:right w:w="108" w:type="dxa"/>
      </w:tblCellMar>
    </w:tblPr>
  </w:style>
  <w:style w:type="table" w:customStyle="1" w:styleId="165">
    <w:name w:val="Plain Table 4"/>
    <w:basedOn w:val="45"/>
    <w:qFormat/>
    <w:uiPriority w:val="99"/>
    <w:tblPr>
      <w:tblCellMar>
        <w:top w:w="0" w:type="dxa"/>
        <w:left w:w="108" w:type="dxa"/>
        <w:bottom w:w="0" w:type="dxa"/>
        <w:right w:w="108" w:type="dxa"/>
      </w:tblCellMar>
    </w:tblPr>
  </w:style>
  <w:style w:type="table" w:customStyle="1" w:styleId="166">
    <w:name w:val="Grid Table 1 Light - Accent 5"/>
    <w:basedOn w:val="45"/>
    <w:autoRedefine/>
    <w:qFormat/>
    <w:uiPriority w:val="99"/>
    <w:tblPr>
      <w:tblCellMar>
        <w:top w:w="0" w:type="dxa"/>
        <w:left w:w="108" w:type="dxa"/>
        <w:bottom w:w="0" w:type="dxa"/>
        <w:right w:w="108" w:type="dxa"/>
      </w:tblCellMar>
    </w:tblPr>
  </w:style>
  <w:style w:type="table" w:customStyle="1" w:styleId="167">
    <w:name w:val="Plain Table 1"/>
    <w:basedOn w:val="45"/>
    <w:qFormat/>
    <w:uiPriority w:val="59"/>
    <w:tblPr>
      <w:tblCellMar>
        <w:top w:w="0" w:type="dxa"/>
        <w:left w:w="108" w:type="dxa"/>
        <w:bottom w:w="0" w:type="dxa"/>
        <w:right w:w="108" w:type="dxa"/>
      </w:tblCellMar>
    </w:tblPr>
  </w:style>
  <w:style w:type="table" w:customStyle="1" w:styleId="168">
    <w:name w:val="Plain Table 2"/>
    <w:basedOn w:val="45"/>
    <w:qFormat/>
    <w:uiPriority w:val="59"/>
    <w:tblPr>
      <w:tblCellMar>
        <w:top w:w="0" w:type="dxa"/>
        <w:left w:w="108" w:type="dxa"/>
        <w:bottom w:w="0" w:type="dxa"/>
        <w:right w:w="108" w:type="dxa"/>
      </w:tblCellMar>
    </w:tblPr>
  </w:style>
  <w:style w:type="table" w:customStyle="1" w:styleId="169">
    <w:name w:val="Plain Table 5"/>
    <w:basedOn w:val="45"/>
    <w:qFormat/>
    <w:uiPriority w:val="99"/>
    <w:tblPr>
      <w:tblCellMar>
        <w:top w:w="0" w:type="dxa"/>
        <w:left w:w="108" w:type="dxa"/>
        <w:bottom w:w="0" w:type="dxa"/>
        <w:right w:w="108" w:type="dxa"/>
      </w:tblCellMar>
    </w:tblPr>
  </w:style>
  <w:style w:type="table" w:customStyle="1" w:styleId="170">
    <w:name w:val="Grid Table 1 Light - Accent 2"/>
    <w:basedOn w:val="45"/>
    <w:qFormat/>
    <w:uiPriority w:val="99"/>
    <w:tblPr>
      <w:tblCellMar>
        <w:top w:w="0" w:type="dxa"/>
        <w:left w:w="108" w:type="dxa"/>
        <w:bottom w:w="0" w:type="dxa"/>
        <w:right w:w="108" w:type="dxa"/>
      </w:tblCellMar>
    </w:tblPr>
  </w:style>
  <w:style w:type="table" w:customStyle="1" w:styleId="171">
    <w:name w:val="Grid Table 1 Light - Accent 3"/>
    <w:basedOn w:val="45"/>
    <w:qFormat/>
    <w:uiPriority w:val="99"/>
    <w:tblPr>
      <w:tblCellMar>
        <w:top w:w="0" w:type="dxa"/>
        <w:left w:w="108" w:type="dxa"/>
        <w:bottom w:w="0" w:type="dxa"/>
        <w:right w:w="108" w:type="dxa"/>
      </w:tblCellMar>
    </w:tblPr>
  </w:style>
  <w:style w:type="table" w:customStyle="1" w:styleId="172">
    <w:name w:val="Grid Table 1 Light - Accent 4"/>
    <w:basedOn w:val="45"/>
    <w:qFormat/>
    <w:uiPriority w:val="99"/>
    <w:tblPr>
      <w:tblCellMar>
        <w:top w:w="0" w:type="dxa"/>
        <w:left w:w="108" w:type="dxa"/>
        <w:bottom w:w="0" w:type="dxa"/>
        <w:right w:w="108" w:type="dxa"/>
      </w:tblCellMar>
    </w:tblPr>
  </w:style>
  <w:style w:type="table" w:customStyle="1" w:styleId="173">
    <w:name w:val="Grid Table 1 Light - Accent 6"/>
    <w:basedOn w:val="45"/>
    <w:qFormat/>
    <w:uiPriority w:val="99"/>
    <w:tblPr>
      <w:tblCellMar>
        <w:top w:w="0" w:type="dxa"/>
        <w:left w:w="108" w:type="dxa"/>
        <w:bottom w:w="0" w:type="dxa"/>
        <w:right w:w="108" w:type="dxa"/>
      </w:tblCellMar>
    </w:tblPr>
  </w:style>
  <w:style w:type="table" w:customStyle="1" w:styleId="174">
    <w:name w:val="Grid Table 7 Colorful - Accent 2"/>
    <w:basedOn w:val="45"/>
    <w:qFormat/>
    <w:uiPriority w:val="99"/>
    <w:tblPr>
      <w:tblCellMar>
        <w:top w:w="0" w:type="dxa"/>
        <w:left w:w="108" w:type="dxa"/>
        <w:bottom w:w="0" w:type="dxa"/>
        <w:right w:w="108" w:type="dxa"/>
      </w:tblCellMar>
    </w:tblPr>
  </w:style>
  <w:style w:type="table" w:customStyle="1" w:styleId="175">
    <w:name w:val="List Table 1 Light - Accent 2"/>
    <w:basedOn w:val="45"/>
    <w:qFormat/>
    <w:uiPriority w:val="99"/>
    <w:tblPr>
      <w:tblCellMar>
        <w:top w:w="0" w:type="dxa"/>
        <w:left w:w="108" w:type="dxa"/>
        <w:bottom w:w="0" w:type="dxa"/>
        <w:right w:w="108" w:type="dxa"/>
      </w:tblCellMar>
    </w:tblPr>
  </w:style>
  <w:style w:type="table" w:customStyle="1" w:styleId="176">
    <w:name w:val="List Table 2 - Accent 1"/>
    <w:basedOn w:val="45"/>
    <w:qFormat/>
    <w:uiPriority w:val="99"/>
    <w:tblPr>
      <w:tblCellMar>
        <w:top w:w="0" w:type="dxa"/>
        <w:left w:w="108" w:type="dxa"/>
        <w:bottom w:w="0" w:type="dxa"/>
        <w:right w:w="108" w:type="dxa"/>
      </w:tblCellMar>
    </w:tblPr>
  </w:style>
  <w:style w:type="table" w:customStyle="1" w:styleId="177">
    <w:name w:val="Grid Table 4 - Accent 3"/>
    <w:basedOn w:val="45"/>
    <w:qFormat/>
    <w:uiPriority w:val="59"/>
    <w:tblPr>
      <w:tblCellMar>
        <w:top w:w="0" w:type="dxa"/>
        <w:left w:w="108" w:type="dxa"/>
        <w:bottom w:w="0" w:type="dxa"/>
        <w:right w:w="108" w:type="dxa"/>
      </w:tblCellMar>
    </w:tblPr>
  </w:style>
  <w:style w:type="table" w:customStyle="1" w:styleId="178">
    <w:name w:val="Grid Table 7 Colorful - Accent 5"/>
    <w:basedOn w:val="45"/>
    <w:qFormat/>
    <w:uiPriority w:val="99"/>
    <w:tblPr>
      <w:tblCellMar>
        <w:top w:w="0" w:type="dxa"/>
        <w:left w:w="108" w:type="dxa"/>
        <w:bottom w:w="0" w:type="dxa"/>
        <w:right w:w="108" w:type="dxa"/>
      </w:tblCellMar>
    </w:tblPr>
  </w:style>
  <w:style w:type="table" w:customStyle="1" w:styleId="179">
    <w:name w:val="Grid Table 2 - Accent 5"/>
    <w:basedOn w:val="45"/>
    <w:qFormat/>
    <w:uiPriority w:val="99"/>
    <w:tblPr>
      <w:tblCellMar>
        <w:top w:w="0" w:type="dxa"/>
        <w:left w:w="108" w:type="dxa"/>
        <w:bottom w:w="0" w:type="dxa"/>
        <w:right w:w="108" w:type="dxa"/>
      </w:tblCellMar>
    </w:tblPr>
  </w:style>
  <w:style w:type="table" w:customStyle="1" w:styleId="180">
    <w:name w:val="List Table 1 Light - Accent 6"/>
    <w:basedOn w:val="45"/>
    <w:qFormat/>
    <w:uiPriority w:val="99"/>
    <w:tblPr>
      <w:tblCellMar>
        <w:top w:w="0" w:type="dxa"/>
        <w:left w:w="108" w:type="dxa"/>
        <w:bottom w:w="0" w:type="dxa"/>
        <w:right w:w="108" w:type="dxa"/>
      </w:tblCellMar>
    </w:tblPr>
  </w:style>
  <w:style w:type="table" w:customStyle="1" w:styleId="181">
    <w:name w:val="List Table 3 - Accent 3"/>
    <w:basedOn w:val="45"/>
    <w:qFormat/>
    <w:uiPriority w:val="99"/>
    <w:tblPr>
      <w:tblCellMar>
        <w:top w:w="0" w:type="dxa"/>
        <w:left w:w="108" w:type="dxa"/>
        <w:bottom w:w="0" w:type="dxa"/>
        <w:right w:w="108" w:type="dxa"/>
      </w:tblCellMar>
    </w:tblPr>
  </w:style>
  <w:style w:type="table" w:customStyle="1" w:styleId="182">
    <w:name w:val="Grid Table 2 - Accent 6"/>
    <w:basedOn w:val="45"/>
    <w:qFormat/>
    <w:uiPriority w:val="99"/>
    <w:tblPr>
      <w:tblCellMar>
        <w:top w:w="0" w:type="dxa"/>
        <w:left w:w="108" w:type="dxa"/>
        <w:bottom w:w="0" w:type="dxa"/>
        <w:right w:w="108" w:type="dxa"/>
      </w:tblCellMar>
    </w:tblPr>
  </w:style>
  <w:style w:type="table" w:customStyle="1" w:styleId="183">
    <w:name w:val="Grid Table 4 - Accent 4"/>
    <w:basedOn w:val="45"/>
    <w:qFormat/>
    <w:uiPriority w:val="59"/>
    <w:tblPr>
      <w:tblCellMar>
        <w:top w:w="0" w:type="dxa"/>
        <w:left w:w="108" w:type="dxa"/>
        <w:bottom w:w="0" w:type="dxa"/>
        <w:right w:w="108" w:type="dxa"/>
      </w:tblCellMar>
    </w:tblPr>
  </w:style>
  <w:style w:type="table" w:customStyle="1" w:styleId="184">
    <w:name w:val="Grid Table 6 Colorful - Accent 3"/>
    <w:basedOn w:val="45"/>
    <w:qFormat/>
    <w:uiPriority w:val="99"/>
    <w:tblPr>
      <w:tblCellMar>
        <w:top w:w="0" w:type="dxa"/>
        <w:left w:w="108" w:type="dxa"/>
        <w:bottom w:w="0" w:type="dxa"/>
        <w:right w:w="108" w:type="dxa"/>
      </w:tblCellMar>
    </w:tblPr>
  </w:style>
  <w:style w:type="table" w:customStyle="1" w:styleId="185">
    <w:name w:val="Grid Table 5 Dark- Accent 1"/>
    <w:basedOn w:val="45"/>
    <w:qFormat/>
    <w:uiPriority w:val="99"/>
    <w:tblPr>
      <w:tblCellMar>
        <w:top w:w="0" w:type="dxa"/>
        <w:left w:w="108" w:type="dxa"/>
        <w:bottom w:w="0" w:type="dxa"/>
        <w:right w:w="108" w:type="dxa"/>
      </w:tblCellMar>
    </w:tblPr>
  </w:style>
  <w:style w:type="table" w:customStyle="1" w:styleId="186">
    <w:name w:val="Grid Table 3"/>
    <w:basedOn w:val="45"/>
    <w:qFormat/>
    <w:uiPriority w:val="99"/>
    <w:tblPr>
      <w:tblCellMar>
        <w:top w:w="0" w:type="dxa"/>
        <w:left w:w="108" w:type="dxa"/>
        <w:bottom w:w="0" w:type="dxa"/>
        <w:right w:w="108" w:type="dxa"/>
      </w:tblCellMar>
    </w:tblPr>
  </w:style>
  <w:style w:type="table" w:customStyle="1" w:styleId="187">
    <w:name w:val="List Table 2 - Accent 4"/>
    <w:basedOn w:val="45"/>
    <w:qFormat/>
    <w:uiPriority w:val="99"/>
    <w:tblPr>
      <w:tblCellMar>
        <w:top w:w="0" w:type="dxa"/>
        <w:left w:w="108" w:type="dxa"/>
        <w:bottom w:w="0" w:type="dxa"/>
        <w:right w:w="108" w:type="dxa"/>
      </w:tblCellMar>
    </w:tblPr>
  </w:style>
  <w:style w:type="table" w:customStyle="1" w:styleId="188">
    <w:name w:val="Grid Table 3 - Accent 1"/>
    <w:basedOn w:val="45"/>
    <w:qFormat/>
    <w:uiPriority w:val="99"/>
    <w:tblPr>
      <w:tblCellMar>
        <w:top w:w="0" w:type="dxa"/>
        <w:left w:w="108" w:type="dxa"/>
        <w:bottom w:w="0" w:type="dxa"/>
        <w:right w:w="108" w:type="dxa"/>
      </w:tblCellMar>
    </w:tblPr>
  </w:style>
  <w:style w:type="table" w:customStyle="1" w:styleId="189">
    <w:name w:val="List Table 1 Light - Accent 4"/>
    <w:basedOn w:val="45"/>
    <w:qFormat/>
    <w:uiPriority w:val="99"/>
    <w:tblPr>
      <w:tblCellMar>
        <w:top w:w="0" w:type="dxa"/>
        <w:left w:w="108" w:type="dxa"/>
        <w:bottom w:w="0" w:type="dxa"/>
        <w:right w:w="108" w:type="dxa"/>
      </w:tblCellMar>
    </w:tblPr>
  </w:style>
  <w:style w:type="table" w:customStyle="1" w:styleId="190">
    <w:name w:val="Grid Table 3 - Accent 2"/>
    <w:basedOn w:val="45"/>
    <w:qFormat/>
    <w:uiPriority w:val="99"/>
    <w:tblPr>
      <w:tblCellMar>
        <w:top w:w="0" w:type="dxa"/>
        <w:left w:w="108" w:type="dxa"/>
        <w:bottom w:w="0" w:type="dxa"/>
        <w:right w:w="108" w:type="dxa"/>
      </w:tblCellMar>
    </w:tblPr>
  </w:style>
  <w:style w:type="table" w:customStyle="1" w:styleId="191">
    <w:name w:val="List Table 1 Light - Accent 3"/>
    <w:basedOn w:val="45"/>
    <w:qFormat/>
    <w:uiPriority w:val="99"/>
    <w:tblPr>
      <w:tblCellMar>
        <w:top w:w="0" w:type="dxa"/>
        <w:left w:w="108" w:type="dxa"/>
        <w:bottom w:w="0" w:type="dxa"/>
        <w:right w:w="108" w:type="dxa"/>
      </w:tblCellMar>
    </w:tblPr>
  </w:style>
  <w:style w:type="table" w:customStyle="1" w:styleId="192">
    <w:name w:val="List Table 2 - Accent 3"/>
    <w:basedOn w:val="45"/>
    <w:qFormat/>
    <w:uiPriority w:val="99"/>
    <w:tblPr>
      <w:tblCellMar>
        <w:top w:w="0" w:type="dxa"/>
        <w:left w:w="108" w:type="dxa"/>
        <w:bottom w:w="0" w:type="dxa"/>
        <w:right w:w="108" w:type="dxa"/>
      </w:tblCellMar>
    </w:tblPr>
  </w:style>
  <w:style w:type="table" w:customStyle="1" w:styleId="193">
    <w:name w:val="List Table 1 Light"/>
    <w:basedOn w:val="45"/>
    <w:qFormat/>
    <w:uiPriority w:val="99"/>
    <w:tblPr>
      <w:tblCellMar>
        <w:top w:w="0" w:type="dxa"/>
        <w:left w:w="108" w:type="dxa"/>
        <w:bottom w:w="0" w:type="dxa"/>
        <w:right w:w="108" w:type="dxa"/>
      </w:tblCellMar>
    </w:tblPr>
  </w:style>
  <w:style w:type="table" w:customStyle="1" w:styleId="194">
    <w:name w:val="List Table 2 - Accent 5"/>
    <w:basedOn w:val="45"/>
    <w:qFormat/>
    <w:uiPriority w:val="99"/>
    <w:tblPr>
      <w:tblCellMar>
        <w:top w:w="0" w:type="dxa"/>
        <w:left w:w="108" w:type="dxa"/>
        <w:bottom w:w="0" w:type="dxa"/>
        <w:right w:w="108" w:type="dxa"/>
      </w:tblCellMar>
    </w:tblPr>
  </w:style>
  <w:style w:type="table" w:customStyle="1" w:styleId="195">
    <w:name w:val="List Table 3"/>
    <w:basedOn w:val="45"/>
    <w:qFormat/>
    <w:uiPriority w:val="99"/>
    <w:tblPr>
      <w:tblCellMar>
        <w:top w:w="0" w:type="dxa"/>
        <w:left w:w="108" w:type="dxa"/>
        <w:bottom w:w="0" w:type="dxa"/>
        <w:right w:w="108" w:type="dxa"/>
      </w:tblCellMar>
    </w:tblPr>
  </w:style>
  <w:style w:type="table" w:customStyle="1" w:styleId="196">
    <w:name w:val="Grid Table 3 - Accent 3"/>
    <w:basedOn w:val="45"/>
    <w:qFormat/>
    <w:uiPriority w:val="99"/>
    <w:tblPr>
      <w:tblCellMar>
        <w:top w:w="0" w:type="dxa"/>
        <w:left w:w="108" w:type="dxa"/>
        <w:bottom w:w="0" w:type="dxa"/>
        <w:right w:w="108" w:type="dxa"/>
      </w:tblCellMar>
    </w:tblPr>
  </w:style>
  <w:style w:type="table" w:customStyle="1" w:styleId="197">
    <w:name w:val="List Table 3 - Accent 4"/>
    <w:basedOn w:val="45"/>
    <w:qFormat/>
    <w:uiPriority w:val="99"/>
    <w:tblPr>
      <w:tblCellMar>
        <w:top w:w="0" w:type="dxa"/>
        <w:left w:w="108" w:type="dxa"/>
        <w:bottom w:w="0" w:type="dxa"/>
        <w:right w:w="108" w:type="dxa"/>
      </w:tblCellMar>
    </w:tblPr>
  </w:style>
  <w:style w:type="table" w:customStyle="1" w:styleId="198">
    <w:name w:val="Grid Table 7 Colorful - Accent 4"/>
    <w:basedOn w:val="45"/>
    <w:qFormat/>
    <w:uiPriority w:val="99"/>
    <w:tblPr>
      <w:tblCellMar>
        <w:top w:w="0" w:type="dxa"/>
        <w:left w:w="108" w:type="dxa"/>
        <w:bottom w:w="0" w:type="dxa"/>
        <w:right w:w="108" w:type="dxa"/>
      </w:tblCellMar>
    </w:tblPr>
  </w:style>
  <w:style w:type="table" w:customStyle="1" w:styleId="199">
    <w:name w:val="List Table 2 - Accent 6"/>
    <w:basedOn w:val="45"/>
    <w:qFormat/>
    <w:uiPriority w:val="99"/>
    <w:tblPr>
      <w:tblCellMar>
        <w:top w:w="0" w:type="dxa"/>
        <w:left w:w="108" w:type="dxa"/>
        <w:bottom w:w="0" w:type="dxa"/>
        <w:right w:w="108" w:type="dxa"/>
      </w:tblCellMar>
    </w:tblPr>
  </w:style>
  <w:style w:type="table" w:customStyle="1" w:styleId="200">
    <w:name w:val="Grid Table 3 - Accent 4"/>
    <w:basedOn w:val="45"/>
    <w:qFormat/>
    <w:uiPriority w:val="99"/>
    <w:tblPr>
      <w:tblCellMar>
        <w:top w:w="0" w:type="dxa"/>
        <w:left w:w="108" w:type="dxa"/>
        <w:bottom w:w="0" w:type="dxa"/>
        <w:right w:w="108" w:type="dxa"/>
      </w:tblCellMar>
    </w:tblPr>
  </w:style>
  <w:style w:type="table" w:customStyle="1" w:styleId="201">
    <w:name w:val="Grid Table 7 Colorful - Accent 1"/>
    <w:basedOn w:val="45"/>
    <w:qFormat/>
    <w:uiPriority w:val="99"/>
    <w:tblPr>
      <w:tblCellMar>
        <w:top w:w="0" w:type="dxa"/>
        <w:left w:w="108" w:type="dxa"/>
        <w:bottom w:w="0" w:type="dxa"/>
        <w:right w:w="108" w:type="dxa"/>
      </w:tblCellMar>
    </w:tblPr>
  </w:style>
  <w:style w:type="table" w:customStyle="1" w:styleId="202">
    <w:name w:val="Grid Table 5 Dark - Accent 6"/>
    <w:basedOn w:val="45"/>
    <w:qFormat/>
    <w:uiPriority w:val="99"/>
    <w:tblPr>
      <w:tblCellMar>
        <w:top w:w="0" w:type="dxa"/>
        <w:left w:w="108" w:type="dxa"/>
        <w:bottom w:w="0" w:type="dxa"/>
        <w:right w:w="108" w:type="dxa"/>
      </w:tblCellMar>
    </w:tblPr>
  </w:style>
  <w:style w:type="table" w:customStyle="1" w:styleId="203">
    <w:name w:val="Grid Table 5 Dark - Accent 2"/>
    <w:basedOn w:val="45"/>
    <w:qFormat/>
    <w:uiPriority w:val="99"/>
    <w:tblPr>
      <w:tblCellMar>
        <w:top w:w="0" w:type="dxa"/>
        <w:left w:w="108" w:type="dxa"/>
        <w:bottom w:w="0" w:type="dxa"/>
        <w:right w:w="108" w:type="dxa"/>
      </w:tblCellMar>
    </w:tblPr>
  </w:style>
  <w:style w:type="table" w:customStyle="1" w:styleId="204">
    <w:name w:val="Grid Table 3 - Accent 5"/>
    <w:basedOn w:val="45"/>
    <w:qFormat/>
    <w:uiPriority w:val="99"/>
    <w:tblPr>
      <w:tblCellMar>
        <w:top w:w="0" w:type="dxa"/>
        <w:left w:w="108" w:type="dxa"/>
        <w:bottom w:w="0" w:type="dxa"/>
        <w:right w:w="108" w:type="dxa"/>
      </w:tblCellMar>
    </w:tblPr>
  </w:style>
  <w:style w:type="table" w:customStyle="1" w:styleId="205">
    <w:name w:val="Grid Table 7 Colorful - Accent 6"/>
    <w:basedOn w:val="45"/>
    <w:qFormat/>
    <w:uiPriority w:val="99"/>
    <w:tblPr>
      <w:tblCellMar>
        <w:top w:w="0" w:type="dxa"/>
        <w:left w:w="108" w:type="dxa"/>
        <w:bottom w:w="0" w:type="dxa"/>
        <w:right w:w="108" w:type="dxa"/>
      </w:tblCellMar>
    </w:tblPr>
  </w:style>
  <w:style w:type="table" w:customStyle="1" w:styleId="206">
    <w:name w:val="Grid Table 6 Colorful"/>
    <w:basedOn w:val="45"/>
    <w:qFormat/>
    <w:uiPriority w:val="99"/>
    <w:tblPr>
      <w:tblCellMar>
        <w:top w:w="0" w:type="dxa"/>
        <w:left w:w="108" w:type="dxa"/>
        <w:bottom w:w="0" w:type="dxa"/>
        <w:right w:w="108" w:type="dxa"/>
      </w:tblCellMar>
    </w:tblPr>
  </w:style>
  <w:style w:type="table" w:customStyle="1" w:styleId="207">
    <w:name w:val="Grid Table 3 - Accent 6"/>
    <w:basedOn w:val="45"/>
    <w:qFormat/>
    <w:uiPriority w:val="99"/>
    <w:tblPr>
      <w:tblCellMar>
        <w:top w:w="0" w:type="dxa"/>
        <w:left w:w="108" w:type="dxa"/>
        <w:bottom w:w="0" w:type="dxa"/>
        <w:right w:w="108" w:type="dxa"/>
      </w:tblCellMar>
    </w:tblPr>
  </w:style>
  <w:style w:type="table" w:customStyle="1" w:styleId="208">
    <w:name w:val="Grid Table 5 Dark - Accent 5"/>
    <w:basedOn w:val="45"/>
    <w:qFormat/>
    <w:uiPriority w:val="99"/>
    <w:tblPr>
      <w:tblCellMar>
        <w:top w:w="0" w:type="dxa"/>
        <w:left w:w="108" w:type="dxa"/>
        <w:bottom w:w="0" w:type="dxa"/>
        <w:right w:w="108" w:type="dxa"/>
      </w:tblCellMar>
    </w:tblPr>
  </w:style>
  <w:style w:type="table" w:customStyle="1" w:styleId="209">
    <w:name w:val="List Table 2 - Accent 2"/>
    <w:basedOn w:val="45"/>
    <w:qFormat/>
    <w:uiPriority w:val="99"/>
    <w:tblPr>
      <w:tblCellMar>
        <w:top w:w="0" w:type="dxa"/>
        <w:left w:w="108" w:type="dxa"/>
        <w:bottom w:w="0" w:type="dxa"/>
        <w:right w:w="108" w:type="dxa"/>
      </w:tblCellMar>
    </w:tblPr>
  </w:style>
  <w:style w:type="table" w:customStyle="1" w:styleId="210">
    <w:name w:val="List Table 1 Light - Accent 5"/>
    <w:basedOn w:val="45"/>
    <w:qFormat/>
    <w:uiPriority w:val="99"/>
    <w:tblPr>
      <w:tblCellMar>
        <w:top w:w="0" w:type="dxa"/>
        <w:left w:w="108" w:type="dxa"/>
        <w:bottom w:w="0" w:type="dxa"/>
        <w:right w:w="108" w:type="dxa"/>
      </w:tblCellMar>
    </w:tblPr>
  </w:style>
  <w:style w:type="table" w:customStyle="1" w:styleId="211">
    <w:name w:val="Grid Table 5 Dark- Accent 4"/>
    <w:basedOn w:val="45"/>
    <w:qFormat/>
    <w:uiPriority w:val="99"/>
    <w:tblPr>
      <w:tblCellMar>
        <w:top w:w="0" w:type="dxa"/>
        <w:left w:w="108" w:type="dxa"/>
        <w:bottom w:w="0" w:type="dxa"/>
        <w:right w:w="108" w:type="dxa"/>
      </w:tblCellMar>
    </w:tblPr>
  </w:style>
  <w:style w:type="table" w:customStyle="1" w:styleId="212">
    <w:name w:val="Grid Table 7 Colorful"/>
    <w:basedOn w:val="45"/>
    <w:qFormat/>
    <w:uiPriority w:val="99"/>
    <w:tblPr>
      <w:tblCellMar>
        <w:top w:w="0" w:type="dxa"/>
        <w:left w:w="108" w:type="dxa"/>
        <w:bottom w:w="0" w:type="dxa"/>
        <w:right w:w="108" w:type="dxa"/>
      </w:tblCellMar>
    </w:tblPr>
  </w:style>
  <w:style w:type="table" w:customStyle="1" w:styleId="213">
    <w:name w:val="Grid Table 6 Colorful - Accent 6"/>
    <w:basedOn w:val="45"/>
    <w:qFormat/>
    <w:uiPriority w:val="99"/>
    <w:tblPr>
      <w:tblCellMar>
        <w:top w:w="0" w:type="dxa"/>
        <w:left w:w="108" w:type="dxa"/>
        <w:bottom w:w="0" w:type="dxa"/>
        <w:right w:w="108" w:type="dxa"/>
      </w:tblCellMar>
    </w:tblPr>
  </w:style>
  <w:style w:type="table" w:customStyle="1" w:styleId="214">
    <w:name w:val="Grid Table 4"/>
    <w:basedOn w:val="45"/>
    <w:qFormat/>
    <w:uiPriority w:val="59"/>
    <w:tblPr>
      <w:tblCellMar>
        <w:top w:w="0" w:type="dxa"/>
        <w:left w:w="108" w:type="dxa"/>
        <w:bottom w:w="0" w:type="dxa"/>
        <w:right w:w="108" w:type="dxa"/>
      </w:tblCellMar>
    </w:tblPr>
  </w:style>
  <w:style w:type="table" w:customStyle="1" w:styleId="215">
    <w:name w:val="Grid Table 6 Colorful - Accent 5"/>
    <w:basedOn w:val="45"/>
    <w:qFormat/>
    <w:uiPriority w:val="99"/>
    <w:tblPr>
      <w:tblCellMar>
        <w:top w:w="0" w:type="dxa"/>
        <w:left w:w="108" w:type="dxa"/>
        <w:bottom w:w="0" w:type="dxa"/>
        <w:right w:w="108" w:type="dxa"/>
      </w:tblCellMar>
    </w:tblPr>
  </w:style>
  <w:style w:type="table" w:customStyle="1" w:styleId="216">
    <w:name w:val="Grid Table 4 - Accent 5"/>
    <w:basedOn w:val="45"/>
    <w:qFormat/>
    <w:uiPriority w:val="59"/>
    <w:tblPr>
      <w:tblCellMar>
        <w:top w:w="0" w:type="dxa"/>
        <w:left w:w="108" w:type="dxa"/>
        <w:bottom w:w="0" w:type="dxa"/>
        <w:right w:w="108" w:type="dxa"/>
      </w:tblCellMar>
    </w:tblPr>
  </w:style>
  <w:style w:type="table" w:customStyle="1" w:styleId="217">
    <w:name w:val="List Table 1 Light - Accent 1"/>
    <w:basedOn w:val="45"/>
    <w:qFormat/>
    <w:uiPriority w:val="99"/>
    <w:tblPr>
      <w:tblCellMar>
        <w:top w:w="0" w:type="dxa"/>
        <w:left w:w="108" w:type="dxa"/>
        <w:bottom w:w="0" w:type="dxa"/>
        <w:right w:w="108" w:type="dxa"/>
      </w:tblCellMar>
    </w:tblPr>
  </w:style>
  <w:style w:type="table" w:customStyle="1" w:styleId="218">
    <w:name w:val="List Table 3 - Accent 2"/>
    <w:basedOn w:val="45"/>
    <w:qFormat/>
    <w:uiPriority w:val="99"/>
    <w:tblPr>
      <w:tblCellMar>
        <w:top w:w="0" w:type="dxa"/>
        <w:left w:w="108" w:type="dxa"/>
        <w:bottom w:w="0" w:type="dxa"/>
        <w:right w:w="108" w:type="dxa"/>
      </w:tblCellMar>
    </w:tblPr>
  </w:style>
  <w:style w:type="table" w:customStyle="1" w:styleId="219">
    <w:name w:val="Grid Table 6 Colorful - Accent 1"/>
    <w:basedOn w:val="45"/>
    <w:qFormat/>
    <w:uiPriority w:val="99"/>
    <w:tblPr>
      <w:tblCellMar>
        <w:top w:w="0" w:type="dxa"/>
        <w:left w:w="108" w:type="dxa"/>
        <w:bottom w:w="0" w:type="dxa"/>
        <w:right w:w="108" w:type="dxa"/>
      </w:tblCellMar>
    </w:tblPr>
  </w:style>
  <w:style w:type="table" w:customStyle="1" w:styleId="220">
    <w:name w:val="List Table 2"/>
    <w:basedOn w:val="45"/>
    <w:qFormat/>
    <w:uiPriority w:val="99"/>
    <w:tblPr>
      <w:tblCellMar>
        <w:top w:w="0" w:type="dxa"/>
        <w:left w:w="108" w:type="dxa"/>
        <w:bottom w:w="0" w:type="dxa"/>
        <w:right w:w="108" w:type="dxa"/>
      </w:tblCellMar>
    </w:tblPr>
  </w:style>
  <w:style w:type="table" w:customStyle="1" w:styleId="221">
    <w:name w:val="Grid Table 4 - Accent 1"/>
    <w:basedOn w:val="45"/>
    <w:qFormat/>
    <w:uiPriority w:val="59"/>
    <w:tblPr>
      <w:tblCellMar>
        <w:top w:w="0" w:type="dxa"/>
        <w:left w:w="108" w:type="dxa"/>
        <w:bottom w:w="0" w:type="dxa"/>
        <w:right w:w="108" w:type="dxa"/>
      </w:tblCellMar>
    </w:tblPr>
  </w:style>
  <w:style w:type="table" w:customStyle="1" w:styleId="222">
    <w:name w:val="Grid Table 4 - Accent 6"/>
    <w:basedOn w:val="45"/>
    <w:qFormat/>
    <w:uiPriority w:val="59"/>
    <w:tblPr>
      <w:tblCellMar>
        <w:top w:w="0" w:type="dxa"/>
        <w:left w:w="108" w:type="dxa"/>
        <w:bottom w:w="0" w:type="dxa"/>
        <w:right w:w="108" w:type="dxa"/>
      </w:tblCellMar>
    </w:tblPr>
  </w:style>
  <w:style w:type="table" w:customStyle="1" w:styleId="223">
    <w:name w:val="Grid Table 6 Colorful - Accent 4"/>
    <w:basedOn w:val="45"/>
    <w:qFormat/>
    <w:uiPriority w:val="99"/>
    <w:tblPr>
      <w:tblCellMar>
        <w:top w:w="0" w:type="dxa"/>
        <w:left w:w="108" w:type="dxa"/>
        <w:bottom w:w="0" w:type="dxa"/>
        <w:right w:w="108" w:type="dxa"/>
      </w:tblCellMar>
    </w:tblPr>
  </w:style>
  <w:style w:type="table" w:customStyle="1" w:styleId="224">
    <w:name w:val="Grid Table 5 Dark - Accent 3"/>
    <w:basedOn w:val="45"/>
    <w:qFormat/>
    <w:uiPriority w:val="99"/>
    <w:tblPr>
      <w:tblCellMar>
        <w:top w:w="0" w:type="dxa"/>
        <w:left w:w="108" w:type="dxa"/>
        <w:bottom w:w="0" w:type="dxa"/>
        <w:right w:w="108" w:type="dxa"/>
      </w:tblCellMar>
    </w:tblPr>
  </w:style>
  <w:style w:type="table" w:customStyle="1" w:styleId="225">
    <w:name w:val="List Table 3 - Accent 1"/>
    <w:basedOn w:val="45"/>
    <w:qFormat/>
    <w:uiPriority w:val="99"/>
    <w:tblPr>
      <w:tblCellMar>
        <w:top w:w="0" w:type="dxa"/>
        <w:left w:w="108" w:type="dxa"/>
        <w:bottom w:w="0" w:type="dxa"/>
        <w:right w:w="108" w:type="dxa"/>
      </w:tblCellMar>
    </w:tblPr>
  </w:style>
  <w:style w:type="table" w:customStyle="1" w:styleId="226">
    <w:name w:val="Grid Table 7 Colorful - Accent 3"/>
    <w:basedOn w:val="45"/>
    <w:qFormat/>
    <w:uiPriority w:val="99"/>
    <w:tblPr>
      <w:tblCellMar>
        <w:top w:w="0" w:type="dxa"/>
        <w:left w:w="108" w:type="dxa"/>
        <w:bottom w:w="0" w:type="dxa"/>
        <w:right w:w="108" w:type="dxa"/>
      </w:tblCellMar>
    </w:tblPr>
  </w:style>
  <w:style w:type="table" w:customStyle="1" w:styleId="227">
    <w:name w:val="Grid Table 4 - Accent 2"/>
    <w:basedOn w:val="45"/>
    <w:qFormat/>
    <w:uiPriority w:val="59"/>
    <w:tblPr>
      <w:tblCellMar>
        <w:top w:w="0" w:type="dxa"/>
        <w:left w:w="108" w:type="dxa"/>
        <w:bottom w:w="0" w:type="dxa"/>
        <w:right w:w="108" w:type="dxa"/>
      </w:tblCellMar>
    </w:tblPr>
  </w:style>
  <w:style w:type="table" w:customStyle="1" w:styleId="228">
    <w:name w:val="Grid Table 5 Dark"/>
    <w:basedOn w:val="45"/>
    <w:qFormat/>
    <w:uiPriority w:val="99"/>
    <w:tblPr>
      <w:tblCellMar>
        <w:top w:w="0" w:type="dxa"/>
        <w:left w:w="108" w:type="dxa"/>
        <w:bottom w:w="0" w:type="dxa"/>
        <w:right w:w="108" w:type="dxa"/>
      </w:tblCellMar>
    </w:tblPr>
  </w:style>
  <w:style w:type="table" w:customStyle="1" w:styleId="229">
    <w:name w:val="Grid Table 6 Colorful - Accent 2"/>
    <w:basedOn w:val="45"/>
    <w:qFormat/>
    <w:uiPriority w:val="99"/>
    <w:tblPr>
      <w:tblCellMar>
        <w:top w:w="0" w:type="dxa"/>
        <w:left w:w="108" w:type="dxa"/>
        <w:bottom w:w="0" w:type="dxa"/>
        <w:right w:w="108" w:type="dxa"/>
      </w:tblCellMar>
    </w:tblPr>
  </w:style>
  <w:style w:type="table" w:customStyle="1" w:styleId="230">
    <w:name w:val="Bordered - Accent 6"/>
    <w:basedOn w:val="45"/>
    <w:qFormat/>
    <w:uiPriority w:val="99"/>
    <w:tblPr>
      <w:tblCellMar>
        <w:top w:w="0" w:type="dxa"/>
        <w:left w:w="108" w:type="dxa"/>
        <w:bottom w:w="0" w:type="dxa"/>
        <w:right w:w="108" w:type="dxa"/>
      </w:tblCellMar>
    </w:tblPr>
  </w:style>
  <w:style w:type="table" w:customStyle="1" w:styleId="231">
    <w:name w:val="List Table 7 Colorful - Accent 6"/>
    <w:basedOn w:val="45"/>
    <w:qFormat/>
    <w:uiPriority w:val="99"/>
    <w:tblPr>
      <w:tblCellMar>
        <w:top w:w="0" w:type="dxa"/>
        <w:left w:w="108" w:type="dxa"/>
        <w:bottom w:w="0" w:type="dxa"/>
        <w:right w:w="108" w:type="dxa"/>
      </w:tblCellMar>
    </w:tblPr>
  </w:style>
  <w:style w:type="table" w:customStyle="1" w:styleId="232">
    <w:name w:val="List Table 5 Dark - Accent 5"/>
    <w:basedOn w:val="45"/>
    <w:qFormat/>
    <w:uiPriority w:val="99"/>
    <w:tblPr>
      <w:tblCellMar>
        <w:top w:w="0" w:type="dxa"/>
        <w:left w:w="108" w:type="dxa"/>
        <w:bottom w:w="0" w:type="dxa"/>
        <w:right w:w="108" w:type="dxa"/>
      </w:tblCellMar>
    </w:tblPr>
  </w:style>
  <w:style w:type="table" w:customStyle="1" w:styleId="233">
    <w:name w:val="List Table 3 - Accent 5"/>
    <w:basedOn w:val="45"/>
    <w:qFormat/>
    <w:uiPriority w:val="99"/>
    <w:tblPr>
      <w:tblCellMar>
        <w:top w:w="0" w:type="dxa"/>
        <w:left w:w="108" w:type="dxa"/>
        <w:bottom w:w="0" w:type="dxa"/>
        <w:right w:w="108" w:type="dxa"/>
      </w:tblCellMar>
    </w:tblPr>
  </w:style>
  <w:style w:type="table" w:customStyle="1" w:styleId="234">
    <w:name w:val="Bordered"/>
    <w:basedOn w:val="45"/>
    <w:qFormat/>
    <w:uiPriority w:val="99"/>
    <w:tblPr>
      <w:tblCellMar>
        <w:top w:w="0" w:type="dxa"/>
        <w:left w:w="108" w:type="dxa"/>
        <w:bottom w:w="0" w:type="dxa"/>
        <w:right w:w="108" w:type="dxa"/>
      </w:tblCellMar>
    </w:tblPr>
  </w:style>
  <w:style w:type="table" w:customStyle="1" w:styleId="235">
    <w:name w:val="Bordered &amp; Lined - Accent 6"/>
    <w:basedOn w:val="45"/>
    <w:qFormat/>
    <w:uiPriority w:val="99"/>
    <w:rPr>
      <w:color w:val="404040"/>
    </w:rPr>
    <w:tblPr>
      <w:tblCellMar>
        <w:top w:w="0" w:type="dxa"/>
        <w:left w:w="108" w:type="dxa"/>
        <w:bottom w:w="0" w:type="dxa"/>
        <w:right w:w="108" w:type="dxa"/>
      </w:tblCellMar>
    </w:tblPr>
  </w:style>
  <w:style w:type="table" w:customStyle="1" w:styleId="236">
    <w:name w:val="Bordered &amp; Lined - Accent 2"/>
    <w:basedOn w:val="45"/>
    <w:qFormat/>
    <w:uiPriority w:val="99"/>
    <w:rPr>
      <w:color w:val="404040"/>
    </w:rPr>
    <w:tblPr>
      <w:tblCellMar>
        <w:top w:w="0" w:type="dxa"/>
        <w:left w:w="108" w:type="dxa"/>
        <w:bottom w:w="0" w:type="dxa"/>
        <w:right w:w="108" w:type="dxa"/>
      </w:tblCellMar>
    </w:tblPr>
  </w:style>
  <w:style w:type="table" w:customStyle="1" w:styleId="237">
    <w:name w:val="Bordered - Accent 3"/>
    <w:basedOn w:val="45"/>
    <w:qFormat/>
    <w:uiPriority w:val="99"/>
    <w:tblPr>
      <w:tblCellMar>
        <w:top w:w="0" w:type="dxa"/>
        <w:left w:w="108" w:type="dxa"/>
        <w:bottom w:w="0" w:type="dxa"/>
        <w:right w:w="108" w:type="dxa"/>
      </w:tblCellMar>
    </w:tblPr>
  </w:style>
  <w:style w:type="table" w:customStyle="1" w:styleId="238">
    <w:name w:val="List Table 5 Dark - Accent 2"/>
    <w:basedOn w:val="45"/>
    <w:qFormat/>
    <w:uiPriority w:val="99"/>
    <w:tblPr>
      <w:tblCellMar>
        <w:top w:w="0" w:type="dxa"/>
        <w:left w:w="108" w:type="dxa"/>
        <w:bottom w:w="0" w:type="dxa"/>
        <w:right w:w="108" w:type="dxa"/>
      </w:tblCellMar>
    </w:tblPr>
  </w:style>
  <w:style w:type="table" w:customStyle="1" w:styleId="239">
    <w:name w:val="Bordered &amp; Lined - Accent 4"/>
    <w:basedOn w:val="45"/>
    <w:qFormat/>
    <w:uiPriority w:val="99"/>
    <w:rPr>
      <w:color w:val="404040"/>
    </w:rPr>
    <w:tblPr>
      <w:tblCellMar>
        <w:top w:w="0" w:type="dxa"/>
        <w:left w:w="108" w:type="dxa"/>
        <w:bottom w:w="0" w:type="dxa"/>
        <w:right w:w="108" w:type="dxa"/>
      </w:tblCellMar>
    </w:tblPr>
  </w:style>
  <w:style w:type="table" w:customStyle="1" w:styleId="240">
    <w:name w:val="List Table 4 - Accent 6"/>
    <w:basedOn w:val="45"/>
    <w:qFormat/>
    <w:uiPriority w:val="99"/>
    <w:tblPr>
      <w:tblCellMar>
        <w:top w:w="0" w:type="dxa"/>
        <w:left w:w="108" w:type="dxa"/>
        <w:bottom w:w="0" w:type="dxa"/>
        <w:right w:w="108" w:type="dxa"/>
      </w:tblCellMar>
    </w:tblPr>
  </w:style>
  <w:style w:type="table" w:customStyle="1" w:styleId="241">
    <w:name w:val="List Table 3 - Accent 6"/>
    <w:basedOn w:val="45"/>
    <w:qFormat/>
    <w:uiPriority w:val="99"/>
    <w:tblPr>
      <w:tblCellMar>
        <w:top w:w="0" w:type="dxa"/>
        <w:left w:w="108" w:type="dxa"/>
        <w:bottom w:w="0" w:type="dxa"/>
        <w:right w:w="108" w:type="dxa"/>
      </w:tblCellMar>
    </w:tblPr>
  </w:style>
  <w:style w:type="table" w:customStyle="1" w:styleId="242">
    <w:name w:val="Bordered &amp; Lined - Accent"/>
    <w:basedOn w:val="45"/>
    <w:qFormat/>
    <w:uiPriority w:val="99"/>
    <w:rPr>
      <w:color w:val="404040"/>
    </w:rPr>
    <w:tblPr>
      <w:tblCellMar>
        <w:top w:w="0" w:type="dxa"/>
        <w:left w:w="108" w:type="dxa"/>
        <w:bottom w:w="0" w:type="dxa"/>
        <w:right w:w="108" w:type="dxa"/>
      </w:tblCellMar>
    </w:tblPr>
  </w:style>
  <w:style w:type="table" w:customStyle="1" w:styleId="243">
    <w:name w:val="List Table 6 Colorful - Accent 2"/>
    <w:basedOn w:val="45"/>
    <w:qFormat/>
    <w:uiPriority w:val="99"/>
    <w:tblPr>
      <w:tblCellMar>
        <w:top w:w="0" w:type="dxa"/>
        <w:left w:w="108" w:type="dxa"/>
        <w:bottom w:w="0" w:type="dxa"/>
        <w:right w:w="108" w:type="dxa"/>
      </w:tblCellMar>
    </w:tblPr>
  </w:style>
  <w:style w:type="table" w:customStyle="1" w:styleId="244">
    <w:name w:val="Lined - Accent 3"/>
    <w:basedOn w:val="45"/>
    <w:qFormat/>
    <w:uiPriority w:val="99"/>
    <w:rPr>
      <w:color w:val="404040"/>
    </w:rPr>
    <w:tblPr>
      <w:tblCellMar>
        <w:top w:w="0" w:type="dxa"/>
        <w:left w:w="108" w:type="dxa"/>
        <w:bottom w:w="0" w:type="dxa"/>
        <w:right w:w="108" w:type="dxa"/>
      </w:tblCellMar>
    </w:tblPr>
  </w:style>
  <w:style w:type="table" w:customStyle="1" w:styleId="245">
    <w:name w:val="Table Normal"/>
    <w:basedOn w:val="45"/>
    <w:unhideWhenUsed/>
    <w:qFormat/>
    <w:uiPriority w:val="0"/>
    <w:tblPr>
      <w:tblCellMar>
        <w:top w:w="0" w:type="dxa"/>
        <w:left w:w="108" w:type="dxa"/>
        <w:bottom w:w="0" w:type="dxa"/>
        <w:right w:w="108" w:type="dxa"/>
      </w:tblCellMar>
    </w:tblPr>
  </w:style>
  <w:style w:type="table" w:customStyle="1" w:styleId="246">
    <w:name w:val="List Table 7 Colorful - Accent 2"/>
    <w:basedOn w:val="45"/>
    <w:qFormat/>
    <w:uiPriority w:val="99"/>
    <w:tblPr>
      <w:tblCellMar>
        <w:top w:w="0" w:type="dxa"/>
        <w:left w:w="108" w:type="dxa"/>
        <w:bottom w:w="0" w:type="dxa"/>
        <w:right w:w="108" w:type="dxa"/>
      </w:tblCellMar>
    </w:tblPr>
  </w:style>
  <w:style w:type="table" w:customStyle="1" w:styleId="247">
    <w:name w:val="List Table 6 Colorful"/>
    <w:basedOn w:val="45"/>
    <w:qFormat/>
    <w:uiPriority w:val="99"/>
    <w:tblPr>
      <w:tblCellMar>
        <w:top w:w="0" w:type="dxa"/>
        <w:left w:w="108" w:type="dxa"/>
        <w:bottom w:w="0" w:type="dxa"/>
        <w:right w:w="108" w:type="dxa"/>
      </w:tblCellMar>
    </w:tblPr>
  </w:style>
  <w:style w:type="table" w:customStyle="1" w:styleId="248">
    <w:name w:val="Lined - Accent 6"/>
    <w:basedOn w:val="45"/>
    <w:qFormat/>
    <w:uiPriority w:val="99"/>
    <w:rPr>
      <w:color w:val="404040"/>
    </w:rPr>
    <w:tblPr>
      <w:tblCellMar>
        <w:top w:w="0" w:type="dxa"/>
        <w:left w:w="108" w:type="dxa"/>
        <w:bottom w:w="0" w:type="dxa"/>
        <w:right w:w="108" w:type="dxa"/>
      </w:tblCellMar>
    </w:tblPr>
  </w:style>
  <w:style w:type="table" w:customStyle="1" w:styleId="249">
    <w:name w:val="List Table 4"/>
    <w:basedOn w:val="45"/>
    <w:qFormat/>
    <w:uiPriority w:val="99"/>
    <w:tblPr>
      <w:tblCellMar>
        <w:top w:w="0" w:type="dxa"/>
        <w:left w:w="108" w:type="dxa"/>
        <w:bottom w:w="0" w:type="dxa"/>
        <w:right w:w="108" w:type="dxa"/>
      </w:tblCellMar>
    </w:tblPr>
  </w:style>
  <w:style w:type="table" w:customStyle="1" w:styleId="250">
    <w:name w:val="Bordered - Accent 2"/>
    <w:basedOn w:val="45"/>
    <w:qFormat/>
    <w:uiPriority w:val="99"/>
    <w:tblPr>
      <w:tblCellMar>
        <w:top w:w="0" w:type="dxa"/>
        <w:left w:w="108" w:type="dxa"/>
        <w:bottom w:w="0" w:type="dxa"/>
        <w:right w:w="108" w:type="dxa"/>
      </w:tblCellMar>
    </w:tblPr>
  </w:style>
  <w:style w:type="table" w:customStyle="1" w:styleId="251">
    <w:name w:val="List Table 4 - Accent 1"/>
    <w:basedOn w:val="45"/>
    <w:qFormat/>
    <w:uiPriority w:val="99"/>
    <w:tblPr>
      <w:tblCellMar>
        <w:top w:w="0" w:type="dxa"/>
        <w:left w:w="108" w:type="dxa"/>
        <w:bottom w:w="0" w:type="dxa"/>
        <w:right w:w="108" w:type="dxa"/>
      </w:tblCellMar>
    </w:tblPr>
  </w:style>
  <w:style w:type="table" w:customStyle="1" w:styleId="252">
    <w:name w:val="Bordered - Accent 1"/>
    <w:basedOn w:val="45"/>
    <w:qFormat/>
    <w:uiPriority w:val="99"/>
    <w:tblPr>
      <w:tblCellMar>
        <w:top w:w="0" w:type="dxa"/>
        <w:left w:w="108" w:type="dxa"/>
        <w:bottom w:w="0" w:type="dxa"/>
        <w:right w:w="108" w:type="dxa"/>
      </w:tblCellMar>
    </w:tblPr>
  </w:style>
  <w:style w:type="table" w:customStyle="1" w:styleId="253">
    <w:name w:val="List Table 5 Dark - Accent 4"/>
    <w:basedOn w:val="45"/>
    <w:qFormat/>
    <w:uiPriority w:val="99"/>
    <w:tblPr>
      <w:tblCellMar>
        <w:top w:w="0" w:type="dxa"/>
        <w:left w:w="108" w:type="dxa"/>
        <w:bottom w:w="0" w:type="dxa"/>
        <w:right w:w="108" w:type="dxa"/>
      </w:tblCellMar>
    </w:tblPr>
  </w:style>
  <w:style w:type="table" w:customStyle="1" w:styleId="254">
    <w:name w:val="List Table 7 Colorful - Accent 1"/>
    <w:basedOn w:val="45"/>
    <w:autoRedefine/>
    <w:qFormat/>
    <w:uiPriority w:val="99"/>
    <w:tblPr>
      <w:tblCellMar>
        <w:top w:w="0" w:type="dxa"/>
        <w:left w:w="108" w:type="dxa"/>
        <w:bottom w:w="0" w:type="dxa"/>
        <w:right w:w="108" w:type="dxa"/>
      </w:tblCellMar>
    </w:tblPr>
  </w:style>
  <w:style w:type="table" w:customStyle="1" w:styleId="255">
    <w:name w:val="Lined - Accent 5"/>
    <w:basedOn w:val="45"/>
    <w:qFormat/>
    <w:uiPriority w:val="99"/>
    <w:rPr>
      <w:color w:val="404040"/>
    </w:rPr>
    <w:tblPr>
      <w:tblCellMar>
        <w:top w:w="0" w:type="dxa"/>
        <w:left w:w="108" w:type="dxa"/>
        <w:bottom w:w="0" w:type="dxa"/>
        <w:right w:w="108" w:type="dxa"/>
      </w:tblCellMar>
    </w:tblPr>
  </w:style>
  <w:style w:type="table" w:customStyle="1" w:styleId="256">
    <w:name w:val="List Table 7 Colorful"/>
    <w:basedOn w:val="45"/>
    <w:qFormat/>
    <w:uiPriority w:val="99"/>
    <w:tblPr>
      <w:tblCellMar>
        <w:top w:w="0" w:type="dxa"/>
        <w:left w:w="108" w:type="dxa"/>
        <w:bottom w:w="0" w:type="dxa"/>
        <w:right w:w="108" w:type="dxa"/>
      </w:tblCellMar>
    </w:tblPr>
  </w:style>
  <w:style w:type="table" w:customStyle="1" w:styleId="257">
    <w:name w:val="List Table 5 Dark - Accent 6"/>
    <w:basedOn w:val="45"/>
    <w:qFormat/>
    <w:uiPriority w:val="99"/>
    <w:tblPr>
      <w:tblCellMar>
        <w:top w:w="0" w:type="dxa"/>
        <w:left w:w="108" w:type="dxa"/>
        <w:bottom w:w="0" w:type="dxa"/>
        <w:right w:w="108" w:type="dxa"/>
      </w:tblCellMar>
    </w:tblPr>
  </w:style>
  <w:style w:type="table" w:customStyle="1" w:styleId="258">
    <w:name w:val="List Table 7 Colorful - Accent 5"/>
    <w:basedOn w:val="45"/>
    <w:qFormat/>
    <w:uiPriority w:val="99"/>
    <w:tblPr>
      <w:tblCellMar>
        <w:top w:w="0" w:type="dxa"/>
        <w:left w:w="108" w:type="dxa"/>
        <w:bottom w:w="0" w:type="dxa"/>
        <w:right w:w="108" w:type="dxa"/>
      </w:tblCellMar>
    </w:tblPr>
  </w:style>
  <w:style w:type="table" w:customStyle="1" w:styleId="259">
    <w:name w:val="List Table 4 - Accent 2"/>
    <w:basedOn w:val="45"/>
    <w:qFormat/>
    <w:uiPriority w:val="99"/>
    <w:tblPr>
      <w:tblCellMar>
        <w:top w:w="0" w:type="dxa"/>
        <w:left w:w="108" w:type="dxa"/>
        <w:bottom w:w="0" w:type="dxa"/>
        <w:right w:w="108" w:type="dxa"/>
      </w:tblCellMar>
    </w:tblPr>
  </w:style>
  <w:style w:type="table" w:customStyle="1" w:styleId="260">
    <w:name w:val="List Table 6 Colorful - Accent 4"/>
    <w:basedOn w:val="45"/>
    <w:qFormat/>
    <w:uiPriority w:val="99"/>
    <w:tblPr>
      <w:tblCellMar>
        <w:top w:w="0" w:type="dxa"/>
        <w:left w:w="108" w:type="dxa"/>
        <w:bottom w:w="0" w:type="dxa"/>
        <w:right w:w="108" w:type="dxa"/>
      </w:tblCellMar>
    </w:tblPr>
  </w:style>
  <w:style w:type="table" w:customStyle="1" w:styleId="261">
    <w:name w:val="List Table 6 Colorful - Accent 3"/>
    <w:basedOn w:val="45"/>
    <w:qFormat/>
    <w:uiPriority w:val="99"/>
    <w:tblPr>
      <w:tblCellMar>
        <w:top w:w="0" w:type="dxa"/>
        <w:left w:w="108" w:type="dxa"/>
        <w:bottom w:w="0" w:type="dxa"/>
        <w:right w:w="108" w:type="dxa"/>
      </w:tblCellMar>
    </w:tblPr>
  </w:style>
  <w:style w:type="table" w:customStyle="1" w:styleId="262">
    <w:name w:val="List Table 7 Colorful - Accent 3"/>
    <w:basedOn w:val="45"/>
    <w:qFormat/>
    <w:uiPriority w:val="99"/>
    <w:tblPr>
      <w:tblCellMar>
        <w:top w:w="0" w:type="dxa"/>
        <w:left w:w="108" w:type="dxa"/>
        <w:bottom w:w="0" w:type="dxa"/>
        <w:right w:w="108" w:type="dxa"/>
      </w:tblCellMar>
    </w:tblPr>
  </w:style>
  <w:style w:type="table" w:customStyle="1" w:styleId="263">
    <w:name w:val="Bordered - Accent 5"/>
    <w:basedOn w:val="45"/>
    <w:qFormat/>
    <w:uiPriority w:val="99"/>
    <w:tblPr>
      <w:tblCellMar>
        <w:top w:w="0" w:type="dxa"/>
        <w:left w:w="108" w:type="dxa"/>
        <w:bottom w:w="0" w:type="dxa"/>
        <w:right w:w="108" w:type="dxa"/>
      </w:tblCellMar>
    </w:tblPr>
  </w:style>
  <w:style w:type="table" w:customStyle="1" w:styleId="264">
    <w:name w:val="Bordered &amp; Lined - Accent 1"/>
    <w:basedOn w:val="45"/>
    <w:qFormat/>
    <w:uiPriority w:val="99"/>
    <w:rPr>
      <w:color w:val="404040"/>
    </w:rPr>
    <w:tblPr>
      <w:tblCellMar>
        <w:top w:w="0" w:type="dxa"/>
        <w:left w:w="108" w:type="dxa"/>
        <w:bottom w:w="0" w:type="dxa"/>
        <w:right w:w="108" w:type="dxa"/>
      </w:tblCellMar>
    </w:tblPr>
  </w:style>
  <w:style w:type="table" w:customStyle="1" w:styleId="265">
    <w:name w:val="List Table 4 - Accent 3"/>
    <w:basedOn w:val="45"/>
    <w:qFormat/>
    <w:uiPriority w:val="99"/>
    <w:tblPr>
      <w:tblCellMar>
        <w:top w:w="0" w:type="dxa"/>
        <w:left w:w="108" w:type="dxa"/>
        <w:bottom w:w="0" w:type="dxa"/>
        <w:right w:w="108" w:type="dxa"/>
      </w:tblCellMar>
    </w:tblPr>
  </w:style>
  <w:style w:type="table" w:customStyle="1" w:styleId="266">
    <w:name w:val="List Table 7 Colorful - Accent 4"/>
    <w:basedOn w:val="45"/>
    <w:qFormat/>
    <w:uiPriority w:val="99"/>
    <w:tblPr>
      <w:tblCellMar>
        <w:top w:w="0" w:type="dxa"/>
        <w:left w:w="108" w:type="dxa"/>
        <w:bottom w:w="0" w:type="dxa"/>
        <w:right w:w="108" w:type="dxa"/>
      </w:tblCellMar>
    </w:tblPr>
  </w:style>
  <w:style w:type="table" w:customStyle="1" w:styleId="267">
    <w:name w:val="Lined - Accent 1"/>
    <w:basedOn w:val="45"/>
    <w:qFormat/>
    <w:uiPriority w:val="99"/>
    <w:rPr>
      <w:color w:val="404040"/>
    </w:rPr>
    <w:tblPr>
      <w:tblCellMar>
        <w:top w:w="0" w:type="dxa"/>
        <w:left w:w="108" w:type="dxa"/>
        <w:bottom w:w="0" w:type="dxa"/>
        <w:right w:w="108" w:type="dxa"/>
      </w:tblCellMar>
    </w:tblPr>
  </w:style>
  <w:style w:type="table" w:customStyle="1" w:styleId="268">
    <w:name w:val="List Table 4 - Accent 4"/>
    <w:basedOn w:val="45"/>
    <w:qFormat/>
    <w:uiPriority w:val="99"/>
    <w:tblPr>
      <w:tblCellMar>
        <w:top w:w="0" w:type="dxa"/>
        <w:left w:w="108" w:type="dxa"/>
        <w:bottom w:w="0" w:type="dxa"/>
        <w:right w:w="108" w:type="dxa"/>
      </w:tblCellMar>
    </w:tblPr>
  </w:style>
  <w:style w:type="table" w:customStyle="1" w:styleId="269">
    <w:name w:val="List Table 5 Dark"/>
    <w:basedOn w:val="45"/>
    <w:qFormat/>
    <w:uiPriority w:val="99"/>
    <w:tblPr>
      <w:tblCellMar>
        <w:top w:w="0" w:type="dxa"/>
        <w:left w:w="108" w:type="dxa"/>
        <w:bottom w:w="0" w:type="dxa"/>
        <w:right w:w="108" w:type="dxa"/>
      </w:tblCellMar>
    </w:tblPr>
  </w:style>
  <w:style w:type="table" w:customStyle="1" w:styleId="270">
    <w:name w:val="Bordered &amp; Lined - Accent 5"/>
    <w:basedOn w:val="45"/>
    <w:qFormat/>
    <w:uiPriority w:val="99"/>
    <w:rPr>
      <w:color w:val="404040"/>
    </w:rPr>
    <w:tblPr>
      <w:tblCellMar>
        <w:top w:w="0" w:type="dxa"/>
        <w:left w:w="108" w:type="dxa"/>
        <w:bottom w:w="0" w:type="dxa"/>
        <w:right w:w="108" w:type="dxa"/>
      </w:tblCellMar>
    </w:tblPr>
  </w:style>
  <w:style w:type="table" w:customStyle="1" w:styleId="271">
    <w:name w:val="Bordered - Accent 4"/>
    <w:basedOn w:val="45"/>
    <w:qFormat/>
    <w:uiPriority w:val="99"/>
    <w:tblPr>
      <w:tblCellMar>
        <w:top w:w="0" w:type="dxa"/>
        <w:left w:w="108" w:type="dxa"/>
        <w:bottom w:w="0" w:type="dxa"/>
        <w:right w:w="108" w:type="dxa"/>
      </w:tblCellMar>
    </w:tblPr>
  </w:style>
  <w:style w:type="table" w:customStyle="1" w:styleId="272">
    <w:name w:val="Bordered &amp; Lined - Accent 3"/>
    <w:basedOn w:val="45"/>
    <w:qFormat/>
    <w:uiPriority w:val="99"/>
    <w:rPr>
      <w:color w:val="404040"/>
    </w:rPr>
    <w:tblPr>
      <w:tblCellMar>
        <w:top w:w="0" w:type="dxa"/>
        <w:left w:w="108" w:type="dxa"/>
        <w:bottom w:w="0" w:type="dxa"/>
        <w:right w:w="108" w:type="dxa"/>
      </w:tblCellMar>
    </w:tblPr>
  </w:style>
  <w:style w:type="table" w:customStyle="1" w:styleId="273">
    <w:name w:val="Lined - Accent"/>
    <w:basedOn w:val="45"/>
    <w:qFormat/>
    <w:uiPriority w:val="99"/>
    <w:rPr>
      <w:color w:val="404040"/>
    </w:rPr>
    <w:tblPr>
      <w:tblCellMar>
        <w:top w:w="0" w:type="dxa"/>
        <w:left w:w="108" w:type="dxa"/>
        <w:bottom w:w="0" w:type="dxa"/>
        <w:right w:w="108" w:type="dxa"/>
      </w:tblCellMar>
    </w:tblPr>
  </w:style>
  <w:style w:type="table" w:customStyle="1" w:styleId="274">
    <w:name w:val="List Table 4 - Accent 5"/>
    <w:basedOn w:val="45"/>
    <w:autoRedefine/>
    <w:qFormat/>
    <w:uiPriority w:val="99"/>
    <w:tblPr>
      <w:tblCellMar>
        <w:top w:w="0" w:type="dxa"/>
        <w:left w:w="108" w:type="dxa"/>
        <w:bottom w:w="0" w:type="dxa"/>
        <w:right w:w="108" w:type="dxa"/>
      </w:tblCellMar>
    </w:tblPr>
  </w:style>
  <w:style w:type="table" w:customStyle="1" w:styleId="275">
    <w:name w:val="List Table 6 Colorful - Accent 6"/>
    <w:basedOn w:val="45"/>
    <w:autoRedefine/>
    <w:qFormat/>
    <w:uiPriority w:val="99"/>
    <w:tblPr>
      <w:tblCellMar>
        <w:top w:w="0" w:type="dxa"/>
        <w:left w:w="108" w:type="dxa"/>
        <w:bottom w:w="0" w:type="dxa"/>
        <w:right w:w="108" w:type="dxa"/>
      </w:tblCellMar>
    </w:tblPr>
  </w:style>
  <w:style w:type="table" w:customStyle="1" w:styleId="276">
    <w:name w:val="Lined - Accent 2"/>
    <w:basedOn w:val="45"/>
    <w:autoRedefine/>
    <w:qFormat/>
    <w:uiPriority w:val="99"/>
    <w:rPr>
      <w:color w:val="404040"/>
    </w:rPr>
    <w:tblPr>
      <w:tblCellMar>
        <w:top w:w="0" w:type="dxa"/>
        <w:left w:w="108" w:type="dxa"/>
        <w:bottom w:w="0" w:type="dxa"/>
        <w:right w:w="108" w:type="dxa"/>
      </w:tblCellMar>
    </w:tblPr>
  </w:style>
  <w:style w:type="table" w:customStyle="1" w:styleId="277">
    <w:name w:val="List Table 5 Dark - Accent 1"/>
    <w:basedOn w:val="45"/>
    <w:autoRedefine/>
    <w:qFormat/>
    <w:uiPriority w:val="99"/>
    <w:tblPr>
      <w:tblCellMar>
        <w:top w:w="0" w:type="dxa"/>
        <w:left w:w="108" w:type="dxa"/>
        <w:bottom w:w="0" w:type="dxa"/>
        <w:right w:w="108" w:type="dxa"/>
      </w:tblCellMar>
    </w:tblPr>
  </w:style>
  <w:style w:type="table" w:customStyle="1" w:styleId="278">
    <w:name w:val="List Table 5 Dark - Accent 3"/>
    <w:basedOn w:val="45"/>
    <w:autoRedefine/>
    <w:qFormat/>
    <w:uiPriority w:val="99"/>
    <w:tblPr>
      <w:tblCellMar>
        <w:top w:w="0" w:type="dxa"/>
        <w:left w:w="108" w:type="dxa"/>
        <w:bottom w:w="0" w:type="dxa"/>
        <w:right w:w="108" w:type="dxa"/>
      </w:tblCellMar>
    </w:tblPr>
  </w:style>
  <w:style w:type="table" w:customStyle="1" w:styleId="279">
    <w:name w:val="List Table 6 Colorful - Accent 1"/>
    <w:basedOn w:val="45"/>
    <w:autoRedefine/>
    <w:qFormat/>
    <w:uiPriority w:val="99"/>
    <w:tblPr>
      <w:tblCellMar>
        <w:top w:w="0" w:type="dxa"/>
        <w:left w:w="108" w:type="dxa"/>
        <w:bottom w:w="0" w:type="dxa"/>
        <w:right w:w="108" w:type="dxa"/>
      </w:tblCellMar>
    </w:tblPr>
  </w:style>
  <w:style w:type="table" w:customStyle="1" w:styleId="280">
    <w:name w:val="List Table 6 Colorful - Accent 5"/>
    <w:basedOn w:val="45"/>
    <w:autoRedefine/>
    <w:qFormat/>
    <w:uiPriority w:val="99"/>
    <w:tblPr>
      <w:tblCellMar>
        <w:top w:w="0" w:type="dxa"/>
        <w:left w:w="108" w:type="dxa"/>
        <w:bottom w:w="0" w:type="dxa"/>
        <w:right w:w="108" w:type="dxa"/>
      </w:tblCellMar>
    </w:tblPr>
  </w:style>
  <w:style w:type="table" w:customStyle="1" w:styleId="281">
    <w:name w:val="Lined - Accent 4"/>
    <w:basedOn w:val="45"/>
    <w:autoRedefine/>
    <w:qFormat/>
    <w:uiPriority w:val="99"/>
    <w:rPr>
      <w:color w:val="404040"/>
    </w:rPr>
    <w:tblPr>
      <w:tblCellMar>
        <w:top w:w="0" w:type="dxa"/>
        <w:left w:w="108" w:type="dxa"/>
        <w:bottom w:w="0" w:type="dxa"/>
        <w:right w:w="108" w:type="dxa"/>
      </w:tblCellMar>
    </w:tblPr>
  </w:style>
  <w:style w:type="paragraph" w:customStyle="1" w:styleId="282">
    <w:name w:val="目录 71"/>
    <w:basedOn w:val="1"/>
    <w:next w:val="1"/>
    <w:unhideWhenUsed/>
    <w:qFormat/>
    <w:uiPriority w:val="39"/>
    <w:pPr>
      <w:spacing w:after="57"/>
      <w:ind w:left="1701"/>
    </w:pPr>
  </w:style>
  <w:style w:type="paragraph" w:customStyle="1" w:styleId="283">
    <w:name w:val="目录 51"/>
    <w:basedOn w:val="1"/>
    <w:next w:val="1"/>
    <w:unhideWhenUsed/>
    <w:qFormat/>
    <w:uiPriority w:val="39"/>
    <w:pPr>
      <w:spacing w:after="57"/>
      <w:ind w:left="1134"/>
    </w:pPr>
  </w:style>
  <w:style w:type="paragraph" w:customStyle="1" w:styleId="284">
    <w:name w:val="目录 31"/>
    <w:basedOn w:val="1"/>
    <w:next w:val="1"/>
    <w:unhideWhenUsed/>
    <w:qFormat/>
    <w:uiPriority w:val="39"/>
    <w:pPr>
      <w:spacing w:after="57"/>
      <w:ind w:left="567"/>
    </w:pPr>
  </w:style>
  <w:style w:type="paragraph" w:customStyle="1" w:styleId="285">
    <w:name w:val="目录 81"/>
    <w:basedOn w:val="1"/>
    <w:next w:val="1"/>
    <w:autoRedefine/>
    <w:unhideWhenUsed/>
    <w:qFormat/>
    <w:uiPriority w:val="39"/>
    <w:pPr>
      <w:spacing w:after="57"/>
      <w:ind w:left="1984"/>
    </w:pPr>
  </w:style>
  <w:style w:type="paragraph" w:customStyle="1" w:styleId="286">
    <w:name w:val="目录 11"/>
    <w:basedOn w:val="1"/>
    <w:next w:val="1"/>
    <w:unhideWhenUsed/>
    <w:qFormat/>
    <w:uiPriority w:val="0"/>
    <w:pPr>
      <w:spacing w:after="57"/>
    </w:pPr>
  </w:style>
  <w:style w:type="paragraph" w:customStyle="1" w:styleId="287">
    <w:name w:val="目录 41"/>
    <w:basedOn w:val="1"/>
    <w:next w:val="1"/>
    <w:unhideWhenUsed/>
    <w:qFormat/>
    <w:uiPriority w:val="39"/>
    <w:pPr>
      <w:spacing w:after="57"/>
      <w:ind w:left="850"/>
    </w:pPr>
  </w:style>
  <w:style w:type="paragraph" w:customStyle="1" w:styleId="288">
    <w:name w:val="目录 61"/>
    <w:basedOn w:val="1"/>
    <w:next w:val="1"/>
    <w:qFormat/>
    <w:uiPriority w:val="39"/>
    <w:pPr>
      <w:ind w:left="2100"/>
    </w:pPr>
    <w:rPr>
      <w:rFonts w:ascii="Calibri" w:hAnsi="Calibri"/>
      <w:szCs w:val="22"/>
    </w:rPr>
  </w:style>
  <w:style w:type="paragraph" w:customStyle="1" w:styleId="289">
    <w:name w:val="目录 21"/>
    <w:basedOn w:val="1"/>
    <w:next w:val="1"/>
    <w:autoRedefine/>
    <w:unhideWhenUsed/>
    <w:qFormat/>
    <w:uiPriority w:val="39"/>
    <w:pPr>
      <w:spacing w:after="57"/>
      <w:ind w:left="283"/>
    </w:pPr>
  </w:style>
  <w:style w:type="paragraph" w:customStyle="1" w:styleId="290">
    <w:name w:val="目录 91"/>
    <w:basedOn w:val="1"/>
    <w:next w:val="1"/>
    <w:unhideWhenUsed/>
    <w:qFormat/>
    <w:uiPriority w:val="39"/>
    <w:pPr>
      <w:spacing w:after="57"/>
      <w:ind w:left="2268"/>
    </w:pPr>
  </w:style>
  <w:style w:type="paragraph" w:customStyle="1" w:styleId="291">
    <w:name w:val="正文首行缩进 21"/>
    <w:basedOn w:val="292"/>
    <w:qFormat/>
    <w:uiPriority w:val="0"/>
    <w:pPr>
      <w:ind w:firstLine="420"/>
    </w:pPr>
  </w:style>
  <w:style w:type="paragraph" w:customStyle="1" w:styleId="292">
    <w:name w:val="正文文本缩进1"/>
    <w:basedOn w:val="1"/>
    <w:qFormat/>
    <w:uiPriority w:val="0"/>
    <w:pPr>
      <w:ind w:firstLine="630"/>
    </w:pPr>
    <w:rPr>
      <w:rFonts w:ascii="楷体_GB2312" w:eastAsia="楷体_GB2312"/>
      <w:sz w:val="32"/>
      <w:szCs w:val="20"/>
    </w:rPr>
  </w:style>
  <w:style w:type="character" w:customStyle="1" w:styleId="293">
    <w:name w:val="已访问的超链接1"/>
    <w:qFormat/>
    <w:uiPriority w:val="0"/>
    <w:rPr>
      <w:color w:val="333333"/>
      <w:u w:val="none"/>
    </w:rPr>
  </w:style>
  <w:style w:type="paragraph" w:customStyle="1" w:styleId="294">
    <w:name w:val="列出段落1"/>
    <w:basedOn w:val="1"/>
    <w:qFormat/>
    <w:uiPriority w:val="99"/>
    <w:pPr>
      <w:ind w:firstLine="420"/>
    </w:pPr>
  </w:style>
  <w:style w:type="paragraph" w:customStyle="1" w:styleId="295">
    <w:name w:val="样式 加粗 段前: 7.8 磅 段后: 7.8 磅 行距: 固定值 20 磅"/>
    <w:basedOn w:val="1"/>
    <w:qFormat/>
    <w:uiPriority w:val="0"/>
    <w:pPr>
      <w:spacing w:before="60" w:after="60" w:line="360" w:lineRule="exact"/>
    </w:pPr>
    <w:rPr>
      <w:rFonts w:cs="宋体"/>
      <w:b/>
      <w:bCs/>
      <w:spacing w:val="-2"/>
      <w:sz w:val="24"/>
      <w:szCs w:val="20"/>
    </w:rPr>
  </w:style>
  <w:style w:type="paragraph" w:customStyle="1" w:styleId="296">
    <w:name w:val="列表段落1"/>
    <w:basedOn w:val="1"/>
    <w:uiPriority w:val="0"/>
    <w:pPr>
      <w:ind w:firstLine="200" w:firstLineChars="200"/>
    </w:pPr>
    <w:rPr>
      <w:rFonts w:ascii="Calibri" w:hAnsi="Calibri" w:cs="Arial"/>
      <w:kern w:val="2"/>
      <w:szCs w:val="22"/>
    </w:rPr>
  </w:style>
  <w:style w:type="paragraph" w:customStyle="1" w:styleId="297">
    <w:name w:val="TOC Heading"/>
    <w:unhideWhenUsed/>
    <w:qFormat/>
    <w:uiPriority w:val="39"/>
    <w:rPr>
      <w:rFonts w:ascii="Times New Roman" w:hAnsi="Times New Roman" w:eastAsia="宋体" w:cs="Times New Roman"/>
      <w:lang w:val="en-US" w:eastAsia="zh-CN" w:bidi="ar-SA"/>
    </w:rPr>
  </w:style>
  <w:style w:type="table" w:customStyle="1" w:styleId="298">
    <w:name w:val="网格表 21"/>
    <w:basedOn w:val="45"/>
    <w:qFormat/>
    <w:uiPriority w:val="99"/>
    <w:tblPr>
      <w:tblCellMar>
        <w:top w:w="0" w:type="dxa"/>
        <w:left w:w="108" w:type="dxa"/>
        <w:bottom w:w="0" w:type="dxa"/>
        <w:right w:w="108" w:type="dxa"/>
      </w:tblCellMar>
    </w:tblPr>
  </w:style>
  <w:style w:type="table" w:customStyle="1" w:styleId="299">
    <w:name w:val="网格表 1 浅色1"/>
    <w:basedOn w:val="45"/>
    <w:qFormat/>
    <w:uiPriority w:val="99"/>
    <w:tblPr>
      <w:tblCellMar>
        <w:top w:w="0" w:type="dxa"/>
        <w:left w:w="108" w:type="dxa"/>
        <w:bottom w:w="0" w:type="dxa"/>
        <w:right w:w="108" w:type="dxa"/>
      </w:tblCellMar>
    </w:tblPr>
  </w:style>
  <w:style w:type="table" w:customStyle="1" w:styleId="300">
    <w:name w:val="无格式表格 31"/>
    <w:basedOn w:val="45"/>
    <w:qFormat/>
    <w:uiPriority w:val="99"/>
    <w:tblPr>
      <w:tblCellMar>
        <w:top w:w="0" w:type="dxa"/>
        <w:left w:w="108" w:type="dxa"/>
        <w:bottom w:w="0" w:type="dxa"/>
        <w:right w:w="108" w:type="dxa"/>
      </w:tblCellMar>
    </w:tblPr>
  </w:style>
  <w:style w:type="table" w:customStyle="1" w:styleId="301">
    <w:name w:val="无格式表格 41"/>
    <w:basedOn w:val="45"/>
    <w:qFormat/>
    <w:uiPriority w:val="99"/>
    <w:tblPr>
      <w:tblCellMar>
        <w:top w:w="0" w:type="dxa"/>
        <w:left w:w="108" w:type="dxa"/>
        <w:bottom w:w="0" w:type="dxa"/>
        <w:right w:w="108" w:type="dxa"/>
      </w:tblCellMar>
    </w:tblPr>
  </w:style>
  <w:style w:type="table" w:customStyle="1" w:styleId="302">
    <w:name w:val="无格式表格 11"/>
    <w:basedOn w:val="45"/>
    <w:qFormat/>
    <w:uiPriority w:val="59"/>
    <w:tblPr>
      <w:tblCellMar>
        <w:top w:w="0" w:type="dxa"/>
        <w:left w:w="108" w:type="dxa"/>
        <w:bottom w:w="0" w:type="dxa"/>
        <w:right w:w="108" w:type="dxa"/>
      </w:tblCellMar>
    </w:tblPr>
  </w:style>
  <w:style w:type="table" w:customStyle="1" w:styleId="303">
    <w:name w:val="无格式表格 21"/>
    <w:basedOn w:val="45"/>
    <w:qFormat/>
    <w:uiPriority w:val="59"/>
    <w:tblPr>
      <w:tblCellMar>
        <w:top w:w="0" w:type="dxa"/>
        <w:left w:w="108" w:type="dxa"/>
        <w:bottom w:w="0" w:type="dxa"/>
        <w:right w:w="108" w:type="dxa"/>
      </w:tblCellMar>
    </w:tblPr>
  </w:style>
  <w:style w:type="table" w:customStyle="1" w:styleId="304">
    <w:name w:val="无格式表格 51"/>
    <w:basedOn w:val="45"/>
    <w:qFormat/>
    <w:uiPriority w:val="99"/>
    <w:tblPr>
      <w:tblCellMar>
        <w:top w:w="0" w:type="dxa"/>
        <w:left w:w="108" w:type="dxa"/>
        <w:bottom w:w="0" w:type="dxa"/>
        <w:right w:w="108" w:type="dxa"/>
      </w:tblCellMar>
    </w:tblPr>
  </w:style>
  <w:style w:type="table" w:customStyle="1" w:styleId="305">
    <w:name w:val="网格表 31"/>
    <w:basedOn w:val="45"/>
    <w:qFormat/>
    <w:uiPriority w:val="99"/>
    <w:tblPr>
      <w:tblCellMar>
        <w:top w:w="0" w:type="dxa"/>
        <w:left w:w="108" w:type="dxa"/>
        <w:bottom w:w="0" w:type="dxa"/>
        <w:right w:w="108" w:type="dxa"/>
      </w:tblCellMar>
    </w:tblPr>
  </w:style>
  <w:style w:type="table" w:customStyle="1" w:styleId="306">
    <w:name w:val="清单表 1 浅色1"/>
    <w:basedOn w:val="45"/>
    <w:qFormat/>
    <w:uiPriority w:val="99"/>
    <w:tblPr>
      <w:tblCellMar>
        <w:top w:w="0" w:type="dxa"/>
        <w:left w:w="108" w:type="dxa"/>
        <w:bottom w:w="0" w:type="dxa"/>
        <w:right w:w="108" w:type="dxa"/>
      </w:tblCellMar>
    </w:tblPr>
  </w:style>
  <w:style w:type="table" w:customStyle="1" w:styleId="307">
    <w:name w:val="清单表 31"/>
    <w:basedOn w:val="45"/>
    <w:qFormat/>
    <w:uiPriority w:val="99"/>
    <w:tblPr>
      <w:tblCellMar>
        <w:top w:w="0" w:type="dxa"/>
        <w:left w:w="108" w:type="dxa"/>
        <w:bottom w:w="0" w:type="dxa"/>
        <w:right w:w="108" w:type="dxa"/>
      </w:tblCellMar>
    </w:tblPr>
  </w:style>
  <w:style w:type="table" w:customStyle="1" w:styleId="308">
    <w:name w:val="网格表 6 彩色1"/>
    <w:basedOn w:val="45"/>
    <w:qFormat/>
    <w:uiPriority w:val="99"/>
    <w:tblPr>
      <w:tblCellMar>
        <w:top w:w="0" w:type="dxa"/>
        <w:left w:w="108" w:type="dxa"/>
        <w:bottom w:w="0" w:type="dxa"/>
        <w:right w:w="108" w:type="dxa"/>
      </w:tblCellMar>
    </w:tblPr>
  </w:style>
  <w:style w:type="table" w:customStyle="1" w:styleId="309">
    <w:name w:val="网格表 7 彩色1"/>
    <w:basedOn w:val="45"/>
    <w:qFormat/>
    <w:uiPriority w:val="99"/>
    <w:tblPr>
      <w:tblCellMar>
        <w:top w:w="0" w:type="dxa"/>
        <w:left w:w="108" w:type="dxa"/>
        <w:bottom w:w="0" w:type="dxa"/>
        <w:right w:w="108" w:type="dxa"/>
      </w:tblCellMar>
    </w:tblPr>
  </w:style>
  <w:style w:type="table" w:customStyle="1" w:styleId="310">
    <w:name w:val="网格表 41"/>
    <w:basedOn w:val="45"/>
    <w:qFormat/>
    <w:uiPriority w:val="59"/>
    <w:tblPr>
      <w:tblCellMar>
        <w:top w:w="0" w:type="dxa"/>
        <w:left w:w="108" w:type="dxa"/>
        <w:bottom w:w="0" w:type="dxa"/>
        <w:right w:w="108" w:type="dxa"/>
      </w:tblCellMar>
    </w:tblPr>
  </w:style>
  <w:style w:type="table" w:customStyle="1" w:styleId="311">
    <w:name w:val="清单表 21"/>
    <w:basedOn w:val="45"/>
    <w:qFormat/>
    <w:uiPriority w:val="99"/>
    <w:tblPr>
      <w:tblCellMar>
        <w:top w:w="0" w:type="dxa"/>
        <w:left w:w="108" w:type="dxa"/>
        <w:bottom w:w="0" w:type="dxa"/>
        <w:right w:w="108" w:type="dxa"/>
      </w:tblCellMar>
    </w:tblPr>
  </w:style>
  <w:style w:type="table" w:customStyle="1" w:styleId="312">
    <w:name w:val="网格表 5 深色1"/>
    <w:basedOn w:val="45"/>
    <w:qFormat/>
    <w:uiPriority w:val="99"/>
    <w:tblPr>
      <w:tblCellMar>
        <w:top w:w="0" w:type="dxa"/>
        <w:left w:w="108" w:type="dxa"/>
        <w:bottom w:w="0" w:type="dxa"/>
        <w:right w:w="108" w:type="dxa"/>
      </w:tblCellMar>
    </w:tblPr>
  </w:style>
  <w:style w:type="table" w:customStyle="1" w:styleId="313">
    <w:name w:val="清单表 6 彩色1"/>
    <w:basedOn w:val="45"/>
    <w:qFormat/>
    <w:uiPriority w:val="99"/>
    <w:tblPr>
      <w:tblCellMar>
        <w:top w:w="0" w:type="dxa"/>
        <w:left w:w="108" w:type="dxa"/>
        <w:bottom w:w="0" w:type="dxa"/>
        <w:right w:w="108" w:type="dxa"/>
      </w:tblCellMar>
    </w:tblPr>
  </w:style>
  <w:style w:type="table" w:customStyle="1" w:styleId="314">
    <w:name w:val="清单表 41"/>
    <w:basedOn w:val="45"/>
    <w:qFormat/>
    <w:uiPriority w:val="99"/>
    <w:tblPr>
      <w:tblCellMar>
        <w:top w:w="0" w:type="dxa"/>
        <w:left w:w="108" w:type="dxa"/>
        <w:bottom w:w="0" w:type="dxa"/>
        <w:right w:w="108" w:type="dxa"/>
      </w:tblCellMar>
    </w:tblPr>
  </w:style>
  <w:style w:type="table" w:customStyle="1" w:styleId="315">
    <w:name w:val="清单表 7 彩色1"/>
    <w:basedOn w:val="45"/>
    <w:qFormat/>
    <w:uiPriority w:val="99"/>
    <w:tblPr>
      <w:tblCellMar>
        <w:top w:w="0" w:type="dxa"/>
        <w:left w:w="108" w:type="dxa"/>
        <w:bottom w:w="0" w:type="dxa"/>
        <w:right w:w="108" w:type="dxa"/>
      </w:tblCellMar>
    </w:tblPr>
  </w:style>
  <w:style w:type="table" w:customStyle="1" w:styleId="316">
    <w:name w:val="清单表 5 深色1"/>
    <w:basedOn w:val="45"/>
    <w:qFormat/>
    <w:uiPriority w:val="99"/>
    <w:tblPr>
      <w:tblCellMar>
        <w:top w:w="0" w:type="dxa"/>
        <w:left w:w="108" w:type="dxa"/>
        <w:bottom w:w="0" w:type="dxa"/>
        <w:right w:w="108" w:type="dxa"/>
      </w:tblCellMar>
    </w:tblPr>
  </w:style>
  <w:style w:type="character" w:customStyle="1" w:styleId="317">
    <w:name w:val="NormalCharacter"/>
    <w:semiHidden/>
    <w:qFormat/>
    <w:uiPriority w:val="0"/>
    <w:rPr>
      <w:rFonts w:ascii="Times New Roman" w:hAnsi="Times New Roman" w:eastAsia="宋体" w:cs="Times New Roman"/>
      <w:kern w:val="0"/>
      <w:sz w:val="21"/>
      <w:szCs w:val="24"/>
      <w:lang w:val="en-US" w:eastAsia="zh-CN" w:bidi="ar-SA"/>
    </w:rPr>
  </w:style>
  <w:style w:type="paragraph" w:customStyle="1" w:styleId="318">
    <w:name w:val="列表段落2"/>
    <w:basedOn w:val="1"/>
    <w:uiPriority w:val="0"/>
    <w:pPr>
      <w:ind w:firstLine="200" w:firstLineChars="200"/>
    </w:pPr>
    <w:rPr>
      <w:rFonts w:ascii="Calibri" w:hAnsi="Calibri" w:cs="Arial"/>
      <w:kern w:val="2"/>
      <w:szCs w:val="22"/>
    </w:rPr>
  </w:style>
  <w:style w:type="character" w:customStyle="1" w:styleId="319">
    <w:name w:val="日期 Char"/>
    <w:link w:val="24"/>
    <w:semiHidden/>
    <w:uiPriority w:val="99"/>
    <w:rPr>
      <w:rFonts w:ascii="Times New Roman" w:hAnsi="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9FC87-F7E0-4732-8182-F890AF86C7E5}">
  <ds:schemaRefs/>
</ds:datastoreItem>
</file>

<file path=docProps/app.xml><?xml version="1.0" encoding="utf-8"?>
<Properties xmlns="http://schemas.openxmlformats.org/officeDocument/2006/extended-properties" xmlns:vt="http://schemas.openxmlformats.org/officeDocument/2006/docPropsVTypes">
  <Template>Normal</Template>
  <Company>淮安区环</Company>
  <Pages>120</Pages>
  <Words>8487</Words>
  <Characters>48381</Characters>
  <Lines>403</Lines>
  <Paragraphs>113</Paragraphs>
  <TotalTime>27</TotalTime>
  <ScaleCrop>false</ScaleCrop>
  <LinksUpToDate>false</LinksUpToDate>
  <CharactersWithSpaces>56755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2024-03-05T02:27:00Z</dcterms:created>
  <dc:creator>Adminis</dc:creator>
  <cp:lastModifiedBy>静谧</cp:lastModifiedBy>
  <cp:lastPrinted>2024-05-07T06:35:00Z</cp:lastPrinted>
  <dcterms:modified xsi:type="dcterms:W3CDTF">2024-05-09T09:47:35Z</dcterms:modified>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7839552CEA454F638D52C9A186DDA173_12</vt:lpwstr>
  </property>
</Properties>
</file>