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4"/>
        <w:ind w:firstLine="0"/>
        <w:rPr>
          <w:rFonts w:eastAsia="黑体"/>
          <w:b/>
          <w:bCs/>
          <w:color w:val="000000"/>
          <w:sz w:val="84"/>
          <w:shd w:val="clear" w:color="ffffff" w:fill="d9d9d9"/>
        </w:rPr>
      </w:pPr>
      <w:r>
        <w:rPr>
          <w:rFonts w:eastAsia="黑体"/>
          <w:b/>
          <w:bCs/>
          <w:color w:val="000000"/>
          <w:sz w:val="84"/>
          <w:shd w:val="clear" w:color="ffffff" w:fill="d9d9d9"/>
        </w:rPr>
      </w:r>
      <w:r/>
    </w:p>
    <w:p>
      <w:pPr>
        <w:pStyle w:val="1174"/>
        <w:ind w:firstLine="0"/>
        <w:rPr>
          <w:rFonts w:eastAsia="黑体"/>
          <w:b/>
          <w:bCs/>
          <w:color w:val="000000"/>
          <w:sz w:val="84"/>
          <w:shd w:val="clear" w:color="ffffff" w:fill="d9d9d9"/>
        </w:rPr>
      </w:pPr>
      <w:r>
        <w:rPr>
          <w:rFonts w:eastAsia="黑体"/>
          <w:b/>
          <w:bCs/>
          <w:color w:val="000000"/>
          <w:sz w:val="84"/>
          <w:shd w:val="clear" w:color="ffffff" w:fill="d9d9d9"/>
        </w:rPr>
      </w:r>
      <w:r/>
    </w:p>
    <w:p>
      <w:pPr>
        <w:pStyle w:val="1174"/>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1174"/>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1174"/>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1174"/>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1174"/>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JSZC-320213-JZCG-G2025-0019</w:t>
      </w:r>
      <w:r/>
    </w:p>
    <w:p>
      <w:pPr>
        <w:ind w:left="3515" w:hanging="160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无锡市梁溪区网格化联动处置系统提升完善信息化项目</w:t>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中国共产党无锡市梁溪区委员会政法委员会</w:t>
      </w:r>
      <w:r/>
    </w:p>
    <w:p>
      <w:pPr>
        <w:ind w:firstLine="35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（本级）</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174"/>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174"/>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174"/>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174"/>
        <w:ind w:firstLine="0"/>
        <w:jc w:val="center"/>
        <w:spacing w:before="0" w:after="0"/>
        <w:rPr>
          <w:rFonts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采购代理机构：无锡市公共资源交易中心梁溪分中心</w:t>
      </w:r>
      <w:r/>
    </w:p>
    <w:p>
      <w:pPr>
        <w:pStyle w:val="1174"/>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lang w:eastAsia="zh-CN"/>
        </w:rPr>
        <w:t xml:space="preserve">五</w:t>
      </w:r>
      <w:r>
        <w:rPr>
          <w:rFonts w:hint="eastAsia" w:ascii="黑体" w:hAnsi="华文中宋" w:eastAsia="黑体"/>
          <w:bCs/>
          <w:color w:val="000000"/>
          <w:sz w:val="32"/>
          <w:szCs w:val="32"/>
        </w:rPr>
        <w:t xml:space="preserve">年</w:t>
      </w:r>
      <w:r>
        <w:rPr>
          <w:rFonts w:hint="eastAsia" w:ascii="黑体" w:hAnsi="华文中宋" w:eastAsia="黑体"/>
          <w:bCs/>
          <w:color w:val="000000"/>
          <w:sz w:val="32"/>
          <w:szCs w:val="32"/>
          <w:lang w:eastAsia="zh-CN"/>
        </w:rPr>
        <w:t xml:space="preserve">四</w:t>
      </w:r>
      <w:bookmarkStart w:id="350" w:name="_GoBack"/>
      <w:r/>
      <w:bookmarkEnd w:id="350"/>
      <w:r>
        <w:rPr>
          <w:rFonts w:hint="eastAsia" w:ascii="黑体" w:hAnsi="华文中宋" w:eastAsia="黑体"/>
          <w:bCs/>
          <w:color w:val="000000"/>
          <w:sz w:val="32"/>
          <w:szCs w:val="32"/>
        </w:rPr>
        <w:t xml:space="preserve">月</w:t>
      </w:r>
      <w:r/>
    </w:p>
    <w:p>
      <w:pPr>
        <w:pStyle w:val="1174"/>
        <w:ind w:firstLine="0"/>
        <w:jc w:val="center"/>
        <w:rPr>
          <w:rFonts w:hint="eastAsia" w:ascii="黑体" w:hAnsi="华文中宋" w:eastAsia="黑体"/>
          <w:bCs/>
          <w:color w:val="000000"/>
          <w:sz w:val="44"/>
          <w:szCs w:val="44"/>
        </w:rPr>
        <w:sectPr>
          <w:headerReference w:type="default" r:id="rId9"/>
          <w:headerReference w:type="first" r:id="rId10"/>
          <w:footerReference w:type="default" r:id="rId12"/>
          <w:footerReference w:type="first" r:id="rId13"/>
          <w:footnotePr/>
          <w:endnotePr/>
          <w:type w:val="nextPage"/>
          <w:pgSz w:w="11906" w:h="16838" w:orient="portrait"/>
          <w:pgMar w:top="567" w:right="851" w:bottom="567" w:left="1134" w:header="624" w:footer="907" w:gutter="0"/>
          <w:cols w:num="1" w:sep="0" w:space="720" w:equalWidth="1"/>
          <w:docGrid w:linePitch="360"/>
          <w:titlePg/>
        </w:sectPr>
      </w:pPr>
      <w:r/>
      <w:bookmarkStart w:id="0" w:name="_Toc120614210"/>
      <w:r/>
      <w:bookmarkStart w:id="1" w:name="_Toc20823272"/>
      <w:r/>
      <w:bookmarkStart w:id="2" w:name="_Toc16938516"/>
      <w:r/>
      <w:bookmarkStart w:id="3" w:name="_Toc479757206"/>
      <w:r/>
      <w:bookmarkStart w:id="4" w:name="_Toc513029200"/>
      <w:r/>
      <w:bookmarkStart w:id="5" w:name="_Toc523127445"/>
      <w:r/>
      <w:r/>
    </w:p>
    <w:p>
      <w:pPr>
        <w:pStyle w:val="1174"/>
        <w:ind w:firstLine="0"/>
        <w:jc w:val="center"/>
        <w:rPr>
          <w:rFonts w:ascii="黑体" w:hAnsi="黑体" w:eastAsia="黑体"/>
          <w:color w:val="000000"/>
          <w:sz w:val="36"/>
          <w:szCs w:val="36"/>
        </w:rPr>
      </w:pPr>
      <w:r>
        <w:rPr>
          <w:rFonts w:hint="eastAsia" w:ascii="黑体" w:hAnsi="华文中宋" w:eastAsia="黑体"/>
          <w:bCs/>
          <w:color w:val="000000"/>
          <w:sz w:val="44"/>
          <w:szCs w:val="44"/>
        </w:rPr>
        <w:t xml:space="preserve"> </w:t>
      </w:r>
      <w:r>
        <w:rPr>
          <w:rFonts w:hint="eastAsia" w:ascii="黑体" w:hAnsi="黑体" w:eastAsia="黑体"/>
          <w:color w:val="000000"/>
          <w:sz w:val="36"/>
          <w:szCs w:val="36"/>
        </w:rPr>
        <w:t xml:space="preserve"> 总  目  录</w:t>
      </w:r>
      <w:r/>
    </w:p>
    <w:p>
      <w:pPr>
        <w:jc w:val="center"/>
        <w:spacing w:line="480" w:lineRule="auto"/>
        <w:rPr>
          <w:rFonts w:ascii="黑体" w:hAnsi="Arial" w:eastAsia="黑体"/>
          <w:color w:val="000000"/>
          <w:sz w:val="44"/>
          <w:highlight w:val="none"/>
        </w:rPr>
        <w:outlineLvl w:val="9"/>
      </w:pPr>
      <w:r>
        <w:rPr>
          <w:rFonts w:ascii="黑体" w:hAnsi="Arial" w:eastAsia="黑体"/>
          <w:color w:val="000000"/>
          <w:sz w:val="44"/>
          <w:highlight w:val="none"/>
        </w:rPr>
      </w:r>
      <w:r/>
    </w:p>
    <w:p>
      <w:pPr>
        <w:numPr>
          <w:ilvl w:val="0"/>
          <w:numId w:val="6"/>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投标邀请-------------------------------------（3）</w:t>
      </w:r>
      <w:r/>
    </w:p>
    <w:p>
      <w:pPr>
        <w:numPr>
          <w:ilvl w:val="0"/>
          <w:numId w:val="6"/>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lang w:val="en-US" w:eastAsia="zh-CN"/>
        </w:rPr>
        <w:t xml:space="preserve">6</w:t>
      </w:r>
      <w:r>
        <w:rPr>
          <w:rFonts w:hint="eastAsia" w:ascii="宋体" w:hAnsi="宋体"/>
          <w:color w:val="000000"/>
          <w:sz w:val="30"/>
          <w:szCs w:val="30"/>
          <w:highlight w:val="none"/>
        </w:rPr>
        <w:t xml:space="preserve">）</w:t>
      </w:r>
      <w:r/>
    </w:p>
    <w:p>
      <w:pPr>
        <w:numPr>
          <w:ilvl w:val="0"/>
          <w:numId w:val="6"/>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lang w:val="en-US" w:eastAsia="zh-CN"/>
        </w:rPr>
        <w:t xml:space="preserve">18</w:t>
      </w:r>
      <w:r>
        <w:rPr>
          <w:rFonts w:hint="eastAsia" w:ascii="宋体" w:hAnsi="宋体"/>
          <w:color w:val="000000"/>
          <w:sz w:val="30"/>
          <w:szCs w:val="30"/>
          <w:highlight w:val="none"/>
        </w:rPr>
        <w:t xml:space="preserve">）</w:t>
      </w:r>
      <w:r/>
    </w:p>
    <w:p>
      <w:pPr>
        <w:numPr>
          <w:ilvl w:val="0"/>
          <w:numId w:val="6"/>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lang w:val="en-US" w:eastAsia="zh-CN"/>
        </w:rPr>
        <w:t xml:space="preserve">22</w:t>
      </w:r>
      <w:r>
        <w:rPr>
          <w:rFonts w:hint="eastAsia" w:ascii="宋体" w:hAnsi="宋体"/>
          <w:color w:val="000000"/>
          <w:sz w:val="30"/>
          <w:szCs w:val="30"/>
          <w:highlight w:val="none"/>
        </w:rPr>
        <w:t xml:space="preserve">）</w:t>
      </w:r>
      <w:r/>
    </w:p>
    <w:p>
      <w:pPr>
        <w:numPr>
          <w:ilvl w:val="0"/>
          <w:numId w:val="6"/>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lang w:val="en-US" w:eastAsia="zh-CN"/>
        </w:rPr>
        <w:t xml:space="preserve">37</w:t>
      </w:r>
      <w:r>
        <w:rPr>
          <w:rFonts w:hint="eastAsia" w:ascii="宋体" w:hAnsi="宋体"/>
          <w:color w:val="000000"/>
          <w:sz w:val="30"/>
          <w:szCs w:val="30"/>
          <w:highlight w:val="none"/>
        </w:rPr>
        <w:t xml:space="preserve">）</w:t>
      </w:r>
      <w:r/>
    </w:p>
    <w:p>
      <w:pPr>
        <w:numPr>
          <w:ilvl w:val="0"/>
          <w:numId w:val="6"/>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lang w:val="en-US" w:eastAsia="zh-CN"/>
        </w:rPr>
        <w:t xml:space="preserve">43</w:t>
      </w:r>
      <w:r>
        <w:rPr>
          <w:rFonts w:hint="eastAsia" w:ascii="宋体" w:hAnsi="宋体"/>
          <w:color w:val="000000"/>
          <w:sz w:val="30"/>
          <w:szCs w:val="30"/>
          <w:highlight w:val="none"/>
        </w:rPr>
        <w:t xml:space="preserve">）</w:t>
      </w:r>
      <w:r/>
    </w:p>
    <w:p>
      <w:pPr>
        <w:jc w:val="center"/>
        <w:spacing w:line="500" w:lineRule="exact"/>
        <w:tabs>
          <w:tab w:val="left" w:pos="1440" w:leader="none"/>
        </w:tabs>
        <w:rPr>
          <w:rFonts w:hint="eastAsia" w:ascii="黑体" w:hAnsi="黑体" w:eastAsia="黑体"/>
          <w:color w:val="000000"/>
          <w:sz w:val="36"/>
          <w:szCs w:val="36"/>
          <w:highlight w:val="none"/>
        </w:rPr>
        <w:sectPr>
          <w:footerReference w:type="default" r:id="rId14"/>
          <w:footerReference w:type="first" r:id="rId15"/>
          <w:footnotePr/>
          <w:endnotePr/>
          <w:type w:val="nextPage"/>
          <w:pgSz w:w="11906" w:h="16838" w:orient="portrait"/>
          <w:pgMar w:top="567" w:right="851" w:bottom="567" w:left="1134" w:header="624" w:footer="907" w:gutter="0"/>
          <w:cols w:num="1" w:sep="0" w:space="720" w:equalWidth="1"/>
          <w:docGrid w:linePitch="360"/>
        </w:sectPr>
        <w:outlineLvl w:val="0"/>
      </w:pPr>
      <w:r>
        <w:rPr>
          <w:rFonts w:hint="eastAsia" w:ascii="黑体" w:hAnsi="黑体" w:eastAsia="黑体"/>
          <w:color w:val="000000"/>
          <w:sz w:val="36"/>
          <w:szCs w:val="36"/>
          <w:highlight w:val="none"/>
        </w:rPr>
      </w:r>
      <w:r/>
    </w:p>
    <w:p>
      <w:pPr>
        <w:jc w:val="center"/>
        <w:spacing w:line="500" w:lineRule="exact"/>
        <w:tabs>
          <w:tab w:val="left" w:pos="1440" w:leader="none"/>
        </w:tabs>
        <w:rPr>
          <w:rFonts w:ascii="黑体" w:hAnsi="黑体" w:eastAsia="黑体"/>
          <w:color w:val="000000"/>
          <w:sz w:val="36"/>
          <w:szCs w:val="36"/>
        </w:rPr>
        <w:outlineLvl w:val="0"/>
      </w:pPr>
      <w:r>
        <w:rPr>
          <w:rFonts w:hint="eastAsia" w:ascii="黑体" w:hAnsi="黑体" w:eastAsia="黑体"/>
          <w:color w:val="000000"/>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中国共产党无锡市梁溪区委员会政法委员会（本级）</w:t>
      </w:r>
      <w:r>
        <w:rPr>
          <w:rFonts w:hint="eastAsia" w:ascii="宋体" w:hAnsi="宋体"/>
          <w:color w:val="000000"/>
          <w:sz w:val="24"/>
          <w:szCs w:val="24"/>
        </w:rPr>
        <w:t xml:space="preserve">的委托，无锡市公共资源交易中心梁溪分中心就</w:t>
      </w:r>
      <w:r>
        <w:rPr>
          <w:rFonts w:hint="eastAsia" w:ascii="宋体" w:hAnsi="宋体"/>
          <w:color w:val="000000"/>
          <w:sz w:val="24"/>
          <w:szCs w:val="24"/>
          <w:lang w:eastAsia="zh-CN"/>
        </w:rPr>
        <w:t xml:space="preserve">无锡市梁溪区网格化联动处置系统提升完善信息化项目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JSZC-320213-JZCG-G2025-0019</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无锡市梁溪区网格化联动处置系统提升完善信息化项目</w:t>
      </w:r>
      <w:r>
        <w:rPr>
          <w:rFonts w:hint="eastAsia" w:ascii="宋体" w:hAnsi="宋体"/>
          <w:color w:val="000000"/>
          <w:sz w:val="24"/>
          <w:szCs w:val="24"/>
        </w:rPr>
        <w:t xml:space="preserve">的潜在投标人应在“无锡政府采购网”“江苏政府采购网”自行浏览招标文件，如有投标意向须在本招标文件有效获取期内通过登录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w:t>
      </w:r>
      <w:r>
        <w:rPr>
          <w:rFonts w:hint="eastAsia" w:ascii="宋体" w:hAnsi="宋体"/>
          <w:color w:val="000000"/>
          <w:sz w:val="24"/>
          <w:szCs w:val="24"/>
        </w:rPr>
        <w:t xml:space="preserve">2025年5月9日09点30分（北京时间）</w:t>
      </w:r>
      <w:r>
        <w:rPr>
          <w:rFonts w:hint="eastAsia" w:ascii="宋体" w:hAnsi="宋体"/>
          <w:color w:val="000000"/>
          <w:sz w:val="24"/>
          <w:szCs w:val="24"/>
        </w:rPr>
      </w:r>
      <w:r>
        <w:rPr>
          <w:rFonts w:hint="eastAsia" w:ascii="宋体" w:hAnsi="宋体"/>
          <w:bCs/>
          <w:color w:val="000000"/>
          <w:sz w:val="24"/>
          <w:szCs w:val="24"/>
        </w:rPr>
        <w:t xml:space="preserve">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6" w:name="_Toc35393621"/>
      <w:r/>
      <w:bookmarkStart w:id="7" w:name="_Toc35393790"/>
      <w:r/>
      <w:bookmarkStart w:id="8" w:name="_Toc28359002"/>
      <w:r/>
      <w:bookmarkStart w:id="9" w:name="_Toc38985263"/>
      <w:r/>
      <w:bookmarkStart w:id="10" w:name="_Toc28359079"/>
      <w:r/>
      <w:bookmarkStart w:id="11" w:name="_Hlk24379207"/>
      <w:r>
        <w:rPr>
          <w:rFonts w:hint="eastAsia" w:ascii="宋体" w:hAnsi="宋体" w:eastAsia="宋体" w:cs="Times New Roman"/>
          <w:b/>
          <w:bCs/>
          <w:color w:val="000000"/>
          <w:sz w:val="30"/>
          <w:szCs w:val="30"/>
          <w:lang w:val="en-US" w:eastAsia="zh-CN" w:bidi="ar-SA"/>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JSZC-320213-JZCG-G2025-0019</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无锡市梁溪区网格化联动处置系统提升完善信息化项目</w:t>
      </w:r>
      <w:bookmarkEnd w:id="11"/>
      <w:r/>
      <w:r/>
    </w:p>
    <w:p>
      <w:pPr>
        <w:ind w:firstLine="480"/>
        <w:spacing w:line="500" w:lineRule="exact"/>
        <w:rPr>
          <w:rFonts w:ascii="宋体" w:hAnsi="宋体" w:cs="宋体"/>
          <w:color w:val="000000"/>
          <w:sz w:val="24"/>
          <w:szCs w:val="24"/>
        </w:rPr>
      </w:pPr>
      <w:r>
        <w:rPr>
          <w:rFonts w:hint="eastAsia" w:ascii="宋体" w:hAnsi="宋体"/>
          <w:color w:val="000000"/>
          <w:sz w:val="24"/>
          <w:szCs w:val="24"/>
        </w:rPr>
        <w:t xml:space="preserve">3.项目预</w:t>
      </w:r>
      <w:r>
        <w:rPr>
          <w:rFonts w:hint="eastAsia" w:ascii="宋体" w:hAnsi="宋体" w:cs="宋体"/>
          <w:color w:val="000000"/>
          <w:sz w:val="24"/>
          <w:szCs w:val="24"/>
        </w:rPr>
        <w:t xml:space="preserve">算金额：178.5924万元</w:t>
      </w:r>
      <w:r/>
    </w:p>
    <w:p>
      <w:pPr>
        <w:ind w:firstLine="480"/>
        <w:spacing w:line="500" w:lineRule="exact"/>
        <w:rPr>
          <w:rFonts w:ascii="宋体" w:hAnsi="宋体"/>
          <w:color w:val="000000"/>
          <w:sz w:val="24"/>
          <w:szCs w:val="24"/>
        </w:rPr>
      </w:pPr>
      <w:r>
        <w:rPr>
          <w:rFonts w:hint="eastAsia" w:ascii="宋体" w:hAnsi="宋体" w:cs="宋体"/>
          <w:color w:val="000000"/>
          <w:sz w:val="24"/>
          <w:szCs w:val="24"/>
        </w:rPr>
        <w:t xml:space="preserve">4.项目最高限价：178.5924万元</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5.采购需求：</w:t>
      </w:r>
      <w:r>
        <w:rPr>
          <w:rFonts w:hint="eastAsia" w:ascii="宋体" w:hAnsi="宋体" w:cs="宋体"/>
          <w:color w:val="000000"/>
          <w:sz w:val="24"/>
          <w:szCs w:val="24"/>
        </w:rPr>
        <w:t xml:space="preserve">详见招标文件第四章《采购需求》</w:t>
      </w:r>
      <w:r/>
    </w:p>
    <w:p>
      <w:pPr>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详见招标文件第四章《采购需求》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7.采购方式：公开招标</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8.采购人：</w:t>
      </w:r>
      <w:r>
        <w:rPr>
          <w:rFonts w:hint="eastAsia" w:ascii="宋体" w:hAnsi="宋体"/>
          <w:color w:val="000000"/>
          <w:sz w:val="24"/>
          <w:szCs w:val="24"/>
          <w:lang w:eastAsia="zh-CN"/>
        </w:rPr>
        <w:t xml:space="preserve">中国共产党无锡市梁溪区委员会政法委员会（本级）</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s="宋体"/>
          <w:bCs/>
          <w:color w:val="000000"/>
          <w:sz w:val="24"/>
          <w:szCs w:val="24"/>
          <w:highlight w:val="none"/>
        </w:rPr>
        <w:t xml:space="preserve">9.本项目是否专门面向中小企业：</w:t>
      </w:r>
      <w:r>
        <w:rPr>
          <w:rFonts w:hint="eastAsia" w:ascii="宋体" w:hAnsi="宋体" w:cs="宋体"/>
          <w:b/>
          <w:color w:val="000000"/>
          <w:sz w:val="24"/>
          <w:szCs w:val="24"/>
          <w:highlight w:val="none"/>
          <w:lang w:eastAsia="zh-CN"/>
        </w:rPr>
        <w:t xml:space="preserve">否</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10.本项目</w:t>
      </w:r>
      <w:r>
        <w:rPr>
          <w:rFonts w:hint="eastAsia" w:ascii="宋体" w:hAnsi="宋体"/>
          <w:b/>
          <w:bCs w:val="0"/>
          <w:color w:val="000000"/>
          <w:sz w:val="24"/>
          <w:szCs w:val="24"/>
          <w:highlight w:val="none"/>
        </w:rPr>
        <w:t xml:space="preserve">不接受</w:t>
      </w:r>
      <w:r>
        <w:rPr>
          <w:rFonts w:hint="eastAsia" w:ascii="宋体" w:hAnsi="宋体"/>
          <w:color w:val="000000"/>
          <w:sz w:val="24"/>
          <w:szCs w:val="24"/>
          <w:highlight w:val="none"/>
        </w:rPr>
        <w:t xml:space="preserve">联合体投标。</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12" w:name="_Toc35393791"/>
      <w:r/>
      <w:bookmarkStart w:id="13" w:name="_Toc28359003"/>
      <w:r/>
      <w:bookmarkStart w:id="14" w:name="_Toc35393622"/>
      <w:r/>
      <w:bookmarkStart w:id="15" w:name="_Toc28359080"/>
      <w:r/>
      <w:bookmarkStart w:id="16" w:name="_Toc38985264"/>
      <w:r>
        <w:rPr>
          <w:rFonts w:hint="eastAsia" w:ascii="宋体" w:hAnsi="宋体" w:eastAsia="宋体" w:cs="Times New Roman"/>
          <w:b/>
          <w:bCs/>
          <w:color w:val="000000"/>
          <w:sz w:val="30"/>
          <w:szCs w:val="30"/>
          <w:lang w:val="en-US" w:eastAsia="zh-CN" w:bidi="ar-SA"/>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宋体" w:hAnsi="宋体"/>
          <w:color w:val="000000"/>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eastAsia="宋体"/>
          <w:sz w:val="24"/>
          <w:szCs w:val="24"/>
          <w:lang w:val="en-US" w:eastAsia="zh-CN"/>
        </w:rPr>
        <w:outlineLvl w:val="9"/>
      </w:pPr>
      <w:r>
        <w:rPr>
          <w:rFonts w:hint="eastAsia" w:ascii="宋体" w:hAnsi="宋体"/>
          <w:sz w:val="24"/>
          <w:szCs w:val="24"/>
        </w:rPr>
        <w:t xml:space="preserve">2.1中小企业政策：</w:t>
      </w:r>
      <w:r>
        <w:rPr>
          <w:rFonts w:hint="eastAsia" w:ascii="宋体" w:hAnsi="宋体"/>
          <w:sz w:val="24"/>
          <w:szCs w:val="24"/>
          <w:lang w:eastAsia="zh-CN"/>
        </w:rPr>
        <w:t xml:space="preserve">无。</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3.本项目的特定资格要求：</w:t>
      </w:r>
      <w:r>
        <w:rPr>
          <w:rFonts w:hint="eastAsia" w:ascii="宋体" w:hAnsi="宋体" w:cs="宋体"/>
          <w:bCs/>
          <w:color w:val="000000"/>
          <w:sz w:val="24"/>
          <w:szCs w:val="24"/>
          <w:lang w:eastAsia="zh-CN"/>
        </w:rPr>
        <w:t xml:space="preserve">无</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p>
    <w:p>
      <w:pPr>
        <w:ind w:firstLine="540"/>
        <w:spacing w:line="500" w:lineRule="exact"/>
        <w:rPr>
          <w:rFonts w:hint="eastAsia" w:ascii="宋体" w:hAnsi="宋体"/>
          <w:bCs/>
          <w:sz w:val="24"/>
          <w:szCs w:val="24"/>
        </w:rPr>
      </w:pPr>
      <w:r>
        <w:rPr>
          <w:rFonts w:hint="eastAsia" w:ascii="宋体" w:hAnsi="宋体"/>
          <w:bCs/>
          <w:color w:val="000000"/>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sz w:val="24"/>
          <w:szCs w:val="24"/>
        </w:rPr>
        <w:t xml:space="preserve">“江苏省政府采购（苏采云）平台”（http://jszfcg.jscz.gov.cn/jszc/login）获取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 xml:space="preserve">四、提交投标文件</w:t>
      </w:r>
      <w:bookmarkEnd w:id="22"/>
      <w:r/>
      <w:bookmarkEnd w:id="23"/>
      <w:r>
        <w:rPr>
          <w:rFonts w:hint="eastAsia" w:ascii="宋体" w:hAnsi="宋体" w:eastAsia="宋体" w:cs="Times New Roman"/>
          <w:b/>
          <w:bCs/>
          <w:color w:val="000000"/>
          <w:sz w:val="30"/>
          <w:szCs w:val="30"/>
          <w:lang w:val="en-US" w:eastAsia="zh-CN" w:bidi="ar-SA"/>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highlight w:val="yellow"/>
        </w:rPr>
      </w:pPr>
      <w:r>
        <w:rPr>
          <w:rFonts w:hint="eastAsia" w:ascii="宋体" w:hAnsi="宋体"/>
          <w:bCs/>
          <w:color w:val="000000"/>
          <w:sz w:val="24"/>
          <w:szCs w:val="24"/>
          <w:highlight w:val="none"/>
        </w:rPr>
        <w:t xml:space="preserve">1.时间：</w:t>
      </w:r>
      <w:r>
        <w:rPr>
          <w:rFonts w:hint="eastAsia" w:ascii="宋体" w:hAnsi="宋体"/>
          <w:bCs/>
          <w:sz w:val="24"/>
          <w:szCs w:val="24"/>
          <w:highlight w:val="none"/>
        </w:rPr>
        <w:t xml:space="preserve">2025年5月9日09点30分（北京时间）</w:t>
      </w:r>
      <w:r>
        <w:rPr>
          <w:rFonts w:hint="eastAsia" w:ascii="宋体" w:hAnsi="宋体"/>
          <w:bCs/>
          <w:sz w:val="24"/>
          <w:szCs w:val="24"/>
          <w:highlight w:val="none"/>
        </w:rPr>
      </w:r>
      <w:r/>
    </w:p>
    <w:p>
      <w:pPr>
        <w:ind w:firstLine="480"/>
        <w:spacing w:line="500" w:lineRule="exact"/>
        <w:rPr>
          <w:rFonts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27" w:name="_Toc28359084"/>
      <w:r/>
      <w:bookmarkStart w:id="28" w:name="_Toc38985267"/>
      <w:r/>
      <w:bookmarkStart w:id="29" w:name="_Toc28359007"/>
      <w:r/>
      <w:bookmarkStart w:id="30" w:name="_Toc35393625"/>
      <w:r/>
      <w:bookmarkStart w:id="31" w:name="_Toc35393794"/>
      <w:r>
        <w:rPr>
          <w:rFonts w:hint="eastAsia" w:ascii="宋体" w:hAnsi="宋体" w:eastAsia="宋体" w:cs="Times New Roman"/>
          <w:b/>
          <w:bCs/>
          <w:color w:val="000000"/>
          <w:sz w:val="30"/>
          <w:szCs w:val="30"/>
          <w:lang w:val="en-US" w:eastAsia="zh-CN" w:bidi="ar-SA"/>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（招标公告及招标文件公告期限）自本公告发布之日起5个工作日。</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 xml:space="preserve">六、其他补充事宜</w:t>
      </w:r>
      <w:bookmarkEnd w:id="32"/>
      <w:r/>
      <w:bookmarkEnd w:id="33"/>
      <w:r/>
      <w:bookmarkEnd w:id="3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35" w:name="_Toc28359085"/>
      <w:r/>
      <w:bookmarkStart w:id="36" w:name="_Toc35393627"/>
      <w:r/>
      <w:bookmarkStart w:id="37" w:name="_Toc35393796"/>
      <w:r/>
      <w:bookmarkStart w:id="38" w:name="_Toc28359008"/>
      <w:r/>
      <w:bookmarkStart w:id="39" w:name="_Toc38985269"/>
      <w:r>
        <w:rPr>
          <w:rFonts w:hint="eastAsia" w:ascii="宋体" w:hAnsi="宋体" w:eastAsia="宋体" w:cs="Times New Roman"/>
          <w:b/>
          <w:bCs/>
          <w:color w:val="000000"/>
          <w:sz w:val="30"/>
          <w:szCs w:val="30"/>
          <w:lang w:val="en-US" w:eastAsia="zh-CN" w:bidi="ar-SA"/>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中国共产党无锡市梁溪区委员会政法委员会（本级）</w:t>
      </w:r>
      <w:r>
        <w:rPr>
          <w:rFonts w:hint="eastAsia" w:ascii="宋体" w:hAnsi="宋体" w:cs="宋体"/>
          <w:color w:val="000000"/>
          <w:sz w:val="24"/>
          <w:szCs w:val="24"/>
        </w:rPr>
        <w:tab/>
      </w:r>
      <w:r/>
    </w:p>
    <w:p>
      <w:pPr>
        <w:ind w:firstLine="480"/>
        <w:spacing w:line="500" w:lineRule="exact"/>
        <w:rPr>
          <w:rFonts w:hint="eastAsia" w:ascii="宋体" w:hAnsi="宋体" w:eastAsia="宋体" w:cs="宋体"/>
          <w:color w:val="ff0000"/>
          <w:sz w:val="24"/>
          <w:szCs w:val="24"/>
          <w:highlight w:val="yellow"/>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lang w:eastAsia="zh-CN"/>
        </w:rPr>
        <w:t xml:space="preserve">无锡市梁溪区崇正路5号</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09"/>
      <w:r/>
      <w:bookmarkStart w:id="41" w:name="_Toc28359086"/>
      <w:r>
        <w:rPr>
          <w:rFonts w:hint="eastAsia" w:ascii="宋体" w:hAnsi="宋体" w:cs="宋体"/>
          <w:color w:val="000000"/>
          <w:sz w:val="24"/>
          <w:szCs w:val="24"/>
          <w:highlight w:val="none"/>
        </w:rPr>
        <w:t xml:space="preserve">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称：无锡市公共资源交易中心梁溪分中心</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址：无锡市梁溪区清名路380号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keepLines w:val="0"/>
        <w:keepNext w:val="0"/>
        <w:pageBreakBefore w:val="0"/>
        <w:spacing w:line="360" w:lineRule="auto"/>
        <w:widowControl w:val="off"/>
        <w:rPr>
          <w:rFonts w:hint="eastAsia" w:ascii="宋体" w:hAnsi="宋体" w:cs="宋体"/>
          <w:color w:val="000000"/>
          <w:sz w:val="24"/>
          <w:szCs w:val="24"/>
          <w:lang w:eastAsia="zh-CN"/>
        </w:rPr>
      </w:pPr>
      <w:r>
        <w:rPr>
          <w:rFonts w:hint="eastAsia" w:ascii="宋体" w:hAnsi="宋体" w:cs="宋体"/>
          <w:color w:val="000000"/>
          <w:sz w:val="24"/>
          <w:szCs w:val="24"/>
          <w:highlight w:val="none"/>
        </w:rPr>
        <w:t xml:space="preserve">采购人项目咨询</w:t>
      </w:r>
      <w:r>
        <w:rPr>
          <w:rFonts w:hint="eastAsia" w:ascii="宋体" w:hAnsi="宋体" w:cs="宋体"/>
          <w:color w:val="000000"/>
          <w:sz w:val="24"/>
          <w:szCs w:val="24"/>
        </w:rPr>
        <w:t xml:space="preserve">联系人：</w:t>
      </w:r>
      <w:r>
        <w:rPr>
          <w:rFonts w:hint="eastAsia" w:ascii="宋体" w:hAnsi="宋体" w:cs="宋体"/>
          <w:color w:val="000000"/>
          <w:sz w:val="24"/>
          <w:szCs w:val="24"/>
          <w:lang w:eastAsia="zh-CN"/>
        </w:rPr>
        <w:t xml:space="preserve">丁建平；电话：</w:t>
      </w:r>
      <w:r>
        <w:rPr>
          <w:rFonts w:hint="eastAsia" w:ascii="宋体" w:hAnsi="宋体" w:cs="宋体"/>
          <w:color w:val="000000"/>
          <w:sz w:val="24"/>
          <w:szCs w:val="24"/>
          <w:lang w:val="en-US" w:eastAsia="zh-CN"/>
        </w:rPr>
        <w:t xml:space="preserve">18800569260</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lang w:eastAsia="zh-CN"/>
        </w:rPr>
        <w:t xml:space="preserve">丁建平；电话：</w:t>
      </w:r>
      <w:r>
        <w:rPr>
          <w:rFonts w:hint="eastAsia" w:ascii="宋体" w:hAnsi="宋体" w:cs="宋体"/>
          <w:color w:val="000000"/>
          <w:sz w:val="24"/>
          <w:szCs w:val="24"/>
          <w:lang w:val="en-US" w:eastAsia="zh-CN"/>
        </w:rPr>
        <w:t xml:space="preserve">18800569260</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交易中心项目咨询联系人：</w:t>
      </w:r>
      <w:r>
        <w:rPr>
          <w:rFonts w:hint="eastAsia" w:ascii="宋体" w:hAnsi="宋体" w:cs="宋体"/>
          <w:color w:val="000000"/>
          <w:sz w:val="24"/>
          <w:szCs w:val="24"/>
          <w:lang w:eastAsia="zh-CN"/>
        </w:rPr>
        <w:t xml:space="preserve">刘智</w:t>
      </w:r>
      <w:r>
        <w:rPr>
          <w:rFonts w:hint="eastAsia" w:ascii="宋体" w:hAnsi="宋体" w:cs="宋体"/>
          <w:color w:val="000000"/>
          <w:sz w:val="24"/>
          <w:szCs w:val="24"/>
        </w:rPr>
        <w:t xml:space="preserve">；电话：0510-85058802</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 xml:space="preserve">八、其他</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hint="eastAsia" w:ascii="宋体" w:hAnsi="宋体"/>
          <w:bCs/>
          <w:color w:val="000000"/>
          <w:sz w:val="24"/>
          <w:szCs w:val="24"/>
          <w:lang w:eastAsia="zh-CN"/>
        </w:rPr>
        <w:t xml:space="preserve">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keepLines w:val="0"/>
        <w:keepNext w:val="0"/>
        <w:pageBreakBefore w:val="0"/>
        <w:spacing w:line="52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keepLines w:val="0"/>
        <w:keepNext w:val="0"/>
        <w:pageBreakBefore w:val="0"/>
        <w:spacing w:line="52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2"/>
        <w:keepLines w:val="0"/>
        <w:keepNext w:val="0"/>
        <w:pageBreakBefore w:val="0"/>
        <w:spacing w:line="520" w:lineRule="exact"/>
        <w:widowControl w:val="off"/>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（三）有关本次采购的事项若存在变动或修改，敬请及时关注无锡市公共资源交易中心梁溪分中心在“无锡政府采购网”“江苏政府采购网”发布的更正公告。</w:t>
      </w:r>
      <w:r/>
    </w:p>
    <w:p>
      <w:pPr>
        <w:ind w:firstLine="482"/>
        <w:keepLines w:val="0"/>
        <w:keepNext w:val="0"/>
        <w:pageBreakBefore w:val="0"/>
        <w:spacing w:line="520" w:lineRule="exact"/>
        <w:widowControl w:val="off"/>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p>
    <w:p>
      <w:pPr>
        <w:jc w:val="center"/>
        <w:spacing w:line="500" w:lineRule="exact"/>
        <w:tabs>
          <w:tab w:val="left" w:pos="1440" w:leader="none"/>
        </w:tabs>
        <w:rPr>
          <w:rFonts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color w:val="000000"/>
          <w:sz w:val="36"/>
          <w:szCs w:val="36"/>
        </w:rPr>
        <w:t xml:space="preserve">投标人须知</w:t>
      </w:r>
      <w:bookmarkEnd w:id="43"/>
      <w:r/>
      <w:bookmarkEnd w:id="44"/>
      <w:r/>
      <w:bookmarkEnd w:id="45"/>
      <w:r/>
      <w:bookmarkEnd w:id="46"/>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47" w:name="_Toc20823275"/>
      <w:r/>
      <w:bookmarkStart w:id="48" w:name="_Toc16938519"/>
      <w:r/>
      <w:bookmarkStart w:id="49" w:name="_Toc513029203"/>
      <w:r/>
      <w:bookmarkStart w:id="50" w:name="_Toc120614214"/>
      <w:r>
        <w:rPr>
          <w:rFonts w:hint="eastAsia" w:ascii="宋体" w:hAnsi="宋体" w:eastAsia="宋体" w:cs="Times New Roman"/>
          <w:b/>
          <w:bCs/>
          <w:color w:val="000000"/>
          <w:sz w:val="30"/>
          <w:szCs w:val="30"/>
          <w:lang w:val="en-US" w:eastAsia="zh-CN" w:bidi="ar-SA"/>
        </w:rPr>
        <w:t xml:space="preserve">一、总则</w:t>
      </w:r>
      <w:bookmarkEnd w:id="47"/>
      <w:r/>
      <w:bookmarkEnd w:id="48"/>
      <w:r/>
      <w:bookmarkEnd w:id="49"/>
      <w:r/>
      <w:bookmarkEnd w:id="50"/>
      <w:r/>
      <w:r/>
    </w:p>
    <w:p>
      <w:pPr>
        <w:pStyle w:val="933"/>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rPr>
        <w:t xml:space="preserve">1.招标方式</w:t>
      </w:r>
      <w:bookmarkEnd w:id="52"/>
      <w:r/>
      <w:bookmarkEnd w:id="53"/>
      <w:r/>
      <w:bookmarkEnd w:id="54"/>
      <w:r/>
      <w:r/>
    </w:p>
    <w:p>
      <w:pPr>
        <w:ind w:firstLine="480"/>
        <w:spacing w:line="5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933"/>
        <w:ind w:firstLine="422"/>
        <w:keepLines w:val="0"/>
        <w:keepNext w:val="0"/>
        <w:spacing w:before="0" w:after="0" w:line="500" w:lineRule="exact"/>
        <w:rPr>
          <w:rFonts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w:t>
      </w:r>
      <w:r>
        <w:rPr>
          <w:rFonts w:hint="eastAsia" w:ascii="宋体" w:hAnsi="宋体"/>
          <w:color w:val="000000"/>
          <w:sz w:val="24"/>
          <w:szCs w:val="24"/>
          <w:lang w:eastAsia="zh-CN"/>
        </w:rPr>
        <w:t xml:space="preserve">”“</w:t>
      </w:r>
      <w:r>
        <w:rPr>
          <w:rFonts w:hint="eastAsia" w:ascii="宋体" w:hAnsi="宋体"/>
          <w:color w:val="000000"/>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3"/>
        <w:ind w:firstLine="422"/>
        <w:keepLines w:val="0"/>
        <w:keepNext w:val="0"/>
        <w:spacing w:before="0" w:after="0" w:line="500" w:lineRule="exact"/>
        <w:rPr>
          <w:rFonts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
    </w:p>
    <w:p>
      <w:pPr>
        <w:ind w:firstLine="480"/>
        <w:spacing w:line="5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33"/>
        <w:ind w:firstLine="422"/>
        <w:keepLines w:val="0"/>
        <w:keepNext w:val="0"/>
        <w:spacing w:before="0" w:after="0" w:line="500" w:lineRule="exact"/>
        <w:rPr>
          <w:rFonts w:ascii="宋体" w:hAnsi="宋体" w:eastAsia="宋体"/>
          <w:bCs w:val="0"/>
          <w:color w:val="000000"/>
        </w:rPr>
      </w:pPr>
      <w:r/>
      <w:bookmarkStart w:id="61" w:name="_Toc513029207"/>
      <w:r/>
      <w:bookmarkStart w:id="62" w:name="_Toc20823279"/>
      <w:r/>
      <w:bookmarkStart w:id="63" w:name="_Toc16938523"/>
      <w:r/>
      <w:bookmarkStart w:id="64" w:name="_Toc462564067"/>
      <w:r>
        <w:rPr>
          <w:rFonts w:hint="eastAsia" w:ascii="宋体" w:hAnsi="宋体" w:eastAsia="宋体"/>
          <w:bCs w:val="0"/>
          <w:color w:val="000000"/>
        </w:rPr>
        <w:t xml:space="preserve">4.投标费用</w:t>
      </w:r>
      <w:bookmarkEnd w:id="61"/>
      <w:r/>
      <w:bookmarkEnd w:id="62"/>
      <w:r/>
      <w:bookmarkEnd w:id="63"/>
      <w:r/>
      <w:bookmarkEnd w:id="64"/>
      <w:r/>
      <w:r/>
    </w:p>
    <w:p>
      <w:pPr>
        <w:ind w:firstLine="480"/>
        <w:spacing w:line="5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投标人应自行承担所有与参加投标有关的费用，无论投标过程中的做法和结果如何，无锡市公共资源交易中心梁溪分中心（以下简称交易中心）在任何情况下均无义务和责任承担这些费用。</w:t>
      </w:r>
      <w:r/>
    </w:p>
    <w:p>
      <w:pPr>
        <w:ind w:firstLine="480"/>
        <w:spacing w:line="500" w:lineRule="exact"/>
        <w:rPr>
          <w:rFonts w:ascii="宋体" w:hAnsi="宋体"/>
          <w:color w:val="000000"/>
          <w:sz w:val="24"/>
        </w:rPr>
      </w:pPr>
      <w:r>
        <w:rPr>
          <w:rFonts w:hint="eastAsia" w:ascii="宋体" w:hAnsi="宋体"/>
          <w:color w:val="000000"/>
          <w:sz w:val="24"/>
        </w:rPr>
        <w:t xml:space="preserve">4.2本次招标标书工本费、中标服务费、招标文件均免费。</w:t>
      </w:r>
      <w:r/>
    </w:p>
    <w:p>
      <w:pPr>
        <w:pStyle w:val="933"/>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5.招标文件的约束力</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65" w:name="_Toc513029209"/>
      <w:r/>
      <w:bookmarkStart w:id="66" w:name="_Toc20823281"/>
      <w:r/>
      <w:bookmarkStart w:id="67" w:name="_Toc120614215"/>
      <w:r/>
      <w:bookmarkStart w:id="68" w:name="_Toc16938525"/>
      <w:r>
        <w:rPr>
          <w:rFonts w:hint="eastAsia" w:ascii="宋体" w:hAnsi="宋体" w:eastAsia="宋体" w:cs="Times New Roman"/>
          <w:b/>
          <w:bCs/>
          <w:color w:val="000000"/>
          <w:sz w:val="30"/>
          <w:szCs w:val="30"/>
          <w:lang w:val="en-US" w:eastAsia="zh-CN" w:bidi="ar-SA"/>
        </w:rPr>
        <w:t xml:space="preserve">二、招标文件</w:t>
      </w:r>
      <w:bookmarkEnd w:id="65"/>
      <w:r/>
      <w:bookmarkEnd w:id="66"/>
      <w:r/>
      <w:bookmarkEnd w:id="67"/>
      <w:r/>
      <w:bookmarkEnd w:id="68"/>
      <w:r/>
      <w:r/>
    </w:p>
    <w:p>
      <w:pPr>
        <w:pStyle w:val="933"/>
        <w:ind w:firstLine="422"/>
        <w:keepLines w:val="0"/>
        <w:keepNext w:val="0"/>
        <w:spacing w:before="0" w:after="0" w:line="500" w:lineRule="exact"/>
        <w:rPr>
          <w:rFonts w:ascii="宋体" w:hAnsi="宋体" w:eastAsia="宋体"/>
          <w:bCs w:val="0"/>
          <w:color w:val="000000"/>
          <w:highlight w:val="none"/>
        </w:rPr>
      </w:pPr>
      <w:r/>
      <w:bookmarkStart w:id="69" w:name="_Toc513029210"/>
      <w:r/>
      <w:bookmarkStart w:id="70" w:name="_Toc20823282"/>
      <w:r/>
      <w:bookmarkStart w:id="71" w:name="_Toc16938526"/>
      <w:r>
        <w:rPr>
          <w:rFonts w:hint="eastAsia" w:ascii="宋体" w:hAnsi="宋体" w:eastAsia="宋体"/>
          <w:bCs w:val="0"/>
          <w:color w:val="000000"/>
          <w:highlight w:val="none"/>
        </w:rPr>
        <w:t xml:space="preserve">6.招标文件构成</w:t>
      </w:r>
      <w:bookmarkEnd w:id="69"/>
      <w:r/>
      <w:bookmarkEnd w:id="70"/>
      <w:r/>
      <w:bookmarkEnd w:id="71"/>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500" w:lineRule="exact"/>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3"/>
        <w:ind w:firstLine="422"/>
        <w:keepLines w:val="0"/>
        <w:keepNext w:val="0"/>
        <w:spacing w:before="0" w:after="0" w:line="500" w:lineRule="exact"/>
        <w:rPr>
          <w:rFonts w:ascii="宋体" w:hAnsi="宋体" w:eastAsia="宋体"/>
          <w:bCs w:val="0"/>
          <w:color w:val="000000"/>
        </w:rPr>
      </w:pPr>
      <w:r/>
      <w:bookmarkStart w:id="72" w:name="_Toc20823283"/>
      <w:r/>
      <w:bookmarkStart w:id="73" w:name="_Toc513029211"/>
      <w:r/>
      <w:bookmarkStart w:id="74" w:name="_Toc462564070"/>
      <w:r/>
      <w:bookmarkStart w:id="75" w:name="_Toc16938527"/>
      <w:r>
        <w:rPr>
          <w:rFonts w:hint="eastAsia" w:ascii="宋体" w:hAnsi="宋体" w:eastAsia="宋体"/>
          <w:bCs w:val="0"/>
          <w:color w:val="000000"/>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rPr>
          <w:rFonts w:hint="eastAsia" w:ascii="宋体" w:hAnsi="宋体"/>
          <w:bCs/>
          <w:color w:val="000000"/>
          <w:sz w:val="24"/>
        </w:rPr>
        <w:t xml:space="preserve">7.1交易中心根据采购人要求将于以下时间、地点公开组织召开开标前答疑会。投标人如有需要对招标文件要求澄清的问题，请于答疑会前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答疑会时间</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 xml:space="preserve">2025年4月21日10:30</w:t>
      </w:r>
      <w:r>
        <w:rPr>
          <w:rFonts w:hint="eastAsia" w:ascii="宋体" w:hAnsi="宋体"/>
          <w:bCs/>
          <w:color w:val="000000"/>
          <w:sz w:val="24"/>
          <w:szCs w:val="24"/>
          <w:highlight w:val="none"/>
        </w:rPr>
      </w:r>
      <w:r>
        <w:rPr>
          <w:highlight w:val="none"/>
        </w:rPr>
      </w:r>
    </w:p>
    <w:p>
      <w:pPr>
        <w:ind w:firstLine="480"/>
        <w:spacing w:line="500" w:lineRule="exact"/>
        <w:rPr>
          <w:rFonts w:ascii="宋体" w:hAnsi="宋体"/>
          <w:bCs/>
          <w:color w:val="000000"/>
          <w:sz w:val="24"/>
          <w:szCs w:val="24"/>
        </w:rPr>
      </w:pPr>
      <w:r>
        <w:rPr>
          <w:rFonts w:hint="eastAsia" w:ascii="宋体" w:hAnsi="宋体"/>
          <w:bCs/>
          <w:color w:val="000000"/>
          <w:sz w:val="24"/>
          <w:szCs w:val="24"/>
          <w:highlight w:val="none"/>
        </w:rPr>
        <w:t xml:space="preserve">答疑会地点：无锡市公共资源交易中心梁溪分</w:t>
      </w:r>
      <w:r>
        <w:rPr>
          <w:rFonts w:hint="eastAsia" w:ascii="宋体" w:hAnsi="宋体"/>
          <w:bCs/>
          <w:color w:val="000000"/>
          <w:sz w:val="24"/>
          <w:szCs w:val="24"/>
        </w:rPr>
        <w:t xml:space="preserve">中心开标一室（清名路380号6楼）</w:t>
      </w:r>
      <w:r/>
    </w:p>
    <w:p>
      <w:pPr>
        <w:pStyle w:val="933"/>
        <w:ind w:firstLine="422"/>
        <w:keepLines w:val="0"/>
        <w:keepNext w:val="0"/>
        <w:spacing w:before="0" w:after="0" w:line="500" w:lineRule="exact"/>
        <w:rPr>
          <w:rFonts w:ascii="宋体" w:hAnsi="宋体" w:eastAsia="宋体"/>
          <w:bCs w:val="0"/>
          <w:color w:val="000000"/>
        </w:rPr>
      </w:pPr>
      <w:r/>
      <w:bookmarkStart w:id="76" w:name="_Toc462564071"/>
      <w:r/>
      <w:bookmarkStart w:id="77" w:name="_Toc20823284"/>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80" w:name="_Toc120614216"/>
      <w:r/>
      <w:bookmarkStart w:id="81" w:name="_Toc16938529"/>
      <w:r/>
      <w:bookmarkStart w:id="82" w:name="_Toc462564072"/>
      <w:r/>
      <w:bookmarkStart w:id="83" w:name="_Toc513029213"/>
      <w:r/>
      <w:bookmarkStart w:id="84" w:name="_Toc20823285"/>
      <w:r>
        <w:rPr>
          <w:rFonts w:hint="eastAsia" w:ascii="宋体" w:hAnsi="宋体" w:eastAsia="宋体" w:cs="Times New Roman"/>
          <w:b/>
          <w:bCs/>
          <w:color w:val="000000"/>
          <w:sz w:val="30"/>
          <w:szCs w:val="30"/>
          <w:lang w:val="en-US" w:eastAsia="zh-CN" w:bidi="ar-SA"/>
        </w:rPr>
        <w:t xml:space="preserve">三、投标文件的编制</w:t>
      </w:r>
      <w:bookmarkEnd w:id="80"/>
      <w:r/>
      <w:bookmarkEnd w:id="81"/>
      <w:r/>
      <w:bookmarkEnd w:id="82"/>
      <w:r/>
      <w:bookmarkEnd w:id="83"/>
      <w:r/>
      <w:bookmarkEnd w:id="84"/>
      <w:r/>
      <w:r/>
    </w:p>
    <w:p>
      <w:pPr>
        <w:pStyle w:val="933"/>
        <w:ind w:firstLine="422"/>
        <w:keepLines w:val="0"/>
        <w:keepNext w:val="0"/>
        <w:spacing w:before="0" w:after="0" w:line="500" w:lineRule="exact"/>
        <w:rPr>
          <w:rFonts w:ascii="宋体" w:hAnsi="宋体" w:eastAsia="宋体"/>
          <w:bCs w:val="0"/>
          <w:color w:val="000000"/>
        </w:rPr>
      </w:pPr>
      <w:r/>
      <w:bookmarkStart w:id="85" w:name="_Toc20823286"/>
      <w:r/>
      <w:bookmarkStart w:id="86" w:name="_Toc513029214"/>
      <w:r/>
      <w:bookmarkStart w:id="87" w:name="_Toc462564073"/>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9.3投标文件由投标人按给定格式如实填写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编写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，须有法人</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盖章</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、法定代表人或法定代表人授权代表签字或盖章，方为有效，未尽事宜可自行补充。</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lang w:val="zh-CN"/>
        </w:rPr>
        <w:t xml:space="preserve">9.4如无特别说明，</w:t>
      </w:r>
      <w:r>
        <w:rPr>
          <w:rFonts w:hint="eastAsia" w:ascii="宋体" w:hAnsi="宋体"/>
          <w:bCs/>
          <w:color w:val="000000"/>
          <w:sz w:val="24"/>
          <w:szCs w:val="24"/>
        </w:rPr>
        <w:t xml:space="preserve">投标人报价一律以人民币为投标结算货币，结算单位为“元”。</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9.5投标文件格式部分，应由投标人按给定格式提供，不得更改。</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9.7投标费用自理。</w:t>
      </w:r>
      <w:r/>
    </w:p>
    <w:p>
      <w:pPr>
        <w:pStyle w:val="933"/>
        <w:ind w:firstLine="422"/>
        <w:keepLines w:val="0"/>
        <w:keepNext w:val="0"/>
        <w:spacing w:before="0" w:after="0" w:line="500" w:lineRule="exact"/>
        <w:rPr>
          <w:rFonts w:ascii="宋体" w:hAnsi="宋体" w:eastAsia="宋体"/>
          <w:bCs w:val="0"/>
          <w:color w:val="000000"/>
          <w:highlight w:val="none"/>
        </w:rPr>
      </w:pPr>
      <w:r/>
      <w:bookmarkStart w:id="89" w:name="_Toc16938531"/>
      <w:r/>
      <w:bookmarkStart w:id="90" w:name="_Toc20823287"/>
      <w:r/>
      <w:bookmarkStart w:id="91" w:name="_Toc462564074"/>
      <w:r/>
      <w:bookmarkStart w:id="92" w:name="_Toc513029215"/>
      <w:r>
        <w:rPr>
          <w:rFonts w:hint="eastAsia" w:ascii="宋体" w:hAnsi="宋体" w:eastAsia="宋体"/>
          <w:bCs w:val="0"/>
          <w:color w:val="000000"/>
          <w:highlight w:val="none"/>
        </w:rPr>
        <w:t xml:space="preserve">10.投标文件构成</w:t>
      </w:r>
      <w:bookmarkEnd w:id="89"/>
      <w:r/>
      <w:bookmarkEnd w:id="90"/>
      <w:r/>
      <w:bookmarkEnd w:id="91"/>
      <w:r/>
      <w:bookmarkEnd w:id="92"/>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spacing w:line="500" w:lineRule="exact"/>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933"/>
        <w:ind w:firstLine="422"/>
        <w:keepLines w:val="0"/>
        <w:keepNext w:val="0"/>
        <w:spacing w:before="0" w:after="0" w:line="500" w:lineRule="exact"/>
        <w:rPr>
          <w:rFonts w:ascii="宋体" w:hAnsi="宋体" w:eastAsia="宋体"/>
          <w:bCs w:val="0"/>
          <w:color w:val="000000"/>
        </w:rPr>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49090507"/>
      <w:r/>
      <w:bookmarkStart w:id="100" w:name="_Toc513029216"/>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sz w:val="24"/>
        </w:rPr>
      </w:pPr>
      <w:r/>
      <w:bookmarkStart w:id="102" w:name="_Toc49090508"/>
      <w:r/>
      <w:bookmarkStart w:id="103" w:name="_Toc14577355"/>
      <w:r>
        <w:rPr>
          <w:rFonts w:hint="eastAsia" w:ascii="宋体" w:hAnsi="宋体"/>
          <w:bCs/>
          <w:color w:val="000000"/>
          <w:sz w:val="24"/>
        </w:rPr>
        <w:t xml:space="preserve">11.1投标人应按照</w:t>
      </w:r>
      <w:r>
        <w:rPr>
          <w:rFonts w:hint="eastAsia" w:ascii="宋体" w:hAnsi="宋体"/>
          <w:bCs/>
          <w:color w:val="000000"/>
          <w:sz w:val="24"/>
          <w:lang w:eastAsia="zh-CN"/>
        </w:rPr>
        <w:t xml:space="preserve">法律法规</w:t>
      </w:r>
      <w:r>
        <w:rPr>
          <w:rFonts w:hint="eastAsia" w:ascii="宋体" w:hAnsi="宋体"/>
          <w:bCs/>
          <w:color w:val="000000"/>
          <w:sz w:val="24"/>
        </w:rPr>
        <w:t xml:space="preserve">、规章和规范性文件以及招标文件要求提交证明文件，证明其及投标标的符合招标文件规定。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933"/>
        <w:ind w:firstLine="422"/>
        <w:keepLines w:val="0"/>
        <w:keepNext w:val="0"/>
        <w:spacing w:before="0" w:after="0" w:line="500" w:lineRule="exact"/>
        <w:rPr>
          <w:rFonts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ind w:firstLine="480"/>
        <w:spacing w:line="500" w:lineRule="exact"/>
        <w:rPr>
          <w:rFonts w:ascii="宋体" w:hAnsi="宋体"/>
          <w:color w:val="000000"/>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33"/>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ind w:firstLine="480"/>
        <w:spacing w:line="500" w:lineRule="exact"/>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p>
    <w:p>
      <w:pPr>
        <w:ind w:firstLine="480"/>
        <w:spacing w:line="500" w:lineRule="exact"/>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33"/>
        <w:ind w:firstLine="422"/>
        <w:keepLines w:val="0"/>
        <w:keepNext w:val="0"/>
        <w:spacing w:before="0" w:after="0" w:line="500" w:lineRule="exact"/>
        <w:rPr>
          <w:rFonts w:ascii="宋体" w:hAnsi="宋体" w:eastAsia="宋体"/>
          <w:bCs w:val="0"/>
          <w:color w:val="000000"/>
        </w:rPr>
      </w:pPr>
      <w:r/>
      <w:bookmarkStart w:id="108" w:name="_Hlt26954848"/>
      <w:r/>
      <w:bookmarkEnd w:id="108"/>
      <w:r/>
      <w:bookmarkStart w:id="109" w:name="_Hlt26668983"/>
      <w:r/>
      <w:bookmarkEnd w:id="109"/>
      <w:r/>
      <w:bookmarkStart w:id="110" w:name="_Hlt26954731"/>
      <w:r/>
      <w:bookmarkEnd w:id="110"/>
      <w:r/>
      <w:bookmarkStart w:id="111" w:name="_Hlt26954846"/>
      <w:r/>
      <w:bookmarkEnd w:id="111"/>
      <w:r/>
      <w:bookmarkStart w:id="112" w:name="_Hlt26954844"/>
      <w:r/>
      <w:bookmarkEnd w:id="112"/>
      <w:r/>
      <w:bookmarkStart w:id="113" w:name="_Hlt26670482"/>
      <w:r/>
      <w:bookmarkEnd w:id="113"/>
      <w:r/>
      <w:bookmarkStart w:id="114" w:name="_Hlt26670403"/>
      <w:r/>
      <w:bookmarkEnd w:id="114"/>
      <w:r/>
      <w:bookmarkStart w:id="115" w:name="_Hlt26954842"/>
      <w:r/>
      <w:bookmarkEnd w:id="115"/>
      <w:r/>
      <w:bookmarkStart w:id="116" w:name="_Hlt26670486"/>
      <w:r/>
      <w:bookmarkEnd w:id="116"/>
      <w:r/>
      <w:bookmarkStart w:id="117" w:name="_Hlt26670425"/>
      <w:r/>
      <w:bookmarkEnd w:id="117"/>
      <w:r>
        <w:rPr>
          <w:rFonts w:hint="eastAsia" w:ascii="宋体" w:hAnsi="宋体" w:eastAsia="宋体"/>
          <w:bCs w:val="0"/>
          <w:color w:val="000000"/>
        </w:rPr>
        <w:t xml:space="preserve">14.投标偏离表</w:t>
      </w:r>
      <w:r/>
    </w:p>
    <w:p>
      <w:pPr>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933"/>
        <w:ind w:firstLine="422"/>
        <w:keepLines w:val="0"/>
        <w:keepNext w:val="0"/>
        <w:spacing w:before="0" w:after="0" w:line="500" w:lineRule="exact"/>
        <w:rPr>
          <w:rFonts w:ascii="宋体" w:hAnsi="宋体" w:eastAsia="宋体"/>
          <w:bCs w:val="0"/>
          <w:color w:val="000000"/>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color w:val="000000"/>
        </w:rPr>
        <w:t xml:space="preserve">15.投标有效期</w:t>
      </w:r>
      <w:bookmarkEnd w:id="121"/>
      <w:r/>
      <w:bookmarkEnd w:id="122"/>
      <w:r/>
      <w:r/>
    </w:p>
    <w:p>
      <w:pPr>
        <w:ind w:firstLine="480"/>
        <w:spacing w:line="500" w:lineRule="exact"/>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33"/>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16.投标有效期的延长</w:t>
      </w:r>
      <w:r/>
    </w:p>
    <w:p>
      <w:pPr>
        <w:ind w:firstLine="480"/>
        <w:spacing w:line="500" w:lineRule="exact"/>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123" w:name="_Hlt26954852"/>
      <w:r/>
      <w:bookmarkEnd w:id="123"/>
      <w:r/>
      <w:bookmarkStart w:id="124" w:name="_Hlt26954739"/>
      <w:r/>
      <w:bookmarkEnd w:id="124"/>
      <w:r/>
      <w:bookmarkStart w:id="125" w:name="_Toc120614217"/>
      <w:r/>
      <w:bookmarkStart w:id="126" w:name="_Toc513029224"/>
      <w:r/>
      <w:bookmarkStart w:id="127" w:name="_Toc16938540"/>
      <w:r/>
      <w:bookmarkStart w:id="128" w:name="_Toc20823296"/>
      <w:r>
        <w:rPr>
          <w:rFonts w:hint="eastAsia" w:ascii="宋体" w:hAnsi="宋体" w:eastAsia="宋体" w:cs="Times New Roman"/>
          <w:b/>
          <w:bCs/>
          <w:color w:val="000000"/>
          <w:sz w:val="30"/>
          <w:szCs w:val="30"/>
          <w:lang w:val="en-US" w:eastAsia="zh-CN" w:bidi="ar-SA"/>
        </w:rPr>
        <w:t xml:space="preserve">四、投标文件的递交</w:t>
      </w:r>
      <w:bookmarkEnd w:id="125"/>
      <w:r/>
      <w:bookmarkEnd w:id="126"/>
      <w:r/>
      <w:bookmarkEnd w:id="127"/>
      <w:r/>
      <w:bookmarkEnd w:id="128"/>
      <w:r/>
      <w:r/>
    </w:p>
    <w:p>
      <w:pPr>
        <w:pStyle w:val="933"/>
        <w:ind w:firstLine="422"/>
        <w:keepLines w:val="0"/>
        <w:keepNext w:val="0"/>
        <w:spacing w:before="0" w:after="0" w:line="500" w:lineRule="exact"/>
        <w:rPr>
          <w:rFonts w:ascii="宋体" w:hAnsi="宋体" w:eastAsia="宋体"/>
          <w:bCs w:val="0"/>
          <w:color w:val="000000"/>
        </w:rPr>
      </w:pPr>
      <w:r/>
      <w:bookmarkStart w:id="129" w:name="_Toc513029225"/>
      <w:r/>
      <w:bookmarkStart w:id="130" w:name="_Toc20823297"/>
      <w:r/>
      <w:bookmarkStart w:id="131" w:name="_Toc462564084"/>
      <w:r/>
      <w:bookmarkStart w:id="132" w:name="_Toc16938541"/>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ind w:firstLine="480"/>
        <w:spacing w:line="5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1029"/>
        <w:ind w:firstLine="480"/>
        <w:spacing w:line="5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
    </w:p>
    <w:p>
      <w:pPr>
        <w:pStyle w:val="933"/>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ind w:firstLine="480"/>
        <w:spacing w:line="500" w:lineRule="exact"/>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5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933"/>
        <w:ind w:firstLine="422"/>
        <w:keepLines w:val="0"/>
        <w:keepNext w:val="0"/>
        <w:spacing w:before="0" w:after="0" w:line="500" w:lineRule="exact"/>
        <w:rPr>
          <w:rFonts w:ascii="宋体" w:hAnsi="宋体" w:eastAsia="宋体"/>
          <w:bCs w:val="0"/>
          <w:color w:val="000000"/>
        </w:rPr>
      </w:pPr>
      <w:r/>
      <w:bookmarkStart w:id="136" w:name="_Toc513029227"/>
      <w:r/>
      <w:bookmarkStart w:id="137" w:name="_Toc20823299"/>
      <w:r/>
      <w:bookmarkStart w:id="138" w:name="_Toc16938543"/>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ind w:firstLine="480"/>
        <w:spacing w:line="5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933"/>
        <w:ind w:firstLine="422"/>
        <w:keepLines w:val="0"/>
        <w:keepNext w:val="0"/>
        <w:spacing w:before="0" w:after="0" w:line="500" w:lineRule="exact"/>
        <w:rPr>
          <w:rFonts w:ascii="宋体" w:hAnsi="宋体" w:eastAsia="宋体"/>
          <w:bCs w:val="0"/>
          <w:color w:val="000000"/>
        </w:rPr>
      </w:pPr>
      <w:r/>
      <w:bookmarkStart w:id="139" w:name="_Toc513029228"/>
      <w:r/>
      <w:bookmarkStart w:id="140" w:name="_Toc20823300"/>
      <w:r/>
      <w:bookmarkStart w:id="141" w:name="_Toc16938544"/>
      <w:r>
        <w:rPr>
          <w:rFonts w:hint="eastAsia" w:ascii="宋体" w:hAnsi="宋体" w:eastAsia="宋体"/>
          <w:bCs w:val="0"/>
          <w:color w:val="000000"/>
        </w:rPr>
        <w:t xml:space="preserve">20.投标文件的撤回和修改</w:t>
      </w:r>
      <w:bookmarkEnd w:id="139"/>
      <w:r/>
      <w:bookmarkEnd w:id="140"/>
      <w:r/>
      <w:bookmarkEnd w:id="141"/>
      <w:r/>
      <w:r/>
    </w:p>
    <w:p>
      <w:pPr>
        <w:ind w:firstLine="480"/>
        <w:spacing w:line="500" w:lineRule="exact"/>
        <w:rPr>
          <w:rFonts w:ascii="宋体" w:hAnsi="宋体"/>
          <w:color w:val="000000"/>
          <w:sz w:val="24"/>
        </w:rPr>
      </w:pPr>
      <w:r>
        <w:rPr>
          <w:rFonts w:hint="eastAsia" w:ascii="宋体" w:hAnsi="宋体"/>
          <w:color w:val="000000"/>
          <w:sz w:val="24"/>
        </w:rPr>
        <w:t xml:space="preserve">20.1投标文件的撤回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21.1.1电子投标文件的撤回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20.2投标文件的修改</w:t>
      </w:r>
      <w:r/>
    </w:p>
    <w:p>
      <w:pPr>
        <w:ind w:firstLine="480"/>
        <w:spacing w:line="500" w:lineRule="exact"/>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500" w:lineRule="exact"/>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142" w:name="_Toc20823301"/>
      <w:r/>
      <w:bookmarkStart w:id="143" w:name="_Toc120614218"/>
      <w:r/>
      <w:bookmarkStart w:id="144" w:name="_Toc16938545"/>
      <w:r/>
      <w:bookmarkStart w:id="145" w:name="_Toc513029229"/>
      <w:r>
        <w:rPr>
          <w:rFonts w:hint="eastAsia" w:ascii="宋体" w:hAnsi="宋体" w:eastAsia="宋体" w:cs="Times New Roman"/>
          <w:b/>
          <w:bCs/>
          <w:color w:val="000000"/>
          <w:sz w:val="30"/>
          <w:szCs w:val="30"/>
          <w:lang w:val="en-US" w:eastAsia="zh-CN" w:bidi="ar-SA"/>
        </w:rPr>
        <w:t xml:space="preserve">五、开标与评标</w:t>
      </w:r>
      <w:bookmarkEnd w:id="142"/>
      <w:r/>
      <w:bookmarkEnd w:id="143"/>
      <w:r/>
      <w:bookmarkEnd w:id="144"/>
      <w:r/>
      <w:bookmarkEnd w:id="145"/>
      <w:r/>
      <w:r/>
    </w:p>
    <w:p>
      <w:pPr>
        <w:pStyle w:val="933"/>
        <w:ind w:firstLine="422"/>
        <w:keepLines w:val="0"/>
        <w:keepNext w:val="0"/>
        <w:spacing w:before="0" w:after="0" w:line="500" w:lineRule="exact"/>
        <w:rPr>
          <w:rFonts w:ascii="宋体" w:hAnsi="宋体" w:eastAsia="宋体"/>
          <w:bCs w:val="0"/>
          <w:color w:val="000000"/>
        </w:rPr>
      </w:pPr>
      <w:r/>
      <w:bookmarkStart w:id="146" w:name="_Toc513029230"/>
      <w:r/>
      <w:bookmarkStart w:id="147" w:name="_Toc20823302"/>
      <w:r/>
      <w:bookmarkStart w:id="148" w:name="_Toc16938546"/>
      <w:r>
        <w:rPr>
          <w:rFonts w:hint="eastAsia" w:ascii="宋体" w:hAnsi="宋体" w:eastAsia="宋体"/>
          <w:bCs w:val="0"/>
          <w:color w:val="000000"/>
        </w:rPr>
        <w:t xml:space="preserve">21.开标</w:t>
      </w:r>
      <w:bookmarkEnd w:id="146"/>
      <w:r/>
      <w:bookmarkEnd w:id="147"/>
      <w:r/>
      <w:bookmarkEnd w:id="148"/>
      <w:r/>
      <w:r/>
    </w:p>
    <w:p>
      <w:pPr>
        <w:ind w:firstLine="480"/>
        <w:spacing w:line="500" w:lineRule="exact"/>
        <w:rPr>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500" w:lineRule="exact"/>
        <w:rPr>
          <w:rFonts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500" w:lineRule="exact"/>
        <w:rPr>
          <w:rFonts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lang w:eastAsia="zh-CN"/>
        </w:rPr>
        <w:t xml:space="preserve">涉及的</w:t>
      </w:r>
      <w:r>
        <w:rPr>
          <w:rFonts w:hint="eastAsia" w:ascii="宋体" w:hAnsi="宋体"/>
          <w:color w:val="000000"/>
          <w:sz w:val="24"/>
        </w:rPr>
        <w:t xml:space="preserve">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933"/>
        <w:ind w:firstLine="422"/>
        <w:keepLines w:val="0"/>
        <w:keepNext w:val="0"/>
        <w:spacing w:before="0" w:after="0" w:line="500" w:lineRule="exact"/>
        <w:rPr>
          <w:rFonts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ind w:firstLine="480"/>
        <w:spacing w:line="500" w:lineRule="exact"/>
        <w:rPr>
          <w:rFonts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p>
    <w:p>
      <w:pPr>
        <w:pStyle w:val="933"/>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23.评标过程的保密与公正</w:t>
      </w:r>
      <w:bookmarkEnd w:id="149"/>
      <w:r/>
      <w:bookmarkEnd w:id="150"/>
      <w:r/>
      <w:bookmarkEnd w:id="151"/>
      <w:r/>
      <w:r/>
    </w:p>
    <w:p>
      <w:pPr>
        <w:ind w:firstLine="480"/>
        <w:spacing w:line="500" w:lineRule="exact"/>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933"/>
        <w:ind w:firstLine="422"/>
        <w:keepLines w:val="0"/>
        <w:keepNext w:val="0"/>
        <w:spacing w:before="0" w:after="0" w:line="500" w:lineRule="exact"/>
        <w:rPr>
          <w:rFonts w:ascii="宋体" w:hAnsi="宋体" w:eastAsia="宋体"/>
          <w:bCs w:val="0"/>
          <w:color w:val="000000"/>
        </w:rPr>
      </w:pPr>
      <w:r/>
      <w:bookmarkStart w:id="152" w:name="_Toc20823304"/>
      <w:r/>
      <w:bookmarkStart w:id="153" w:name="_Toc16938548"/>
      <w:r/>
      <w:bookmarkStart w:id="154" w:name="_Toc513029232"/>
      <w:r>
        <w:rPr>
          <w:rFonts w:hint="eastAsia" w:ascii="宋体" w:hAnsi="宋体" w:eastAsia="宋体"/>
          <w:bCs w:val="0"/>
          <w:color w:val="000000"/>
        </w:rPr>
        <w:t xml:space="preserve">24.投标文件的澄清</w:t>
      </w:r>
      <w:bookmarkEnd w:id="152"/>
      <w:r/>
      <w:bookmarkEnd w:id="153"/>
      <w:r/>
      <w:bookmarkEnd w:id="154"/>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w:t>
      </w:r>
      <w:r>
        <w:rPr>
          <w:rFonts w:hint="eastAsia" w:ascii="宋体" w:hAnsi="宋体"/>
          <w:color w:val="000000"/>
          <w:sz w:val="24"/>
          <w:szCs w:val="24"/>
          <w:lang w:eastAsia="zh-CN"/>
        </w:rPr>
        <w:t xml:space="preserve">作出</w:t>
      </w:r>
      <w:r>
        <w:rPr>
          <w:rFonts w:hint="eastAsia" w:ascii="宋体" w:hAnsi="宋体"/>
          <w:color w:val="000000"/>
          <w:sz w:val="24"/>
          <w:szCs w:val="24"/>
        </w:rPr>
        <w:t xml:space="preserve">澄清、说明和补正，其风险由投标人自行承担。</w:t>
      </w:r>
      <w:r/>
    </w:p>
    <w:p>
      <w:pPr>
        <w:pStyle w:val="933"/>
        <w:ind w:firstLine="422"/>
        <w:keepLines w:val="0"/>
        <w:keepNext w:val="0"/>
        <w:spacing w:before="0" w:after="0" w:line="500" w:lineRule="exact"/>
        <w:rPr>
          <w:rFonts w:ascii="宋体" w:hAnsi="宋体" w:eastAsia="宋体"/>
          <w:bCs w:val="0"/>
          <w:color w:val="000000"/>
        </w:rPr>
      </w:pPr>
      <w:r/>
      <w:bookmarkStart w:id="155" w:name="_Toc20823305"/>
      <w:r/>
      <w:bookmarkStart w:id="156" w:name="_Toc16938549"/>
      <w:r/>
      <w:bookmarkStart w:id="157" w:name="_Toc513029233"/>
      <w:r>
        <w:rPr>
          <w:rFonts w:hint="eastAsia" w:ascii="宋体" w:hAnsi="宋体" w:eastAsia="宋体"/>
          <w:bCs w:val="0"/>
          <w:color w:val="000000"/>
        </w:rPr>
        <w:t xml:space="preserve">25.对投标文件的初审</w:t>
      </w:r>
      <w:bookmarkEnd w:id="155"/>
      <w:r/>
      <w:bookmarkEnd w:id="156"/>
      <w:r/>
      <w:bookmarkEnd w:id="157"/>
      <w:r/>
      <w:r/>
    </w:p>
    <w:p>
      <w:pPr>
        <w:ind w:firstLine="480"/>
        <w:spacing w:line="500" w:lineRule="exact"/>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500" w:lineRule="exact"/>
        <w:rPr>
          <w:rFonts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bCs/>
          <w:color w:val="000000"/>
          <w:sz w:val="24"/>
          <w:lang w:eastAsia="zh-CN"/>
        </w:rPr>
        <w:t xml:space="preserve">，</w:t>
      </w:r>
      <w:r>
        <w:rPr>
          <w:rFonts w:hint="eastAsia" w:ascii="宋体" w:hAnsi="宋体"/>
          <w:bCs/>
          <w:color w:val="000000"/>
          <w:sz w:val="24"/>
        </w:rPr>
        <w:t xml:space="preserve">联合体成员存在不良信用记录的，视同联合体存在不良应用记录。</w:t>
      </w:r>
      <w:r/>
    </w:p>
    <w:p>
      <w:pPr>
        <w:ind w:firstLine="480"/>
        <w:spacing w:line="500" w:lineRule="exact"/>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5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5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933"/>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ind w:left="479"/>
        <w:spacing w:line="500" w:lineRule="exact"/>
        <w:rPr>
          <w:rFonts w:ascii="宋体" w:hAnsi="宋体"/>
          <w:bCs/>
          <w:color w:val="000000"/>
          <w:sz w:val="24"/>
        </w:rPr>
      </w:pPr>
      <w:r/>
      <w:bookmarkStart w:id="161" w:name="_Toc16938551"/>
      <w:r/>
      <w:bookmarkStart w:id="162" w:name="_Toc513029235"/>
      <w:r/>
      <w:bookmarkStart w:id="163" w:name="_Toc20823307"/>
      <w:r>
        <w:rPr>
          <w:rFonts w:hint="eastAsia" w:ascii="宋体" w:hAnsi="宋体"/>
          <w:bCs/>
          <w:color w:val="000000"/>
          <w:sz w:val="24"/>
        </w:rPr>
        <w:t xml:space="preserve">26.1无效投标条款</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同一投标人提交两套（含两套）以上不同的投标报价的。</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www.ccgp.gov.cn</w:t>
      </w:r>
      <w:r>
        <w:rPr>
          <w:rFonts w:hint="eastAsia" w:ascii="宋体" w:hAnsi="宋体"/>
          <w:color w:val="000000"/>
          <w:sz w:val="24"/>
          <w:szCs w:val="24"/>
          <w:lang w:eastAsia="zh-CN"/>
        </w:rPr>
        <w:t xml:space="preserve">）</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项目（标项、标段、分包）投标总价超过本项目（标项、标段、分包）预算或最高限价的。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500" w:lineRule="exact"/>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500" w:lineRule="exact"/>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p>
    <w:p>
      <w:pPr>
        <w:ind w:firstLine="480"/>
        <w:spacing w:line="500" w:lineRule="exact"/>
        <w:rPr>
          <w:rFonts w:ascii="宋体" w:hAnsi="宋体"/>
          <w:bCs/>
          <w:color w:val="000000"/>
          <w:sz w:val="24"/>
        </w:rPr>
      </w:pPr>
      <w:r>
        <w:rPr>
          <w:rFonts w:hint="eastAsia" w:ascii="宋体" w:hAnsi="宋体"/>
          <w:bCs/>
          <w:color w:val="000000"/>
          <w:sz w:val="24"/>
          <w:szCs w:val="24"/>
        </w:rPr>
        <w:t xml:space="preserve">26.1.23投标文件内容不全或不符合招标文件中规定</w:t>
      </w:r>
      <w:r>
        <w:rPr>
          <w:rFonts w:hint="eastAsia" w:ascii="宋体" w:hAnsi="宋体"/>
          <w:bCs/>
          <w:color w:val="000000"/>
          <w:sz w:val="24"/>
          <w:szCs w:val="24"/>
          <w:lang w:eastAsia="zh-CN"/>
        </w:rPr>
        <w:t xml:space="preserve">的其他</w:t>
      </w:r>
      <w:r>
        <w:rPr>
          <w:rFonts w:hint="eastAsia" w:ascii="宋体" w:hAnsi="宋体"/>
          <w:bCs/>
          <w:color w:val="000000"/>
          <w:sz w:val="24"/>
          <w:szCs w:val="24"/>
        </w:rPr>
        <w:t xml:space="preserve">实质性要求和条件的</w:t>
      </w:r>
      <w:r/>
    </w:p>
    <w:p>
      <w:pPr>
        <w:ind w:firstLine="480"/>
        <w:spacing w:line="500" w:lineRule="exact"/>
        <w:rPr>
          <w:rFonts w:ascii="宋体" w:hAnsi="宋体"/>
          <w:bCs/>
          <w:color w:val="000000"/>
          <w:sz w:val="24"/>
        </w:rPr>
      </w:pPr>
      <w:r>
        <w:rPr>
          <w:rFonts w:hint="eastAsia" w:ascii="宋体" w:hAnsi="宋体"/>
          <w:bCs/>
          <w:color w:val="000000"/>
          <w:sz w:val="24"/>
        </w:rPr>
        <w:t xml:space="preserve">26.1.24其他</w:t>
      </w:r>
      <w:r>
        <w:rPr>
          <w:rFonts w:hint="eastAsia" w:ascii="宋体" w:hAnsi="宋体"/>
          <w:bCs/>
          <w:color w:val="000000"/>
          <w:sz w:val="24"/>
          <w:lang w:eastAsia="zh-CN"/>
        </w:rPr>
        <w:t xml:space="preserve">法律法规</w:t>
      </w:r>
      <w:r>
        <w:rPr>
          <w:rFonts w:hint="eastAsia" w:ascii="宋体" w:hAnsi="宋体"/>
          <w:bCs/>
          <w:color w:val="000000"/>
          <w:sz w:val="24"/>
        </w:rPr>
        <w:t xml:space="preserve">及本招标文件规定的属无效投标的情形。</w:t>
      </w:r>
      <w:r/>
    </w:p>
    <w:p>
      <w:pPr>
        <w:ind w:left="479"/>
        <w:spacing w:line="500" w:lineRule="exact"/>
        <w:rPr>
          <w:rFonts w:ascii="宋体" w:hAnsi="宋体"/>
          <w:bCs/>
          <w:color w:val="000000"/>
          <w:sz w:val="24"/>
        </w:rPr>
      </w:pPr>
      <w:r>
        <w:rPr>
          <w:rFonts w:hint="eastAsia" w:ascii="宋体" w:hAnsi="宋体"/>
          <w:bCs/>
          <w:color w:val="000000"/>
          <w:sz w:val="24"/>
        </w:rPr>
        <w:t xml:space="preserve">26.2废标条款</w:t>
      </w:r>
      <w:r/>
    </w:p>
    <w:p>
      <w:pPr>
        <w:ind w:left="479"/>
        <w:spacing w:line="500" w:lineRule="exact"/>
        <w:rPr>
          <w:rFonts w:ascii="宋体" w:hAnsi="宋体"/>
          <w:bCs/>
          <w:color w:val="000000"/>
          <w:sz w:val="24"/>
        </w:rPr>
      </w:pPr>
      <w:r>
        <w:rPr>
          <w:rFonts w:hint="eastAsia" w:ascii="宋体" w:hAnsi="宋体"/>
          <w:bCs/>
          <w:color w:val="000000"/>
          <w:sz w:val="24"/>
        </w:rPr>
        <w:t xml:space="preserve">26.2.1符合专业条件的供应商或者对招标文件</w:t>
      </w:r>
      <w:r>
        <w:rPr>
          <w:rFonts w:hint="eastAsia" w:ascii="宋体" w:hAnsi="宋体"/>
          <w:bCs/>
          <w:color w:val="000000"/>
          <w:sz w:val="24"/>
          <w:lang w:eastAsia="zh-CN"/>
        </w:rPr>
        <w:t xml:space="preserve">做</w:t>
      </w:r>
      <w:r>
        <w:rPr>
          <w:rFonts w:hint="eastAsia" w:ascii="宋体" w:hAnsi="宋体"/>
          <w:bCs/>
          <w:color w:val="000000"/>
          <w:sz w:val="24"/>
        </w:rPr>
        <w:t xml:space="preserve">实质响应的供应商不足三家的。26.2.2出现影响采购公正的违法、违规行为的。</w:t>
      </w:r>
      <w:r/>
    </w:p>
    <w:p>
      <w:pPr>
        <w:ind w:left="479"/>
        <w:spacing w:line="500" w:lineRule="exact"/>
        <w:rPr>
          <w:rFonts w:ascii="宋体" w:hAnsi="宋体"/>
          <w:bCs/>
          <w:color w:val="000000"/>
          <w:sz w:val="24"/>
        </w:rPr>
      </w:pPr>
      <w:r>
        <w:rPr>
          <w:rFonts w:hint="eastAsia" w:ascii="宋体" w:hAnsi="宋体"/>
          <w:bCs/>
          <w:color w:val="000000"/>
          <w:sz w:val="24"/>
        </w:rPr>
        <w:t xml:space="preserve">26.2.3因重大变故，采购任务取消的。</w:t>
      </w:r>
      <w:r/>
    </w:p>
    <w:p>
      <w:pPr>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500" w:lineRule="exact"/>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500" w:lineRule="exact"/>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500" w:lineRule="exact"/>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ind w:firstLine="480"/>
        <w:spacing w:line="500" w:lineRule="exact"/>
        <w:rPr>
          <w:rFonts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164" w:name="_Toc120614219"/>
      <w:r>
        <w:rPr>
          <w:rFonts w:hint="eastAsia" w:ascii="宋体" w:hAnsi="宋体" w:eastAsia="宋体" w:cs="Times New Roman"/>
          <w:b/>
          <w:bCs/>
          <w:color w:val="000000"/>
          <w:sz w:val="30"/>
          <w:szCs w:val="30"/>
          <w:lang w:val="en-US" w:eastAsia="zh-CN" w:bidi="ar-SA"/>
        </w:rPr>
        <w:t xml:space="preserve">六、</w:t>
      </w:r>
      <w:bookmarkEnd w:id="161"/>
      <w:r/>
      <w:bookmarkEnd w:id="162"/>
      <w:r/>
      <w:bookmarkEnd w:id="163"/>
      <w:r>
        <w:rPr>
          <w:rFonts w:hint="eastAsia" w:ascii="宋体" w:hAnsi="宋体" w:eastAsia="宋体" w:cs="Times New Roman"/>
          <w:b/>
          <w:bCs/>
          <w:color w:val="000000"/>
          <w:sz w:val="30"/>
          <w:szCs w:val="30"/>
          <w:lang w:val="en-US" w:eastAsia="zh-CN" w:bidi="ar-SA"/>
        </w:rPr>
        <w:t xml:space="preserve">定标</w:t>
      </w:r>
      <w:bookmarkEnd w:id="164"/>
      <w:r/>
      <w:r/>
    </w:p>
    <w:p>
      <w:pPr>
        <w:pStyle w:val="933"/>
        <w:ind w:firstLine="422"/>
        <w:keepLines w:val="0"/>
        <w:keepNext w:val="0"/>
        <w:spacing w:before="0" w:after="0" w:line="500" w:lineRule="exact"/>
        <w:rPr>
          <w:rFonts w:ascii="宋体" w:hAnsi="宋体" w:eastAsia="宋体"/>
          <w:bCs w:val="0"/>
          <w:color w:val="000000"/>
        </w:rPr>
      </w:pPr>
      <w:r/>
      <w:bookmarkStart w:id="165" w:name="_Toc513029238"/>
      <w:r/>
      <w:bookmarkStart w:id="166" w:name="_Toc16938554"/>
      <w:r/>
      <w:bookmarkStart w:id="167" w:name="_Toc20823310"/>
      <w:r>
        <w:rPr>
          <w:rFonts w:hint="eastAsia" w:ascii="宋体" w:hAnsi="宋体" w:eastAsia="宋体"/>
          <w:bCs w:val="0"/>
          <w:color w:val="000000"/>
        </w:rPr>
        <w:t xml:space="preserve">27、</w:t>
      </w:r>
      <w:bookmarkEnd w:id="165"/>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ind w:firstLine="480"/>
        <w:spacing w:line="500" w:lineRule="exact"/>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rPr>
      </w:pPr>
      <w:r>
        <w:rPr>
          <w:rFonts w:hint="eastAsia" w:ascii="宋体" w:hAnsi="宋体"/>
          <w:bCs/>
          <w:color w:val="000000"/>
          <w:sz w:val="24"/>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27.4中标无效的确认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933"/>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28.质疑处理</w:t>
      </w:r>
      <w:bookmarkEnd w:id="168"/>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28.1 </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的供应商应当是参与所质疑项目采购活动的供应商。潜在供应商依法获取其可质疑的采购文件的，可以对采购文件</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，供应商因未按该规定以相应事项向相应机构</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w:t>
      </w:r>
      <w:r>
        <w:rPr>
          <w:rFonts w:hint="eastAsia" w:ascii="宋体" w:hAnsi="宋体"/>
          <w:color w:val="000000"/>
          <w:sz w:val="24"/>
          <w:szCs w:val="24"/>
          <w:lang w:eastAsia="zh-CN"/>
        </w:rPr>
        <w:t xml:space="preserve">质疑</w:t>
      </w:r>
      <w:r>
        <w:rPr>
          <w:rFonts w:ascii="宋体" w:hAnsi="宋体"/>
          <w:color w:val="000000"/>
          <w:sz w:val="24"/>
          <w:szCs w:val="24"/>
        </w:rPr>
        <w:t xml:space="preserve">的，为收到采购文件之日或者采购文件公告期限届满之日；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w:t>
      </w:r>
      <w:r>
        <w:rPr>
          <w:rFonts w:hint="eastAsia" w:ascii="宋体" w:hAnsi="宋体"/>
          <w:color w:val="000000"/>
          <w:sz w:val="24"/>
          <w:szCs w:val="24"/>
          <w:lang w:eastAsia="zh-CN"/>
        </w:rPr>
        <w:t xml:space="preserve">质疑</w:t>
      </w:r>
      <w:r>
        <w:rPr>
          <w:rFonts w:ascii="宋体" w:hAnsi="宋体"/>
          <w:color w:val="000000"/>
          <w:sz w:val="24"/>
          <w:szCs w:val="24"/>
        </w:rPr>
        <w:t xml:space="preserve">的，为各采购程序环节结束之日；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w:t>
      </w:r>
      <w:r>
        <w:rPr>
          <w:rFonts w:hint="eastAsia" w:ascii="宋体" w:hAnsi="宋体"/>
          <w:color w:val="000000"/>
          <w:sz w:val="24"/>
          <w:szCs w:val="24"/>
          <w:lang w:eastAsia="zh-CN"/>
        </w:rPr>
        <w:t xml:space="preserve">质疑</w:t>
      </w:r>
      <w:r>
        <w:rPr>
          <w:rFonts w:ascii="宋体" w:hAnsi="宋体"/>
          <w:color w:val="000000"/>
          <w:sz w:val="24"/>
          <w:szCs w:val="24"/>
        </w:rPr>
        <w:t xml:space="preserve">的，为中标或者成交结果公告期限届满之日。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采购人、交易中心只接收以纸质原件形式送达的质疑</w:t>
      </w:r>
      <w:r>
        <w:rPr>
          <w:rFonts w:hint="eastAsia" w:ascii="宋体" w:hAnsi="宋体"/>
          <w:color w:val="000000"/>
          <w:sz w:val="24"/>
          <w:szCs w:val="24"/>
          <w:lang w:eastAsia="zh-CN"/>
        </w:rPr>
        <w:t xml:space="preserve">，</w:t>
      </w:r>
      <w:r>
        <w:rPr>
          <w:rFonts w:hint="eastAsia" w:ascii="宋体" w:hAnsi="宋体"/>
          <w:color w:val="000000"/>
          <w:sz w:val="24"/>
          <w:szCs w:val="24"/>
        </w:rPr>
        <w:t xml:space="preserve">质疑供应商可通过面交或邮寄方式送达（采购人和交易中心不接受未填写快递运单的快件）。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933"/>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29.中标通知书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w:t>
      </w:r>
      <w:r>
        <w:rPr>
          <w:rFonts w:hint="eastAsia" w:ascii="宋体" w:hAnsi="宋体"/>
          <w:color w:val="000000"/>
          <w:sz w:val="24"/>
          <w:szCs w:val="24"/>
          <w:lang w:eastAsia="zh-CN"/>
        </w:rPr>
        <w:t xml:space="preserve">，</w:t>
      </w:r>
      <w:r>
        <w:rPr>
          <w:rFonts w:hint="eastAsia" w:ascii="宋体" w:hAnsi="宋体"/>
          <w:color w:val="000000"/>
          <w:sz w:val="24"/>
          <w:szCs w:val="24"/>
        </w:rPr>
        <w:t xml:space="preserve">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32"/>
        <w:ind w:firstLine="452"/>
        <w:jc w:val="left"/>
        <w:keepLines w:val="0"/>
        <w:keepNext w:val="0"/>
        <w:spacing w:before="0" w:after="0" w:line="500" w:lineRule="exact"/>
        <w:rPr>
          <w:rFonts w:hint="eastAsia" w:ascii="宋体" w:hAnsi="宋体" w:eastAsia="宋体" w:cs="Times New Roman"/>
          <w:b/>
          <w:bCs/>
          <w:color w:val="000000"/>
          <w:sz w:val="30"/>
          <w:szCs w:val="30"/>
          <w:lang w:val="en-US" w:eastAsia="zh-CN" w:bidi="ar-SA"/>
        </w:rPr>
      </w:pPr>
      <w:r/>
      <w:bookmarkStart w:id="169" w:name="_Toc120614220"/>
      <w:r/>
      <w:bookmarkStart w:id="170" w:name="_Toc513029236"/>
      <w:r/>
      <w:bookmarkStart w:id="171" w:name="_Toc16938552"/>
      <w:r/>
      <w:bookmarkStart w:id="172" w:name="_Toc20823308"/>
      <w:r>
        <w:rPr>
          <w:rFonts w:hint="eastAsia" w:ascii="宋体" w:hAnsi="宋体" w:eastAsia="宋体" w:cs="Times New Roman"/>
          <w:b/>
          <w:bCs/>
          <w:color w:val="000000"/>
          <w:sz w:val="30"/>
          <w:szCs w:val="30"/>
          <w:lang w:val="en-US" w:eastAsia="zh-CN" w:bidi="ar-SA"/>
        </w:rPr>
        <w:t xml:space="preserve">七、授予合同</w:t>
      </w:r>
      <w:bookmarkEnd w:id="169"/>
      <w:r/>
      <w:bookmarkEnd w:id="170"/>
      <w:r/>
      <w:bookmarkEnd w:id="171"/>
      <w:r/>
      <w:bookmarkEnd w:id="172"/>
      <w:r/>
      <w:r/>
    </w:p>
    <w:p>
      <w:pPr>
        <w:pStyle w:val="933"/>
        <w:ind w:firstLine="422"/>
        <w:keepLines w:val="0"/>
        <w:keepNext w:val="0"/>
        <w:spacing w:before="0" w:after="0" w:line="500" w:lineRule="exact"/>
        <w:rPr>
          <w:rFonts w:ascii="宋体" w:hAnsi="宋体" w:eastAsia="宋体"/>
          <w:bCs w:val="0"/>
          <w:color w:val="000000"/>
        </w:rPr>
      </w:pPr>
      <w:r/>
      <w:bookmarkStart w:id="173" w:name="_Toc16938553"/>
      <w:r/>
      <w:bookmarkStart w:id="174" w:name="_Toc20823309"/>
      <w:r/>
      <w:bookmarkStart w:id="175" w:name="_Toc513029237"/>
      <w:r>
        <w:rPr>
          <w:rFonts w:hint="eastAsia" w:ascii="宋体" w:hAnsi="宋体" w:eastAsia="宋体"/>
          <w:bCs w:val="0"/>
          <w:color w:val="000000"/>
        </w:rPr>
        <w:t xml:space="preserve">30.签订合同</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3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w:t>
      </w:r>
      <w:bookmarkEnd w:id="173"/>
      <w:r/>
      <w:bookmarkEnd w:id="174"/>
      <w:r/>
      <w:bookmarkEnd w:id="175"/>
      <w:r/>
      <w:bookmarkStart w:id="176" w:name="_Toc16938558"/>
      <w:r/>
      <w:bookmarkStart w:id="177" w:name="_Toc479757207"/>
      <w:r/>
      <w:bookmarkStart w:id="178" w:name="_Toc120614221"/>
      <w:r/>
      <w:bookmarkStart w:id="179" w:name="_Toc20823314"/>
      <w:r/>
      <w:bookmarkStart w:id="180" w:name="_Toc513029242"/>
      <w:r>
        <w:rPr>
          <w:rFonts w:hint="eastAsia" w:ascii="宋体" w:hAnsi="宋体" w:eastAsia="宋体"/>
          <w:bCs w:val="0"/>
          <w:color w:val="000000"/>
        </w:rPr>
        <w:t xml:space="preserve"> 货物（包含与货物相关的服务）的追加</w:t>
      </w:r>
      <w:r/>
    </w:p>
    <w:p>
      <w:pPr>
        <w:ind w:firstLine="480"/>
        <w:spacing w:line="400" w:lineRule="exact"/>
        <w:rPr>
          <w:rFonts w:ascii="宋体" w:hAnsi="宋体"/>
          <w:sz w:val="24"/>
          <w:szCs w:val="24"/>
        </w:rPr>
      </w:pPr>
      <w:r>
        <w:rPr>
          <w:rFonts w:hint="eastAsia" w:ascii="宋体" w:hAnsi="宋体"/>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sz w:val="24"/>
          <w:szCs w:val="24"/>
          <w:lang w:eastAsia="zh-CN"/>
        </w:rPr>
        <w:t xml:space="preserve">额的</w:t>
      </w:r>
      <w:r>
        <w:rPr>
          <w:rFonts w:hint="eastAsia" w:ascii="宋体" w:hAnsi="宋体"/>
          <w:sz w:val="24"/>
          <w:szCs w:val="24"/>
        </w:rPr>
        <w:t xml:space="preserve">10%。</w:t>
      </w:r>
      <w:r/>
    </w:p>
    <w:p>
      <w:pPr>
        <w:pStyle w:val="930"/>
        <w:ind w:firstLine="422"/>
        <w:jc w:val="center"/>
        <w:keepLines w:val="0"/>
        <w:keepNext w:val="0"/>
        <w:spacing w:before="0" w:after="0" w:line="500" w:lineRule="exact"/>
        <w:rPr>
          <w:rFonts w:hint="eastAsia" w:ascii="黑体" w:hAnsi="黑体" w:eastAsia="黑体" w:cs="Times New Roman"/>
          <w:color w:val="000000"/>
          <w:sz w:val="36"/>
          <w:szCs w:val="36"/>
          <w:lang w:val="en-US" w:eastAsia="zh-CN" w:bidi="ar-SA"/>
        </w:rPr>
      </w:pPr>
      <w:r>
        <w:rPr>
          <w:rFonts w:ascii="宋体" w:hAnsi="宋体"/>
          <w:color w:val="000000"/>
          <w:sz w:val="24"/>
          <w:shd w:val="clear" w:color="ffffff" w:fill="d9d9d9"/>
        </w:rPr>
        <w:br w:type="page" w:clear="all"/>
      </w:r>
      <w:r>
        <w:rPr>
          <w:rFonts w:hint="eastAsia" w:ascii="黑体" w:hAnsi="黑体" w:eastAsia="黑体" w:cs="Times New Roman"/>
          <w:color w:val="000000"/>
          <w:sz w:val="36"/>
          <w:szCs w:val="36"/>
          <w:lang w:val="en-US" w:eastAsia="zh-CN" w:bidi="ar-SA"/>
        </w:rPr>
        <w:t xml:space="preserve">第三章  合同</w:t>
      </w:r>
      <w:bookmarkEnd w:id="176"/>
      <w:r/>
      <w:bookmarkEnd w:id="177"/>
      <w:r/>
      <w:bookmarkEnd w:id="178"/>
      <w:r/>
      <w:bookmarkEnd w:id="179"/>
      <w:r/>
      <w:bookmarkEnd w:id="180"/>
      <w:r>
        <w:rPr>
          <w:rFonts w:hint="eastAsia" w:ascii="黑体" w:hAnsi="黑体" w:eastAsia="黑体" w:cs="Times New Roman"/>
          <w:color w:val="000000"/>
          <w:sz w:val="36"/>
          <w:szCs w:val="36"/>
          <w:lang w:val="en-US" w:eastAsia="zh-CN" w:bidi="ar-SA"/>
        </w:rPr>
        <w:t xml:space="preserve">文本</w:t>
      </w:r>
      <w:r/>
    </w:p>
    <w:p>
      <w:pPr>
        <w:ind w:firstLine="480"/>
        <w:spacing w:line="400" w:lineRule="exact"/>
        <w:rPr>
          <w:rFonts w:hint="eastAsia" w:ascii="宋体" w:hAnsi="宋体"/>
          <w:bCs/>
          <w:sz w:val="24"/>
        </w:rPr>
      </w:pPr>
      <w:r/>
      <w:bookmarkStart w:id="181" w:name="_Hlt16619350"/>
      <w:r/>
      <w:bookmarkStart w:id="182" w:name="_Toc120614244"/>
      <w:r/>
      <w:bookmarkStart w:id="183" w:name="_Toc20823346"/>
      <w:r/>
      <w:bookmarkStart w:id="184" w:name="_Toc16938590"/>
      <w:r/>
      <w:bookmarkStart w:id="185" w:name="_Toc479757211"/>
      <w:r/>
      <w:bookmarkStart w:id="186" w:name="_Toc462564139"/>
      <w:r>
        <w:rPr>
          <w:rFonts w:hint="eastAsia" w:ascii="宋体" w:hAnsi="宋体"/>
          <w:bCs/>
          <w:sz w:val="24"/>
        </w:rPr>
        <w:t xml:space="preserve">以下为中标后签订本项目合同的通用条款，中标人不得提出实质性的修改。</w:t>
      </w:r>
      <w:r/>
    </w:p>
    <w:p>
      <w:pPr>
        <w:ind w:firstLine="602"/>
        <w:jc w:val="center"/>
        <w:spacing w:line="400" w:lineRule="exact"/>
        <w:rPr>
          <w:rFonts w:hint="eastAsia" w:ascii="宋体" w:hAnsi="宋体"/>
          <w:b/>
          <w:bCs/>
          <w:sz w:val="30"/>
          <w:szCs w:val="20"/>
        </w:rPr>
      </w:pPr>
      <w:r>
        <w:rPr>
          <w:rFonts w:hint="eastAsia" w:ascii="宋体" w:hAnsi="宋体"/>
          <w:b/>
          <w:sz w:val="30"/>
        </w:rPr>
        <w:t xml:space="preserve">江苏省政府采购合同（</w:t>
      </w:r>
      <w:r>
        <w:rPr>
          <w:rFonts w:hint="eastAsia" w:ascii="宋体" w:hAnsi="宋体"/>
          <w:b/>
          <w:sz w:val="30"/>
          <w:lang w:eastAsia="zh-CN"/>
        </w:rPr>
        <w:t xml:space="preserve">服务</w:t>
      </w:r>
      <w:r>
        <w:rPr>
          <w:rFonts w:hint="eastAsia" w:ascii="宋体" w:hAnsi="宋体"/>
          <w:b/>
          <w:sz w:val="30"/>
        </w:rPr>
        <w:t xml:space="preserve">）（合同编号）</w:t>
      </w:r>
      <w:r/>
    </w:p>
    <w:p>
      <w:pPr>
        <w:spacing w:line="400" w:lineRule="exact"/>
        <w:rPr>
          <w:rFonts w:hint="eastAsia" w:ascii="宋体" w:hAnsi="宋体" w:cs="Courier New"/>
          <w:sz w:val="24"/>
          <w:szCs w:val="24"/>
        </w:rPr>
      </w:pPr>
      <w:r>
        <w:rPr>
          <w:rFonts w:ascii="宋体" w:hAnsi="宋体" w:cs="Courier New"/>
          <w:sz w:val="24"/>
          <w:szCs w:val="24"/>
        </w:rPr>
        <w:t xml:space="preserve">项目名称：                                       项目编号：</w:t>
      </w:r>
      <w:r/>
    </w:p>
    <w:p>
      <w:pPr>
        <w:spacing w:line="400" w:lineRule="exact"/>
        <w:rPr>
          <w:rFonts w:hint="eastAsia" w:ascii="宋体" w:hAnsi="宋体" w:cs="Courier New"/>
          <w:sz w:val="24"/>
          <w:szCs w:val="24"/>
        </w:rPr>
      </w:pPr>
      <w:r>
        <w:rPr>
          <w:rFonts w:ascii="宋体" w:hAnsi="宋体" w:cs="Courier New"/>
          <w:sz w:val="24"/>
          <w:szCs w:val="24"/>
        </w:rPr>
        <w:t xml:space="preserve">甲方：（买方、需方、采购人）_________</w:t>
      </w:r>
      <w:r/>
    </w:p>
    <w:p>
      <w:pPr>
        <w:spacing w:line="400" w:lineRule="exact"/>
        <w:rPr>
          <w:rFonts w:hint="eastAsia" w:ascii="宋体" w:hAnsi="宋体" w:cs="Courier New"/>
          <w:sz w:val="24"/>
          <w:szCs w:val="24"/>
        </w:rPr>
      </w:pPr>
      <w:r>
        <w:rPr>
          <w:rFonts w:ascii="宋体" w:hAnsi="宋体" w:cs="Courier New"/>
          <w:sz w:val="24"/>
          <w:szCs w:val="24"/>
        </w:rPr>
        <w:t xml:space="preserve">乙方：（卖方、供方、供应商）_________</w:t>
      </w:r>
      <w:r/>
    </w:p>
    <w:p>
      <w:pPr>
        <w:ind w:firstLine="480"/>
        <w:spacing w:line="400" w:lineRule="exact"/>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无锡市公共资源交易中心</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1.3 标的数量（规模）：</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1.4 履行时间（期限）：</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1.5 履行地点：</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1.7 包装方式：</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二、合同金额</w:t>
      </w:r>
      <w:r/>
    </w:p>
    <w:p>
      <w:pPr>
        <w:ind w:firstLine="480"/>
        <w:spacing w:line="400" w:lineRule="exact"/>
        <w:rPr>
          <w:rFonts w:hint="eastAsia" w:ascii="宋体" w:hAnsi="宋体" w:cs="Courier New"/>
          <w:sz w:val="24"/>
          <w:szCs w:val="24"/>
        </w:rPr>
      </w:pPr>
      <w:r>
        <w:rPr>
          <w:rFonts w:ascii="宋体" w:hAnsi="宋体" w:cs="Courier New"/>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三、技术资料</w:t>
      </w:r>
      <w:r/>
    </w:p>
    <w:p>
      <w:pPr>
        <w:ind w:firstLine="480"/>
        <w:spacing w:line="400" w:lineRule="exact"/>
        <w:rPr>
          <w:rFonts w:hint="eastAsia" w:ascii="宋体" w:hAnsi="宋体" w:cs="Courier New"/>
          <w:sz w:val="24"/>
          <w:szCs w:val="24"/>
        </w:rPr>
      </w:pPr>
      <w:r>
        <w:rPr>
          <w:rFonts w:ascii="宋体" w:hAnsi="宋体" w:cs="Courier New"/>
          <w:sz w:val="24"/>
          <w:szCs w:val="24"/>
        </w:rPr>
        <w:t xml:space="preserve">3.1乙方应按招标文件规定的时间向甲方提供使用货物</w:t>
      </w:r>
      <w:r>
        <w:rPr>
          <w:rFonts w:hint="eastAsia" w:ascii="宋体" w:hAnsi="宋体" w:cs="Courier New"/>
          <w:sz w:val="24"/>
          <w:szCs w:val="24"/>
          <w:lang w:eastAsia="zh-CN"/>
        </w:rPr>
        <w:t xml:space="preserve">（</w:t>
      </w:r>
      <w:r>
        <w:rPr>
          <w:rFonts w:hint="eastAsia" w:ascii="宋体" w:hAnsi="宋体" w:cs="Courier New"/>
          <w:sz w:val="24"/>
          <w:szCs w:val="24"/>
        </w:rPr>
        <w:t xml:space="preserve">包含与货物相关的服务</w:t>
      </w:r>
      <w:r>
        <w:rPr>
          <w:rFonts w:hint="eastAsia" w:ascii="宋体" w:hAnsi="宋体" w:cs="Courier New"/>
          <w:sz w:val="24"/>
          <w:szCs w:val="24"/>
          <w:lang w:eastAsia="zh-CN"/>
        </w:rPr>
        <w:t xml:space="preserve">）</w:t>
      </w:r>
      <w:r>
        <w:rPr>
          <w:rFonts w:ascii="宋体" w:hAnsi="宋体" w:cs="Courier New"/>
          <w:sz w:val="24"/>
          <w:szCs w:val="24"/>
        </w:rPr>
        <w:t xml:space="preserve">的有关技术资料。</w:t>
      </w:r>
      <w:r/>
    </w:p>
    <w:p>
      <w:pPr>
        <w:ind w:firstLine="480"/>
        <w:spacing w:line="400" w:lineRule="exact"/>
        <w:rPr>
          <w:rFonts w:hint="eastAsia"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四、知识产权</w:t>
      </w:r>
      <w:r/>
    </w:p>
    <w:p>
      <w:pPr>
        <w:ind w:firstLine="480"/>
        <w:spacing w:line="400" w:lineRule="exact"/>
        <w:rPr>
          <w:rFonts w:hint="eastAsia" w:ascii="宋体" w:hAnsi="宋体"/>
          <w:sz w:val="24"/>
        </w:rPr>
      </w:pPr>
      <w:r>
        <w:rPr>
          <w:rFonts w:hAnsi="宋体"/>
          <w:sz w:val="24"/>
          <w:szCs w:val="24"/>
        </w:rPr>
        <w:t xml:space="preserve">4.1乙</w:t>
      </w:r>
      <w:r>
        <w:rPr>
          <w:rFonts w:hint="eastAsia" w:ascii="宋体" w:hAnsi="宋体"/>
          <w:sz w:val="24"/>
        </w:rPr>
        <w:t xml:space="preserve">方应保证甲方在使用、接受本合同货物</w:t>
      </w:r>
      <w:r>
        <w:rPr>
          <w:rFonts w:hint="eastAsia" w:hAnsi="宋体"/>
          <w:sz w:val="24"/>
          <w:szCs w:val="24"/>
        </w:rPr>
        <w:t xml:space="preserve">（包含与货物相关的服务）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Courier New"/>
          <w:sz w:val="24"/>
          <w:szCs w:val="24"/>
          <w:u w:val="single"/>
        </w:rPr>
      </w:pPr>
      <w:r>
        <w:rPr>
          <w:rFonts w:ascii="宋体" w:hAnsi="宋体" w:cs="Courier New"/>
          <w:b/>
          <w:sz w:val="24"/>
          <w:szCs w:val="24"/>
        </w:rPr>
        <w:t xml:space="preserve">五、产权担保</w:t>
      </w:r>
      <w:r/>
    </w:p>
    <w:p>
      <w:pPr>
        <w:ind w:firstLine="480"/>
        <w:spacing w:line="400" w:lineRule="exact"/>
        <w:rPr>
          <w:rFonts w:hint="eastAsia" w:ascii="宋体" w:hAnsi="宋体" w:cs="Courier New"/>
          <w:sz w:val="24"/>
          <w:szCs w:val="24"/>
          <w:u w:val="single"/>
        </w:rPr>
      </w:pPr>
      <w:r>
        <w:rPr>
          <w:rFonts w:ascii="宋体" w:hAnsi="宋体" w:cs="Courier New"/>
          <w:sz w:val="24"/>
          <w:szCs w:val="24"/>
        </w:rPr>
        <w:t xml:space="preserve">5.1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六、履约保证金</w:t>
      </w:r>
      <w:r/>
    </w:p>
    <w:p>
      <w:pPr>
        <w:ind w:firstLine="480"/>
        <w:spacing w:line="400" w:lineRule="exact"/>
        <w:rPr>
          <w:rFonts w:hint="eastAsia" w:ascii="宋体" w:hAnsi="宋体" w:cs="Courier New"/>
          <w:sz w:val="24"/>
          <w:szCs w:val="24"/>
        </w:rPr>
      </w:pPr>
      <w:r>
        <w:rPr>
          <w:rFonts w:ascii="宋体" w:hAnsi="宋体" w:cs="Courier New"/>
          <w:sz w:val="24"/>
          <w:szCs w:val="24"/>
        </w:rPr>
        <w:t xml:space="preserve">6.1 乙方交纳人民币__元作为本合同的履约保证金。</w:t>
      </w:r>
      <w:r>
        <w:rPr>
          <w:rFonts w:hint="eastAsia" w:ascii="宋体" w:hAnsi="宋体" w:cs="Courier New"/>
          <w:sz w:val="24"/>
          <w:szCs w:val="24"/>
        </w:rPr>
        <w:t xml:space="preserve">（不得超过合同金额的10%）</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6.2.1履约保证金退还方式：</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6.2.2履约保证金退还时间：</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6.2.3履约保证金退还条件：</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6.2.4履约保证金不予退还的情形：</w:t>
      </w:r>
      <w:r/>
    </w:p>
    <w:p>
      <w:pPr>
        <w:ind w:firstLine="482"/>
        <w:spacing w:line="400" w:lineRule="exact"/>
        <w:rPr>
          <w:rFonts w:hint="eastAsia"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乙方如有转包或未经甲方同意的分包行为，甲方有权给予终止合同。</w:t>
      </w:r>
      <w:r/>
    </w:p>
    <w:p>
      <w:pPr>
        <w:ind w:firstLine="482"/>
        <w:spacing w:line="400" w:lineRule="exact"/>
        <w:rPr>
          <w:rFonts w:hint="eastAsia"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8．1.1预付款支付时间：合同签订后</w:t>
      </w:r>
      <w:r>
        <w:rPr>
          <w:rFonts w:hint="eastAsia" w:ascii="宋体" w:hAnsi="宋体" w:cs="Courier New"/>
          <w:bCs/>
          <w:sz w:val="24"/>
          <w:szCs w:val="24"/>
          <w:u w:val="single"/>
        </w:rPr>
        <w:t xml:space="preserve">  </w:t>
      </w:r>
      <w:r>
        <w:rPr>
          <w:rFonts w:hint="eastAsia" w:ascii="宋体" w:hAnsi="宋体" w:cs="Courier New"/>
          <w:bCs/>
          <w:sz w:val="24"/>
          <w:szCs w:val="24"/>
        </w:rPr>
        <w:t xml:space="preserve">日内，预付款支付比例：合同金额的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ind w:firstLine="480"/>
        <w:spacing w:line="400" w:lineRule="exact"/>
        <w:rPr>
          <w:rFonts w:hint="eastAsia" w:ascii="宋体" w:hAnsi="宋体" w:cs="Courier New"/>
          <w:sz w:val="24"/>
          <w:szCs w:val="24"/>
        </w:rPr>
      </w:pPr>
      <w:r>
        <w:rPr>
          <w:rFonts w:hint="eastAsia" w:ascii="宋体" w:hAnsi="宋体" w:cs="Courier New"/>
          <w:bCs/>
          <w:sz w:val="24"/>
          <w:szCs w:val="24"/>
        </w:rPr>
        <w:t xml:space="preserve">8.1.2尾款支付时间：产品验收通过</w:t>
      </w:r>
      <w:r>
        <w:rPr>
          <w:rFonts w:hint="eastAsia" w:ascii="宋体" w:hAnsi="宋体" w:cs="Courier New"/>
          <w:bCs/>
          <w:sz w:val="24"/>
          <w:szCs w:val="24"/>
          <w:lang w:eastAsia="zh-CN"/>
        </w:rPr>
        <w:t xml:space="preserve">，</w:t>
      </w:r>
      <w:r>
        <w:rPr>
          <w:rFonts w:hint="eastAsia" w:ascii="宋体" w:hAnsi="宋体" w:cs="Courier New"/>
          <w:bCs/>
          <w:sz w:val="24"/>
          <w:szCs w:val="24"/>
        </w:rPr>
        <w:t xml:space="preserve">采购人收到发票后10个工作日内，尾款支付比例：合同金额的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spacing w:line="400" w:lineRule="exact"/>
        <w:rPr>
          <w:rFonts w:hint="eastAsia" w:ascii="宋体" w:hAnsi="宋体" w:cs="Courier New"/>
          <w:bCs/>
          <w:sz w:val="24"/>
          <w:szCs w:val="24"/>
        </w:rPr>
      </w:pPr>
      <w:r>
        <w:rPr>
          <w:rFonts w:hint="eastAsia" w:hAnsi="宋体"/>
          <w:bCs/>
          <w:sz w:val="24"/>
          <w:szCs w:val="24"/>
        </w:rPr>
        <w:t xml:space="preserve">（注：根据《关于做好政府采购支持企业发展有关事项的通知》（苏采购</w:t>
      </w:r>
      <w:r>
        <w:rPr>
          <w:rFonts w:hint="eastAsia" w:hAnsi="宋体"/>
          <w:bCs/>
          <w:sz w:val="24"/>
          <w:szCs w:val="24"/>
          <w:lang w:eastAsia="zh-CN"/>
        </w:rPr>
        <w:t xml:space="preserve">〔2020〕52号</w:t>
      </w:r>
      <w:r>
        <w:rPr>
          <w:rFonts w:hint="eastAsia" w:hAnsi="宋体"/>
          <w:bCs/>
          <w:sz w:val="24"/>
          <w:szCs w:val="24"/>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应根据实际使用量供货，合同的最终结算金额按实际使用量乘以成交单价进行计算。</w:t>
      </w:r>
      <w:r/>
    </w:p>
    <w:p>
      <w:pPr>
        <w:ind w:firstLine="482"/>
        <w:spacing w:line="400" w:lineRule="exact"/>
        <w:rPr>
          <w:rFonts w:hint="eastAsia"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firstLine="482"/>
        <w:spacing w:line="400" w:lineRule="exact"/>
        <w:rPr>
          <w:rFonts w:hint="eastAsia" w:ascii="宋体" w:hAnsi="宋体" w:cs="Courier New"/>
          <w:sz w:val="24"/>
          <w:szCs w:val="24"/>
        </w:rPr>
      </w:pPr>
      <w:r>
        <w:rPr>
          <w:rFonts w:ascii="宋体" w:hAnsi="宋体" w:cs="Courier New"/>
          <w:b/>
          <w:sz w:val="24"/>
          <w:szCs w:val="24"/>
        </w:rPr>
        <w:t xml:space="preserve">十、质量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年（自交货验收合格之日起计），因人为因素出现的故障不在免费保修范围内。超过保修期的机器设备，</w:t>
      </w:r>
      <w:r>
        <w:rPr>
          <w:rFonts w:hint="eastAsia" w:ascii="宋体" w:hAnsi="宋体" w:cs="Courier New"/>
          <w:sz w:val="24"/>
          <w:szCs w:val="24"/>
          <w:lang w:eastAsia="zh-CN"/>
        </w:rPr>
        <w:t xml:space="preserve">终身维修</w:t>
      </w:r>
      <w:r>
        <w:rPr>
          <w:rFonts w:ascii="宋体" w:hAnsi="宋体" w:cs="Courier New"/>
          <w:sz w:val="24"/>
          <w:szCs w:val="24"/>
        </w:rPr>
        <w:t xml:space="preserve">，维修时只收部件成本费。</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11.5 甲方成立验收小组，按照采购合同的约定对乙方的履约情况进行验收。验收时间、验收标准见招标文件验收内容。验收时</w:t>
      </w:r>
      <w:r>
        <w:rPr>
          <w:rFonts w:hint="eastAsia" w:ascii="宋体" w:hAnsi="宋体" w:cs="Courier New"/>
          <w:sz w:val="24"/>
          <w:szCs w:val="24"/>
          <w:lang w:eastAsia="zh-CN"/>
        </w:rPr>
        <w:t xml:space="preserve">，</w:t>
      </w:r>
      <w:r>
        <w:rPr>
          <w:rFonts w:hint="eastAsia" w:ascii="宋体" w:hAnsi="宋体" w:cs="Courier New"/>
          <w:sz w:val="24"/>
          <w:szCs w:val="24"/>
        </w:rPr>
        <w:t xml:space="preserve">甲方按照采购合同的约定对每一项技术、商务要求的履约情况进行确认。验收结束后</w:t>
      </w:r>
      <w:r>
        <w:rPr>
          <w:rFonts w:hint="eastAsia" w:ascii="宋体" w:hAnsi="宋体" w:cs="Courier New"/>
          <w:sz w:val="24"/>
          <w:szCs w:val="24"/>
          <w:lang w:eastAsia="zh-CN"/>
        </w:rPr>
        <w:t xml:space="preserve">，</w:t>
      </w:r>
      <w:r>
        <w:rPr>
          <w:rFonts w:hint="eastAsia" w:ascii="宋体" w:hAnsi="宋体" w:cs="Courier New"/>
          <w:sz w:val="24"/>
          <w:szCs w:val="24"/>
        </w:rPr>
        <w:t xml:space="preserve">验收小组出具验收书</w:t>
      </w:r>
      <w:r>
        <w:rPr>
          <w:rFonts w:hint="eastAsia" w:ascii="宋体" w:hAnsi="宋体" w:cs="Courier New"/>
          <w:sz w:val="24"/>
          <w:szCs w:val="24"/>
          <w:lang w:eastAsia="zh-CN"/>
        </w:rPr>
        <w:t xml:space="preserve">，</w:t>
      </w:r>
      <w:r>
        <w:rPr>
          <w:rFonts w:hint="eastAsia" w:ascii="宋体" w:hAnsi="宋体" w:cs="Courier New"/>
          <w:sz w:val="24"/>
          <w:szCs w:val="24"/>
        </w:rPr>
        <w:t xml:space="preserve">列明各项标准的验收情况及项目总体评价</w:t>
      </w:r>
      <w:r>
        <w:rPr>
          <w:rFonts w:hint="eastAsia" w:ascii="宋体" w:hAnsi="宋体" w:cs="Courier New"/>
          <w:sz w:val="24"/>
          <w:szCs w:val="24"/>
          <w:lang w:eastAsia="zh-CN"/>
        </w:rPr>
        <w:t xml:space="preserve">，</w:t>
      </w:r>
      <w:r>
        <w:rPr>
          <w:rFonts w:hint="eastAsia" w:ascii="宋体" w:hAnsi="宋体" w:cs="Courier New"/>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11.6 验收合格的项目</w:t>
      </w:r>
      <w:r>
        <w:rPr>
          <w:rFonts w:hint="eastAsia" w:ascii="宋体" w:hAnsi="宋体" w:cs="Courier New"/>
          <w:sz w:val="24"/>
          <w:szCs w:val="24"/>
          <w:lang w:eastAsia="zh-CN"/>
        </w:rPr>
        <w:t xml:space="preserve">，</w:t>
      </w:r>
      <w:r>
        <w:rPr>
          <w:rFonts w:hint="eastAsia" w:ascii="宋体" w:hAnsi="宋体" w:cs="Courier New"/>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sz w:val="24"/>
          <w:szCs w:val="24"/>
          <w:lang w:eastAsia="zh-CN"/>
        </w:rPr>
        <w:t xml:space="preserve">，</w:t>
      </w:r>
      <w:r>
        <w:rPr>
          <w:rFonts w:hint="eastAsia" w:ascii="宋体" w:hAnsi="宋体" w:cs="Courier New"/>
          <w:sz w:val="24"/>
          <w:szCs w:val="24"/>
        </w:rPr>
        <w:t xml:space="preserve">甲方将及时报告本级财政部门。</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w:t>
      </w:r>
      <w:r>
        <w:rPr>
          <w:rFonts w:hint="eastAsia" w:ascii="宋体" w:hAnsi="宋体"/>
          <w:sz w:val="24"/>
          <w:szCs w:val="24"/>
        </w:rPr>
        <w:t xml:space="preserve">快递包装政府采购需求标准（试行）》的规定。</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、违约责任</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.2 甲方无故逾期验收和办理货款支付手续的</w:t>
      </w:r>
      <w:r>
        <w:rPr>
          <w:rFonts w:hint="eastAsia" w:ascii="宋体" w:hAnsi="宋体" w:cs="Courier New"/>
          <w:sz w:val="24"/>
          <w:szCs w:val="24"/>
          <w:lang w:eastAsia="zh-CN"/>
        </w:rPr>
        <w:t xml:space="preserve">，</w:t>
      </w:r>
      <w:r>
        <w:rPr>
          <w:rFonts w:ascii="宋体" w:hAnsi="宋体" w:cs="Courier New"/>
          <w:sz w:val="24"/>
          <w:szCs w:val="24"/>
        </w:rPr>
        <w:t xml:space="preserve">甲方应按逾期付款总额每日</w:t>
      </w:r>
      <w:r>
        <w:rPr>
          <w:rFonts w:hint="eastAsia" w:ascii="宋体" w:hAnsi="宋体" w:cs="Courier New"/>
          <w:sz w:val="24"/>
          <w:szCs w:val="24"/>
          <w:u w:val="single"/>
        </w:rPr>
        <w:t xml:space="preserve">    </w:t>
      </w:r>
      <w:r>
        <w:rPr>
          <w:rFonts w:ascii="宋体" w:hAnsi="宋体" w:cs="Courier New"/>
          <w:sz w:val="24"/>
          <w:szCs w:val="24"/>
        </w:rPr>
        <w:t xml:space="preserve">向乙方支付违约金。</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 不可抗力事件发生后，应立即通知对方，并寄送有关权威机构出具的证明。</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.3 不可抗力事件延续120天以上，双方应通过友好协商，确定是否继续履行合同。</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w:t>
      </w:r>
      <w:r>
        <w:rPr>
          <w:rFonts w:hint="eastAsia" w:ascii="宋体" w:hAnsi="宋体" w:cs="Courier New"/>
          <w:sz w:val="24"/>
          <w:szCs w:val="24"/>
        </w:rPr>
        <w:t xml:space="preserve">甲乙</w:t>
      </w:r>
      <w:r>
        <w:rPr>
          <w:rFonts w:ascii="宋体" w:hAnsi="宋体" w:cs="Courier New"/>
          <w:sz w:val="24"/>
          <w:szCs w:val="24"/>
        </w:rPr>
        <w:t xml:space="preserve">双方</w:t>
      </w:r>
      <w:r>
        <w:rPr>
          <w:rFonts w:hint="eastAsia" w:ascii="宋体" w:hAnsi="宋体" w:cs="Courier New"/>
          <w:sz w:val="24"/>
          <w:szCs w:val="24"/>
        </w:rPr>
        <w:t xml:space="preserve">因</w:t>
      </w:r>
      <w:r>
        <w:rPr>
          <w:rFonts w:ascii="宋体" w:hAnsi="宋体" w:cs="Courier New"/>
          <w:sz w:val="24"/>
          <w:szCs w:val="24"/>
        </w:rPr>
        <w:t xml:space="preserve">合同</w:t>
      </w:r>
      <w:r>
        <w:rPr>
          <w:rFonts w:hint="eastAsia" w:ascii="宋体" w:hAnsi="宋体" w:cs="Courier New"/>
          <w:sz w:val="24"/>
          <w:szCs w:val="24"/>
        </w:rPr>
        <w:t xml:space="preserve">签订、履行而</w:t>
      </w:r>
      <w:r>
        <w:rPr>
          <w:rFonts w:ascii="宋体" w:hAnsi="宋体" w:cs="Courier New"/>
          <w:sz w:val="24"/>
          <w:szCs w:val="24"/>
        </w:rPr>
        <w:t xml:space="preserve">发生的一切争议，应通过</w:t>
      </w:r>
      <w:r>
        <w:rPr>
          <w:rFonts w:hint="eastAsia" w:ascii="宋体" w:hAnsi="宋体" w:cs="Courier New"/>
          <w:sz w:val="24"/>
          <w:szCs w:val="24"/>
        </w:rPr>
        <w:t xml:space="preserve">友好</w:t>
      </w:r>
      <w:r>
        <w:rPr>
          <w:rFonts w:ascii="宋体" w:hAnsi="宋体" w:cs="Courier New"/>
          <w:sz w:val="24"/>
          <w:szCs w:val="24"/>
        </w:rPr>
        <w:t xml:space="preserve">协商解决。如协商不成</w:t>
      </w:r>
      <w:r>
        <w:rPr>
          <w:rFonts w:hint="eastAsia" w:ascii="宋体" w:hAnsi="宋体" w:cs="Courier New"/>
          <w:sz w:val="24"/>
          <w:szCs w:val="24"/>
        </w:rPr>
        <w:t xml:space="preserve">由甲方住所地人民</w:t>
      </w:r>
      <w:r>
        <w:rPr>
          <w:rFonts w:ascii="宋体" w:hAnsi="宋体" w:cs="Courier New"/>
          <w:sz w:val="24"/>
          <w:szCs w:val="24"/>
        </w:rPr>
        <w:t xml:space="preserve">法院</w:t>
      </w:r>
      <w:r>
        <w:rPr>
          <w:rFonts w:hint="eastAsia" w:ascii="宋体" w:hAnsi="宋体" w:cs="Courier New"/>
          <w:sz w:val="24"/>
          <w:szCs w:val="24"/>
        </w:rPr>
        <w:t xml:space="preserve">管辖。</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、合同生效</w:t>
      </w:r>
      <w:r>
        <w:rPr>
          <w:rFonts w:hint="eastAsia" w:ascii="宋体" w:hAnsi="宋体" w:cs="Courier New"/>
          <w:b/>
          <w:sz w:val="24"/>
          <w:szCs w:val="24"/>
          <w:lang w:eastAsia="zh-CN"/>
        </w:rPr>
        <w:t xml:space="preserve">及其他</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.2本合同未尽事宜，遵照</w:t>
      </w:r>
      <w:r>
        <w:rPr>
          <w:rFonts w:hint="eastAsia" w:ascii="宋体" w:hAnsi="宋体" w:cs="Courier New"/>
          <w:sz w:val="24"/>
          <w:szCs w:val="24"/>
        </w:rPr>
        <w:t xml:space="preserve">《中华人民共和国民法典</w:t>
      </w:r>
      <w:r>
        <w:rPr>
          <w:rFonts w:hint="eastAsia" w:ascii="宋体" w:hAnsi="宋体" w:cs="Courier New"/>
          <w:sz w:val="24"/>
          <w:szCs w:val="24"/>
          <w:lang w:eastAsia="zh-CN"/>
        </w:rPr>
        <w:t xml:space="preserve">》《</w:t>
      </w:r>
      <w:r>
        <w:rPr>
          <w:rFonts w:hint="eastAsia" w:ascii="宋体" w:hAnsi="宋体" w:cs="Courier New"/>
          <w:sz w:val="24"/>
          <w:szCs w:val="24"/>
        </w:rPr>
        <w:t xml:space="preserve">中华人民共和国政府采购法》</w:t>
      </w:r>
      <w:r>
        <w:rPr>
          <w:rFonts w:ascii="宋体" w:hAnsi="宋体" w:cs="Courier New"/>
          <w:sz w:val="24"/>
          <w:szCs w:val="24"/>
        </w:rPr>
        <w:t xml:space="preserve">有关条文执行。</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ind w:left="480" w:hanging="480"/>
        <w:spacing w:line="400" w:lineRule="exact"/>
        <w:rPr>
          <w:rFonts w:hint="eastAsia" w:ascii="宋体" w:hAnsi="宋体" w:cs="Courier New"/>
          <w:sz w:val="24"/>
          <w:szCs w:val="24"/>
        </w:rPr>
      </w:pPr>
      <w:r>
        <w:rPr>
          <w:rFonts w:ascii="宋体" w:hAnsi="宋体" w:cs="Courier New"/>
          <w:sz w:val="24"/>
          <w:szCs w:val="24"/>
        </w:rPr>
        <w:t xml:space="preserve">  甲方：                        乙方： </w:t>
      </w:r>
      <w:r/>
    </w:p>
    <w:p>
      <w:pPr>
        <w:spacing w:line="400" w:lineRule="exact"/>
        <w:rPr>
          <w:rFonts w:hint="eastAsia"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line="400" w:lineRule="exact"/>
        <w:rPr>
          <w:rFonts w:hint="eastAsia"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line="400" w:lineRule="exact"/>
        <w:rPr>
          <w:rFonts w:ascii="宋体" w:hAnsi="Courier New" w:cs="Courier New"/>
        </w:rPr>
      </w:pPr>
      <w:r>
        <w:rPr>
          <w:rFonts w:hint="eastAsia" w:ascii="宋体" w:hAnsi="宋体" w:cs="Courier New"/>
          <w:sz w:val="24"/>
          <w:szCs w:val="24"/>
        </w:rPr>
        <w:t xml:space="preserve">联系电话：                    联系电话：          </w:t>
      </w:r>
      <w:r/>
    </w:p>
    <w:p>
      <w:pPr>
        <w:jc w:val="center"/>
        <w:spacing w:line="400" w:lineRule="exact"/>
        <w:rPr>
          <w:rFonts w:hint="eastAsia" w:ascii="宋体" w:hAnsi="宋体" w:cs="Courier New"/>
          <w:sz w:val="24"/>
          <w:szCs w:val="24"/>
        </w:rPr>
      </w:pPr>
      <w:r>
        <w:rPr>
          <w:rFonts w:hint="eastAsia" w:ascii="宋体" w:hAnsi="Courier New" w:cs="Courier New"/>
        </w:rPr>
        <w:t xml:space="preserve">                 </w:t>
      </w:r>
      <w:r>
        <w:rPr>
          <w:rFonts w:hint="eastAsia" w:ascii="宋体" w:hAnsi="宋体" w:cs="Courier New"/>
          <w:sz w:val="24"/>
          <w:szCs w:val="24"/>
        </w:rPr>
        <w:t xml:space="preserve">   </w:t>
      </w:r>
      <w:r/>
    </w:p>
    <w:p>
      <w:pPr>
        <w:jc w:val="center"/>
        <w:spacing w:line="400" w:lineRule="exact"/>
        <w:rPr>
          <w:rFonts w:hint="eastAsia" w:ascii="宋体" w:hAnsi="宋体" w:cs="Courier New"/>
          <w:sz w:val="24"/>
          <w:szCs w:val="24"/>
        </w:rPr>
      </w:pPr>
      <w:r>
        <w:rPr>
          <w:rFonts w:hint="eastAsia" w:ascii="宋体" w:hAnsi="宋体" w:cs="Courier New"/>
          <w:sz w:val="24"/>
          <w:szCs w:val="24"/>
        </w:rPr>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r/>
    </w:p>
    <w:p>
      <w:pPr>
        <w:spacing w:line="400" w:lineRule="exact"/>
        <w:rPr>
          <w:rFonts w:hint="eastAsia" w:ascii="宋体" w:hAnsi="宋体" w:cs="Courier New"/>
          <w:sz w:val="24"/>
          <w:szCs w:val="24"/>
        </w:rPr>
      </w:pPr>
      <w:r>
        <w:rPr>
          <w:rFonts w:hint="eastAsia" w:ascii="宋体" w:hAnsi="宋体" w:cs="Courier New"/>
          <w:sz w:val="24"/>
          <w:szCs w:val="24"/>
        </w:rPr>
      </w:r>
      <w:r/>
    </w:p>
    <w:p>
      <w:pPr>
        <w:ind w:firstLine="480"/>
        <w:spacing w:line="400" w:lineRule="exact"/>
        <w:rPr>
          <w:rFonts w:hint="eastAsia"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p>
    <w:p>
      <w:pPr>
        <w:ind w:firstLine="480"/>
        <w:jc w:val="center"/>
        <w:spacing w:line="288" w:lineRule="auto"/>
        <w:rPr>
          <w:rFonts w:hint="eastAsia" w:ascii="黑体" w:hAnsi="黑体" w:eastAsia="黑体" w:cs="Times New Roman"/>
          <w:color w:val="000000"/>
          <w:sz w:val="36"/>
          <w:szCs w:val="36"/>
          <w:lang w:val="en-US" w:eastAsia="zh-CN" w:bidi="ar-SA"/>
        </w:rPr>
        <w:outlineLvl w:val="0"/>
      </w:pPr>
      <w:r>
        <w:rPr>
          <w:rFonts w:hint="eastAsia" w:ascii="黑体" w:eastAsia="黑体"/>
          <w:bCs/>
          <w:color w:val="000000"/>
          <w:sz w:val="36"/>
          <w:szCs w:val="36"/>
        </w:rPr>
        <w:br w:type="page" w:clear="all"/>
      </w:r>
      <w:r>
        <w:rPr>
          <w:rFonts w:hint="eastAsia" w:ascii="黑体" w:hAnsi="黑体" w:eastAsia="黑体" w:cs="Times New Roman"/>
          <w:color w:val="000000"/>
          <w:sz w:val="36"/>
          <w:szCs w:val="36"/>
          <w:lang w:val="en-US" w:eastAsia="zh-CN" w:bidi="ar-SA"/>
        </w:rPr>
        <w:t xml:space="preserve">第</w:t>
      </w:r>
      <w:bookmarkEnd w:id="181"/>
      <w:r>
        <w:rPr>
          <w:rFonts w:hint="eastAsia" w:ascii="黑体" w:hAnsi="黑体" w:eastAsia="黑体" w:cs="Times New Roman"/>
          <w:color w:val="000000"/>
          <w:sz w:val="36"/>
          <w:szCs w:val="36"/>
          <w:lang w:val="en-US" w:eastAsia="zh-CN" w:bidi="ar-SA"/>
        </w:rPr>
        <w:t xml:space="preserve">四章  采购需求</w:t>
      </w:r>
      <w:bookmarkEnd w:id="182"/>
      <w:r/>
      <w:bookmarkEnd w:id="183"/>
      <w:r/>
      <w:bookmarkEnd w:id="184"/>
      <w:r/>
      <w:r/>
    </w:p>
    <w:p>
      <w:pPr>
        <w:ind w:firstLine="600"/>
        <w:jc w:val="left"/>
        <w:spacing w:line="360" w:lineRule="auto"/>
        <w:rPr>
          <w:rFonts w:ascii="黑体" w:hAnsi="黑体" w:eastAsia="黑体"/>
          <w:color w:val="000000"/>
          <w:sz w:val="30"/>
          <w:szCs w:val="30"/>
        </w:rPr>
      </w:pPr>
      <w:r/>
      <w:bookmarkStart w:id="187" w:name="_Toc26554093"/>
      <w:r/>
      <w:bookmarkStart w:id="188" w:name="_Toc49090575"/>
      <w:r>
        <w:rPr>
          <w:rFonts w:hint="eastAsia" w:ascii="黑体" w:hAnsi="黑体" w:eastAsia="黑体"/>
          <w:color w:val="000000"/>
          <w:sz w:val="30"/>
          <w:szCs w:val="30"/>
        </w:rPr>
        <w:t xml:space="preserve">本项目属性：</w:t>
      </w:r>
      <w:r>
        <w:rPr>
          <w:rFonts w:hint="eastAsia" w:ascii="黑体" w:hAnsi="黑体" w:eastAsia="黑体"/>
          <w:color w:val="000000"/>
          <w:sz w:val="30"/>
          <w:szCs w:val="30"/>
          <w:lang w:eastAsia="zh-CN"/>
        </w:rPr>
        <w:t xml:space="preserve">服务</w:t>
      </w:r>
      <w:r>
        <w:rPr>
          <w:rFonts w:hint="eastAsia" w:ascii="黑体" w:hAnsi="黑体" w:eastAsia="黑体"/>
          <w:color w:val="000000"/>
          <w:sz w:val="30"/>
          <w:szCs w:val="30"/>
        </w:rPr>
        <w:t xml:space="preserve">类项目</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eastAsia="宋体"/>
          <w:bCs/>
          <w:color w:val="ff0000"/>
          <w:sz w:val="24"/>
          <w:szCs w:val="24"/>
          <w:highlight w:val="yellow"/>
          <w:lang w:eastAsia="zh-CN"/>
        </w:rPr>
      </w:pPr>
      <w:r>
        <w:rPr>
          <w:rFonts w:hint="eastAsia" w:ascii="宋体" w:hAnsi="宋体"/>
          <w:bCs/>
          <w:color w:val="000000"/>
          <w:sz w:val="24"/>
          <w:szCs w:val="24"/>
          <w:highlight w:val="none"/>
        </w:rPr>
        <w:t xml:space="preserve">本项目标的物所属行业：</w:t>
      </w:r>
      <w:r>
        <w:rPr>
          <w:rFonts w:hint="eastAsia" w:ascii="宋体" w:hAnsi="宋体"/>
          <w:b w:val="0"/>
          <w:bCs/>
          <w:color w:val="auto"/>
          <w:sz w:val="24"/>
          <w:szCs w:val="24"/>
          <w:highlight w:val="none"/>
        </w:rPr>
        <w:t xml:space="preserve">软件和信息技术服务业</w:t>
      </w:r>
      <w:r>
        <w:rPr>
          <w:rFonts w:ascii="宋体" w:hAnsi="宋体"/>
          <w:b w:val="0"/>
          <w:bCs/>
          <w:color w:val="auto"/>
          <w:sz w:val="24"/>
          <w:szCs w:val="24"/>
          <w:highlight w:val="none"/>
        </w:rPr>
        <w:t xml:space="preserve"> </w:t>
      </w:r>
      <w:r/>
    </w:p>
    <w:p>
      <w:pPr>
        <w:ind w:firstLine="600"/>
        <w:jc w:val="left"/>
        <w:spacing w:line="360" w:lineRule="auto"/>
        <w:rPr>
          <w:rFonts w:ascii="黑体" w:hAnsi="黑体" w:eastAsia="黑体"/>
          <w:color w:val="000000"/>
          <w:sz w:val="30"/>
          <w:szCs w:val="30"/>
        </w:rPr>
      </w:pPr>
      <w:r>
        <w:rPr>
          <w:rFonts w:hint="eastAsia" w:ascii="黑体" w:hAnsi="黑体" w:eastAsia="黑体"/>
          <w:color w:val="000000"/>
          <w:sz w:val="30"/>
          <w:szCs w:val="30"/>
        </w:rPr>
        <w:t xml:space="preserve">第一部分  项目技术要求</w:t>
      </w:r>
      <w:r/>
    </w:p>
    <w:p>
      <w:pPr>
        <w:pStyle w:val="931"/>
        <w:numPr>
          <w:ilvl w:val="0"/>
          <w:numId w:val="7"/>
        </w:numPr>
        <w:ind w:left="425" w:hanging="425"/>
        <w:jc w:val="left"/>
        <w:keepNext/>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rPr>
        <w:t xml:space="preserve">项目概述</w:t>
      </w:r>
      <w:r/>
    </w:p>
    <w:p>
      <w:pPr>
        <w:pStyle w:val="932"/>
        <w:numPr>
          <w:ilvl w:val="1"/>
          <w:numId w:val="8"/>
        </w:numPr>
        <w:ind w:left="567" w:hanging="567"/>
        <w:jc w:val="left"/>
        <w:keepNext/>
        <w:pageBreakBefore w:val="0"/>
        <w:spacing w:before="0" w:after="0" w:line="360" w:lineRule="auto"/>
        <w:widowControl w:val="off"/>
        <w:rPr>
          <w:rFonts w:hint="eastAsia" w:ascii="宋体" w:hAnsi="宋体" w:eastAsia="宋体" w:cs="宋体"/>
          <w:sz w:val="24"/>
          <w:szCs w:val="24"/>
          <w:highlight w:val="none"/>
        </w:rPr>
      </w:pPr>
      <w:r/>
      <w:bookmarkStart w:id="189" w:name="_Toc5502"/>
      <w:r/>
      <w:bookmarkStart w:id="190" w:name="_Toc124148086"/>
      <w:r>
        <w:rPr>
          <w:rFonts w:hint="eastAsia" w:ascii="宋体" w:hAnsi="宋体" w:eastAsia="宋体" w:cs="宋体"/>
          <w:sz w:val="24"/>
          <w:szCs w:val="24"/>
          <w:highlight w:val="none"/>
        </w:rPr>
        <w:t xml:space="preserve">建设内容</w:t>
      </w:r>
      <w:bookmarkEnd w:id="189"/>
      <w:r/>
      <w:bookmarkEnd w:id="190"/>
      <w:r/>
      <w:r/>
    </w:p>
    <w:p>
      <w:pPr>
        <w:ind w:firstLine="480"/>
        <w:pageBreakBefore w:val="0"/>
        <w:spacing w:line="360" w:lineRule="auto"/>
        <w:widowControl w:val="off"/>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rPr>
        <w:t xml:space="preserve">本项目建设内容包括：</w:t>
      </w:r>
      <w:bookmarkStart w:id="191" w:name="_Toc124148087"/>
      <w:r/>
      <w:bookmarkStart w:id="192" w:name="_Toc15812"/>
      <w:r>
        <w:rPr>
          <w:rFonts w:hint="eastAsia" w:ascii="宋体" w:hAnsi="宋体"/>
          <w:b w:val="0"/>
          <w:bCs/>
          <w:color w:val="auto"/>
          <w:sz w:val="24"/>
          <w:szCs w:val="24"/>
          <w:highlight w:val="none"/>
          <w:lang w:eastAsia="zh-CN"/>
        </w:rPr>
        <w:t xml:space="preserve">梁溪区网格化联动处置系统提升完善信息化项目</w:t>
      </w:r>
      <w:r>
        <w:rPr>
          <w:rFonts w:hint="eastAsia" w:ascii="宋体" w:hAnsi="宋体"/>
          <w:b w:val="0"/>
          <w:bCs/>
          <w:color w:val="auto"/>
          <w:sz w:val="24"/>
          <w:szCs w:val="24"/>
          <w:highlight w:val="none"/>
        </w:rPr>
        <w:t xml:space="preserve">的需求调研、系统设计、系统开发、系统测试、并按要求配合甲方进行等保建设，并按期配合完成软件、等保评测工作等</w:t>
      </w:r>
      <w:r>
        <w:rPr>
          <w:rFonts w:hint="eastAsia" w:ascii="宋体" w:hAnsi="宋体"/>
          <w:b w:val="0"/>
          <w:bCs/>
          <w:color w:val="auto"/>
          <w:sz w:val="24"/>
          <w:szCs w:val="24"/>
          <w:highlight w:val="none"/>
          <w:lang w:eastAsia="zh-CN"/>
        </w:rPr>
        <w:t xml:space="preserve">。</w:t>
      </w:r>
      <w:r/>
    </w:p>
    <w:p>
      <w:pPr>
        <w:pStyle w:val="932"/>
        <w:numPr>
          <w:ilvl w:val="1"/>
          <w:numId w:val="8"/>
        </w:numPr>
        <w:ind w:left="567" w:hanging="567"/>
        <w:jc w:val="left"/>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建设清单</w:t>
      </w:r>
      <w:bookmarkEnd w:id="191"/>
      <w:r/>
      <w:bookmarkEnd w:id="192"/>
      <w:r/>
      <w:r/>
    </w:p>
    <w:p>
      <w:pPr>
        <w:ind w:firstLine="480"/>
        <w:pageBreakBefore w:val="0"/>
        <w:spacing w:line="360" w:lineRule="auto"/>
        <w:widowControl w:val="off"/>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本项目建设内容包含无锡市梁溪区网格化联动处置系统2023年提升完善项目软件定制开发建设，本协议建设内容及技术要求如下清单：</w:t>
      </w:r>
      <w:r/>
    </w:p>
    <w:p>
      <w:pPr>
        <w:ind w:firstLine="480"/>
        <w:spacing w:line="360" w:lineRule="auto"/>
        <w:rPr>
          <w:rFonts w:hint="eastAsia"/>
          <w:highlight w:val="none"/>
        </w:rPr>
      </w:pPr>
      <w:r>
        <w:rPr>
          <w:rFonts w:hint="eastAsia" w:ascii="宋体" w:hAnsi="宋体"/>
          <w:b/>
          <w:bCs w:val="0"/>
          <w:color w:val="auto"/>
          <w:sz w:val="24"/>
          <w:szCs w:val="24"/>
          <w:highlight w:val="none"/>
          <w:lang w:val="en-US" w:eastAsia="zh-CN"/>
        </w:rPr>
        <w:t xml:space="preserve">无锡市梁溪区网格化联动处置系统提升完善信息化项目</w:t>
      </w:r>
      <w:r/>
    </w:p>
    <w:tbl>
      <w:tblPr>
        <w:tblStyle w:val="940"/>
        <w:tblW w:w="4859" w:type="pct"/>
        <w:tblInd w:w="0" w:type="dxa"/>
        <w:tblLayout w:type="fixed"/>
        <w:tblCellMar>
          <w:left w:w="108" w:type="dxa"/>
          <w:top w:w="0" w:type="dxa"/>
          <w:right w:w="108" w:type="dxa"/>
          <w:bottom w:w="0" w:type="dxa"/>
        </w:tblCellMar>
        <w:tblLook w:val="04A0" w:firstRow="1" w:lastRow="0" w:firstColumn="1" w:lastColumn="0" w:noHBand="0" w:noVBand="1"/>
      </w:tblPr>
      <w:tblGrid>
        <w:gridCol w:w="1317"/>
        <w:gridCol w:w="2783"/>
        <w:gridCol w:w="5751"/>
      </w:tblGrid>
      <w:tr>
        <w:trPr>
          <w:trHeight w:val="585"/>
        </w:trPr>
        <w:tc>
          <w:tcPr>
            <w:shd w:val="clear" w:color="auto" w:fill="bfbfbf"/>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lang w:eastAsia="zh-CN"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lang w:eastAsia="zh-CN" w:bidi="ar"/>
              </w:rPr>
              <w:t xml:space="preserve">子模块名称</w:t>
            </w:r>
            <w:r/>
          </w:p>
        </w:tc>
        <w:tc>
          <w:tcPr>
            <w:shd w:val="clear" w:color="auto" w:fill="bfbfbf"/>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jc w:val="center"/>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lang w:eastAsia="zh-CN" w:bidi="ar"/>
              </w:rPr>
              <w:t xml:space="preserve">工作内容</w:t>
            </w:r>
            <w:r/>
          </w:p>
        </w:tc>
      </w:tr>
      <w:tr>
        <w:trPr>
          <w:trHeight w:val="292"/>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（一）</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网格管理</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02"/>
              <w:jc w:val="center"/>
              <w:spacing w:line="240" w:lineRule="auto"/>
              <w:rPr>
                <w:rFonts w:hint="eastAsia" w:ascii="宋体" w:hAnsi="宋体" w:eastAsia="宋体" w:cs="宋体"/>
                <w:b/>
                <w:bCs/>
                <w:sz w:val="20"/>
                <w:szCs w:val="20"/>
              </w:rPr>
            </w:pPr>
            <w:r>
              <w:rPr>
                <w:rFonts w:hint="eastAsia" w:ascii="宋体" w:hAnsi="宋体" w:eastAsia="宋体" w:cs="宋体"/>
                <w:b/>
                <w:bCs/>
                <w:sz w:val="20"/>
                <w:szCs w:val="20"/>
              </w:rPr>
            </w:r>
            <w:r/>
          </w:p>
        </w:tc>
      </w:tr>
      <w:tr>
        <w:trPr>
          <w:trHeight w:val="1261"/>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40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综合网格</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网格清单：网格详情查询，包括网格内的要素信息、网格基础管理信息。</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微网格清单：微网格的清单查询，微网格的新增、删除、修改、详情查看。</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微网格联络员：微网格联络员的清单管理，微网格联络员的新增、删除、修改、详情查看。</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微网格志愿者：微网格志愿者的清单管理，微网格志愿者的新增、删除、修改、详情查看。</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专职网格员变更审核管理：由街道一级变更网格员，由区一级进行审核，网格员变更未生效之前，原有网格员账号功能锁定，保持不变。</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网格长的清单管理：网格长的新增、删除、修改、详情查看。</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40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专属网格</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专属网格清单：专属网格联络员、志愿者信息维护。</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专属网格联络员：专属网格联络员的清单管理</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专属网格联络员的修改、详情查看。</w:t>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40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警格</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建立警格、网格对应关系管理功能，支持警格网格对应关系维护与调整，实现网格对应警格全覆盖。警网业务数据稽核调整同步。</w:t>
            </w:r>
            <w:r/>
          </w:p>
        </w:tc>
      </w:tr>
      <w:tr>
        <w:trPr>
          <w:trHeight w:val="1037"/>
        </w:trPr>
        <w:tc>
          <w:tcPr>
            <w:shd w:val="clear" w:color="auto" w:fill="auto"/>
            <w:tcBorders>
              <w:top w:val="single" w:color="000000" w:sz="4" w:space="0"/>
              <w:left w:val="single" w:color="000000" w:sz="4" w:space="0"/>
              <w:bottom w:val="single" w:color="auto" w:sz="4" w:space="0"/>
              <w:right w:val="single" w:color="000000" w:sz="4" w:space="0"/>
            </w:tcBorders>
            <w:tcW w:w="668" w:type="pct"/>
            <w:vAlign w:val="center"/>
            <w:textDirection w:val="lrTb"/>
            <w:noWrap w:val="false"/>
          </w:tcPr>
          <w:p>
            <w:pPr>
              <w:ind w:firstLine="40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治理力量</w:t>
            </w:r>
            <w:r/>
          </w:p>
        </w:tc>
        <w:tc>
          <w:tcPr>
            <w:shd w:val="clear" w:color="auto" w:fill="auto"/>
            <w:tcBorders>
              <w:top w:val="single" w:color="000000" w:sz="4" w:space="0"/>
              <w:left w:val="single" w:color="000000" w:sz="4" w:space="0"/>
              <w:bottom w:val="single" w:color="auto"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治理力量的清单管理，治理力量的新增、删除、修改、详情查看；</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三官两师，楼道长、网格长数据的维护；</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同一治理力量在不同网格承担不同岗位职责的信息管理</w:t>
            </w:r>
            <w:r/>
          </w:p>
        </w:tc>
      </w:tr>
      <w:tr>
        <w:trPr>
          <w:trHeight w:val="278"/>
        </w:trPr>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（二）</w:t>
            </w:r>
            <w:r/>
          </w:p>
        </w:tc>
        <w:tc>
          <w:tcPr>
            <w:shd w:val="clear" w:color="auto" w:fill="auto"/>
            <w:tcBorders>
              <w:top w:val="single" w:color="auto" w:sz="4" w:space="0"/>
              <w:left w:val="single" w:color="auto" w:sz="4" w:space="0"/>
              <w:bottom w:val="single" w:color="auto" w:sz="4" w:space="0"/>
              <w:right w:val="single" w:color="auto"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网格要素</w:t>
            </w:r>
            <w:r/>
          </w:p>
        </w:tc>
        <w:tc>
          <w:tcPr>
            <w:shd w:val="clear" w:color="auto" w:fill="auto"/>
            <w:tcBorders>
              <w:top w:val="single" w:color="auto" w:sz="4" w:space="0"/>
              <w:left w:val="single" w:color="auto" w:sz="4" w:space="0"/>
              <w:bottom w:val="single" w:color="auto" w:sz="4" w:space="0"/>
              <w:right w:val="single" w:color="auto" w:sz="4" w:space="0"/>
            </w:tcBorders>
            <w:tcW w:w="2918" w:type="pct"/>
            <w:vAlign w:val="center"/>
            <w:textDirection w:val="lrTb"/>
            <w:noWrap w:val="false"/>
          </w:tcPr>
          <w:p>
            <w:pPr>
              <w:ind w:firstLine="400"/>
              <w:spacing w:line="240" w:lineRule="auto"/>
              <w:rPr>
                <w:rFonts w:hint="eastAsia" w:ascii="宋体" w:hAnsi="宋体" w:eastAsia="宋体" w:cs="宋体"/>
                <w:sz w:val="20"/>
                <w:szCs w:val="20"/>
              </w:rPr>
            </w:pPr>
            <w:r>
              <w:rPr>
                <w:rFonts w:hint="eastAsia" w:ascii="宋体" w:hAnsi="宋体" w:eastAsia="宋体" w:cs="宋体"/>
                <w:sz w:val="20"/>
                <w:szCs w:val="20"/>
              </w:rPr>
            </w:r>
            <w:r/>
          </w:p>
        </w:tc>
      </w:tr>
      <w:tr>
        <w:trPr>
          <w:trHeight w:val="1776"/>
        </w:trPr>
        <w:tc>
          <w:tcPr>
            <w:shd w:val="clear" w:color="auto" w:fill="auto"/>
            <w:tcBorders>
              <w:top w:val="single" w:color="auto"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w:t>
            </w:r>
            <w:r/>
          </w:p>
        </w:tc>
        <w:tc>
          <w:tcPr>
            <w:shd w:val="clear" w:color="auto" w:fill="auto"/>
            <w:tcBorders>
              <w:top w:val="single" w:color="auto" w:sz="4" w:space="0"/>
              <w:left w:val="single" w:color="000000" w:sz="4" w:space="0"/>
              <w:bottom w:val="none" w:color="000000" w:sz="4" w:space="0"/>
              <w:right w:val="single" w:color="000000" w:sz="4" w:space="0"/>
            </w:tcBorders>
            <w:tcW w:w="1412" w:type="pct"/>
            <w:vAlign w:val="center"/>
            <w:vMerge w:val="restart"/>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实有人口</w:t>
            </w:r>
            <w:r/>
          </w:p>
        </w:tc>
        <w:tc>
          <w:tcPr>
            <w:shd w:val="clear" w:color="auto" w:fill="auto"/>
            <w:tcBorders>
              <w:top w:val="single" w:color="auto"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查询处置：人口新增功能升级，全无锡市实有人口去重，对于相关影响网格以站内信方式通知对端网格员。</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按流动人口、户籍人口类型进行查询，优化查询功能。</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重点青少年：重点青少年变更审核功能，重点青少年已注销人员的管理功能，重点青少年的走访记录管理功能，重点青少年居住房屋的详情管理，重点青少年隐患转事件的管理</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境外人员：境外人员的清单管理，境外人员的新增、删除、修改、详情查看，移动端也增加该功能</w:t>
            </w:r>
            <w:r/>
          </w:p>
        </w:tc>
      </w:tr>
      <w:tr>
        <w:trPr>
          <w:trHeight w:val="1979"/>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实有房屋</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0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房屋清单：房屋的修改、详情查看，包括房屋的走访信息、关联人员信息、房屋变更信息、人员变更信息</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出租房、群租房：出租房、群租房的走访记录管理功能；</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出租房、群租房居住房屋的详情管理；</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出租房、群租房隐患转事件的管理；</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增加出租房、群租房网格员核查字段，能够形成属地板块，自行管理的重点房屋底账</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（三）</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网格工作</w:t>
            </w:r>
            <w:r/>
          </w:p>
        </w:tc>
        <w:tc>
          <w:tcPr>
            <w:shd w:val="clear" w:color="auto" w:fill="auto"/>
            <w:tcBorders>
              <w:top w:val="single" w:color="000000" w:sz="4" w:space="0"/>
              <w:left w:val="single" w:color="000000" w:sz="4" w:space="0"/>
              <w:bottom w:val="none" w:color="000000" w:sz="4" w:space="0"/>
              <w:right w:val="single" w:color="000000" w:sz="4" w:space="0"/>
            </w:tcBorders>
            <w:tcW w:w="2918" w:type="pct"/>
            <w:vAlign w:val="center"/>
            <w:textDirection w:val="lrTb"/>
            <w:noWrap w:val="false"/>
          </w:tcPr>
          <w:p>
            <w:pPr>
              <w:ind w:firstLine="400"/>
              <w:spacing w:line="240" w:lineRule="auto"/>
              <w:rPr>
                <w:rFonts w:hint="eastAsia" w:ascii="宋体" w:hAnsi="宋体" w:eastAsia="宋体" w:cs="宋体"/>
                <w:sz w:val="20"/>
                <w:szCs w:val="20"/>
              </w:rPr>
            </w:pPr>
            <w:r>
              <w:rPr>
                <w:rFonts w:hint="eastAsia" w:ascii="宋体" w:hAnsi="宋体" w:eastAsia="宋体" w:cs="宋体"/>
                <w:sz w:val="20"/>
                <w:szCs w:val="20"/>
              </w:rPr>
            </w:r>
            <w:r/>
          </w:p>
        </w:tc>
      </w:tr>
      <w:tr>
        <w:trPr>
          <w:trHeight w:val="1102"/>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走访</w:t>
            </w:r>
            <w:r/>
          </w:p>
        </w:tc>
        <w:tc>
          <w:tcPr>
            <w:shd w:val="clear" w:color="auto" w:fill="auto"/>
            <w:tcBorders>
              <w:top w:val="single" w:color="000000" w:sz="4" w:space="0"/>
              <w:left w:val="single" w:color="000000" w:sz="4" w:space="0"/>
              <w:bottom w:val="non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空巢老人（走访），重点人员（走访），出租房（走访），群租房（走访）</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原系统只能针对当前群租房出租房走访情况进行列表查询，现在升级为按考核周期锁定的群租房出租房进行查询</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vMerge w:val="restart"/>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人房核实（普通房走访）</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按考核周期对普通房走访工作进行清单管理，可以列表检索，列表查看</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针对梁溪区域的走访要求定制化报表</w:t>
            </w:r>
            <w:r/>
          </w:p>
        </w:tc>
      </w:tr>
      <w:tr>
        <w:trPr>
          <w:trHeight w:val="1943"/>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000000" w:sz="4" w:space="0"/>
              <w:bottom w:val="non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人员变更：网格员新增删除人口信息进行清单管理、列表查询，同步公安审核状态</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房屋变更：房屋出租状态的变更（包括出租变群租，群租变出租等），房屋拆迁等状态的变化</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宗教堂点-走访管理：对宗教堂点的走访工作进行清单管理，可以列表检索，列表查看</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隐患转事件的联动处置管理</w:t>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网格巡查</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对于长时间未移动、超出网格范围的异常情况进行预警提示</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巡查工作的详情管理，直观展示巡查轨迹，可按天查询巡查的所有记录并同步展示巡查当天的工作打点，工作点位和实际走访对象的标准点位、标准地址进行分色打点</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网格事件</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00"/>
              <w:spacing w:line="240" w:lineRule="auto"/>
              <w:rPr>
                <w:rFonts w:hint="eastAsia" w:ascii="宋体" w:hAnsi="宋体" w:eastAsia="宋体" w:cs="宋体"/>
                <w:sz w:val="20"/>
                <w:szCs w:val="20"/>
              </w:rPr>
            </w:pPr>
            <w:r>
              <w:rPr>
                <w:rFonts w:hint="eastAsia" w:ascii="宋体" w:hAnsi="宋体" w:eastAsia="宋体" w:cs="宋体"/>
                <w:sz w:val="20"/>
                <w:szCs w:val="20"/>
              </w:rPr>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网格事件工作台</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汇聚网格事件重点工作，直观展示当前待办事件量、超期预警事件量并提供事件上报的快捷入口</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支持按照所属区域、时间段、时间段等分类对事件进行自定义筛选</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网格事件案例库</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网格事件多个案例库的清单查询</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网格事件案例库的新增、删除、修改、详情查看</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网格事件案例库下的网格事件的清单查询及具体事件案例的详情查看及移出</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eastAsia="zh-CN" w:bidi="ar"/>
              </w:rPr>
              <w:t xml:space="preserve">网格事件评价</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spacing w:line="240" w:lineRule="auto"/>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eastAsia="zh-CN" w:bidi="ar"/>
              </w:rPr>
              <w:t xml:space="preserve">增加事件标识功能，由</w:t>
            </w:r>
            <w:r>
              <w:rPr>
                <w:rFonts w:hint="eastAsia" w:ascii="宋体" w:hAnsi="宋体" w:eastAsia="宋体" w:cs="宋体"/>
                <w:sz w:val="20"/>
                <w:szCs w:val="20"/>
                <w:highlight w:val="none"/>
                <w:lang w:val="en-US" w:eastAsia="zh-CN" w:bidi="ar"/>
              </w:rPr>
              <w:t xml:space="preserve">区/街道</w:t>
            </w:r>
            <w:r>
              <w:rPr>
                <w:rFonts w:hint="eastAsia" w:ascii="宋体" w:hAnsi="宋体" w:eastAsia="宋体" w:cs="宋体"/>
                <w:sz w:val="20"/>
                <w:szCs w:val="20"/>
                <w:highlight w:val="none"/>
                <w:lang w:eastAsia="zh-CN" w:bidi="ar"/>
              </w:rPr>
              <w:t xml:space="preserve">管理员对事件进行评价，内容包括“合格”、“不合格”，</w:t>
            </w:r>
            <w:r>
              <w:rPr>
                <w:rFonts w:hint="eastAsia" w:ascii="宋体" w:hAnsi="宋体" w:eastAsia="宋体" w:cs="宋体"/>
                <w:sz w:val="20"/>
                <w:szCs w:val="20"/>
                <w:highlight w:val="none"/>
                <w:lang w:val="en-US" w:eastAsia="zh-CN" w:bidi="ar"/>
              </w:rPr>
              <w:t xml:space="preserve">不合格需要说明原因</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网格事件催办</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提供催办功能。根据事件紧急程度或超过2个工作日的问题事件还未整改或整改不到位的，指挥中心可以进行催办，督促落实整改，直至整改到位。</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包括催办事件标签设置，催办次数统计</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eastAsia="zh-CN" w:bidi="ar"/>
              </w:rPr>
              <w:t xml:space="preserve">网格事件办结审核</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bidi="ar"/>
              </w:rPr>
              <w:t xml:space="preserve">对结案事件进行是否达标的审核操作，</w:t>
            </w:r>
            <w:r>
              <w:rPr>
                <w:rFonts w:hint="eastAsia" w:ascii="宋体" w:hAnsi="宋体" w:eastAsia="宋体" w:cs="宋体"/>
                <w:sz w:val="20"/>
                <w:szCs w:val="20"/>
                <w:highlight w:val="none"/>
                <w:lang w:val="en-US" w:eastAsia="zh-CN" w:bidi="ar"/>
              </w:rPr>
              <w:t xml:space="preserve">审核通过后进行归档，审核不通过支持退回和重新分派</w:t>
            </w:r>
            <w:r>
              <w:rPr>
                <w:rFonts w:hint="eastAsia" w:ascii="宋体" w:hAnsi="宋体" w:eastAsia="宋体" w:cs="宋体"/>
                <w:sz w:val="20"/>
                <w:szCs w:val="20"/>
                <w:highlight w:val="none"/>
                <w:lang w:eastAsia="zh-CN" w:bidi="ar"/>
              </w:rPr>
              <w:t xml:space="preserve">。</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网格事件删除</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由区级用户对已上报的考核事件进行删除</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eastAsia="zh-CN" w:bidi="ar"/>
              </w:rPr>
              <w:t xml:space="preserve">事件中心抽查</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bidi="ar"/>
              </w:rPr>
              <w:t xml:space="preserve">由管理员</w:t>
            </w:r>
            <w:r>
              <w:rPr>
                <w:rFonts w:hint="eastAsia" w:ascii="宋体" w:hAnsi="宋体" w:eastAsia="宋体" w:cs="宋体"/>
                <w:sz w:val="20"/>
                <w:szCs w:val="20"/>
                <w:highlight w:val="none"/>
                <w:lang w:val="en-US" w:eastAsia="zh-CN" w:bidi="ar"/>
              </w:rPr>
              <w:t xml:space="preserve">按照不同筛选条件</w:t>
            </w:r>
            <w:r>
              <w:rPr>
                <w:rFonts w:hint="eastAsia" w:ascii="宋体" w:hAnsi="宋体" w:eastAsia="宋体" w:cs="宋体"/>
                <w:sz w:val="20"/>
                <w:szCs w:val="20"/>
                <w:highlight w:val="none"/>
                <w:lang w:eastAsia="zh-CN" w:bidi="ar"/>
              </w:rPr>
              <w:t xml:space="preserve">对事件进行筛查并提供导出功能</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eastAsia="zh-CN" w:bidi="ar"/>
              </w:rPr>
              <w:t xml:space="preserve">抽查结果对账</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left="0" w:firstLine="0"/>
              <w:spacing w:line="240" w:lineRule="auto"/>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bidi="ar"/>
              </w:rPr>
              <w:t xml:space="preserve">对</w:t>
            </w:r>
            <w:r>
              <w:rPr>
                <w:rFonts w:hint="eastAsia" w:ascii="宋体" w:hAnsi="宋体" w:eastAsia="宋体" w:cs="宋体"/>
                <w:sz w:val="20"/>
                <w:szCs w:val="20"/>
                <w:highlight w:val="none"/>
                <w:lang w:eastAsia="zh-CN" w:bidi="ar"/>
              </w:rPr>
              <w:t xml:space="preserve">筛查结果</w:t>
            </w:r>
            <w:r>
              <w:rPr>
                <w:rFonts w:hint="eastAsia" w:ascii="宋体" w:hAnsi="宋体" w:eastAsia="宋体" w:cs="宋体"/>
                <w:highlight w:val="none"/>
                <w:lang w:eastAsia="zh-CN"/>
              </w:rPr>
              <w:t xml:space="preserve">生成抽查明细表，</w:t>
            </w:r>
            <w:r>
              <w:rPr>
                <w:rFonts w:hint="eastAsia" w:ascii="宋体" w:hAnsi="宋体" w:eastAsia="宋体" w:cs="宋体"/>
                <w:highlight w:val="none"/>
                <w:lang w:val="en-US" w:eastAsia="zh-CN"/>
              </w:rPr>
              <w:t xml:space="preserve">可以查看抽查</w:t>
            </w:r>
            <w:r>
              <w:rPr>
                <w:rFonts w:hint="eastAsia" w:ascii="宋体" w:hAnsi="宋体" w:eastAsia="宋体" w:cs="宋体"/>
                <w:highlight w:val="none"/>
                <w:lang w:eastAsia="zh-CN"/>
              </w:rPr>
              <w:t xml:space="preserve">事件</w:t>
            </w:r>
            <w:r>
              <w:rPr>
                <w:rFonts w:hint="eastAsia" w:ascii="宋体" w:hAnsi="宋体" w:eastAsia="宋体" w:cs="宋体"/>
                <w:highlight w:val="none"/>
                <w:lang w:val="en-US" w:eastAsia="zh-CN"/>
              </w:rPr>
              <w:t xml:space="preserve">明细。</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eastAsia="zh-CN" w:bidi="ar"/>
              </w:rPr>
              <w:t xml:space="preserve">事件督查（优化）</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left="0" w:firstLine="0"/>
              <w:spacing w:line="240" w:lineRule="auto"/>
              <w:widowControl/>
              <w:rPr>
                <w:rFonts w:hint="eastAsia" w:ascii="宋体" w:hAnsi="宋体" w:eastAsia="宋体" w:cs="宋体"/>
                <w:sz w:val="20"/>
                <w:szCs w:val="20"/>
                <w:highlight w:val="none"/>
                <w:lang w:eastAsia="zh-CN"/>
              </w:rPr>
            </w:pPr>
            <w:r>
              <w:rPr>
                <w:rFonts w:hint="eastAsia" w:ascii="宋体" w:hAnsi="宋体" w:eastAsia="宋体" w:cs="宋体"/>
                <w:highlight w:val="none"/>
                <w:lang w:eastAsia="zh-CN"/>
              </w:rPr>
              <w:t xml:space="preserve">对事件的办结质量进行</w:t>
            </w:r>
            <w:r>
              <w:rPr>
                <w:rFonts w:hint="eastAsia" w:ascii="宋体" w:hAnsi="宋体" w:eastAsia="宋体" w:cs="宋体"/>
                <w:highlight w:val="none"/>
                <w:lang w:val="en-US" w:eastAsia="zh-CN"/>
              </w:rPr>
              <w:t xml:space="preserve">质检</w:t>
            </w:r>
            <w:r>
              <w:rPr>
                <w:rFonts w:hint="eastAsia" w:ascii="宋体" w:hAnsi="宋体" w:eastAsia="宋体" w:cs="宋体"/>
                <w:highlight w:val="none"/>
                <w:lang w:eastAsia="zh-CN"/>
              </w:rPr>
              <w:t xml:space="preserve">督查，包括及时办结率、疑难事件、突发重大事件进行督办</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中心管理</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00"/>
              <w:spacing w:line="240" w:lineRule="auto"/>
              <w:rPr>
                <w:rFonts w:hint="eastAsia" w:ascii="宋体" w:hAnsi="宋体" w:eastAsia="宋体" w:cs="宋体"/>
                <w:sz w:val="20"/>
                <w:szCs w:val="20"/>
              </w:rPr>
            </w:pPr>
            <w:r>
              <w:rPr>
                <w:rFonts w:hint="eastAsia" w:ascii="宋体" w:hAnsi="宋体" w:eastAsia="宋体" w:cs="宋体"/>
                <w:sz w:val="20"/>
                <w:szCs w:val="20"/>
              </w:rPr>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签到打卡</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中心工作人员上班打卡，下班打卡</w:t>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400"/>
              <w:jc w:val="both"/>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中心指令</w:t>
            </w:r>
            <w:r/>
          </w:p>
        </w:tc>
        <w:tc>
          <w:tcPr>
            <w:shd w:val="clear" w:color="auto" w:fill="auto"/>
            <w:tcBorders>
              <w:top w:val="single" w:color="000000" w:sz="4" w:space="0"/>
              <w:left w:val="single" w:color="000000" w:sz="4" w:space="0"/>
              <w:bottom w:val="non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指令：可选择部门/区县网格中心/街镇网格中心发布相关指令，并对发布及接收的指令进行清单管理，可详情查看各单位的接收情况及反馈详情</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汇报：可选择部门或具体人员汇报相关工作，并对发送及接收的汇报进行清单管理，可详情查看汇报的具体内容及汇报是否有批示</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任务管理</w:t>
            </w:r>
            <w:r/>
          </w:p>
        </w:tc>
        <w:tc>
          <w:tcPr>
            <w:shd w:val="clear" w:color="auto" w:fill="auto"/>
            <w:tcBorders>
              <w:top w:val="single" w:color="000000" w:sz="4" w:space="0"/>
              <w:left w:val="single" w:color="000000" w:sz="4" w:space="0"/>
              <w:bottom w:val="non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任务类型：任务类型清单管理，任务大类、任务小类、任务子类进行编辑、搜索、导出功能，可查看详细的关联表单字段信息</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任务对象：批量导入、周期生成、实时推送任务的清单管理；可导入人、房、企三类任务对象相关的采集走访任务；支持任务对象名称、类型、数据来源、关联层级、描述以及事件导出报表</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任务认领：任务认领的清单查询及导出，对于未入格或退回的任务对象可进行标准地址关联，对于无法处置的任务可退回上一级部门</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任务定义：任务定义的清单管理，任务定义的新增、详情查看、协办及删除；自定义周期性任务并定时下发或非周期性任务实时下发；可详情查看任务的基本信息（任务名称、任务周期、任务起止时间、任务范围等）、任务批次信息（各批次的起止时间及完成情况）及批次任务实例清单</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任务数据恢复：可恢复逻辑删除的任务数据</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任务关联表单可行性验证：</w:t>
            </w:r>
            <w:r>
              <w:rPr>
                <w:rFonts w:hint="eastAsia" w:ascii="宋体" w:hAnsi="宋体" w:eastAsia="宋体" w:cs="宋体"/>
                <w:sz w:val="20"/>
                <w:szCs w:val="20"/>
                <w:lang w:val="en-US" w:eastAsia="zh-CN" w:bidi="ar"/>
              </w:rPr>
              <w:t xml:space="preserve">任务</w:t>
            </w:r>
            <w:r>
              <w:rPr>
                <w:rFonts w:hint="eastAsia" w:ascii="宋体" w:hAnsi="宋体" w:eastAsia="宋体" w:cs="宋体"/>
                <w:sz w:val="20"/>
                <w:szCs w:val="20"/>
                <w:lang w:eastAsia="zh-CN" w:bidi="ar"/>
              </w:rPr>
              <w:t xml:space="preserve">采集表单和任务关联</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点调会商</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点调工作台：可按照组织架构对网格员或相关职能机构进行点调或者会商；可查看人员的在线状态</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点调记录：点调及会商记录清单管理；点调记录的详情查看及质检</w:t>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预警提示</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手动预警：针对考核工作进行报表查询，对未完成工作的网格进行手动一键预警</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预警记录：预警记录清单管理；预警记录详情查看</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00"/>
              <w:spacing w:line="240" w:lineRule="auto"/>
              <w:rPr>
                <w:rFonts w:hint="eastAsia" w:ascii="宋体" w:hAnsi="宋体" w:eastAsia="宋体" w:cs="宋体"/>
                <w:sz w:val="20"/>
                <w:szCs w:val="20"/>
              </w:rPr>
            </w:pPr>
            <w:r>
              <w:rPr>
                <w:rFonts w:hint="eastAsia" w:ascii="宋体" w:hAnsi="宋体" w:eastAsia="宋体" w:cs="宋体"/>
                <w:sz w:val="20"/>
                <w:szCs w:val="20"/>
              </w:rPr>
            </w:r>
            <w:r/>
          </w:p>
        </w:tc>
      </w:tr>
      <w:tr>
        <w:trPr>
          <w:trHeight w:val="682"/>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业务组织</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业务组织的清单管理</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业务组织的新增、修改、详情查看</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业务身份</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业务身份的清单管理</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业务身份的新增、修改、删除、详情查看</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（七）</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考核报表</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00"/>
              <w:spacing w:line="240" w:lineRule="auto"/>
              <w:rPr>
                <w:rFonts w:hint="eastAsia" w:ascii="宋体" w:hAnsi="宋体" w:eastAsia="宋体" w:cs="宋体"/>
                <w:sz w:val="20"/>
                <w:szCs w:val="20"/>
              </w:rPr>
            </w:pPr>
            <w:r>
              <w:rPr>
                <w:rFonts w:hint="eastAsia" w:ascii="宋体" w:hAnsi="宋体" w:eastAsia="宋体" w:cs="宋体"/>
                <w:sz w:val="20"/>
                <w:szCs w:val="20"/>
              </w:rPr>
            </w:r>
            <w:r/>
          </w:p>
        </w:tc>
      </w:tr>
      <w:tr>
        <w:trPr>
          <w:trHeight w:val="555"/>
        </w:trPr>
        <w:tc>
          <w:tcPr>
            <w:shd w:val="clear" w:color="auto" w:fill="auto"/>
            <w:tcBorders>
              <w:top w:val="single" w:color="000000" w:sz="4" w:space="0"/>
              <w:left w:val="single" w:color="000000" w:sz="4" w:space="0"/>
              <w:bottom w:val="single" w:color="auto"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公安数据对接</w:t>
            </w:r>
            <w:r/>
          </w:p>
        </w:tc>
        <w:tc>
          <w:tcPr>
            <w:shd w:val="clear" w:color="auto" w:fill="auto"/>
            <w:tcBorders>
              <w:top w:val="single" w:color="000000" w:sz="4" w:space="0"/>
              <w:left w:val="single" w:color="000000" w:sz="4" w:space="0"/>
              <w:bottom w:val="single" w:color="auto"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网格人口采集统计</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房屋信息采集统计</w:t>
            </w:r>
            <w:r/>
          </w:p>
        </w:tc>
      </w:tr>
      <w:tr>
        <w:trPr>
          <w:trHeight w:val="555"/>
        </w:trPr>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(省“苏格通”)监测统计</w:t>
            </w:r>
            <w:r/>
          </w:p>
        </w:tc>
        <w:tc>
          <w:tcPr>
            <w:shd w:val="clear" w:color="auto" w:fill="auto"/>
            <w:tcBorders>
              <w:top w:val="single" w:color="auto" w:sz="4" w:space="0"/>
              <w:left w:val="single" w:color="auto" w:sz="4" w:space="0"/>
              <w:bottom w:val="single" w:color="auto" w:sz="4" w:space="0"/>
              <w:right w:val="single" w:color="auto"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数据汇聚治理：数据上传监测，数据中断监测</w:t>
            </w:r>
            <w:r/>
          </w:p>
        </w:tc>
      </w:tr>
      <w:tr>
        <w:trPr>
          <w:trHeight w:val="4155"/>
        </w:trPr>
        <w:tc>
          <w:tcPr>
            <w:shd w:val="clear" w:color="auto" w:fill="auto"/>
            <w:tcBorders>
              <w:top w:val="single" w:color="auto"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3</w:t>
            </w:r>
            <w:r/>
          </w:p>
        </w:tc>
        <w:tc>
          <w:tcPr>
            <w:shd w:val="clear" w:color="auto" w:fill="auto"/>
            <w:tcBorders>
              <w:top w:val="single" w:color="auto" w:sz="4" w:space="0"/>
              <w:left w:val="single" w:color="000000" w:sz="4" w:space="0"/>
              <w:bottom w:val="non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网格绩效考核</w:t>
            </w:r>
            <w:r/>
          </w:p>
        </w:tc>
        <w:tc>
          <w:tcPr>
            <w:shd w:val="clear" w:color="auto" w:fill="auto"/>
            <w:tcBorders>
              <w:top w:val="single" w:color="auto"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工作排名：网格中心工作考核排名，网格考核综合排名监测，专职网格员工作考核排名</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考核质检：网格中心考核得分统计，网格员考核得分统计，连续3个工作日无走访无采集网格清单，连续2个工作日无走访无采集网格预警清单</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网格巡查：网格通登录率统计，网格巡查时长统计</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联动事件：中心事件办理统计，中心事件办理清单</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视频点调：中心对中心点调清单，中心对网格员点调清单，中心视频点调统计</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人房核实：常住人口走访清单，常住人口走访网格统计月报，常住人口走访网格统计，常住人口走访综合统计，人房核实回访清单</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网格管理：网格有效工作监测，专职网格员工作量统计，网格管理要素综合统计，专职网格员注册清单，网格底册清单</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网格绩效考核V3</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工作排名：全区工作绩效排名，网格工作绩效得分详情，全区网格化考核V3版原始清单，隐患信息采集量统计</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考核质检：网格考核工作积分质检，网格考核绩效得分质检</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网格周期性任务</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空巢老人走访（周），空巢老人走访（月），重点人员走访，群租房走访，出租房走访</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全民反诈专题</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预警对象已走访清单，预警对象未走访清单</w:t>
            </w:r>
            <w:r/>
          </w:p>
        </w:tc>
      </w:tr>
      <w:tr>
        <w:trPr>
          <w:trHeight w:val="422"/>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网格服务资源清单</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2023年微网格数据统计</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ind w:firstLine="0"/>
              <w:jc w:val="center"/>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第三方系统平台业务对接</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00"/>
              <w:spacing w:line="240"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tc>
      </w:tr>
      <w:tr>
        <w:trPr>
          <w:trHeight w:val="1388"/>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40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业务数据对接</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bidi="ar"/>
              </w:rPr>
            </w:pPr>
            <w:r>
              <w:rPr>
                <w:rFonts w:hint="eastAsia" w:ascii="宋体" w:hAnsi="宋体" w:eastAsia="宋体" w:cs="宋体"/>
                <w:sz w:val="20"/>
                <w:szCs w:val="20"/>
                <w:lang w:eastAsia="zh-CN" w:bidi="ar"/>
              </w:rPr>
              <w:t xml:space="preserve">市网格化平台业务考核对接提升：对接业务功能，市平台业务数据同步。</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城运对接：与城运进行事件对接</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家园计划对接：与一体化通过网闸方式进行文件数据交换</w:t>
            </w:r>
            <w:r/>
          </w:p>
          <w:p>
            <w:pPr>
              <w:pStyle w:val="948"/>
              <w:ind w:left="0" w:firstLine="0"/>
              <w:spacing w:line="240" w:lineRule="auto"/>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溪办APP对接：溪办APP自动登录网格通APP</w:t>
            </w:r>
            <w:r/>
          </w:p>
          <w:p>
            <w:pPr>
              <w:pStyle w:val="948"/>
              <w:ind w:left="0" w:firstLine="0"/>
              <w:spacing w:line="240" w:lineRule="auto"/>
              <w:rPr>
                <w:rFonts w:hint="eastAsia" w:ascii="宋体" w:hAnsi="宋体" w:eastAsia="宋体" w:cs="宋体"/>
                <w:lang w:val="en-US" w:eastAsia="zh-CN"/>
              </w:rPr>
            </w:pPr>
            <w:r>
              <w:rPr>
                <w:rFonts w:hint="eastAsia" w:ascii="宋体" w:hAnsi="宋体" w:eastAsia="宋体" w:cs="宋体"/>
                <w:color w:val="000000"/>
                <w:sz w:val="20"/>
                <w:szCs w:val="20"/>
                <w:lang w:val="en-US" w:eastAsia="zh-CN" w:bidi="ar"/>
              </w:rPr>
              <w:t xml:space="preserve">梁溪区数字生活小程序：“梁溪区数字生活”小程序自动登录梁溪网格化小程序</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平台数据能力升级</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00"/>
              <w:spacing w:line="240" w:lineRule="auto"/>
              <w:rPr>
                <w:rFonts w:hint="eastAsia" w:ascii="宋体" w:hAnsi="宋体" w:eastAsia="宋体" w:cs="宋体"/>
                <w:sz w:val="20"/>
                <w:szCs w:val="20"/>
              </w:rPr>
            </w:pPr>
            <w:r>
              <w:rPr>
                <w:rFonts w:hint="eastAsia" w:ascii="宋体" w:hAnsi="宋体" w:eastAsia="宋体" w:cs="宋体"/>
                <w:sz w:val="20"/>
                <w:szCs w:val="20"/>
              </w:rPr>
            </w:r>
            <w:r/>
          </w:p>
        </w:tc>
      </w:tr>
      <w:tr>
        <w:trPr>
          <w:trHeight w:val="1123"/>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全库数据检索引擎</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人口信息分词索引－搜索引擎：通过身份证、手机号码、姓名、年龄、居住地址、原籍地址等标准字段构建索引，提供身份证号码纠错、手机号码纠错、姓名同音的联想纠正等功能，并且可以按照手机号、身份证号码、姓名、居住地址等最终找到相同或者类似的人口。</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地址库地名分词索引－搜索引擎：提供检索标准地址检索服务，实现地址自动匹配。例如事件描述中地址往往存在省略区县街道乡镇村的归属结构，存在地址颠倒，地址不全，地址省略等各种情况，为此建立一套完整的地名搜索引擎系统，结合利用本地地址库清洗出来的分词字典供的地址准确分词功能后，提示多个地址供选等功能。</w:t>
            </w:r>
            <w:r/>
          </w:p>
        </w:tc>
      </w:tr>
      <w:tr>
        <w:trPr>
          <w:trHeight w:val="996"/>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restart"/>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地址标准化工作引擎</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标准地址设计 ：基于公安标准化地址、表结构、表字段，设计地址标准数据结构，设计地址数据库表结构，设计地址的标准对外服务接口和对内服务接口，设计地址的自身基础业务场景和基于地址的相关扩展业务场景</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地址标准数据结构：基于公安标准地址命名规范及要求，设计地址标准数据结构，地址包含地址编码</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地址生命周期管理 ：提供并记录地址及地址信息变化的功能</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地址自身业务场景：主要包括地址新增，地址删除，地址修改，省市两级地址数据匹配关联，公安地址下发及回流</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地址相关业务场景：基于公安标准化地址，根据街路巷小区查询建筑物，地图上标注小区坐标点，根据建筑物查询房屋，地图上标注建筑物坐标点，地图上标注房屋坐标点，地图上标注实有单位坐标点</w:t>
            </w:r>
            <w:r/>
          </w:p>
        </w:tc>
      </w:tr>
      <w:tr>
        <w:trPr>
          <w:trHeight w:val="1164"/>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地址基础及扩展业务场景标准对外服务接口：基于公安标准化地址以及各市（县）区、镇（街道）相关系统提供地址基础及扩展业务场景标准对外服务接口，主要具备接口定义，接口通信协议（http/https），接口授权机制，接口流量控制，接口健康度检查等能力要求</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（十）</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网格优化调整及数据服务</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00"/>
              <w:spacing w:line="240"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tc>
      </w:tr>
      <w:tr>
        <w:trPr>
          <w:trHeight w:val="732"/>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网格调整准备</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项目组配合各市（县）区完成网格现状及调整需求梳理，新的网格边界划分；实施网格调整、测试； 实现网格维护、网格划分、网格上图维护管理等功能</w:t>
            </w:r>
            <w:r/>
          </w:p>
        </w:tc>
      </w:tr>
      <w:tr>
        <w:trPr>
          <w:trHeight w:val="732"/>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网格调整联动处置</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网格信息调整后，需要将调整信息与市网格化社会治理大数据中心进行数据同步更新；网格信息调整后，需要将调整信息与江苏省网格化平台进行数据同步更新</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网格调整模板</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编制网格信息登记表模板，梳理记录网格信息调整，比如网格、网格员、网格边界信息等</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技术调整</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针对网格业务流程调整步骤，需要技术人员人工核定，包括备份、更新，平滑过度，同步呈现。</w:t>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数据调整</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根据各级网格中心实际工作要求，提取相关业务数据，提供数据支撑服务，并需要技术人员手动数据调整。包括：入格操作、历史数据关系调整、系统考核报表调整</w:t>
            </w:r>
            <w:r/>
          </w:p>
        </w:tc>
      </w:tr>
      <w:tr>
        <w:trPr>
          <w:trHeight w:val="1177"/>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走访任务重新生成</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网格调整工作，一方面不影响江苏省高质量发展考核要求，另一方面满足各区针对不合理网格进行调整，走访任务需要重新生成，将考核周期内未完成的走访任务根据调整后的网格进行走访任务重新生成，调整走访任务完成量中间表，已走访任务不需要重新走访</w:t>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每日通报</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考核数据得分每日通报服务，每日抽取的考核指标数据可以在系统中查看，进行数据的对比，打分的走势以及明日打分预测。</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统计报表调整</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根据用户要求，定制5张报表</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监测平台报表</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调整</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根据用户要求，定制5张报表</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（十一）</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textDirection w:val="lrTb"/>
            <w:noWrap w:val="false"/>
          </w:tcPr>
          <w:p>
            <w:pPr>
              <w:ind w:firstLine="400"/>
              <w:jc w:val="both"/>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APP端</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00"/>
              <w:spacing w:line="240" w:lineRule="auto"/>
              <w:rPr>
                <w:rFonts w:hint="eastAsia" w:ascii="宋体" w:hAnsi="宋体" w:eastAsia="宋体" w:cs="宋体"/>
                <w:sz w:val="20"/>
                <w:szCs w:val="20"/>
              </w:rPr>
            </w:pPr>
            <w:r>
              <w:rPr>
                <w:rFonts w:hint="eastAsia" w:ascii="宋体" w:hAnsi="宋体" w:eastAsia="宋体" w:cs="宋体"/>
                <w:sz w:val="20"/>
                <w:szCs w:val="20"/>
              </w:rPr>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restart"/>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二维码门牌扫描：网格员可以通过扫描二维码门牌快速进入人房核实、重点人员走访、事件上报等业务操作</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jc w:val="both"/>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网格巡查：网格员可以看到自己的巡查轨迹和网格边界的比较</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网格在工作统计中可以看到自己的巡查时长是否达标，自己当日的详细记录清单及详情</w:t>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考核入口：考核入口，增加其他隐患、矛盾化解分类，重新设计原型，里面分类名字 隐患上报（平安）、矛盾化解（平安）</w:t>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任务</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jc w:val="both"/>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任务派单：为了方便各级各板块部门对联动事件的处置操作，在APP任务模块的待办项页面中，增加APP直接派单功能，可以对事件进行分派处置。</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vMerge w:val="restart"/>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人房核实智能查询升级：街路巷使用模糊搜索查询，房屋排序优化</w:t>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non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人房核实五步法：</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房屋信息详情核实完善</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人口核实：人口信息修改完善</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实有人口核查/新增（核实人员是否实际居住）</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现场核实信息补充，增加“备注栏”</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确认核实：信息保存、现场核实</w:t>
            </w:r>
            <w:r/>
          </w:p>
        </w:tc>
      </w:tr>
      <w:tr>
        <w:trPr>
          <w:trHeight w:val="667"/>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出租房群租房及流动人口管理：</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出租房、群租房按照公安要求补全采集表单（包括房屋出租登记备案情况等）；</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关联公安人口查询接口，做实有人口一键核实</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走访隐患直接转事件</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增加现场走访人员核实信息，便于网格中心事后质量稽查 </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境外人员：境外人员的新增、删除、修改、详情查看</w:t>
            </w:r>
            <w:r/>
          </w:p>
        </w:tc>
      </w:tr>
      <w:tr>
        <w:trPr>
          <w:trHeight w:val="1533"/>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tcPr>
          <w:p>
            <w:pPr>
              <w:ind w:firstLine="0"/>
              <w:jc w:val="both"/>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修改房屋类型：房屋的公安属性不做变更，增加字段项“房屋出租状态”（网格员核实），由网格员自行维护建立梁溪区自有的出租房群租房底账</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房屋认领：移动端房屋拆迁的审核管理，移动端房屋入格错误的审核管理</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拆迁（入格）变更：移动端房屋拆迁的审核管理</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移动端房屋入格错误的审核管理</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宗教堂点：宗教堂点的新增，删除，修改，查看详情</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tcPr>
          <w:p>
            <w:pPr>
              <w:ind w:firstLine="0"/>
              <w:jc w:val="both"/>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主动走访：主动走访的新增，清单、查看详情</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jc w:val="both"/>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活动上报：活动上报的新增，清单、查看详情</w:t>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restart"/>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我的</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jc w:val="left"/>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工作统计：工作统计数据显示实时数据，点击数据可查看具体区域工作数据。</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按照市考核最新要求实现工作统计升级</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tcPr>
          <w:p>
            <w:pPr>
              <w:ind w:firstLine="0"/>
              <w:jc w:val="both"/>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治理力量：可以查看该网格对应的三官两师信息</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微信端小程序</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网格小程序：小程序推广应用，小程序流量监测、业务、兑换数据等</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（十二）</w:t>
            </w:r>
            <w:r/>
          </w:p>
        </w:tc>
        <w:tc>
          <w:tcPr>
            <w:shd w:val="clear" w:color="auto" w:fill="auto"/>
            <w:tcBorders>
              <w:top w:val="single" w:color="000000" w:sz="4" w:space="0"/>
              <w:left w:val="single" w:color="000000" w:sz="4" w:space="0"/>
              <w:bottom w:val="non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区网格化中心大屏指挥系统</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00"/>
              <w:spacing w:line="240"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restart"/>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市级中屏应用延伸</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登录与账号管理功能：全区9个街道中屏应用登录账号管理与权限建立；</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数据隔离功能：全区各级网格服务管理中心中屏应用数据访问隔离；</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视频资源定制功能：各级网格服务管理中心中屏应用首页8个关键视频资源定制；</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中心坐标定位功能：根据和各级网格服务管理中心，初始化中心地图及区域管辖范围地图呈现；</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中屏数据初始化功能：根据和各级网格服务管理中心，初始化中屏各类展示数据。</w:t>
            </w:r>
            <w:r/>
          </w:p>
        </w:tc>
      </w:tr>
      <w:tr>
        <w:trPr>
          <w:trHeight w:val="1096"/>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社区中屏应用开发</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left="0"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依据网格化业务延伸深入，开发社区中屏应用，依据村社区网格化实战要求，绘制社区管辖范围，展示村社区网格划分配备情况，构建社区各类考核数据监测模板，实现社区级模拟打分、考核数据实时监测，管理要素上图，重点管理对象标注，网格事件上图等功能</w:t>
            </w:r>
            <w:r/>
          </w:p>
        </w:tc>
      </w:tr>
      <w:tr>
        <w:trPr>
          <w:trHeight w:val="1183"/>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40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restart"/>
            <w:textDirection w:val="lrTb"/>
            <w:noWrap w:val="false"/>
          </w:tcPr>
          <w:p>
            <w:pPr>
              <w:ind w:firstLine="40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调整中屏主题应用</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left="0"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中屏基层治理总视图：根据新的考核规则实现网格力量、一标三实、各类任务完成情况、视频调度、指令、联动指挥等基础信息模块开发，实现考核数据上图呈现，并优化各级中心网格工作情况分析模型，包括各项考核指标完成情况、目标量、完成量、完成率、不达标情况，区域积分得分、排名情况等</w:t>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40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left="0"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中屏网格建设总视图：展示网格划分分布情况及实有人口、实有房屋、实有单位分布情况可视化呈现。并优化专职网格员工作概况分析展示情况。</w:t>
            </w:r>
            <w:r/>
          </w:p>
        </w:tc>
      </w:tr>
      <w:tr>
        <w:trPr>
          <w:trHeight w:val="2011"/>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中屏全景网格总视图：构建一标多实网格管理元素的上图展示功能，依托GIS地图功能，结合网格管理要素的标准地址，实现网格要素入网格，开发构建实有人口、实有房屋、实有单位、视频监控、治理事件、网格力量等不同要素图层，各类管理要素之间用不同的状态、图标进行上图定位、分布展示。警网关系上图，展示警格与网格的对应关系，实现责任民警信息同步，照片上图，警格电子边界划分上图等功能。</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vMerge w:val="continue"/>
            <w:textDirection w:val="lrTb"/>
            <w:noWrap w:val="false"/>
          </w:tcPr>
          <w:p>
            <w:pPr>
              <w:ind w:firstLine="400"/>
              <w:jc w:val="center"/>
              <w:spacing w:line="240" w:lineRule="auto"/>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中屏网格指标监测总览视图：支持分区域多层级监测，一图呈现辖区网格建设、数据监测、中心运行、信息采集、巡查走访情况</w:t>
            </w:r>
            <w:r/>
          </w:p>
        </w:tc>
      </w:tr>
      <w:tr>
        <w:trPr>
          <w:trHeight w:val="354"/>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中心指挥大屏改造</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通过对市平台的适配改造，为区平台提供大屏基础功能底座</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412" w:type="pct"/>
            <w:vAlign w:val="center"/>
            <w:textDirection w:val="lrTb"/>
            <w:noWrap w:val="false"/>
          </w:tcPr>
          <w:p>
            <w:pPr>
              <w:ind w:firstLine="0"/>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eastAsia="zh-CN" w:bidi="ar"/>
              </w:rPr>
              <w:t xml:space="preserve">视频监控对接</w:t>
            </w:r>
            <w:r/>
          </w:p>
        </w:tc>
        <w:tc>
          <w:tcPr>
            <w:shd w:val="clear" w:color="auto" w:fill="auto"/>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0"/>
              <w:spacing w:line="240" w:lineRule="auto"/>
              <w:widowControl/>
              <w:rPr>
                <w:rFonts w:hint="eastAsia" w:ascii="宋体" w:hAnsi="宋体" w:eastAsia="宋体" w:cs="宋体"/>
                <w:sz w:val="20"/>
                <w:szCs w:val="20"/>
                <w:lang w:eastAsia="zh-CN"/>
              </w:rPr>
            </w:pPr>
            <w:r>
              <w:rPr>
                <w:rFonts w:hint="eastAsia" w:ascii="宋体" w:hAnsi="宋体" w:eastAsia="宋体" w:cs="宋体"/>
                <w:sz w:val="20"/>
                <w:szCs w:val="20"/>
                <w:lang w:eastAsia="zh-CN" w:bidi="ar"/>
              </w:rPr>
              <w:t xml:space="preserve">接入30路智慧梁溪监控视频，调用时增加水印并防止截屏</w:t>
            </w:r>
            <w:r>
              <w:rPr>
                <w:rFonts w:hint="eastAsia" w:ascii="宋体" w:hAnsi="宋体" w:eastAsia="宋体" w:cs="宋体"/>
                <w:sz w:val="20"/>
                <w:szCs w:val="20"/>
                <w:lang w:eastAsia="zh-CN" w:bidi="ar"/>
              </w:rPr>
              <w:br/>
            </w:r>
            <w:r>
              <w:rPr>
                <w:rFonts w:hint="eastAsia" w:ascii="宋体" w:hAnsi="宋体" w:eastAsia="宋体" w:cs="宋体"/>
                <w:sz w:val="20"/>
                <w:szCs w:val="20"/>
                <w:lang w:eastAsia="zh-CN" w:bidi="ar"/>
              </w:rPr>
              <w:t xml:space="preserve">优化：1、网络不通时使用动图；2、网络通畅时使用实时视频；3、人工可选择剩余22路视频。</w:t>
            </w:r>
            <w:r/>
          </w:p>
        </w:tc>
      </w:tr>
    </w:tbl>
    <w:p>
      <w:pPr>
        <w:pStyle w:val="953"/>
        <w:rPr>
          <w:rFonts w:hint="eastAsia" w:ascii="宋体" w:hAnsi="宋体" w:eastAsia="宋体" w:cs="宋体"/>
          <w:lang w:val="en-US" w:eastAsia="zh-CN"/>
        </w:rPr>
      </w:pPr>
      <w:r>
        <w:rPr>
          <w:rFonts w:hint="eastAsia" w:ascii="宋体" w:hAnsi="宋体" w:eastAsia="宋体" w:cs="宋体"/>
          <w:lang w:val="en-US" w:eastAsia="zh-CN"/>
        </w:rPr>
      </w:r>
      <w:r/>
    </w:p>
    <w:p>
      <w:pPr>
        <w:pStyle w:val="931"/>
        <w:numPr>
          <w:ilvl w:val="0"/>
          <w:numId w:val="8"/>
        </w:numPr>
        <w:ind w:left="425" w:hanging="425"/>
        <w:jc w:val="both"/>
        <w:keepLines/>
        <w:keepNext/>
        <w:pageBreakBefore w:val="0"/>
        <w:spacing w:line="579" w:lineRule="auto"/>
        <w:widowControl w:val="off"/>
        <w:rPr>
          <w:rFonts w:hint="eastAsia" w:ascii="宋体" w:hAnsi="宋体" w:eastAsia="宋体" w:cs="宋体"/>
          <w:b/>
          <w:bCs/>
          <w:sz w:val="24"/>
          <w:szCs w:val="24"/>
          <w:highlight w:val="none"/>
        </w:rPr>
      </w:pPr>
      <w:r/>
      <w:bookmarkStart w:id="193" w:name="_Toc7173"/>
      <w:r/>
      <w:bookmarkStart w:id="194" w:name="_Toc124148089"/>
      <w:r/>
      <w:bookmarkStart w:id="195" w:name="_Toc18172"/>
      <w:r/>
      <w:bookmarkStart w:id="196" w:name="_Toc57628713"/>
      <w:r>
        <w:rPr>
          <w:rFonts w:hint="eastAsia" w:ascii="宋体" w:hAnsi="宋体" w:eastAsia="宋体" w:cs="宋体"/>
          <w:b/>
          <w:bCs/>
          <w:sz w:val="24"/>
          <w:szCs w:val="24"/>
          <w:highlight w:val="none"/>
        </w:rPr>
        <w:t xml:space="preserve">系统性能要求</w:t>
      </w:r>
      <w:bookmarkEnd w:id="193"/>
      <w:r/>
      <w:bookmarkEnd w:id="194"/>
      <w:r/>
      <w:bookmarkEnd w:id="195"/>
      <w:r/>
      <w:bookmarkEnd w:id="196"/>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rPr>
      </w:pPr>
      <w:r/>
      <w:bookmarkStart w:id="197" w:name="_Toc124148090"/>
      <w:r/>
      <w:bookmarkStart w:id="198" w:name="_Toc8758"/>
      <w:r/>
      <w:bookmarkStart w:id="199" w:name="_Toc13427"/>
      <w:r>
        <w:rPr>
          <w:rFonts w:hint="eastAsia" w:ascii="宋体" w:hAnsi="宋体" w:eastAsia="宋体" w:cs="宋体"/>
          <w:sz w:val="24"/>
          <w:szCs w:val="24"/>
          <w:highlight w:val="none"/>
        </w:rPr>
        <w:t xml:space="preserve">系统响应时间指标</w:t>
      </w:r>
      <w:bookmarkEnd w:id="197"/>
      <w:r/>
      <w:bookmarkEnd w:id="198"/>
      <w:r/>
      <w:bookmarkEnd w:id="199"/>
      <w:r/>
      <w:r/>
    </w:p>
    <w:p>
      <w:pPr>
        <w:pStyle w:val="1271"/>
        <w:ind w:left="0" w:firstLine="420"/>
        <w:pageBreakBefore w:val="0"/>
        <w:widowControl w:val="off"/>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常规操作请求的响应时间不大于3秒，图形操作的响应时间不大于5秒；普通表单的展现在5秒内做出响应，复杂表单展现在10秒内做出响应；业务数据保存操作在5秒内完成；简单报表统计在10秒内显示统计结果，复杂报表的应尽快响应，且操作过程中需给出进展提示。</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rPr>
      </w:pPr>
      <w:r/>
      <w:bookmarkStart w:id="200" w:name="_Toc124148091"/>
      <w:r/>
      <w:bookmarkStart w:id="201" w:name="_Toc31285"/>
      <w:r/>
      <w:bookmarkStart w:id="202" w:name="_Toc30739"/>
      <w:r>
        <w:rPr>
          <w:rFonts w:hint="eastAsia" w:ascii="宋体" w:hAnsi="宋体" w:eastAsia="宋体" w:cs="宋体"/>
          <w:sz w:val="24"/>
          <w:szCs w:val="24"/>
          <w:highlight w:val="none"/>
        </w:rPr>
        <w:t xml:space="preserve">并发处理能力</w:t>
      </w:r>
      <w:bookmarkEnd w:id="200"/>
      <w:r/>
      <w:bookmarkEnd w:id="201"/>
      <w:r/>
      <w:bookmarkEnd w:id="202"/>
      <w:r/>
      <w:r/>
    </w:p>
    <w:p>
      <w:pPr>
        <w:ind w:firstLine="480"/>
        <w:spacing w:line="360"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可支持1000用户同时在线，支持200并发用户使用。</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rPr>
      </w:pPr>
      <w:r/>
      <w:bookmarkStart w:id="203" w:name="_Toc2611"/>
      <w:r/>
      <w:bookmarkStart w:id="204" w:name="_Toc124148092"/>
      <w:r/>
      <w:bookmarkStart w:id="205" w:name="_Toc10456"/>
      <w:r>
        <w:rPr>
          <w:rFonts w:hint="eastAsia" w:ascii="宋体" w:hAnsi="宋体" w:eastAsia="宋体" w:cs="宋体"/>
          <w:sz w:val="24"/>
          <w:szCs w:val="24"/>
          <w:highlight w:val="none"/>
        </w:rPr>
        <w:t xml:space="preserve">可靠性和稳定性要求</w:t>
      </w:r>
      <w:bookmarkEnd w:id="203"/>
      <w:r/>
      <w:bookmarkEnd w:id="204"/>
      <w:r/>
      <w:bookmarkEnd w:id="205"/>
      <w:r/>
      <w:r/>
    </w:p>
    <w:p>
      <w:pPr>
        <w:ind w:firstLine="480"/>
        <w:spacing w:line="360"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具备7×24小时不间断稳定运行能力。系统有效工作时间：³99%；系统故障平均间隔时间：³300天。对用户输入的数据进行合法性检查，确保流程的通畅性，并且能够对错误数据进行自动纠错处理。</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rPr>
      </w:pPr>
      <w:r/>
      <w:bookmarkStart w:id="206" w:name="_Toc1165"/>
      <w:r/>
      <w:bookmarkStart w:id="207" w:name="_Toc19259"/>
      <w:r/>
      <w:bookmarkStart w:id="208" w:name="_Toc124148093"/>
      <w:r>
        <w:rPr>
          <w:rFonts w:hint="eastAsia" w:ascii="宋体" w:hAnsi="宋体" w:eastAsia="宋体" w:cs="宋体"/>
          <w:sz w:val="24"/>
          <w:szCs w:val="24"/>
          <w:highlight w:val="none"/>
        </w:rPr>
        <w:t xml:space="preserve">计算精度及时间同步</w:t>
      </w:r>
      <w:bookmarkEnd w:id="206"/>
      <w:r/>
      <w:bookmarkEnd w:id="207"/>
      <w:r/>
      <w:bookmarkEnd w:id="208"/>
      <w:r/>
      <w:r/>
    </w:p>
    <w:p>
      <w:pPr>
        <w:ind w:firstLine="480"/>
        <w:spacing w:line="360"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金额数据计算为小数点后3位，结果为小数点后2位（精确到分）；日期时间数据业务信息精确到日，操作日志信息精确到百分之一秒；其它数据：符合相关业务输出报表、表单的精度要求。</w:t>
      </w:r>
      <w:r/>
    </w:p>
    <w:p>
      <w:pPr>
        <w:ind w:firstLine="480"/>
        <w:spacing w:line="360"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所有服务器系统时间与标准时间实现同步。</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rPr>
      </w:pPr>
      <w:r/>
      <w:bookmarkStart w:id="209" w:name="_Toc17552"/>
      <w:r/>
      <w:bookmarkStart w:id="210" w:name="_Toc19016"/>
      <w:r/>
      <w:bookmarkStart w:id="211" w:name="_Toc124148094"/>
      <w:r>
        <w:rPr>
          <w:rFonts w:hint="eastAsia" w:ascii="宋体" w:hAnsi="宋体" w:eastAsia="宋体" w:cs="宋体"/>
          <w:sz w:val="24"/>
          <w:szCs w:val="24"/>
          <w:highlight w:val="none"/>
        </w:rPr>
        <w:t xml:space="preserve">适应性要求</w:t>
      </w:r>
      <w:bookmarkEnd w:id="209"/>
      <w:r/>
      <w:bookmarkEnd w:id="210"/>
      <w:r/>
      <w:bookmarkEnd w:id="211"/>
      <w:r/>
      <w:r/>
    </w:p>
    <w:p>
      <w:pPr>
        <w:ind w:firstLine="480"/>
        <w:spacing w:line="360" w:lineRule="auto"/>
        <w:rPr>
          <w:rFonts w:hint="eastAsia" w:ascii="宋体" w:hAnsi="宋体" w:eastAsia="宋体" w:cs="宋体"/>
          <w:szCs w:val="21"/>
          <w:highlight w:val="none"/>
        </w:rPr>
      </w:pPr>
      <w:r>
        <w:rPr>
          <w:rFonts w:hint="eastAsia" w:ascii="宋体" w:hAnsi="宋体" w:eastAsia="宋体" w:cs="Times New Roman"/>
          <w:b w:val="0"/>
          <w:bCs/>
          <w:color w:val="auto"/>
          <w:sz w:val="24"/>
          <w:szCs w:val="24"/>
          <w:highlight w:val="none"/>
          <w:lang w:val="en-US" w:eastAsia="zh-CN" w:bidi="ar-SA"/>
        </w:rPr>
        <w:t xml:space="preserve">软件系统应适应多种网络环境和软硬件环境，能在通用的操作系统上运行，如Windows、Linux、Unix，数据交换平台能支持主流的数据库产品，如Oracle、SQL SERVER、DB2、Sybase等。</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rPr>
      </w:pPr>
      <w:r/>
      <w:bookmarkStart w:id="212" w:name="_Toc93478132"/>
      <w:r/>
      <w:bookmarkStart w:id="213" w:name="_Toc124148095"/>
      <w:r/>
      <w:bookmarkStart w:id="214" w:name="_Toc29593"/>
      <w:r/>
      <w:bookmarkStart w:id="215" w:name="_Toc1826"/>
      <w:r>
        <w:rPr>
          <w:rFonts w:hint="eastAsia" w:ascii="宋体" w:hAnsi="宋体" w:eastAsia="宋体" w:cs="宋体"/>
          <w:sz w:val="24"/>
          <w:szCs w:val="24"/>
          <w:highlight w:val="none"/>
        </w:rPr>
        <w:t xml:space="preserve">先进性要求</w:t>
      </w:r>
      <w:bookmarkEnd w:id="212"/>
      <w:r/>
      <w:bookmarkEnd w:id="213"/>
      <w:r/>
      <w:bookmarkEnd w:id="214"/>
      <w:r/>
      <w:bookmarkEnd w:id="215"/>
      <w:r/>
      <w:r/>
    </w:p>
    <w:p>
      <w:pPr>
        <w:ind w:firstLine="480"/>
        <w:spacing w:line="360"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软件采用成熟、具有国内先进水平，并符合国际发展趋势的技术，以互联网思维进行架构设计，以满足业务体量大、并发量高、数据量多、数据结构多样等多维度需求。在架构设计过程充分借鉴国内外目前成熟的主流的及能适应未来发展变化的技术，以保证系统具有较长的生命力和扩展能力。</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lang w:val="en-US" w:eastAsia="zh-CN"/>
        </w:rPr>
      </w:pPr>
      <w:r/>
      <w:bookmarkStart w:id="216" w:name="_Toc93478133"/>
      <w:r/>
      <w:bookmarkStart w:id="217" w:name="_Toc124148096"/>
      <w:r/>
      <w:bookmarkStart w:id="218" w:name="_Toc24901"/>
      <w:r/>
      <w:bookmarkStart w:id="219" w:name="_Toc8183"/>
      <w:r>
        <w:rPr>
          <w:rFonts w:hint="eastAsia" w:ascii="宋体" w:hAnsi="宋体" w:eastAsia="宋体" w:cs="宋体"/>
          <w:sz w:val="24"/>
          <w:szCs w:val="24"/>
          <w:highlight w:val="none"/>
          <w:lang w:val="en-US" w:eastAsia="zh-CN"/>
        </w:rPr>
        <w:t xml:space="preserve">易用性要求</w:t>
      </w:r>
      <w:bookmarkEnd w:id="216"/>
      <w:r/>
      <w:bookmarkEnd w:id="217"/>
      <w:r/>
      <w:bookmarkEnd w:id="218"/>
      <w:r/>
      <w:bookmarkEnd w:id="219"/>
      <w:r/>
      <w:r/>
    </w:p>
    <w:p>
      <w:pPr>
        <w:ind w:firstLine="480"/>
        <w:spacing w:line="360"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系统用户界面应操作简洁、易用、灵活，风格统一易学。系统的用户帮助文档要求齐备，易于用户使用。充分考虑系统的易用性。所有操作系统均采用中文版本，所有交互系统提供中文图形界面，符合常规视窗系统的操作模式，对于非专业技术人员，经过短期培训可熟练地掌握整个系统的操作。系统须具有合理的使用成本，有利于最终用户长期、有效地利用该系统进行人员培训与考核。</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lang w:val="en-US" w:eastAsia="zh-CN"/>
        </w:rPr>
      </w:pPr>
      <w:r/>
      <w:bookmarkStart w:id="220" w:name="_Toc93478134"/>
      <w:r/>
      <w:bookmarkStart w:id="221" w:name="_Toc124148097"/>
      <w:r/>
      <w:bookmarkStart w:id="222" w:name="_Toc6749"/>
      <w:r/>
      <w:bookmarkStart w:id="223" w:name="_Toc9402"/>
      <w:r>
        <w:rPr>
          <w:rFonts w:hint="eastAsia" w:ascii="宋体" w:hAnsi="宋体" w:eastAsia="宋体" w:cs="宋体"/>
          <w:sz w:val="24"/>
          <w:szCs w:val="24"/>
          <w:highlight w:val="none"/>
          <w:lang w:val="en-US" w:eastAsia="zh-CN"/>
        </w:rPr>
        <w:t xml:space="preserve">可维护性要求</w:t>
      </w:r>
      <w:bookmarkEnd w:id="220"/>
      <w:r/>
      <w:bookmarkEnd w:id="221"/>
      <w:r/>
      <w:bookmarkEnd w:id="222"/>
      <w:r/>
      <w:bookmarkEnd w:id="223"/>
      <w:r/>
      <w:r/>
    </w:p>
    <w:p>
      <w:pPr>
        <w:ind w:firstLine="480"/>
        <w:spacing w:line="360"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系统中应具有良好的可维护性，便于日常维护。同时，系统须具有较低的维护成本。</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lang w:val="en-US" w:eastAsia="zh-CN"/>
        </w:rPr>
      </w:pPr>
      <w:r/>
      <w:bookmarkStart w:id="224" w:name="_Toc6381"/>
      <w:r/>
      <w:bookmarkStart w:id="225" w:name="_Toc26840"/>
      <w:r/>
      <w:bookmarkStart w:id="226" w:name="_Toc93478135"/>
      <w:r/>
      <w:bookmarkStart w:id="227" w:name="_Toc124148098"/>
      <w:r>
        <w:rPr>
          <w:rFonts w:hint="eastAsia" w:ascii="宋体" w:hAnsi="宋体" w:eastAsia="宋体" w:cs="宋体"/>
          <w:sz w:val="24"/>
          <w:szCs w:val="24"/>
          <w:highlight w:val="none"/>
          <w:lang w:val="en-US" w:eastAsia="zh-CN"/>
        </w:rPr>
        <w:t xml:space="preserve">兼容性要求</w:t>
      </w:r>
      <w:bookmarkEnd w:id="224"/>
      <w:r/>
      <w:bookmarkEnd w:id="225"/>
      <w:r/>
      <w:bookmarkEnd w:id="226"/>
      <w:r/>
      <w:bookmarkEnd w:id="227"/>
      <w:r/>
      <w:r/>
    </w:p>
    <w:p>
      <w:pPr>
        <w:ind w:firstLine="480"/>
        <w:spacing w:line="360"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软件具有良好的开放性和兼容性，这种开放性靠标准化实现，使用符合这些标准的业务系统可以很容易的和本软件进行交互。开放性原则包括开放标准、开放技术、开放结构、开放系统组件等。</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lang w:val="en-US" w:eastAsia="zh-CN"/>
        </w:rPr>
      </w:pPr>
      <w:r/>
      <w:bookmarkStart w:id="228" w:name="_Toc20436"/>
      <w:r/>
      <w:bookmarkStart w:id="229" w:name="_Toc93478136"/>
      <w:r/>
      <w:bookmarkStart w:id="230" w:name="_Toc9229"/>
      <w:r/>
      <w:bookmarkStart w:id="231" w:name="_Toc124148099"/>
      <w:r>
        <w:rPr>
          <w:rFonts w:hint="eastAsia" w:ascii="宋体" w:hAnsi="宋体" w:eastAsia="宋体" w:cs="宋体"/>
          <w:sz w:val="24"/>
          <w:szCs w:val="24"/>
          <w:highlight w:val="none"/>
          <w:lang w:val="en-US" w:eastAsia="zh-CN"/>
        </w:rPr>
        <w:t xml:space="preserve">可扩展性要求</w:t>
      </w:r>
      <w:bookmarkEnd w:id="228"/>
      <w:r/>
      <w:bookmarkEnd w:id="229"/>
      <w:r/>
      <w:bookmarkEnd w:id="230"/>
      <w:r/>
      <w:bookmarkEnd w:id="231"/>
      <w:r/>
      <w:r/>
    </w:p>
    <w:p>
      <w:pPr>
        <w:ind w:firstLine="480"/>
        <w:spacing w:line="360"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充分考虑业务未来发展的需要，尽可能设计简明，各功能模块间耦合度小，便于系统的扩展。可扩展性在满足用户目前需要的同时，为进一步的业务发展提供良好的扩展能力，存储管理设备和软件需采用先进技术，以利于架构的平滑扩展。</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lang w:val="en-US" w:eastAsia="zh-CN"/>
        </w:rPr>
      </w:pPr>
      <w:r/>
      <w:bookmarkStart w:id="232" w:name="_Toc8498"/>
      <w:r/>
      <w:bookmarkStart w:id="233" w:name="_Toc124148100"/>
      <w:r/>
      <w:bookmarkStart w:id="234" w:name="_Toc16716"/>
      <w:r/>
      <w:bookmarkStart w:id="235" w:name="_Toc93478137"/>
      <w:r>
        <w:rPr>
          <w:rFonts w:hint="eastAsia" w:ascii="宋体" w:hAnsi="宋体" w:eastAsia="宋体" w:cs="宋体"/>
          <w:sz w:val="24"/>
          <w:szCs w:val="24"/>
          <w:highlight w:val="none"/>
          <w:lang w:val="en-US" w:eastAsia="zh-CN"/>
        </w:rPr>
        <w:t xml:space="preserve">安全性要求</w:t>
      </w:r>
      <w:bookmarkEnd w:id="232"/>
      <w:r/>
      <w:bookmarkEnd w:id="233"/>
      <w:r/>
      <w:bookmarkEnd w:id="234"/>
      <w:r/>
      <w:bookmarkEnd w:id="235"/>
      <w:r/>
      <w:r/>
    </w:p>
    <w:p>
      <w:pPr>
        <w:ind w:firstLine="480"/>
        <w:spacing w:line="360"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遵从国家等保2.0三级和行业部门的信息安全相关标准，同时应充分考虑本项目的特殊需求，安全措施需要考虑相关性能需求。具备统一身份认证、统一权限管理；网络安全、密码应用安全、信息安全设施齐全、管理严格。</w:t>
      </w:r>
      <w:r/>
    </w:p>
    <w:p>
      <w:pPr>
        <w:pStyle w:val="931"/>
        <w:numPr>
          <w:ilvl w:val="0"/>
          <w:numId w:val="8"/>
        </w:numPr>
        <w:ind w:left="425" w:hanging="425"/>
        <w:jc w:val="both"/>
        <w:keepLines/>
        <w:keepNext/>
        <w:pageBreakBefore w:val="0"/>
        <w:spacing w:line="579" w:lineRule="auto"/>
        <w:widowControl w:val="off"/>
        <w:rPr>
          <w:rFonts w:hint="eastAsia" w:ascii="宋体" w:hAnsi="宋体" w:eastAsia="宋体" w:cs="宋体"/>
          <w:b/>
          <w:bCs/>
          <w:sz w:val="24"/>
          <w:szCs w:val="24"/>
          <w:highlight w:val="none"/>
        </w:rPr>
      </w:pPr>
      <w:r/>
      <w:bookmarkStart w:id="236" w:name="_Toc3370"/>
      <w:r/>
      <w:bookmarkStart w:id="237" w:name="_Toc93478138"/>
      <w:r/>
      <w:bookmarkStart w:id="238" w:name="_Toc124148101"/>
      <w:r/>
      <w:bookmarkStart w:id="239" w:name="_Toc24717"/>
      <w:r>
        <w:rPr>
          <w:rFonts w:hint="eastAsia" w:ascii="宋体" w:hAnsi="宋体" w:eastAsia="宋体" w:cs="宋体"/>
          <w:b/>
          <w:bCs/>
          <w:sz w:val="24"/>
          <w:szCs w:val="24"/>
          <w:highlight w:val="none"/>
        </w:rPr>
        <w:t xml:space="preserve">系统安装部署要求</w:t>
      </w:r>
      <w:bookmarkEnd w:id="236"/>
      <w:r/>
      <w:bookmarkEnd w:id="237"/>
      <w:r/>
      <w:bookmarkEnd w:id="238"/>
      <w:r/>
      <w:bookmarkEnd w:id="239"/>
      <w:r/>
      <w:r/>
    </w:p>
    <w:p>
      <w:pPr>
        <w:ind w:firstLine="480"/>
        <w:spacing w:line="360"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系统部署到最终用户已有的环境上，系统部署内容包括软件、接口数据库、web服务等模块环境部署。提供软件安装包，支持系统快速安装，达到系统安装完成后即可使用的状态，具体要求如下：</w:t>
      </w:r>
      <w:r/>
    </w:p>
    <w:p>
      <w:pPr>
        <w:numPr>
          <w:ilvl w:val="0"/>
          <w:numId w:val="9"/>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提供可视化安装平台；</w:t>
      </w:r>
      <w:r/>
    </w:p>
    <w:p>
      <w:pPr>
        <w:numPr>
          <w:ilvl w:val="0"/>
          <w:numId w:val="9"/>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安装过程中可勾选预安装的工具软件、安装路径；</w:t>
      </w:r>
      <w:r/>
    </w:p>
    <w:p>
      <w:pPr>
        <w:numPr>
          <w:ilvl w:val="0"/>
          <w:numId w:val="9"/>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能够按照勾选设置自动安装工具软件、软件运行所需环境；</w:t>
      </w:r>
      <w:r/>
    </w:p>
    <w:p>
      <w:pPr>
        <w:numPr>
          <w:ilvl w:val="0"/>
          <w:numId w:val="9"/>
        </w:numPr>
        <w:spacing w:line="360" w:lineRule="auto"/>
        <w:rPr>
          <w:rFonts w:hint="eastAsia" w:ascii="宋体" w:hAnsi="宋体" w:eastAsia="宋体" w:cs="宋体"/>
          <w:szCs w:val="21"/>
          <w:highlight w:val="none"/>
        </w:rPr>
      </w:pPr>
      <w:r>
        <w:rPr>
          <w:rFonts w:hint="eastAsia" w:ascii="宋体" w:hAnsi="宋体" w:eastAsia="宋体" w:cs="宋体"/>
          <w:sz w:val="24"/>
          <w:szCs w:val="24"/>
          <w:highlight w:val="none"/>
        </w:rPr>
        <w:t xml:space="preserve">安装过程中完成配置文件的配置信息设置及数据</w:t>
      </w:r>
      <w:r>
        <w:rPr>
          <w:rFonts w:hint="eastAsia" w:ascii="宋体" w:hAnsi="宋体" w:eastAsia="宋体" w:cs="宋体"/>
          <w:szCs w:val="21"/>
          <w:highlight w:val="none"/>
        </w:rPr>
        <w:t xml:space="preserve">库表初始创建等初始化工作。</w:t>
      </w:r>
      <w:r/>
    </w:p>
    <w:p>
      <w:pPr>
        <w:pStyle w:val="931"/>
        <w:numPr>
          <w:ilvl w:val="0"/>
          <w:numId w:val="8"/>
        </w:numPr>
        <w:ind w:left="425" w:hanging="425"/>
        <w:jc w:val="both"/>
        <w:keepLines/>
        <w:keepNext/>
        <w:pageBreakBefore w:val="0"/>
        <w:spacing w:line="579" w:lineRule="auto"/>
        <w:widowControl w:val="off"/>
        <w:rPr>
          <w:rFonts w:hint="eastAsia" w:ascii="宋体" w:hAnsi="宋体" w:eastAsia="宋体" w:cs="宋体"/>
          <w:b/>
          <w:bCs/>
          <w:sz w:val="24"/>
          <w:szCs w:val="24"/>
          <w:highlight w:val="none"/>
        </w:rPr>
      </w:pPr>
      <w:r/>
      <w:bookmarkStart w:id="240" w:name="_Toc93478139"/>
      <w:r/>
      <w:bookmarkStart w:id="241" w:name="_Toc8763"/>
      <w:r/>
      <w:bookmarkStart w:id="242" w:name="_Toc22473"/>
      <w:r/>
      <w:bookmarkStart w:id="243" w:name="_Toc124148102"/>
      <w:r>
        <w:rPr>
          <w:rFonts w:hint="eastAsia" w:ascii="宋体" w:hAnsi="宋体" w:eastAsia="宋体" w:cs="宋体"/>
          <w:b/>
          <w:bCs/>
          <w:sz w:val="24"/>
          <w:szCs w:val="24"/>
          <w:highlight w:val="none"/>
        </w:rPr>
        <w:t xml:space="preserve">信息交互接口要求</w:t>
      </w:r>
      <w:bookmarkEnd w:id="240"/>
      <w:r/>
      <w:bookmarkEnd w:id="241"/>
      <w:r/>
      <w:bookmarkEnd w:id="242"/>
      <w:r/>
      <w:bookmarkEnd w:id="243"/>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lang w:val="en-US" w:eastAsia="zh-CN"/>
        </w:rPr>
      </w:pPr>
      <w:r/>
      <w:bookmarkStart w:id="244" w:name="_Toc124148103"/>
      <w:r/>
      <w:bookmarkStart w:id="245" w:name="_Toc93478140"/>
      <w:r/>
      <w:bookmarkStart w:id="246" w:name="_Toc4483"/>
      <w:r/>
      <w:bookmarkStart w:id="247" w:name="_Toc53657404"/>
      <w:r/>
      <w:bookmarkStart w:id="248" w:name="_Toc19437"/>
      <w:r/>
      <w:bookmarkStart w:id="249" w:name="_Toc3722"/>
      <w:r/>
      <w:bookmarkStart w:id="250" w:name="_Toc28662"/>
      <w:r>
        <w:rPr>
          <w:rFonts w:hint="eastAsia" w:ascii="宋体" w:hAnsi="宋体" w:eastAsia="宋体" w:cs="宋体"/>
          <w:sz w:val="24"/>
          <w:szCs w:val="24"/>
          <w:highlight w:val="none"/>
          <w:lang w:val="en-US" w:eastAsia="zh-CN"/>
        </w:rPr>
        <w:t xml:space="preserve">外部信息交互接口</w:t>
      </w:r>
      <w:bookmarkEnd w:id="244"/>
      <w:r/>
      <w:bookmarkEnd w:id="245"/>
      <w:r/>
      <w:bookmarkEnd w:id="246"/>
      <w:r/>
      <w:bookmarkEnd w:id="247"/>
      <w:r/>
      <w:bookmarkEnd w:id="248"/>
      <w:r/>
      <w:bookmarkEnd w:id="249"/>
      <w:r/>
      <w:bookmarkEnd w:id="250"/>
      <w:r/>
      <w:r/>
    </w:p>
    <w:p>
      <w:pPr>
        <w:numPr>
          <w:ilvl w:val="0"/>
          <w:numId w:val="10"/>
        </w:numPr>
        <w:spacing w:line="360" w:lineRule="auto"/>
        <w:rPr>
          <w:rFonts w:hint="eastAsia" w:ascii="宋体" w:hAnsi="宋体" w:eastAsia="宋体" w:cs="宋体"/>
          <w:sz w:val="24"/>
          <w:szCs w:val="24"/>
          <w:highlight w:val="none"/>
        </w:rPr>
      </w:pPr>
      <w:r/>
      <w:bookmarkStart w:id="251" w:name="_Toc51864428"/>
      <w:r>
        <w:rPr>
          <w:rFonts w:hint="eastAsia" w:ascii="宋体" w:hAnsi="宋体" w:eastAsia="宋体" w:cs="宋体"/>
          <w:sz w:val="24"/>
          <w:szCs w:val="24"/>
          <w:highlight w:val="none"/>
        </w:rPr>
        <w:t xml:space="preserve">系统运行环境依赖于第三方的系统，系统数据交互接口的设计必须满足功能、性能、安全等要求，而且接口必须满足第三方接口设计的规范。</w:t>
      </w:r>
      <w:bookmarkEnd w:id="251"/>
      <w:r/>
      <w:r/>
    </w:p>
    <w:p>
      <w:pPr>
        <w:numPr>
          <w:ilvl w:val="0"/>
          <w:numId w:val="10"/>
        </w:numPr>
        <w:spacing w:line="360" w:lineRule="auto"/>
        <w:rPr>
          <w:rFonts w:hint="eastAsia" w:ascii="宋体" w:hAnsi="宋体" w:eastAsia="宋体" w:cs="宋体"/>
          <w:sz w:val="24"/>
          <w:szCs w:val="24"/>
          <w:highlight w:val="none"/>
        </w:rPr>
      </w:pPr>
      <w:r/>
      <w:bookmarkStart w:id="252" w:name="_Toc51864429"/>
      <w:r>
        <w:rPr>
          <w:rFonts w:hint="eastAsia" w:ascii="宋体" w:hAnsi="宋体" w:eastAsia="宋体" w:cs="宋体"/>
          <w:sz w:val="24"/>
          <w:szCs w:val="24"/>
          <w:highlight w:val="none"/>
        </w:rPr>
        <w:t xml:space="preserve">统一门户系统提供相应的接口接入规范与服务。</w:t>
      </w:r>
      <w:bookmarkEnd w:id="252"/>
      <w:r/>
      <w:r/>
    </w:p>
    <w:p>
      <w:pPr>
        <w:numPr>
          <w:ilvl w:val="0"/>
          <w:numId w:val="10"/>
        </w:numPr>
        <w:spacing w:line="360" w:lineRule="auto"/>
        <w:rPr>
          <w:rFonts w:hint="eastAsia" w:ascii="宋体" w:hAnsi="宋体" w:eastAsia="宋体" w:cs="宋体"/>
          <w:szCs w:val="21"/>
          <w:highlight w:val="none"/>
        </w:rPr>
      </w:pPr>
      <w:r/>
      <w:bookmarkStart w:id="253" w:name="_Toc51864430"/>
      <w:r>
        <w:rPr>
          <w:rFonts w:hint="eastAsia" w:ascii="宋体" w:hAnsi="宋体" w:eastAsia="宋体" w:cs="宋体"/>
          <w:sz w:val="24"/>
          <w:szCs w:val="24"/>
          <w:highlight w:val="none"/>
        </w:rPr>
        <w:t xml:space="preserve">对第三方系统提供的接口需提供安全的token认证能力。</w:t>
      </w:r>
      <w:bookmarkEnd w:id="253"/>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lang w:val="en-US" w:eastAsia="zh-CN"/>
        </w:rPr>
      </w:pPr>
      <w:r/>
      <w:bookmarkStart w:id="254" w:name="_Toc9138"/>
      <w:r/>
      <w:bookmarkStart w:id="255" w:name="_Toc10307"/>
      <w:r/>
      <w:bookmarkStart w:id="256" w:name="_Toc124148104"/>
      <w:r/>
      <w:bookmarkStart w:id="257" w:name="_Toc20513"/>
      <w:r/>
      <w:bookmarkStart w:id="258" w:name="_Toc25550"/>
      <w:r/>
      <w:bookmarkStart w:id="259" w:name="_Toc93478141"/>
      <w:r/>
      <w:bookmarkStart w:id="260" w:name="_Toc53657405"/>
      <w:r>
        <w:rPr>
          <w:rFonts w:hint="eastAsia" w:ascii="宋体" w:hAnsi="宋体" w:eastAsia="宋体" w:cs="宋体"/>
          <w:sz w:val="24"/>
          <w:szCs w:val="24"/>
          <w:highlight w:val="none"/>
          <w:lang w:val="en-US" w:eastAsia="zh-CN"/>
        </w:rPr>
        <w:t xml:space="preserve">内部信息交互接口</w:t>
      </w:r>
      <w:bookmarkEnd w:id="254"/>
      <w:r/>
      <w:bookmarkEnd w:id="255"/>
      <w:r/>
      <w:bookmarkEnd w:id="256"/>
      <w:r/>
      <w:bookmarkEnd w:id="257"/>
      <w:r/>
      <w:bookmarkEnd w:id="258"/>
      <w:r/>
      <w:bookmarkEnd w:id="259"/>
      <w:r/>
      <w:bookmarkEnd w:id="260"/>
      <w:r/>
      <w:r/>
    </w:p>
    <w:p>
      <w:pPr>
        <w:numPr>
          <w:ilvl w:val="0"/>
          <w:numId w:val="0"/>
        </w:numPr>
        <w:ind w:left="907" w:hanging="425"/>
        <w:spacing w:line="360" w:lineRule="auto"/>
        <w:rPr>
          <w:rFonts w:hint="eastAsia" w:ascii="宋体" w:hAnsi="宋体" w:eastAsia="宋体" w:cs="宋体"/>
          <w:sz w:val="24"/>
          <w:szCs w:val="24"/>
          <w:highlight w:val="none"/>
        </w:rPr>
      </w:pPr>
      <w:r/>
      <w:bookmarkStart w:id="261" w:name="_Toc50980481"/>
      <w:r>
        <w:rPr>
          <w:rFonts w:hint="default" w:ascii="宋体" w:hAnsi="宋体" w:eastAsia="宋体" w:cs="宋体"/>
          <w:b w:val="0"/>
          <w:sz w:val="24"/>
          <w:szCs w:val="24"/>
          <w:lang w:val="en-US" w:eastAsia="zh-CN" w:bidi="ar-SA"/>
        </w:rPr>
        <w:t xml:space="preserve">1.</w:t>
      </w:r>
      <w:r>
        <w:rPr>
          <w:rFonts w:hint="eastAsia" w:ascii="宋体" w:hAnsi="宋体" w:eastAsia="宋体" w:cs="宋体"/>
          <w:sz w:val="24"/>
          <w:szCs w:val="24"/>
          <w:highlight w:val="none"/>
        </w:rPr>
        <w:t xml:space="preserve">必须进行必要的安全token认证。</w:t>
      </w:r>
      <w:bookmarkEnd w:id="261"/>
      <w:r/>
      <w:r/>
    </w:p>
    <w:p>
      <w:pPr>
        <w:numPr>
          <w:ilvl w:val="0"/>
          <w:numId w:val="0"/>
        </w:numPr>
        <w:ind w:left="907" w:hanging="425"/>
        <w:spacing w:line="360" w:lineRule="auto"/>
        <w:rPr>
          <w:rFonts w:hint="eastAsia" w:ascii="宋体" w:hAnsi="宋体" w:eastAsia="宋体" w:cs="宋体"/>
          <w:sz w:val="24"/>
          <w:szCs w:val="24"/>
          <w:highlight w:val="none"/>
        </w:rPr>
      </w:pPr>
      <w:r/>
      <w:bookmarkStart w:id="262" w:name="_Toc50980482"/>
      <w:r>
        <w:rPr>
          <w:rFonts w:hint="default" w:ascii="宋体" w:hAnsi="宋体" w:eastAsia="宋体" w:cs="宋体"/>
          <w:b w:val="0"/>
          <w:sz w:val="24"/>
          <w:szCs w:val="24"/>
          <w:lang w:val="en-US" w:eastAsia="zh-CN" w:bidi="ar-SA"/>
        </w:rPr>
        <w:t xml:space="preserve">2.</w:t>
      </w:r>
      <w:r>
        <w:rPr>
          <w:rFonts w:hint="eastAsia" w:ascii="宋体" w:hAnsi="宋体" w:eastAsia="宋体" w:cs="宋体"/>
          <w:sz w:val="24"/>
          <w:szCs w:val="24"/>
          <w:highlight w:val="none"/>
        </w:rPr>
        <w:t xml:space="preserve">对异常、正常情况必须包含返回提醒信息。</w:t>
      </w:r>
      <w:bookmarkEnd w:id="262"/>
      <w:r/>
      <w:r/>
    </w:p>
    <w:p>
      <w:pPr>
        <w:numPr>
          <w:ilvl w:val="0"/>
          <w:numId w:val="0"/>
        </w:numPr>
        <w:ind w:left="907" w:hanging="425"/>
        <w:spacing w:line="360" w:lineRule="auto"/>
        <w:rPr>
          <w:rFonts w:hint="eastAsia" w:ascii="宋体" w:hAnsi="宋体" w:eastAsia="宋体" w:cs="宋体"/>
          <w:sz w:val="24"/>
          <w:szCs w:val="24"/>
          <w:highlight w:val="none"/>
        </w:rPr>
      </w:pPr>
      <w:r/>
      <w:bookmarkStart w:id="263" w:name="_Toc50980483"/>
      <w:r>
        <w:rPr>
          <w:rFonts w:hint="default" w:ascii="宋体" w:hAnsi="宋体" w:eastAsia="宋体" w:cs="宋体"/>
          <w:b w:val="0"/>
          <w:sz w:val="24"/>
          <w:szCs w:val="24"/>
          <w:lang w:val="en-US" w:eastAsia="zh-CN" w:bidi="ar-SA"/>
        </w:rPr>
        <w:t xml:space="preserve">3.</w:t>
      </w:r>
      <w:r>
        <w:rPr>
          <w:rFonts w:hint="eastAsia" w:ascii="宋体" w:hAnsi="宋体" w:eastAsia="宋体" w:cs="宋体"/>
          <w:sz w:val="24"/>
          <w:szCs w:val="24"/>
          <w:highlight w:val="none"/>
        </w:rPr>
        <w:t xml:space="preserve">防止安全攻击。</w:t>
      </w:r>
      <w:bookmarkEnd w:id="263"/>
      <w:r/>
      <w:r/>
    </w:p>
    <w:p>
      <w:pPr>
        <w:numPr>
          <w:ilvl w:val="0"/>
          <w:numId w:val="0"/>
        </w:numPr>
        <w:ind w:left="907" w:hanging="425"/>
        <w:spacing w:line="360" w:lineRule="auto"/>
        <w:rPr>
          <w:rFonts w:hint="eastAsia" w:ascii="宋体" w:hAnsi="宋体" w:eastAsia="宋体" w:cs="宋体"/>
          <w:sz w:val="24"/>
          <w:szCs w:val="24"/>
          <w:highlight w:val="none"/>
        </w:rPr>
      </w:pPr>
      <w:r/>
      <w:bookmarkStart w:id="264" w:name="_Toc50980484"/>
      <w:r>
        <w:rPr>
          <w:rFonts w:hint="default" w:ascii="宋体" w:hAnsi="宋体" w:eastAsia="宋体" w:cs="宋体"/>
          <w:b w:val="0"/>
          <w:sz w:val="24"/>
          <w:szCs w:val="24"/>
          <w:lang w:val="en-US" w:eastAsia="zh-CN" w:bidi="ar-SA"/>
        </w:rPr>
        <w:t xml:space="preserve">4.</w:t>
      </w:r>
      <w:r>
        <w:rPr>
          <w:rFonts w:hint="eastAsia" w:ascii="宋体" w:hAnsi="宋体" w:eastAsia="宋体" w:cs="宋体"/>
          <w:sz w:val="24"/>
          <w:szCs w:val="24"/>
          <w:highlight w:val="none"/>
        </w:rPr>
        <w:t xml:space="preserve">防止通过接口进行数据库的注入操作。</w:t>
      </w:r>
      <w:bookmarkEnd w:id="264"/>
      <w:r/>
      <w:r/>
    </w:p>
    <w:p>
      <w:pPr>
        <w:pStyle w:val="931"/>
        <w:numPr>
          <w:ilvl w:val="0"/>
          <w:numId w:val="8"/>
        </w:numPr>
        <w:ind w:left="425" w:hanging="425"/>
        <w:jc w:val="both"/>
        <w:keepLines/>
        <w:keepNext/>
        <w:pageBreakBefore w:val="0"/>
        <w:spacing w:line="579" w:lineRule="auto"/>
        <w:widowControl w:val="off"/>
        <w:rPr>
          <w:rFonts w:hint="eastAsia" w:ascii="宋体" w:hAnsi="宋体" w:eastAsia="宋体" w:cs="宋体"/>
          <w:b/>
          <w:bCs/>
          <w:sz w:val="24"/>
          <w:szCs w:val="24"/>
          <w:highlight w:val="none"/>
        </w:rPr>
      </w:pPr>
      <w:r/>
      <w:bookmarkStart w:id="265" w:name="_Toc124148105"/>
      <w:r/>
      <w:bookmarkStart w:id="266" w:name="_Toc53657408"/>
      <w:r/>
      <w:bookmarkStart w:id="267" w:name="_Toc23678"/>
      <w:r/>
      <w:bookmarkStart w:id="268" w:name="_Toc32603"/>
      <w:r/>
      <w:bookmarkStart w:id="269" w:name="_Toc6935"/>
      <w:r>
        <w:rPr>
          <w:rFonts w:hint="eastAsia" w:ascii="宋体" w:hAnsi="宋体" w:eastAsia="宋体" w:cs="宋体"/>
          <w:b/>
          <w:bCs/>
          <w:sz w:val="24"/>
          <w:szCs w:val="24"/>
          <w:highlight w:val="none"/>
        </w:rPr>
        <w:t xml:space="preserve">质量保证要求</w:t>
      </w:r>
      <w:bookmarkEnd w:id="265"/>
      <w:r/>
      <w:bookmarkEnd w:id="266"/>
      <w:r/>
      <w:bookmarkEnd w:id="267"/>
      <w:r/>
      <w:bookmarkEnd w:id="268"/>
      <w:r/>
      <w:bookmarkEnd w:id="269"/>
      <w:r/>
      <w:r/>
    </w:p>
    <w:p>
      <w:pPr>
        <w:numPr>
          <w:ilvl w:val="0"/>
          <w:numId w:val="0"/>
        </w:numPr>
        <w:ind w:firstLine="480"/>
        <w:jc w:val="left"/>
        <w:keepNext/>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在项目管理、实施过程中严格贯彻ISO-9001质量管理标准，其质量方针是“科技先导，质量第一，用户至上，服务一流”。健全的项目流程管理和质量保证体系，可保证产品及工程项目的研制、开发、设计、采购、生产、检验、试验、安装、调试、交付和服务的全过程都能实施有效的质量管控，使工程质量确有保证。</w:t>
      </w:r>
      <w:r/>
    </w:p>
    <w:p>
      <w:pPr>
        <w:pStyle w:val="931"/>
        <w:numPr>
          <w:ilvl w:val="0"/>
          <w:numId w:val="8"/>
        </w:numPr>
        <w:ind w:left="425" w:hanging="425"/>
        <w:jc w:val="both"/>
        <w:keepLines/>
        <w:keepNext/>
        <w:pageBreakBefore w:val="0"/>
        <w:spacing w:line="579" w:lineRule="auto"/>
        <w:widowControl w:val="off"/>
        <w:rPr>
          <w:rFonts w:hint="eastAsia" w:ascii="宋体" w:hAnsi="宋体" w:eastAsia="宋体" w:cs="宋体"/>
          <w:b/>
          <w:bCs/>
          <w:sz w:val="24"/>
          <w:szCs w:val="24"/>
          <w:highlight w:val="none"/>
        </w:rPr>
      </w:pPr>
      <w:r/>
      <w:bookmarkStart w:id="270" w:name="_Toc13870"/>
      <w:r/>
      <w:bookmarkStart w:id="271" w:name="_Toc124148106"/>
      <w:r/>
      <w:bookmarkStart w:id="272" w:name="_Toc4257"/>
      <w:r/>
      <w:bookmarkStart w:id="273" w:name="_Toc23764"/>
      <w:r/>
      <w:bookmarkStart w:id="274" w:name="_Toc53657409"/>
      <w:r>
        <w:rPr>
          <w:rFonts w:hint="eastAsia" w:ascii="宋体" w:hAnsi="宋体" w:eastAsia="宋体" w:cs="宋体"/>
          <w:b/>
          <w:bCs/>
          <w:sz w:val="24"/>
          <w:szCs w:val="24"/>
          <w:highlight w:val="none"/>
        </w:rPr>
        <w:t xml:space="preserve">技术服务</w:t>
      </w:r>
      <w:bookmarkEnd w:id="270"/>
      <w:r/>
      <w:bookmarkEnd w:id="271"/>
      <w:r/>
      <w:bookmarkEnd w:id="272"/>
      <w:r/>
      <w:bookmarkEnd w:id="273"/>
      <w:r/>
      <w:bookmarkEnd w:id="274"/>
      <w:r/>
      <w:r/>
    </w:p>
    <w:p>
      <w:pPr>
        <w:pStyle w:val="1271"/>
        <w:ind w:firstLine="42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乙方按技术协议的要求开展无锡市梁溪区网格化联动处置系统2023年提升完善信息化项目建设工作，并提供相关技术服务，具体描述如下：</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lang w:val="en-US" w:eastAsia="zh-CN"/>
        </w:rPr>
      </w:pPr>
      <w:r/>
      <w:bookmarkStart w:id="275" w:name="_Toc93478144"/>
      <w:r/>
      <w:bookmarkStart w:id="276" w:name="_Toc8830"/>
      <w:r/>
      <w:bookmarkStart w:id="277" w:name="_Toc124148107"/>
      <w:r/>
      <w:bookmarkStart w:id="278" w:name="_Toc28027"/>
      <w:r>
        <w:rPr>
          <w:rFonts w:hint="eastAsia" w:ascii="宋体" w:hAnsi="宋体" w:eastAsia="宋体" w:cs="宋体"/>
          <w:sz w:val="24"/>
          <w:szCs w:val="24"/>
          <w:highlight w:val="none"/>
          <w:lang w:val="en-US" w:eastAsia="zh-CN"/>
        </w:rPr>
        <w:t xml:space="preserve">实施要求</w:t>
      </w:r>
      <w:bookmarkEnd w:id="275"/>
      <w:r/>
      <w:bookmarkEnd w:id="276"/>
      <w:r/>
      <w:bookmarkEnd w:id="277"/>
      <w:r/>
      <w:bookmarkEnd w:id="278"/>
      <w:r/>
      <w:r/>
    </w:p>
    <w:p>
      <w:pPr>
        <w:pStyle w:val="1271"/>
        <w:ind w:firstLine="42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乙方在系统正式投入运行前，派有经验的、健康的、有能力的技术骨干组成项目实施小组，为甲方提供系统的现场安装、调试、测试等专业技术服务。</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lang w:val="en-US" w:eastAsia="zh-CN"/>
        </w:rPr>
      </w:pPr>
      <w:r/>
      <w:bookmarkStart w:id="279" w:name="_Toc21507"/>
      <w:r/>
      <w:bookmarkStart w:id="280" w:name="_Toc395711905"/>
      <w:r/>
      <w:bookmarkStart w:id="281" w:name="_Toc23186051"/>
      <w:r/>
      <w:bookmarkStart w:id="282" w:name="_Toc4504"/>
      <w:r/>
      <w:bookmarkStart w:id="283" w:name="_Toc124148108"/>
      <w:r/>
      <w:bookmarkStart w:id="284" w:name="_Toc93478145"/>
      <w:r>
        <w:rPr>
          <w:rFonts w:hint="eastAsia" w:ascii="宋体" w:hAnsi="宋体" w:eastAsia="宋体" w:cs="宋体"/>
          <w:sz w:val="24"/>
          <w:szCs w:val="24"/>
          <w:highlight w:val="none"/>
          <w:lang w:val="en-US" w:eastAsia="zh-CN"/>
        </w:rPr>
        <w:t xml:space="preserve">技术培训</w:t>
      </w:r>
      <w:bookmarkEnd w:id="279"/>
      <w:r/>
      <w:bookmarkEnd w:id="280"/>
      <w:r/>
      <w:bookmarkEnd w:id="281"/>
      <w:r/>
      <w:bookmarkEnd w:id="282"/>
      <w:r/>
      <w:bookmarkEnd w:id="283"/>
      <w:r/>
      <w:bookmarkEnd w:id="284"/>
      <w:r/>
      <w:r/>
    </w:p>
    <w:p>
      <w:pPr>
        <w:pStyle w:val="1271"/>
        <w:ind w:firstLine="42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需对甲方和最终用户进行所供设备及系统全面的技术培训，相关使用人员能够达到独立进行系统安装部署、软件操作、系统运行维护等工作。具体的培训时间、培训地点、培训方式、培训内容、培训人数由甲方按照最终用户实际需求确定。</w:t>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lang w:val="en-US" w:eastAsia="zh-CN"/>
        </w:rPr>
      </w:pPr>
      <w:r/>
      <w:bookmarkStart w:id="285" w:name="_Toc93478146"/>
      <w:r/>
      <w:bookmarkStart w:id="286" w:name="_Toc23524"/>
      <w:r/>
      <w:bookmarkStart w:id="287" w:name="_Toc124148109"/>
      <w:r/>
      <w:bookmarkStart w:id="288" w:name="_Toc27464"/>
      <w:r>
        <w:rPr>
          <w:rFonts w:hint="eastAsia" w:ascii="宋体" w:hAnsi="宋体" w:eastAsia="宋体" w:cs="宋体"/>
          <w:sz w:val="24"/>
          <w:szCs w:val="24"/>
          <w:highlight w:val="none"/>
          <w:lang w:val="en-US" w:eastAsia="zh-CN"/>
        </w:rPr>
        <w:t xml:space="preserve">产品保证期要求</w:t>
      </w:r>
      <w:bookmarkEnd w:id="285"/>
      <w:r/>
      <w:bookmarkEnd w:id="286"/>
      <w:r/>
      <w:bookmarkEnd w:id="287"/>
      <w:r/>
      <w:bookmarkEnd w:id="288"/>
      <w:r/>
      <w:r/>
    </w:p>
    <w:p>
      <w:pPr>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质保期要求：乙方应明确承诺项目完成终验后提供软件三年免费运维。</w:t>
      </w:r>
      <w:r/>
    </w:p>
    <w:p>
      <w:pPr>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售后服务要求乙方和制造商在质量保证期内应当为最终用户提供以下技术支持和服务，项目终验后运维服务期内，项目运维要求如下：</w:t>
      </w:r>
      <w:r/>
    </w:p>
    <w:p>
      <w:pPr>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1.投标人应明确承诺项目完成终验后提供项目软件三年免费运维服务。</w:t>
      </w:r>
      <w:r/>
    </w:p>
    <w:p>
      <w:pPr>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2.投标人在质量保证期内应当为采购人提供以下技术支持和服务，项目终验后3年运维服务期内，项目运维要求如下：</w:t>
      </w:r>
      <w:r/>
    </w:p>
    <w:p>
      <w:pPr>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①中标人应当为采购人提供7*24小时技术服务电话，解答采购人在使用中遇到的问题，及时为采购人提出解决问题的建议。</w:t>
      </w:r>
      <w:r/>
    </w:p>
    <w:p>
      <w:pPr>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②在出现系统故障时，如远程支持无法解决问题时，要求运维工程师1小时内到达现场，并在8小时内排除故障。</w:t>
      </w:r>
      <w:r/>
    </w:p>
    <w:p>
      <w:pPr>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③巡检服务</w:t>
      </w:r>
      <w:r/>
    </w:p>
    <w:p>
      <w:pPr>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由长驻项目现场的工程师每日对各系统进行维护及巡检，同时，提供每季度一次现场集中巡检，排查系统运行状态，处理及维修。</w:t>
      </w:r>
      <w:r/>
    </w:p>
    <w:p>
      <w:pPr>
        <w:pStyle w:val="931"/>
        <w:numPr>
          <w:ilvl w:val="0"/>
          <w:numId w:val="8"/>
        </w:numPr>
        <w:ind w:left="425" w:hanging="425"/>
        <w:jc w:val="both"/>
        <w:keepLines/>
        <w:keepNext/>
        <w:pageBreakBefore w:val="0"/>
        <w:spacing w:line="579" w:lineRule="auto"/>
        <w:widowControl w:val="off"/>
        <w:rPr>
          <w:rFonts w:hint="eastAsia" w:ascii="宋体" w:hAnsi="宋体" w:eastAsia="宋体" w:cs="宋体"/>
          <w:b/>
          <w:bCs/>
          <w:sz w:val="24"/>
          <w:szCs w:val="24"/>
          <w:highlight w:val="none"/>
        </w:rPr>
      </w:pPr>
      <w:r/>
      <w:bookmarkStart w:id="289" w:name="_Toc57628741"/>
      <w:r/>
      <w:bookmarkStart w:id="290" w:name="_Toc124148110"/>
      <w:r/>
      <w:bookmarkStart w:id="291" w:name="_Toc17154"/>
      <w:r/>
      <w:bookmarkStart w:id="292" w:name="_Toc4148"/>
      <w:r/>
      <w:bookmarkStart w:id="293" w:name="_Toc7376"/>
      <w:r/>
      <w:bookmarkStart w:id="294" w:name="_Toc53657411"/>
      <w:r>
        <w:rPr>
          <w:rFonts w:hint="eastAsia" w:ascii="宋体" w:hAnsi="宋体" w:eastAsia="宋体" w:cs="宋体"/>
          <w:b/>
          <w:bCs/>
          <w:sz w:val="24"/>
          <w:szCs w:val="24"/>
          <w:highlight w:val="none"/>
        </w:rPr>
        <w:t xml:space="preserve">风险分析与规避</w:t>
      </w:r>
      <w:bookmarkEnd w:id="289"/>
      <w:r/>
      <w:bookmarkEnd w:id="290"/>
      <w:r/>
      <w:bookmarkEnd w:id="291"/>
      <w:r/>
      <w:r/>
    </w:p>
    <w:p>
      <w:pPr>
        <w:pStyle w:val="932"/>
        <w:numPr>
          <w:ilvl w:val="1"/>
          <w:numId w:val="8"/>
        </w:numPr>
        <w:ind w:left="1" w:hanging="200"/>
        <w:jc w:val="left"/>
        <w:keepNext/>
        <w:pageBreakBefore w:val="0"/>
        <w:spacing w:before="0" w:after="0" w:line="360" w:lineRule="auto"/>
        <w:widowControl w:val="off"/>
        <w:rPr>
          <w:rFonts w:hint="eastAsia" w:ascii="宋体" w:hAnsi="宋体" w:eastAsia="宋体" w:cs="宋体"/>
          <w:sz w:val="24"/>
          <w:szCs w:val="24"/>
          <w:highlight w:val="none"/>
          <w:lang w:val="en-US" w:eastAsia="zh-CN"/>
        </w:rPr>
      </w:pPr>
      <w:r/>
      <w:bookmarkStart w:id="295" w:name="_Toc17586"/>
      <w:r/>
      <w:bookmarkStart w:id="296" w:name="_Toc9841"/>
      <w:r/>
      <w:bookmarkStart w:id="297" w:name="_Toc25013269"/>
      <w:r/>
      <w:bookmarkStart w:id="298" w:name="_Toc53657412"/>
      <w:r/>
      <w:bookmarkStart w:id="299" w:name="_Toc15830"/>
      <w:r/>
      <w:bookmarkStart w:id="300" w:name="_Toc30781"/>
      <w:r/>
      <w:bookmarkStart w:id="301" w:name="_Toc93478148"/>
      <w:r/>
      <w:bookmarkStart w:id="302" w:name="_Toc124148111"/>
      <w:r>
        <w:rPr>
          <w:rFonts w:hint="eastAsia" w:ascii="宋体" w:hAnsi="宋体" w:eastAsia="宋体" w:cs="宋体"/>
          <w:sz w:val="24"/>
          <w:szCs w:val="24"/>
          <w:highlight w:val="none"/>
          <w:lang w:val="en-US" w:eastAsia="zh-CN"/>
        </w:rPr>
        <w:t xml:space="preserve">风险分析</w:t>
      </w:r>
      <w:bookmarkEnd w:id="295"/>
      <w:r/>
      <w:bookmarkEnd w:id="296"/>
      <w:r/>
      <w:bookmarkEnd w:id="297"/>
      <w:r/>
      <w:bookmarkEnd w:id="298"/>
      <w:r/>
      <w:bookmarkEnd w:id="299"/>
      <w:r/>
      <w:bookmarkEnd w:id="300"/>
      <w:r/>
      <w:bookmarkEnd w:id="301"/>
      <w:r/>
      <w:bookmarkEnd w:id="302"/>
      <w:r/>
      <w:r/>
    </w:p>
    <w:p>
      <w:pPr>
        <w:pStyle w:val="1271"/>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此项目建设是一项结构复杂、业务功能强、各层级涉及面广的信息系统集成和建设项目，为确保按期完成、达到预期目标，使系统真正发挥作用，必须做到在实施前就能预测到可能遇到的各种风险，并准备好控制风险的措施，才能做到万无一失，并最终确保本系统建设成功。</w:t>
      </w:r>
      <w:bookmarkStart w:id="303" w:name="_Toc53657413"/>
      <w:r/>
      <w:bookmarkStart w:id="304" w:name="_Toc93478149"/>
      <w:r/>
      <w:bookmarkStart w:id="305" w:name="_Toc25013270"/>
      <w:r/>
      <w:bookmarkStart w:id="306" w:name="_Toc124148112"/>
      <w:r/>
      <w:bookmarkStart w:id="307" w:name="_Toc11861"/>
      <w:r/>
      <w:bookmarkStart w:id="308" w:name="_Toc12401"/>
      <w:r/>
      <w:bookmarkStart w:id="309" w:name="_Toc30591"/>
      <w:r/>
      <w:bookmarkStart w:id="310" w:name="_Toc2402"/>
      <w:r/>
      <w:r/>
    </w:p>
    <w:p>
      <w:pPr>
        <w:pStyle w:val="933"/>
        <w:numPr>
          <w:ilvl w:val="2"/>
          <w:numId w:val="8"/>
        </w:numPr>
        <w:ind w:left="709" w:hanging="709"/>
        <w:keepLines w:val="0"/>
        <w:keepNext w:val="0"/>
        <w:spacing w:before="120" w:after="120" w:line="416" w:lineRule="atLeast"/>
        <w:rPr>
          <w:rFonts w:hint="eastAsia" w:ascii="黑体" w:hAnsiTheme="minorHAnsi" w:eastAsiaTheme="minorEastAsia" w:cstheme="minorBidi"/>
          <w:sz w:val="21"/>
          <w:szCs w:val="21"/>
        </w:rPr>
      </w:pPr>
      <w:r>
        <w:rPr>
          <w:rFonts w:hint="eastAsia" w:ascii="黑体" w:hAnsiTheme="minorHAnsi" w:eastAsiaTheme="minorEastAsia" w:cstheme="minorBidi"/>
          <w:sz w:val="21"/>
          <w:szCs w:val="21"/>
        </w:rPr>
        <w:t xml:space="preserve">协调风险</w:t>
      </w:r>
      <w:bookmarkEnd w:id="303"/>
      <w:r/>
      <w:bookmarkEnd w:id="304"/>
      <w:r/>
      <w:bookmarkEnd w:id="305"/>
      <w:r/>
      <w:bookmarkEnd w:id="306"/>
      <w:r/>
      <w:bookmarkEnd w:id="307"/>
      <w:r/>
      <w:bookmarkEnd w:id="308"/>
      <w:r/>
      <w:bookmarkEnd w:id="309"/>
      <w:r/>
      <w:bookmarkEnd w:id="310"/>
      <w:r/>
      <w:r/>
    </w:p>
    <w:p>
      <w:pPr>
        <w:pStyle w:val="1271"/>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的信息交换和共享需要协调多个相关部门，标准制定、人员协调、确认沟通等工作的开展情况将直接影响整个项目的质量控制和管理工作。项目合作的组织形式非常复杂。由于项目有关各方参与项目目标存在差异，在项目进行过程中容易影响合作者之间的关系、项目进展和项目目标的实现。协调风险还包括项目发起组织内部的不同部门，由于对项目的理解、态度和行动不一致而产生的风险。</w:t>
      </w:r>
      <w:r/>
    </w:p>
    <w:p>
      <w:pPr>
        <w:pStyle w:val="933"/>
        <w:numPr>
          <w:ilvl w:val="2"/>
          <w:numId w:val="8"/>
        </w:numPr>
        <w:ind w:left="709" w:hanging="709"/>
        <w:keepLines w:val="0"/>
        <w:keepNext w:val="0"/>
        <w:spacing w:before="120" w:after="120" w:line="416" w:lineRule="atLeast"/>
        <w:rPr>
          <w:rFonts w:hint="eastAsia" w:ascii="黑体" w:hAnsiTheme="minorHAnsi" w:eastAsiaTheme="minorEastAsia" w:cstheme="minorBidi"/>
          <w:sz w:val="21"/>
          <w:szCs w:val="21"/>
        </w:rPr>
      </w:pPr>
      <w:r/>
      <w:bookmarkStart w:id="311" w:name="_Toc19684"/>
      <w:r/>
      <w:bookmarkStart w:id="312" w:name="_Toc53657414"/>
      <w:r/>
      <w:bookmarkStart w:id="313" w:name="_Toc124148113"/>
      <w:r/>
      <w:bookmarkStart w:id="314" w:name="_Toc93478150"/>
      <w:r/>
      <w:bookmarkStart w:id="315" w:name="_Toc26180"/>
      <w:r/>
      <w:bookmarkStart w:id="316" w:name="_Toc23562"/>
      <w:r/>
      <w:bookmarkStart w:id="317" w:name="_Toc28923"/>
      <w:r/>
      <w:bookmarkStart w:id="318" w:name="_Toc25013271"/>
      <w:r>
        <w:rPr>
          <w:rFonts w:hint="eastAsia" w:ascii="黑体" w:hAnsiTheme="minorHAnsi" w:eastAsiaTheme="minorEastAsia" w:cstheme="minorBidi"/>
          <w:sz w:val="21"/>
          <w:szCs w:val="21"/>
        </w:rPr>
        <w:t xml:space="preserve">技术风险</w:t>
      </w:r>
      <w:bookmarkEnd w:id="311"/>
      <w:r/>
      <w:bookmarkEnd w:id="312"/>
      <w:r/>
      <w:bookmarkEnd w:id="313"/>
      <w:r/>
      <w:bookmarkEnd w:id="314"/>
      <w:r/>
      <w:bookmarkEnd w:id="315"/>
      <w:r/>
      <w:bookmarkEnd w:id="316"/>
      <w:r/>
      <w:bookmarkEnd w:id="317"/>
      <w:r/>
      <w:bookmarkEnd w:id="318"/>
      <w:r/>
      <w:r/>
    </w:p>
    <w:p>
      <w:pPr>
        <w:pStyle w:val="1271"/>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在技术设计、分析过程中，技术风险将直接影响整个项目的技术路线与设计架构，政府项目存在需求变动频繁的特点，且受政策影响也较大，可能存在现有技术或架构无法解决的需求。</w:t>
      </w:r>
      <w:r/>
    </w:p>
    <w:p>
      <w:pPr>
        <w:pStyle w:val="1271"/>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此外，项目涉及多样化的大数据平台、业务系统。这些系统技术各异，对接形式多样。对应上述的问题，需要采用新技术来应对。</w:t>
      </w:r>
      <w:r/>
    </w:p>
    <w:p>
      <w:pPr>
        <w:pStyle w:val="1271"/>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bookmarkStart w:id="319" w:name="_Toc25013272"/>
      <w:r/>
      <w:bookmarkStart w:id="320" w:name="_Toc53657415"/>
      <w:r/>
      <w:bookmarkStart w:id="321" w:name="_Toc7811"/>
      <w:r/>
      <w:bookmarkStart w:id="322" w:name="_Toc8418"/>
      <w:r/>
      <w:bookmarkStart w:id="323" w:name="_Toc12647"/>
      <w:r/>
      <w:bookmarkStart w:id="324" w:name="_Toc2567"/>
      <w:r/>
      <w:bookmarkStart w:id="325" w:name="_Toc124148114"/>
      <w:r/>
      <w:bookmarkStart w:id="326" w:name="_Toc93478151"/>
      <w:r>
        <w:rPr>
          <w:rFonts w:hint="eastAsia" w:ascii="宋体" w:hAnsi="宋体" w:eastAsia="宋体" w:cs="宋体"/>
          <w:sz w:val="24"/>
          <w:szCs w:val="24"/>
          <w:highlight w:val="none"/>
          <w:lang w:val="en-US" w:eastAsia="zh-CN" w:bidi="ar-SA"/>
        </w:rPr>
        <w:t xml:space="preserve">实施风险</w:t>
      </w:r>
      <w:bookmarkEnd w:id="319"/>
      <w:r/>
      <w:bookmarkEnd w:id="320"/>
      <w:r/>
      <w:bookmarkEnd w:id="321"/>
      <w:r/>
      <w:bookmarkEnd w:id="322"/>
      <w:r/>
      <w:bookmarkEnd w:id="323"/>
      <w:r/>
      <w:bookmarkEnd w:id="324"/>
      <w:r/>
      <w:bookmarkEnd w:id="325"/>
      <w:r/>
      <w:bookmarkEnd w:id="326"/>
      <w:r/>
      <w:r/>
    </w:p>
    <w:p>
      <w:pPr>
        <w:pStyle w:val="1271"/>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建设涉及面广，整体来说项目的需求是动态发展的，部分功能的建设是长期且有难度的；另一方面，若用户已经建成的系统平台数量较多，且结构关系复杂，则需要大量的对接工作，因此存在一定的实施风险。</w:t>
      </w:r>
      <w:r/>
    </w:p>
    <w:p>
      <w:pPr>
        <w:pStyle w:val="933"/>
        <w:numPr>
          <w:ilvl w:val="2"/>
          <w:numId w:val="8"/>
        </w:numPr>
        <w:ind w:left="709" w:hanging="709"/>
        <w:keepLines w:val="0"/>
        <w:keepNext w:val="0"/>
        <w:spacing w:before="120" w:after="120" w:line="416" w:lineRule="atLeast"/>
        <w:rPr>
          <w:rFonts w:hint="eastAsia" w:ascii="黑体" w:hAnsiTheme="minorHAnsi" w:eastAsiaTheme="minorEastAsia" w:cstheme="minorBidi"/>
          <w:sz w:val="21"/>
          <w:szCs w:val="21"/>
        </w:rPr>
      </w:pPr>
      <w:r/>
      <w:bookmarkStart w:id="327" w:name="_Toc10704"/>
      <w:r/>
      <w:bookmarkStart w:id="328" w:name="_Toc93478152"/>
      <w:r/>
      <w:bookmarkStart w:id="329" w:name="_Toc53657416"/>
      <w:r/>
      <w:bookmarkStart w:id="330" w:name="_Toc124148115"/>
      <w:r/>
      <w:bookmarkStart w:id="331" w:name="_Toc32598"/>
      <w:r/>
      <w:bookmarkStart w:id="332" w:name="_Toc31912"/>
      <w:r/>
      <w:bookmarkStart w:id="333" w:name="_Toc25013273"/>
      <w:r>
        <w:rPr>
          <w:rFonts w:hint="eastAsia" w:ascii="黑体" w:hAnsiTheme="minorHAnsi" w:eastAsiaTheme="minorEastAsia" w:cstheme="minorBidi"/>
          <w:sz w:val="21"/>
          <w:szCs w:val="21"/>
        </w:rPr>
        <w:t xml:space="preserve">风险规避</w:t>
      </w:r>
      <w:bookmarkEnd w:id="327"/>
      <w:r/>
      <w:bookmarkEnd w:id="328"/>
      <w:r/>
      <w:bookmarkEnd w:id="329"/>
      <w:r/>
      <w:bookmarkEnd w:id="330"/>
      <w:r/>
      <w:bookmarkEnd w:id="331"/>
      <w:r/>
      <w:bookmarkEnd w:id="332"/>
      <w:r/>
      <w:bookmarkEnd w:id="333"/>
      <w:r/>
      <w:r/>
    </w:p>
    <w:p>
      <w:pPr>
        <w:pStyle w:val="933"/>
        <w:numPr>
          <w:ilvl w:val="2"/>
          <w:numId w:val="8"/>
        </w:numPr>
        <w:ind w:left="709" w:hanging="709"/>
        <w:keepLines w:val="0"/>
        <w:keepNext w:val="0"/>
        <w:spacing w:before="120" w:after="120" w:line="416" w:lineRule="atLeast"/>
        <w:rPr>
          <w:rFonts w:hint="eastAsia" w:ascii="黑体" w:hAnsiTheme="minorHAnsi" w:eastAsiaTheme="minorEastAsia" w:cstheme="minorBidi"/>
          <w:sz w:val="21"/>
          <w:szCs w:val="21"/>
        </w:rPr>
      </w:pPr>
      <w:r/>
      <w:bookmarkStart w:id="334" w:name="_Toc13486"/>
      <w:r/>
      <w:bookmarkStart w:id="335" w:name="_Toc124148116"/>
      <w:r/>
      <w:bookmarkStart w:id="336" w:name="_Toc16554"/>
      <w:r/>
      <w:bookmarkStart w:id="337" w:name="_Toc93478153"/>
      <w:r>
        <w:rPr>
          <w:rFonts w:hint="eastAsia" w:ascii="黑体" w:hAnsiTheme="minorHAnsi" w:eastAsiaTheme="minorEastAsia" w:cstheme="minorBidi"/>
          <w:sz w:val="21"/>
          <w:szCs w:val="21"/>
        </w:rPr>
        <w:t xml:space="preserve">协调风险规避</w:t>
      </w:r>
      <w:bookmarkEnd w:id="334"/>
      <w:r/>
      <w:bookmarkEnd w:id="335"/>
      <w:r/>
      <w:bookmarkEnd w:id="336"/>
      <w:r/>
      <w:bookmarkEnd w:id="337"/>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在本系统建设前，一定要先制定好与相关部门的沟通机制和制度，针对不同的机构和人员进行专人专管工作，降低系统建设内外协调的风险程度。</w:t>
      </w:r>
      <w:r/>
    </w:p>
    <w:p>
      <w:pPr>
        <w:pStyle w:val="933"/>
        <w:numPr>
          <w:ilvl w:val="2"/>
          <w:numId w:val="8"/>
        </w:numPr>
        <w:ind w:left="709" w:hanging="709"/>
        <w:keepLines w:val="0"/>
        <w:keepNext w:val="0"/>
        <w:spacing w:before="120" w:after="120" w:line="416" w:lineRule="atLeast"/>
        <w:rPr>
          <w:rFonts w:hint="eastAsia" w:ascii="黑体" w:hAnsiTheme="minorHAnsi" w:eastAsiaTheme="minorEastAsia" w:cstheme="minorBidi"/>
          <w:sz w:val="21"/>
          <w:szCs w:val="21"/>
        </w:rPr>
      </w:pPr>
      <w:r/>
      <w:bookmarkStart w:id="338" w:name="_Toc93478154"/>
      <w:r/>
      <w:bookmarkStart w:id="339" w:name="_Toc25191"/>
      <w:r/>
      <w:bookmarkStart w:id="340" w:name="_Toc124148117"/>
      <w:r/>
      <w:bookmarkStart w:id="341" w:name="_Toc11235"/>
      <w:r>
        <w:rPr>
          <w:rFonts w:hint="eastAsia" w:ascii="黑体" w:hAnsiTheme="minorHAnsi" w:eastAsiaTheme="minorEastAsia" w:cstheme="minorBidi"/>
          <w:sz w:val="21"/>
          <w:szCs w:val="21"/>
        </w:rPr>
        <w:t xml:space="preserve">技术风险规避</w:t>
      </w:r>
      <w:bookmarkEnd w:id="338"/>
      <w:r/>
      <w:bookmarkEnd w:id="339"/>
      <w:r/>
      <w:bookmarkEnd w:id="340"/>
      <w:r/>
      <w:bookmarkEnd w:id="341"/>
      <w:r/>
      <w:r/>
    </w:p>
    <w:p>
      <w:pPr>
        <w:ind w:firstLine="480"/>
        <w:spacing w:line="360" w:lineRule="auto"/>
        <w:rPr>
          <w:rFonts w:hint="eastAsia" w:ascii="宋体" w:hAnsi="宋体" w:eastAsia="宋体" w:cs="Times New Roman"/>
          <w:color w:val="000000"/>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在项目实施过程中要根据工程前期系统标准规范体系，制定出技术标准与规范，设计出整个项目的具体实施技术路线，尽可能完善用户需求，预留相当的扩展空间。同时，在项目的实施建设过程中，加强相关人员的技术能力培养和综合业务能力培养。这样才能规避项目实施的技术风险。</w:t>
      </w:r>
      <w:bookmarkEnd w:id="292"/>
      <w:r/>
      <w:bookmarkEnd w:id="293"/>
      <w:r/>
      <w:bookmarkEnd w:id="294"/>
      <w:r/>
      <w:r/>
    </w:p>
    <w:p>
      <w:pPr>
        <w:ind w:firstLine="600"/>
        <w:jc w:val="left"/>
        <w:spacing w:line="360" w:lineRule="auto"/>
        <w:rPr>
          <w:rFonts w:ascii="宋体" w:hAnsi="宋体"/>
          <w:bCs/>
          <w:sz w:val="24"/>
          <w:szCs w:val="24"/>
        </w:rPr>
      </w:pPr>
      <w:r>
        <w:rPr>
          <w:rFonts w:hint="eastAsia" w:ascii="黑体" w:hAnsi="黑体" w:eastAsia="黑体"/>
          <w:color w:val="000000"/>
          <w:sz w:val="30"/>
          <w:szCs w:val="30"/>
        </w:rPr>
        <w:t xml:space="preserve">第二部分  有关说明</w:t>
      </w:r>
      <w:r/>
    </w:p>
    <w:p>
      <w:pPr>
        <w:numPr>
          <w:ilvl w:val="1"/>
          <w:numId w:val="11"/>
        </w:numPr>
        <w:ind w:left="0" w:firstLine="48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11"/>
        </w:numPr>
        <w:ind w:left="0" w:firstLine="48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通过中国海关报关验放进入中国境内且产自关境外的产品不在本项目的报价范围。</w:t>
      </w:r>
      <w:r/>
    </w:p>
    <w:p>
      <w:pPr>
        <w:numPr>
          <w:ilvl w:val="1"/>
          <w:numId w:val="11"/>
        </w:numPr>
        <w:ind w:left="0" w:firstLine="480"/>
        <w:spacing w:line="360" w:lineRule="auto"/>
        <w:tabs>
          <w:tab w:val="left" w:pos="525" w:leader="none"/>
          <w:tab w:val="left" w:pos="945" w:leader="none"/>
          <w:tab w:val="clear" w:pos="1353" w:leader="none"/>
        </w:tabs>
        <w:rPr>
          <w:rFonts w:hint="eastAsia" w:ascii="宋体" w:hAnsi="宋体"/>
          <w:bCs/>
          <w:sz w:val="24"/>
          <w:szCs w:val="24"/>
          <w:highlight w:val="none"/>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1"/>
        </w:numPr>
        <w:ind w:left="0" w:firstLine="48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本项目中有信息安全产品的，必须选择经国家认证的信息安全产品，并提供由中国信息安全认证中心颁发的有效认证证书复印件。</w:t>
      </w:r>
      <w:r/>
    </w:p>
    <w:p>
      <w:pPr>
        <w:numPr>
          <w:ilvl w:val="1"/>
          <w:numId w:val="11"/>
        </w:numPr>
        <w:ind w:left="0" w:firstLine="48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11"/>
        </w:numPr>
        <w:ind w:left="0" w:firstLine="48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11"/>
        </w:numPr>
        <w:ind w:left="0" w:firstLine="480"/>
        <w:spacing w:line="360" w:lineRule="auto"/>
        <w:tabs>
          <w:tab w:val="left" w:pos="525" w:leader="none"/>
          <w:tab w:val="left" w:pos="945" w:leader="none"/>
        </w:tabs>
        <w:rPr>
          <w:rFonts w:ascii="宋体" w:hAnsi="宋体"/>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bidi="ar-SA"/>
        </w:rPr>
        <w:t xml:space="preserve">服务期</w:t>
      </w:r>
      <w:r>
        <w:rPr>
          <w:rFonts w:hint="eastAsia" w:ascii="宋体" w:hAnsi="宋体"/>
          <w:b w:val="0"/>
          <w:bCs/>
          <w:color w:val="auto"/>
          <w:sz w:val="24"/>
          <w:szCs w:val="24"/>
          <w:highlight w:val="none"/>
        </w:rPr>
        <w:t xml:space="preserve">：</w:t>
      </w:r>
      <w:r>
        <w:rPr>
          <w:rFonts w:hint="eastAsia" w:ascii="宋体" w:hAnsi="宋体" w:eastAsia="宋体" w:cs="Times New Roman"/>
          <w:b w:val="0"/>
          <w:bCs/>
          <w:color w:val="auto"/>
          <w:sz w:val="24"/>
          <w:szCs w:val="24"/>
          <w:highlight w:val="none"/>
          <w:lang w:val="en-US" w:eastAsia="zh-CN" w:bidi="ar-SA"/>
        </w:rPr>
        <w:t xml:space="preserve">项目服务期分建设期和运维期，项目建设期为自合同签订之日起6个月内，项目的运维期为项目验收后3年。</w:t>
      </w:r>
      <w:r/>
    </w:p>
    <w:p>
      <w:pPr>
        <w:numPr>
          <w:ilvl w:val="1"/>
          <w:numId w:val="11"/>
        </w:numPr>
        <w:ind w:left="0" w:firstLine="480"/>
        <w:spacing w:line="360" w:lineRule="auto"/>
        <w:tabs>
          <w:tab w:val="left" w:pos="525" w:leader="none"/>
          <w:tab w:val="left" w:pos="945" w:leader="none"/>
        </w:tabs>
        <w:rPr>
          <w:rFonts w:ascii="宋体" w:hAnsi="宋体"/>
          <w:b w:val="0"/>
          <w:bCs/>
          <w:color w:val="auto"/>
          <w:sz w:val="24"/>
          <w:szCs w:val="24"/>
          <w:highlight w:val="none"/>
        </w:rPr>
      </w:pPr>
      <w:r>
        <w:rPr>
          <w:rFonts w:hint="eastAsia" w:ascii="宋体" w:hAnsi="宋体"/>
          <w:b w:val="0"/>
          <w:bCs/>
          <w:color w:val="auto"/>
          <w:sz w:val="24"/>
          <w:szCs w:val="24"/>
          <w:highlight w:val="none"/>
        </w:rPr>
        <w:t xml:space="preserve">供货期：</w:t>
      </w:r>
      <w:r>
        <w:rPr>
          <w:rFonts w:hint="eastAsia" w:ascii="宋体" w:hAnsi="宋体" w:eastAsia="宋体" w:cs="Times New Roman"/>
          <w:b w:val="0"/>
          <w:bCs/>
          <w:color w:val="auto"/>
          <w:sz w:val="24"/>
          <w:szCs w:val="24"/>
          <w:highlight w:val="none"/>
          <w:lang w:val="en-US" w:eastAsia="zh-CN" w:bidi="ar-SA"/>
        </w:rPr>
        <w:t xml:space="preserve">项目总工期为6个月。要求合同签订后3个月内完成项目上线实现新功能试运行，试运行3个月后组织验收。</w:t>
      </w:r>
      <w:r/>
    </w:p>
    <w:p>
      <w:pPr>
        <w:ind w:firstLine="480"/>
        <w:pageBreakBefore w:val="0"/>
        <w:spacing w:line="360" w:lineRule="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10. </w:t>
      </w:r>
      <w:r>
        <w:rPr>
          <w:rFonts w:hint="eastAsia" w:ascii="宋体" w:hAnsi="宋体"/>
          <w:b w:val="0"/>
          <w:bCs/>
          <w:color w:val="auto"/>
          <w:sz w:val="24"/>
          <w:szCs w:val="24"/>
          <w:highlight w:val="none"/>
        </w:rPr>
        <w:t xml:space="preserve">付款方式：</w:t>
      </w:r>
      <w:r>
        <w:rPr>
          <w:rFonts w:hint="eastAsia" w:ascii="宋体" w:hAnsi="宋体" w:eastAsia="宋体" w:cs="Times New Roman"/>
          <w:b w:val="0"/>
          <w:bCs/>
          <w:color w:val="auto"/>
          <w:sz w:val="24"/>
          <w:szCs w:val="24"/>
          <w:highlight w:val="none"/>
          <w:lang w:val="en-US" w:eastAsia="zh-CN" w:bidi="ar-SA"/>
        </w:rPr>
        <w:t xml:space="preserve">合同生效以及具备实施条件后七个工作日内，采购人向中标人支付30%的合同预付款</w:t>
      </w:r>
      <w:r>
        <w:rPr>
          <w:rFonts w:hint="eastAsia" w:ascii="宋体" w:hAnsi="宋体" w:cs="Times New Roman"/>
          <w:b w:val="0"/>
          <w:bCs/>
          <w:color w:val="auto"/>
          <w:sz w:val="24"/>
          <w:szCs w:val="24"/>
          <w:highlight w:val="none"/>
          <w:lang w:val="en-US" w:eastAsia="zh-CN" w:bidi="ar-SA"/>
        </w:rPr>
        <w:t xml:space="preserve">，</w:t>
      </w:r>
      <w:r>
        <w:rPr>
          <w:rFonts w:hint="eastAsia" w:ascii="宋体" w:hAnsi="宋体" w:eastAsia="宋体" w:cs="Times New Roman"/>
          <w:b w:val="0"/>
          <w:bCs/>
          <w:color w:val="auto"/>
          <w:sz w:val="24"/>
          <w:szCs w:val="24"/>
          <w:highlight w:val="none"/>
          <w:lang w:val="en-US" w:eastAsia="zh-CN" w:bidi="ar-SA"/>
        </w:rPr>
        <w:t xml:space="preserve">项目验收后采购人向中标人支付</w:t>
      </w:r>
      <w:r>
        <w:rPr>
          <w:rFonts w:hint="eastAsia" w:ascii="宋体" w:hAnsi="宋体" w:cs="Times New Roman"/>
          <w:b w:val="0"/>
          <w:bCs/>
          <w:color w:val="auto"/>
          <w:sz w:val="24"/>
          <w:szCs w:val="24"/>
          <w:highlight w:val="none"/>
          <w:lang w:val="en-US" w:eastAsia="zh-CN" w:bidi="ar-SA"/>
        </w:rPr>
        <w:t xml:space="preserve">100</w:t>
      </w:r>
      <w:r>
        <w:rPr>
          <w:rFonts w:hint="eastAsia" w:ascii="宋体" w:hAnsi="宋体" w:eastAsia="宋体" w:cs="Times New Roman"/>
          <w:b w:val="0"/>
          <w:bCs/>
          <w:color w:val="auto"/>
          <w:sz w:val="24"/>
          <w:szCs w:val="24"/>
          <w:highlight w:val="none"/>
          <w:lang w:val="en-US" w:eastAsia="zh-CN" w:bidi="ar-SA"/>
        </w:rPr>
        <w:t xml:space="preserve">%的合同款项</w:t>
      </w:r>
      <w:r>
        <w:rPr>
          <w:rFonts w:hint="eastAsia" w:ascii="宋体" w:hAnsi="宋体" w:cs="Times New Roman"/>
          <w:b w:val="0"/>
          <w:bCs/>
          <w:color w:val="auto"/>
          <w:sz w:val="24"/>
          <w:szCs w:val="24"/>
          <w:highlight w:val="none"/>
          <w:lang w:val="en-US" w:eastAsia="zh-CN" w:bidi="ar-SA"/>
        </w:rPr>
        <w:t xml:space="preserve">，</w:t>
      </w:r>
      <w:r>
        <w:rPr>
          <w:rFonts w:hint="eastAsia" w:ascii="宋体" w:hAnsi="宋体"/>
          <w:b w:val="0"/>
          <w:bCs/>
          <w:color w:val="auto"/>
          <w:sz w:val="24"/>
          <w:szCs w:val="24"/>
          <w:highlight w:val="none"/>
        </w:rPr>
        <w:t xml:space="preserve">提供发票后1</w:t>
      </w:r>
      <w:r>
        <w:rPr>
          <w:rFonts w:ascii="宋体" w:hAnsi="宋体"/>
          <w:b w:val="0"/>
          <w:bCs/>
          <w:color w:val="auto"/>
          <w:sz w:val="24"/>
          <w:szCs w:val="24"/>
          <w:highlight w:val="none"/>
        </w:rPr>
        <w:t xml:space="preserve">0</w:t>
      </w:r>
      <w:r>
        <w:rPr>
          <w:rFonts w:hint="eastAsia" w:ascii="宋体" w:hAnsi="宋体"/>
          <w:b w:val="0"/>
          <w:bCs/>
          <w:color w:val="auto"/>
          <w:sz w:val="24"/>
          <w:szCs w:val="24"/>
          <w:highlight w:val="none"/>
        </w:rPr>
        <w:t xml:space="preserve">日内付清全部货款。</w:t>
      </w:r>
      <w:r/>
    </w:p>
    <w:p>
      <w:pPr>
        <w:numPr>
          <w:ilvl w:val="1"/>
          <w:numId w:val="11"/>
        </w:numPr>
        <w:ind w:left="0" w:firstLine="480"/>
        <w:spacing w:line="360" w:lineRule="auto"/>
        <w:tabs>
          <w:tab w:val="left" w:pos="525" w:leader="none"/>
          <w:tab w:val="left" w:pos="945" w:leader="none"/>
        </w:tabs>
        <w:rPr>
          <w:rFonts w:ascii="宋体" w:hAnsi="宋体"/>
          <w:bCs/>
          <w:color w:val="000000"/>
          <w:sz w:val="24"/>
          <w:szCs w:val="24"/>
        </w:rPr>
      </w:pPr>
      <w:r>
        <w:rPr>
          <w:rFonts w:hint="eastAsia" w:ascii="宋体" w:hAnsi="宋体"/>
          <w:b w:val="0"/>
          <w:bCs/>
          <w:color w:val="auto"/>
          <w:sz w:val="24"/>
          <w:szCs w:val="24"/>
          <w:highlight w:val="none"/>
        </w:rPr>
        <w:t xml:space="preserve">本项目合同履行地点：无锡市梁溪区</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无锡市</w:t>
      </w:r>
      <w:r>
        <w:rPr>
          <w:rFonts w:hint="eastAsia" w:ascii="宋体" w:hAnsi="宋体"/>
          <w:b w:val="0"/>
          <w:bCs/>
          <w:color w:val="auto"/>
          <w:sz w:val="24"/>
          <w:szCs w:val="24"/>
          <w:highlight w:val="none"/>
          <w:lang w:eastAsia="zh-CN"/>
        </w:rPr>
        <w:t xml:space="preserve">梁溪区</w:t>
      </w:r>
      <w:r>
        <w:rPr>
          <w:rFonts w:hint="eastAsia" w:ascii="宋体" w:hAnsi="宋体"/>
          <w:b w:val="0"/>
          <w:bCs/>
          <w:color w:val="auto"/>
          <w:sz w:val="24"/>
          <w:szCs w:val="24"/>
          <w:highlight w:val="none"/>
        </w:rPr>
        <w:t xml:space="preserve">崇正路5号</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具体地点</w:t>
      </w:r>
      <w:r>
        <w:rPr>
          <w:rFonts w:hint="eastAsia" w:ascii="宋体" w:hAnsi="宋体"/>
          <w:bCs/>
          <w:color w:val="000000"/>
          <w:sz w:val="24"/>
          <w:szCs w:val="24"/>
          <w:highlight w:val="none"/>
        </w:rPr>
        <w:t xml:space="preserve">以采购人指定为准。</w:t>
      </w:r>
      <w:r>
        <w:rPr>
          <w:rFonts w:hint="eastAsia" w:ascii="宋体" w:hAnsi="宋体"/>
          <w:bCs/>
          <w:color w:val="000000"/>
          <w:sz w:val="24"/>
          <w:szCs w:val="24"/>
        </w:rPr>
        <w:t xml:space="preserve">中标方必须按采购人要求将本项目中货物送到指定地点（包括可能的分布范围），并分地实施安装调试。</w:t>
      </w:r>
      <w:r/>
    </w:p>
    <w:p>
      <w:pPr>
        <w:numPr>
          <w:ilvl w:val="1"/>
          <w:numId w:val="11"/>
        </w:numPr>
        <w:ind w:left="0" w:firstLine="480"/>
        <w:spacing w:line="360" w:lineRule="auto"/>
        <w:tabs>
          <w:tab w:val="left" w:pos="525" w:leader="none"/>
          <w:tab w:val="left" w:pos="945" w:leader="none"/>
        </w:tabs>
        <w:rPr>
          <w:rFonts w:ascii="宋体" w:hAnsi="宋体"/>
          <w:bCs/>
          <w:color w:val="000000"/>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1"/>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bCs/>
          <w:color w:val="000000"/>
          <w:sz w:val="24"/>
          <w:szCs w:val="24"/>
          <w:lang w:eastAsia="zh-CN"/>
        </w:rPr>
        <w:t xml:space="preserve">中华人民共和国政府采购法</w:t>
      </w:r>
      <w:r>
        <w:rPr>
          <w:rFonts w:hint="eastAsia" w:ascii="宋体"/>
          <w:bCs/>
          <w:color w:val="000000"/>
          <w:sz w:val="24"/>
          <w:szCs w:val="24"/>
        </w:rPr>
        <w:t xml:space="preserve">》第七十七条第一款的规定追究法律责任。</w:t>
      </w:r>
      <w:r/>
    </w:p>
    <w:p>
      <w:pPr>
        <w:numPr>
          <w:ilvl w:val="1"/>
          <w:numId w:val="11"/>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1"/>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p>
    <w:p>
      <w:pPr>
        <w:numPr>
          <w:ilvl w:val="1"/>
          <w:numId w:val="5"/>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5"/>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w:t>
      </w:r>
      <w:r>
        <w:rPr>
          <w:rFonts w:hint="eastAsia"/>
          <w:sz w:val="24"/>
          <w:szCs w:val="24"/>
          <w:lang w:eastAsia="zh-CN"/>
        </w:rPr>
        <w:t xml:space="preserve">按照</w:t>
      </w:r>
      <w:r>
        <w:rPr>
          <w:rFonts w:hint="eastAsia"/>
          <w:sz w:val="24"/>
          <w:szCs w:val="24"/>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AU"/>
        </w:rPr>
      </w:pPr>
      <w:r>
        <w:rPr>
          <w:rFonts w:hint="eastAsia" w:ascii="宋体"/>
          <w:bCs/>
          <w:sz w:val="24"/>
          <w:szCs w:val="24"/>
          <w:lang w:val="en-AU"/>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AU"/>
        </w:rPr>
      </w:pPr>
      <w:r>
        <w:rPr>
          <w:rFonts w:hint="eastAsia" w:ascii="宋体"/>
          <w:bCs/>
          <w:sz w:val="24"/>
          <w:szCs w:val="24"/>
          <w:lang w:val="en-AU"/>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宋体" w:hAnsi="宋体" w:cs="宋体"/>
          <w:b/>
          <w:bCs/>
          <w:color w:val="000000"/>
          <w:sz w:val="24"/>
          <w:szCs w:val="24"/>
          <w:lang w:val="zh-CN"/>
        </w:rPr>
      </w:pPr>
      <w:r>
        <w:rPr>
          <w:rFonts w:ascii="宋体"/>
          <w:bCs/>
          <w:color w:val="000000"/>
          <w:sz w:val="24"/>
          <w:szCs w:val="24"/>
        </w:rPr>
        <w:br w:type="page" w:clear="all"/>
      </w:r>
      <w:bookmarkStart w:id="342" w:name="_Toc120614281"/>
      <w:r/>
      <w:r/>
    </w:p>
    <w:p>
      <w:pPr>
        <w:ind w:firstLine="480"/>
        <w:jc w:val="center"/>
        <w:spacing w:line="288" w:lineRule="auto"/>
        <w:rPr>
          <w:rFonts w:hint="eastAsia" w:ascii="黑体" w:hAnsi="黑体" w:eastAsia="黑体" w:cs="Times New Roman"/>
          <w:color w:val="000000"/>
          <w:sz w:val="36"/>
          <w:szCs w:val="36"/>
          <w:lang w:val="en-US" w:eastAsia="zh-CN" w:bidi="ar-SA"/>
        </w:rPr>
        <w:outlineLvl w:val="0"/>
      </w:pPr>
      <w:r>
        <w:rPr>
          <w:rFonts w:hint="eastAsia" w:ascii="黑体" w:hAnsi="黑体" w:eastAsia="黑体" w:cs="Times New Roman"/>
          <w:color w:val="000000"/>
          <w:sz w:val="36"/>
          <w:szCs w:val="36"/>
          <w:lang w:val="en-US" w:eastAsia="zh-CN" w:bidi="ar-SA"/>
        </w:rPr>
        <w:t xml:space="preserve">第五章  评标方法与评标标准</w:t>
      </w:r>
      <w:r/>
    </w:p>
    <w:p>
      <w:pPr>
        <w:pStyle w:val="1174"/>
        <w:ind w:firstLine="602"/>
        <w:spacing w:before="0" w:after="0" w:line="500" w:lineRule="exact"/>
        <w:rPr>
          <w:rFonts w:cs="Arial"/>
          <w:b/>
          <w:color w:val="000000"/>
          <w:sz w:val="30"/>
          <w:szCs w:val="30"/>
        </w:rPr>
      </w:pPr>
      <w:r>
        <w:rPr>
          <w:rFonts w:hint="eastAsia" w:cs="Arial"/>
          <w:b/>
          <w:color w:val="000000"/>
          <w:sz w:val="30"/>
          <w:szCs w:val="30"/>
        </w:rPr>
        <w:t xml:space="preserve">第一部分  评标方法</w:t>
      </w:r>
      <w:r/>
    </w:p>
    <w:p>
      <w:pPr>
        <w:pStyle w:val="1174"/>
        <w:spacing w:before="0" w:after="0" w:line="500" w:lineRule="exact"/>
        <w:rPr>
          <w:rFonts w:cs="Arial"/>
          <w:color w:val="000000"/>
        </w:rPr>
      </w:pPr>
      <w:r>
        <w:rPr>
          <w:rFonts w:hint="eastAsia" w:cs="Arial"/>
          <w:color w:val="000000"/>
        </w:rPr>
        <w:t xml:space="preserve">投标人通过初审的，方可进入比较与评价程序。</w:t>
      </w:r>
      <w:r/>
    </w:p>
    <w:p>
      <w:pPr>
        <w:pStyle w:val="1174"/>
        <w:spacing w:before="0" w:after="0" w:line="500" w:lineRule="exact"/>
        <w:rPr>
          <w:rFonts w:cs="Arial"/>
          <w:color w:val="000000"/>
        </w:rPr>
      </w:pPr>
      <w:r>
        <w:rPr>
          <w:rFonts w:hint="eastAsia" w:cs="Arial"/>
          <w:color w:val="000000"/>
        </w:rPr>
        <w:t xml:space="preserve">比较与评价采用综合评分法。</w:t>
      </w:r>
      <w:r/>
    </w:p>
    <w:p>
      <w:pPr>
        <w:pStyle w:val="1174"/>
        <w:spacing w:before="0" w:after="0" w:line="500" w:lineRule="exact"/>
        <w:rPr>
          <w:rStyle w:val="986"/>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74"/>
        <w:spacing w:before="0" w:after="0" w:line="500" w:lineRule="exact"/>
        <w:rPr>
          <w:rFonts w:cs="Arial"/>
          <w:color w:val="000000"/>
          <w:shd w:val="clear" w:color="ffffff" w:fill="d9d9d9"/>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74"/>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1174"/>
        <w:ind w:firstLine="562"/>
        <w:spacing w:before="0" w:after="0" w:line="500" w:lineRule="exact"/>
        <w:rPr>
          <w:rFonts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 xml:space="preserve">〔2014〕68号</w:t>
      </w:r>
      <w:r>
        <w:rPr>
          <w:rFonts w:hint="eastAsia" w:ascii="宋体" w:hAnsi="宋体"/>
          <w:bCs/>
          <w:color w:val="000000"/>
          <w:sz w:val="24"/>
          <w:szCs w:val="24"/>
        </w:rPr>
        <w:t xml:space="preserve">）的规定提供由省级以上监狱管理局、戒毒管理局</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含新疆生产建设兵团</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出具的属于监狱企业的证明文件扫描件。</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大中型企业向小微企业分包的，对分包意向协议约定小微企业合同份额占到合同总金额30%以上的，对大中型企业的报价给予</w:t>
      </w:r>
      <w:r>
        <w:rPr>
          <w:rFonts w:ascii="宋体" w:hAnsi="宋体"/>
          <w:bCs/>
          <w:color w:val="000000"/>
          <w:sz w:val="24"/>
          <w:szCs w:val="24"/>
        </w:rPr>
        <w:t xml:space="preserve">4</w:t>
      </w:r>
      <w:r>
        <w:rPr>
          <w:rFonts w:hint="eastAsia" w:ascii="宋体" w:hAnsi="宋体"/>
          <w:bCs/>
          <w:color w:val="000000"/>
          <w:sz w:val="24"/>
          <w:szCs w:val="24"/>
        </w:rPr>
        <w:t xml:space="preserve">%的扣除，用扣除后的价格参与评审。接受分包的小微企业与分包企业之间存在</w:t>
      </w:r>
      <w:r>
        <w:rPr>
          <w:rFonts w:hint="eastAsia" w:ascii="宋体" w:hAnsi="宋体"/>
          <w:bCs/>
          <w:color w:val="000000"/>
          <w:sz w:val="24"/>
          <w:szCs w:val="24"/>
          <w:lang w:eastAsia="zh-CN"/>
        </w:rPr>
        <w:t xml:space="preserve">直接</w:t>
      </w:r>
      <w:r>
        <w:rPr>
          <w:rFonts w:hint="eastAsia" w:ascii="宋体" w:hAnsi="宋体"/>
          <w:bCs/>
          <w:color w:val="000000"/>
          <w:sz w:val="24"/>
          <w:szCs w:val="24"/>
        </w:rPr>
        <w:t xml:space="preserve">控股、管理关系的，不享受价格扣除优惠政策。</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注：同时满足上述2项（含）以上的，仅做一次扣除，不重复享受政策。</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spacing w:line="500" w:lineRule="exact"/>
        <w:rPr>
          <w:rFonts w:hint="eastAsia" w:ascii="宋体" w:hAnsi="宋体" w:eastAsia="宋体"/>
          <w:b/>
          <w:color w:val="000000"/>
          <w:sz w:val="28"/>
          <w:szCs w:val="28"/>
          <w:highlight w:val="yellow"/>
          <w:lang w:eastAsia="zh-CN"/>
        </w:rPr>
      </w:pPr>
      <w:r>
        <w:rPr>
          <w:rFonts w:ascii="宋体" w:hAnsi="宋体"/>
          <w:color w:val="000000"/>
          <w:shd w:val="clear" w:color="ffffff" w:fill="d9d9d9"/>
        </w:rPr>
        <w:br w:type="page" w:clear="all"/>
      </w:r>
      <w:r>
        <w:rPr>
          <w:rFonts w:hint="eastAsia" w:ascii="宋体" w:hAnsi="宋体"/>
          <w:b/>
          <w:color w:val="000000"/>
          <w:sz w:val="28"/>
          <w:szCs w:val="28"/>
          <w:highlight w:val="none"/>
        </w:rPr>
        <w:t xml:space="preserve">二、评分标准</w:t>
      </w:r>
      <w:r/>
    </w:p>
    <w:p>
      <w:pPr>
        <w:pStyle w:val="1174"/>
        <w:jc w:val="both"/>
        <w:spacing w:before="0" w:after="0"/>
        <w:rPr>
          <w:rFonts w:hint="eastAsia" w:ascii="宋体" w:hAnsi="宋体"/>
          <w:shd w:val="clear" w:color="ffffff" w:fill="d9d9d9"/>
        </w:rPr>
      </w:pPr>
      <w:r>
        <w:rPr>
          <w:rFonts w:hint="eastAsia" w:ascii="宋体" w:hAnsi="宋体"/>
          <w:b/>
          <w:sz w:val="28"/>
          <w:szCs w:val="28"/>
        </w:rPr>
        <w:t xml:space="preserve">二、评分标准</w:t>
      </w:r>
      <w:r/>
    </w:p>
    <w:p>
      <w:pPr>
        <w:numPr>
          <w:ilvl w:val="0"/>
          <w:numId w:val="12"/>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28</w:t>
      </w:r>
      <w:r>
        <w:rPr>
          <w:rFonts w:hint="eastAsia" w:ascii="宋体" w:hAnsi="宋体"/>
          <w:b/>
          <w:bCs/>
          <w:color w:val="000000"/>
          <w:sz w:val="24"/>
          <w:szCs w:val="24"/>
        </w:rPr>
        <w:t xml:space="preserve">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spacing w:line="360" w:lineRule="auto"/>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0"/>
          <w:numId w:val="12"/>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lang w:eastAsia="zh-CN"/>
        </w:rPr>
        <w:t xml:space="preserve">投标人综合情况（</w:t>
      </w:r>
      <w:r>
        <w:rPr>
          <w:rFonts w:hint="eastAsia" w:ascii="宋体" w:hAnsi="宋体"/>
          <w:b/>
          <w:bCs/>
          <w:color w:val="000000"/>
          <w:sz w:val="24"/>
          <w:szCs w:val="24"/>
          <w:lang w:val="en-US" w:eastAsia="zh-CN"/>
        </w:rPr>
        <w:t xml:space="preserve">6分</w:t>
      </w:r>
      <w:r>
        <w:rPr>
          <w:rFonts w:hint="eastAsia" w:ascii="宋体" w:hAnsi="宋体"/>
          <w:b/>
          <w:bCs/>
          <w:color w:val="000000"/>
          <w:sz w:val="24"/>
          <w:szCs w:val="24"/>
          <w:lang w:eastAsia="zh-CN"/>
        </w:rPr>
        <w:t xml:space="preserve">）：</w:t>
      </w:r>
      <w:r>
        <w:rPr>
          <w:rFonts w:hint="eastAsia" w:ascii="宋体" w:hAnsi="宋体"/>
          <w:b/>
          <w:bCs/>
          <w:sz w:val="24"/>
          <w:szCs w:val="24"/>
        </w:rPr>
        <w:t xml:space="preserve">相关证书及合同扫描件</w:t>
      </w:r>
      <w:r>
        <w:rPr>
          <w:rFonts w:hint="eastAsia" w:ascii="宋体" w:hAnsi="宋体" w:cs="宋体"/>
          <w:b/>
          <w:bCs/>
          <w:sz w:val="24"/>
          <w:szCs w:val="24"/>
        </w:rPr>
        <w:t xml:space="preserve">上传至投标系统中</w:t>
      </w:r>
      <w:r>
        <w:rPr>
          <w:rFonts w:hint="eastAsia" w:ascii="宋体" w:hAnsi="宋体" w:cs="宋体"/>
          <w:b/>
          <w:bCs/>
          <w:sz w:val="24"/>
          <w:szCs w:val="24"/>
          <w:lang w:eastAsia="zh-CN"/>
        </w:rPr>
        <w:t xml:space="preserve">，并加盖公章，证书需在有效期内。</w:t>
      </w:r>
      <w:r/>
    </w:p>
    <w:p>
      <w:pPr>
        <w:numPr>
          <w:ilvl w:val="0"/>
          <w:numId w:val="0"/>
        </w:num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2.1 </w:t>
      </w:r>
      <w:r>
        <w:rPr>
          <w:rFonts w:hint="eastAsia" w:ascii="宋体" w:hAnsi="宋体" w:eastAsia="宋体" w:cs="Times New Roman"/>
          <w:color w:val="auto"/>
          <w:sz w:val="24"/>
          <w:highlight w:val="none"/>
          <w:lang w:val="en-US" w:eastAsia="zh-CN"/>
        </w:rPr>
        <w:t xml:space="preserve">证书（</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分）：投标人具有信息技术服务管理体系认证证书的得0.5分、信息安全管理体系认证证书的得0.5分、IT服务管理体系认证证书的得0.5分、具有质量管理体系认证证书得0.5分；须提供相应有效认证证书扫描件</w:t>
      </w:r>
      <w:r>
        <w:rPr>
          <w:rFonts w:hint="eastAsia" w:ascii="宋体" w:hAnsi="宋体" w:eastAsia="宋体" w:cs="Times New Roman"/>
          <w:color w:val="auto"/>
          <w:sz w:val="24"/>
          <w:highlight w:val="none"/>
        </w:rPr>
        <w:t xml:space="preserve">。</w:t>
      </w:r>
      <w:r/>
    </w:p>
    <w:p>
      <w:pPr>
        <w:numPr>
          <w:ilvl w:val="0"/>
          <w:numId w:val="0"/>
        </w:numPr>
        <w:ind w:firstLine="480"/>
        <w:spacing w:line="360" w:lineRule="auto"/>
        <w:tabs>
          <w:tab w:val="left" w:pos="525" w:leader="none"/>
          <w:tab w:val="left" w:pos="945" w:leader="none"/>
          <w:tab w:val="left" w:pos="1155" w:leader="none"/>
          <w:tab w:val="left" w:pos="3823" w:leader="none"/>
        </w:tabs>
        <w:rPr>
          <w:rFonts w:hint="eastAsia" w:ascii="宋体" w:hAnsi="宋体"/>
          <w:b/>
          <w:bCs/>
          <w:color w:val="ff0000"/>
          <w:sz w:val="24"/>
          <w:szCs w:val="24"/>
          <w:highlight w:val="none"/>
          <w:lang w:val="en-US" w:eastAsia="zh-CN"/>
        </w:rPr>
      </w:pPr>
      <w:r>
        <w:rPr>
          <w:rFonts w:hint="eastAsia" w:ascii="宋体" w:hAnsi="宋体"/>
          <w:b w:val="0"/>
          <w:bCs w:val="0"/>
          <w:color w:val="auto"/>
          <w:sz w:val="24"/>
          <w:szCs w:val="24"/>
          <w:highlight w:val="none"/>
          <w:lang w:val="en-US" w:eastAsia="zh-CN"/>
        </w:rPr>
        <w:t xml:space="preserve">2.2 业绩（3分）</w:t>
      </w:r>
      <w:r>
        <w:rPr>
          <w:rFonts w:hint="eastAsia" w:ascii="宋体" w:hAnsi="宋体"/>
          <w:b/>
          <w:bCs/>
          <w:color w:val="auto"/>
          <w:sz w:val="24"/>
          <w:szCs w:val="24"/>
          <w:highlight w:val="none"/>
          <w:lang w:val="en-US" w:eastAsia="zh-CN"/>
        </w:rPr>
        <w:t xml:space="preserve">：</w:t>
      </w:r>
      <w:r>
        <w:rPr>
          <w:rFonts w:hint="eastAsia" w:ascii="宋体" w:hAnsi="宋体"/>
          <w:b w:val="0"/>
          <w:bCs w:val="0"/>
          <w:color w:val="auto"/>
          <w:sz w:val="24"/>
          <w:szCs w:val="24"/>
          <w:highlight w:val="none"/>
          <w:lang w:val="en-US" w:eastAsia="zh-CN"/>
        </w:rPr>
        <w:t xml:space="preserve">投标单位提供自2021年1月1日起</w:t>
      </w:r>
      <w:r>
        <w:rPr>
          <w:rFonts w:hint="eastAsia" w:ascii="宋体" w:hAnsi="宋体"/>
          <w:b/>
          <w:bCs/>
          <w:color w:val="auto"/>
          <w:sz w:val="24"/>
          <w:szCs w:val="24"/>
          <w:highlight w:val="none"/>
          <w:lang w:val="en-US" w:eastAsia="zh-CN"/>
        </w:rPr>
        <w:t xml:space="preserve">（以合同签订日期为准）</w:t>
      </w:r>
      <w:r>
        <w:rPr>
          <w:rFonts w:hint="eastAsia" w:ascii="宋体" w:hAnsi="宋体"/>
          <w:b w:val="0"/>
          <w:bCs w:val="0"/>
          <w:color w:val="auto"/>
          <w:sz w:val="24"/>
          <w:szCs w:val="24"/>
          <w:highlight w:val="none"/>
          <w:lang w:val="en-US" w:eastAsia="zh-CN"/>
        </w:rPr>
        <w:t xml:space="preserve">至今签订的类似项目业绩。每提供一份得1分，最高3分。</w:t>
      </w:r>
      <w:r/>
    </w:p>
    <w:p>
      <w:pPr>
        <w:ind w:firstLine="480"/>
        <w:spacing w:line="500" w:lineRule="exact"/>
        <w:rPr>
          <w:rFonts w:hint="eastAsia" w:ascii="宋体" w:hAnsi="宋体"/>
          <w:bCs/>
          <w:color w:val="000000"/>
          <w:sz w:val="24"/>
          <w:szCs w:val="24"/>
          <w:highlight w:val="none"/>
          <w:lang w:eastAsia="zh-CN"/>
        </w:rPr>
      </w:pPr>
      <w:r>
        <w:rPr>
          <w:rFonts w:hint="eastAsia" w:ascii="宋体" w:hAnsi="宋体" w:cs="Times New Roman"/>
          <w:b w:val="0"/>
          <w:bCs w:val="0"/>
          <w:color w:val="auto"/>
          <w:sz w:val="24"/>
          <w:highlight w:val="none"/>
          <w:lang w:val="en-US" w:eastAsia="zh-CN"/>
        </w:rPr>
        <w:t xml:space="preserve">2.3保障</w:t>
      </w:r>
      <w:r>
        <w:rPr>
          <w:rFonts w:hint="eastAsia" w:ascii="宋体" w:hAnsi="宋体"/>
          <w:b w:val="0"/>
          <w:bCs w:val="0"/>
          <w:color w:val="000000"/>
          <w:sz w:val="24"/>
          <w:szCs w:val="24"/>
          <w:highlight w:val="none"/>
        </w:rPr>
        <w:t xml:space="preserve">服务</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1分</w:t>
      </w:r>
      <w:r>
        <w:rPr>
          <w:rFonts w:hint="eastAsia" w:ascii="宋体" w:hAnsi="宋体"/>
          <w:b w:val="0"/>
          <w:bCs w:val="0"/>
          <w:color w:val="000000"/>
          <w:sz w:val="24"/>
          <w:szCs w:val="24"/>
          <w:highlight w:val="none"/>
          <w:lang w:eastAsia="zh-CN"/>
        </w:rPr>
        <w:t xml:space="preserve">）：</w:t>
      </w:r>
      <w:r>
        <w:rPr>
          <w:rFonts w:hint="eastAsia" w:ascii="宋体" w:hAnsi="宋体"/>
          <w:bCs/>
          <w:color w:val="000000"/>
          <w:sz w:val="24"/>
          <w:szCs w:val="24"/>
          <w:highlight w:val="none"/>
          <w:lang w:eastAsia="zh-CN"/>
        </w:rPr>
        <w:t xml:space="preserve">投标人需要与区级网格中心、各街镇网格中心、网格员建立联系，承诺至少安排1人进入梁溪区网格业务群，进行平台日常使用答疑，辅助以业务数据的拉取、账号管理等工作，同时提供支撑人员名单及承诺书得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eastAsia="zh-CN"/>
        </w:rPr>
        <w:t xml:space="preserve">分，否则不得分，承诺函格式自拟。</w:t>
      </w:r>
      <w:r/>
    </w:p>
    <w:p>
      <w:pPr>
        <w:numPr>
          <w:ilvl w:val="0"/>
          <w:numId w:val="12"/>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项目人员配置情况（</w:t>
      </w:r>
      <w:r>
        <w:rPr>
          <w:rFonts w:hint="eastAsia" w:ascii="宋体" w:hAnsi="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分）：</w:t>
      </w:r>
      <w:r>
        <w:rPr>
          <w:rFonts w:hint="eastAsia" w:ascii="宋体" w:hAnsi="宋体"/>
          <w:b/>
          <w:bCs w:val="0"/>
          <w:color w:val="000000"/>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eastAsia="宋体" w:cs="Times New Roman"/>
          <w:b/>
          <w:bCs/>
          <w:color w:val="auto"/>
          <w:sz w:val="24"/>
          <w:szCs w:val="24"/>
          <w:highlight w:val="none"/>
          <w:lang w:val="en-US" w:eastAsia="zh-CN"/>
        </w:rPr>
        <w:t xml:space="preserve">一人多张认证仅获一项得分（项目负责人、技术负责人除外），不重复计分。</w:t>
      </w:r>
      <w:r/>
    </w:p>
    <w:p>
      <w:pPr>
        <w:ind w:firstLine="482"/>
        <w:keepLines w:val="0"/>
        <w:keepNext w:val="0"/>
        <w:pageBreakBefore w:val="0"/>
        <w:spacing w:line="360" w:lineRule="auto"/>
        <w:widowControl w:val="off"/>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lang w:eastAsia="zh-CN"/>
        </w:rPr>
        <w:t xml:space="preserve">.1项目负责人（</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lang w:eastAsia="zh-CN"/>
        </w:rPr>
        <w:t xml:space="preserve">分）：投标人为本项目的整体实施配备一名项目负责人，该项目负责人需具备信息系统项目管理师、系统规划与管理师（高级）、IT服务项目经理，每个证书得</w:t>
      </w:r>
      <w:r>
        <w:rPr>
          <w:rFonts w:hint="eastAsia" w:ascii="宋体" w:hAnsi="宋体"/>
          <w:bCs/>
          <w:color w:val="000000"/>
          <w:sz w:val="24"/>
          <w:szCs w:val="24"/>
          <w:highlight w:val="none"/>
          <w:lang w:val="en-US" w:eastAsia="zh-CN"/>
        </w:rPr>
        <w:t xml:space="preserve">1分，最多得3分。</w:t>
      </w:r>
      <w:r/>
    </w:p>
    <w:p>
      <w:pPr>
        <w:ind w:firstLine="482"/>
        <w:keepLines w:val="0"/>
        <w:keepNext w:val="0"/>
        <w:pageBreakBefore w:val="0"/>
        <w:spacing w:line="360" w:lineRule="auto"/>
        <w:widowControl w:val="off"/>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3.2技术负责人（2分）：投标人为本项目中系统平台建设配备一名项目技术负责人，该负责人具系统架构设计师（高级）、系统分析师（高级），每个证书得1分，最多得2分。</w:t>
      </w:r>
      <w:r/>
    </w:p>
    <w:p>
      <w:pPr>
        <w:ind w:firstLine="482"/>
        <w:keepLines w:val="0"/>
        <w:keepNext w:val="0"/>
        <w:pageBreakBefore w:val="0"/>
        <w:spacing w:line="360" w:lineRule="auto"/>
        <w:widowControl w:val="off"/>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3.3项目实施与维护人员技术配置（3分）：投标人为本项目配备的项目组成员具有工业和信息化部教育与考试中心颁发的大数据分析师证书，得1分；具有工业和信息化部颁发的数据库系统工程师，得1分；具有工业和信息化部教育与考试中心颁发的信息安全高级工程师，得1分。</w:t>
      </w:r>
      <w:r/>
    </w:p>
    <w:p>
      <w:pPr>
        <w:numPr>
          <w:ilvl w:val="0"/>
          <w:numId w:val="12"/>
        </w:numPr>
        <w:ind w:left="0" w:firstLine="482"/>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b/>
          <w:bCs/>
          <w:color w:val="000000"/>
          <w:sz w:val="24"/>
          <w:szCs w:val="24"/>
          <w:highlight w:val="none"/>
          <w:lang w:val="en-US" w:eastAsia="zh-CN"/>
        </w:rPr>
        <w:t xml:space="preserve">技术指标（14分）：</w:t>
      </w:r>
      <w:r>
        <w:rPr>
          <w:rFonts w:hint="eastAsia" w:ascii="宋体" w:hAnsi="宋体" w:eastAsia="宋体" w:cs="Times New Roman"/>
          <w:color w:val="auto"/>
          <w:sz w:val="24"/>
          <w:highlight w:val="none"/>
          <w:lang w:val="en-US" w:eastAsia="zh-CN"/>
        </w:rPr>
        <w:t xml:space="preserve">下列参数均需按要求提供相关证明材料如未提供或者提供材料不全，则相应项不得分。投标单位需提供相关产品性能参数证明文件上传至投标系统中。</w:t>
      </w:r>
      <w:r/>
    </w:p>
    <w:p>
      <w:pPr>
        <w:ind w:firstLine="480"/>
        <w:keepLines w:val="0"/>
        <w:keepNext w:val="0"/>
        <w:pageBreakBefore w:val="0"/>
        <w:spacing w:line="360" w:lineRule="auto"/>
        <w:widowControl w:val="off"/>
        <w:rPr>
          <w:rFonts w:hint="eastAsia" w:ascii="宋体" w:hAnsi="宋体" w:cs="Times New Roman"/>
          <w:b w:val="0"/>
          <w:bCs w:val="0"/>
          <w:color w:val="auto"/>
          <w:sz w:val="24"/>
          <w:highlight w:val="none"/>
          <w:lang w:val="en-US" w:eastAsia="zh-CN"/>
        </w:rPr>
      </w:pPr>
      <w:r>
        <w:rPr>
          <w:rFonts w:hint="eastAsia" w:ascii="宋体" w:hAnsi="宋体" w:cs="Times New Roman"/>
          <w:b w:val="0"/>
          <w:bCs w:val="0"/>
          <w:color w:val="auto"/>
          <w:sz w:val="24"/>
          <w:highlight w:val="none"/>
          <w:lang w:val="en-US" w:eastAsia="zh-CN"/>
        </w:rPr>
        <w:t xml:space="preserve">4.1</w:t>
      </w:r>
      <w:r>
        <w:rPr>
          <w:rFonts w:hint="eastAsia" w:ascii="宋体" w:hAnsi="宋体" w:eastAsia="宋体" w:cs="Times New Roman"/>
          <w:b w:val="0"/>
          <w:bCs w:val="0"/>
          <w:color w:val="auto"/>
          <w:sz w:val="24"/>
          <w:highlight w:val="none"/>
          <w:lang w:val="en-US" w:eastAsia="zh-CN"/>
        </w:rPr>
        <w:t xml:space="preserve">事件管理操作</w:t>
      </w:r>
      <w:r>
        <w:rPr>
          <w:rFonts w:hint="eastAsia" w:ascii="宋体" w:hAnsi="宋体" w:cs="Times New Roman"/>
          <w:b w:val="0"/>
          <w:bCs w:val="0"/>
          <w:color w:val="auto"/>
          <w:sz w:val="24"/>
          <w:highlight w:val="none"/>
          <w:lang w:val="en-US" w:eastAsia="zh-CN"/>
        </w:rPr>
        <w:t xml:space="preserve">（4分）：</w:t>
      </w:r>
      <w:r>
        <w:rPr>
          <w:rFonts w:hint="eastAsia" w:ascii="宋体" w:hAnsi="宋体" w:cs="Times New Roman"/>
          <w:b/>
          <w:bCs/>
          <w:color w:val="auto"/>
          <w:sz w:val="24"/>
          <w:highlight w:val="none"/>
          <w:lang w:val="en-US" w:eastAsia="zh-CN"/>
        </w:rPr>
        <w:t xml:space="preserve">提供PC端事件操作的截图，包含事件的新增、查看、修改、删除4个步骤。</w:t>
      </w:r>
      <w:r>
        <w:rPr>
          <w:rFonts w:hint="eastAsia" w:ascii="宋体" w:hAnsi="宋体" w:cs="Times New Roman"/>
          <w:color w:val="auto"/>
          <w:sz w:val="24"/>
          <w:highlight w:val="none"/>
          <w:lang w:val="en-US" w:eastAsia="zh-CN"/>
        </w:rPr>
        <w:t xml:space="preserve">新增事件包含事件基本信息（事件标题、发生时间、发生地址、标准地址、所属区域、事件来源、办结时间、填报人、事件描述、上报照片或视频等）、关联人员相关信息（人员姓名、联系电话、描述等）、处理信息（紧急程度、事件分类等）。查看事件需要包含事件列表查看和事件详情查看，事件列表需要包含现场照片、紧急程度、</w:t>
      </w:r>
      <w:r>
        <w:rPr>
          <w:rFonts w:hint="eastAsia" w:ascii="宋体" w:hAnsi="宋体" w:cs="Times New Roman"/>
          <w:color w:val="auto"/>
          <w:sz w:val="24"/>
          <w:highlight w:val="none"/>
          <w:lang w:val="en-US" w:eastAsia="zh-CN"/>
        </w:rPr>
        <w:t xml:space="preserve">事件标题、事件编号、事件来源、事件类型、上报时间、详细地址、处置时限、所属区域、事件整体状态、当前环节状态、是否评价（街道）、是否评价（区级）、是否入案例库、操作（详情、编辑、删除）。事件详情需要包含事件基本信息（如发生时间、发生地址、标准地址、所属区域、事件来源、填报人、人员岗位、事件编号、事件描述、位置信息、事件图片）、流转记录（如基础信息、主办单位、流程追踪、相关附件、评价记录、案例库申请记录）、评价及质检（评价情况、质检情况）。事件修改需要包含编辑事件详情中的所有内容。事件删除需要包含删除确认界面。</w:t>
      </w:r>
      <w:r>
        <w:rPr>
          <w:rFonts w:hint="eastAsia" w:ascii="宋体" w:hAnsi="宋体" w:cs="Times New Roman"/>
          <w:b w:val="0"/>
          <w:bCs w:val="0"/>
          <w:color w:val="auto"/>
          <w:sz w:val="24"/>
          <w:highlight w:val="none"/>
          <w:lang w:val="en-US" w:eastAsia="zh-CN"/>
        </w:rPr>
        <w:t xml:space="preserve">（</w:t>
      </w:r>
      <w:r>
        <w:rPr>
          <w:rFonts w:hint="eastAsia" w:ascii="宋体" w:hAnsi="宋体" w:cs="宋体"/>
          <w:b w:val="0"/>
          <w:bCs w:val="0"/>
          <w:sz w:val="24"/>
          <w:szCs w:val="24"/>
        </w:rPr>
        <w:t xml:space="preserve">提供上述</w:t>
      </w:r>
      <w:r>
        <w:rPr>
          <w:rFonts w:hint="eastAsia" w:ascii="宋体" w:hAnsi="宋体" w:cs="宋体"/>
          <w:b w:val="0"/>
          <w:bCs w:val="0"/>
          <w:sz w:val="24"/>
          <w:szCs w:val="24"/>
          <w:lang w:val="en-US" w:eastAsia="zh-CN"/>
        </w:rPr>
        <w:t xml:space="preserve">4个步骤的完整</w:t>
      </w:r>
      <w:r>
        <w:rPr>
          <w:rFonts w:hint="eastAsia" w:ascii="宋体" w:hAnsi="宋体" w:cs="宋体"/>
          <w:b w:val="0"/>
          <w:bCs w:val="0"/>
          <w:sz w:val="24"/>
          <w:szCs w:val="24"/>
        </w:rPr>
        <w:t xml:space="preserve">功能证明截图扫描件</w:t>
      </w:r>
      <w:r>
        <w:rPr>
          <w:rFonts w:hint="eastAsia" w:ascii="宋体" w:hAnsi="宋体" w:cs="宋体"/>
          <w:b w:val="0"/>
          <w:bCs w:val="0"/>
          <w:sz w:val="24"/>
          <w:szCs w:val="24"/>
          <w:lang w:eastAsia="zh-CN"/>
        </w:rPr>
        <w:t xml:space="preserve">，</w:t>
      </w:r>
      <w:r>
        <w:rPr>
          <w:rFonts w:hint="eastAsia" w:ascii="宋体" w:hAnsi="宋体" w:cs="Times New Roman"/>
          <w:b w:val="0"/>
          <w:bCs w:val="0"/>
          <w:color w:val="auto"/>
          <w:sz w:val="24"/>
          <w:highlight w:val="none"/>
          <w:lang w:val="en-US" w:eastAsia="zh-CN"/>
        </w:rPr>
        <w:t xml:space="preserve">提供一个步骤得1分，共4分，未提供完整截图内容的步骤不得分。）</w:t>
      </w:r>
      <w:r/>
    </w:p>
    <w:p>
      <w:pPr>
        <w:ind w:firstLine="480"/>
        <w:keepLines w:val="0"/>
        <w:keepNext w:val="0"/>
        <w:pageBreakBefore w:val="0"/>
        <w:spacing w:line="360" w:lineRule="auto"/>
        <w:widowControl w:val="off"/>
        <w:rPr>
          <w:rFonts w:hint="eastAsia" w:ascii="宋体" w:hAnsi="宋体" w:cs="Times New Roman"/>
          <w:b w:val="0"/>
          <w:bCs w:val="0"/>
          <w:color w:val="auto"/>
          <w:sz w:val="24"/>
          <w:highlight w:val="none"/>
          <w:lang w:val="en-US" w:eastAsia="zh-CN"/>
        </w:rPr>
      </w:pPr>
      <w:r>
        <w:rPr>
          <w:rFonts w:hint="eastAsia" w:ascii="宋体" w:hAnsi="宋体" w:cs="Times New Roman"/>
          <w:b w:val="0"/>
          <w:bCs w:val="0"/>
          <w:color w:val="auto"/>
          <w:sz w:val="24"/>
          <w:highlight w:val="none"/>
          <w:lang w:val="en-US" w:eastAsia="zh-CN"/>
        </w:rPr>
        <w:t xml:space="preserve">4.2人房核实五步法（3分）：提供人房核实功能截图，包括五步法完成人房核实，调用公安接</w:t>
      </w:r>
      <w:r>
        <w:rPr>
          <w:rFonts w:hint="eastAsia" w:ascii="宋体" w:hAnsi="宋体" w:cs="Times New Roman"/>
          <w:b w:val="0"/>
          <w:bCs w:val="0"/>
          <w:color w:val="auto"/>
          <w:sz w:val="24"/>
          <w:highlight w:val="none"/>
          <w:lang w:val="en-US" w:eastAsia="zh-CN"/>
        </w:rPr>
        <w:t xml:space="preserve">口查询人员数据的界面。五步法包括第一步房屋信息详情核实（需要包括房屋类型、房屋属性（公安）、出租状态、房屋状态、房屋间数、房屋面积、房主姓名、房主联系电话、证件号码、地区类型等内容）、第二步实有人口核查/新增（包括核实人员是否实际居住在房内、新增人员（包括境外人员相关信息）、删除人员等）、第三步人员信息完善（包含人员列表和人员相关信息）、第四步现场核实信息补充（包含是否见到居民、人员列表、人员姓名和电话）、第五步房屋隐患排查（包括是否发现隐患、排查时间、地点、隐患类型、详情描述、现场照片、工作提醒弹窗等），</w:t>
      </w:r>
      <w:r>
        <w:rPr>
          <w:rFonts w:hint="eastAsia" w:ascii="宋体" w:hAnsi="宋体" w:cs="Times New Roman"/>
          <w:b w:val="0"/>
          <w:bCs w:val="0"/>
          <w:color w:val="auto"/>
          <w:sz w:val="24"/>
          <w:highlight w:val="none"/>
          <w:lang w:val="en-US" w:eastAsia="zh-CN"/>
        </w:rPr>
        <w:t xml:space="preserve">（提供所有步骤的完整</w:t>
      </w:r>
      <w:r>
        <w:rPr>
          <w:rFonts w:hint="eastAsia" w:ascii="宋体" w:hAnsi="宋体" w:cs="宋体"/>
          <w:b w:val="0"/>
          <w:bCs w:val="0"/>
          <w:sz w:val="24"/>
          <w:szCs w:val="24"/>
        </w:rPr>
        <w:t xml:space="preserve">功能证明截图扫描件</w:t>
      </w:r>
      <w:r>
        <w:rPr>
          <w:rFonts w:hint="eastAsia" w:ascii="宋体" w:hAnsi="宋体" w:cs="Times New Roman"/>
          <w:b w:val="0"/>
          <w:bCs w:val="0"/>
          <w:color w:val="auto"/>
          <w:sz w:val="24"/>
          <w:highlight w:val="none"/>
          <w:lang w:val="en-US" w:eastAsia="zh-CN"/>
        </w:rPr>
        <w:t xml:space="preserve">得3分，未提供完整截图内容不得分）</w:t>
      </w:r>
      <w:r/>
    </w:p>
    <w:p>
      <w:pPr>
        <w:ind w:firstLine="480"/>
        <w:keepLines w:val="0"/>
        <w:keepNext w:val="0"/>
        <w:pageBreakBefore w:val="0"/>
        <w:spacing w:line="360" w:lineRule="auto"/>
        <w:widowControl w:val="off"/>
        <w:rPr>
          <w:rFonts w:hint="eastAsia" w:ascii="宋体" w:hAnsi="宋体" w:cs="Times New Roman"/>
          <w:b/>
          <w:bCs/>
          <w:color w:val="auto"/>
          <w:sz w:val="24"/>
          <w:highlight w:val="none"/>
          <w:lang w:val="en-US" w:eastAsia="zh-CN"/>
        </w:rPr>
      </w:pPr>
      <w:r>
        <w:rPr>
          <w:rFonts w:hint="eastAsia" w:ascii="宋体" w:hAnsi="宋体" w:cs="Times New Roman"/>
          <w:b w:val="0"/>
          <w:bCs w:val="0"/>
          <w:color w:val="auto"/>
          <w:sz w:val="24"/>
          <w:highlight w:val="none"/>
          <w:lang w:val="en-US" w:eastAsia="zh-CN"/>
        </w:rPr>
        <w:t xml:space="preserve">4.3治理力量管理操作（2分）：提供治理力量管理中为某一个网格新增一名治理力量的相关页面截图，新增治理力量需要包含基本信息与管理范围，基本信息包括所属区域、姓名、身份证号、性别、联系电话、身份证照、证件照、工作条线，管理范围包括身份类型下拉列表、管理范围下拉列表，并且可以看到该人员关联的所有网格信息、网格类型、身份类别，支持进行相关操作，</w:t>
      </w:r>
      <w:r>
        <w:rPr>
          <w:rFonts w:hint="eastAsia" w:ascii="宋体" w:hAnsi="宋体" w:cs="Times New Roman"/>
          <w:b w:val="0"/>
          <w:bCs w:val="0"/>
          <w:color w:val="auto"/>
          <w:sz w:val="24"/>
          <w:highlight w:val="none"/>
          <w:lang w:val="en-US" w:eastAsia="zh-CN"/>
        </w:rPr>
        <w:t xml:space="preserve">（提供所有步骤的完整</w:t>
      </w:r>
      <w:r>
        <w:rPr>
          <w:rFonts w:hint="eastAsia" w:ascii="宋体" w:hAnsi="宋体" w:cs="宋体"/>
          <w:b w:val="0"/>
          <w:bCs w:val="0"/>
          <w:sz w:val="24"/>
          <w:szCs w:val="24"/>
        </w:rPr>
        <w:t xml:space="preserve">功能证明截图扫描件</w:t>
      </w:r>
      <w:r>
        <w:rPr>
          <w:rFonts w:hint="eastAsia" w:ascii="宋体" w:hAnsi="宋体" w:cs="Times New Roman"/>
          <w:b w:val="0"/>
          <w:bCs w:val="0"/>
          <w:color w:val="auto"/>
          <w:sz w:val="24"/>
          <w:highlight w:val="none"/>
          <w:lang w:val="en-US" w:eastAsia="zh-CN"/>
        </w:rPr>
        <w:t xml:space="preserve">得2分，未提供完整截图内容不得分。）</w:t>
      </w:r>
      <w:r/>
    </w:p>
    <w:p>
      <w:pPr>
        <w:ind w:firstLine="480"/>
        <w:keepLines w:val="0"/>
        <w:keepNext w:val="0"/>
        <w:pageBreakBefore w:val="0"/>
        <w:spacing w:line="360" w:lineRule="auto"/>
        <w:widowControl w:val="off"/>
        <w:rPr>
          <w:rFonts w:hint="eastAsia" w:ascii="宋体" w:hAnsi="宋体" w:cs="Times New Roman"/>
          <w:b w:val="0"/>
          <w:bCs w:val="0"/>
          <w:color w:val="auto"/>
          <w:sz w:val="24"/>
          <w:highlight w:val="none"/>
          <w:lang w:val="en-US" w:eastAsia="zh-CN"/>
        </w:rPr>
      </w:pPr>
      <w:r>
        <w:rPr>
          <w:rFonts w:hint="eastAsia" w:ascii="宋体" w:hAnsi="宋体" w:cs="Times New Roman"/>
          <w:b w:val="0"/>
          <w:bCs w:val="0"/>
          <w:color w:val="auto"/>
          <w:sz w:val="24"/>
          <w:highlight w:val="none"/>
          <w:lang w:val="en-US" w:eastAsia="zh-CN"/>
        </w:rPr>
        <w:t xml:space="preserve">4.4业务条线人员管理操作（2分）：提供业务条线人员管理相关页面截图，包括新增业务条线人员和权限分配操作。业务条线人员的新增需要包含姓名、联系电话、直属单位、身份证号、身份证照片、性别、电子签名、政治面貌、学历、职务等信息。权限分配需要包含角色列表（编码、名称、状态、备注、操作等信息），权限配置时可以对系统每个子模块分别进行权限设置，子模块包括网格管理、网格事件、生成事件、移动端、中心管理、房屋变更、拆迁入格变更、人员变更、考核报表等）。</w:t>
      </w:r>
      <w:r>
        <w:rPr>
          <w:rFonts w:hint="eastAsia" w:ascii="宋体" w:hAnsi="宋体" w:cs="Times New Roman"/>
          <w:b w:val="0"/>
          <w:bCs w:val="0"/>
          <w:color w:val="auto"/>
          <w:sz w:val="24"/>
          <w:highlight w:val="none"/>
          <w:lang w:val="en-US" w:eastAsia="zh-CN"/>
        </w:rPr>
        <w:t xml:space="preserve">（提供所有步骤的完整</w:t>
      </w:r>
      <w:r>
        <w:rPr>
          <w:rFonts w:hint="eastAsia" w:ascii="宋体" w:hAnsi="宋体" w:cs="宋体"/>
          <w:b w:val="0"/>
          <w:bCs w:val="0"/>
          <w:sz w:val="24"/>
          <w:szCs w:val="24"/>
        </w:rPr>
        <w:t xml:space="preserve">功能证明截图扫描件</w:t>
      </w:r>
      <w:r>
        <w:rPr>
          <w:rFonts w:hint="eastAsia" w:ascii="宋体" w:hAnsi="宋体" w:cs="Times New Roman"/>
          <w:b w:val="0"/>
          <w:bCs w:val="0"/>
          <w:color w:val="auto"/>
          <w:sz w:val="24"/>
          <w:highlight w:val="none"/>
          <w:lang w:val="en-US" w:eastAsia="zh-CN"/>
        </w:rPr>
        <w:t xml:space="preserve">得2分，未提供完整截图内容不得分。）</w:t>
      </w:r>
      <w:r/>
    </w:p>
    <w:p>
      <w:pPr>
        <w:ind w:firstLine="480"/>
        <w:keepLines w:val="0"/>
        <w:keepNext w:val="0"/>
        <w:pageBreakBefore w:val="0"/>
        <w:spacing w:line="360" w:lineRule="auto"/>
        <w:widowControl w:val="off"/>
        <w:rPr>
          <w:rFonts w:hint="default" w:ascii="宋体" w:hAnsi="宋体"/>
          <w:b w:val="0"/>
          <w:bCs w:val="0"/>
          <w:color w:val="ff0000"/>
          <w:sz w:val="24"/>
          <w:szCs w:val="24"/>
          <w:lang w:val="en-US" w:eastAsia="zh-CN"/>
        </w:rPr>
      </w:pPr>
      <w:r>
        <w:rPr>
          <w:rFonts w:hint="eastAsia" w:ascii="宋体" w:hAnsi="宋体" w:cs="Times New Roman"/>
          <w:b w:val="0"/>
          <w:bCs w:val="0"/>
          <w:color w:val="auto"/>
          <w:sz w:val="24"/>
          <w:highlight w:val="none"/>
          <w:lang w:val="en-US" w:eastAsia="zh-CN"/>
        </w:rPr>
        <w:t xml:space="preserve">4.5</w:t>
      </w:r>
      <w:r>
        <w:rPr>
          <w:rFonts w:hint="eastAsia" w:ascii="宋体" w:hAnsi="宋体" w:eastAsia="宋体" w:cs="Times New Roman"/>
          <w:b w:val="0"/>
          <w:bCs w:val="0"/>
          <w:color w:val="auto"/>
          <w:sz w:val="24"/>
          <w:highlight w:val="none"/>
          <w:lang w:val="en-US" w:eastAsia="zh-CN"/>
        </w:rPr>
        <w:t xml:space="preserve">数据对接承诺函</w:t>
      </w:r>
      <w:r>
        <w:rPr>
          <w:rFonts w:hint="eastAsia" w:ascii="宋体" w:hAnsi="宋体" w:cs="Times New Roman"/>
          <w:b w:val="0"/>
          <w:bCs w:val="0"/>
          <w:color w:val="auto"/>
          <w:sz w:val="24"/>
          <w:highlight w:val="none"/>
          <w:lang w:val="en-US" w:eastAsia="zh-CN"/>
        </w:rPr>
        <w:t xml:space="preserve">（3分）</w:t>
      </w:r>
      <w:r>
        <w:rPr>
          <w:rFonts w:hint="eastAsia" w:ascii="宋体" w:hAnsi="宋体" w:eastAsia="宋体" w:cs="Times New Roman"/>
          <w:b w:val="0"/>
          <w:bCs w:val="0"/>
          <w:color w:val="auto"/>
          <w:sz w:val="24"/>
          <w:highlight w:val="none"/>
          <w:lang w:val="en-US" w:eastAsia="zh-CN"/>
        </w:rPr>
        <w:t xml:space="preserve">：梁溪区网格化联动处置系统需与市网格化平台数据互通，投标人需提供与无锡市网格化平台原厂商对接的承诺函并加盖原厂商公章，</w:t>
      </w:r>
      <w:r>
        <w:rPr>
          <w:rFonts w:hint="eastAsia" w:ascii="宋体" w:hAnsi="宋体" w:eastAsia="宋体" w:cs="Times New Roman"/>
          <w:b w:val="0"/>
          <w:bCs w:val="0"/>
          <w:color w:val="auto"/>
          <w:sz w:val="24"/>
          <w:highlight w:val="none"/>
          <w:lang w:val="en-US" w:eastAsia="zh-CN"/>
        </w:rPr>
        <w:t xml:space="preserve">（提供承诺函得3分，否则不得分。）</w:t>
      </w:r>
      <w:r/>
    </w:p>
    <w:p>
      <w:pPr>
        <w:numPr>
          <w:ilvl w:val="0"/>
          <w:numId w:val="12"/>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ff0000"/>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项目方案（44）</w:t>
      </w:r>
      <w:r/>
    </w:p>
    <w:p>
      <w:pPr>
        <w:numPr>
          <w:ilvl w:val="0"/>
          <w:numId w:val="0"/>
        </w:numPr>
        <w:ind w:firstLine="482"/>
        <w:spacing w:line="500" w:lineRule="exact"/>
        <w:tabs>
          <w:tab w:val="left" w:pos="525" w:leader="none"/>
          <w:tab w:val="left" w:pos="945" w:leader="none"/>
          <w:tab w:val="left" w:pos="1155" w:leader="none"/>
          <w:tab w:val="left" w:pos="3823" w:leader="none"/>
        </w:tabs>
        <w:rPr>
          <w:rFonts w:hint="default" w:ascii="宋体" w:hAnsi="宋体" w:eastAsia="宋体" w:cs="Times New Roman"/>
          <w:b w:val="0"/>
          <w:bCs w:val="0"/>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5.1</w:t>
      </w:r>
      <w:r>
        <w:rPr>
          <w:rFonts w:hint="eastAsia" w:ascii="宋体" w:hAnsi="宋体" w:eastAsia="宋体" w:cs="Times New Roman"/>
          <w:b/>
          <w:bCs/>
          <w:color w:val="auto"/>
          <w:sz w:val="24"/>
          <w:szCs w:val="24"/>
          <w:highlight w:val="none"/>
          <w:lang w:val="en-US" w:eastAsia="zh-CN"/>
        </w:rPr>
        <w:t xml:space="preserve">总体方案（7分）：</w:t>
      </w:r>
      <w:r>
        <w:rPr>
          <w:rFonts w:hint="eastAsia" w:ascii="宋体" w:hAnsi="宋体" w:eastAsia="宋体" w:cs="Times New Roman"/>
          <w:b w:val="0"/>
          <w:bCs w:val="0"/>
          <w:color w:val="auto"/>
          <w:sz w:val="24"/>
          <w:szCs w:val="24"/>
          <w:highlight w:val="none"/>
          <w:lang w:val="en-US" w:eastAsia="zh-CN"/>
        </w:rPr>
        <w:t xml:space="preserve">根据投标人所提供的总体技术方案，方案包括但不限于：总体架构设计、部署架构设计、业务流程设计、系统功能设计、样板应用设计方案等综合评审。方案描述完整准确，架构设计科学，实施路径明确，具备完全可操作性得7分；方案较完整，描述较清晰，有一定可行性得4分；方案存在部分内容缺失或技术细节不完整的得1分；方案核心要素缺失超过3项，或存在重大技术缺陷的得0分。</w:t>
      </w:r>
      <w:r>
        <w:rPr>
          <w:b w:val="0"/>
          <w:bCs w:val="0"/>
        </w:rPr>
      </w:r>
      <w:r/>
    </w:p>
    <w:p>
      <w:pPr>
        <w:ind w:left="0" w:right="0" w:firstLine="480"/>
        <w:jc w:val="both"/>
        <w:spacing w:before="0" w:after="0" w:line="499" w:lineRule="atLeast"/>
        <w:tabs>
          <w:tab w:val="left" w:pos="525" w:leader="none"/>
          <w:tab w:val="left" w:pos="945" w:leader="none"/>
          <w:tab w:val="left" w:pos="1155" w:leader="none"/>
          <w:tab w:val="left" w:pos="3823" w:leader="none"/>
        </w:tabs>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bCs/>
          <w:color w:val="auto"/>
          <w:sz w:val="24"/>
          <w:szCs w:val="24"/>
          <w:highlight w:val="none"/>
          <w:lang w:val="en-US" w:eastAsia="zh-CN"/>
        </w:rPr>
        <w:t xml:space="preserve">5.2业务功能及流程方案（7分）</w:t>
      </w:r>
      <w:r>
        <w:rPr>
          <w:rFonts w:hint="eastAsia" w:ascii="宋体" w:hAnsi="宋体" w:eastAsia="宋体" w:cs="Times New Roman"/>
          <w:b w:val="0"/>
          <w:bCs w:val="0"/>
          <w:color w:val="auto"/>
          <w:sz w:val="24"/>
          <w:szCs w:val="24"/>
          <w:highlight w:val="none"/>
          <w:lang w:val="en-US" w:eastAsia="zh-CN"/>
        </w:rPr>
        <w:t xml:space="preserve">：</w:t>
      </w:r>
      <w:r>
        <w:rPr>
          <w:rFonts w:ascii="SimSun" w:hAnsi="SimSun" w:eastAsia="SimSun" w:cs="SimSun"/>
          <w:color w:val="000000"/>
          <w:sz w:val="24"/>
        </w:rPr>
        <w:t xml:space="preserve">根据投标人提供的业务流程设计方案，根据描述清晰程度，方案合理程度进行评审。能清晰并正确地指出</w:t>
      </w:r>
      <w:r>
        <w:rPr>
          <w:rFonts w:ascii="SimSun" w:hAnsi="SimSun" w:eastAsia="SimSun" w:cs="SimSun"/>
          <w:color w:val="000000" w:themeColor="text1"/>
          <w:sz w:val="24"/>
        </w:rPr>
        <w:t xml:space="preserve">梁溪区网格化联动处置系统提升完善信息化项目业务功能组织和流程</w:t>
      </w:r>
      <w:r>
        <w:rPr>
          <w:rFonts w:ascii="SimSun" w:hAnsi="SimSun" w:eastAsia="SimSun" w:cs="SimSun"/>
          <w:color w:val="000000" w:themeColor="text1"/>
          <w:sz w:val="24"/>
        </w:rPr>
        <w:t xml:space="preserve">7</w:t>
      </w:r>
      <w:r>
        <w:rPr>
          <w:rFonts w:ascii="SimSun" w:hAnsi="SimSun" w:eastAsia="SimSun" w:cs="SimSun"/>
          <w:color w:val="000000" w:themeColor="text1"/>
          <w:sz w:val="24"/>
        </w:rPr>
        <w:t xml:space="preserve">分；能基本描述业务架构和功能，得</w:t>
      </w:r>
      <w:r>
        <w:rPr>
          <w:rFonts w:ascii="SimSun" w:hAnsi="SimSun" w:eastAsia="SimSun" w:cs="SimSun"/>
          <w:color w:val="000000" w:themeColor="text1"/>
          <w:sz w:val="24"/>
        </w:rPr>
        <w:t xml:space="preserve">4</w:t>
      </w:r>
      <w:r>
        <w:rPr>
          <w:rFonts w:ascii="SimSun" w:hAnsi="SimSun" w:eastAsia="SimSun" w:cs="SimSun"/>
          <w:color w:val="000000" w:themeColor="text1"/>
          <w:sz w:val="24"/>
        </w:rPr>
        <w:t xml:space="preserve">分；基本满足招标文件要求，得1分；不能结合系统表述的，得0分。</w:t>
      </w:r>
      <w:r>
        <w:rPr>
          <w:color w:val="000000" w:themeColor="text1"/>
          <w:sz w:val="22"/>
        </w:rPr>
      </w:r>
      <w:r/>
    </w:p>
    <w:p>
      <w:pPr>
        <w:ind w:left="0" w:right="0" w:firstLine="482"/>
        <w:jc w:val="both"/>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5.3详细设计方案（4分）：</w:t>
      </w:r>
      <w:r>
        <w:rPr>
          <w:rFonts w:hint="eastAsia" w:ascii="宋体" w:hAnsi="宋体" w:eastAsia="宋体" w:cs="Times New Roman"/>
          <w:b w:val="0"/>
          <w:bCs w:val="0"/>
          <w:color w:val="auto"/>
          <w:sz w:val="24"/>
          <w:szCs w:val="24"/>
          <w:highlight w:val="none"/>
          <w:lang w:val="en-US" w:eastAsia="zh-CN"/>
        </w:rPr>
        <w:t xml:space="preserve">根据投标人提供的样板应用设计方案，包括不限于：专题视图、任务管理、网格及力量管理、人房核实等样板应用。提供三级监测视图、一标多实视图等专题视图；提供周期性、非周期性任务定义、发布与管理；提供三官一律多元网格治理力量人员信息维护管理，微网格管理、微网格志愿者管理、微网格联络员管理；能准确描述APP端人房核实五步法操作。本项最多得4分；其中有一项不符合或缺失扣1分。</w:t>
      </w:r>
      <w:r/>
    </w:p>
    <w:p>
      <w:pPr>
        <w:ind w:left="0" w:right="0" w:firstLine="482"/>
        <w:jc w:val="both"/>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5.4平台账号维护方案（5分）</w:t>
      </w:r>
      <w:r>
        <w:rPr>
          <w:rFonts w:hint="eastAsia" w:ascii="宋体" w:hAnsi="宋体" w:eastAsia="宋体" w:cs="Times New Roman"/>
          <w:b w:val="0"/>
          <w:bCs w:val="0"/>
          <w:color w:val="auto"/>
          <w:sz w:val="24"/>
          <w:szCs w:val="24"/>
          <w:highlight w:val="none"/>
          <w:lang w:val="en-US" w:eastAsia="zh-CN"/>
        </w:rPr>
        <w:t xml:space="preserve">：投标人需具备平台账号维护的能力，包括但不限于平台账号的管理，及手持端新增账号VPDN数据流量的开通与绑定。投标人能够提供完整的网格员账号开通、角色权限配置，包括手机端VPDN入网、政务网/互联网切换步骤，得3分；能提供网格员账号开通、角色权限配置的但无法提供VPDN入网或政务网/互联网切换步骤的，得2分</w:t>
      </w:r>
      <w:r>
        <w:rPr>
          <w:rFonts w:hint="eastAsia" w:ascii="宋体" w:hAnsi="宋体" w:cs="Times New Roman"/>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无法提供网格员账号开通、角色权限配置说明的得</w:t>
      </w:r>
      <w:r>
        <w:rPr>
          <w:rFonts w:hint="eastAsia" w:ascii="宋体" w:hAnsi="宋体" w:cs="Times New Roman"/>
          <w:b w:val="0"/>
          <w:bCs w:val="0"/>
          <w:color w:val="auto"/>
          <w:sz w:val="24"/>
          <w:szCs w:val="24"/>
          <w:highlight w:val="none"/>
          <w:lang w:val="en-US" w:eastAsia="zh-CN"/>
        </w:rPr>
        <w:t xml:space="preserve">0</w:t>
      </w:r>
      <w:r>
        <w:rPr>
          <w:rFonts w:hint="eastAsia" w:ascii="宋体" w:hAnsi="宋体" w:eastAsia="宋体" w:cs="Times New Roman"/>
          <w:b w:val="0"/>
          <w:bCs w:val="0"/>
          <w:color w:val="auto"/>
          <w:sz w:val="24"/>
          <w:szCs w:val="24"/>
          <w:highlight w:val="none"/>
          <w:lang w:val="en-US" w:eastAsia="zh-CN"/>
        </w:rPr>
        <w:t xml:space="preserve">分。</w:t>
      </w:r>
      <w:r/>
    </w:p>
    <w:p>
      <w:pPr>
        <w:ind w:left="0" w:right="0" w:firstLine="482"/>
        <w:jc w:val="both"/>
        <w:keepLines w:val="0"/>
        <w:keepNext w:val="0"/>
        <w:pageBreakBefore w:val="0"/>
        <w:spacing w:line="360" w:lineRule="auto"/>
        <w:widowControl w:val="off"/>
        <w:rPr>
          <w:rFonts w:hint="eastAsia" w:ascii="宋体" w:hAnsi="宋体" w:cs="宋体"/>
          <w:sz w:val="24"/>
          <w:szCs w:val="24"/>
          <w:lang w:eastAsia="zh-CN"/>
        </w:rPr>
      </w:pPr>
      <w:r>
        <w:rPr>
          <w:rFonts w:hint="eastAsia" w:ascii="宋体" w:hAnsi="宋体" w:cs="宋体"/>
          <w:b/>
          <w:bCs/>
          <w:sz w:val="24"/>
          <w:szCs w:val="24"/>
          <w:lang w:val="en-US" w:eastAsia="zh-CN"/>
        </w:rPr>
        <w:t xml:space="preserve">5.5</w:t>
      </w:r>
      <w:r>
        <w:rPr>
          <w:rFonts w:hint="eastAsia" w:ascii="宋体" w:hAnsi="宋体" w:eastAsia="宋体" w:cs="宋体"/>
          <w:b/>
          <w:bCs/>
          <w:sz w:val="24"/>
          <w:szCs w:val="24"/>
        </w:rPr>
        <w:t xml:space="preserve">年度网格调整及数据服务方案</w:t>
      </w:r>
      <w:r>
        <w:rPr>
          <w:rFonts w:hint="eastAsia" w:ascii="宋体" w:hAnsi="宋体" w:eastAsia="宋体" w:cs="Times New Roman"/>
          <w:b/>
          <w:bCs/>
          <w:color w:val="auto"/>
          <w:sz w:val="24"/>
          <w:szCs w:val="24"/>
          <w:highlight w:val="none"/>
          <w:lang w:val="en-US" w:eastAsia="zh-CN"/>
        </w:rPr>
        <w:t xml:space="preserve">（5分）</w:t>
      </w:r>
      <w:r>
        <w:rPr>
          <w:rFonts w:hint="eastAsia" w:ascii="宋体" w:hAnsi="宋体" w:cs="宋体"/>
          <w:sz w:val="24"/>
          <w:szCs w:val="24"/>
          <w:lang w:eastAsia="zh-CN"/>
        </w:rPr>
        <w:t xml:space="preserve">：投标人需配合梁溪区年度网格边界调整，保障网格调整工作顺利完成。根据方案合理及可操作性程度进行评审。能明确表述出网格调整原因及目的，深入理解网格调整的过程及步骤，提供完善的网格边界调整工作的实施方案、人员配置方案、数据服务方案，得</w:t>
      </w:r>
      <w:r>
        <w:rPr>
          <w:rFonts w:hint="eastAsia" w:ascii="宋体" w:hAnsi="宋体" w:cs="Times New Roman"/>
          <w:b w:val="0"/>
          <w:bCs w:val="0"/>
          <w:color w:val="auto"/>
          <w:sz w:val="24"/>
          <w:szCs w:val="24"/>
          <w:highlight w:val="none"/>
          <w:lang w:val="en-US" w:eastAsia="zh-CN"/>
        </w:rPr>
        <w:t xml:space="preserve">5</w:t>
      </w:r>
      <w:r>
        <w:rPr>
          <w:rFonts w:hint="eastAsia" w:ascii="宋体" w:hAnsi="宋体" w:cs="宋体"/>
          <w:sz w:val="24"/>
          <w:szCs w:val="24"/>
          <w:lang w:eastAsia="zh-CN"/>
        </w:rPr>
        <w:t xml:space="preserve">分；能基本描述网格调整原因和过程，提供简单方案，得</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分；基本满足招标文件要求，得</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分，不能结合系统表述的得</w:t>
      </w:r>
      <w:r>
        <w:rPr>
          <w:rFonts w:hint="eastAsia" w:ascii="宋体" w:hAnsi="宋体" w:cs="宋体"/>
          <w:sz w:val="24"/>
          <w:szCs w:val="24"/>
          <w:lang w:val="en-US" w:eastAsia="zh-CN"/>
        </w:rPr>
        <w:t xml:space="preserve">0</w:t>
      </w:r>
      <w:r>
        <w:rPr>
          <w:rFonts w:hint="eastAsia" w:ascii="宋体" w:hAnsi="宋体" w:cs="宋体"/>
          <w:sz w:val="24"/>
          <w:szCs w:val="24"/>
          <w:lang w:eastAsia="zh-CN"/>
        </w:rPr>
        <w:t xml:space="preserve">分。</w:t>
      </w:r>
      <w:r/>
    </w:p>
    <w:p>
      <w:pPr>
        <w:ind w:left="0" w:right="0" w:firstLine="480"/>
        <w:jc w:val="both"/>
        <w:keepLines w:val="0"/>
        <w:keepNext w:val="0"/>
        <w:pageBreakBefore w:val="0"/>
        <w:spacing w:line="360" w:lineRule="auto"/>
        <w:widowControl w:val="off"/>
        <w:rPr>
          <w:rFonts w:hint="default" w:ascii="宋体" w:hAnsi="宋体" w:cs="宋体"/>
          <w:sz w:val="24"/>
          <w:szCs w:val="24"/>
          <w:lang w:val="en-US" w:eastAsia="zh-CN"/>
        </w:rPr>
      </w:pPr>
      <w:r>
        <w:rPr>
          <w:rFonts w:hint="eastAsia" w:ascii="宋体" w:hAnsi="宋体" w:cs="宋体"/>
          <w:b/>
          <w:bCs/>
          <w:sz w:val="24"/>
          <w:szCs w:val="24"/>
          <w:lang w:val="en-US" w:eastAsia="zh-CN"/>
        </w:rPr>
        <w:t xml:space="preserve">5.6实施方案</w:t>
      </w:r>
      <w:r>
        <w:rPr>
          <w:rFonts w:hint="eastAsia" w:ascii="宋体" w:hAnsi="宋体" w:eastAsia="宋体" w:cs="Times New Roman"/>
          <w:b/>
          <w:bCs/>
          <w:color w:val="auto"/>
          <w:sz w:val="24"/>
          <w:szCs w:val="24"/>
          <w:highlight w:val="none"/>
          <w:lang w:val="en-US" w:eastAsia="zh-CN"/>
        </w:rPr>
        <w:t xml:space="preserve">（5分）</w:t>
      </w:r>
      <w:r>
        <w:rPr>
          <w:rFonts w:hint="eastAsia" w:ascii="宋体" w:hAnsi="宋体" w:cs="宋体"/>
          <w:sz w:val="24"/>
          <w:szCs w:val="24"/>
          <w:lang w:val="en-US" w:eastAsia="zh-CN"/>
        </w:rPr>
        <w:t xml:space="preserve">：根据投标人提供项目实施管理方案，方案包括但不限于：项目的实施管理、项目建设进度和质量管理机制、项目风险预测及应对等方案进行综合评审。内容详细、针对性强、可行性好的，</w:t>
      </w:r>
      <w:r>
        <w:rPr>
          <w:rFonts w:hint="eastAsia" w:ascii="宋体" w:hAnsi="宋体" w:cs="宋体"/>
          <w:sz w:val="24"/>
          <w:szCs w:val="24"/>
          <w:lang w:eastAsia="zh-CN"/>
        </w:rPr>
        <w:t xml:space="preserve">得</w:t>
      </w:r>
      <w:r>
        <w:rPr>
          <w:rFonts w:hint="eastAsia" w:ascii="宋体" w:hAnsi="宋体" w:cs="Times New Roman"/>
          <w:b w:val="0"/>
          <w:bCs w:val="0"/>
          <w:color w:val="auto"/>
          <w:sz w:val="24"/>
          <w:szCs w:val="24"/>
          <w:highlight w:val="none"/>
          <w:lang w:val="en-US" w:eastAsia="zh-CN"/>
        </w:rPr>
        <w:t xml:space="preserve">5</w:t>
      </w:r>
      <w:r>
        <w:rPr>
          <w:rFonts w:hint="eastAsia" w:ascii="宋体" w:hAnsi="宋体" w:cs="宋体"/>
          <w:sz w:val="24"/>
          <w:szCs w:val="24"/>
          <w:lang w:val="en-US" w:eastAsia="zh-CN"/>
        </w:rPr>
        <w:t xml:space="preserve">分；部分内容缺失，基本满足招标要求</w:t>
      </w:r>
      <w:r>
        <w:rPr>
          <w:rFonts w:hint="eastAsia" w:ascii="宋体" w:hAnsi="宋体" w:cs="宋体"/>
          <w:sz w:val="24"/>
          <w:szCs w:val="24"/>
          <w:lang w:eastAsia="zh-CN"/>
        </w:rPr>
        <w:t xml:space="preserve">得</w:t>
      </w:r>
      <w:r>
        <w:rPr>
          <w:rFonts w:hint="eastAsia" w:ascii="宋体" w:hAnsi="宋体" w:cs="宋体"/>
          <w:sz w:val="24"/>
          <w:szCs w:val="24"/>
          <w:lang w:val="en-US" w:eastAsia="zh-CN"/>
        </w:rPr>
        <w:t xml:space="preserve">2 分；内容简略分，针对性不强得1分；不提供的得0分。</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
          <w:bCs/>
          <w:sz w:val="24"/>
          <w:szCs w:val="24"/>
          <w:lang w:val="en-US" w:eastAsia="zh-CN"/>
        </w:rPr>
        <w:t xml:space="preserve">5.7平台运维保障方案</w:t>
      </w:r>
      <w:r>
        <w:rPr>
          <w:rFonts w:hint="eastAsia" w:ascii="宋体" w:hAnsi="宋体" w:eastAsia="宋体" w:cs="Times New Roman"/>
          <w:b/>
          <w:bCs/>
          <w:color w:val="auto"/>
          <w:sz w:val="24"/>
          <w:szCs w:val="24"/>
          <w:highlight w:val="none"/>
          <w:lang w:val="en-US" w:eastAsia="zh-CN"/>
        </w:rPr>
        <w:t xml:space="preserve">（6分）</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投标人需提供一套完整的运维保障方案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需深入理解运维管理现状，提供针对数据资源运维方案，通讯资源运维方案，平台插件运维方案，以上每点2分，本项最多得</w:t>
      </w:r>
      <w:r>
        <w:rPr>
          <w:rFonts w:ascii="宋体" w:hAnsi="宋体" w:eastAsia="宋体" w:cs="宋体"/>
          <w:sz w:val="24"/>
          <w:szCs w:val="24"/>
        </w:rPr>
        <w:t xml:space="preserve">6</w:t>
      </w:r>
      <w:r>
        <w:rPr>
          <w:rFonts w:hint="eastAsia" w:ascii="宋体" w:hAnsi="宋体" w:eastAsia="宋体" w:cs="宋体"/>
          <w:sz w:val="24"/>
          <w:szCs w:val="24"/>
        </w:rPr>
        <w:t xml:space="preserve">分，不能结合系统以及</w:t>
      </w:r>
      <w:r>
        <w:rPr>
          <w:rFonts w:hint="eastAsia" w:ascii="宋体" w:hAnsi="宋体" w:eastAsia="宋体" w:cs="宋体"/>
          <w:sz w:val="24"/>
          <w:szCs w:val="24"/>
          <w:lang w:val="en-US" w:eastAsia="zh-CN"/>
        </w:rPr>
        <w:t xml:space="preserve">梁溪</w:t>
      </w:r>
      <w:r>
        <w:rPr>
          <w:rFonts w:hint="eastAsia" w:ascii="宋体" w:hAnsi="宋体" w:eastAsia="宋体" w:cs="宋体"/>
          <w:sz w:val="24"/>
          <w:szCs w:val="24"/>
        </w:rPr>
        <w:t xml:space="preserve">网格业务现状的表述得</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分。</w:t>
      </w:r>
      <w:r/>
    </w:p>
    <w:p>
      <w:pPr>
        <w:ind w:left="0" w:right="0" w:firstLine="482"/>
        <w:jc w:val="both"/>
        <w:keepLines w:val="0"/>
        <w:keepNext w:val="0"/>
        <w:pageBreakBefore w:val="0"/>
        <w:spacing w:line="360" w:lineRule="auto"/>
        <w:widowControl w:val="off"/>
        <w:rPr>
          <w:rFonts w:hint="default" w:ascii="宋体" w:hAnsi="宋体" w:cs="宋体"/>
          <w:sz w:val="24"/>
          <w:szCs w:val="24"/>
          <w:lang w:val="en-US" w:eastAsia="zh-CN"/>
        </w:rPr>
      </w:pPr>
      <w:r>
        <w:rPr>
          <w:rFonts w:hint="eastAsia" w:ascii="宋体" w:hAnsi="宋体" w:cs="宋体"/>
          <w:b/>
          <w:bCs/>
          <w:sz w:val="24"/>
          <w:szCs w:val="24"/>
          <w:lang w:val="en-US" w:eastAsia="zh-CN"/>
        </w:rPr>
        <w:t xml:space="preserve">5.8培训赋能方案</w:t>
      </w:r>
      <w:r>
        <w:rPr>
          <w:rFonts w:hint="eastAsia" w:ascii="宋体" w:hAnsi="宋体" w:eastAsia="宋体" w:cs="Times New Roman"/>
          <w:b/>
          <w:bCs/>
          <w:color w:val="auto"/>
          <w:sz w:val="24"/>
          <w:szCs w:val="24"/>
          <w:highlight w:val="none"/>
          <w:lang w:val="en-US" w:eastAsia="zh-CN"/>
        </w:rPr>
        <w:t xml:space="preserve">（5分）</w:t>
      </w:r>
      <w:r>
        <w:rPr>
          <w:rFonts w:hint="eastAsia" w:ascii="宋体" w:hAnsi="宋体" w:cs="宋体"/>
          <w:sz w:val="24"/>
          <w:szCs w:val="24"/>
          <w:lang w:val="en-US" w:eastAsia="zh-CN"/>
        </w:rPr>
        <w:t xml:space="preserve">：投标人需深入理解梁溪网格业务，紧跟省、市网格工作要求，具备平台使用培训、网格工作要求解读等相关输出能力。能够提供完整的的培训计划，针对性强、可行性好的，得</w:t>
      </w:r>
      <w:r>
        <w:rPr>
          <w:rFonts w:hint="eastAsia" w:ascii="宋体" w:hAnsi="宋体" w:cs="Times New Roman"/>
          <w:b w:val="0"/>
          <w:bCs w:val="0"/>
          <w:color w:val="auto"/>
          <w:sz w:val="24"/>
          <w:szCs w:val="24"/>
          <w:highlight w:val="none"/>
          <w:lang w:val="en-US" w:eastAsia="zh-CN"/>
        </w:rPr>
        <w:t xml:space="preserve">5</w:t>
      </w:r>
      <w:r>
        <w:rPr>
          <w:rFonts w:hint="eastAsia" w:ascii="宋体" w:hAnsi="宋体" w:cs="宋体"/>
          <w:sz w:val="24"/>
          <w:szCs w:val="24"/>
          <w:lang w:val="en-US" w:eastAsia="zh-CN"/>
        </w:rPr>
        <w:t xml:space="preserve">分；培训计划较完整且与梁溪网格业务有一定相关性，得3分；不能结合梁溪网格化业务现状的表述得0分。</w:t>
      </w:r>
      <w:r/>
    </w:p>
    <w:p>
      <w:pPr>
        <w:pStyle w:val="953"/>
        <w:rPr>
          <w:rFonts w:hint="eastAsia" w:ascii="宋体" w:hAnsi="宋体" w:eastAsia="宋体" w:cs="宋体"/>
          <w:lang w:val="en-US" w:eastAsia="zh-CN"/>
        </w:rPr>
      </w:pPr>
      <w:r>
        <w:rPr>
          <w:rFonts w:hint="eastAsia" w:ascii="宋体" w:hAnsi="宋体" w:eastAsia="宋体" w:cs="宋体"/>
          <w:lang w:val="en-US" w:eastAsia="zh-CN"/>
        </w:rPr>
      </w:r>
      <w:r/>
    </w:p>
    <w:p>
      <w:pPr>
        <w:ind w:firstLine="480"/>
        <w:jc w:val="center"/>
        <w:spacing w:line="500" w:lineRule="exact"/>
        <w:rPr>
          <w:rFonts w:ascii="黑体" w:eastAsia="黑体"/>
          <w:bCs/>
          <w:color w:val="000000"/>
          <w:sz w:val="36"/>
          <w:szCs w:val="36"/>
        </w:rPr>
        <w:outlineLvl w:val="0"/>
      </w:pPr>
      <w:r>
        <w:rPr>
          <w:rFonts w:ascii="黑体" w:eastAsia="黑体"/>
          <w:bCs/>
          <w:color w:val="000000"/>
          <w:sz w:val="36"/>
          <w:szCs w:val="36"/>
        </w:rPr>
        <w:br w:type="page" w:clear="all"/>
      </w:r>
      <w:r>
        <w:rPr>
          <w:rFonts w:hint="eastAsia" w:ascii="黑体" w:hAnsi="黑体" w:eastAsia="黑体" w:cs="Times New Roman"/>
          <w:color w:val="000000"/>
          <w:sz w:val="36"/>
          <w:szCs w:val="36"/>
          <w:lang w:val="en-US" w:eastAsia="zh-CN" w:bidi="ar-SA"/>
        </w:rPr>
        <w:t xml:space="preserve">第六章  </w:t>
      </w:r>
      <w:bookmarkEnd w:id="187"/>
      <w:r/>
      <w:bookmarkEnd w:id="188"/>
      <w:r/>
      <w:bookmarkEnd w:id="342"/>
      <w:r>
        <w:rPr>
          <w:rFonts w:hint="eastAsia" w:ascii="黑体" w:hAnsi="黑体" w:eastAsia="黑体" w:cs="Times New Roman"/>
          <w:color w:val="000000"/>
          <w:sz w:val="36"/>
          <w:szCs w:val="36"/>
          <w:lang w:val="en-US" w:eastAsia="zh-CN" w:bidi="ar-SA"/>
        </w:rPr>
        <w:t xml:space="preserve">投标文件内容与格式</w:t>
      </w:r>
      <w:r/>
    </w:p>
    <w:p>
      <w:pPr>
        <w:pStyle w:val="1174"/>
        <w:ind w:firstLine="602"/>
        <w:spacing w:before="0" w:after="0" w:line="500" w:lineRule="exact"/>
        <w:rPr>
          <w:rFonts w:cs="Arial"/>
          <w:b/>
          <w:color w:val="000000"/>
          <w:sz w:val="30"/>
          <w:szCs w:val="30"/>
        </w:rPr>
      </w:pPr>
      <w:r/>
      <w:bookmarkStart w:id="343" w:name="_Hlt26955039"/>
      <w:r/>
      <w:bookmarkEnd w:id="343"/>
      <w:r/>
      <w:bookmarkStart w:id="344" w:name="_Hlt26671244"/>
      <w:r/>
      <w:bookmarkEnd w:id="344"/>
      <w:r/>
      <w:bookmarkStart w:id="345" w:name="_Toc49090576"/>
      <w:r/>
      <w:bookmarkStart w:id="346" w:name="_Toc120614282"/>
      <w:r/>
      <w:bookmarkStart w:id="347" w:name="_Toc26554094"/>
      <w:r>
        <w:rPr>
          <w:rFonts w:hint="eastAsia" w:cs="Arial"/>
          <w:b/>
          <w:color w:val="000000"/>
          <w:sz w:val="30"/>
          <w:szCs w:val="30"/>
        </w:rPr>
        <w:t xml:space="preserve">第一部分  投标文件内容</w:t>
      </w:r>
      <w:r/>
    </w:p>
    <w:p>
      <w:pPr>
        <w:pStyle w:val="1174"/>
        <w:ind w:firstLine="0"/>
        <w:spacing w:before="0" w:after="0" w:line="500" w:lineRule="exact"/>
        <w:rPr>
          <w:rFonts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Style w:val="94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74"/>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174"/>
              <w:jc w:val="center"/>
              <w:spacing w:before="0" w:after="0" w:line="240" w:lineRule="auto"/>
              <w:rPr>
                <w:rFonts w:hint="eastAsia"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174"/>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1174"/>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17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7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74"/>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17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174"/>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1174"/>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17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268"/>
                <w:rFonts w:hint="eastAsia" w:ascii="宋体" w:hAnsi="宋体" w:cs="宋体"/>
                <w:sz w:val="24"/>
                <w:szCs w:val="24"/>
              </w:rPr>
              <w:t xml:space="preserve">。</w:t>
            </w:r>
            <w:r/>
          </w:p>
        </w:tc>
        <w:tc>
          <w:tcPr>
            <w:tcW w:w="2449" w:type="dxa"/>
            <w:vAlign w:val="center"/>
            <w:vMerge w:val="continue"/>
            <w:textDirection w:val="lrTb"/>
            <w:noWrap w:val="false"/>
          </w:tcPr>
          <w:p>
            <w:pPr>
              <w:pStyle w:val="1174"/>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1174"/>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17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1174"/>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1174"/>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17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174"/>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174"/>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17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174"/>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1174"/>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1174"/>
              <w:ind w:firstLine="0"/>
              <w:spacing w:before="0" w:after="0" w:line="240" w:lineRule="auto"/>
              <w:rPr>
                <w:rFonts w:hint="eastAsia" w:ascii="宋体" w:hAnsi="宋体" w:cs="宋体"/>
                <w:bCs/>
              </w:rPr>
            </w:pPr>
            <w:r>
              <w:rPr>
                <w:rFonts w:hint="eastAsia" w:ascii="宋体" w:hAnsi="宋体" w:cs="宋体"/>
                <w:bCs/>
              </w:rPr>
              <w:t xml:space="preserve">满足中小企业政策的证明文件</w:t>
            </w:r>
            <w:r>
              <w:rPr>
                <w:rFonts w:hint="eastAsia" w:ascii="宋体" w:hAnsi="宋体" w:cs="宋体"/>
                <w:bCs/>
                <w:lang w:eastAsia="zh-CN"/>
              </w:rPr>
              <w:t xml:space="preserve">。</w:t>
            </w:r>
            <w:r>
              <w:rPr>
                <w:rFonts w:hint="eastAsia" w:ascii="宋体" w:hAnsi="宋体" w:cs="宋体"/>
                <w:bCs/>
              </w:rPr>
              <w:t xml:space="preserve">（如有中小企业政策要求的）</w:t>
            </w:r>
            <w:r/>
          </w:p>
        </w:tc>
        <w:tc>
          <w:tcPr>
            <w:tcW w:w="2449" w:type="dxa"/>
            <w:vAlign w:val="center"/>
            <w:textDirection w:val="lrTb"/>
            <w:noWrap w:val="false"/>
          </w:tcPr>
          <w:p>
            <w:pPr>
              <w:pStyle w:val="1174"/>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74"/>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117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117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1174"/>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174"/>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13"/>
        </w:numPr>
        <w:ind w:firstLine="480"/>
        <w:spacing w:line="500" w:lineRule="exact"/>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13"/>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numPr>
          <w:ilvl w:val="0"/>
          <w:numId w:val="14"/>
        </w:numPr>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符合性证明文件及其他证明文件</w:t>
      </w:r>
      <w:r/>
    </w:p>
    <w:p>
      <w:pPr>
        <w:numPr>
          <w:ilvl w:val="0"/>
          <w:numId w:val="0"/>
        </w:numPr>
        <w:rPr>
          <w:b/>
          <w:color w:val="000000"/>
          <w:sz w:val="28"/>
          <w:szCs w:val="28"/>
        </w:rPr>
      </w:pPr>
      <w:r>
        <w:rPr>
          <w:rFonts w:hint="eastAsia"/>
          <w:b/>
          <w:sz w:val="28"/>
          <w:szCs w:val="28"/>
        </w:rPr>
        <w:t xml:space="preserve">（一）符合性证明文件</w:t>
      </w:r>
      <w:r/>
    </w:p>
    <w:tbl>
      <w:tblPr>
        <w:tblStyle w:val="9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74"/>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1174"/>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val="false"/>
          </w:tcPr>
          <w:p>
            <w:pPr>
              <w:pStyle w:val="1174"/>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1174"/>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174"/>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174"/>
              <w:ind w:firstLine="0"/>
              <w:jc w:val="center"/>
              <w:spacing w:before="0" w:after="0" w:line="240" w:lineRule="auto"/>
              <w:rPr>
                <w:rFonts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1174"/>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174"/>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17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1174"/>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174"/>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1174"/>
              <w:ind w:firstLine="0"/>
              <w:jc w:val="center"/>
              <w:spacing w:before="0" w:after="0" w:line="240" w:lineRule="auto"/>
              <w:rPr>
                <w:rFonts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1174"/>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174"/>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117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1174"/>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174"/>
              <w:ind w:firstLine="0"/>
              <w:jc w:val="both"/>
              <w:spacing w:before="0" w:after="0" w:line="240" w:lineRule="auto"/>
              <w:rPr>
                <w:rFonts w:hint="eastAsia"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1174"/>
              <w:ind w:firstLine="0"/>
              <w:jc w:val="center"/>
              <w:spacing w:before="0" w:after="0" w:line="240" w:lineRule="auto"/>
              <w:rPr>
                <w:rFonts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1174"/>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174"/>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17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1174"/>
              <w:ind w:firstLine="0"/>
              <w:jc w:val="center"/>
              <w:spacing w:before="0" w:after="0" w:line="240" w:lineRule="auto"/>
              <w:rPr>
                <w:rFonts w:hint="eastAsia" w:ascii="宋体" w:hAnsi="宋体" w:eastAsia="宋体"/>
                <w:color w:val="000000"/>
                <w:lang w:eastAsia="zh-CN"/>
              </w:rPr>
            </w:pPr>
            <w:r>
              <w:rPr>
                <w:rFonts w:hint="eastAsia" w:ascii="宋体" w:hAnsi="宋体"/>
                <w:color w:val="000000"/>
                <w:lang w:val="en-US" w:eastAsia="zh-CN"/>
              </w:rPr>
              <w:t xml:space="preserve">7</w:t>
            </w:r>
            <w:r/>
          </w:p>
        </w:tc>
        <w:tc>
          <w:tcPr>
            <w:tcW w:w="6095" w:type="dxa"/>
            <w:vAlign w:val="center"/>
            <w:textDirection w:val="lrTb"/>
            <w:noWrap w:val="false"/>
          </w:tcPr>
          <w:p>
            <w:pPr>
              <w:pStyle w:val="1174"/>
              <w:ind w:firstLine="0"/>
              <w:jc w:val="both"/>
              <w:spacing w:before="0" w:after="0" w:line="240" w:lineRule="auto"/>
              <w:rPr>
                <w:rFonts w:ascii="宋体" w:hAnsi="宋体"/>
                <w:color w:val="000000"/>
              </w:rPr>
            </w:pPr>
            <w:r>
              <w:rPr>
                <w:rFonts w:hint="eastAsia" w:ascii="宋体" w:hAnsi="宋体"/>
                <w:color w:val="000000"/>
              </w:rPr>
              <w:t xml:space="preserve">其他投标人认为应附的文件（如有，自拟并自行添加）</w:t>
            </w:r>
            <w:r/>
          </w:p>
        </w:tc>
        <w:tc>
          <w:tcPr>
            <w:tcW w:w="1979" w:type="dxa"/>
            <w:vAlign w:val="top"/>
            <w:vMerge w:val="continue"/>
            <w:textDirection w:val="lrTb"/>
            <w:noWrap w:val="false"/>
          </w:tcPr>
          <w:p>
            <w:pPr>
              <w:pStyle w:val="1174"/>
              <w:ind w:firstLine="0"/>
              <w:spacing w:before="0" w:after="0" w:line="240" w:lineRule="auto"/>
              <w:rPr>
                <w:rFonts w:cs="Arial"/>
                <w:color w:val="000000"/>
              </w:rPr>
            </w:pPr>
            <w:r>
              <w:rPr>
                <w:rFonts w:cs="Arial"/>
                <w:color w:val="000000"/>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5"/>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1174"/>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JSZC-320213-JZCG-G2025-0019</w:t>
      </w:r>
      <w:r/>
    </w:p>
    <w:p>
      <w:pPr>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无锡市梁溪区网格化联动处置系统提升完善信息化项目</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rPr>
          <w:rFonts w:ascii="宋体" w:hAnsi="宋体"/>
          <w:color w:val="000000"/>
          <w:sz w:val="24"/>
          <w:shd w:val="clear" w:color="ffffff" w:fill="d9d9d9"/>
        </w:rPr>
        <w:outlineLvl w:val="9"/>
      </w:pPr>
      <w:r>
        <w:rPr>
          <w:rFonts w:hint="eastAsia" w:ascii="黑体" w:eastAsia="黑体"/>
          <w:bCs/>
          <w:color w:val="000000"/>
          <w:sz w:val="28"/>
          <w:szCs w:val="28"/>
        </w:rPr>
        <w:t xml:space="preserve">授权委托书</w:t>
      </w:r>
      <w:r/>
    </w:p>
    <w:p>
      <w:pPr>
        <w:pStyle w:val="1172"/>
        <w:ind w:firstLine="480"/>
        <w:rPr>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lang w:eastAsia="zh-CN"/>
        </w:rPr>
        <w:t xml:space="preserve">JSZC-320213-JZCG-G2025-0019</w:t>
      </w:r>
      <w:r>
        <w:rPr>
          <w:rFonts w:hint="eastAsia" w:ascii="宋体" w:hAnsi="宋体"/>
          <w:bCs/>
          <w:color w:val="000000"/>
          <w:sz w:val="24"/>
          <w:szCs w:val="24"/>
        </w:rPr>
        <w:t xml:space="preserve">项目，兹授权：</w:t>
      </w:r>
      <w:r/>
    </w:p>
    <w:p>
      <w:pPr>
        <w:pStyle w:val="1172"/>
        <w:ind w:firstLine="480"/>
        <w:rPr>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1172"/>
        <w:ind w:firstLine="480"/>
        <w:rPr>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1172"/>
        <w:ind w:firstLine="480"/>
        <w:rPr>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1172"/>
        <w:ind w:firstLine="480"/>
        <w:rPr>
          <w:rFonts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1172"/>
        <w:ind w:firstLine="480"/>
        <w:rPr>
          <w:color w:val="000000"/>
          <w:sz w:val="24"/>
          <w:szCs w:val="24"/>
        </w:rPr>
      </w:pPr>
      <w:r>
        <w:rPr>
          <w:rFonts w:hint="eastAsia"/>
          <w:color w:val="000000"/>
          <w:sz w:val="24"/>
          <w:szCs w:val="24"/>
        </w:rPr>
        <w:t xml:space="preserve">特此授权委托。</w:t>
      </w:r>
      <w:r/>
    </w:p>
    <w:p>
      <w:pPr>
        <w:pStyle w:val="1172"/>
        <w:ind w:firstLine="0"/>
        <w:rPr>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p>
    <w:p>
      <w:pPr>
        <w:pStyle w:val="1172"/>
        <w:ind w:firstLine="0"/>
        <w:rPr>
          <w:color w:val="000000"/>
          <w:sz w:val="24"/>
          <w:szCs w:val="24"/>
        </w:rPr>
      </w:pPr>
      <w:r>
        <w:rPr>
          <w:rFonts w:hint="eastAsia"/>
          <w:color w:val="000000"/>
          <w:sz w:val="24"/>
          <w:szCs w:val="24"/>
        </w:rPr>
        <w:t xml:space="preserve">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r/>
    </w:p>
    <w:p>
      <w:pPr>
        <w:pStyle w:val="1172"/>
        <w:ind w:firstLine="0"/>
        <w:rPr>
          <w:color w:val="000000"/>
          <w:sz w:val="24"/>
          <w:szCs w:val="24"/>
        </w:rPr>
      </w:pPr>
      <w:r>
        <w:rPr>
          <w:rFonts w:hint="eastAsia" w:ascii="宋体" w:hAnsi="宋体" w:cs="宋体"/>
          <w:b/>
          <w:color w:val="000000"/>
          <w:sz w:val="30"/>
          <w:lang w:eastAsia="zh-CN"/>
        </w:rPr>
        <w:t xml:space="preserve">（</w:t>
      </w:r>
      <w:r>
        <w:rPr>
          <w:rFonts w:hint="eastAsia" w:ascii="宋体" w:hAnsi="宋体" w:cs="宋体"/>
          <w:b/>
          <w:color w:val="000000"/>
          <w:sz w:val="30"/>
        </w:rPr>
        <w:t xml:space="preserve">被授权人身份证原件扫描件附后</w:t>
      </w:r>
      <w:r>
        <w:rPr>
          <w:rFonts w:hint="eastAsia" w:ascii="宋体" w:hAnsi="宋体" w:cs="宋体"/>
          <w:b/>
          <w:color w:val="000000"/>
          <w:sz w:val="30"/>
          <w:lang w:eastAsia="zh-CN"/>
        </w:rPr>
        <w:t xml:space="preserve">）</w:t>
      </w:r>
      <w:r/>
    </w:p>
    <w:p>
      <w:pPr>
        <w:pStyle w:val="1172"/>
        <w:ind w:firstLine="0"/>
        <w:rPr>
          <w:color w:val="000000"/>
          <w:sz w:val="24"/>
          <w:szCs w:val="24"/>
        </w:rPr>
      </w:pPr>
      <w:r>
        <w:rPr>
          <w:rFonts w:hint="eastAsia"/>
          <w:color w:val="000000"/>
          <w:sz w:val="24"/>
          <w:szCs w:val="24"/>
        </w:rPr>
        <w:t xml:space="preserve">说明：</w:t>
      </w:r>
      <w:r/>
    </w:p>
    <w:p>
      <w:pPr>
        <w:pStyle w:val="1172"/>
        <w:numPr>
          <w:ilvl w:val="0"/>
          <w:numId w:val="16"/>
        </w:numPr>
        <w:ind w:firstLine="480"/>
        <w:rPr>
          <w:rFonts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1172"/>
        <w:numPr>
          <w:ilvl w:val="0"/>
          <w:numId w:val="16"/>
        </w:numPr>
        <w:ind w:firstLine="480"/>
        <w:rPr>
          <w:rFonts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pStyle w:val="1172"/>
        <w:numPr>
          <w:ilvl w:val="0"/>
          <w:numId w:val="16"/>
        </w:numPr>
        <w:ind w:firstLine="480"/>
        <w:rPr>
          <w:rFonts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1172"/>
        <w:numPr>
          <w:ilvl w:val="0"/>
          <w:numId w:val="16"/>
        </w:numPr>
        <w:ind w:firstLine="480"/>
        <w:rPr>
          <w:rFonts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w:t>
      </w:r>
      <w:r>
        <w:rPr>
          <w:rFonts w:hint="eastAsia" w:ascii="宋体" w:hAnsi="宋体"/>
          <w:bCs/>
          <w:color w:val="000000"/>
          <w:sz w:val="24"/>
          <w:szCs w:val="24"/>
          <w:lang w:eastAsia="zh-CN"/>
        </w:rPr>
        <w:t xml:space="preserve">或其他</w:t>
      </w:r>
      <w:r>
        <w:rPr>
          <w:rFonts w:hint="eastAsia" w:ascii="宋体" w:hAnsi="宋体"/>
          <w:bCs/>
          <w:color w:val="000000"/>
          <w:sz w:val="24"/>
          <w:szCs w:val="24"/>
        </w:rPr>
        <w:t xml:space="preserve">可在中国大陆有效居留的许可证明。</w:t>
      </w:r>
      <w:r/>
    </w:p>
    <w:p>
      <w:pPr>
        <w:pStyle w:val="1172"/>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9"/>
      </w:pPr>
      <w:r/>
      <w:bookmarkStart w:id="348" w:name="报价方关于资格的声明函（格式）"/>
      <w:r/>
      <w:bookmarkEnd w:id="348"/>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无锡市公共资源交易中心梁溪分中心：</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宋体" w:hAnsi="宋体"/>
          <w:bCs/>
          <w:color w:val="000000"/>
          <w:sz w:val="24"/>
          <w:szCs w:val="24"/>
          <w:lang w:eastAsia="zh-CN"/>
        </w:rPr>
        <w:t xml:space="preserve">JSZC-320213-JZCG-G2025-0019</w:t>
      </w:r>
      <w:r>
        <w:rPr>
          <w:rFonts w:hint="eastAsia" w:ascii="宋体" w:hAnsi="宋体"/>
          <w:bCs/>
          <w:color w:val="000000"/>
          <w:sz w:val="24"/>
          <w:szCs w:val="24"/>
        </w:rPr>
        <w:t xml:space="preserve">进行投标，并</w:t>
      </w:r>
      <w:r>
        <w:rPr>
          <w:rFonts w:hint="eastAsia" w:ascii="宋体" w:hAnsi="宋体"/>
          <w:bCs/>
          <w:color w:val="000000"/>
          <w:sz w:val="24"/>
          <w:szCs w:val="24"/>
          <w:lang w:eastAsia="zh-CN"/>
        </w:rPr>
        <w:t xml:space="preserve">做</w:t>
      </w:r>
      <w:r>
        <w:rPr>
          <w:rFonts w:hint="eastAsia" w:ascii="宋体" w:hAnsi="宋体"/>
          <w:bCs/>
          <w:color w:val="000000"/>
          <w:sz w:val="24"/>
          <w:szCs w:val="24"/>
        </w:rPr>
        <w:t xml:space="preserve">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jc w:val="center"/>
        <w:rPr>
          <w:rFonts w:ascii="黑体" w:eastAsia="黑体"/>
          <w:bCs/>
          <w:color w:val="000000"/>
          <w:sz w:val="28"/>
          <w:szCs w:val="28"/>
        </w:rPr>
      </w:pPr>
      <w:r>
        <w:rPr>
          <w:rFonts w:ascii="黑体" w:eastAsia="黑体"/>
          <w:bCs/>
          <w:color w:val="000000"/>
          <w:sz w:val="28"/>
          <w:szCs w:val="28"/>
        </w:rPr>
        <w:t xml:space="preserve">中小企业声明函（</w:t>
      </w:r>
      <w:r>
        <w:rPr>
          <w:rFonts w:hint="eastAsia" w:ascii="黑体" w:eastAsia="黑体"/>
          <w:bCs/>
          <w:color w:val="000000"/>
          <w:sz w:val="28"/>
          <w:szCs w:val="28"/>
          <w:lang w:eastAsia="zh-CN"/>
        </w:rPr>
        <w:t xml:space="preserve">服务</w:t>
      </w:r>
      <w:r>
        <w:rPr>
          <w:rFonts w:ascii="黑体" w:eastAsia="黑体"/>
          <w:bCs/>
          <w:color w:val="000000"/>
          <w:sz w:val="28"/>
          <w:szCs w:val="28"/>
        </w:rPr>
        <w:t xml:space="preserve">）</w:t>
      </w:r>
      <w:r/>
    </w:p>
    <w:p>
      <w:pPr>
        <w:ind w:firstLine="480"/>
        <w:spacing w:line="85" w:lineRule="atLeast"/>
        <w:rPr>
          <w:rFonts w:eastAsia="Times New Roman"/>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 号）的规定，本公司 </w:t>
      </w:r>
      <w:r>
        <w:rPr>
          <w:rFonts w:ascii="宋体" w:hAnsi="宋体" w:cs="宋体"/>
          <w:color w:val="000000"/>
          <w:sz w:val="24"/>
          <w:u w:val="single"/>
        </w:rPr>
        <w:t xml:space="preserve">（联合体）</w:t>
      </w:r>
      <w:r>
        <w:rPr>
          <w:rFonts w:ascii="宋体" w:hAnsi="宋体" w:cs="宋体"/>
          <w:color w:val="000000"/>
          <w:sz w:val="24"/>
        </w:rPr>
        <w:t xml:space="preserve">参加</w:t>
      </w:r>
      <w:r>
        <w:rPr>
          <w:rFonts w:ascii="宋体" w:hAnsi="宋体" w:cs="宋体"/>
          <w:color w:val="000000"/>
          <w:sz w:val="24"/>
          <w:u w:val="single"/>
        </w:rPr>
        <w:t xml:space="preserve">（单位名称）</w:t>
      </w:r>
      <w:r>
        <w:rPr>
          <w:rFonts w:ascii="宋体" w:hAnsi="宋体" w:cs="宋体"/>
          <w:color w:val="000000"/>
          <w:sz w:val="24"/>
        </w:rPr>
        <w:t xml:space="preserve">的</w:t>
      </w:r>
      <w:r>
        <w:rPr>
          <w:rFonts w:ascii="宋体" w:hAnsi="宋体" w:cs="宋体"/>
          <w:color w:val="000000"/>
          <w:sz w:val="24"/>
          <w:u w:val="single"/>
        </w:rPr>
        <w:t xml:space="preserve">（项目名称）</w:t>
      </w:r>
      <w:r>
        <w:rPr>
          <w:rFonts w:ascii="宋体" w:hAnsi="宋体" w:cs="宋体"/>
          <w:color w:val="000000"/>
          <w:sz w:val="24"/>
        </w:rPr>
        <w:t xml:space="preserve">采购活动，服务全部由符合政策要求的中小企业承接。相关企业（含联合体中的中小企业、签订分包意向协议的中小企业）的具体情况如下：</w:t>
      </w:r>
      <w:r/>
    </w:p>
    <w:p>
      <w:pPr>
        <w:ind w:firstLine="480"/>
        <w:spacing w:line="85" w:lineRule="atLeast"/>
        <w:rPr>
          <w:rFonts w:eastAsia="Times New Roman"/>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（标的名称） </w:t>
      </w:r>
      <w:r>
        <w:rPr>
          <w:rFonts w:ascii="宋体" w:hAnsi="宋体" w:cs="宋体"/>
          <w:color w:val="000000"/>
          <w:sz w:val="24"/>
        </w:rPr>
        <w:t xml:space="preserve">，属于</w:t>
      </w:r>
      <w:r>
        <w:rPr>
          <w:rFonts w:ascii="宋体" w:hAnsi="宋体" w:cs="宋体"/>
          <w:color w:val="000000"/>
          <w:sz w:val="24"/>
          <w:u w:val="single"/>
        </w:rPr>
        <w:t xml:space="preserve">（招标文件中明确的所属行业）</w:t>
      </w:r>
      <w:r>
        <w:rPr>
          <w:rFonts w:ascii="宋体" w:hAnsi="宋体" w:cs="宋体"/>
          <w:color w:val="000000"/>
          <w:sz w:val="24"/>
        </w:rPr>
        <w:t xml:space="preserve">； 承建（承接）企业为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 小型企业、微型企业）</w:t>
      </w:r>
      <w:r>
        <w:rPr>
          <w:rFonts w:ascii="宋体" w:hAnsi="宋体" w:cs="宋体"/>
          <w:color w:val="000000"/>
          <w:sz w:val="24"/>
        </w:rPr>
        <w:t xml:space="preserve">；</w:t>
      </w:r>
      <w:r/>
    </w:p>
    <w:p>
      <w:pPr>
        <w:ind w:firstLine="480"/>
        <w:spacing w:line="85" w:lineRule="atLeast"/>
        <w:rPr>
          <w:rFonts w:eastAsia="Times New Roman"/>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 （标的名称） </w:t>
      </w:r>
      <w:r>
        <w:rPr>
          <w:rFonts w:ascii="宋体" w:hAnsi="宋体" w:cs="宋体"/>
          <w:color w:val="000000"/>
          <w:sz w:val="24"/>
        </w:rPr>
        <w:t xml:space="preserve">，属于</w:t>
      </w:r>
      <w:r>
        <w:rPr>
          <w:rFonts w:ascii="宋体" w:hAnsi="宋体" w:cs="宋体"/>
          <w:color w:val="000000"/>
          <w:sz w:val="24"/>
          <w:u w:val="single"/>
        </w:rPr>
        <w:t xml:space="preserve">（招标文件中明确的所属行业）</w:t>
      </w:r>
      <w:r>
        <w:rPr>
          <w:rFonts w:ascii="宋体" w:hAnsi="宋体" w:cs="宋体"/>
          <w:color w:val="000000"/>
          <w:sz w:val="24"/>
        </w:rPr>
        <w:t xml:space="preserve">； 承建（承接）企业为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 小型企业、微型企业）</w:t>
      </w:r>
      <w:r>
        <w:rPr>
          <w:rFonts w:ascii="宋体" w:hAnsi="宋体" w:cs="宋体"/>
          <w:color w:val="000000"/>
          <w:sz w:val="24"/>
        </w:rPr>
        <w:t xml:space="preserve">；</w:t>
      </w:r>
      <w:r/>
    </w:p>
    <w:p>
      <w:pPr>
        <w:ind w:firstLine="480"/>
        <w:spacing w:line="85" w:lineRule="atLeast"/>
        <w:rPr>
          <w:rFonts w:eastAsia="Times New Roman"/>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480"/>
        <w:spacing w:line="85" w:lineRule="atLeast"/>
        <w:rPr>
          <w:rFonts w:eastAsia="Times New Roman"/>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85" w:lineRule="atLeast"/>
        <w:rPr>
          <w:rFonts w:eastAsia="Times New Roman"/>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企业名称（盖章）：</w:t>
      </w:r>
      <w:r/>
    </w:p>
    <w:p>
      <w:pPr>
        <w:ind w:firstLine="4800"/>
        <w:spacing w:line="85" w:lineRule="atLeast"/>
        <w:rPr>
          <w:rFonts w:eastAsia="Times New Roman"/>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420"/>
        <w:spacing w:line="85" w:lineRule="atLeast"/>
        <w:rPr>
          <w:rFonts w:eastAsia="Times New Roman"/>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ind w:firstLine="420"/>
        <w:spacing w:line="85" w:lineRule="atLeast"/>
        <w:rPr>
          <w:rFonts w:eastAsia="Times New Roman"/>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w:t>
      </w:r>
      <w:r>
        <w:rPr>
          <w:rFonts w:eastAsia="Times New Roman"/>
          <w:color w:val="000000"/>
          <w:sz w:val="22"/>
        </w:rPr>
        <w:t xml:space="preserve">1</w:t>
      </w:r>
      <w:r>
        <w:rPr>
          <w:rFonts w:ascii="宋体" w:hAnsi="宋体" w:cs="宋体"/>
          <w:color w:val="000000"/>
          <w:sz w:val="22"/>
        </w:rPr>
        <w:t xml:space="preserve">）项目技术要求中如对本项目标的及其所属行业进行逐一列明的，投标人须根据项目技术要求中所列明的标的及其所属行业逐一进行填报。</w:t>
      </w:r>
      <w:r>
        <w:rPr>
          <w:rFonts w:ascii="宋体" w:hAnsi="宋体" w:cs="宋体"/>
          <w:b/>
          <w:bCs/>
          <w:color w:val="000000"/>
          <w:sz w:val="22"/>
        </w:rPr>
        <w:t xml:space="preserve">根据本《中小企业声明函》类型，项目属性为服务类的，</w:t>
      </w:r>
      <w:r>
        <w:rPr>
          <w:rFonts w:hint="eastAsia" w:ascii="宋体" w:hAnsi="宋体" w:cs="宋体"/>
          <w:b/>
          <w:bCs/>
          <w:color w:val="000000"/>
          <w:sz w:val="22"/>
          <w:lang w:eastAsia="zh-CN"/>
        </w:rPr>
        <w:t xml:space="preserve">只需按</w:t>
      </w:r>
      <w:r>
        <w:rPr>
          <w:rFonts w:ascii="宋体" w:hAnsi="宋体" w:cs="宋体"/>
          <w:b/>
          <w:bCs/>
          <w:color w:val="000000"/>
          <w:sz w:val="22"/>
        </w:rPr>
        <w:t xml:space="preserve">项目技术要求中的服务部分标的及其所属行业逐一进行填报，“企业名称”应填报为提供该项服务的承建（承接）商。专门面向中小企业的项目投标人未按上述要求逐一进行填报的将被视为无效投标文件；</w:t>
      </w:r>
      <w:r>
        <w:rPr>
          <w:rFonts w:ascii="宋体" w:hAnsi="宋体" w:cs="宋体"/>
          <w:color w:val="000000"/>
          <w:sz w:val="22"/>
        </w:rPr>
        <w:t xml:space="preserve">非专门面向中小企业的项目投标人未按上述要求逐一进行填报的将不进行中、小、微型企业认定。</w:t>
      </w:r>
      <w:r/>
    </w:p>
    <w:p>
      <w:pPr>
        <w:ind w:firstLine="420"/>
        <w:spacing w:line="85" w:lineRule="atLeast"/>
        <w:rPr>
          <w:rFonts w:eastAsia="Times New Roman"/>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w:t>
      </w:r>
      <w:r>
        <w:rPr>
          <w:rFonts w:eastAsia="Times New Roman"/>
          <w:color w:val="000000"/>
          <w:sz w:val="22"/>
        </w:rPr>
        <w:t xml:space="preserve">2</w:t>
      </w:r>
      <w:r>
        <w:rPr>
          <w:rFonts w:ascii="宋体" w:hAnsi="宋体" w:cs="宋体"/>
          <w:color w:val="000000"/>
          <w:sz w:val="22"/>
        </w:rPr>
        <w:t xml:space="preserve">）从业人员、营业收入、资产总额填报上一年度数据，无上一年度数据的新成立企业可不填报。</w:t>
      </w:r>
      <w:r/>
    </w:p>
    <w:p>
      <w:pPr>
        <w:ind w:firstLine="420"/>
        <w:spacing w:line="85" w:lineRule="atLeast"/>
        <w:rPr>
          <w:rFonts w:eastAsia="Times New Roman"/>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w:t>
      </w:r>
      <w:r>
        <w:rPr>
          <w:rFonts w:eastAsia="Times New Roman"/>
          <w:color w:val="000000"/>
          <w:sz w:val="22"/>
        </w:rPr>
        <w:t xml:space="preserve">3</w:t>
      </w:r>
      <w:r>
        <w:rPr>
          <w:rFonts w:ascii="宋体" w:hAnsi="宋体" w:cs="宋体"/>
          <w:color w:val="000000"/>
          <w:sz w:val="22"/>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Times New Roman"/>
          <w:sz w:val="22"/>
        </w:rPr>
        <w:pBdr>
          <w:top w:val="none" w:color="000000" w:sz="0" w:space="0"/>
          <w:left w:val="none" w:color="000000" w:sz="0" w:space="0"/>
          <w:bottom w:val="none" w:color="000000" w:sz="0" w:space="0"/>
          <w:right w:val="none" w:color="000000" w:sz="0" w:space="0"/>
        </w:pBdr>
      </w:pPr>
      <w:r>
        <w:rPr>
          <w:rFonts w:eastAsia="Times New Roman"/>
          <w:sz w:val="22"/>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360" w:lineRule="auto"/>
        <w:rPr>
          <w:color w:val="000000"/>
        </w:rPr>
      </w:pPr>
      <w:r>
        <w:rPr>
          <w:color w:val="000000"/>
        </w:rPr>
      </w:r>
      <w:r/>
    </w:p>
    <w:p>
      <w:pPr>
        <w:spacing w:line="360" w:lineRule="auto"/>
        <w:rPr>
          <w:rFonts w:ascii="宋体" w:hAnsi="宋体" w:cs="宋体"/>
          <w:b/>
          <w:color w:val="000000"/>
          <w:sz w:val="30"/>
          <w:szCs w:val="30"/>
        </w:rPr>
      </w:pPr>
      <w:r>
        <w:rPr>
          <w:rFonts w:hint="eastAsia"/>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color w:val="000000"/>
          <w:sz w:val="30"/>
          <w:szCs w:val="30"/>
        </w:rPr>
        <w:outlineLvl w:val="9"/>
      </w:pPr>
      <w:r>
        <w:rPr>
          <w:rFonts w:ascii="宋体" w:hAnsi="宋体"/>
          <w:bCs/>
          <w:color w:val="000000"/>
          <w:sz w:val="24"/>
          <w:szCs w:val="24"/>
        </w:rPr>
        <w:br w:type="page" w:clear="all"/>
      </w:r>
      <w:r>
        <w:rPr>
          <w:rFonts w:hint="eastAsia" w:ascii="Times New Roman" w:hAnsi="Times New Roman" w:eastAsia="宋体" w:cs="Times New Roman"/>
          <w:b/>
          <w:color w:val="000000"/>
          <w:sz w:val="30"/>
          <w:szCs w:val="30"/>
          <w:lang w:eastAsia="zh-CN"/>
        </w:rPr>
        <w:t xml:space="preserve">六</w:t>
      </w:r>
      <w:r>
        <w:rPr>
          <w:b/>
          <w:color w:val="000000"/>
          <w:sz w:val="30"/>
          <w:szCs w:val="30"/>
        </w:rPr>
        <w:t xml:space="preserve">、投标函</w:t>
      </w:r>
      <w:r>
        <w:rPr>
          <w:rFonts w:hint="eastAsia"/>
          <w:b/>
          <w:color w:val="000000"/>
          <w:sz w:val="30"/>
          <w:szCs w:val="30"/>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致无锡市公共资源交易中心梁溪分中心：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JSZC-320213-JZCG-G2025-0019</w:t>
      </w:r>
      <w:r>
        <w:rPr>
          <w:rFonts w:hint="eastAsia" w:ascii="宋体" w:hAnsi="宋体"/>
          <w:bCs/>
          <w:color w:val="000000"/>
          <w:sz w:val="24"/>
          <w:szCs w:val="24"/>
        </w:rPr>
        <w:t xml:space="preserve">招标文件，经仔细阅读和研究，我方决定参加此项目的投标。</w:t>
      </w:r>
      <w:r/>
    </w:p>
    <w:p>
      <w:pPr>
        <w:numPr>
          <w:ilvl w:val="0"/>
          <w:numId w:val="1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84"/>
          <w:bCs/>
          <w:color w:val="000000"/>
        </w:rPr>
      </w:pPr>
      <w:r>
        <w:rPr>
          <w:rFonts w:hint="eastAsia" w:ascii="宋体" w:hAnsi="宋体"/>
          <w:bCs/>
          <w:color w:val="000000"/>
          <w:sz w:val="24"/>
          <w:szCs w:val="24"/>
        </w:rPr>
        <w:t xml:space="preserve">我方愿意提供无锡市公共资源交易中心梁溪分中心在招标文件中要求的文件、资料。</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w:t>
      </w:r>
      <w:r>
        <w:rPr>
          <w:rFonts w:hint="eastAsia" w:ascii="宋体" w:hAnsi="宋体"/>
          <w:bCs/>
          <w:color w:val="000000"/>
          <w:sz w:val="24"/>
          <w:szCs w:val="24"/>
          <w:lang w:eastAsia="zh-CN"/>
        </w:rPr>
        <w:t xml:space="preserve">按照</w:t>
      </w:r>
      <w:r>
        <w:rPr>
          <w:rFonts w:hint="eastAsia" w:ascii="宋体" w:hAnsi="宋体"/>
          <w:bCs/>
          <w:color w:val="000000"/>
          <w:sz w:val="24"/>
          <w:szCs w:val="24"/>
        </w:rPr>
        <w:t xml:space="preserve">招标文件中的规定，从规定的开标日期起遵循本投标文件，并在规定的投标有效期期满之前均具有约束力。</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outlineLvl w:val="9"/>
      </w:pPr>
      <w:r>
        <w:rPr>
          <w:rFonts w:hint="eastAsia" w:ascii="宋体" w:hAnsi="宋体"/>
          <w:bCs/>
          <w:color w:val="000000"/>
          <w:sz w:val="24"/>
          <w:szCs w:val="24"/>
        </w:rPr>
        <w:t xml:space="preserve">我方完全同意招标文件规定的决定中标者的方式。</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sz w:val="24"/>
        </w:rPr>
        <w:t xml:space="preserve">我们已详细审核全部招标文件及其有效补充文件，我们知道必须放弃提出含糊不清或误解问题的权利。</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color w:val="000000"/>
          <w:sz w:val="24"/>
          <w:szCs w:val="24"/>
        </w:rPr>
        <w:t xml:space="preserve">向</w:t>
      </w:r>
      <w:r>
        <w:rPr>
          <w:rFonts w:hint="eastAsia" w:ascii="宋体" w:hAnsi="宋体"/>
          <w:bCs/>
          <w:color w:val="000000"/>
          <w:sz w:val="24"/>
          <w:szCs w:val="24"/>
        </w:rPr>
        <w:t xml:space="preserve">采购人</w:t>
      </w:r>
      <w:r>
        <w:rPr>
          <w:rFonts w:hint="eastAsia" w:ascii="宋体" w:hAnsi="宋体"/>
          <w:bCs/>
          <w:color w:val="000000"/>
          <w:sz w:val="24"/>
          <w:szCs w:val="24"/>
          <w:lang w:eastAsia="zh-CN"/>
        </w:rPr>
        <w:t xml:space="preserve">缴纳</w:t>
      </w:r>
      <w:r>
        <w:rPr>
          <w:rFonts w:hint="eastAsia" w:ascii="宋体" w:hAnsi="宋体"/>
          <w:bCs/>
          <w:color w:val="000000"/>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b/>
          <w:color w:val="000000"/>
          <w:sz w:val="30"/>
          <w:szCs w:val="30"/>
        </w:rPr>
        <w:outlineLvl w:val="9"/>
      </w:pPr>
      <w:r>
        <w:rPr>
          <w:rFonts w:hint="eastAsia" w:ascii="宋体" w:hAnsi="宋体"/>
          <w:bCs/>
          <w:color w:val="000000"/>
          <w:sz w:val="24"/>
          <w:szCs w:val="24"/>
        </w:rPr>
        <w:br w:type="page" w:clear="all"/>
      </w:r>
      <w:r>
        <w:rPr>
          <w:rFonts w:hint="eastAsia"/>
          <w:b/>
          <w:color w:val="000000"/>
          <w:sz w:val="30"/>
          <w:szCs w:val="30"/>
          <w:lang w:eastAsia="zh-CN"/>
        </w:rPr>
        <w:t xml:space="preserve">八</w:t>
      </w:r>
      <w:r>
        <w:rPr>
          <w:rFonts w:hint="eastAsia"/>
          <w:b/>
          <w:color w:val="000000"/>
          <w:sz w:val="30"/>
          <w:szCs w:val="30"/>
        </w:rPr>
        <w:t xml:space="preserve">、承诺书（给定格式）：</w:t>
      </w:r>
      <w:r/>
    </w:p>
    <w:p>
      <w:pPr>
        <w:ind w:firstLine="602"/>
        <w:rPr>
          <w:b/>
          <w:color w:val="000000"/>
          <w:sz w:val="30"/>
          <w:szCs w:val="30"/>
        </w:rPr>
        <w:outlineLvl w:val="9"/>
      </w:pPr>
      <w:r>
        <w:rPr>
          <w:b/>
          <w:color w:val="000000"/>
          <w:sz w:val="30"/>
          <w:szCs w:val="30"/>
        </w:rPr>
      </w:r>
      <w:r/>
    </w:p>
    <w:p>
      <w:pPr>
        <w:jc w:val="center"/>
        <w:rPr>
          <w:rFonts w:hint="eastAsia" w:ascii="黑体" w:eastAsia="黑体"/>
          <w:bCs/>
          <w:color w:val="000000"/>
          <w:sz w:val="28"/>
          <w:szCs w:val="28"/>
          <w:lang w:eastAsia="zh-CN"/>
        </w:rPr>
      </w:pPr>
      <w:r>
        <w:rPr>
          <w:rFonts w:hint="eastAsia" w:ascii="黑体" w:eastAsia="黑体"/>
          <w:bCs/>
          <w:color w:val="000000"/>
          <w:sz w:val="28"/>
          <w:szCs w:val="28"/>
        </w:rPr>
        <w:t xml:space="preserve">承诺书</w:t>
      </w:r>
      <w:r/>
    </w:p>
    <w:p>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lang w:eastAsia="zh-CN"/>
        </w:rPr>
        <w:t xml:space="preserve">JSZC-320213-JZCG-G2025-00</w:t>
      </w:r>
      <w:r>
        <w:rPr>
          <w:rFonts w:hint="eastAsia" w:ascii="宋体" w:hAnsi="宋体"/>
          <w:bCs/>
          <w:color w:val="000000"/>
          <w:sz w:val="24"/>
          <w:szCs w:val="24"/>
          <w:lang w:val="en-US" w:eastAsia="zh-CN"/>
        </w:rPr>
        <w:t xml:space="preserve">1</w:t>
      </w:r>
      <w:r>
        <w:rPr>
          <w:rFonts w:hint="eastAsia" w:ascii="宋体" w:hAnsi="宋体"/>
          <w:bCs/>
          <w:color w:val="000000"/>
          <w:sz w:val="24"/>
          <w:szCs w:val="24"/>
          <w:lang w:eastAsia="zh-CN"/>
        </w:rPr>
        <w:t xml:space="preserve">9</w:t>
      </w:r>
      <w:r>
        <w:rPr>
          <w:rFonts w:hint="eastAsia" w:ascii="宋体" w:hAnsi="宋体"/>
          <w:color w:val="000000"/>
          <w:sz w:val="24"/>
          <w:szCs w:val="24"/>
        </w:rPr>
        <w:t xml:space="preserve">在此对服务保障做如下承诺：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color w:val="000000"/>
          <w:sz w:val="24"/>
          <w:szCs w:val="24"/>
        </w:rPr>
        <w:t xml:space="preserve">）对本项目所提供的服务符合招标文件要求；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color w:val="000000"/>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p>
      <w:pPr>
        <w:ind w:firstLine="465"/>
        <w:spacing w:line="360" w:lineRule="auto"/>
        <w:tabs>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rPr>
          <w:rFonts w:hint="eastAsia" w:ascii="黑体" w:eastAsia="黑体"/>
          <w:bCs/>
          <w:color w:val="000000"/>
          <w:sz w:val="28"/>
          <w:szCs w:val="28"/>
          <w:highlight w:val="none"/>
        </w:rPr>
      </w:pPr>
      <w:r>
        <w:rPr>
          <w:rFonts w:hint="eastAsia" w:ascii="黑体" w:eastAsia="黑体"/>
          <w:bCs/>
          <w:color w:val="000000"/>
          <w:sz w:val="28"/>
          <w:szCs w:val="28"/>
          <w:highlight w:val="none"/>
        </w:rPr>
        <w:br w:type="page" w:clear="all"/>
      </w:r>
      <w:r/>
    </w:p>
    <w:p>
      <w:pPr>
        <w:spacing w:line="360" w:lineRule="auto"/>
        <w:rPr>
          <w:b/>
          <w:color w:val="000000"/>
          <w:sz w:val="30"/>
          <w:szCs w:val="30"/>
        </w:rPr>
      </w:pPr>
      <w:r>
        <w:rPr>
          <w:rFonts w:hint="eastAsia"/>
          <w:b/>
          <w:color w:val="000000"/>
          <w:sz w:val="30"/>
          <w:szCs w:val="30"/>
          <w:lang w:eastAsia="zh-CN"/>
        </w:rPr>
        <w:t xml:space="preserve">九</w:t>
      </w:r>
      <w:r>
        <w:rPr>
          <w:rFonts w:hint="eastAsia"/>
          <w:b/>
          <w:color w:val="000000"/>
          <w:sz w:val="30"/>
          <w:szCs w:val="30"/>
        </w:rPr>
        <w:t xml:space="preserve">、开标一览表（给定格式）：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outlineLvl w:val="9"/>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9"/>
      </w:pPr>
      <w:r>
        <w:rPr>
          <w:rFonts w:ascii="黑体" w:eastAsia="黑体"/>
          <w:bCs/>
          <w:color w:val="000000"/>
          <w:sz w:val="28"/>
          <w:szCs w:val="28"/>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JSZC-320213-JZCG-G2025-0019</w:t>
      </w:r>
      <w:r/>
    </w:p>
    <w:tbl>
      <w:tblPr>
        <w:tblStyle w:val="940"/>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1198"/>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无锡市梁溪区网格化联动处置系统提升完善信息化项目</w:t>
            </w:r>
            <w:r/>
          </w:p>
        </w:tc>
        <w:tc>
          <w:tcPr>
            <w:tcW w:w="3188" w:type="dxa"/>
            <w:vAlign w:val="center"/>
            <w:textDirection w:val="lrTb"/>
            <w:noWrap w:val="false"/>
          </w:tcPr>
          <w:p>
            <w:pPr>
              <w:pStyle w:val="1198"/>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sz w:val="30"/>
          <w:szCs w:val="30"/>
        </w:rPr>
      </w:pPr>
      <w:r>
        <w:rPr>
          <w:rFonts w:hint="eastAsia" w:ascii="黑体" w:eastAsia="黑体"/>
          <w:bCs/>
          <w:color w:val="000000"/>
          <w:sz w:val="24"/>
          <w:szCs w:val="24"/>
        </w:rPr>
        <w:br w:type="page" w:clear="all"/>
      </w:r>
      <w:r>
        <w:rPr>
          <w:rFonts w:hint="eastAsia" w:eastAsia="黑体"/>
          <w:b/>
          <w:color w:val="000000"/>
          <w:sz w:val="30"/>
          <w:szCs w:val="30"/>
          <w:lang w:eastAsia="zh-CN"/>
        </w:rPr>
        <w:t xml:space="preserve">十</w:t>
      </w:r>
      <w:r>
        <w:rPr>
          <w:rFonts w:hint="eastAsia"/>
          <w:b/>
          <w:color w:val="000000"/>
          <w:sz w:val="30"/>
          <w:szCs w:val="30"/>
        </w:rPr>
        <w:t xml:space="preserve">、分项</w:t>
      </w:r>
      <w:r>
        <w:rPr>
          <w:b/>
          <w:color w:val="000000"/>
          <w:sz w:val="30"/>
          <w:szCs w:val="30"/>
        </w:rPr>
        <w:t xml:space="preserve">报价表</w:t>
      </w:r>
      <w:r>
        <w:rPr>
          <w:rFonts w:hint="eastAsia"/>
          <w:b/>
          <w:color w:val="000000"/>
          <w:sz w:val="30"/>
          <w:szCs w:val="30"/>
        </w:rPr>
        <w:t xml:space="preserve">（给定格式）：</w:t>
      </w:r>
      <w:r/>
    </w:p>
    <w:p>
      <w:pPr>
        <w:spacing w:line="360" w:lineRule="auto"/>
        <w:rPr>
          <w:b/>
          <w:color w:val="000000"/>
          <w:sz w:val="30"/>
          <w:szCs w:val="30"/>
        </w:rPr>
      </w:pPr>
      <w:r>
        <w:rPr>
          <w:b/>
          <w:color w:val="000000"/>
          <w:sz w:val="30"/>
          <w:szCs w:val="30"/>
        </w:rPr>
      </w:r>
      <w:bookmarkEnd w:id="345"/>
      <w:r/>
      <w:bookmarkEnd w:id="346"/>
      <w:r/>
      <w:bookmarkEnd w:id="347"/>
      <w:r/>
      <w:r/>
    </w:p>
    <w:p>
      <w:pPr>
        <w:ind w:firstLine="420"/>
        <w:jc w:val="center"/>
        <w:spacing w:line="400" w:lineRule="exact"/>
        <w:rPr>
          <w:rFonts w:ascii="黑体" w:hAnsi="宋体" w:eastAsia="黑体"/>
          <w:bCs/>
          <w:color w:val="000000"/>
          <w:sz w:val="24"/>
          <w:szCs w:val="24"/>
        </w:rPr>
        <w:outlineLvl w:val="9"/>
      </w:pPr>
      <w:r/>
      <w:bookmarkStart w:id="349"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JSZC-320213-JZCG-G2025-0019</w:t>
      </w:r>
      <w:r/>
    </w:p>
    <w:tbl>
      <w:tblPr>
        <w:tblStyle w:val="940"/>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sz w:val="18"/>
              </w:rPr>
            </w:pPr>
            <w:r>
              <w:rPr>
                <w:rFonts w:hint="eastAsia"/>
                <w:color w:val="000000"/>
                <w:sz w:val="18"/>
              </w:rPr>
              <w:t xml:space="preserve">序号</w:t>
            </w:r>
            <w:r/>
          </w:p>
        </w:tc>
        <w:tc>
          <w:tcPr>
            <w:tcMar>
              <w:left w:w="15" w:type="dxa"/>
              <w:top w:w="15" w:type="dxa"/>
              <w:right w:w="15" w:type="dxa"/>
              <w:bottom w:w="0" w:type="dxa"/>
            </w:tcMar>
            <w:tcW w:w="4930" w:type="dxa"/>
            <w:vAlign w:val="center"/>
            <w:textDirection w:val="lrTb"/>
            <w:noWrap/>
          </w:tcPr>
          <w:p>
            <w:pPr>
              <w:jc w:val="center"/>
              <w:spacing w:before="5"/>
              <w:rPr>
                <w:color w:val="000000"/>
                <w:sz w:val="18"/>
              </w:rPr>
            </w:pPr>
            <w:r>
              <w:rPr>
                <w:color w:val="000000"/>
                <w:sz w:val="18"/>
              </w:rPr>
              <w:t xml:space="preserve">服务内容</w:t>
            </w:r>
            <w:r/>
          </w:p>
        </w:tc>
        <w:tc>
          <w:tcPr>
            <w:tcW w:w="851" w:type="dxa"/>
            <w:vAlign w:val="center"/>
            <w:textDirection w:val="lrTb"/>
            <w:noWrap w:val="false"/>
          </w:tcPr>
          <w:p>
            <w:pPr>
              <w:jc w:val="center"/>
              <w:spacing w:before="5"/>
              <w:rPr>
                <w:color w:val="000000"/>
                <w:sz w:val="18"/>
              </w:rPr>
            </w:pPr>
            <w:r>
              <w:rPr>
                <w:rFonts w:hint="eastAsia"/>
                <w:color w:val="000000"/>
                <w:sz w:val="18"/>
              </w:rPr>
              <w:t xml:space="preserve">数量</w:t>
            </w:r>
            <w:r/>
          </w:p>
        </w:tc>
        <w:tc>
          <w:tcPr>
            <w:tcMar>
              <w:left w:w="15" w:type="dxa"/>
              <w:top w:w="15" w:type="dxa"/>
              <w:right w:w="15" w:type="dxa"/>
              <w:bottom w:w="0" w:type="dxa"/>
            </w:tcMar>
            <w:tcW w:w="850" w:type="dxa"/>
            <w:vAlign w:val="center"/>
            <w:textDirection w:val="lrTb"/>
            <w:noWrap/>
          </w:tcPr>
          <w:p>
            <w:pPr>
              <w:jc w:val="center"/>
              <w:spacing w:before="5"/>
              <w:rPr>
                <w:color w:val="000000"/>
                <w:sz w:val="18"/>
              </w:rPr>
            </w:pPr>
            <w:r>
              <w:rPr>
                <w:rFonts w:hint="eastAsia"/>
                <w:color w:val="000000"/>
                <w:sz w:val="18"/>
              </w:rPr>
              <w:t xml:space="preserve">单位</w:t>
            </w:r>
            <w:r/>
          </w:p>
        </w:tc>
        <w:tc>
          <w:tcPr>
            <w:tcW w:w="1134" w:type="dxa"/>
            <w:vAlign w:val="center"/>
            <w:textDirection w:val="lrTb"/>
            <w:noWrap w:val="false"/>
          </w:tcPr>
          <w:p>
            <w:pPr>
              <w:jc w:val="center"/>
              <w:spacing w:before="5"/>
              <w:rPr>
                <w:color w:val="000000"/>
                <w:sz w:val="18"/>
              </w:rPr>
            </w:pPr>
            <w:r>
              <w:rPr>
                <w:rFonts w:hint="eastAsia"/>
                <w:color w:val="000000"/>
                <w:sz w:val="18"/>
              </w:rPr>
              <w:t xml:space="preserve">单报价</w:t>
            </w:r>
            <w:r/>
          </w:p>
        </w:tc>
        <w:tc>
          <w:tcPr>
            <w:tcW w:w="1276" w:type="dxa"/>
            <w:vAlign w:val="center"/>
            <w:textDirection w:val="lrTb"/>
            <w:noWrap w:val="false"/>
          </w:tcPr>
          <w:p>
            <w:pPr>
              <w:jc w:val="center"/>
              <w:spacing w:before="5"/>
              <w:rPr>
                <w:color w:val="000000"/>
                <w:sz w:val="18"/>
              </w:rPr>
            </w:pPr>
            <w:r>
              <w:rPr>
                <w:rFonts w:hint="eastAsia"/>
                <w:color w:val="000000"/>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61"/>
              <w:spacing w:before="5"/>
              <w:tabs>
                <w:tab w:val="clear" w:pos="4153" w:leader="none"/>
                <w:tab w:val="center" w:pos="7143" w:leader="none"/>
                <w:tab w:val="clear" w:pos="8306" w:leader="none"/>
                <w:tab w:val="right" w:pos="14287" w:leader="none"/>
              </w:tabs>
              <w:rPr>
                <w:rFonts w:ascii="宋体"/>
                <w:color w:val="000000"/>
              </w:rPr>
              <w:pBdr>
                <w:bottom w:val="none" w:color="000000" w:sz="0" w:space="0"/>
              </w:pBdr>
            </w:pPr>
            <w:r>
              <w:rPr>
                <w:rFonts w:hint="eastAsia" w:ascii="宋体"/>
                <w:color w:val="000000"/>
              </w:rPr>
              <w:t xml:space="preserve">1</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jc w:val="center"/>
              <w:rPr>
                <w:rFonts w:ascii="黑体" w:eastAsia="黑体"/>
                <w:b/>
                <w:bCs/>
                <w:color w:val="000000"/>
              </w:rPr>
            </w:pPr>
            <w:r>
              <w:rPr>
                <w:rFonts w:ascii="黑体" w:eastAsia="黑体"/>
                <w:b/>
                <w:bCs/>
                <w:color w:val="000000"/>
              </w:rPr>
              <w:t xml:space="preserve">……</w:t>
            </w:r>
            <w:r/>
          </w:p>
        </w:tc>
        <w:tc>
          <w:tcPr>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eastAsia="黑体"/>
                <w:b/>
                <w:bCs/>
                <w:color w:val="000000"/>
              </w:rPr>
            </w:pPr>
            <w:r>
              <w:rPr>
                <w:rFonts w:ascii="黑体" w:eastAsia="黑体"/>
                <w:b/>
                <w:bCs/>
                <w:color w:val="000000"/>
              </w:rPr>
            </w:r>
            <w:r/>
          </w:p>
        </w:tc>
        <w:tc>
          <w:tcPr>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bl>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32"/>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bCs/>
          <w:color w:val="000000"/>
        </w:rPr>
        <w:outlineLvl w:val="9"/>
      </w:pPr>
      <w:r>
        <w:rPr>
          <w:rFonts w:hint="eastAsia" w:ascii="宋体" w:hAnsi="宋体"/>
          <w:bCs/>
          <w:color w:val="000000"/>
        </w:rPr>
        <w:t xml:space="preserve">注：（</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货物全部由符合政策要求的中小企业制造的，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w:t>
      </w:r>
      <w:r>
        <w:rPr>
          <w:rFonts w:hint="eastAsia" w:ascii="宋体"/>
          <w:bCs/>
          <w:color w:val="000000"/>
          <w:lang w:eastAsia="zh-CN"/>
        </w:rPr>
        <w:t xml:space="preserve">（</w:t>
      </w:r>
      <w:r>
        <w:rPr>
          <w:rFonts w:hint="eastAsia" w:ascii="宋体"/>
          <w:bCs/>
          <w:color w:val="000000"/>
        </w:rPr>
        <w:t xml:space="preserve">含新疆生产建设兵团</w:t>
      </w:r>
      <w:r>
        <w:rPr>
          <w:rFonts w:hint="eastAsia" w:ascii="宋体"/>
          <w:bCs/>
          <w:color w:val="000000"/>
          <w:lang w:eastAsia="zh-CN"/>
        </w:rPr>
        <w:t xml:space="preserve">）</w:t>
      </w:r>
      <w:r>
        <w:rPr>
          <w:rFonts w:hint="eastAsia" w:ascii="宋体"/>
          <w:bCs/>
          <w:color w:val="000000"/>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梁溪分中心有权将相关内容进行公示；</w:t>
      </w:r>
      <w:r/>
    </w:p>
    <w:p>
      <w:pPr>
        <w:ind w:firstLine="315"/>
        <w:rPr>
          <w:rFonts w:ascii="宋体"/>
          <w:bCs/>
          <w:color w:val="000000"/>
        </w:rPr>
        <w:outlineLvl w:val="9"/>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）投标人应当根据“项目技术要求和有关说明”的内容在上表中详细填写；</w:t>
      </w:r>
      <w:r/>
    </w:p>
    <w:p>
      <w:pPr>
        <w:ind w:firstLine="315"/>
        <w:rPr>
          <w:rFonts w:ascii="宋体" w:hAnsi="宋体"/>
          <w:bCs/>
          <w:color w:val="000000"/>
        </w:rPr>
        <w:outlineLvl w:val="9"/>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p>
    <w:p>
      <w:pPr>
        <w:ind w:firstLine="420"/>
        <w:rPr>
          <w:b/>
          <w:color w:val="000000"/>
          <w:sz w:val="30"/>
          <w:szCs w:val="30"/>
        </w:rPr>
        <w:outlineLvl w:val="9"/>
      </w:pPr>
      <w:r>
        <w:rPr>
          <w:rFonts w:ascii="宋体" w:hAnsi="Calibri"/>
          <w:bCs/>
          <w:color w:val="000000"/>
        </w:rPr>
        <w:br w:type="page" w:clear="all"/>
      </w:r>
      <w:r/>
    </w:p>
    <w:p>
      <w:pPr>
        <w:spacing w:line="360" w:lineRule="auto"/>
        <w:rPr>
          <w:b/>
          <w:color w:val="000000"/>
          <w:sz w:val="30"/>
          <w:szCs w:val="30"/>
        </w:rPr>
      </w:pPr>
      <w:r>
        <w:rPr>
          <w:rFonts w:hint="eastAsia"/>
          <w:b/>
          <w:color w:val="000000"/>
          <w:sz w:val="30"/>
          <w:szCs w:val="30"/>
        </w:rPr>
        <w:t xml:space="preserve">十</w:t>
      </w:r>
      <w:r>
        <w:rPr>
          <w:rFonts w:hint="eastAsia"/>
          <w:b/>
          <w:color w:val="000000"/>
          <w:sz w:val="30"/>
          <w:szCs w:val="30"/>
          <w:lang w:eastAsia="zh-CN"/>
        </w:rPr>
        <w:t xml:space="preserve">一</w:t>
      </w:r>
      <w:r>
        <w:rPr>
          <w:b/>
          <w:color w:val="000000"/>
          <w:sz w:val="30"/>
          <w:szCs w:val="30"/>
        </w:rPr>
        <w:t xml:space="preserve">、</w:t>
      </w:r>
      <w:r>
        <w:rPr>
          <w:rFonts w:hint="eastAsia"/>
          <w:b/>
          <w:color w:val="000000"/>
          <w:sz w:val="30"/>
          <w:szCs w:val="30"/>
        </w:rPr>
        <w:t xml:space="preserve">投标偏离表（给定格式）：</w:t>
      </w:r>
      <w:r/>
    </w:p>
    <w:p>
      <w:pPr>
        <w:ind w:firstLine="490"/>
        <w:jc w:val="center"/>
        <w:rPr>
          <w:rFonts w:ascii="黑体" w:eastAsia="黑体"/>
          <w:bCs/>
          <w:color w:val="000000"/>
          <w:sz w:val="28"/>
          <w:szCs w:val="28"/>
        </w:rPr>
        <w:outlineLvl w:val="9"/>
      </w:pPr>
      <w:r>
        <w:rPr>
          <w:rFonts w:ascii="黑体" w:eastAsia="黑体"/>
          <w:bCs/>
          <w:color w:val="000000"/>
          <w:sz w:val="28"/>
          <w:szCs w:val="28"/>
        </w:rPr>
      </w:r>
      <w:r/>
    </w:p>
    <w:p>
      <w:pPr>
        <w:ind w:firstLine="490"/>
        <w:jc w:val="center"/>
        <w:rPr>
          <w:rFonts w:ascii="黑体" w:eastAsia="黑体"/>
          <w:bCs/>
          <w:color w:val="000000"/>
          <w:sz w:val="28"/>
          <w:szCs w:val="28"/>
        </w:rPr>
        <w:outlineLvl w:val="9"/>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9"/>
      </w:pPr>
      <w:r>
        <w:rPr>
          <w:rFonts w:ascii="黑体" w:eastAsia="黑体"/>
          <w:bCs/>
          <w:color w:val="000000"/>
          <w:sz w:val="28"/>
          <w:szCs w:val="28"/>
        </w:rPr>
      </w:r>
      <w:r/>
    </w:p>
    <w:p>
      <w:pPr>
        <w:jc w:val="center"/>
        <w:spacing w:line="400" w:lineRule="exact"/>
        <w:rPr>
          <w:rFonts w:ascii="黑体" w:eastAsia="黑体"/>
          <w:bCs/>
          <w:color w:val="000000"/>
          <w:sz w:val="28"/>
          <w:szCs w:val="28"/>
        </w:rPr>
        <w:outlineLvl w:val="9"/>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JSZC-320213-JZCG-G2025-0019</w:t>
      </w:r>
      <w:r/>
    </w:p>
    <w:tbl>
      <w:tblPr>
        <w:tblStyle w:val="940"/>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color w:val="000000"/>
          <w:sz w:val="24"/>
          <w:szCs w:val="24"/>
        </w:rPr>
      </w:pPr>
      <w:r>
        <w:rPr>
          <w:rFonts w:hint="eastAsia" w:ascii="黑体" w:eastAsia="黑体"/>
          <w:bCs/>
          <w:color w:val="000000"/>
          <w:sz w:val="24"/>
          <w:szCs w:val="24"/>
        </w:rPr>
        <w:t xml:space="preserve">投标人名称（盖章）：</w:t>
      </w:r>
      <w:bookmarkEnd w:id="185"/>
      <w:r/>
      <w:bookmarkEnd w:id="186"/>
      <w:r/>
      <w:bookmarkEnd w:id="349"/>
      <w:r/>
      <w:r/>
    </w:p>
    <w:p>
      <w:pPr>
        <w:ind w:firstLine="420"/>
        <w:rPr>
          <w:rFonts w:ascii="宋体" w:hAnsi="宋体"/>
          <w:bCs/>
          <w:color w:val="000000"/>
          <w:sz w:val="24"/>
          <w:szCs w:val="24"/>
        </w:rPr>
        <w:outlineLvl w:val="9"/>
      </w:pPr>
      <w:r>
        <w:rPr>
          <w:rFonts w:ascii="宋体" w:hAnsi="宋体"/>
          <w:bCs/>
          <w:color w:val="000000"/>
          <w:sz w:val="24"/>
          <w:szCs w:val="24"/>
        </w:rPr>
      </w:r>
      <w:r/>
    </w:p>
    <w:p>
      <w:pPr>
        <w:ind w:firstLine="420"/>
        <w:rPr>
          <w:rFonts w:ascii="宋体" w:hAnsi="宋体"/>
          <w:bCs/>
          <w:sz w:val="24"/>
          <w:szCs w:val="24"/>
        </w:rPr>
        <w:outlineLvl w:val="9"/>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9"/>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rPr>
          <w:rFonts w:ascii="宋体"/>
          <w:bCs/>
          <w:sz w:val="24"/>
          <w:szCs w:val="24"/>
        </w:rPr>
        <w:outlineLvl w:val="9"/>
      </w:pPr>
      <w:r>
        <w:rPr>
          <w:rFonts w:hint="eastAsia" w:ascii="宋体" w:hAnsi="宋体"/>
          <w:bCs/>
          <w:sz w:val="24"/>
          <w:szCs w:val="24"/>
        </w:rPr>
        <w:t xml:space="preserve">   （3）如有技术偏离项，请于本表中列明偏离内容，如需要可自行延长，其余无偏离内容不须赘述。</w:t>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br w:type="page" w:clear="all"/>
      </w:r>
      <w:r/>
    </w:p>
    <w:p>
      <w:pPr>
        <w:rPr>
          <w:rFonts w:ascii="宋体" w:hAnsi="宋体"/>
          <w:bCs/>
          <w:color w:val="000000"/>
        </w:rPr>
      </w:pPr>
      <w:r>
        <w:rPr>
          <w:rFonts w:ascii="宋体" w:hAnsi="宋体"/>
          <w:bCs/>
          <w:color w:val="000000"/>
        </w:rPr>
      </w:r>
      <w:r/>
    </w:p>
    <w:p>
      <w:pPr>
        <w:rPr>
          <w:rFonts w:hint="eastAsia"/>
          <w:b/>
          <w:color w:val="000000"/>
          <w:sz w:val="28"/>
          <w:szCs w:val="28"/>
        </w:rPr>
        <w:outlineLvl w:val="9"/>
      </w:pPr>
      <w:r>
        <w:rPr>
          <w:rFonts w:hint="eastAsia"/>
          <w:b/>
          <w:color w:val="000000"/>
          <w:sz w:val="28"/>
          <w:szCs w:val="28"/>
        </w:rPr>
        <w:t xml:space="preserve">十一、项目人员配置考察表（格式）</w:t>
      </w:r>
      <w:r/>
    </w:p>
    <w:p>
      <w:pPr>
        <w:ind w:firstLine="420"/>
        <w:rPr>
          <w:rFonts w:hint="eastAsia" w:ascii="黑体" w:hAnsi="宋体" w:eastAsia="黑体"/>
          <w:bCs/>
          <w:color w:val="000000"/>
          <w:sz w:val="24"/>
          <w:szCs w:val="24"/>
        </w:rPr>
        <w:outlineLvl w:val="9"/>
      </w:pPr>
      <w:r>
        <w:rPr>
          <w:rFonts w:hint="eastAsia" w:ascii="黑体" w:hAnsi="宋体" w:eastAsia="黑体"/>
          <w:bCs/>
          <w:color w:val="000000"/>
          <w:sz w:val="24"/>
          <w:szCs w:val="24"/>
        </w:rPr>
      </w:r>
      <w:r/>
    </w:p>
    <w:p>
      <w:pPr>
        <w:ind w:firstLine="490"/>
        <w:jc w:val="center"/>
        <w:rPr>
          <w:rFonts w:hint="eastAsia" w:ascii="黑体" w:hAnsi="宋体" w:eastAsia="黑体"/>
          <w:bCs/>
          <w:color w:val="000000"/>
          <w:sz w:val="24"/>
          <w:szCs w:val="24"/>
        </w:rPr>
        <w:outlineLvl w:val="9"/>
      </w:pPr>
      <w:r>
        <w:rPr>
          <w:rFonts w:hint="eastAsia" w:ascii="黑体" w:eastAsia="黑体"/>
          <w:bCs/>
          <w:color w:val="000000"/>
          <w:sz w:val="28"/>
          <w:szCs w:val="28"/>
        </w:rPr>
        <w:t xml:space="preserve">项目人员配置考察表</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ind w:firstLine="480"/>
        <w:rPr>
          <w:rFonts w:hint="default" w:ascii="黑体" w:eastAsia="黑体"/>
          <w:bCs/>
          <w:color w:val="000000"/>
          <w:sz w:val="24"/>
          <w:szCs w:val="24"/>
          <w:lang w:val="en-US"/>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JSZC-320213-JZCG-G2025-0019</w:t>
      </w:r>
      <w:r/>
    </w:p>
    <w:tbl>
      <w:tblPr>
        <w:tblStyle w:val="9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1276"/>
        <w:gridCol w:w="1285"/>
        <w:gridCol w:w="1833"/>
        <w:gridCol w:w="992"/>
      </w:tblGrid>
      <w:tr>
        <w:trPr>
          <w:jc w:val="center"/>
          <w:trHeight w:val="865"/>
        </w:trPr>
        <w:tc>
          <w:tcPr>
            <w:tcW w:w="766" w:type="dxa"/>
            <w:vAlign w:val="center"/>
            <w:textDirection w:val="lrTb"/>
            <w:noWrap w:val="false"/>
          </w:tcPr>
          <w:p>
            <w:pPr>
              <w:jc w:val="center"/>
              <w:rPr>
                <w:b/>
                <w:color w:val="000000"/>
                <w:sz w:val="24"/>
              </w:rPr>
            </w:pPr>
            <w:r>
              <w:rPr>
                <w:rFonts w:hint="eastAsia"/>
                <w:b/>
                <w:color w:val="000000"/>
                <w:sz w:val="24"/>
              </w:rPr>
              <w:t xml:space="preserve">序号</w:t>
            </w:r>
            <w:r/>
          </w:p>
        </w:tc>
        <w:tc>
          <w:tcPr>
            <w:tcW w:w="1098" w:type="dxa"/>
            <w:vAlign w:val="center"/>
            <w:textDirection w:val="lrTb"/>
            <w:noWrap w:val="false"/>
          </w:tcPr>
          <w:p>
            <w:pPr>
              <w:jc w:val="center"/>
              <w:rPr>
                <w:b/>
                <w:color w:val="000000"/>
                <w:sz w:val="24"/>
              </w:rPr>
            </w:pPr>
            <w:r>
              <w:rPr>
                <w:rFonts w:hint="eastAsia"/>
                <w:b/>
                <w:color w:val="000000"/>
                <w:sz w:val="24"/>
              </w:rPr>
              <w:t xml:space="preserve">姓名</w:t>
            </w:r>
            <w:r/>
          </w:p>
        </w:tc>
        <w:tc>
          <w:tcPr>
            <w:tcW w:w="744" w:type="dxa"/>
            <w:vAlign w:val="center"/>
            <w:textDirection w:val="lrTb"/>
            <w:noWrap w:val="false"/>
          </w:tcPr>
          <w:p>
            <w:pPr>
              <w:jc w:val="center"/>
              <w:rPr>
                <w:rFonts w:hint="eastAsia"/>
                <w:b/>
                <w:color w:val="000000"/>
                <w:sz w:val="24"/>
              </w:rPr>
            </w:pPr>
            <w:r>
              <w:rPr>
                <w:rFonts w:hint="eastAsia"/>
                <w:b/>
                <w:color w:val="000000"/>
                <w:sz w:val="24"/>
              </w:rPr>
              <w:t xml:space="preserve">性别</w:t>
            </w:r>
            <w:r/>
          </w:p>
        </w:tc>
        <w:tc>
          <w:tcPr>
            <w:tcW w:w="1276" w:type="dxa"/>
            <w:vAlign w:val="center"/>
            <w:textDirection w:val="lrTb"/>
            <w:noWrap w:val="false"/>
          </w:tcPr>
          <w:p>
            <w:pPr>
              <w:jc w:val="center"/>
              <w:rPr>
                <w:b/>
                <w:color w:val="000000"/>
                <w:sz w:val="24"/>
              </w:rPr>
            </w:pPr>
            <w:r>
              <w:rPr>
                <w:rFonts w:hint="eastAsia"/>
                <w:b/>
                <w:color w:val="000000"/>
                <w:sz w:val="24"/>
              </w:rPr>
              <w:t xml:space="preserve">岗位职责</w:t>
            </w:r>
            <w:r/>
          </w:p>
        </w:tc>
        <w:tc>
          <w:tcPr>
            <w:tcW w:w="1285" w:type="dxa"/>
            <w:vAlign w:val="center"/>
            <w:textDirection w:val="lrTb"/>
            <w:noWrap w:val="false"/>
          </w:tcPr>
          <w:p>
            <w:pPr>
              <w:jc w:val="center"/>
              <w:rPr>
                <w:b/>
                <w:color w:val="000000"/>
                <w:sz w:val="24"/>
              </w:rPr>
            </w:pPr>
            <w:r>
              <w:rPr>
                <w:rFonts w:hint="eastAsia"/>
                <w:b/>
                <w:color w:val="000000"/>
                <w:sz w:val="24"/>
              </w:rPr>
              <w:t xml:space="preserve">人员证书名称</w:t>
            </w:r>
            <w:r/>
          </w:p>
        </w:tc>
        <w:tc>
          <w:tcPr>
            <w:tcW w:w="1833" w:type="dxa"/>
            <w:vAlign w:val="center"/>
            <w:textDirection w:val="lrTb"/>
            <w:noWrap w:val="false"/>
          </w:tcPr>
          <w:p>
            <w:pPr>
              <w:jc w:val="center"/>
              <w:rPr>
                <w:rFonts w:hint="eastAsia"/>
                <w:b/>
                <w:color w:val="000000"/>
                <w:sz w:val="24"/>
              </w:rPr>
            </w:pPr>
            <w:r>
              <w:rPr>
                <w:rFonts w:hint="eastAsia"/>
                <w:b/>
                <w:color w:val="000000"/>
                <w:sz w:val="24"/>
              </w:rPr>
              <w:t xml:space="preserve">人员经验描述</w:t>
            </w:r>
            <w:r/>
          </w:p>
          <w:p>
            <w:pPr>
              <w:jc w:val="center"/>
              <w:rPr>
                <w:rFonts w:hint="eastAsia"/>
                <w:b/>
                <w:color w:val="000000"/>
                <w:sz w:val="24"/>
              </w:rPr>
            </w:pPr>
            <w:r>
              <w:rPr>
                <w:rFonts w:hint="eastAsia"/>
                <w:b/>
                <w:color w:val="000000"/>
                <w:sz w:val="24"/>
              </w:rPr>
              <w:t xml:space="preserve">（如有要求）</w:t>
            </w:r>
            <w:r/>
          </w:p>
        </w:tc>
        <w:tc>
          <w:tcPr>
            <w:tcW w:w="992" w:type="dxa"/>
            <w:vAlign w:val="center"/>
            <w:textDirection w:val="lrTb"/>
            <w:noWrap w:val="false"/>
          </w:tcPr>
          <w:p>
            <w:pPr>
              <w:jc w:val="center"/>
              <w:rPr>
                <w:rFonts w:hint="eastAsia"/>
                <w:b/>
                <w:color w:val="000000"/>
                <w:sz w:val="24"/>
              </w:rPr>
            </w:pPr>
            <w:r>
              <w:rPr>
                <w:rFonts w:hint="eastAsia"/>
                <w:b/>
                <w:color w:val="000000"/>
                <w:sz w:val="24"/>
              </w:rPr>
              <w:t xml:space="preserve">备注</w:t>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t xml:space="preserve">……</w:t>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bl>
    <w:p>
      <w:pPr>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本表对应评分标准中的项目人员配置情况，表格不够可自行延长。</w:t>
      </w:r>
      <w:r/>
    </w:p>
    <w:p>
      <w:pPr>
        <w:rPr>
          <w:rFonts w:hint="eastAsia"/>
          <w:color w:val="000000"/>
        </w:rPr>
      </w:pPr>
      <w:r>
        <w:rPr>
          <w:rFonts w:hint="eastAsia" w:ascii="宋体" w:hAnsi="宋体"/>
          <w:bCs/>
          <w:color w:val="000000"/>
        </w:rPr>
        <w:t xml:space="preserve">2.</w:t>
      </w:r>
      <w:r>
        <w:rPr>
          <w:rFonts w:hint="eastAsia" w:ascii="宋体" w:hAnsi="宋体"/>
          <w:b/>
          <w:bCs w:val="0"/>
          <w:color w:val="000000"/>
        </w:rPr>
        <w:t xml:space="preserve">上表内容须提供投标人近一年中任意一个月份</w:t>
      </w:r>
      <w:r>
        <w:rPr>
          <w:rFonts w:hint="eastAsia" w:ascii="宋体" w:hAnsi="宋体"/>
          <w:b/>
          <w:bCs w:val="0"/>
          <w:color w:val="000000"/>
          <w:lang w:eastAsia="zh-CN"/>
        </w:rPr>
        <w:t xml:space="preserve">（</w:t>
      </w:r>
      <w:r>
        <w:rPr>
          <w:rFonts w:hint="eastAsia" w:ascii="宋体" w:hAnsi="宋体"/>
          <w:b/>
          <w:bCs w:val="0"/>
          <w:color w:val="000000"/>
        </w:rPr>
        <w:t xml:space="preserve">不含投标当月</w:t>
      </w:r>
      <w:r>
        <w:rPr>
          <w:rFonts w:hint="eastAsia" w:ascii="宋体" w:hAnsi="宋体"/>
          <w:b/>
          <w:bCs w:val="0"/>
          <w:color w:val="000000"/>
          <w:lang w:eastAsia="zh-CN"/>
        </w:rPr>
        <w:t xml:space="preserve">）</w:t>
      </w:r>
      <w:r>
        <w:rPr>
          <w:rFonts w:hint="eastAsia" w:ascii="宋体" w:hAnsi="宋体"/>
          <w:b/>
          <w:bCs w:val="0"/>
          <w:color w:val="000000"/>
        </w:rPr>
        <w:t xml:space="preserve">经社保部门确认的社保缴纳名单复印件；</w:t>
      </w:r>
      <w:r>
        <w:rPr>
          <w:rFonts w:hint="eastAsia"/>
          <w:color w:val="000000"/>
        </w:rPr>
        <w:t xml:space="preserve"> </w:t>
      </w:r>
      <w:r/>
    </w:p>
    <w:p>
      <w:pPr>
        <w:rPr>
          <w:rFonts w:hint="eastAsia" w:ascii="宋体" w:hAnsi="宋体"/>
          <w:bCs/>
          <w:color w:val="000000"/>
        </w:rPr>
      </w:pPr>
      <w:r>
        <w:rPr>
          <w:rFonts w:hint="eastAsia" w:ascii="宋体" w:hAnsi="宋体"/>
          <w:bCs/>
          <w:color w:val="000000"/>
        </w:rPr>
        <w:t xml:space="preserve">3.上表内容须按评分标准中的相关要求提供相应证明材料。</w:t>
      </w:r>
      <w:r/>
    </w:p>
    <w:p>
      <w:pPr>
        <w:rPr>
          <w:rFonts w:hint="eastAsia" w:ascii="宋体" w:hAnsi="宋体"/>
          <w:bCs/>
          <w:color w:val="000000"/>
        </w:rPr>
      </w:pPr>
      <w:r>
        <w:rPr>
          <w:rFonts w:hint="eastAsia" w:ascii="宋体" w:hAnsi="宋体"/>
          <w:bCs/>
          <w:color w:val="000000"/>
        </w:rPr>
        <w:t xml:space="preserve">4.证明材料均请附在本表之后。</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hint="eastAsia" w:ascii="宋体" w:hAnsi="宋体"/>
          <w:bCs/>
          <w:color w:val="000000"/>
        </w:rPr>
      </w:pPr>
      <w:r>
        <w:rPr>
          <w:rFonts w:hint="eastAsia" w:ascii="宋体" w:hAnsi="宋体"/>
          <w:bCs/>
          <w:color w:val="000000"/>
        </w:rPr>
      </w:r>
      <w:r/>
    </w:p>
    <w:sectPr>
      <w:headerReference w:type="default" r:id="rId11"/>
      <w:footerReference w:type="default" r:id="rId16"/>
      <w:footerReference w:type="even" r:id="rId17"/>
      <w:footerReference w:type="first" r:id="rId18"/>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0</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5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lear" w:pos="4153" w:leader="none"/>
        <w:tab w:val="center" w:pos="496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0</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5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lear" w:pos="4153" w:leader="none"/>
        <w:tab w:val="center" w:pos="496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0</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p>
  <w:p>
    <w:pPr>
      <w:pStyle w:val="95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lear" w:pos="4153" w:leader="none"/>
        <w:tab w:val="center" w:pos="496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decimal"/>
      <w:isLgl w:val="false"/>
      <w:suff w:val="tab"/>
      <w:lvlText w:val="%1."/>
      <w:lvlJc w:val="left"/>
      <w:pPr>
        <w:ind w:left="425" w:hanging="425"/>
      </w:pPr>
      <w:rPr>
        <w:rFonts w:hint="default"/>
        <w:b/>
        <w:bCs/>
        <w:color w:val="auto"/>
      </w:rPr>
    </w:lvl>
    <w:lvl w:ilvl="1">
      <w:start w:val="1"/>
      <w:numFmt w:val="decimal"/>
      <w:isLgl w:val="false"/>
      <w:suff w:val="space"/>
      <w:lvlText w:val="%1.%2"/>
      <w:lvlJc w:val="left"/>
      <w:pPr>
        <w:ind w:left="0" w:firstLine="0"/>
      </w:pPr>
      <w:rPr>
        <w:rFonts w:hint="default"/>
        <w:b w:val="0"/>
        <w:bCs w:val="0"/>
        <w:color w:val="auto"/>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chineseCountingThousand"/>
      <w:pStyle w:val="126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7" w:hanging="425"/>
        <w:tabs>
          <w:tab w:val="left" w:pos="907" w:leader="none"/>
        </w:tabs>
      </w:pPr>
      <w:rPr>
        <w:rFonts w:hint="default"/>
        <w:b w:val="0"/>
        <w:sz w:val="24"/>
      </w:rPr>
    </w:lvl>
    <w:lvl w:ilvl="1">
      <w:start w:val="1"/>
      <w:numFmt w:val="decimal"/>
      <w:isLgl w:val="false"/>
      <w:suff w:val="tab"/>
      <w:lvlText w:val="%2) "/>
      <w:lvlJc w:val="left"/>
      <w:pPr>
        <w:ind w:left="1107" w:hanging="681"/>
        <w:tabs>
          <w:tab w:val="left" w:pos="1107"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1353" w:hanging="360"/>
        <w:tabs>
          <w:tab w:val="left" w:pos="1353"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12">
    <w:multiLevelType w:val="hybridMultilevel"/>
    <w:lvl w:ilvl="0">
      <w:start w:val="1"/>
      <w:numFmt w:val="decimal"/>
      <w:pStyle w:val="11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tab"/>
      <w:lvlText w:val="%1."/>
      <w:lvlJc w:val="left"/>
      <w:pPr>
        <w:ind w:left="907" w:hanging="425"/>
        <w:tabs>
          <w:tab w:val="left" w:pos="907" w:leader="none"/>
        </w:tabs>
      </w:pPr>
      <w:rPr>
        <w:rFonts w:hint="default"/>
        <w:b w:val="0"/>
        <w:sz w:val="24"/>
      </w:rPr>
    </w:lvl>
    <w:lvl w:ilvl="1">
      <w:start w:val="1"/>
      <w:numFmt w:val="decimal"/>
      <w:isLgl w:val="false"/>
      <w:suff w:val="tab"/>
      <w:lvlText w:val="%2) "/>
      <w:lvlJc w:val="left"/>
      <w:pPr>
        <w:ind w:left="1107" w:hanging="681"/>
        <w:tabs>
          <w:tab w:val="left" w:pos="1107"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japaneseCounting"/>
      <w:pStyle w:val="1270"/>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4"/>
  </w:num>
  <w:num w:numId="3">
    <w:abstractNumId w:val="12"/>
  </w:num>
  <w:num w:numId="4">
    <w:abstractNumId w:val="6"/>
  </w:num>
  <w:num w:numId="5">
    <w:abstractNumId w:val="14"/>
  </w:num>
  <w:num w:numId="6">
    <w:abstractNumId w:val="9"/>
  </w:num>
  <w:num w:numId="7">
    <w:abstractNumId w:val="2"/>
  </w:num>
  <w:num w:numId="8">
    <w:abstractNumId w:val="0"/>
  </w:num>
  <w:num w:numId="9">
    <w:abstractNumId w:val="13"/>
    <w:lvlOverride w:ilvl="0">
      <w:startOverride w:val="1"/>
    </w:lvlOverride>
  </w:num>
  <w:num w:numId="10">
    <w:abstractNumId w:val="8"/>
  </w:num>
  <w:num w:numId="11">
    <w:abstractNumId w:val="10"/>
  </w:num>
  <w:num w:numId="12">
    <w:abstractNumId w:val="1"/>
  </w:num>
  <w:num w:numId="13">
    <w:abstractNumId w:val="16"/>
  </w:num>
  <w:num w:numId="14">
    <w:abstractNumId w:val="15"/>
  </w:num>
  <w:num w:numId="15">
    <w:abstractNumId w:val="7"/>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3">
    <w:name w:val="Title Char"/>
    <w:basedOn w:val="939"/>
    <w:link w:val="975"/>
    <w:uiPriority w:val="10"/>
    <w:rPr>
      <w:sz w:val="48"/>
      <w:szCs w:val="48"/>
    </w:rPr>
  </w:style>
  <w:style w:type="character" w:styleId="924">
    <w:name w:val="Subtitle Char"/>
    <w:basedOn w:val="939"/>
    <w:link w:val="964"/>
    <w:uiPriority w:val="11"/>
    <w:rPr>
      <w:sz w:val="24"/>
      <w:szCs w:val="24"/>
    </w:rPr>
  </w:style>
  <w:style w:type="character" w:styleId="925">
    <w:name w:val="Quote Char"/>
    <w:link w:val="1030"/>
    <w:uiPriority w:val="29"/>
    <w:rPr>
      <w:i/>
    </w:rPr>
  </w:style>
  <w:style w:type="character" w:styleId="926">
    <w:name w:val="Intense Quote Char"/>
    <w:link w:val="1032"/>
    <w:uiPriority w:val="30"/>
    <w:rPr>
      <w:i/>
    </w:rPr>
  </w:style>
  <w:style w:type="character" w:styleId="927">
    <w:name w:val="Footnote Text Char"/>
    <w:link w:val="966"/>
    <w:uiPriority w:val="99"/>
    <w:rPr>
      <w:sz w:val="18"/>
    </w:rPr>
  </w:style>
  <w:style w:type="character" w:styleId="928">
    <w:name w:val="Endnote Text Char"/>
    <w:link w:val="957"/>
    <w:uiPriority w:val="99"/>
    <w:rPr>
      <w:sz w:val="20"/>
    </w:rPr>
  </w:style>
  <w:style w:type="paragraph" w:styleId="929" w:default="1">
    <w:name w:val="Normal"/>
    <w:link w:val="1264"/>
    <w:uiPriority w:val="0"/>
    <w:qFormat/>
    <w:pPr>
      <w:jc w:val="both"/>
      <w:widowControl w:val="off"/>
    </w:pPr>
    <w:rPr>
      <w:rFonts w:ascii="Times New Roman" w:hAnsi="Times New Roman" w:eastAsia="宋体" w:cs="Times New Roman"/>
      <w:sz w:val="21"/>
      <w:szCs w:val="21"/>
      <w:lang w:val="en-US" w:eastAsia="zh-CN" w:bidi="ar-SA"/>
    </w:rPr>
  </w:style>
  <w:style w:type="paragraph" w:styleId="930">
    <w:name w:val="Heading 1"/>
    <w:basedOn w:val="929"/>
    <w:next w:val="931"/>
    <w:link w:val="990"/>
    <w:uiPriority w:val="99"/>
    <w:qFormat/>
    <w:pPr>
      <w:jc w:val="center"/>
      <w:keepNext/>
      <w:outlineLvl w:val="0"/>
    </w:pPr>
    <w:rPr>
      <w:rFonts w:ascii="楷体_GB2312" w:eastAsia="楷体_GB2312"/>
      <w:sz w:val="28"/>
      <w:szCs w:val="28"/>
    </w:rPr>
  </w:style>
  <w:style w:type="paragraph" w:styleId="931">
    <w:name w:val="Heading 2"/>
    <w:basedOn w:val="929"/>
    <w:next w:val="929"/>
    <w:link w:val="989"/>
    <w:uiPriority w:val="99"/>
    <w:qFormat/>
    <w:pPr>
      <w:jc w:val="center"/>
      <w:keepLines/>
      <w:keepNext/>
      <w:spacing w:before="260" w:after="260" w:line="416" w:lineRule="auto"/>
      <w:outlineLvl w:val="1"/>
    </w:pPr>
    <w:rPr>
      <w:rFonts w:ascii="Arial" w:hAnsi="Arial" w:eastAsia="幼圆"/>
      <w:b/>
      <w:bCs/>
      <w:sz w:val="44"/>
      <w:szCs w:val="44"/>
    </w:rPr>
  </w:style>
  <w:style w:type="paragraph" w:styleId="932">
    <w:name w:val="Heading 3"/>
    <w:basedOn w:val="929"/>
    <w:next w:val="929"/>
    <w:link w:val="991"/>
    <w:uiPriority w:val="99"/>
    <w:qFormat/>
    <w:pPr>
      <w:keepLines/>
      <w:keepNext/>
      <w:spacing w:before="260" w:after="260" w:line="416" w:lineRule="auto"/>
      <w:outlineLvl w:val="2"/>
    </w:pPr>
    <w:rPr>
      <w:sz w:val="32"/>
      <w:szCs w:val="32"/>
    </w:rPr>
  </w:style>
  <w:style w:type="paragraph" w:styleId="933">
    <w:name w:val="Heading 4"/>
    <w:basedOn w:val="929"/>
    <w:next w:val="929"/>
    <w:link w:val="993"/>
    <w:uiPriority w:val="99"/>
    <w:qFormat/>
    <w:pPr>
      <w:keepLines/>
      <w:keepNext/>
      <w:spacing w:before="280" w:after="290" w:line="376" w:lineRule="auto"/>
      <w:outlineLvl w:val="3"/>
    </w:pPr>
    <w:rPr>
      <w:rFonts w:ascii="Arial" w:hAnsi="Arial" w:eastAsia="黑体"/>
      <w:b/>
      <w:bCs/>
      <w:sz w:val="28"/>
      <w:szCs w:val="28"/>
    </w:rPr>
  </w:style>
  <w:style w:type="paragraph" w:styleId="934">
    <w:name w:val="Heading 5"/>
    <w:basedOn w:val="929"/>
    <w:next w:val="929"/>
    <w:link w:val="994"/>
    <w:uiPriority w:val="99"/>
    <w:qFormat/>
    <w:pPr>
      <w:keepNext/>
      <w:outlineLvl w:val="4"/>
    </w:pPr>
    <w:rPr>
      <w:rFonts w:ascii="宋体"/>
      <w:color w:val="000000"/>
      <w:sz w:val="28"/>
      <w:szCs w:val="28"/>
    </w:rPr>
  </w:style>
  <w:style w:type="paragraph" w:styleId="935">
    <w:name w:val="Heading 6"/>
    <w:basedOn w:val="929"/>
    <w:next w:val="929"/>
    <w:link w:val="99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6">
    <w:name w:val="Heading 7"/>
    <w:basedOn w:val="929"/>
    <w:next w:val="929"/>
    <w:link w:val="996"/>
    <w:uiPriority w:val="0"/>
    <w:qFormat/>
    <w:pPr>
      <w:numPr>
        <w:ilvl w:val="6"/>
        <w:numId w:val="1"/>
      </w:numPr>
      <w:keepLines/>
      <w:keepNext/>
      <w:spacing w:before="240" w:after="64" w:line="320" w:lineRule="auto"/>
      <w:outlineLvl w:val="6"/>
    </w:pPr>
    <w:rPr>
      <w:b/>
      <w:bCs/>
      <w:sz w:val="24"/>
      <w:szCs w:val="24"/>
    </w:rPr>
  </w:style>
  <w:style w:type="paragraph" w:styleId="937">
    <w:name w:val="Heading 8"/>
    <w:basedOn w:val="929"/>
    <w:next w:val="929"/>
    <w:link w:val="99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8">
    <w:name w:val="Heading 9"/>
    <w:basedOn w:val="929"/>
    <w:next w:val="929"/>
    <w:link w:val="998"/>
    <w:uiPriority w:val="0"/>
    <w:qFormat/>
    <w:pPr>
      <w:numPr>
        <w:ilvl w:val="8"/>
        <w:numId w:val="1"/>
      </w:numPr>
      <w:keepLines/>
      <w:keepNext/>
      <w:spacing w:before="240" w:after="64" w:line="320" w:lineRule="auto"/>
      <w:outlineLvl w:val="8"/>
    </w:pPr>
    <w:rPr>
      <w:rFonts w:ascii="Arial" w:hAnsi="Arial" w:eastAsia="黑体"/>
      <w:sz w:val="20"/>
    </w:rPr>
  </w:style>
  <w:style w:type="character" w:styleId="939" w:default="1">
    <w:name w:val="Default Paragraph Font"/>
    <w:uiPriority w:val="1"/>
    <w:unhideWhenUsed/>
    <w:qFormat/>
  </w:style>
  <w:style w:type="table" w:styleId="940" w:default="1">
    <w:name w:val="Normal Table"/>
    <w:uiPriority w:val="99"/>
    <w:unhideWhenUsed/>
    <w:qFormat/>
    <w:tblPr>
      <w:tblCellMar>
        <w:left w:w="108" w:type="dxa"/>
        <w:top w:w="0" w:type="dxa"/>
        <w:right w:w="108" w:type="dxa"/>
        <w:bottom w:w="0" w:type="dxa"/>
      </w:tblCellMar>
    </w:tblPr>
  </w:style>
  <w:style w:type="paragraph" w:styleId="941">
    <w:name w:val="List 3"/>
    <w:basedOn w:val="929"/>
    <w:uiPriority w:val="0"/>
    <w:qFormat/>
    <w:pPr>
      <w:ind w:left="100" w:hanging="200"/>
    </w:pPr>
  </w:style>
  <w:style w:type="paragraph" w:styleId="942">
    <w:name w:val="toc 7"/>
    <w:basedOn w:val="929"/>
    <w:next w:val="929"/>
    <w:uiPriority w:val="0"/>
    <w:semiHidden/>
    <w:qFormat/>
    <w:pPr>
      <w:ind w:left="1260"/>
      <w:jc w:val="left"/>
    </w:pPr>
  </w:style>
  <w:style w:type="paragraph" w:styleId="943">
    <w:name w:val="Normal Indent"/>
    <w:basedOn w:val="929"/>
    <w:link w:val="992"/>
    <w:uiPriority w:val="99"/>
    <w:qFormat/>
    <w:pPr>
      <w:ind w:firstLine="420"/>
    </w:pPr>
    <w:rPr>
      <w:sz w:val="20"/>
    </w:rPr>
  </w:style>
  <w:style w:type="paragraph" w:styleId="944">
    <w:name w:val="Caption"/>
    <w:basedOn w:val="929"/>
    <w:next w:val="929"/>
    <w:uiPriority w:val="35"/>
    <w:unhideWhenUsed/>
    <w:qFormat/>
    <w:pPr>
      <w:spacing w:line="276" w:lineRule="auto"/>
    </w:pPr>
    <w:rPr>
      <w:b/>
      <w:bCs/>
      <w:color w:val="4f81bd"/>
      <w:sz w:val="18"/>
      <w:szCs w:val="18"/>
    </w:rPr>
  </w:style>
  <w:style w:type="paragraph" w:styleId="945">
    <w:name w:val="Document Map"/>
    <w:basedOn w:val="929"/>
    <w:link w:val="999"/>
    <w:uiPriority w:val="99"/>
    <w:semiHidden/>
    <w:qFormat/>
    <w:pPr>
      <w:shd w:val="clear" w:color="auto" w:fill="000080"/>
    </w:pPr>
    <w:rPr>
      <w:sz w:val="20"/>
    </w:rPr>
  </w:style>
  <w:style w:type="paragraph" w:styleId="946">
    <w:name w:val="annotation text"/>
    <w:basedOn w:val="929"/>
    <w:link w:val="1000"/>
    <w:uiPriority w:val="99"/>
    <w:qFormat/>
    <w:pPr>
      <w:jc w:val="left"/>
    </w:pPr>
    <w:rPr>
      <w:sz w:val="20"/>
    </w:rPr>
  </w:style>
  <w:style w:type="paragraph" w:styleId="947">
    <w:name w:val="Body Text 3"/>
    <w:basedOn w:val="929"/>
    <w:link w:val="1001"/>
    <w:uiPriority w:val="0"/>
    <w:qFormat/>
    <w:rPr>
      <w:rFonts w:ascii="仿宋_GB2312" w:hAnsi="Arial" w:eastAsia="仿宋_GB2312"/>
      <w:sz w:val="32"/>
      <w:szCs w:val="32"/>
    </w:rPr>
  </w:style>
  <w:style w:type="paragraph" w:styleId="948">
    <w:name w:val="Body Text"/>
    <w:basedOn w:val="929"/>
    <w:link w:val="1002"/>
    <w:uiPriority w:val="0"/>
    <w:qFormat/>
    <w:rPr>
      <w:rFonts w:ascii="楷体_GB2312" w:hAnsi="Arial" w:eastAsia="楷体_GB2312"/>
      <w:sz w:val="28"/>
      <w:szCs w:val="28"/>
    </w:rPr>
  </w:style>
  <w:style w:type="paragraph" w:styleId="949">
    <w:name w:val="Body Text Indent"/>
    <w:basedOn w:val="929"/>
    <w:link w:val="1003"/>
    <w:uiPriority w:val="0"/>
    <w:qFormat/>
    <w:pPr>
      <w:ind w:firstLine="645"/>
    </w:pPr>
    <w:rPr>
      <w:rFonts w:ascii="楷体_GB2312" w:eastAsia="楷体_GB2312"/>
      <w:sz w:val="32"/>
      <w:szCs w:val="32"/>
    </w:rPr>
  </w:style>
  <w:style w:type="paragraph" w:styleId="950">
    <w:name w:val="List 2"/>
    <w:basedOn w:val="929"/>
    <w:uiPriority w:val="0"/>
    <w:qFormat/>
    <w:pPr>
      <w:ind w:left="100" w:hanging="200"/>
    </w:pPr>
  </w:style>
  <w:style w:type="paragraph" w:styleId="951">
    <w:name w:val="toc 5"/>
    <w:basedOn w:val="929"/>
    <w:next w:val="929"/>
    <w:uiPriority w:val="0"/>
    <w:semiHidden/>
    <w:qFormat/>
    <w:pPr>
      <w:ind w:left="840"/>
      <w:jc w:val="left"/>
    </w:pPr>
  </w:style>
  <w:style w:type="paragraph" w:styleId="952">
    <w:name w:val="toc 3"/>
    <w:basedOn w:val="929"/>
    <w:next w:val="929"/>
    <w:uiPriority w:val="0"/>
    <w:semiHidden/>
    <w:qFormat/>
    <w:pPr>
      <w:ind w:left="420"/>
      <w:jc w:val="left"/>
    </w:pPr>
    <w:rPr>
      <w:i/>
      <w:iCs/>
      <w:szCs w:val="24"/>
    </w:rPr>
  </w:style>
  <w:style w:type="paragraph" w:styleId="953">
    <w:name w:val="Plain Text"/>
    <w:basedOn w:val="929"/>
    <w:link w:val="1004"/>
    <w:uiPriority w:val="0"/>
    <w:qFormat/>
    <w:rPr>
      <w:rFonts w:ascii="宋体" w:hAnsi="Courier New"/>
      <w:sz w:val="20"/>
    </w:rPr>
  </w:style>
  <w:style w:type="paragraph" w:styleId="954">
    <w:name w:val="toc 8"/>
    <w:basedOn w:val="929"/>
    <w:next w:val="929"/>
    <w:uiPriority w:val="0"/>
    <w:semiHidden/>
    <w:qFormat/>
    <w:pPr>
      <w:ind w:left="1470"/>
      <w:jc w:val="left"/>
    </w:pPr>
  </w:style>
  <w:style w:type="paragraph" w:styleId="955">
    <w:name w:val="Date"/>
    <w:basedOn w:val="929"/>
    <w:next w:val="929"/>
    <w:link w:val="1005"/>
    <w:uiPriority w:val="99"/>
    <w:qFormat/>
    <w:rPr>
      <w:sz w:val="24"/>
      <w:szCs w:val="24"/>
    </w:rPr>
  </w:style>
  <w:style w:type="paragraph" w:styleId="956">
    <w:name w:val="Body Text Indent 2"/>
    <w:basedOn w:val="929"/>
    <w:link w:val="1006"/>
    <w:uiPriority w:val="99"/>
    <w:qFormat/>
    <w:pPr>
      <w:ind w:left="630" w:firstLine="645"/>
    </w:pPr>
    <w:rPr>
      <w:rFonts w:ascii="Arial" w:hAnsi="Arial" w:eastAsia="仿宋_GB2312"/>
      <w:sz w:val="32"/>
      <w:szCs w:val="32"/>
    </w:rPr>
  </w:style>
  <w:style w:type="paragraph" w:styleId="957">
    <w:name w:val="endnote text"/>
    <w:basedOn w:val="929"/>
    <w:link w:val="1007"/>
    <w:uiPriority w:val="99"/>
    <w:unhideWhenUsed/>
    <w:qFormat/>
    <w:rPr>
      <w:sz w:val="20"/>
    </w:rPr>
  </w:style>
  <w:style w:type="paragraph" w:styleId="958">
    <w:name w:val="Balloon Text"/>
    <w:basedOn w:val="929"/>
    <w:link w:val="1008"/>
    <w:uiPriority w:val="99"/>
    <w:qFormat/>
    <w:rPr>
      <w:sz w:val="18"/>
      <w:szCs w:val="18"/>
    </w:rPr>
  </w:style>
  <w:style w:type="paragraph" w:styleId="959">
    <w:name w:val="Footer"/>
    <w:basedOn w:val="929"/>
    <w:link w:val="1009"/>
    <w:uiPriority w:val="0"/>
    <w:qFormat/>
    <w:pPr>
      <w:jc w:val="left"/>
      <w:tabs>
        <w:tab w:val="center" w:pos="4153" w:leader="none"/>
        <w:tab w:val="right" w:pos="8306" w:leader="none"/>
      </w:tabs>
    </w:pPr>
    <w:rPr>
      <w:sz w:val="18"/>
      <w:szCs w:val="18"/>
    </w:rPr>
  </w:style>
  <w:style w:type="paragraph" w:styleId="960">
    <w:name w:val="envelope return"/>
    <w:basedOn w:val="929"/>
    <w:uiPriority w:val="99"/>
    <w:unhideWhenUsed/>
    <w:qFormat/>
    <w:rPr>
      <w:rFonts w:ascii="Arial" w:hAnsi="Arial"/>
      <w:szCs w:val="20"/>
    </w:rPr>
  </w:style>
  <w:style w:type="paragraph" w:styleId="961">
    <w:name w:val="Header"/>
    <w:basedOn w:val="929"/>
    <w:link w:val="1010"/>
    <w:uiPriority w:val="0"/>
    <w:qFormat/>
    <w:pPr>
      <w:jc w:val="center"/>
      <w:tabs>
        <w:tab w:val="center" w:pos="4153" w:leader="none"/>
        <w:tab w:val="right" w:pos="8306" w:leader="none"/>
      </w:tabs>
      <w:pBdr>
        <w:bottom w:val="single" w:color="000000" w:sz="6" w:space="1"/>
      </w:pBdr>
    </w:pPr>
    <w:rPr>
      <w:sz w:val="18"/>
      <w:szCs w:val="18"/>
    </w:rPr>
  </w:style>
  <w:style w:type="paragraph" w:styleId="962">
    <w:name w:val="toc 1"/>
    <w:basedOn w:val="929"/>
    <w:next w:val="929"/>
    <w:uiPriority w:val="0"/>
    <w:semiHidden/>
    <w:qFormat/>
    <w:pPr>
      <w:jc w:val="left"/>
      <w:spacing w:before="120" w:after="120" w:line="400" w:lineRule="exact"/>
      <w:tabs>
        <w:tab w:val="right" w:pos="8720" w:leader="dot"/>
      </w:tabs>
    </w:pPr>
    <w:rPr>
      <w:rFonts w:ascii="宋体" w:hAnsi="宋体"/>
      <w:caps/>
      <w:sz w:val="24"/>
      <w:szCs w:val="24"/>
    </w:rPr>
  </w:style>
  <w:style w:type="paragraph" w:styleId="963">
    <w:name w:val="toc 4"/>
    <w:basedOn w:val="929"/>
    <w:next w:val="929"/>
    <w:uiPriority w:val="0"/>
    <w:semiHidden/>
    <w:qFormat/>
    <w:pPr>
      <w:ind w:left="630"/>
      <w:jc w:val="left"/>
    </w:pPr>
  </w:style>
  <w:style w:type="paragraph" w:styleId="964">
    <w:name w:val="Subtitle"/>
    <w:basedOn w:val="929"/>
    <w:next w:val="929"/>
    <w:link w:val="1011"/>
    <w:uiPriority w:val="0"/>
    <w:qFormat/>
    <w:pPr>
      <w:spacing w:before="200" w:after="200"/>
    </w:pPr>
    <w:rPr>
      <w:sz w:val="24"/>
      <w:szCs w:val="24"/>
    </w:rPr>
  </w:style>
  <w:style w:type="paragraph" w:styleId="965">
    <w:name w:val="List"/>
    <w:basedOn w:val="929"/>
    <w:uiPriority w:val="99"/>
    <w:qFormat/>
    <w:pPr>
      <w:ind w:left="200" w:hanging="200"/>
    </w:pPr>
  </w:style>
  <w:style w:type="paragraph" w:styleId="966">
    <w:name w:val="footnote text"/>
    <w:basedOn w:val="929"/>
    <w:link w:val="1012"/>
    <w:uiPriority w:val="99"/>
    <w:unhideWhenUsed/>
    <w:qFormat/>
    <w:pPr>
      <w:spacing w:after="40"/>
    </w:pPr>
    <w:rPr>
      <w:sz w:val="18"/>
    </w:rPr>
  </w:style>
  <w:style w:type="paragraph" w:styleId="967">
    <w:name w:val="toc 6"/>
    <w:basedOn w:val="929"/>
    <w:next w:val="929"/>
    <w:uiPriority w:val="0"/>
    <w:semiHidden/>
    <w:qFormat/>
    <w:pPr>
      <w:ind w:left="1050"/>
      <w:jc w:val="left"/>
    </w:pPr>
  </w:style>
  <w:style w:type="paragraph" w:styleId="968">
    <w:name w:val="Body Text Indent 3"/>
    <w:basedOn w:val="929"/>
    <w:link w:val="1013"/>
    <w:uiPriority w:val="99"/>
    <w:qFormat/>
    <w:pPr>
      <w:ind w:left="645" w:firstLine="645"/>
    </w:pPr>
    <w:rPr>
      <w:rFonts w:ascii="Arial" w:hAnsi="Arial" w:eastAsia="仿宋_GB2312"/>
      <w:color w:val="ffff00"/>
      <w:sz w:val="32"/>
      <w:szCs w:val="32"/>
    </w:rPr>
  </w:style>
  <w:style w:type="paragraph" w:styleId="969">
    <w:name w:val="table of figures"/>
    <w:basedOn w:val="929"/>
    <w:next w:val="929"/>
    <w:uiPriority w:val="0"/>
    <w:semiHidden/>
    <w:qFormat/>
    <w:pPr>
      <w:ind w:left="840" w:hanging="420"/>
    </w:pPr>
  </w:style>
  <w:style w:type="paragraph" w:styleId="970">
    <w:name w:val="toc 2"/>
    <w:basedOn w:val="929"/>
    <w:next w:val="929"/>
    <w:uiPriority w:val="0"/>
    <w:semiHidden/>
    <w:qFormat/>
    <w:pPr>
      <w:ind w:left="210"/>
      <w:jc w:val="left"/>
    </w:pPr>
    <w:rPr>
      <w:smallCaps/>
      <w:szCs w:val="24"/>
    </w:rPr>
  </w:style>
  <w:style w:type="paragraph" w:styleId="971">
    <w:name w:val="toc 9"/>
    <w:basedOn w:val="929"/>
    <w:next w:val="929"/>
    <w:uiPriority w:val="0"/>
    <w:semiHidden/>
    <w:qFormat/>
    <w:pPr>
      <w:ind w:left="1680"/>
      <w:jc w:val="left"/>
    </w:pPr>
  </w:style>
  <w:style w:type="paragraph" w:styleId="972">
    <w:name w:val="Body Text 2"/>
    <w:basedOn w:val="929"/>
    <w:link w:val="1014"/>
    <w:uiPriority w:val="0"/>
    <w:qFormat/>
    <w:pPr>
      <w:jc w:val="center"/>
      <w:widowControl/>
    </w:pPr>
    <w:rPr>
      <w:rFonts w:ascii="楷体_GB2312" w:eastAsia="楷体_GB2312"/>
      <w:sz w:val="28"/>
      <w:szCs w:val="28"/>
    </w:rPr>
  </w:style>
  <w:style w:type="paragraph" w:styleId="973">
    <w:name w:val="Normal (Web)"/>
    <w:basedOn w:val="929"/>
    <w:uiPriority w:val="0"/>
    <w:qFormat/>
    <w:pPr>
      <w:jc w:val="left"/>
      <w:spacing w:before="100" w:beforeAutospacing="1" w:after="100" w:afterAutospacing="1"/>
      <w:widowControl/>
    </w:pPr>
    <w:rPr>
      <w:rFonts w:ascii="宋体" w:hAnsi="宋体" w:cs="宋体"/>
      <w:sz w:val="24"/>
      <w:szCs w:val="24"/>
    </w:rPr>
  </w:style>
  <w:style w:type="paragraph" w:styleId="974">
    <w:name w:val="index 1"/>
    <w:basedOn w:val="929"/>
    <w:next w:val="929"/>
    <w:uiPriority w:val="0"/>
    <w:semiHidden/>
    <w:qFormat/>
    <w:pPr>
      <w:spacing w:line="240" w:lineRule="atLeast"/>
    </w:pPr>
    <w:rPr>
      <w:b/>
      <w:bCs/>
    </w:rPr>
  </w:style>
  <w:style w:type="paragraph" w:styleId="975">
    <w:name w:val="Title"/>
    <w:basedOn w:val="929"/>
    <w:next w:val="929"/>
    <w:link w:val="1015"/>
    <w:uiPriority w:val="0"/>
    <w:qFormat/>
    <w:pPr>
      <w:contextualSpacing/>
      <w:spacing w:before="300" w:after="200"/>
    </w:pPr>
    <w:rPr>
      <w:sz w:val="48"/>
      <w:szCs w:val="48"/>
    </w:rPr>
  </w:style>
  <w:style w:type="paragraph" w:styleId="976">
    <w:name w:val="annotation subject"/>
    <w:basedOn w:val="946"/>
    <w:next w:val="946"/>
    <w:link w:val="1016"/>
    <w:uiPriority w:val="0"/>
    <w:qFormat/>
    <w:rPr>
      <w:b/>
      <w:bCs/>
    </w:rPr>
  </w:style>
  <w:style w:type="paragraph" w:styleId="977">
    <w:name w:val="Body Text First Indent"/>
    <w:basedOn w:val="929"/>
    <w:link w:val="1017"/>
    <w:uiPriority w:val="0"/>
    <w:qFormat/>
    <w:pPr>
      <w:ind w:firstLine="200"/>
      <w:spacing w:line="360" w:lineRule="auto"/>
    </w:pPr>
    <w:rPr>
      <w:rFonts w:ascii="仿宋_GB2312" w:eastAsia="仿宋_GB2312"/>
      <w:sz w:val="30"/>
      <w:szCs w:val="30"/>
    </w:rPr>
  </w:style>
  <w:style w:type="paragraph" w:styleId="978">
    <w:name w:val="Body Text First Indent 2"/>
    <w:basedOn w:val="949"/>
    <w:link w:val="1018"/>
    <w:uiPriority w:val="99"/>
    <w:qFormat/>
    <w:pPr>
      <w:ind w:firstLine="420"/>
      <w:spacing w:line="360" w:lineRule="auto"/>
    </w:pPr>
    <w:rPr>
      <w:rFonts w:ascii="宋体" w:hAnsi="宋体" w:eastAsia="宋体"/>
      <w:szCs w:val="20"/>
    </w:rPr>
  </w:style>
  <w:style w:type="table" w:styleId="979">
    <w:name w:val="Table Grid"/>
    <w:basedOn w:val="940"/>
    <w:uiPriority w:val="0"/>
    <w:qFormat/>
    <w:pPr>
      <w:jc w:val="both"/>
      <w:widowControl w:val="off"/>
    </w:pPr>
    <w:tblPr>
      <w:tblCellMar>
        <w:left w:w="108" w:type="dxa"/>
        <w:top w:w="0" w:type="dxa"/>
        <w:right w:w="108" w:type="dxa"/>
        <w:bottom w:w="0" w:type="dxa"/>
      </w:tblCellMar>
    </w:tblPr>
  </w:style>
  <w:style w:type="character" w:styleId="980">
    <w:name w:val="Strong"/>
    <w:uiPriority w:val="99"/>
    <w:qFormat/>
    <w:rPr>
      <w:b/>
      <w:bCs/>
    </w:rPr>
  </w:style>
  <w:style w:type="character" w:styleId="981">
    <w:name w:val="endnote reference"/>
    <w:uiPriority w:val="99"/>
    <w:unhideWhenUsed/>
    <w:qFormat/>
    <w:rPr>
      <w:vertAlign w:val="superscript"/>
    </w:rPr>
  </w:style>
  <w:style w:type="character" w:styleId="982">
    <w:name w:val="page number"/>
    <w:uiPriority w:val="99"/>
    <w:qFormat/>
  </w:style>
  <w:style w:type="character" w:styleId="983">
    <w:name w:val="FollowedHyperlink"/>
    <w:uiPriority w:val="99"/>
    <w:qFormat/>
    <w:rPr>
      <w:rFonts w:cs="Times New Roman"/>
      <w:color w:val="auto"/>
      <w:u w:val="none"/>
    </w:rPr>
  </w:style>
  <w:style w:type="character" w:styleId="984">
    <w:name w:val="HTML Typewriter"/>
    <w:uiPriority w:val="99"/>
    <w:qFormat/>
    <w:rPr>
      <w:rFonts w:ascii="宋体" w:hAnsi="宋体" w:eastAsia="宋体" w:cs="宋体"/>
      <w:sz w:val="24"/>
      <w:szCs w:val="24"/>
    </w:rPr>
  </w:style>
  <w:style w:type="character" w:styleId="985">
    <w:name w:val="Hyperlink"/>
    <w:uiPriority w:val="99"/>
    <w:qFormat/>
    <w:rPr>
      <w:color w:val="0000ff"/>
      <w:u w:val="single"/>
    </w:rPr>
  </w:style>
  <w:style w:type="character" w:styleId="986">
    <w:name w:val="annotation reference"/>
    <w:uiPriority w:val="99"/>
    <w:qFormat/>
    <w:rPr>
      <w:sz w:val="21"/>
      <w:szCs w:val="21"/>
    </w:rPr>
  </w:style>
  <w:style w:type="character" w:styleId="987">
    <w:name w:val="footnote reference"/>
    <w:uiPriority w:val="99"/>
    <w:unhideWhenUsed/>
    <w:qFormat/>
    <w:rPr>
      <w:vertAlign w:val="superscript"/>
    </w:rPr>
  </w:style>
  <w:style w:type="paragraph" w:styleId="988" w:customStyle="1">
    <w:name w:val="标题 21"/>
    <w:basedOn w:val="929"/>
    <w:next w:val="929"/>
    <w:uiPriority w:val="99"/>
    <w:qFormat/>
    <w:pPr>
      <w:jc w:val="center"/>
      <w:keepLines/>
      <w:keepNext/>
      <w:spacing w:before="260" w:after="260" w:line="416" w:lineRule="auto"/>
      <w:outlineLvl w:val="1"/>
    </w:pPr>
    <w:rPr>
      <w:rFonts w:ascii="Arial" w:hAnsi="Arial" w:eastAsia="幼圆"/>
      <w:b/>
      <w:bCs/>
      <w:sz w:val="44"/>
      <w:szCs w:val="44"/>
    </w:rPr>
  </w:style>
  <w:style w:type="character" w:styleId="989" w:customStyle="1">
    <w:name w:val="标题 2 Char"/>
    <w:link w:val="931"/>
    <w:uiPriority w:val="99"/>
    <w:qFormat/>
    <w:rPr>
      <w:rFonts w:ascii="Arial" w:hAnsi="Arial" w:eastAsia="幼圆" w:cs="Arial"/>
      <w:b/>
      <w:bCs/>
      <w:sz w:val="44"/>
      <w:szCs w:val="44"/>
    </w:rPr>
  </w:style>
  <w:style w:type="character" w:styleId="990" w:customStyle="1">
    <w:name w:val="标题 1 Char"/>
    <w:link w:val="930"/>
    <w:uiPriority w:val="99"/>
    <w:qFormat/>
    <w:rPr>
      <w:rFonts w:ascii="楷体_GB2312" w:hAnsi="Times New Roman" w:eastAsia="楷体_GB2312" w:cs="Times New Roman"/>
      <w:sz w:val="28"/>
      <w:szCs w:val="28"/>
    </w:rPr>
  </w:style>
  <w:style w:type="character" w:styleId="991" w:customStyle="1">
    <w:name w:val="标题 3 Char"/>
    <w:link w:val="932"/>
    <w:uiPriority w:val="99"/>
    <w:qFormat/>
    <w:rPr>
      <w:rFonts w:ascii="Times New Roman" w:hAnsi="Times New Roman" w:eastAsia="宋体" w:cs="Times New Roman"/>
      <w:b/>
      <w:bCs/>
      <w:sz w:val="32"/>
      <w:szCs w:val="32"/>
    </w:rPr>
  </w:style>
  <w:style w:type="character" w:styleId="992" w:customStyle="1">
    <w:name w:val="正文缩进 Char"/>
    <w:link w:val="943"/>
    <w:uiPriority w:val="0"/>
    <w:qFormat/>
    <w:rPr>
      <w:rFonts w:ascii="Times New Roman" w:hAnsi="Times New Roman" w:eastAsia="宋体" w:cs="Times New Roman"/>
      <w:szCs w:val="21"/>
    </w:rPr>
  </w:style>
  <w:style w:type="character" w:styleId="993" w:customStyle="1">
    <w:name w:val="标题 4 Char"/>
    <w:link w:val="933"/>
    <w:uiPriority w:val="99"/>
    <w:qFormat/>
    <w:rPr>
      <w:rFonts w:ascii="Arial" w:hAnsi="Arial" w:eastAsia="黑体" w:cs="Arial"/>
      <w:b/>
      <w:bCs/>
      <w:sz w:val="28"/>
      <w:szCs w:val="28"/>
    </w:rPr>
  </w:style>
  <w:style w:type="character" w:styleId="994" w:customStyle="1">
    <w:name w:val="标题 5 Char"/>
    <w:link w:val="934"/>
    <w:uiPriority w:val="99"/>
    <w:qFormat/>
    <w:rPr>
      <w:rFonts w:ascii="宋体" w:hAnsi="Times New Roman" w:eastAsia="宋体" w:cs="Times New Roman"/>
      <w:color w:val="000000"/>
      <w:sz w:val="28"/>
      <w:szCs w:val="28"/>
    </w:rPr>
  </w:style>
  <w:style w:type="character" w:styleId="995" w:customStyle="1">
    <w:name w:val="标题 6 Char"/>
    <w:link w:val="935"/>
    <w:uiPriority w:val="0"/>
    <w:qFormat/>
    <w:rPr>
      <w:rFonts w:ascii="Arial" w:hAnsi="Arial" w:eastAsia="黑体"/>
      <w:b/>
      <w:bCs/>
      <w:sz w:val="24"/>
      <w:szCs w:val="24"/>
    </w:rPr>
  </w:style>
  <w:style w:type="character" w:styleId="996" w:customStyle="1">
    <w:name w:val="标题 7 Char"/>
    <w:link w:val="936"/>
    <w:uiPriority w:val="0"/>
    <w:qFormat/>
    <w:rPr>
      <w:b/>
      <w:bCs/>
      <w:sz w:val="24"/>
      <w:szCs w:val="24"/>
    </w:rPr>
  </w:style>
  <w:style w:type="character" w:styleId="997" w:customStyle="1">
    <w:name w:val="标题 8 Char"/>
    <w:link w:val="937"/>
    <w:uiPriority w:val="0"/>
    <w:qFormat/>
    <w:rPr>
      <w:rFonts w:ascii="Arial" w:hAnsi="Arial" w:eastAsia="黑体"/>
      <w:sz w:val="24"/>
      <w:szCs w:val="24"/>
    </w:rPr>
  </w:style>
  <w:style w:type="character" w:styleId="998" w:customStyle="1">
    <w:name w:val="标题 9 Char"/>
    <w:link w:val="938"/>
    <w:uiPriority w:val="0"/>
    <w:qFormat/>
    <w:rPr>
      <w:rFonts w:ascii="Arial" w:hAnsi="Arial" w:eastAsia="黑体"/>
      <w:szCs w:val="21"/>
    </w:rPr>
  </w:style>
  <w:style w:type="character" w:styleId="999" w:customStyle="1">
    <w:name w:val="文档结构图 Char"/>
    <w:link w:val="945"/>
    <w:uiPriority w:val="99"/>
    <w:semiHidden/>
    <w:qFormat/>
    <w:rPr>
      <w:rFonts w:ascii="Times New Roman" w:hAnsi="Times New Roman" w:eastAsia="宋体" w:cs="Times New Roman"/>
      <w:szCs w:val="21"/>
      <w:shd w:val="clear" w:color="auto" w:fill="000080"/>
    </w:rPr>
  </w:style>
  <w:style w:type="character" w:styleId="1000" w:customStyle="1">
    <w:name w:val="批注文字 Char"/>
    <w:link w:val="946"/>
    <w:uiPriority w:val="99"/>
    <w:qFormat/>
    <w:rPr>
      <w:rFonts w:ascii="Times New Roman" w:hAnsi="Times New Roman" w:eastAsia="宋体" w:cs="Times New Roman"/>
      <w:szCs w:val="21"/>
    </w:rPr>
  </w:style>
  <w:style w:type="character" w:styleId="1001" w:customStyle="1">
    <w:name w:val="正文文本 3 Char"/>
    <w:link w:val="947"/>
    <w:uiPriority w:val="0"/>
    <w:qFormat/>
    <w:rPr>
      <w:rFonts w:ascii="仿宋_GB2312" w:hAnsi="Arial" w:eastAsia="仿宋_GB2312" w:cs="Times New Roman"/>
      <w:sz w:val="32"/>
      <w:szCs w:val="32"/>
    </w:rPr>
  </w:style>
  <w:style w:type="character" w:styleId="1002" w:customStyle="1">
    <w:name w:val="正文文本 Char"/>
    <w:link w:val="948"/>
    <w:uiPriority w:val="99"/>
    <w:qFormat/>
    <w:rPr>
      <w:rFonts w:ascii="楷体_GB2312" w:hAnsi="Arial" w:eastAsia="楷体_GB2312" w:cs="Times New Roman"/>
      <w:sz w:val="28"/>
      <w:szCs w:val="28"/>
    </w:rPr>
  </w:style>
  <w:style w:type="character" w:styleId="1003" w:customStyle="1">
    <w:name w:val="正文文本缩进 Char"/>
    <w:link w:val="949"/>
    <w:uiPriority w:val="0"/>
    <w:qFormat/>
    <w:rPr>
      <w:rFonts w:ascii="楷体_GB2312" w:hAnsi="Times New Roman" w:eastAsia="楷体_GB2312" w:cs="Times New Roman"/>
      <w:sz w:val="32"/>
      <w:szCs w:val="32"/>
    </w:rPr>
  </w:style>
  <w:style w:type="character" w:styleId="1004" w:customStyle="1">
    <w:name w:val="纯文本 Char"/>
    <w:link w:val="953"/>
    <w:uiPriority w:val="0"/>
    <w:qFormat/>
    <w:rPr>
      <w:rFonts w:ascii="宋体" w:hAnsi="Courier New" w:eastAsia="宋体" w:cs="Courier New"/>
      <w:szCs w:val="21"/>
    </w:rPr>
  </w:style>
  <w:style w:type="character" w:styleId="1005" w:customStyle="1">
    <w:name w:val="日期 Char"/>
    <w:link w:val="955"/>
    <w:uiPriority w:val="99"/>
    <w:qFormat/>
    <w:rPr>
      <w:rFonts w:ascii="Times New Roman" w:hAnsi="Times New Roman" w:eastAsia="宋体" w:cs="Times New Roman"/>
      <w:sz w:val="24"/>
      <w:szCs w:val="24"/>
    </w:rPr>
  </w:style>
  <w:style w:type="character" w:styleId="1006" w:customStyle="1">
    <w:name w:val="正文文本缩进 2 Char"/>
    <w:link w:val="956"/>
    <w:uiPriority w:val="99"/>
    <w:qFormat/>
    <w:rPr>
      <w:rFonts w:ascii="Arial" w:hAnsi="Arial" w:eastAsia="仿宋_GB2312" w:cs="Arial"/>
      <w:sz w:val="32"/>
      <w:szCs w:val="32"/>
    </w:rPr>
  </w:style>
  <w:style w:type="character" w:styleId="1007" w:customStyle="1">
    <w:name w:val="尾注文本 Char"/>
    <w:link w:val="957"/>
    <w:uiPriority w:val="99"/>
    <w:qFormat/>
    <w:rPr>
      <w:sz w:val="20"/>
    </w:rPr>
  </w:style>
  <w:style w:type="character" w:styleId="1008" w:customStyle="1">
    <w:name w:val="批注框文本 Char"/>
    <w:link w:val="958"/>
    <w:uiPriority w:val="99"/>
    <w:semiHidden/>
    <w:qFormat/>
    <w:rPr>
      <w:rFonts w:ascii="Times New Roman" w:hAnsi="Times New Roman" w:eastAsia="宋体" w:cs="Times New Roman"/>
      <w:sz w:val="18"/>
      <w:szCs w:val="18"/>
    </w:rPr>
  </w:style>
  <w:style w:type="character" w:styleId="1009" w:customStyle="1">
    <w:name w:val="页脚 Char"/>
    <w:link w:val="959"/>
    <w:uiPriority w:val="0"/>
    <w:qFormat/>
    <w:rPr>
      <w:rFonts w:ascii="Times New Roman" w:hAnsi="Times New Roman" w:eastAsia="宋体" w:cs="Times New Roman"/>
      <w:sz w:val="18"/>
      <w:szCs w:val="18"/>
    </w:rPr>
  </w:style>
  <w:style w:type="character" w:styleId="1010" w:customStyle="1">
    <w:name w:val="页眉 Char"/>
    <w:link w:val="961"/>
    <w:uiPriority w:val="0"/>
    <w:qFormat/>
    <w:rPr>
      <w:rFonts w:ascii="Times New Roman" w:hAnsi="Times New Roman" w:eastAsia="宋体" w:cs="Times New Roman"/>
      <w:sz w:val="18"/>
      <w:szCs w:val="18"/>
    </w:rPr>
  </w:style>
  <w:style w:type="character" w:styleId="1011" w:customStyle="1">
    <w:name w:val="副标题 Char"/>
    <w:link w:val="964"/>
    <w:uiPriority w:val="11"/>
    <w:qFormat/>
    <w:rPr>
      <w:sz w:val="24"/>
      <w:szCs w:val="24"/>
    </w:rPr>
  </w:style>
  <w:style w:type="character" w:styleId="1012" w:customStyle="1">
    <w:name w:val="脚注文本 Char"/>
    <w:link w:val="966"/>
    <w:uiPriority w:val="99"/>
    <w:qFormat/>
    <w:rPr>
      <w:sz w:val="18"/>
    </w:rPr>
  </w:style>
  <w:style w:type="character" w:styleId="1013" w:customStyle="1">
    <w:name w:val="正文文本缩进 3 Char"/>
    <w:link w:val="968"/>
    <w:uiPriority w:val="99"/>
    <w:qFormat/>
    <w:rPr>
      <w:rFonts w:ascii="Arial" w:hAnsi="Arial" w:eastAsia="仿宋_GB2312" w:cs="Arial"/>
      <w:color w:val="ffff00"/>
      <w:sz w:val="32"/>
      <w:szCs w:val="32"/>
    </w:rPr>
  </w:style>
  <w:style w:type="character" w:styleId="1014" w:customStyle="1">
    <w:name w:val="正文文本 2 Char"/>
    <w:link w:val="972"/>
    <w:uiPriority w:val="99"/>
    <w:qFormat/>
    <w:rPr>
      <w:rFonts w:ascii="楷体_GB2312" w:hAnsi="Times New Roman" w:eastAsia="楷体_GB2312" w:cs="Times New Roman"/>
      <w:sz w:val="28"/>
      <w:szCs w:val="28"/>
    </w:rPr>
  </w:style>
  <w:style w:type="character" w:styleId="1015" w:customStyle="1">
    <w:name w:val="标题 Char"/>
    <w:link w:val="975"/>
    <w:uiPriority w:val="10"/>
    <w:qFormat/>
    <w:rPr>
      <w:sz w:val="48"/>
      <w:szCs w:val="48"/>
    </w:rPr>
  </w:style>
  <w:style w:type="character" w:styleId="1016" w:customStyle="1">
    <w:name w:val="批注主题 Char"/>
    <w:link w:val="976"/>
    <w:uiPriority w:val="0"/>
    <w:qFormat/>
    <w:rPr>
      <w:rFonts w:ascii="Times New Roman" w:hAnsi="Times New Roman" w:eastAsia="宋体" w:cs="Times New Roman"/>
      <w:b/>
      <w:bCs/>
      <w:szCs w:val="21"/>
    </w:rPr>
  </w:style>
  <w:style w:type="character" w:styleId="1017" w:customStyle="1">
    <w:name w:val="正文首行缩进 Char"/>
    <w:link w:val="977"/>
    <w:uiPriority w:val="0"/>
    <w:qFormat/>
    <w:rPr>
      <w:rFonts w:ascii="仿宋_GB2312" w:hAnsi="Times New Roman" w:eastAsia="仿宋_GB2312" w:cs="Times New Roman"/>
      <w:sz w:val="30"/>
      <w:szCs w:val="30"/>
    </w:rPr>
  </w:style>
  <w:style w:type="character" w:styleId="1018" w:customStyle="1">
    <w:name w:val="正文首行缩进 2 Char"/>
    <w:link w:val="978"/>
    <w:uiPriority w:val="99"/>
    <w:qFormat/>
    <w:rPr>
      <w:rFonts w:ascii="宋体" w:hAnsi="宋体" w:eastAsia="宋体" w:cs="Times New Roman"/>
      <w:sz w:val="32"/>
      <w:szCs w:val="20"/>
    </w:rPr>
  </w:style>
  <w:style w:type="character" w:styleId="1019" w:customStyle="1">
    <w:name w:val="Heading 1 Char"/>
    <w:uiPriority w:val="9"/>
    <w:qFormat/>
    <w:rPr>
      <w:rFonts w:ascii="Arial" w:hAnsi="Arial" w:eastAsia="Arial" w:cs="Arial"/>
      <w:sz w:val="40"/>
      <w:szCs w:val="40"/>
    </w:rPr>
  </w:style>
  <w:style w:type="character" w:styleId="1020" w:customStyle="1">
    <w:name w:val="Heading 2 Char"/>
    <w:uiPriority w:val="9"/>
    <w:qFormat/>
    <w:rPr>
      <w:rFonts w:ascii="Arial" w:hAnsi="Arial" w:eastAsia="Arial" w:cs="Arial"/>
      <w:sz w:val="34"/>
    </w:rPr>
  </w:style>
  <w:style w:type="character" w:styleId="1021" w:customStyle="1">
    <w:name w:val="Heading 3 Char"/>
    <w:uiPriority w:val="9"/>
    <w:qFormat/>
    <w:rPr>
      <w:rFonts w:ascii="Arial" w:hAnsi="Arial" w:eastAsia="Arial" w:cs="Arial"/>
      <w:sz w:val="30"/>
      <w:szCs w:val="30"/>
    </w:rPr>
  </w:style>
  <w:style w:type="character" w:styleId="1022" w:customStyle="1">
    <w:name w:val="Heading 4 Char"/>
    <w:uiPriority w:val="9"/>
    <w:qFormat/>
    <w:rPr>
      <w:rFonts w:ascii="Arial" w:hAnsi="Arial" w:eastAsia="Arial" w:cs="Arial"/>
      <w:b/>
      <w:bCs/>
      <w:sz w:val="26"/>
      <w:szCs w:val="26"/>
    </w:rPr>
  </w:style>
  <w:style w:type="character" w:styleId="1023" w:customStyle="1">
    <w:name w:val="Heading 5 Char"/>
    <w:uiPriority w:val="9"/>
    <w:qFormat/>
    <w:rPr>
      <w:rFonts w:ascii="Arial" w:hAnsi="Arial" w:eastAsia="Arial" w:cs="Arial"/>
      <w:b/>
      <w:bCs/>
      <w:sz w:val="24"/>
      <w:szCs w:val="24"/>
    </w:rPr>
  </w:style>
  <w:style w:type="character" w:styleId="1024" w:customStyle="1">
    <w:name w:val="Heading 6 Char"/>
    <w:uiPriority w:val="9"/>
    <w:qFormat/>
    <w:rPr>
      <w:rFonts w:ascii="Arial" w:hAnsi="Arial" w:eastAsia="Arial" w:cs="Arial"/>
      <w:b/>
      <w:bCs/>
      <w:sz w:val="22"/>
      <w:szCs w:val="22"/>
    </w:rPr>
  </w:style>
  <w:style w:type="character" w:styleId="1025" w:customStyle="1">
    <w:name w:val="Heading 7 Char"/>
    <w:uiPriority w:val="9"/>
    <w:qFormat/>
    <w:rPr>
      <w:rFonts w:ascii="Arial" w:hAnsi="Arial" w:eastAsia="Arial" w:cs="Arial"/>
      <w:b/>
      <w:bCs/>
      <w:i/>
      <w:iCs/>
      <w:sz w:val="22"/>
      <w:szCs w:val="22"/>
    </w:rPr>
  </w:style>
  <w:style w:type="character" w:styleId="1026" w:customStyle="1">
    <w:name w:val="Heading 8 Char"/>
    <w:uiPriority w:val="9"/>
    <w:qFormat/>
    <w:rPr>
      <w:rFonts w:ascii="Arial" w:hAnsi="Arial" w:eastAsia="Arial" w:cs="Arial"/>
      <w:i/>
      <w:iCs/>
      <w:sz w:val="22"/>
      <w:szCs w:val="22"/>
    </w:rPr>
  </w:style>
  <w:style w:type="character" w:styleId="1027" w:customStyle="1">
    <w:name w:val="Heading 9 Char"/>
    <w:uiPriority w:val="9"/>
    <w:qFormat/>
    <w:rPr>
      <w:rFonts w:ascii="Arial" w:hAnsi="Arial" w:eastAsia="Arial" w:cs="Arial"/>
      <w:i/>
      <w:iCs/>
      <w:sz w:val="21"/>
      <w:szCs w:val="21"/>
    </w:rPr>
  </w:style>
  <w:style w:type="paragraph" w:styleId="1028">
    <w:name w:val="List Paragraph"/>
    <w:basedOn w:val="929"/>
    <w:uiPriority w:val="34"/>
    <w:qFormat/>
    <w:pPr>
      <w:contextualSpacing/>
      <w:ind w:left="720"/>
      <w:jc w:val="left"/>
      <w:widowControl/>
    </w:pPr>
    <w:rPr>
      <w:rFonts w:ascii="Calibri" w:hAnsi="Calibri"/>
      <w:sz w:val="24"/>
      <w:szCs w:val="24"/>
      <w:lang w:eastAsia="en-US" w:bidi="en-US"/>
    </w:rPr>
  </w:style>
  <w:style w:type="paragraph" w:styleId="1029">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30">
    <w:name w:val="Quote"/>
    <w:basedOn w:val="929"/>
    <w:next w:val="929"/>
    <w:link w:val="1031"/>
    <w:uiPriority w:val="29"/>
    <w:qFormat/>
    <w:pPr>
      <w:ind w:left="720" w:right="720"/>
    </w:pPr>
    <w:rPr>
      <w:i/>
    </w:rPr>
  </w:style>
  <w:style w:type="character" w:styleId="1031" w:customStyle="1">
    <w:name w:val="引用 Char"/>
    <w:link w:val="1030"/>
    <w:uiPriority w:val="29"/>
    <w:qFormat/>
    <w:rPr>
      <w:i/>
    </w:rPr>
  </w:style>
  <w:style w:type="paragraph" w:styleId="1032">
    <w:name w:val="Intense Quote"/>
    <w:basedOn w:val="929"/>
    <w:next w:val="929"/>
    <w:link w:val="10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3" w:customStyle="1">
    <w:name w:val="明显引用 Char"/>
    <w:link w:val="1032"/>
    <w:uiPriority w:val="30"/>
    <w:qFormat/>
    <w:rPr>
      <w:i/>
    </w:rPr>
  </w:style>
  <w:style w:type="character" w:styleId="1034" w:customStyle="1">
    <w:name w:val="Header Char"/>
    <w:uiPriority w:val="99"/>
    <w:qFormat/>
  </w:style>
  <w:style w:type="character" w:styleId="1035" w:customStyle="1">
    <w:name w:val="Footer Char"/>
    <w:uiPriority w:val="99"/>
    <w:qFormat/>
  </w:style>
  <w:style w:type="character" w:styleId="1036" w:customStyle="1">
    <w:name w:val="Caption Char"/>
    <w:uiPriority w:val="99"/>
    <w:qFormat/>
  </w:style>
  <w:style w:type="table" w:styleId="103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38"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4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4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4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4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50"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2"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9"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0"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4"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ebebe" w:fill="bebebe"/>
    </w:tc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be5f1" w:fill="dbe5f1"/>
    </w:tc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d" w:fill="eaf1dd"/>
    </w:tc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9" w:fill="fde9d9"/>
    </w:tc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8"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107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1080"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blStylePr>
  </w:style>
  <w:style w:type="table" w:styleId="1081"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10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blStylePr>
  </w:style>
  <w:style w:type="table" w:styleId="108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108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9"/>
        <w:sz w:val="22"/>
      </w:rPr>
      <w:tcPr>
        <w:shd w:val="clear" w:color="fde9d9" w:fill="fde9d9"/>
      </w:tcPr>
    </w:tblStylePr>
    <w:tblStylePr w:type="band1Vert">
      <w:tcPr>
        <w:shd w:val="clear" w:color="fde9d9" w:fill="fde9d9"/>
      </w:tcPr>
    </w:tblStylePr>
    <w:tblStylePr w:type="band2Horz">
      <w:rPr>
        <w:rFonts w:ascii="Arial" w:hAnsi="Arial"/>
        <w:color w:val="266779"/>
        <w:sz w:val="22"/>
      </w:rPr>
    </w:tblStylePr>
    <w:tblStylePr w:type="firstCol">
      <w:rPr>
        <w:b/>
        <w:color w:val="266779"/>
      </w:rPr>
    </w:tblStylePr>
    <w:tblStylePr w:type="firstRow">
      <w:rPr>
        <w:b/>
        <w:color w:val="266779"/>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1085"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8"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15407"/>
        <w:sz w:val="22"/>
      </w:rPr>
      <w:tcPr>
        <w:shd w:val="clear" w:color="fde9d9" w:fill="fde9d9"/>
      </w:tcPr>
    </w:tblStylePr>
    <w:tblStylePr w:type="band1Vert">
      <w:tcPr>
        <w:shd w:val="clear" w:color="fde9d9" w:fill="fde9d9"/>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2"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4"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5"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8"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9"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1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101"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1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1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1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1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110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0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0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10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11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1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1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15"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1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1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20"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cPr>
      <w:shd w:val="clear" w:color="7e7e7e" w:fill="7e7e7e"/>
    </w:tc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11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1122"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cPr>
      <w:shd w:val="clear" w:color="d99795" w:fill="d99795"/>
    </w:tc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12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cPr>
      <w:shd w:val="clear" w:color="c3d69c" w:fill="c3d69c"/>
    </w:tc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1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1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12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127"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9"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0"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b/>
        <w:color w:val="c3d69c"/>
      </w:rPr>
    </w:tblStylePr>
    <w:tblStylePr w:type="firstRow">
      <w:rPr>
        <w:b/>
        <w:color w:val="c3d69c"/>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c"/>
      </w:rPr>
    </w:tblStylePr>
    <w:tblStylePr w:type="lastRow">
      <w:rPr>
        <w:b/>
        <w:color w:val="c3d69c"/>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4"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6"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7"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rFonts w:ascii="Arial" w:hAnsi="Arial"/>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c"/>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c"/>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c"/>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4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49"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50"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5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5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5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5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55"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62" w:customStyle="1">
    <w:name w:val="TOC Heading"/>
    <w:uiPriority w:val="39"/>
    <w:unhideWhenUsed/>
    <w:qFormat/>
    <w:rPr>
      <w:rFonts w:ascii="Times New Roman" w:hAnsi="Times New Roman" w:eastAsia="宋体" w:cs="Times New Roman"/>
      <w:lang w:val="en-US" w:eastAsia="zh-CN" w:bidi="ar-SA"/>
    </w:rPr>
  </w:style>
  <w:style w:type="character" w:styleId="1163" w:customStyle="1">
    <w:name w:val="已访问的超链接1"/>
    <w:uiPriority w:val="0"/>
    <w:qFormat/>
    <w:rPr>
      <w:color w:val="800080"/>
      <w:u w:val="single"/>
    </w:rPr>
  </w:style>
  <w:style w:type="character" w:styleId="1164" w:customStyle="1">
    <w:name w:val="font5 Char"/>
    <w:uiPriority w:val="0"/>
    <w:qFormat/>
    <w:rPr>
      <w:rFonts w:ascii="宋体" w:hAnsi="宋体" w:eastAsia="宋体"/>
      <w:sz w:val="28"/>
      <w:szCs w:val="28"/>
      <w:lang w:val="en-US" w:eastAsia="zh-CN" w:bidi="ar-SA"/>
    </w:rPr>
  </w:style>
  <w:style w:type="character" w:styleId="1165" w:customStyle="1">
    <w:name w:val="二级目录 Char"/>
    <w:link w:val="1166"/>
    <w:uiPriority w:val="0"/>
    <w:qFormat/>
    <w:rPr>
      <w:b/>
      <w:sz w:val="30"/>
      <w:szCs w:val="28"/>
    </w:rPr>
  </w:style>
  <w:style w:type="paragraph" w:styleId="1166" w:customStyle="1">
    <w:name w:val="二级目录"/>
    <w:next w:val="929"/>
    <w:link w:val="1165"/>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167" w:customStyle="1">
    <w:name w:val="列出段落 Char"/>
    <w:link w:val="1168"/>
    <w:uiPriority w:val="0"/>
    <w:qFormat/>
    <w:rPr>
      <w:rFonts w:ascii="Calibri" w:hAnsi="Calibri"/>
      <w:sz w:val="24"/>
      <w:szCs w:val="24"/>
      <w:lang w:eastAsia="en-US" w:bidi="en-US"/>
    </w:rPr>
  </w:style>
  <w:style w:type="paragraph" w:styleId="1168" w:customStyle="1">
    <w:name w:val="列出段落1"/>
    <w:basedOn w:val="929"/>
    <w:link w:val="1167"/>
    <w:uiPriority w:val="99"/>
    <w:qFormat/>
    <w:pPr>
      <w:contextualSpacing/>
      <w:ind w:left="720"/>
      <w:jc w:val="left"/>
      <w:widowControl/>
    </w:pPr>
    <w:rPr>
      <w:rFonts w:ascii="Calibri" w:hAnsi="Calibri"/>
      <w:sz w:val="24"/>
      <w:szCs w:val="24"/>
      <w:lang w:eastAsia="en-US" w:bidi="en-US"/>
    </w:rPr>
  </w:style>
  <w:style w:type="paragraph" w:styleId="1169" w:customStyle="1">
    <w:name w:val="Body Text(ch)"/>
    <w:basedOn w:val="929"/>
    <w:next w:val="948"/>
    <w:uiPriority w:val="0"/>
    <w:qFormat/>
    <w:pPr>
      <w:spacing w:after="120"/>
    </w:pPr>
    <w:rPr>
      <w:rFonts w:ascii="宋体" w:hAnsi="Arial"/>
      <w:bCs/>
      <w:iCs/>
      <w:szCs w:val="24"/>
    </w:rPr>
  </w:style>
  <w:style w:type="paragraph" w:styleId="1170" w:customStyle="1">
    <w:name w:val="xl27"/>
    <w:basedOn w:val="92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1" w:customStyle="1">
    <w:name w:val="xl26"/>
    <w:basedOn w:val="92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72" w:customStyle="1">
    <w:name w:val="Char"/>
    <w:basedOn w:val="929"/>
    <w:uiPriority w:val="0"/>
    <w:qFormat/>
    <w:pPr>
      <w:ind w:firstLine="200"/>
      <w:tabs>
        <w:tab w:val="left" w:pos="360" w:leader="none"/>
      </w:tabs>
    </w:pPr>
    <w:rPr>
      <w:sz w:val="28"/>
      <w:szCs w:val="30"/>
    </w:rPr>
  </w:style>
  <w:style w:type="paragraph" w:styleId="1173" w:customStyle="1">
    <w:name w:val="Char1"/>
    <w:basedOn w:val="945"/>
    <w:uiPriority w:val="0"/>
    <w:qFormat/>
    <w:rPr>
      <w:rFonts w:ascii="Tahoma" w:hAnsi="Tahoma"/>
      <w:sz w:val="24"/>
      <w:szCs w:val="24"/>
    </w:rPr>
  </w:style>
  <w:style w:type="paragraph" w:styleId="1174" w:customStyle="1">
    <w:name w:val="普通正文"/>
    <w:basedOn w:val="929"/>
    <w:uiPriority w:val="0"/>
    <w:qFormat/>
    <w:pPr>
      <w:ind w:firstLine="480"/>
      <w:jc w:val="left"/>
      <w:spacing w:before="120" w:after="120" w:line="360" w:lineRule="auto"/>
    </w:pPr>
    <w:rPr>
      <w:rFonts w:ascii="Arial" w:hAnsi="Arial"/>
      <w:sz w:val="24"/>
      <w:szCs w:val="24"/>
    </w:rPr>
  </w:style>
  <w:style w:type="paragraph" w:styleId="1175" w:customStyle="1">
    <w:name w:val="table_lines"/>
    <w:basedOn w:val="929"/>
    <w:uiPriority w:val="0"/>
    <w:qFormat/>
    <w:pPr>
      <w:jc w:val="left"/>
      <w:widowControl/>
    </w:pPr>
    <w:rPr>
      <w:sz w:val="20"/>
      <w:szCs w:val="20"/>
      <w:lang w:val="de-DE" w:eastAsia="de-DE"/>
    </w:rPr>
  </w:style>
  <w:style w:type="paragraph" w:styleId="117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77" w:customStyle="1">
    <w:name w:val="font7"/>
    <w:basedOn w:val="929"/>
    <w:uiPriority w:val="99"/>
    <w:qFormat/>
    <w:pPr>
      <w:jc w:val="left"/>
      <w:spacing w:before="100" w:beforeAutospacing="1" w:after="100" w:afterAutospacing="1"/>
      <w:widowControl/>
    </w:pPr>
    <w:rPr>
      <w:rFonts w:hint="eastAsia" w:ascii="宋体" w:hAnsi="宋体"/>
      <w:sz w:val="18"/>
      <w:szCs w:val="18"/>
    </w:rPr>
  </w:style>
  <w:style w:type="paragraph" w:styleId="1178" w:customStyle="1">
    <w:name w:val="Char Char Char Char"/>
    <w:basedOn w:val="945"/>
    <w:uiPriority w:val="0"/>
    <w:qFormat/>
    <w:pPr>
      <w:spacing w:line="360" w:lineRule="auto"/>
    </w:pPr>
    <w:rPr>
      <w:rFonts w:ascii="Tahoma" w:hAnsi="Tahoma"/>
      <w:sz w:val="24"/>
      <w:szCs w:val="24"/>
    </w:rPr>
  </w:style>
  <w:style w:type="paragraph" w:styleId="1179" w:customStyle="1">
    <w:name w:val="4"/>
    <w:basedOn w:val="929"/>
    <w:next w:val="968"/>
    <w:uiPriority w:val="0"/>
    <w:qFormat/>
    <w:pPr>
      <w:ind w:firstLine="420"/>
      <w:spacing w:line="360" w:lineRule="auto"/>
    </w:pPr>
    <w:rPr>
      <w:color w:val="ff0000"/>
      <w:sz w:val="24"/>
      <w:szCs w:val="24"/>
    </w:rPr>
  </w:style>
  <w:style w:type="paragraph" w:styleId="1180" w:customStyle="1">
    <w:name w:val="普通 (Web)"/>
    <w:basedOn w:val="929"/>
    <w:uiPriority w:val="0"/>
    <w:qFormat/>
    <w:pPr>
      <w:jc w:val="left"/>
      <w:spacing w:before="100" w:beforeAutospacing="1" w:after="100" w:afterAutospacing="1"/>
      <w:widowControl/>
    </w:pPr>
    <w:rPr>
      <w:rFonts w:ascii="宋体" w:hAnsi="宋体"/>
      <w:sz w:val="24"/>
      <w:szCs w:val="24"/>
    </w:rPr>
  </w:style>
  <w:style w:type="paragraph" w:styleId="1181" w:customStyle="1">
    <w:name w:val="Char Char Char Char Char Char Char Char Char Char"/>
    <w:basedOn w:val="929"/>
    <w:uiPriority w:val="0"/>
    <w:qFormat/>
    <w:pPr>
      <w:spacing w:line="360" w:lineRule="auto"/>
    </w:pPr>
    <w:rPr>
      <w:sz w:val="24"/>
      <w:szCs w:val="20"/>
    </w:rPr>
  </w:style>
  <w:style w:type="paragraph" w:styleId="1182" w:customStyle="1">
    <w:name w:val="样式1"/>
    <w:basedOn w:val="929"/>
    <w:uiPriority w:val="0"/>
    <w:qFormat/>
    <w:pPr>
      <w:numPr>
        <w:ilvl w:val="0"/>
        <w:numId w:val="3"/>
      </w:numPr>
    </w:pPr>
    <w:rPr>
      <w:rFonts w:ascii="宋体" w:hAnsi="宋体"/>
    </w:rPr>
  </w:style>
  <w:style w:type="paragraph" w:styleId="1183" w:customStyle="1">
    <w:name w:val="font6"/>
    <w:basedOn w:val="929"/>
    <w:uiPriority w:val="99"/>
    <w:qFormat/>
    <w:pPr>
      <w:jc w:val="left"/>
      <w:spacing w:before="100" w:beforeAutospacing="1" w:after="100" w:afterAutospacing="1"/>
      <w:widowControl/>
    </w:pPr>
    <w:rPr>
      <w:rFonts w:hint="eastAsia" w:ascii="宋体" w:hAnsi="宋体"/>
      <w:sz w:val="28"/>
      <w:szCs w:val="28"/>
      <w:u w:val="single"/>
    </w:rPr>
  </w:style>
  <w:style w:type="paragraph" w:styleId="1184" w:customStyle="1">
    <w:name w:val="xl25"/>
    <w:basedOn w:val="929"/>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5" w:customStyle="1">
    <w:name w:val="图标"/>
    <w:basedOn w:val="929"/>
    <w:next w:val="92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6" w:customStyle="1">
    <w:name w:val="标题3"/>
    <w:basedOn w:val="929"/>
    <w:next w:val="929"/>
    <w:uiPriority w:val="0"/>
    <w:qFormat/>
    <w:pPr>
      <w:ind w:firstLine="624"/>
      <w:spacing w:line="590" w:lineRule="atLeast"/>
    </w:pPr>
    <w:rPr>
      <w:rFonts w:ascii="方正黑体_GBK" w:eastAsia="方正黑体_GBK"/>
      <w:sz w:val="32"/>
      <w:szCs w:val="32"/>
    </w:rPr>
  </w:style>
  <w:style w:type="paragraph" w:styleId="1187" w:customStyle="1">
    <w:name w:val="xl24"/>
    <w:basedOn w:val="92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8" w:customStyle="1">
    <w:name w:val="xl29"/>
    <w:basedOn w:val="929"/>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9" w:customStyle="1">
    <w:name w:val="Char Char Char Char Char Char Char Char"/>
    <w:basedOn w:val="929"/>
    <w:uiPriority w:val="0"/>
    <w:qFormat/>
    <w:pPr>
      <w:jc w:val="left"/>
      <w:spacing w:after="160" w:line="240" w:lineRule="exact"/>
      <w:widowControl/>
    </w:pPr>
    <w:rPr>
      <w:rFonts w:ascii="Verdana" w:hAnsi="Verdana"/>
      <w:sz w:val="20"/>
      <w:szCs w:val="20"/>
      <w:lang w:eastAsia="en-US"/>
    </w:rPr>
  </w:style>
  <w:style w:type="paragraph" w:styleId="1190" w:customStyle="1">
    <w:name w:val="xl28"/>
    <w:basedOn w:val="929"/>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1" w:customStyle="1">
    <w:name w:val="Char Char Char Char Char Char Char Char1"/>
    <w:basedOn w:val="929"/>
    <w:uiPriority w:val="0"/>
    <w:qFormat/>
    <w:pPr>
      <w:jc w:val="left"/>
      <w:spacing w:after="160" w:line="240" w:lineRule="exact"/>
      <w:widowControl/>
    </w:pPr>
    <w:rPr>
      <w:rFonts w:ascii="Verdana" w:hAnsi="Verdana"/>
      <w:sz w:val="20"/>
      <w:szCs w:val="20"/>
      <w:lang w:eastAsia="en-US"/>
    </w:rPr>
  </w:style>
  <w:style w:type="paragraph" w:styleId="1192" w:customStyle="1">
    <w:name w:val="xl30"/>
    <w:basedOn w:val="929"/>
    <w:uiPriority w:val="99"/>
    <w:qFormat/>
    <w:pPr>
      <w:jc w:val="center"/>
      <w:spacing w:before="100" w:beforeAutospacing="1" w:after="100" w:afterAutospacing="1"/>
      <w:widowControl/>
    </w:pPr>
    <w:rPr>
      <w:rFonts w:ascii="宋体" w:hAnsi="宋体"/>
      <w:b/>
      <w:bCs/>
      <w:sz w:val="36"/>
      <w:szCs w:val="36"/>
    </w:rPr>
  </w:style>
  <w:style w:type="paragraph" w:styleId="1193" w:customStyle="1">
    <w:name w:val="Char Char Char Char1"/>
    <w:basedOn w:val="945"/>
    <w:uiPriority w:val="99"/>
    <w:qFormat/>
    <w:pPr>
      <w:spacing w:line="360" w:lineRule="auto"/>
    </w:pPr>
    <w:rPr>
      <w:rFonts w:ascii="Tahoma" w:hAnsi="Tahoma"/>
      <w:sz w:val="24"/>
      <w:szCs w:val="24"/>
    </w:rPr>
  </w:style>
  <w:style w:type="paragraph" w:styleId="1194" w:customStyle="1">
    <w:name w:val="table_1stline"/>
    <w:basedOn w:val="929"/>
    <w:uiPriority w:val="0"/>
    <w:qFormat/>
    <w:pPr>
      <w:jc w:val="left"/>
      <w:spacing w:before="120"/>
      <w:widowControl/>
    </w:pPr>
    <w:rPr>
      <w:bCs/>
      <w:sz w:val="20"/>
      <w:szCs w:val="20"/>
      <w:lang w:val="de-DE" w:eastAsia="de-DE"/>
    </w:rPr>
  </w:style>
  <w:style w:type="paragraph" w:styleId="1195" w:customStyle="1">
    <w:name w:val="font5"/>
    <w:basedOn w:val="929"/>
    <w:uiPriority w:val="99"/>
    <w:qFormat/>
    <w:pPr>
      <w:jc w:val="left"/>
      <w:spacing w:before="100" w:beforeAutospacing="1" w:after="100" w:afterAutospacing="1"/>
      <w:widowControl/>
    </w:pPr>
    <w:rPr>
      <w:rFonts w:hint="eastAsia" w:ascii="宋体" w:hAnsi="宋体"/>
      <w:sz w:val="28"/>
      <w:szCs w:val="28"/>
    </w:rPr>
  </w:style>
  <w:style w:type="paragraph" w:styleId="1196" w:customStyle="1">
    <w:name w:val="标题1"/>
    <w:basedOn w:val="929"/>
    <w:next w:val="92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7" w:customStyle="1">
    <w:name w:val="Revision"/>
    <w:uiPriority w:val="99"/>
    <w:qFormat/>
    <w:rPr>
      <w:rFonts w:ascii="Times New Roman" w:hAnsi="Times New Roman" w:eastAsia="宋体" w:cs="Times New Roman"/>
      <w:sz w:val="21"/>
      <w:szCs w:val="21"/>
      <w:lang w:val="en-US" w:eastAsia="zh-CN" w:bidi="ar-SA"/>
    </w:rPr>
  </w:style>
  <w:style w:type="paragraph" w:styleId="1198" w:customStyle="1">
    <w:name w:val="普通文字"/>
    <w:basedOn w:val="929"/>
    <w:next w:val="929"/>
    <w:uiPriority w:val="99"/>
    <w:qFormat/>
    <w:rPr>
      <w:rFonts w:ascii="宋体"/>
      <w:sz w:val="24"/>
      <w:szCs w:val="20"/>
    </w:rPr>
  </w:style>
  <w:style w:type="paragraph" w:styleId="1199" w:customStyle="1">
    <w:name w:val="目录 111"/>
    <w:basedOn w:val="929"/>
    <w:next w:val="929"/>
    <w:uiPriority w:val="39"/>
    <w:unhideWhenUsed/>
    <w:qFormat/>
    <w:pPr>
      <w:jc w:val="left"/>
      <w:spacing w:after="100" w:line="259" w:lineRule="auto"/>
      <w:widowControl/>
    </w:pPr>
    <w:rPr>
      <w:rFonts w:ascii="Calibri" w:hAnsi="Calibri"/>
      <w:sz w:val="22"/>
      <w:szCs w:val="22"/>
    </w:rPr>
  </w:style>
  <w:style w:type="paragraph" w:styleId="1200" w:customStyle="1">
    <w:name w:val="font8"/>
    <w:basedOn w:val="929"/>
    <w:uiPriority w:val="99"/>
    <w:qFormat/>
    <w:pPr>
      <w:jc w:val="left"/>
      <w:spacing w:before="100" w:beforeAutospacing="1" w:after="100" w:afterAutospacing="1"/>
      <w:widowControl/>
    </w:pPr>
    <w:rPr>
      <w:rFonts w:ascii="宋体" w:hAnsi="宋体"/>
      <w:b/>
      <w:bCs/>
      <w:i/>
      <w:iCs/>
      <w:sz w:val="20"/>
      <w:szCs w:val="20"/>
    </w:rPr>
  </w:style>
  <w:style w:type="paragraph" w:styleId="1201" w:customStyle="1">
    <w:name w:val="font9"/>
    <w:basedOn w:val="929"/>
    <w:uiPriority w:val="99"/>
    <w:qFormat/>
    <w:pPr>
      <w:jc w:val="left"/>
      <w:spacing w:before="100" w:beforeAutospacing="1" w:after="100" w:afterAutospacing="1"/>
      <w:widowControl/>
    </w:pPr>
    <w:rPr>
      <w:b/>
      <w:bCs/>
      <w:sz w:val="20"/>
      <w:szCs w:val="20"/>
    </w:rPr>
  </w:style>
  <w:style w:type="paragraph" w:styleId="1202" w:customStyle="1">
    <w:name w:val="xl31"/>
    <w:basedOn w:val="9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03" w:customStyle="1">
    <w:name w:val="xl32"/>
    <w:basedOn w:val="9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04" w:customStyle="1">
    <w:name w:val="xl33"/>
    <w:basedOn w:val="9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05" w:customStyle="1">
    <w:name w:val="xl34"/>
    <w:basedOn w:val="9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06" w:customStyle="1">
    <w:name w:val="xl35"/>
    <w:basedOn w:val="9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207" w:customStyle="1">
    <w:name w:val="xl36"/>
    <w:basedOn w:val="9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08" w:customStyle="1">
    <w:name w:val="xl37"/>
    <w:basedOn w:val="9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209" w:customStyle="1">
    <w:name w:val="xl38"/>
    <w:basedOn w:val="9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10" w:customStyle="1">
    <w:name w:val="xl39"/>
    <w:basedOn w:val="9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11" w:customStyle="1">
    <w:name w:val="xl40"/>
    <w:basedOn w:val="9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12" w:customStyle="1">
    <w:name w:val="xl41"/>
    <w:basedOn w:val="9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13" w:customStyle="1">
    <w:name w:val="xl42"/>
    <w:basedOn w:val="9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14" w:customStyle="1">
    <w:name w:val="xl43"/>
    <w:basedOn w:val="9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215" w:customStyle="1">
    <w:name w:val="xl44"/>
    <w:basedOn w:val="929"/>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216" w:customStyle="1">
    <w:name w:val="xl45"/>
    <w:basedOn w:val="929"/>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217" w:customStyle="1">
    <w:name w:val="xl46"/>
    <w:basedOn w:val="929"/>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18" w:customStyle="1">
    <w:name w:val="xl47"/>
    <w:basedOn w:val="9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19" w:customStyle="1">
    <w:name w:val="xl48"/>
    <w:basedOn w:val="929"/>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20" w:customStyle="1">
    <w:name w:val="xl49"/>
    <w:basedOn w:val="929"/>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21" w:customStyle="1">
    <w:name w:val="xl50"/>
    <w:basedOn w:val="9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22" w:customStyle="1">
    <w:name w:val="xl51"/>
    <w:basedOn w:val="929"/>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23" w:customStyle="1">
    <w:name w:val="xl52"/>
    <w:basedOn w:val="929"/>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24" w:customStyle="1">
    <w:name w:val="xl53"/>
    <w:basedOn w:val="929"/>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25" w:customStyle="1">
    <w:name w:val="xl54"/>
    <w:basedOn w:val="929"/>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226" w:customStyle="1">
    <w:name w:val="xl55"/>
    <w:basedOn w:val="929"/>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27" w:customStyle="1">
    <w:name w:val="xl56"/>
    <w:basedOn w:val="929"/>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228" w:customStyle="1">
    <w:name w:val="xl57"/>
    <w:basedOn w:val="929"/>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229" w:customStyle="1">
    <w:name w:val="xl58"/>
    <w:basedOn w:val="929"/>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30" w:customStyle="1">
    <w:name w:val="xl59"/>
    <w:basedOn w:val="9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31" w:customStyle="1">
    <w:name w:val="xl60"/>
    <w:basedOn w:val="929"/>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32" w:customStyle="1">
    <w:name w:val="xl61"/>
    <w:basedOn w:val="929"/>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33" w:customStyle="1">
    <w:name w:val="xl62"/>
    <w:basedOn w:val="929"/>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34" w:customStyle="1">
    <w:name w:val="xl63"/>
    <w:basedOn w:val="929"/>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35" w:customStyle="1">
    <w:name w:val="font10"/>
    <w:basedOn w:val="929"/>
    <w:uiPriority w:val="99"/>
    <w:qFormat/>
    <w:pPr>
      <w:jc w:val="left"/>
      <w:spacing w:before="100" w:beforeAutospacing="1" w:after="100" w:afterAutospacing="1"/>
      <w:widowControl/>
    </w:pPr>
    <w:rPr>
      <w:rFonts w:ascii="楷体_GB2312" w:hAnsi="宋体" w:eastAsia="楷体_GB2312"/>
      <w:b/>
      <w:bCs/>
      <w:sz w:val="18"/>
      <w:szCs w:val="18"/>
    </w:rPr>
  </w:style>
  <w:style w:type="paragraph" w:styleId="1236" w:customStyle="1">
    <w:name w:val="font11"/>
    <w:basedOn w:val="929"/>
    <w:uiPriority w:val="99"/>
    <w:qFormat/>
    <w:pPr>
      <w:jc w:val="left"/>
      <w:spacing w:before="100" w:beforeAutospacing="1" w:after="100" w:afterAutospacing="1"/>
      <w:widowControl/>
    </w:pPr>
    <w:rPr>
      <w:b/>
      <w:bCs/>
      <w:sz w:val="18"/>
      <w:szCs w:val="18"/>
    </w:rPr>
  </w:style>
  <w:style w:type="paragraph" w:styleId="1237" w:customStyle="1">
    <w:name w:val="font12"/>
    <w:basedOn w:val="929"/>
    <w:uiPriority w:val="99"/>
    <w:qFormat/>
    <w:pPr>
      <w:jc w:val="left"/>
      <w:spacing w:before="100" w:beforeAutospacing="1" w:after="100" w:afterAutospacing="1"/>
      <w:widowControl/>
    </w:pPr>
    <w:rPr>
      <w:rFonts w:ascii="宋体" w:hAnsi="宋体"/>
      <w:sz w:val="36"/>
      <w:szCs w:val="36"/>
    </w:rPr>
  </w:style>
  <w:style w:type="paragraph" w:styleId="1238" w:customStyle="1">
    <w:name w:val="font13"/>
    <w:basedOn w:val="929"/>
    <w:uiPriority w:val="99"/>
    <w:qFormat/>
    <w:pPr>
      <w:jc w:val="left"/>
      <w:spacing w:before="100" w:beforeAutospacing="1" w:after="100" w:afterAutospacing="1"/>
      <w:widowControl/>
    </w:pPr>
    <w:rPr>
      <w:i/>
      <w:iCs/>
      <w:sz w:val="36"/>
      <w:szCs w:val="36"/>
    </w:rPr>
  </w:style>
  <w:style w:type="paragraph" w:styleId="1239" w:customStyle="1">
    <w:name w:val="font14"/>
    <w:basedOn w:val="929"/>
    <w:uiPriority w:val="99"/>
    <w:qFormat/>
    <w:pPr>
      <w:jc w:val="left"/>
      <w:spacing w:before="100" w:beforeAutospacing="1" w:after="100" w:afterAutospacing="1"/>
      <w:widowControl/>
    </w:pPr>
    <w:rPr>
      <w:sz w:val="36"/>
      <w:szCs w:val="36"/>
    </w:rPr>
  </w:style>
  <w:style w:type="character" w:styleId="1240" w:customStyle="1">
    <w:name w:val="case31"/>
    <w:uiPriority w:val="99"/>
    <w:qFormat/>
    <w:rPr>
      <w:rFonts w:cs="Times New Roman"/>
      <w:spacing w:val="390"/>
      <w:sz w:val="21"/>
      <w:szCs w:val="21"/>
    </w:rPr>
  </w:style>
  <w:style w:type="paragraph" w:styleId="1241" w:customStyle="1">
    <w:name w:val="默认段落字体 Para Char"/>
    <w:basedOn w:val="929"/>
    <w:uiPriority w:val="99"/>
    <w:qFormat/>
    <w:pPr>
      <w:ind w:left="552" w:hanging="420"/>
      <w:tabs>
        <w:tab w:val="left" w:pos="552" w:leader="none"/>
      </w:tabs>
    </w:pPr>
    <w:rPr>
      <w:sz w:val="24"/>
      <w:szCs w:val="24"/>
    </w:rPr>
  </w:style>
  <w:style w:type="paragraph" w:styleId="1242" w:customStyle="1">
    <w:name w:val="Char Char1 Char Char Char Char"/>
    <w:basedOn w:val="945"/>
    <w:uiPriority w:val="99"/>
    <w:qFormat/>
    <w:pPr>
      <w:ind w:left="357"/>
      <w:jc w:val="left"/>
      <w:spacing w:line="436" w:lineRule="exact"/>
      <w:outlineLvl w:val="3"/>
    </w:pPr>
    <w:rPr>
      <w:rFonts w:ascii="Tahoma" w:hAnsi="Tahoma"/>
      <w:b/>
      <w:sz w:val="24"/>
      <w:szCs w:val="24"/>
    </w:rPr>
  </w:style>
  <w:style w:type="character" w:styleId="1243" w:customStyle="1">
    <w:name w:val="apple-converted-space"/>
    <w:uiPriority w:val="0"/>
    <w:qFormat/>
  </w:style>
  <w:style w:type="character" w:styleId="1244" w:customStyle="1">
    <w:name w:val="grame"/>
    <w:uiPriority w:val="0"/>
    <w:qFormat/>
  </w:style>
  <w:style w:type="character" w:styleId="1245">
    <w:name w:val="Placeholder Text"/>
    <w:uiPriority w:val="99"/>
    <w:unhideWhenUsed/>
    <w:qFormat/>
    <w:rPr>
      <w:color w:val="808080"/>
    </w:rPr>
  </w:style>
  <w:style w:type="paragraph" w:styleId="1246" w:customStyle="1">
    <w:name w:val="Char Char2 Char"/>
    <w:basedOn w:val="929"/>
    <w:uiPriority w:val="0"/>
    <w:qFormat/>
    <w:pPr>
      <w:ind w:left="390" w:hanging="390"/>
      <w:keepLines/>
      <w:keepNext/>
      <w:pageBreakBefore/>
      <w:tabs>
        <w:tab w:val="left" w:pos="390" w:leader="none"/>
      </w:tabs>
    </w:pPr>
    <w:rPr>
      <w:rFonts w:ascii="Tahoma" w:hAnsi="Tahoma"/>
      <w:sz w:val="24"/>
      <w:szCs w:val="20"/>
    </w:rPr>
  </w:style>
  <w:style w:type="table" w:styleId="1247" w:customStyle="1">
    <w:name w:val="Table Normal"/>
    <w:uiPriority w:val="0"/>
    <w:unhideWhenUsed/>
    <w:qFormat/>
    <w:tblPr>
      <w:tblCellMar>
        <w:left w:w="0" w:type="dxa"/>
        <w:top w:w="0" w:type="dxa"/>
        <w:right w:w="0" w:type="dxa"/>
        <w:bottom w:w="0" w:type="dxa"/>
      </w:tblCellMar>
    </w:tblPr>
  </w:style>
  <w:style w:type="character" w:styleId="1248" w:customStyle="1">
    <w:name w:val="font61"/>
    <w:uiPriority w:val="99"/>
    <w:qFormat/>
    <w:rPr>
      <w:rFonts w:ascii="宋体" w:hAnsi="宋体" w:eastAsia="宋体"/>
      <w:color w:val="000000"/>
      <w:sz w:val="21"/>
      <w:u w:val="none"/>
    </w:rPr>
  </w:style>
  <w:style w:type="paragraph" w:styleId="1249"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250" w:customStyle="1">
    <w:name w:val="TOC Heading1"/>
    <w:next w:val="929"/>
    <w:uiPriority w:val="0"/>
    <w:qFormat/>
    <w:rPr>
      <w:rFonts w:ascii="Times New Roman" w:hAnsi="Times New Roman" w:eastAsia="宋体" w:cs="Times New Roman"/>
      <w:sz w:val="32"/>
      <w:lang w:val="en-US" w:eastAsia="zh-CN" w:bidi="ar-SA"/>
    </w:rPr>
  </w:style>
  <w:style w:type="character" w:styleId="1251" w:customStyle="1">
    <w:name w:val="font31"/>
    <w:uiPriority w:val="0"/>
    <w:qFormat/>
    <w:rPr>
      <w:rFonts w:hint="eastAsia" w:ascii="宋体" w:hAnsi="宋体" w:eastAsia="宋体" w:cs="宋体"/>
      <w:color w:val="ff0000"/>
      <w:sz w:val="20"/>
      <w:szCs w:val="20"/>
      <w:u w:val="none"/>
    </w:rPr>
  </w:style>
  <w:style w:type="character" w:styleId="1252" w:customStyle="1">
    <w:name w:val="font21"/>
    <w:uiPriority w:val="0"/>
    <w:qFormat/>
    <w:rPr>
      <w:rFonts w:hint="eastAsia" w:ascii="宋体" w:hAnsi="宋体" w:eastAsia="宋体" w:cs="宋体"/>
      <w:color w:val="000000"/>
      <w:sz w:val="20"/>
      <w:szCs w:val="20"/>
      <w:u w:val="none"/>
    </w:rPr>
  </w:style>
  <w:style w:type="paragraph" w:styleId="1253" w:customStyle="1">
    <w:name w:val="lp1"/>
    <w:basedOn w:val="929"/>
    <w:next w:val="1028"/>
    <w:uiPriority w:val="99"/>
    <w:qFormat/>
    <w:pPr>
      <w:ind w:firstLine="420"/>
    </w:pPr>
    <w:rPr>
      <w:szCs w:val="20"/>
      <w:lang w:val="zh-CN"/>
    </w:rPr>
  </w:style>
  <w:style w:type="paragraph" w:styleId="1254" w:customStyle="1">
    <w:name w:val="样式 小四 段前: 5 磅 段后: 5 磅 首行缩进:  2 字符"/>
    <w:basedOn w:val="929"/>
    <w:uiPriority w:val="0"/>
    <w:qFormat/>
    <w:pPr>
      <w:jc w:val="center"/>
      <w:spacing w:line="360" w:lineRule="auto"/>
    </w:pPr>
    <w:rPr>
      <w:rFonts w:ascii="宋体" w:hAnsi="宋体"/>
      <w:bCs/>
      <w:color w:val="ff0000"/>
      <w:sz w:val="24"/>
      <w:szCs w:val="24"/>
    </w:rPr>
  </w:style>
  <w:style w:type="character" w:styleId="1255" w:customStyle="1">
    <w:name w:val="font01"/>
    <w:uiPriority w:val="0"/>
    <w:qFormat/>
    <w:rPr>
      <w:rFonts w:hint="eastAsia" w:ascii="宋体" w:hAnsi="宋体" w:eastAsia="宋体" w:cs="宋体"/>
      <w:color w:val="000000"/>
      <w:sz w:val="18"/>
      <w:szCs w:val="18"/>
      <w:u w:val="none"/>
    </w:rPr>
  </w:style>
  <w:style w:type="character" w:styleId="1256" w:customStyle="1">
    <w:name w:val="font51"/>
    <w:uiPriority w:val="0"/>
    <w:qFormat/>
    <w:rPr>
      <w:rFonts w:hint="eastAsia" w:ascii="宋体" w:hAnsi="宋体" w:eastAsia="宋体" w:cs="宋体"/>
      <w:color w:val="ff0000"/>
      <w:sz w:val="18"/>
      <w:szCs w:val="18"/>
      <w:u w:val="none"/>
    </w:rPr>
  </w:style>
  <w:style w:type="paragraph" w:styleId="1257" w:customStyle="1">
    <w:name w:val="修订1"/>
    <w:uiPriority w:val="99"/>
    <w:semiHidden/>
    <w:qFormat/>
    <w:rPr>
      <w:rFonts w:ascii="Times New Roman" w:hAnsi="Times New Roman" w:eastAsia="宋体" w:cs="Times New Roman"/>
      <w:sz w:val="21"/>
      <w:lang w:val="en-US" w:eastAsia="zh-CN" w:bidi="ar-SA"/>
    </w:rPr>
  </w:style>
  <w:style w:type="character" w:styleId="1258" w:customStyle="1">
    <w:name w:val="font71"/>
    <w:uiPriority w:val="0"/>
    <w:qFormat/>
    <w:rPr>
      <w:rFonts w:hint="eastAsia" w:ascii="宋体" w:hAnsi="宋体" w:eastAsia="宋体" w:cs="宋体"/>
      <w:b/>
      <w:bCs/>
      <w:color w:val="000000"/>
      <w:sz w:val="20"/>
      <w:szCs w:val="20"/>
      <w:u w:val="none"/>
    </w:rPr>
  </w:style>
  <w:style w:type="paragraph" w:styleId="1259" w:customStyle="1">
    <w:name w:val="正文2"/>
    <w:basedOn w:val="929"/>
    <w:uiPriority w:val="0"/>
    <w:qFormat/>
    <w:pPr>
      <w:ind w:firstLine="510"/>
      <w:spacing w:before="156" w:line="360" w:lineRule="auto"/>
    </w:pPr>
    <w:rPr>
      <w:sz w:val="24"/>
    </w:rPr>
  </w:style>
  <w:style w:type="character" w:styleId="1260" w:customStyle="1">
    <w:name w:val="标题 3 字符1"/>
    <w:link w:val="1261"/>
    <w:uiPriority w:val="0"/>
    <w:qFormat/>
    <w:rPr>
      <w:b/>
      <w:sz w:val="32"/>
    </w:rPr>
  </w:style>
  <w:style w:type="paragraph" w:styleId="1261" w:customStyle="1">
    <w:name w:val="标题 31"/>
    <w:basedOn w:val="929"/>
    <w:next w:val="929"/>
    <w:link w:val="1260"/>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262" w:customStyle="1">
    <w:name w:val="列表段落1"/>
    <w:basedOn w:val="929"/>
    <w:uiPriority w:val="0"/>
    <w:qFormat/>
    <w:pPr>
      <w:ind w:firstLine="420"/>
      <w:jc w:val="left"/>
      <w:spacing w:line="360" w:lineRule="auto"/>
      <w:widowControl/>
    </w:pPr>
    <w:rPr>
      <w:rFonts w:ascii="宋体" w:hAnsi="宋体" w:eastAsia="宋体"/>
      <w:sz w:val="24"/>
      <w:szCs w:val="22"/>
    </w:rPr>
  </w:style>
  <w:style w:type="character" w:styleId="1263" w:customStyle="1">
    <w:name w:val="font81"/>
    <w:basedOn w:val="1264"/>
    <w:link w:val="929"/>
    <w:uiPriority w:val="0"/>
    <w:qFormat/>
    <w:rPr>
      <w:rFonts w:hint="eastAsia" w:ascii="宋体" w:hAnsi="宋体" w:eastAsia="宋体" w:cs="宋体"/>
      <w:color w:val="000000"/>
      <w:sz w:val="20"/>
      <w:szCs w:val="20"/>
      <w:u w:val="none"/>
    </w:rPr>
  </w:style>
  <w:style w:type="character" w:styleId="1264" w:customStyle="1">
    <w:name w:val="默认段落字体1"/>
    <w:link w:val="929"/>
    <w:uiPriority w:val="0"/>
    <w:semiHidden/>
    <w:qFormat/>
    <w:rPr>
      <w:rFonts w:ascii="Times New Roman" w:hAnsi="Times New Roman" w:eastAsia="宋体" w:cs="Times New Roman"/>
      <w:sz w:val="21"/>
      <w:szCs w:val="21"/>
      <w:lang w:val="en-US" w:eastAsia="zh-CN" w:bidi="ar-SA"/>
    </w:rPr>
  </w:style>
  <w:style w:type="character" w:styleId="1265" w:customStyle="1">
    <w:name w:val="font171"/>
    <w:uiPriority w:val="0"/>
    <w:qFormat/>
    <w:rPr>
      <w:rFonts w:hint="eastAsia" w:ascii="宋体" w:hAnsi="宋体" w:eastAsia="宋体" w:cs="宋体"/>
      <w:b/>
      <w:bCs/>
      <w:color w:val="ff0000"/>
      <w:sz w:val="20"/>
      <w:szCs w:val="20"/>
      <w:u w:val="none"/>
    </w:rPr>
  </w:style>
  <w:style w:type="paragraph" w:styleId="1266" w:customStyle="1">
    <w:name w:val="纯文本1"/>
    <w:basedOn w:val="929"/>
    <w:uiPriority w:val="0"/>
    <w:qFormat/>
    <w:rPr>
      <w:rFonts w:ascii="宋体" w:hAnsi="Courier New"/>
      <w:sz w:val="20"/>
    </w:rPr>
  </w:style>
  <w:style w:type="paragraph" w:styleId="1267" w:customStyle="1">
    <w:name w:val="普通(网站)1"/>
    <w:basedOn w:val="929"/>
    <w:uiPriority w:val="99"/>
    <w:qFormat/>
    <w:pPr>
      <w:jc w:val="left"/>
      <w:spacing w:before="100" w:beforeAutospacing="1" w:after="100" w:afterAutospacing="1"/>
      <w:widowControl/>
    </w:pPr>
    <w:rPr>
      <w:rFonts w:ascii="宋体" w:hAnsi="宋体" w:cs="宋体"/>
      <w:sz w:val="24"/>
      <w:szCs w:val="24"/>
    </w:rPr>
  </w:style>
  <w:style w:type="character" w:styleId="1268" w:customStyle="1">
    <w:name w:val="批注引用1"/>
    <w:uiPriority w:val="99"/>
    <w:semiHidden/>
    <w:qFormat/>
    <w:rPr>
      <w:rFonts w:hint="default" w:ascii="Times New Roman" w:hAnsi="Times New Roman" w:eastAsia="宋体" w:cs="Times New Roman"/>
      <w:sz w:val="21"/>
      <w:szCs w:val="21"/>
    </w:rPr>
  </w:style>
  <w:style w:type="paragraph" w:styleId="1269" w:customStyle="1">
    <w:name w:val="标题2"/>
    <w:basedOn w:val="931"/>
    <w:uiPriority w:val="99"/>
    <w:qFormat/>
    <w:pPr>
      <w:numPr>
        <w:ilvl w:val="0"/>
        <w:numId w:val="4"/>
      </w:numPr>
    </w:pPr>
    <w:rPr>
      <w:rFonts w:ascii="仿宋" w:hAnsi="仿宋" w:eastAsia="仿宋"/>
    </w:rPr>
  </w:style>
  <w:style w:type="paragraph" w:styleId="1270" w:customStyle="1">
    <w:name w:val="标题33"/>
    <w:basedOn w:val="932"/>
    <w:uiPriority w:val="99"/>
    <w:qFormat/>
    <w:pPr>
      <w:numPr>
        <w:ilvl w:val="0"/>
        <w:numId w:val="5"/>
      </w:numPr>
      <w:spacing w:after="0"/>
    </w:pPr>
    <w:rPr>
      <w:sz w:val="28"/>
    </w:rPr>
  </w:style>
  <w:style w:type="paragraph" w:styleId="1271" w:customStyle="1">
    <w:name w:val="1、正文"/>
    <w:basedOn w:val="929"/>
    <w:uiPriority w:val="0"/>
    <w:qFormat/>
    <w:pPr>
      <w:ind w:firstLine="200"/>
      <w:spacing w:line="360" w:lineRule="auto"/>
    </w:pPr>
    <w:rPr>
      <w:rFonts w:ascii="黑体" w:hAnsi="黑体"/>
      <w:szCs w:val="22"/>
    </w:rPr>
  </w:style>
  <w:style w:type="paragraph" w:styleId="1272" w:customStyle="1">
    <w:name w:val="正文文本1"/>
    <w:basedOn w:val="929"/>
    <w:next w:val="1273"/>
    <w:uiPriority w:val="99"/>
    <w:qFormat/>
    <w:rPr>
      <w:sz w:val="20"/>
    </w:rPr>
  </w:style>
  <w:style w:type="paragraph" w:styleId="1273" w:customStyle="1">
    <w:name w:val="列表1"/>
    <w:basedOn w:val="929"/>
    <w:uiPriority w:val="99"/>
    <w:semiHidden/>
    <w:qFormat/>
    <w:pPr>
      <w:contextualSpacing/>
      <w:ind w:left="200" w:hanging="200"/>
    </w:pPr>
  </w:style>
  <w:style w:type="numbering" w:styleId="12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刘智</cp:lastModifiedBy>
  <cp:revision>62</cp:revision>
  <dcterms:created xsi:type="dcterms:W3CDTF">2024-02-23T02:54:00Z</dcterms:created>
  <dcterms:modified xsi:type="dcterms:W3CDTF">2025-04-10T01:48:41Z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4BD541AB408D41048E01126AB4F93005_13</vt:lpwstr>
  </property>
  <property fmtid="{D5CDD505-2E9C-101B-9397-08002B2CF9AE}" pid="4" name="KSOTemplateDocerSaveRecord">
    <vt:lpwstr>eyJoZGlkIjoiZmE2MWIxNzYwNWRiZWIwYzdmZTVhOGE4NjE1ZTAzZTkiLCJ1c2VySWQiOiI2ODQwNjM1MzMifQ==</vt:lpwstr>
  </property>
</Properties>
</file>