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685C5">
      <w:pPr>
        <w:snapToGrid w:val="0"/>
        <w:spacing w:line="360" w:lineRule="auto"/>
        <w:rPr>
          <w:rFonts w:hint="eastAsia" w:asciiTheme="minorEastAsia" w:hAnsiTheme="minorEastAsia" w:eastAsiaTheme="minorEastAsia" w:cstheme="minorEastAsia"/>
          <w:snapToGrid w:val="0"/>
          <w:color w:val="000000" w:themeColor="text1"/>
          <w:spacing w:val="10"/>
          <w:kern w:val="32"/>
          <w:szCs w:val="21"/>
        </w:rPr>
      </w:pPr>
    </w:p>
    <w:p w14:paraId="4E10FEDD">
      <w:pPr>
        <w:pStyle w:val="2"/>
        <w:rPr>
          <w:rFonts w:hint="eastAsia"/>
        </w:rPr>
      </w:pPr>
    </w:p>
    <w:p w14:paraId="59D29808">
      <w:pPr>
        <w:snapToGrid w:val="0"/>
        <w:spacing w:line="360" w:lineRule="auto"/>
        <w:ind w:firstLine="460" w:firstLineChars="200"/>
        <w:rPr>
          <w:rFonts w:asciiTheme="minorEastAsia" w:hAnsiTheme="minorEastAsia" w:eastAsiaTheme="minorEastAsia" w:cstheme="minorEastAsia"/>
          <w:snapToGrid w:val="0"/>
          <w:color w:val="000000" w:themeColor="text1"/>
          <w:spacing w:val="10"/>
          <w:kern w:val="32"/>
          <w:szCs w:val="21"/>
        </w:rPr>
      </w:pPr>
      <w:r>
        <w:rPr>
          <w:rFonts w:hint="eastAsia" w:asciiTheme="minorEastAsia" w:hAnsiTheme="minorEastAsia" w:eastAsiaTheme="minorEastAsia" w:cstheme="minorEastAsia"/>
          <w:snapToGrid w:val="0"/>
          <w:color w:val="000000" w:themeColor="text1"/>
          <w:spacing w:val="10"/>
          <w:kern w:val="32"/>
          <w:szCs w:val="21"/>
        </w:rPr>
        <w:t>目前，宝应县人民法院的审判文书送达主要由采取电子送达、邮寄送达、上门送达等多种送达方式，由于送达工作分散在各相关案件承办人办理，存在电子、网络送达手段利用率不高、送达时效性不强、开支费用高、占用审判人员时间和精力多等问题。根据最高院关于《关于进一步加强民事送达工作的若干意见》文件精神以及省高院有关司法送达便民服务要求，此次集约送达服务采购项目，通过分离审判活动中的送达工作，引入社会化服务，积极推行以电子送达为主，传统的邮寄、上门送达为辅的送达方式，按照标准化、规范化、流程化的工作要求集中处理。通过集约送达服务采购项目的实施，既可大量节约法官、书记员等审判力量，把有限的审判资源集中到案件审判工作上，又可挖掘电子送达方式高效、快捷的潜力，精细化送达工作环节、标准化操作流程，提升送达工作效率。</w:t>
      </w:r>
    </w:p>
    <w:p w14:paraId="07841C99">
      <w:pPr>
        <w:pStyle w:val="10"/>
        <w:widowControl/>
        <w:shd w:val="clear" w:color="auto" w:fill="FFFFFF"/>
        <w:spacing w:line="360" w:lineRule="auto"/>
        <w:ind w:firstLine="462" w:firstLineChars="200"/>
        <w:rPr>
          <w:rFonts w:asciiTheme="minorEastAsia" w:hAnsiTheme="minorEastAsia" w:eastAsiaTheme="minorEastAsia" w:cstheme="minorEastAsia"/>
          <w:snapToGrid w:val="0"/>
          <w:color w:val="000000" w:themeColor="text1"/>
          <w:spacing w:val="10"/>
          <w:kern w:val="32"/>
          <w:sz w:val="21"/>
          <w:szCs w:val="21"/>
        </w:rPr>
      </w:pPr>
      <w:r>
        <w:rPr>
          <w:rFonts w:hint="eastAsia" w:asciiTheme="minorEastAsia" w:hAnsiTheme="minorEastAsia" w:eastAsiaTheme="minorEastAsia" w:cstheme="minorEastAsia"/>
          <w:b/>
          <w:bCs/>
          <w:snapToGrid w:val="0"/>
          <w:color w:val="000000" w:themeColor="text1"/>
          <w:spacing w:val="10"/>
          <w:kern w:val="32"/>
          <w:sz w:val="21"/>
          <w:szCs w:val="21"/>
        </w:rPr>
        <w:t>一、服务范围：</w:t>
      </w:r>
    </w:p>
    <w:p w14:paraId="39BC4CEA">
      <w:pPr>
        <w:pStyle w:val="10"/>
        <w:widowControl/>
        <w:shd w:val="clear" w:color="auto" w:fill="FFFFFF"/>
        <w:spacing w:line="360" w:lineRule="auto"/>
        <w:ind w:firstLine="460" w:firstLineChars="200"/>
        <w:rPr>
          <w:rFonts w:asciiTheme="minorEastAsia" w:hAnsiTheme="minorEastAsia" w:eastAsiaTheme="minorEastAsia" w:cstheme="minorEastAsia"/>
          <w:snapToGrid w:val="0"/>
          <w:color w:val="000000" w:themeColor="text1"/>
          <w:spacing w:val="10"/>
          <w:kern w:val="32"/>
          <w:sz w:val="21"/>
          <w:szCs w:val="21"/>
        </w:rPr>
      </w:pPr>
      <w:r>
        <w:rPr>
          <w:rFonts w:hint="eastAsia" w:asciiTheme="minorEastAsia" w:hAnsiTheme="minorEastAsia" w:eastAsiaTheme="minorEastAsia" w:cstheme="minorEastAsia"/>
          <w:snapToGrid w:val="0"/>
          <w:color w:val="000000" w:themeColor="text1"/>
          <w:spacing w:val="10"/>
          <w:kern w:val="32"/>
          <w:sz w:val="21"/>
          <w:szCs w:val="21"/>
        </w:rPr>
        <w:t>集约送达中心使用专线接入法院内网，在此基础上实现法院民事、行政案件的送达任务。集约送达中心主要提供以下送达服务：</w:t>
      </w:r>
    </w:p>
    <w:p w14:paraId="77FBC55F">
      <w:pPr>
        <w:pStyle w:val="10"/>
        <w:widowControl/>
        <w:shd w:val="clear" w:color="auto" w:fill="FFFFFF"/>
        <w:spacing w:line="360" w:lineRule="auto"/>
        <w:ind w:firstLine="460" w:firstLineChars="200"/>
        <w:rPr>
          <w:rFonts w:asciiTheme="minorEastAsia" w:hAnsiTheme="minorEastAsia" w:eastAsiaTheme="minorEastAsia" w:cstheme="minorEastAsia"/>
          <w:snapToGrid w:val="0"/>
          <w:color w:val="000000" w:themeColor="text1"/>
          <w:spacing w:val="10"/>
          <w:kern w:val="32"/>
          <w:sz w:val="21"/>
          <w:szCs w:val="21"/>
        </w:rPr>
      </w:pPr>
      <w:r>
        <w:rPr>
          <w:rFonts w:hint="eastAsia" w:asciiTheme="minorEastAsia" w:hAnsiTheme="minorEastAsia" w:eastAsiaTheme="minorEastAsia" w:cstheme="minorEastAsia"/>
          <w:snapToGrid w:val="0"/>
          <w:color w:val="000000" w:themeColor="text1"/>
          <w:spacing w:val="10"/>
          <w:kern w:val="32"/>
          <w:sz w:val="21"/>
          <w:szCs w:val="21"/>
        </w:rPr>
        <w:t>1.电话送达。通过电话联系当事人送达审判信息，生成的通话记录和电话录音自动导入审判系统电子卷；</w:t>
      </w:r>
    </w:p>
    <w:p w14:paraId="0EE870FD">
      <w:pPr>
        <w:pStyle w:val="10"/>
        <w:widowControl/>
        <w:shd w:val="clear" w:color="auto" w:fill="FFFFFF"/>
        <w:spacing w:line="360" w:lineRule="auto"/>
        <w:ind w:firstLine="460" w:firstLineChars="200"/>
        <w:rPr>
          <w:rFonts w:asciiTheme="minorEastAsia" w:hAnsiTheme="minorEastAsia" w:eastAsiaTheme="minorEastAsia" w:cstheme="minorEastAsia"/>
          <w:snapToGrid w:val="0"/>
          <w:color w:val="000000" w:themeColor="text1"/>
          <w:spacing w:val="10"/>
          <w:kern w:val="32"/>
          <w:sz w:val="21"/>
          <w:szCs w:val="21"/>
        </w:rPr>
      </w:pPr>
      <w:r>
        <w:rPr>
          <w:rFonts w:hint="eastAsia" w:asciiTheme="minorEastAsia" w:hAnsiTheme="minorEastAsia" w:eastAsiaTheme="minorEastAsia" w:cstheme="minorEastAsia"/>
          <w:snapToGrid w:val="0"/>
          <w:color w:val="000000" w:themeColor="text1"/>
          <w:spacing w:val="10"/>
          <w:kern w:val="32"/>
          <w:sz w:val="21"/>
          <w:szCs w:val="21"/>
        </w:rPr>
        <w:t>2.短信送达。综合运用运营商大数据，查询被送达人手机号发送送达短信,记录收发手机号码、发送时间、送达诉讼文书名称，并将短信、微信等送达内容情况及录音及时提交系统形成电子卷宗；</w:t>
      </w:r>
    </w:p>
    <w:p w14:paraId="7FAD5F10">
      <w:pPr>
        <w:pStyle w:val="10"/>
        <w:widowControl/>
        <w:shd w:val="clear" w:color="auto" w:fill="FFFFFF"/>
        <w:spacing w:line="360" w:lineRule="auto"/>
        <w:ind w:firstLine="460" w:firstLineChars="200"/>
        <w:rPr>
          <w:rFonts w:asciiTheme="minorEastAsia" w:hAnsiTheme="minorEastAsia" w:eastAsiaTheme="minorEastAsia" w:cstheme="minorEastAsia"/>
          <w:snapToGrid w:val="0"/>
          <w:color w:val="000000" w:themeColor="text1"/>
          <w:spacing w:val="10"/>
          <w:kern w:val="32"/>
          <w:sz w:val="21"/>
          <w:szCs w:val="21"/>
        </w:rPr>
      </w:pPr>
      <w:r>
        <w:rPr>
          <w:rFonts w:hint="eastAsia" w:asciiTheme="minorEastAsia" w:hAnsiTheme="minorEastAsia" w:eastAsiaTheme="minorEastAsia" w:cstheme="minorEastAsia"/>
          <w:snapToGrid w:val="0"/>
          <w:color w:val="000000" w:themeColor="text1"/>
          <w:spacing w:val="10"/>
          <w:kern w:val="32"/>
          <w:sz w:val="21"/>
          <w:szCs w:val="21"/>
        </w:rPr>
        <w:t>3.文书自助下载送达。建设互联网文书送达平台，通过短信或电话提供给当事人下载地址，自助下载文书；</w:t>
      </w:r>
    </w:p>
    <w:p w14:paraId="51CE07C4">
      <w:pPr>
        <w:pStyle w:val="10"/>
        <w:widowControl/>
        <w:shd w:val="clear" w:color="auto" w:fill="FFFFFF"/>
        <w:spacing w:line="360" w:lineRule="auto"/>
        <w:ind w:firstLine="460" w:firstLineChars="200"/>
        <w:rPr>
          <w:rFonts w:asciiTheme="minorEastAsia" w:hAnsiTheme="minorEastAsia" w:eastAsiaTheme="minorEastAsia" w:cstheme="minorEastAsia"/>
          <w:snapToGrid w:val="0"/>
          <w:color w:val="000000" w:themeColor="text1"/>
          <w:spacing w:val="10"/>
          <w:kern w:val="32"/>
          <w:sz w:val="21"/>
          <w:szCs w:val="21"/>
        </w:rPr>
      </w:pPr>
      <w:r>
        <w:rPr>
          <w:rFonts w:hint="eastAsia" w:asciiTheme="minorEastAsia" w:hAnsiTheme="minorEastAsia" w:eastAsiaTheme="minorEastAsia" w:cstheme="minorEastAsia"/>
          <w:snapToGrid w:val="0"/>
          <w:color w:val="000000" w:themeColor="text1"/>
          <w:spacing w:val="10"/>
          <w:kern w:val="32"/>
          <w:sz w:val="21"/>
          <w:szCs w:val="21"/>
        </w:rPr>
        <w:t>4.传真、电子邮件送达。通过法院备案专用的互联网电子邮箱发送送达邮件，记录传真发送和接收号码、电子邮件发送和接收邮箱、发送时间、送达诉讼文书名称，并打印传真发送确认单、电子邮件发送成功网页，并及时提交法院入卷；</w:t>
      </w:r>
    </w:p>
    <w:p w14:paraId="357AAF44">
      <w:pPr>
        <w:pStyle w:val="10"/>
        <w:widowControl/>
        <w:shd w:val="clear" w:color="auto" w:fill="FFFFFF"/>
        <w:spacing w:line="360" w:lineRule="auto"/>
        <w:ind w:firstLine="460" w:firstLineChars="200"/>
        <w:rPr>
          <w:rFonts w:asciiTheme="minorEastAsia" w:hAnsiTheme="minorEastAsia" w:eastAsiaTheme="minorEastAsia" w:cstheme="minorEastAsia"/>
          <w:snapToGrid w:val="0"/>
          <w:color w:val="000000" w:themeColor="text1"/>
          <w:spacing w:val="10"/>
          <w:kern w:val="32"/>
          <w:sz w:val="21"/>
          <w:szCs w:val="21"/>
        </w:rPr>
      </w:pPr>
      <w:r>
        <w:rPr>
          <w:rFonts w:hint="eastAsia" w:asciiTheme="minorEastAsia" w:hAnsiTheme="minorEastAsia" w:eastAsiaTheme="minorEastAsia" w:cstheme="minorEastAsia"/>
          <w:snapToGrid w:val="0"/>
          <w:color w:val="000000" w:themeColor="text1"/>
          <w:spacing w:val="10"/>
          <w:kern w:val="32"/>
          <w:sz w:val="21"/>
          <w:szCs w:val="21"/>
        </w:rPr>
        <w:t>5.邮寄送达。法律文书集中打印封装、五日三投专递送达以及拍照延伸，并按时将信息反馈法院入卷；</w:t>
      </w:r>
    </w:p>
    <w:p w14:paraId="6BB014D4">
      <w:pPr>
        <w:pStyle w:val="10"/>
        <w:widowControl/>
        <w:shd w:val="clear" w:color="auto" w:fill="FFFFFF"/>
        <w:spacing w:line="360" w:lineRule="auto"/>
        <w:ind w:firstLine="460" w:firstLineChars="200"/>
        <w:rPr>
          <w:rFonts w:asciiTheme="minorEastAsia" w:hAnsiTheme="minorEastAsia" w:eastAsiaTheme="minorEastAsia" w:cstheme="minorEastAsia"/>
          <w:snapToGrid w:val="0"/>
          <w:color w:val="000000" w:themeColor="text1"/>
          <w:spacing w:val="10"/>
          <w:kern w:val="32"/>
          <w:sz w:val="21"/>
          <w:szCs w:val="21"/>
        </w:rPr>
      </w:pPr>
      <w:r>
        <w:rPr>
          <w:rFonts w:hint="eastAsia" w:asciiTheme="minorEastAsia" w:hAnsiTheme="minorEastAsia" w:eastAsiaTheme="minorEastAsia" w:cstheme="minorEastAsia"/>
          <w:snapToGrid w:val="0"/>
          <w:color w:val="000000" w:themeColor="text1"/>
          <w:spacing w:val="10"/>
          <w:kern w:val="32"/>
          <w:sz w:val="21"/>
          <w:szCs w:val="21"/>
        </w:rPr>
        <w:t>6.公告送达。协助法院审判人员委托发布公告送达。</w:t>
      </w:r>
    </w:p>
    <w:p w14:paraId="350519E7">
      <w:pPr>
        <w:pStyle w:val="10"/>
        <w:widowControl/>
        <w:shd w:val="clear" w:color="auto" w:fill="FFFFFF"/>
        <w:spacing w:line="360" w:lineRule="auto"/>
        <w:ind w:firstLine="462" w:firstLineChars="200"/>
        <w:rPr>
          <w:rFonts w:asciiTheme="minorEastAsia" w:hAnsiTheme="minorEastAsia" w:eastAsiaTheme="minorEastAsia" w:cstheme="minorEastAsia"/>
          <w:b/>
          <w:bCs/>
          <w:snapToGrid w:val="0"/>
          <w:color w:val="000000" w:themeColor="text1"/>
          <w:spacing w:val="10"/>
          <w:kern w:val="32"/>
          <w:sz w:val="21"/>
          <w:szCs w:val="21"/>
        </w:rPr>
      </w:pPr>
      <w:r>
        <w:rPr>
          <w:rFonts w:hint="eastAsia" w:asciiTheme="minorEastAsia" w:hAnsiTheme="minorEastAsia" w:eastAsiaTheme="minorEastAsia" w:cstheme="minorEastAsia"/>
          <w:b/>
          <w:bCs/>
          <w:snapToGrid w:val="0"/>
          <w:color w:val="000000" w:themeColor="text1"/>
          <w:spacing w:val="10"/>
          <w:kern w:val="32"/>
          <w:sz w:val="21"/>
          <w:szCs w:val="21"/>
        </w:rPr>
        <w:t>二、服务要求：</w:t>
      </w:r>
    </w:p>
    <w:p w14:paraId="19ADD63D">
      <w:pPr>
        <w:pStyle w:val="10"/>
        <w:widowControl/>
        <w:shd w:val="clear" w:color="auto" w:fill="FFFFFF"/>
        <w:spacing w:line="360" w:lineRule="auto"/>
        <w:ind w:firstLine="460" w:firstLineChars="200"/>
        <w:rPr>
          <w:rFonts w:asciiTheme="minorEastAsia" w:hAnsiTheme="minorEastAsia" w:eastAsiaTheme="minorEastAsia" w:cstheme="minorEastAsia"/>
          <w:snapToGrid w:val="0"/>
          <w:color w:val="000000" w:themeColor="text1"/>
          <w:spacing w:val="10"/>
          <w:kern w:val="32"/>
          <w:sz w:val="21"/>
          <w:szCs w:val="21"/>
        </w:rPr>
      </w:pPr>
      <w:r>
        <w:rPr>
          <w:rFonts w:hint="eastAsia" w:asciiTheme="minorEastAsia" w:hAnsiTheme="minorEastAsia" w:eastAsiaTheme="minorEastAsia" w:cstheme="minorEastAsia"/>
          <w:snapToGrid w:val="0"/>
          <w:color w:val="000000" w:themeColor="text1"/>
          <w:spacing w:val="10"/>
          <w:kern w:val="32"/>
          <w:sz w:val="21"/>
          <w:szCs w:val="21"/>
        </w:rPr>
        <w:t>1．依法合规原则。送达工作过程要坚持合法合规，严格遵守民事诉讼法及相关司法解释关于各种送达方式的规定，避免因送达程序不合法导致案件被发改，影响案件质量。适用送达地址推定、公告送达等情况，应由业务部门审慎确定，并明确指示送达中心。遇无明确指导意见的情形，送达专员应及时请示案件承办人，并严格按照承办人的指示从事送达工作；</w:t>
      </w:r>
    </w:p>
    <w:p w14:paraId="609DF63E">
      <w:pPr>
        <w:pStyle w:val="10"/>
        <w:widowControl/>
        <w:shd w:val="clear" w:color="auto" w:fill="FFFFFF"/>
        <w:spacing w:line="360" w:lineRule="auto"/>
        <w:ind w:firstLine="460" w:firstLineChars="200"/>
        <w:rPr>
          <w:rFonts w:asciiTheme="minorEastAsia" w:hAnsiTheme="minorEastAsia" w:eastAsiaTheme="minorEastAsia" w:cstheme="minorEastAsia"/>
          <w:snapToGrid w:val="0"/>
          <w:color w:val="000000" w:themeColor="text1"/>
          <w:spacing w:val="10"/>
          <w:kern w:val="32"/>
          <w:sz w:val="21"/>
          <w:szCs w:val="21"/>
        </w:rPr>
      </w:pPr>
      <w:r>
        <w:rPr>
          <w:rFonts w:hint="eastAsia" w:asciiTheme="minorEastAsia" w:hAnsiTheme="minorEastAsia" w:eastAsiaTheme="minorEastAsia" w:cstheme="minorEastAsia"/>
          <w:snapToGrid w:val="0"/>
          <w:color w:val="000000" w:themeColor="text1"/>
          <w:spacing w:val="10"/>
          <w:kern w:val="32"/>
          <w:sz w:val="21"/>
          <w:szCs w:val="21"/>
        </w:rPr>
        <w:t>2．安全可靠原则。确保网络环境、作业场地的安全可靠，强化对信息流和实物流的监控，有效保障信息和文书实物的安全；</w:t>
      </w:r>
    </w:p>
    <w:p w14:paraId="324202E2">
      <w:pPr>
        <w:pStyle w:val="10"/>
        <w:widowControl/>
        <w:shd w:val="clear" w:color="auto" w:fill="FFFFFF"/>
        <w:spacing w:line="360" w:lineRule="auto"/>
        <w:ind w:firstLine="460" w:firstLineChars="200"/>
        <w:rPr>
          <w:rFonts w:asciiTheme="minorEastAsia" w:hAnsiTheme="minorEastAsia" w:eastAsiaTheme="minorEastAsia" w:cstheme="minorEastAsia"/>
          <w:snapToGrid w:val="0"/>
          <w:color w:val="000000" w:themeColor="text1"/>
          <w:spacing w:val="10"/>
          <w:kern w:val="32"/>
          <w:sz w:val="21"/>
          <w:szCs w:val="21"/>
        </w:rPr>
      </w:pPr>
      <w:r>
        <w:rPr>
          <w:rFonts w:hint="eastAsia" w:asciiTheme="minorEastAsia" w:hAnsiTheme="minorEastAsia" w:eastAsiaTheme="minorEastAsia" w:cstheme="minorEastAsia"/>
          <w:snapToGrid w:val="0"/>
          <w:color w:val="000000" w:themeColor="text1"/>
          <w:spacing w:val="10"/>
          <w:kern w:val="32"/>
          <w:sz w:val="21"/>
          <w:szCs w:val="21"/>
        </w:rPr>
        <w:t>3．快速反应原则。实现送达信息网上推送、邮寄面单在线打印，线上电子送达、线下邮寄送达，所有送达信息在集约送达中心分拣处理，采用最合适的送达方式处理，尽最快速度把送达信息交付给受送达人；</w:t>
      </w:r>
    </w:p>
    <w:p w14:paraId="21D9686D">
      <w:pPr>
        <w:pStyle w:val="10"/>
        <w:widowControl/>
        <w:shd w:val="clear" w:color="auto" w:fill="FFFFFF"/>
        <w:spacing w:line="360" w:lineRule="auto"/>
        <w:ind w:firstLine="460" w:firstLineChars="200"/>
        <w:rPr>
          <w:rFonts w:asciiTheme="minorEastAsia" w:hAnsiTheme="minorEastAsia" w:eastAsiaTheme="minorEastAsia" w:cstheme="minorEastAsia"/>
          <w:snapToGrid w:val="0"/>
          <w:color w:val="000000" w:themeColor="text1"/>
          <w:spacing w:val="10"/>
          <w:kern w:val="32"/>
          <w:sz w:val="21"/>
          <w:szCs w:val="21"/>
        </w:rPr>
      </w:pPr>
      <w:r>
        <w:rPr>
          <w:rFonts w:hint="eastAsia" w:asciiTheme="minorEastAsia" w:hAnsiTheme="minorEastAsia" w:eastAsiaTheme="minorEastAsia" w:cstheme="minorEastAsia"/>
          <w:snapToGrid w:val="0"/>
          <w:color w:val="000000" w:themeColor="text1"/>
          <w:spacing w:val="10"/>
          <w:kern w:val="32"/>
          <w:sz w:val="21"/>
          <w:szCs w:val="21"/>
        </w:rPr>
        <w:t>4．效率优先原则。送达要坚持注重效率，送达工作应由业务部门和送达中心协同配合，根据案件实际情况，选择送达方式，安排送达计划，优化送达流程，保证送达工作高质高效完成。充分推广运用电子送达手段，挖掘时效性潜力；采用与法院审判系统对接的送达业务系统，在法律文书接收、处理、转运和送达环节优先处理，确保送达效率；</w:t>
      </w:r>
    </w:p>
    <w:p w14:paraId="0700A721">
      <w:pPr>
        <w:pStyle w:val="10"/>
        <w:widowControl/>
        <w:shd w:val="clear" w:color="auto" w:fill="FFFFFF"/>
        <w:spacing w:line="360" w:lineRule="auto"/>
        <w:ind w:firstLine="460" w:firstLineChars="200"/>
        <w:rPr>
          <w:rFonts w:asciiTheme="minorEastAsia" w:hAnsiTheme="minorEastAsia" w:eastAsiaTheme="minorEastAsia" w:cstheme="minorEastAsia"/>
          <w:snapToGrid w:val="0"/>
          <w:color w:val="000000" w:themeColor="text1"/>
          <w:spacing w:val="10"/>
          <w:kern w:val="32"/>
          <w:sz w:val="21"/>
          <w:szCs w:val="21"/>
        </w:rPr>
      </w:pPr>
      <w:r>
        <w:rPr>
          <w:rFonts w:hint="eastAsia" w:asciiTheme="minorEastAsia" w:hAnsiTheme="minorEastAsia" w:eastAsiaTheme="minorEastAsia" w:cstheme="minorEastAsia"/>
          <w:snapToGrid w:val="0"/>
          <w:color w:val="000000" w:themeColor="text1"/>
          <w:spacing w:val="10"/>
          <w:kern w:val="32"/>
          <w:sz w:val="21"/>
          <w:szCs w:val="21"/>
        </w:rPr>
        <w:t>5．全程留痕原则。送达要坚持全程留痕，送达中心充分借助信息化手段，做到各送达节点及时录入送达信息，过程中产生的电话录音、送达回证、邮单回执、送达报告等送达信息共享利用，供全院随时查询回溯。</w:t>
      </w:r>
    </w:p>
    <w:p w14:paraId="4F3282CF">
      <w:pPr>
        <w:pStyle w:val="10"/>
        <w:widowControl/>
        <w:shd w:val="clear" w:color="auto" w:fill="FFFFFF"/>
        <w:spacing w:line="360" w:lineRule="auto"/>
        <w:ind w:firstLine="462" w:firstLineChars="200"/>
        <w:rPr>
          <w:rFonts w:asciiTheme="minorEastAsia" w:hAnsiTheme="minorEastAsia" w:eastAsiaTheme="minorEastAsia" w:cstheme="minorEastAsia"/>
          <w:snapToGrid w:val="0"/>
          <w:color w:val="000000" w:themeColor="text1"/>
          <w:spacing w:val="10"/>
          <w:kern w:val="32"/>
          <w:sz w:val="21"/>
          <w:szCs w:val="21"/>
        </w:rPr>
      </w:pPr>
      <w:r>
        <w:rPr>
          <w:rFonts w:hint="eastAsia" w:asciiTheme="minorEastAsia" w:hAnsiTheme="minorEastAsia" w:eastAsiaTheme="minorEastAsia" w:cstheme="minorEastAsia"/>
          <w:b/>
          <w:bCs/>
          <w:snapToGrid w:val="0"/>
          <w:color w:val="000000" w:themeColor="text1"/>
          <w:spacing w:val="10"/>
          <w:kern w:val="32"/>
          <w:sz w:val="21"/>
          <w:szCs w:val="21"/>
        </w:rPr>
        <w:t>三、服务时间：贰年</w:t>
      </w:r>
    </w:p>
    <w:p w14:paraId="0A59DF64">
      <w:pPr>
        <w:pStyle w:val="10"/>
        <w:widowControl/>
        <w:shd w:val="clear" w:color="auto" w:fill="FFFFFF"/>
        <w:spacing w:line="360" w:lineRule="auto"/>
        <w:ind w:firstLine="462" w:firstLineChars="200"/>
        <w:rPr>
          <w:rFonts w:asciiTheme="minorEastAsia" w:hAnsiTheme="minorEastAsia" w:eastAsiaTheme="minorEastAsia" w:cstheme="minorEastAsia"/>
          <w:b/>
          <w:bCs/>
          <w:snapToGrid w:val="0"/>
          <w:color w:val="000000" w:themeColor="text1"/>
          <w:spacing w:val="10"/>
          <w:kern w:val="32"/>
          <w:sz w:val="21"/>
          <w:szCs w:val="21"/>
        </w:rPr>
      </w:pPr>
      <w:r>
        <w:rPr>
          <w:rFonts w:hint="eastAsia" w:asciiTheme="minorEastAsia" w:hAnsiTheme="minorEastAsia" w:eastAsiaTheme="minorEastAsia" w:cstheme="minorEastAsia"/>
          <w:b/>
          <w:bCs/>
          <w:snapToGrid w:val="0"/>
          <w:color w:val="000000" w:themeColor="text1"/>
          <w:spacing w:val="10"/>
          <w:kern w:val="32"/>
          <w:sz w:val="21"/>
          <w:szCs w:val="21"/>
        </w:rPr>
        <w:t>四、服务标准：</w:t>
      </w:r>
    </w:p>
    <w:p w14:paraId="636806B7">
      <w:pPr>
        <w:spacing w:line="360" w:lineRule="auto"/>
        <w:ind w:firstLine="460" w:firstLineChars="200"/>
        <w:rPr>
          <w:rFonts w:asciiTheme="minorEastAsia" w:hAnsiTheme="minorEastAsia" w:eastAsiaTheme="minorEastAsia" w:cstheme="minorEastAsia"/>
          <w:snapToGrid w:val="0"/>
          <w:color w:val="000000" w:themeColor="text1"/>
          <w:spacing w:val="10"/>
          <w:kern w:val="32"/>
          <w:szCs w:val="21"/>
        </w:rPr>
      </w:pPr>
      <w:r>
        <w:rPr>
          <w:rFonts w:hint="eastAsia" w:asciiTheme="minorEastAsia" w:hAnsiTheme="minorEastAsia" w:eastAsiaTheme="minorEastAsia" w:cstheme="minorEastAsia"/>
          <w:snapToGrid w:val="0"/>
          <w:color w:val="000000" w:themeColor="text1"/>
          <w:spacing w:val="10"/>
          <w:kern w:val="32"/>
          <w:szCs w:val="21"/>
        </w:rPr>
        <w:t>以立案数为计价单位，实行激励性计价，具体为：</w:t>
      </w:r>
    </w:p>
    <w:p w14:paraId="708234C2">
      <w:pPr>
        <w:spacing w:line="360" w:lineRule="auto"/>
        <w:ind w:firstLine="460" w:firstLineChars="200"/>
        <w:rPr>
          <w:rFonts w:asciiTheme="minorEastAsia" w:hAnsiTheme="minorEastAsia" w:eastAsiaTheme="minorEastAsia" w:cstheme="minorEastAsia"/>
          <w:snapToGrid w:val="0"/>
          <w:color w:val="000000" w:themeColor="text1"/>
          <w:spacing w:val="10"/>
          <w:kern w:val="32"/>
          <w:szCs w:val="21"/>
        </w:rPr>
      </w:pPr>
      <w:r>
        <w:rPr>
          <w:rFonts w:hint="eastAsia" w:asciiTheme="minorEastAsia" w:hAnsiTheme="minorEastAsia" w:eastAsiaTheme="minorEastAsia" w:cstheme="minorEastAsia"/>
          <w:snapToGrid w:val="0"/>
          <w:color w:val="000000" w:themeColor="text1"/>
          <w:spacing w:val="10"/>
          <w:kern w:val="32"/>
          <w:szCs w:val="21"/>
        </w:rPr>
        <w:t>①月度集约送达线上送达率达到90%（含90%）及以上，以该月立案数为单位，按</w:t>
      </w:r>
      <w:r>
        <w:rPr>
          <w:rFonts w:hint="eastAsia" w:asciiTheme="minorEastAsia" w:hAnsiTheme="minorEastAsia" w:eastAsiaTheme="minorEastAsia" w:cstheme="minorEastAsia"/>
          <w:snapToGrid w:val="0"/>
          <w:color w:val="000000" w:themeColor="text1"/>
          <w:spacing w:val="10"/>
          <w:kern w:val="32"/>
          <w:szCs w:val="21"/>
          <w:lang w:val="en-US" w:eastAsia="zh-CN"/>
        </w:rPr>
        <w:t>100</w:t>
      </w:r>
      <w:r>
        <w:rPr>
          <w:rFonts w:hint="eastAsia" w:asciiTheme="minorEastAsia" w:hAnsiTheme="minorEastAsia" w:eastAsiaTheme="minorEastAsia" w:cstheme="minorEastAsia"/>
          <w:snapToGrid w:val="0"/>
          <w:color w:val="000000" w:themeColor="text1"/>
          <w:spacing w:val="10"/>
          <w:kern w:val="32"/>
          <w:szCs w:val="21"/>
        </w:rPr>
        <w:t>元/件进行结算；</w:t>
      </w:r>
    </w:p>
    <w:p w14:paraId="4E4D52B3">
      <w:pPr>
        <w:spacing w:line="360" w:lineRule="auto"/>
        <w:ind w:firstLine="460" w:firstLineChars="200"/>
        <w:rPr>
          <w:rFonts w:asciiTheme="minorEastAsia" w:hAnsiTheme="minorEastAsia" w:eastAsiaTheme="minorEastAsia" w:cstheme="minorEastAsia"/>
          <w:snapToGrid w:val="0"/>
          <w:color w:val="000000" w:themeColor="text1"/>
          <w:spacing w:val="10"/>
          <w:kern w:val="32"/>
          <w:szCs w:val="21"/>
          <w:lang w:val="zh-TW"/>
        </w:rPr>
      </w:pPr>
      <w:r>
        <w:rPr>
          <w:rFonts w:hint="eastAsia" w:asciiTheme="minorEastAsia" w:hAnsiTheme="minorEastAsia" w:eastAsiaTheme="minorEastAsia" w:cstheme="minorEastAsia"/>
          <w:snapToGrid w:val="0"/>
          <w:color w:val="000000" w:themeColor="text1"/>
          <w:spacing w:val="10"/>
          <w:kern w:val="32"/>
          <w:szCs w:val="21"/>
          <w:lang w:val="zh-TW"/>
        </w:rPr>
        <w:t>②月度集约送达线上送达率高于</w:t>
      </w:r>
      <w:r>
        <w:rPr>
          <w:rFonts w:hint="eastAsia" w:asciiTheme="minorEastAsia" w:hAnsiTheme="minorEastAsia" w:eastAsiaTheme="minorEastAsia" w:cstheme="minorEastAsia"/>
          <w:snapToGrid w:val="0"/>
          <w:color w:val="000000" w:themeColor="text1"/>
          <w:spacing w:val="10"/>
          <w:kern w:val="32"/>
          <w:szCs w:val="21"/>
        </w:rPr>
        <w:t>80%（含80%）低于90%（不包含90%），以立案数为单位，按</w:t>
      </w:r>
      <w:r>
        <w:rPr>
          <w:rFonts w:hint="eastAsia" w:asciiTheme="minorEastAsia" w:hAnsiTheme="minorEastAsia" w:eastAsiaTheme="minorEastAsia" w:cstheme="minorEastAsia"/>
          <w:snapToGrid w:val="0"/>
          <w:color w:val="000000" w:themeColor="text1"/>
          <w:spacing w:val="10"/>
          <w:kern w:val="32"/>
          <w:szCs w:val="21"/>
          <w:lang w:val="en-US" w:eastAsia="zh-CN"/>
        </w:rPr>
        <w:t>95</w:t>
      </w:r>
      <w:r>
        <w:rPr>
          <w:rFonts w:hint="eastAsia" w:asciiTheme="minorEastAsia" w:hAnsiTheme="minorEastAsia" w:eastAsiaTheme="minorEastAsia" w:cstheme="minorEastAsia"/>
          <w:snapToGrid w:val="0"/>
          <w:color w:val="000000" w:themeColor="text1"/>
          <w:spacing w:val="10"/>
          <w:kern w:val="32"/>
          <w:szCs w:val="21"/>
        </w:rPr>
        <w:t>元/件进行结算；</w:t>
      </w:r>
    </w:p>
    <w:p w14:paraId="19ABDCA0">
      <w:pPr>
        <w:spacing w:line="360" w:lineRule="auto"/>
        <w:ind w:firstLine="460" w:firstLineChars="200"/>
        <w:rPr>
          <w:rFonts w:asciiTheme="minorEastAsia" w:hAnsiTheme="minorEastAsia" w:eastAsiaTheme="minorEastAsia" w:cstheme="minorEastAsia"/>
          <w:snapToGrid w:val="0"/>
          <w:color w:val="000000" w:themeColor="text1"/>
          <w:spacing w:val="10"/>
          <w:kern w:val="32"/>
          <w:szCs w:val="21"/>
        </w:rPr>
      </w:pPr>
      <w:r>
        <w:rPr>
          <w:rFonts w:hint="eastAsia" w:asciiTheme="minorEastAsia" w:hAnsiTheme="minorEastAsia" w:eastAsiaTheme="minorEastAsia" w:cstheme="minorEastAsia"/>
          <w:snapToGrid w:val="0"/>
          <w:color w:val="000000" w:themeColor="text1"/>
          <w:spacing w:val="10"/>
          <w:kern w:val="32"/>
          <w:szCs w:val="21"/>
          <w:lang w:val="zh-TW" w:eastAsia="zh-TW"/>
        </w:rPr>
        <w:t>③</w:t>
      </w:r>
      <w:r>
        <w:rPr>
          <w:rFonts w:hint="eastAsia" w:asciiTheme="minorEastAsia" w:hAnsiTheme="minorEastAsia" w:eastAsiaTheme="minorEastAsia" w:cstheme="minorEastAsia"/>
          <w:snapToGrid w:val="0"/>
          <w:color w:val="000000" w:themeColor="text1"/>
          <w:spacing w:val="10"/>
          <w:kern w:val="32"/>
          <w:szCs w:val="21"/>
          <w:lang w:val="zh-TW"/>
        </w:rPr>
        <w:t>月度集约送达线上送达率</w:t>
      </w:r>
      <w:r>
        <w:rPr>
          <w:rFonts w:hint="eastAsia" w:asciiTheme="minorEastAsia" w:hAnsiTheme="minorEastAsia" w:eastAsiaTheme="minorEastAsia" w:cstheme="minorEastAsia"/>
          <w:snapToGrid w:val="0"/>
          <w:color w:val="000000" w:themeColor="text1"/>
          <w:spacing w:val="10"/>
          <w:kern w:val="32"/>
          <w:szCs w:val="21"/>
        </w:rPr>
        <w:t>低于80%（不含80%），以立案数为单位，按</w:t>
      </w:r>
      <w:r>
        <w:rPr>
          <w:rFonts w:hint="eastAsia" w:asciiTheme="minorEastAsia" w:hAnsiTheme="minorEastAsia" w:eastAsiaTheme="minorEastAsia" w:cstheme="minorEastAsia"/>
          <w:snapToGrid w:val="0"/>
          <w:color w:val="000000" w:themeColor="text1"/>
          <w:spacing w:val="10"/>
          <w:kern w:val="32"/>
          <w:szCs w:val="21"/>
          <w:lang w:val="en-US" w:eastAsia="zh-CN"/>
        </w:rPr>
        <w:t>90</w:t>
      </w:r>
      <w:r>
        <w:rPr>
          <w:rFonts w:hint="eastAsia" w:asciiTheme="minorEastAsia" w:hAnsiTheme="minorEastAsia" w:eastAsiaTheme="minorEastAsia" w:cstheme="minorEastAsia"/>
          <w:snapToGrid w:val="0"/>
          <w:color w:val="000000" w:themeColor="text1"/>
          <w:spacing w:val="10"/>
          <w:kern w:val="32"/>
          <w:szCs w:val="21"/>
        </w:rPr>
        <w:t>元/件进行结算。</w:t>
      </w:r>
    </w:p>
    <w:p w14:paraId="4459D653">
      <w:pPr>
        <w:spacing w:line="360" w:lineRule="auto"/>
        <w:ind w:firstLine="460" w:firstLineChars="200"/>
        <w:rPr>
          <w:rFonts w:asciiTheme="minorEastAsia" w:hAnsiTheme="minorEastAsia" w:eastAsiaTheme="minorEastAsia" w:cstheme="minorEastAsia"/>
          <w:snapToGrid w:val="0"/>
          <w:color w:val="000000" w:themeColor="text1"/>
          <w:spacing w:val="10"/>
          <w:kern w:val="32"/>
          <w:szCs w:val="21"/>
        </w:rPr>
      </w:pPr>
      <w:r>
        <w:rPr>
          <w:rFonts w:hint="eastAsia" w:asciiTheme="minorEastAsia" w:hAnsiTheme="minorEastAsia" w:eastAsiaTheme="minorEastAsia" w:cstheme="minorEastAsia"/>
          <w:snapToGrid w:val="0"/>
          <w:color w:val="000000" w:themeColor="text1"/>
          <w:spacing w:val="10"/>
          <w:kern w:val="32"/>
          <w:szCs w:val="21"/>
        </w:rPr>
        <w:t>采取激励性计价方式的目的为提高线上送达率，对于因客观原因未能线上送达的案件，供应商仍应通过线下送达的方式尽职尽责履行义务。</w:t>
      </w:r>
    </w:p>
    <w:p w14:paraId="0EC6FC31">
      <w:pPr>
        <w:spacing w:line="360" w:lineRule="auto"/>
        <w:ind w:firstLine="460" w:firstLineChars="200"/>
        <w:rPr>
          <w:rFonts w:asciiTheme="minorEastAsia" w:hAnsiTheme="minorEastAsia" w:eastAsiaTheme="minorEastAsia" w:cstheme="minorEastAsia"/>
          <w:snapToGrid w:val="0"/>
          <w:color w:val="000000" w:themeColor="text1"/>
          <w:spacing w:val="10"/>
          <w:kern w:val="32"/>
          <w:szCs w:val="21"/>
          <w:lang w:val="zh-TW"/>
        </w:rPr>
      </w:pPr>
      <w:r>
        <w:rPr>
          <w:rFonts w:hint="eastAsia" w:asciiTheme="minorEastAsia" w:hAnsiTheme="minorEastAsia" w:eastAsiaTheme="minorEastAsia" w:cstheme="minorEastAsia"/>
          <w:snapToGrid w:val="0"/>
          <w:color w:val="000000" w:themeColor="text1"/>
          <w:spacing w:val="10"/>
          <w:kern w:val="32"/>
          <w:szCs w:val="21"/>
        </w:rPr>
        <w:t>（</w:t>
      </w:r>
      <w:r>
        <w:rPr>
          <w:rFonts w:hint="eastAsia" w:asciiTheme="minorEastAsia" w:hAnsiTheme="minorEastAsia" w:eastAsiaTheme="minorEastAsia" w:cstheme="minorEastAsia"/>
          <w:snapToGrid w:val="0"/>
          <w:color w:val="000000" w:themeColor="text1"/>
          <w:spacing w:val="10"/>
          <w:kern w:val="32"/>
          <w:szCs w:val="21"/>
          <w:lang w:val="zh-TW"/>
        </w:rPr>
        <w:t>举例说明：当月立案数为100件，线上送达95件、线下送达5件，该月服务费为100件×</w:t>
      </w:r>
      <w:r>
        <w:rPr>
          <w:rFonts w:hint="eastAsia" w:asciiTheme="minorEastAsia" w:hAnsiTheme="minorEastAsia" w:eastAsiaTheme="minorEastAsia" w:cstheme="minorEastAsia"/>
          <w:snapToGrid w:val="0"/>
          <w:color w:val="000000" w:themeColor="text1"/>
          <w:spacing w:val="10"/>
          <w:kern w:val="32"/>
          <w:szCs w:val="21"/>
        </w:rPr>
        <w:t>10</w:t>
      </w:r>
      <w:r>
        <w:rPr>
          <w:rFonts w:hint="eastAsia" w:asciiTheme="minorEastAsia" w:hAnsiTheme="minorEastAsia" w:eastAsiaTheme="minorEastAsia" w:cstheme="minorEastAsia"/>
          <w:snapToGrid w:val="0"/>
          <w:color w:val="000000" w:themeColor="text1"/>
          <w:spacing w:val="10"/>
          <w:kern w:val="32"/>
          <w:szCs w:val="21"/>
          <w:lang w:val="en-US" w:eastAsia="zh-CN"/>
        </w:rPr>
        <w:t>0</w:t>
      </w:r>
      <w:r>
        <w:rPr>
          <w:rFonts w:hint="eastAsia" w:asciiTheme="minorEastAsia" w:hAnsiTheme="minorEastAsia" w:eastAsiaTheme="minorEastAsia" w:cstheme="minorEastAsia"/>
          <w:snapToGrid w:val="0"/>
          <w:color w:val="000000" w:themeColor="text1"/>
          <w:spacing w:val="10"/>
          <w:kern w:val="32"/>
          <w:szCs w:val="21"/>
          <w:lang w:val="zh-TW"/>
        </w:rPr>
        <w:t>元；线上送达85件、线下送达15件，该月服务费为100件×</w:t>
      </w:r>
      <w:r>
        <w:rPr>
          <w:rFonts w:hint="eastAsia" w:asciiTheme="minorEastAsia" w:hAnsiTheme="minorEastAsia" w:eastAsiaTheme="minorEastAsia" w:cstheme="minorEastAsia"/>
          <w:snapToGrid w:val="0"/>
          <w:color w:val="000000" w:themeColor="text1"/>
          <w:spacing w:val="10"/>
          <w:kern w:val="32"/>
          <w:szCs w:val="21"/>
          <w:lang w:val="en-US" w:eastAsia="zh-CN"/>
        </w:rPr>
        <w:t>95</w:t>
      </w:r>
      <w:r>
        <w:rPr>
          <w:rFonts w:hint="eastAsia" w:asciiTheme="minorEastAsia" w:hAnsiTheme="minorEastAsia" w:eastAsiaTheme="minorEastAsia" w:cstheme="minorEastAsia"/>
          <w:snapToGrid w:val="0"/>
          <w:color w:val="000000" w:themeColor="text1"/>
          <w:spacing w:val="10"/>
          <w:kern w:val="32"/>
          <w:szCs w:val="21"/>
          <w:lang w:val="zh-TW"/>
        </w:rPr>
        <w:t>元；线上送达75件、线下送达25件，该月服务费为100件×</w:t>
      </w:r>
      <w:r>
        <w:rPr>
          <w:rFonts w:hint="eastAsia" w:asciiTheme="minorEastAsia" w:hAnsiTheme="minorEastAsia" w:eastAsiaTheme="minorEastAsia" w:cstheme="minorEastAsia"/>
          <w:snapToGrid w:val="0"/>
          <w:color w:val="000000" w:themeColor="text1"/>
          <w:spacing w:val="10"/>
          <w:kern w:val="32"/>
          <w:szCs w:val="21"/>
          <w:lang w:val="en-US" w:eastAsia="zh-CN"/>
        </w:rPr>
        <w:t>90</w:t>
      </w:r>
      <w:r>
        <w:rPr>
          <w:rFonts w:hint="eastAsia" w:asciiTheme="minorEastAsia" w:hAnsiTheme="minorEastAsia" w:eastAsiaTheme="minorEastAsia" w:cstheme="minorEastAsia"/>
          <w:snapToGrid w:val="0"/>
          <w:color w:val="000000" w:themeColor="text1"/>
          <w:spacing w:val="10"/>
          <w:kern w:val="32"/>
          <w:szCs w:val="21"/>
          <w:lang w:val="zh-TW"/>
        </w:rPr>
        <w:t>元</w:t>
      </w:r>
      <w:r>
        <w:rPr>
          <w:rFonts w:hint="eastAsia" w:asciiTheme="minorEastAsia" w:hAnsiTheme="minorEastAsia" w:eastAsiaTheme="minorEastAsia" w:cstheme="minorEastAsia"/>
          <w:snapToGrid w:val="0"/>
          <w:color w:val="000000" w:themeColor="text1"/>
          <w:spacing w:val="10"/>
          <w:kern w:val="32"/>
          <w:szCs w:val="21"/>
        </w:rPr>
        <w:t>）</w:t>
      </w:r>
    </w:p>
    <w:p w14:paraId="55BA03A9">
      <w:pPr>
        <w:pStyle w:val="7"/>
        <w:spacing w:before="0" w:after="0" w:line="360" w:lineRule="auto"/>
        <w:ind w:firstLine="462" w:firstLineChars="200"/>
        <w:rPr>
          <w:b w:val="0"/>
          <w:bCs w:val="0"/>
          <w:color w:val="000000" w:themeColor="text1"/>
        </w:rPr>
      </w:pPr>
      <w:r>
        <w:rPr>
          <w:rFonts w:hint="eastAsia" w:asciiTheme="minorEastAsia" w:hAnsiTheme="minorEastAsia" w:eastAsiaTheme="minorEastAsia" w:cstheme="minorEastAsia"/>
          <w:snapToGrid w:val="0"/>
          <w:color w:val="000000" w:themeColor="text1"/>
          <w:spacing w:val="10"/>
          <w:kern w:val="32"/>
          <w:sz w:val="21"/>
          <w:szCs w:val="21"/>
        </w:rPr>
        <w:t>每月结算一次，按</w:t>
      </w:r>
      <w:r>
        <w:rPr>
          <w:rFonts w:hint="eastAsia" w:asciiTheme="minorEastAsia" w:hAnsiTheme="minorEastAsia" w:eastAsiaTheme="minorEastAsia" w:cstheme="minorEastAsia"/>
          <w:snapToGrid w:val="0"/>
          <w:color w:val="000000" w:themeColor="text1"/>
          <w:spacing w:val="10"/>
          <w:kern w:val="32"/>
          <w:sz w:val="21"/>
          <w:szCs w:val="21"/>
          <w:lang w:val="en-US" w:eastAsia="zh-CN"/>
        </w:rPr>
        <w:t>通达海系统</w:t>
      </w:r>
      <w:r>
        <w:rPr>
          <w:rFonts w:hint="eastAsia" w:asciiTheme="minorEastAsia" w:hAnsiTheme="minorEastAsia" w:eastAsiaTheme="minorEastAsia" w:cstheme="minorEastAsia"/>
          <w:snapToGrid w:val="0"/>
          <w:color w:val="000000" w:themeColor="text1"/>
          <w:spacing w:val="10"/>
          <w:kern w:val="32"/>
          <w:sz w:val="21"/>
          <w:szCs w:val="21"/>
        </w:rPr>
        <w:t>统计数据结算</w:t>
      </w:r>
      <w:r>
        <w:rPr>
          <w:rFonts w:hint="eastAsia" w:asciiTheme="minorEastAsia" w:hAnsiTheme="minorEastAsia" w:eastAsiaTheme="minorEastAsia" w:cstheme="minorEastAsia"/>
          <w:b w:val="0"/>
          <w:bCs w:val="0"/>
          <w:color w:val="000000" w:themeColor="text1"/>
          <w:sz w:val="21"/>
          <w:szCs w:val="21"/>
        </w:rPr>
        <w:t>。</w:t>
      </w:r>
      <w:bookmarkStart w:id="0" w:name="_GoBack"/>
      <w:bookmarkEnd w:id="0"/>
    </w:p>
    <w:p w14:paraId="114385B3">
      <w:pPr>
        <w:pStyle w:val="13"/>
        <w:tabs>
          <w:tab w:val="left" w:pos="567"/>
        </w:tabs>
        <w:spacing w:line="360" w:lineRule="auto"/>
        <w:ind w:firstLine="422"/>
        <w:jc w:val="left"/>
        <w:outlineLvl w:val="1"/>
        <w:rPr>
          <w:rFonts w:ascii="宋体" w:hAnsi="宋体" w:cs="宋体"/>
          <w:b/>
          <w:bCs/>
          <w:color w:val="000000" w:themeColor="text1"/>
          <w:szCs w:val="21"/>
        </w:rPr>
      </w:pPr>
      <w:r>
        <w:rPr>
          <w:rFonts w:hint="eastAsia" w:ascii="宋体" w:hAnsi="宋体" w:cs="宋体"/>
          <w:b/>
          <w:bCs/>
          <w:color w:val="000000" w:themeColor="text1"/>
          <w:szCs w:val="21"/>
        </w:rPr>
        <w:t>五、其他要求</w:t>
      </w:r>
    </w:p>
    <w:p w14:paraId="5596FF95">
      <w:pPr>
        <w:pStyle w:val="13"/>
        <w:tabs>
          <w:tab w:val="left" w:pos="567"/>
        </w:tabs>
        <w:spacing w:line="360" w:lineRule="auto"/>
        <w:jc w:val="left"/>
        <w:outlineLvl w:val="1"/>
        <w:rPr>
          <w:rFonts w:ascii="宋体" w:hAnsi="宋体" w:cs="宋体"/>
          <w:color w:val="000000" w:themeColor="text1"/>
          <w:szCs w:val="21"/>
        </w:rPr>
      </w:pPr>
      <w:r>
        <w:rPr>
          <w:rFonts w:hint="eastAsia" w:ascii="宋体" w:hAnsi="宋体" w:cs="宋体"/>
          <w:color w:val="000000" w:themeColor="text1"/>
          <w:szCs w:val="21"/>
        </w:rPr>
        <w:t>1、本次采购全部内容为“交钥匙”工程，服务、劳务、运输、利润、保险、税金、以及所包含的风险、责任等所有费用均包含在报价内，请各供应商认真考虑其各种风险。除合同另有规定之外，伴随服务的费用均已含在合同价款中，采购人不再另行支付。</w:t>
      </w:r>
    </w:p>
    <w:p w14:paraId="1D47E2B6">
      <w:pPr>
        <w:pStyle w:val="13"/>
        <w:tabs>
          <w:tab w:val="left" w:pos="567"/>
        </w:tabs>
        <w:spacing w:line="360" w:lineRule="auto"/>
        <w:jc w:val="left"/>
        <w:outlineLvl w:val="1"/>
        <w:rPr>
          <w:rFonts w:ascii="宋体" w:hAnsi="宋体" w:cs="宋体"/>
          <w:color w:val="000000" w:themeColor="text1"/>
          <w:szCs w:val="21"/>
        </w:rPr>
      </w:pPr>
      <w:r>
        <w:rPr>
          <w:rFonts w:hint="eastAsia" w:ascii="宋体" w:hAnsi="宋体" w:cs="宋体"/>
          <w:color w:val="000000" w:themeColor="text1"/>
          <w:szCs w:val="21"/>
        </w:rPr>
        <w:t>2、供应商必须按照采购文件要求对服务的各个参数指标作出实质性应答。成交后，供应商在合同谈判中提出的任何偏差都不得超过此偏差表中已被采购人确认的条款。</w:t>
      </w:r>
    </w:p>
    <w:p w14:paraId="0F726CBF">
      <w:pPr>
        <w:spacing w:line="360" w:lineRule="auto"/>
        <w:ind w:firstLine="420" w:firstLineChars="200"/>
        <w:rPr>
          <w:color w:val="000000" w:themeColor="text1"/>
        </w:rPr>
      </w:pPr>
      <w:r>
        <w:rPr>
          <w:rFonts w:hint="eastAsia" w:ascii="宋体" w:hAnsi="宋体" w:cs="宋体"/>
          <w:color w:val="000000" w:themeColor="text1"/>
          <w:szCs w:val="21"/>
        </w:rPr>
        <w:t>3、明确售后服务能力（包括服务期、售后服务、响应时间等）。</w:t>
      </w:r>
    </w:p>
    <w:p w14:paraId="7B5C32C1">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MjMyNDkyMzM3MjdlZmViYjgyOTQzYmM0ZjJkMjAifQ=="/>
  </w:docVars>
  <w:rsids>
    <w:rsidRoot w:val="7C9D0197"/>
    <w:rsid w:val="003B0421"/>
    <w:rsid w:val="003D0995"/>
    <w:rsid w:val="00542AA3"/>
    <w:rsid w:val="00A0652F"/>
    <w:rsid w:val="00A47871"/>
    <w:rsid w:val="3109368E"/>
    <w:rsid w:val="544E5F46"/>
    <w:rsid w:val="7C9D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heading 3"/>
    <w:basedOn w:val="1"/>
    <w:next w:val="1"/>
    <w:qFormat/>
    <w:uiPriority w:val="9"/>
    <w:pPr>
      <w:keepNext/>
      <w:keepLines/>
      <w:spacing w:before="260" w:after="260" w:line="416" w:lineRule="auto"/>
      <w:outlineLvl w:val="2"/>
    </w:pPr>
    <w:rPr>
      <w:rFonts w:ascii="Calibri" w:hAnsi="Calibri"/>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pacing w:line="360" w:lineRule="atLeast"/>
      <w:jc w:val="left"/>
    </w:pPr>
    <w:rPr>
      <w:rFonts w:ascii="宋体" w:hAnsi="Calibri"/>
      <w:sz w:val="24"/>
      <w:szCs w:val="20"/>
    </w:rPr>
  </w:style>
  <w:style w:type="paragraph" w:customStyle="1" w:styleId="3">
    <w:name w:val="正文文本1"/>
    <w:basedOn w:val="2"/>
    <w:next w:val="4"/>
    <w:qFormat/>
    <w:uiPriority w:val="0"/>
    <w:pPr>
      <w:spacing w:after="120"/>
    </w:pPr>
    <w:rPr>
      <w:lang w:eastAsia="en-US"/>
    </w:rPr>
  </w:style>
  <w:style w:type="paragraph" w:customStyle="1" w:styleId="4">
    <w:name w:val="一级条标题"/>
    <w:basedOn w:val="5"/>
    <w:next w:val="6"/>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6">
    <w:name w:val="段"/>
    <w:basedOn w:val="2"/>
    <w:next w:val="1"/>
    <w:qFormat/>
    <w:uiPriority w:val="0"/>
    <w:pPr>
      <w:widowControl/>
      <w:ind w:firstLine="200"/>
    </w:pPr>
    <w:rPr>
      <w:sz w:val="20"/>
    </w:rPr>
  </w:style>
  <w:style w:type="paragraph" w:styleId="8">
    <w:name w:val="footer"/>
    <w:basedOn w:val="1"/>
    <w:link w:val="15"/>
    <w:uiPriority w:val="0"/>
    <w:pPr>
      <w:tabs>
        <w:tab w:val="center" w:pos="4153"/>
        <w:tab w:val="right" w:pos="8306"/>
      </w:tabs>
      <w:snapToGrid w:val="0"/>
      <w:jc w:val="left"/>
    </w:pPr>
    <w:rPr>
      <w:sz w:val="18"/>
      <w:szCs w:val="18"/>
    </w:rPr>
  </w:style>
  <w:style w:type="paragraph" w:styleId="9">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jc w:val="left"/>
    </w:pPr>
    <w:rPr>
      <w:rFonts w:ascii="Calibri" w:hAnsi="Calibri"/>
      <w:kern w:val="0"/>
      <w:sz w:val="24"/>
      <w:szCs w:val="24"/>
    </w:rPr>
  </w:style>
  <w:style w:type="paragraph" w:styleId="13">
    <w:name w:val="List Paragraph"/>
    <w:basedOn w:val="1"/>
    <w:qFormat/>
    <w:uiPriority w:val="34"/>
    <w:pPr>
      <w:ind w:firstLine="420" w:firstLineChars="200"/>
    </w:pPr>
  </w:style>
  <w:style w:type="character" w:customStyle="1" w:styleId="14">
    <w:name w:val="页眉 Char"/>
    <w:basedOn w:val="12"/>
    <w:link w:val="9"/>
    <w:uiPriority w:val="0"/>
    <w:rPr>
      <w:rFonts w:ascii="Times New Roman" w:hAnsi="Times New Roman" w:eastAsia="宋体" w:cs="Times New Roman"/>
      <w:kern w:val="2"/>
      <w:sz w:val="18"/>
      <w:szCs w:val="18"/>
    </w:rPr>
  </w:style>
  <w:style w:type="character" w:customStyle="1" w:styleId="15">
    <w:name w:val="页脚 Char"/>
    <w:basedOn w:val="12"/>
    <w:link w:val="8"/>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1881</Words>
  <Characters>1926</Characters>
  <Lines>1</Lines>
  <Paragraphs>3</Paragraphs>
  <TotalTime>14</TotalTime>
  <ScaleCrop>false</ScaleCrop>
  <LinksUpToDate>false</LinksUpToDate>
  <CharactersWithSpaces>1926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2023-11-21T02:06:00Z</dcterms:created>
  <dc:creator>林斌</dc:creator>
  <cp:lastModifiedBy>stan</cp:lastModifiedBy>
  <dcterms:modified xsi:type="dcterms:W3CDTF">2024-12-10T03:01:32Z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CCF7D7118B244D489CB0545DEBA33856_13</vt:lpwstr>
  </property>
</Properties>
</file>