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BF74" w14:textId="18CC5D6A" w:rsidR="00123674" w:rsidRDefault="00F714C6">
      <w:pPr>
        <w:pageBreakBefore/>
        <w:spacing w:afterLines="50" w:after="156" w:line="300" w:lineRule="auto"/>
        <w:jc w:val="center"/>
        <w:rPr>
          <w:rFonts w:ascii="宋体" w:hAnsi="宋体" w:hint="eastAsia"/>
          <w:b/>
          <w:position w:val="-6"/>
          <w:sz w:val="36"/>
          <w:szCs w:val="36"/>
        </w:rPr>
      </w:pPr>
      <w:r>
        <w:rPr>
          <w:rFonts w:ascii="宋体" w:hAnsi="宋体" w:hint="eastAsia"/>
          <w:b/>
          <w:position w:val="-6"/>
          <w:sz w:val="36"/>
          <w:szCs w:val="36"/>
        </w:rPr>
        <w:t>最高投标限价编制说明</w:t>
      </w:r>
    </w:p>
    <w:tbl>
      <w:tblPr>
        <w:tblStyle w:val="a8"/>
        <w:tblW w:w="0" w:type="auto"/>
        <w:tblLayout w:type="fixed"/>
        <w:tblLook w:val="04A0" w:firstRow="1" w:lastRow="0" w:firstColumn="1" w:lastColumn="0" w:noHBand="0" w:noVBand="1"/>
      </w:tblPr>
      <w:tblGrid>
        <w:gridCol w:w="9315"/>
      </w:tblGrid>
      <w:tr w:rsidR="00123674" w14:paraId="56D0125D" w14:textId="77777777">
        <w:trPr>
          <w:trHeight w:val="7440"/>
        </w:trPr>
        <w:tc>
          <w:tcPr>
            <w:tcW w:w="9315" w:type="dxa"/>
            <w:tcBorders>
              <w:top w:val="single" w:sz="6" w:space="0" w:color="0D0D0D"/>
              <w:left w:val="single" w:sz="6" w:space="0" w:color="0D0D0D"/>
              <w:bottom w:val="single" w:sz="6" w:space="0" w:color="0D0D0D"/>
              <w:right w:val="single" w:sz="6" w:space="0" w:color="0D0D0D"/>
            </w:tcBorders>
          </w:tcPr>
          <w:p w14:paraId="3CEAD963" w14:textId="3E89D588" w:rsidR="00123674" w:rsidRDefault="00000000">
            <w:pPr>
              <w:spacing w:line="360" w:lineRule="auto"/>
              <w:jc w:val="left"/>
            </w:pPr>
            <w:r>
              <w:rPr>
                <w:rFonts w:hint="eastAsia"/>
                <w:b/>
                <w:sz w:val="24"/>
              </w:rPr>
              <w:t xml:space="preserve"> </w:t>
            </w:r>
            <w:r>
              <w:rPr>
                <w:rFonts w:ascii="宋体" w:eastAsia="宋体" w:hAnsi="宋体" w:cs="宋体"/>
                <w:b/>
                <w:color w:val="000000"/>
                <w:sz w:val="24"/>
              </w:rPr>
              <w:t>一、工程概况</w:t>
            </w:r>
          </w:p>
          <w:p w14:paraId="2F01DD15" w14:textId="67BC0EA2" w:rsidR="00F714C6" w:rsidRPr="00F714C6" w:rsidRDefault="00F714C6" w:rsidP="00F714C6">
            <w:pPr>
              <w:snapToGrid w:val="0"/>
              <w:spacing w:line="360" w:lineRule="auto"/>
              <w:ind w:left="420" w:hanging="420"/>
              <w:jc w:val="left"/>
              <w:rPr>
                <w:rFonts w:ascii="宋体" w:eastAsia="宋体" w:hAnsi="宋体" w:cs="宋体" w:hint="eastAsia"/>
                <w:color w:val="000000"/>
                <w:sz w:val="24"/>
              </w:rPr>
            </w:pPr>
            <w:r w:rsidRPr="00F714C6">
              <w:rPr>
                <w:rFonts w:ascii="宋体" w:eastAsia="宋体" w:hAnsi="宋体" w:cs="宋体" w:hint="eastAsia"/>
                <w:color w:val="000000"/>
                <w:sz w:val="24"/>
              </w:rPr>
              <w:t>1.工程名称：</w:t>
            </w:r>
            <w:r w:rsidR="00140B12">
              <w:rPr>
                <w:rFonts w:ascii="宋体" w:eastAsia="宋体" w:hAnsi="宋体" w:cs="宋体" w:hint="eastAsia"/>
                <w:color w:val="000000"/>
                <w:sz w:val="24"/>
              </w:rPr>
              <w:t>新材料科技园平交道口增设信号灯工程</w:t>
            </w:r>
          </w:p>
          <w:p w14:paraId="758B411F" w14:textId="77777777" w:rsidR="00F714C6" w:rsidRPr="00F714C6" w:rsidRDefault="00F714C6" w:rsidP="00F714C6">
            <w:pPr>
              <w:snapToGrid w:val="0"/>
              <w:spacing w:line="360" w:lineRule="auto"/>
              <w:ind w:left="420" w:hanging="420"/>
              <w:jc w:val="left"/>
              <w:rPr>
                <w:rFonts w:ascii="宋体" w:eastAsia="宋体" w:hAnsi="宋体" w:cs="宋体" w:hint="eastAsia"/>
                <w:color w:val="000000"/>
                <w:sz w:val="24"/>
              </w:rPr>
            </w:pPr>
            <w:r w:rsidRPr="00F714C6">
              <w:rPr>
                <w:rFonts w:ascii="宋体" w:eastAsia="宋体" w:hAnsi="宋体" w:cs="宋体" w:hint="eastAsia"/>
                <w:color w:val="000000"/>
                <w:sz w:val="24"/>
              </w:rPr>
              <w:t>2.建设地点：南京市江北新区</w:t>
            </w:r>
          </w:p>
          <w:p w14:paraId="7A4E41F0" w14:textId="77777777" w:rsidR="00F714C6" w:rsidRPr="00F714C6" w:rsidRDefault="00F714C6" w:rsidP="00F714C6">
            <w:pPr>
              <w:snapToGrid w:val="0"/>
              <w:spacing w:line="360" w:lineRule="auto"/>
              <w:ind w:left="420" w:hanging="420"/>
              <w:jc w:val="left"/>
              <w:rPr>
                <w:rFonts w:ascii="宋体" w:eastAsia="宋体" w:hAnsi="宋体" w:cs="宋体" w:hint="eastAsia"/>
                <w:color w:val="000000"/>
                <w:sz w:val="24"/>
              </w:rPr>
            </w:pPr>
            <w:r w:rsidRPr="00F714C6">
              <w:rPr>
                <w:rFonts w:ascii="宋体" w:eastAsia="宋体" w:hAnsi="宋体" w:cs="宋体" w:hint="eastAsia"/>
                <w:color w:val="000000"/>
                <w:sz w:val="24"/>
              </w:rPr>
              <w:t>3.建设单位：南京市江北新区公共工程建设中心</w:t>
            </w:r>
          </w:p>
          <w:p w14:paraId="274481CF" w14:textId="77777777" w:rsidR="00F714C6" w:rsidRPr="00F714C6" w:rsidRDefault="00F714C6" w:rsidP="00F714C6">
            <w:pPr>
              <w:snapToGrid w:val="0"/>
              <w:spacing w:line="360" w:lineRule="auto"/>
              <w:ind w:left="420" w:hanging="420"/>
              <w:jc w:val="left"/>
              <w:rPr>
                <w:rFonts w:ascii="宋体" w:eastAsia="宋体" w:hAnsi="宋体" w:cs="宋体" w:hint="eastAsia"/>
                <w:color w:val="000000"/>
                <w:sz w:val="24"/>
              </w:rPr>
            </w:pPr>
            <w:r w:rsidRPr="00F714C6">
              <w:rPr>
                <w:rFonts w:ascii="宋体" w:eastAsia="宋体" w:hAnsi="宋体" w:cs="宋体" w:hint="eastAsia"/>
                <w:color w:val="000000"/>
                <w:sz w:val="24"/>
              </w:rPr>
              <w:t>4.工程规模和建设内容：天圣路-新材料科技园南门、普葛路-普桥路、普葛路-大纬东路等三个路口，主要包括交通安全设施和智能交通系统两部分。</w:t>
            </w:r>
          </w:p>
          <w:p w14:paraId="6936F928" w14:textId="77777777" w:rsidR="00F714C6" w:rsidRDefault="00F714C6" w:rsidP="00F714C6">
            <w:pPr>
              <w:spacing w:line="360" w:lineRule="auto"/>
              <w:jc w:val="left"/>
              <w:rPr>
                <w:rFonts w:ascii="宋体" w:eastAsia="宋体" w:hAnsi="宋体" w:cs="宋体" w:hint="eastAsia"/>
                <w:color w:val="000000"/>
                <w:sz w:val="24"/>
              </w:rPr>
            </w:pPr>
            <w:r w:rsidRPr="00F714C6">
              <w:rPr>
                <w:rFonts w:ascii="宋体" w:eastAsia="宋体" w:hAnsi="宋体" w:cs="宋体" w:hint="eastAsia"/>
                <w:color w:val="000000"/>
                <w:sz w:val="24"/>
              </w:rPr>
              <w:t>5.施工现场情况：自行踏勘。</w:t>
            </w:r>
          </w:p>
          <w:p w14:paraId="657F7506" w14:textId="22A32E61" w:rsidR="00123674" w:rsidRDefault="00000000" w:rsidP="00F714C6">
            <w:pPr>
              <w:spacing w:line="360" w:lineRule="auto"/>
              <w:jc w:val="left"/>
            </w:pPr>
            <w:r>
              <w:rPr>
                <w:rFonts w:ascii="宋体" w:eastAsia="宋体" w:hAnsi="宋体" w:cs="宋体"/>
                <w:b/>
                <w:color w:val="000000"/>
                <w:sz w:val="24"/>
              </w:rPr>
              <w:t>二、工程量清单编制范围、内容及界面</w:t>
            </w:r>
          </w:p>
          <w:p w14:paraId="6CBF69F9" w14:textId="4F28D8FF" w:rsidR="00123674" w:rsidRDefault="00F714C6" w:rsidP="00230864">
            <w:pPr>
              <w:snapToGrid w:val="0"/>
              <w:spacing w:line="360" w:lineRule="auto"/>
              <w:ind w:firstLineChars="200" w:firstLine="480"/>
              <w:jc w:val="left"/>
            </w:pPr>
            <w:r w:rsidRPr="00F714C6">
              <w:rPr>
                <w:rFonts w:ascii="宋体" w:eastAsia="宋体" w:hAnsi="宋体" w:cs="宋体" w:hint="eastAsia"/>
                <w:color w:val="000000"/>
                <w:sz w:val="24"/>
              </w:rPr>
              <w:t>招标范围：交通信号控制系统、供电系统设施、通信系统设施、配套二次施工、防雷接地工程、交通标线工程和交通标志等，具体详见工程量清单。</w:t>
            </w:r>
          </w:p>
          <w:p w14:paraId="68E950B9" w14:textId="77777777" w:rsidR="00123674" w:rsidRDefault="00000000">
            <w:pPr>
              <w:spacing w:line="360" w:lineRule="auto"/>
              <w:jc w:val="left"/>
            </w:pPr>
            <w:r>
              <w:rPr>
                <w:rFonts w:ascii="宋体" w:eastAsia="宋体" w:hAnsi="宋体" w:cs="宋体"/>
                <w:b/>
                <w:color w:val="000000"/>
                <w:sz w:val="24"/>
              </w:rPr>
              <w:t>三、工程量清单编制依据</w:t>
            </w:r>
          </w:p>
          <w:p w14:paraId="1125B970" w14:textId="77777777" w:rsidR="00123674" w:rsidRDefault="00000000">
            <w:pPr>
              <w:snapToGrid w:val="0"/>
              <w:spacing w:line="360" w:lineRule="auto"/>
              <w:ind w:left="420" w:hanging="420"/>
              <w:jc w:val="left"/>
            </w:pPr>
            <w:r>
              <w:rPr>
                <w:rFonts w:ascii="宋体" w:eastAsia="宋体" w:hAnsi="宋体" w:cs="宋体"/>
                <w:color w:val="000000"/>
                <w:sz w:val="24"/>
              </w:rPr>
              <w:t>1.《建设工程工程量清单计价规范》（GB50500-2013）；</w:t>
            </w:r>
          </w:p>
          <w:p w14:paraId="4CF4EC36" w14:textId="77777777" w:rsidR="00123674" w:rsidRDefault="00000000">
            <w:pPr>
              <w:snapToGrid w:val="0"/>
              <w:spacing w:line="360" w:lineRule="auto"/>
              <w:ind w:left="420" w:hanging="420"/>
              <w:jc w:val="left"/>
            </w:pPr>
            <w:r>
              <w:rPr>
                <w:rFonts w:ascii="宋体" w:eastAsia="宋体" w:hAnsi="宋体" w:cs="宋体"/>
                <w:color w:val="000000"/>
                <w:sz w:val="24"/>
              </w:rPr>
              <w:t>2.《房屋建筑与装饰工程量计算规范》（GB50584-2013）、《通用安装工程量计算规范》（GB50856-2013）；</w:t>
            </w:r>
          </w:p>
          <w:p w14:paraId="73261BA6" w14:textId="77777777" w:rsidR="00123674" w:rsidRDefault="00000000">
            <w:pPr>
              <w:snapToGrid w:val="0"/>
              <w:spacing w:line="360" w:lineRule="auto"/>
              <w:ind w:left="420" w:hanging="420"/>
              <w:jc w:val="left"/>
            </w:pPr>
            <w:r>
              <w:rPr>
                <w:rFonts w:ascii="宋体" w:eastAsia="宋体" w:hAnsi="宋体" w:cs="宋体"/>
                <w:color w:val="000000"/>
                <w:sz w:val="24"/>
              </w:rPr>
              <w:t>3.《江苏省建筑与装饰工程计价定额》（2014年）、《江苏省安装工程计价定额》（2014年）、《江苏省建设工程费用定额》（2014年）；</w:t>
            </w:r>
          </w:p>
          <w:p w14:paraId="234DC75E" w14:textId="77777777" w:rsidR="00123674" w:rsidRDefault="00000000">
            <w:pPr>
              <w:snapToGrid w:val="0"/>
              <w:spacing w:line="360" w:lineRule="auto"/>
              <w:ind w:left="420" w:hanging="420"/>
              <w:jc w:val="left"/>
            </w:pPr>
            <w:r>
              <w:rPr>
                <w:rFonts w:ascii="宋体" w:eastAsia="宋体" w:hAnsi="宋体" w:cs="宋体"/>
                <w:color w:val="000000"/>
                <w:sz w:val="24"/>
              </w:rPr>
              <w:t>4.《江苏省住房城乡建设厅关于《建设工程工程量清单计价规范》（GB50500-2013）及其9本工程量计算规范的贯彻意见》（苏建价〔2014〕448号）；</w:t>
            </w:r>
          </w:p>
          <w:p w14:paraId="406CBE83" w14:textId="77777777" w:rsidR="00123674" w:rsidRDefault="00000000">
            <w:pPr>
              <w:snapToGrid w:val="0"/>
              <w:spacing w:line="360" w:lineRule="auto"/>
              <w:ind w:left="420" w:hanging="420"/>
              <w:jc w:val="left"/>
            </w:pPr>
            <w:r>
              <w:rPr>
                <w:rFonts w:ascii="宋体" w:eastAsia="宋体" w:hAnsi="宋体" w:cs="宋体"/>
                <w:color w:val="000000"/>
                <w:sz w:val="24"/>
              </w:rPr>
              <w:t>5.《省住房城乡建设厅关于建筑业实施营改增后江苏省建设工程计价依据调整的通知》（苏建价〔2016〕54号）；</w:t>
            </w:r>
          </w:p>
          <w:p w14:paraId="5FA08AD3" w14:textId="31239703" w:rsidR="00123674" w:rsidRDefault="00000000">
            <w:pPr>
              <w:snapToGrid w:val="0"/>
              <w:spacing w:line="360" w:lineRule="auto"/>
              <w:ind w:left="420" w:hanging="420"/>
              <w:jc w:val="left"/>
            </w:pPr>
            <w:r>
              <w:rPr>
                <w:rFonts w:ascii="宋体" w:eastAsia="宋体" w:hAnsi="宋体" w:cs="宋体"/>
                <w:color w:val="000000"/>
                <w:sz w:val="24"/>
              </w:rPr>
              <w:t>6.《</w:t>
            </w:r>
            <w:r w:rsidR="00E23722" w:rsidRPr="00E23722">
              <w:rPr>
                <w:rFonts w:ascii="宋体" w:eastAsia="宋体" w:hAnsi="宋体" w:cs="宋体" w:hint="eastAsia"/>
                <w:color w:val="000000"/>
                <w:sz w:val="24"/>
              </w:rPr>
              <w:t>关于明确材料预算价格中含税价和除税价计算方式的通知</w:t>
            </w:r>
            <w:r>
              <w:rPr>
                <w:rFonts w:ascii="宋体" w:eastAsia="宋体" w:hAnsi="宋体" w:cs="宋体"/>
                <w:color w:val="000000"/>
                <w:sz w:val="24"/>
              </w:rPr>
              <w:t>》（苏建函价〔20</w:t>
            </w:r>
            <w:r w:rsidR="00E23722">
              <w:rPr>
                <w:rFonts w:ascii="宋体" w:eastAsia="宋体" w:hAnsi="宋体" w:cs="宋体" w:hint="eastAsia"/>
                <w:color w:val="000000"/>
                <w:sz w:val="24"/>
              </w:rPr>
              <w:t>25</w:t>
            </w:r>
            <w:r>
              <w:rPr>
                <w:rFonts w:ascii="宋体" w:eastAsia="宋体" w:hAnsi="宋体" w:cs="宋体"/>
                <w:color w:val="000000"/>
                <w:sz w:val="24"/>
              </w:rPr>
              <w:t>〕</w:t>
            </w:r>
            <w:r w:rsidR="00E23722">
              <w:rPr>
                <w:rFonts w:ascii="宋体" w:eastAsia="宋体" w:hAnsi="宋体" w:cs="宋体" w:hint="eastAsia"/>
                <w:color w:val="000000"/>
                <w:sz w:val="24"/>
              </w:rPr>
              <w:t>2</w:t>
            </w:r>
            <w:r>
              <w:rPr>
                <w:rFonts w:ascii="宋体" w:eastAsia="宋体" w:hAnsi="宋体" w:cs="宋体"/>
                <w:color w:val="000000"/>
                <w:sz w:val="24"/>
              </w:rPr>
              <w:t>号）；</w:t>
            </w:r>
          </w:p>
          <w:p w14:paraId="6ED0C0C9" w14:textId="77777777" w:rsidR="00123674" w:rsidRDefault="00000000">
            <w:pPr>
              <w:snapToGrid w:val="0"/>
              <w:spacing w:line="360" w:lineRule="auto"/>
              <w:ind w:left="420" w:hanging="420"/>
              <w:jc w:val="left"/>
            </w:pPr>
            <w:r>
              <w:rPr>
                <w:rFonts w:ascii="宋体" w:eastAsia="宋体" w:hAnsi="宋体" w:cs="宋体"/>
                <w:color w:val="000000"/>
                <w:sz w:val="24"/>
              </w:rPr>
              <w:t>7.《江苏省住房和城乡建设厅关于调整建设工程按质论价等费用记取方法的公告》（〔2018〕第24号）；</w:t>
            </w:r>
          </w:p>
          <w:p w14:paraId="345E05B5" w14:textId="77777777" w:rsidR="00123674" w:rsidRDefault="00000000">
            <w:pPr>
              <w:snapToGrid w:val="0"/>
              <w:spacing w:line="360" w:lineRule="auto"/>
              <w:ind w:left="420" w:hanging="420"/>
              <w:jc w:val="left"/>
            </w:pPr>
            <w:r>
              <w:rPr>
                <w:rFonts w:ascii="宋体" w:eastAsia="宋体" w:hAnsi="宋体" w:cs="宋体"/>
                <w:color w:val="000000"/>
                <w:sz w:val="24"/>
              </w:rPr>
              <w:t>8.《江苏省住房城乡建设厅关于建筑工人实名制费用计取方法的公告》（〔2019〕第19号）；</w:t>
            </w:r>
          </w:p>
          <w:p w14:paraId="605D319A" w14:textId="77777777" w:rsidR="00123674" w:rsidRDefault="00000000">
            <w:pPr>
              <w:snapToGrid w:val="0"/>
              <w:spacing w:line="360" w:lineRule="auto"/>
              <w:ind w:left="420" w:hanging="420"/>
              <w:jc w:val="left"/>
            </w:pPr>
            <w:r>
              <w:rPr>
                <w:rFonts w:ascii="宋体" w:eastAsia="宋体" w:hAnsi="宋体" w:cs="宋体"/>
                <w:color w:val="000000"/>
                <w:sz w:val="24"/>
              </w:rPr>
              <w:t>9.《江苏省住房城乡建设厅关于智慧工地费用计取方法的公告》（〔2021〕第16号）；</w:t>
            </w:r>
          </w:p>
          <w:p w14:paraId="6E4E1E46" w14:textId="1CBB02EE" w:rsidR="00123674" w:rsidRDefault="00000000">
            <w:pPr>
              <w:snapToGrid w:val="0"/>
              <w:spacing w:line="360" w:lineRule="auto"/>
              <w:ind w:left="420" w:hanging="420"/>
              <w:jc w:val="left"/>
              <w:rPr>
                <w:rFonts w:ascii="宋体" w:eastAsia="宋体" w:hAnsi="宋体" w:cs="宋体" w:hint="eastAsia"/>
                <w:color w:val="000000"/>
                <w:sz w:val="24"/>
              </w:rPr>
            </w:pPr>
            <w:r>
              <w:rPr>
                <w:rFonts w:ascii="宋体" w:eastAsia="宋体" w:hAnsi="宋体" w:cs="宋体"/>
                <w:color w:val="000000"/>
                <w:sz w:val="24"/>
              </w:rPr>
              <w:t>10.施工图纸：</w:t>
            </w:r>
            <w:r w:rsidR="00F714C6" w:rsidRPr="00F714C6">
              <w:rPr>
                <w:rFonts w:ascii="宋体" w:eastAsia="宋体" w:hAnsi="宋体" w:cs="宋体" w:hint="eastAsia"/>
                <w:color w:val="000000"/>
                <w:sz w:val="24"/>
              </w:rPr>
              <w:t>招标人提供的PDF版图纸</w:t>
            </w:r>
            <w:r w:rsidR="00CF7FEF">
              <w:rPr>
                <w:rFonts w:ascii="宋体" w:eastAsia="宋体" w:hAnsi="宋体" w:cs="宋体" w:hint="eastAsia"/>
                <w:color w:val="000000"/>
                <w:sz w:val="24"/>
              </w:rPr>
              <w:t>；</w:t>
            </w:r>
          </w:p>
          <w:p w14:paraId="68336889" w14:textId="77777777" w:rsidR="00123674" w:rsidRDefault="00000000">
            <w:pPr>
              <w:snapToGrid w:val="0"/>
              <w:spacing w:line="360" w:lineRule="auto"/>
              <w:ind w:left="420" w:hanging="420"/>
              <w:jc w:val="left"/>
              <w:rPr>
                <w:rFonts w:ascii="宋体" w:eastAsia="宋体" w:hAnsi="宋体" w:cs="宋体" w:hint="eastAsia"/>
                <w:color w:val="000000"/>
                <w:sz w:val="24"/>
              </w:rPr>
            </w:pPr>
            <w:r>
              <w:rPr>
                <w:rFonts w:ascii="宋体" w:eastAsia="宋体" w:hAnsi="宋体" w:cs="宋体" w:hint="eastAsia"/>
                <w:color w:val="000000"/>
                <w:sz w:val="24"/>
              </w:rPr>
              <w:lastRenderedPageBreak/>
              <w:t>11.招标人提供的项目清单；</w:t>
            </w:r>
          </w:p>
          <w:p w14:paraId="53DE3031" w14:textId="77777777" w:rsidR="00123674" w:rsidRDefault="00000000">
            <w:pPr>
              <w:snapToGrid w:val="0"/>
              <w:spacing w:line="360" w:lineRule="auto"/>
              <w:ind w:left="420" w:hanging="420"/>
              <w:jc w:val="left"/>
            </w:pPr>
            <w:r>
              <w:rPr>
                <w:rFonts w:ascii="宋体" w:eastAsia="宋体" w:hAnsi="宋体" w:cs="宋体"/>
                <w:color w:val="000000"/>
                <w:sz w:val="24"/>
              </w:rPr>
              <w:t>1</w:t>
            </w:r>
            <w:r>
              <w:rPr>
                <w:rFonts w:ascii="宋体" w:eastAsia="宋体" w:hAnsi="宋体" w:cs="宋体" w:hint="eastAsia"/>
                <w:color w:val="000000"/>
                <w:sz w:val="24"/>
              </w:rPr>
              <w:t>2</w:t>
            </w:r>
            <w:r>
              <w:rPr>
                <w:rFonts w:ascii="宋体" w:eastAsia="宋体" w:hAnsi="宋体" w:cs="宋体"/>
                <w:color w:val="000000"/>
                <w:sz w:val="24"/>
              </w:rPr>
              <w:t>.招标文件；</w:t>
            </w:r>
          </w:p>
          <w:p w14:paraId="2D760981" w14:textId="77777777" w:rsidR="00123674" w:rsidRDefault="00000000">
            <w:pPr>
              <w:snapToGrid w:val="0"/>
              <w:spacing w:line="360" w:lineRule="auto"/>
              <w:ind w:left="420" w:hanging="420"/>
              <w:jc w:val="left"/>
            </w:pPr>
            <w:r>
              <w:rPr>
                <w:rFonts w:ascii="宋体" w:eastAsia="宋体" w:hAnsi="宋体" w:cs="宋体"/>
                <w:color w:val="000000"/>
                <w:sz w:val="24"/>
              </w:rPr>
              <w:t>1</w:t>
            </w:r>
            <w:r>
              <w:rPr>
                <w:rFonts w:ascii="宋体" w:eastAsia="宋体" w:hAnsi="宋体" w:cs="宋体" w:hint="eastAsia"/>
                <w:color w:val="000000"/>
                <w:sz w:val="24"/>
              </w:rPr>
              <w:t>3</w:t>
            </w:r>
            <w:r>
              <w:rPr>
                <w:rFonts w:ascii="宋体" w:eastAsia="宋体" w:hAnsi="宋体" w:cs="宋体"/>
                <w:color w:val="000000"/>
                <w:sz w:val="24"/>
              </w:rPr>
              <w:t>.相关标准图集以及现行有关清单编制文件；</w:t>
            </w:r>
          </w:p>
          <w:p w14:paraId="6D7B472A" w14:textId="77777777" w:rsidR="00123674" w:rsidRDefault="00000000">
            <w:pPr>
              <w:snapToGrid w:val="0"/>
              <w:spacing w:line="360" w:lineRule="auto"/>
              <w:ind w:left="420" w:hanging="420"/>
              <w:jc w:val="left"/>
            </w:pPr>
            <w:r>
              <w:rPr>
                <w:rFonts w:ascii="宋体" w:eastAsia="宋体" w:hAnsi="宋体" w:cs="宋体"/>
                <w:color w:val="000000"/>
                <w:sz w:val="24"/>
              </w:rPr>
              <w:t>1</w:t>
            </w:r>
            <w:r>
              <w:rPr>
                <w:rFonts w:ascii="宋体" w:eastAsia="宋体" w:hAnsi="宋体" w:cs="宋体" w:hint="eastAsia"/>
                <w:color w:val="000000"/>
                <w:sz w:val="24"/>
              </w:rPr>
              <w:t>4</w:t>
            </w:r>
            <w:r>
              <w:rPr>
                <w:rFonts w:ascii="宋体" w:eastAsia="宋体" w:hAnsi="宋体" w:cs="宋体"/>
                <w:color w:val="000000"/>
                <w:sz w:val="24"/>
              </w:rPr>
              <w:t>.施工现场情况、工程特点及常规施工方案。</w:t>
            </w:r>
          </w:p>
          <w:p w14:paraId="22558FCB" w14:textId="77777777" w:rsidR="00123674" w:rsidRDefault="00000000">
            <w:pPr>
              <w:tabs>
                <w:tab w:val="left" w:pos="720"/>
              </w:tabs>
              <w:spacing w:line="360" w:lineRule="auto"/>
              <w:jc w:val="left"/>
            </w:pPr>
            <w:r>
              <w:rPr>
                <w:rFonts w:ascii="宋体" w:eastAsia="宋体" w:hAnsi="宋体" w:cs="宋体"/>
                <w:b/>
                <w:color w:val="000000"/>
                <w:sz w:val="24"/>
              </w:rPr>
              <w:t>四、招标控制价</w:t>
            </w:r>
          </w:p>
          <w:p w14:paraId="13C866A6" w14:textId="01B2FE5A" w:rsidR="00123674" w:rsidRDefault="00000000">
            <w:pPr>
              <w:snapToGrid w:val="0"/>
              <w:spacing w:line="360" w:lineRule="auto"/>
              <w:ind w:firstLineChars="200" w:firstLine="480"/>
            </w:pPr>
            <w:r>
              <w:rPr>
                <w:rFonts w:ascii="宋体" w:eastAsia="宋体" w:hAnsi="宋体" w:cs="宋体"/>
                <w:color w:val="000000"/>
                <w:sz w:val="24"/>
              </w:rPr>
              <w:t>本项目</w:t>
            </w:r>
            <w:r>
              <w:rPr>
                <w:rFonts w:ascii="宋体" w:eastAsia="宋体" w:hAnsi="宋体" w:cs="宋体"/>
                <w:color w:val="000000" w:themeColor="text1"/>
                <w:sz w:val="24"/>
              </w:rPr>
              <w:t>最高投标限价为</w:t>
            </w:r>
            <w:r w:rsidR="009E16D7" w:rsidRPr="009E16D7">
              <w:rPr>
                <w:rFonts w:ascii="宋体" w:eastAsia="宋体" w:hAnsi="宋体" w:cs="宋体"/>
                <w:color w:val="000000" w:themeColor="text1"/>
                <w:sz w:val="24"/>
              </w:rPr>
              <w:t>1234523.91</w:t>
            </w:r>
            <w:r>
              <w:rPr>
                <w:rFonts w:ascii="宋体" w:eastAsia="宋体" w:hAnsi="宋体" w:cs="宋体"/>
                <w:color w:val="000000" w:themeColor="text1"/>
                <w:sz w:val="24"/>
              </w:rPr>
              <w:t>元。</w:t>
            </w:r>
          </w:p>
          <w:p w14:paraId="3D4C17D0" w14:textId="77777777" w:rsidR="00123674" w:rsidRDefault="00000000">
            <w:pPr>
              <w:tabs>
                <w:tab w:val="left" w:pos="720"/>
              </w:tabs>
              <w:spacing w:line="360" w:lineRule="auto"/>
              <w:jc w:val="left"/>
              <w:rPr>
                <w:rFonts w:eastAsia="宋体"/>
              </w:rPr>
            </w:pPr>
            <w:r>
              <w:rPr>
                <w:rFonts w:ascii="宋体" w:eastAsia="宋体" w:hAnsi="宋体" w:cs="宋体"/>
                <w:b/>
                <w:color w:val="000000"/>
                <w:sz w:val="24"/>
              </w:rPr>
              <w:t>五、</w:t>
            </w:r>
            <w:r>
              <w:rPr>
                <w:rFonts w:ascii="宋体" w:eastAsia="宋体" w:hAnsi="宋体" w:cs="宋体" w:hint="eastAsia"/>
                <w:b/>
                <w:color w:val="000000"/>
                <w:sz w:val="24"/>
              </w:rPr>
              <w:t>其他</w:t>
            </w:r>
          </w:p>
          <w:p w14:paraId="73EE0293" w14:textId="3D035A85" w:rsidR="00123674" w:rsidRDefault="00000000">
            <w:pPr>
              <w:numPr>
                <w:ilvl w:val="0"/>
                <w:numId w:val="4"/>
              </w:numPr>
              <w:snapToGrid w:val="0"/>
              <w:spacing w:line="560" w:lineRule="exact"/>
              <w:jc w:val="left"/>
              <w:rPr>
                <w:rFonts w:ascii="Times New Roman" w:eastAsia="Times New Roman" w:hAnsi="Times New Roman" w:cs="Times New Roman"/>
                <w:sz w:val="24"/>
              </w:rPr>
            </w:pPr>
            <w:r>
              <w:rPr>
                <w:rFonts w:ascii="宋体" w:eastAsia="宋体" w:hAnsi="宋体" w:cs="宋体"/>
                <w:color w:val="000000"/>
                <w:sz w:val="24"/>
              </w:rPr>
              <w:t>人工费按《江苏省住房和城乡建设厅关于发布</w:t>
            </w:r>
            <w:r w:rsidR="006956D3">
              <w:rPr>
                <w:rFonts w:ascii="宋体" w:eastAsia="宋体" w:hAnsi="宋体" w:cs="宋体" w:hint="eastAsia"/>
                <w:color w:val="000000"/>
                <w:sz w:val="24"/>
              </w:rPr>
              <w:t>2025年下半年</w:t>
            </w:r>
            <w:r>
              <w:rPr>
                <w:rFonts w:ascii="宋体" w:eastAsia="宋体" w:hAnsi="宋体" w:cs="宋体"/>
                <w:color w:val="000000"/>
                <w:sz w:val="24"/>
              </w:rPr>
              <w:t>建设工程人工工资指导价的通知》（苏建函价〔</w:t>
            </w:r>
            <w:r>
              <w:rPr>
                <w:rFonts w:ascii="Times New Roman" w:eastAsia="Times New Roman" w:hAnsi="Times New Roman" w:cs="Times New Roman"/>
                <w:color w:val="000000"/>
                <w:sz w:val="24"/>
              </w:rPr>
              <w:t>202</w:t>
            </w:r>
            <w:r w:rsidR="006956D3">
              <w:rPr>
                <w:rFonts w:ascii="Times New Roman" w:hAnsi="Times New Roman" w:cs="Times New Roman" w:hint="eastAsia"/>
                <w:color w:val="000000"/>
                <w:sz w:val="24"/>
              </w:rPr>
              <w:t>5</w:t>
            </w:r>
            <w:r>
              <w:rPr>
                <w:rFonts w:ascii="宋体" w:eastAsia="宋体" w:hAnsi="宋体" w:cs="宋体"/>
                <w:color w:val="000000"/>
                <w:sz w:val="24"/>
              </w:rPr>
              <w:t>〕</w:t>
            </w:r>
            <w:r w:rsidR="006956D3">
              <w:rPr>
                <w:rFonts w:ascii="宋体" w:eastAsia="宋体" w:hAnsi="宋体" w:cs="宋体" w:hint="eastAsia"/>
                <w:color w:val="000000"/>
                <w:sz w:val="24"/>
              </w:rPr>
              <w:t>27</w:t>
            </w:r>
            <w:r w:rsidR="00CF7FEF">
              <w:rPr>
                <w:rFonts w:ascii="宋体" w:eastAsia="宋体" w:hAnsi="宋体" w:cs="宋体" w:hint="eastAsia"/>
                <w:color w:val="000000"/>
                <w:sz w:val="24"/>
              </w:rPr>
              <w:t>3</w:t>
            </w:r>
            <w:r>
              <w:rPr>
                <w:rFonts w:ascii="宋体" w:eastAsia="宋体" w:hAnsi="宋体" w:cs="宋体"/>
                <w:color w:val="000000"/>
                <w:sz w:val="24"/>
              </w:rPr>
              <w:t>号）计取。</w:t>
            </w:r>
          </w:p>
          <w:p w14:paraId="7444E566" w14:textId="531BD59A" w:rsidR="00123674" w:rsidRDefault="00CF7FEF">
            <w:pPr>
              <w:numPr>
                <w:ilvl w:val="0"/>
                <w:numId w:val="4"/>
              </w:numPr>
              <w:snapToGrid w:val="0"/>
              <w:spacing w:line="560" w:lineRule="exact"/>
              <w:jc w:val="left"/>
              <w:rPr>
                <w:rFonts w:ascii="Times New Roman" w:eastAsia="Times New Roman" w:hAnsi="Times New Roman" w:cs="Times New Roman"/>
                <w:sz w:val="24"/>
              </w:rPr>
            </w:pPr>
            <w:r w:rsidRPr="00CF7FEF">
              <w:rPr>
                <w:rFonts w:ascii="宋体" w:eastAsia="宋体" w:hAnsi="宋体" w:cs="宋体" w:hint="eastAsia"/>
                <w:color w:val="000000"/>
                <w:sz w:val="24"/>
              </w:rPr>
              <w:t>材料费按南京市区202</w:t>
            </w:r>
            <w:r w:rsidR="006956D3">
              <w:rPr>
                <w:rFonts w:ascii="宋体" w:eastAsia="宋体" w:hAnsi="宋体" w:cs="宋体" w:hint="eastAsia"/>
                <w:color w:val="000000"/>
                <w:sz w:val="24"/>
              </w:rPr>
              <w:t>5</w:t>
            </w:r>
            <w:r w:rsidRPr="00CF7FEF">
              <w:rPr>
                <w:rFonts w:ascii="宋体" w:eastAsia="宋体" w:hAnsi="宋体" w:cs="宋体" w:hint="eastAsia"/>
                <w:color w:val="000000"/>
                <w:sz w:val="24"/>
              </w:rPr>
              <w:t>年</w:t>
            </w:r>
            <w:r w:rsidR="006956D3">
              <w:rPr>
                <w:rFonts w:ascii="宋体" w:eastAsia="宋体" w:hAnsi="宋体" w:cs="宋体" w:hint="eastAsia"/>
                <w:color w:val="000000"/>
                <w:sz w:val="24"/>
              </w:rPr>
              <w:t>11</w:t>
            </w:r>
            <w:r w:rsidRPr="00CF7FEF">
              <w:rPr>
                <w:rFonts w:ascii="宋体" w:eastAsia="宋体" w:hAnsi="宋体" w:cs="宋体" w:hint="eastAsia"/>
                <w:color w:val="000000"/>
                <w:sz w:val="24"/>
              </w:rPr>
              <w:t>月建设工程材料市场信息价计入，无市场信息价的设备材料按甲方提供的品牌表和市场询价计入。</w:t>
            </w:r>
          </w:p>
          <w:p w14:paraId="38D715EF" w14:textId="22E5C7C0" w:rsidR="00123674" w:rsidRDefault="00CF7FEF">
            <w:pPr>
              <w:numPr>
                <w:ilvl w:val="0"/>
                <w:numId w:val="4"/>
              </w:numPr>
              <w:snapToGrid w:val="0"/>
              <w:spacing w:line="560" w:lineRule="exact"/>
              <w:jc w:val="left"/>
              <w:rPr>
                <w:rFonts w:ascii="Times New Roman" w:eastAsia="Times New Roman" w:hAnsi="Times New Roman" w:cs="Times New Roman"/>
                <w:sz w:val="24"/>
              </w:rPr>
            </w:pPr>
            <w:r w:rsidRPr="00CF7FEF">
              <w:rPr>
                <w:rFonts w:ascii="宋体" w:eastAsia="宋体" w:hAnsi="宋体" w:cs="宋体" w:hint="eastAsia"/>
                <w:color w:val="000000"/>
                <w:sz w:val="24"/>
              </w:rPr>
              <w:t>总价措施费计列安全文明施工费（含基本费、扬尘污染防治增加费）、</w:t>
            </w:r>
            <w:r w:rsidR="003E591E" w:rsidRPr="003E591E">
              <w:rPr>
                <w:rFonts w:ascii="宋体" w:eastAsia="宋体" w:hAnsi="宋体" w:cs="宋体" w:hint="eastAsia"/>
                <w:color w:val="000000"/>
                <w:sz w:val="24"/>
              </w:rPr>
              <w:t>冬雨季施工</w:t>
            </w:r>
            <w:r w:rsidR="003E591E">
              <w:rPr>
                <w:rFonts w:ascii="宋体" w:eastAsia="宋体" w:hAnsi="宋体" w:cs="宋体" w:hint="eastAsia"/>
                <w:color w:val="000000"/>
                <w:sz w:val="24"/>
              </w:rPr>
              <w:t>费、</w:t>
            </w:r>
            <w:r w:rsidRPr="00CF7FEF">
              <w:rPr>
                <w:rFonts w:ascii="宋体" w:eastAsia="宋体" w:hAnsi="宋体" w:cs="宋体" w:hint="eastAsia"/>
                <w:color w:val="000000"/>
                <w:sz w:val="24"/>
              </w:rPr>
              <w:t>已完成工程及设备保护费、临时设施费</w:t>
            </w:r>
            <w:r w:rsidR="003E591E">
              <w:rPr>
                <w:rFonts w:ascii="宋体" w:eastAsia="宋体" w:hAnsi="宋体" w:cs="宋体" w:hint="eastAsia"/>
                <w:color w:val="000000"/>
                <w:sz w:val="24"/>
              </w:rPr>
              <w:t>、</w:t>
            </w:r>
            <w:r w:rsidRPr="00CF7FEF">
              <w:rPr>
                <w:rFonts w:ascii="宋体" w:eastAsia="宋体" w:hAnsi="宋体" w:cs="宋体" w:hint="eastAsia"/>
                <w:color w:val="000000"/>
                <w:sz w:val="24"/>
              </w:rPr>
              <w:t>建筑工人实名制费用</w:t>
            </w:r>
            <w:r w:rsidR="003E591E">
              <w:rPr>
                <w:rFonts w:ascii="宋体" w:eastAsia="宋体" w:hAnsi="宋体" w:cs="宋体" w:hint="eastAsia"/>
                <w:color w:val="000000"/>
                <w:sz w:val="24"/>
              </w:rPr>
              <w:t>和</w:t>
            </w:r>
            <w:r w:rsidR="003E591E" w:rsidRPr="003E591E">
              <w:rPr>
                <w:rFonts w:ascii="宋体" w:eastAsia="宋体" w:hAnsi="宋体" w:cs="宋体" w:hint="eastAsia"/>
                <w:color w:val="000000"/>
                <w:sz w:val="24"/>
              </w:rPr>
              <w:t>智慧工地费用</w:t>
            </w:r>
            <w:r w:rsidRPr="00CF7FEF">
              <w:rPr>
                <w:rFonts w:ascii="宋体" w:eastAsia="宋体" w:hAnsi="宋体" w:cs="宋体" w:hint="eastAsia"/>
                <w:color w:val="000000"/>
                <w:sz w:val="24"/>
              </w:rPr>
              <w:t>，其中有区间的费率按中值计取</w:t>
            </w:r>
            <w:r>
              <w:rPr>
                <w:rFonts w:ascii="宋体" w:eastAsia="宋体" w:hAnsi="宋体" w:cs="宋体"/>
                <w:color w:val="000000"/>
                <w:sz w:val="24"/>
              </w:rPr>
              <w:t>。</w:t>
            </w:r>
          </w:p>
          <w:p w14:paraId="0A8AFC6C" w14:textId="5361A067" w:rsidR="00123674" w:rsidRDefault="00000000">
            <w:pPr>
              <w:numPr>
                <w:ilvl w:val="0"/>
                <w:numId w:val="4"/>
              </w:numPr>
              <w:snapToGrid w:val="0"/>
              <w:spacing w:line="560" w:lineRule="exact"/>
              <w:jc w:val="left"/>
              <w:rPr>
                <w:rFonts w:ascii="Times New Roman" w:eastAsia="Times New Roman" w:hAnsi="Times New Roman" w:cs="Times New Roman"/>
                <w:sz w:val="24"/>
              </w:rPr>
            </w:pPr>
            <w:r>
              <w:rPr>
                <w:rFonts w:ascii="宋体" w:eastAsia="宋体" w:hAnsi="宋体" w:cs="宋体"/>
                <w:color w:val="000000"/>
                <w:sz w:val="24"/>
              </w:rPr>
              <w:t>暂列金额：</w:t>
            </w:r>
            <w:r w:rsidR="0000164B">
              <w:rPr>
                <w:rFonts w:ascii="宋体" w:eastAsia="宋体" w:hAnsi="宋体" w:cs="宋体" w:hint="eastAsia"/>
                <w:color w:val="000000"/>
                <w:sz w:val="24"/>
              </w:rPr>
              <w:t>无</w:t>
            </w:r>
            <w:r>
              <w:rPr>
                <w:rFonts w:ascii="宋体" w:eastAsia="宋体" w:hAnsi="宋体" w:cs="宋体"/>
                <w:color w:val="000000"/>
                <w:sz w:val="24"/>
              </w:rPr>
              <w:t>。</w:t>
            </w:r>
          </w:p>
          <w:p w14:paraId="3DA6AEF1" w14:textId="77777777" w:rsidR="00123674" w:rsidRDefault="00000000">
            <w:pPr>
              <w:numPr>
                <w:ilvl w:val="0"/>
                <w:numId w:val="4"/>
              </w:numPr>
              <w:snapToGrid w:val="0"/>
              <w:spacing w:line="560" w:lineRule="exact"/>
              <w:jc w:val="left"/>
              <w:rPr>
                <w:rFonts w:ascii="Times New Roman" w:eastAsia="Times New Roman" w:hAnsi="Times New Roman" w:cs="Times New Roman"/>
                <w:sz w:val="24"/>
              </w:rPr>
            </w:pPr>
            <w:r>
              <w:rPr>
                <w:rFonts w:ascii="宋体" w:eastAsia="宋体" w:hAnsi="宋体" w:cs="宋体"/>
                <w:color w:val="000000"/>
                <w:sz w:val="24"/>
              </w:rPr>
              <w:t>暂估价：无。</w:t>
            </w:r>
          </w:p>
          <w:p w14:paraId="53F76D3C" w14:textId="77777777" w:rsidR="00123674" w:rsidRDefault="00000000">
            <w:pPr>
              <w:numPr>
                <w:ilvl w:val="0"/>
                <w:numId w:val="4"/>
              </w:numPr>
              <w:snapToGrid w:val="0"/>
              <w:spacing w:line="560" w:lineRule="exact"/>
              <w:jc w:val="left"/>
              <w:rPr>
                <w:rFonts w:ascii="宋体" w:eastAsia="宋体" w:hAnsi="宋体" w:cs="宋体" w:hint="eastAsia"/>
                <w:color w:val="000000"/>
                <w:sz w:val="24"/>
              </w:rPr>
            </w:pPr>
            <w:r>
              <w:rPr>
                <w:rFonts w:ascii="宋体" w:eastAsia="宋体" w:hAnsi="宋体" w:cs="宋体"/>
                <w:color w:val="000000"/>
                <w:sz w:val="24"/>
              </w:rPr>
              <w:t>工程类别：按《江苏省建设工程费用定额》（2014年）规定计。</w:t>
            </w:r>
          </w:p>
          <w:p w14:paraId="5B53FFEC" w14:textId="77777777" w:rsidR="00123674" w:rsidRDefault="00000000">
            <w:pPr>
              <w:numPr>
                <w:ilvl w:val="0"/>
                <w:numId w:val="4"/>
              </w:numPr>
              <w:snapToGrid w:val="0"/>
              <w:spacing w:line="560" w:lineRule="exact"/>
              <w:jc w:val="left"/>
              <w:rPr>
                <w:rFonts w:ascii="宋体" w:eastAsia="宋体" w:hAnsi="宋体" w:cs="宋体" w:hint="eastAsia"/>
                <w:color w:val="000000"/>
                <w:sz w:val="24"/>
              </w:rPr>
            </w:pPr>
            <w:r>
              <w:rPr>
                <w:rFonts w:ascii="宋体" w:eastAsia="宋体" w:hAnsi="宋体" w:cs="宋体"/>
                <w:color w:val="000000"/>
                <w:sz w:val="24"/>
              </w:rPr>
              <w:t>规费：按《江苏省建设工程费用定额》（2014年）规定计。</w:t>
            </w:r>
          </w:p>
          <w:p w14:paraId="1D3BC023" w14:textId="77777777" w:rsidR="00123674" w:rsidRDefault="00000000">
            <w:pPr>
              <w:numPr>
                <w:ilvl w:val="0"/>
                <w:numId w:val="4"/>
              </w:numPr>
              <w:snapToGrid w:val="0"/>
              <w:spacing w:line="560" w:lineRule="exact"/>
              <w:jc w:val="left"/>
              <w:rPr>
                <w:rFonts w:ascii="宋体" w:eastAsia="宋体" w:hAnsi="宋体" w:cs="宋体" w:hint="eastAsia"/>
                <w:color w:val="000000"/>
                <w:sz w:val="24"/>
              </w:rPr>
            </w:pPr>
            <w:r>
              <w:rPr>
                <w:rFonts w:ascii="宋体" w:eastAsia="宋体" w:hAnsi="宋体" w:cs="宋体"/>
                <w:color w:val="000000"/>
                <w:sz w:val="24"/>
              </w:rPr>
              <w:t>税金按一般计税方法，增值税税率为9%。</w:t>
            </w:r>
          </w:p>
          <w:p w14:paraId="33FCB956" w14:textId="77777777" w:rsidR="00123674" w:rsidRDefault="00123674">
            <w:pPr>
              <w:spacing w:afterLines="50" w:after="156" w:line="300" w:lineRule="auto"/>
              <w:jc w:val="center"/>
              <w:rPr>
                <w:rFonts w:ascii="宋体" w:hAnsi="宋体" w:hint="eastAsia"/>
                <w:b/>
                <w:position w:val="-6"/>
                <w:sz w:val="24"/>
                <w:szCs w:val="36"/>
              </w:rPr>
            </w:pPr>
          </w:p>
        </w:tc>
      </w:tr>
    </w:tbl>
    <w:p w14:paraId="479A86D4" w14:textId="77777777" w:rsidR="00123674" w:rsidRDefault="00123674">
      <w:pPr>
        <w:spacing w:afterLines="50" w:after="156" w:line="300" w:lineRule="auto"/>
        <w:jc w:val="center"/>
        <w:rPr>
          <w:rFonts w:ascii="宋体" w:hAnsi="宋体" w:hint="eastAsia"/>
          <w:b/>
          <w:position w:val="-6"/>
          <w:sz w:val="36"/>
          <w:szCs w:val="36"/>
        </w:rPr>
      </w:pPr>
    </w:p>
    <w:p w14:paraId="41A260CB" w14:textId="77777777" w:rsidR="00123674" w:rsidRDefault="00123674">
      <w:pPr>
        <w:spacing w:line="20" w:lineRule="exact"/>
      </w:pPr>
    </w:p>
    <w:sectPr w:rsidR="00123674">
      <w:pgSz w:w="11906" w:h="16838"/>
      <w:pgMar w:top="1134" w:right="1106" w:bottom="1134"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972A" w14:textId="77777777" w:rsidR="009D3560" w:rsidRDefault="009D3560" w:rsidP="00CF7FEF">
      <w:r>
        <w:separator/>
      </w:r>
    </w:p>
  </w:endnote>
  <w:endnote w:type="continuationSeparator" w:id="0">
    <w:p w14:paraId="4C86662A" w14:textId="77777777" w:rsidR="009D3560" w:rsidRDefault="009D3560" w:rsidP="00CF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0B9F" w14:textId="77777777" w:rsidR="009D3560" w:rsidRDefault="009D3560" w:rsidP="00CF7FEF">
      <w:r>
        <w:separator/>
      </w:r>
    </w:p>
  </w:footnote>
  <w:footnote w:type="continuationSeparator" w:id="0">
    <w:p w14:paraId="2C2183D1" w14:textId="77777777" w:rsidR="009D3560" w:rsidRDefault="009D3560" w:rsidP="00CF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C62B5E"/>
    <w:multiLevelType w:val="multilevel"/>
    <w:tmpl w:val="84C62B5E"/>
    <w:lvl w:ilvl="0">
      <w:start w:val="1"/>
      <w:numFmt w:val="decimal"/>
      <w:lvlText w:val="%1."/>
      <w:lvlJc w:val="left"/>
      <w:pPr>
        <w:ind w:left="756" w:hanging="336"/>
      </w:pPr>
    </w:lvl>
    <w:lvl w:ilvl="1">
      <w:start w:val="1"/>
      <w:numFmt w:val="lowerLetter"/>
      <w:lvlText w:val="%2."/>
      <w:lvlJc w:val="left"/>
      <w:pPr>
        <w:ind w:left="1176" w:hanging="336"/>
      </w:pPr>
    </w:lvl>
    <w:lvl w:ilvl="2">
      <w:start w:val="1"/>
      <w:numFmt w:val="lowerRoman"/>
      <w:lvlText w:val="%3."/>
      <w:lvlJc w:val="left"/>
      <w:pPr>
        <w:ind w:left="1596" w:hanging="336"/>
      </w:pPr>
    </w:lvl>
    <w:lvl w:ilvl="3">
      <w:start w:val="1"/>
      <w:numFmt w:val="decimal"/>
      <w:lvlText w:val="%4."/>
      <w:lvlJc w:val="left"/>
      <w:pPr>
        <w:ind w:left="2016" w:hanging="336"/>
      </w:pPr>
    </w:lvl>
    <w:lvl w:ilvl="4">
      <w:start w:val="1"/>
      <w:numFmt w:val="lowerLetter"/>
      <w:lvlText w:val="%5."/>
      <w:lvlJc w:val="left"/>
      <w:pPr>
        <w:ind w:left="2436" w:hanging="336"/>
      </w:pPr>
    </w:lvl>
    <w:lvl w:ilvl="5">
      <w:start w:val="1"/>
      <w:numFmt w:val="lowerRoman"/>
      <w:lvlText w:val="%6."/>
      <w:lvlJc w:val="left"/>
      <w:pPr>
        <w:ind w:left="2856" w:hanging="336"/>
      </w:pPr>
    </w:lvl>
    <w:lvl w:ilvl="6">
      <w:start w:val="1"/>
      <w:numFmt w:val="decimal"/>
      <w:lvlText w:val="%7."/>
      <w:lvlJc w:val="left"/>
      <w:pPr>
        <w:ind w:left="3276" w:hanging="336"/>
      </w:pPr>
    </w:lvl>
    <w:lvl w:ilvl="7">
      <w:start w:val="1"/>
      <w:numFmt w:val="lowerLetter"/>
      <w:lvlText w:val="%8."/>
      <w:lvlJc w:val="left"/>
      <w:pPr>
        <w:ind w:left="3696" w:hanging="336"/>
      </w:pPr>
    </w:lvl>
    <w:lvl w:ilvl="8">
      <w:start w:val="1"/>
      <w:numFmt w:val="lowerRoman"/>
      <w:lvlText w:val="%9."/>
      <w:lvlJc w:val="left"/>
      <w:pPr>
        <w:ind w:left="4116" w:hanging="336"/>
      </w:pPr>
    </w:lvl>
  </w:abstractNum>
  <w:abstractNum w:abstractNumId="1" w15:restartNumberingAfterBreak="0">
    <w:nsid w:val="CF092B84"/>
    <w:multiLevelType w:val="multilevel"/>
    <w:tmpl w:val="CF092B84"/>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lef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lef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left"/>
      <w:pPr>
        <w:ind w:left="3960" w:hanging="440"/>
      </w:pPr>
    </w:lvl>
  </w:abstractNum>
  <w:abstractNum w:abstractNumId="2" w15:restartNumberingAfterBreak="0">
    <w:nsid w:val="0053208E"/>
    <w:multiLevelType w:val="multilevel"/>
    <w:tmpl w:val="0053208E"/>
    <w:lvl w:ilvl="0">
      <w:start w:val="1"/>
      <w:numFmt w:val="decimal"/>
      <w:lvlText w:val="%1."/>
      <w:lvlJc w:val="left"/>
      <w:pPr>
        <w:ind w:left="756" w:hanging="336"/>
      </w:pPr>
    </w:lvl>
    <w:lvl w:ilvl="1">
      <w:start w:val="1"/>
      <w:numFmt w:val="lowerLetter"/>
      <w:lvlText w:val="%2."/>
      <w:lvlJc w:val="left"/>
      <w:pPr>
        <w:ind w:left="1176" w:hanging="336"/>
      </w:pPr>
    </w:lvl>
    <w:lvl w:ilvl="2">
      <w:start w:val="1"/>
      <w:numFmt w:val="lowerRoman"/>
      <w:lvlText w:val="%3."/>
      <w:lvlJc w:val="left"/>
      <w:pPr>
        <w:ind w:left="1596" w:hanging="336"/>
      </w:pPr>
    </w:lvl>
    <w:lvl w:ilvl="3">
      <w:start w:val="1"/>
      <w:numFmt w:val="decimal"/>
      <w:lvlText w:val="%4."/>
      <w:lvlJc w:val="left"/>
      <w:pPr>
        <w:ind w:left="2016" w:hanging="336"/>
      </w:pPr>
    </w:lvl>
    <w:lvl w:ilvl="4">
      <w:start w:val="1"/>
      <w:numFmt w:val="lowerLetter"/>
      <w:lvlText w:val="%5."/>
      <w:lvlJc w:val="left"/>
      <w:pPr>
        <w:ind w:left="2436" w:hanging="336"/>
      </w:pPr>
    </w:lvl>
    <w:lvl w:ilvl="5">
      <w:start w:val="1"/>
      <w:numFmt w:val="lowerRoman"/>
      <w:lvlText w:val="%6."/>
      <w:lvlJc w:val="left"/>
      <w:pPr>
        <w:ind w:left="2856" w:hanging="336"/>
      </w:pPr>
    </w:lvl>
    <w:lvl w:ilvl="6">
      <w:start w:val="1"/>
      <w:numFmt w:val="decimal"/>
      <w:lvlText w:val="%7."/>
      <w:lvlJc w:val="left"/>
      <w:pPr>
        <w:ind w:left="3276" w:hanging="336"/>
      </w:pPr>
    </w:lvl>
    <w:lvl w:ilvl="7">
      <w:start w:val="1"/>
      <w:numFmt w:val="lowerLetter"/>
      <w:lvlText w:val="%8."/>
      <w:lvlJc w:val="left"/>
      <w:pPr>
        <w:ind w:left="3696" w:hanging="336"/>
      </w:pPr>
    </w:lvl>
    <w:lvl w:ilvl="8">
      <w:start w:val="1"/>
      <w:numFmt w:val="lowerRoman"/>
      <w:lvlText w:val="%9."/>
      <w:lvlJc w:val="left"/>
      <w:pPr>
        <w:ind w:left="4116" w:hanging="336"/>
      </w:pPr>
    </w:lvl>
  </w:abstractNum>
  <w:abstractNum w:abstractNumId="3" w15:restartNumberingAfterBreak="0">
    <w:nsid w:val="4D4DC07F"/>
    <w:multiLevelType w:val="multilevel"/>
    <w:tmpl w:val="4D4DC07F"/>
    <w:lvl w:ilvl="0">
      <w:start w:val="1"/>
      <w:numFmt w:val="decimal"/>
      <w:lvlText w:val="%1."/>
      <w:lvlJc w:val="left"/>
      <w:pPr>
        <w:ind w:left="440" w:hanging="440"/>
      </w:pPr>
      <w:rPr>
        <w:rFonts w:hint="default"/>
        <w:sz w:val="21"/>
        <w:szCs w:val="21"/>
      </w:rPr>
    </w:lvl>
    <w:lvl w:ilvl="1">
      <w:start w:val="1"/>
      <w:numFmt w:val="lowerLetter"/>
      <w:lvlText w:val="%2)"/>
      <w:lvlJc w:val="left"/>
      <w:pPr>
        <w:ind w:left="880" w:hanging="440"/>
      </w:pPr>
    </w:lvl>
    <w:lvl w:ilvl="2">
      <w:start w:val="1"/>
      <w:numFmt w:val="lowerRoman"/>
      <w:lvlText w:val="%3."/>
      <w:lvlJc w:val="left"/>
      <w:pPr>
        <w:ind w:left="1320" w:hanging="440"/>
      </w:pPr>
    </w:lvl>
    <w:lvl w:ilvl="3">
      <w:start w:val="1"/>
      <w:numFmt w:val="decimal"/>
      <w:lvlText w:val="%4."/>
      <w:lvlJc w:val="left"/>
      <w:pPr>
        <w:ind w:left="1760" w:hanging="440"/>
      </w:pPr>
      <w:rPr>
        <w:sz w:val="24"/>
      </w:rPr>
    </w:lvl>
    <w:lvl w:ilvl="4">
      <w:start w:val="1"/>
      <w:numFmt w:val="lowerLetter"/>
      <w:lvlText w:val="%5)"/>
      <w:lvlJc w:val="left"/>
      <w:pPr>
        <w:ind w:left="2200" w:hanging="440"/>
      </w:pPr>
    </w:lvl>
    <w:lvl w:ilvl="5">
      <w:start w:val="1"/>
      <w:numFmt w:val="lowerRoman"/>
      <w:lvlText w:val="%6."/>
      <w:lvlJc w:val="lef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left"/>
      <w:pPr>
        <w:ind w:left="3960" w:hanging="440"/>
      </w:pPr>
    </w:lvl>
  </w:abstractNum>
  <w:num w:numId="1" w16cid:durableId="792988532">
    <w:abstractNumId w:val="1"/>
  </w:num>
  <w:num w:numId="2" w16cid:durableId="1612857902">
    <w:abstractNumId w:val="2"/>
  </w:num>
  <w:num w:numId="3" w16cid:durableId="1182815790">
    <w:abstractNumId w:val="0"/>
  </w:num>
  <w:num w:numId="4" w16cid:durableId="321852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YmFhYzg0MTU3NGQxZDg1NTk1N2M4YTY5OTcwNzkifQ=="/>
  </w:docVars>
  <w:rsids>
    <w:rsidRoot w:val="442E00F7"/>
    <w:rsid w:val="0000164B"/>
    <w:rsid w:val="00096C87"/>
    <w:rsid w:val="00123674"/>
    <w:rsid w:val="00140B12"/>
    <w:rsid w:val="00164DAB"/>
    <w:rsid w:val="00173956"/>
    <w:rsid w:val="001A3961"/>
    <w:rsid w:val="0021683E"/>
    <w:rsid w:val="00230864"/>
    <w:rsid w:val="0028492E"/>
    <w:rsid w:val="00285CAB"/>
    <w:rsid w:val="003008CA"/>
    <w:rsid w:val="00342593"/>
    <w:rsid w:val="003E591E"/>
    <w:rsid w:val="003F491E"/>
    <w:rsid w:val="004E2748"/>
    <w:rsid w:val="004E7033"/>
    <w:rsid w:val="005A3FC9"/>
    <w:rsid w:val="005C6553"/>
    <w:rsid w:val="005F76EA"/>
    <w:rsid w:val="006956D3"/>
    <w:rsid w:val="00703DA9"/>
    <w:rsid w:val="00751B2D"/>
    <w:rsid w:val="007B4115"/>
    <w:rsid w:val="00892396"/>
    <w:rsid w:val="00894E8E"/>
    <w:rsid w:val="00897E51"/>
    <w:rsid w:val="00922050"/>
    <w:rsid w:val="009758E7"/>
    <w:rsid w:val="009B04A4"/>
    <w:rsid w:val="009D3560"/>
    <w:rsid w:val="009E16D7"/>
    <w:rsid w:val="00A26BA9"/>
    <w:rsid w:val="00A72393"/>
    <w:rsid w:val="00CE4D1A"/>
    <w:rsid w:val="00CF5894"/>
    <w:rsid w:val="00CF7FEF"/>
    <w:rsid w:val="00D4549E"/>
    <w:rsid w:val="00D8295D"/>
    <w:rsid w:val="00DB2A09"/>
    <w:rsid w:val="00E043FA"/>
    <w:rsid w:val="00E23722"/>
    <w:rsid w:val="00E329A2"/>
    <w:rsid w:val="00E81131"/>
    <w:rsid w:val="00EC2CC6"/>
    <w:rsid w:val="00F55507"/>
    <w:rsid w:val="00F5726C"/>
    <w:rsid w:val="00F60A9E"/>
    <w:rsid w:val="00F714C6"/>
    <w:rsid w:val="029C5E7D"/>
    <w:rsid w:val="05C5081C"/>
    <w:rsid w:val="0D495D74"/>
    <w:rsid w:val="16094B9D"/>
    <w:rsid w:val="19281304"/>
    <w:rsid w:val="218F0F2F"/>
    <w:rsid w:val="24063B3A"/>
    <w:rsid w:val="2E470138"/>
    <w:rsid w:val="2ED87873"/>
    <w:rsid w:val="32B67BEC"/>
    <w:rsid w:val="38BF5369"/>
    <w:rsid w:val="38EF5081"/>
    <w:rsid w:val="442E00F7"/>
    <w:rsid w:val="48DD2FF8"/>
    <w:rsid w:val="4EF46864"/>
    <w:rsid w:val="521A675B"/>
    <w:rsid w:val="5C41484F"/>
    <w:rsid w:val="5F3634C7"/>
    <w:rsid w:val="6F1A2BD2"/>
    <w:rsid w:val="77ED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299F1"/>
  <w15:docId w15:val="{B3B950BE-4A91-4967-A425-8D61D48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360" w:lineRule="auto"/>
      <w:ind w:firstLineChars="200" w:firstLine="420"/>
    </w:pPr>
    <w:rPr>
      <w:kern w:val="0"/>
      <w:sz w:val="20"/>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2"/>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9">
    <w:name w:val="List Paragraph"/>
    <w:uiPriority w:val="99"/>
    <w:unhideWhenUsed/>
    <w:qFormat/>
    <w:pPr>
      <w:widowControl w:val="0"/>
      <w:ind w:firstLineChars="200" w:firstLine="420"/>
      <w:jc w:val="both"/>
    </w:pPr>
    <w:rPr>
      <w:kern w:val="2"/>
      <w:sz w:val="21"/>
      <w:szCs w:val="24"/>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 D</cp:lastModifiedBy>
  <cp:revision>22</cp:revision>
  <dcterms:created xsi:type="dcterms:W3CDTF">2024-08-26T07:05:00Z</dcterms:created>
  <dcterms:modified xsi:type="dcterms:W3CDTF">2025-12-16T08:40:00Z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98AEF8A2F2E744C3888206E3D6018F02_12</vt:lpwstr>
  </property>
</Properties>
</file>