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E33F22">
      <w:pPr>
        <w:pStyle w:val="33"/>
        <w:jc w:val="center"/>
        <w:rPr>
          <w:rFonts w:ascii="Times New Roman" w:eastAsia="宋体" w:cs="Times New Roman"/>
          <w:b/>
          <w:bCs/>
          <w:color w:val="000000" w:themeColor="text1"/>
          <w:sz w:val="84"/>
          <w:szCs w:val="84"/>
          <w14:textFill>
            <w14:solidFill>
              <w14:schemeClr w14:val="tx1"/>
            </w14:solidFill>
          </w14:textFill>
        </w:rPr>
      </w:pPr>
      <w:bookmarkStart w:id="0" w:name="_Toc383623944"/>
      <w:bookmarkStart w:id="1" w:name="_Toc426469868"/>
      <w:bookmarkStart w:id="2" w:name="_Toc383698647"/>
      <w:bookmarkStart w:id="3" w:name="_Toc383679746"/>
      <w:bookmarkStart w:id="4" w:name="_Toc383587456"/>
      <w:bookmarkStart w:id="5" w:name="_Toc390246905"/>
      <w:bookmarkStart w:id="6" w:name="_Toc390099018"/>
      <w:bookmarkStart w:id="7" w:name="_Toc383625993"/>
      <w:bookmarkStart w:id="8" w:name="_Toc390098840"/>
      <w:bookmarkStart w:id="9" w:name="_Toc383623672"/>
    </w:p>
    <w:p w14:paraId="4AB2140D">
      <w:pPr>
        <w:pStyle w:val="33"/>
        <w:jc w:val="center"/>
        <w:rPr>
          <w:rFonts w:ascii="Times New Roman" w:eastAsia="宋体" w:cs="Times New Roman"/>
          <w:b/>
          <w:bCs/>
          <w:color w:val="000000" w:themeColor="text1"/>
          <w:sz w:val="84"/>
          <w:szCs w:val="84"/>
          <w14:textFill>
            <w14:solidFill>
              <w14:schemeClr w14:val="tx1"/>
            </w14:solidFill>
          </w14:textFill>
        </w:rPr>
      </w:pPr>
    </w:p>
    <w:p w14:paraId="566800B5">
      <w:pPr>
        <w:pStyle w:val="33"/>
        <w:jc w:val="center"/>
        <w:rPr>
          <w:rFonts w:ascii="Times New Roman" w:eastAsia="宋体" w:cs="Times New Roman"/>
          <w:b/>
          <w:bCs/>
          <w:color w:val="000000" w:themeColor="text1"/>
          <w:sz w:val="84"/>
          <w:szCs w:val="84"/>
          <w14:textFill>
            <w14:solidFill>
              <w14:schemeClr w14:val="tx1"/>
            </w14:solidFill>
          </w14:textFill>
        </w:rPr>
      </w:pPr>
      <w:r>
        <w:rPr>
          <w:rFonts w:ascii="Times New Roman" w:eastAsia="宋体" w:cs="Times New Roman"/>
          <w:b/>
          <w:bCs/>
          <w:color w:val="000000" w:themeColor="text1"/>
          <w:sz w:val="84"/>
          <w:szCs w:val="84"/>
          <w14:textFill>
            <w14:solidFill>
              <w14:schemeClr w14:val="tx1"/>
            </w14:solidFill>
          </w14:textFill>
        </w:rPr>
        <w:t>招　标　文　件</w:t>
      </w:r>
    </w:p>
    <w:p w14:paraId="0B7CE80E">
      <w:pPr>
        <w:pStyle w:val="33"/>
        <w:spacing w:line="540" w:lineRule="exact"/>
        <w:rPr>
          <w:rFonts w:ascii="Times New Roman" w:eastAsia="宋体" w:cs="Times New Roman"/>
          <w:b/>
          <w:bCs/>
          <w:color w:val="000000" w:themeColor="text1"/>
          <w:sz w:val="32"/>
          <w:szCs w:val="32"/>
          <w14:textFill>
            <w14:solidFill>
              <w14:schemeClr w14:val="tx1"/>
            </w14:solidFill>
          </w14:textFill>
        </w:rPr>
      </w:pPr>
    </w:p>
    <w:p w14:paraId="6B08AFFA">
      <w:pPr>
        <w:pStyle w:val="33"/>
        <w:spacing w:line="540" w:lineRule="exact"/>
        <w:rPr>
          <w:rFonts w:ascii="Times New Roman" w:eastAsia="宋体" w:cs="Times New Roman"/>
          <w:b/>
          <w:bCs/>
          <w:color w:val="000000" w:themeColor="text1"/>
          <w:sz w:val="32"/>
          <w:szCs w:val="32"/>
          <w14:textFill>
            <w14:solidFill>
              <w14:schemeClr w14:val="tx1"/>
            </w14:solidFill>
          </w14:textFill>
        </w:rPr>
      </w:pPr>
    </w:p>
    <w:p w14:paraId="355B49ED">
      <w:pPr>
        <w:pStyle w:val="33"/>
        <w:spacing w:line="540" w:lineRule="exact"/>
        <w:rPr>
          <w:rFonts w:ascii="Times New Roman" w:eastAsia="宋体" w:cs="Times New Roman"/>
          <w:b/>
          <w:bCs/>
          <w:color w:val="000000" w:themeColor="text1"/>
          <w:sz w:val="32"/>
          <w:szCs w:val="32"/>
          <w14:textFill>
            <w14:solidFill>
              <w14:schemeClr w14:val="tx1"/>
            </w14:solidFill>
          </w14:textFill>
        </w:rPr>
      </w:pPr>
      <w:r>
        <w:rPr>
          <w:rFonts w:ascii="Times New Roman" w:eastAsia="宋体" w:cs="Times New Roman"/>
          <w:b/>
          <w:bCs/>
          <w:color w:val="000000" w:themeColor="text1"/>
          <w:sz w:val="32"/>
          <w:szCs w:val="32"/>
          <w14:textFill>
            <w14:solidFill>
              <w14:schemeClr w14:val="tx1"/>
            </w14:solidFill>
          </w14:textFill>
        </w:rPr>
        <w:t xml:space="preserve">                                                                                                                                                                                                                                                                                                                                                                                                                                                                                                                                                                                                                                                                                                                                                                                                                                                                                                                                                                                                                                                                                                                                                                                                                                                                                                                                                                                                                                                                                                                                                                                                                         </w:t>
      </w:r>
    </w:p>
    <w:p w14:paraId="19646657">
      <w:pPr>
        <w:widowControl/>
        <w:ind w:left="2266" w:hanging="2266" w:hangingChars="513"/>
        <w:jc w:val="left"/>
        <w:rPr>
          <w:rFonts w:ascii="宋体" w:hAnsi="宋体" w:cs="宋体"/>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t>项目名称</w:t>
      </w:r>
      <w:r>
        <w:rPr>
          <w:color w:val="000000" w:themeColor="text1"/>
          <w:sz w:val="44"/>
          <w:szCs w:val="44"/>
          <w14:textFill>
            <w14:solidFill>
              <w14:schemeClr w14:val="tx1"/>
            </w14:solidFill>
          </w14:textFill>
        </w:rPr>
        <w:t>：</w:t>
      </w:r>
      <w:r>
        <w:rPr>
          <w:rFonts w:hint="eastAsia"/>
          <w:b/>
          <w:bCs/>
          <w:color w:val="000000" w:themeColor="text1"/>
          <w:sz w:val="44"/>
          <w:szCs w:val="44"/>
          <w:lang w:eastAsia="zh-CN"/>
          <w14:textFill>
            <w14:solidFill>
              <w14:schemeClr w14:val="tx1"/>
            </w14:solidFill>
          </w14:textFill>
        </w:rPr>
        <w:t>泰兴市2024年度补充耕地项目客土质量抽样检测</w:t>
      </w:r>
      <w:r>
        <w:rPr>
          <w:rFonts w:hint="eastAsia" w:ascii="宋体" w:hAnsi="宋体" w:cs="宋体"/>
          <w:b/>
          <w:bCs/>
          <w:color w:val="000000" w:themeColor="text1"/>
          <w:sz w:val="44"/>
          <w:szCs w:val="44"/>
          <w14:textFill>
            <w14:solidFill>
              <w14:schemeClr w14:val="tx1"/>
            </w14:solidFill>
          </w14:textFill>
        </w:rPr>
        <w:t xml:space="preserve"> </w:t>
      </w:r>
    </w:p>
    <w:p w14:paraId="6AB92400">
      <w:pPr>
        <w:widowControl/>
        <w:rPr>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t>项目编号：</w:t>
      </w:r>
      <w:r>
        <w:rPr>
          <w:rFonts w:hint="eastAsia"/>
          <w:b/>
          <w:bCs/>
          <w:color w:val="000000" w:themeColor="text1"/>
          <w:sz w:val="44"/>
          <w:szCs w:val="44"/>
          <w14:textFill>
            <w14:solidFill>
              <w14:schemeClr w14:val="tx1"/>
            </w14:solidFill>
          </w14:textFill>
        </w:rPr>
        <w:t>JSZC-321283-TXXC-G2024-0011</w:t>
      </w:r>
      <w:r>
        <w:rPr>
          <w:rFonts w:hint="eastAsia"/>
          <w:b/>
          <w:bCs/>
          <w:color w:val="000000" w:themeColor="text1"/>
          <w:sz w:val="44"/>
          <w:szCs w:val="44"/>
          <w:lang w:val="en-US" w:eastAsia="zh-CN"/>
          <w14:textFill>
            <w14:solidFill>
              <w14:schemeClr w14:val="tx1"/>
            </w14:solidFill>
          </w14:textFill>
        </w:rPr>
        <w:t xml:space="preserve"> </w:t>
      </w:r>
      <w:r>
        <w:rPr>
          <w:rFonts w:hint="eastAsia"/>
          <w:b/>
          <w:bCs/>
          <w:color w:val="000000" w:themeColor="text1"/>
          <w:sz w:val="44"/>
          <w:szCs w:val="44"/>
          <w14:textFill>
            <w14:solidFill>
              <w14:schemeClr w14:val="tx1"/>
            </w14:solidFill>
          </w14:textFill>
        </w:rPr>
        <w:t xml:space="preserve"> </w:t>
      </w:r>
    </w:p>
    <w:p w14:paraId="76E1DD13">
      <w:pPr>
        <w:pStyle w:val="33"/>
        <w:spacing w:line="540" w:lineRule="exact"/>
        <w:ind w:firstLine="643" w:firstLineChars="200"/>
        <w:jc w:val="center"/>
        <w:rPr>
          <w:rFonts w:ascii="Times New Roman" w:eastAsia="宋体" w:cs="Times New Roman"/>
          <w:b/>
          <w:color w:val="000000" w:themeColor="text1"/>
          <w:sz w:val="32"/>
          <w:szCs w:val="32"/>
          <w14:textFill>
            <w14:solidFill>
              <w14:schemeClr w14:val="tx1"/>
            </w14:solidFill>
          </w14:textFill>
        </w:rPr>
      </w:pPr>
    </w:p>
    <w:p w14:paraId="4C8AF994">
      <w:pPr>
        <w:pStyle w:val="33"/>
        <w:spacing w:line="540" w:lineRule="exact"/>
        <w:ind w:firstLine="643" w:firstLineChars="200"/>
        <w:jc w:val="center"/>
        <w:rPr>
          <w:rFonts w:ascii="Times New Roman" w:eastAsia="宋体" w:cs="Times New Roman"/>
          <w:b/>
          <w:color w:val="000000" w:themeColor="text1"/>
          <w:sz w:val="32"/>
          <w:szCs w:val="32"/>
          <w14:textFill>
            <w14:solidFill>
              <w14:schemeClr w14:val="tx1"/>
            </w14:solidFill>
          </w14:textFill>
        </w:rPr>
      </w:pPr>
    </w:p>
    <w:p w14:paraId="2D0C12E4">
      <w:pPr>
        <w:pStyle w:val="33"/>
        <w:spacing w:line="540" w:lineRule="exact"/>
        <w:ind w:firstLine="643" w:firstLineChars="200"/>
        <w:jc w:val="center"/>
        <w:rPr>
          <w:rFonts w:ascii="Times New Roman" w:eastAsia="宋体" w:cs="Times New Roman"/>
          <w:b/>
          <w:color w:val="000000" w:themeColor="text1"/>
          <w:sz w:val="32"/>
          <w:szCs w:val="32"/>
          <w14:textFill>
            <w14:solidFill>
              <w14:schemeClr w14:val="tx1"/>
            </w14:solidFill>
          </w14:textFill>
        </w:rPr>
      </w:pPr>
    </w:p>
    <w:p w14:paraId="043BA510">
      <w:pPr>
        <w:pStyle w:val="33"/>
        <w:spacing w:line="540" w:lineRule="exact"/>
        <w:ind w:firstLine="643" w:firstLineChars="200"/>
        <w:jc w:val="center"/>
        <w:rPr>
          <w:rFonts w:ascii="Times New Roman" w:eastAsia="宋体" w:cs="Times New Roman"/>
          <w:b/>
          <w:color w:val="000000" w:themeColor="text1"/>
          <w:sz w:val="32"/>
          <w:szCs w:val="32"/>
          <w14:textFill>
            <w14:solidFill>
              <w14:schemeClr w14:val="tx1"/>
            </w14:solidFill>
          </w14:textFill>
        </w:rPr>
      </w:pPr>
    </w:p>
    <w:p w14:paraId="7648BEF1">
      <w:pPr>
        <w:pStyle w:val="33"/>
        <w:spacing w:line="540" w:lineRule="exact"/>
        <w:ind w:firstLine="643" w:firstLineChars="200"/>
        <w:jc w:val="center"/>
        <w:rPr>
          <w:rFonts w:ascii="Times New Roman" w:eastAsia="宋体" w:cs="Times New Roman"/>
          <w:b/>
          <w:color w:val="000000" w:themeColor="text1"/>
          <w:sz w:val="32"/>
          <w:szCs w:val="32"/>
          <w14:textFill>
            <w14:solidFill>
              <w14:schemeClr w14:val="tx1"/>
            </w14:solidFill>
          </w14:textFill>
        </w:rPr>
      </w:pPr>
    </w:p>
    <w:p w14:paraId="1B1346E7">
      <w:pPr>
        <w:pStyle w:val="33"/>
        <w:spacing w:line="540" w:lineRule="exact"/>
        <w:ind w:firstLine="643" w:firstLineChars="200"/>
        <w:jc w:val="center"/>
        <w:rPr>
          <w:rFonts w:ascii="Times New Roman" w:eastAsia="宋体" w:cs="Times New Roman"/>
          <w:b/>
          <w:color w:val="000000" w:themeColor="text1"/>
          <w:sz w:val="32"/>
          <w:szCs w:val="32"/>
          <w14:textFill>
            <w14:solidFill>
              <w14:schemeClr w14:val="tx1"/>
            </w14:solidFill>
          </w14:textFill>
        </w:rPr>
      </w:pPr>
    </w:p>
    <w:p w14:paraId="534AA36C">
      <w:pPr>
        <w:pStyle w:val="33"/>
        <w:spacing w:line="540" w:lineRule="exact"/>
        <w:ind w:firstLine="643" w:firstLineChars="200"/>
        <w:jc w:val="center"/>
        <w:rPr>
          <w:rFonts w:ascii="Times New Roman" w:eastAsia="宋体" w:cs="Times New Roman"/>
          <w:b/>
          <w:color w:val="000000" w:themeColor="text1"/>
          <w:sz w:val="32"/>
          <w:szCs w:val="32"/>
          <w14:textFill>
            <w14:solidFill>
              <w14:schemeClr w14:val="tx1"/>
            </w14:solidFill>
          </w14:textFill>
        </w:rPr>
      </w:pPr>
    </w:p>
    <w:p w14:paraId="4FDE123E">
      <w:pPr>
        <w:pStyle w:val="33"/>
        <w:spacing w:line="540" w:lineRule="exact"/>
        <w:jc w:val="both"/>
        <w:rPr>
          <w:rFonts w:ascii="Times New Roman" w:eastAsia="宋体" w:cs="Times New Roman"/>
          <w:b/>
          <w:color w:val="000000" w:themeColor="text1"/>
          <w:sz w:val="32"/>
          <w:szCs w:val="32"/>
          <w14:textFill>
            <w14:solidFill>
              <w14:schemeClr w14:val="tx1"/>
            </w14:solidFill>
          </w14:textFill>
        </w:rPr>
      </w:pPr>
    </w:p>
    <w:p w14:paraId="294414EF">
      <w:pPr>
        <w:spacing w:line="360" w:lineRule="auto"/>
        <w:jc w:val="center"/>
        <w:rPr>
          <w:rFonts w:hint="eastAsia" w:ascii="宋体" w:hAnsi="宋体" w:cs="宋体"/>
          <w:b/>
          <w:color w:val="000000" w:themeColor="text1"/>
          <w:sz w:val="36"/>
          <w:szCs w:val="36"/>
          <w:lang w:eastAsia="zh-CN"/>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招 标 人：</w:t>
      </w:r>
      <w:r>
        <w:rPr>
          <w:rFonts w:hint="eastAsia" w:ascii="宋体" w:hAnsi="宋体" w:cs="宋体"/>
          <w:b/>
          <w:color w:val="000000" w:themeColor="text1"/>
          <w:sz w:val="36"/>
          <w:szCs w:val="36"/>
          <w:lang w:eastAsia="zh-CN"/>
          <w14:textFill>
            <w14:solidFill>
              <w14:schemeClr w14:val="tx1"/>
            </w14:solidFill>
          </w14:textFill>
        </w:rPr>
        <w:t>泰兴市自然资源和规划局</w:t>
      </w:r>
    </w:p>
    <w:p w14:paraId="041BCD2D">
      <w:pPr>
        <w:spacing w:line="360" w:lineRule="auto"/>
        <w:jc w:val="center"/>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代理机构：</w:t>
      </w:r>
      <w:r>
        <w:rPr>
          <w:rFonts w:hint="eastAsia" w:ascii="宋体" w:hAnsi="宋体" w:cs="宋体"/>
          <w:b/>
          <w:color w:val="000000" w:themeColor="text1"/>
          <w:sz w:val="36"/>
          <w:szCs w:val="36"/>
          <w:lang w:val="en-US" w:eastAsia="zh-CN"/>
          <w14:textFill>
            <w14:solidFill>
              <w14:schemeClr w14:val="tx1"/>
            </w14:solidFill>
          </w14:textFill>
        </w:rPr>
        <w:t>江苏鑫澄工程</w:t>
      </w:r>
      <w:r>
        <w:rPr>
          <w:rFonts w:hint="eastAsia" w:ascii="宋体" w:hAnsi="宋体" w:cs="宋体"/>
          <w:b/>
          <w:color w:val="000000" w:themeColor="text1"/>
          <w:sz w:val="36"/>
          <w:szCs w:val="36"/>
          <w14:textFill>
            <w14:solidFill>
              <w14:schemeClr w14:val="tx1"/>
            </w14:solidFill>
          </w14:textFill>
        </w:rPr>
        <w:t>管理有限公司</w:t>
      </w:r>
    </w:p>
    <w:p w14:paraId="52E34ED3">
      <w:pPr>
        <w:spacing w:line="360" w:lineRule="auto"/>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二〇二四年</w:t>
      </w:r>
      <w:r>
        <w:rPr>
          <w:rFonts w:hint="eastAsia" w:ascii="宋体" w:hAnsi="宋体" w:cs="宋体"/>
          <w:b/>
          <w:color w:val="000000" w:themeColor="text1"/>
          <w:sz w:val="36"/>
          <w:szCs w:val="36"/>
          <w:lang w:val="en-US" w:eastAsia="zh-CN"/>
          <w14:textFill>
            <w14:solidFill>
              <w14:schemeClr w14:val="tx1"/>
            </w14:solidFill>
          </w14:textFill>
        </w:rPr>
        <w:t>九</w:t>
      </w:r>
      <w:r>
        <w:rPr>
          <w:rFonts w:hint="eastAsia" w:ascii="宋体" w:hAnsi="宋体" w:cs="宋体"/>
          <w:b/>
          <w:color w:val="000000" w:themeColor="text1"/>
          <w:sz w:val="36"/>
          <w:szCs w:val="36"/>
          <w14:textFill>
            <w14:solidFill>
              <w14:schemeClr w14:val="tx1"/>
            </w14:solidFill>
          </w14:textFill>
        </w:rPr>
        <w:t>月</w:t>
      </w:r>
    </w:p>
    <w:p w14:paraId="03534E14">
      <w:pPr>
        <w:pStyle w:val="17"/>
        <w:tabs>
          <w:tab w:val="left" w:pos="3240"/>
        </w:tabs>
        <w:spacing w:line="500" w:lineRule="exact"/>
        <w:ind w:left="0" w:firstLine="0"/>
        <w:outlineLvl w:val="0"/>
        <w:rPr>
          <w:rFonts w:ascii="黑体" w:hAnsi="黑体" w:eastAsia="黑体"/>
          <w:b/>
          <w:color w:val="000000" w:themeColor="text1"/>
          <w14:textFill>
            <w14:solidFill>
              <w14:schemeClr w14:val="tx1"/>
            </w14:solidFill>
          </w14:textFill>
        </w:rPr>
      </w:pPr>
    </w:p>
    <w:p w14:paraId="32267B76">
      <w:pPr>
        <w:pStyle w:val="17"/>
        <w:tabs>
          <w:tab w:val="left" w:pos="3240"/>
        </w:tabs>
        <w:spacing w:line="500" w:lineRule="exact"/>
        <w:ind w:left="0" w:firstLine="0"/>
        <w:jc w:val="center"/>
        <w:outlineLvl w:val="0"/>
        <w:rPr>
          <w:rFonts w:ascii="黑体" w:hAnsi="黑体" w:eastAsia="黑体"/>
          <w:b/>
          <w:color w:val="000000" w:themeColor="text1"/>
          <w14:textFill>
            <w14:solidFill>
              <w14:schemeClr w14:val="tx1"/>
            </w14:solidFill>
          </w14:textFill>
        </w:rPr>
      </w:pPr>
      <w:r>
        <w:rPr>
          <w:rFonts w:hint="eastAsia" w:ascii="黑体" w:hAnsi="黑体" w:eastAsia="黑体"/>
          <w:b/>
          <w:color w:val="000000" w:themeColor="text1"/>
          <w14:textFill>
            <w14:solidFill>
              <w14:schemeClr w14:val="tx1"/>
            </w14:solidFill>
          </w14:textFill>
        </w:rPr>
        <w:t>第一章</w:t>
      </w:r>
      <w:r>
        <w:rPr>
          <w:rFonts w:ascii="黑体" w:hAnsi="黑体" w:eastAsia="黑体"/>
          <w:b/>
          <w:color w:val="000000" w:themeColor="text1"/>
          <w14:textFill>
            <w14:solidFill>
              <w14:schemeClr w14:val="tx1"/>
            </w14:solidFill>
          </w14:textFill>
        </w:rPr>
        <w:t xml:space="preserve"> </w:t>
      </w:r>
      <w:bookmarkEnd w:id="0"/>
      <w:bookmarkEnd w:id="1"/>
      <w:bookmarkEnd w:id="2"/>
      <w:bookmarkEnd w:id="3"/>
      <w:bookmarkEnd w:id="4"/>
      <w:bookmarkEnd w:id="5"/>
      <w:bookmarkEnd w:id="6"/>
      <w:bookmarkEnd w:id="7"/>
      <w:bookmarkEnd w:id="8"/>
      <w:bookmarkEnd w:id="9"/>
      <w:r>
        <w:rPr>
          <w:rFonts w:hint="eastAsia" w:ascii="黑体" w:hAnsi="黑体" w:eastAsia="黑体"/>
          <w:b/>
          <w:color w:val="000000" w:themeColor="text1"/>
          <w14:textFill>
            <w14:solidFill>
              <w14:schemeClr w14:val="tx1"/>
            </w14:solidFill>
          </w14:textFill>
        </w:rPr>
        <w:t>招标公告</w:t>
      </w:r>
    </w:p>
    <w:p w14:paraId="3424088A">
      <w:pPr>
        <w:pBdr>
          <w:top w:val="single" w:color="auto" w:sz="4" w:space="1"/>
          <w:left w:val="single" w:color="auto" w:sz="4" w:space="4"/>
          <w:bottom w:val="single" w:color="auto" w:sz="4" w:space="1"/>
          <w:right w:val="single" w:color="auto" w:sz="4" w:space="4"/>
        </w:pBdr>
        <w:spacing w:line="460" w:lineRule="exact"/>
        <w:rPr>
          <w:rFonts w:ascii="宋体"/>
          <w:color w:val="000000" w:themeColor="text1"/>
          <w:kern w:val="2"/>
          <w:sz w:val="28"/>
          <w:szCs w:val="28"/>
          <w14:textFill>
            <w14:solidFill>
              <w14:schemeClr w14:val="tx1"/>
            </w14:solidFill>
          </w14:textFill>
        </w:rPr>
      </w:pPr>
      <w:r>
        <w:rPr>
          <w:rFonts w:hint="eastAsia" w:ascii="宋体" w:hAnsi="宋体"/>
          <w:color w:val="000000" w:themeColor="text1"/>
          <w:kern w:val="2"/>
          <w:sz w:val="28"/>
          <w:szCs w:val="28"/>
          <w14:textFill>
            <w14:solidFill>
              <w14:schemeClr w14:val="tx1"/>
            </w14:solidFill>
          </w14:textFill>
        </w:rPr>
        <w:t>项目概况</w:t>
      </w:r>
    </w:p>
    <w:p w14:paraId="50091732">
      <w:pPr>
        <w:pBdr>
          <w:top w:val="single" w:color="auto" w:sz="4" w:space="1"/>
          <w:left w:val="single" w:color="auto" w:sz="4" w:space="4"/>
          <w:bottom w:val="single" w:color="auto" w:sz="4" w:space="1"/>
          <w:right w:val="single" w:color="auto" w:sz="4" w:space="4"/>
        </w:pBdr>
        <w:spacing w:line="460" w:lineRule="exact"/>
        <w:ind w:firstLine="560" w:firstLineChars="200"/>
        <w:rPr>
          <w:rFonts w:ascii="宋体"/>
          <w:color w:val="000000" w:themeColor="text1"/>
          <w:kern w:val="2"/>
          <w:sz w:val="28"/>
          <w:szCs w:val="28"/>
          <w14:textFill>
            <w14:solidFill>
              <w14:schemeClr w14:val="tx1"/>
            </w14:solidFill>
          </w14:textFill>
        </w:rPr>
      </w:pPr>
      <w:r>
        <w:rPr>
          <w:rFonts w:hint="eastAsia" w:ascii="宋体" w:hAnsi="宋体"/>
          <w:color w:val="000000" w:themeColor="text1"/>
          <w:kern w:val="2"/>
          <w:sz w:val="28"/>
          <w:szCs w:val="28"/>
          <w:u w:val="single"/>
          <w:lang w:eastAsia="zh-CN"/>
          <w14:textFill>
            <w14:solidFill>
              <w14:schemeClr w14:val="tx1"/>
            </w14:solidFill>
          </w14:textFill>
        </w:rPr>
        <w:t>泰兴市2024年度补充耕地项目客土质量抽样检测</w:t>
      </w:r>
      <w:r>
        <w:rPr>
          <w:rFonts w:hint="eastAsia" w:ascii="宋体" w:hAnsi="宋体"/>
          <w:color w:val="000000" w:themeColor="text1"/>
          <w:kern w:val="2"/>
          <w:sz w:val="28"/>
          <w:szCs w:val="28"/>
          <w14:textFill>
            <w14:solidFill>
              <w14:schemeClr w14:val="tx1"/>
            </w14:solidFill>
          </w14:textFill>
        </w:rPr>
        <w:t>招标项目的潜在投标人应在</w:t>
      </w:r>
      <w:r>
        <w:rPr>
          <w:rFonts w:hint="eastAsia" w:ascii="宋体" w:hAnsi="宋体"/>
          <w:color w:val="000000" w:themeColor="text1"/>
          <w:kern w:val="2"/>
          <w:sz w:val="28"/>
          <w:szCs w:val="28"/>
          <w:u w:val="single"/>
          <w14:textFill>
            <w14:solidFill>
              <w14:schemeClr w14:val="tx1"/>
            </w14:solidFill>
          </w14:textFill>
        </w:rPr>
        <w:t>“江苏政府采购网”获取招标文件</w:t>
      </w:r>
      <w:r>
        <w:rPr>
          <w:rFonts w:hint="eastAsia" w:ascii="宋体" w:hAnsi="宋体"/>
          <w:color w:val="000000" w:themeColor="text1"/>
          <w:kern w:val="2"/>
          <w:sz w:val="28"/>
          <w:szCs w:val="28"/>
          <w14:textFill>
            <w14:solidFill>
              <w14:schemeClr w14:val="tx1"/>
            </w14:solidFill>
          </w14:textFill>
        </w:rPr>
        <w:t>，并于</w:t>
      </w:r>
      <w:r>
        <w:rPr>
          <w:rFonts w:hint="eastAsia" w:ascii="宋体" w:hAnsi="宋体"/>
          <w:color w:val="000000" w:themeColor="text1"/>
          <w:kern w:val="2"/>
          <w:sz w:val="28"/>
          <w:szCs w:val="28"/>
          <w:u w:val="single"/>
          <w14:textFill>
            <w14:solidFill>
              <w14:schemeClr w14:val="tx1"/>
            </w14:solidFill>
          </w14:textFill>
        </w:rPr>
        <w:t>2024</w:t>
      </w:r>
      <w:r>
        <w:rPr>
          <w:rFonts w:hint="eastAsia" w:ascii="宋体" w:hAnsi="宋体"/>
          <w:bCs/>
          <w:color w:val="000000" w:themeColor="text1"/>
          <w:kern w:val="2"/>
          <w:sz w:val="28"/>
          <w:szCs w:val="28"/>
          <w:u w:val="single"/>
          <w14:textFill>
            <w14:solidFill>
              <w14:schemeClr w14:val="tx1"/>
            </w14:solidFill>
          </w14:textFill>
        </w:rPr>
        <w:t>年</w:t>
      </w:r>
      <w:r>
        <w:rPr>
          <w:rFonts w:hint="eastAsia" w:ascii="宋体" w:hAnsi="宋体"/>
          <w:bCs/>
          <w:color w:val="000000" w:themeColor="text1"/>
          <w:kern w:val="2"/>
          <w:sz w:val="28"/>
          <w:szCs w:val="28"/>
          <w:u w:val="single"/>
          <w:lang w:val="en-US" w:eastAsia="zh-CN"/>
          <w14:textFill>
            <w14:solidFill>
              <w14:schemeClr w14:val="tx1"/>
            </w14:solidFill>
          </w14:textFill>
        </w:rPr>
        <w:t>10</w:t>
      </w:r>
      <w:r>
        <w:rPr>
          <w:rFonts w:hint="eastAsia" w:ascii="宋体" w:hAnsi="宋体"/>
          <w:bCs/>
          <w:color w:val="000000" w:themeColor="text1"/>
          <w:kern w:val="2"/>
          <w:sz w:val="28"/>
          <w:szCs w:val="28"/>
          <w:u w:val="single"/>
          <w14:textFill>
            <w14:solidFill>
              <w14:schemeClr w14:val="tx1"/>
            </w14:solidFill>
          </w14:textFill>
        </w:rPr>
        <w:t>月</w:t>
      </w:r>
      <w:r>
        <w:rPr>
          <w:rFonts w:hint="eastAsia" w:ascii="宋体" w:hAnsi="宋体"/>
          <w:bCs/>
          <w:color w:val="000000" w:themeColor="text1"/>
          <w:kern w:val="2"/>
          <w:sz w:val="28"/>
          <w:szCs w:val="28"/>
          <w:u w:val="single"/>
          <w:lang w:val="en-US" w:eastAsia="zh-CN"/>
          <w14:textFill>
            <w14:solidFill>
              <w14:schemeClr w14:val="tx1"/>
            </w14:solidFill>
          </w14:textFill>
        </w:rPr>
        <w:t>10</w:t>
      </w:r>
      <w:r>
        <w:rPr>
          <w:rFonts w:hint="eastAsia" w:ascii="宋体" w:hAnsi="宋体"/>
          <w:bCs/>
          <w:color w:val="000000" w:themeColor="text1"/>
          <w:kern w:val="2"/>
          <w:sz w:val="28"/>
          <w:szCs w:val="28"/>
          <w:u w:val="single"/>
          <w14:textFill>
            <w14:solidFill>
              <w14:schemeClr w14:val="tx1"/>
            </w14:solidFill>
          </w14:textFill>
        </w:rPr>
        <w:t>日9点00分（</w:t>
      </w:r>
      <w:r>
        <w:rPr>
          <w:rFonts w:hint="eastAsia" w:ascii="宋体" w:hAnsi="宋体"/>
          <w:bCs/>
          <w:color w:val="000000" w:themeColor="text1"/>
          <w:kern w:val="2"/>
          <w:sz w:val="28"/>
          <w:szCs w:val="28"/>
          <w14:textFill>
            <w14:solidFill>
              <w14:schemeClr w14:val="tx1"/>
            </w14:solidFill>
          </w14:textFill>
        </w:rPr>
        <w:t>北京时间）前递交投标文件</w:t>
      </w:r>
      <w:r>
        <w:rPr>
          <w:rFonts w:hint="eastAsia" w:ascii="宋体" w:hAnsi="宋体"/>
          <w:color w:val="000000" w:themeColor="text1"/>
          <w:kern w:val="2"/>
          <w:sz w:val="28"/>
          <w:szCs w:val="28"/>
          <w14:textFill>
            <w14:solidFill>
              <w14:schemeClr w14:val="tx1"/>
            </w14:solidFill>
          </w14:textFill>
        </w:rPr>
        <w:t>。</w:t>
      </w:r>
      <w:bookmarkStart w:id="10" w:name="_Toc28359002"/>
      <w:bookmarkStart w:id="11" w:name="_Toc28359079"/>
      <w:bookmarkStart w:id="12" w:name="_Toc35393790"/>
      <w:bookmarkStart w:id="13" w:name="_Toc35393621"/>
      <w:bookmarkStart w:id="14" w:name="_Hlk24379207"/>
    </w:p>
    <w:p w14:paraId="155BCE49">
      <w:pPr>
        <w:spacing w:line="460" w:lineRule="exact"/>
        <w:ind w:firstLine="643" w:firstLineChars="200"/>
        <w:rPr>
          <w:rFonts w:asciiTheme="majorEastAsia" w:hAnsiTheme="majorEastAsia" w:eastAsiaTheme="majorEastAsia"/>
          <w:b/>
          <w:color w:val="000000" w:themeColor="text1"/>
          <w:sz w:val="32"/>
          <w:szCs w:val="32"/>
          <w14:textFill>
            <w14:solidFill>
              <w14:schemeClr w14:val="tx1"/>
            </w14:solidFill>
          </w14:textFill>
        </w:rPr>
      </w:pPr>
      <w:r>
        <w:rPr>
          <w:rFonts w:hint="eastAsia" w:asciiTheme="majorEastAsia" w:hAnsiTheme="majorEastAsia" w:eastAsiaTheme="majorEastAsia"/>
          <w:b/>
          <w:color w:val="000000" w:themeColor="text1"/>
          <w:sz w:val="32"/>
          <w:szCs w:val="32"/>
          <w14:textFill>
            <w14:solidFill>
              <w14:schemeClr w14:val="tx1"/>
            </w14:solidFill>
          </w14:textFill>
        </w:rPr>
        <w:t>一、项目基本情况</w:t>
      </w:r>
      <w:bookmarkEnd w:id="10"/>
      <w:bookmarkEnd w:id="11"/>
      <w:bookmarkEnd w:id="12"/>
      <w:bookmarkEnd w:id="13"/>
    </w:p>
    <w:p w14:paraId="18A718C7">
      <w:pPr>
        <w:spacing w:line="460" w:lineRule="exact"/>
        <w:ind w:firstLine="560" w:firstLineChars="200"/>
        <w:rPr>
          <w:rFonts w:hint="eastAsia" w:asciiTheme="majorEastAsia" w:hAnsiTheme="majorEastAsia" w:eastAsiaTheme="majorEastAsia"/>
          <w:color w:val="000000" w:themeColor="text1"/>
          <w:sz w:val="28"/>
          <w:szCs w:val="28"/>
          <w:lang w:eastAsia="zh-CN"/>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1.</w:t>
      </w:r>
      <w:r>
        <w:rPr>
          <w:rFonts w:hint="eastAsia" w:asciiTheme="majorEastAsia" w:hAnsiTheme="majorEastAsia" w:eastAsiaTheme="majorEastAsia"/>
          <w:color w:val="000000" w:themeColor="text1"/>
          <w:sz w:val="28"/>
          <w:szCs w:val="28"/>
          <w14:textFill>
            <w14:solidFill>
              <w14:schemeClr w14:val="tx1"/>
            </w14:solidFill>
          </w14:textFill>
        </w:rPr>
        <w:t>项目编号：JSZC-321283-TXXC-G2024-0011</w:t>
      </w:r>
    </w:p>
    <w:p w14:paraId="50C51619">
      <w:pPr>
        <w:spacing w:line="460" w:lineRule="exact"/>
        <w:ind w:firstLine="560" w:firstLineChars="200"/>
        <w:rPr>
          <w:rFonts w:hint="eastAsia" w:ascii="宋体" w:hAnsi="宋体" w:eastAsiaTheme="majorEastAsia"/>
          <w:color w:val="000000" w:themeColor="text1"/>
          <w:kern w:val="2"/>
          <w:sz w:val="28"/>
          <w:szCs w:val="28"/>
          <w:lang w:eastAsia="zh-CN"/>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2.项目名称：</w:t>
      </w:r>
      <w:bookmarkEnd w:id="14"/>
      <w:r>
        <w:rPr>
          <w:rFonts w:hint="eastAsia" w:asciiTheme="majorEastAsia" w:hAnsiTheme="majorEastAsia" w:eastAsiaTheme="majorEastAsia"/>
          <w:color w:val="000000" w:themeColor="text1"/>
          <w:sz w:val="28"/>
          <w:szCs w:val="28"/>
          <w:lang w:eastAsia="zh-CN"/>
          <w14:textFill>
            <w14:solidFill>
              <w14:schemeClr w14:val="tx1"/>
            </w14:solidFill>
          </w14:textFill>
        </w:rPr>
        <w:t>泰兴市2024年度补充耕地项目客土质量抽样检测</w:t>
      </w:r>
    </w:p>
    <w:p w14:paraId="54E6FDD8">
      <w:pPr>
        <w:spacing w:line="460" w:lineRule="exact"/>
        <w:ind w:left="557" w:leftChars="232"/>
        <w:rPr>
          <w:rFonts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3.采购方式：公开招标</w:t>
      </w:r>
    </w:p>
    <w:p w14:paraId="55E78AC0">
      <w:pPr>
        <w:spacing w:line="460" w:lineRule="exact"/>
        <w:ind w:firstLine="560" w:firstLineChars="200"/>
        <w:rPr>
          <w:rFonts w:asciiTheme="majorEastAsia" w:hAnsiTheme="majorEastAsia" w:eastAsiaTheme="majorEastAsia"/>
          <w:color w:val="auto"/>
          <w:sz w:val="28"/>
          <w:szCs w:val="28"/>
        </w:rPr>
      </w:pPr>
      <w:r>
        <w:rPr>
          <w:rFonts w:asciiTheme="majorEastAsia" w:hAnsiTheme="majorEastAsia" w:eastAsiaTheme="majorEastAsia"/>
          <w:color w:val="000000" w:themeColor="text1"/>
          <w:sz w:val="28"/>
          <w:szCs w:val="28"/>
          <w14:textFill>
            <w14:solidFill>
              <w14:schemeClr w14:val="tx1"/>
            </w14:solidFill>
          </w14:textFill>
        </w:rPr>
        <w:t>4.预算金额：</w:t>
      </w:r>
      <w:r>
        <w:rPr>
          <w:rFonts w:hint="eastAsia" w:ascii="宋体" w:hAnsi="宋体" w:cs="宋体" w:eastAsiaTheme="majorEastAsia"/>
          <w:color w:val="auto"/>
          <w:kern w:val="2"/>
          <w:sz w:val="28"/>
          <w:szCs w:val="28"/>
          <w:lang w:val="en-US" w:eastAsia="zh-CN"/>
        </w:rPr>
        <w:t>630</w:t>
      </w:r>
      <w:bookmarkStart w:id="308" w:name="_GoBack"/>
      <w:bookmarkEnd w:id="308"/>
      <w:r>
        <w:rPr>
          <w:rFonts w:hint="eastAsia" w:ascii="宋体" w:hAnsi="宋体" w:cs="宋体" w:eastAsiaTheme="majorEastAsia"/>
          <w:color w:val="auto"/>
          <w:kern w:val="2"/>
          <w:sz w:val="28"/>
          <w:szCs w:val="28"/>
        </w:rPr>
        <w:t>万元</w:t>
      </w:r>
    </w:p>
    <w:p w14:paraId="47245B41">
      <w:pPr>
        <w:spacing w:line="460" w:lineRule="exact"/>
        <w:ind w:firstLine="560" w:firstLineChars="200"/>
        <w:rPr>
          <w:rFonts w:hint="eastAsia"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rPr>
        <w:t>5.</w:t>
      </w:r>
      <w:r>
        <w:rPr>
          <w:rFonts w:hint="eastAsia" w:asciiTheme="majorEastAsia" w:hAnsiTheme="majorEastAsia" w:eastAsiaTheme="majorEastAsia"/>
          <w:color w:val="auto"/>
          <w:sz w:val="28"/>
          <w:szCs w:val="28"/>
        </w:rPr>
        <w:t>最高限价：</w:t>
      </w:r>
      <w:r>
        <w:rPr>
          <w:rFonts w:hint="eastAsia" w:ascii="宋体" w:hAnsi="宋体" w:cs="宋体" w:eastAsiaTheme="majorEastAsia"/>
          <w:color w:val="auto"/>
          <w:kern w:val="2"/>
          <w:sz w:val="28"/>
          <w:szCs w:val="28"/>
          <w:lang w:val="en-US" w:eastAsia="zh-CN"/>
        </w:rPr>
        <w:t>630</w:t>
      </w:r>
      <w:r>
        <w:rPr>
          <w:rFonts w:hint="eastAsia" w:ascii="宋体" w:hAnsi="宋体" w:cs="宋体" w:eastAsiaTheme="majorEastAsia"/>
          <w:color w:val="auto"/>
          <w:kern w:val="2"/>
          <w:sz w:val="28"/>
          <w:szCs w:val="28"/>
        </w:rPr>
        <w:t>万元</w:t>
      </w:r>
      <w:r>
        <w:rPr>
          <w:rFonts w:hint="eastAsia" w:ascii="宋体" w:hAnsi="宋体" w:cs="宋体" w:eastAsiaTheme="majorEastAsia"/>
          <w:color w:val="auto"/>
          <w:kern w:val="2"/>
          <w:sz w:val="28"/>
          <w:szCs w:val="28"/>
          <w:lang w:eastAsia="zh-CN"/>
        </w:rPr>
        <w:t>，投标时按单价进行报价，单</w:t>
      </w:r>
      <w:r>
        <w:rPr>
          <w:rFonts w:hint="eastAsia" w:ascii="宋体" w:hAnsi="宋体" w:cs="宋体" w:eastAsiaTheme="majorEastAsia"/>
          <w:color w:val="auto"/>
          <w:kern w:val="2"/>
          <w:sz w:val="28"/>
          <w:szCs w:val="28"/>
          <w:lang w:val="en-US" w:eastAsia="zh-CN"/>
        </w:rPr>
        <w:t>价不得超过1260元/亩，约5000亩，结算时按验收面积计算。</w:t>
      </w:r>
      <w:r>
        <w:rPr>
          <w:rFonts w:hint="eastAsia" w:ascii="宋体" w:hAnsi="宋体" w:cs="宋体" w:eastAsiaTheme="majorEastAsia"/>
          <w:color w:val="auto"/>
          <w:kern w:val="2"/>
          <w:sz w:val="28"/>
          <w:szCs w:val="28"/>
          <w:lang w:eastAsia="zh-CN"/>
        </w:rPr>
        <w:t>（单价超过</w:t>
      </w:r>
      <w:r>
        <w:rPr>
          <w:rFonts w:hint="eastAsia" w:ascii="宋体" w:hAnsi="宋体" w:cs="宋体" w:eastAsiaTheme="majorEastAsia"/>
          <w:color w:val="auto"/>
          <w:kern w:val="2"/>
          <w:sz w:val="28"/>
          <w:szCs w:val="28"/>
          <w:lang w:val="en-US" w:eastAsia="zh-CN"/>
        </w:rPr>
        <w:t>最高限价</w:t>
      </w:r>
      <w:r>
        <w:rPr>
          <w:rFonts w:hint="eastAsia" w:ascii="宋体" w:hAnsi="宋体" w:cs="宋体" w:eastAsiaTheme="majorEastAsia"/>
          <w:color w:val="auto"/>
          <w:kern w:val="2"/>
          <w:sz w:val="28"/>
          <w:szCs w:val="28"/>
          <w:lang w:eastAsia="zh-CN"/>
        </w:rPr>
        <w:t>的</w:t>
      </w:r>
      <w:r>
        <w:rPr>
          <w:rFonts w:hint="eastAsia" w:ascii="宋体" w:hAnsi="宋体" w:cs="宋体" w:eastAsiaTheme="majorEastAsia"/>
          <w:color w:val="auto"/>
          <w:kern w:val="2"/>
          <w:sz w:val="28"/>
          <w:szCs w:val="28"/>
          <w:lang w:val="en-US" w:eastAsia="zh-CN"/>
        </w:rPr>
        <w:t>报价</w:t>
      </w:r>
      <w:r>
        <w:rPr>
          <w:rFonts w:hint="eastAsia" w:ascii="宋体" w:hAnsi="宋体" w:cs="宋体" w:eastAsiaTheme="majorEastAsia"/>
          <w:color w:val="auto"/>
          <w:kern w:val="2"/>
          <w:sz w:val="28"/>
          <w:szCs w:val="28"/>
          <w:lang w:eastAsia="zh-CN"/>
        </w:rPr>
        <w:t>无效）</w:t>
      </w:r>
    </w:p>
    <w:p w14:paraId="74D45D59">
      <w:pPr>
        <w:spacing w:line="460" w:lineRule="exact"/>
        <w:ind w:firstLine="560" w:firstLineChars="200"/>
        <w:rPr>
          <w:rFonts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6.</w:t>
      </w:r>
      <w:r>
        <w:rPr>
          <w:rFonts w:hint="eastAsia" w:asciiTheme="majorEastAsia" w:hAnsiTheme="majorEastAsia" w:eastAsiaTheme="majorEastAsia"/>
          <w:color w:val="000000" w:themeColor="text1"/>
          <w:sz w:val="28"/>
          <w:szCs w:val="28"/>
          <w14:textFill>
            <w14:solidFill>
              <w14:schemeClr w14:val="tx1"/>
            </w14:solidFill>
          </w14:textFill>
        </w:rPr>
        <w:t>采购需求：根据泰兴市</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2024年度补充耕地</w:t>
      </w:r>
      <w:r>
        <w:rPr>
          <w:rFonts w:hint="eastAsia" w:asciiTheme="majorEastAsia" w:hAnsiTheme="majorEastAsia" w:eastAsiaTheme="majorEastAsia"/>
          <w:color w:val="000000" w:themeColor="text1"/>
          <w:sz w:val="28"/>
          <w:szCs w:val="28"/>
          <w14:textFill>
            <w14:solidFill>
              <w14:schemeClr w14:val="tx1"/>
            </w14:solidFill>
          </w14:textFill>
        </w:rPr>
        <w:t>项目中涉及客土回填的项目地实际情况，编制合理可行的客土调查、布点实施方案，对客土理化指标、重金属指标、肥力指标、农残指标等进行检测（必要时对土壤有机物、农产品质量进行补充检测），开展客土环境质量评价，编制客土质量抽样检测与评价报告</w:t>
      </w:r>
      <w:r>
        <w:rPr>
          <w:rFonts w:hint="eastAsia" w:asciiTheme="majorEastAsia" w:hAnsiTheme="majorEastAsia" w:eastAsiaTheme="majorEastAsia"/>
          <w:color w:val="000000" w:themeColor="text1"/>
          <w:sz w:val="28"/>
          <w:szCs w:val="28"/>
          <w:lang w:eastAsia="zh-CN"/>
          <w14:textFill>
            <w14:solidFill>
              <w14:schemeClr w14:val="tx1"/>
            </w14:solidFill>
          </w14:textFill>
        </w:rPr>
        <w:t>。包一工作量约占补充耕地面积的5</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5</w:t>
      </w:r>
      <w:r>
        <w:rPr>
          <w:rFonts w:hint="eastAsia" w:asciiTheme="majorEastAsia" w:hAnsiTheme="majorEastAsia" w:eastAsiaTheme="majorEastAsia"/>
          <w:color w:val="000000" w:themeColor="text1"/>
          <w:sz w:val="28"/>
          <w:szCs w:val="28"/>
          <w:lang w:eastAsia="zh-CN"/>
          <w14:textFill>
            <w14:solidFill>
              <w14:schemeClr w14:val="tx1"/>
            </w14:solidFill>
          </w14:textFill>
        </w:rPr>
        <w:t>%；包二工作量约占补充耕地面积的</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45</w:t>
      </w:r>
      <w:r>
        <w:rPr>
          <w:rFonts w:hint="eastAsia" w:asciiTheme="majorEastAsia" w:hAnsiTheme="majorEastAsia" w:eastAsiaTheme="majorEastAsia"/>
          <w:color w:val="000000" w:themeColor="text1"/>
          <w:sz w:val="28"/>
          <w:szCs w:val="28"/>
          <w:lang w:eastAsia="zh-CN"/>
          <w14:textFill>
            <w14:solidFill>
              <w14:schemeClr w14:val="tx1"/>
            </w14:solidFill>
          </w14:textFill>
        </w:rPr>
        <w:t>%。</w:t>
      </w:r>
    </w:p>
    <w:p w14:paraId="40D58A0C">
      <w:pPr>
        <w:spacing w:line="460" w:lineRule="exact"/>
        <w:ind w:firstLine="562" w:firstLineChars="200"/>
        <w:rPr>
          <w:rFonts w:hint="eastAsia" w:asciiTheme="majorEastAsia" w:hAnsiTheme="majorEastAsia" w:eastAsiaTheme="majorEastAsia"/>
          <w:b/>
          <w:bCs/>
          <w:color w:val="000000" w:themeColor="text1"/>
          <w:sz w:val="28"/>
          <w:szCs w:val="28"/>
          <w14:textFill>
            <w14:solidFill>
              <w14:schemeClr w14:val="tx1"/>
            </w14:solidFill>
          </w14:textFill>
        </w:rPr>
      </w:pPr>
      <w:r>
        <w:rPr>
          <w:rFonts w:hint="eastAsia" w:asciiTheme="majorEastAsia" w:hAnsiTheme="majorEastAsia" w:eastAsiaTheme="majorEastAsia"/>
          <w:b/>
          <w:bCs/>
          <w:color w:val="000000" w:themeColor="text1"/>
          <w:sz w:val="28"/>
          <w:szCs w:val="28"/>
          <w14:textFill>
            <w14:solidFill>
              <w14:schemeClr w14:val="tx1"/>
            </w14:solidFill>
          </w14:textFill>
        </w:rPr>
        <w:t>注：</w:t>
      </w:r>
      <w:r>
        <w:rPr>
          <w:rFonts w:hint="eastAsia" w:asciiTheme="majorEastAsia" w:hAnsiTheme="majorEastAsia" w:eastAsiaTheme="majorEastAsia"/>
          <w:b/>
          <w:bCs/>
          <w:color w:val="000000" w:themeColor="text1"/>
          <w:sz w:val="28"/>
          <w:szCs w:val="28"/>
          <w:lang w:val="en-US" w:eastAsia="zh-CN"/>
          <w14:textFill>
            <w14:solidFill>
              <w14:schemeClr w14:val="tx1"/>
            </w14:solidFill>
          </w14:textFill>
        </w:rPr>
        <w:t>(1)</w:t>
      </w:r>
      <w:r>
        <w:rPr>
          <w:rFonts w:hint="eastAsia" w:asciiTheme="majorEastAsia" w:hAnsiTheme="majorEastAsia" w:eastAsiaTheme="majorEastAsia"/>
          <w:b/>
          <w:bCs/>
          <w:color w:val="000000" w:themeColor="text1"/>
          <w:sz w:val="28"/>
          <w:szCs w:val="28"/>
          <w14:textFill>
            <w14:solidFill>
              <w14:schemeClr w14:val="tx1"/>
            </w14:solidFill>
          </w14:textFill>
        </w:rPr>
        <w:t>投标人可同时报名参加</w:t>
      </w:r>
      <w:r>
        <w:rPr>
          <w:rFonts w:hint="eastAsia" w:asciiTheme="majorEastAsia" w:hAnsiTheme="majorEastAsia" w:eastAsiaTheme="majorEastAsia"/>
          <w:b/>
          <w:bCs/>
          <w:color w:val="000000" w:themeColor="text1"/>
          <w:sz w:val="28"/>
          <w:szCs w:val="28"/>
          <w:lang w:val="en-US" w:eastAsia="zh-CN"/>
          <w14:textFill>
            <w14:solidFill>
              <w14:schemeClr w14:val="tx1"/>
            </w14:solidFill>
          </w14:textFill>
        </w:rPr>
        <w:t>二</w:t>
      </w:r>
      <w:r>
        <w:rPr>
          <w:rFonts w:hint="eastAsia" w:asciiTheme="majorEastAsia" w:hAnsiTheme="majorEastAsia" w:eastAsiaTheme="majorEastAsia"/>
          <w:b/>
          <w:bCs/>
          <w:color w:val="000000" w:themeColor="text1"/>
          <w:sz w:val="28"/>
          <w:szCs w:val="28"/>
          <w14:textFill>
            <w14:solidFill>
              <w14:schemeClr w14:val="tx1"/>
            </w14:solidFill>
          </w14:textFill>
        </w:rPr>
        <w:t>个包的投标，但每位投标人只能中其中一个包。</w:t>
      </w:r>
    </w:p>
    <w:p w14:paraId="16574B5F">
      <w:pPr>
        <w:spacing w:line="460" w:lineRule="exact"/>
        <w:ind w:firstLine="560" w:firstLineChars="200"/>
        <w:rPr>
          <w:rFonts w:hint="eastAsia" w:asciiTheme="majorEastAsia" w:hAnsiTheme="majorEastAsia" w:eastAsiaTheme="majorEastAsia"/>
          <w:bCs/>
          <w:color w:val="auto"/>
          <w:sz w:val="28"/>
          <w:szCs w:val="28"/>
          <w:lang w:eastAsia="zh-CN"/>
        </w:rPr>
      </w:pPr>
      <w:r>
        <w:rPr>
          <w:rFonts w:hint="eastAsia" w:asciiTheme="majorEastAsia" w:hAnsiTheme="majorEastAsia" w:eastAsiaTheme="majorEastAsia"/>
          <w:color w:val="000000" w:themeColor="text1"/>
          <w:sz w:val="28"/>
          <w:szCs w:val="28"/>
          <w14:textFill>
            <w14:solidFill>
              <w14:schemeClr w14:val="tx1"/>
            </w14:solidFill>
          </w14:textFill>
        </w:rPr>
        <w:t>7</w:t>
      </w:r>
      <w:r>
        <w:rPr>
          <w:rFonts w:asciiTheme="majorEastAsia" w:hAnsiTheme="majorEastAsia" w:eastAsiaTheme="majorEastAsia"/>
          <w:color w:val="000000" w:themeColor="text1"/>
          <w:sz w:val="28"/>
          <w:szCs w:val="28"/>
          <w14:textFill>
            <w14:solidFill>
              <w14:schemeClr w14:val="tx1"/>
            </w14:solidFill>
          </w14:textFill>
        </w:rPr>
        <w:t>.</w:t>
      </w:r>
      <w:r>
        <w:rPr>
          <w:rFonts w:hint="eastAsia" w:asciiTheme="majorEastAsia" w:hAnsiTheme="majorEastAsia" w:eastAsiaTheme="majorEastAsia"/>
          <w:bCs/>
          <w:color w:val="000000" w:themeColor="text1"/>
          <w:sz w:val="28"/>
          <w:szCs w:val="28"/>
          <w14:textFill>
            <w14:solidFill>
              <w14:schemeClr w14:val="tx1"/>
            </w14:solidFill>
          </w14:textFill>
        </w:rPr>
        <w:t>合同履行期限：</w:t>
      </w:r>
      <w:r>
        <w:rPr>
          <w:rFonts w:hint="eastAsia" w:asciiTheme="majorEastAsia" w:hAnsiTheme="majorEastAsia" w:eastAsiaTheme="majorEastAsia"/>
          <w:bCs/>
          <w:color w:val="auto"/>
          <w:sz w:val="28"/>
          <w:szCs w:val="28"/>
        </w:rPr>
        <w:t>五个月。</w:t>
      </w:r>
    </w:p>
    <w:p w14:paraId="0CEE9652">
      <w:pPr>
        <w:spacing w:line="460" w:lineRule="exact"/>
        <w:ind w:firstLine="560" w:firstLineChars="200"/>
        <w:rPr>
          <w:rFonts w:hint="default" w:asciiTheme="majorEastAsia" w:hAnsiTheme="majorEastAsia" w:eastAsiaTheme="majorEastAsia"/>
          <w:bCs/>
          <w:color w:val="000000" w:themeColor="text1"/>
          <w:sz w:val="28"/>
          <w:szCs w:val="28"/>
          <w:lang w:val="en-US" w:eastAsia="zh-CN"/>
          <w14:textFill>
            <w14:solidFill>
              <w14:schemeClr w14:val="tx1"/>
            </w14:solidFill>
          </w14:textFill>
        </w:rPr>
      </w:pPr>
      <w:r>
        <w:rPr>
          <w:rFonts w:hint="eastAsia" w:asciiTheme="majorEastAsia" w:hAnsiTheme="majorEastAsia" w:eastAsiaTheme="majorEastAsia"/>
          <w:bCs/>
          <w:color w:val="auto"/>
          <w:sz w:val="28"/>
          <w:szCs w:val="28"/>
          <w:lang w:val="en-US" w:eastAsia="zh-CN"/>
        </w:rPr>
        <w:t>8.付款方式：</w:t>
      </w:r>
      <w:r>
        <w:rPr>
          <w:rFonts w:hint="eastAsia" w:ascii="宋体"/>
          <w:color w:val="auto"/>
          <w:sz w:val="28"/>
          <w:szCs w:val="28"/>
          <w:lang w:val="en-US" w:eastAsia="zh-CN"/>
        </w:rPr>
        <w:t>抽样检测报告出具后，按检测面积支付30%的费用，余款按最终确认面积一次性支付。</w:t>
      </w:r>
    </w:p>
    <w:p w14:paraId="239F3BDE">
      <w:pPr>
        <w:spacing w:line="460" w:lineRule="exact"/>
        <w:ind w:firstLine="560" w:firstLineChars="200"/>
        <w:rPr>
          <w:rFonts w:hint="eastAsia" w:asciiTheme="majorEastAsia" w:hAnsiTheme="majorEastAsia" w:eastAsiaTheme="majorEastAsia"/>
          <w:bCs/>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lang w:val="en-US" w:eastAsia="zh-CN"/>
          <w14:textFill>
            <w14:solidFill>
              <w14:schemeClr w14:val="tx1"/>
            </w14:solidFill>
          </w14:textFill>
        </w:rPr>
        <w:t>9</w:t>
      </w:r>
      <w:r>
        <w:rPr>
          <w:rFonts w:hint="eastAsia" w:asciiTheme="majorEastAsia" w:hAnsiTheme="majorEastAsia" w:eastAsiaTheme="majorEastAsia"/>
          <w:bCs/>
          <w:color w:val="000000" w:themeColor="text1"/>
          <w:sz w:val="28"/>
          <w:szCs w:val="28"/>
          <w14:textFill>
            <w14:solidFill>
              <w14:schemeClr w14:val="tx1"/>
            </w14:solidFill>
          </w14:textFill>
        </w:rPr>
        <w:t>.本项目不接受联合体投标。</w:t>
      </w:r>
    </w:p>
    <w:p w14:paraId="64F76FAF">
      <w:pPr>
        <w:spacing w:line="460" w:lineRule="exact"/>
        <w:ind w:firstLine="643" w:firstLineChars="200"/>
        <w:rPr>
          <w:rFonts w:asciiTheme="majorEastAsia" w:hAnsiTheme="majorEastAsia" w:eastAsiaTheme="majorEastAsia"/>
          <w:b/>
          <w:color w:val="000000" w:themeColor="text1"/>
          <w:sz w:val="32"/>
          <w:szCs w:val="32"/>
          <w14:textFill>
            <w14:solidFill>
              <w14:schemeClr w14:val="tx1"/>
            </w14:solidFill>
          </w14:textFill>
        </w:rPr>
      </w:pPr>
      <w:bookmarkStart w:id="15" w:name="_Toc35393622"/>
      <w:bookmarkStart w:id="16" w:name="_Toc35393791"/>
      <w:bookmarkStart w:id="17" w:name="_Toc28359080"/>
      <w:bookmarkStart w:id="18" w:name="_Toc28359003"/>
      <w:r>
        <w:rPr>
          <w:rFonts w:hint="eastAsia" w:asciiTheme="majorEastAsia" w:hAnsiTheme="majorEastAsia" w:eastAsiaTheme="majorEastAsia"/>
          <w:b/>
          <w:color w:val="000000" w:themeColor="text1"/>
          <w:sz w:val="32"/>
          <w:szCs w:val="32"/>
          <w14:textFill>
            <w14:solidFill>
              <w14:schemeClr w14:val="tx1"/>
            </w14:solidFill>
          </w14:textFill>
        </w:rPr>
        <w:t>二、申请人的资格要求：</w:t>
      </w:r>
      <w:bookmarkEnd w:id="15"/>
      <w:bookmarkEnd w:id="16"/>
      <w:bookmarkEnd w:id="17"/>
      <w:bookmarkEnd w:id="18"/>
    </w:p>
    <w:p w14:paraId="7AB4A217">
      <w:pPr>
        <w:spacing w:line="460" w:lineRule="exact"/>
        <w:ind w:firstLine="560" w:firstLineChars="200"/>
        <w:rPr>
          <w:rFonts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1.</w:t>
      </w:r>
      <w:r>
        <w:rPr>
          <w:rFonts w:hint="eastAsia" w:asciiTheme="majorEastAsia" w:hAnsiTheme="majorEastAsia" w:eastAsiaTheme="majorEastAsia"/>
          <w:color w:val="000000" w:themeColor="text1"/>
          <w:sz w:val="28"/>
          <w:szCs w:val="28"/>
          <w14:textFill>
            <w14:solidFill>
              <w14:schemeClr w14:val="tx1"/>
            </w14:solidFill>
          </w14:textFill>
        </w:rPr>
        <w:t>满足《中华人民共和国政府采购法》第二十二条规定；</w:t>
      </w:r>
    </w:p>
    <w:p w14:paraId="4992F3CE">
      <w:pPr>
        <w:spacing w:line="460" w:lineRule="exact"/>
        <w:ind w:firstLine="560" w:firstLineChars="200"/>
        <w:rPr>
          <w:rFonts w:asciiTheme="majorEastAsia" w:hAnsiTheme="majorEastAsia" w:eastAsiaTheme="majorEastAsia"/>
          <w:color w:val="000000" w:themeColor="text1"/>
          <w:sz w:val="28"/>
          <w:szCs w:val="28"/>
          <w14:textFill>
            <w14:solidFill>
              <w14:schemeClr w14:val="tx1"/>
            </w14:solidFill>
          </w14:textFill>
        </w:rPr>
      </w:pPr>
      <w:bookmarkStart w:id="19" w:name="_Toc28359081"/>
      <w:bookmarkStart w:id="20" w:name="_Toc28359004"/>
      <w:r>
        <w:rPr>
          <w:rFonts w:asciiTheme="majorEastAsia" w:hAnsiTheme="majorEastAsia" w:eastAsiaTheme="majorEastAsia"/>
          <w:color w:val="000000" w:themeColor="text1"/>
          <w:sz w:val="28"/>
          <w:szCs w:val="28"/>
          <w14:textFill>
            <w14:solidFill>
              <w14:schemeClr w14:val="tx1"/>
            </w14:solidFill>
          </w14:textFill>
        </w:rPr>
        <w:t>2.</w:t>
      </w:r>
      <w:r>
        <w:rPr>
          <w:rFonts w:hint="eastAsia" w:asciiTheme="majorEastAsia" w:hAnsiTheme="majorEastAsia" w:eastAsiaTheme="majorEastAsia"/>
          <w:color w:val="000000" w:themeColor="text1"/>
          <w:sz w:val="28"/>
          <w:szCs w:val="28"/>
          <w14:textFill>
            <w14:solidFill>
              <w14:schemeClr w14:val="tx1"/>
            </w14:solidFill>
          </w14:textFill>
        </w:rPr>
        <w:t>落实政府采购政策需满足的资格要求：本项目为非专门面向中小企业的项目；</w:t>
      </w:r>
    </w:p>
    <w:p w14:paraId="5FFAC4C2">
      <w:pPr>
        <w:spacing w:line="460" w:lineRule="exact"/>
        <w:ind w:firstLine="560" w:firstLineChars="200"/>
        <w:rPr>
          <w:rFonts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3.</w:t>
      </w:r>
      <w:r>
        <w:rPr>
          <w:rFonts w:hint="eastAsia" w:asciiTheme="majorEastAsia" w:hAnsiTheme="majorEastAsia" w:eastAsiaTheme="majorEastAsia"/>
          <w:color w:val="000000" w:themeColor="text1"/>
          <w:sz w:val="28"/>
          <w:szCs w:val="28"/>
          <w14:textFill>
            <w14:solidFill>
              <w14:schemeClr w14:val="tx1"/>
            </w14:solidFill>
          </w14:textFill>
        </w:rPr>
        <w:t>本项目的特定资格要求：</w:t>
      </w:r>
      <w:bookmarkEnd w:id="19"/>
      <w:bookmarkEnd w:id="20"/>
      <w:bookmarkStart w:id="21" w:name="_Toc28359008"/>
      <w:bookmarkStart w:id="22" w:name="_Toc28359085"/>
      <w:bookmarkStart w:id="23" w:name="_Toc35393627"/>
      <w:bookmarkStart w:id="24" w:name="_Toc35393796"/>
      <w:r>
        <w:rPr>
          <w:rFonts w:hint="eastAsia" w:asciiTheme="majorEastAsia" w:hAnsiTheme="majorEastAsia" w:eastAsiaTheme="majorEastAsia"/>
          <w:color w:val="000000" w:themeColor="text1"/>
          <w:sz w:val="28"/>
          <w:szCs w:val="28"/>
          <w14:textFill>
            <w14:solidFill>
              <w14:schemeClr w14:val="tx1"/>
            </w14:solidFill>
          </w14:textFill>
        </w:rPr>
        <w:t>供应商或其下属单位具有检测实验室证明，实验室获得CMA资质</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w:t>
      </w:r>
    </w:p>
    <w:p w14:paraId="4E76DF04">
      <w:pPr>
        <w:spacing w:line="460" w:lineRule="exact"/>
        <w:ind w:firstLine="643" w:firstLineChars="200"/>
        <w:rPr>
          <w:rFonts w:asciiTheme="majorEastAsia" w:hAnsiTheme="majorEastAsia" w:eastAsiaTheme="majorEastAsia"/>
          <w:b/>
          <w:color w:val="000000" w:themeColor="text1"/>
          <w:sz w:val="32"/>
          <w:szCs w:val="32"/>
          <w14:textFill>
            <w14:solidFill>
              <w14:schemeClr w14:val="tx1"/>
            </w14:solidFill>
          </w14:textFill>
        </w:rPr>
      </w:pPr>
      <w:r>
        <w:rPr>
          <w:rFonts w:hint="eastAsia" w:asciiTheme="majorEastAsia" w:hAnsiTheme="majorEastAsia" w:eastAsiaTheme="majorEastAsia"/>
          <w:b/>
          <w:color w:val="000000" w:themeColor="text1"/>
          <w:sz w:val="32"/>
          <w:szCs w:val="32"/>
          <w14:textFill>
            <w14:solidFill>
              <w14:schemeClr w14:val="tx1"/>
            </w14:solidFill>
          </w14:textFill>
        </w:rPr>
        <w:t>三、获取招标文件</w:t>
      </w:r>
    </w:p>
    <w:p w14:paraId="74784703">
      <w:pPr>
        <w:spacing w:line="460" w:lineRule="exact"/>
        <w:ind w:firstLine="560" w:firstLineChars="200"/>
        <w:rPr>
          <w:rFonts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1.</w:t>
      </w:r>
      <w:r>
        <w:rPr>
          <w:rFonts w:hint="eastAsia" w:asciiTheme="majorEastAsia" w:hAnsiTheme="majorEastAsia" w:eastAsiaTheme="majorEastAsia"/>
          <w:color w:val="000000" w:themeColor="text1"/>
          <w:sz w:val="28"/>
          <w:szCs w:val="28"/>
          <w14:textFill>
            <w14:solidFill>
              <w14:schemeClr w14:val="tx1"/>
            </w14:solidFill>
          </w14:textFill>
        </w:rPr>
        <w:t>获取时间：2024年</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9</w:t>
      </w:r>
      <w:r>
        <w:rPr>
          <w:rFonts w:hint="eastAsia" w:asciiTheme="majorEastAsia" w:hAnsiTheme="majorEastAsia" w:eastAsiaTheme="majorEastAsia"/>
          <w:color w:val="000000" w:themeColor="text1"/>
          <w:sz w:val="28"/>
          <w:szCs w:val="28"/>
          <w14:textFill>
            <w14:solidFill>
              <w14:schemeClr w14:val="tx1"/>
            </w14:solidFill>
          </w14:textFill>
        </w:rPr>
        <w:t>月</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14</w:t>
      </w:r>
      <w:r>
        <w:rPr>
          <w:rFonts w:hint="eastAsia" w:asciiTheme="majorEastAsia" w:hAnsiTheme="majorEastAsia" w:eastAsiaTheme="majorEastAsia"/>
          <w:color w:val="000000" w:themeColor="text1"/>
          <w:sz w:val="28"/>
          <w:szCs w:val="28"/>
          <w14:textFill>
            <w14:solidFill>
              <w14:schemeClr w14:val="tx1"/>
            </w14:solidFill>
          </w14:textFill>
        </w:rPr>
        <w:t>日</w:t>
      </w:r>
      <w:r>
        <w:rPr>
          <w:rFonts w:asciiTheme="majorEastAsia" w:hAnsiTheme="majorEastAsia" w:eastAsiaTheme="majorEastAsia"/>
          <w:color w:val="000000" w:themeColor="text1"/>
          <w:sz w:val="28"/>
          <w:szCs w:val="28"/>
          <w14:textFill>
            <w14:solidFill>
              <w14:schemeClr w14:val="tx1"/>
            </w14:solidFill>
          </w14:textFill>
        </w:rPr>
        <w:t>00</w:t>
      </w:r>
      <w:r>
        <w:rPr>
          <w:rFonts w:hint="eastAsia" w:asciiTheme="majorEastAsia" w:hAnsiTheme="majorEastAsia" w:eastAsiaTheme="majorEastAsia"/>
          <w:color w:val="000000" w:themeColor="text1"/>
          <w:sz w:val="28"/>
          <w:szCs w:val="28"/>
          <w14:textFill>
            <w14:solidFill>
              <w14:schemeClr w14:val="tx1"/>
            </w14:solidFill>
          </w14:textFill>
        </w:rPr>
        <w:t>时起，到2024年</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9</w:t>
      </w:r>
      <w:r>
        <w:rPr>
          <w:rFonts w:hint="eastAsia" w:asciiTheme="majorEastAsia" w:hAnsiTheme="majorEastAsia" w:eastAsiaTheme="majorEastAsia"/>
          <w:color w:val="000000" w:themeColor="text1"/>
          <w:sz w:val="28"/>
          <w:szCs w:val="28"/>
          <w14:textFill>
            <w14:solidFill>
              <w14:schemeClr w14:val="tx1"/>
            </w14:solidFill>
          </w14:textFill>
        </w:rPr>
        <w:t>月</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23</w:t>
      </w:r>
      <w:r>
        <w:rPr>
          <w:rFonts w:hint="eastAsia" w:asciiTheme="majorEastAsia" w:hAnsiTheme="majorEastAsia" w:eastAsiaTheme="majorEastAsia"/>
          <w:color w:val="000000" w:themeColor="text1"/>
          <w:sz w:val="28"/>
          <w:szCs w:val="28"/>
          <w14:textFill>
            <w14:solidFill>
              <w14:schemeClr w14:val="tx1"/>
            </w14:solidFill>
          </w14:textFill>
        </w:rPr>
        <w:t>日23时59分59秒止；</w:t>
      </w:r>
    </w:p>
    <w:p w14:paraId="137E9B4C">
      <w:pPr>
        <w:spacing w:line="460" w:lineRule="exact"/>
        <w:ind w:firstLine="560" w:firstLineChars="200"/>
        <w:rPr>
          <w:rFonts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2.</w:t>
      </w:r>
      <w:r>
        <w:rPr>
          <w:rFonts w:hint="eastAsia" w:asciiTheme="majorEastAsia" w:hAnsiTheme="majorEastAsia" w:eastAsiaTheme="majorEastAsia"/>
          <w:color w:val="000000" w:themeColor="text1"/>
          <w:sz w:val="28"/>
          <w:szCs w:val="28"/>
          <w14:textFill>
            <w14:solidFill>
              <w14:schemeClr w14:val="tx1"/>
            </w14:solidFill>
          </w14:textFill>
        </w:rPr>
        <w:t>获取方式：</w:t>
      </w:r>
      <w:r>
        <w:rPr>
          <w:rFonts w:hint="eastAsia" w:asciiTheme="majorEastAsia" w:hAnsiTheme="majorEastAsia" w:eastAsiaTheme="majorEastAsia"/>
          <w:b/>
          <w:color w:val="000000" w:themeColor="text1"/>
          <w:sz w:val="28"/>
          <w:szCs w:val="28"/>
          <w14:textFill>
            <w14:solidFill>
              <w14:schemeClr w14:val="tx1"/>
            </w14:solidFill>
          </w14:textFill>
        </w:rPr>
        <w:t>投标人完成注册并办理CA证书后，登录江苏省政府采购管理交易系统（苏采云）（http://jszfcg.jsczt.cn/）获取本项目的招标文件及有关资料。</w:t>
      </w:r>
    </w:p>
    <w:p w14:paraId="2F7BAB6C">
      <w:pPr>
        <w:spacing w:line="460" w:lineRule="exact"/>
        <w:ind w:firstLine="560" w:firstLineChars="200"/>
        <w:rPr>
          <w:rFonts w:asciiTheme="majorEastAsia" w:hAnsiTheme="majorEastAsia" w:eastAsiaTheme="majorEastAsia"/>
          <w:color w:val="FF0000"/>
          <w:sz w:val="28"/>
          <w:szCs w:val="28"/>
        </w:rPr>
      </w:pPr>
      <w:r>
        <w:rPr>
          <w:rFonts w:asciiTheme="majorEastAsia" w:hAnsiTheme="majorEastAsia" w:eastAsiaTheme="majorEastAsia"/>
          <w:color w:val="000000" w:themeColor="text1"/>
          <w:sz w:val="28"/>
          <w:szCs w:val="28"/>
          <w14:textFill>
            <w14:solidFill>
              <w14:schemeClr w14:val="tx1"/>
            </w14:solidFill>
          </w14:textFill>
        </w:rPr>
        <w:t>3.</w:t>
      </w:r>
      <w:r>
        <w:rPr>
          <w:rFonts w:hint="eastAsia" w:asciiTheme="majorEastAsia" w:hAnsiTheme="majorEastAsia" w:eastAsiaTheme="majorEastAsia"/>
          <w:color w:val="000000" w:themeColor="text1"/>
          <w:sz w:val="28"/>
          <w:szCs w:val="28"/>
          <w14:textFill>
            <w14:solidFill>
              <w14:schemeClr w14:val="tx1"/>
            </w14:solidFill>
          </w14:textFill>
        </w:rPr>
        <w:t>售价：</w:t>
      </w:r>
      <w:r>
        <w:rPr>
          <w:rFonts w:hint="eastAsia" w:asciiTheme="majorEastAsia" w:hAnsiTheme="majorEastAsia" w:eastAsiaTheme="majorEastAsia"/>
          <w:sz w:val="28"/>
          <w:szCs w:val="28"/>
        </w:rPr>
        <w:t>免费。</w:t>
      </w:r>
    </w:p>
    <w:p w14:paraId="359DC696">
      <w:pPr>
        <w:spacing w:line="460" w:lineRule="exact"/>
        <w:ind w:firstLine="643" w:firstLineChars="200"/>
        <w:rPr>
          <w:rFonts w:asciiTheme="majorEastAsia" w:hAnsiTheme="majorEastAsia" w:eastAsiaTheme="majorEastAsia"/>
          <w:b/>
          <w:color w:val="000000" w:themeColor="text1"/>
          <w:sz w:val="32"/>
          <w:szCs w:val="32"/>
          <w14:textFill>
            <w14:solidFill>
              <w14:schemeClr w14:val="tx1"/>
            </w14:solidFill>
          </w14:textFill>
        </w:rPr>
      </w:pPr>
      <w:bookmarkStart w:id="25" w:name="_Toc28359082"/>
      <w:bookmarkStart w:id="26" w:name="_Toc28359005"/>
      <w:bookmarkStart w:id="27" w:name="_Toc35393793"/>
      <w:bookmarkStart w:id="28" w:name="_Toc35393624"/>
      <w:r>
        <w:rPr>
          <w:rFonts w:hint="eastAsia" w:asciiTheme="majorEastAsia" w:hAnsiTheme="majorEastAsia" w:eastAsiaTheme="majorEastAsia"/>
          <w:b/>
          <w:color w:val="000000" w:themeColor="text1"/>
          <w:sz w:val="32"/>
          <w:szCs w:val="32"/>
          <w14:textFill>
            <w14:solidFill>
              <w14:schemeClr w14:val="tx1"/>
            </w14:solidFill>
          </w14:textFill>
        </w:rPr>
        <w:t>四、提交投标文件</w:t>
      </w:r>
      <w:bookmarkEnd w:id="25"/>
      <w:bookmarkEnd w:id="26"/>
      <w:r>
        <w:rPr>
          <w:rFonts w:hint="eastAsia" w:asciiTheme="majorEastAsia" w:hAnsiTheme="majorEastAsia" w:eastAsiaTheme="majorEastAsia"/>
          <w:b/>
          <w:color w:val="000000" w:themeColor="text1"/>
          <w:sz w:val="32"/>
          <w:szCs w:val="32"/>
          <w14:textFill>
            <w14:solidFill>
              <w14:schemeClr w14:val="tx1"/>
            </w14:solidFill>
          </w14:textFill>
        </w:rPr>
        <w:t>截止时间、开标时间和地点</w:t>
      </w:r>
      <w:bookmarkEnd w:id="27"/>
      <w:bookmarkEnd w:id="28"/>
    </w:p>
    <w:p w14:paraId="5A8EE96A">
      <w:pPr>
        <w:spacing w:line="460" w:lineRule="exact"/>
        <w:ind w:firstLine="560" w:firstLineChars="200"/>
        <w:rPr>
          <w:rFonts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1.提交投标文件截止时间：2024年 </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10</w:t>
      </w:r>
      <w:r>
        <w:rPr>
          <w:rFonts w:hint="eastAsia" w:asciiTheme="majorEastAsia" w:hAnsiTheme="majorEastAsia" w:eastAsiaTheme="majorEastAsia"/>
          <w:color w:val="000000" w:themeColor="text1"/>
          <w:sz w:val="28"/>
          <w:szCs w:val="28"/>
          <w14:textFill>
            <w14:solidFill>
              <w14:schemeClr w14:val="tx1"/>
            </w14:solidFill>
          </w14:textFill>
        </w:rPr>
        <w:t>月</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10</w:t>
      </w:r>
      <w:r>
        <w:rPr>
          <w:rFonts w:hint="eastAsia" w:asciiTheme="majorEastAsia" w:hAnsiTheme="majorEastAsia" w:eastAsiaTheme="majorEastAsia"/>
          <w:color w:val="000000" w:themeColor="text1"/>
          <w:sz w:val="28"/>
          <w:szCs w:val="28"/>
          <w14:textFill>
            <w14:solidFill>
              <w14:schemeClr w14:val="tx1"/>
            </w14:solidFill>
          </w14:textFill>
        </w:rPr>
        <w:t xml:space="preserve">日 </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9</w:t>
      </w:r>
      <w:r>
        <w:rPr>
          <w:rFonts w:hint="eastAsia" w:asciiTheme="majorEastAsia" w:hAnsiTheme="majorEastAsia" w:eastAsiaTheme="majorEastAsia"/>
          <w:color w:val="000000" w:themeColor="text1"/>
          <w:sz w:val="28"/>
          <w:szCs w:val="28"/>
          <w14:textFill>
            <w14:solidFill>
              <w14:schemeClr w14:val="tx1"/>
            </w14:solidFill>
          </w14:textFill>
        </w:rPr>
        <w:t xml:space="preserve"> 点</w:t>
      </w:r>
      <w:r>
        <w:rPr>
          <w:rFonts w:asciiTheme="majorEastAsia" w:hAnsiTheme="majorEastAsia" w:eastAsiaTheme="majorEastAsia"/>
          <w:color w:val="000000" w:themeColor="text1"/>
          <w:sz w:val="28"/>
          <w:szCs w:val="28"/>
          <w14:textFill>
            <w14:solidFill>
              <w14:schemeClr w14:val="tx1"/>
            </w14:solidFill>
          </w14:textFill>
        </w:rPr>
        <w:t xml:space="preserve"> </w:t>
      </w:r>
      <w:r>
        <w:rPr>
          <w:rFonts w:hint="eastAsia" w:asciiTheme="majorEastAsia" w:hAnsiTheme="majorEastAsia" w:eastAsiaTheme="majorEastAsia"/>
          <w:color w:val="000000" w:themeColor="text1"/>
          <w:sz w:val="28"/>
          <w:szCs w:val="28"/>
          <w14:textFill>
            <w14:solidFill>
              <w14:schemeClr w14:val="tx1"/>
            </w14:solidFill>
          </w14:textFill>
        </w:rPr>
        <w:t>00分止（北京时间）；</w:t>
      </w:r>
    </w:p>
    <w:p w14:paraId="10F2829B">
      <w:pPr>
        <w:spacing w:line="460" w:lineRule="exact"/>
        <w:ind w:firstLine="560" w:firstLineChars="200"/>
        <w:rPr>
          <w:rFonts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2.开标时间：同投标文件递交截止时间；</w:t>
      </w:r>
    </w:p>
    <w:p w14:paraId="7D65AA4C">
      <w:pPr>
        <w:spacing w:line="460" w:lineRule="exact"/>
        <w:ind w:firstLine="560" w:firstLineChars="200"/>
        <w:rPr>
          <w:rFonts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3.开标地点：“苏采云”系统“开标大厅”。</w:t>
      </w:r>
    </w:p>
    <w:p w14:paraId="0963E067">
      <w:pPr>
        <w:spacing w:line="460" w:lineRule="exact"/>
        <w:ind w:firstLine="643" w:firstLineChars="200"/>
        <w:rPr>
          <w:rFonts w:asciiTheme="majorEastAsia" w:hAnsiTheme="majorEastAsia" w:eastAsiaTheme="majorEastAsia"/>
          <w:b/>
          <w:color w:val="000000" w:themeColor="text1"/>
          <w:sz w:val="32"/>
          <w:szCs w:val="32"/>
          <w14:textFill>
            <w14:solidFill>
              <w14:schemeClr w14:val="tx1"/>
            </w14:solidFill>
          </w14:textFill>
        </w:rPr>
      </w:pPr>
      <w:bookmarkStart w:id="29" w:name="_Toc35393794"/>
      <w:bookmarkStart w:id="30" w:name="_Toc28359007"/>
      <w:bookmarkStart w:id="31" w:name="_Toc35393625"/>
      <w:bookmarkStart w:id="32" w:name="_Toc28359084"/>
      <w:r>
        <w:rPr>
          <w:rFonts w:hint="eastAsia" w:asciiTheme="majorEastAsia" w:hAnsiTheme="majorEastAsia" w:eastAsiaTheme="majorEastAsia"/>
          <w:b/>
          <w:color w:val="000000" w:themeColor="text1"/>
          <w:sz w:val="32"/>
          <w:szCs w:val="32"/>
          <w14:textFill>
            <w14:solidFill>
              <w14:schemeClr w14:val="tx1"/>
            </w14:solidFill>
          </w14:textFill>
        </w:rPr>
        <w:t>五、公告期限</w:t>
      </w:r>
      <w:bookmarkEnd w:id="29"/>
      <w:bookmarkEnd w:id="30"/>
      <w:bookmarkEnd w:id="31"/>
      <w:bookmarkEnd w:id="32"/>
    </w:p>
    <w:p w14:paraId="3077EC19">
      <w:pPr>
        <w:spacing w:line="460" w:lineRule="exact"/>
        <w:ind w:firstLine="560" w:firstLineChars="200"/>
        <w:rPr>
          <w:rFonts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自本公告发布之日起</w:t>
      </w:r>
      <w:r>
        <w:rPr>
          <w:rFonts w:asciiTheme="majorEastAsia" w:hAnsiTheme="majorEastAsia" w:eastAsiaTheme="majorEastAsia"/>
          <w:color w:val="000000" w:themeColor="text1"/>
          <w:sz w:val="28"/>
          <w:szCs w:val="28"/>
          <w14:textFill>
            <w14:solidFill>
              <w14:schemeClr w14:val="tx1"/>
            </w14:solidFill>
          </w14:textFill>
        </w:rPr>
        <w:t>5</w:t>
      </w:r>
      <w:r>
        <w:rPr>
          <w:rFonts w:hint="eastAsia" w:asciiTheme="majorEastAsia" w:hAnsiTheme="majorEastAsia" w:eastAsiaTheme="majorEastAsia"/>
          <w:color w:val="000000" w:themeColor="text1"/>
          <w:sz w:val="28"/>
          <w:szCs w:val="28"/>
          <w14:textFill>
            <w14:solidFill>
              <w14:schemeClr w14:val="tx1"/>
            </w14:solidFill>
          </w14:textFill>
        </w:rPr>
        <w:t>个工作日。</w:t>
      </w:r>
    </w:p>
    <w:p w14:paraId="5D45E678">
      <w:pPr>
        <w:spacing w:line="460" w:lineRule="exact"/>
        <w:ind w:firstLine="643" w:firstLineChars="200"/>
        <w:rPr>
          <w:rFonts w:asciiTheme="majorEastAsia" w:hAnsiTheme="majorEastAsia" w:eastAsiaTheme="majorEastAsia"/>
          <w:b/>
          <w:color w:val="000000" w:themeColor="text1"/>
          <w:sz w:val="32"/>
          <w:szCs w:val="32"/>
          <w14:textFill>
            <w14:solidFill>
              <w14:schemeClr w14:val="tx1"/>
            </w14:solidFill>
          </w14:textFill>
        </w:rPr>
      </w:pPr>
      <w:bookmarkStart w:id="33" w:name="_Toc35393626"/>
      <w:bookmarkStart w:id="34" w:name="_Toc35393795"/>
      <w:r>
        <w:rPr>
          <w:rFonts w:hint="eastAsia" w:asciiTheme="majorEastAsia" w:hAnsiTheme="majorEastAsia" w:eastAsiaTheme="majorEastAsia"/>
          <w:b/>
          <w:color w:val="000000" w:themeColor="text1"/>
          <w:sz w:val="32"/>
          <w:szCs w:val="32"/>
          <w14:textFill>
            <w14:solidFill>
              <w14:schemeClr w14:val="tx1"/>
            </w14:solidFill>
          </w14:textFill>
        </w:rPr>
        <w:t>六、其他补充事宜</w:t>
      </w:r>
      <w:bookmarkEnd w:id="33"/>
      <w:bookmarkEnd w:id="34"/>
    </w:p>
    <w:p w14:paraId="67FC4252">
      <w:pPr>
        <w:spacing w:line="460" w:lineRule="exact"/>
        <w:ind w:firstLine="560" w:firstLineChars="200"/>
        <w:rPr>
          <w:rFonts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1.</w:t>
      </w:r>
      <w:r>
        <w:rPr>
          <w:rFonts w:hint="eastAsia" w:asciiTheme="majorEastAsia" w:hAnsiTheme="majorEastAsia" w:eastAsiaTheme="majorEastAsia"/>
          <w:color w:val="000000" w:themeColor="text1"/>
          <w:sz w:val="28"/>
          <w:szCs w:val="28"/>
          <w14:textFill>
            <w14:solidFill>
              <w14:schemeClr w14:val="tx1"/>
            </w14:solidFill>
          </w14:textFill>
        </w:rPr>
        <w:t>投标保证金：无。</w:t>
      </w:r>
    </w:p>
    <w:p w14:paraId="4C76F3C5">
      <w:pPr>
        <w:spacing w:line="460" w:lineRule="exact"/>
        <w:ind w:firstLine="560" w:firstLineChars="200"/>
        <w:rPr>
          <w:rFonts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2</w:t>
      </w:r>
      <w:r>
        <w:rPr>
          <w:rFonts w:asciiTheme="majorEastAsia" w:hAnsiTheme="majorEastAsia" w:eastAsiaTheme="majorEastAsia"/>
          <w:color w:val="000000" w:themeColor="text1"/>
          <w:sz w:val="28"/>
          <w:szCs w:val="28"/>
          <w14:textFill>
            <w14:solidFill>
              <w14:schemeClr w14:val="tx1"/>
            </w14:solidFill>
          </w14:textFill>
        </w:rPr>
        <w:t>.</w:t>
      </w:r>
      <w:r>
        <w:rPr>
          <w:rFonts w:hint="eastAsia" w:asciiTheme="majorEastAsia" w:hAnsiTheme="majorEastAsia" w:eastAsiaTheme="majorEastAsia"/>
          <w:color w:val="000000" w:themeColor="text1"/>
          <w:sz w:val="28"/>
          <w:szCs w:val="28"/>
          <w14:textFill>
            <w14:solidFill>
              <w14:schemeClr w14:val="tx1"/>
            </w14:solidFill>
          </w14:textFill>
        </w:rPr>
        <w:t>公告发布媒介：江苏政府采购网（</w:t>
      </w:r>
      <w:r>
        <w:rPr>
          <w:rFonts w:asciiTheme="majorEastAsia" w:hAnsiTheme="majorEastAsia" w:eastAsiaTheme="majorEastAsia"/>
          <w:color w:val="000000" w:themeColor="text1"/>
          <w:sz w:val="28"/>
          <w:szCs w:val="28"/>
          <w14:textFill>
            <w14:solidFill>
              <w14:schemeClr w14:val="tx1"/>
            </w14:solidFill>
          </w14:textFill>
        </w:rPr>
        <w:t>www.ccgp-jiangsu.gov.cn</w:t>
      </w:r>
      <w:r>
        <w:rPr>
          <w:rFonts w:hint="eastAsia" w:asciiTheme="majorEastAsia" w:hAnsiTheme="majorEastAsia" w:eastAsiaTheme="majorEastAsia"/>
          <w:color w:val="000000" w:themeColor="text1"/>
          <w:sz w:val="28"/>
          <w:szCs w:val="28"/>
          <w14:textFill>
            <w14:solidFill>
              <w14:schemeClr w14:val="tx1"/>
            </w14:solidFill>
          </w14:textFill>
        </w:rPr>
        <w:t>）</w:t>
      </w:r>
    </w:p>
    <w:p w14:paraId="625C85BC">
      <w:pPr>
        <w:spacing w:line="460" w:lineRule="exact"/>
        <w:ind w:firstLine="562" w:firstLineChars="200"/>
        <w:rPr>
          <w:rFonts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3.</w:t>
      </w:r>
      <w:r>
        <w:rPr>
          <w:rFonts w:hint="eastAsia"/>
          <w:b/>
          <w:color w:val="000000" w:themeColor="text1"/>
          <w14:textFill>
            <w14:solidFill>
              <w14:schemeClr w14:val="tx1"/>
            </w14:solidFill>
          </w14:textFill>
        </w:rPr>
        <w:t xml:space="preserve"> </w:t>
      </w:r>
      <w:r>
        <w:rPr>
          <w:rFonts w:hint="eastAsia" w:asciiTheme="majorEastAsia" w:hAnsiTheme="majorEastAsia" w:eastAsiaTheme="majorEastAsia"/>
          <w:b/>
          <w:color w:val="000000" w:themeColor="text1"/>
          <w:sz w:val="28"/>
          <w:szCs w:val="28"/>
          <w14:textFill>
            <w14:solidFill>
              <w14:schemeClr w14:val="tx1"/>
            </w14:solidFill>
          </w14:textFill>
        </w:rPr>
        <w:t>注意事项：</w:t>
      </w:r>
    </w:p>
    <w:p w14:paraId="1530B1E9">
      <w:pPr>
        <w:spacing w:line="460" w:lineRule="exact"/>
        <w:ind w:firstLine="562" w:firstLineChars="200"/>
        <w:rPr>
          <w:rFonts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p>
    <w:p w14:paraId="26A4709E">
      <w:pPr>
        <w:spacing w:line="460" w:lineRule="exact"/>
        <w:ind w:firstLine="562" w:firstLineChars="200"/>
        <w:rPr>
          <w:rFonts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2）本项目采用电子化投标，投标人应根据《江苏省政府采购管理交易系统（苏采云）供应商操作手册》（“泰州市政府采购网—下载中心”下载）规定，制作、上传电子投标文件（技术支持电话：0523-87633965、0523-86897512；客服QQ709339244、QQ：1810179072）。</w:t>
      </w:r>
    </w:p>
    <w:p w14:paraId="3C41411A">
      <w:pPr>
        <w:spacing w:line="460" w:lineRule="exact"/>
        <w:ind w:firstLine="562" w:firstLineChars="200"/>
        <w:rPr>
          <w:rFonts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（3）有关本次招标的事项若存在变动或修改，敬请及时关注“江苏政府采购网”发布的更正公告。</w:t>
      </w:r>
    </w:p>
    <w:p w14:paraId="68265305">
      <w:pPr>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如潜在投标人未按上述要求操作，将自行承担所产生的风险。</w:t>
      </w:r>
    </w:p>
    <w:p w14:paraId="34145161">
      <w:pPr>
        <w:spacing w:line="460" w:lineRule="exact"/>
        <w:ind w:firstLine="643" w:firstLineChars="200"/>
        <w:rPr>
          <w:rFonts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32"/>
          <w:szCs w:val="32"/>
          <w14:textFill>
            <w14:solidFill>
              <w14:schemeClr w14:val="tx1"/>
            </w14:solidFill>
          </w14:textFill>
        </w:rPr>
        <w:t>七、对本次招标提出询问，请按以下方式联系。</w:t>
      </w:r>
      <w:bookmarkEnd w:id="21"/>
      <w:bookmarkEnd w:id="22"/>
      <w:bookmarkEnd w:id="23"/>
      <w:bookmarkEnd w:id="24"/>
    </w:p>
    <w:p w14:paraId="5774AA35">
      <w:pPr>
        <w:pStyle w:val="2"/>
        <w:spacing w:after="0" w:line="460" w:lineRule="exact"/>
        <w:ind w:firstLine="640" w:firstLineChars="200"/>
        <w:rPr>
          <w:rFonts w:asciiTheme="majorEastAsia" w:hAnsiTheme="majorEastAsia" w:eastAsiaTheme="majorEastAsia"/>
          <w:bCs/>
          <w:color w:val="000000" w:themeColor="text1"/>
          <w:sz w:val="32"/>
          <w:szCs w:val="32"/>
          <w:lang w:val="zh-CN"/>
          <w14:textFill>
            <w14:solidFill>
              <w14:schemeClr w14:val="tx1"/>
            </w14:solidFill>
          </w14:textFill>
        </w:rPr>
      </w:pPr>
      <w:r>
        <w:rPr>
          <w:rFonts w:hint="eastAsia" w:asciiTheme="majorEastAsia" w:hAnsiTheme="majorEastAsia" w:eastAsiaTheme="majorEastAsia"/>
          <w:bCs/>
          <w:color w:val="000000" w:themeColor="text1"/>
          <w:sz w:val="32"/>
          <w:szCs w:val="32"/>
          <w14:textFill>
            <w14:solidFill>
              <w14:schemeClr w14:val="tx1"/>
            </w14:solidFill>
          </w14:textFill>
        </w:rPr>
        <w:t>1.</w:t>
      </w:r>
      <w:r>
        <w:rPr>
          <w:rFonts w:hint="eastAsia" w:asciiTheme="majorEastAsia" w:hAnsiTheme="majorEastAsia" w:eastAsiaTheme="majorEastAsia"/>
          <w:bCs/>
          <w:color w:val="000000" w:themeColor="text1"/>
          <w:sz w:val="32"/>
          <w:szCs w:val="32"/>
          <w:lang w:val="zh-CN"/>
          <w14:textFill>
            <w14:solidFill>
              <w14:schemeClr w14:val="tx1"/>
            </w14:solidFill>
          </w14:textFill>
        </w:rPr>
        <w:t>采购人信息</w:t>
      </w:r>
    </w:p>
    <w:p w14:paraId="3497F41D">
      <w:pPr>
        <w:pStyle w:val="2"/>
        <w:spacing w:after="0" w:line="460" w:lineRule="exact"/>
        <w:ind w:firstLine="640" w:firstLineChars="200"/>
        <w:rPr>
          <w:rFonts w:hint="eastAsia" w:asciiTheme="majorEastAsia" w:hAnsiTheme="majorEastAsia" w:eastAsiaTheme="majorEastAsia"/>
          <w:bCs/>
          <w:color w:val="000000" w:themeColor="text1"/>
          <w:sz w:val="32"/>
          <w:szCs w:val="32"/>
          <w:lang w:eastAsia="zh-CN"/>
          <w14:textFill>
            <w14:solidFill>
              <w14:schemeClr w14:val="tx1"/>
            </w14:solidFill>
          </w14:textFill>
        </w:rPr>
      </w:pPr>
      <w:r>
        <w:rPr>
          <w:rFonts w:hint="eastAsia" w:asciiTheme="majorEastAsia" w:hAnsiTheme="majorEastAsia" w:eastAsiaTheme="majorEastAsia"/>
          <w:bCs/>
          <w:color w:val="000000" w:themeColor="text1"/>
          <w:sz w:val="32"/>
          <w:szCs w:val="32"/>
          <w14:textFill>
            <w14:solidFill>
              <w14:schemeClr w14:val="tx1"/>
            </w14:solidFill>
          </w14:textFill>
        </w:rPr>
        <w:t>名 称：</w:t>
      </w:r>
      <w:r>
        <w:rPr>
          <w:rFonts w:hint="eastAsia" w:asciiTheme="majorEastAsia" w:hAnsiTheme="majorEastAsia" w:eastAsiaTheme="majorEastAsia"/>
          <w:bCs/>
          <w:color w:val="000000" w:themeColor="text1"/>
          <w:sz w:val="32"/>
          <w:szCs w:val="32"/>
          <w:lang w:eastAsia="zh-CN"/>
          <w14:textFill>
            <w14:solidFill>
              <w14:schemeClr w14:val="tx1"/>
            </w14:solidFill>
          </w14:textFill>
        </w:rPr>
        <w:t>泰兴市自然资源和规划局</w:t>
      </w:r>
    </w:p>
    <w:p w14:paraId="1D8D753F">
      <w:pPr>
        <w:pStyle w:val="2"/>
        <w:spacing w:after="0" w:line="460" w:lineRule="exact"/>
        <w:ind w:firstLine="640" w:firstLineChars="200"/>
        <w:rPr>
          <w:rFonts w:asciiTheme="majorEastAsia" w:hAnsiTheme="majorEastAsia" w:eastAsiaTheme="majorEastAsia"/>
          <w:bCs/>
          <w:color w:val="000000" w:themeColor="text1"/>
          <w:sz w:val="32"/>
          <w:szCs w:val="32"/>
          <w14:textFill>
            <w14:solidFill>
              <w14:schemeClr w14:val="tx1"/>
            </w14:solidFill>
          </w14:textFill>
        </w:rPr>
      </w:pPr>
      <w:r>
        <w:rPr>
          <w:rFonts w:hint="eastAsia" w:asciiTheme="majorEastAsia" w:hAnsiTheme="majorEastAsia" w:eastAsiaTheme="majorEastAsia"/>
          <w:bCs/>
          <w:color w:val="000000" w:themeColor="text1"/>
          <w:sz w:val="32"/>
          <w:szCs w:val="32"/>
          <w14:textFill>
            <w14:solidFill>
              <w14:schemeClr w14:val="tx1"/>
            </w14:solidFill>
          </w14:textFill>
        </w:rPr>
        <w:t>地 址：</w:t>
      </w:r>
      <w:r>
        <w:rPr>
          <w:rFonts w:hint="eastAsia" w:asciiTheme="majorEastAsia" w:hAnsiTheme="majorEastAsia" w:eastAsiaTheme="majorEastAsia"/>
          <w:bCs/>
          <w:color w:val="000000" w:themeColor="text1"/>
          <w:sz w:val="32"/>
          <w:szCs w:val="32"/>
          <w:lang w:eastAsia="zh-CN"/>
          <w14:textFill>
            <w14:solidFill>
              <w14:schemeClr w14:val="tx1"/>
            </w14:solidFill>
          </w14:textFill>
        </w:rPr>
        <w:t>泰兴</w:t>
      </w:r>
      <w:r>
        <w:rPr>
          <w:rFonts w:hint="eastAsia" w:asciiTheme="majorEastAsia" w:hAnsiTheme="majorEastAsia" w:eastAsiaTheme="majorEastAsia"/>
          <w:bCs/>
          <w:color w:val="000000" w:themeColor="text1"/>
          <w:sz w:val="32"/>
          <w:szCs w:val="32"/>
          <w14:textFill>
            <w14:solidFill>
              <w14:schemeClr w14:val="tx1"/>
            </w14:solidFill>
          </w14:textFill>
        </w:rPr>
        <w:t>市</w:t>
      </w:r>
      <w:r>
        <w:rPr>
          <w:rFonts w:hint="eastAsia" w:asciiTheme="majorEastAsia" w:hAnsiTheme="majorEastAsia" w:eastAsiaTheme="majorEastAsia"/>
          <w:bCs/>
          <w:color w:val="000000" w:themeColor="text1"/>
          <w:sz w:val="32"/>
          <w:szCs w:val="32"/>
          <w:lang w:val="en-US" w:eastAsia="zh-CN"/>
          <w14:textFill>
            <w14:solidFill>
              <w14:schemeClr w14:val="tx1"/>
            </w14:solidFill>
          </w14:textFill>
        </w:rPr>
        <w:t>文昌东路6号</w:t>
      </w:r>
    </w:p>
    <w:p w14:paraId="22D07696">
      <w:pPr>
        <w:pStyle w:val="2"/>
        <w:spacing w:after="0" w:line="460" w:lineRule="exact"/>
        <w:ind w:firstLine="640" w:firstLineChars="200"/>
        <w:rPr>
          <w:rFonts w:asciiTheme="majorEastAsia" w:hAnsiTheme="majorEastAsia" w:eastAsiaTheme="majorEastAsia"/>
          <w:bCs/>
          <w:color w:val="000000" w:themeColor="text1"/>
          <w:sz w:val="32"/>
          <w:szCs w:val="32"/>
          <w14:textFill>
            <w14:solidFill>
              <w14:schemeClr w14:val="tx1"/>
            </w14:solidFill>
          </w14:textFill>
        </w:rPr>
      </w:pPr>
      <w:r>
        <w:rPr>
          <w:rFonts w:hint="eastAsia" w:asciiTheme="majorEastAsia" w:hAnsiTheme="majorEastAsia" w:eastAsiaTheme="majorEastAsia"/>
          <w:bCs/>
          <w:color w:val="000000" w:themeColor="text1"/>
          <w:sz w:val="32"/>
          <w:szCs w:val="32"/>
          <w14:textFill>
            <w14:solidFill>
              <w14:schemeClr w14:val="tx1"/>
            </w14:solidFill>
          </w14:textFill>
        </w:rPr>
        <w:t>联系方式：</w:t>
      </w:r>
      <w:r>
        <w:rPr>
          <w:rFonts w:hint="eastAsia" w:asciiTheme="majorEastAsia" w:hAnsiTheme="majorEastAsia" w:eastAsiaTheme="majorEastAsia"/>
          <w:bCs/>
          <w:color w:val="auto"/>
          <w:sz w:val="32"/>
          <w:szCs w:val="32"/>
          <w:lang w:val="en-US" w:eastAsia="zh-CN"/>
        </w:rPr>
        <w:t>0523-80125617</w:t>
      </w:r>
      <w:r>
        <w:rPr>
          <w:rFonts w:hint="eastAsia" w:asciiTheme="majorEastAsia" w:hAnsiTheme="majorEastAsia" w:eastAsiaTheme="majorEastAsia"/>
          <w:bCs/>
          <w:color w:val="C00000"/>
          <w:sz w:val="32"/>
          <w:szCs w:val="32"/>
        </w:rPr>
        <w:t xml:space="preserve"> </w:t>
      </w:r>
    </w:p>
    <w:p w14:paraId="53067FBA">
      <w:pPr>
        <w:pStyle w:val="2"/>
        <w:spacing w:after="0" w:line="460" w:lineRule="exact"/>
        <w:ind w:firstLine="640" w:firstLineChars="200"/>
        <w:rPr>
          <w:rFonts w:asciiTheme="majorEastAsia" w:hAnsiTheme="majorEastAsia" w:eastAsiaTheme="majorEastAsia"/>
          <w:bCs/>
          <w:color w:val="000000" w:themeColor="text1"/>
          <w:sz w:val="32"/>
          <w:szCs w:val="32"/>
          <w:lang w:val="zh-CN"/>
          <w14:textFill>
            <w14:solidFill>
              <w14:schemeClr w14:val="tx1"/>
            </w14:solidFill>
          </w14:textFill>
        </w:rPr>
      </w:pPr>
      <w:r>
        <w:rPr>
          <w:rFonts w:hint="eastAsia" w:asciiTheme="majorEastAsia" w:hAnsiTheme="majorEastAsia" w:eastAsiaTheme="majorEastAsia"/>
          <w:bCs/>
          <w:color w:val="000000" w:themeColor="text1"/>
          <w:sz w:val="32"/>
          <w:szCs w:val="32"/>
          <w14:textFill>
            <w14:solidFill>
              <w14:schemeClr w14:val="tx1"/>
            </w14:solidFill>
          </w14:textFill>
        </w:rPr>
        <w:t>2.</w:t>
      </w:r>
      <w:r>
        <w:rPr>
          <w:rFonts w:hint="eastAsia" w:asciiTheme="majorEastAsia" w:hAnsiTheme="majorEastAsia" w:eastAsiaTheme="majorEastAsia"/>
          <w:bCs/>
          <w:color w:val="000000" w:themeColor="text1"/>
          <w:sz w:val="32"/>
          <w:szCs w:val="32"/>
          <w:lang w:val="zh-CN"/>
          <w14:textFill>
            <w14:solidFill>
              <w14:schemeClr w14:val="tx1"/>
            </w14:solidFill>
          </w14:textFill>
        </w:rPr>
        <w:t>采购代理机构信息</w:t>
      </w:r>
    </w:p>
    <w:p w14:paraId="697FA815">
      <w:pPr>
        <w:pStyle w:val="2"/>
        <w:spacing w:after="0" w:line="460" w:lineRule="exact"/>
        <w:ind w:firstLine="640" w:firstLineChars="200"/>
        <w:rPr>
          <w:rFonts w:asciiTheme="majorEastAsia" w:hAnsiTheme="majorEastAsia" w:eastAsiaTheme="majorEastAsia"/>
          <w:bCs/>
          <w:color w:val="000000" w:themeColor="text1"/>
          <w:sz w:val="32"/>
          <w:szCs w:val="32"/>
          <w:lang w:val="zh-CN"/>
          <w14:textFill>
            <w14:solidFill>
              <w14:schemeClr w14:val="tx1"/>
            </w14:solidFill>
          </w14:textFill>
        </w:rPr>
      </w:pPr>
      <w:r>
        <w:rPr>
          <w:rFonts w:hint="eastAsia" w:asciiTheme="majorEastAsia" w:hAnsiTheme="majorEastAsia" w:eastAsiaTheme="majorEastAsia"/>
          <w:bCs/>
          <w:color w:val="000000" w:themeColor="text1"/>
          <w:sz w:val="32"/>
          <w:szCs w:val="32"/>
          <w:lang w:val="zh-CN"/>
          <w14:textFill>
            <w14:solidFill>
              <w14:schemeClr w14:val="tx1"/>
            </w14:solidFill>
          </w14:textFill>
        </w:rPr>
        <w:t>名称：江苏鑫澄工程管理有限公司</w:t>
      </w:r>
    </w:p>
    <w:p w14:paraId="07DE02D0">
      <w:pPr>
        <w:pStyle w:val="2"/>
        <w:spacing w:after="0" w:line="460" w:lineRule="exact"/>
        <w:ind w:firstLine="640" w:firstLineChars="200"/>
        <w:rPr>
          <w:rFonts w:hint="default" w:asciiTheme="majorEastAsia" w:hAnsiTheme="majorEastAsia" w:eastAsiaTheme="majorEastAsia"/>
          <w:bCs/>
          <w:color w:val="000000" w:themeColor="text1"/>
          <w:sz w:val="32"/>
          <w:szCs w:val="32"/>
          <w:lang w:val="en-US" w:eastAsia="zh-CN"/>
          <w14:textFill>
            <w14:solidFill>
              <w14:schemeClr w14:val="tx1"/>
            </w14:solidFill>
          </w14:textFill>
        </w:rPr>
      </w:pPr>
      <w:r>
        <w:rPr>
          <w:rFonts w:hint="eastAsia" w:asciiTheme="majorEastAsia" w:hAnsiTheme="majorEastAsia" w:eastAsiaTheme="majorEastAsia"/>
          <w:bCs/>
          <w:color w:val="000000" w:themeColor="text1"/>
          <w:sz w:val="32"/>
          <w:szCs w:val="32"/>
          <w:lang w:val="zh-CN"/>
          <w14:textFill>
            <w14:solidFill>
              <w14:schemeClr w14:val="tx1"/>
            </w14:solidFill>
          </w14:textFill>
        </w:rPr>
        <w:t>地</w:t>
      </w:r>
      <w:r>
        <w:rPr>
          <w:rFonts w:hint="eastAsia" w:asciiTheme="majorEastAsia" w:hAnsiTheme="majorEastAsia" w:eastAsiaTheme="majorEastAsia"/>
          <w:bCs/>
          <w:color w:val="000000" w:themeColor="text1"/>
          <w:sz w:val="32"/>
          <w:szCs w:val="32"/>
          <w:lang w:val="zh-CN"/>
          <w14:textFill>
            <w14:solidFill>
              <w14:schemeClr w14:val="tx1"/>
            </w14:solidFill>
          </w14:textFill>
        </w:rPr>
        <w:tab/>
      </w:r>
      <w:r>
        <w:rPr>
          <w:rFonts w:hint="eastAsia" w:asciiTheme="majorEastAsia" w:hAnsiTheme="majorEastAsia" w:eastAsiaTheme="majorEastAsia"/>
          <w:bCs/>
          <w:color w:val="000000" w:themeColor="text1"/>
          <w:sz w:val="32"/>
          <w:szCs w:val="32"/>
          <w:lang w:val="zh-CN"/>
          <w14:textFill>
            <w14:solidFill>
              <w14:schemeClr w14:val="tx1"/>
            </w14:solidFill>
          </w14:textFill>
        </w:rPr>
        <w:t>址：泰兴市</w:t>
      </w:r>
      <w:r>
        <w:rPr>
          <w:rFonts w:hint="eastAsia" w:asciiTheme="majorEastAsia" w:hAnsiTheme="majorEastAsia" w:eastAsiaTheme="majorEastAsia"/>
          <w:bCs/>
          <w:color w:val="000000" w:themeColor="text1"/>
          <w:sz w:val="32"/>
          <w:szCs w:val="32"/>
          <w:lang w:val="en-US" w:eastAsia="zh-CN"/>
          <w14:textFill>
            <w14:solidFill>
              <w14:schemeClr w14:val="tx1"/>
            </w14:solidFill>
          </w14:textFill>
        </w:rPr>
        <w:t>鼓楼新天地商业大厦828室</w:t>
      </w:r>
    </w:p>
    <w:p w14:paraId="7CA73BFC">
      <w:pPr>
        <w:pStyle w:val="2"/>
        <w:spacing w:after="0" w:line="460" w:lineRule="exact"/>
        <w:ind w:firstLine="640" w:firstLineChars="200"/>
        <w:rPr>
          <w:rFonts w:asciiTheme="majorEastAsia" w:hAnsiTheme="majorEastAsia" w:eastAsiaTheme="majorEastAsia"/>
          <w:bCs/>
          <w:color w:val="000000" w:themeColor="text1"/>
          <w:sz w:val="32"/>
          <w:szCs w:val="32"/>
          <w14:textFill>
            <w14:solidFill>
              <w14:schemeClr w14:val="tx1"/>
            </w14:solidFill>
          </w14:textFill>
        </w:rPr>
      </w:pPr>
      <w:r>
        <w:rPr>
          <w:rFonts w:hint="eastAsia" w:asciiTheme="majorEastAsia" w:hAnsiTheme="majorEastAsia" w:eastAsiaTheme="majorEastAsia"/>
          <w:bCs/>
          <w:color w:val="000000" w:themeColor="text1"/>
          <w:sz w:val="32"/>
          <w:szCs w:val="32"/>
          <w:lang w:val="zh-CN"/>
          <w14:textFill>
            <w14:solidFill>
              <w14:schemeClr w14:val="tx1"/>
            </w14:solidFill>
          </w14:textFill>
        </w:rPr>
        <w:t>联系方式：0523-87883976</w:t>
      </w:r>
    </w:p>
    <w:p w14:paraId="16C74C17">
      <w:pPr>
        <w:pStyle w:val="2"/>
        <w:spacing w:after="0" w:line="460" w:lineRule="exact"/>
        <w:ind w:firstLine="640" w:firstLineChars="200"/>
        <w:rPr>
          <w:rFonts w:asciiTheme="majorEastAsia" w:hAnsiTheme="majorEastAsia" w:eastAsiaTheme="majorEastAsia"/>
          <w:bCs/>
          <w:color w:val="000000" w:themeColor="text1"/>
          <w:sz w:val="32"/>
          <w:szCs w:val="32"/>
          <w:lang w:val="zh-CN"/>
          <w14:textFill>
            <w14:solidFill>
              <w14:schemeClr w14:val="tx1"/>
            </w14:solidFill>
          </w14:textFill>
        </w:rPr>
      </w:pPr>
      <w:r>
        <w:rPr>
          <w:rFonts w:hint="eastAsia" w:asciiTheme="majorEastAsia" w:hAnsiTheme="majorEastAsia" w:eastAsiaTheme="majorEastAsia"/>
          <w:bCs/>
          <w:color w:val="000000" w:themeColor="text1"/>
          <w:sz w:val="32"/>
          <w:szCs w:val="32"/>
          <w14:textFill>
            <w14:solidFill>
              <w14:schemeClr w14:val="tx1"/>
            </w14:solidFill>
          </w14:textFill>
        </w:rPr>
        <w:t>3.</w:t>
      </w:r>
      <w:r>
        <w:rPr>
          <w:rFonts w:hint="eastAsia" w:asciiTheme="majorEastAsia" w:hAnsiTheme="majorEastAsia" w:eastAsiaTheme="majorEastAsia"/>
          <w:bCs/>
          <w:color w:val="000000" w:themeColor="text1"/>
          <w:sz w:val="32"/>
          <w:szCs w:val="32"/>
          <w:lang w:val="zh-CN"/>
          <w14:textFill>
            <w14:solidFill>
              <w14:schemeClr w14:val="tx1"/>
            </w14:solidFill>
          </w14:textFill>
        </w:rPr>
        <w:t>项目联系方式</w:t>
      </w:r>
    </w:p>
    <w:p w14:paraId="4C082031">
      <w:pPr>
        <w:pStyle w:val="2"/>
        <w:spacing w:after="0" w:line="460" w:lineRule="exact"/>
        <w:ind w:firstLine="640" w:firstLineChars="200"/>
        <w:rPr>
          <w:rFonts w:asciiTheme="majorEastAsia" w:hAnsiTheme="majorEastAsia" w:eastAsiaTheme="majorEastAsia"/>
          <w:bCs/>
          <w:color w:val="000000" w:themeColor="text1"/>
          <w:sz w:val="32"/>
          <w:szCs w:val="32"/>
          <w14:textFill>
            <w14:solidFill>
              <w14:schemeClr w14:val="tx1"/>
            </w14:solidFill>
          </w14:textFill>
        </w:rPr>
      </w:pPr>
      <w:r>
        <w:rPr>
          <w:rFonts w:hint="eastAsia" w:asciiTheme="majorEastAsia" w:hAnsiTheme="majorEastAsia" w:eastAsiaTheme="majorEastAsia"/>
          <w:bCs/>
          <w:color w:val="000000" w:themeColor="text1"/>
          <w:sz w:val="32"/>
          <w:szCs w:val="32"/>
          <w:lang w:val="zh-CN"/>
          <w14:textFill>
            <w14:solidFill>
              <w14:schemeClr w14:val="tx1"/>
            </w14:solidFill>
          </w14:textFill>
        </w:rPr>
        <w:t>项目联系人：</w:t>
      </w:r>
      <w:r>
        <w:rPr>
          <w:rFonts w:hint="eastAsia" w:asciiTheme="majorEastAsia" w:hAnsiTheme="majorEastAsia" w:eastAsiaTheme="majorEastAsia"/>
          <w:bCs/>
          <w:color w:val="000000" w:themeColor="text1"/>
          <w:sz w:val="32"/>
          <w:szCs w:val="32"/>
          <w:lang w:eastAsia="zh-CN"/>
          <w14:textFill>
            <w14:solidFill>
              <w14:schemeClr w14:val="tx1"/>
            </w14:solidFill>
          </w14:textFill>
        </w:rPr>
        <w:t>泰兴市自然资源和规划局</w:t>
      </w:r>
      <w:r>
        <w:rPr>
          <w:rFonts w:hint="eastAsia" w:asciiTheme="majorEastAsia" w:hAnsiTheme="majorEastAsia" w:eastAsiaTheme="majorEastAsia"/>
          <w:bCs/>
          <w:color w:val="000000" w:themeColor="text1"/>
          <w:sz w:val="32"/>
          <w:szCs w:val="32"/>
          <w14:textFill>
            <w14:solidFill>
              <w14:schemeClr w14:val="tx1"/>
            </w14:solidFill>
          </w14:textFill>
        </w:rPr>
        <w:t xml:space="preserve">    </w:t>
      </w:r>
      <w:r>
        <w:rPr>
          <w:rFonts w:hint="eastAsia" w:asciiTheme="majorEastAsia" w:hAnsiTheme="majorEastAsia" w:eastAsiaTheme="majorEastAsia"/>
          <w:bCs/>
          <w:color w:val="000000" w:themeColor="text1"/>
          <w:sz w:val="32"/>
          <w:szCs w:val="32"/>
          <w:lang w:val="en-US" w:eastAsia="zh-CN"/>
          <w14:textFill>
            <w14:solidFill>
              <w14:schemeClr w14:val="tx1"/>
            </w14:solidFill>
          </w14:textFill>
        </w:rPr>
        <w:t>盈亚文</w:t>
      </w:r>
      <w:r>
        <w:rPr>
          <w:rFonts w:hint="eastAsia" w:asciiTheme="majorEastAsia" w:hAnsiTheme="majorEastAsia" w:eastAsiaTheme="majorEastAsia"/>
          <w:bCs/>
          <w:color w:val="000000" w:themeColor="text1"/>
          <w:sz w:val="32"/>
          <w:szCs w:val="32"/>
          <w14:textFill>
            <w14:solidFill>
              <w14:schemeClr w14:val="tx1"/>
            </w14:solidFill>
          </w14:textFill>
        </w:rPr>
        <w:t xml:space="preserve">  </w:t>
      </w:r>
    </w:p>
    <w:p w14:paraId="55503300">
      <w:pPr>
        <w:pStyle w:val="2"/>
        <w:spacing w:after="0" w:line="460" w:lineRule="exact"/>
        <w:ind w:firstLine="640" w:firstLineChars="200"/>
        <w:rPr>
          <w:rFonts w:asciiTheme="majorEastAsia" w:hAnsiTheme="majorEastAsia" w:eastAsiaTheme="majorEastAsia"/>
          <w:bCs/>
          <w:color w:val="000000" w:themeColor="text1"/>
          <w:sz w:val="32"/>
          <w:szCs w:val="32"/>
          <w14:textFill>
            <w14:solidFill>
              <w14:schemeClr w14:val="tx1"/>
            </w14:solidFill>
          </w14:textFill>
        </w:rPr>
      </w:pPr>
      <w:r>
        <w:rPr>
          <w:rFonts w:hint="eastAsia" w:asciiTheme="majorEastAsia" w:hAnsiTheme="majorEastAsia" w:eastAsiaTheme="majorEastAsia"/>
          <w:bCs/>
          <w:color w:val="000000" w:themeColor="text1"/>
          <w:sz w:val="32"/>
          <w:szCs w:val="32"/>
          <w:lang w:val="zh-CN"/>
          <w14:textFill>
            <w14:solidFill>
              <w14:schemeClr w14:val="tx1"/>
            </w14:solidFill>
          </w14:textFill>
        </w:rPr>
        <w:t>电</w:t>
      </w:r>
      <w:r>
        <w:rPr>
          <w:rFonts w:hint="eastAsia" w:asciiTheme="majorEastAsia" w:hAnsiTheme="majorEastAsia" w:eastAsiaTheme="majorEastAsia"/>
          <w:bCs/>
          <w:color w:val="000000" w:themeColor="text1"/>
          <w:sz w:val="32"/>
          <w:szCs w:val="32"/>
          <w:lang w:val="zh-CN"/>
          <w14:textFill>
            <w14:solidFill>
              <w14:schemeClr w14:val="tx1"/>
            </w14:solidFill>
          </w14:textFill>
        </w:rPr>
        <w:tab/>
      </w:r>
      <w:r>
        <w:rPr>
          <w:rFonts w:hint="eastAsia" w:asciiTheme="majorEastAsia" w:hAnsiTheme="majorEastAsia" w:eastAsiaTheme="majorEastAsia"/>
          <w:bCs/>
          <w:color w:val="000000" w:themeColor="text1"/>
          <w:sz w:val="32"/>
          <w:szCs w:val="32"/>
          <w:lang w:val="zh-CN"/>
          <w14:textFill>
            <w14:solidFill>
              <w14:schemeClr w14:val="tx1"/>
            </w14:solidFill>
          </w14:textFill>
        </w:rPr>
        <w:t>话：</w:t>
      </w:r>
      <w:r>
        <w:rPr>
          <w:rFonts w:hint="eastAsia" w:asciiTheme="majorEastAsia" w:hAnsiTheme="majorEastAsia" w:eastAsiaTheme="majorEastAsia"/>
          <w:bCs/>
          <w:color w:val="auto"/>
          <w:sz w:val="32"/>
          <w:szCs w:val="32"/>
          <w:lang w:val="en-US" w:eastAsia="zh-CN"/>
        </w:rPr>
        <w:t>0523-80125617</w:t>
      </w:r>
      <w:r>
        <w:rPr>
          <w:rFonts w:hint="eastAsia" w:asciiTheme="majorEastAsia" w:hAnsiTheme="majorEastAsia" w:eastAsiaTheme="majorEastAsia"/>
          <w:bCs/>
          <w:color w:val="000000" w:themeColor="text1"/>
          <w:sz w:val="32"/>
          <w:szCs w:val="32"/>
          <w14:textFill>
            <w14:solidFill>
              <w14:schemeClr w14:val="tx1"/>
            </w14:solidFill>
          </w14:textFill>
        </w:rPr>
        <w:t xml:space="preserve">  </w:t>
      </w:r>
    </w:p>
    <w:p w14:paraId="4974F535">
      <w:pPr>
        <w:pStyle w:val="2"/>
        <w:spacing w:after="0" w:line="460" w:lineRule="exact"/>
        <w:ind w:firstLine="640" w:firstLineChars="200"/>
        <w:rPr>
          <w:rFonts w:hint="eastAsia" w:asciiTheme="majorEastAsia" w:hAnsiTheme="majorEastAsia" w:eastAsiaTheme="majorEastAsia"/>
          <w:bCs/>
          <w:color w:val="000000" w:themeColor="text1"/>
          <w:sz w:val="32"/>
          <w:szCs w:val="32"/>
          <w:lang w:eastAsia="zh-CN"/>
          <w14:textFill>
            <w14:solidFill>
              <w14:schemeClr w14:val="tx1"/>
            </w14:solidFill>
          </w14:textFill>
        </w:rPr>
      </w:pPr>
      <w:r>
        <w:rPr>
          <w:rFonts w:hint="eastAsia" w:asciiTheme="majorEastAsia" w:hAnsiTheme="majorEastAsia" w:eastAsiaTheme="majorEastAsia"/>
          <w:bCs/>
          <w:color w:val="000000" w:themeColor="text1"/>
          <w:sz w:val="32"/>
          <w:szCs w:val="32"/>
          <w:lang w:val="zh-CN"/>
          <w14:textFill>
            <w14:solidFill>
              <w14:schemeClr w14:val="tx1"/>
            </w14:solidFill>
          </w14:textFill>
        </w:rPr>
        <w:t>项目联系人：江苏鑫澄工程管理有限公司</w:t>
      </w:r>
      <w:r>
        <w:rPr>
          <w:rFonts w:hint="eastAsia" w:asciiTheme="majorEastAsia" w:hAnsiTheme="majorEastAsia" w:eastAsiaTheme="majorEastAsia"/>
          <w:bCs/>
          <w:color w:val="000000" w:themeColor="text1"/>
          <w:sz w:val="32"/>
          <w:szCs w:val="32"/>
          <w14:textFill>
            <w14:solidFill>
              <w14:schemeClr w14:val="tx1"/>
            </w14:solidFill>
          </w14:textFill>
        </w:rPr>
        <w:t xml:space="preserve">  </w:t>
      </w:r>
      <w:r>
        <w:rPr>
          <w:rFonts w:hint="eastAsia" w:asciiTheme="majorEastAsia" w:hAnsiTheme="majorEastAsia" w:eastAsiaTheme="majorEastAsia"/>
          <w:bCs/>
          <w:color w:val="000000" w:themeColor="text1"/>
          <w:sz w:val="32"/>
          <w:szCs w:val="32"/>
          <w:lang w:val="en-US" w:eastAsia="zh-CN"/>
          <w14:textFill>
            <w14:solidFill>
              <w14:schemeClr w14:val="tx1"/>
            </w14:solidFill>
          </w14:textFill>
        </w:rPr>
        <w:t>殷  浩</w:t>
      </w:r>
    </w:p>
    <w:p w14:paraId="4D369029">
      <w:pPr>
        <w:pStyle w:val="2"/>
        <w:spacing w:after="0" w:line="460" w:lineRule="exact"/>
        <w:ind w:firstLine="640" w:firstLineChars="200"/>
        <w:rPr>
          <w:rFonts w:asciiTheme="majorEastAsia" w:hAnsiTheme="majorEastAsia" w:eastAsiaTheme="majorEastAsia"/>
          <w:bCs/>
          <w:color w:val="000000" w:themeColor="text1"/>
          <w:sz w:val="32"/>
          <w:szCs w:val="32"/>
          <w14:textFill>
            <w14:solidFill>
              <w14:schemeClr w14:val="tx1"/>
            </w14:solidFill>
          </w14:textFill>
        </w:rPr>
      </w:pPr>
      <w:r>
        <w:rPr>
          <w:rFonts w:hint="eastAsia" w:asciiTheme="majorEastAsia" w:hAnsiTheme="majorEastAsia" w:eastAsiaTheme="majorEastAsia"/>
          <w:bCs/>
          <w:color w:val="000000" w:themeColor="text1"/>
          <w:sz w:val="32"/>
          <w:szCs w:val="32"/>
          <w:lang w:val="zh-CN"/>
          <w14:textFill>
            <w14:solidFill>
              <w14:schemeClr w14:val="tx1"/>
            </w14:solidFill>
          </w14:textFill>
        </w:rPr>
        <w:t>电</w:t>
      </w:r>
      <w:r>
        <w:rPr>
          <w:rFonts w:hint="eastAsia" w:asciiTheme="majorEastAsia" w:hAnsiTheme="majorEastAsia" w:eastAsiaTheme="majorEastAsia"/>
          <w:bCs/>
          <w:color w:val="000000" w:themeColor="text1"/>
          <w:sz w:val="32"/>
          <w:szCs w:val="32"/>
          <w:lang w:val="zh-CN"/>
          <w14:textFill>
            <w14:solidFill>
              <w14:schemeClr w14:val="tx1"/>
            </w14:solidFill>
          </w14:textFill>
        </w:rPr>
        <w:tab/>
      </w:r>
      <w:r>
        <w:rPr>
          <w:rFonts w:hint="eastAsia" w:asciiTheme="majorEastAsia" w:hAnsiTheme="majorEastAsia" w:eastAsiaTheme="majorEastAsia"/>
          <w:bCs/>
          <w:color w:val="000000" w:themeColor="text1"/>
          <w:sz w:val="32"/>
          <w:szCs w:val="32"/>
          <w:lang w:val="zh-CN"/>
          <w14:textFill>
            <w14:solidFill>
              <w14:schemeClr w14:val="tx1"/>
            </w14:solidFill>
          </w14:textFill>
        </w:rPr>
        <w:t>话：0523-87883976</w:t>
      </w:r>
    </w:p>
    <w:p w14:paraId="007C9A72">
      <w:pPr>
        <w:widowControl/>
        <w:jc w:val="center"/>
        <w:rPr>
          <w:rFonts w:ascii="黑体" w:hAnsi="黑体" w:eastAsia="黑体"/>
          <w:b/>
          <w:color w:val="000000" w:themeColor="text1"/>
          <w:sz w:val="32"/>
          <w:szCs w:val="32"/>
          <w14:textFill>
            <w14:solidFill>
              <w14:schemeClr w14:val="tx1"/>
            </w14:solidFill>
          </w14:textFill>
        </w:rPr>
      </w:pPr>
      <w:bookmarkStart w:id="35" w:name="_Toc426469869"/>
      <w:bookmarkStart w:id="36" w:name="_Toc382812472"/>
      <w:bookmarkStart w:id="37" w:name="_Toc20823272"/>
      <w:bookmarkStart w:id="38" w:name="_Toc479757206"/>
      <w:bookmarkStart w:id="39" w:name="_Toc16938516"/>
      <w:bookmarkStart w:id="40" w:name="_Toc382813966"/>
      <w:bookmarkStart w:id="41" w:name="_Toc513029200"/>
      <w:bookmarkStart w:id="42" w:name="_Toc382813885"/>
      <w:bookmarkStart w:id="43" w:name="_Toc523127445"/>
      <w:r>
        <w:rPr>
          <w:rFonts w:ascii="黑体" w:hAnsi="黑体" w:eastAsia="黑体"/>
          <w:b/>
          <w:color w:val="000000" w:themeColor="text1"/>
          <w:sz w:val="32"/>
          <w:szCs w:val="32"/>
          <w14:textFill>
            <w14:solidFill>
              <w14:schemeClr w14:val="tx1"/>
            </w14:solidFill>
          </w14:textFill>
        </w:rPr>
        <w:br w:type="page"/>
      </w:r>
      <w:r>
        <w:rPr>
          <w:rFonts w:hint="eastAsia" w:ascii="黑体" w:hAnsi="黑体" w:eastAsia="黑体"/>
          <w:b/>
          <w:color w:val="000000" w:themeColor="text1"/>
          <w:sz w:val="32"/>
          <w:szCs w:val="32"/>
          <w14:textFill>
            <w14:solidFill>
              <w14:schemeClr w14:val="tx1"/>
            </w14:solidFill>
          </w14:textFill>
        </w:rPr>
        <w:t>第二章</w:t>
      </w:r>
      <w:r>
        <w:rPr>
          <w:rFonts w:ascii="黑体" w:hAnsi="黑体" w:eastAsia="黑体"/>
          <w:b/>
          <w:color w:val="000000" w:themeColor="text1"/>
          <w:sz w:val="32"/>
          <w:szCs w:val="32"/>
          <w14:textFill>
            <w14:solidFill>
              <w14:schemeClr w14:val="tx1"/>
            </w14:solidFill>
          </w14:textFill>
        </w:rPr>
        <w:t xml:space="preserve"> </w:t>
      </w:r>
      <w:r>
        <w:rPr>
          <w:rFonts w:hint="eastAsia" w:ascii="黑体" w:hAnsi="黑体" w:eastAsia="黑体"/>
          <w:b/>
          <w:color w:val="000000" w:themeColor="text1"/>
          <w:sz w:val="32"/>
          <w:szCs w:val="32"/>
          <w14:textFill>
            <w14:solidFill>
              <w14:schemeClr w14:val="tx1"/>
            </w14:solidFill>
          </w14:textFill>
        </w:rPr>
        <w:t>供应商须知</w:t>
      </w:r>
      <w:bookmarkEnd w:id="35"/>
    </w:p>
    <w:p w14:paraId="4146CE5F">
      <w:pPr>
        <w:rPr>
          <w:color w:val="000000" w:themeColor="text1"/>
          <w:sz w:val="28"/>
          <w:szCs w:val="28"/>
          <w14:textFill>
            <w14:solidFill>
              <w14:schemeClr w14:val="tx1"/>
            </w14:solidFill>
          </w14:textFill>
        </w:rPr>
      </w:pPr>
      <w:bookmarkStart w:id="44" w:name="_Toc426469870"/>
      <w:r>
        <w:rPr>
          <w:rFonts w:hint="eastAsia"/>
          <w:color w:val="000000" w:themeColor="text1"/>
          <w:sz w:val="28"/>
          <w:szCs w:val="28"/>
          <w14:textFill>
            <w14:solidFill>
              <w14:schemeClr w14:val="tx1"/>
            </w14:solidFill>
          </w14:textFill>
        </w:rPr>
        <w:t>供应商须知前附表</w:t>
      </w:r>
      <w:bookmarkEnd w:id="44"/>
    </w:p>
    <w:tbl>
      <w:tblPr>
        <w:tblStyle w:val="22"/>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9"/>
        <w:gridCol w:w="2521"/>
        <w:gridCol w:w="31"/>
        <w:gridCol w:w="5987"/>
      </w:tblGrid>
      <w:tr w14:paraId="05A28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089" w:type="dxa"/>
            <w:vAlign w:val="center"/>
          </w:tcPr>
          <w:p w14:paraId="0CCBA4E8">
            <w:pPr>
              <w:spacing w:line="360" w:lineRule="exact"/>
              <w:jc w:val="center"/>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条款号</w:t>
            </w:r>
          </w:p>
        </w:tc>
        <w:tc>
          <w:tcPr>
            <w:tcW w:w="2552" w:type="dxa"/>
            <w:gridSpan w:val="2"/>
            <w:vAlign w:val="center"/>
          </w:tcPr>
          <w:p w14:paraId="74E535B7">
            <w:pPr>
              <w:spacing w:line="360" w:lineRule="exact"/>
              <w:jc w:val="center"/>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条</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款</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名</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称</w:t>
            </w:r>
          </w:p>
        </w:tc>
        <w:tc>
          <w:tcPr>
            <w:tcW w:w="5987" w:type="dxa"/>
            <w:vAlign w:val="center"/>
          </w:tcPr>
          <w:p w14:paraId="209EF00C">
            <w:pPr>
              <w:spacing w:line="360" w:lineRule="exact"/>
              <w:jc w:val="center"/>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编</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列</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内</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容</w:t>
            </w:r>
          </w:p>
        </w:tc>
      </w:tr>
      <w:tr w14:paraId="0FD92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3" w:hRule="atLeast"/>
          <w:jc w:val="center"/>
        </w:trPr>
        <w:tc>
          <w:tcPr>
            <w:tcW w:w="1089" w:type="dxa"/>
            <w:vAlign w:val="center"/>
          </w:tcPr>
          <w:p w14:paraId="05BA16D2">
            <w:pPr>
              <w:spacing w:line="360" w:lineRule="exact"/>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1.1.2</w:t>
            </w:r>
          </w:p>
        </w:tc>
        <w:tc>
          <w:tcPr>
            <w:tcW w:w="2552" w:type="dxa"/>
            <w:gridSpan w:val="2"/>
            <w:vAlign w:val="center"/>
          </w:tcPr>
          <w:p w14:paraId="58F98ADB">
            <w:pPr>
              <w:spacing w:line="360" w:lineRule="exact"/>
              <w:jc w:val="center"/>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招标人</w:t>
            </w:r>
          </w:p>
        </w:tc>
        <w:tc>
          <w:tcPr>
            <w:tcW w:w="5987" w:type="dxa"/>
            <w:vAlign w:val="center"/>
          </w:tcPr>
          <w:p w14:paraId="07F7D809">
            <w:pPr>
              <w:spacing w:line="360" w:lineRule="exact"/>
              <w:jc w:val="left"/>
              <w:rPr>
                <w:rFonts w:hint="eastAsia" w:ascii="宋体" w:hAnsi="宋体" w:eastAsia="宋体"/>
                <w:color w:val="000000" w:themeColor="text1"/>
                <w:sz w:val="28"/>
                <w:szCs w:val="28"/>
                <w:lang w:eastAsia="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名 称：</w:t>
            </w:r>
            <w:r>
              <w:rPr>
                <w:rFonts w:hint="eastAsia" w:ascii="宋体" w:hAnsi="宋体"/>
                <w:color w:val="000000" w:themeColor="text1"/>
                <w:sz w:val="28"/>
                <w:szCs w:val="28"/>
                <w:lang w:eastAsia="zh-CN"/>
                <w14:textFill>
                  <w14:solidFill>
                    <w14:schemeClr w14:val="tx1"/>
                  </w14:solidFill>
                </w14:textFill>
              </w:rPr>
              <w:t>泰兴市自然资源和规划局</w:t>
            </w:r>
          </w:p>
          <w:p w14:paraId="79D78CB2">
            <w:pPr>
              <w:spacing w:line="360" w:lineRule="exact"/>
              <w:jc w:val="lef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地 址：</w:t>
            </w:r>
            <w:r>
              <w:rPr>
                <w:rFonts w:hint="eastAsia" w:ascii="宋体" w:hAnsi="宋体"/>
                <w:color w:val="000000" w:themeColor="text1"/>
                <w:sz w:val="28"/>
                <w:szCs w:val="28"/>
                <w:lang w:eastAsia="zh-CN"/>
                <w14:textFill>
                  <w14:solidFill>
                    <w14:schemeClr w14:val="tx1"/>
                  </w14:solidFill>
                </w14:textFill>
              </w:rPr>
              <w:t>泰兴</w:t>
            </w:r>
            <w:r>
              <w:rPr>
                <w:rFonts w:hint="eastAsia" w:ascii="宋体" w:hAnsi="宋体"/>
                <w:color w:val="000000" w:themeColor="text1"/>
                <w:sz w:val="28"/>
                <w:szCs w:val="28"/>
                <w14:textFill>
                  <w14:solidFill>
                    <w14:schemeClr w14:val="tx1"/>
                  </w14:solidFill>
                </w14:textFill>
              </w:rPr>
              <w:t>市</w:t>
            </w:r>
            <w:r>
              <w:rPr>
                <w:rFonts w:hint="eastAsia" w:ascii="宋体" w:hAnsi="宋体"/>
                <w:color w:val="000000" w:themeColor="text1"/>
                <w:sz w:val="28"/>
                <w:szCs w:val="28"/>
                <w:lang w:val="en-US" w:eastAsia="zh-CN"/>
                <w14:textFill>
                  <w14:solidFill>
                    <w14:schemeClr w14:val="tx1"/>
                  </w14:solidFill>
                </w14:textFill>
              </w:rPr>
              <w:t>文昌东路6号</w:t>
            </w:r>
          </w:p>
          <w:p w14:paraId="11FFA5B3">
            <w:pPr>
              <w:spacing w:line="360" w:lineRule="exact"/>
              <w:jc w:val="lef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联系人：盈亚文</w:t>
            </w:r>
          </w:p>
          <w:p w14:paraId="74F35CBE">
            <w:pPr>
              <w:spacing w:line="360" w:lineRule="exact"/>
              <w:jc w:val="left"/>
              <w:rPr>
                <w:rFonts w:ascii="宋体" w:hAnsi="宋体"/>
                <w:color w:val="000000" w:themeColor="text1"/>
                <w:sz w:val="28"/>
                <w:szCs w:val="28"/>
                <w:highlight w:val="yellow"/>
                <w14:textFill>
                  <w14:solidFill>
                    <w14:schemeClr w14:val="tx1"/>
                  </w14:solidFill>
                </w14:textFill>
              </w:rPr>
            </w:pPr>
            <w:r>
              <w:rPr>
                <w:rFonts w:hint="eastAsia" w:ascii="宋体" w:hAnsi="宋体"/>
                <w:color w:val="000000" w:themeColor="text1"/>
                <w:sz w:val="28"/>
                <w:szCs w:val="28"/>
                <w14:textFill>
                  <w14:solidFill>
                    <w14:schemeClr w14:val="tx1"/>
                  </w14:solidFill>
                </w14:textFill>
              </w:rPr>
              <w:t>联系电话：0523-80125617</w:t>
            </w:r>
          </w:p>
        </w:tc>
      </w:tr>
      <w:tr w14:paraId="18A78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jc w:val="center"/>
        </w:trPr>
        <w:tc>
          <w:tcPr>
            <w:tcW w:w="1089" w:type="dxa"/>
            <w:vAlign w:val="center"/>
          </w:tcPr>
          <w:p w14:paraId="7C83D356">
            <w:pPr>
              <w:spacing w:line="360" w:lineRule="exact"/>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1.1.3</w:t>
            </w:r>
          </w:p>
        </w:tc>
        <w:tc>
          <w:tcPr>
            <w:tcW w:w="2552" w:type="dxa"/>
            <w:gridSpan w:val="2"/>
            <w:vAlign w:val="center"/>
          </w:tcPr>
          <w:p w14:paraId="2EF116B2">
            <w:pPr>
              <w:spacing w:line="360" w:lineRule="exact"/>
              <w:jc w:val="center"/>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采购代理机构</w:t>
            </w:r>
          </w:p>
        </w:tc>
        <w:tc>
          <w:tcPr>
            <w:tcW w:w="5987" w:type="dxa"/>
            <w:vAlign w:val="center"/>
          </w:tcPr>
          <w:p w14:paraId="4DA604EA">
            <w:pPr>
              <w:spacing w:line="360" w:lineRule="exact"/>
              <w:jc w:val="left"/>
              <w:rPr>
                <w:rFonts w:hint="eastAsia" w:ascii="宋体" w:eastAsia="宋体"/>
                <w:color w:val="000000" w:themeColor="text1"/>
                <w:sz w:val="28"/>
                <w:szCs w:val="28"/>
                <w:lang w:eastAsia="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名称：</w:t>
            </w:r>
            <w:r>
              <w:rPr>
                <w:rFonts w:hint="eastAsia" w:ascii="宋体" w:hAnsi="宋体"/>
                <w:color w:val="000000" w:themeColor="text1"/>
                <w:sz w:val="28"/>
                <w:szCs w:val="28"/>
                <w:lang w:eastAsia="zh-CN"/>
                <w14:textFill>
                  <w14:solidFill>
                    <w14:schemeClr w14:val="tx1"/>
                  </w14:solidFill>
                </w14:textFill>
              </w:rPr>
              <w:t>江苏鑫澄工程管理有限公司</w:t>
            </w:r>
          </w:p>
          <w:p w14:paraId="4E955E94">
            <w:pPr>
              <w:spacing w:line="360" w:lineRule="exact"/>
              <w:jc w:val="lef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地址：泰兴市鼓楼新天地商业大厦828室</w:t>
            </w:r>
          </w:p>
          <w:p w14:paraId="6041EFB1">
            <w:pPr>
              <w:spacing w:line="360" w:lineRule="exact"/>
              <w:jc w:val="left"/>
              <w:rPr>
                <w:rFonts w:hint="eastAsia" w:ascii="宋体" w:eastAsia="宋体"/>
                <w:color w:val="000000" w:themeColor="text1"/>
                <w:sz w:val="28"/>
                <w:szCs w:val="28"/>
                <w:lang w:val="en-US" w:eastAsia="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联系人：</w:t>
            </w:r>
            <w:r>
              <w:rPr>
                <w:rFonts w:hint="eastAsia" w:ascii="宋体" w:hAnsi="宋体"/>
                <w:color w:val="000000" w:themeColor="text1"/>
                <w:sz w:val="28"/>
                <w:szCs w:val="28"/>
                <w:lang w:val="en-US" w:eastAsia="zh-CN"/>
                <w14:textFill>
                  <w14:solidFill>
                    <w14:schemeClr w14:val="tx1"/>
                  </w14:solidFill>
                </w14:textFill>
              </w:rPr>
              <w:t>殷浩</w:t>
            </w:r>
          </w:p>
          <w:p w14:paraId="5497BF9E">
            <w:pPr>
              <w:spacing w:line="360" w:lineRule="exact"/>
              <w:jc w:val="lef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联系电话：0523-87883976</w:t>
            </w:r>
          </w:p>
        </w:tc>
      </w:tr>
      <w:tr w14:paraId="198F8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1089" w:type="dxa"/>
            <w:vAlign w:val="center"/>
          </w:tcPr>
          <w:p w14:paraId="48977E3C">
            <w:pPr>
              <w:spacing w:line="360" w:lineRule="exact"/>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1.1.4</w:t>
            </w:r>
          </w:p>
        </w:tc>
        <w:tc>
          <w:tcPr>
            <w:tcW w:w="2552" w:type="dxa"/>
            <w:gridSpan w:val="2"/>
            <w:vAlign w:val="center"/>
          </w:tcPr>
          <w:p w14:paraId="0726B6DF">
            <w:pPr>
              <w:spacing w:line="360" w:lineRule="exact"/>
              <w:jc w:val="center"/>
              <w:rPr>
                <w:rFonts w:ascii="宋体"/>
                <w:color w:val="FF0000"/>
                <w:sz w:val="28"/>
                <w:szCs w:val="28"/>
              </w:rPr>
            </w:pPr>
            <w:r>
              <w:rPr>
                <w:rFonts w:hint="eastAsia" w:ascii="宋体" w:hAnsi="宋体"/>
                <w:color w:val="FF0000"/>
                <w:sz w:val="28"/>
                <w:szCs w:val="28"/>
              </w:rPr>
              <w:t>项目名称及项目编号</w:t>
            </w:r>
          </w:p>
        </w:tc>
        <w:tc>
          <w:tcPr>
            <w:tcW w:w="5987" w:type="dxa"/>
            <w:vAlign w:val="center"/>
          </w:tcPr>
          <w:p w14:paraId="3C0BC976">
            <w:pPr>
              <w:spacing w:line="360" w:lineRule="exact"/>
              <w:rPr>
                <w:rFonts w:hint="eastAsia" w:ascii="仿宋" w:hAnsi="仿宋" w:eastAsia="宋体" w:cs="仿宋"/>
                <w:bCs/>
                <w:color w:val="FF0000"/>
                <w:sz w:val="32"/>
                <w:szCs w:val="32"/>
                <w:lang w:eastAsia="zh-CN"/>
              </w:rPr>
            </w:pPr>
            <w:r>
              <w:rPr>
                <w:rFonts w:hint="eastAsia" w:ascii="宋体" w:hAnsi="宋体"/>
                <w:color w:val="FF0000"/>
                <w:sz w:val="28"/>
                <w:szCs w:val="28"/>
              </w:rPr>
              <w:t>项目名称：</w:t>
            </w:r>
            <w:r>
              <w:rPr>
                <w:rFonts w:hint="eastAsia" w:ascii="宋体" w:hAnsi="宋体"/>
                <w:color w:val="FF0000"/>
                <w:sz w:val="28"/>
                <w:szCs w:val="28"/>
                <w:lang w:eastAsia="zh-CN"/>
              </w:rPr>
              <w:t>泰兴市2024年度补充耕地项目客土质量抽样检测</w:t>
            </w:r>
          </w:p>
          <w:p w14:paraId="590A349A">
            <w:pPr>
              <w:spacing w:line="360" w:lineRule="exact"/>
              <w:jc w:val="left"/>
              <w:rPr>
                <w:rFonts w:hint="eastAsia" w:ascii="宋体" w:eastAsia="宋体"/>
                <w:color w:val="FF0000"/>
                <w:sz w:val="28"/>
                <w:szCs w:val="28"/>
                <w:lang w:eastAsia="zh-CN"/>
              </w:rPr>
            </w:pPr>
            <w:r>
              <w:rPr>
                <w:rFonts w:hint="eastAsia" w:ascii="宋体" w:hAnsi="宋体"/>
                <w:color w:val="FF0000"/>
                <w:sz w:val="28"/>
                <w:szCs w:val="28"/>
              </w:rPr>
              <w:t>项目编号：JSZC-321283-TXXC-G2024-0011</w:t>
            </w:r>
            <w:r>
              <w:rPr>
                <w:rFonts w:hint="eastAsia" w:ascii="宋体" w:hAnsi="宋体"/>
                <w:color w:val="FF0000"/>
                <w:sz w:val="28"/>
                <w:szCs w:val="28"/>
                <w:lang w:val="en-US" w:eastAsia="zh-CN"/>
              </w:rPr>
              <w:t xml:space="preserve"> </w:t>
            </w:r>
          </w:p>
        </w:tc>
      </w:tr>
      <w:tr w14:paraId="4532F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089" w:type="dxa"/>
            <w:vAlign w:val="center"/>
          </w:tcPr>
          <w:p w14:paraId="1258C3B6">
            <w:pPr>
              <w:spacing w:line="380" w:lineRule="exact"/>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1.2.</w:t>
            </w:r>
            <w:r>
              <w:rPr>
                <w:rFonts w:hint="eastAsia" w:ascii="宋体" w:hAnsi="宋体"/>
                <w:color w:val="000000" w:themeColor="text1"/>
                <w:sz w:val="28"/>
                <w:szCs w:val="28"/>
                <w14:textFill>
                  <w14:solidFill>
                    <w14:schemeClr w14:val="tx1"/>
                  </w14:solidFill>
                </w14:textFill>
              </w:rPr>
              <w:t>1</w:t>
            </w:r>
          </w:p>
        </w:tc>
        <w:tc>
          <w:tcPr>
            <w:tcW w:w="2552" w:type="dxa"/>
            <w:gridSpan w:val="2"/>
            <w:vAlign w:val="center"/>
          </w:tcPr>
          <w:p w14:paraId="6E2C26A2">
            <w:pPr>
              <w:spacing w:line="380" w:lineRule="exact"/>
              <w:jc w:val="center"/>
              <w:rPr>
                <w:rFonts w:ascii="宋体"/>
                <w:color w:val="auto"/>
                <w:sz w:val="28"/>
                <w:szCs w:val="28"/>
              </w:rPr>
            </w:pPr>
            <w:r>
              <w:rPr>
                <w:rFonts w:hint="eastAsia" w:ascii="宋体" w:hAnsi="宋体"/>
                <w:color w:val="auto"/>
                <w:sz w:val="28"/>
                <w:szCs w:val="28"/>
              </w:rPr>
              <w:t>付款方式</w:t>
            </w:r>
          </w:p>
        </w:tc>
        <w:tc>
          <w:tcPr>
            <w:tcW w:w="5987" w:type="dxa"/>
            <w:vAlign w:val="center"/>
          </w:tcPr>
          <w:p w14:paraId="082CEBD2">
            <w:pPr>
              <w:adjustRightInd w:val="0"/>
              <w:snapToGrid w:val="0"/>
              <w:spacing w:line="420" w:lineRule="exact"/>
              <w:jc w:val="left"/>
              <w:rPr>
                <w:rFonts w:ascii="宋体"/>
                <w:color w:val="auto"/>
                <w:sz w:val="28"/>
                <w:szCs w:val="28"/>
              </w:rPr>
            </w:pPr>
            <w:r>
              <w:rPr>
                <w:rFonts w:hint="eastAsia" w:ascii="宋体"/>
                <w:color w:val="auto"/>
                <w:sz w:val="28"/>
                <w:szCs w:val="28"/>
                <w:lang w:val="en-US" w:eastAsia="zh-CN"/>
              </w:rPr>
              <w:t>抽样检测报告出具后，按检测面积支付30%的费用，余款按验收新增耕地确认面积一次性支付。</w:t>
            </w:r>
          </w:p>
        </w:tc>
      </w:tr>
      <w:tr w14:paraId="10734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089" w:type="dxa"/>
            <w:vAlign w:val="center"/>
          </w:tcPr>
          <w:p w14:paraId="5D5F78AB">
            <w:pPr>
              <w:spacing w:line="360" w:lineRule="exact"/>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1.3.1</w:t>
            </w:r>
          </w:p>
        </w:tc>
        <w:tc>
          <w:tcPr>
            <w:tcW w:w="2552" w:type="dxa"/>
            <w:gridSpan w:val="2"/>
            <w:vAlign w:val="center"/>
          </w:tcPr>
          <w:p w14:paraId="76AECC98">
            <w:pPr>
              <w:spacing w:line="360" w:lineRule="exact"/>
              <w:jc w:val="center"/>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采购范围</w:t>
            </w:r>
          </w:p>
        </w:tc>
        <w:tc>
          <w:tcPr>
            <w:tcW w:w="5987" w:type="dxa"/>
            <w:vAlign w:val="center"/>
          </w:tcPr>
          <w:p w14:paraId="15C219D4">
            <w:pPr>
              <w:adjustRightInd w:val="0"/>
              <w:snapToGrid w:val="0"/>
              <w:spacing w:line="420" w:lineRule="exact"/>
              <w:jc w:val="lef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按照《</w:t>
            </w:r>
            <w:r>
              <w:rPr>
                <w:rFonts w:hint="eastAsia" w:ascii="宋体" w:hAnsi="宋体"/>
                <w:color w:val="000000" w:themeColor="text1"/>
                <w:sz w:val="28"/>
                <w:szCs w:val="28"/>
                <w:lang w:eastAsia="zh-CN"/>
                <w14:textFill>
                  <w14:solidFill>
                    <w14:schemeClr w14:val="tx1"/>
                  </w14:solidFill>
                </w14:textFill>
              </w:rPr>
              <w:t>市政府办公室关于做好</w:t>
            </w:r>
            <w:r>
              <w:rPr>
                <w:rFonts w:hint="eastAsia" w:ascii="宋体" w:hAnsi="宋体"/>
                <w:color w:val="000000" w:themeColor="text1"/>
                <w:sz w:val="28"/>
                <w:szCs w:val="28"/>
                <w:lang w:val="en-US" w:eastAsia="zh-CN"/>
                <w14:textFill>
                  <w14:solidFill>
                    <w14:schemeClr w14:val="tx1"/>
                  </w14:solidFill>
                </w14:textFill>
              </w:rPr>
              <w:t>2024年补充耕地实施工作</w:t>
            </w:r>
            <w:r>
              <w:rPr>
                <w:rFonts w:hint="eastAsia" w:ascii="宋体" w:hAnsi="宋体"/>
                <w:color w:val="000000" w:themeColor="text1"/>
                <w:sz w:val="28"/>
                <w:szCs w:val="28"/>
                <w14:textFill>
                  <w14:solidFill>
                    <w14:schemeClr w14:val="tx1"/>
                  </w14:solidFill>
                </w14:textFill>
              </w:rPr>
              <w:t>的通知》（</w:t>
            </w:r>
            <w:r>
              <w:rPr>
                <w:rFonts w:hint="eastAsia" w:ascii="宋体" w:hAnsi="宋体"/>
                <w:color w:val="000000" w:themeColor="text1"/>
                <w:sz w:val="28"/>
                <w:szCs w:val="28"/>
                <w:lang w:eastAsia="zh-CN"/>
                <w14:textFill>
                  <w14:solidFill>
                    <w14:schemeClr w14:val="tx1"/>
                  </w14:solidFill>
                </w14:textFill>
              </w:rPr>
              <w:t>泰政办发</w:t>
            </w:r>
            <w:r>
              <w:rPr>
                <w:rFonts w:hint="eastAsia" w:ascii="宋体" w:hAnsi="宋体"/>
                <w:color w:val="000000" w:themeColor="text1"/>
                <w:sz w:val="28"/>
                <w:szCs w:val="28"/>
                <w14:textFill>
                  <w14:solidFill>
                    <w14:schemeClr w14:val="tx1"/>
                  </w14:solidFill>
                </w14:textFill>
              </w:rPr>
              <w:t>〔202</w:t>
            </w:r>
            <w:r>
              <w:rPr>
                <w:rFonts w:hint="eastAsia" w:ascii="宋体" w:hAnsi="宋体"/>
                <w:color w:val="000000" w:themeColor="text1"/>
                <w:sz w:val="28"/>
                <w:szCs w:val="28"/>
                <w:lang w:val="en-US" w:eastAsia="zh-CN"/>
                <w14:textFill>
                  <w14:solidFill>
                    <w14:schemeClr w14:val="tx1"/>
                  </w14:solidFill>
                </w14:textFill>
              </w:rPr>
              <w:t>4</w:t>
            </w:r>
            <w:r>
              <w:rPr>
                <w:rFonts w:hint="eastAsia" w:ascii="宋体" w:hAnsi="宋体"/>
                <w:color w:val="000000" w:themeColor="text1"/>
                <w:sz w:val="28"/>
                <w:szCs w:val="28"/>
                <w14:textFill>
                  <w14:solidFill>
                    <w14:schemeClr w14:val="tx1"/>
                  </w14:solidFill>
                </w14:textFill>
              </w:rPr>
              <w:t>〕</w:t>
            </w:r>
            <w:r>
              <w:rPr>
                <w:rFonts w:hint="eastAsia" w:ascii="宋体" w:hAnsi="宋体"/>
                <w:color w:val="000000" w:themeColor="text1"/>
                <w:sz w:val="28"/>
                <w:szCs w:val="28"/>
                <w:lang w:val="en-US" w:eastAsia="zh-CN"/>
                <w14:textFill>
                  <w14:solidFill>
                    <w14:schemeClr w14:val="tx1"/>
                  </w14:solidFill>
                </w14:textFill>
              </w:rPr>
              <w:t>21</w:t>
            </w:r>
            <w:r>
              <w:rPr>
                <w:rFonts w:hint="eastAsia" w:ascii="宋体" w:hAnsi="宋体"/>
                <w:color w:val="000000" w:themeColor="text1"/>
                <w:sz w:val="28"/>
                <w:szCs w:val="28"/>
                <w14:textFill>
                  <w14:solidFill>
                    <w14:schemeClr w14:val="tx1"/>
                  </w14:solidFill>
                </w14:textFill>
              </w:rPr>
              <w:t>号）文件要求，</w:t>
            </w:r>
            <w:r>
              <w:rPr>
                <w:rFonts w:hint="eastAsia" w:ascii="宋体" w:hAnsi="宋体"/>
                <w:color w:val="000000" w:themeColor="text1"/>
                <w:sz w:val="28"/>
                <w:szCs w:val="28"/>
                <w:lang w:val="en-US" w:eastAsia="zh-CN"/>
                <w14:textFill>
                  <w14:solidFill>
                    <w14:schemeClr w14:val="tx1"/>
                  </w14:solidFill>
                </w14:textFill>
              </w:rPr>
              <w:t>2024年补充耕地项目涉及利用客土的，项目实施后</w:t>
            </w:r>
            <w:r>
              <w:rPr>
                <w:rFonts w:hint="eastAsia" w:ascii="宋体" w:hAnsi="宋体"/>
                <w:color w:val="000000" w:themeColor="text1"/>
                <w:sz w:val="28"/>
                <w:szCs w:val="28"/>
                <w14:textFill>
                  <w14:solidFill>
                    <w14:schemeClr w14:val="tx1"/>
                  </w14:solidFill>
                </w14:textFill>
              </w:rPr>
              <w:t>须进行</w:t>
            </w:r>
            <w:r>
              <w:rPr>
                <w:rFonts w:hint="eastAsia" w:ascii="宋体" w:hAnsi="宋体"/>
                <w:color w:val="000000" w:themeColor="text1"/>
                <w:sz w:val="28"/>
                <w:szCs w:val="28"/>
                <w:lang w:eastAsia="zh-CN"/>
                <w14:textFill>
                  <w14:solidFill>
                    <w14:schemeClr w14:val="tx1"/>
                  </w14:solidFill>
                </w14:textFill>
              </w:rPr>
              <w:t>客土质量抽样检测。</w:t>
            </w:r>
            <w:r>
              <w:rPr>
                <w:rFonts w:hint="eastAsia" w:asciiTheme="majorEastAsia" w:hAnsiTheme="majorEastAsia" w:eastAsiaTheme="majorEastAsia"/>
                <w:color w:val="000000" w:themeColor="text1"/>
                <w:sz w:val="28"/>
                <w:szCs w:val="28"/>
                <w:lang w:eastAsia="zh-CN"/>
                <w14:textFill>
                  <w14:solidFill>
                    <w14:schemeClr w14:val="tx1"/>
                  </w14:solidFill>
                </w14:textFill>
              </w:rPr>
              <w:t>包一工作量约占补充耕地面积的5</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5</w:t>
            </w:r>
            <w:r>
              <w:rPr>
                <w:rFonts w:hint="eastAsia" w:asciiTheme="majorEastAsia" w:hAnsiTheme="majorEastAsia" w:eastAsiaTheme="majorEastAsia"/>
                <w:color w:val="000000" w:themeColor="text1"/>
                <w:sz w:val="28"/>
                <w:szCs w:val="28"/>
                <w:lang w:eastAsia="zh-CN"/>
                <w14:textFill>
                  <w14:solidFill>
                    <w14:schemeClr w14:val="tx1"/>
                  </w14:solidFill>
                </w14:textFill>
              </w:rPr>
              <w:t>%；包二工作量约占补充耕地面积的</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45</w:t>
            </w:r>
            <w:r>
              <w:rPr>
                <w:rFonts w:hint="eastAsia" w:asciiTheme="majorEastAsia" w:hAnsiTheme="majorEastAsia" w:eastAsiaTheme="majorEastAsia"/>
                <w:color w:val="000000" w:themeColor="text1"/>
                <w:sz w:val="28"/>
                <w:szCs w:val="28"/>
                <w:lang w:eastAsia="zh-CN"/>
                <w14:textFill>
                  <w14:solidFill>
                    <w14:schemeClr w14:val="tx1"/>
                  </w14:solidFill>
                </w14:textFill>
              </w:rPr>
              <w:t>%。</w:t>
            </w:r>
          </w:p>
        </w:tc>
      </w:tr>
      <w:tr w14:paraId="05327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089" w:type="dxa"/>
            <w:vAlign w:val="center"/>
          </w:tcPr>
          <w:p w14:paraId="4C5E76F5">
            <w:pPr>
              <w:spacing w:line="360" w:lineRule="exact"/>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1.3.2</w:t>
            </w:r>
          </w:p>
        </w:tc>
        <w:tc>
          <w:tcPr>
            <w:tcW w:w="2552" w:type="dxa"/>
            <w:gridSpan w:val="2"/>
            <w:vAlign w:val="center"/>
          </w:tcPr>
          <w:p w14:paraId="6F77C3DB">
            <w:pPr>
              <w:spacing w:line="360" w:lineRule="exact"/>
              <w:jc w:val="center"/>
              <w:rPr>
                <w:rFonts w:ascii="宋体"/>
                <w:color w:val="auto"/>
                <w:sz w:val="28"/>
                <w:szCs w:val="28"/>
              </w:rPr>
            </w:pPr>
            <w:r>
              <w:rPr>
                <w:rFonts w:hint="eastAsia" w:ascii="宋体" w:hAnsi="宋体"/>
                <w:color w:val="auto"/>
                <w:sz w:val="28"/>
                <w:szCs w:val="28"/>
              </w:rPr>
              <w:t>合同履行期限</w:t>
            </w:r>
          </w:p>
        </w:tc>
        <w:tc>
          <w:tcPr>
            <w:tcW w:w="5987" w:type="dxa"/>
            <w:vAlign w:val="center"/>
          </w:tcPr>
          <w:p w14:paraId="2AC5F2B9">
            <w:pPr>
              <w:spacing w:line="360" w:lineRule="exact"/>
              <w:jc w:val="left"/>
              <w:rPr>
                <w:rFonts w:ascii="宋体"/>
                <w:color w:val="auto"/>
                <w:sz w:val="28"/>
                <w:szCs w:val="28"/>
              </w:rPr>
            </w:pPr>
            <w:r>
              <w:rPr>
                <w:rFonts w:hint="eastAsia" w:asciiTheme="majorEastAsia" w:hAnsiTheme="majorEastAsia" w:eastAsiaTheme="majorEastAsia"/>
                <w:color w:val="auto"/>
                <w:sz w:val="28"/>
                <w:szCs w:val="28"/>
              </w:rPr>
              <w:t>五个月。</w:t>
            </w:r>
          </w:p>
        </w:tc>
      </w:tr>
      <w:tr w14:paraId="4F95A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1089" w:type="dxa"/>
            <w:vAlign w:val="center"/>
          </w:tcPr>
          <w:p w14:paraId="3A5147DE">
            <w:pPr>
              <w:spacing w:line="360" w:lineRule="exact"/>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1.4.2</w:t>
            </w:r>
          </w:p>
        </w:tc>
        <w:tc>
          <w:tcPr>
            <w:tcW w:w="2552" w:type="dxa"/>
            <w:gridSpan w:val="2"/>
            <w:vAlign w:val="center"/>
          </w:tcPr>
          <w:p w14:paraId="49ED1FE8">
            <w:pPr>
              <w:spacing w:line="360" w:lineRule="exact"/>
              <w:jc w:val="center"/>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要求供应商具备的特定条件</w:t>
            </w:r>
          </w:p>
        </w:tc>
        <w:tc>
          <w:tcPr>
            <w:tcW w:w="5987" w:type="dxa"/>
            <w:vAlign w:val="center"/>
          </w:tcPr>
          <w:p w14:paraId="5B477B9B">
            <w:pPr>
              <w:spacing w:line="420" w:lineRule="exact"/>
              <w:jc w:val="left"/>
              <w:rPr>
                <w:rFonts w:asci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见招标公告“申请人的资格要求”</w:t>
            </w:r>
          </w:p>
        </w:tc>
      </w:tr>
      <w:tr w14:paraId="7C293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089" w:type="dxa"/>
            <w:vAlign w:val="center"/>
          </w:tcPr>
          <w:p w14:paraId="1ECA63D9">
            <w:pPr>
              <w:spacing w:line="320" w:lineRule="exact"/>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1.</w:t>
            </w:r>
            <w:r>
              <w:rPr>
                <w:rFonts w:hint="eastAsia" w:ascii="宋体" w:hAnsi="宋体"/>
                <w:color w:val="000000" w:themeColor="text1"/>
                <w:sz w:val="28"/>
                <w:szCs w:val="28"/>
                <w14:textFill>
                  <w14:solidFill>
                    <w14:schemeClr w14:val="tx1"/>
                  </w14:solidFill>
                </w14:textFill>
              </w:rPr>
              <w:t>8</w:t>
            </w:r>
            <w:r>
              <w:rPr>
                <w:rFonts w:ascii="宋体" w:hAnsi="宋体"/>
                <w:color w:val="000000" w:themeColor="text1"/>
                <w:sz w:val="28"/>
                <w:szCs w:val="28"/>
                <w14:textFill>
                  <w14:solidFill>
                    <w14:schemeClr w14:val="tx1"/>
                  </w14:solidFill>
                </w14:textFill>
              </w:rPr>
              <w:t>.2</w:t>
            </w:r>
          </w:p>
        </w:tc>
        <w:tc>
          <w:tcPr>
            <w:tcW w:w="2552" w:type="dxa"/>
            <w:gridSpan w:val="2"/>
            <w:vAlign w:val="center"/>
          </w:tcPr>
          <w:p w14:paraId="17EB9FDE">
            <w:pPr>
              <w:spacing w:line="320" w:lineRule="exact"/>
              <w:jc w:val="center"/>
              <w:rPr>
                <w:rFonts w:ascii="宋体"/>
                <w:color w:val="000000" w:themeColor="text1"/>
                <w:sz w:val="28"/>
                <w:szCs w:val="28"/>
                <w:highlight w:val="yellow"/>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偏离</w:t>
            </w:r>
          </w:p>
        </w:tc>
        <w:tc>
          <w:tcPr>
            <w:tcW w:w="5987" w:type="dxa"/>
            <w:vAlign w:val="center"/>
          </w:tcPr>
          <w:p w14:paraId="4A6DF5AF">
            <w:pPr>
              <w:pStyle w:val="8"/>
              <w:spacing w:line="320" w:lineRule="exact"/>
              <w:rPr>
                <w:rFonts w:ascii="宋体"/>
                <w:color w:val="000000" w:themeColor="text1"/>
                <w:sz w:val="28"/>
                <w:szCs w:val="28"/>
                <w:highlight w:val="yellow"/>
                <w14:textFill>
                  <w14:solidFill>
                    <w14:schemeClr w14:val="tx1"/>
                  </w14:solidFill>
                </w14:textFill>
              </w:rPr>
            </w:pPr>
            <w:bookmarkStart w:id="45" w:name="FEfe800446baa24252acf6b14953dc4897"/>
            <w:bookmarkEnd w:id="45"/>
            <w:bookmarkStart w:id="46" w:name="FBfe800446baa24252acf6b14953dc4897"/>
            <w:bookmarkEnd w:id="46"/>
            <w:r>
              <w:rPr>
                <w:rFonts w:hint="eastAsia" w:ascii="宋体"/>
                <w:color w:val="000000" w:themeColor="text1"/>
                <w:sz w:val="28"/>
                <w:szCs w:val="28"/>
                <w14:textFill>
                  <w14:solidFill>
                    <w14:schemeClr w14:val="tx1"/>
                  </w14:solidFill>
                </w14:textFill>
              </w:rPr>
              <w:t>第五章采购需求不允许偏离</w:t>
            </w:r>
          </w:p>
        </w:tc>
      </w:tr>
      <w:tr w14:paraId="71C07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vAlign w:val="center"/>
          </w:tcPr>
          <w:p w14:paraId="67F72387">
            <w:pPr>
              <w:spacing w:line="360" w:lineRule="exact"/>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2.1</w:t>
            </w:r>
          </w:p>
        </w:tc>
        <w:tc>
          <w:tcPr>
            <w:tcW w:w="2552" w:type="dxa"/>
            <w:gridSpan w:val="2"/>
            <w:vAlign w:val="center"/>
          </w:tcPr>
          <w:p w14:paraId="3DC32088">
            <w:pPr>
              <w:spacing w:line="320" w:lineRule="exact"/>
              <w:jc w:val="center"/>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构成招标文件的其他材料</w:t>
            </w:r>
          </w:p>
        </w:tc>
        <w:tc>
          <w:tcPr>
            <w:tcW w:w="5987" w:type="dxa"/>
            <w:vAlign w:val="center"/>
          </w:tcPr>
          <w:p w14:paraId="2FF2C55A">
            <w:pPr>
              <w:spacing w:line="360" w:lineRule="exact"/>
              <w:jc w:val="left"/>
              <w:rPr>
                <w:rFonts w:ascii="宋体"/>
                <w:color w:val="000000" w:themeColor="text1"/>
                <w:sz w:val="28"/>
                <w:szCs w:val="28"/>
                <w:highlight w:val="yellow"/>
                <w14:textFill>
                  <w14:solidFill>
                    <w14:schemeClr w14:val="tx1"/>
                  </w14:solidFill>
                </w14:textFill>
              </w:rPr>
            </w:pPr>
            <w:bookmarkStart w:id="47" w:name="EB35ced2e8f8364f63a510bf246ff979f0"/>
            <w:bookmarkEnd w:id="47"/>
            <w:r>
              <w:rPr>
                <w:rFonts w:hint="eastAsia" w:ascii="宋体" w:hAnsi="宋体"/>
                <w:color w:val="000000" w:themeColor="text1"/>
                <w:sz w:val="28"/>
                <w:szCs w:val="28"/>
                <w14:textFill>
                  <w14:solidFill>
                    <w14:schemeClr w14:val="tx1"/>
                  </w14:solidFill>
                </w14:textFill>
              </w:rPr>
              <w:t>无</w:t>
            </w:r>
          </w:p>
        </w:tc>
      </w:tr>
      <w:tr w14:paraId="46115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1089" w:type="dxa"/>
            <w:vAlign w:val="center"/>
          </w:tcPr>
          <w:p w14:paraId="1FC03312">
            <w:pPr>
              <w:spacing w:line="360" w:lineRule="exact"/>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2.2</w:t>
            </w:r>
          </w:p>
        </w:tc>
        <w:tc>
          <w:tcPr>
            <w:tcW w:w="2552" w:type="dxa"/>
            <w:gridSpan w:val="2"/>
            <w:vAlign w:val="center"/>
          </w:tcPr>
          <w:p w14:paraId="1DCB638E">
            <w:pPr>
              <w:spacing w:line="360" w:lineRule="exact"/>
              <w:jc w:val="center"/>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供应商要求澄清招标文件的截止时间</w:t>
            </w:r>
          </w:p>
        </w:tc>
        <w:tc>
          <w:tcPr>
            <w:tcW w:w="5987" w:type="dxa"/>
            <w:vAlign w:val="center"/>
          </w:tcPr>
          <w:p w14:paraId="00203E73">
            <w:pPr>
              <w:spacing w:line="44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14:textFill>
                  <w14:solidFill>
                    <w14:schemeClr w14:val="tx1"/>
                  </w14:solidFill>
                </w14:textFill>
              </w:rPr>
              <w:t>2024年</w:t>
            </w:r>
            <w:r>
              <w:rPr>
                <w:rFonts w:hint="eastAsia" w:ascii="宋体" w:hAnsi="宋体"/>
                <w:color w:val="000000" w:themeColor="text1"/>
                <w:sz w:val="28"/>
                <w:lang w:val="en-US" w:eastAsia="zh-CN"/>
                <w14:textFill>
                  <w14:solidFill>
                    <w14:schemeClr w14:val="tx1"/>
                  </w14:solidFill>
                </w14:textFill>
              </w:rPr>
              <w:t>9</w:t>
            </w:r>
            <w:r>
              <w:rPr>
                <w:rFonts w:hint="eastAsia" w:ascii="宋体" w:hAnsi="宋体"/>
                <w:color w:val="000000" w:themeColor="text1"/>
                <w:sz w:val="28"/>
                <w14:textFill>
                  <w14:solidFill>
                    <w14:schemeClr w14:val="tx1"/>
                  </w14:solidFill>
                </w14:textFill>
              </w:rPr>
              <w:t>月</w:t>
            </w:r>
            <w:r>
              <w:rPr>
                <w:rFonts w:hint="eastAsia" w:ascii="宋体" w:hAnsi="宋体"/>
                <w:color w:val="000000" w:themeColor="text1"/>
                <w:sz w:val="28"/>
                <w:lang w:val="en-US" w:eastAsia="zh-CN"/>
                <w14:textFill>
                  <w14:solidFill>
                    <w14:schemeClr w14:val="tx1"/>
                  </w14:solidFill>
                </w14:textFill>
              </w:rPr>
              <w:t>24</w:t>
            </w:r>
            <w:r>
              <w:rPr>
                <w:rFonts w:hint="eastAsia" w:ascii="宋体" w:hAnsi="宋体"/>
                <w:color w:val="000000" w:themeColor="text1"/>
                <w:sz w:val="28"/>
                <w14:textFill>
                  <w14:solidFill>
                    <w14:schemeClr w14:val="tx1"/>
                  </w14:solidFill>
                </w14:textFill>
              </w:rPr>
              <w:t>日17时30分</w:t>
            </w:r>
          </w:p>
        </w:tc>
      </w:tr>
      <w:tr w14:paraId="7080B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24BF428C">
            <w:pPr>
              <w:spacing w:line="380" w:lineRule="exact"/>
              <w:jc w:val="center"/>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3.1</w:t>
            </w:r>
          </w:p>
        </w:tc>
        <w:tc>
          <w:tcPr>
            <w:tcW w:w="2552" w:type="dxa"/>
            <w:gridSpan w:val="2"/>
            <w:vAlign w:val="center"/>
          </w:tcPr>
          <w:p w14:paraId="49C2493A">
            <w:pPr>
              <w:spacing w:line="380" w:lineRule="exact"/>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投标文件的组成</w:t>
            </w:r>
          </w:p>
        </w:tc>
        <w:tc>
          <w:tcPr>
            <w:tcW w:w="5987" w:type="dxa"/>
            <w:vAlign w:val="center"/>
          </w:tcPr>
          <w:p w14:paraId="0FB4A328">
            <w:pPr>
              <w:spacing w:line="40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（1）开标一览表；</w:t>
            </w:r>
          </w:p>
          <w:p w14:paraId="0AB887E3">
            <w:pPr>
              <w:spacing w:line="40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（2）投标函；</w:t>
            </w:r>
          </w:p>
          <w:p w14:paraId="44CB6A44">
            <w:pPr>
              <w:spacing w:line="40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（3）中小企业声明函；</w:t>
            </w:r>
          </w:p>
          <w:p w14:paraId="32443726">
            <w:pPr>
              <w:spacing w:line="40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（4）投标报价明细表及分析说明（若有）；</w:t>
            </w:r>
          </w:p>
          <w:p w14:paraId="2C33143D">
            <w:pPr>
              <w:spacing w:line="40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（5）资格性审查和符合性评审文件；</w:t>
            </w:r>
          </w:p>
          <w:p w14:paraId="7024AB46">
            <w:pPr>
              <w:spacing w:line="40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（6）采购需求响应表；</w:t>
            </w:r>
          </w:p>
          <w:p w14:paraId="551B1E1C">
            <w:pPr>
              <w:spacing w:line="40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（7）对照第三章评标办法，认为应列入投标文件的其他材料。</w:t>
            </w:r>
          </w:p>
          <w:p w14:paraId="39E56339">
            <w:pPr>
              <w:pStyle w:val="12"/>
              <w:spacing w:after="0" w:line="400" w:lineRule="exact"/>
              <w:ind w:left="0" w:leftChars="0"/>
            </w:pPr>
            <w:r>
              <w:rPr>
                <w:rFonts w:hint="eastAsia" w:ascii="宋体" w:hAnsi="宋体" w:cs="宋体"/>
                <w:color w:val="000000" w:themeColor="text1"/>
                <w:sz w:val="28"/>
                <w14:textFill>
                  <w14:solidFill>
                    <w14:schemeClr w14:val="tx1"/>
                  </w14:solidFill>
                </w14:textFill>
              </w:rPr>
              <w:t>（8）法定代表人身份证明书或法定代表人授权委托书（附身份证复印件）</w:t>
            </w:r>
          </w:p>
        </w:tc>
      </w:tr>
      <w:tr w14:paraId="1A3AE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1089" w:type="dxa"/>
            <w:vAlign w:val="center"/>
          </w:tcPr>
          <w:p w14:paraId="4096E7C8">
            <w:pPr>
              <w:spacing w:line="380" w:lineRule="exact"/>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3.3.1</w:t>
            </w:r>
          </w:p>
        </w:tc>
        <w:tc>
          <w:tcPr>
            <w:tcW w:w="2552" w:type="dxa"/>
            <w:gridSpan w:val="2"/>
            <w:vAlign w:val="center"/>
          </w:tcPr>
          <w:p w14:paraId="712E0C30">
            <w:pPr>
              <w:spacing w:line="380" w:lineRule="exact"/>
              <w:jc w:val="center"/>
              <w:rPr>
                <w:rFonts w:ascii="宋体"/>
                <w:sz w:val="28"/>
                <w:szCs w:val="28"/>
              </w:rPr>
            </w:pPr>
            <w:r>
              <w:rPr>
                <w:rFonts w:hint="eastAsia" w:ascii="宋体" w:hAnsi="宋体" w:cs="宋体"/>
                <w:sz w:val="28"/>
                <w:szCs w:val="28"/>
              </w:rPr>
              <w:t>投标有效期</w:t>
            </w:r>
          </w:p>
        </w:tc>
        <w:tc>
          <w:tcPr>
            <w:tcW w:w="5987" w:type="dxa"/>
            <w:vAlign w:val="center"/>
          </w:tcPr>
          <w:p w14:paraId="0EB294EE">
            <w:pPr>
              <w:spacing w:line="440" w:lineRule="exact"/>
              <w:rPr>
                <w:rFonts w:ascii="宋体"/>
                <w:sz w:val="28"/>
                <w:szCs w:val="28"/>
              </w:rPr>
            </w:pPr>
            <w:r>
              <w:rPr>
                <w:rFonts w:hint="eastAsia" w:ascii="宋体" w:hAnsi="宋体" w:cs="宋体"/>
                <w:sz w:val="28"/>
              </w:rPr>
              <w:t>60天</w:t>
            </w:r>
          </w:p>
        </w:tc>
      </w:tr>
      <w:tr w14:paraId="5C39E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089" w:type="dxa"/>
            <w:vAlign w:val="center"/>
          </w:tcPr>
          <w:p w14:paraId="355A70BF">
            <w:pPr>
              <w:spacing w:line="380" w:lineRule="exact"/>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3.</w:t>
            </w:r>
            <w:r>
              <w:rPr>
                <w:rFonts w:hint="eastAsia" w:ascii="宋体" w:hAnsi="宋体"/>
                <w:color w:val="000000" w:themeColor="text1"/>
                <w:sz w:val="28"/>
                <w:szCs w:val="28"/>
                <w14:textFill>
                  <w14:solidFill>
                    <w14:schemeClr w14:val="tx1"/>
                  </w14:solidFill>
                </w14:textFill>
              </w:rPr>
              <w:t>4</w:t>
            </w:r>
            <w:r>
              <w:rPr>
                <w:rFonts w:ascii="宋体" w:hAnsi="宋体"/>
                <w:color w:val="000000" w:themeColor="text1"/>
                <w:sz w:val="28"/>
                <w:szCs w:val="28"/>
                <w14:textFill>
                  <w14:solidFill>
                    <w14:schemeClr w14:val="tx1"/>
                  </w14:solidFill>
                </w14:textFill>
              </w:rPr>
              <w:t>.</w:t>
            </w:r>
            <w:r>
              <w:rPr>
                <w:rFonts w:hint="eastAsia" w:ascii="宋体" w:hAnsi="宋体"/>
                <w:color w:val="000000" w:themeColor="text1"/>
                <w:sz w:val="28"/>
                <w:szCs w:val="28"/>
                <w14:textFill>
                  <w14:solidFill>
                    <w14:schemeClr w14:val="tx1"/>
                  </w14:solidFill>
                </w14:textFill>
              </w:rPr>
              <w:t>3</w:t>
            </w:r>
          </w:p>
        </w:tc>
        <w:tc>
          <w:tcPr>
            <w:tcW w:w="2552" w:type="dxa"/>
            <w:gridSpan w:val="2"/>
            <w:vAlign w:val="center"/>
          </w:tcPr>
          <w:p w14:paraId="2ADCEFB8">
            <w:pPr>
              <w:spacing w:line="380" w:lineRule="exact"/>
              <w:jc w:val="center"/>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投标文件的份数</w:t>
            </w:r>
          </w:p>
        </w:tc>
        <w:tc>
          <w:tcPr>
            <w:tcW w:w="5987" w:type="dxa"/>
            <w:vAlign w:val="center"/>
          </w:tcPr>
          <w:p w14:paraId="74D32913">
            <w:pPr>
              <w:spacing w:line="38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电子投标文件壹份；</w:t>
            </w:r>
          </w:p>
        </w:tc>
      </w:tr>
      <w:tr w14:paraId="7E535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71A997CA">
            <w:pPr>
              <w:spacing w:line="360" w:lineRule="exact"/>
              <w:jc w:val="center"/>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3.4.4</w:t>
            </w:r>
          </w:p>
        </w:tc>
        <w:tc>
          <w:tcPr>
            <w:tcW w:w="2552" w:type="dxa"/>
            <w:gridSpan w:val="2"/>
            <w:vAlign w:val="center"/>
          </w:tcPr>
          <w:p w14:paraId="5FC8ECF3">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投标文件的签署</w:t>
            </w:r>
          </w:p>
        </w:tc>
        <w:tc>
          <w:tcPr>
            <w:tcW w:w="5987" w:type="dxa"/>
            <w:vAlign w:val="center"/>
          </w:tcPr>
          <w:p w14:paraId="6911A7DC">
            <w:pPr>
              <w:spacing w:line="44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1.投标函、供应商基本资格条件承诺函中须加盖供应商法人章并经法定代表人签字或签章。</w:t>
            </w:r>
          </w:p>
          <w:p w14:paraId="30043110">
            <w:pPr>
              <w:spacing w:line="44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2.投标文件中的任何重要的插字、涂改和增删，修改处须有法定代表人签章或签字。</w:t>
            </w:r>
          </w:p>
        </w:tc>
      </w:tr>
      <w:tr w14:paraId="7FA14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089" w:type="dxa"/>
            <w:vAlign w:val="center"/>
          </w:tcPr>
          <w:p w14:paraId="15A9A6B6">
            <w:pPr>
              <w:spacing w:line="360" w:lineRule="exact"/>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5.1.1</w:t>
            </w:r>
          </w:p>
        </w:tc>
        <w:tc>
          <w:tcPr>
            <w:tcW w:w="2552" w:type="dxa"/>
            <w:gridSpan w:val="2"/>
            <w:vAlign w:val="center"/>
          </w:tcPr>
          <w:p w14:paraId="335E0043">
            <w:pPr>
              <w:jc w:val="center"/>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开标时间和地点</w:t>
            </w:r>
          </w:p>
        </w:tc>
        <w:tc>
          <w:tcPr>
            <w:tcW w:w="5987" w:type="dxa"/>
            <w:vAlign w:val="center"/>
          </w:tcPr>
          <w:p w14:paraId="301836B8">
            <w:pPr>
              <w:spacing w:line="360" w:lineRule="exact"/>
              <w:jc w:val="lef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开标时间</w:t>
            </w:r>
            <w:r>
              <w:rPr>
                <w:rFonts w:hint="eastAsia" w:ascii="宋体" w:hAnsi="宋体"/>
                <w:sz w:val="28"/>
                <w:szCs w:val="28"/>
              </w:rPr>
              <w:t>：</w:t>
            </w:r>
            <w:bookmarkStart w:id="48" w:name="EB72e20e40757d438698d0d924b6237fcc"/>
            <w:bookmarkEnd w:id="48"/>
            <w:r>
              <w:rPr>
                <w:rFonts w:hint="eastAsia" w:ascii="宋体" w:hAnsi="宋体"/>
                <w:sz w:val="28"/>
                <w:szCs w:val="28"/>
              </w:rPr>
              <w:t>同投标截止时间</w:t>
            </w:r>
          </w:p>
          <w:p w14:paraId="5704A541">
            <w:pPr>
              <w:spacing w:line="360" w:lineRule="exact"/>
              <w:jc w:val="lef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开标地点：</w:t>
            </w:r>
            <w:r>
              <w:rPr>
                <w:rFonts w:hint="eastAsia" w:asciiTheme="majorEastAsia" w:hAnsiTheme="majorEastAsia" w:eastAsiaTheme="majorEastAsia"/>
                <w:color w:val="000000" w:themeColor="text1"/>
                <w:sz w:val="28"/>
                <w:szCs w:val="28"/>
                <w14:textFill>
                  <w14:solidFill>
                    <w14:schemeClr w14:val="tx1"/>
                  </w14:solidFill>
                </w14:textFill>
              </w:rPr>
              <w:t>“苏采云”系统“开标大厅”</w:t>
            </w:r>
          </w:p>
        </w:tc>
      </w:tr>
      <w:tr w14:paraId="10FA9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1089" w:type="dxa"/>
            <w:vAlign w:val="center"/>
          </w:tcPr>
          <w:p w14:paraId="1399E0C8">
            <w:pPr>
              <w:spacing w:line="360" w:lineRule="exact"/>
              <w:jc w:val="center"/>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5.1.2</w:t>
            </w:r>
          </w:p>
        </w:tc>
        <w:tc>
          <w:tcPr>
            <w:tcW w:w="2552" w:type="dxa"/>
            <w:gridSpan w:val="2"/>
            <w:vAlign w:val="center"/>
          </w:tcPr>
          <w:p w14:paraId="2F2CB869">
            <w:pPr>
              <w:spacing w:line="460" w:lineRule="exact"/>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供应商参与开标要求</w:t>
            </w:r>
          </w:p>
        </w:tc>
        <w:tc>
          <w:tcPr>
            <w:tcW w:w="5987" w:type="dxa"/>
            <w:vAlign w:val="center"/>
          </w:tcPr>
          <w:p w14:paraId="363EB03C">
            <w:pPr>
              <w:spacing w:line="360" w:lineRule="exact"/>
              <w:jc w:val="lef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开标活动将在招标公告中规定的时间和地点进行。供应商应当按照</w:t>
            </w:r>
            <w:r>
              <w:rPr>
                <w:rFonts w:hint="eastAsia" w:ascii="宋体" w:hAnsi="宋体"/>
                <w:b/>
                <w:color w:val="000000" w:themeColor="text1"/>
                <w:sz w:val="28"/>
                <w:szCs w:val="28"/>
                <w14:textFill>
                  <w14:solidFill>
                    <w14:schemeClr w14:val="tx1"/>
                  </w14:solidFill>
                </w14:textFill>
              </w:rPr>
              <w:t>《江苏省政府采购管理交易系统（苏采云）供应商操作手册》</w:t>
            </w:r>
            <w:r>
              <w:rPr>
                <w:rFonts w:hint="eastAsia" w:ascii="宋体" w:hAnsi="宋体"/>
                <w:color w:val="000000" w:themeColor="text1"/>
                <w:sz w:val="28"/>
                <w:szCs w:val="28"/>
                <w14:textFill>
                  <w14:solidFill>
                    <w14:schemeClr w14:val="tx1"/>
                  </w14:solidFill>
                </w14:textFill>
              </w:rPr>
              <w:t>规定，参加开标活动。</w:t>
            </w:r>
          </w:p>
        </w:tc>
      </w:tr>
      <w:tr w14:paraId="3922C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89" w:type="dxa"/>
            <w:vAlign w:val="center"/>
          </w:tcPr>
          <w:p w14:paraId="40747574">
            <w:pPr>
              <w:spacing w:line="360" w:lineRule="exact"/>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6.1.1</w:t>
            </w:r>
          </w:p>
        </w:tc>
        <w:tc>
          <w:tcPr>
            <w:tcW w:w="2552" w:type="dxa"/>
            <w:gridSpan w:val="2"/>
            <w:vAlign w:val="center"/>
          </w:tcPr>
          <w:p w14:paraId="7772D908">
            <w:pPr>
              <w:spacing w:line="360" w:lineRule="exact"/>
              <w:jc w:val="center"/>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评标委员会</w:t>
            </w:r>
          </w:p>
        </w:tc>
        <w:tc>
          <w:tcPr>
            <w:tcW w:w="5987" w:type="dxa"/>
            <w:vAlign w:val="center"/>
          </w:tcPr>
          <w:p w14:paraId="41479210">
            <w:pPr>
              <w:spacing w:line="360" w:lineRule="exact"/>
              <w:jc w:val="lef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评标委员会人数</w:t>
            </w:r>
            <w:r>
              <w:rPr>
                <w:rFonts w:hint="eastAsia" w:ascii="宋体" w:hAnsi="宋体"/>
                <w:color w:val="000000" w:themeColor="text1"/>
                <w:sz w:val="28"/>
                <w:szCs w:val="28"/>
                <w14:textFill>
                  <w14:solidFill>
                    <w14:schemeClr w14:val="tx1"/>
                  </w14:solidFill>
                </w14:textFill>
              </w:rPr>
              <w:t>：</w:t>
            </w:r>
            <w:r>
              <w:rPr>
                <w:rFonts w:ascii="宋体" w:hAnsi="宋体"/>
                <w:color w:val="000000" w:themeColor="text1"/>
                <w:sz w:val="28"/>
                <w:szCs w:val="28"/>
                <w:u w:val="single"/>
                <w14:textFill>
                  <w14:solidFill>
                    <w14:schemeClr w14:val="tx1"/>
                  </w14:solidFill>
                </w14:textFill>
              </w:rPr>
              <w:t xml:space="preserve">  5  </w:t>
            </w:r>
            <w:r>
              <w:rPr>
                <w:rFonts w:hint="eastAsia" w:ascii="宋体" w:hAnsi="宋体"/>
                <w:color w:val="000000" w:themeColor="text1"/>
                <w:sz w:val="28"/>
                <w:szCs w:val="28"/>
                <w14:textFill>
                  <w14:solidFill>
                    <w14:schemeClr w14:val="tx1"/>
                  </w14:solidFill>
                </w14:textFill>
              </w:rPr>
              <w:t>人。</w:t>
            </w:r>
          </w:p>
        </w:tc>
      </w:tr>
      <w:tr w14:paraId="1CC8C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89" w:type="dxa"/>
            <w:vAlign w:val="center"/>
          </w:tcPr>
          <w:p w14:paraId="02593311">
            <w:pPr>
              <w:spacing w:line="360" w:lineRule="exact"/>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7.2</w:t>
            </w:r>
            <w:r>
              <w:rPr>
                <w:rFonts w:hint="eastAsia" w:ascii="宋体" w:hAnsi="宋体"/>
                <w:color w:val="000000" w:themeColor="text1"/>
                <w:sz w:val="28"/>
                <w:szCs w:val="28"/>
                <w14:textFill>
                  <w14:solidFill>
                    <w14:schemeClr w14:val="tx1"/>
                  </w14:solidFill>
                </w14:textFill>
              </w:rPr>
              <w:t>.1</w:t>
            </w:r>
          </w:p>
        </w:tc>
        <w:tc>
          <w:tcPr>
            <w:tcW w:w="2552" w:type="dxa"/>
            <w:gridSpan w:val="2"/>
            <w:vAlign w:val="center"/>
          </w:tcPr>
          <w:p w14:paraId="1ED3F4C1">
            <w:pPr>
              <w:jc w:val="center"/>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中标公告媒介</w:t>
            </w:r>
          </w:p>
        </w:tc>
        <w:tc>
          <w:tcPr>
            <w:tcW w:w="5987" w:type="dxa"/>
            <w:vAlign w:val="center"/>
          </w:tcPr>
          <w:p w14:paraId="0A2ED5B6">
            <w:pPr>
              <w:spacing w:line="360" w:lineRule="exact"/>
              <w:jc w:val="lef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江苏政府采购网（</w:t>
            </w:r>
            <w:r>
              <w:rPr>
                <w:rFonts w:ascii="宋体" w:hAnsi="宋体" w:cs="宋体"/>
                <w:color w:val="000000" w:themeColor="text1"/>
                <w:sz w:val="28"/>
                <w:szCs w:val="28"/>
                <w14:textFill>
                  <w14:solidFill>
                    <w14:schemeClr w14:val="tx1"/>
                  </w14:solidFill>
                </w14:textFill>
              </w:rPr>
              <w:t>www.ccgp-jiangsu.gov.cn</w:t>
            </w:r>
            <w:r>
              <w:rPr>
                <w:rFonts w:hint="eastAsia" w:ascii="宋体" w:hAnsi="宋体" w:cs="宋体"/>
                <w:color w:val="000000" w:themeColor="text1"/>
                <w:sz w:val="28"/>
                <w:szCs w:val="28"/>
                <w14:textFill>
                  <w14:solidFill>
                    <w14:schemeClr w14:val="tx1"/>
                  </w14:solidFill>
                </w14:textFill>
              </w:rPr>
              <w:t>）</w:t>
            </w:r>
          </w:p>
        </w:tc>
      </w:tr>
      <w:tr w14:paraId="2DBEF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89" w:type="dxa"/>
            <w:vAlign w:val="center"/>
          </w:tcPr>
          <w:p w14:paraId="3833A5D1">
            <w:pPr>
              <w:spacing w:line="340" w:lineRule="exact"/>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8.1.1</w:t>
            </w:r>
          </w:p>
        </w:tc>
        <w:tc>
          <w:tcPr>
            <w:tcW w:w="2552" w:type="dxa"/>
            <w:gridSpan w:val="2"/>
            <w:vAlign w:val="center"/>
          </w:tcPr>
          <w:p w14:paraId="5AD79D2B">
            <w:pPr>
              <w:spacing w:line="340" w:lineRule="exact"/>
              <w:jc w:val="center"/>
              <w:rPr>
                <w:rFonts w:ascii="宋体" w:hAnsi="宋体"/>
                <w:sz w:val="28"/>
                <w:szCs w:val="28"/>
              </w:rPr>
            </w:pPr>
            <w:r>
              <w:rPr>
                <w:rFonts w:hint="eastAsia" w:ascii="宋体" w:hAnsi="宋体"/>
                <w:sz w:val="28"/>
                <w:szCs w:val="28"/>
              </w:rPr>
              <w:t>履约保证金</w:t>
            </w:r>
          </w:p>
        </w:tc>
        <w:tc>
          <w:tcPr>
            <w:tcW w:w="5987" w:type="dxa"/>
            <w:vAlign w:val="center"/>
          </w:tcPr>
          <w:p w14:paraId="2F905046">
            <w:pPr>
              <w:spacing w:line="400" w:lineRule="exact"/>
              <w:jc w:val="left"/>
              <w:rPr>
                <w:rFonts w:hint="eastAsia" w:ascii="宋体" w:hAnsi="宋体" w:eastAsia="宋体"/>
                <w:sz w:val="28"/>
                <w:szCs w:val="28"/>
                <w:lang w:eastAsia="zh-CN"/>
              </w:rPr>
            </w:pPr>
            <w:r>
              <w:rPr>
                <w:rFonts w:hint="eastAsia" w:ascii="宋体" w:hAnsi="宋体"/>
                <w:color w:val="000000" w:themeColor="text1"/>
                <w:sz w:val="28"/>
                <w:szCs w:val="28"/>
                <w:lang w:val="en-US" w:eastAsia="zh-CN"/>
                <w14:textFill>
                  <w14:solidFill>
                    <w14:schemeClr w14:val="tx1"/>
                  </w14:solidFill>
                </w14:textFill>
              </w:rPr>
              <w:t>无</w:t>
            </w:r>
          </w:p>
        </w:tc>
      </w:tr>
      <w:tr w14:paraId="50C72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1089" w:type="dxa"/>
            <w:vAlign w:val="center"/>
          </w:tcPr>
          <w:p w14:paraId="75494F47">
            <w:pPr>
              <w:spacing w:line="360" w:lineRule="exact"/>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8.2.1</w:t>
            </w:r>
          </w:p>
        </w:tc>
        <w:tc>
          <w:tcPr>
            <w:tcW w:w="2552" w:type="dxa"/>
            <w:gridSpan w:val="2"/>
            <w:vAlign w:val="center"/>
          </w:tcPr>
          <w:p w14:paraId="39229D4F">
            <w:pPr>
              <w:spacing w:line="360" w:lineRule="exact"/>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签订合同的</w:t>
            </w:r>
          </w:p>
          <w:p w14:paraId="39AD5406">
            <w:pPr>
              <w:spacing w:line="360" w:lineRule="exact"/>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时间要求</w:t>
            </w:r>
          </w:p>
        </w:tc>
        <w:tc>
          <w:tcPr>
            <w:tcW w:w="5987" w:type="dxa"/>
            <w:vAlign w:val="center"/>
          </w:tcPr>
          <w:p w14:paraId="75B09F34">
            <w:pPr>
              <w:spacing w:line="360" w:lineRule="exact"/>
              <w:jc w:val="lef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自中标通知书发出之日起</w:t>
            </w:r>
            <w:r>
              <w:rPr>
                <w:rFonts w:ascii="宋体" w:hAnsi="宋体"/>
                <w:color w:val="000000" w:themeColor="text1"/>
                <w:sz w:val="28"/>
                <w:szCs w:val="28"/>
                <w:u w:val="single"/>
                <w14:textFill>
                  <w14:solidFill>
                    <w14:schemeClr w14:val="tx1"/>
                  </w14:solidFill>
                </w14:textFill>
              </w:rPr>
              <w:t xml:space="preserve"> </w:t>
            </w:r>
            <w:r>
              <w:rPr>
                <w:rFonts w:hint="eastAsia" w:ascii="宋体" w:hAnsi="宋体"/>
                <w:color w:val="000000" w:themeColor="text1"/>
                <w:sz w:val="28"/>
                <w:szCs w:val="28"/>
                <w:u w:val="single"/>
                <w14:textFill>
                  <w14:solidFill>
                    <w14:schemeClr w14:val="tx1"/>
                  </w14:solidFill>
                </w14:textFill>
              </w:rPr>
              <w:t>30</w:t>
            </w:r>
            <w:r>
              <w:rPr>
                <w:rFonts w:ascii="宋体" w:hAnsi="宋体"/>
                <w:color w:val="000000" w:themeColor="text1"/>
                <w:sz w:val="28"/>
                <w:szCs w:val="28"/>
                <w:u w:val="single"/>
                <w14:textFill>
                  <w14:solidFill>
                    <w14:schemeClr w14:val="tx1"/>
                  </w14:solidFill>
                </w14:textFill>
              </w:rPr>
              <w:t xml:space="preserve"> </w:t>
            </w:r>
            <w:r>
              <w:rPr>
                <w:rFonts w:hint="eastAsia" w:ascii="宋体" w:hAnsi="宋体"/>
                <w:color w:val="000000" w:themeColor="text1"/>
                <w:sz w:val="28"/>
                <w:szCs w:val="28"/>
                <w14:textFill>
                  <w14:solidFill>
                    <w14:schemeClr w14:val="tx1"/>
                  </w14:solidFill>
                </w14:textFill>
              </w:rPr>
              <w:t>天内</w:t>
            </w:r>
          </w:p>
        </w:tc>
      </w:tr>
      <w:tr w14:paraId="37E03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vAlign w:val="center"/>
          </w:tcPr>
          <w:p w14:paraId="290EDEA5">
            <w:pPr>
              <w:spacing w:line="360" w:lineRule="exact"/>
              <w:jc w:val="center"/>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9</w:t>
            </w:r>
          </w:p>
        </w:tc>
        <w:tc>
          <w:tcPr>
            <w:tcW w:w="8539" w:type="dxa"/>
            <w:gridSpan w:val="3"/>
            <w:vAlign w:val="center"/>
          </w:tcPr>
          <w:p w14:paraId="526FA382">
            <w:pPr>
              <w:spacing w:line="360" w:lineRule="exact"/>
              <w:jc w:val="center"/>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需要补充的其他内容</w:t>
            </w:r>
          </w:p>
        </w:tc>
      </w:tr>
      <w:tr w14:paraId="057B9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089" w:type="dxa"/>
            <w:vAlign w:val="center"/>
          </w:tcPr>
          <w:p w14:paraId="2D546B7F">
            <w:pPr>
              <w:spacing w:line="360" w:lineRule="exact"/>
              <w:jc w:val="cente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9</w:t>
            </w:r>
            <w:r>
              <w:rPr>
                <w:rFonts w:ascii="宋体" w:hAnsi="宋体"/>
                <w:b/>
                <w:color w:val="000000" w:themeColor="text1"/>
                <w:sz w:val="28"/>
                <w:szCs w:val="28"/>
                <w14:textFill>
                  <w14:solidFill>
                    <w14:schemeClr w14:val="tx1"/>
                  </w14:solidFill>
                </w14:textFill>
              </w:rPr>
              <w:t>.1</w:t>
            </w:r>
          </w:p>
        </w:tc>
        <w:tc>
          <w:tcPr>
            <w:tcW w:w="2521" w:type="dxa"/>
            <w:vAlign w:val="center"/>
          </w:tcPr>
          <w:p w14:paraId="1C790BBE">
            <w:pPr>
              <w:spacing w:line="360" w:lineRule="exact"/>
              <w:jc w:val="center"/>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质疑和投诉</w:t>
            </w:r>
          </w:p>
        </w:tc>
        <w:tc>
          <w:tcPr>
            <w:tcW w:w="6018" w:type="dxa"/>
            <w:gridSpan w:val="2"/>
            <w:vAlign w:val="center"/>
          </w:tcPr>
          <w:p w14:paraId="05887784">
            <w:pPr>
              <w:spacing w:line="360" w:lineRule="exact"/>
              <w:jc w:val="lef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按照《政府采购质疑和投诉办法》（财政部第</w:t>
            </w:r>
            <w:r>
              <w:rPr>
                <w:rFonts w:ascii="宋体" w:hAnsi="宋体"/>
                <w:color w:val="000000" w:themeColor="text1"/>
                <w:sz w:val="28"/>
                <w:szCs w:val="28"/>
                <w14:textFill>
                  <w14:solidFill>
                    <w14:schemeClr w14:val="tx1"/>
                  </w14:solidFill>
                </w14:textFill>
              </w:rPr>
              <w:t>94</w:t>
            </w:r>
            <w:r>
              <w:rPr>
                <w:rFonts w:hint="eastAsia" w:ascii="宋体" w:hAnsi="宋体"/>
                <w:color w:val="000000" w:themeColor="text1"/>
                <w:sz w:val="28"/>
                <w:szCs w:val="28"/>
                <w14:textFill>
                  <w14:solidFill>
                    <w14:schemeClr w14:val="tx1"/>
                  </w14:solidFill>
                </w14:textFill>
              </w:rPr>
              <w:t>号令）处理</w:t>
            </w:r>
          </w:p>
        </w:tc>
      </w:tr>
      <w:tr w14:paraId="7BECF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89" w:type="dxa"/>
            <w:vAlign w:val="center"/>
          </w:tcPr>
          <w:p w14:paraId="04C746FD">
            <w:pPr>
              <w:spacing w:line="360" w:lineRule="exact"/>
              <w:jc w:val="cente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9</w:t>
            </w:r>
            <w:r>
              <w:rPr>
                <w:rFonts w:ascii="宋体" w:hAnsi="宋体"/>
                <w:b/>
                <w:color w:val="000000" w:themeColor="text1"/>
                <w:sz w:val="28"/>
                <w:szCs w:val="28"/>
                <w14:textFill>
                  <w14:solidFill>
                    <w14:schemeClr w14:val="tx1"/>
                  </w14:solidFill>
                </w14:textFill>
              </w:rPr>
              <w:t>.2</w:t>
            </w:r>
          </w:p>
        </w:tc>
        <w:tc>
          <w:tcPr>
            <w:tcW w:w="2521" w:type="dxa"/>
            <w:vAlign w:val="center"/>
          </w:tcPr>
          <w:p w14:paraId="6D6E830A">
            <w:pPr>
              <w:spacing w:line="360" w:lineRule="exact"/>
              <w:jc w:val="center"/>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招标文件的解释</w:t>
            </w:r>
          </w:p>
        </w:tc>
        <w:tc>
          <w:tcPr>
            <w:tcW w:w="6018" w:type="dxa"/>
            <w:gridSpan w:val="2"/>
            <w:vAlign w:val="center"/>
          </w:tcPr>
          <w:p w14:paraId="53B628DF">
            <w:pP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由招标人负责</w:t>
            </w:r>
          </w:p>
        </w:tc>
      </w:tr>
      <w:tr w14:paraId="0E7E0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089" w:type="dxa"/>
            <w:vAlign w:val="center"/>
          </w:tcPr>
          <w:p w14:paraId="4171DA04">
            <w:pPr>
              <w:spacing w:line="360" w:lineRule="exact"/>
              <w:jc w:val="cente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9.3</w:t>
            </w:r>
          </w:p>
        </w:tc>
        <w:tc>
          <w:tcPr>
            <w:tcW w:w="2521" w:type="dxa"/>
            <w:vAlign w:val="center"/>
          </w:tcPr>
          <w:p w14:paraId="5B1D211D">
            <w:pPr>
              <w:spacing w:line="360" w:lineRule="exact"/>
              <w:jc w:val="center"/>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落实政府采购政策</w:t>
            </w:r>
          </w:p>
        </w:tc>
        <w:tc>
          <w:tcPr>
            <w:tcW w:w="6018" w:type="dxa"/>
            <w:gridSpan w:val="2"/>
          </w:tcPr>
          <w:p w14:paraId="285FD0B5">
            <w:pPr>
              <w:pStyle w:val="34"/>
              <w:spacing w:line="380" w:lineRule="exact"/>
              <w:textAlignment w:val="center"/>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根据《政府采购促进中小企业发展管理办法》（财库【2020】46号）规定，对小型和微型生产企业生产的产品或承接的服务价格给予10%的扣除，扣除后的价格参与评审。供应商应当提供《中小企业声明函》（格式见附件）</w:t>
            </w:r>
          </w:p>
        </w:tc>
      </w:tr>
      <w:tr w14:paraId="40AD3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7E1439C8">
            <w:pPr>
              <w:spacing w:line="360" w:lineRule="exact"/>
              <w:jc w:val="cente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9.4</w:t>
            </w:r>
          </w:p>
        </w:tc>
        <w:tc>
          <w:tcPr>
            <w:tcW w:w="2521" w:type="dxa"/>
            <w:vAlign w:val="center"/>
          </w:tcPr>
          <w:p w14:paraId="76822EB2">
            <w:pPr>
              <w:spacing w:line="360" w:lineRule="exact"/>
              <w:jc w:val="center"/>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投标报价</w:t>
            </w:r>
          </w:p>
        </w:tc>
        <w:tc>
          <w:tcPr>
            <w:tcW w:w="6018" w:type="dxa"/>
            <w:gridSpan w:val="2"/>
            <w:vAlign w:val="center"/>
          </w:tcPr>
          <w:p w14:paraId="5930D3C0">
            <w:pPr>
              <w:spacing w:line="360" w:lineRule="exact"/>
              <w:jc w:val="lef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1.</w:t>
            </w:r>
            <w:r>
              <w:rPr>
                <w:rFonts w:ascii="宋体" w:hAnsi="宋体"/>
                <w:color w:val="000000" w:themeColor="text1"/>
                <w:sz w:val="28"/>
                <w:szCs w:val="28"/>
                <w14:textFill>
                  <w14:solidFill>
                    <w14:schemeClr w14:val="tx1"/>
                  </w14:solidFill>
                </w14:textFill>
              </w:rPr>
              <w:t>供应商应仔细阅读和充分理解招标文件的采购需求和合同主要条款，根据自身实际情况并综合考虑合同履行过程中的各类风险</w:t>
            </w:r>
            <w:r>
              <w:rPr>
                <w:rFonts w:hint="eastAsia" w:ascii="宋体" w:hAnsi="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理性报价。</w:t>
            </w:r>
          </w:p>
          <w:p w14:paraId="22A8241B">
            <w:pPr>
              <w:spacing w:line="360" w:lineRule="exact"/>
              <w:jc w:val="lef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2.</w:t>
            </w:r>
            <w:r>
              <w:rPr>
                <w:rFonts w:ascii="宋体" w:hAnsi="宋体"/>
                <w:color w:val="000000" w:themeColor="text1"/>
                <w:sz w:val="28"/>
                <w:szCs w:val="28"/>
                <w14:textFill>
                  <w14:solidFill>
                    <w14:schemeClr w14:val="tx1"/>
                  </w14:solidFill>
                </w14:textFill>
              </w:rPr>
              <w:t>中标价格即为合同价格</w:t>
            </w:r>
            <w:r>
              <w:rPr>
                <w:rFonts w:hint="eastAsia" w:ascii="宋体" w:hAnsi="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在合同期内不予调增</w:t>
            </w:r>
            <w:r>
              <w:rPr>
                <w:rFonts w:hint="eastAsia" w:ascii="宋体" w:hAnsi="宋体"/>
                <w:color w:val="000000" w:themeColor="text1"/>
                <w:sz w:val="28"/>
                <w:szCs w:val="28"/>
                <w14:textFill>
                  <w14:solidFill>
                    <w14:schemeClr w14:val="tx1"/>
                  </w14:solidFill>
                </w14:textFill>
              </w:rPr>
              <w:t>。</w:t>
            </w:r>
          </w:p>
          <w:p w14:paraId="0EF5FAB5">
            <w:pPr>
              <w:spacing w:line="360" w:lineRule="exact"/>
              <w:jc w:val="left"/>
              <w:rPr>
                <w:rFonts w:asciiTheme="minorEastAsia" w:hAnsiTheme="minorEastAsia" w:eastAsiaTheme="minorEastAsia"/>
                <w:b/>
                <w:color w:val="000000" w:themeColor="text1"/>
                <w14:textFill>
                  <w14:solidFill>
                    <w14:schemeClr w14:val="tx1"/>
                  </w14:solidFill>
                </w14:textFill>
              </w:rPr>
            </w:pPr>
            <w:r>
              <w:rPr>
                <w:rFonts w:hint="eastAsia" w:ascii="宋体" w:hAnsi="宋体"/>
                <w:color w:val="000000" w:themeColor="text1"/>
                <w:sz w:val="28"/>
                <w:szCs w:val="28"/>
                <w14:textFill>
                  <w14:solidFill>
                    <w14:schemeClr w14:val="tx1"/>
                  </w14:solidFill>
                </w14:textFill>
              </w:rPr>
              <w:t>3.异常的低价可能会导致投标无效。</w:t>
            </w:r>
          </w:p>
        </w:tc>
      </w:tr>
      <w:tr w14:paraId="0843F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185CF4F3">
            <w:pPr>
              <w:spacing w:line="360" w:lineRule="exact"/>
              <w:jc w:val="center"/>
              <w:rPr>
                <w:rFonts w:ascii="宋体" w:hAnsi="宋体"/>
                <w:b/>
                <w:color w:val="000000" w:themeColor="text1"/>
                <w:sz w:val="28"/>
                <w:szCs w:val="28"/>
                <w14:textFill>
                  <w14:solidFill>
                    <w14:schemeClr w14:val="tx1"/>
                  </w14:solidFill>
                </w14:textFill>
              </w:rPr>
            </w:pPr>
            <w:bookmarkStart w:id="49" w:name="_Toc426469871"/>
            <w:bookmarkStart w:id="50" w:name="_Toc367784995"/>
            <w:r>
              <w:rPr>
                <w:rFonts w:hint="eastAsia" w:ascii="宋体" w:hAnsi="宋体"/>
                <w:b/>
                <w:color w:val="000000" w:themeColor="text1"/>
                <w:sz w:val="28"/>
                <w:szCs w:val="28"/>
                <w14:textFill>
                  <w14:solidFill>
                    <w14:schemeClr w14:val="tx1"/>
                  </w14:solidFill>
                </w14:textFill>
              </w:rPr>
              <w:t>9.5</w:t>
            </w:r>
          </w:p>
        </w:tc>
        <w:tc>
          <w:tcPr>
            <w:tcW w:w="2521" w:type="dxa"/>
            <w:vAlign w:val="center"/>
          </w:tcPr>
          <w:p w14:paraId="03786496">
            <w:pPr>
              <w:spacing w:line="360" w:lineRule="exact"/>
              <w:jc w:val="center"/>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其他内容</w:t>
            </w:r>
          </w:p>
        </w:tc>
        <w:tc>
          <w:tcPr>
            <w:tcW w:w="6018" w:type="dxa"/>
            <w:gridSpan w:val="2"/>
            <w:vAlign w:val="center"/>
          </w:tcPr>
          <w:p w14:paraId="50BB4DCE">
            <w:pPr>
              <w:spacing w:line="360" w:lineRule="exact"/>
              <w:jc w:val="lef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lang w:val="en-US" w:eastAsia="zh-CN"/>
                <w14:textFill>
                  <w14:solidFill>
                    <w14:schemeClr w14:val="tx1"/>
                  </w14:solidFill>
                </w14:textFill>
              </w:rPr>
              <w:t>1.</w:t>
            </w:r>
            <w:r>
              <w:rPr>
                <w:rFonts w:hint="eastAsia" w:ascii="宋体" w:hAnsi="宋体"/>
                <w:color w:val="000000" w:themeColor="text1"/>
                <w:sz w:val="28"/>
                <w:szCs w:val="28"/>
                <w14:textFill>
                  <w14:solidFill>
                    <w14:schemeClr w14:val="tx1"/>
                  </w14:solidFill>
                </w14:textFill>
              </w:rPr>
              <w:t>本项目的招标代理费由中标人支付，招标代理费按照苏招协[2022]002号文件</w:t>
            </w:r>
            <w:r>
              <w:rPr>
                <w:rFonts w:hint="eastAsia" w:ascii="宋体" w:hAnsi="宋体"/>
                <w:color w:val="000000" w:themeColor="text1"/>
                <w:sz w:val="28"/>
                <w:szCs w:val="28"/>
                <w:lang w:val="en-US" w:eastAsia="zh-CN"/>
                <w14:textFill>
                  <w14:solidFill>
                    <w14:schemeClr w14:val="tx1"/>
                  </w14:solidFill>
                </w14:textFill>
              </w:rPr>
              <w:t>的</w:t>
            </w:r>
            <w:r>
              <w:rPr>
                <w:rFonts w:hint="eastAsia" w:ascii="宋体" w:hAnsi="宋体"/>
                <w:color w:val="000000" w:themeColor="text1"/>
                <w:sz w:val="28"/>
                <w:szCs w:val="28"/>
                <w14:textFill>
                  <w14:solidFill>
                    <w14:schemeClr w14:val="tx1"/>
                  </w14:solidFill>
                </w14:textFill>
              </w:rPr>
              <w:t>规定收取。投标单位在投标报价时应将该费用综合考虑在投标报价中，采购人不再另外支付，该费用由中标人在领取中标通知书前支付给招标代理单位。</w:t>
            </w:r>
          </w:p>
          <w:p w14:paraId="2713FE4C">
            <w:pPr>
              <w:spacing w:line="360" w:lineRule="exact"/>
              <w:jc w:val="left"/>
            </w:pPr>
            <w:r>
              <w:rPr>
                <w:rFonts w:hint="eastAsia" w:ascii="宋体" w:hAnsi="宋体"/>
                <w:color w:val="FF0000"/>
                <w:sz w:val="28"/>
                <w:szCs w:val="28"/>
                <w:lang w:val="en-US" w:eastAsia="zh-CN"/>
              </w:rPr>
              <w:t>2.</w:t>
            </w:r>
            <w:r>
              <w:rPr>
                <w:rFonts w:hint="eastAsia" w:ascii="宋体" w:hAnsi="宋体"/>
                <w:color w:val="FF0000"/>
                <w:sz w:val="28"/>
                <w:szCs w:val="28"/>
              </w:rPr>
              <w:t>2024年度补充耕地项目在泰兴市各乡镇（街道）开展过客土质量检测的供应商不得参加本次投标；中标的供应商后期不得参加2024年度补充耕地项目在泰兴市各乡镇（街道）开展的客土质量检测项目。（需按第六章2.6要求提供诚信承诺）</w:t>
            </w:r>
          </w:p>
        </w:tc>
      </w:tr>
    </w:tbl>
    <w:p w14:paraId="6845236B">
      <w:pPr>
        <w:adjustRightInd w:val="0"/>
        <w:snapToGrid w:val="0"/>
        <w:spacing w:line="490" w:lineRule="exact"/>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1.</w:t>
      </w:r>
      <w:r>
        <w:rPr>
          <w:rFonts w:hint="eastAsia" w:ascii="黑体" w:hAnsi="黑体" w:eastAsia="黑体"/>
          <w:color w:val="000000" w:themeColor="text1"/>
          <w:sz w:val="32"/>
          <w:szCs w:val="32"/>
          <w14:textFill>
            <w14:solidFill>
              <w14:schemeClr w14:val="tx1"/>
            </w14:solidFill>
          </w14:textFill>
        </w:rPr>
        <w:t>总则</w:t>
      </w:r>
      <w:bookmarkEnd w:id="49"/>
      <w:bookmarkEnd w:id="50"/>
    </w:p>
    <w:p w14:paraId="03780C63">
      <w:pPr>
        <w:adjustRightInd w:val="0"/>
        <w:snapToGrid w:val="0"/>
        <w:spacing w:line="490" w:lineRule="exact"/>
        <w:rPr>
          <w:rFonts w:ascii="楷体" w:hAnsi="楷体" w:eastAsia="楷体"/>
          <w:b/>
          <w:color w:val="000000" w:themeColor="text1"/>
          <w:sz w:val="28"/>
          <w:szCs w:val="28"/>
          <w14:textFill>
            <w14:solidFill>
              <w14:schemeClr w14:val="tx1"/>
            </w14:solidFill>
          </w14:textFill>
        </w:rPr>
      </w:pPr>
      <w:bookmarkStart w:id="51" w:name="_Toc247085690"/>
      <w:bookmarkStart w:id="52" w:name="_Toc343525506"/>
      <w:bookmarkStart w:id="53" w:name="_Toc179632547"/>
      <w:bookmarkStart w:id="54" w:name="_Toc426469872"/>
      <w:bookmarkStart w:id="55" w:name="_Toc246996176"/>
      <w:bookmarkStart w:id="56" w:name="_Toc383438593"/>
      <w:bookmarkStart w:id="57" w:name="_Toc152042306"/>
      <w:bookmarkStart w:id="58" w:name="_Toc246996919"/>
      <w:bookmarkStart w:id="59" w:name="_Toc144974498"/>
      <w:bookmarkStart w:id="60" w:name="_Toc152045530"/>
      <w:bookmarkStart w:id="61" w:name="_Toc367784996"/>
      <w:r>
        <w:rPr>
          <w:rFonts w:ascii="楷体" w:hAnsi="楷体" w:eastAsia="楷体"/>
          <w:b/>
          <w:color w:val="000000" w:themeColor="text1"/>
          <w:sz w:val="28"/>
          <w:szCs w:val="28"/>
          <w14:textFill>
            <w14:solidFill>
              <w14:schemeClr w14:val="tx1"/>
            </w14:solidFill>
          </w14:textFill>
        </w:rPr>
        <w:t xml:space="preserve">1.1 </w:t>
      </w:r>
      <w:r>
        <w:rPr>
          <w:rFonts w:hint="eastAsia" w:ascii="楷体" w:hAnsi="楷体" w:eastAsia="楷体" w:cs="宋体"/>
          <w:b/>
          <w:color w:val="000000" w:themeColor="text1"/>
          <w:sz w:val="28"/>
          <w:szCs w:val="28"/>
          <w14:textFill>
            <w14:solidFill>
              <w14:schemeClr w14:val="tx1"/>
            </w14:solidFill>
          </w14:textFill>
        </w:rPr>
        <w:t>项目概况</w:t>
      </w:r>
      <w:bookmarkEnd w:id="51"/>
      <w:bookmarkEnd w:id="52"/>
      <w:bookmarkEnd w:id="53"/>
      <w:bookmarkEnd w:id="54"/>
      <w:bookmarkEnd w:id="55"/>
      <w:bookmarkEnd w:id="56"/>
      <w:bookmarkEnd w:id="57"/>
      <w:bookmarkEnd w:id="58"/>
      <w:bookmarkEnd w:id="59"/>
      <w:bookmarkEnd w:id="60"/>
    </w:p>
    <w:p w14:paraId="3D082FAE">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1.1.1</w:t>
      </w:r>
      <w:r>
        <w:rPr>
          <w:rFonts w:hint="eastAsia" w:ascii="宋体" w:hAnsi="宋体" w:cs="宋体"/>
          <w:color w:val="000000" w:themeColor="text1"/>
          <w:sz w:val="28"/>
          <w:szCs w:val="28"/>
          <w14:textFill>
            <w14:solidFill>
              <w14:schemeClr w14:val="tx1"/>
            </w14:solidFill>
          </w14:textFill>
        </w:rPr>
        <w:t>根据《中华人民共和国政府采购法》、《中华人民共和国政府采购法实施条例》等有关法律、法规和规章的规定，本采购项目已具备采购条件，现对本项目进行公开招标。</w:t>
      </w:r>
    </w:p>
    <w:p w14:paraId="1A1FB7D7">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1.1.2 </w:t>
      </w:r>
      <w:r>
        <w:rPr>
          <w:rFonts w:hint="eastAsia" w:ascii="宋体" w:hAnsi="宋体" w:cs="宋体"/>
          <w:color w:val="000000" w:themeColor="text1"/>
          <w:sz w:val="28"/>
          <w:szCs w:val="28"/>
          <w14:textFill>
            <w14:solidFill>
              <w14:schemeClr w14:val="tx1"/>
            </w14:solidFill>
          </w14:textFill>
        </w:rPr>
        <w:t>招标人：见供应商须知前附表。</w:t>
      </w:r>
    </w:p>
    <w:p w14:paraId="0D3D0FBE">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1.1.3 </w:t>
      </w:r>
      <w:r>
        <w:rPr>
          <w:rFonts w:hint="eastAsia" w:ascii="宋体" w:hAnsi="宋体" w:cs="宋体"/>
          <w:color w:val="000000" w:themeColor="text1"/>
          <w:sz w:val="28"/>
          <w:szCs w:val="28"/>
          <w14:textFill>
            <w14:solidFill>
              <w14:schemeClr w14:val="tx1"/>
            </w14:solidFill>
          </w14:textFill>
        </w:rPr>
        <w:t>采购代理机构：见供应商须知前附表。</w:t>
      </w:r>
    </w:p>
    <w:p w14:paraId="592D88AE">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1.1.4 </w:t>
      </w:r>
      <w:r>
        <w:rPr>
          <w:rFonts w:hint="eastAsia" w:ascii="宋体" w:hAnsi="宋体" w:cs="宋体"/>
          <w:color w:val="000000" w:themeColor="text1"/>
          <w:sz w:val="28"/>
          <w:szCs w:val="28"/>
          <w14:textFill>
            <w14:solidFill>
              <w14:schemeClr w14:val="tx1"/>
            </w14:solidFill>
          </w14:textFill>
        </w:rPr>
        <w:t>项目名称及项目编号：见供应商须知前附表。</w:t>
      </w:r>
    </w:p>
    <w:p w14:paraId="424D84AA">
      <w:pPr>
        <w:adjustRightInd w:val="0"/>
        <w:snapToGrid w:val="0"/>
        <w:spacing w:line="490" w:lineRule="exact"/>
        <w:rPr>
          <w:rFonts w:ascii="楷体" w:hAnsi="楷体" w:eastAsia="楷体"/>
          <w:b/>
          <w:color w:val="000000" w:themeColor="text1"/>
          <w:sz w:val="28"/>
          <w:szCs w:val="28"/>
          <w14:textFill>
            <w14:solidFill>
              <w14:schemeClr w14:val="tx1"/>
            </w14:solidFill>
          </w14:textFill>
        </w:rPr>
      </w:pPr>
      <w:bookmarkStart w:id="62" w:name="_Toc152045531"/>
      <w:bookmarkStart w:id="63" w:name="_Toc152042307"/>
      <w:bookmarkStart w:id="64" w:name="_Toc426469873"/>
      <w:bookmarkStart w:id="65" w:name="_Toc247085691"/>
      <w:bookmarkStart w:id="66" w:name="_Toc144974499"/>
      <w:bookmarkStart w:id="67" w:name="_Toc179632548"/>
      <w:bookmarkStart w:id="68" w:name="_Toc246996920"/>
      <w:bookmarkStart w:id="69" w:name="_Toc246996177"/>
      <w:bookmarkStart w:id="70" w:name="_Toc383438594"/>
      <w:bookmarkStart w:id="71" w:name="_Toc343525507"/>
      <w:r>
        <w:rPr>
          <w:rFonts w:ascii="楷体" w:hAnsi="楷体" w:eastAsia="楷体"/>
          <w:b/>
          <w:color w:val="000000" w:themeColor="text1"/>
          <w:sz w:val="28"/>
          <w:szCs w:val="28"/>
          <w14:textFill>
            <w14:solidFill>
              <w14:schemeClr w14:val="tx1"/>
            </w14:solidFill>
          </w14:textFill>
        </w:rPr>
        <w:t>1.2</w:t>
      </w:r>
      <w:bookmarkEnd w:id="62"/>
      <w:bookmarkEnd w:id="63"/>
      <w:bookmarkEnd w:id="64"/>
      <w:bookmarkEnd w:id="65"/>
      <w:bookmarkEnd w:id="66"/>
      <w:bookmarkEnd w:id="67"/>
      <w:bookmarkEnd w:id="68"/>
      <w:bookmarkEnd w:id="69"/>
      <w:bookmarkEnd w:id="70"/>
      <w:bookmarkEnd w:id="71"/>
      <w:r>
        <w:rPr>
          <w:rFonts w:hint="eastAsia" w:ascii="楷体" w:hAnsi="楷体" w:eastAsia="楷体"/>
          <w:b/>
          <w:color w:val="000000" w:themeColor="text1"/>
          <w:sz w:val="28"/>
          <w:szCs w:val="28"/>
          <w14:textFill>
            <w14:solidFill>
              <w14:schemeClr w14:val="tx1"/>
            </w14:solidFill>
          </w14:textFill>
        </w:rPr>
        <w:t>付款方式</w:t>
      </w:r>
    </w:p>
    <w:p w14:paraId="1FCB34AF">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1.2.</w:t>
      </w:r>
      <w:r>
        <w:rPr>
          <w:rFonts w:hint="eastAsia" w:ascii="宋体" w:hAnsi="宋体"/>
          <w:color w:val="000000" w:themeColor="text1"/>
          <w:sz w:val="28"/>
          <w:szCs w:val="28"/>
          <w14:textFill>
            <w14:solidFill>
              <w14:schemeClr w14:val="tx1"/>
            </w14:solidFill>
          </w14:textFill>
        </w:rPr>
        <w:t>1</w:t>
      </w:r>
      <w:r>
        <w:rPr>
          <w:rFonts w:hint="eastAsia" w:ascii="宋体" w:hAnsi="宋体" w:cs="宋体"/>
          <w:color w:val="000000" w:themeColor="text1"/>
          <w:sz w:val="28"/>
          <w:szCs w:val="28"/>
          <w14:textFill>
            <w14:solidFill>
              <w14:schemeClr w14:val="tx1"/>
            </w14:solidFill>
          </w14:textFill>
        </w:rPr>
        <w:t>付款方式：见供应商须知前附表。</w:t>
      </w:r>
    </w:p>
    <w:p w14:paraId="605D923B">
      <w:pPr>
        <w:adjustRightInd w:val="0"/>
        <w:snapToGrid w:val="0"/>
        <w:spacing w:line="490" w:lineRule="exact"/>
        <w:rPr>
          <w:rFonts w:ascii="楷体" w:hAnsi="楷体" w:eastAsia="楷体"/>
          <w:b/>
          <w:color w:val="000000" w:themeColor="text1"/>
          <w:sz w:val="28"/>
          <w:szCs w:val="28"/>
          <w14:textFill>
            <w14:solidFill>
              <w14:schemeClr w14:val="tx1"/>
            </w14:solidFill>
          </w14:textFill>
        </w:rPr>
      </w:pPr>
      <w:bookmarkStart w:id="72" w:name="_Toc246996921"/>
      <w:bookmarkStart w:id="73" w:name="_Toc179632549"/>
      <w:bookmarkStart w:id="74" w:name="_Toc144974500"/>
      <w:bookmarkStart w:id="75" w:name="_Toc152042308"/>
      <w:bookmarkStart w:id="76" w:name="_Toc152045532"/>
      <w:bookmarkStart w:id="77" w:name="_Toc383438595"/>
      <w:bookmarkStart w:id="78" w:name="_Toc246996178"/>
      <w:bookmarkStart w:id="79" w:name="_Toc247085692"/>
      <w:bookmarkStart w:id="80" w:name="_Toc343525508"/>
      <w:bookmarkStart w:id="81" w:name="_Toc426469874"/>
      <w:r>
        <w:rPr>
          <w:rFonts w:ascii="楷体" w:hAnsi="楷体" w:eastAsia="楷体"/>
          <w:b/>
          <w:color w:val="000000" w:themeColor="text1"/>
          <w:sz w:val="28"/>
          <w:szCs w:val="28"/>
          <w14:textFill>
            <w14:solidFill>
              <w14:schemeClr w14:val="tx1"/>
            </w14:solidFill>
          </w14:textFill>
        </w:rPr>
        <w:t xml:space="preserve">1.3 </w:t>
      </w:r>
      <w:bookmarkEnd w:id="72"/>
      <w:bookmarkEnd w:id="73"/>
      <w:bookmarkEnd w:id="74"/>
      <w:bookmarkEnd w:id="75"/>
      <w:bookmarkEnd w:id="76"/>
      <w:bookmarkEnd w:id="77"/>
      <w:bookmarkEnd w:id="78"/>
      <w:bookmarkEnd w:id="79"/>
      <w:bookmarkEnd w:id="80"/>
      <w:r>
        <w:rPr>
          <w:rFonts w:hint="eastAsia" w:ascii="楷体" w:hAnsi="楷体" w:eastAsia="楷体"/>
          <w:b/>
          <w:color w:val="000000" w:themeColor="text1"/>
          <w:sz w:val="28"/>
          <w:szCs w:val="28"/>
          <w14:textFill>
            <w14:solidFill>
              <w14:schemeClr w14:val="tx1"/>
            </w14:solidFill>
          </w14:textFill>
        </w:rPr>
        <w:t>采购范围</w:t>
      </w:r>
      <w:bookmarkEnd w:id="81"/>
      <w:r>
        <w:rPr>
          <w:rFonts w:hint="eastAsia" w:ascii="楷体" w:hAnsi="楷体" w:eastAsia="楷体"/>
          <w:b/>
          <w:color w:val="000000" w:themeColor="text1"/>
          <w:sz w:val="28"/>
          <w:szCs w:val="28"/>
          <w14:textFill>
            <w14:solidFill>
              <w14:schemeClr w14:val="tx1"/>
            </w14:solidFill>
          </w14:textFill>
        </w:rPr>
        <w:t>与合同履行期限</w:t>
      </w:r>
    </w:p>
    <w:p w14:paraId="360BE095">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1.3.1 </w:t>
      </w:r>
      <w:r>
        <w:rPr>
          <w:rFonts w:hint="eastAsia" w:ascii="宋体" w:hAnsi="宋体" w:cs="宋体"/>
          <w:color w:val="000000" w:themeColor="text1"/>
          <w:sz w:val="28"/>
          <w:szCs w:val="28"/>
          <w14:textFill>
            <w14:solidFill>
              <w14:schemeClr w14:val="tx1"/>
            </w14:solidFill>
          </w14:textFill>
        </w:rPr>
        <w:t>采购范围：见供应商须知前附表。</w:t>
      </w:r>
    </w:p>
    <w:p w14:paraId="48748F60">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1.3.2 </w:t>
      </w:r>
      <w:r>
        <w:rPr>
          <w:rFonts w:hint="eastAsia" w:ascii="宋体" w:hAnsi="宋体" w:cs="宋体"/>
          <w:color w:val="000000" w:themeColor="text1"/>
          <w:sz w:val="28"/>
          <w:szCs w:val="28"/>
          <w14:textFill>
            <w14:solidFill>
              <w14:schemeClr w14:val="tx1"/>
            </w14:solidFill>
          </w14:textFill>
        </w:rPr>
        <w:t>合同履行期限：见供应商须知前附表。</w:t>
      </w:r>
    </w:p>
    <w:p w14:paraId="7EB80A89">
      <w:pPr>
        <w:adjustRightInd w:val="0"/>
        <w:snapToGrid w:val="0"/>
        <w:spacing w:line="490" w:lineRule="exact"/>
        <w:rPr>
          <w:rFonts w:ascii="楷体" w:hAnsi="楷体" w:eastAsia="楷体"/>
          <w:b/>
          <w:color w:val="000000" w:themeColor="text1"/>
          <w:sz w:val="28"/>
          <w:szCs w:val="28"/>
          <w14:textFill>
            <w14:solidFill>
              <w14:schemeClr w14:val="tx1"/>
            </w14:solidFill>
          </w14:textFill>
        </w:rPr>
      </w:pPr>
      <w:bookmarkStart w:id="82" w:name="_Toc383438596"/>
      <w:bookmarkStart w:id="83" w:name="_Toc179632551"/>
      <w:bookmarkStart w:id="84" w:name="_Toc144974502"/>
      <w:bookmarkStart w:id="85" w:name="_Toc246996922"/>
      <w:bookmarkStart w:id="86" w:name="_Toc426469875"/>
      <w:bookmarkStart w:id="87" w:name="_Toc152042310"/>
      <w:bookmarkStart w:id="88" w:name="_Toc152045534"/>
      <w:bookmarkStart w:id="89" w:name="_Toc246996179"/>
      <w:bookmarkStart w:id="90" w:name="_Toc343525509"/>
      <w:bookmarkStart w:id="91" w:name="_Toc247085693"/>
      <w:r>
        <w:rPr>
          <w:rFonts w:ascii="楷体" w:hAnsi="楷体" w:eastAsia="楷体"/>
          <w:b/>
          <w:color w:val="000000" w:themeColor="text1"/>
          <w:sz w:val="28"/>
          <w:szCs w:val="28"/>
          <w14:textFill>
            <w14:solidFill>
              <w14:schemeClr w14:val="tx1"/>
            </w14:solidFill>
          </w14:textFill>
        </w:rPr>
        <w:t xml:space="preserve">1.4 </w:t>
      </w:r>
      <w:r>
        <w:rPr>
          <w:rFonts w:hint="eastAsia" w:ascii="楷体" w:hAnsi="楷体" w:eastAsia="楷体"/>
          <w:b/>
          <w:color w:val="000000" w:themeColor="text1"/>
          <w:sz w:val="28"/>
          <w:szCs w:val="28"/>
          <w14:textFill>
            <w14:solidFill>
              <w14:schemeClr w14:val="tx1"/>
            </w14:solidFill>
          </w14:textFill>
        </w:rPr>
        <w:t>供应商资格要求</w:t>
      </w:r>
      <w:bookmarkEnd w:id="82"/>
      <w:bookmarkEnd w:id="83"/>
      <w:bookmarkEnd w:id="84"/>
      <w:bookmarkEnd w:id="85"/>
      <w:bookmarkEnd w:id="86"/>
      <w:bookmarkEnd w:id="87"/>
      <w:bookmarkEnd w:id="88"/>
      <w:bookmarkEnd w:id="89"/>
      <w:bookmarkEnd w:id="90"/>
      <w:bookmarkEnd w:id="91"/>
    </w:p>
    <w:p w14:paraId="22FF646E">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1.4.1 </w:t>
      </w:r>
      <w:r>
        <w:rPr>
          <w:rFonts w:hint="eastAsia" w:ascii="宋体" w:hAnsi="宋体" w:cs="宋体"/>
          <w:color w:val="000000" w:themeColor="text1"/>
          <w:sz w:val="28"/>
          <w:szCs w:val="28"/>
          <w14:textFill>
            <w14:solidFill>
              <w14:schemeClr w14:val="tx1"/>
            </w14:solidFill>
          </w14:textFill>
        </w:rPr>
        <w:t>供应商参加政府采购活动应当具备下列条件：</w:t>
      </w:r>
    </w:p>
    <w:p w14:paraId="1C4ED1CB">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1</w:t>
      </w:r>
      <w:r>
        <w:rPr>
          <w:rFonts w:hint="eastAsia" w:ascii="宋体" w:hAnsi="宋体" w:cs="宋体"/>
          <w:color w:val="000000" w:themeColor="text1"/>
          <w:sz w:val="28"/>
          <w:szCs w:val="28"/>
          <w14:textFill>
            <w14:solidFill>
              <w14:schemeClr w14:val="tx1"/>
            </w14:solidFill>
          </w14:textFill>
        </w:rPr>
        <w:t>）具有独立承担民事责任的能力；</w:t>
      </w:r>
    </w:p>
    <w:p w14:paraId="567FCF10">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2</w:t>
      </w:r>
      <w:r>
        <w:rPr>
          <w:rFonts w:hint="eastAsia" w:ascii="宋体" w:hAnsi="宋体" w:cs="宋体"/>
          <w:color w:val="000000" w:themeColor="text1"/>
          <w:sz w:val="28"/>
          <w:szCs w:val="28"/>
          <w14:textFill>
            <w14:solidFill>
              <w14:schemeClr w14:val="tx1"/>
            </w14:solidFill>
          </w14:textFill>
        </w:rPr>
        <w:t>）具有良好的商业信誉和健全的财务会计制度；</w:t>
      </w:r>
    </w:p>
    <w:p w14:paraId="2824E65D">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3</w:t>
      </w:r>
      <w:r>
        <w:rPr>
          <w:rFonts w:hint="eastAsia" w:ascii="宋体" w:hAnsi="宋体" w:cs="宋体"/>
          <w:color w:val="000000" w:themeColor="text1"/>
          <w:sz w:val="28"/>
          <w:szCs w:val="28"/>
          <w14:textFill>
            <w14:solidFill>
              <w14:schemeClr w14:val="tx1"/>
            </w14:solidFill>
          </w14:textFill>
        </w:rPr>
        <w:t>）具有履行合同所必需的设备和专业技术能力；</w:t>
      </w:r>
    </w:p>
    <w:p w14:paraId="6452912D">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4</w:t>
      </w:r>
      <w:r>
        <w:rPr>
          <w:rFonts w:hint="eastAsia" w:ascii="宋体" w:hAnsi="宋体" w:cs="宋体"/>
          <w:color w:val="000000" w:themeColor="text1"/>
          <w:sz w:val="28"/>
          <w:szCs w:val="28"/>
          <w14:textFill>
            <w14:solidFill>
              <w14:schemeClr w14:val="tx1"/>
            </w14:solidFill>
          </w14:textFill>
        </w:rPr>
        <w:t>）有依法缴纳税收和社会保障资金的良好记录；</w:t>
      </w:r>
    </w:p>
    <w:p w14:paraId="0677D689">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5</w:t>
      </w:r>
      <w:r>
        <w:rPr>
          <w:rFonts w:hint="eastAsia" w:ascii="宋体" w:hAnsi="宋体" w:cs="宋体"/>
          <w:color w:val="000000" w:themeColor="text1"/>
          <w:sz w:val="28"/>
          <w:szCs w:val="28"/>
          <w14:textFill>
            <w14:solidFill>
              <w14:schemeClr w14:val="tx1"/>
            </w14:solidFill>
          </w14:textFill>
        </w:rPr>
        <w:t>）参加政府采购活动前三年内，在经营活动中没有重大违法记录；</w:t>
      </w:r>
    </w:p>
    <w:p w14:paraId="6D96FE15">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6</w:t>
      </w:r>
      <w:r>
        <w:rPr>
          <w:rFonts w:hint="eastAsia" w:ascii="宋体" w:hAnsi="宋体" w:cs="宋体"/>
          <w:color w:val="000000" w:themeColor="text1"/>
          <w:sz w:val="28"/>
          <w:szCs w:val="28"/>
          <w14:textFill>
            <w14:solidFill>
              <w14:schemeClr w14:val="tx1"/>
            </w14:solidFill>
          </w14:textFill>
        </w:rPr>
        <w:t>）法律、行政法规规定的其他条件。</w:t>
      </w:r>
    </w:p>
    <w:p w14:paraId="235DDD3D">
      <w:pPr>
        <w:adjustRightInd w:val="0"/>
        <w:snapToGrid w:val="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1.4.2</w:t>
      </w:r>
      <w:r>
        <w:rPr>
          <w:rFonts w:hint="eastAsia" w:ascii="宋体" w:hAnsi="宋体" w:cs="宋体"/>
          <w:color w:val="000000" w:themeColor="text1"/>
          <w:sz w:val="28"/>
          <w:szCs w:val="28"/>
          <w14:textFill>
            <w14:solidFill>
              <w14:schemeClr w14:val="tx1"/>
            </w14:solidFill>
          </w14:textFill>
        </w:rPr>
        <w:t>根据采购项目特殊要求，要求供应商具备的特定条件：见供应商须知前附表。</w:t>
      </w:r>
    </w:p>
    <w:p w14:paraId="6C69D7BA">
      <w:pPr>
        <w:adjustRightInd w:val="0"/>
        <w:snapToGrid w:val="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1.4.3</w:t>
      </w:r>
      <w:r>
        <w:rPr>
          <w:rFonts w:hint="eastAsia" w:ascii="宋体" w:hAnsi="宋体" w:cs="宋体"/>
          <w:color w:val="000000" w:themeColor="text1"/>
          <w:sz w:val="28"/>
          <w:szCs w:val="28"/>
          <w14:textFill>
            <w14:solidFill>
              <w14:schemeClr w14:val="tx1"/>
            </w14:solidFill>
          </w14:textFill>
        </w:rPr>
        <w:t>供应商不得存在下列情形之一：</w:t>
      </w:r>
    </w:p>
    <w:p w14:paraId="3332DD3A">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l</w:t>
      </w:r>
      <w:r>
        <w:rPr>
          <w:rFonts w:hint="eastAsia" w:ascii="宋体" w:hAnsi="宋体" w:cs="宋体"/>
          <w:color w:val="000000" w:themeColor="text1"/>
          <w:sz w:val="28"/>
          <w:szCs w:val="28"/>
          <w14:textFill>
            <w14:solidFill>
              <w14:schemeClr w14:val="tx1"/>
            </w14:solidFill>
          </w14:textFill>
        </w:rPr>
        <w:t>）与招标人或采购代理机构存在隶属关系或者其他利害关系；</w:t>
      </w:r>
    </w:p>
    <w:p w14:paraId="453B79B0">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2</w:t>
      </w:r>
      <w:r>
        <w:rPr>
          <w:rFonts w:hint="eastAsia" w:ascii="宋体" w:hAnsi="宋体" w:cs="宋体"/>
          <w:color w:val="000000" w:themeColor="text1"/>
          <w:sz w:val="28"/>
          <w:szCs w:val="28"/>
          <w14:textFill>
            <w14:solidFill>
              <w14:schemeClr w14:val="tx1"/>
            </w14:solidFill>
          </w14:textFill>
        </w:rPr>
        <w:t>）为采购项目提供了整体设计、规范编制或者项目管理、监理、检测等服务；</w:t>
      </w:r>
    </w:p>
    <w:p w14:paraId="7665A7A0">
      <w:pPr>
        <w:adjustRightInd w:val="0"/>
        <w:snapToGrid w:val="0"/>
        <w:spacing w:line="49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3</w:t>
      </w:r>
      <w:r>
        <w:rPr>
          <w:rFonts w:hint="eastAsia" w:ascii="宋体" w:hAnsi="宋体" w:cs="宋体"/>
          <w:color w:val="000000" w:themeColor="text1"/>
          <w:sz w:val="28"/>
          <w:szCs w:val="28"/>
          <w14:textFill>
            <w14:solidFill>
              <w14:schemeClr w14:val="tx1"/>
            </w14:solidFill>
          </w14:textFill>
        </w:rPr>
        <w:t>）单位负责人为同一人或者存在直接控股、管理关系的不同供应商，参加同一合同项下的政府采购活动。</w:t>
      </w:r>
    </w:p>
    <w:p w14:paraId="1AF718C5">
      <w:pPr>
        <w:adjustRightInd w:val="0"/>
        <w:snapToGrid w:val="0"/>
        <w:spacing w:line="49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（4）以联合体形式参加政府采购活动的，联合体各方再单独参加或者与其他供应商另外组成联合体参加同一合同项下的政府采购活动。</w:t>
      </w:r>
    </w:p>
    <w:p w14:paraId="08413BB3">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hint="eastAsia" w:ascii="宋体" w:hAnsi="宋体"/>
          <w:color w:val="000000" w:themeColor="text1"/>
          <w:sz w:val="28"/>
          <w:szCs w:val="28"/>
          <w14:textFill>
            <w14:solidFill>
              <w14:schemeClr w14:val="tx1"/>
            </w14:solidFill>
          </w14:textFill>
        </w:rPr>
        <w:t>5</w:t>
      </w:r>
      <w:r>
        <w:rPr>
          <w:rFonts w:hint="eastAsia" w:ascii="宋体" w:hAnsi="宋体" w:cs="宋体"/>
          <w:color w:val="000000" w:themeColor="text1"/>
          <w:sz w:val="28"/>
          <w:szCs w:val="28"/>
          <w14:textFill>
            <w14:solidFill>
              <w14:schemeClr w14:val="tx1"/>
            </w14:solidFill>
          </w14:textFill>
        </w:rPr>
        <w:t>）法律、行政法规规定的其他条件。</w:t>
      </w:r>
    </w:p>
    <w:p w14:paraId="4EDB372C">
      <w:pPr>
        <w:adjustRightInd w:val="0"/>
        <w:snapToGrid w:val="0"/>
        <w:spacing w:line="490" w:lineRule="exact"/>
        <w:rPr>
          <w:rFonts w:ascii="楷体" w:hAnsi="楷体" w:eastAsia="楷体"/>
          <w:b/>
          <w:color w:val="000000" w:themeColor="text1"/>
          <w:sz w:val="28"/>
          <w:szCs w:val="28"/>
          <w14:textFill>
            <w14:solidFill>
              <w14:schemeClr w14:val="tx1"/>
            </w14:solidFill>
          </w14:textFill>
        </w:rPr>
      </w:pPr>
      <w:bookmarkStart w:id="92" w:name="_Toc426469876"/>
      <w:bookmarkStart w:id="93" w:name="_Toc152042311"/>
      <w:bookmarkStart w:id="94" w:name="_Toc247085694"/>
      <w:bookmarkStart w:id="95" w:name="_Toc152045535"/>
      <w:bookmarkStart w:id="96" w:name="_Toc144974503"/>
      <w:bookmarkStart w:id="97" w:name="_Toc383438597"/>
      <w:bookmarkStart w:id="98" w:name="_Toc246996923"/>
      <w:bookmarkStart w:id="99" w:name="_Toc179632552"/>
      <w:bookmarkStart w:id="100" w:name="_Toc343525510"/>
      <w:bookmarkStart w:id="101" w:name="_Toc246996180"/>
      <w:r>
        <w:rPr>
          <w:rFonts w:ascii="楷体" w:hAnsi="楷体" w:eastAsia="楷体"/>
          <w:b/>
          <w:color w:val="000000" w:themeColor="text1"/>
          <w:sz w:val="28"/>
          <w:szCs w:val="28"/>
          <w14:textFill>
            <w14:solidFill>
              <w14:schemeClr w14:val="tx1"/>
            </w14:solidFill>
          </w14:textFill>
        </w:rPr>
        <w:t>1.5</w:t>
      </w:r>
      <w:r>
        <w:rPr>
          <w:rFonts w:hint="eastAsia" w:ascii="楷体" w:hAnsi="楷体" w:eastAsia="楷体" w:cs="宋体"/>
          <w:b/>
          <w:color w:val="000000" w:themeColor="text1"/>
          <w:sz w:val="28"/>
          <w:szCs w:val="28"/>
          <w14:textFill>
            <w14:solidFill>
              <w14:schemeClr w14:val="tx1"/>
            </w14:solidFill>
          </w14:textFill>
        </w:rPr>
        <w:t>费用承担</w:t>
      </w:r>
      <w:bookmarkEnd w:id="92"/>
      <w:bookmarkEnd w:id="93"/>
      <w:bookmarkEnd w:id="94"/>
      <w:bookmarkEnd w:id="95"/>
      <w:bookmarkEnd w:id="96"/>
      <w:bookmarkEnd w:id="97"/>
      <w:bookmarkEnd w:id="98"/>
      <w:bookmarkEnd w:id="99"/>
      <w:bookmarkEnd w:id="100"/>
      <w:bookmarkEnd w:id="101"/>
    </w:p>
    <w:p w14:paraId="644E643D">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无论采购结果如何，供应商为准备和参加投标活动发生的费用自理。</w:t>
      </w:r>
    </w:p>
    <w:p w14:paraId="2D7710B4">
      <w:pPr>
        <w:adjustRightInd w:val="0"/>
        <w:snapToGrid w:val="0"/>
        <w:spacing w:line="490" w:lineRule="exact"/>
        <w:rPr>
          <w:rFonts w:ascii="楷体" w:hAnsi="楷体" w:eastAsia="楷体"/>
          <w:b/>
          <w:color w:val="000000" w:themeColor="text1"/>
          <w:sz w:val="28"/>
          <w:szCs w:val="28"/>
          <w14:textFill>
            <w14:solidFill>
              <w14:schemeClr w14:val="tx1"/>
            </w14:solidFill>
          </w14:textFill>
        </w:rPr>
      </w:pPr>
      <w:bookmarkStart w:id="102" w:name="_Toc144974505"/>
      <w:bookmarkStart w:id="103" w:name="_Toc426469878"/>
      <w:bookmarkStart w:id="104" w:name="_Toc179632554"/>
      <w:bookmarkStart w:id="105" w:name="_Toc383438599"/>
      <w:bookmarkStart w:id="106" w:name="_Toc152045537"/>
      <w:bookmarkStart w:id="107" w:name="_Toc246996925"/>
      <w:bookmarkStart w:id="108" w:name="_Toc247085696"/>
      <w:bookmarkStart w:id="109" w:name="_Toc343525512"/>
      <w:bookmarkStart w:id="110" w:name="_Toc246996182"/>
      <w:bookmarkStart w:id="111" w:name="_Toc152042313"/>
      <w:r>
        <w:rPr>
          <w:rFonts w:ascii="楷体" w:hAnsi="楷体" w:eastAsia="楷体"/>
          <w:b/>
          <w:color w:val="000000" w:themeColor="text1"/>
          <w:sz w:val="28"/>
          <w:szCs w:val="28"/>
          <w14:textFill>
            <w14:solidFill>
              <w14:schemeClr w14:val="tx1"/>
            </w14:solidFill>
          </w14:textFill>
        </w:rPr>
        <w:t>1.</w:t>
      </w:r>
      <w:r>
        <w:rPr>
          <w:rFonts w:hint="eastAsia" w:ascii="楷体" w:hAnsi="楷体" w:eastAsia="楷体"/>
          <w:b/>
          <w:color w:val="000000" w:themeColor="text1"/>
          <w:sz w:val="28"/>
          <w:szCs w:val="28"/>
          <w14:textFill>
            <w14:solidFill>
              <w14:schemeClr w14:val="tx1"/>
            </w14:solidFill>
          </w14:textFill>
        </w:rPr>
        <w:t>6</w:t>
      </w:r>
      <w:r>
        <w:rPr>
          <w:rFonts w:hint="eastAsia" w:ascii="楷体" w:hAnsi="楷体" w:eastAsia="楷体" w:cs="宋体"/>
          <w:b/>
          <w:color w:val="000000" w:themeColor="text1"/>
          <w:sz w:val="28"/>
          <w:szCs w:val="28"/>
          <w14:textFill>
            <w14:solidFill>
              <w14:schemeClr w14:val="tx1"/>
            </w14:solidFill>
          </w14:textFill>
        </w:rPr>
        <w:t>语言</w:t>
      </w:r>
      <w:bookmarkEnd w:id="102"/>
      <w:r>
        <w:rPr>
          <w:rFonts w:hint="eastAsia" w:ascii="楷体" w:hAnsi="楷体" w:eastAsia="楷体" w:cs="宋体"/>
          <w:b/>
          <w:color w:val="000000" w:themeColor="text1"/>
          <w:sz w:val="28"/>
          <w:szCs w:val="28"/>
          <w14:textFill>
            <w14:solidFill>
              <w14:schemeClr w14:val="tx1"/>
            </w14:solidFill>
          </w14:textFill>
        </w:rPr>
        <w:t>文字</w:t>
      </w:r>
      <w:bookmarkEnd w:id="103"/>
      <w:bookmarkEnd w:id="104"/>
      <w:bookmarkEnd w:id="105"/>
      <w:bookmarkEnd w:id="106"/>
      <w:bookmarkEnd w:id="107"/>
      <w:bookmarkEnd w:id="108"/>
      <w:bookmarkEnd w:id="109"/>
      <w:bookmarkEnd w:id="110"/>
      <w:bookmarkEnd w:id="111"/>
    </w:p>
    <w:p w14:paraId="3CC4B12D">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bookmarkStart w:id="112" w:name="_Toc144974506"/>
      <w:bookmarkStart w:id="113" w:name="_Toc152045538"/>
      <w:bookmarkStart w:id="114" w:name="_Toc179632555"/>
      <w:bookmarkStart w:id="115" w:name="_Toc246996926"/>
      <w:bookmarkStart w:id="116" w:name="_Toc152042314"/>
      <w:bookmarkStart w:id="117" w:name="_Toc247085697"/>
      <w:bookmarkStart w:id="118" w:name="_Toc246996183"/>
      <w:r>
        <w:rPr>
          <w:rFonts w:hint="eastAsia" w:ascii="宋体" w:hAnsi="宋体" w:cs="宋体"/>
          <w:color w:val="000000" w:themeColor="text1"/>
          <w:sz w:val="28"/>
          <w:szCs w:val="28"/>
          <w14:textFill>
            <w14:solidFill>
              <w14:schemeClr w14:val="tx1"/>
            </w14:solidFill>
          </w14:textFill>
        </w:rPr>
        <w:t>招投标文件使用的语言文字为中文。专用术语使用外文的，应附有中文注释。</w:t>
      </w:r>
    </w:p>
    <w:p w14:paraId="74087A4B">
      <w:pPr>
        <w:adjustRightInd w:val="0"/>
        <w:snapToGrid w:val="0"/>
        <w:spacing w:line="490" w:lineRule="exact"/>
        <w:rPr>
          <w:rFonts w:ascii="楷体" w:hAnsi="楷体" w:eastAsia="楷体"/>
          <w:b/>
          <w:color w:val="000000" w:themeColor="text1"/>
          <w:sz w:val="28"/>
          <w:szCs w:val="28"/>
          <w14:textFill>
            <w14:solidFill>
              <w14:schemeClr w14:val="tx1"/>
            </w14:solidFill>
          </w14:textFill>
        </w:rPr>
      </w:pPr>
      <w:bookmarkStart w:id="119" w:name="_Toc383438600"/>
      <w:bookmarkStart w:id="120" w:name="_Toc426469879"/>
      <w:bookmarkStart w:id="121" w:name="_Toc343525513"/>
      <w:r>
        <w:rPr>
          <w:rFonts w:ascii="楷体" w:hAnsi="楷体" w:eastAsia="楷体"/>
          <w:b/>
          <w:color w:val="000000" w:themeColor="text1"/>
          <w:sz w:val="28"/>
          <w:szCs w:val="28"/>
          <w14:textFill>
            <w14:solidFill>
              <w14:schemeClr w14:val="tx1"/>
            </w14:solidFill>
          </w14:textFill>
        </w:rPr>
        <w:t>1.</w:t>
      </w:r>
      <w:r>
        <w:rPr>
          <w:rFonts w:hint="eastAsia" w:ascii="楷体" w:hAnsi="楷体" w:eastAsia="楷体"/>
          <w:b/>
          <w:color w:val="000000" w:themeColor="text1"/>
          <w:sz w:val="28"/>
          <w:szCs w:val="28"/>
          <w14:textFill>
            <w14:solidFill>
              <w14:schemeClr w14:val="tx1"/>
            </w14:solidFill>
          </w14:textFill>
        </w:rPr>
        <w:t>7</w:t>
      </w:r>
      <w:r>
        <w:rPr>
          <w:rFonts w:ascii="楷体" w:hAnsi="楷体" w:eastAsia="楷体"/>
          <w:b/>
          <w:color w:val="000000" w:themeColor="text1"/>
          <w:sz w:val="28"/>
          <w:szCs w:val="28"/>
          <w14:textFill>
            <w14:solidFill>
              <w14:schemeClr w14:val="tx1"/>
            </w14:solidFill>
          </w14:textFill>
        </w:rPr>
        <w:t xml:space="preserve"> </w:t>
      </w:r>
      <w:r>
        <w:rPr>
          <w:rFonts w:hint="eastAsia" w:ascii="楷体" w:hAnsi="楷体" w:eastAsia="楷体" w:cs="宋体"/>
          <w:b/>
          <w:color w:val="000000" w:themeColor="text1"/>
          <w:sz w:val="28"/>
          <w:szCs w:val="28"/>
          <w14:textFill>
            <w14:solidFill>
              <w14:schemeClr w14:val="tx1"/>
            </w14:solidFill>
          </w14:textFill>
        </w:rPr>
        <w:t>计量单位</w:t>
      </w:r>
      <w:bookmarkEnd w:id="112"/>
      <w:bookmarkEnd w:id="113"/>
      <w:bookmarkEnd w:id="114"/>
      <w:bookmarkEnd w:id="115"/>
      <w:bookmarkEnd w:id="116"/>
      <w:bookmarkEnd w:id="117"/>
      <w:bookmarkEnd w:id="118"/>
      <w:bookmarkEnd w:id="119"/>
      <w:bookmarkEnd w:id="120"/>
      <w:bookmarkEnd w:id="121"/>
    </w:p>
    <w:p w14:paraId="54F1D8E0">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所有计量均采用中华人民共和国法定计量单位。</w:t>
      </w:r>
    </w:p>
    <w:p w14:paraId="2784DC45">
      <w:pPr>
        <w:adjustRightInd w:val="0"/>
        <w:snapToGrid w:val="0"/>
        <w:spacing w:line="490" w:lineRule="exact"/>
        <w:rPr>
          <w:rFonts w:ascii="楷体" w:hAnsi="楷体" w:eastAsia="楷体"/>
          <w:b/>
          <w:color w:val="000000" w:themeColor="text1"/>
          <w:sz w:val="28"/>
          <w:szCs w:val="28"/>
          <w14:textFill>
            <w14:solidFill>
              <w14:schemeClr w14:val="tx1"/>
            </w14:solidFill>
          </w14:textFill>
        </w:rPr>
      </w:pPr>
      <w:bookmarkStart w:id="122" w:name="_Toc426469881"/>
      <w:r>
        <w:rPr>
          <w:rFonts w:ascii="楷体" w:hAnsi="楷体" w:eastAsia="楷体"/>
          <w:b/>
          <w:color w:val="000000" w:themeColor="text1"/>
          <w:sz w:val="28"/>
          <w:szCs w:val="28"/>
          <w14:textFill>
            <w14:solidFill>
              <w14:schemeClr w14:val="tx1"/>
            </w14:solidFill>
          </w14:textFill>
        </w:rPr>
        <w:t>1.</w:t>
      </w:r>
      <w:r>
        <w:rPr>
          <w:rFonts w:hint="eastAsia" w:ascii="楷体" w:hAnsi="楷体" w:eastAsia="楷体"/>
          <w:b/>
          <w:color w:val="000000" w:themeColor="text1"/>
          <w:sz w:val="28"/>
          <w:szCs w:val="28"/>
          <w14:textFill>
            <w14:solidFill>
              <w14:schemeClr w14:val="tx1"/>
            </w14:solidFill>
          </w14:textFill>
        </w:rPr>
        <w:t>8</w:t>
      </w:r>
      <w:r>
        <w:rPr>
          <w:rFonts w:hint="eastAsia" w:ascii="楷体" w:hAnsi="楷体" w:eastAsia="楷体" w:cs="宋体"/>
          <w:b/>
          <w:color w:val="000000" w:themeColor="text1"/>
          <w:sz w:val="28"/>
          <w:szCs w:val="28"/>
          <w14:textFill>
            <w14:solidFill>
              <w14:schemeClr w14:val="tx1"/>
            </w14:solidFill>
          </w14:textFill>
        </w:rPr>
        <w:t>偏离</w:t>
      </w:r>
      <w:bookmarkEnd w:id="122"/>
    </w:p>
    <w:p w14:paraId="3B6DB13F">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1.</w:t>
      </w:r>
      <w:r>
        <w:rPr>
          <w:rFonts w:hint="eastAsia" w:ascii="宋体" w:hAnsi="宋体"/>
          <w:color w:val="000000" w:themeColor="text1"/>
          <w:sz w:val="28"/>
          <w:szCs w:val="28"/>
          <w14:textFill>
            <w14:solidFill>
              <w14:schemeClr w14:val="tx1"/>
            </w14:solidFill>
          </w14:textFill>
        </w:rPr>
        <w:t>8</w:t>
      </w:r>
      <w:r>
        <w:rPr>
          <w:rFonts w:ascii="宋体" w:hAnsi="宋体"/>
          <w:color w:val="000000" w:themeColor="text1"/>
          <w:sz w:val="28"/>
          <w:szCs w:val="28"/>
          <w14:textFill>
            <w14:solidFill>
              <w14:schemeClr w14:val="tx1"/>
            </w14:solidFill>
          </w14:textFill>
        </w:rPr>
        <w:t>.1</w:t>
      </w:r>
      <w:r>
        <w:rPr>
          <w:rFonts w:hint="eastAsia" w:ascii="宋体" w:hAnsi="宋体" w:cs="宋体"/>
          <w:color w:val="000000" w:themeColor="text1"/>
          <w:sz w:val="28"/>
          <w:szCs w:val="28"/>
          <w14:textFill>
            <w14:solidFill>
              <w14:schemeClr w14:val="tx1"/>
            </w14:solidFill>
          </w14:textFill>
        </w:rPr>
        <w:t>偏离是指投标文件中的内容与招标文件中规定的技术参数、标准、服务要求等不一致的情形。优于招标文件规定的技术参数、标准、服务要求的为正偏离，反之为负偏离。</w:t>
      </w:r>
    </w:p>
    <w:p w14:paraId="2901F83F">
      <w:pPr>
        <w:adjustRightInd w:val="0"/>
        <w:snapToGrid w:val="0"/>
        <w:spacing w:line="490" w:lineRule="exact"/>
        <w:ind w:firstLine="560" w:firstLineChars="200"/>
        <w:rPr>
          <w:rFonts w:ascii="宋体" w:hAnsi="宋体" w:cs="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1.</w:t>
      </w:r>
      <w:r>
        <w:rPr>
          <w:rFonts w:hint="eastAsia" w:ascii="宋体" w:hAnsi="宋体"/>
          <w:color w:val="000000" w:themeColor="text1"/>
          <w:sz w:val="28"/>
          <w:szCs w:val="28"/>
          <w14:textFill>
            <w14:solidFill>
              <w14:schemeClr w14:val="tx1"/>
            </w14:solidFill>
          </w14:textFill>
        </w:rPr>
        <w:t>8</w:t>
      </w:r>
      <w:r>
        <w:rPr>
          <w:rFonts w:ascii="宋体" w:hAnsi="宋体"/>
          <w:color w:val="000000" w:themeColor="text1"/>
          <w:sz w:val="28"/>
          <w:szCs w:val="28"/>
          <w14:textFill>
            <w14:solidFill>
              <w14:schemeClr w14:val="tx1"/>
            </w14:solidFill>
          </w14:textFill>
        </w:rPr>
        <w:t>.2</w:t>
      </w:r>
      <w:r>
        <w:rPr>
          <w:rFonts w:hint="eastAsia" w:ascii="宋体" w:hAnsi="宋体" w:cs="宋体"/>
          <w:color w:val="000000" w:themeColor="text1"/>
          <w:sz w:val="28"/>
          <w:szCs w:val="28"/>
          <w14:textFill>
            <w14:solidFill>
              <w14:schemeClr w14:val="tx1"/>
            </w14:solidFill>
          </w14:textFill>
        </w:rPr>
        <w:t>偏离的具体要求见供应商须知前附表。</w:t>
      </w:r>
    </w:p>
    <w:p w14:paraId="2C0BA596">
      <w:pPr>
        <w:adjustRightInd w:val="0"/>
        <w:snapToGrid w:val="0"/>
        <w:spacing w:line="490" w:lineRule="exact"/>
        <w:rPr>
          <w:rFonts w:ascii="黑体" w:hAnsi="黑体" w:eastAsia="黑体"/>
          <w:color w:val="000000" w:themeColor="text1"/>
          <w:sz w:val="32"/>
          <w:szCs w:val="32"/>
          <w14:textFill>
            <w14:solidFill>
              <w14:schemeClr w14:val="tx1"/>
            </w14:solidFill>
          </w14:textFill>
        </w:rPr>
      </w:pPr>
      <w:bookmarkStart w:id="123" w:name="_Toc383438604"/>
      <w:bookmarkStart w:id="124" w:name="_Toc426469882"/>
      <w:bookmarkStart w:id="125" w:name="_Toc343525517"/>
      <w:r>
        <w:rPr>
          <w:rFonts w:ascii="黑体" w:hAnsi="黑体" w:eastAsia="黑体"/>
          <w:color w:val="000000" w:themeColor="text1"/>
          <w:sz w:val="32"/>
          <w:szCs w:val="32"/>
          <w14:textFill>
            <w14:solidFill>
              <w14:schemeClr w14:val="tx1"/>
            </w14:solidFill>
          </w14:textFill>
        </w:rPr>
        <w:t xml:space="preserve">2. </w:t>
      </w:r>
      <w:r>
        <w:rPr>
          <w:rFonts w:hint="eastAsia" w:ascii="黑体" w:hAnsi="黑体" w:eastAsia="黑体" w:cs="宋体"/>
          <w:color w:val="000000" w:themeColor="text1"/>
          <w:sz w:val="32"/>
          <w:szCs w:val="32"/>
          <w14:textFill>
            <w14:solidFill>
              <w14:schemeClr w14:val="tx1"/>
            </w14:solidFill>
          </w14:textFill>
        </w:rPr>
        <w:t>招标文件</w:t>
      </w:r>
      <w:bookmarkEnd w:id="123"/>
      <w:bookmarkEnd w:id="124"/>
      <w:bookmarkEnd w:id="125"/>
    </w:p>
    <w:p w14:paraId="6BDE55A2">
      <w:pPr>
        <w:adjustRightInd w:val="0"/>
        <w:snapToGrid w:val="0"/>
        <w:spacing w:line="490" w:lineRule="exact"/>
        <w:rPr>
          <w:rFonts w:ascii="楷体" w:hAnsi="楷体" w:eastAsia="楷体"/>
          <w:b/>
          <w:color w:val="000000" w:themeColor="text1"/>
          <w:sz w:val="28"/>
          <w:szCs w:val="28"/>
          <w14:textFill>
            <w14:solidFill>
              <w14:schemeClr w14:val="tx1"/>
            </w14:solidFill>
          </w14:textFill>
        </w:rPr>
      </w:pPr>
      <w:bookmarkStart w:id="126" w:name="_Toc426469883"/>
      <w:bookmarkStart w:id="127" w:name="_Toc246996188"/>
      <w:bookmarkStart w:id="128" w:name="_Toc343525518"/>
      <w:bookmarkStart w:id="129" w:name="_Toc144974511"/>
      <w:bookmarkStart w:id="130" w:name="_Toc247085702"/>
      <w:bookmarkStart w:id="131" w:name="_Toc152042319"/>
      <w:bookmarkStart w:id="132" w:name="_Toc246996931"/>
      <w:bookmarkStart w:id="133" w:name="_Toc179632561"/>
      <w:bookmarkStart w:id="134" w:name="_Toc383438605"/>
      <w:bookmarkStart w:id="135" w:name="_Toc152045543"/>
      <w:r>
        <w:rPr>
          <w:rFonts w:ascii="楷体" w:hAnsi="楷体" w:eastAsia="楷体"/>
          <w:b/>
          <w:color w:val="000000" w:themeColor="text1"/>
          <w:sz w:val="28"/>
          <w:szCs w:val="28"/>
          <w14:textFill>
            <w14:solidFill>
              <w14:schemeClr w14:val="tx1"/>
            </w14:solidFill>
          </w14:textFill>
        </w:rPr>
        <w:t xml:space="preserve">2.1 </w:t>
      </w:r>
      <w:r>
        <w:rPr>
          <w:rFonts w:hint="eastAsia" w:ascii="楷体" w:hAnsi="楷体" w:eastAsia="楷体" w:cs="宋体"/>
          <w:b/>
          <w:color w:val="000000" w:themeColor="text1"/>
          <w:sz w:val="28"/>
          <w:szCs w:val="28"/>
          <w14:textFill>
            <w14:solidFill>
              <w14:schemeClr w14:val="tx1"/>
            </w14:solidFill>
          </w14:textFill>
        </w:rPr>
        <w:t>招标文件的组成</w:t>
      </w:r>
      <w:bookmarkEnd w:id="126"/>
      <w:bookmarkEnd w:id="127"/>
      <w:bookmarkEnd w:id="128"/>
      <w:bookmarkEnd w:id="129"/>
      <w:bookmarkEnd w:id="130"/>
      <w:bookmarkEnd w:id="131"/>
      <w:bookmarkEnd w:id="132"/>
      <w:bookmarkEnd w:id="133"/>
      <w:bookmarkEnd w:id="134"/>
      <w:bookmarkEnd w:id="135"/>
    </w:p>
    <w:p w14:paraId="78AAD592">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2.1.1 </w:t>
      </w:r>
      <w:r>
        <w:rPr>
          <w:rFonts w:hint="eastAsia" w:ascii="宋体" w:hAnsi="宋体" w:cs="宋体"/>
          <w:color w:val="000000" w:themeColor="text1"/>
          <w:sz w:val="28"/>
          <w:szCs w:val="28"/>
          <w14:textFill>
            <w14:solidFill>
              <w14:schemeClr w14:val="tx1"/>
            </w14:solidFill>
          </w14:textFill>
        </w:rPr>
        <w:t>本招标文件包括：</w:t>
      </w:r>
    </w:p>
    <w:p w14:paraId="049CF73D">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1</w:t>
      </w:r>
      <w:r>
        <w:rPr>
          <w:rFonts w:hint="eastAsia" w:ascii="宋体" w:hAnsi="宋体" w:cs="宋体"/>
          <w:color w:val="000000" w:themeColor="text1"/>
          <w:sz w:val="28"/>
          <w:szCs w:val="28"/>
          <w14:textFill>
            <w14:solidFill>
              <w14:schemeClr w14:val="tx1"/>
            </w14:solidFill>
          </w14:textFill>
        </w:rPr>
        <w:t>）招标公告；</w:t>
      </w:r>
    </w:p>
    <w:p w14:paraId="7E16C114">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2</w:t>
      </w:r>
      <w:r>
        <w:rPr>
          <w:rFonts w:hint="eastAsia" w:ascii="宋体" w:hAnsi="宋体" w:cs="宋体"/>
          <w:color w:val="000000" w:themeColor="text1"/>
          <w:sz w:val="28"/>
          <w:szCs w:val="28"/>
          <w14:textFill>
            <w14:solidFill>
              <w14:schemeClr w14:val="tx1"/>
            </w14:solidFill>
          </w14:textFill>
        </w:rPr>
        <w:t>）供应商须知；</w:t>
      </w:r>
    </w:p>
    <w:p w14:paraId="5FF31DAB">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3</w:t>
      </w:r>
      <w:r>
        <w:rPr>
          <w:rFonts w:hint="eastAsia" w:ascii="宋体" w:hAnsi="宋体" w:cs="宋体"/>
          <w:color w:val="000000" w:themeColor="text1"/>
          <w:sz w:val="28"/>
          <w:szCs w:val="28"/>
          <w14:textFill>
            <w14:solidFill>
              <w14:schemeClr w14:val="tx1"/>
            </w14:solidFill>
          </w14:textFill>
        </w:rPr>
        <w:t>）评标办法；</w:t>
      </w:r>
    </w:p>
    <w:p w14:paraId="5751F2CF">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4</w:t>
      </w:r>
      <w:r>
        <w:rPr>
          <w:rFonts w:hint="eastAsia" w:ascii="宋体" w:hAnsi="宋体" w:cs="宋体"/>
          <w:color w:val="000000" w:themeColor="text1"/>
          <w:sz w:val="28"/>
          <w:szCs w:val="28"/>
          <w14:textFill>
            <w14:solidFill>
              <w14:schemeClr w14:val="tx1"/>
            </w14:solidFill>
          </w14:textFill>
        </w:rPr>
        <w:t>）合同条款及格式；</w:t>
      </w:r>
    </w:p>
    <w:p w14:paraId="23CFF056">
      <w:pPr>
        <w:adjustRightInd w:val="0"/>
        <w:snapToGrid w:val="0"/>
        <w:spacing w:line="490" w:lineRule="exact"/>
        <w:ind w:firstLine="560" w:firstLineChars="200"/>
        <w:rPr>
          <w:rFonts w:ascii="宋体" w:hAns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5</w:t>
      </w:r>
      <w:r>
        <w:rPr>
          <w:rFonts w:hint="eastAsia" w:ascii="宋体" w:hAnsi="宋体" w:cs="宋体"/>
          <w:color w:val="000000" w:themeColor="text1"/>
          <w:sz w:val="28"/>
          <w:szCs w:val="28"/>
          <w14:textFill>
            <w14:solidFill>
              <w14:schemeClr w14:val="tx1"/>
            </w14:solidFill>
          </w14:textFill>
        </w:rPr>
        <w:t>）</w:t>
      </w:r>
      <w:r>
        <w:rPr>
          <w:rFonts w:hint="eastAsia" w:ascii="宋体" w:hAnsi="宋体"/>
          <w:color w:val="000000" w:themeColor="text1"/>
          <w:sz w:val="28"/>
          <w:szCs w:val="28"/>
          <w14:textFill>
            <w14:solidFill>
              <w14:schemeClr w14:val="tx1"/>
            </w14:solidFill>
          </w14:textFill>
        </w:rPr>
        <w:t>采购需求</w:t>
      </w: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 xml:space="preserve"> </w:t>
      </w:r>
    </w:p>
    <w:p w14:paraId="3E8C1134">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6</w:t>
      </w:r>
      <w:r>
        <w:rPr>
          <w:rFonts w:hint="eastAsia" w:ascii="宋体" w:hAnsi="宋体" w:cs="宋体"/>
          <w:color w:val="000000" w:themeColor="text1"/>
          <w:sz w:val="28"/>
          <w:szCs w:val="28"/>
          <w14:textFill>
            <w14:solidFill>
              <w14:schemeClr w14:val="tx1"/>
            </w14:solidFill>
          </w14:textFill>
        </w:rPr>
        <w:t>）投标文件的编制要求及参考格式；</w:t>
      </w:r>
    </w:p>
    <w:p w14:paraId="01ABAAF8">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7</w:t>
      </w:r>
      <w:r>
        <w:rPr>
          <w:rFonts w:hint="eastAsia" w:ascii="宋体" w:hAnsi="宋体" w:cs="宋体"/>
          <w:color w:val="000000" w:themeColor="text1"/>
          <w:sz w:val="28"/>
          <w:szCs w:val="28"/>
          <w14:textFill>
            <w14:solidFill>
              <w14:schemeClr w14:val="tx1"/>
            </w14:solidFill>
          </w14:textFill>
        </w:rPr>
        <w:t>）供应商须知前附表规定的构成招标文件的其他材料。</w:t>
      </w:r>
    </w:p>
    <w:p w14:paraId="3F2ACB3B">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2.1.2</w:t>
      </w:r>
      <w:r>
        <w:rPr>
          <w:rFonts w:hint="eastAsia" w:ascii="宋体" w:hAnsi="宋体" w:cs="宋体"/>
          <w:color w:val="000000" w:themeColor="text1"/>
          <w:sz w:val="28"/>
          <w:szCs w:val="28"/>
          <w14:textFill>
            <w14:solidFill>
              <w14:schemeClr w14:val="tx1"/>
            </w14:solidFill>
          </w14:textFill>
        </w:rPr>
        <w:t>根据本章第</w:t>
      </w:r>
      <w:r>
        <w:rPr>
          <w:rFonts w:ascii="宋体" w:hAnsi="宋体"/>
          <w:color w:val="000000" w:themeColor="text1"/>
          <w:sz w:val="28"/>
          <w:szCs w:val="28"/>
          <w14:textFill>
            <w14:solidFill>
              <w14:schemeClr w14:val="tx1"/>
            </w14:solidFill>
          </w14:textFill>
        </w:rPr>
        <w:t>2.2</w:t>
      </w:r>
      <w:r>
        <w:rPr>
          <w:rFonts w:hint="eastAsia" w:ascii="宋体" w:hAnsi="宋体" w:cs="宋体"/>
          <w:color w:val="000000" w:themeColor="text1"/>
          <w:sz w:val="28"/>
          <w:szCs w:val="28"/>
          <w14:textFill>
            <w14:solidFill>
              <w14:schemeClr w14:val="tx1"/>
            </w14:solidFill>
          </w14:textFill>
        </w:rPr>
        <w:t>款和第</w:t>
      </w:r>
      <w:r>
        <w:rPr>
          <w:rFonts w:ascii="宋体" w:hAnsi="宋体"/>
          <w:color w:val="000000" w:themeColor="text1"/>
          <w:sz w:val="28"/>
          <w:szCs w:val="28"/>
          <w14:textFill>
            <w14:solidFill>
              <w14:schemeClr w14:val="tx1"/>
            </w14:solidFill>
          </w14:textFill>
        </w:rPr>
        <w:t>2.3</w:t>
      </w:r>
      <w:r>
        <w:rPr>
          <w:rFonts w:hint="eastAsia" w:ascii="宋体" w:hAnsi="宋体" w:cs="宋体"/>
          <w:color w:val="000000" w:themeColor="text1"/>
          <w:sz w:val="28"/>
          <w:szCs w:val="28"/>
          <w14:textFill>
            <w14:solidFill>
              <w14:schemeClr w14:val="tx1"/>
            </w14:solidFill>
          </w14:textFill>
        </w:rPr>
        <w:t>款对招标文件所作的澄清、修改，构成招标文件的组成部分</w:t>
      </w:r>
      <w:r>
        <w:rPr>
          <w:rFonts w:hint="eastAsia" w:ascii="宋体" w:hAnsi="宋体"/>
          <w:color w:val="000000" w:themeColor="text1"/>
          <w:sz w:val="28"/>
          <w:szCs w:val="28"/>
          <w14:textFill>
            <w14:solidFill>
              <w14:schemeClr w14:val="tx1"/>
            </w14:solidFill>
          </w14:textFill>
        </w:rPr>
        <w:t>。</w:t>
      </w:r>
    </w:p>
    <w:p w14:paraId="3DD4970C">
      <w:pPr>
        <w:adjustRightInd w:val="0"/>
        <w:snapToGrid w:val="0"/>
        <w:spacing w:line="490" w:lineRule="exact"/>
        <w:rPr>
          <w:rFonts w:ascii="楷体" w:hAnsi="楷体" w:eastAsia="楷体"/>
          <w:b/>
          <w:color w:val="000000" w:themeColor="text1"/>
          <w:sz w:val="28"/>
          <w:szCs w:val="28"/>
          <w14:textFill>
            <w14:solidFill>
              <w14:schemeClr w14:val="tx1"/>
            </w14:solidFill>
          </w14:textFill>
        </w:rPr>
      </w:pPr>
      <w:bookmarkStart w:id="136" w:name="_Toc246996932"/>
      <w:bookmarkStart w:id="137" w:name="_Toc246996189"/>
      <w:bookmarkStart w:id="138" w:name="_Toc426469884"/>
      <w:bookmarkStart w:id="139" w:name="_Toc152042320"/>
      <w:bookmarkStart w:id="140" w:name="_Toc383438606"/>
      <w:bookmarkStart w:id="141" w:name="_Toc152045544"/>
      <w:bookmarkStart w:id="142" w:name="_Toc144974512"/>
      <w:bookmarkStart w:id="143" w:name="_Toc179632562"/>
      <w:bookmarkStart w:id="144" w:name="_Toc247085703"/>
      <w:bookmarkStart w:id="145" w:name="_Toc343525519"/>
      <w:r>
        <w:rPr>
          <w:rFonts w:ascii="楷体" w:hAnsi="楷体" w:eastAsia="楷体"/>
          <w:b/>
          <w:color w:val="000000" w:themeColor="text1"/>
          <w:sz w:val="28"/>
          <w:szCs w:val="28"/>
          <w14:textFill>
            <w14:solidFill>
              <w14:schemeClr w14:val="tx1"/>
            </w14:solidFill>
          </w14:textFill>
        </w:rPr>
        <w:t xml:space="preserve">2.2 </w:t>
      </w:r>
      <w:r>
        <w:rPr>
          <w:rFonts w:hint="eastAsia" w:ascii="楷体" w:hAnsi="楷体" w:eastAsia="楷体" w:cs="宋体"/>
          <w:b/>
          <w:color w:val="000000" w:themeColor="text1"/>
          <w:sz w:val="28"/>
          <w:szCs w:val="28"/>
          <w14:textFill>
            <w14:solidFill>
              <w14:schemeClr w14:val="tx1"/>
            </w14:solidFill>
          </w14:textFill>
        </w:rPr>
        <w:t>招标文件的澄清</w:t>
      </w:r>
      <w:bookmarkEnd w:id="136"/>
      <w:bookmarkEnd w:id="137"/>
      <w:bookmarkEnd w:id="138"/>
      <w:bookmarkEnd w:id="139"/>
      <w:bookmarkEnd w:id="140"/>
      <w:bookmarkEnd w:id="141"/>
      <w:bookmarkEnd w:id="142"/>
      <w:bookmarkEnd w:id="143"/>
      <w:bookmarkEnd w:id="144"/>
      <w:bookmarkEnd w:id="145"/>
      <w:r>
        <w:rPr>
          <w:rFonts w:ascii="楷体" w:hAnsi="楷体" w:eastAsia="楷体"/>
          <w:b/>
          <w:color w:val="000000" w:themeColor="text1"/>
          <w:sz w:val="28"/>
          <w:szCs w:val="28"/>
          <w14:textFill>
            <w14:solidFill>
              <w14:schemeClr w14:val="tx1"/>
            </w14:solidFill>
          </w14:textFill>
        </w:rPr>
        <w:t xml:space="preserve"> </w:t>
      </w:r>
    </w:p>
    <w:p w14:paraId="0E90ACDE">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p>
    <w:p w14:paraId="784C94A7">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招标文件的澄清将在投标截止时间</w:t>
      </w:r>
      <w:r>
        <w:rPr>
          <w:rFonts w:ascii="宋体" w:hAnsi="宋体"/>
          <w:color w:val="000000" w:themeColor="text1"/>
          <w:sz w:val="28"/>
          <w:szCs w:val="28"/>
          <w14:textFill>
            <w14:solidFill>
              <w14:schemeClr w14:val="tx1"/>
            </w14:solidFill>
          </w14:textFill>
        </w:rPr>
        <w:t>15</w:t>
      </w:r>
      <w:r>
        <w:rPr>
          <w:rFonts w:hint="eastAsia" w:ascii="宋体" w:hAnsi="宋体" w:cs="宋体"/>
          <w:color w:val="000000" w:themeColor="text1"/>
          <w:sz w:val="28"/>
          <w:szCs w:val="28"/>
          <w14:textFill>
            <w14:solidFill>
              <w14:schemeClr w14:val="tx1"/>
            </w14:solidFill>
          </w14:textFill>
        </w:rPr>
        <w:t>天前在原公告信息发布媒体公开发布</w:t>
      </w:r>
      <w:r>
        <w:rPr>
          <w:rFonts w:ascii="宋体"/>
          <w:color w:val="000000" w:themeColor="text1"/>
          <w:sz w:val="28"/>
          <w:szCs w:val="28"/>
          <w14:textFill>
            <w14:solidFill>
              <w14:schemeClr w14:val="tx1"/>
            </w14:solidFill>
          </w14:textFill>
        </w:rPr>
        <w:t>,</w:t>
      </w:r>
      <w:r>
        <w:rPr>
          <w:rFonts w:hint="eastAsia" w:ascii="宋体" w:hAnsi="宋体" w:cs="宋体"/>
          <w:color w:val="000000" w:themeColor="text1"/>
          <w:sz w:val="28"/>
          <w:szCs w:val="28"/>
          <w14:textFill>
            <w14:solidFill>
              <w14:schemeClr w14:val="tx1"/>
            </w14:solidFill>
          </w14:textFill>
        </w:rPr>
        <w:t>但不指明问题的来源。如果澄清发布的时间距投标截止时间不足</w:t>
      </w:r>
      <w:r>
        <w:rPr>
          <w:rFonts w:ascii="宋体" w:hAnsi="宋体"/>
          <w:color w:val="000000" w:themeColor="text1"/>
          <w:sz w:val="28"/>
          <w:szCs w:val="28"/>
          <w14:textFill>
            <w14:solidFill>
              <w14:schemeClr w14:val="tx1"/>
            </w14:solidFill>
          </w14:textFill>
        </w:rPr>
        <w:t>15</w:t>
      </w:r>
      <w:r>
        <w:rPr>
          <w:rFonts w:hint="eastAsia" w:ascii="宋体" w:hAnsi="宋体" w:cs="宋体"/>
          <w:color w:val="000000" w:themeColor="text1"/>
          <w:sz w:val="28"/>
          <w:szCs w:val="28"/>
          <w14:textFill>
            <w14:solidFill>
              <w14:schemeClr w14:val="tx1"/>
            </w14:solidFill>
          </w14:textFill>
        </w:rPr>
        <w:t>天，并且澄清内容影响投标文件编制的，将相应延长投标截止时间。</w:t>
      </w:r>
    </w:p>
    <w:p w14:paraId="439B9208">
      <w:pPr>
        <w:adjustRightInd w:val="0"/>
        <w:snapToGrid w:val="0"/>
        <w:spacing w:line="490" w:lineRule="exact"/>
        <w:rPr>
          <w:rFonts w:ascii="楷体" w:hAnsi="楷体" w:eastAsia="楷体"/>
          <w:b/>
          <w:color w:val="000000" w:themeColor="text1"/>
          <w:sz w:val="28"/>
          <w:szCs w:val="28"/>
          <w14:textFill>
            <w14:solidFill>
              <w14:schemeClr w14:val="tx1"/>
            </w14:solidFill>
          </w14:textFill>
        </w:rPr>
      </w:pPr>
      <w:bookmarkStart w:id="146" w:name="_Toc246996190"/>
      <w:bookmarkStart w:id="147" w:name="_Toc247085704"/>
      <w:bookmarkStart w:id="148" w:name="_Toc383438607"/>
      <w:bookmarkStart w:id="149" w:name="_Toc144974513"/>
      <w:bookmarkStart w:id="150" w:name="_Toc152045545"/>
      <w:bookmarkStart w:id="151" w:name="_Toc179632563"/>
      <w:bookmarkStart w:id="152" w:name="_Toc426469885"/>
      <w:bookmarkStart w:id="153" w:name="_Toc152042321"/>
      <w:bookmarkStart w:id="154" w:name="_Toc343525520"/>
      <w:bookmarkStart w:id="155" w:name="_Toc246996933"/>
      <w:r>
        <w:rPr>
          <w:rFonts w:ascii="楷体" w:hAnsi="楷体" w:eastAsia="楷体"/>
          <w:b/>
          <w:color w:val="000000" w:themeColor="text1"/>
          <w:sz w:val="28"/>
          <w:szCs w:val="28"/>
          <w14:textFill>
            <w14:solidFill>
              <w14:schemeClr w14:val="tx1"/>
            </w14:solidFill>
          </w14:textFill>
        </w:rPr>
        <w:t xml:space="preserve">2.3 </w:t>
      </w:r>
      <w:r>
        <w:rPr>
          <w:rFonts w:hint="eastAsia" w:ascii="楷体" w:hAnsi="楷体" w:eastAsia="楷体" w:cs="宋体"/>
          <w:b/>
          <w:color w:val="000000" w:themeColor="text1"/>
          <w:sz w:val="28"/>
          <w:szCs w:val="28"/>
          <w14:textFill>
            <w14:solidFill>
              <w14:schemeClr w14:val="tx1"/>
            </w14:solidFill>
          </w14:textFill>
        </w:rPr>
        <w:t>招标文件的修改</w:t>
      </w:r>
      <w:bookmarkEnd w:id="146"/>
      <w:bookmarkEnd w:id="147"/>
      <w:bookmarkEnd w:id="148"/>
      <w:bookmarkEnd w:id="149"/>
      <w:bookmarkEnd w:id="150"/>
      <w:bookmarkEnd w:id="151"/>
      <w:bookmarkEnd w:id="152"/>
      <w:bookmarkEnd w:id="153"/>
      <w:bookmarkEnd w:id="154"/>
      <w:bookmarkEnd w:id="155"/>
    </w:p>
    <w:p w14:paraId="69B1C597">
      <w:pPr>
        <w:adjustRightInd w:val="0"/>
        <w:snapToGrid w:val="0"/>
        <w:spacing w:line="49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对已发出的招标文件可以进行必要的修改，修改后的内容是招标文件的组成部分，并将在原公告信息发布媒体公开发布。如果修改招标文件的时间距投标截止时间不足</w:t>
      </w:r>
      <w:r>
        <w:rPr>
          <w:rFonts w:ascii="宋体" w:hAnsi="宋体" w:cs="宋体"/>
          <w:color w:val="000000" w:themeColor="text1"/>
          <w:sz w:val="28"/>
          <w:szCs w:val="28"/>
          <w14:textFill>
            <w14:solidFill>
              <w14:schemeClr w14:val="tx1"/>
            </w14:solidFill>
          </w14:textFill>
        </w:rPr>
        <w:t>15</w:t>
      </w:r>
      <w:r>
        <w:rPr>
          <w:rFonts w:hint="eastAsia" w:ascii="宋体" w:hAnsi="宋体" w:cs="宋体"/>
          <w:color w:val="000000" w:themeColor="text1"/>
          <w:sz w:val="28"/>
          <w:szCs w:val="28"/>
          <w14:textFill>
            <w14:solidFill>
              <w14:schemeClr w14:val="tx1"/>
            </w14:solidFill>
          </w14:textFill>
        </w:rPr>
        <w:t>天，并且修改内容影响投标文件编制的，将相应延长投标截止时间。</w:t>
      </w:r>
    </w:p>
    <w:p w14:paraId="5DC6CE14">
      <w:pPr>
        <w:adjustRightInd w:val="0"/>
        <w:snapToGrid w:val="0"/>
        <w:spacing w:line="490" w:lineRule="exact"/>
        <w:rPr>
          <w:rFonts w:ascii="楷体" w:hAnsi="楷体" w:eastAsia="楷体" w:cs="宋体"/>
          <w:b/>
          <w:color w:val="000000" w:themeColor="text1"/>
          <w:sz w:val="28"/>
          <w:szCs w:val="28"/>
          <w14:textFill>
            <w14:solidFill>
              <w14:schemeClr w14:val="tx1"/>
            </w14:solidFill>
          </w14:textFill>
        </w:rPr>
      </w:pPr>
      <w:r>
        <w:rPr>
          <w:rFonts w:hint="eastAsia" w:ascii="楷体" w:hAnsi="楷体" w:eastAsia="楷体" w:cs="宋体"/>
          <w:b/>
          <w:color w:val="000000" w:themeColor="text1"/>
          <w:sz w:val="28"/>
          <w:szCs w:val="28"/>
          <w14:textFill>
            <w14:solidFill>
              <w14:schemeClr w14:val="tx1"/>
            </w14:solidFill>
          </w14:textFill>
        </w:rPr>
        <w:t>2.4招标文件的重新发布</w:t>
      </w:r>
    </w:p>
    <w:p w14:paraId="1D549172">
      <w:pPr>
        <w:adjustRightInd w:val="0"/>
        <w:snapToGrid w:val="0"/>
        <w:spacing w:line="49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招标文件的澄清或修改涉及到申请人的资格条件、评标办法、采购需求等实质性内容时，将重新发布招标公告。</w:t>
      </w:r>
    </w:p>
    <w:p w14:paraId="43CDF966">
      <w:pPr>
        <w:adjustRightInd w:val="0"/>
        <w:snapToGrid w:val="0"/>
        <w:spacing w:line="490" w:lineRule="exact"/>
        <w:rPr>
          <w:rFonts w:ascii="黑体" w:hAnsi="黑体" w:eastAsia="黑体"/>
          <w:b/>
          <w:color w:val="000000" w:themeColor="text1"/>
          <w:sz w:val="32"/>
          <w:szCs w:val="32"/>
          <w14:textFill>
            <w14:solidFill>
              <w14:schemeClr w14:val="tx1"/>
            </w14:solidFill>
          </w14:textFill>
        </w:rPr>
      </w:pPr>
      <w:bookmarkStart w:id="156" w:name="_Toc144974514"/>
      <w:bookmarkStart w:id="157" w:name="_Toc343525522"/>
      <w:bookmarkStart w:id="158" w:name="_Toc179632564"/>
      <w:bookmarkStart w:id="159" w:name="_Toc247085705"/>
      <w:bookmarkStart w:id="160" w:name="_Toc246996191"/>
      <w:bookmarkStart w:id="161" w:name="_Toc383438609"/>
      <w:bookmarkStart w:id="162" w:name="_Toc246996934"/>
      <w:bookmarkStart w:id="163" w:name="_Toc152045546"/>
      <w:bookmarkStart w:id="164" w:name="_Toc152042322"/>
      <w:bookmarkStart w:id="165" w:name="_Toc426469887"/>
      <w:r>
        <w:rPr>
          <w:rFonts w:ascii="黑体" w:hAnsi="黑体" w:eastAsia="黑体"/>
          <w:b/>
          <w:color w:val="000000" w:themeColor="text1"/>
          <w:sz w:val="32"/>
          <w:szCs w:val="32"/>
          <w14:textFill>
            <w14:solidFill>
              <w14:schemeClr w14:val="tx1"/>
            </w14:solidFill>
          </w14:textFill>
        </w:rPr>
        <w:t xml:space="preserve">3. </w:t>
      </w:r>
      <w:r>
        <w:rPr>
          <w:rFonts w:hint="eastAsia" w:ascii="黑体" w:hAnsi="黑体" w:eastAsia="黑体" w:cs="宋体"/>
          <w:b/>
          <w:color w:val="000000" w:themeColor="text1"/>
          <w:sz w:val="32"/>
          <w:szCs w:val="32"/>
          <w14:textFill>
            <w14:solidFill>
              <w14:schemeClr w14:val="tx1"/>
            </w14:solidFill>
          </w14:textFill>
        </w:rPr>
        <w:t>投标</w:t>
      </w:r>
      <w:bookmarkEnd w:id="156"/>
      <w:bookmarkEnd w:id="157"/>
      <w:bookmarkEnd w:id="158"/>
      <w:bookmarkEnd w:id="159"/>
      <w:bookmarkEnd w:id="160"/>
      <w:bookmarkEnd w:id="161"/>
      <w:bookmarkEnd w:id="162"/>
      <w:bookmarkEnd w:id="163"/>
      <w:bookmarkEnd w:id="164"/>
      <w:r>
        <w:rPr>
          <w:rFonts w:hint="eastAsia" w:ascii="黑体" w:hAnsi="黑体" w:eastAsia="黑体" w:cs="宋体"/>
          <w:b/>
          <w:color w:val="000000" w:themeColor="text1"/>
          <w:sz w:val="32"/>
          <w:szCs w:val="32"/>
          <w14:textFill>
            <w14:solidFill>
              <w14:schemeClr w14:val="tx1"/>
            </w14:solidFill>
          </w14:textFill>
        </w:rPr>
        <w:t>文件</w:t>
      </w:r>
      <w:bookmarkEnd w:id="165"/>
    </w:p>
    <w:p w14:paraId="4A31BFB4">
      <w:pPr>
        <w:adjustRightInd w:val="0"/>
        <w:snapToGrid w:val="0"/>
        <w:spacing w:line="490" w:lineRule="exact"/>
        <w:rPr>
          <w:rFonts w:ascii="楷体" w:hAnsi="楷体" w:eastAsia="楷体" w:cs="宋体"/>
          <w:b/>
          <w:color w:val="000000" w:themeColor="text1"/>
          <w:sz w:val="28"/>
          <w:szCs w:val="28"/>
          <w14:textFill>
            <w14:solidFill>
              <w14:schemeClr w14:val="tx1"/>
            </w14:solidFill>
          </w14:textFill>
        </w:rPr>
      </w:pPr>
      <w:bookmarkStart w:id="166" w:name="_Toc152045547"/>
      <w:bookmarkStart w:id="167" w:name="_Toc343525523"/>
      <w:bookmarkStart w:id="168" w:name="_Toc383438610"/>
      <w:bookmarkStart w:id="169" w:name="_Toc179632565"/>
      <w:bookmarkStart w:id="170" w:name="_Toc246996935"/>
      <w:bookmarkStart w:id="171" w:name="_Toc246996192"/>
      <w:bookmarkStart w:id="172" w:name="_Toc144974515"/>
      <w:bookmarkStart w:id="173" w:name="_Toc247085706"/>
      <w:bookmarkStart w:id="174" w:name="_Toc152042323"/>
      <w:bookmarkStart w:id="175" w:name="_Toc426469888"/>
      <w:r>
        <w:rPr>
          <w:rFonts w:ascii="楷体" w:hAnsi="楷体" w:eastAsia="楷体"/>
          <w:b/>
          <w:color w:val="000000" w:themeColor="text1"/>
          <w:sz w:val="28"/>
          <w:szCs w:val="28"/>
          <w14:textFill>
            <w14:solidFill>
              <w14:schemeClr w14:val="tx1"/>
            </w14:solidFill>
          </w14:textFill>
        </w:rPr>
        <w:t>3</w:t>
      </w:r>
      <w:r>
        <w:rPr>
          <w:rFonts w:ascii="楷体" w:hAnsi="楷体" w:eastAsia="楷体" w:cs="宋体"/>
          <w:b/>
          <w:color w:val="000000" w:themeColor="text1"/>
          <w:sz w:val="28"/>
          <w:szCs w:val="28"/>
          <w14:textFill>
            <w14:solidFill>
              <w14:schemeClr w14:val="tx1"/>
            </w14:solidFill>
          </w14:textFill>
        </w:rPr>
        <w:t>.1</w:t>
      </w:r>
      <w:bookmarkEnd w:id="166"/>
      <w:bookmarkEnd w:id="167"/>
      <w:bookmarkEnd w:id="168"/>
      <w:bookmarkEnd w:id="169"/>
      <w:bookmarkEnd w:id="170"/>
      <w:bookmarkEnd w:id="171"/>
      <w:bookmarkEnd w:id="172"/>
      <w:bookmarkEnd w:id="173"/>
      <w:bookmarkEnd w:id="174"/>
      <w:r>
        <w:rPr>
          <w:rFonts w:hint="eastAsia" w:ascii="楷体" w:hAnsi="楷体" w:eastAsia="楷体" w:cs="宋体"/>
          <w:b/>
          <w:color w:val="000000" w:themeColor="text1"/>
          <w:sz w:val="28"/>
          <w:szCs w:val="28"/>
          <w14:textFill>
            <w14:solidFill>
              <w14:schemeClr w14:val="tx1"/>
            </w14:solidFill>
          </w14:textFill>
        </w:rPr>
        <w:t>投标文件的组成</w:t>
      </w:r>
      <w:bookmarkEnd w:id="175"/>
    </w:p>
    <w:p w14:paraId="209528EC">
      <w:pPr>
        <w:adjustRightInd w:val="0"/>
        <w:snapToGrid w:val="0"/>
        <w:spacing w:line="49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投标文件的组成：见供应商须知前附表。</w:t>
      </w:r>
    </w:p>
    <w:p w14:paraId="481BD17A">
      <w:pPr>
        <w:adjustRightInd w:val="0"/>
        <w:snapToGrid w:val="0"/>
        <w:spacing w:line="490" w:lineRule="exact"/>
        <w:rPr>
          <w:rFonts w:ascii="楷体" w:hAnsi="楷体" w:eastAsia="楷体" w:cs="宋体"/>
          <w:b/>
          <w:color w:val="000000" w:themeColor="text1"/>
          <w:sz w:val="28"/>
          <w:szCs w:val="28"/>
          <w14:textFill>
            <w14:solidFill>
              <w14:schemeClr w14:val="tx1"/>
            </w14:solidFill>
          </w14:textFill>
        </w:rPr>
      </w:pPr>
      <w:bookmarkStart w:id="176" w:name="_Toc367785004"/>
      <w:bookmarkStart w:id="177" w:name="_Toc426469889"/>
      <w:r>
        <w:rPr>
          <w:rFonts w:ascii="楷体" w:hAnsi="楷体" w:eastAsia="楷体" w:cs="宋体"/>
          <w:b/>
          <w:color w:val="000000" w:themeColor="text1"/>
          <w:sz w:val="28"/>
          <w:szCs w:val="28"/>
          <w14:textFill>
            <w14:solidFill>
              <w14:schemeClr w14:val="tx1"/>
            </w14:solidFill>
          </w14:textFill>
        </w:rPr>
        <w:t>3.2</w:t>
      </w:r>
      <w:bookmarkEnd w:id="176"/>
      <w:r>
        <w:rPr>
          <w:rFonts w:hint="eastAsia" w:ascii="楷体" w:hAnsi="楷体" w:eastAsia="楷体" w:cs="宋体"/>
          <w:b/>
          <w:color w:val="000000" w:themeColor="text1"/>
          <w:sz w:val="28"/>
          <w:szCs w:val="28"/>
          <w14:textFill>
            <w14:solidFill>
              <w14:schemeClr w14:val="tx1"/>
            </w14:solidFill>
          </w14:textFill>
        </w:rPr>
        <w:t>投标报价</w:t>
      </w:r>
      <w:bookmarkEnd w:id="177"/>
    </w:p>
    <w:p w14:paraId="66E36A96">
      <w:pPr>
        <w:adjustRightInd w:val="0"/>
        <w:snapToGrid w:val="0"/>
        <w:spacing w:line="490" w:lineRule="exact"/>
        <w:ind w:firstLine="560" w:firstLineChars="200"/>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3.2.1</w:t>
      </w:r>
      <w:r>
        <w:rPr>
          <w:rFonts w:hint="eastAsia" w:ascii="宋体" w:hAnsi="宋体" w:cs="宋体"/>
          <w:color w:val="000000" w:themeColor="text1"/>
          <w:sz w:val="28"/>
          <w:szCs w:val="28"/>
          <w14:textFill>
            <w14:solidFill>
              <w14:schemeClr w14:val="tx1"/>
            </w14:solidFill>
          </w14:textFill>
        </w:rPr>
        <w:t>供应商应按招标文件规定的供货及服务要求、责任范围和合同条件，以人民币进行报价。</w:t>
      </w:r>
    </w:p>
    <w:p w14:paraId="608881F1">
      <w:pPr>
        <w:adjustRightInd w:val="0"/>
        <w:snapToGrid w:val="0"/>
        <w:spacing w:line="490" w:lineRule="exact"/>
        <w:ind w:firstLine="560" w:firstLineChars="200"/>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3.2.2供应商在投标文件中只能有一个投标报价，且</w:t>
      </w:r>
      <w:r>
        <w:rPr>
          <w:rFonts w:hint="eastAsia" w:ascii="宋体" w:hAnsi="宋体" w:cs="宋体"/>
          <w:color w:val="000000" w:themeColor="text1"/>
          <w:sz w:val="28"/>
          <w:szCs w:val="28"/>
          <w14:textFill>
            <w14:solidFill>
              <w14:schemeClr w14:val="tx1"/>
            </w14:solidFill>
          </w14:textFill>
        </w:rPr>
        <w:t>不得超过招标公告中载明的最高限价。任何包含价格调整要求和条件的投标报价均将视为无效报价。</w:t>
      </w:r>
    </w:p>
    <w:p w14:paraId="3FBA77D5">
      <w:pPr>
        <w:adjustRightInd w:val="0"/>
        <w:snapToGrid w:val="0"/>
        <w:spacing w:line="490" w:lineRule="exact"/>
        <w:rPr>
          <w:rFonts w:ascii="楷体" w:hAnsi="楷体" w:eastAsia="楷体"/>
          <w:b/>
          <w:color w:val="000000" w:themeColor="text1"/>
          <w:sz w:val="28"/>
          <w:szCs w:val="28"/>
          <w14:textFill>
            <w14:solidFill>
              <w14:schemeClr w14:val="tx1"/>
            </w14:solidFill>
          </w14:textFill>
        </w:rPr>
      </w:pPr>
      <w:bookmarkStart w:id="178" w:name="_Toc144974517"/>
      <w:bookmarkStart w:id="179" w:name="_Toc343525525"/>
      <w:bookmarkStart w:id="180" w:name="_Toc246996937"/>
      <w:bookmarkStart w:id="181" w:name="_Toc179632567"/>
      <w:bookmarkStart w:id="182" w:name="_Toc152045549"/>
      <w:bookmarkStart w:id="183" w:name="_Toc247085708"/>
      <w:bookmarkStart w:id="184" w:name="_Toc426469890"/>
      <w:bookmarkStart w:id="185" w:name="_Toc152042325"/>
      <w:bookmarkStart w:id="186" w:name="_Toc383438612"/>
      <w:bookmarkStart w:id="187" w:name="_Toc246996194"/>
      <w:r>
        <w:rPr>
          <w:rFonts w:ascii="楷体" w:hAnsi="楷体" w:eastAsia="楷体"/>
          <w:b/>
          <w:color w:val="000000" w:themeColor="text1"/>
          <w:sz w:val="28"/>
          <w:szCs w:val="28"/>
          <w14:textFill>
            <w14:solidFill>
              <w14:schemeClr w14:val="tx1"/>
            </w14:solidFill>
          </w14:textFill>
        </w:rPr>
        <w:t>3.3</w:t>
      </w:r>
      <w:r>
        <w:rPr>
          <w:rFonts w:hint="eastAsia" w:ascii="楷体" w:hAnsi="楷体" w:eastAsia="楷体" w:cs="宋体"/>
          <w:b/>
          <w:color w:val="000000" w:themeColor="text1"/>
          <w:sz w:val="28"/>
          <w:szCs w:val="28"/>
          <w14:textFill>
            <w14:solidFill>
              <w14:schemeClr w14:val="tx1"/>
            </w14:solidFill>
          </w14:textFill>
        </w:rPr>
        <w:t>投标有效期</w:t>
      </w:r>
      <w:bookmarkEnd w:id="178"/>
      <w:bookmarkEnd w:id="179"/>
      <w:bookmarkEnd w:id="180"/>
      <w:bookmarkEnd w:id="181"/>
      <w:bookmarkEnd w:id="182"/>
      <w:bookmarkEnd w:id="183"/>
      <w:bookmarkEnd w:id="184"/>
      <w:bookmarkEnd w:id="185"/>
      <w:bookmarkEnd w:id="186"/>
      <w:bookmarkEnd w:id="187"/>
    </w:p>
    <w:p w14:paraId="3948C06D">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3.3.1在</w:t>
      </w:r>
      <w:r>
        <w:rPr>
          <w:rFonts w:hint="eastAsia" w:ascii="宋体" w:hAnsi="宋体" w:cs="宋体"/>
          <w:color w:val="000000" w:themeColor="text1"/>
          <w:sz w:val="28"/>
          <w:szCs w:val="28"/>
          <w14:textFill>
            <w14:solidFill>
              <w14:schemeClr w14:val="tx1"/>
            </w14:solidFill>
          </w14:textFill>
        </w:rPr>
        <w:t>供应商须知前附表规定的投标有效期内，供应商不得要求撤销或修改其投标文件。</w:t>
      </w:r>
    </w:p>
    <w:p w14:paraId="661AC79A">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3.3.2</w:t>
      </w:r>
      <w:r>
        <w:rPr>
          <w:rFonts w:hint="eastAsia" w:ascii="宋体" w:hAnsi="宋体" w:cs="宋体"/>
          <w:color w:val="000000" w:themeColor="text1"/>
          <w:sz w:val="28"/>
          <w:szCs w:val="28"/>
          <w14:textFill>
            <w14:solidFill>
              <w14:schemeClr w14:val="tx1"/>
            </w14:solidFill>
          </w14:textFill>
        </w:rPr>
        <w:t>出现特殊情况需要延长投标有效期的，招标人将以书面形式通知供应商。供应商拒绝延长投标有效期的，其投标失效。</w:t>
      </w:r>
    </w:p>
    <w:p w14:paraId="3914C5D4">
      <w:pPr>
        <w:adjustRightInd w:val="0"/>
        <w:snapToGrid w:val="0"/>
        <w:spacing w:line="490" w:lineRule="exact"/>
        <w:rPr>
          <w:rFonts w:ascii="楷体" w:hAnsi="楷体" w:eastAsia="楷体"/>
          <w:b/>
          <w:color w:val="000000" w:themeColor="text1"/>
          <w:sz w:val="28"/>
          <w:szCs w:val="28"/>
          <w14:textFill>
            <w14:solidFill>
              <w14:schemeClr w14:val="tx1"/>
            </w14:solidFill>
          </w14:textFill>
        </w:rPr>
      </w:pPr>
      <w:bookmarkStart w:id="188" w:name="_Toc426469892"/>
      <w:r>
        <w:rPr>
          <w:rFonts w:ascii="楷体" w:hAnsi="楷体" w:eastAsia="楷体"/>
          <w:b/>
          <w:color w:val="000000" w:themeColor="text1"/>
          <w:sz w:val="28"/>
          <w:szCs w:val="28"/>
          <w14:textFill>
            <w14:solidFill>
              <w14:schemeClr w14:val="tx1"/>
            </w14:solidFill>
          </w14:textFill>
        </w:rPr>
        <w:t>3.4</w:t>
      </w:r>
      <w:r>
        <w:rPr>
          <w:rFonts w:hint="eastAsia" w:ascii="楷体" w:hAnsi="楷体" w:eastAsia="楷体" w:cs="宋体"/>
          <w:b/>
          <w:color w:val="000000" w:themeColor="text1"/>
          <w:sz w:val="28"/>
          <w:szCs w:val="28"/>
          <w14:textFill>
            <w14:solidFill>
              <w14:schemeClr w14:val="tx1"/>
            </w14:solidFill>
          </w14:textFill>
        </w:rPr>
        <w:t>投标文件的编制</w:t>
      </w:r>
      <w:bookmarkEnd w:id="188"/>
    </w:p>
    <w:p w14:paraId="4CFB8846">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3.4.1</w:t>
      </w:r>
      <w:r>
        <w:rPr>
          <w:rFonts w:hint="eastAsia" w:ascii="宋体" w:hAnsi="宋体" w:cs="宋体"/>
          <w:color w:val="000000" w:themeColor="text1"/>
          <w:sz w:val="28"/>
          <w:szCs w:val="28"/>
          <w14:textFill>
            <w14:solidFill>
              <w14:schemeClr w14:val="tx1"/>
            </w14:solidFill>
          </w14:textFill>
        </w:rPr>
        <w:t>供应商可以按照第六章</w:t>
      </w:r>
      <w:r>
        <w:rPr>
          <w:rFonts w:hint="eastAsia" w:ascii="宋体" w:hAnsi="宋体"/>
          <w:color w:val="000000" w:themeColor="text1"/>
          <w:sz w:val="28"/>
          <w:szCs w:val="28"/>
          <w14:textFill>
            <w14:solidFill>
              <w14:schemeClr w14:val="tx1"/>
            </w14:solidFill>
          </w14:textFill>
        </w:rPr>
        <w:t>“</w:t>
      </w:r>
      <w:r>
        <w:rPr>
          <w:rFonts w:hint="eastAsia" w:ascii="宋体" w:hAnsi="宋体" w:cs="宋体"/>
          <w:color w:val="000000" w:themeColor="text1"/>
          <w:sz w:val="28"/>
          <w:szCs w:val="28"/>
          <w14:textFill>
            <w14:solidFill>
              <w14:schemeClr w14:val="tx1"/>
            </w14:solidFill>
          </w14:textFill>
        </w:rPr>
        <w:t>投标文件的编制要求及参考格式</w:t>
      </w:r>
      <w:r>
        <w:rPr>
          <w:rFonts w:hint="eastAsia" w:ascii="宋体" w:hAnsi="宋体"/>
          <w:color w:val="000000" w:themeColor="text1"/>
          <w:sz w:val="28"/>
          <w:szCs w:val="28"/>
          <w14:textFill>
            <w14:solidFill>
              <w14:schemeClr w14:val="tx1"/>
            </w14:solidFill>
          </w14:textFill>
        </w:rPr>
        <w:t>”</w:t>
      </w:r>
      <w:r>
        <w:rPr>
          <w:rFonts w:hint="eastAsia" w:ascii="宋体" w:hAnsi="宋体" w:cs="宋体"/>
          <w:color w:val="000000" w:themeColor="text1"/>
          <w:sz w:val="28"/>
          <w:szCs w:val="28"/>
          <w14:textFill>
            <w14:solidFill>
              <w14:schemeClr w14:val="tx1"/>
            </w14:solidFill>
          </w14:textFill>
        </w:rPr>
        <w:t>要求编制投标文件。需另行增加的相关内容和材料应编入投标文件相应章节，作为投标文件的组成部分。</w:t>
      </w:r>
    </w:p>
    <w:p w14:paraId="485A15EB">
      <w:pPr>
        <w:adjustRightInd w:val="0"/>
        <w:snapToGrid w:val="0"/>
        <w:spacing w:line="490" w:lineRule="exact"/>
        <w:ind w:firstLine="560" w:firstLineChars="200"/>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3.4.2供应商应对招标文件中的资格要求、</w:t>
      </w:r>
      <w:r>
        <w:rPr>
          <w:rFonts w:hint="eastAsia" w:ascii="宋体" w:hAnsi="宋体" w:cs="宋体"/>
          <w:color w:val="000000" w:themeColor="text1"/>
          <w:sz w:val="28"/>
          <w:szCs w:val="28"/>
          <w14:textFill>
            <w14:solidFill>
              <w14:schemeClr w14:val="tx1"/>
            </w14:solidFill>
          </w14:textFill>
        </w:rPr>
        <w:t>合同履行期限、投标有效期、技术、服务标准和要求等实质性内容作出响应，并根据评审因素提供相应的证明材料。</w:t>
      </w:r>
    </w:p>
    <w:p w14:paraId="4E9E0304">
      <w:pPr>
        <w:adjustRightInd w:val="0"/>
        <w:snapToGrid w:val="0"/>
        <w:spacing w:line="490" w:lineRule="exact"/>
        <w:ind w:firstLine="560" w:firstLineChars="20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3.4.3 投标文件的数量：见供应商须知前附表</w:t>
      </w:r>
    </w:p>
    <w:p w14:paraId="6FE0CF91">
      <w:pPr>
        <w:adjustRightInd w:val="0"/>
        <w:snapToGrid w:val="0"/>
        <w:spacing w:line="490" w:lineRule="exact"/>
        <w:ind w:firstLine="560" w:firstLineChars="200"/>
        <w:rPr>
          <w:rFonts w:ascii="宋体" w:hAnsi="宋体"/>
          <w:color w:val="000000" w:themeColor="text1"/>
          <w:sz w:val="28"/>
          <w:szCs w:val="28"/>
          <w14:textFill>
            <w14:solidFill>
              <w14:schemeClr w14:val="tx1"/>
            </w14:solidFill>
          </w14:textFill>
        </w:rPr>
      </w:pPr>
      <w:bookmarkStart w:id="189" w:name="_Toc367785016"/>
      <w:bookmarkStart w:id="190" w:name="_Toc426469894"/>
      <w:r>
        <w:rPr>
          <w:rFonts w:hint="eastAsia" w:ascii="宋体" w:hAnsi="宋体"/>
          <w:color w:val="000000" w:themeColor="text1"/>
          <w:sz w:val="28"/>
          <w:szCs w:val="28"/>
          <w14:textFill>
            <w14:solidFill>
              <w14:schemeClr w14:val="tx1"/>
            </w14:solidFill>
          </w14:textFill>
        </w:rPr>
        <w:t>3.4.4投标文件的签署：见供应商须知前附表</w:t>
      </w:r>
    </w:p>
    <w:bookmarkEnd w:id="61"/>
    <w:bookmarkEnd w:id="189"/>
    <w:bookmarkEnd w:id="190"/>
    <w:p w14:paraId="223CEE8D">
      <w:pPr>
        <w:adjustRightInd w:val="0"/>
        <w:snapToGrid w:val="0"/>
        <w:spacing w:line="490" w:lineRule="exact"/>
        <w:rPr>
          <w:rFonts w:ascii="黑体" w:hAnsi="黑体" w:eastAsia="黑体"/>
          <w:color w:val="000000" w:themeColor="text1"/>
          <w:sz w:val="32"/>
          <w:szCs w:val="32"/>
          <w14:textFill>
            <w14:solidFill>
              <w14:schemeClr w14:val="tx1"/>
            </w14:solidFill>
          </w14:textFill>
        </w:rPr>
      </w:pPr>
      <w:bookmarkStart w:id="191" w:name="_Toc246996230"/>
      <w:bookmarkStart w:id="192" w:name="_Toc383698648"/>
      <w:bookmarkStart w:id="193" w:name="_Toc383623945"/>
      <w:bookmarkStart w:id="194" w:name="_Toc343525562"/>
      <w:bookmarkStart w:id="195" w:name="_Toc383587457"/>
      <w:bookmarkStart w:id="196" w:name="_Toc152045587"/>
      <w:bookmarkStart w:id="197" w:name="_Toc144974554"/>
      <w:bookmarkStart w:id="198" w:name="_Toc246996973"/>
      <w:bookmarkStart w:id="199" w:name="_Toc383625994"/>
      <w:bookmarkStart w:id="200" w:name="_Toc383623673"/>
      <w:bookmarkStart w:id="201" w:name="_Toc390099019"/>
      <w:bookmarkStart w:id="202" w:name="_Toc383679747"/>
      <w:bookmarkStart w:id="203" w:name="_Toc383438646"/>
      <w:bookmarkStart w:id="204" w:name="_Toc390246906"/>
      <w:bookmarkStart w:id="205" w:name="_Toc247085745"/>
      <w:bookmarkStart w:id="206" w:name="_Toc179632605"/>
      <w:bookmarkStart w:id="207" w:name="_Toc152042364"/>
      <w:bookmarkStart w:id="208" w:name="_Toc390098841"/>
      <w:r>
        <w:rPr>
          <w:rFonts w:ascii="黑体" w:hAnsi="黑体" w:eastAsia="黑体"/>
          <w:color w:val="000000" w:themeColor="text1"/>
          <w:sz w:val="32"/>
          <w:szCs w:val="32"/>
          <w14:textFill>
            <w14:solidFill>
              <w14:schemeClr w14:val="tx1"/>
            </w14:solidFill>
          </w14:textFill>
        </w:rPr>
        <w:t>4.</w:t>
      </w:r>
      <w:r>
        <w:rPr>
          <w:rFonts w:hint="eastAsia" w:ascii="黑体" w:hAnsi="黑体" w:eastAsia="黑体" w:cs="宋体"/>
          <w:color w:val="000000" w:themeColor="text1"/>
          <w:sz w:val="32"/>
          <w:szCs w:val="32"/>
          <w14:textFill>
            <w14:solidFill>
              <w14:schemeClr w14:val="tx1"/>
            </w14:solidFill>
          </w14:textFill>
        </w:rPr>
        <w:t>投标</w:t>
      </w:r>
    </w:p>
    <w:p w14:paraId="7164FA43">
      <w:pPr>
        <w:adjustRightInd w:val="0"/>
        <w:snapToGrid w:val="0"/>
        <w:spacing w:line="490" w:lineRule="exact"/>
        <w:rPr>
          <w:rFonts w:ascii="楷体" w:hAnsi="楷体" w:eastAsia="楷体" w:cs="宋体"/>
          <w:b/>
          <w:bCs/>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4.1</w:t>
      </w:r>
      <w:r>
        <w:rPr>
          <w:rFonts w:hint="eastAsia" w:ascii="楷体" w:hAnsi="楷体" w:eastAsia="楷体" w:cs="宋体"/>
          <w:b/>
          <w:bCs/>
          <w:color w:val="000000" w:themeColor="text1"/>
          <w:sz w:val="28"/>
          <w:szCs w:val="28"/>
          <w14:textFill>
            <w14:solidFill>
              <w14:schemeClr w14:val="tx1"/>
            </w14:solidFill>
          </w14:textFill>
        </w:rPr>
        <w:t>投标文件的上传</w:t>
      </w:r>
    </w:p>
    <w:p w14:paraId="1A8AFE77">
      <w:pPr>
        <w:adjustRightInd w:val="0"/>
        <w:snapToGrid w:val="0"/>
        <w:spacing w:line="49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供应商应充分考虑</w:t>
      </w:r>
      <w:r>
        <w:rPr>
          <w:rFonts w:ascii="宋体" w:hAnsi="宋体" w:cs="宋体"/>
          <w:color w:val="000000" w:themeColor="text1"/>
          <w:sz w:val="28"/>
          <w:szCs w:val="28"/>
          <w14:textFill>
            <w14:solidFill>
              <w14:schemeClr w14:val="tx1"/>
            </w14:solidFill>
          </w14:textFill>
        </w:rPr>
        <w:t>网络及系统平台可能存在的非正常情况等</w:t>
      </w:r>
      <w:r>
        <w:rPr>
          <w:rFonts w:hint="eastAsia" w:ascii="宋体" w:hAnsi="宋体" w:cs="宋体"/>
          <w:color w:val="000000" w:themeColor="text1"/>
          <w:sz w:val="28"/>
          <w:szCs w:val="28"/>
          <w14:textFill>
            <w14:solidFill>
              <w14:schemeClr w14:val="tx1"/>
            </w14:solidFill>
          </w14:textFill>
        </w:rPr>
        <w:t>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p>
    <w:p w14:paraId="730AACAC">
      <w:pPr>
        <w:adjustRightInd w:val="0"/>
        <w:snapToGrid w:val="0"/>
        <w:spacing w:line="490" w:lineRule="exact"/>
        <w:rPr>
          <w:rFonts w:ascii="楷体" w:hAnsi="楷体" w:eastAsia="楷体" w:cs="宋体"/>
          <w:b/>
          <w:color w:val="000000" w:themeColor="text1"/>
          <w:sz w:val="28"/>
          <w:szCs w:val="28"/>
          <w14:textFill>
            <w14:solidFill>
              <w14:schemeClr w14:val="tx1"/>
            </w14:solidFill>
          </w14:textFill>
        </w:rPr>
      </w:pPr>
      <w:r>
        <w:rPr>
          <w:rFonts w:ascii="楷体" w:hAnsi="楷体" w:eastAsia="楷体" w:cs="宋体"/>
          <w:b/>
          <w:color w:val="000000" w:themeColor="text1"/>
          <w:sz w:val="28"/>
          <w:szCs w:val="28"/>
          <w14:textFill>
            <w14:solidFill>
              <w14:schemeClr w14:val="tx1"/>
            </w14:solidFill>
          </w14:textFill>
        </w:rPr>
        <w:t>4.2</w:t>
      </w:r>
      <w:r>
        <w:rPr>
          <w:rFonts w:hint="eastAsia" w:ascii="楷体" w:hAnsi="楷体" w:eastAsia="楷体" w:cs="宋体"/>
          <w:b/>
          <w:color w:val="000000" w:themeColor="text1"/>
          <w:sz w:val="28"/>
          <w:szCs w:val="28"/>
          <w14:textFill>
            <w14:solidFill>
              <w14:schemeClr w14:val="tx1"/>
            </w14:solidFill>
          </w14:textFill>
        </w:rPr>
        <w:t>投标文件的修改与撤回</w:t>
      </w:r>
    </w:p>
    <w:p w14:paraId="43569FEC">
      <w:pPr>
        <w:adjustRightInd w:val="0"/>
        <w:snapToGrid w:val="0"/>
        <w:spacing w:line="490" w:lineRule="exact"/>
        <w:ind w:firstLine="560" w:firstLineChars="200"/>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4.2.1</w:t>
      </w:r>
      <w:r>
        <w:rPr>
          <w:rFonts w:hint="eastAsia" w:ascii="宋体" w:hAnsi="宋体" w:cs="宋体"/>
          <w:color w:val="000000" w:themeColor="text1"/>
          <w:sz w:val="28"/>
          <w:szCs w:val="28"/>
          <w14:textFill>
            <w14:solidFill>
              <w14:schemeClr w14:val="tx1"/>
            </w14:solidFill>
          </w14:textFill>
        </w:rPr>
        <w:t>在投标截止时间前，供应商可以修改或撤回已递交的投标文件。具体操作方法见《江苏省政府采购管理交易系统（苏采云）供应商操作手册》。</w:t>
      </w:r>
    </w:p>
    <w:p w14:paraId="48EA7160">
      <w:pPr>
        <w:adjustRightInd w:val="0"/>
        <w:snapToGrid w:val="0"/>
        <w:spacing w:line="490" w:lineRule="exact"/>
        <w:ind w:firstLine="560" w:firstLineChars="200"/>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4.2.2</w:t>
      </w:r>
      <w:r>
        <w:rPr>
          <w:rFonts w:hint="eastAsia" w:ascii="宋体" w:hAnsi="宋体" w:cs="宋体"/>
          <w:color w:val="000000" w:themeColor="text1"/>
          <w:sz w:val="28"/>
          <w:szCs w:val="28"/>
          <w14:textFill>
            <w14:solidFill>
              <w14:schemeClr w14:val="tx1"/>
            </w14:solidFill>
          </w14:textFill>
        </w:rPr>
        <w:t>修改的投标文件应按照本招标文件规定进行编制和重新上传。</w:t>
      </w:r>
    </w:p>
    <w:p w14:paraId="6FC5E877">
      <w:pPr>
        <w:adjustRightInd w:val="0"/>
        <w:snapToGrid w:val="0"/>
        <w:spacing w:line="490" w:lineRule="exact"/>
        <w:rPr>
          <w:rFonts w:ascii="楷体" w:hAnsi="楷体" w:eastAsia="楷体" w:cs="宋体"/>
          <w:b/>
          <w:color w:val="000000" w:themeColor="text1"/>
          <w:sz w:val="28"/>
          <w:szCs w:val="28"/>
          <w14:textFill>
            <w14:solidFill>
              <w14:schemeClr w14:val="tx1"/>
            </w14:solidFill>
          </w14:textFill>
        </w:rPr>
      </w:pPr>
      <w:r>
        <w:rPr>
          <w:rFonts w:hint="eastAsia" w:ascii="楷体" w:hAnsi="楷体" w:eastAsia="楷体" w:cs="宋体"/>
          <w:b/>
          <w:color w:val="000000" w:themeColor="text1"/>
          <w:sz w:val="28"/>
          <w:szCs w:val="28"/>
          <w14:textFill>
            <w14:solidFill>
              <w14:schemeClr w14:val="tx1"/>
            </w14:solidFill>
          </w14:textFill>
        </w:rPr>
        <w:t>4.3投标文件的确认</w:t>
      </w:r>
    </w:p>
    <w:p w14:paraId="00342265">
      <w:pPr>
        <w:adjustRightInd w:val="0"/>
        <w:snapToGrid w:val="0"/>
        <w:spacing w:line="49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供应商可以通过江苏省政府采购管理交易系统（苏采云）多次上传投标文件，以招标文件规定的投标截止时间前，江苏省政府采购管理交易系统（苏采云）接受到的最后一份投标文件为准。</w:t>
      </w:r>
    </w:p>
    <w:p w14:paraId="396D6FC9">
      <w:pPr>
        <w:adjustRightInd w:val="0"/>
        <w:snapToGrid w:val="0"/>
        <w:spacing w:line="490" w:lineRule="exact"/>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 xml:space="preserve">5. </w:t>
      </w:r>
      <w:r>
        <w:rPr>
          <w:rFonts w:hint="eastAsia" w:ascii="黑体" w:hAnsi="黑体" w:eastAsia="黑体"/>
          <w:color w:val="000000" w:themeColor="text1"/>
          <w:sz w:val="32"/>
          <w:szCs w:val="32"/>
          <w14:textFill>
            <w14:solidFill>
              <w14:schemeClr w14:val="tx1"/>
            </w14:solidFill>
          </w14:textFill>
        </w:rPr>
        <w:t>开标</w:t>
      </w:r>
    </w:p>
    <w:p w14:paraId="481D4784">
      <w:pPr>
        <w:adjustRightInd w:val="0"/>
        <w:snapToGrid w:val="0"/>
        <w:spacing w:line="490" w:lineRule="exact"/>
        <w:rPr>
          <w:rFonts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5.1 </w:t>
      </w:r>
      <w:r>
        <w:rPr>
          <w:rFonts w:hint="eastAsia" w:ascii="楷体" w:hAnsi="楷体" w:eastAsia="楷体" w:cs="宋体"/>
          <w:b/>
          <w:color w:val="000000" w:themeColor="text1"/>
          <w:sz w:val="28"/>
          <w:szCs w:val="28"/>
          <w14:textFill>
            <w14:solidFill>
              <w14:schemeClr w14:val="tx1"/>
            </w14:solidFill>
          </w14:textFill>
        </w:rPr>
        <w:t>开标时间和地点</w:t>
      </w:r>
    </w:p>
    <w:p w14:paraId="70C672D8">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5.1.1</w:t>
      </w:r>
      <w:r>
        <w:rPr>
          <w:rFonts w:hint="eastAsia" w:ascii="宋体" w:hAnsi="宋体" w:cs="宋体"/>
          <w:color w:val="000000" w:themeColor="text1"/>
          <w:sz w:val="28"/>
          <w:szCs w:val="28"/>
          <w14:textFill>
            <w14:solidFill>
              <w14:schemeClr w14:val="tx1"/>
            </w14:solidFill>
          </w14:textFill>
        </w:rPr>
        <w:t>开标时间和地点：见供应商须知前附表。</w:t>
      </w:r>
    </w:p>
    <w:p w14:paraId="1560D325">
      <w:pPr>
        <w:adjustRightInd w:val="0"/>
        <w:snapToGrid w:val="0"/>
        <w:spacing w:line="490" w:lineRule="exact"/>
        <w:ind w:firstLine="560" w:firstLineChars="200"/>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5.1.2</w:t>
      </w:r>
      <w:r>
        <w:rPr>
          <w:rFonts w:hint="eastAsia" w:ascii="宋体" w:hAnsi="宋体" w:cs="宋体"/>
          <w:color w:val="000000" w:themeColor="text1"/>
          <w:sz w:val="28"/>
          <w:szCs w:val="28"/>
          <w14:textFill>
            <w14:solidFill>
              <w14:schemeClr w14:val="tx1"/>
            </w14:solidFill>
          </w14:textFill>
        </w:rPr>
        <w:t>开标活动在江苏政府采购“苏采云”系统“开标大厅”内公开进行，供应商应当按照《江苏省政府采购管理交易系统（苏采云）供应商操作手册》规定，参加开标活动。</w:t>
      </w:r>
    </w:p>
    <w:p w14:paraId="12A51E71">
      <w:pPr>
        <w:adjustRightInd w:val="0"/>
        <w:snapToGrid w:val="0"/>
        <w:spacing w:line="490" w:lineRule="exact"/>
        <w:rPr>
          <w:rFonts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5.2 不见面</w:t>
      </w:r>
      <w:r>
        <w:rPr>
          <w:rFonts w:hint="eastAsia" w:ascii="楷体" w:hAnsi="楷体" w:eastAsia="楷体" w:cs="宋体"/>
          <w:b/>
          <w:color w:val="000000" w:themeColor="text1"/>
          <w:sz w:val="28"/>
          <w:szCs w:val="28"/>
          <w14:textFill>
            <w14:solidFill>
              <w14:schemeClr w14:val="tx1"/>
            </w14:solidFill>
          </w14:textFill>
        </w:rPr>
        <w:t>开标程序</w:t>
      </w:r>
    </w:p>
    <w:p w14:paraId="1566C3E1">
      <w:pPr>
        <w:adjustRightInd w:val="0"/>
        <w:snapToGrid w:val="0"/>
        <w:spacing w:line="490" w:lineRule="exact"/>
        <w:ind w:firstLine="560" w:firstLineChars="200"/>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（1）系统登录。供应商应在投标截止时间前登录开标大厅。</w:t>
      </w:r>
    </w:p>
    <w:p w14:paraId="5B7C9285">
      <w:pPr>
        <w:adjustRightInd w:val="0"/>
        <w:snapToGrid w:val="0"/>
        <w:spacing w:line="490" w:lineRule="exact"/>
        <w:ind w:firstLine="560" w:firstLineChars="200"/>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（2）供应商解密投标文件。按照系统内提示，在规定的时间内完成投标文件的解密。</w:t>
      </w:r>
    </w:p>
    <w:p w14:paraId="432418A0">
      <w:pPr>
        <w:adjustRightInd w:val="0"/>
        <w:snapToGrid w:val="0"/>
        <w:spacing w:line="490" w:lineRule="exact"/>
        <w:ind w:firstLine="560" w:firstLineChars="200"/>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（3）唱标。</w:t>
      </w:r>
    </w:p>
    <w:p w14:paraId="6724E7E5">
      <w:pPr>
        <w:adjustRightInd w:val="0"/>
        <w:snapToGrid w:val="0"/>
        <w:spacing w:line="490" w:lineRule="exact"/>
        <w:ind w:firstLine="560" w:firstLineChars="200"/>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（4）开标记录确认。</w:t>
      </w:r>
    </w:p>
    <w:p w14:paraId="21B98D58">
      <w:pPr>
        <w:adjustRightInd w:val="0"/>
        <w:snapToGrid w:val="0"/>
        <w:spacing w:line="490" w:lineRule="exact"/>
        <w:ind w:firstLine="560" w:firstLineChars="200"/>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（5）开标结束。</w:t>
      </w:r>
    </w:p>
    <w:p w14:paraId="5835BAEC">
      <w:pPr>
        <w:adjustRightInd w:val="0"/>
        <w:snapToGrid w:val="0"/>
        <w:spacing w:line="490" w:lineRule="exact"/>
        <w:rPr>
          <w:rFonts w:ascii="楷体" w:hAnsi="楷体" w:eastAsia="楷体"/>
          <w:b/>
          <w:color w:val="000000" w:themeColor="text1"/>
          <w:sz w:val="28"/>
          <w:szCs w:val="28"/>
          <w14:textFill>
            <w14:solidFill>
              <w14:schemeClr w14:val="tx1"/>
            </w14:solidFill>
          </w14:textFill>
        </w:rPr>
      </w:pPr>
      <w:r>
        <w:rPr>
          <w:rFonts w:hint="eastAsia" w:ascii="楷体" w:hAnsi="楷体" w:eastAsia="楷体"/>
          <w:b/>
          <w:color w:val="000000" w:themeColor="text1"/>
          <w:sz w:val="28"/>
          <w:szCs w:val="28"/>
          <w14:textFill>
            <w14:solidFill>
              <w14:schemeClr w14:val="tx1"/>
            </w14:solidFill>
          </w14:textFill>
        </w:rPr>
        <w:t>5.3特殊情况的处置</w:t>
      </w:r>
    </w:p>
    <w:p w14:paraId="26FA5C4B">
      <w:pPr>
        <w:adjustRightInd w:val="0"/>
        <w:snapToGrid w:val="0"/>
        <w:spacing w:line="490" w:lineRule="exact"/>
        <w:ind w:firstLine="560" w:firstLineChars="200"/>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5.3.1在投标截止时间后，开标系统出现下列情况之一时，项目未开标的，暂停开标活动；正在开标的，立即暂停开标，待系统恢复正常后再组织开标。</w:t>
      </w:r>
    </w:p>
    <w:p w14:paraId="0092BBBA">
      <w:pPr>
        <w:adjustRightInd w:val="0"/>
        <w:snapToGrid w:val="0"/>
        <w:spacing w:line="490" w:lineRule="exact"/>
        <w:ind w:firstLine="560" w:firstLineChars="200"/>
        <w:rPr>
          <w:rFonts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（1）系统服务器发生故障，无法访问或无法使用系统； </w:t>
      </w:r>
    </w:p>
    <w:p w14:paraId="7448B9E3">
      <w:pPr>
        <w:adjustRightInd w:val="0"/>
        <w:snapToGrid w:val="0"/>
        <w:spacing w:line="490" w:lineRule="exact"/>
        <w:ind w:firstLine="560" w:firstLineChars="200"/>
        <w:rPr>
          <w:rFonts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（2）系统的软件或数据库出现错误，不能进行正常操作； </w:t>
      </w:r>
    </w:p>
    <w:p w14:paraId="3C4FC02E">
      <w:pPr>
        <w:adjustRightInd w:val="0"/>
        <w:snapToGrid w:val="0"/>
        <w:spacing w:line="490" w:lineRule="exact"/>
        <w:ind w:firstLine="560" w:firstLineChars="200"/>
        <w:rPr>
          <w:rFonts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（3）系统发现有安全漏洞，有潜在的泄密危险； </w:t>
      </w:r>
    </w:p>
    <w:p w14:paraId="70F15EEC">
      <w:pPr>
        <w:adjustRightInd w:val="0"/>
        <w:snapToGrid w:val="0"/>
        <w:spacing w:line="490" w:lineRule="exact"/>
        <w:ind w:firstLine="560" w:firstLineChars="200"/>
        <w:rPr>
          <w:rFonts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（4）其他无法保证招投标过程公平和信息安全的情形。</w:t>
      </w:r>
    </w:p>
    <w:p w14:paraId="6442D360">
      <w:pPr>
        <w:adjustRightInd w:val="0"/>
        <w:snapToGrid w:val="0"/>
        <w:spacing w:line="490" w:lineRule="exact"/>
        <w:ind w:firstLine="560" w:firstLineChars="200"/>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5.3.2因供应商自身原因造成投标文件无法解密的，视为撤销投标文件。</w:t>
      </w:r>
    </w:p>
    <w:p w14:paraId="46979C77">
      <w:pPr>
        <w:adjustRightInd w:val="0"/>
        <w:snapToGrid w:val="0"/>
        <w:spacing w:line="490" w:lineRule="exact"/>
        <w:ind w:firstLine="560" w:firstLineChars="200"/>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5.3.3供应商对开标过程和开标记录有疑义的，可向招标人或者采购代理机构提出。</w:t>
      </w:r>
    </w:p>
    <w:p w14:paraId="3AE7518D">
      <w:pPr>
        <w:adjustRightInd w:val="0"/>
        <w:snapToGrid w:val="0"/>
        <w:spacing w:line="490" w:lineRule="exact"/>
        <w:ind w:firstLine="560" w:firstLineChars="200"/>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5.3.4供应商未在开标系统中确认开标结果的，视同认可开标结果。</w:t>
      </w:r>
    </w:p>
    <w:p w14:paraId="3B1B169E">
      <w:pPr>
        <w:adjustRightInd w:val="0"/>
        <w:snapToGrid w:val="0"/>
        <w:spacing w:line="490" w:lineRule="exact"/>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 xml:space="preserve">6. </w:t>
      </w:r>
      <w:r>
        <w:rPr>
          <w:rFonts w:hint="eastAsia" w:ascii="黑体" w:hAnsi="黑体" w:eastAsia="黑体"/>
          <w:color w:val="000000" w:themeColor="text1"/>
          <w:sz w:val="32"/>
          <w:szCs w:val="32"/>
          <w14:textFill>
            <w14:solidFill>
              <w14:schemeClr w14:val="tx1"/>
            </w14:solidFill>
          </w14:textFill>
        </w:rPr>
        <w:t>评标</w:t>
      </w:r>
    </w:p>
    <w:p w14:paraId="6A1F78CC">
      <w:pPr>
        <w:adjustRightInd w:val="0"/>
        <w:snapToGrid w:val="0"/>
        <w:spacing w:line="490" w:lineRule="exact"/>
        <w:rPr>
          <w:rFonts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6.1 </w:t>
      </w:r>
      <w:r>
        <w:rPr>
          <w:rFonts w:hint="eastAsia" w:ascii="楷体" w:hAnsi="楷体" w:eastAsia="楷体" w:cs="宋体"/>
          <w:b/>
          <w:color w:val="000000" w:themeColor="text1"/>
          <w:sz w:val="28"/>
          <w:szCs w:val="28"/>
          <w14:textFill>
            <w14:solidFill>
              <w14:schemeClr w14:val="tx1"/>
            </w14:solidFill>
          </w14:textFill>
        </w:rPr>
        <w:t>评标委员会</w:t>
      </w:r>
    </w:p>
    <w:p w14:paraId="0CA9126C">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6.1.1</w:t>
      </w:r>
      <w:r>
        <w:rPr>
          <w:rFonts w:hint="eastAsia" w:ascii="宋体" w:hAnsi="宋体" w:cs="宋体"/>
          <w:color w:val="000000" w:themeColor="text1"/>
          <w:sz w:val="28"/>
          <w:szCs w:val="28"/>
          <w14:textFill>
            <w14:solidFill>
              <w14:schemeClr w14:val="tx1"/>
            </w14:solidFill>
          </w14:textFill>
        </w:rPr>
        <w:t>评标由招标人依法组建的评标委员会负责。评标委员会由招标人代表，以及有关技术、经济等方面的专家组成。具体人数见供应商须知前附表。</w:t>
      </w:r>
    </w:p>
    <w:p w14:paraId="2C0B9FFB">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6.1.2</w:t>
      </w:r>
      <w:r>
        <w:rPr>
          <w:rFonts w:hint="eastAsia" w:ascii="宋体" w:hAnsi="宋体" w:cs="宋体"/>
          <w:color w:val="000000" w:themeColor="text1"/>
          <w:sz w:val="28"/>
          <w:szCs w:val="28"/>
          <w14:textFill>
            <w14:solidFill>
              <w14:schemeClr w14:val="tx1"/>
            </w14:solidFill>
          </w14:textFill>
        </w:rPr>
        <w:t>评标委员会成员有下列情形之一的，应当回避：</w:t>
      </w:r>
    </w:p>
    <w:p w14:paraId="5FE33815">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1</w:t>
      </w:r>
      <w:r>
        <w:rPr>
          <w:rFonts w:hint="eastAsia" w:ascii="宋体" w:hAnsi="宋体" w:cs="宋体"/>
          <w:color w:val="000000" w:themeColor="text1"/>
          <w:sz w:val="28"/>
          <w:szCs w:val="28"/>
          <w14:textFill>
            <w14:solidFill>
              <w14:schemeClr w14:val="tx1"/>
            </w14:solidFill>
          </w14:textFill>
        </w:rPr>
        <w:t>）</w:t>
      </w:r>
      <w:r>
        <w:rPr>
          <w:rFonts w:ascii="宋体" w:hAnsi="宋体" w:cs="宋体"/>
          <w:color w:val="000000" w:themeColor="text1"/>
          <w:sz w:val="28"/>
          <w:szCs w:val="28"/>
          <w14:textFill>
            <w14:solidFill>
              <w14:schemeClr w14:val="tx1"/>
            </w14:solidFill>
          </w14:textFill>
        </w:rPr>
        <w:t>参加采购活动前三年内,与供应商存在劳动关系,或者担任过供应商的董事、监事,或者是供应商的控股股东或实际控制人</w:t>
      </w:r>
      <w:r>
        <w:rPr>
          <w:rFonts w:hint="eastAsia" w:ascii="宋体" w:hAnsi="宋体" w:cs="宋体"/>
          <w:color w:val="000000" w:themeColor="text1"/>
          <w:sz w:val="28"/>
          <w:szCs w:val="28"/>
          <w14:textFill>
            <w14:solidFill>
              <w14:schemeClr w14:val="tx1"/>
            </w14:solidFill>
          </w14:textFill>
        </w:rPr>
        <w:t>；</w:t>
      </w:r>
    </w:p>
    <w:p w14:paraId="43E2C631">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2</w:t>
      </w:r>
      <w:r>
        <w:rPr>
          <w:rFonts w:hint="eastAsia" w:ascii="宋体" w:hAnsi="宋体" w:cs="宋体"/>
          <w:color w:val="000000" w:themeColor="text1"/>
          <w:sz w:val="28"/>
          <w:szCs w:val="28"/>
          <w14:textFill>
            <w14:solidFill>
              <w14:schemeClr w14:val="tx1"/>
            </w14:solidFill>
          </w14:textFill>
        </w:rPr>
        <w:t>）</w:t>
      </w:r>
      <w:r>
        <w:rPr>
          <w:rFonts w:ascii="宋体" w:hAnsi="宋体" w:cs="宋体"/>
          <w:color w:val="000000" w:themeColor="text1"/>
          <w:sz w:val="28"/>
          <w:szCs w:val="28"/>
          <w14:textFill>
            <w14:solidFill>
              <w14:schemeClr w14:val="tx1"/>
            </w14:solidFill>
          </w14:textFill>
        </w:rPr>
        <w:t>与供应商的法定代表人或者负责人有夫妻、直系血亲、三代以内旁系血亲或者近姻亲关系</w:t>
      </w:r>
      <w:r>
        <w:rPr>
          <w:rFonts w:hint="eastAsia" w:ascii="宋体" w:hAnsi="宋体" w:cs="宋体"/>
          <w:color w:val="000000" w:themeColor="text1"/>
          <w:sz w:val="28"/>
          <w:szCs w:val="28"/>
          <w14:textFill>
            <w14:solidFill>
              <w14:schemeClr w14:val="tx1"/>
            </w14:solidFill>
          </w14:textFill>
        </w:rPr>
        <w:t>；</w:t>
      </w:r>
    </w:p>
    <w:p w14:paraId="2D7DFED3">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3</w:t>
      </w:r>
      <w:r>
        <w:rPr>
          <w:rFonts w:hint="eastAsia" w:ascii="宋体" w:hAnsi="宋体" w:cs="宋体"/>
          <w:color w:val="000000" w:themeColor="text1"/>
          <w:sz w:val="28"/>
          <w:szCs w:val="28"/>
          <w14:textFill>
            <w14:solidFill>
              <w14:schemeClr w14:val="tx1"/>
            </w14:solidFill>
          </w14:textFill>
        </w:rPr>
        <w:t>）</w:t>
      </w:r>
      <w:r>
        <w:rPr>
          <w:rFonts w:ascii="宋体" w:hAnsi="宋体" w:cs="宋体"/>
          <w:color w:val="000000" w:themeColor="text1"/>
          <w:sz w:val="28"/>
          <w:szCs w:val="28"/>
          <w14:textFill>
            <w14:solidFill>
              <w14:schemeClr w14:val="tx1"/>
            </w14:solidFill>
          </w14:textFill>
        </w:rPr>
        <w:t>与供应商有其他可能影响政府采购活动公平、公正进行的关系</w:t>
      </w:r>
      <w:r>
        <w:rPr>
          <w:rFonts w:hint="eastAsia" w:ascii="宋体" w:hAnsi="宋体" w:cs="宋体"/>
          <w:color w:val="000000" w:themeColor="text1"/>
          <w:sz w:val="28"/>
          <w:szCs w:val="28"/>
          <w14:textFill>
            <w14:solidFill>
              <w14:schemeClr w14:val="tx1"/>
            </w14:solidFill>
          </w14:textFill>
        </w:rPr>
        <w:t>；</w:t>
      </w:r>
    </w:p>
    <w:p w14:paraId="300937C8">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4</w:t>
      </w:r>
      <w:r>
        <w:rPr>
          <w:rFonts w:hint="eastAsia" w:ascii="宋体" w:hAnsi="宋体" w:cs="宋体"/>
          <w:color w:val="000000" w:themeColor="text1"/>
          <w:sz w:val="28"/>
          <w:szCs w:val="28"/>
          <w14:textFill>
            <w14:solidFill>
              <w14:schemeClr w14:val="tx1"/>
            </w14:solidFill>
          </w14:textFill>
        </w:rPr>
        <w:t>）法律、行政法规规定的其他条件。</w:t>
      </w:r>
    </w:p>
    <w:p w14:paraId="2986F895">
      <w:pPr>
        <w:adjustRightInd w:val="0"/>
        <w:snapToGrid w:val="0"/>
        <w:spacing w:line="490" w:lineRule="exact"/>
        <w:rPr>
          <w:rFonts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6.2 </w:t>
      </w:r>
      <w:r>
        <w:rPr>
          <w:rFonts w:hint="eastAsia" w:ascii="楷体" w:hAnsi="楷体" w:eastAsia="楷体" w:cs="宋体"/>
          <w:b/>
          <w:color w:val="000000" w:themeColor="text1"/>
          <w:sz w:val="28"/>
          <w:szCs w:val="28"/>
          <w14:textFill>
            <w14:solidFill>
              <w14:schemeClr w14:val="tx1"/>
            </w14:solidFill>
          </w14:textFill>
        </w:rPr>
        <w:t>评标</w:t>
      </w:r>
    </w:p>
    <w:p w14:paraId="419E3648">
      <w:pPr>
        <w:spacing w:line="49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评标活动遵循公正、客观、审慎的原则。</w:t>
      </w:r>
      <w:r>
        <w:rPr>
          <w:rFonts w:hint="eastAsia" w:ascii="宋体" w:hAnsi="宋体" w:cs="宋体"/>
          <w:color w:val="000000" w:themeColor="text1"/>
          <w:sz w:val="28"/>
          <w:szCs w:val="28"/>
          <w14:textFill>
            <w14:solidFill>
              <w14:schemeClr w14:val="tx1"/>
            </w14:solidFill>
          </w14:textFill>
        </w:rPr>
        <w:t>评标委员会严格按照第三章</w:t>
      </w:r>
      <w:r>
        <w:rPr>
          <w:rFonts w:hint="eastAsia" w:ascii="宋体" w:hAnsi="宋体"/>
          <w:color w:val="000000" w:themeColor="text1"/>
          <w:sz w:val="28"/>
          <w:szCs w:val="28"/>
          <w14:textFill>
            <w14:solidFill>
              <w14:schemeClr w14:val="tx1"/>
            </w14:solidFill>
          </w14:textFill>
        </w:rPr>
        <w:t>“</w:t>
      </w:r>
      <w:r>
        <w:rPr>
          <w:rFonts w:hint="eastAsia" w:ascii="宋体" w:hAnsi="宋体" w:cs="宋体"/>
          <w:color w:val="000000" w:themeColor="text1"/>
          <w:sz w:val="28"/>
          <w:szCs w:val="28"/>
          <w14:textFill>
            <w14:solidFill>
              <w14:schemeClr w14:val="tx1"/>
            </w14:solidFill>
          </w14:textFill>
        </w:rPr>
        <w:t>评标办法</w:t>
      </w:r>
      <w:r>
        <w:rPr>
          <w:rFonts w:hint="eastAsia" w:ascii="宋体" w:hAnsi="宋体"/>
          <w:color w:val="000000" w:themeColor="text1"/>
          <w:sz w:val="28"/>
          <w:szCs w:val="28"/>
          <w14:textFill>
            <w14:solidFill>
              <w14:schemeClr w14:val="tx1"/>
            </w14:solidFill>
          </w14:textFill>
        </w:rPr>
        <w:t>”</w:t>
      </w:r>
      <w:r>
        <w:rPr>
          <w:rFonts w:hint="eastAsia" w:ascii="宋体" w:hAnsi="宋体" w:cs="宋体"/>
          <w:color w:val="000000" w:themeColor="text1"/>
          <w:sz w:val="28"/>
          <w:szCs w:val="28"/>
          <w14:textFill>
            <w14:solidFill>
              <w14:schemeClr w14:val="tx1"/>
            </w14:solidFill>
          </w14:textFill>
        </w:rPr>
        <w:t>规定的评标方法、评标程序和评标标准进行独立评审。第三章</w:t>
      </w:r>
      <w:r>
        <w:rPr>
          <w:rFonts w:hint="eastAsia" w:ascii="宋体" w:hAnsi="宋体"/>
          <w:color w:val="000000" w:themeColor="text1"/>
          <w:sz w:val="28"/>
          <w:szCs w:val="28"/>
          <w14:textFill>
            <w14:solidFill>
              <w14:schemeClr w14:val="tx1"/>
            </w14:solidFill>
          </w14:textFill>
        </w:rPr>
        <w:t>“</w:t>
      </w:r>
      <w:r>
        <w:rPr>
          <w:rFonts w:hint="eastAsia" w:ascii="宋体" w:hAnsi="宋体" w:cs="宋体"/>
          <w:color w:val="000000" w:themeColor="text1"/>
          <w:sz w:val="28"/>
          <w:szCs w:val="28"/>
          <w14:textFill>
            <w14:solidFill>
              <w14:schemeClr w14:val="tx1"/>
            </w14:solidFill>
          </w14:textFill>
        </w:rPr>
        <w:t>评标办法</w:t>
      </w:r>
      <w:r>
        <w:rPr>
          <w:rFonts w:hint="eastAsia" w:ascii="宋体" w:hAnsi="宋体"/>
          <w:color w:val="000000" w:themeColor="text1"/>
          <w:sz w:val="28"/>
          <w:szCs w:val="28"/>
          <w14:textFill>
            <w14:solidFill>
              <w14:schemeClr w14:val="tx1"/>
            </w14:solidFill>
          </w14:textFill>
        </w:rPr>
        <w:t>”</w:t>
      </w:r>
      <w:r>
        <w:rPr>
          <w:rFonts w:hint="eastAsia" w:ascii="宋体" w:hAnsi="宋体" w:cs="宋体"/>
          <w:color w:val="000000" w:themeColor="text1"/>
          <w:sz w:val="28"/>
          <w:szCs w:val="28"/>
          <w14:textFill>
            <w14:solidFill>
              <w14:schemeClr w14:val="tx1"/>
            </w14:solidFill>
          </w14:textFill>
        </w:rPr>
        <w:t>没有规定的评标标准，不得作为评标依据。</w:t>
      </w:r>
    </w:p>
    <w:p w14:paraId="57D17EF7">
      <w:pPr>
        <w:adjustRightInd w:val="0"/>
        <w:snapToGrid w:val="0"/>
        <w:spacing w:line="490" w:lineRule="exact"/>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7.</w:t>
      </w:r>
      <w:r>
        <w:rPr>
          <w:rFonts w:hint="eastAsia" w:ascii="黑体" w:hAnsi="黑体" w:eastAsia="黑体" w:cs="宋体"/>
          <w:color w:val="000000" w:themeColor="text1"/>
          <w:sz w:val="32"/>
          <w:szCs w:val="32"/>
          <w14:textFill>
            <w14:solidFill>
              <w14:schemeClr w14:val="tx1"/>
            </w14:solidFill>
          </w14:textFill>
        </w:rPr>
        <w:t>中标</w:t>
      </w:r>
    </w:p>
    <w:p w14:paraId="7E876876">
      <w:pPr>
        <w:adjustRightInd w:val="0"/>
        <w:snapToGrid w:val="0"/>
        <w:spacing w:line="490" w:lineRule="exact"/>
        <w:rPr>
          <w:rFonts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7.1</w:t>
      </w:r>
      <w:r>
        <w:rPr>
          <w:rFonts w:hint="eastAsia" w:ascii="楷体" w:hAnsi="楷体" w:eastAsia="楷体"/>
          <w:b/>
          <w:color w:val="000000" w:themeColor="text1"/>
          <w:sz w:val="28"/>
          <w:szCs w:val="28"/>
          <w14:textFill>
            <w14:solidFill>
              <w14:schemeClr w14:val="tx1"/>
            </w14:solidFill>
          </w14:textFill>
        </w:rPr>
        <w:t>确定中标人</w:t>
      </w:r>
    </w:p>
    <w:p w14:paraId="3CCD36F1">
      <w:pPr>
        <w:adjustRightInd w:val="0"/>
        <w:snapToGrid w:val="0"/>
        <w:spacing w:line="49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7.1.1自收到评标报告之日起５个工作日内，在评标报告确定的中标候选人名单中按顺序确定中标人。</w:t>
      </w:r>
    </w:p>
    <w:p w14:paraId="35D9A112">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7.1.2排名第一的中标候选人出现下列情形之一的，除合格供应商的数量不符合法定的要求外，招标人将按照评标委员会提出的中标候选人名单排序依次确定其他中标候选人为中标人。</w:t>
      </w:r>
    </w:p>
    <w:p w14:paraId="052CC5D9">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1</w:t>
      </w:r>
      <w:r>
        <w:rPr>
          <w:rFonts w:hint="eastAsia" w:ascii="宋体" w:hAnsi="宋体" w:cs="宋体"/>
          <w:color w:val="000000" w:themeColor="text1"/>
          <w:sz w:val="28"/>
          <w:szCs w:val="28"/>
          <w14:textFill>
            <w14:solidFill>
              <w14:schemeClr w14:val="tx1"/>
            </w14:solidFill>
          </w14:textFill>
        </w:rPr>
        <w:t>）因不可抗力或者自身原因不能履行合同的；</w:t>
      </w:r>
    </w:p>
    <w:p w14:paraId="38728D64">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2</w:t>
      </w:r>
      <w:r>
        <w:rPr>
          <w:rFonts w:hint="eastAsia" w:ascii="宋体" w:hAnsi="宋体" w:cs="宋体"/>
          <w:color w:val="000000" w:themeColor="text1"/>
          <w:sz w:val="28"/>
          <w:szCs w:val="28"/>
          <w14:textFill>
            <w14:solidFill>
              <w14:schemeClr w14:val="tx1"/>
            </w14:solidFill>
          </w14:textFill>
        </w:rPr>
        <w:t>）经过财政部门处理投诉举报、监督检查，认定中标无效的；</w:t>
      </w:r>
    </w:p>
    <w:p w14:paraId="357FF454">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3</w:t>
      </w:r>
      <w:r>
        <w:rPr>
          <w:rFonts w:hint="eastAsia" w:ascii="宋体" w:hAnsi="宋体" w:cs="宋体"/>
          <w:color w:val="000000" w:themeColor="text1"/>
          <w:sz w:val="28"/>
          <w:szCs w:val="28"/>
          <w14:textFill>
            <w14:solidFill>
              <w14:schemeClr w14:val="tx1"/>
            </w14:solidFill>
          </w14:textFill>
        </w:rPr>
        <w:t>）拒绝与招标人签订合同的。</w:t>
      </w:r>
    </w:p>
    <w:p w14:paraId="0EE9CC04">
      <w:pPr>
        <w:adjustRightInd w:val="0"/>
        <w:snapToGrid w:val="0"/>
        <w:spacing w:line="490" w:lineRule="exact"/>
        <w:rPr>
          <w:rFonts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7.2</w:t>
      </w:r>
      <w:r>
        <w:rPr>
          <w:rFonts w:hint="eastAsia" w:ascii="楷体" w:hAnsi="楷体" w:eastAsia="楷体"/>
          <w:b/>
          <w:color w:val="000000" w:themeColor="text1"/>
          <w:sz w:val="28"/>
          <w:szCs w:val="28"/>
          <w14:textFill>
            <w14:solidFill>
              <w14:schemeClr w14:val="tx1"/>
            </w14:solidFill>
          </w14:textFill>
        </w:rPr>
        <w:t>中标公告及中标通知书</w:t>
      </w:r>
    </w:p>
    <w:p w14:paraId="01C06518">
      <w:pPr>
        <w:adjustRightInd w:val="0"/>
        <w:snapToGrid w:val="0"/>
        <w:spacing w:line="49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7.2.1自中标人确定之日起2个工作日内，在供应商须知前附表规定的媒介上公告中标结果，公告期限为1个工作日。</w:t>
      </w:r>
    </w:p>
    <w:p w14:paraId="4038725B">
      <w:pPr>
        <w:adjustRightInd w:val="0"/>
        <w:snapToGrid w:val="0"/>
        <w:spacing w:line="490" w:lineRule="exact"/>
        <w:ind w:firstLine="560" w:firstLineChars="200"/>
        <w:rPr>
          <w:rFonts w:ascii="宋体" w:hAns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7.2.2在公告中标结果的同时，向中标人发出中标通知书。中标通知书对招标人和中标人具有同等法律效力。</w:t>
      </w:r>
      <w:r>
        <w:rPr>
          <w:rFonts w:ascii="宋体" w:hAnsi="宋体"/>
          <w:color w:val="000000" w:themeColor="text1"/>
          <w:sz w:val="28"/>
          <w:szCs w:val="28"/>
          <w14:textFill>
            <w14:solidFill>
              <w14:schemeClr w14:val="tx1"/>
            </w14:solidFill>
          </w14:textFill>
        </w:rPr>
        <w:t xml:space="preserve">  </w:t>
      </w:r>
    </w:p>
    <w:p w14:paraId="530B81A4">
      <w:pPr>
        <w:adjustRightInd w:val="0"/>
        <w:snapToGrid w:val="0"/>
        <w:spacing w:line="490" w:lineRule="exact"/>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8.</w:t>
      </w:r>
      <w:r>
        <w:rPr>
          <w:rFonts w:hint="eastAsia" w:ascii="黑体" w:hAnsi="黑体" w:eastAsia="黑体" w:cs="宋体"/>
          <w:color w:val="000000" w:themeColor="text1"/>
          <w:sz w:val="32"/>
          <w:szCs w:val="32"/>
          <w14:textFill>
            <w14:solidFill>
              <w14:schemeClr w14:val="tx1"/>
            </w14:solidFill>
          </w14:textFill>
        </w:rPr>
        <w:t>合同</w:t>
      </w:r>
    </w:p>
    <w:p w14:paraId="5F6832D9">
      <w:pPr>
        <w:adjustRightInd w:val="0"/>
        <w:snapToGrid w:val="0"/>
        <w:spacing w:line="490" w:lineRule="exact"/>
        <w:rPr>
          <w:rFonts w:ascii="楷体" w:hAnsi="楷体" w:eastAsia="楷体" w:cs="宋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8.1 </w:t>
      </w:r>
      <w:r>
        <w:rPr>
          <w:rFonts w:hint="eastAsia" w:ascii="楷体" w:hAnsi="楷体" w:eastAsia="楷体" w:cs="宋体"/>
          <w:b/>
          <w:color w:val="000000" w:themeColor="text1"/>
          <w:sz w:val="28"/>
          <w:szCs w:val="28"/>
          <w14:textFill>
            <w14:solidFill>
              <w14:schemeClr w14:val="tx1"/>
            </w14:solidFill>
          </w14:textFill>
        </w:rPr>
        <w:t>履约保证金</w:t>
      </w:r>
    </w:p>
    <w:p w14:paraId="7E50F363">
      <w:pPr>
        <w:adjustRightInd w:val="0"/>
        <w:snapToGrid w:val="0"/>
        <w:spacing w:line="490" w:lineRule="exact"/>
        <w:ind w:firstLine="560" w:firstLineChars="200"/>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无</w:t>
      </w:r>
    </w:p>
    <w:p w14:paraId="190BB45D">
      <w:pPr>
        <w:adjustRightInd w:val="0"/>
        <w:snapToGrid w:val="0"/>
        <w:spacing w:line="490" w:lineRule="exact"/>
        <w:rPr>
          <w:rFonts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8.2</w:t>
      </w:r>
      <w:r>
        <w:rPr>
          <w:rFonts w:hint="eastAsia" w:ascii="楷体" w:hAnsi="楷体" w:eastAsia="楷体" w:cs="宋体"/>
          <w:b/>
          <w:color w:val="000000" w:themeColor="text1"/>
          <w:sz w:val="28"/>
          <w:szCs w:val="28"/>
          <w14:textFill>
            <w14:solidFill>
              <w14:schemeClr w14:val="tx1"/>
            </w14:solidFill>
          </w14:textFill>
        </w:rPr>
        <w:t>签订合同</w:t>
      </w:r>
    </w:p>
    <w:p w14:paraId="2DADCDDA">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招标人和中标人在供应商须知前附表规定的时间内，根据招标文件和中标人的投标文件订立书面合同。中标人无正当理由拒签合同的，招标人取消其中标资格；给招标人造成损失的，中标人还应当对予以赔偿。</w:t>
      </w:r>
    </w:p>
    <w:p w14:paraId="3C09E052">
      <w:pPr>
        <w:adjustRightInd w:val="0"/>
        <w:snapToGrid w:val="0"/>
        <w:spacing w:line="490" w:lineRule="exact"/>
        <w:rPr>
          <w:rFonts w:ascii="黑体" w:hAnsi="黑体" w:eastAsia="黑体" w:cs="宋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9</w:t>
      </w:r>
      <w:r>
        <w:rPr>
          <w:rFonts w:ascii="黑体" w:hAnsi="黑体" w:eastAsia="黑体"/>
          <w:color w:val="000000" w:themeColor="text1"/>
          <w:sz w:val="32"/>
          <w:szCs w:val="32"/>
          <w14:textFill>
            <w14:solidFill>
              <w14:schemeClr w14:val="tx1"/>
            </w14:solidFill>
          </w14:textFill>
        </w:rPr>
        <w:t xml:space="preserve">. </w:t>
      </w:r>
      <w:r>
        <w:rPr>
          <w:rFonts w:hint="eastAsia" w:ascii="黑体" w:hAnsi="黑体" w:eastAsia="黑体" w:cs="宋体"/>
          <w:color w:val="000000" w:themeColor="text1"/>
          <w:sz w:val="32"/>
          <w:szCs w:val="32"/>
          <w14:textFill>
            <w14:solidFill>
              <w14:schemeClr w14:val="tx1"/>
            </w14:solidFill>
          </w14:textFill>
        </w:rPr>
        <w:t>需要补充的其他内容</w:t>
      </w:r>
    </w:p>
    <w:p w14:paraId="27FAAB4F">
      <w:pPr>
        <w:spacing w:line="490" w:lineRule="exact"/>
        <w:ind w:firstLine="560" w:firstLineChars="200"/>
      </w:pPr>
      <w:r>
        <w:rPr>
          <w:rFonts w:hint="eastAsia" w:ascii="宋体" w:hAnsi="宋体" w:cs="宋体"/>
          <w:color w:val="000000" w:themeColor="text1"/>
          <w:sz w:val="28"/>
          <w14:textFill>
            <w14:solidFill>
              <w14:schemeClr w14:val="tx1"/>
            </w14:solidFill>
          </w14:textFill>
        </w:rPr>
        <w:t>需要补充的其他内容：见供应商须知前附表。</w:t>
      </w:r>
      <w:bookmarkEnd w:id="36"/>
      <w:bookmarkEnd w:id="37"/>
      <w:bookmarkEnd w:id="38"/>
      <w:bookmarkEnd w:id="39"/>
      <w:bookmarkEnd w:id="40"/>
      <w:bookmarkEnd w:id="41"/>
      <w:bookmarkEnd w:id="42"/>
      <w:bookmarkEnd w:id="43"/>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Start w:id="209" w:name="_Hlt26955056"/>
      <w:bookmarkEnd w:id="209"/>
      <w:bookmarkStart w:id="210" w:name="_Hlt26782999"/>
      <w:bookmarkEnd w:id="210"/>
      <w:bookmarkStart w:id="211" w:name="_Hlt24879081"/>
      <w:bookmarkEnd w:id="211"/>
      <w:bookmarkStart w:id="212" w:name="_Hlt26671343"/>
      <w:bookmarkEnd w:id="212"/>
      <w:bookmarkStart w:id="213" w:name="_Hlt26580838"/>
      <w:bookmarkEnd w:id="213"/>
      <w:bookmarkStart w:id="214" w:name="_Hlt26671372"/>
      <w:bookmarkEnd w:id="214"/>
      <w:bookmarkStart w:id="215" w:name="_Hlt26609391"/>
      <w:bookmarkEnd w:id="215"/>
      <w:bookmarkStart w:id="216" w:name="_Hlt26955064"/>
      <w:bookmarkEnd w:id="216"/>
    </w:p>
    <w:p w14:paraId="70545F90">
      <w:pPr>
        <w:widowControl/>
        <w:jc w:val="left"/>
      </w:pPr>
      <w:r>
        <w:br w:type="page"/>
      </w:r>
    </w:p>
    <w:p w14:paraId="5AA455AF">
      <w:pPr>
        <w:pStyle w:val="33"/>
        <w:spacing w:line="360" w:lineRule="exact"/>
        <w:ind w:left="-2" w:leftChars="-1" w:firstLine="643" w:firstLineChars="200"/>
        <w:jc w:val="center"/>
        <w:outlineLvl w:val="0"/>
        <w:rPr>
          <w:rFonts w:ascii="黑体" w:hAnsi="黑体" w:eastAsia="黑体"/>
          <w:b/>
          <w:sz w:val="32"/>
          <w:szCs w:val="32"/>
        </w:rPr>
      </w:pPr>
      <w:r>
        <w:rPr>
          <w:rFonts w:hint="eastAsia" w:ascii="黑体" w:hAnsi="黑体" w:eastAsia="黑体"/>
          <w:b/>
          <w:sz w:val="32"/>
          <w:szCs w:val="32"/>
        </w:rPr>
        <w:t>第三章</w:t>
      </w:r>
      <w:r>
        <w:rPr>
          <w:rFonts w:ascii="黑体" w:hAnsi="黑体" w:eastAsia="黑体"/>
          <w:b/>
          <w:sz w:val="32"/>
          <w:szCs w:val="32"/>
        </w:rPr>
        <w:t xml:space="preserve"> 资格审查及</w:t>
      </w:r>
      <w:r>
        <w:rPr>
          <w:rFonts w:hint="eastAsia" w:ascii="黑体" w:hAnsi="黑体" w:eastAsia="黑体"/>
          <w:b/>
          <w:sz w:val="32"/>
          <w:szCs w:val="32"/>
        </w:rPr>
        <w:t>评标办法</w:t>
      </w:r>
    </w:p>
    <w:p w14:paraId="5C0AF9E7">
      <w:pPr>
        <w:rPr>
          <w:sz w:val="28"/>
          <w:szCs w:val="28"/>
        </w:rPr>
      </w:pPr>
      <w:bookmarkStart w:id="217" w:name="_Toc246996231"/>
      <w:bookmarkStart w:id="218" w:name="_Toc144974555"/>
      <w:bookmarkStart w:id="219" w:name="_Toc247085746"/>
      <w:bookmarkStart w:id="220" w:name="_Toc343525563"/>
      <w:bookmarkStart w:id="221" w:name="_Toc179632606"/>
      <w:bookmarkStart w:id="222" w:name="_Toc152042365"/>
      <w:bookmarkStart w:id="223" w:name="_Toc383438647"/>
      <w:bookmarkStart w:id="224" w:name="_Toc246996974"/>
      <w:bookmarkStart w:id="225" w:name="_Toc152045588"/>
      <w:bookmarkStart w:id="226" w:name="_Toc426469920"/>
      <w:r>
        <w:rPr>
          <w:rFonts w:hint="eastAsia"/>
          <w:sz w:val="28"/>
          <w:szCs w:val="28"/>
        </w:rPr>
        <w:t>资格审查和评标办法前附表</w:t>
      </w:r>
      <w:bookmarkEnd w:id="217"/>
      <w:bookmarkEnd w:id="218"/>
      <w:bookmarkEnd w:id="219"/>
      <w:bookmarkEnd w:id="220"/>
      <w:bookmarkEnd w:id="221"/>
      <w:bookmarkEnd w:id="222"/>
      <w:bookmarkEnd w:id="223"/>
      <w:bookmarkEnd w:id="224"/>
      <w:bookmarkEnd w:id="225"/>
      <w:bookmarkEnd w:id="226"/>
      <w:bookmarkStart w:id="227" w:name="_Toc179632607"/>
      <w:bookmarkStart w:id="228" w:name="_Toc247085747"/>
      <w:bookmarkStart w:id="229" w:name="_Toc246996975"/>
      <w:bookmarkStart w:id="230" w:name="_Toc343525564"/>
      <w:bookmarkStart w:id="231" w:name="_Toc152045589"/>
      <w:bookmarkStart w:id="232" w:name="_Toc144974556"/>
      <w:bookmarkStart w:id="233" w:name="_Toc152042366"/>
      <w:bookmarkStart w:id="234" w:name="_Toc246996232"/>
    </w:p>
    <w:tbl>
      <w:tblPr>
        <w:tblStyle w:val="22"/>
        <w:tblW w:w="8709" w:type="dxa"/>
        <w:jc w:val="center"/>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978"/>
        <w:gridCol w:w="707"/>
        <w:gridCol w:w="2832"/>
        <w:gridCol w:w="4997"/>
      </w:tblGrid>
      <w:tr w14:paraId="4B02664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84" w:hRule="atLeast"/>
          <w:jc w:val="center"/>
        </w:trPr>
        <w:tc>
          <w:tcPr>
            <w:tcW w:w="1080" w:type="dxa"/>
            <w:gridSpan w:val="2"/>
            <w:tcBorders>
              <w:top w:val="outset" w:color="auto" w:sz="6" w:space="0"/>
              <w:left w:val="outset" w:color="auto" w:sz="6" w:space="0"/>
              <w:bottom w:val="outset" w:color="auto" w:sz="6" w:space="0"/>
              <w:right w:val="outset" w:color="auto" w:sz="6" w:space="0"/>
            </w:tcBorders>
            <w:vAlign w:val="center"/>
          </w:tcPr>
          <w:p w14:paraId="2C34F8C9">
            <w:pPr>
              <w:spacing w:line="400" w:lineRule="exact"/>
              <w:jc w:val="center"/>
              <w:rPr>
                <w:rFonts w:asciiTheme="minorEastAsia" w:hAnsiTheme="minorEastAsia" w:eastAsiaTheme="minorEastAsia"/>
              </w:rPr>
            </w:pPr>
            <w:r>
              <w:rPr>
                <w:rFonts w:hint="eastAsia" w:asciiTheme="minorEastAsia" w:hAnsiTheme="minorEastAsia" w:eastAsiaTheme="minorEastAsia"/>
              </w:rPr>
              <w:t>条款号</w:t>
            </w:r>
          </w:p>
        </w:tc>
        <w:tc>
          <w:tcPr>
            <w:tcW w:w="2665" w:type="dxa"/>
            <w:tcBorders>
              <w:top w:val="outset" w:color="auto" w:sz="6" w:space="0"/>
              <w:left w:val="outset" w:color="auto" w:sz="6" w:space="0"/>
              <w:bottom w:val="outset" w:color="auto" w:sz="6" w:space="0"/>
              <w:right w:val="outset" w:color="auto" w:sz="6" w:space="0"/>
            </w:tcBorders>
            <w:vAlign w:val="center"/>
          </w:tcPr>
          <w:p w14:paraId="3F17FECE">
            <w:pPr>
              <w:spacing w:line="400" w:lineRule="exact"/>
              <w:jc w:val="center"/>
              <w:rPr>
                <w:rFonts w:asciiTheme="minorEastAsia" w:hAnsiTheme="minorEastAsia" w:eastAsiaTheme="minorEastAsia"/>
              </w:rPr>
            </w:pPr>
            <w:r>
              <w:rPr>
                <w:rFonts w:hint="eastAsia" w:asciiTheme="minorEastAsia" w:hAnsiTheme="minorEastAsia" w:eastAsiaTheme="minorEastAsia"/>
              </w:rPr>
              <w:t>评审因素</w:t>
            </w:r>
          </w:p>
        </w:tc>
        <w:tc>
          <w:tcPr>
            <w:tcW w:w="4964" w:type="dxa"/>
            <w:tcBorders>
              <w:top w:val="outset" w:color="auto" w:sz="6" w:space="0"/>
              <w:left w:val="outset" w:color="auto" w:sz="6" w:space="0"/>
              <w:bottom w:val="outset" w:color="auto" w:sz="6" w:space="0"/>
              <w:right w:val="outset" w:color="auto" w:sz="6" w:space="0"/>
            </w:tcBorders>
            <w:vAlign w:val="center"/>
          </w:tcPr>
          <w:p w14:paraId="01AE4441">
            <w:pPr>
              <w:spacing w:line="400" w:lineRule="exact"/>
              <w:jc w:val="center"/>
              <w:rPr>
                <w:rFonts w:asciiTheme="minorEastAsia" w:hAnsiTheme="minorEastAsia" w:eastAsiaTheme="minorEastAsia"/>
              </w:rPr>
            </w:pPr>
            <w:r>
              <w:rPr>
                <w:rFonts w:hint="eastAsia" w:asciiTheme="minorEastAsia" w:hAnsiTheme="minorEastAsia" w:eastAsiaTheme="minorEastAsia"/>
              </w:rPr>
              <w:t>评审标准</w:t>
            </w:r>
          </w:p>
        </w:tc>
      </w:tr>
      <w:tr w14:paraId="472700E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30" w:hRule="atLeast"/>
          <w:jc w:val="center"/>
        </w:trPr>
        <w:tc>
          <w:tcPr>
            <w:tcW w:w="546" w:type="dxa"/>
            <w:vMerge w:val="restart"/>
            <w:tcBorders>
              <w:top w:val="outset" w:color="auto" w:sz="6" w:space="0"/>
              <w:left w:val="outset" w:color="auto" w:sz="6" w:space="0"/>
              <w:right w:val="outset" w:color="auto" w:sz="6" w:space="0"/>
            </w:tcBorders>
            <w:vAlign w:val="center"/>
          </w:tcPr>
          <w:p w14:paraId="2807E986">
            <w:pPr>
              <w:spacing w:line="360" w:lineRule="exact"/>
              <w:jc w:val="center"/>
              <w:rPr>
                <w:rFonts w:eastAsiaTheme="minorEastAsia"/>
                <w:spacing w:val="-40"/>
              </w:rPr>
            </w:pPr>
            <w:r>
              <w:rPr>
                <w:rFonts w:asciiTheme="minorEastAsia" w:hAnsiTheme="minorEastAsia" w:eastAsiaTheme="minorEastAsia"/>
                <w:spacing w:val="-14"/>
              </w:rPr>
              <w:t>1.2</w:t>
            </w:r>
          </w:p>
        </w:tc>
        <w:tc>
          <w:tcPr>
            <w:tcW w:w="534" w:type="dxa"/>
            <w:vMerge w:val="restart"/>
            <w:tcBorders>
              <w:top w:val="outset" w:color="auto" w:sz="6" w:space="0"/>
              <w:left w:val="outset" w:color="auto" w:sz="6" w:space="0"/>
              <w:right w:val="outset" w:color="auto" w:sz="6" w:space="0"/>
            </w:tcBorders>
            <w:vAlign w:val="center"/>
          </w:tcPr>
          <w:p w14:paraId="739D1EC2">
            <w:pPr>
              <w:jc w:val="center"/>
              <w:rPr>
                <w:rFonts w:asciiTheme="minorEastAsia" w:hAnsiTheme="minorEastAsia" w:eastAsiaTheme="minorEastAsia"/>
              </w:rPr>
            </w:pPr>
            <w:r>
              <w:rPr>
                <w:rFonts w:hint="eastAsia" w:asciiTheme="minorEastAsia" w:hAnsiTheme="minorEastAsia" w:eastAsiaTheme="minorEastAsia"/>
              </w:rPr>
              <w:t>资格审查</w:t>
            </w:r>
          </w:p>
        </w:tc>
        <w:tc>
          <w:tcPr>
            <w:tcW w:w="2665" w:type="dxa"/>
            <w:tcBorders>
              <w:top w:val="outset" w:color="auto" w:sz="6" w:space="0"/>
              <w:left w:val="outset" w:color="auto" w:sz="6" w:space="0"/>
              <w:bottom w:val="outset" w:color="auto" w:sz="6" w:space="0"/>
              <w:right w:val="outset" w:color="auto" w:sz="6" w:space="0"/>
            </w:tcBorders>
            <w:vAlign w:val="center"/>
          </w:tcPr>
          <w:p w14:paraId="2BA28035">
            <w:pPr>
              <w:spacing w:line="320" w:lineRule="exact"/>
              <w:jc w:val="left"/>
              <w:rPr>
                <w:rFonts w:asciiTheme="minorEastAsia" w:hAnsiTheme="minorEastAsia" w:eastAsiaTheme="minorEastAsia"/>
              </w:rPr>
            </w:pPr>
            <w:r>
              <w:rPr>
                <w:rFonts w:hint="eastAsia" w:asciiTheme="minorEastAsia" w:hAnsiTheme="minorEastAsia" w:eastAsiaTheme="minorEastAsia"/>
              </w:rPr>
              <w:t>基本资格条件的承诺</w:t>
            </w:r>
          </w:p>
        </w:tc>
        <w:tc>
          <w:tcPr>
            <w:tcW w:w="4964" w:type="dxa"/>
            <w:tcBorders>
              <w:top w:val="outset" w:color="auto" w:sz="6" w:space="0"/>
              <w:left w:val="outset" w:color="auto" w:sz="6" w:space="0"/>
              <w:bottom w:val="outset" w:color="auto" w:sz="6" w:space="0"/>
              <w:right w:val="outset" w:color="auto" w:sz="6" w:space="0"/>
            </w:tcBorders>
            <w:vAlign w:val="center"/>
          </w:tcPr>
          <w:p w14:paraId="595DE899">
            <w:pPr>
              <w:spacing w:line="320" w:lineRule="exact"/>
              <w:jc w:val="left"/>
              <w:rPr>
                <w:rFonts w:asciiTheme="minorEastAsia" w:hAnsiTheme="minorEastAsia" w:eastAsiaTheme="minorEastAsia"/>
              </w:rPr>
            </w:pPr>
            <w:r>
              <w:rPr>
                <w:rFonts w:hint="eastAsia" w:asciiTheme="minorEastAsia" w:hAnsiTheme="minorEastAsia" w:eastAsiaTheme="minorEastAsia"/>
              </w:rPr>
              <w:t>根据供应商提供的承诺函，内容完整且具有法人及法定代表人的印章。（内容及格式参照第六章）</w:t>
            </w:r>
          </w:p>
        </w:tc>
      </w:tr>
      <w:tr w14:paraId="30E1561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87" w:hRule="atLeast"/>
          <w:jc w:val="center"/>
        </w:trPr>
        <w:tc>
          <w:tcPr>
            <w:tcW w:w="546" w:type="dxa"/>
            <w:vMerge w:val="continue"/>
            <w:tcBorders>
              <w:left w:val="outset" w:color="auto" w:sz="6" w:space="0"/>
              <w:right w:val="outset" w:color="auto" w:sz="6" w:space="0"/>
            </w:tcBorders>
            <w:vAlign w:val="center"/>
          </w:tcPr>
          <w:p w14:paraId="029855C4">
            <w:pPr>
              <w:jc w:val="center"/>
              <w:rPr>
                <w:rFonts w:asciiTheme="minorEastAsia" w:hAnsiTheme="minorEastAsia" w:eastAsiaTheme="minorEastAsia"/>
              </w:rPr>
            </w:pPr>
          </w:p>
        </w:tc>
        <w:tc>
          <w:tcPr>
            <w:tcW w:w="534" w:type="dxa"/>
            <w:vMerge w:val="continue"/>
            <w:tcBorders>
              <w:left w:val="outset" w:color="auto" w:sz="6" w:space="0"/>
              <w:right w:val="outset" w:color="auto" w:sz="6" w:space="0"/>
            </w:tcBorders>
            <w:vAlign w:val="center"/>
          </w:tcPr>
          <w:p w14:paraId="21332B2A">
            <w:pPr>
              <w:jc w:val="left"/>
              <w:rPr>
                <w:rFonts w:asciiTheme="minorEastAsia" w:hAnsiTheme="minorEastAsia" w:eastAsiaTheme="minorEastAsia"/>
              </w:rPr>
            </w:pPr>
          </w:p>
        </w:tc>
        <w:tc>
          <w:tcPr>
            <w:tcW w:w="2665" w:type="dxa"/>
            <w:tcBorders>
              <w:top w:val="outset" w:color="auto" w:sz="6" w:space="0"/>
              <w:left w:val="outset" w:color="auto" w:sz="6" w:space="0"/>
              <w:bottom w:val="outset" w:color="auto" w:sz="6" w:space="0"/>
              <w:right w:val="outset" w:color="auto" w:sz="6" w:space="0"/>
            </w:tcBorders>
            <w:vAlign w:val="center"/>
          </w:tcPr>
          <w:p w14:paraId="0C7BC550">
            <w:pPr>
              <w:spacing w:line="320" w:lineRule="exact"/>
              <w:jc w:val="left"/>
              <w:rPr>
                <w:rFonts w:asciiTheme="minorEastAsia" w:hAnsiTheme="minorEastAsia" w:eastAsiaTheme="minorEastAsia"/>
              </w:rPr>
            </w:pPr>
            <w:r>
              <w:rPr>
                <w:rFonts w:hint="eastAsia" w:asciiTheme="minorEastAsia" w:hAnsiTheme="minorEastAsia" w:eastAsiaTheme="minorEastAsia"/>
              </w:rPr>
              <w:t>招标人根据本项目特点，要求投标人具备的条件</w:t>
            </w:r>
          </w:p>
        </w:tc>
        <w:tc>
          <w:tcPr>
            <w:tcW w:w="4964" w:type="dxa"/>
            <w:tcBorders>
              <w:top w:val="outset" w:color="auto" w:sz="6" w:space="0"/>
              <w:left w:val="outset" w:color="auto" w:sz="6" w:space="0"/>
              <w:bottom w:val="outset" w:color="auto" w:sz="6" w:space="0"/>
              <w:right w:val="outset" w:color="auto" w:sz="6" w:space="0"/>
            </w:tcBorders>
            <w:vAlign w:val="center"/>
          </w:tcPr>
          <w:p w14:paraId="12134CF3">
            <w:pPr>
              <w:spacing w:line="380" w:lineRule="exact"/>
              <w:jc w:val="left"/>
              <w:rPr>
                <w:rFonts w:asciiTheme="minorEastAsia" w:hAnsiTheme="minorEastAsia" w:eastAsiaTheme="minorEastAsia"/>
              </w:rPr>
            </w:pPr>
            <w:r>
              <w:rPr>
                <w:rFonts w:hint="eastAsia"/>
              </w:rPr>
              <w:t>供应商或其下属单位具有检测实验室证明，实验室获得CMA资质，需提供相关证明材料复印件加盖投标单位公章。</w:t>
            </w:r>
          </w:p>
        </w:tc>
      </w:tr>
      <w:tr w14:paraId="442B2D6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08" w:hRule="atLeast"/>
          <w:jc w:val="center"/>
        </w:trPr>
        <w:tc>
          <w:tcPr>
            <w:tcW w:w="8709" w:type="dxa"/>
            <w:gridSpan w:val="4"/>
            <w:tcBorders>
              <w:top w:val="outset" w:color="auto" w:sz="6" w:space="0"/>
              <w:left w:val="outset" w:color="auto" w:sz="6" w:space="0"/>
              <w:bottom w:val="outset" w:color="auto" w:sz="6" w:space="0"/>
              <w:right w:val="outset" w:color="auto" w:sz="6" w:space="0"/>
            </w:tcBorders>
            <w:vAlign w:val="center"/>
          </w:tcPr>
          <w:p w14:paraId="4B4AD523">
            <w:pPr>
              <w:spacing w:line="460" w:lineRule="exact"/>
              <w:jc w:val="center"/>
              <w:rPr>
                <w:rFonts w:asciiTheme="minorEastAsia" w:hAnsiTheme="minorEastAsia" w:eastAsiaTheme="minorEastAsia"/>
                <w:b/>
                <w:spacing w:val="-14"/>
              </w:rPr>
            </w:pPr>
            <w:r>
              <w:rPr>
                <w:rFonts w:hint="eastAsia" w:asciiTheme="minorEastAsia" w:hAnsiTheme="minorEastAsia" w:eastAsiaTheme="minorEastAsia"/>
                <w:b/>
                <w:spacing w:val="-14"/>
              </w:rPr>
              <w:t>1.2项评审内容由采购人负责，投标文件不符合1.2项评审标准的，作无效标处理。</w:t>
            </w:r>
          </w:p>
        </w:tc>
      </w:tr>
      <w:tr w14:paraId="1DEB9A8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46" w:type="dxa"/>
            <w:vMerge w:val="restart"/>
            <w:tcBorders>
              <w:top w:val="outset" w:color="auto" w:sz="6" w:space="0"/>
              <w:left w:val="outset" w:color="auto" w:sz="6" w:space="0"/>
              <w:bottom w:val="outset" w:color="auto" w:sz="6" w:space="0"/>
              <w:right w:val="outset" w:color="auto" w:sz="6" w:space="0"/>
            </w:tcBorders>
            <w:vAlign w:val="center"/>
          </w:tcPr>
          <w:p w14:paraId="675CDDE1">
            <w:pPr>
              <w:spacing w:line="360" w:lineRule="exact"/>
              <w:jc w:val="center"/>
              <w:rPr>
                <w:rFonts w:asciiTheme="minorEastAsia" w:hAnsiTheme="minorEastAsia" w:eastAsiaTheme="minorEastAsia"/>
              </w:rPr>
            </w:pPr>
            <w:r>
              <w:rPr>
                <w:rFonts w:hint="eastAsia" w:asciiTheme="minorEastAsia" w:hAnsiTheme="minorEastAsia" w:eastAsiaTheme="minorEastAsia"/>
                <w:spacing w:val="-14"/>
              </w:rPr>
              <w:t>2.2.2</w:t>
            </w:r>
          </w:p>
        </w:tc>
        <w:tc>
          <w:tcPr>
            <w:tcW w:w="534" w:type="dxa"/>
            <w:vMerge w:val="restart"/>
            <w:tcBorders>
              <w:top w:val="outset" w:color="auto" w:sz="6" w:space="0"/>
              <w:left w:val="outset" w:color="auto" w:sz="6" w:space="0"/>
              <w:bottom w:val="outset" w:color="auto" w:sz="6" w:space="0"/>
              <w:right w:val="outset" w:color="auto" w:sz="6" w:space="0"/>
            </w:tcBorders>
            <w:vAlign w:val="center"/>
          </w:tcPr>
          <w:p w14:paraId="39351206">
            <w:pPr>
              <w:jc w:val="center"/>
              <w:rPr>
                <w:rFonts w:asciiTheme="minorEastAsia" w:hAnsiTheme="minorEastAsia" w:eastAsiaTheme="minorEastAsia"/>
              </w:rPr>
            </w:pPr>
            <w:r>
              <w:rPr>
                <w:rFonts w:hint="eastAsia" w:asciiTheme="minorEastAsia" w:hAnsiTheme="minorEastAsia" w:eastAsiaTheme="minorEastAsia"/>
              </w:rPr>
              <w:t>符</w:t>
            </w:r>
          </w:p>
          <w:p w14:paraId="56D8E5CA">
            <w:pPr>
              <w:jc w:val="center"/>
              <w:rPr>
                <w:rFonts w:asciiTheme="minorEastAsia" w:hAnsiTheme="minorEastAsia" w:eastAsiaTheme="minorEastAsia"/>
              </w:rPr>
            </w:pPr>
            <w:r>
              <w:rPr>
                <w:rFonts w:hint="eastAsia" w:asciiTheme="minorEastAsia" w:hAnsiTheme="minorEastAsia" w:eastAsiaTheme="minorEastAsia"/>
              </w:rPr>
              <w:t>合</w:t>
            </w:r>
          </w:p>
          <w:p w14:paraId="4A3C0F10">
            <w:pPr>
              <w:jc w:val="center"/>
              <w:rPr>
                <w:rFonts w:asciiTheme="minorEastAsia" w:hAnsiTheme="minorEastAsia" w:eastAsiaTheme="minorEastAsia"/>
              </w:rPr>
            </w:pPr>
            <w:r>
              <w:rPr>
                <w:rFonts w:hint="eastAsia" w:asciiTheme="minorEastAsia" w:hAnsiTheme="minorEastAsia" w:eastAsiaTheme="minorEastAsia"/>
              </w:rPr>
              <w:t>性</w:t>
            </w:r>
          </w:p>
          <w:p w14:paraId="5228BA4F">
            <w:pPr>
              <w:jc w:val="center"/>
              <w:rPr>
                <w:rFonts w:asciiTheme="minorEastAsia" w:hAnsiTheme="minorEastAsia" w:eastAsiaTheme="minorEastAsia"/>
              </w:rPr>
            </w:pPr>
            <w:r>
              <w:rPr>
                <w:rFonts w:hint="eastAsia" w:asciiTheme="minorEastAsia" w:hAnsiTheme="minorEastAsia" w:eastAsiaTheme="minorEastAsia"/>
              </w:rPr>
              <w:t>评</w:t>
            </w:r>
          </w:p>
          <w:p w14:paraId="3AD0547E">
            <w:pPr>
              <w:jc w:val="center"/>
              <w:rPr>
                <w:rFonts w:asciiTheme="minorEastAsia" w:hAnsiTheme="minorEastAsia" w:eastAsiaTheme="minorEastAsia"/>
              </w:rPr>
            </w:pPr>
            <w:r>
              <w:rPr>
                <w:rFonts w:hint="eastAsia" w:asciiTheme="minorEastAsia" w:hAnsiTheme="minorEastAsia" w:eastAsiaTheme="minorEastAsia"/>
              </w:rPr>
              <w:t>审</w:t>
            </w:r>
          </w:p>
        </w:tc>
        <w:tc>
          <w:tcPr>
            <w:tcW w:w="2665" w:type="dxa"/>
            <w:tcBorders>
              <w:top w:val="outset" w:color="auto" w:sz="6" w:space="0"/>
              <w:left w:val="outset" w:color="auto" w:sz="6" w:space="0"/>
              <w:bottom w:val="outset" w:color="auto" w:sz="6" w:space="0"/>
              <w:right w:val="outset" w:color="auto" w:sz="6" w:space="0"/>
            </w:tcBorders>
            <w:vAlign w:val="center"/>
          </w:tcPr>
          <w:p w14:paraId="306CF2E3">
            <w:pPr>
              <w:spacing w:line="380" w:lineRule="exact"/>
              <w:jc w:val="left"/>
              <w:rPr>
                <w:rFonts w:asciiTheme="minorEastAsia" w:hAnsiTheme="minorEastAsia" w:eastAsiaTheme="minorEastAsia"/>
              </w:rPr>
            </w:pPr>
            <w:r>
              <w:rPr>
                <w:rFonts w:hint="eastAsia" w:asciiTheme="minorEastAsia" w:hAnsiTheme="minorEastAsia" w:eastAsiaTheme="minorEastAsia"/>
              </w:rPr>
              <w:t>投标文件的签署</w:t>
            </w:r>
          </w:p>
        </w:tc>
        <w:tc>
          <w:tcPr>
            <w:tcW w:w="4964" w:type="dxa"/>
            <w:tcBorders>
              <w:top w:val="outset" w:color="auto" w:sz="6" w:space="0"/>
              <w:left w:val="outset" w:color="auto" w:sz="6" w:space="0"/>
              <w:bottom w:val="outset" w:color="auto" w:sz="6" w:space="0"/>
              <w:right w:val="outset" w:color="auto" w:sz="6" w:space="0"/>
            </w:tcBorders>
            <w:vAlign w:val="center"/>
          </w:tcPr>
          <w:p w14:paraId="7B99AE3A">
            <w:pPr>
              <w:spacing w:line="380" w:lineRule="exact"/>
              <w:jc w:val="left"/>
              <w:rPr>
                <w:rFonts w:asciiTheme="minorEastAsia" w:hAnsiTheme="minorEastAsia" w:eastAsiaTheme="minorEastAsia"/>
              </w:rPr>
            </w:pPr>
            <w:r>
              <w:rPr>
                <w:rFonts w:hint="eastAsia" w:asciiTheme="minorEastAsia" w:hAnsiTheme="minorEastAsia" w:eastAsiaTheme="minorEastAsia"/>
              </w:rPr>
              <w:t>符合第二章第3.4.4项规定</w:t>
            </w:r>
          </w:p>
        </w:tc>
      </w:tr>
      <w:tr w14:paraId="313C556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717C8E7F">
            <w:pPr>
              <w:jc w:val="center"/>
              <w:rPr>
                <w:rFonts w:asciiTheme="minorEastAsia" w:hAnsiTheme="minorEastAsia" w:eastAsiaTheme="minorEastAsia"/>
              </w:rPr>
            </w:pPr>
          </w:p>
        </w:tc>
        <w:tc>
          <w:tcPr>
            <w:tcW w:w="534" w:type="dxa"/>
            <w:vMerge w:val="continue"/>
            <w:tcBorders>
              <w:top w:val="outset" w:color="auto" w:sz="6" w:space="0"/>
              <w:left w:val="outset" w:color="auto" w:sz="6" w:space="0"/>
              <w:bottom w:val="outset" w:color="auto" w:sz="6" w:space="0"/>
              <w:right w:val="outset" w:color="auto" w:sz="6" w:space="0"/>
            </w:tcBorders>
            <w:vAlign w:val="center"/>
          </w:tcPr>
          <w:p w14:paraId="2AC6DF14">
            <w:pPr>
              <w:jc w:val="left"/>
              <w:rPr>
                <w:rFonts w:asciiTheme="minorEastAsia" w:hAnsiTheme="minorEastAsia" w:eastAsiaTheme="minorEastAsia"/>
              </w:rPr>
            </w:pPr>
          </w:p>
        </w:tc>
        <w:tc>
          <w:tcPr>
            <w:tcW w:w="2665" w:type="dxa"/>
            <w:tcBorders>
              <w:top w:val="outset" w:color="auto" w:sz="6" w:space="0"/>
              <w:left w:val="outset" w:color="auto" w:sz="6" w:space="0"/>
              <w:bottom w:val="outset" w:color="auto" w:sz="6" w:space="0"/>
              <w:right w:val="outset" w:color="auto" w:sz="6" w:space="0"/>
            </w:tcBorders>
            <w:vAlign w:val="center"/>
          </w:tcPr>
          <w:p w14:paraId="1DD6BC4C">
            <w:pPr>
              <w:spacing w:line="380" w:lineRule="exact"/>
              <w:jc w:val="left"/>
              <w:rPr>
                <w:rFonts w:asciiTheme="minorEastAsia" w:hAnsiTheme="minorEastAsia" w:eastAsiaTheme="minorEastAsia"/>
              </w:rPr>
            </w:pPr>
            <w:r>
              <w:rPr>
                <w:rFonts w:hint="eastAsia" w:asciiTheme="minorEastAsia" w:hAnsiTheme="minorEastAsia" w:eastAsiaTheme="minorEastAsia"/>
              </w:rPr>
              <w:t>报价</w:t>
            </w:r>
          </w:p>
        </w:tc>
        <w:tc>
          <w:tcPr>
            <w:tcW w:w="4964" w:type="dxa"/>
            <w:tcBorders>
              <w:top w:val="outset" w:color="auto" w:sz="6" w:space="0"/>
              <w:left w:val="outset" w:color="auto" w:sz="6" w:space="0"/>
              <w:bottom w:val="outset" w:color="auto" w:sz="6" w:space="0"/>
              <w:right w:val="outset" w:color="auto" w:sz="6" w:space="0"/>
            </w:tcBorders>
            <w:vAlign w:val="center"/>
          </w:tcPr>
          <w:p w14:paraId="7EC646B2">
            <w:pPr>
              <w:spacing w:line="320" w:lineRule="exact"/>
              <w:jc w:val="left"/>
              <w:rPr>
                <w:rFonts w:asciiTheme="minorEastAsia" w:hAnsiTheme="minorEastAsia" w:eastAsiaTheme="minorEastAsia"/>
              </w:rPr>
            </w:pPr>
            <w:r>
              <w:rPr>
                <w:rFonts w:hint="eastAsia" w:asciiTheme="minorEastAsia" w:hAnsiTheme="minorEastAsia" w:eastAsiaTheme="minorEastAsia"/>
              </w:rPr>
              <w:t>有且只有一个有效报价；未超过采购预算或最高限价；</w:t>
            </w:r>
          </w:p>
        </w:tc>
      </w:tr>
      <w:tr w14:paraId="613A4C8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39897C0F">
            <w:pPr>
              <w:jc w:val="center"/>
              <w:rPr>
                <w:rFonts w:asciiTheme="minorEastAsia" w:hAnsiTheme="minorEastAsia" w:eastAsiaTheme="minorEastAsia"/>
              </w:rPr>
            </w:pPr>
          </w:p>
        </w:tc>
        <w:tc>
          <w:tcPr>
            <w:tcW w:w="534" w:type="dxa"/>
            <w:vMerge w:val="continue"/>
            <w:tcBorders>
              <w:top w:val="outset" w:color="auto" w:sz="6" w:space="0"/>
              <w:left w:val="outset" w:color="auto" w:sz="6" w:space="0"/>
              <w:bottom w:val="outset" w:color="auto" w:sz="6" w:space="0"/>
              <w:right w:val="outset" w:color="auto" w:sz="6" w:space="0"/>
            </w:tcBorders>
            <w:vAlign w:val="center"/>
          </w:tcPr>
          <w:p w14:paraId="341FA692">
            <w:pPr>
              <w:jc w:val="left"/>
              <w:rPr>
                <w:rFonts w:asciiTheme="minorEastAsia" w:hAnsiTheme="minorEastAsia" w:eastAsiaTheme="minorEastAsia"/>
              </w:rPr>
            </w:pPr>
          </w:p>
        </w:tc>
        <w:tc>
          <w:tcPr>
            <w:tcW w:w="2665" w:type="dxa"/>
            <w:tcBorders>
              <w:top w:val="outset" w:color="auto" w:sz="6" w:space="0"/>
              <w:left w:val="outset" w:color="auto" w:sz="6" w:space="0"/>
              <w:bottom w:val="outset" w:color="auto" w:sz="6" w:space="0"/>
              <w:right w:val="outset" w:color="auto" w:sz="6" w:space="0"/>
            </w:tcBorders>
            <w:vAlign w:val="center"/>
          </w:tcPr>
          <w:p w14:paraId="735AAB4A">
            <w:pPr>
              <w:spacing w:line="380" w:lineRule="exact"/>
              <w:jc w:val="left"/>
              <w:rPr>
                <w:rFonts w:asciiTheme="minorEastAsia" w:hAnsiTheme="minorEastAsia" w:eastAsiaTheme="minorEastAsia"/>
              </w:rPr>
            </w:pPr>
            <w:r>
              <w:rPr>
                <w:rFonts w:hint="eastAsia" w:asciiTheme="minorEastAsia" w:hAnsiTheme="minorEastAsia" w:eastAsiaTheme="minorEastAsia"/>
              </w:rPr>
              <w:t>合同履行期限（合同工期）</w:t>
            </w:r>
          </w:p>
        </w:tc>
        <w:tc>
          <w:tcPr>
            <w:tcW w:w="4964" w:type="dxa"/>
            <w:tcBorders>
              <w:top w:val="outset" w:color="auto" w:sz="6" w:space="0"/>
              <w:left w:val="outset" w:color="auto" w:sz="6" w:space="0"/>
              <w:bottom w:val="outset" w:color="auto" w:sz="6" w:space="0"/>
              <w:right w:val="outset" w:color="auto" w:sz="6" w:space="0"/>
            </w:tcBorders>
            <w:vAlign w:val="center"/>
          </w:tcPr>
          <w:p w14:paraId="243568C8">
            <w:pPr>
              <w:spacing w:line="380" w:lineRule="exact"/>
              <w:jc w:val="left"/>
              <w:rPr>
                <w:rFonts w:asciiTheme="minorEastAsia" w:hAnsiTheme="minorEastAsia" w:eastAsiaTheme="minorEastAsia"/>
              </w:rPr>
            </w:pPr>
            <w:r>
              <w:rPr>
                <w:rFonts w:hint="eastAsia" w:asciiTheme="minorEastAsia" w:hAnsiTheme="minorEastAsia" w:eastAsiaTheme="minorEastAsia"/>
              </w:rPr>
              <w:t>符合第二章第</w:t>
            </w:r>
            <w:r>
              <w:rPr>
                <w:rFonts w:asciiTheme="minorEastAsia" w:hAnsiTheme="minorEastAsia" w:eastAsiaTheme="minorEastAsia"/>
              </w:rPr>
              <w:t>1.3.2</w:t>
            </w:r>
            <w:r>
              <w:rPr>
                <w:rFonts w:hint="eastAsia" w:asciiTheme="minorEastAsia" w:hAnsiTheme="minorEastAsia" w:eastAsiaTheme="minorEastAsia"/>
              </w:rPr>
              <w:t>项规定</w:t>
            </w:r>
          </w:p>
        </w:tc>
      </w:tr>
      <w:tr w14:paraId="2B339FF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10"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4FF1516E">
            <w:pPr>
              <w:jc w:val="center"/>
              <w:rPr>
                <w:rFonts w:asciiTheme="minorEastAsia" w:hAnsiTheme="minorEastAsia" w:eastAsiaTheme="minorEastAsia"/>
              </w:rPr>
            </w:pPr>
          </w:p>
        </w:tc>
        <w:tc>
          <w:tcPr>
            <w:tcW w:w="534" w:type="dxa"/>
            <w:vMerge w:val="continue"/>
            <w:tcBorders>
              <w:top w:val="outset" w:color="auto" w:sz="6" w:space="0"/>
              <w:left w:val="outset" w:color="auto" w:sz="6" w:space="0"/>
              <w:bottom w:val="outset" w:color="auto" w:sz="6" w:space="0"/>
              <w:right w:val="outset" w:color="auto" w:sz="6" w:space="0"/>
            </w:tcBorders>
            <w:vAlign w:val="center"/>
          </w:tcPr>
          <w:p w14:paraId="479DB11D">
            <w:pPr>
              <w:jc w:val="left"/>
              <w:rPr>
                <w:rFonts w:asciiTheme="minorEastAsia" w:hAnsiTheme="minorEastAsia" w:eastAsiaTheme="minorEastAsia"/>
              </w:rPr>
            </w:pPr>
          </w:p>
        </w:tc>
        <w:tc>
          <w:tcPr>
            <w:tcW w:w="2665" w:type="dxa"/>
            <w:tcBorders>
              <w:top w:val="outset" w:color="auto" w:sz="6" w:space="0"/>
              <w:left w:val="outset" w:color="auto" w:sz="6" w:space="0"/>
              <w:bottom w:val="outset" w:color="auto" w:sz="6" w:space="0"/>
              <w:right w:val="outset" w:color="auto" w:sz="6" w:space="0"/>
            </w:tcBorders>
            <w:vAlign w:val="center"/>
          </w:tcPr>
          <w:p w14:paraId="3240D120">
            <w:pPr>
              <w:spacing w:line="380" w:lineRule="exact"/>
              <w:jc w:val="left"/>
              <w:rPr>
                <w:rFonts w:asciiTheme="minorEastAsia" w:hAnsiTheme="minorEastAsia" w:eastAsiaTheme="minorEastAsia"/>
              </w:rPr>
            </w:pPr>
            <w:r>
              <w:rPr>
                <w:rFonts w:hint="eastAsia" w:asciiTheme="minorEastAsia" w:hAnsiTheme="minorEastAsia" w:eastAsiaTheme="minorEastAsia"/>
              </w:rPr>
              <w:t>投标有效期</w:t>
            </w:r>
          </w:p>
        </w:tc>
        <w:tc>
          <w:tcPr>
            <w:tcW w:w="4964" w:type="dxa"/>
            <w:tcBorders>
              <w:top w:val="outset" w:color="auto" w:sz="6" w:space="0"/>
              <w:left w:val="outset" w:color="auto" w:sz="6" w:space="0"/>
              <w:bottom w:val="outset" w:color="auto" w:sz="6" w:space="0"/>
              <w:right w:val="outset" w:color="auto" w:sz="6" w:space="0"/>
            </w:tcBorders>
            <w:vAlign w:val="center"/>
          </w:tcPr>
          <w:p w14:paraId="3FFA78D5">
            <w:pPr>
              <w:spacing w:line="380" w:lineRule="exact"/>
              <w:jc w:val="left"/>
              <w:rPr>
                <w:rFonts w:asciiTheme="minorEastAsia" w:hAnsiTheme="minorEastAsia" w:eastAsiaTheme="minorEastAsia"/>
              </w:rPr>
            </w:pPr>
            <w:r>
              <w:rPr>
                <w:rFonts w:hint="eastAsia" w:asciiTheme="minorEastAsia" w:hAnsiTheme="minorEastAsia" w:eastAsiaTheme="minorEastAsia"/>
              </w:rPr>
              <w:t>符合第二章第</w:t>
            </w:r>
            <w:r>
              <w:rPr>
                <w:rFonts w:asciiTheme="minorEastAsia" w:hAnsiTheme="minorEastAsia" w:eastAsiaTheme="minorEastAsia"/>
              </w:rPr>
              <w:t>3.3.1</w:t>
            </w:r>
            <w:r>
              <w:rPr>
                <w:rFonts w:hint="eastAsia" w:asciiTheme="minorEastAsia" w:hAnsiTheme="minorEastAsia" w:eastAsiaTheme="minorEastAsia"/>
              </w:rPr>
              <w:t>项规定</w:t>
            </w:r>
          </w:p>
        </w:tc>
      </w:tr>
      <w:tr w14:paraId="3185DD1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46"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593B1292">
            <w:pPr>
              <w:jc w:val="left"/>
              <w:rPr>
                <w:rFonts w:asciiTheme="minorEastAsia" w:hAnsiTheme="minorEastAsia" w:eastAsiaTheme="minorEastAsia"/>
              </w:rPr>
            </w:pPr>
          </w:p>
        </w:tc>
        <w:tc>
          <w:tcPr>
            <w:tcW w:w="534" w:type="dxa"/>
            <w:vMerge w:val="continue"/>
            <w:tcBorders>
              <w:top w:val="outset" w:color="auto" w:sz="6" w:space="0"/>
              <w:left w:val="outset" w:color="auto" w:sz="6" w:space="0"/>
              <w:bottom w:val="outset" w:color="auto" w:sz="6" w:space="0"/>
              <w:right w:val="outset" w:color="auto" w:sz="6" w:space="0"/>
            </w:tcBorders>
            <w:vAlign w:val="center"/>
          </w:tcPr>
          <w:p w14:paraId="0F37D938">
            <w:pPr>
              <w:jc w:val="left"/>
              <w:rPr>
                <w:rFonts w:asciiTheme="minorEastAsia" w:hAnsiTheme="minorEastAsia" w:eastAsiaTheme="minorEastAsia"/>
              </w:rPr>
            </w:pPr>
          </w:p>
        </w:tc>
        <w:tc>
          <w:tcPr>
            <w:tcW w:w="2665" w:type="dxa"/>
            <w:tcBorders>
              <w:top w:val="outset" w:color="auto" w:sz="6" w:space="0"/>
              <w:left w:val="outset" w:color="auto" w:sz="6" w:space="0"/>
              <w:bottom w:val="outset" w:color="auto" w:sz="6" w:space="0"/>
              <w:right w:val="outset" w:color="auto" w:sz="6" w:space="0"/>
            </w:tcBorders>
            <w:vAlign w:val="center"/>
          </w:tcPr>
          <w:p w14:paraId="30D0EB54">
            <w:pPr>
              <w:spacing w:line="380" w:lineRule="exact"/>
              <w:jc w:val="left"/>
              <w:rPr>
                <w:rFonts w:asciiTheme="minorEastAsia" w:hAnsiTheme="minorEastAsia" w:eastAsiaTheme="minorEastAsia"/>
              </w:rPr>
            </w:pPr>
            <w:r>
              <w:rPr>
                <w:rFonts w:hint="eastAsia" w:asciiTheme="minorEastAsia" w:hAnsiTheme="minorEastAsia" w:eastAsiaTheme="minorEastAsia"/>
              </w:rPr>
              <w:t>偏离</w:t>
            </w:r>
          </w:p>
        </w:tc>
        <w:tc>
          <w:tcPr>
            <w:tcW w:w="4964" w:type="dxa"/>
            <w:tcBorders>
              <w:top w:val="outset" w:color="auto" w:sz="6" w:space="0"/>
              <w:left w:val="outset" w:color="auto" w:sz="6" w:space="0"/>
              <w:bottom w:val="outset" w:color="auto" w:sz="6" w:space="0"/>
              <w:right w:val="outset" w:color="auto" w:sz="6" w:space="0"/>
            </w:tcBorders>
            <w:vAlign w:val="center"/>
          </w:tcPr>
          <w:p w14:paraId="67D080CD">
            <w:pPr>
              <w:spacing w:line="380" w:lineRule="exact"/>
              <w:jc w:val="left"/>
              <w:rPr>
                <w:rFonts w:asciiTheme="minorEastAsia" w:hAnsiTheme="minorEastAsia" w:eastAsiaTheme="minorEastAsia"/>
              </w:rPr>
            </w:pPr>
            <w:r>
              <w:rPr>
                <w:rFonts w:hint="eastAsia" w:asciiTheme="minorEastAsia" w:hAnsiTheme="minorEastAsia" w:eastAsiaTheme="minorEastAsia"/>
              </w:rPr>
              <w:t>符合第二章“投标人须知”第</w:t>
            </w:r>
            <w:r>
              <w:rPr>
                <w:rFonts w:asciiTheme="minorEastAsia" w:hAnsiTheme="minorEastAsia" w:eastAsiaTheme="minorEastAsia"/>
              </w:rPr>
              <w:t>1.</w:t>
            </w:r>
            <w:r>
              <w:rPr>
                <w:rFonts w:hint="eastAsia" w:asciiTheme="minorEastAsia" w:hAnsiTheme="minorEastAsia" w:eastAsiaTheme="minorEastAsia"/>
              </w:rPr>
              <w:t>8项规定</w:t>
            </w:r>
          </w:p>
        </w:tc>
      </w:tr>
      <w:tr w14:paraId="2DDAFD4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78" w:hRule="atLeast"/>
          <w:jc w:val="center"/>
        </w:trPr>
        <w:tc>
          <w:tcPr>
            <w:tcW w:w="8709" w:type="dxa"/>
            <w:gridSpan w:val="4"/>
            <w:tcBorders>
              <w:top w:val="outset" w:color="auto" w:sz="6" w:space="0"/>
              <w:left w:val="outset" w:color="auto" w:sz="6" w:space="0"/>
              <w:bottom w:val="outset" w:color="auto" w:sz="6" w:space="0"/>
              <w:right w:val="outset" w:color="auto" w:sz="6" w:space="0"/>
            </w:tcBorders>
            <w:vAlign w:val="center"/>
          </w:tcPr>
          <w:p w14:paraId="6875C510">
            <w:pPr>
              <w:spacing w:line="460" w:lineRule="exact"/>
              <w:jc w:val="center"/>
              <w:rPr>
                <w:rFonts w:asciiTheme="minorEastAsia" w:hAnsiTheme="minorEastAsia" w:eastAsiaTheme="minorEastAsia"/>
                <w:spacing w:val="-18"/>
              </w:rPr>
            </w:pPr>
            <w:r>
              <w:rPr>
                <w:rFonts w:hint="eastAsia" w:asciiTheme="minorEastAsia" w:hAnsiTheme="minorEastAsia" w:eastAsiaTheme="minorEastAsia"/>
                <w:b/>
                <w:spacing w:val="-14"/>
              </w:rPr>
              <w:t>2.2.2项评审内容由评标委员会负责，投标文件不符合2.2.2项评审标准的，作无效标处理。</w:t>
            </w:r>
          </w:p>
        </w:tc>
      </w:tr>
      <w:tr w14:paraId="2E47864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276" w:hRule="atLeast"/>
          <w:jc w:val="center"/>
        </w:trPr>
        <w:tc>
          <w:tcPr>
            <w:tcW w:w="8709" w:type="dxa"/>
            <w:gridSpan w:val="4"/>
            <w:tcBorders>
              <w:top w:val="outset" w:color="auto" w:sz="6" w:space="0"/>
              <w:left w:val="outset" w:color="auto" w:sz="6" w:space="0"/>
              <w:bottom w:val="outset" w:color="auto" w:sz="6" w:space="0"/>
              <w:right w:val="outset" w:color="auto" w:sz="6" w:space="0"/>
            </w:tcBorders>
            <w:vAlign w:val="center"/>
          </w:tcPr>
          <w:p w14:paraId="12CBF80F">
            <w:pPr>
              <w:spacing w:line="320" w:lineRule="exact"/>
              <w:jc w:val="center"/>
              <w:rPr>
                <w:rFonts w:ascii="宋体"/>
                <w:b/>
              </w:rPr>
            </w:pPr>
            <w:r>
              <w:rPr>
                <w:rFonts w:hint="eastAsia" w:ascii="宋体"/>
                <w:b/>
              </w:rPr>
              <w:t>2.3详细评审</w:t>
            </w:r>
          </w:p>
        </w:tc>
      </w:tr>
      <w:tr w14:paraId="33EEE10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276" w:hRule="atLeast"/>
          <w:jc w:val="center"/>
        </w:trPr>
        <w:tc>
          <w:tcPr>
            <w:tcW w:w="8709" w:type="dxa"/>
            <w:gridSpan w:val="4"/>
            <w:tcBorders>
              <w:top w:val="outset" w:color="auto" w:sz="6" w:space="0"/>
              <w:left w:val="outset" w:color="auto" w:sz="6" w:space="0"/>
              <w:bottom w:val="outset" w:color="auto" w:sz="6" w:space="0"/>
              <w:right w:val="outset" w:color="auto" w:sz="6" w:space="0"/>
            </w:tcBorders>
            <w:vAlign w:val="center"/>
          </w:tcPr>
          <w:tbl>
            <w:tblPr>
              <w:tblStyle w:val="22"/>
              <w:tblpPr w:leftFromText="180" w:rightFromText="180" w:vertAnchor="text" w:horzAnchor="margin" w:tblpXSpec="center" w:tblpY="3"/>
              <w:tblOverlap w:val="never"/>
              <w:tblW w:w="94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9"/>
              <w:gridCol w:w="816"/>
              <w:gridCol w:w="1064"/>
              <w:gridCol w:w="6799"/>
            </w:tblGrid>
            <w:tr w14:paraId="00C85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617" w:type="dxa"/>
                  <w:gridSpan w:val="2"/>
                  <w:tcBorders>
                    <w:top w:val="single" w:color="auto" w:sz="4" w:space="0"/>
                    <w:left w:val="single" w:color="auto" w:sz="4" w:space="0"/>
                    <w:bottom w:val="single" w:color="auto" w:sz="4" w:space="0"/>
                    <w:right w:val="single" w:color="auto" w:sz="4" w:space="0"/>
                  </w:tcBorders>
                  <w:vAlign w:val="center"/>
                </w:tcPr>
                <w:p w14:paraId="055FA2C8">
                  <w:pPr>
                    <w:jc w:val="center"/>
                    <w:rPr>
                      <w:rFonts w:ascii="宋体" w:hAnsi="宋体"/>
                      <w:b/>
                      <w:bCs/>
                    </w:rPr>
                  </w:pPr>
                  <w:bookmarkStart w:id="235" w:name="_Toc426469921"/>
                  <w:r>
                    <w:rPr>
                      <w:rFonts w:hint="eastAsia" w:ascii="宋体" w:hAnsi="宋体" w:cs="宋体"/>
                      <w:b/>
                      <w:bCs/>
                    </w:rPr>
                    <w:t>条款号</w:t>
                  </w:r>
                </w:p>
              </w:tc>
              <w:tc>
                <w:tcPr>
                  <w:tcW w:w="1065" w:type="dxa"/>
                  <w:tcBorders>
                    <w:top w:val="single" w:color="auto" w:sz="4" w:space="0"/>
                    <w:left w:val="single" w:color="auto" w:sz="4" w:space="0"/>
                    <w:bottom w:val="single" w:color="auto" w:sz="4" w:space="0"/>
                    <w:right w:val="single" w:color="auto" w:sz="4" w:space="0"/>
                  </w:tcBorders>
                  <w:vAlign w:val="center"/>
                </w:tcPr>
                <w:p w14:paraId="60B498BD">
                  <w:pPr>
                    <w:jc w:val="center"/>
                    <w:rPr>
                      <w:rFonts w:ascii="宋体" w:hAnsi="宋体"/>
                      <w:b/>
                      <w:bCs/>
                    </w:rPr>
                  </w:pPr>
                  <w:r>
                    <w:rPr>
                      <w:rFonts w:hint="eastAsia" w:ascii="宋体" w:hAnsi="宋体" w:cs="宋体"/>
                      <w:b/>
                      <w:bCs/>
                    </w:rPr>
                    <w:t>条款内容</w:t>
                  </w:r>
                </w:p>
              </w:tc>
              <w:tc>
                <w:tcPr>
                  <w:tcW w:w="6806" w:type="dxa"/>
                  <w:tcBorders>
                    <w:top w:val="single" w:color="auto" w:sz="4" w:space="0"/>
                    <w:left w:val="single" w:color="auto" w:sz="4" w:space="0"/>
                    <w:bottom w:val="single" w:color="auto" w:sz="4" w:space="0"/>
                    <w:right w:val="single" w:color="auto" w:sz="4" w:space="0"/>
                  </w:tcBorders>
                  <w:vAlign w:val="center"/>
                </w:tcPr>
                <w:p w14:paraId="44BABE81">
                  <w:pPr>
                    <w:jc w:val="center"/>
                    <w:rPr>
                      <w:rFonts w:ascii="宋体" w:hAnsi="宋体"/>
                      <w:b/>
                      <w:bCs/>
                    </w:rPr>
                  </w:pPr>
                  <w:r>
                    <w:rPr>
                      <w:rFonts w:hint="eastAsia" w:ascii="宋体" w:hAnsi="宋体" w:cs="宋体"/>
                      <w:b/>
                      <w:bCs/>
                    </w:rPr>
                    <w:t>编列内容</w:t>
                  </w:r>
                </w:p>
              </w:tc>
            </w:tr>
            <w:tr w14:paraId="30FCE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17" w:type="dxa"/>
                  <w:gridSpan w:val="2"/>
                  <w:tcBorders>
                    <w:top w:val="single" w:color="auto" w:sz="4" w:space="0"/>
                    <w:left w:val="single" w:color="auto" w:sz="4" w:space="0"/>
                    <w:bottom w:val="single" w:color="auto" w:sz="4" w:space="0"/>
                    <w:right w:val="single" w:color="auto" w:sz="4" w:space="0"/>
                  </w:tcBorders>
                  <w:vAlign w:val="center"/>
                </w:tcPr>
                <w:p w14:paraId="0C44AE8F">
                  <w:pPr>
                    <w:ind w:firstLine="241" w:firstLineChars="100"/>
                    <w:jc w:val="center"/>
                    <w:rPr>
                      <w:rFonts w:ascii="宋体" w:hAnsi="宋体"/>
                      <w:bCs/>
                      <w:shd w:val="clear" w:color="auto" w:fill="FFFFFF"/>
                      <w:lang w:val="en-GB"/>
                    </w:rPr>
                  </w:pPr>
                  <w:r>
                    <w:rPr>
                      <w:rFonts w:hint="eastAsia" w:ascii="宋体" w:hAnsi="宋体" w:cs="宋体"/>
                      <w:b/>
                      <w:bCs/>
                    </w:rPr>
                    <w:t>2.</w:t>
                  </w:r>
                  <w:r>
                    <w:rPr>
                      <w:rFonts w:hint="eastAsia" w:ascii="宋体" w:hAnsi="宋体" w:cs="宋体"/>
                      <w:b/>
                      <w:bCs/>
                      <w:lang w:val="en-US" w:eastAsia="zh-CN"/>
                    </w:rPr>
                    <w:t>3</w:t>
                  </w:r>
                  <w:r>
                    <w:rPr>
                      <w:rFonts w:hint="eastAsia" w:ascii="宋体" w:hAnsi="宋体" w:cs="宋体"/>
                      <w:b/>
                      <w:bCs/>
                    </w:rPr>
                    <w:t>.1</w:t>
                  </w:r>
                </w:p>
              </w:tc>
              <w:tc>
                <w:tcPr>
                  <w:tcW w:w="1065" w:type="dxa"/>
                  <w:tcBorders>
                    <w:top w:val="single" w:color="auto" w:sz="4" w:space="0"/>
                    <w:left w:val="single" w:color="auto" w:sz="4" w:space="0"/>
                    <w:bottom w:val="single" w:color="auto" w:sz="4" w:space="0"/>
                    <w:right w:val="single" w:color="auto" w:sz="4" w:space="0"/>
                  </w:tcBorders>
                  <w:vAlign w:val="center"/>
                </w:tcPr>
                <w:p w14:paraId="7C15D3E8">
                  <w:pPr>
                    <w:spacing w:line="300" w:lineRule="exact"/>
                    <w:jc w:val="center"/>
                    <w:rPr>
                      <w:rFonts w:ascii="宋体" w:hAnsi="宋体" w:cs="宋体"/>
                      <w:szCs w:val="21"/>
                    </w:rPr>
                  </w:pPr>
                  <w:r>
                    <w:rPr>
                      <w:rFonts w:hint="eastAsia" w:ascii="宋体" w:hAnsi="宋体" w:cs="宋体"/>
                      <w:szCs w:val="21"/>
                    </w:rPr>
                    <w:t>分值构成</w:t>
                  </w:r>
                </w:p>
                <w:p w14:paraId="0CA05401">
                  <w:pPr>
                    <w:jc w:val="center"/>
                    <w:rPr>
                      <w:rFonts w:ascii="宋体" w:hAnsi="宋体"/>
                      <w:bCs/>
                      <w:shd w:val="clear" w:color="auto" w:fill="FFFFFF"/>
                    </w:rPr>
                  </w:pPr>
                  <w:r>
                    <w:rPr>
                      <w:rFonts w:hint="eastAsia" w:ascii="宋体" w:hAnsi="宋体" w:cs="宋体"/>
                      <w:szCs w:val="21"/>
                    </w:rPr>
                    <w:t>（总分100分）</w:t>
                  </w:r>
                </w:p>
              </w:tc>
              <w:tc>
                <w:tcPr>
                  <w:tcW w:w="6806" w:type="dxa"/>
                  <w:tcBorders>
                    <w:top w:val="single" w:color="auto" w:sz="4" w:space="0"/>
                    <w:left w:val="single" w:color="auto" w:sz="4" w:space="0"/>
                    <w:bottom w:val="single" w:color="auto" w:sz="4" w:space="0"/>
                    <w:right w:val="single" w:color="auto" w:sz="4" w:space="0"/>
                  </w:tcBorders>
                  <w:vAlign w:val="center"/>
                </w:tcPr>
                <w:p w14:paraId="37C73BC4">
                  <w:pPr>
                    <w:spacing w:line="300" w:lineRule="exact"/>
                    <w:jc w:val="left"/>
                    <w:rPr>
                      <w:rFonts w:ascii="宋体" w:hAnsi="宋体" w:cs="宋体"/>
                      <w:szCs w:val="21"/>
                      <w:u w:val="single"/>
                    </w:rPr>
                  </w:pPr>
                  <w:r>
                    <w:rPr>
                      <w:rFonts w:hint="eastAsia" w:ascii="宋体" w:hAnsi="宋体" w:cs="宋体"/>
                      <w:szCs w:val="21"/>
                    </w:rPr>
                    <w:t>1、投标报价：</w:t>
                  </w:r>
                  <w:r>
                    <w:rPr>
                      <w:rFonts w:hint="eastAsia" w:ascii="宋体" w:hAnsi="宋体" w:cs="宋体"/>
                      <w:szCs w:val="21"/>
                      <w:u w:val="single"/>
                      <w:lang w:val="en-US" w:eastAsia="zh-CN"/>
                    </w:rPr>
                    <w:t>20</w:t>
                  </w:r>
                  <w:r>
                    <w:rPr>
                      <w:rFonts w:hint="eastAsia" w:ascii="宋体" w:hAnsi="宋体" w:cs="宋体"/>
                      <w:szCs w:val="21"/>
                    </w:rPr>
                    <w:t>分</w:t>
                  </w:r>
                </w:p>
                <w:p w14:paraId="4A8DCC37">
                  <w:pPr>
                    <w:spacing w:line="300" w:lineRule="exact"/>
                    <w:jc w:val="left"/>
                    <w:rPr>
                      <w:rFonts w:ascii="宋体" w:hAnsi="宋体" w:cs="宋体"/>
                      <w:szCs w:val="21"/>
                    </w:rPr>
                  </w:pPr>
                  <w:r>
                    <w:rPr>
                      <w:rFonts w:hint="eastAsia" w:ascii="宋体" w:hAnsi="宋体" w:cs="宋体"/>
                      <w:szCs w:val="21"/>
                    </w:rPr>
                    <w:t>2、技术部分：</w:t>
                  </w:r>
                  <w:r>
                    <w:rPr>
                      <w:rFonts w:hint="eastAsia" w:ascii="宋体" w:hAnsi="宋体" w:cs="宋体"/>
                      <w:szCs w:val="21"/>
                      <w:u w:val="single"/>
                      <w:lang w:val="en-US" w:eastAsia="zh-CN"/>
                    </w:rPr>
                    <w:t>30</w:t>
                  </w:r>
                  <w:r>
                    <w:rPr>
                      <w:rFonts w:hint="eastAsia" w:ascii="宋体" w:hAnsi="宋体" w:cs="宋体"/>
                      <w:szCs w:val="21"/>
                    </w:rPr>
                    <w:t>分</w:t>
                  </w:r>
                </w:p>
                <w:p w14:paraId="2599E364">
                  <w:pPr>
                    <w:spacing w:line="300" w:lineRule="exact"/>
                    <w:jc w:val="left"/>
                    <w:rPr>
                      <w:rFonts w:ascii="宋体" w:hAnsi="宋体"/>
                      <w:shd w:val="clear" w:color="auto" w:fill="FFFFFF"/>
                    </w:rPr>
                  </w:pPr>
                  <w:r>
                    <w:rPr>
                      <w:rFonts w:hint="eastAsia" w:ascii="宋体" w:hAnsi="宋体" w:cs="宋体"/>
                      <w:szCs w:val="21"/>
                    </w:rPr>
                    <w:t>3、综合实力：</w:t>
                  </w:r>
                  <w:r>
                    <w:rPr>
                      <w:rFonts w:hint="eastAsia" w:ascii="宋体" w:hAnsi="宋体" w:cs="宋体"/>
                      <w:szCs w:val="21"/>
                      <w:u w:val="single"/>
                      <w:lang w:val="en-US" w:eastAsia="zh-CN"/>
                    </w:rPr>
                    <w:t>50</w:t>
                  </w:r>
                  <w:r>
                    <w:rPr>
                      <w:rFonts w:hint="eastAsia" w:ascii="宋体" w:hAnsi="宋体" w:cs="宋体"/>
                      <w:szCs w:val="21"/>
                      <w:u w:val="single"/>
                    </w:rPr>
                    <w:t xml:space="preserve"> </w:t>
                  </w:r>
                  <w:r>
                    <w:rPr>
                      <w:rFonts w:hint="eastAsia" w:ascii="宋体" w:hAnsi="宋体" w:cs="宋体"/>
                      <w:szCs w:val="21"/>
                    </w:rPr>
                    <w:t>分</w:t>
                  </w:r>
                </w:p>
              </w:tc>
            </w:tr>
            <w:tr w14:paraId="3507E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617" w:type="dxa"/>
                  <w:gridSpan w:val="2"/>
                  <w:tcBorders>
                    <w:top w:val="single" w:color="auto" w:sz="4" w:space="0"/>
                    <w:left w:val="single" w:color="auto" w:sz="4" w:space="0"/>
                    <w:right w:val="single" w:color="auto" w:sz="4" w:space="0"/>
                  </w:tcBorders>
                  <w:vAlign w:val="center"/>
                </w:tcPr>
                <w:p w14:paraId="733F8922">
                  <w:pPr>
                    <w:jc w:val="center"/>
                    <w:rPr>
                      <w:rFonts w:ascii="宋体" w:hAnsi="宋体"/>
                    </w:rPr>
                  </w:pPr>
                  <w:r>
                    <w:rPr>
                      <w:rFonts w:hint="eastAsia" w:ascii="宋体" w:hAnsi="宋体" w:cs="宋体"/>
                      <w:b/>
                      <w:bCs/>
                    </w:rPr>
                    <w:t>条款号</w:t>
                  </w:r>
                </w:p>
              </w:tc>
              <w:tc>
                <w:tcPr>
                  <w:tcW w:w="1065" w:type="dxa"/>
                  <w:tcBorders>
                    <w:top w:val="single" w:color="auto" w:sz="4" w:space="0"/>
                    <w:left w:val="single" w:color="auto" w:sz="4" w:space="0"/>
                    <w:right w:val="single" w:color="auto" w:sz="4" w:space="0"/>
                  </w:tcBorders>
                  <w:vAlign w:val="center"/>
                </w:tcPr>
                <w:p w14:paraId="730E3C3E">
                  <w:pPr>
                    <w:jc w:val="center"/>
                  </w:pPr>
                  <w:r>
                    <w:rPr>
                      <w:rFonts w:hint="eastAsia" w:ascii="宋体" w:hAnsi="宋体" w:cs="宋体"/>
                      <w:b/>
                      <w:bCs/>
                    </w:rPr>
                    <w:t>评分因素</w:t>
                  </w:r>
                </w:p>
              </w:tc>
              <w:tc>
                <w:tcPr>
                  <w:tcW w:w="6806" w:type="dxa"/>
                  <w:tcBorders>
                    <w:top w:val="single" w:color="auto" w:sz="4" w:space="0"/>
                    <w:left w:val="single" w:color="auto" w:sz="4" w:space="0"/>
                    <w:right w:val="single" w:color="auto" w:sz="4" w:space="0"/>
                  </w:tcBorders>
                  <w:vAlign w:val="center"/>
                </w:tcPr>
                <w:p w14:paraId="2C0E50D2">
                  <w:pPr>
                    <w:jc w:val="center"/>
                  </w:pPr>
                  <w:r>
                    <w:rPr>
                      <w:rFonts w:hint="eastAsia" w:ascii="宋体" w:hAnsi="宋体" w:cs="宋体"/>
                      <w:b/>
                      <w:bCs/>
                    </w:rPr>
                    <w:t>评分标准</w:t>
                  </w:r>
                </w:p>
              </w:tc>
            </w:tr>
            <w:tr w14:paraId="1D937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0" w:type="dxa"/>
                  <w:tcBorders>
                    <w:top w:val="single" w:color="auto" w:sz="4" w:space="0"/>
                    <w:left w:val="single" w:color="auto" w:sz="4" w:space="0"/>
                    <w:right w:val="single" w:color="auto" w:sz="4" w:space="0"/>
                  </w:tcBorders>
                  <w:vAlign w:val="center"/>
                </w:tcPr>
                <w:p w14:paraId="2DE990CA">
                  <w:pPr>
                    <w:snapToGrid w:val="0"/>
                    <w:spacing w:line="288" w:lineRule="auto"/>
                    <w:jc w:val="center"/>
                    <w:rPr>
                      <w:rFonts w:ascii="宋体" w:hAnsi="宋体" w:cs="宋体"/>
                      <w:szCs w:val="21"/>
                    </w:rPr>
                  </w:pPr>
                  <w:r>
                    <w:rPr>
                      <w:rFonts w:hint="eastAsia" w:ascii="宋体" w:hAnsi="宋体" w:cs="宋体"/>
                      <w:szCs w:val="21"/>
                    </w:rPr>
                    <w:t>投标</w:t>
                  </w:r>
                </w:p>
                <w:p w14:paraId="3277A6F1">
                  <w:pPr>
                    <w:snapToGrid w:val="0"/>
                    <w:spacing w:line="288" w:lineRule="auto"/>
                    <w:jc w:val="center"/>
                    <w:rPr>
                      <w:szCs w:val="21"/>
                      <w:lang w:val="en-GB"/>
                    </w:rPr>
                  </w:pPr>
                  <w:r>
                    <w:rPr>
                      <w:rFonts w:hint="eastAsia" w:ascii="宋体" w:hAnsi="宋体" w:cs="宋体"/>
                      <w:szCs w:val="21"/>
                    </w:rPr>
                    <w:t>报价</w:t>
                  </w:r>
                </w:p>
              </w:tc>
              <w:tc>
                <w:tcPr>
                  <w:tcW w:w="807" w:type="dxa"/>
                  <w:tcBorders>
                    <w:top w:val="single" w:color="auto" w:sz="4" w:space="0"/>
                    <w:left w:val="single" w:color="auto" w:sz="4" w:space="0"/>
                    <w:right w:val="single" w:color="auto" w:sz="4" w:space="0"/>
                  </w:tcBorders>
                  <w:vAlign w:val="center"/>
                </w:tcPr>
                <w:p w14:paraId="1D5250CC">
                  <w:pPr>
                    <w:snapToGrid w:val="0"/>
                    <w:spacing w:line="288" w:lineRule="auto"/>
                    <w:jc w:val="center"/>
                  </w:pPr>
                  <w:r>
                    <w:rPr>
                      <w:rFonts w:hint="eastAsia" w:ascii="宋体" w:hAnsi="宋体" w:cs="宋体"/>
                    </w:rPr>
                    <w:t>（1）</w:t>
                  </w:r>
                </w:p>
              </w:tc>
              <w:tc>
                <w:tcPr>
                  <w:tcW w:w="1065" w:type="dxa"/>
                  <w:tcBorders>
                    <w:top w:val="single" w:color="auto" w:sz="4" w:space="0"/>
                    <w:left w:val="single" w:color="auto" w:sz="4" w:space="0"/>
                    <w:right w:val="single" w:color="auto" w:sz="4" w:space="0"/>
                  </w:tcBorders>
                  <w:vAlign w:val="center"/>
                </w:tcPr>
                <w:p w14:paraId="1F4EB6F2">
                  <w:pPr>
                    <w:pStyle w:val="49"/>
                    <w:snapToGrid w:val="0"/>
                    <w:spacing w:line="264" w:lineRule="auto"/>
                    <w:ind w:left="2" w:right="-2"/>
                    <w:jc w:val="center"/>
                    <w:rPr>
                      <w:rFonts w:ascii="宋体" w:hAnsi="宋体" w:cs="宋体"/>
                      <w:color w:val="auto"/>
                      <w:szCs w:val="21"/>
                    </w:rPr>
                  </w:pPr>
                  <w:r>
                    <w:rPr>
                      <w:rFonts w:hint="eastAsia" w:ascii="宋体" w:hAnsi="宋体" w:cs="宋体"/>
                      <w:color w:val="auto"/>
                      <w:szCs w:val="21"/>
                    </w:rPr>
                    <w:t>投标报价</w:t>
                  </w:r>
                </w:p>
                <w:p w14:paraId="25AD331A">
                  <w:pPr>
                    <w:pStyle w:val="49"/>
                    <w:snapToGrid w:val="0"/>
                    <w:spacing w:line="264" w:lineRule="auto"/>
                    <w:ind w:left="2" w:right="-2"/>
                    <w:jc w:val="center"/>
                    <w:rPr>
                      <w:color w:val="auto"/>
                      <w:szCs w:val="21"/>
                    </w:rPr>
                  </w:pPr>
                  <w:r>
                    <w:rPr>
                      <w:rFonts w:hint="eastAsia" w:ascii="宋体" w:hAnsi="宋体" w:cs="宋体"/>
                      <w:color w:val="auto"/>
                      <w:szCs w:val="21"/>
                    </w:rPr>
                    <w:t>（</w:t>
                  </w:r>
                  <w:r>
                    <w:rPr>
                      <w:rFonts w:hint="eastAsia" w:ascii="宋体" w:hAnsi="宋体" w:cs="宋体"/>
                      <w:color w:val="auto"/>
                      <w:szCs w:val="21"/>
                      <w:lang w:val="en-US" w:eastAsia="zh-CN"/>
                    </w:rPr>
                    <w:t>20</w:t>
                  </w:r>
                  <w:r>
                    <w:rPr>
                      <w:rFonts w:hint="eastAsia" w:ascii="宋体" w:hAnsi="宋体" w:cs="宋体"/>
                      <w:color w:val="auto"/>
                      <w:szCs w:val="21"/>
                    </w:rPr>
                    <w:t>分）</w:t>
                  </w:r>
                </w:p>
              </w:tc>
              <w:tc>
                <w:tcPr>
                  <w:tcW w:w="6806" w:type="dxa"/>
                  <w:tcBorders>
                    <w:top w:val="single" w:color="auto" w:sz="4" w:space="0"/>
                    <w:left w:val="single" w:color="auto" w:sz="4" w:space="0"/>
                    <w:bottom w:val="single" w:color="auto" w:sz="4" w:space="0"/>
                    <w:right w:val="single" w:color="auto" w:sz="4" w:space="0"/>
                  </w:tcBorders>
                  <w:vAlign w:val="center"/>
                </w:tcPr>
                <w:p w14:paraId="779802D9">
                  <w:pPr>
                    <w:snapToGrid w:val="0"/>
                    <w:rPr>
                      <w:rFonts w:ascii="宋体" w:hAnsi="宋体" w:cs="宋体"/>
                      <w:szCs w:val="21"/>
                    </w:rPr>
                  </w:pPr>
                  <w:r>
                    <w:rPr>
                      <w:rFonts w:hint="eastAsia" w:ascii="宋体" w:hAnsi="宋体" w:cs="宋体"/>
                      <w:szCs w:val="21"/>
                    </w:rPr>
                    <w:t>①采用低价优先法计算，即满足招标文件要求且投标价格最低的投标报价为评标基准价，其价格分为满分。</w:t>
                  </w:r>
                </w:p>
                <w:p w14:paraId="705FF116">
                  <w:pPr>
                    <w:snapToGrid w:val="0"/>
                    <w:rPr>
                      <w:rFonts w:ascii="宋体" w:hAnsi="宋体" w:cs="宋体"/>
                      <w:szCs w:val="21"/>
                    </w:rPr>
                  </w:pPr>
                  <w:r>
                    <w:rPr>
                      <w:rFonts w:hint="eastAsia" w:ascii="宋体" w:hAnsi="宋体" w:cs="宋体"/>
                      <w:szCs w:val="21"/>
                    </w:rPr>
                    <w:t>②其他投标供应商的价格分统一按照下列公式计算:投标报价得分=(评标基准价/投标报价)×</w:t>
                  </w:r>
                  <w:r>
                    <w:rPr>
                      <w:rFonts w:hint="eastAsia" w:ascii="宋体" w:hAnsi="宋体" w:cs="宋体"/>
                      <w:szCs w:val="21"/>
                      <w:lang w:val="en-US" w:eastAsia="zh-CN"/>
                    </w:rPr>
                    <w:t>20</w:t>
                  </w:r>
                  <w:r>
                    <w:rPr>
                      <w:rFonts w:hint="eastAsia" w:ascii="宋体" w:hAnsi="宋体" w:cs="宋体"/>
                      <w:szCs w:val="21"/>
                    </w:rPr>
                    <w:t>（小数点保留两位）。</w:t>
                  </w:r>
                </w:p>
                <w:p w14:paraId="58565A4C">
                  <w:pPr>
                    <w:spacing w:line="22" w:lineRule="atLeast"/>
                    <w:rPr>
                      <w:rFonts w:ascii="宋体" w:hAnsi="宋体"/>
                    </w:rPr>
                  </w:pPr>
                  <w:r>
                    <w:rPr>
                      <w:rFonts w:hint="eastAsia" w:ascii="宋体" w:hAnsi="宋体" w:cs="宋体"/>
                      <w:b/>
                      <w:bCs/>
                      <w:color w:val="000000"/>
                      <w:szCs w:val="21"/>
                    </w:rPr>
                    <w:t>注：依据依据苏财购[2020]19号文、苏财购[2020]52号文规定，对小型和微型企业产品价格给予10%的扣除，用扣除后的价格参与评审。投标单位若为小微企业，须在编制投标文件时，须填写《中小企业声明函》，投标单位对《中小企业声明函》内容</w:t>
                  </w:r>
                  <w:r>
                    <w:rPr>
                      <w:rFonts w:hint="eastAsia" w:ascii="宋体" w:hAnsi="宋体" w:cs="宋体"/>
                      <w:b/>
                      <w:bCs/>
                      <w:color w:val="000000"/>
                      <w:szCs w:val="21"/>
                      <w:highlight w:val="white"/>
                    </w:rPr>
                    <w:t>真实性</w:t>
                  </w:r>
                  <w:r>
                    <w:rPr>
                      <w:rFonts w:hint="eastAsia" w:ascii="宋体" w:hAnsi="宋体" w:cs="宋体"/>
                      <w:b/>
                      <w:bCs/>
                      <w:color w:val="000000"/>
                      <w:szCs w:val="21"/>
                    </w:rPr>
                    <w:t>负责。</w:t>
                  </w:r>
                </w:p>
              </w:tc>
            </w:tr>
            <w:tr w14:paraId="6B87B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0" w:type="dxa"/>
                  <w:vMerge w:val="restart"/>
                  <w:tcBorders>
                    <w:top w:val="single" w:color="auto" w:sz="4" w:space="0"/>
                    <w:left w:val="single" w:color="auto" w:sz="4" w:space="0"/>
                    <w:right w:val="single" w:color="auto" w:sz="4" w:space="0"/>
                  </w:tcBorders>
                  <w:vAlign w:val="center"/>
                </w:tcPr>
                <w:p w14:paraId="78C7CFD5">
                  <w:pPr>
                    <w:jc w:val="center"/>
                    <w:rPr>
                      <w:rFonts w:ascii="宋体" w:hAnsi="宋体" w:cs="宋体"/>
                      <w:szCs w:val="21"/>
                    </w:rPr>
                  </w:pPr>
                  <w:r>
                    <w:rPr>
                      <w:rFonts w:hint="eastAsia" w:ascii="宋体" w:hAnsi="宋体" w:cs="宋体"/>
                      <w:szCs w:val="21"/>
                    </w:rPr>
                    <w:t>技术</w:t>
                  </w:r>
                </w:p>
                <w:p w14:paraId="452CDB49">
                  <w:pPr>
                    <w:snapToGrid w:val="0"/>
                    <w:spacing w:line="288" w:lineRule="auto"/>
                    <w:jc w:val="center"/>
                    <w:rPr>
                      <w:rFonts w:hint="eastAsia" w:ascii="宋体" w:hAnsi="宋体" w:cs="宋体"/>
                      <w:szCs w:val="21"/>
                    </w:rPr>
                  </w:pPr>
                  <w:r>
                    <w:rPr>
                      <w:rFonts w:hint="eastAsia" w:ascii="宋体" w:hAnsi="宋体" w:cs="宋体"/>
                      <w:szCs w:val="21"/>
                    </w:rPr>
                    <w:t>部分</w:t>
                  </w:r>
                </w:p>
              </w:tc>
              <w:tc>
                <w:tcPr>
                  <w:tcW w:w="807" w:type="dxa"/>
                  <w:tcBorders>
                    <w:top w:val="single" w:color="auto" w:sz="4" w:space="0"/>
                    <w:left w:val="single" w:color="auto" w:sz="4" w:space="0"/>
                    <w:right w:val="single" w:color="auto" w:sz="4" w:space="0"/>
                  </w:tcBorders>
                  <w:vAlign w:val="center"/>
                </w:tcPr>
                <w:p w14:paraId="36E8B0FD">
                  <w:pPr>
                    <w:snapToGrid w:val="0"/>
                    <w:spacing w:line="288" w:lineRule="auto"/>
                    <w:jc w:val="center"/>
                    <w:rPr>
                      <w:rFonts w:hint="eastAsia" w:ascii="宋体" w:hAnsi="宋体" w:cs="宋体"/>
                    </w:rPr>
                  </w:pPr>
                  <w:r>
                    <w:rPr>
                      <w:rFonts w:hint="eastAsia" w:ascii="宋体" w:hAnsi="宋体" w:cs="宋体"/>
                      <w:szCs w:val="21"/>
                    </w:rPr>
                    <w:t>（1）</w:t>
                  </w:r>
                </w:p>
              </w:tc>
              <w:tc>
                <w:tcPr>
                  <w:tcW w:w="1065" w:type="dxa"/>
                  <w:tcBorders>
                    <w:top w:val="single" w:color="auto" w:sz="4" w:space="0"/>
                    <w:left w:val="single" w:color="auto" w:sz="4" w:space="0"/>
                    <w:right w:val="single" w:color="auto" w:sz="4" w:space="0"/>
                  </w:tcBorders>
                  <w:vAlign w:val="center"/>
                </w:tcPr>
                <w:p w14:paraId="32FAF758">
                  <w:pPr>
                    <w:pStyle w:val="49"/>
                    <w:snapToGrid w:val="0"/>
                    <w:spacing w:line="264" w:lineRule="auto"/>
                    <w:ind w:left="2" w:right="-2"/>
                    <w:jc w:val="center"/>
                    <w:rPr>
                      <w:rFonts w:hint="eastAsia" w:ascii="宋体" w:hAnsi="宋体" w:cs="宋体"/>
                      <w:color w:val="auto"/>
                      <w:szCs w:val="21"/>
                    </w:rPr>
                  </w:pPr>
                  <w:r>
                    <w:rPr>
                      <w:rFonts w:hint="eastAsia" w:ascii="宋体" w:hAnsi="宋体" w:cs="仿宋"/>
                      <w:color w:val="auto"/>
                      <w:szCs w:val="21"/>
                      <w:lang w:eastAsia="zh-CN"/>
                    </w:rPr>
                    <w:t>资料收集</w:t>
                  </w:r>
                  <w:r>
                    <w:rPr>
                      <w:rFonts w:hint="eastAsia" w:ascii="宋体" w:hAnsi="宋体" w:cs="仿宋"/>
                      <w:color w:val="auto"/>
                      <w:szCs w:val="21"/>
                    </w:rPr>
                    <w:t>（</w:t>
                  </w:r>
                  <w:r>
                    <w:rPr>
                      <w:rFonts w:hint="eastAsia" w:ascii="宋体" w:hAnsi="宋体" w:cs="仿宋"/>
                      <w:color w:val="auto"/>
                      <w:szCs w:val="21"/>
                      <w:lang w:val="en-US" w:eastAsia="zh-CN"/>
                    </w:rPr>
                    <w:t>8</w:t>
                  </w:r>
                  <w:r>
                    <w:rPr>
                      <w:rFonts w:hint="eastAsia" w:ascii="宋体" w:hAnsi="宋体" w:cs="仿宋"/>
                      <w:color w:val="auto"/>
                      <w:szCs w:val="21"/>
                    </w:rPr>
                    <w:t>分）</w:t>
                  </w:r>
                </w:p>
              </w:tc>
              <w:tc>
                <w:tcPr>
                  <w:tcW w:w="6806" w:type="dxa"/>
                  <w:tcBorders>
                    <w:top w:val="single" w:color="auto" w:sz="4" w:space="0"/>
                    <w:left w:val="single" w:color="auto" w:sz="4" w:space="0"/>
                    <w:bottom w:val="single" w:color="auto" w:sz="4" w:space="0"/>
                    <w:right w:val="single" w:color="auto" w:sz="4" w:space="0"/>
                  </w:tcBorders>
                  <w:vAlign w:val="center"/>
                </w:tcPr>
                <w:p w14:paraId="6F6F4875">
                  <w:pPr>
                    <w:snapToGrid w:val="0"/>
                    <w:rPr>
                      <w:rFonts w:hint="default" w:ascii="宋体" w:hAnsi="宋体" w:eastAsia="宋体" w:cs="宋体"/>
                      <w:szCs w:val="21"/>
                      <w:highlight w:val="none"/>
                      <w:lang w:val="en-US" w:eastAsia="zh-CN"/>
                    </w:rPr>
                  </w:pPr>
                  <w:r>
                    <w:rPr>
                      <w:rFonts w:hint="eastAsia"/>
                      <w:szCs w:val="21"/>
                      <w:highlight w:val="none"/>
                    </w:rPr>
                    <w:t>方案中对泰兴市区域地质、土壤类型、水文地质、土壤地球化学特征等基础背景资料有详细的分析，对泰兴市区域土地情况，地类分布非常熟悉的得</w:t>
                  </w:r>
                  <w:r>
                    <w:rPr>
                      <w:rFonts w:hint="eastAsia"/>
                      <w:szCs w:val="21"/>
                      <w:highlight w:val="none"/>
                      <w:lang w:val="en-US" w:eastAsia="zh-CN"/>
                    </w:rPr>
                    <w:t>8</w:t>
                  </w:r>
                  <w:r>
                    <w:rPr>
                      <w:rFonts w:hint="eastAsia"/>
                      <w:szCs w:val="21"/>
                      <w:highlight w:val="none"/>
                    </w:rPr>
                    <w:t>分</w:t>
                  </w:r>
                  <w:r>
                    <w:rPr>
                      <w:rFonts w:hint="eastAsia"/>
                      <w:szCs w:val="21"/>
                      <w:highlight w:val="none"/>
                      <w:lang w:eastAsia="zh-CN"/>
                    </w:rPr>
                    <w:t>；</w:t>
                  </w:r>
                  <w:r>
                    <w:rPr>
                      <w:rFonts w:hint="eastAsia"/>
                      <w:szCs w:val="21"/>
                      <w:highlight w:val="none"/>
                    </w:rPr>
                    <w:t>对区域背景资料分析较为详细，对土地情况，地类分布较为熟悉的得</w:t>
                  </w:r>
                  <w:r>
                    <w:rPr>
                      <w:rFonts w:hint="eastAsia"/>
                      <w:szCs w:val="21"/>
                      <w:highlight w:val="none"/>
                      <w:lang w:val="en-US" w:eastAsia="zh-CN"/>
                    </w:rPr>
                    <w:t>5</w:t>
                  </w:r>
                  <w:r>
                    <w:rPr>
                      <w:rFonts w:hint="eastAsia"/>
                      <w:szCs w:val="21"/>
                      <w:highlight w:val="none"/>
                    </w:rPr>
                    <w:t>分</w:t>
                  </w:r>
                  <w:r>
                    <w:rPr>
                      <w:rFonts w:hint="eastAsia"/>
                      <w:szCs w:val="21"/>
                      <w:highlight w:val="none"/>
                      <w:lang w:eastAsia="zh-CN"/>
                    </w:rPr>
                    <w:t>；</w:t>
                  </w:r>
                  <w:r>
                    <w:rPr>
                      <w:rFonts w:hint="eastAsia"/>
                      <w:szCs w:val="21"/>
                      <w:highlight w:val="none"/>
                    </w:rPr>
                    <w:t>资料收集不完整，土地情况，地类分布不清晰的得</w:t>
                  </w:r>
                  <w:r>
                    <w:rPr>
                      <w:rFonts w:hint="eastAsia"/>
                      <w:szCs w:val="21"/>
                      <w:highlight w:val="none"/>
                      <w:lang w:val="en-US" w:eastAsia="zh-CN"/>
                    </w:rPr>
                    <w:t>2</w:t>
                  </w:r>
                  <w:r>
                    <w:rPr>
                      <w:rFonts w:hint="eastAsia"/>
                      <w:szCs w:val="21"/>
                      <w:highlight w:val="none"/>
                    </w:rPr>
                    <w:t>分</w:t>
                  </w:r>
                  <w:r>
                    <w:rPr>
                      <w:rFonts w:hint="eastAsia"/>
                      <w:szCs w:val="21"/>
                      <w:highlight w:val="none"/>
                      <w:lang w:eastAsia="zh-CN"/>
                    </w:rPr>
                    <w:t>；</w:t>
                  </w:r>
                  <w:r>
                    <w:rPr>
                      <w:rFonts w:hint="eastAsia"/>
                      <w:szCs w:val="21"/>
                      <w:highlight w:val="none"/>
                      <w:lang w:val="en-US" w:eastAsia="zh-CN"/>
                    </w:rPr>
                    <w:t>未提供</w:t>
                  </w:r>
                  <w:r>
                    <w:rPr>
                      <w:rFonts w:hint="eastAsia"/>
                      <w:szCs w:val="21"/>
                      <w:highlight w:val="none"/>
                    </w:rPr>
                    <w:t>的不得分。</w:t>
                  </w:r>
                  <w:r>
                    <w:rPr>
                      <w:rFonts w:hint="eastAsia"/>
                      <w:szCs w:val="21"/>
                      <w:highlight w:val="none"/>
                      <w:lang w:val="en-US" w:eastAsia="zh-CN"/>
                    </w:rPr>
                    <w:t>本项最多得8分。</w:t>
                  </w:r>
                </w:p>
              </w:tc>
            </w:tr>
            <w:tr w14:paraId="069EE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0" w:type="dxa"/>
                  <w:vMerge w:val="continue"/>
                  <w:tcBorders>
                    <w:left w:val="single" w:color="auto" w:sz="4" w:space="0"/>
                    <w:right w:val="single" w:color="auto" w:sz="4" w:space="0"/>
                  </w:tcBorders>
                  <w:vAlign w:val="center"/>
                </w:tcPr>
                <w:p w14:paraId="34AB6E60">
                  <w:pPr>
                    <w:snapToGrid w:val="0"/>
                    <w:spacing w:line="288" w:lineRule="auto"/>
                    <w:jc w:val="center"/>
                    <w:rPr>
                      <w:rFonts w:hint="eastAsia" w:ascii="宋体" w:hAnsi="宋体" w:cs="宋体"/>
                      <w:szCs w:val="21"/>
                    </w:rPr>
                  </w:pPr>
                </w:p>
              </w:tc>
              <w:tc>
                <w:tcPr>
                  <w:tcW w:w="807" w:type="dxa"/>
                  <w:tcBorders>
                    <w:top w:val="single" w:color="auto" w:sz="4" w:space="0"/>
                    <w:left w:val="single" w:color="auto" w:sz="4" w:space="0"/>
                    <w:right w:val="single" w:color="auto" w:sz="4" w:space="0"/>
                  </w:tcBorders>
                  <w:vAlign w:val="center"/>
                </w:tcPr>
                <w:p w14:paraId="18442263">
                  <w:pPr>
                    <w:snapToGrid w:val="0"/>
                    <w:spacing w:line="288" w:lineRule="auto"/>
                    <w:jc w:val="center"/>
                    <w:rPr>
                      <w:rFonts w:hint="eastAsia" w:ascii="宋体" w:hAnsi="宋体" w:cs="宋体"/>
                    </w:rPr>
                  </w:pPr>
                  <w:r>
                    <w:rPr>
                      <w:rFonts w:hint="eastAsia" w:ascii="宋体" w:hAnsi="宋体" w:cs="宋体"/>
                      <w:szCs w:val="21"/>
                    </w:rPr>
                    <w:t>（2）</w:t>
                  </w:r>
                </w:p>
              </w:tc>
              <w:tc>
                <w:tcPr>
                  <w:tcW w:w="1065" w:type="dxa"/>
                  <w:tcBorders>
                    <w:top w:val="single" w:color="auto" w:sz="4" w:space="0"/>
                    <w:left w:val="single" w:color="auto" w:sz="4" w:space="0"/>
                    <w:right w:val="single" w:color="auto" w:sz="4" w:space="0"/>
                  </w:tcBorders>
                  <w:vAlign w:val="center"/>
                </w:tcPr>
                <w:p w14:paraId="45C1F62D">
                  <w:pPr>
                    <w:pStyle w:val="49"/>
                    <w:snapToGrid w:val="0"/>
                    <w:spacing w:line="264" w:lineRule="auto"/>
                    <w:ind w:left="2" w:right="-2"/>
                    <w:jc w:val="center"/>
                    <w:rPr>
                      <w:rFonts w:hint="eastAsia" w:ascii="宋体" w:hAnsi="宋体" w:cs="宋体"/>
                      <w:color w:val="auto"/>
                      <w:szCs w:val="21"/>
                    </w:rPr>
                  </w:pPr>
                  <w:r>
                    <w:rPr>
                      <w:rFonts w:hint="eastAsia" w:ascii="宋体" w:hAnsi="宋体" w:cs="仿宋"/>
                      <w:color w:val="auto"/>
                      <w:szCs w:val="21"/>
                    </w:rPr>
                    <w:t>实施方案（12分）</w:t>
                  </w:r>
                </w:p>
              </w:tc>
              <w:tc>
                <w:tcPr>
                  <w:tcW w:w="6806" w:type="dxa"/>
                  <w:tcBorders>
                    <w:top w:val="single" w:color="auto" w:sz="4" w:space="0"/>
                    <w:left w:val="single" w:color="auto" w:sz="4" w:space="0"/>
                    <w:bottom w:val="single" w:color="auto" w:sz="4" w:space="0"/>
                    <w:right w:val="single" w:color="auto" w:sz="4" w:space="0"/>
                  </w:tcBorders>
                  <w:vAlign w:val="center"/>
                </w:tcPr>
                <w:p w14:paraId="113B52E4">
                  <w:pPr>
                    <w:jc w:val="left"/>
                    <w:rPr>
                      <w:szCs w:val="21"/>
                      <w:highlight w:val="none"/>
                    </w:rPr>
                  </w:pPr>
                  <w:r>
                    <w:rPr>
                      <w:rFonts w:hint="eastAsia"/>
                      <w:szCs w:val="21"/>
                      <w:highlight w:val="none"/>
                    </w:rPr>
                    <w:t>（1）方案中包含工作内容、依据、调查布点方案、检测指标、客土质量评价、时间进度安排等内容，得基本分6分，少一项扣1分</w:t>
                  </w:r>
                  <w:r>
                    <w:rPr>
                      <w:rFonts w:hint="eastAsia"/>
                      <w:szCs w:val="21"/>
                      <w:highlight w:val="none"/>
                      <w:lang w:eastAsia="zh-CN"/>
                    </w:rPr>
                    <w:t>；</w:t>
                  </w:r>
                  <w:r>
                    <w:rPr>
                      <w:rFonts w:hint="eastAsia"/>
                      <w:szCs w:val="21"/>
                      <w:highlight w:val="none"/>
                      <w:lang w:val="en-US" w:eastAsia="zh-CN"/>
                    </w:rPr>
                    <w:t>未提供</w:t>
                  </w:r>
                  <w:r>
                    <w:rPr>
                      <w:rFonts w:hint="eastAsia"/>
                      <w:szCs w:val="21"/>
                      <w:highlight w:val="none"/>
                    </w:rPr>
                    <w:t>的不得分。</w:t>
                  </w:r>
                  <w:r>
                    <w:rPr>
                      <w:rFonts w:hint="eastAsia"/>
                      <w:szCs w:val="21"/>
                      <w:highlight w:val="none"/>
                      <w:lang w:val="en-US" w:eastAsia="zh-CN"/>
                    </w:rPr>
                    <w:t>本项最多得6分。</w:t>
                  </w:r>
                </w:p>
                <w:p w14:paraId="36EC44FA">
                  <w:pPr>
                    <w:jc w:val="left"/>
                    <w:rPr>
                      <w:szCs w:val="21"/>
                      <w:highlight w:val="none"/>
                    </w:rPr>
                  </w:pPr>
                  <w:r>
                    <w:rPr>
                      <w:rFonts w:hint="eastAsia"/>
                      <w:szCs w:val="21"/>
                      <w:highlight w:val="none"/>
                    </w:rPr>
                    <w:t>（2）客土质量评价方面，对客土质量评价方法有较全面的阐述，选用评价标准得当（需提出标准选用理由），得3分</w:t>
                  </w:r>
                  <w:r>
                    <w:rPr>
                      <w:rFonts w:hint="eastAsia"/>
                      <w:szCs w:val="21"/>
                      <w:highlight w:val="none"/>
                      <w:lang w:eastAsia="zh-CN"/>
                    </w:rPr>
                    <w:t>；</w:t>
                  </w:r>
                  <w:r>
                    <w:rPr>
                      <w:rFonts w:hint="eastAsia"/>
                      <w:szCs w:val="21"/>
                      <w:highlight w:val="none"/>
                    </w:rPr>
                    <w:t>阐述简单、选用标准含糊得2分</w:t>
                  </w:r>
                  <w:r>
                    <w:rPr>
                      <w:rFonts w:hint="eastAsia"/>
                      <w:szCs w:val="21"/>
                      <w:highlight w:val="none"/>
                      <w:lang w:eastAsia="zh-CN"/>
                    </w:rPr>
                    <w:t>；</w:t>
                  </w:r>
                  <w:r>
                    <w:rPr>
                      <w:rFonts w:hint="eastAsia"/>
                      <w:szCs w:val="21"/>
                      <w:highlight w:val="none"/>
                      <w:lang w:val="en-US" w:eastAsia="zh-CN"/>
                    </w:rPr>
                    <w:t>未提供</w:t>
                  </w:r>
                  <w:r>
                    <w:rPr>
                      <w:rFonts w:hint="eastAsia"/>
                      <w:szCs w:val="21"/>
                      <w:highlight w:val="none"/>
                    </w:rPr>
                    <w:t>的不得分。</w:t>
                  </w:r>
                  <w:r>
                    <w:rPr>
                      <w:rFonts w:hint="eastAsia"/>
                      <w:szCs w:val="21"/>
                      <w:highlight w:val="none"/>
                      <w:lang w:val="en-US" w:eastAsia="zh-CN"/>
                    </w:rPr>
                    <w:t>本项最多得3分。</w:t>
                  </w:r>
                </w:p>
                <w:p w14:paraId="3F12857E">
                  <w:pPr>
                    <w:snapToGrid w:val="0"/>
                    <w:rPr>
                      <w:rFonts w:hint="eastAsia" w:ascii="宋体" w:hAnsi="宋体" w:cs="宋体"/>
                      <w:szCs w:val="21"/>
                      <w:highlight w:val="none"/>
                    </w:rPr>
                  </w:pPr>
                  <w:r>
                    <w:rPr>
                      <w:rFonts w:hint="eastAsia"/>
                      <w:szCs w:val="21"/>
                      <w:highlight w:val="none"/>
                    </w:rPr>
                    <w:t>（3）时间进度安排方面，进度安排紧凑、合理的得3分</w:t>
                  </w:r>
                  <w:r>
                    <w:rPr>
                      <w:rFonts w:hint="eastAsia"/>
                      <w:szCs w:val="21"/>
                      <w:highlight w:val="none"/>
                      <w:lang w:eastAsia="zh-CN"/>
                    </w:rPr>
                    <w:t>；</w:t>
                  </w:r>
                  <w:r>
                    <w:rPr>
                      <w:rFonts w:hint="eastAsia"/>
                      <w:szCs w:val="21"/>
                      <w:highlight w:val="none"/>
                    </w:rPr>
                    <w:t>较紧凑合理的得2分</w:t>
                  </w:r>
                  <w:r>
                    <w:rPr>
                      <w:rFonts w:hint="eastAsia"/>
                      <w:szCs w:val="21"/>
                      <w:highlight w:val="none"/>
                      <w:lang w:eastAsia="zh-CN"/>
                    </w:rPr>
                    <w:t>；</w:t>
                  </w:r>
                  <w:r>
                    <w:rPr>
                      <w:rFonts w:hint="eastAsia"/>
                      <w:szCs w:val="21"/>
                      <w:highlight w:val="none"/>
                    </w:rPr>
                    <w:t>进度安排不合理</w:t>
                  </w:r>
                  <w:r>
                    <w:rPr>
                      <w:rFonts w:hint="eastAsia"/>
                      <w:szCs w:val="21"/>
                      <w:highlight w:val="none"/>
                      <w:lang w:val="en-US" w:eastAsia="zh-CN"/>
                    </w:rPr>
                    <w:t>或未提供</w:t>
                  </w:r>
                  <w:r>
                    <w:rPr>
                      <w:rFonts w:hint="eastAsia"/>
                      <w:szCs w:val="21"/>
                      <w:highlight w:val="none"/>
                    </w:rPr>
                    <w:t>的不得分</w:t>
                  </w:r>
                  <w:r>
                    <w:rPr>
                      <w:rFonts w:hint="eastAsia"/>
                      <w:szCs w:val="21"/>
                      <w:highlight w:val="none"/>
                      <w:lang w:eastAsia="zh-CN"/>
                    </w:rPr>
                    <w:t>；</w:t>
                  </w:r>
                  <w:r>
                    <w:rPr>
                      <w:rFonts w:hint="eastAsia"/>
                      <w:szCs w:val="21"/>
                      <w:highlight w:val="none"/>
                      <w:lang w:val="en-US" w:eastAsia="zh-CN"/>
                    </w:rPr>
                    <w:t>本项最多得3分。</w:t>
                  </w:r>
                </w:p>
              </w:tc>
            </w:tr>
            <w:tr w14:paraId="379B4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0" w:type="dxa"/>
                  <w:vMerge w:val="continue"/>
                  <w:tcBorders>
                    <w:left w:val="single" w:color="auto" w:sz="4" w:space="0"/>
                    <w:right w:val="single" w:color="auto" w:sz="4" w:space="0"/>
                  </w:tcBorders>
                  <w:vAlign w:val="center"/>
                </w:tcPr>
                <w:p w14:paraId="6697B30A">
                  <w:pPr>
                    <w:snapToGrid w:val="0"/>
                    <w:spacing w:line="288" w:lineRule="auto"/>
                    <w:jc w:val="center"/>
                    <w:rPr>
                      <w:rFonts w:hint="eastAsia" w:ascii="宋体" w:hAnsi="宋体" w:cs="宋体"/>
                      <w:szCs w:val="21"/>
                    </w:rPr>
                  </w:pPr>
                </w:p>
              </w:tc>
              <w:tc>
                <w:tcPr>
                  <w:tcW w:w="807" w:type="dxa"/>
                  <w:tcBorders>
                    <w:top w:val="single" w:color="auto" w:sz="4" w:space="0"/>
                    <w:left w:val="single" w:color="auto" w:sz="4" w:space="0"/>
                    <w:right w:val="single" w:color="auto" w:sz="4" w:space="0"/>
                  </w:tcBorders>
                  <w:vAlign w:val="center"/>
                </w:tcPr>
                <w:p w14:paraId="325CD280">
                  <w:pPr>
                    <w:snapToGrid w:val="0"/>
                    <w:spacing w:line="288" w:lineRule="auto"/>
                    <w:jc w:val="center"/>
                    <w:rPr>
                      <w:rFonts w:hint="eastAsia" w:ascii="宋体" w:hAnsi="宋体" w:cs="宋体"/>
                    </w:rPr>
                  </w:pPr>
                  <w:r>
                    <w:rPr>
                      <w:rFonts w:hint="eastAsia" w:ascii="宋体" w:hAnsi="宋体" w:cs="宋体"/>
                      <w:szCs w:val="21"/>
                    </w:rPr>
                    <w:t>（3）</w:t>
                  </w:r>
                </w:p>
              </w:tc>
              <w:tc>
                <w:tcPr>
                  <w:tcW w:w="1065" w:type="dxa"/>
                  <w:tcBorders>
                    <w:top w:val="single" w:color="auto" w:sz="4" w:space="0"/>
                    <w:left w:val="single" w:color="auto" w:sz="4" w:space="0"/>
                    <w:right w:val="single" w:color="auto" w:sz="4" w:space="0"/>
                  </w:tcBorders>
                  <w:vAlign w:val="center"/>
                </w:tcPr>
                <w:p w14:paraId="1EF18FBF">
                  <w:pPr>
                    <w:pStyle w:val="49"/>
                    <w:snapToGrid w:val="0"/>
                    <w:spacing w:line="264" w:lineRule="auto"/>
                    <w:ind w:left="2" w:right="-2"/>
                    <w:jc w:val="center"/>
                    <w:rPr>
                      <w:rFonts w:hint="eastAsia" w:ascii="宋体" w:hAnsi="宋体" w:cs="宋体"/>
                      <w:color w:val="auto"/>
                      <w:szCs w:val="21"/>
                    </w:rPr>
                  </w:pPr>
                  <w:r>
                    <w:rPr>
                      <w:rFonts w:hint="eastAsia" w:ascii="宋体" w:hAnsi="宋体" w:cs="仿宋"/>
                      <w:color w:val="auto"/>
                      <w:szCs w:val="21"/>
                    </w:rPr>
                    <w:t>组织实施（</w:t>
                  </w:r>
                  <w:r>
                    <w:rPr>
                      <w:rFonts w:hint="eastAsia" w:ascii="宋体" w:hAnsi="宋体" w:cs="仿宋"/>
                      <w:color w:val="auto"/>
                      <w:szCs w:val="21"/>
                      <w:lang w:val="en-US" w:eastAsia="zh-CN"/>
                    </w:rPr>
                    <w:t>6</w:t>
                  </w:r>
                  <w:r>
                    <w:rPr>
                      <w:rFonts w:hint="eastAsia" w:ascii="宋体" w:hAnsi="宋体" w:cs="仿宋"/>
                      <w:color w:val="auto"/>
                      <w:szCs w:val="21"/>
                    </w:rPr>
                    <w:t>分）</w:t>
                  </w:r>
                </w:p>
              </w:tc>
              <w:tc>
                <w:tcPr>
                  <w:tcW w:w="6806" w:type="dxa"/>
                  <w:tcBorders>
                    <w:top w:val="single" w:color="auto" w:sz="4" w:space="0"/>
                    <w:left w:val="single" w:color="auto" w:sz="4" w:space="0"/>
                    <w:bottom w:val="single" w:color="auto" w:sz="4" w:space="0"/>
                    <w:right w:val="single" w:color="auto" w:sz="4" w:space="0"/>
                  </w:tcBorders>
                  <w:vAlign w:val="center"/>
                </w:tcPr>
                <w:p w14:paraId="79C541E2">
                  <w:pPr>
                    <w:snapToGrid w:val="0"/>
                    <w:rPr>
                      <w:rFonts w:hint="eastAsia" w:ascii="宋体" w:hAnsi="宋体" w:eastAsia="宋体" w:cs="宋体"/>
                      <w:szCs w:val="21"/>
                      <w:highlight w:val="none"/>
                      <w:lang w:eastAsia="zh-CN"/>
                    </w:rPr>
                  </w:pPr>
                  <w:r>
                    <w:rPr>
                      <w:rFonts w:hint="eastAsia"/>
                      <w:szCs w:val="21"/>
                      <w:highlight w:val="none"/>
                    </w:rPr>
                    <w:t>方案中配备专职项目质量负责人及质控小组，有明确的组织形式，表述合理、结构明晰的得</w:t>
                  </w:r>
                  <w:r>
                    <w:rPr>
                      <w:rFonts w:hint="eastAsia"/>
                      <w:szCs w:val="21"/>
                      <w:highlight w:val="none"/>
                      <w:lang w:val="en-US" w:eastAsia="zh-CN"/>
                    </w:rPr>
                    <w:t>6</w:t>
                  </w:r>
                  <w:r>
                    <w:rPr>
                      <w:rFonts w:hint="eastAsia"/>
                      <w:szCs w:val="21"/>
                      <w:highlight w:val="none"/>
                    </w:rPr>
                    <w:t>分</w:t>
                  </w:r>
                  <w:r>
                    <w:rPr>
                      <w:rFonts w:hint="eastAsia"/>
                      <w:szCs w:val="21"/>
                      <w:highlight w:val="none"/>
                      <w:lang w:eastAsia="zh-CN"/>
                    </w:rPr>
                    <w:t>；</w:t>
                  </w:r>
                  <w:r>
                    <w:rPr>
                      <w:rFonts w:hint="eastAsia"/>
                      <w:szCs w:val="21"/>
                      <w:highlight w:val="none"/>
                    </w:rPr>
                    <w:t>方案中配备专职项目质量负责人及质控小组，有组织形式的得</w:t>
                  </w:r>
                  <w:r>
                    <w:rPr>
                      <w:rFonts w:hint="eastAsia"/>
                      <w:szCs w:val="21"/>
                      <w:highlight w:val="none"/>
                      <w:lang w:val="en-US" w:eastAsia="zh-CN"/>
                    </w:rPr>
                    <w:t>4</w:t>
                  </w:r>
                  <w:r>
                    <w:rPr>
                      <w:rFonts w:hint="eastAsia"/>
                      <w:szCs w:val="21"/>
                      <w:highlight w:val="none"/>
                    </w:rPr>
                    <w:t>分；方案中配备项目质量负责人及质控小组</w:t>
                  </w:r>
                  <w:r>
                    <w:rPr>
                      <w:rFonts w:hint="eastAsia"/>
                      <w:szCs w:val="21"/>
                      <w:highlight w:val="none"/>
                      <w:lang w:val="en-US" w:eastAsia="zh-CN"/>
                    </w:rPr>
                    <w:t>的</w:t>
                  </w:r>
                  <w:r>
                    <w:rPr>
                      <w:rFonts w:hint="eastAsia"/>
                      <w:szCs w:val="21"/>
                      <w:highlight w:val="none"/>
                    </w:rPr>
                    <w:t>得</w:t>
                  </w:r>
                  <w:r>
                    <w:rPr>
                      <w:rFonts w:hint="eastAsia"/>
                      <w:szCs w:val="21"/>
                      <w:highlight w:val="none"/>
                      <w:lang w:val="en-US" w:eastAsia="zh-CN"/>
                    </w:rPr>
                    <w:t>2</w:t>
                  </w:r>
                  <w:r>
                    <w:rPr>
                      <w:rFonts w:hint="eastAsia"/>
                      <w:szCs w:val="21"/>
                      <w:highlight w:val="none"/>
                    </w:rPr>
                    <w:t>分</w:t>
                  </w:r>
                  <w:r>
                    <w:rPr>
                      <w:rFonts w:hint="eastAsia"/>
                      <w:szCs w:val="21"/>
                      <w:highlight w:val="none"/>
                      <w:lang w:eastAsia="zh-CN"/>
                    </w:rPr>
                    <w:t>；</w:t>
                  </w:r>
                  <w:r>
                    <w:rPr>
                      <w:rFonts w:hint="eastAsia"/>
                      <w:szCs w:val="21"/>
                      <w:highlight w:val="none"/>
                      <w:lang w:val="en-US" w:eastAsia="zh-CN"/>
                    </w:rPr>
                    <w:t>未提供</w:t>
                  </w:r>
                  <w:r>
                    <w:rPr>
                      <w:rFonts w:hint="eastAsia"/>
                      <w:szCs w:val="21"/>
                      <w:highlight w:val="none"/>
                    </w:rPr>
                    <w:t>的不得分</w:t>
                  </w:r>
                  <w:r>
                    <w:rPr>
                      <w:rFonts w:hint="eastAsia"/>
                      <w:szCs w:val="21"/>
                      <w:highlight w:val="none"/>
                      <w:lang w:eastAsia="zh-CN"/>
                    </w:rPr>
                    <w:t>；</w:t>
                  </w:r>
                  <w:r>
                    <w:rPr>
                      <w:rFonts w:hint="eastAsia"/>
                      <w:szCs w:val="21"/>
                      <w:highlight w:val="none"/>
                      <w:lang w:val="en-US" w:eastAsia="zh-CN"/>
                    </w:rPr>
                    <w:t>本项最多得6分。</w:t>
                  </w:r>
                </w:p>
              </w:tc>
            </w:tr>
            <w:tr w14:paraId="38D9C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0" w:type="dxa"/>
                  <w:vMerge w:val="continue"/>
                  <w:tcBorders>
                    <w:left w:val="single" w:color="auto" w:sz="4" w:space="0"/>
                    <w:right w:val="single" w:color="auto" w:sz="4" w:space="0"/>
                  </w:tcBorders>
                  <w:vAlign w:val="center"/>
                </w:tcPr>
                <w:p w14:paraId="4C7DB6E7">
                  <w:pPr>
                    <w:snapToGrid w:val="0"/>
                    <w:spacing w:line="288" w:lineRule="auto"/>
                    <w:jc w:val="center"/>
                    <w:rPr>
                      <w:rFonts w:hint="eastAsia" w:ascii="宋体" w:hAnsi="宋体" w:cs="宋体"/>
                      <w:szCs w:val="21"/>
                    </w:rPr>
                  </w:pPr>
                </w:p>
              </w:tc>
              <w:tc>
                <w:tcPr>
                  <w:tcW w:w="807" w:type="dxa"/>
                  <w:tcBorders>
                    <w:top w:val="single" w:color="auto" w:sz="4" w:space="0"/>
                    <w:left w:val="single" w:color="auto" w:sz="4" w:space="0"/>
                    <w:right w:val="single" w:color="auto" w:sz="4" w:space="0"/>
                  </w:tcBorders>
                  <w:vAlign w:val="center"/>
                </w:tcPr>
                <w:p w14:paraId="33EF741A">
                  <w:pPr>
                    <w:snapToGrid w:val="0"/>
                    <w:spacing w:line="288" w:lineRule="auto"/>
                    <w:jc w:val="center"/>
                    <w:rPr>
                      <w:rFonts w:hint="eastAsia" w:ascii="宋体" w:hAnsi="宋体" w:cs="宋体"/>
                    </w:rPr>
                  </w:pPr>
                  <w:r>
                    <w:rPr>
                      <w:rFonts w:hint="eastAsia" w:ascii="宋体" w:hAnsi="宋体" w:cs="宋体"/>
                      <w:szCs w:val="21"/>
                    </w:rPr>
                    <w:t>（4）</w:t>
                  </w:r>
                </w:p>
              </w:tc>
              <w:tc>
                <w:tcPr>
                  <w:tcW w:w="1065" w:type="dxa"/>
                  <w:tcBorders>
                    <w:top w:val="single" w:color="auto" w:sz="4" w:space="0"/>
                    <w:left w:val="single" w:color="auto" w:sz="4" w:space="0"/>
                    <w:right w:val="single" w:color="auto" w:sz="4" w:space="0"/>
                  </w:tcBorders>
                  <w:vAlign w:val="center"/>
                </w:tcPr>
                <w:p w14:paraId="1F798BF6">
                  <w:pPr>
                    <w:pStyle w:val="49"/>
                    <w:snapToGrid w:val="0"/>
                    <w:spacing w:line="264" w:lineRule="auto"/>
                    <w:ind w:left="2" w:right="-2"/>
                    <w:jc w:val="center"/>
                    <w:rPr>
                      <w:rFonts w:hint="eastAsia" w:ascii="宋体" w:hAnsi="宋体" w:cs="宋体"/>
                      <w:color w:val="auto"/>
                      <w:szCs w:val="21"/>
                    </w:rPr>
                  </w:pPr>
                  <w:r>
                    <w:rPr>
                      <w:rFonts w:hint="eastAsia" w:ascii="宋体" w:hAnsi="宋体" w:cs="仿宋"/>
                      <w:color w:val="auto"/>
                      <w:szCs w:val="21"/>
                    </w:rPr>
                    <w:t>合理化建议（</w:t>
                  </w:r>
                  <w:r>
                    <w:rPr>
                      <w:rFonts w:hint="eastAsia" w:ascii="宋体" w:hAnsi="宋体" w:cs="仿宋"/>
                      <w:color w:val="auto"/>
                      <w:szCs w:val="21"/>
                      <w:lang w:val="en-US" w:eastAsia="zh-CN"/>
                    </w:rPr>
                    <w:t>4</w:t>
                  </w:r>
                  <w:r>
                    <w:rPr>
                      <w:rFonts w:hint="eastAsia" w:ascii="宋体" w:hAnsi="宋体" w:cs="仿宋"/>
                      <w:color w:val="auto"/>
                      <w:szCs w:val="21"/>
                    </w:rPr>
                    <w:t>分）</w:t>
                  </w:r>
                </w:p>
              </w:tc>
              <w:tc>
                <w:tcPr>
                  <w:tcW w:w="6806" w:type="dxa"/>
                  <w:tcBorders>
                    <w:top w:val="single" w:color="auto" w:sz="4" w:space="0"/>
                    <w:left w:val="single" w:color="auto" w:sz="4" w:space="0"/>
                    <w:bottom w:val="single" w:color="auto" w:sz="4" w:space="0"/>
                    <w:right w:val="single" w:color="auto" w:sz="4" w:space="0"/>
                  </w:tcBorders>
                  <w:vAlign w:val="center"/>
                </w:tcPr>
                <w:p w14:paraId="4CA350CC">
                  <w:pPr>
                    <w:snapToGrid w:val="0"/>
                    <w:rPr>
                      <w:rFonts w:hint="eastAsia" w:ascii="宋体" w:hAnsi="宋体" w:eastAsia="宋体" w:cs="宋体"/>
                      <w:szCs w:val="21"/>
                      <w:highlight w:val="none"/>
                      <w:lang w:eastAsia="zh-CN"/>
                    </w:rPr>
                  </w:pPr>
                  <w:r>
                    <w:rPr>
                      <w:rFonts w:hint="eastAsia" w:ascii="宋体" w:hAnsi="宋体" w:cs="宋体"/>
                      <w:color w:val="000000"/>
                      <w:szCs w:val="21"/>
                      <w:highlight w:val="none"/>
                    </w:rPr>
                    <w:t>方案中对调查布点方案遇到难题，提出合理科学创新调查、布点方案得</w:t>
                  </w:r>
                  <w:r>
                    <w:rPr>
                      <w:rFonts w:hint="eastAsia" w:ascii="宋体" w:hAnsi="宋体" w:cs="宋体"/>
                      <w:color w:val="000000"/>
                      <w:szCs w:val="21"/>
                      <w:highlight w:val="none"/>
                      <w:lang w:val="en-US" w:eastAsia="zh-CN"/>
                    </w:rPr>
                    <w:t>4</w:t>
                  </w:r>
                  <w:r>
                    <w:rPr>
                      <w:rFonts w:hint="eastAsia" w:ascii="宋体" w:hAnsi="宋体" w:cs="宋体"/>
                      <w:color w:val="000000"/>
                      <w:szCs w:val="21"/>
                      <w:highlight w:val="none"/>
                    </w:rPr>
                    <w:t>分</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方案中对调查布点方案遇到难题，提出调查、布点方案得</w:t>
                  </w:r>
                  <w:r>
                    <w:rPr>
                      <w:rFonts w:hint="eastAsia" w:ascii="宋体" w:hAnsi="宋体" w:cs="宋体"/>
                      <w:color w:val="000000"/>
                      <w:szCs w:val="21"/>
                      <w:highlight w:val="none"/>
                      <w:lang w:val="en-US" w:eastAsia="zh-CN"/>
                    </w:rPr>
                    <w:t>2</w:t>
                  </w:r>
                  <w:r>
                    <w:rPr>
                      <w:rFonts w:hint="eastAsia" w:ascii="宋体" w:hAnsi="宋体" w:cs="宋体"/>
                      <w:color w:val="000000"/>
                      <w:szCs w:val="21"/>
                      <w:highlight w:val="none"/>
                    </w:rPr>
                    <w:t>分</w:t>
                  </w:r>
                  <w:r>
                    <w:rPr>
                      <w:rFonts w:hint="eastAsia" w:ascii="宋体" w:hAnsi="宋体" w:cs="宋体"/>
                      <w:color w:val="000000"/>
                      <w:szCs w:val="21"/>
                      <w:highlight w:val="none"/>
                      <w:lang w:eastAsia="zh-CN"/>
                    </w:rPr>
                    <w:t>；</w:t>
                  </w:r>
                  <w:r>
                    <w:rPr>
                      <w:rFonts w:hint="eastAsia"/>
                      <w:szCs w:val="21"/>
                      <w:highlight w:val="none"/>
                      <w:lang w:val="en-US" w:eastAsia="zh-CN"/>
                    </w:rPr>
                    <w:t>未提供</w:t>
                  </w:r>
                  <w:r>
                    <w:rPr>
                      <w:rFonts w:hint="eastAsia"/>
                      <w:szCs w:val="21"/>
                      <w:highlight w:val="none"/>
                    </w:rPr>
                    <w:t>的不得分</w:t>
                  </w:r>
                  <w:r>
                    <w:rPr>
                      <w:rFonts w:hint="eastAsia"/>
                      <w:szCs w:val="21"/>
                      <w:highlight w:val="none"/>
                      <w:lang w:eastAsia="zh-CN"/>
                    </w:rPr>
                    <w:t>；</w:t>
                  </w:r>
                  <w:r>
                    <w:rPr>
                      <w:rFonts w:hint="eastAsia"/>
                      <w:szCs w:val="21"/>
                      <w:highlight w:val="none"/>
                      <w:lang w:val="en-US" w:eastAsia="zh-CN"/>
                    </w:rPr>
                    <w:t>本项最多得4分。</w:t>
                  </w:r>
                </w:p>
              </w:tc>
            </w:tr>
            <w:tr w14:paraId="76CAC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810" w:type="dxa"/>
                  <w:vMerge w:val="restart"/>
                  <w:tcBorders>
                    <w:top w:val="single" w:color="auto" w:sz="4" w:space="0"/>
                    <w:left w:val="single" w:color="auto" w:sz="4" w:space="0"/>
                    <w:right w:val="single" w:color="auto" w:sz="4" w:space="0"/>
                  </w:tcBorders>
                  <w:vAlign w:val="center"/>
                </w:tcPr>
                <w:p w14:paraId="768E7423">
                  <w:pPr>
                    <w:rPr>
                      <w:rFonts w:ascii="宋体" w:hAnsi="宋体"/>
                    </w:rPr>
                  </w:pPr>
                  <w:r>
                    <w:rPr>
                      <w:rFonts w:ascii="宋体" w:hAnsi="宋体" w:cs="宋体"/>
                      <w:szCs w:val="21"/>
                    </w:rPr>
                    <w:t xml:space="preserve">                                                                                                                                                                                                                                                                                                                                                                  </w:t>
                  </w:r>
                  <w:r>
                    <w:rPr>
                      <w:rFonts w:hint="eastAsia" w:ascii="宋体" w:hAnsi="宋体" w:cs="宋体"/>
                      <w:szCs w:val="21"/>
                    </w:rPr>
                    <w:t>综合实力</w:t>
                  </w:r>
                </w:p>
              </w:tc>
              <w:tc>
                <w:tcPr>
                  <w:tcW w:w="807" w:type="dxa"/>
                  <w:tcBorders>
                    <w:top w:val="single" w:color="auto" w:sz="4" w:space="0"/>
                    <w:left w:val="single" w:color="auto" w:sz="4" w:space="0"/>
                    <w:right w:val="single" w:color="auto" w:sz="4" w:space="0"/>
                  </w:tcBorders>
                  <w:vAlign w:val="center"/>
                </w:tcPr>
                <w:p w14:paraId="07CC0C8F">
                  <w:pPr>
                    <w:jc w:val="center"/>
                  </w:pPr>
                  <w:r>
                    <w:rPr>
                      <w:rFonts w:hint="eastAsia" w:ascii="宋体" w:hAnsi="宋体" w:cs="宋体"/>
                      <w:szCs w:val="21"/>
                    </w:rPr>
                    <w:t>（1）</w:t>
                  </w:r>
                </w:p>
              </w:tc>
              <w:tc>
                <w:tcPr>
                  <w:tcW w:w="1065" w:type="dxa"/>
                  <w:tcBorders>
                    <w:top w:val="single" w:color="auto" w:sz="4" w:space="0"/>
                    <w:left w:val="single" w:color="auto" w:sz="4" w:space="0"/>
                    <w:bottom w:val="single" w:color="auto" w:sz="4" w:space="0"/>
                    <w:right w:val="single" w:color="auto" w:sz="4" w:space="0"/>
                  </w:tcBorders>
                  <w:vAlign w:val="center"/>
                </w:tcPr>
                <w:p w14:paraId="733966B7">
                  <w:pPr>
                    <w:pStyle w:val="49"/>
                    <w:snapToGrid w:val="0"/>
                    <w:spacing w:line="264" w:lineRule="auto"/>
                    <w:ind w:left="2" w:right="-2"/>
                    <w:jc w:val="center"/>
                    <w:rPr>
                      <w:rFonts w:ascii="宋体" w:hAnsi="宋体" w:cs="宋体"/>
                      <w:color w:val="auto"/>
                      <w:szCs w:val="21"/>
                      <w:lang w:val="zh-CN"/>
                    </w:rPr>
                  </w:pPr>
                  <w:r>
                    <w:rPr>
                      <w:rFonts w:hint="eastAsia" w:ascii="宋体" w:hAnsi="宋体" w:cs="宋体"/>
                      <w:color w:val="auto"/>
                      <w:szCs w:val="21"/>
                      <w:lang w:val="zh-CN"/>
                    </w:rPr>
                    <w:t>业绩</w:t>
                  </w:r>
                </w:p>
                <w:p w14:paraId="32501F34">
                  <w:pPr>
                    <w:pStyle w:val="49"/>
                    <w:snapToGrid w:val="0"/>
                    <w:spacing w:line="264" w:lineRule="auto"/>
                    <w:ind w:left="2" w:right="-2"/>
                    <w:jc w:val="center"/>
                    <w:rPr>
                      <w:color w:val="auto"/>
                      <w:szCs w:val="21"/>
                      <w:lang w:val="en-GB"/>
                    </w:rPr>
                  </w:pPr>
                  <w:r>
                    <w:rPr>
                      <w:rFonts w:hint="eastAsia" w:ascii="宋体" w:hAnsi="宋体" w:cs="宋体"/>
                      <w:color w:val="auto"/>
                      <w:szCs w:val="21"/>
                      <w:lang w:val="zh-CN"/>
                    </w:rPr>
                    <w:t>（</w:t>
                  </w:r>
                  <w:r>
                    <w:rPr>
                      <w:rFonts w:hint="eastAsia" w:ascii="宋体" w:hAnsi="宋体" w:cs="宋体"/>
                      <w:color w:val="auto"/>
                      <w:szCs w:val="21"/>
                    </w:rPr>
                    <w:t>12分</w:t>
                  </w:r>
                  <w:r>
                    <w:rPr>
                      <w:rFonts w:hint="eastAsia" w:ascii="宋体" w:hAnsi="宋体" w:cs="宋体"/>
                      <w:color w:val="auto"/>
                      <w:szCs w:val="21"/>
                      <w:lang w:val="zh-CN"/>
                    </w:rPr>
                    <w:t>）</w:t>
                  </w:r>
                </w:p>
              </w:tc>
              <w:tc>
                <w:tcPr>
                  <w:tcW w:w="6806" w:type="dxa"/>
                  <w:tcBorders>
                    <w:top w:val="single" w:color="auto" w:sz="4" w:space="0"/>
                    <w:left w:val="single" w:color="auto" w:sz="4" w:space="0"/>
                    <w:bottom w:val="single" w:color="auto" w:sz="4" w:space="0"/>
                    <w:right w:val="single" w:color="auto" w:sz="4" w:space="0"/>
                  </w:tcBorders>
                  <w:vAlign w:val="center"/>
                </w:tcPr>
                <w:p w14:paraId="7715FE98">
                  <w:pPr>
                    <w:pStyle w:val="52"/>
                    <w:keepNext w:val="0"/>
                    <w:keepLines w:val="0"/>
                    <w:pageBreakBefore w:val="0"/>
                    <w:widowControl w:val="0"/>
                    <w:kinsoku/>
                    <w:wordWrap/>
                    <w:overflowPunct/>
                    <w:topLinePunct w:val="0"/>
                    <w:autoSpaceDE/>
                    <w:autoSpaceDN/>
                    <w:bidi w:val="0"/>
                    <w:adjustRightInd/>
                    <w:snapToGrid/>
                    <w:spacing w:line="240" w:lineRule="exact"/>
                    <w:ind w:firstLine="0" w:firstLineChars="0"/>
                    <w:textAlignment w:val="auto"/>
                    <w:rPr>
                      <w:rFonts w:hint="eastAsia" w:ascii="宋体" w:hAnsi="宋体" w:eastAsia="宋体" w:cs="宋体"/>
                      <w:szCs w:val="21"/>
                      <w:lang w:eastAsia="zh-CN"/>
                    </w:rPr>
                  </w:pPr>
                  <w:r>
                    <w:rPr>
                      <w:rFonts w:hint="eastAsia" w:ascii="宋体" w:hAnsi="宋体" w:eastAsia="宋体" w:cs="宋体"/>
                      <w:szCs w:val="21"/>
                    </w:rPr>
                    <w:t>投标人2020年以来承担过乡镇级客土抽检</w:t>
                  </w:r>
                  <w:r>
                    <w:rPr>
                      <w:rFonts w:hint="eastAsia" w:ascii="宋体" w:hAnsi="宋体" w:eastAsia="宋体" w:cs="宋体"/>
                      <w:szCs w:val="21"/>
                      <w:lang w:eastAsia="zh-CN"/>
                    </w:rPr>
                    <w:t>或客土调查</w:t>
                  </w:r>
                  <w:r>
                    <w:rPr>
                      <w:rFonts w:hint="eastAsia" w:ascii="宋体" w:hAnsi="宋体" w:eastAsia="宋体" w:cs="宋体"/>
                      <w:szCs w:val="21"/>
                    </w:rPr>
                    <w:t>项目的有1项得</w:t>
                  </w:r>
                  <w:r>
                    <w:rPr>
                      <w:rFonts w:ascii="宋体" w:hAnsi="宋体" w:eastAsia="宋体" w:cs="宋体"/>
                      <w:szCs w:val="21"/>
                    </w:rPr>
                    <w:t>1</w:t>
                  </w:r>
                  <w:r>
                    <w:rPr>
                      <w:rFonts w:hint="eastAsia" w:ascii="宋体" w:hAnsi="宋体" w:eastAsia="宋体" w:cs="宋体"/>
                      <w:szCs w:val="21"/>
                    </w:rPr>
                    <w:t>分，最高得</w:t>
                  </w:r>
                  <w:r>
                    <w:rPr>
                      <w:rFonts w:ascii="宋体" w:hAnsi="宋体" w:eastAsia="宋体" w:cs="宋体"/>
                      <w:szCs w:val="21"/>
                    </w:rPr>
                    <w:t>2</w:t>
                  </w:r>
                  <w:r>
                    <w:rPr>
                      <w:rFonts w:hint="eastAsia" w:ascii="宋体" w:hAnsi="宋体" w:eastAsia="宋体" w:cs="宋体"/>
                      <w:szCs w:val="21"/>
                    </w:rPr>
                    <w:t>分</w:t>
                  </w:r>
                  <w:r>
                    <w:rPr>
                      <w:rFonts w:hint="eastAsia" w:ascii="宋体" w:hAnsi="宋体" w:eastAsia="宋体" w:cs="宋体"/>
                      <w:szCs w:val="21"/>
                      <w:lang w:eastAsia="zh-CN"/>
                    </w:rPr>
                    <w:t>。</w:t>
                  </w:r>
                </w:p>
                <w:p w14:paraId="438D67D6">
                  <w:pPr>
                    <w:pStyle w:val="52"/>
                    <w:keepNext w:val="0"/>
                    <w:keepLines w:val="0"/>
                    <w:pageBreakBefore w:val="0"/>
                    <w:widowControl w:val="0"/>
                    <w:kinsoku/>
                    <w:wordWrap/>
                    <w:overflowPunct/>
                    <w:topLinePunct w:val="0"/>
                    <w:autoSpaceDE/>
                    <w:autoSpaceDN/>
                    <w:bidi w:val="0"/>
                    <w:adjustRightInd/>
                    <w:snapToGrid/>
                    <w:spacing w:line="240" w:lineRule="exact"/>
                    <w:ind w:firstLine="0" w:firstLineChars="0"/>
                    <w:textAlignment w:val="auto"/>
                    <w:rPr>
                      <w:rFonts w:hint="eastAsia" w:ascii="宋体" w:hAnsi="宋体" w:eastAsia="宋体" w:cs="宋体"/>
                      <w:szCs w:val="21"/>
                      <w:lang w:val="en-US" w:eastAsia="zh-CN"/>
                    </w:rPr>
                  </w:pPr>
                  <w:r>
                    <w:rPr>
                      <w:rFonts w:hint="eastAsia" w:ascii="宋体" w:hAnsi="宋体" w:eastAsia="宋体" w:cs="宋体"/>
                      <w:szCs w:val="21"/>
                    </w:rPr>
                    <w:t>投标人2020年以来承担过区县级</w:t>
                  </w:r>
                  <w:r>
                    <w:rPr>
                      <w:rFonts w:hint="eastAsia" w:ascii="宋体" w:hAnsi="宋体" w:eastAsia="宋体" w:cs="宋体"/>
                      <w:szCs w:val="21"/>
                      <w:lang w:val="en-US" w:eastAsia="zh-CN"/>
                    </w:rPr>
                    <w:t>及以上</w:t>
                  </w:r>
                  <w:r>
                    <w:rPr>
                      <w:rFonts w:hint="eastAsia" w:ascii="宋体" w:hAnsi="宋体" w:eastAsia="宋体" w:cs="宋体"/>
                      <w:szCs w:val="21"/>
                    </w:rPr>
                    <w:t>客土抽检</w:t>
                  </w:r>
                  <w:r>
                    <w:rPr>
                      <w:rFonts w:hint="eastAsia" w:ascii="宋体" w:hAnsi="宋体" w:eastAsia="宋体" w:cs="宋体"/>
                      <w:szCs w:val="21"/>
                      <w:lang w:eastAsia="zh-CN"/>
                    </w:rPr>
                    <w:t>或客土调查</w:t>
                  </w:r>
                  <w:r>
                    <w:rPr>
                      <w:rFonts w:hint="eastAsia" w:ascii="宋体" w:hAnsi="宋体" w:eastAsia="宋体" w:cs="宋体"/>
                      <w:szCs w:val="21"/>
                    </w:rPr>
                    <w:t>项目的，有1项得2分，最高得4分</w:t>
                  </w:r>
                  <w:r>
                    <w:rPr>
                      <w:rFonts w:hint="eastAsia" w:ascii="宋体" w:hAnsi="宋体" w:eastAsia="宋体" w:cs="宋体"/>
                      <w:szCs w:val="21"/>
                      <w:lang w:val="en-US" w:eastAsia="zh-CN"/>
                    </w:rPr>
                    <w:t>。</w:t>
                  </w:r>
                </w:p>
                <w:p w14:paraId="5E9FA91E">
                  <w:pPr>
                    <w:pStyle w:val="52"/>
                    <w:keepNext w:val="0"/>
                    <w:keepLines w:val="0"/>
                    <w:pageBreakBefore w:val="0"/>
                    <w:widowControl w:val="0"/>
                    <w:kinsoku/>
                    <w:wordWrap/>
                    <w:overflowPunct/>
                    <w:topLinePunct w:val="0"/>
                    <w:autoSpaceDE/>
                    <w:autoSpaceDN/>
                    <w:bidi w:val="0"/>
                    <w:adjustRightInd/>
                    <w:snapToGrid/>
                    <w:spacing w:line="240" w:lineRule="exact"/>
                    <w:ind w:firstLine="0" w:firstLineChars="0"/>
                    <w:textAlignment w:val="auto"/>
                    <w:rPr>
                      <w:rFonts w:ascii="宋体" w:hAnsi="宋体" w:eastAsia="宋体" w:cs="宋体"/>
                      <w:szCs w:val="21"/>
                    </w:rPr>
                  </w:pPr>
                  <w:r>
                    <w:rPr>
                      <w:rFonts w:hint="eastAsia" w:ascii="宋体" w:hAnsi="宋体" w:eastAsia="宋体" w:cs="宋体"/>
                      <w:szCs w:val="21"/>
                    </w:rPr>
                    <w:t>投标人2020年以来承担过省级</w:t>
                  </w:r>
                  <w:r>
                    <w:rPr>
                      <w:rFonts w:hint="eastAsia" w:ascii="宋体" w:hAnsi="宋体" w:eastAsia="宋体" w:cs="宋体"/>
                      <w:szCs w:val="21"/>
                      <w:lang w:val="en-US" w:eastAsia="zh-CN"/>
                    </w:rPr>
                    <w:t>及以上</w:t>
                  </w:r>
                  <w:r>
                    <w:rPr>
                      <w:rFonts w:hint="eastAsia" w:ascii="宋体" w:hAnsi="宋体" w:eastAsia="宋体" w:cs="宋体"/>
                      <w:szCs w:val="21"/>
                    </w:rPr>
                    <w:t>土壤（耕地、土地）地球化学调查评价或监测类项目的，有1项得</w:t>
                  </w:r>
                  <w:r>
                    <w:rPr>
                      <w:rFonts w:ascii="宋体" w:hAnsi="宋体" w:eastAsia="宋体" w:cs="宋体"/>
                      <w:szCs w:val="21"/>
                    </w:rPr>
                    <w:t>3</w:t>
                  </w:r>
                  <w:r>
                    <w:rPr>
                      <w:rFonts w:hint="eastAsia" w:ascii="宋体" w:hAnsi="宋体" w:eastAsia="宋体" w:cs="宋体"/>
                      <w:szCs w:val="21"/>
                    </w:rPr>
                    <w:t>分，最高得6分。</w:t>
                  </w:r>
                </w:p>
                <w:p w14:paraId="1FDC4253">
                  <w:pPr>
                    <w:pStyle w:val="52"/>
                    <w:keepNext w:val="0"/>
                    <w:keepLines w:val="0"/>
                    <w:pageBreakBefore w:val="0"/>
                    <w:widowControl w:val="0"/>
                    <w:kinsoku/>
                    <w:wordWrap/>
                    <w:overflowPunct/>
                    <w:topLinePunct w:val="0"/>
                    <w:autoSpaceDE/>
                    <w:autoSpaceDN/>
                    <w:bidi w:val="0"/>
                    <w:adjustRightInd/>
                    <w:snapToGrid/>
                    <w:spacing w:line="240" w:lineRule="exact"/>
                    <w:ind w:firstLine="0" w:firstLineChars="0"/>
                    <w:textAlignment w:val="auto"/>
                    <w:rPr>
                      <w:rFonts w:hint="eastAsia" w:ascii="宋体" w:hAnsi="宋体" w:eastAsia="宋体" w:cs="宋体"/>
                      <w:b/>
                      <w:bCs/>
                      <w:szCs w:val="21"/>
                      <w:lang w:eastAsia="zh-CN"/>
                    </w:rPr>
                  </w:pPr>
                  <w:r>
                    <w:rPr>
                      <w:rFonts w:ascii="宋体" w:hAnsi="宋体" w:eastAsia="宋体" w:cs="宋体"/>
                      <w:szCs w:val="21"/>
                    </w:rPr>
                    <w:t>注：</w:t>
                  </w:r>
                  <w:r>
                    <w:rPr>
                      <w:rFonts w:ascii="宋体" w:hAnsi="宋体" w:eastAsia="宋体" w:cs="宋体"/>
                      <w:b/>
                      <w:bCs/>
                      <w:szCs w:val="21"/>
                    </w:rPr>
                    <w:t>须提供合同复印件加盖投标人公章</w:t>
                  </w:r>
                  <w:r>
                    <w:rPr>
                      <w:rFonts w:hint="eastAsia" w:ascii="宋体" w:hAnsi="宋体" w:eastAsia="宋体" w:cs="宋体"/>
                      <w:b/>
                      <w:bCs/>
                      <w:szCs w:val="21"/>
                      <w:lang w:eastAsia="zh-CN"/>
                    </w:rPr>
                    <w:t>。</w:t>
                  </w:r>
                </w:p>
              </w:tc>
            </w:tr>
            <w:tr w14:paraId="2B11B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810" w:type="dxa"/>
                  <w:vMerge w:val="continue"/>
                  <w:tcBorders>
                    <w:left w:val="single" w:color="auto" w:sz="4" w:space="0"/>
                    <w:right w:val="single" w:color="auto" w:sz="4" w:space="0"/>
                  </w:tcBorders>
                  <w:vAlign w:val="center"/>
                </w:tcPr>
                <w:p w14:paraId="6B312267">
                  <w:pPr>
                    <w:jc w:val="center"/>
                  </w:pPr>
                </w:p>
              </w:tc>
              <w:tc>
                <w:tcPr>
                  <w:tcW w:w="807" w:type="dxa"/>
                  <w:tcBorders>
                    <w:left w:val="single" w:color="auto" w:sz="4" w:space="0"/>
                    <w:right w:val="single" w:color="auto" w:sz="4" w:space="0"/>
                  </w:tcBorders>
                  <w:vAlign w:val="center"/>
                </w:tcPr>
                <w:p w14:paraId="6D69C7F5">
                  <w:pPr>
                    <w:jc w:val="center"/>
                  </w:pPr>
                  <w:r>
                    <w:rPr>
                      <w:rFonts w:hint="eastAsia" w:ascii="宋体" w:hAnsi="宋体" w:cs="宋体"/>
                      <w:szCs w:val="21"/>
                    </w:rPr>
                    <w:t>（2）</w:t>
                  </w:r>
                </w:p>
              </w:tc>
              <w:tc>
                <w:tcPr>
                  <w:tcW w:w="1065" w:type="dxa"/>
                  <w:tcBorders>
                    <w:top w:val="single" w:color="auto" w:sz="4" w:space="0"/>
                    <w:left w:val="single" w:color="auto" w:sz="4" w:space="0"/>
                    <w:bottom w:val="single" w:color="auto" w:sz="4" w:space="0"/>
                    <w:right w:val="single" w:color="auto" w:sz="4" w:space="0"/>
                  </w:tcBorders>
                  <w:vAlign w:val="center"/>
                </w:tcPr>
                <w:p w14:paraId="1EF45CBA">
                  <w:pPr>
                    <w:pStyle w:val="49"/>
                    <w:snapToGrid w:val="0"/>
                    <w:spacing w:line="264" w:lineRule="auto"/>
                    <w:ind w:left="2" w:right="-2"/>
                    <w:jc w:val="center"/>
                    <w:rPr>
                      <w:color w:val="auto"/>
                      <w:kern w:val="0"/>
                      <w:szCs w:val="21"/>
                    </w:rPr>
                  </w:pPr>
                  <w:r>
                    <w:rPr>
                      <w:rFonts w:hint="eastAsia" w:ascii="宋体" w:hAnsi="宋体" w:cs="宋体"/>
                      <w:color w:val="auto"/>
                      <w:szCs w:val="21"/>
                      <w:lang w:val="zh-CN"/>
                    </w:rPr>
                    <w:t>奖项（</w:t>
                  </w:r>
                  <w:r>
                    <w:rPr>
                      <w:rFonts w:hint="eastAsia" w:ascii="宋体" w:hAnsi="宋体" w:cs="宋体"/>
                      <w:color w:val="auto"/>
                      <w:szCs w:val="21"/>
                      <w:lang w:val="en-US" w:eastAsia="zh-CN"/>
                    </w:rPr>
                    <w:t>8</w:t>
                  </w:r>
                  <w:r>
                    <w:rPr>
                      <w:rFonts w:hint="eastAsia" w:ascii="宋体" w:hAnsi="宋体" w:cs="宋体"/>
                      <w:color w:val="auto"/>
                      <w:szCs w:val="21"/>
                      <w:lang w:val="zh-CN"/>
                    </w:rPr>
                    <w:t>分）</w:t>
                  </w:r>
                </w:p>
              </w:tc>
              <w:tc>
                <w:tcPr>
                  <w:tcW w:w="6806" w:type="dxa"/>
                  <w:tcBorders>
                    <w:top w:val="single" w:color="auto" w:sz="4" w:space="0"/>
                    <w:left w:val="single" w:color="auto" w:sz="4" w:space="0"/>
                    <w:bottom w:val="single" w:color="auto" w:sz="4" w:space="0"/>
                    <w:right w:val="single" w:color="auto" w:sz="4" w:space="0"/>
                  </w:tcBorders>
                  <w:vAlign w:val="center"/>
                </w:tcPr>
                <w:p w14:paraId="4A7E51EE">
                  <w:pPr>
                    <w:rPr>
                      <w:rFonts w:ascii="宋体" w:hAnsi="宋体" w:cs="宋体"/>
                      <w:szCs w:val="21"/>
                    </w:rPr>
                  </w:pPr>
                  <w:r>
                    <w:rPr>
                      <w:rFonts w:hint="eastAsia" w:ascii="宋体" w:hAnsi="宋体" w:cs="宋体"/>
                      <w:szCs w:val="21"/>
                    </w:rPr>
                    <w:t>1、投标人自2020年1月1日以来（以获奖时间为准）作为第一完成人获得过土壤、地下水、土地、矿产等自然资源与环境调查等相关专业省级及以上奖项的，每有1项得</w:t>
                  </w:r>
                  <w:r>
                    <w:rPr>
                      <w:rFonts w:hint="eastAsia" w:ascii="宋体" w:hAnsi="宋体" w:cs="宋体"/>
                      <w:szCs w:val="21"/>
                      <w:lang w:val="en-US" w:eastAsia="zh-CN"/>
                    </w:rPr>
                    <w:t>1</w:t>
                  </w:r>
                  <w:r>
                    <w:rPr>
                      <w:rFonts w:hint="eastAsia" w:ascii="宋体" w:hAnsi="宋体" w:cs="宋体"/>
                      <w:szCs w:val="21"/>
                    </w:rPr>
                    <w:t>分，</w:t>
                  </w:r>
                  <w:r>
                    <w:rPr>
                      <w:rFonts w:hint="eastAsia" w:ascii="宋体" w:hAnsi="宋体" w:cs="宋体"/>
                      <w:szCs w:val="21"/>
                      <w:lang w:val="en-US" w:eastAsia="zh-CN"/>
                    </w:rPr>
                    <w:t>最高得4</w:t>
                  </w:r>
                  <w:r>
                    <w:rPr>
                      <w:rFonts w:hint="eastAsia" w:ascii="宋体" w:hAnsi="宋体" w:cs="宋体"/>
                      <w:szCs w:val="21"/>
                    </w:rPr>
                    <w:t>分。</w:t>
                  </w:r>
                </w:p>
                <w:p w14:paraId="33F4C949">
                  <w:pPr>
                    <w:rPr>
                      <w:lang w:val="en-US" w:eastAsia="zh-CN"/>
                    </w:rPr>
                  </w:pPr>
                  <w:r>
                    <w:rPr>
                      <w:rFonts w:hint="eastAsia" w:ascii="宋体" w:hAnsi="宋体" w:cs="宋体"/>
                      <w:szCs w:val="21"/>
                    </w:rPr>
                    <w:t>2、投标人自2020年1月1日以来（以颁发时间为准）获得与土壤、地下水、样品采集、土壤改良、土壤修复等相关授权专利的，有1项得</w:t>
                  </w:r>
                  <w:r>
                    <w:rPr>
                      <w:rFonts w:hint="eastAsia" w:ascii="宋体" w:hAnsi="宋体" w:cs="宋体"/>
                      <w:szCs w:val="21"/>
                      <w:lang w:val="en-US" w:eastAsia="zh-CN"/>
                    </w:rPr>
                    <w:t>0.5</w:t>
                  </w:r>
                  <w:r>
                    <w:rPr>
                      <w:rFonts w:hint="eastAsia" w:ascii="宋体" w:hAnsi="宋体" w:cs="宋体"/>
                      <w:szCs w:val="21"/>
                    </w:rPr>
                    <w:t>分，</w:t>
                  </w:r>
                  <w:r>
                    <w:rPr>
                      <w:rFonts w:hint="eastAsia" w:ascii="宋体" w:hAnsi="宋体" w:cs="宋体"/>
                      <w:szCs w:val="21"/>
                      <w:lang w:val="en-US" w:eastAsia="zh-CN"/>
                    </w:rPr>
                    <w:t>最高得4</w:t>
                  </w:r>
                  <w:r>
                    <w:rPr>
                      <w:rFonts w:hint="eastAsia" w:ascii="宋体" w:hAnsi="宋体" w:cs="宋体"/>
                      <w:szCs w:val="21"/>
                    </w:rPr>
                    <w:t>分。</w:t>
                  </w:r>
                </w:p>
                <w:p w14:paraId="2A4F8840">
                  <w:pPr>
                    <w:spacing w:line="22" w:lineRule="atLeast"/>
                    <w:rPr>
                      <w:szCs w:val="21"/>
                    </w:rPr>
                  </w:pPr>
                  <w:r>
                    <w:rPr>
                      <w:rFonts w:hint="eastAsia" w:ascii="宋体" w:hAnsi="宋体" w:cs="宋体"/>
                      <w:b/>
                      <w:bCs/>
                      <w:szCs w:val="21"/>
                    </w:rPr>
                    <w:t>注：须提供证书复印件加盖投标人公章</w:t>
                  </w:r>
                  <w:r>
                    <w:rPr>
                      <w:rFonts w:ascii="宋体" w:hAnsi="宋体" w:cs="宋体"/>
                      <w:b/>
                      <w:bCs/>
                      <w:szCs w:val="21"/>
                    </w:rPr>
                    <w:t>，</w:t>
                  </w:r>
                  <w:r>
                    <w:rPr>
                      <w:rFonts w:hint="eastAsia" w:ascii="宋体" w:hAnsi="宋体" w:cs="宋体"/>
                      <w:b/>
                      <w:bCs/>
                      <w:szCs w:val="21"/>
                    </w:rPr>
                    <w:t>否则不得分。（以上证明材料中，必须为供应商本单位成果，其下属单位或合作单位等均不得分）</w:t>
                  </w:r>
                </w:p>
              </w:tc>
            </w:tr>
            <w:tr w14:paraId="7A245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1" w:hRule="atLeast"/>
                <w:jc w:val="center"/>
              </w:trPr>
              <w:tc>
                <w:tcPr>
                  <w:tcW w:w="810" w:type="dxa"/>
                  <w:vMerge w:val="continue"/>
                  <w:tcBorders>
                    <w:left w:val="single" w:color="auto" w:sz="4" w:space="0"/>
                    <w:right w:val="single" w:color="auto" w:sz="4" w:space="0"/>
                  </w:tcBorders>
                  <w:vAlign w:val="center"/>
                </w:tcPr>
                <w:p w14:paraId="6E1478CB">
                  <w:pPr>
                    <w:jc w:val="center"/>
                    <w:rPr>
                      <w:rFonts w:ascii="宋体" w:hAnsi="宋体"/>
                    </w:rPr>
                  </w:pPr>
                </w:p>
              </w:tc>
              <w:tc>
                <w:tcPr>
                  <w:tcW w:w="807" w:type="dxa"/>
                  <w:tcBorders>
                    <w:top w:val="single" w:color="auto" w:sz="4" w:space="0"/>
                    <w:left w:val="single" w:color="auto" w:sz="4" w:space="0"/>
                    <w:right w:val="single" w:color="auto" w:sz="4" w:space="0"/>
                  </w:tcBorders>
                  <w:vAlign w:val="center"/>
                </w:tcPr>
                <w:p w14:paraId="65CE66D4">
                  <w:pPr>
                    <w:jc w:val="center"/>
                  </w:pPr>
                  <w:r>
                    <w:rPr>
                      <w:rFonts w:hint="eastAsia" w:ascii="宋体" w:hAnsi="宋体" w:cs="宋体"/>
                      <w:szCs w:val="21"/>
                    </w:rPr>
                    <w:t>（3）</w:t>
                  </w:r>
                </w:p>
              </w:tc>
              <w:tc>
                <w:tcPr>
                  <w:tcW w:w="1065" w:type="dxa"/>
                  <w:tcBorders>
                    <w:top w:val="single" w:color="auto" w:sz="4" w:space="0"/>
                    <w:left w:val="single" w:color="auto" w:sz="4" w:space="0"/>
                    <w:right w:val="single" w:color="auto" w:sz="4" w:space="0"/>
                  </w:tcBorders>
                  <w:vAlign w:val="center"/>
                </w:tcPr>
                <w:p w14:paraId="47287130">
                  <w:pPr>
                    <w:pStyle w:val="49"/>
                    <w:snapToGrid w:val="0"/>
                    <w:spacing w:line="264" w:lineRule="auto"/>
                    <w:ind w:left="2" w:right="-2"/>
                    <w:jc w:val="center"/>
                    <w:rPr>
                      <w:color w:val="auto"/>
                    </w:rPr>
                  </w:pPr>
                  <w:r>
                    <w:rPr>
                      <w:rFonts w:hint="eastAsia" w:ascii="宋体" w:hAnsi="宋体" w:cs="宋体"/>
                      <w:color w:val="auto"/>
                      <w:szCs w:val="21"/>
                      <w:lang w:val="zh-CN"/>
                    </w:rPr>
                    <w:t>项目参与人员配备（</w:t>
                  </w:r>
                  <w:r>
                    <w:rPr>
                      <w:rFonts w:hint="eastAsia" w:ascii="宋体" w:hAnsi="宋体" w:cs="宋体"/>
                      <w:color w:val="auto"/>
                      <w:szCs w:val="21"/>
                      <w:lang w:val="en-US" w:eastAsia="zh-CN"/>
                    </w:rPr>
                    <w:t>14</w:t>
                  </w:r>
                  <w:r>
                    <w:rPr>
                      <w:rFonts w:hint="eastAsia" w:ascii="宋体" w:hAnsi="宋体" w:cs="宋体"/>
                      <w:color w:val="auto"/>
                      <w:szCs w:val="21"/>
                      <w:lang w:val="zh-CN"/>
                    </w:rPr>
                    <w:t>分）</w:t>
                  </w:r>
                </w:p>
              </w:tc>
              <w:tc>
                <w:tcPr>
                  <w:tcW w:w="6806" w:type="dxa"/>
                  <w:tcBorders>
                    <w:top w:val="single" w:color="auto" w:sz="4" w:space="0"/>
                    <w:left w:val="single" w:color="auto" w:sz="4" w:space="0"/>
                    <w:right w:val="single" w:color="auto" w:sz="4" w:space="0"/>
                  </w:tcBorders>
                  <w:vAlign w:val="center"/>
                </w:tcPr>
                <w:p w14:paraId="0FBC9173">
                  <w:pPr>
                    <w:keepNext w:val="0"/>
                    <w:keepLines w:val="0"/>
                    <w:pageBreakBefore w:val="0"/>
                    <w:widowControl w:val="0"/>
                    <w:numPr>
                      <w:ilvl w:val="0"/>
                      <w:numId w:val="1"/>
                    </w:numPr>
                    <w:kinsoku/>
                    <w:wordWrap/>
                    <w:overflowPunct/>
                    <w:topLinePunct w:val="0"/>
                    <w:autoSpaceDE/>
                    <w:autoSpaceDN/>
                    <w:bidi w:val="0"/>
                    <w:adjustRightInd/>
                    <w:snapToGrid/>
                    <w:spacing w:line="240" w:lineRule="exact"/>
                    <w:textAlignment w:val="auto"/>
                    <w:rPr>
                      <w:rFonts w:ascii="宋体" w:hAnsi="宋体" w:cs="宋体"/>
                      <w:szCs w:val="21"/>
                    </w:rPr>
                  </w:pPr>
                  <w:r>
                    <w:rPr>
                      <w:rFonts w:hint="eastAsia" w:ascii="宋体" w:hAnsi="宋体" w:cs="宋体"/>
                      <w:szCs w:val="21"/>
                    </w:rPr>
                    <w:t>项目负责人具有</w:t>
                  </w:r>
                  <w:r>
                    <w:rPr>
                      <w:rFonts w:hint="eastAsia" w:ascii="宋体" w:hAnsi="宋体" w:eastAsia="宋体" w:cs="宋体"/>
                      <w:color w:val="auto"/>
                      <w:sz w:val="21"/>
                      <w:szCs w:val="21"/>
                      <w:highlight w:val="none"/>
                      <w:lang w:val="en-US" w:eastAsia="zh-CN"/>
                    </w:rPr>
                    <w:t>土壤工程师、土地工程师或水工环地质工程师职称证书的，</w:t>
                  </w:r>
                  <w:r>
                    <w:rPr>
                      <w:rFonts w:hint="eastAsia" w:ascii="宋体" w:hAnsi="宋体" w:cs="宋体"/>
                      <w:szCs w:val="21"/>
                      <w:lang w:val="en-US" w:eastAsia="zh-CN"/>
                    </w:rPr>
                    <w:t>中级职称得1分，</w:t>
                  </w:r>
                  <w:r>
                    <w:rPr>
                      <w:rFonts w:hint="eastAsia" w:ascii="宋体" w:hAnsi="宋体" w:cs="宋体"/>
                      <w:szCs w:val="21"/>
                    </w:rPr>
                    <w:t>高级职称得2分</w:t>
                  </w:r>
                  <w:r>
                    <w:rPr>
                      <w:rFonts w:hint="eastAsia" w:ascii="宋体" w:hAnsi="宋体" w:cs="宋体"/>
                      <w:szCs w:val="21"/>
                      <w:lang w:eastAsia="zh-CN"/>
                    </w:rPr>
                    <w:t>，</w:t>
                  </w:r>
                  <w:r>
                    <w:rPr>
                      <w:rFonts w:hint="eastAsia" w:ascii="宋体" w:hAnsi="宋体" w:cs="宋体"/>
                      <w:szCs w:val="21"/>
                    </w:rPr>
                    <w:t>正高级职称得3分。仅可计取一次，以最高职称为准，最高得3分。</w:t>
                  </w:r>
                </w:p>
                <w:p w14:paraId="14B80460">
                  <w:pPr>
                    <w:keepNext w:val="0"/>
                    <w:keepLines w:val="0"/>
                    <w:pageBreakBefore w:val="0"/>
                    <w:widowControl w:val="0"/>
                    <w:numPr>
                      <w:ilvl w:val="0"/>
                      <w:numId w:val="1"/>
                    </w:numPr>
                    <w:kinsoku/>
                    <w:wordWrap/>
                    <w:overflowPunct/>
                    <w:topLinePunct w:val="0"/>
                    <w:autoSpaceDE/>
                    <w:autoSpaceDN/>
                    <w:bidi w:val="0"/>
                    <w:adjustRightInd/>
                    <w:snapToGrid/>
                    <w:spacing w:line="240" w:lineRule="exact"/>
                    <w:textAlignment w:val="auto"/>
                    <w:rPr>
                      <w:rFonts w:ascii="宋体" w:hAnsi="宋体" w:cs="宋体"/>
                      <w:szCs w:val="21"/>
                    </w:rPr>
                  </w:pPr>
                  <w:r>
                    <w:rPr>
                      <w:rFonts w:hint="eastAsia" w:ascii="宋体" w:hAnsi="宋体" w:cs="宋体"/>
                      <w:szCs w:val="21"/>
                    </w:rPr>
                    <w:t>项目负责人自20</w:t>
                  </w:r>
                  <w:r>
                    <w:rPr>
                      <w:rFonts w:hint="eastAsia" w:ascii="宋体" w:hAnsi="宋体" w:cs="宋体"/>
                      <w:szCs w:val="21"/>
                      <w:lang w:val="en-US" w:eastAsia="zh-CN"/>
                    </w:rPr>
                    <w:t>20</w:t>
                  </w:r>
                  <w:r>
                    <w:rPr>
                      <w:rFonts w:hint="eastAsia" w:ascii="宋体" w:hAnsi="宋体" w:cs="宋体"/>
                      <w:szCs w:val="21"/>
                    </w:rPr>
                    <w:t>年1月1日以来（以合同签订时间为准）主持过土壤（耕地、土地）调查评价、监测、客土检测或客土抽检类项目的得2分，最高得2分。</w:t>
                  </w:r>
                </w:p>
                <w:p w14:paraId="45761B6F">
                  <w:pPr>
                    <w:keepNext w:val="0"/>
                    <w:keepLines w:val="0"/>
                    <w:pageBreakBefore w:val="0"/>
                    <w:widowControl w:val="0"/>
                    <w:numPr>
                      <w:ilvl w:val="0"/>
                      <w:numId w:val="1"/>
                    </w:numPr>
                    <w:kinsoku/>
                    <w:wordWrap/>
                    <w:overflowPunct/>
                    <w:topLinePunct w:val="0"/>
                    <w:autoSpaceDE/>
                    <w:autoSpaceDN/>
                    <w:bidi w:val="0"/>
                    <w:adjustRightInd/>
                    <w:snapToGrid/>
                    <w:spacing w:line="240" w:lineRule="exact"/>
                    <w:textAlignment w:val="auto"/>
                    <w:rPr>
                      <w:rFonts w:hint="eastAsia" w:ascii="宋体" w:hAnsi="宋体" w:cs="宋体"/>
                      <w:szCs w:val="21"/>
                      <w:lang w:val="en-US" w:eastAsia="zh-CN"/>
                    </w:rPr>
                  </w:pPr>
                  <w:r>
                    <w:rPr>
                      <w:rFonts w:hint="eastAsia"/>
                      <w:lang w:val="en-US" w:eastAsia="zh-CN"/>
                    </w:rPr>
                    <w:t>投入的项目技术负责人员具有</w:t>
                  </w:r>
                  <w:r>
                    <w:rPr>
                      <w:rFonts w:hint="eastAsia" w:ascii="宋体" w:hAnsi="宋体" w:eastAsia="宋体" w:cs="宋体"/>
                      <w:color w:val="auto"/>
                      <w:sz w:val="21"/>
                      <w:szCs w:val="21"/>
                      <w:highlight w:val="none"/>
                      <w:lang w:val="en-US" w:eastAsia="zh-CN"/>
                    </w:rPr>
                    <w:t>土壤工程师、土地工程师或水工环地质</w:t>
                  </w:r>
                  <w:r>
                    <w:rPr>
                      <w:rFonts w:hint="eastAsia" w:ascii="宋体" w:hAnsi="宋体" w:cs="宋体"/>
                      <w:szCs w:val="21"/>
                      <w:lang w:val="en-US" w:eastAsia="zh-CN"/>
                    </w:rPr>
                    <w:t>工程师职称证书的中级职称得1分，高级职称得2分，正高级职称得3分，仅可计取一次，以最高职称为准，最高得3分。</w:t>
                  </w:r>
                </w:p>
                <w:p w14:paraId="2A9626F6">
                  <w:pPr>
                    <w:numPr>
                      <w:ilvl w:val="0"/>
                      <w:numId w:val="1"/>
                    </w:numPr>
                    <w:spacing w:line="22" w:lineRule="atLeast"/>
                    <w:rPr>
                      <w:rFonts w:ascii="宋体" w:hAnsi="宋体" w:cs="宋体"/>
                      <w:szCs w:val="21"/>
                      <w:highlight w:val="none"/>
                    </w:rPr>
                  </w:pPr>
                  <w:r>
                    <w:rPr>
                      <w:rFonts w:hint="eastAsia" w:ascii="宋体" w:hAnsi="宋体" w:cs="宋体"/>
                      <w:szCs w:val="21"/>
                      <w:highlight w:val="none"/>
                    </w:rPr>
                    <w:t>投入的其他技术人员中，除了项目负责人和技术负责人外，</w:t>
                  </w:r>
                  <w:r>
                    <w:rPr>
                      <w:rFonts w:hint="eastAsia" w:ascii="宋体" w:hAnsi="宋体" w:cs="宋体"/>
                      <w:szCs w:val="21"/>
                      <w:highlight w:val="none"/>
                      <w:lang w:eastAsia="zh-CN"/>
                    </w:rPr>
                    <w:t>每多投</w:t>
                  </w:r>
                  <w:r>
                    <w:rPr>
                      <w:rFonts w:hint="eastAsia" w:ascii="宋体" w:hAnsi="宋体" w:cs="宋体"/>
                      <w:szCs w:val="21"/>
                      <w:highlight w:val="none"/>
                    </w:rPr>
                    <w:t>入</w:t>
                  </w:r>
                  <w:r>
                    <w:rPr>
                      <w:rFonts w:hint="eastAsia" w:ascii="宋体" w:hAnsi="宋体" w:cs="宋体"/>
                      <w:szCs w:val="21"/>
                      <w:highlight w:val="none"/>
                      <w:lang w:eastAsia="zh-CN"/>
                    </w:rPr>
                    <w:t>一名</w:t>
                  </w:r>
                  <w:r>
                    <w:rPr>
                      <w:rFonts w:hint="eastAsia" w:ascii="宋体" w:hAnsi="宋体" w:cs="宋体"/>
                      <w:szCs w:val="21"/>
                      <w:highlight w:val="none"/>
                      <w:lang w:val="en-US" w:eastAsia="zh-CN"/>
                    </w:rPr>
                    <w:t>正高级职称的</w:t>
                  </w:r>
                  <w:r>
                    <w:rPr>
                      <w:rFonts w:hint="eastAsia" w:ascii="宋体" w:hAnsi="宋体" w:eastAsia="宋体" w:cs="宋体"/>
                      <w:color w:val="auto"/>
                      <w:sz w:val="21"/>
                      <w:szCs w:val="21"/>
                      <w:highlight w:val="none"/>
                      <w:lang w:val="en-US" w:eastAsia="zh-CN"/>
                    </w:rPr>
                    <w:t>土壤工程师、土地工程师或水工环地质</w:t>
                  </w:r>
                  <w:r>
                    <w:rPr>
                      <w:rFonts w:hint="eastAsia" w:ascii="宋体" w:hAnsi="宋体" w:cs="宋体"/>
                      <w:szCs w:val="21"/>
                      <w:highlight w:val="none"/>
                      <w:lang w:val="en-US" w:eastAsia="zh-CN"/>
                    </w:rPr>
                    <w:t>工程师</w:t>
                  </w:r>
                  <w:r>
                    <w:rPr>
                      <w:rFonts w:hint="eastAsia" w:ascii="宋体" w:hAnsi="宋体" w:cs="宋体"/>
                      <w:szCs w:val="21"/>
                      <w:highlight w:val="none"/>
                    </w:rPr>
                    <w:t>的得1分，最高得2分</w:t>
                  </w:r>
                  <w:r>
                    <w:rPr>
                      <w:rFonts w:hint="eastAsia" w:ascii="宋体" w:hAnsi="宋体" w:cs="宋体"/>
                      <w:szCs w:val="21"/>
                      <w:highlight w:val="none"/>
                      <w:lang w:eastAsia="zh-CN"/>
                    </w:rPr>
                    <w:t>；每多投</w:t>
                  </w:r>
                  <w:r>
                    <w:rPr>
                      <w:rFonts w:hint="eastAsia" w:ascii="宋体" w:hAnsi="宋体" w:cs="宋体"/>
                      <w:szCs w:val="21"/>
                      <w:highlight w:val="none"/>
                    </w:rPr>
                    <w:t>入</w:t>
                  </w:r>
                  <w:r>
                    <w:rPr>
                      <w:rFonts w:hint="eastAsia" w:ascii="宋体" w:hAnsi="宋体" w:cs="宋体"/>
                      <w:szCs w:val="21"/>
                      <w:highlight w:val="none"/>
                      <w:lang w:eastAsia="zh-CN"/>
                    </w:rPr>
                    <w:t>一名</w:t>
                  </w:r>
                  <w:r>
                    <w:rPr>
                      <w:rFonts w:hint="eastAsia" w:ascii="宋体" w:hAnsi="宋体" w:cs="宋体"/>
                      <w:szCs w:val="21"/>
                      <w:highlight w:val="none"/>
                      <w:lang w:val="en-US" w:eastAsia="zh-CN"/>
                    </w:rPr>
                    <w:t>高级职称的</w:t>
                  </w:r>
                  <w:r>
                    <w:rPr>
                      <w:rFonts w:hint="eastAsia" w:ascii="宋体" w:hAnsi="宋体" w:eastAsia="宋体" w:cs="宋体"/>
                      <w:color w:val="auto"/>
                      <w:sz w:val="21"/>
                      <w:szCs w:val="21"/>
                      <w:highlight w:val="none"/>
                      <w:lang w:val="en-US" w:eastAsia="zh-CN"/>
                    </w:rPr>
                    <w:t>土壤工程师、土地工程师或水工环地质</w:t>
                  </w:r>
                  <w:r>
                    <w:rPr>
                      <w:rFonts w:hint="eastAsia" w:ascii="宋体" w:hAnsi="宋体" w:cs="宋体"/>
                      <w:szCs w:val="21"/>
                      <w:highlight w:val="none"/>
                      <w:lang w:val="en-US" w:eastAsia="zh-CN"/>
                    </w:rPr>
                    <w:t>工程师</w:t>
                  </w:r>
                  <w:r>
                    <w:rPr>
                      <w:rFonts w:hint="eastAsia" w:ascii="宋体" w:hAnsi="宋体" w:cs="宋体"/>
                      <w:szCs w:val="21"/>
                      <w:highlight w:val="none"/>
                    </w:rPr>
                    <w:t>的得</w:t>
                  </w:r>
                  <w:r>
                    <w:rPr>
                      <w:rFonts w:hint="eastAsia" w:ascii="宋体" w:hAnsi="宋体" w:cs="宋体"/>
                      <w:szCs w:val="21"/>
                      <w:highlight w:val="none"/>
                      <w:lang w:val="en-US" w:eastAsia="zh-CN"/>
                    </w:rPr>
                    <w:t>0.5</w:t>
                  </w:r>
                  <w:r>
                    <w:rPr>
                      <w:rFonts w:hint="eastAsia" w:ascii="宋体" w:hAnsi="宋体" w:cs="宋体"/>
                      <w:szCs w:val="21"/>
                      <w:highlight w:val="none"/>
                    </w:rPr>
                    <w:t>分，最高得2分。本项最高得</w:t>
                  </w:r>
                  <w:r>
                    <w:rPr>
                      <w:rFonts w:hint="eastAsia" w:ascii="宋体" w:hAnsi="宋体" w:cs="宋体"/>
                      <w:szCs w:val="21"/>
                      <w:highlight w:val="none"/>
                      <w:lang w:val="en-US" w:eastAsia="zh-CN"/>
                    </w:rPr>
                    <w:t>4</w:t>
                  </w:r>
                  <w:r>
                    <w:rPr>
                      <w:rFonts w:hint="eastAsia" w:ascii="宋体" w:hAnsi="宋体" w:cs="宋体"/>
                      <w:szCs w:val="21"/>
                      <w:highlight w:val="none"/>
                    </w:rPr>
                    <w:t>分</w:t>
                  </w:r>
                  <w:r>
                    <w:rPr>
                      <w:rFonts w:hint="eastAsia" w:ascii="宋体" w:hAnsi="宋体" w:cs="宋体"/>
                      <w:szCs w:val="21"/>
                      <w:highlight w:val="none"/>
                      <w:lang w:val="en-US" w:eastAsia="zh-CN"/>
                    </w:rPr>
                    <w:t>.</w:t>
                  </w:r>
                </w:p>
                <w:p w14:paraId="0864DB9A">
                  <w:pPr>
                    <w:keepNext w:val="0"/>
                    <w:keepLines w:val="0"/>
                    <w:pageBreakBefore w:val="0"/>
                    <w:widowControl w:val="0"/>
                    <w:numPr>
                      <w:ilvl w:val="0"/>
                      <w:numId w:val="1"/>
                    </w:numPr>
                    <w:kinsoku/>
                    <w:wordWrap/>
                    <w:overflowPunct/>
                    <w:topLinePunct w:val="0"/>
                    <w:autoSpaceDE/>
                    <w:autoSpaceDN/>
                    <w:bidi w:val="0"/>
                    <w:adjustRightInd/>
                    <w:snapToGrid/>
                    <w:spacing w:line="240" w:lineRule="exact"/>
                    <w:textAlignment w:val="auto"/>
                    <w:rPr>
                      <w:rFonts w:hint="default" w:ascii="宋体" w:hAnsi="宋体" w:cs="宋体"/>
                      <w:szCs w:val="21"/>
                      <w:highlight w:val="none"/>
                      <w:lang w:val="en-US" w:eastAsia="zh-CN"/>
                    </w:rPr>
                  </w:pPr>
                  <w:r>
                    <w:rPr>
                      <w:rFonts w:hint="eastAsia" w:ascii="宋体" w:hAnsi="宋体" w:cs="宋体"/>
                      <w:szCs w:val="21"/>
                      <w:highlight w:val="none"/>
                      <w:lang w:val="en-US" w:eastAsia="zh-CN"/>
                    </w:rPr>
                    <w:t>投入的其他技术人员中，获得过客土调查、抽检类项目省级奖励或表彰的，有1人加1分，最高得2分。</w:t>
                  </w:r>
                </w:p>
                <w:p w14:paraId="56ABF2D3">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exact"/>
                    <w:ind w:leftChars="0"/>
                    <w:textAlignment w:val="auto"/>
                  </w:pPr>
                  <w:r>
                    <w:rPr>
                      <w:rFonts w:hint="eastAsia" w:ascii="宋体" w:hAnsi="宋体" w:cs="宋体"/>
                      <w:b/>
                      <w:bCs/>
                      <w:szCs w:val="21"/>
                      <w:lang w:val="en-GB"/>
                    </w:rPr>
                    <w:t>注：以上项目团队人员</w:t>
                  </w:r>
                  <w:r>
                    <w:rPr>
                      <w:rFonts w:hint="eastAsia" w:ascii="宋体" w:hAnsi="宋体" w:cs="宋体"/>
                      <w:b/>
                      <w:bCs/>
                      <w:szCs w:val="21"/>
                    </w:rPr>
                    <w:t>不重复得分，须</w:t>
                  </w:r>
                  <w:r>
                    <w:rPr>
                      <w:rFonts w:hint="eastAsia" w:ascii="宋体" w:hAnsi="宋体" w:cs="宋体"/>
                      <w:b/>
                      <w:bCs/>
                      <w:szCs w:val="21"/>
                      <w:lang w:val="en-GB"/>
                    </w:rPr>
                    <w:t>提供职称证（职称证书不能体现专业的需提供职称评审表或毕业证书）、开标前</w:t>
                  </w:r>
                  <w:r>
                    <w:rPr>
                      <w:rFonts w:hint="eastAsia" w:ascii="宋体" w:hAnsi="宋体" w:cs="宋体"/>
                      <w:b/>
                      <w:bCs/>
                      <w:szCs w:val="21"/>
                      <w:lang w:val="en-US" w:eastAsia="zh-CN"/>
                    </w:rPr>
                    <w:t>当月或上月得</w:t>
                  </w:r>
                  <w:r>
                    <w:rPr>
                      <w:rFonts w:hint="eastAsia" w:ascii="宋体" w:hAnsi="宋体" w:cs="宋体"/>
                      <w:b/>
                      <w:bCs/>
                      <w:szCs w:val="21"/>
                      <w:lang w:val="en-GB"/>
                    </w:rPr>
                    <w:t>有效社保证明</w:t>
                  </w:r>
                  <w:r>
                    <w:rPr>
                      <w:rFonts w:hint="eastAsia" w:ascii="宋体" w:hAnsi="宋体" w:cs="宋体"/>
                      <w:b/>
                      <w:bCs/>
                      <w:szCs w:val="21"/>
                    </w:rPr>
                    <w:t>材料复印件</w:t>
                  </w:r>
                  <w:r>
                    <w:rPr>
                      <w:rFonts w:hint="eastAsia" w:ascii="宋体" w:hAnsi="宋体" w:cs="宋体"/>
                      <w:b/>
                      <w:bCs/>
                      <w:szCs w:val="21"/>
                      <w:lang w:val="en-GB"/>
                    </w:rPr>
                    <w:t>加盖投标</w:t>
                  </w:r>
                  <w:r>
                    <w:rPr>
                      <w:rFonts w:hint="eastAsia" w:ascii="宋体" w:hAnsi="宋体" w:cs="宋体"/>
                      <w:b/>
                      <w:bCs/>
                      <w:szCs w:val="21"/>
                    </w:rPr>
                    <w:t>人</w:t>
                  </w:r>
                  <w:r>
                    <w:rPr>
                      <w:rFonts w:hint="eastAsia" w:ascii="宋体" w:hAnsi="宋体" w:cs="宋体"/>
                      <w:b/>
                      <w:bCs/>
                      <w:szCs w:val="21"/>
                      <w:lang w:val="en-GB"/>
                    </w:rPr>
                    <w:t>公章</w:t>
                  </w:r>
                  <w:r>
                    <w:rPr>
                      <w:rFonts w:hint="eastAsia" w:ascii="宋体" w:hAnsi="宋体" w:cs="宋体"/>
                      <w:b/>
                      <w:bCs/>
                      <w:szCs w:val="21"/>
                      <w:lang w:val="zh-CN"/>
                    </w:rPr>
                    <w:t>编入投标文件，项目负责人主持业绩须提供合同复印件否则不得分。</w:t>
                  </w:r>
                </w:p>
              </w:tc>
            </w:tr>
            <w:tr w14:paraId="25F92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5" w:hRule="atLeast"/>
                <w:jc w:val="center"/>
              </w:trPr>
              <w:tc>
                <w:tcPr>
                  <w:tcW w:w="810" w:type="dxa"/>
                  <w:vMerge w:val="continue"/>
                  <w:tcBorders>
                    <w:left w:val="single" w:color="auto" w:sz="4" w:space="0"/>
                    <w:right w:val="single" w:color="auto" w:sz="4" w:space="0"/>
                  </w:tcBorders>
                  <w:vAlign w:val="center"/>
                </w:tcPr>
                <w:p w14:paraId="1BD11FF8">
                  <w:pPr>
                    <w:jc w:val="center"/>
                    <w:rPr>
                      <w:rFonts w:ascii="宋体" w:hAnsi="宋体"/>
                    </w:rPr>
                  </w:pPr>
                </w:p>
              </w:tc>
              <w:tc>
                <w:tcPr>
                  <w:tcW w:w="807" w:type="dxa"/>
                  <w:tcBorders>
                    <w:top w:val="single" w:color="auto" w:sz="4" w:space="0"/>
                    <w:left w:val="single" w:color="auto" w:sz="4" w:space="0"/>
                    <w:right w:val="single" w:color="auto" w:sz="4" w:space="0"/>
                  </w:tcBorders>
                  <w:vAlign w:val="center"/>
                </w:tcPr>
                <w:p w14:paraId="229C476E">
                  <w:pPr>
                    <w:jc w:val="center"/>
                    <w:rPr>
                      <w:rFonts w:ascii="宋体" w:hAnsi="宋体" w:cs="宋体"/>
                      <w:szCs w:val="21"/>
                    </w:rPr>
                  </w:pPr>
                  <w:r>
                    <w:rPr>
                      <w:rFonts w:hint="eastAsia" w:ascii="宋体" w:hAnsi="宋体" w:cs="宋体"/>
                      <w:szCs w:val="21"/>
                    </w:rPr>
                    <w:t>（4）</w:t>
                  </w:r>
                </w:p>
              </w:tc>
              <w:tc>
                <w:tcPr>
                  <w:tcW w:w="1065" w:type="dxa"/>
                  <w:tcBorders>
                    <w:top w:val="single" w:color="auto" w:sz="4" w:space="0"/>
                    <w:left w:val="single" w:color="auto" w:sz="4" w:space="0"/>
                    <w:right w:val="single" w:color="auto" w:sz="4" w:space="0"/>
                  </w:tcBorders>
                  <w:vAlign w:val="center"/>
                </w:tcPr>
                <w:p w14:paraId="60AE7C07">
                  <w:pPr>
                    <w:pStyle w:val="49"/>
                    <w:snapToGrid w:val="0"/>
                    <w:spacing w:line="264" w:lineRule="auto"/>
                    <w:ind w:left="2" w:right="-2"/>
                    <w:jc w:val="center"/>
                    <w:rPr>
                      <w:rFonts w:ascii="宋体" w:hAnsi="宋体" w:cs="宋体"/>
                      <w:szCs w:val="21"/>
                      <w:lang w:val="zh-CN"/>
                    </w:rPr>
                  </w:pPr>
                  <w:r>
                    <w:rPr>
                      <w:rFonts w:hint="eastAsia" w:ascii="宋体" w:hAnsi="宋体" w:cs="宋体"/>
                      <w:color w:val="000000"/>
                      <w:kern w:val="0"/>
                      <w:szCs w:val="21"/>
                    </w:rPr>
                    <w:t>资质信誉（</w:t>
                  </w:r>
                  <w:r>
                    <w:rPr>
                      <w:rFonts w:hint="eastAsia" w:ascii="宋体" w:hAnsi="宋体" w:cs="宋体"/>
                      <w:color w:val="000000"/>
                      <w:kern w:val="0"/>
                      <w:szCs w:val="21"/>
                      <w:lang w:val="en-US" w:eastAsia="zh-CN"/>
                    </w:rPr>
                    <w:t>16</w:t>
                  </w:r>
                  <w:r>
                    <w:rPr>
                      <w:rFonts w:hint="eastAsia" w:ascii="宋体" w:hAnsi="宋体" w:cs="宋体"/>
                      <w:color w:val="000000"/>
                      <w:kern w:val="0"/>
                      <w:szCs w:val="21"/>
                    </w:rPr>
                    <w:t>分）</w:t>
                  </w:r>
                </w:p>
              </w:tc>
              <w:tc>
                <w:tcPr>
                  <w:tcW w:w="6806" w:type="dxa"/>
                  <w:tcBorders>
                    <w:top w:val="single" w:color="auto" w:sz="4" w:space="0"/>
                    <w:left w:val="single" w:color="auto" w:sz="4" w:space="0"/>
                    <w:right w:val="single" w:color="auto" w:sz="4" w:space="0"/>
                  </w:tcBorders>
                  <w:vAlign w:val="center"/>
                </w:tcPr>
                <w:p w14:paraId="10284268">
                  <w:pPr>
                    <w:numPr>
                      <w:ilvl w:val="0"/>
                      <w:numId w:val="2"/>
                    </w:numPr>
                    <w:spacing w:line="22" w:lineRule="atLeast"/>
                    <w:rPr>
                      <w:rFonts w:ascii="宋体" w:hAnsi="宋体" w:cs="宋体"/>
                      <w:szCs w:val="21"/>
                      <w:lang w:val="en-GB"/>
                    </w:rPr>
                  </w:pPr>
                  <w:r>
                    <w:rPr>
                      <w:rFonts w:hint="eastAsia" w:ascii="宋体" w:hAnsi="宋体" w:cs="宋体"/>
                      <w:szCs w:val="21"/>
                      <w:lang w:val="en-GB"/>
                    </w:rPr>
                    <w:t>投标机构取得</w:t>
                  </w:r>
                  <w:r>
                    <w:rPr>
                      <w:rFonts w:hint="eastAsia" w:ascii="宋体" w:hAnsi="宋体" w:cs="宋体"/>
                      <w:szCs w:val="21"/>
                      <w:lang w:val="en-US" w:eastAsia="zh-CN"/>
                    </w:rPr>
                    <w:t>有效的</w:t>
                  </w:r>
                  <w:r>
                    <w:rPr>
                      <w:rFonts w:hint="eastAsia" w:ascii="宋体" w:hAnsi="宋体" w:cs="宋体"/>
                      <w:szCs w:val="21"/>
                      <w:lang w:val="en-GB"/>
                    </w:rPr>
                    <w:t>ISO9001质量管理体系认证、ISO14001环境管理体系认证、ISO45001职业健康安全管理体系认证的，有1项得</w:t>
                  </w:r>
                  <w:r>
                    <w:rPr>
                      <w:rFonts w:hint="eastAsia" w:ascii="宋体" w:hAnsi="宋体" w:cs="宋体"/>
                      <w:szCs w:val="21"/>
                      <w:lang w:val="en-US" w:eastAsia="zh-CN"/>
                    </w:rPr>
                    <w:t>1</w:t>
                  </w:r>
                  <w:r>
                    <w:rPr>
                      <w:rFonts w:hint="eastAsia" w:ascii="宋体" w:hAnsi="宋体" w:cs="宋体"/>
                      <w:szCs w:val="21"/>
                      <w:lang w:val="en-GB"/>
                    </w:rPr>
                    <w:t>分，满分</w:t>
                  </w:r>
                  <w:r>
                    <w:rPr>
                      <w:rFonts w:hint="eastAsia" w:ascii="宋体" w:hAnsi="宋体" w:cs="宋体"/>
                      <w:szCs w:val="21"/>
                      <w:lang w:val="en-US" w:eastAsia="zh-CN"/>
                    </w:rPr>
                    <w:t>3</w:t>
                  </w:r>
                  <w:r>
                    <w:rPr>
                      <w:rFonts w:hint="eastAsia" w:ascii="宋体" w:hAnsi="宋体" w:cs="宋体"/>
                      <w:szCs w:val="21"/>
                      <w:lang w:val="en-GB"/>
                    </w:rPr>
                    <w:t>分，没有不得分。</w:t>
                  </w:r>
                </w:p>
                <w:p w14:paraId="3D7A1762">
                  <w:pPr>
                    <w:numPr>
                      <w:ilvl w:val="0"/>
                      <w:numId w:val="2"/>
                    </w:numPr>
                    <w:spacing w:line="22" w:lineRule="atLeast"/>
                    <w:rPr>
                      <w:rFonts w:ascii="宋体" w:hAnsi="宋体" w:cs="宋体"/>
                      <w:szCs w:val="21"/>
                    </w:rPr>
                  </w:pPr>
                  <w:r>
                    <w:rPr>
                      <w:rFonts w:ascii="宋体" w:hAnsi="宋体" w:cs="宋体"/>
                      <w:szCs w:val="21"/>
                    </w:rPr>
                    <w:t>投标机构实验室被列入2017年环保部、国土资源部、农业部三部委公布233家土壤污染状况详查实验室之一的，得</w:t>
                  </w:r>
                  <w:r>
                    <w:rPr>
                      <w:rFonts w:hint="eastAsia" w:ascii="宋体" w:hAnsi="宋体" w:cs="宋体"/>
                      <w:szCs w:val="21"/>
                      <w:lang w:val="en-US" w:eastAsia="zh-CN"/>
                    </w:rPr>
                    <w:t>3</w:t>
                  </w:r>
                  <w:r>
                    <w:rPr>
                      <w:rFonts w:ascii="宋体" w:hAnsi="宋体" w:cs="宋体"/>
                      <w:szCs w:val="21"/>
                    </w:rPr>
                    <w:t>分，列入省部级重点行业企业污染状况调查检测机构目录，得1分，没有不得分</w:t>
                  </w:r>
                  <w:r>
                    <w:rPr>
                      <w:rFonts w:hint="eastAsia" w:ascii="宋体" w:hAnsi="宋体" w:cs="宋体"/>
                      <w:szCs w:val="21"/>
                    </w:rPr>
                    <w:t>，</w:t>
                  </w:r>
                  <w:r>
                    <w:rPr>
                      <w:rFonts w:hint="eastAsia" w:ascii="宋体" w:hAnsi="宋体" w:cs="宋体"/>
                      <w:szCs w:val="21"/>
                      <w:lang w:val="en-US" w:eastAsia="zh-CN"/>
                    </w:rPr>
                    <w:t>本项</w:t>
                  </w:r>
                  <w:r>
                    <w:rPr>
                      <w:rFonts w:hint="eastAsia" w:ascii="宋体" w:hAnsi="宋体" w:cs="宋体"/>
                      <w:szCs w:val="21"/>
                    </w:rPr>
                    <w:t>最</w:t>
                  </w:r>
                  <w:r>
                    <w:rPr>
                      <w:rFonts w:hint="eastAsia" w:ascii="宋体" w:hAnsi="宋体" w:cs="宋体"/>
                      <w:szCs w:val="21"/>
                      <w:lang w:val="en-US" w:eastAsia="zh-CN"/>
                    </w:rPr>
                    <w:t>多</w:t>
                  </w:r>
                  <w:r>
                    <w:rPr>
                      <w:rFonts w:hint="eastAsia" w:ascii="宋体" w:hAnsi="宋体" w:cs="宋体"/>
                      <w:szCs w:val="21"/>
                    </w:rPr>
                    <w:t>得</w:t>
                  </w:r>
                  <w:r>
                    <w:rPr>
                      <w:rFonts w:hint="eastAsia" w:ascii="宋体" w:hAnsi="宋体" w:cs="宋体"/>
                      <w:szCs w:val="21"/>
                      <w:lang w:val="en-US" w:eastAsia="zh-CN"/>
                    </w:rPr>
                    <w:t>3</w:t>
                  </w:r>
                  <w:r>
                    <w:rPr>
                      <w:rFonts w:hint="eastAsia" w:ascii="宋体" w:hAnsi="宋体" w:cs="宋体"/>
                      <w:szCs w:val="21"/>
                    </w:rPr>
                    <w:t>分</w:t>
                  </w:r>
                  <w:r>
                    <w:rPr>
                      <w:rFonts w:ascii="宋体" w:hAnsi="宋体" w:cs="宋体"/>
                      <w:szCs w:val="21"/>
                    </w:rPr>
                    <w:t>。</w:t>
                  </w:r>
                </w:p>
                <w:p w14:paraId="333F5B0B">
                  <w:pPr>
                    <w:numPr>
                      <w:ilvl w:val="0"/>
                      <w:numId w:val="2"/>
                    </w:numPr>
                    <w:spacing w:line="22" w:lineRule="atLeast"/>
                    <w:rPr>
                      <w:rFonts w:ascii="宋体" w:hAnsi="宋体" w:cs="宋体"/>
                      <w:szCs w:val="21"/>
                    </w:rPr>
                  </w:pPr>
                  <w:r>
                    <w:rPr>
                      <w:rFonts w:hint="eastAsia" w:ascii="宋体" w:hAnsi="宋体" w:cs="宋体"/>
                      <w:szCs w:val="21"/>
                    </w:rPr>
                    <w:t>投标机构实验室被批准的检测能力范围至少涵盖下列两个检测领域：土壤重金属、土壤PAHs、农产品重金属检测、土壤中无机污染物、土壤中有机污染物、土壤理化性质、农产品中污染物。有2个得</w:t>
                  </w:r>
                  <w:r>
                    <w:rPr>
                      <w:rFonts w:ascii="宋体" w:hAnsi="宋体" w:cs="宋体"/>
                      <w:szCs w:val="21"/>
                    </w:rPr>
                    <w:t>2</w:t>
                  </w:r>
                  <w:r>
                    <w:rPr>
                      <w:rFonts w:hint="eastAsia" w:ascii="宋体" w:hAnsi="宋体" w:cs="宋体"/>
                      <w:szCs w:val="21"/>
                    </w:rPr>
                    <w:t>分，不足2个不得分，在此基础每增加1个得1分，</w:t>
                  </w:r>
                  <w:r>
                    <w:rPr>
                      <w:rFonts w:hint="eastAsia" w:ascii="宋体" w:hAnsi="宋体" w:cs="宋体"/>
                      <w:szCs w:val="21"/>
                      <w:lang w:val="en-US" w:eastAsia="zh-CN"/>
                    </w:rPr>
                    <w:t>本项</w:t>
                  </w:r>
                  <w:r>
                    <w:rPr>
                      <w:rFonts w:hint="eastAsia" w:ascii="宋体" w:hAnsi="宋体" w:cs="宋体"/>
                      <w:szCs w:val="21"/>
                    </w:rPr>
                    <w:t>最</w:t>
                  </w:r>
                  <w:r>
                    <w:rPr>
                      <w:rFonts w:hint="eastAsia" w:ascii="宋体" w:hAnsi="宋体" w:cs="宋体"/>
                      <w:szCs w:val="21"/>
                      <w:lang w:val="en-US" w:eastAsia="zh-CN"/>
                    </w:rPr>
                    <w:t>多</w:t>
                  </w:r>
                  <w:r>
                    <w:rPr>
                      <w:rFonts w:hint="eastAsia" w:ascii="宋体" w:hAnsi="宋体" w:cs="宋体"/>
                      <w:szCs w:val="21"/>
                    </w:rPr>
                    <w:t>得</w:t>
                  </w:r>
                  <w:r>
                    <w:rPr>
                      <w:rFonts w:hint="eastAsia" w:ascii="宋体" w:hAnsi="宋体" w:cs="宋体"/>
                      <w:szCs w:val="21"/>
                      <w:lang w:val="en-US" w:eastAsia="zh-CN"/>
                    </w:rPr>
                    <w:t>7</w:t>
                  </w:r>
                  <w:r>
                    <w:rPr>
                      <w:rFonts w:hint="eastAsia" w:ascii="宋体" w:hAnsi="宋体" w:cs="宋体"/>
                      <w:szCs w:val="21"/>
                    </w:rPr>
                    <w:t>分。</w:t>
                  </w:r>
                </w:p>
                <w:p w14:paraId="06CF4CEC">
                  <w:pPr>
                    <w:numPr>
                      <w:ilvl w:val="0"/>
                      <w:numId w:val="2"/>
                    </w:numPr>
                    <w:spacing w:line="22" w:lineRule="atLeast"/>
                    <w:rPr>
                      <w:rFonts w:ascii="宋体" w:hAnsi="宋体" w:cs="宋体"/>
                      <w:szCs w:val="21"/>
                    </w:rPr>
                  </w:pPr>
                  <w:r>
                    <w:rPr>
                      <w:rFonts w:hint="eastAsia" w:ascii="宋体" w:hAnsi="宋体" w:cs="宋体"/>
                      <w:szCs w:val="21"/>
                    </w:rPr>
                    <w:t>投标机构实验室被列入国家第三次土壤普查实验室名录，得</w:t>
                  </w:r>
                  <w:r>
                    <w:rPr>
                      <w:rFonts w:hint="eastAsia" w:ascii="宋体" w:hAnsi="宋体" w:cs="宋体"/>
                      <w:szCs w:val="21"/>
                      <w:lang w:val="en-US" w:eastAsia="zh-CN"/>
                    </w:rPr>
                    <w:t>3</w:t>
                  </w:r>
                  <w:r>
                    <w:rPr>
                      <w:rFonts w:hint="eastAsia" w:ascii="宋体" w:hAnsi="宋体" w:cs="宋体"/>
                      <w:szCs w:val="21"/>
                    </w:rPr>
                    <w:t>分，没有不得分，</w:t>
                  </w:r>
                  <w:r>
                    <w:rPr>
                      <w:rFonts w:hint="eastAsia" w:ascii="宋体" w:hAnsi="宋体" w:cs="宋体"/>
                      <w:szCs w:val="21"/>
                      <w:lang w:val="en-US" w:eastAsia="zh-CN"/>
                    </w:rPr>
                    <w:t>本项</w:t>
                  </w:r>
                  <w:r>
                    <w:rPr>
                      <w:rFonts w:hint="eastAsia" w:ascii="宋体" w:hAnsi="宋体" w:cs="宋体"/>
                      <w:szCs w:val="21"/>
                    </w:rPr>
                    <w:t>最</w:t>
                  </w:r>
                  <w:r>
                    <w:rPr>
                      <w:rFonts w:hint="eastAsia" w:ascii="宋体" w:hAnsi="宋体" w:cs="宋体"/>
                      <w:szCs w:val="21"/>
                      <w:lang w:val="en-US" w:eastAsia="zh-CN"/>
                    </w:rPr>
                    <w:t>多</w:t>
                  </w:r>
                  <w:r>
                    <w:rPr>
                      <w:rFonts w:hint="eastAsia" w:ascii="宋体" w:hAnsi="宋体" w:cs="宋体"/>
                      <w:szCs w:val="21"/>
                    </w:rPr>
                    <w:t>得</w:t>
                  </w:r>
                  <w:r>
                    <w:rPr>
                      <w:rFonts w:hint="eastAsia" w:ascii="宋体" w:hAnsi="宋体" w:cs="宋体"/>
                      <w:szCs w:val="21"/>
                      <w:lang w:val="en-US" w:eastAsia="zh-CN"/>
                    </w:rPr>
                    <w:t>3</w:t>
                  </w:r>
                  <w:r>
                    <w:rPr>
                      <w:rFonts w:hint="eastAsia" w:ascii="宋体" w:hAnsi="宋体" w:cs="宋体"/>
                      <w:szCs w:val="21"/>
                    </w:rPr>
                    <w:t>分。</w:t>
                  </w:r>
                </w:p>
                <w:p w14:paraId="2E141FF4">
                  <w:pPr>
                    <w:spacing w:line="22" w:lineRule="atLeast"/>
                    <w:rPr>
                      <w:rFonts w:ascii="宋体" w:hAnsi="宋体" w:cs="宋体"/>
                      <w:b/>
                      <w:bCs/>
                      <w:szCs w:val="21"/>
                      <w:lang w:val="en-GB"/>
                    </w:rPr>
                  </w:pPr>
                  <w:r>
                    <w:rPr>
                      <w:rFonts w:hint="eastAsia" w:ascii="宋体" w:hAnsi="宋体" w:cs="宋体"/>
                      <w:b/>
                      <w:bCs/>
                      <w:szCs w:val="21"/>
                      <w:lang w:val="en-GB"/>
                    </w:rPr>
                    <w:t>注：名录库须提供国家网站查询网址及网站截图等相关证明材料复印件加盖公章，其他证明材料须提供相关证书或证明材料复印件加盖公章，否则不得分。</w:t>
                  </w:r>
                </w:p>
              </w:tc>
            </w:tr>
          </w:tbl>
          <w:p w14:paraId="7B10D730">
            <w:pPr>
              <w:spacing w:line="320" w:lineRule="exact"/>
              <w:jc w:val="center"/>
              <w:rPr>
                <w:rFonts w:hint="eastAsia" w:ascii="宋体"/>
                <w:b/>
              </w:rPr>
            </w:pPr>
          </w:p>
        </w:tc>
      </w:tr>
    </w:tbl>
    <w:p w14:paraId="5DFD394B">
      <w:pPr>
        <w:adjustRightInd w:val="0"/>
        <w:snapToGrid w:val="0"/>
        <w:spacing w:line="500" w:lineRule="exact"/>
        <w:jc w:val="left"/>
        <w:rPr>
          <w:rFonts w:ascii="黑体" w:hAnsi="黑体" w:eastAsia="黑体"/>
          <w:sz w:val="32"/>
          <w:szCs w:val="32"/>
        </w:rPr>
      </w:pPr>
      <w:r>
        <w:rPr>
          <w:rFonts w:hint="eastAsia" w:ascii="黑体" w:hAnsi="黑体" w:eastAsia="黑体"/>
          <w:sz w:val="32"/>
          <w:szCs w:val="32"/>
        </w:rPr>
        <w:t>1.资格审查</w:t>
      </w:r>
    </w:p>
    <w:p w14:paraId="2FD47A15">
      <w:pPr>
        <w:pStyle w:val="2"/>
        <w:adjustRightInd w:val="0"/>
        <w:snapToGrid w:val="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1.1项目开标结束后，招标人对投标人的资格进行审查。</w:t>
      </w:r>
    </w:p>
    <w:p w14:paraId="650C2E33">
      <w:pPr>
        <w:pStyle w:val="2"/>
        <w:adjustRightInd w:val="0"/>
        <w:snapToGrid w:val="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1.2资格审查的内容和标准：见资格审查和评标办法前附表。</w:t>
      </w:r>
    </w:p>
    <w:p w14:paraId="65B42A40">
      <w:pPr>
        <w:adjustRightInd w:val="0"/>
        <w:snapToGrid w:val="0"/>
        <w:spacing w:line="500" w:lineRule="exact"/>
        <w:jc w:val="left"/>
        <w:rPr>
          <w:rFonts w:ascii="黑体" w:hAnsi="黑体" w:eastAsia="黑体"/>
          <w:sz w:val="32"/>
          <w:szCs w:val="32"/>
        </w:rPr>
      </w:pPr>
      <w:r>
        <w:rPr>
          <w:rFonts w:hint="eastAsia" w:ascii="黑体" w:hAnsi="黑体" w:eastAsia="黑体"/>
          <w:sz w:val="32"/>
          <w:szCs w:val="32"/>
        </w:rPr>
        <w:t>2</w:t>
      </w:r>
      <w:r>
        <w:rPr>
          <w:rFonts w:ascii="黑体" w:hAnsi="黑体" w:eastAsia="黑体"/>
          <w:sz w:val="32"/>
          <w:szCs w:val="32"/>
        </w:rPr>
        <w:t>.</w:t>
      </w:r>
      <w:r>
        <w:rPr>
          <w:rFonts w:hint="eastAsia" w:ascii="黑体" w:hAnsi="黑体" w:eastAsia="黑体"/>
          <w:sz w:val="32"/>
          <w:szCs w:val="32"/>
        </w:rPr>
        <w:t>评标</w:t>
      </w:r>
    </w:p>
    <w:bookmarkEnd w:id="235"/>
    <w:p w14:paraId="15375B32">
      <w:pPr>
        <w:adjustRightInd w:val="0"/>
        <w:snapToGrid w:val="0"/>
        <w:spacing w:line="500" w:lineRule="exact"/>
        <w:rPr>
          <w:rFonts w:ascii="楷体" w:hAnsi="楷体" w:eastAsia="楷体"/>
          <w:b/>
          <w:sz w:val="28"/>
          <w:szCs w:val="28"/>
        </w:rPr>
      </w:pPr>
      <w:r>
        <w:rPr>
          <w:rFonts w:hint="eastAsia" w:ascii="楷体" w:hAnsi="楷体" w:eastAsia="楷体"/>
          <w:b/>
          <w:sz w:val="28"/>
          <w:szCs w:val="28"/>
        </w:rPr>
        <w:t>2.1评标方法</w:t>
      </w:r>
    </w:p>
    <w:p w14:paraId="794F5DB9">
      <w:pPr>
        <w:adjustRightInd w:val="0"/>
        <w:snapToGrid w:val="0"/>
        <w:spacing w:line="500" w:lineRule="exact"/>
        <w:ind w:firstLine="560" w:firstLineChars="200"/>
        <w:rPr>
          <w:sz w:val="28"/>
          <w:szCs w:val="28"/>
        </w:rPr>
      </w:pPr>
      <w:r>
        <w:rPr>
          <w:rFonts w:hint="eastAsia"/>
          <w:sz w:val="28"/>
          <w:szCs w:val="28"/>
        </w:rPr>
        <w:t>评标采用综合评分法，评标委员会对满足招标文件实质要求的投标文件，按照本章规定的程序和方法进行评审，并按总得分由高到低顺序推荐中标候选人。</w:t>
      </w:r>
    </w:p>
    <w:p w14:paraId="20C45477">
      <w:pPr>
        <w:adjustRightInd w:val="0"/>
        <w:snapToGrid w:val="0"/>
        <w:spacing w:line="500" w:lineRule="exact"/>
        <w:rPr>
          <w:rFonts w:ascii="楷体" w:hAnsi="楷体" w:eastAsia="楷体"/>
          <w:b/>
          <w:sz w:val="28"/>
          <w:szCs w:val="28"/>
        </w:rPr>
      </w:pPr>
      <w:r>
        <w:rPr>
          <w:rFonts w:hint="eastAsia" w:ascii="楷体" w:hAnsi="楷体" w:eastAsia="楷体"/>
          <w:b/>
          <w:sz w:val="28"/>
          <w:szCs w:val="28"/>
        </w:rPr>
        <w:t>2.2初步评审</w:t>
      </w:r>
    </w:p>
    <w:p w14:paraId="5E8D9671">
      <w:pPr>
        <w:adjustRightInd w:val="0"/>
        <w:snapToGrid w:val="0"/>
        <w:spacing w:line="500" w:lineRule="exact"/>
        <w:ind w:firstLine="560" w:firstLineChars="200"/>
        <w:rPr>
          <w:rFonts w:ascii="宋体" w:hAnsi="宋体"/>
          <w:sz w:val="28"/>
          <w:szCs w:val="28"/>
        </w:rPr>
      </w:pPr>
      <w:r>
        <w:rPr>
          <w:rFonts w:hint="eastAsia" w:ascii="宋体" w:hAnsi="宋体"/>
          <w:sz w:val="28"/>
          <w:szCs w:val="28"/>
        </w:rPr>
        <w:t>2.2.1评标委员会对通过资格审查的投标人进行初步评审。</w:t>
      </w:r>
    </w:p>
    <w:p w14:paraId="533ADEB3">
      <w:pPr>
        <w:pStyle w:val="2"/>
        <w:adjustRightInd w:val="0"/>
        <w:snapToGrid w:val="0"/>
        <w:spacing w:line="500" w:lineRule="exact"/>
        <w:ind w:firstLine="560" w:firstLineChars="200"/>
        <w:rPr>
          <w:rFonts w:ascii="宋体" w:hAnsi="宋体"/>
          <w:sz w:val="28"/>
          <w:szCs w:val="28"/>
        </w:rPr>
      </w:pPr>
      <w:r>
        <w:rPr>
          <w:rFonts w:hint="eastAsia" w:asciiTheme="minorEastAsia" w:hAnsiTheme="minorEastAsia" w:eastAsiaTheme="minorEastAsia"/>
          <w:sz w:val="28"/>
          <w:szCs w:val="28"/>
        </w:rPr>
        <w:t>2.2.2初步评审的内容为投标文件的符合性评审。</w:t>
      </w:r>
      <w:r>
        <w:rPr>
          <w:rFonts w:hint="eastAsia" w:ascii="宋体" w:hAnsi="宋体"/>
          <w:sz w:val="28"/>
          <w:szCs w:val="28"/>
        </w:rPr>
        <w:t>符合性评审的内容及标准：见</w:t>
      </w:r>
      <w:r>
        <w:rPr>
          <w:rFonts w:hint="eastAsia" w:asciiTheme="minorEastAsia" w:hAnsiTheme="minorEastAsia" w:eastAsiaTheme="minorEastAsia"/>
          <w:sz w:val="28"/>
          <w:szCs w:val="28"/>
        </w:rPr>
        <w:t>资格审查和评标办法</w:t>
      </w:r>
      <w:r>
        <w:rPr>
          <w:rFonts w:hint="eastAsia" w:ascii="宋体" w:hAnsi="宋体"/>
          <w:sz w:val="28"/>
          <w:szCs w:val="28"/>
        </w:rPr>
        <w:t>前附表。</w:t>
      </w:r>
    </w:p>
    <w:p w14:paraId="523C36E7">
      <w:pPr>
        <w:pStyle w:val="2"/>
        <w:adjustRightInd w:val="0"/>
        <w:snapToGrid w:val="0"/>
        <w:spacing w:line="500" w:lineRule="exact"/>
        <w:rPr>
          <w:rFonts w:ascii="楷体" w:hAnsi="楷体" w:eastAsia="楷体"/>
          <w:b/>
          <w:sz w:val="28"/>
          <w:szCs w:val="28"/>
        </w:rPr>
      </w:pPr>
      <w:r>
        <w:rPr>
          <w:rFonts w:hint="eastAsia" w:ascii="楷体" w:hAnsi="楷体" w:eastAsia="楷体"/>
          <w:b/>
          <w:sz w:val="28"/>
          <w:szCs w:val="28"/>
        </w:rPr>
        <w:t>2.3详细评审</w:t>
      </w:r>
    </w:p>
    <w:p w14:paraId="22907F47">
      <w:pPr>
        <w:pStyle w:val="2"/>
        <w:adjustRightInd w:val="0"/>
        <w:snapToGrid w:val="0"/>
        <w:spacing w:line="500" w:lineRule="exact"/>
        <w:ind w:firstLine="560" w:firstLineChars="200"/>
        <w:rPr>
          <w:rFonts w:ascii="宋体" w:hAnsi="宋体"/>
          <w:sz w:val="28"/>
          <w:szCs w:val="28"/>
        </w:rPr>
      </w:pPr>
      <w:r>
        <w:rPr>
          <w:rFonts w:hint="eastAsia" w:ascii="宋体" w:hAnsi="宋体"/>
          <w:sz w:val="28"/>
          <w:szCs w:val="28"/>
        </w:rPr>
        <w:t>2.3.1评标委员会对通过初步评审的投标人进行详细评审。</w:t>
      </w:r>
    </w:p>
    <w:p w14:paraId="4CADA4BE">
      <w:pPr>
        <w:pStyle w:val="2"/>
        <w:adjustRightInd w:val="0"/>
        <w:snapToGrid w:val="0"/>
        <w:spacing w:line="500" w:lineRule="exact"/>
        <w:ind w:firstLine="560" w:firstLineChars="200"/>
        <w:rPr>
          <w:rFonts w:ascii="宋体" w:hAnsi="宋体"/>
          <w:sz w:val="28"/>
          <w:szCs w:val="28"/>
        </w:rPr>
      </w:pPr>
      <w:r>
        <w:rPr>
          <w:rFonts w:hint="eastAsia" w:ascii="宋体" w:hAnsi="宋体"/>
          <w:sz w:val="28"/>
          <w:szCs w:val="28"/>
        </w:rPr>
        <w:t>2.3.2详细评审的内容及标准：见</w:t>
      </w:r>
      <w:r>
        <w:rPr>
          <w:rFonts w:hint="eastAsia" w:asciiTheme="minorEastAsia" w:hAnsiTheme="minorEastAsia" w:eastAsiaTheme="minorEastAsia"/>
          <w:sz w:val="28"/>
          <w:szCs w:val="28"/>
        </w:rPr>
        <w:t>资格审查和评标办法</w:t>
      </w:r>
      <w:r>
        <w:rPr>
          <w:rFonts w:hint="eastAsia" w:ascii="宋体" w:hAnsi="宋体"/>
          <w:sz w:val="28"/>
          <w:szCs w:val="28"/>
        </w:rPr>
        <w:t>前附表。</w:t>
      </w:r>
    </w:p>
    <w:p w14:paraId="37C840CD">
      <w:pPr>
        <w:pStyle w:val="2"/>
        <w:adjustRightInd w:val="0"/>
        <w:snapToGrid w:val="0"/>
        <w:spacing w:line="500" w:lineRule="exact"/>
        <w:ind w:firstLine="560" w:firstLineChars="200"/>
        <w:rPr>
          <w:rFonts w:ascii="宋体" w:hAnsi="宋体"/>
          <w:sz w:val="28"/>
          <w:szCs w:val="28"/>
        </w:rPr>
      </w:pPr>
      <w:r>
        <w:rPr>
          <w:rFonts w:hint="eastAsia" w:ascii="宋体" w:hAnsi="宋体"/>
          <w:sz w:val="28"/>
          <w:szCs w:val="28"/>
        </w:rPr>
        <w:t>2.3.3因落实政府采购政策进行价格调整的，以调整后的价格计算评标基准价和投标报价。</w:t>
      </w:r>
    </w:p>
    <w:p w14:paraId="2EA4F064">
      <w:pPr>
        <w:adjustRightInd w:val="0"/>
        <w:snapToGrid w:val="0"/>
        <w:spacing w:line="500" w:lineRule="exact"/>
        <w:rPr>
          <w:rFonts w:ascii="楷体" w:hAnsi="楷体" w:eastAsia="楷体"/>
          <w:b/>
          <w:sz w:val="28"/>
          <w:szCs w:val="28"/>
        </w:rPr>
      </w:pPr>
      <w:bookmarkStart w:id="236" w:name="_Toc426469924"/>
      <w:r>
        <w:rPr>
          <w:rFonts w:hint="eastAsia" w:ascii="楷体" w:hAnsi="楷体" w:eastAsia="楷体"/>
          <w:b/>
          <w:sz w:val="28"/>
          <w:szCs w:val="28"/>
        </w:rPr>
        <w:t>2.4</w:t>
      </w:r>
      <w:r>
        <w:rPr>
          <w:rFonts w:hint="eastAsia" w:ascii="楷体" w:hAnsi="楷体" w:eastAsia="楷体" w:cs="宋体"/>
          <w:b/>
          <w:sz w:val="28"/>
          <w:szCs w:val="28"/>
        </w:rPr>
        <w:t>评标报告</w:t>
      </w:r>
    </w:p>
    <w:p w14:paraId="4E5B48D2">
      <w:pPr>
        <w:adjustRightInd w:val="0"/>
        <w:snapToGrid w:val="0"/>
        <w:spacing w:line="500" w:lineRule="exact"/>
        <w:ind w:firstLine="560" w:firstLineChars="200"/>
        <w:rPr>
          <w:rFonts w:ascii="宋体" w:hAnsi="宋体"/>
          <w:sz w:val="28"/>
          <w:szCs w:val="28"/>
        </w:rPr>
      </w:pPr>
      <w:r>
        <w:rPr>
          <w:rFonts w:ascii="宋体" w:hAnsi="宋体"/>
          <w:sz w:val="28"/>
          <w:szCs w:val="28"/>
        </w:rPr>
        <w:t>2.</w:t>
      </w:r>
      <w:r>
        <w:rPr>
          <w:rFonts w:hint="eastAsia" w:ascii="宋体" w:hAnsi="宋体"/>
          <w:sz w:val="28"/>
          <w:szCs w:val="28"/>
        </w:rPr>
        <w:t>4</w:t>
      </w:r>
      <w:r>
        <w:rPr>
          <w:rFonts w:ascii="宋体" w:hAnsi="宋体"/>
          <w:sz w:val="28"/>
          <w:szCs w:val="28"/>
        </w:rPr>
        <w:t>.1详细评审结束后，</w:t>
      </w:r>
      <w:r>
        <w:rPr>
          <w:rFonts w:hint="eastAsia" w:ascii="宋体" w:hAnsi="宋体"/>
          <w:sz w:val="28"/>
          <w:szCs w:val="28"/>
        </w:rPr>
        <w:t>评标委员会负责编写评标报告。</w:t>
      </w:r>
    </w:p>
    <w:p w14:paraId="4FA9ED5B">
      <w:pPr>
        <w:pStyle w:val="2"/>
        <w:adjustRightInd w:val="0"/>
        <w:snapToGrid w:val="0"/>
        <w:spacing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2.4.2采购代理机构自评审结束之日起2个工作日内将评标报告送交招标人。</w:t>
      </w:r>
    </w:p>
    <w:p w14:paraId="5F62B2D7">
      <w:pPr>
        <w:adjustRightInd w:val="0"/>
        <w:snapToGrid w:val="0"/>
        <w:spacing w:line="500" w:lineRule="exact"/>
        <w:rPr>
          <w:rFonts w:ascii="楷体" w:hAnsi="楷体" w:eastAsia="楷体"/>
          <w:b/>
          <w:sz w:val="28"/>
          <w:szCs w:val="28"/>
        </w:rPr>
      </w:pPr>
      <w:r>
        <w:rPr>
          <w:rFonts w:hint="eastAsia" w:ascii="楷体" w:hAnsi="楷体" w:eastAsia="楷体"/>
          <w:b/>
          <w:sz w:val="28"/>
          <w:szCs w:val="28"/>
        </w:rPr>
        <w:t>2.5</w:t>
      </w:r>
      <w:r>
        <w:rPr>
          <w:rFonts w:hint="eastAsia" w:ascii="楷体" w:hAnsi="楷体" w:eastAsia="楷体" w:cs="宋体"/>
          <w:b/>
          <w:sz w:val="28"/>
          <w:szCs w:val="28"/>
        </w:rPr>
        <w:t>澄清、说明或补正</w:t>
      </w:r>
    </w:p>
    <w:p w14:paraId="41EFBEA5">
      <w:pPr>
        <w:adjustRightInd w:val="0"/>
        <w:snapToGrid w:val="0"/>
        <w:spacing w:line="500" w:lineRule="exact"/>
        <w:ind w:firstLine="560" w:firstLineChars="200"/>
        <w:rPr>
          <w:rFonts w:ascii="宋体" w:hAnsi="宋体"/>
          <w:sz w:val="28"/>
          <w:szCs w:val="28"/>
        </w:rPr>
      </w:pPr>
      <w:r>
        <w:rPr>
          <w:rFonts w:ascii="宋体" w:hAnsi="宋体"/>
          <w:sz w:val="28"/>
          <w:szCs w:val="28"/>
        </w:rPr>
        <w:t>2.</w:t>
      </w:r>
      <w:r>
        <w:rPr>
          <w:rFonts w:hint="eastAsia" w:ascii="宋体" w:hAnsi="宋体"/>
          <w:sz w:val="28"/>
          <w:szCs w:val="28"/>
        </w:rPr>
        <w:t>5</w:t>
      </w:r>
      <w:r>
        <w:rPr>
          <w:rFonts w:ascii="宋体" w:hAnsi="宋体"/>
          <w:sz w:val="28"/>
          <w:szCs w:val="28"/>
        </w:rPr>
        <w:t>.1</w:t>
      </w:r>
      <w:r>
        <w:rPr>
          <w:rFonts w:hint="eastAsia" w:ascii="宋体" w:hAnsi="宋体"/>
          <w:sz w:val="28"/>
          <w:szCs w:val="28"/>
        </w:rPr>
        <w:t>评标委员会在评审过程中，可以要求投标人对投标文件中含义不明确、同类问题表述不一致或者有明显文字和计算错误的内容等作出必要的澄清、说明或者更正。</w:t>
      </w:r>
    </w:p>
    <w:p w14:paraId="22E41546">
      <w:pPr>
        <w:adjustRightInd w:val="0"/>
        <w:snapToGrid w:val="0"/>
        <w:spacing w:line="500" w:lineRule="exact"/>
        <w:ind w:firstLine="560" w:firstLineChars="200"/>
        <w:rPr>
          <w:rFonts w:ascii="宋体" w:hAnsi="宋体"/>
          <w:sz w:val="28"/>
          <w:szCs w:val="28"/>
        </w:rPr>
      </w:pPr>
      <w:r>
        <w:rPr>
          <w:rFonts w:ascii="宋体" w:hAnsi="宋体"/>
          <w:sz w:val="28"/>
          <w:szCs w:val="28"/>
        </w:rPr>
        <w:t>2.</w:t>
      </w:r>
      <w:r>
        <w:rPr>
          <w:rFonts w:hint="eastAsia" w:ascii="宋体" w:hAnsi="宋体"/>
          <w:sz w:val="28"/>
          <w:szCs w:val="28"/>
        </w:rPr>
        <w:t>5</w:t>
      </w:r>
      <w:r>
        <w:rPr>
          <w:rFonts w:ascii="宋体" w:hAnsi="宋体"/>
          <w:sz w:val="28"/>
          <w:szCs w:val="28"/>
        </w:rPr>
        <w:t>.2</w:t>
      </w:r>
      <w:r>
        <w:rPr>
          <w:rFonts w:hint="eastAsia" w:ascii="宋体" w:hAnsi="宋体"/>
          <w:sz w:val="28"/>
          <w:szCs w:val="28"/>
        </w:rPr>
        <w:t>评标委员会要求投标人澄清、说明或者更正投标文件应当以书面形式作出。</w:t>
      </w:r>
    </w:p>
    <w:p w14:paraId="364101B8">
      <w:pPr>
        <w:adjustRightInd w:val="0"/>
        <w:snapToGrid w:val="0"/>
        <w:spacing w:line="500" w:lineRule="exact"/>
        <w:ind w:firstLine="560" w:firstLineChars="200"/>
        <w:rPr>
          <w:rFonts w:ascii="宋体"/>
          <w:sz w:val="28"/>
          <w:szCs w:val="28"/>
        </w:rPr>
      </w:pPr>
      <w:r>
        <w:rPr>
          <w:rFonts w:hint="eastAsia" w:ascii="宋体" w:hAnsi="宋体"/>
          <w:sz w:val="28"/>
          <w:szCs w:val="28"/>
        </w:rPr>
        <w:t>2.5.3投标人的澄清、说明或者更正应当由法定代表人或其授权代表签字或者加盖公章。由授权代表签字的，应当附法定代表人授权书。投标人的书面澄清材料作为投标文件的补充。</w:t>
      </w:r>
    </w:p>
    <w:p w14:paraId="72F8CFB1">
      <w:pPr>
        <w:adjustRightInd w:val="0"/>
        <w:snapToGrid w:val="0"/>
        <w:spacing w:line="500" w:lineRule="exact"/>
        <w:ind w:firstLine="560" w:firstLineChars="200"/>
        <w:rPr>
          <w:rFonts w:ascii="宋体" w:hAnsi="宋体"/>
          <w:sz w:val="28"/>
          <w:szCs w:val="28"/>
        </w:rPr>
      </w:pPr>
      <w:r>
        <w:rPr>
          <w:rFonts w:hint="eastAsia" w:ascii="宋体" w:hAnsi="宋体"/>
          <w:sz w:val="28"/>
          <w:szCs w:val="28"/>
        </w:rPr>
        <w:t>2.5.4投标人的澄清、说明或者更正不得超出投标文件的范围或者改变投标文件的实质性内容。</w:t>
      </w:r>
    </w:p>
    <w:p w14:paraId="30134EED">
      <w:pPr>
        <w:adjustRightInd w:val="0"/>
        <w:snapToGrid w:val="0"/>
        <w:spacing w:line="500" w:lineRule="exact"/>
        <w:ind w:firstLine="560" w:firstLineChars="200"/>
        <w:rPr>
          <w:rFonts w:ascii="宋体"/>
          <w:sz w:val="28"/>
          <w:szCs w:val="28"/>
        </w:rPr>
      </w:pPr>
      <w:r>
        <w:rPr>
          <w:rFonts w:ascii="宋体" w:hAnsi="宋体"/>
          <w:sz w:val="28"/>
          <w:szCs w:val="28"/>
        </w:rPr>
        <w:t>2.</w:t>
      </w:r>
      <w:r>
        <w:rPr>
          <w:rFonts w:hint="eastAsia" w:ascii="宋体" w:hAnsi="宋体"/>
          <w:sz w:val="28"/>
          <w:szCs w:val="28"/>
        </w:rPr>
        <w:t>5</w:t>
      </w:r>
      <w:r>
        <w:rPr>
          <w:rFonts w:ascii="宋体" w:hAnsi="宋体"/>
          <w:sz w:val="28"/>
          <w:szCs w:val="28"/>
        </w:rPr>
        <w:t>.</w:t>
      </w:r>
      <w:r>
        <w:rPr>
          <w:rFonts w:hint="eastAsia" w:ascii="宋体" w:hAnsi="宋体"/>
          <w:sz w:val="28"/>
          <w:szCs w:val="28"/>
        </w:rPr>
        <w:t>5评标委员会不得接受投标人主动提出的澄清、说明或补正。</w:t>
      </w:r>
    </w:p>
    <w:p w14:paraId="1E2CD301">
      <w:pPr>
        <w:adjustRightInd w:val="0"/>
        <w:snapToGrid w:val="0"/>
        <w:spacing w:line="500" w:lineRule="exact"/>
        <w:rPr>
          <w:rFonts w:ascii="黑体" w:hAnsi="黑体" w:eastAsia="黑体"/>
          <w:b/>
          <w:sz w:val="28"/>
          <w:szCs w:val="28"/>
        </w:rPr>
      </w:pPr>
      <w:r>
        <w:rPr>
          <w:rFonts w:hint="eastAsia" w:ascii="黑体" w:hAnsi="黑体" w:eastAsia="黑体"/>
          <w:b/>
          <w:sz w:val="28"/>
          <w:szCs w:val="28"/>
        </w:rPr>
        <w:t>3.评标过程中特殊情况的处理规定</w:t>
      </w:r>
    </w:p>
    <w:p w14:paraId="7267E67B">
      <w:pPr>
        <w:pStyle w:val="2"/>
        <w:adjustRightInd w:val="0"/>
        <w:snapToGrid w:val="0"/>
        <w:spacing w:line="500" w:lineRule="exact"/>
        <w:rPr>
          <w:rFonts w:ascii="楷体" w:hAnsi="楷体" w:eastAsia="楷体"/>
          <w:b/>
          <w:sz w:val="28"/>
          <w:szCs w:val="28"/>
        </w:rPr>
      </w:pPr>
      <w:r>
        <w:rPr>
          <w:rFonts w:hint="eastAsia" w:ascii="楷体" w:hAnsi="楷体" w:eastAsia="楷体"/>
          <w:b/>
          <w:sz w:val="28"/>
          <w:szCs w:val="28"/>
        </w:rPr>
        <w:t>3.1投标报价的修正</w:t>
      </w:r>
    </w:p>
    <w:p w14:paraId="2FCDC2F4">
      <w:pPr>
        <w:pStyle w:val="2"/>
        <w:adjustRightInd w:val="0"/>
        <w:snapToGrid w:val="0"/>
        <w:spacing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投标文件报价出现前后不一致的，按照下列规定修正： </w:t>
      </w:r>
    </w:p>
    <w:p w14:paraId="63D8FC2D">
      <w:pPr>
        <w:pStyle w:val="2"/>
        <w:adjustRightInd w:val="0"/>
        <w:snapToGrid w:val="0"/>
        <w:spacing w:line="440" w:lineRule="exact"/>
        <w:ind w:firstLine="280" w:firstLineChars="100"/>
        <w:rPr>
          <w:rFonts w:asciiTheme="minorEastAsia" w:hAnsiTheme="minorEastAsia" w:eastAsiaTheme="minorEastAsia"/>
          <w:sz w:val="28"/>
          <w:szCs w:val="28"/>
        </w:rPr>
      </w:pPr>
      <w:r>
        <w:rPr>
          <w:rFonts w:hint="eastAsia" w:asciiTheme="minorEastAsia" w:hAnsiTheme="minorEastAsia" w:eastAsiaTheme="minorEastAsia"/>
          <w:sz w:val="28"/>
          <w:szCs w:val="28"/>
        </w:rPr>
        <w:t>（1）投标文件中开标一览表内容与投标文件中相应内容不一致的，以开标一览表为准； </w:t>
      </w:r>
    </w:p>
    <w:p w14:paraId="7A6E8066">
      <w:pPr>
        <w:pStyle w:val="2"/>
        <w:adjustRightInd w:val="0"/>
        <w:snapToGrid w:val="0"/>
        <w:spacing w:line="440" w:lineRule="exact"/>
        <w:ind w:firstLine="280" w:firstLineChars="100"/>
        <w:rPr>
          <w:rFonts w:asciiTheme="minorEastAsia" w:hAnsiTheme="minorEastAsia" w:eastAsiaTheme="minorEastAsia"/>
          <w:sz w:val="28"/>
          <w:szCs w:val="28"/>
        </w:rPr>
      </w:pPr>
      <w:r>
        <w:rPr>
          <w:rFonts w:hint="eastAsia" w:asciiTheme="minorEastAsia" w:hAnsiTheme="minorEastAsia" w:eastAsiaTheme="minorEastAsia"/>
          <w:sz w:val="28"/>
          <w:szCs w:val="28"/>
        </w:rPr>
        <w:t>（2）大写金额和小写金额不一致的，以大写金额为准； </w:t>
      </w:r>
    </w:p>
    <w:p w14:paraId="4347ED7B">
      <w:pPr>
        <w:pStyle w:val="2"/>
        <w:adjustRightInd w:val="0"/>
        <w:snapToGrid w:val="0"/>
        <w:spacing w:line="440" w:lineRule="exact"/>
        <w:ind w:firstLine="280" w:firstLineChars="100"/>
        <w:rPr>
          <w:rFonts w:asciiTheme="minorEastAsia" w:hAnsiTheme="minorEastAsia" w:eastAsiaTheme="minorEastAsia"/>
          <w:sz w:val="28"/>
          <w:szCs w:val="28"/>
        </w:rPr>
      </w:pPr>
      <w:r>
        <w:rPr>
          <w:rFonts w:hint="eastAsia" w:asciiTheme="minorEastAsia" w:hAnsiTheme="minorEastAsia" w:eastAsiaTheme="minorEastAsia"/>
          <w:sz w:val="28"/>
          <w:szCs w:val="28"/>
        </w:rPr>
        <w:t>（3）单价金额小数点或者百分比有明显错位的，以开标一览表的总价为准，并修改单价； </w:t>
      </w:r>
    </w:p>
    <w:p w14:paraId="1B6C0CC8">
      <w:pPr>
        <w:pStyle w:val="2"/>
        <w:adjustRightInd w:val="0"/>
        <w:snapToGrid w:val="0"/>
        <w:spacing w:line="440" w:lineRule="exact"/>
        <w:ind w:firstLine="280" w:firstLineChars="100"/>
        <w:rPr>
          <w:rFonts w:asciiTheme="minorEastAsia" w:hAnsiTheme="minorEastAsia" w:eastAsiaTheme="minorEastAsia"/>
          <w:sz w:val="28"/>
          <w:szCs w:val="28"/>
        </w:rPr>
      </w:pPr>
      <w:r>
        <w:rPr>
          <w:rFonts w:hint="eastAsia" w:asciiTheme="minorEastAsia" w:hAnsiTheme="minorEastAsia" w:eastAsiaTheme="minorEastAsia"/>
          <w:sz w:val="28"/>
          <w:szCs w:val="28"/>
        </w:rPr>
        <w:t>（4）总价金额与按单价汇总金额不一致的，以单价金额计算结果为准。 </w:t>
      </w:r>
    </w:p>
    <w:p w14:paraId="4614290E">
      <w:pPr>
        <w:pStyle w:val="2"/>
        <w:adjustRightInd w:val="0"/>
        <w:snapToGrid w:val="0"/>
        <w:spacing w:line="44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同时出现两种以上不一致的，按照前款规定的顺序修正。修正后的报价按照本章第2.5条的规定经投标人确认后产生约束力，投标人不确认的，其投标无效。</w:t>
      </w:r>
    </w:p>
    <w:p w14:paraId="7526D2EE">
      <w:pPr>
        <w:pStyle w:val="2"/>
        <w:adjustRightInd w:val="0"/>
        <w:snapToGrid w:val="0"/>
        <w:spacing w:line="500" w:lineRule="exact"/>
        <w:rPr>
          <w:rFonts w:ascii="楷体" w:hAnsi="楷体" w:eastAsia="楷体"/>
          <w:b/>
          <w:sz w:val="28"/>
          <w:szCs w:val="28"/>
        </w:rPr>
      </w:pPr>
      <w:r>
        <w:rPr>
          <w:rFonts w:hint="eastAsia" w:ascii="楷体" w:hAnsi="楷体" w:eastAsia="楷体"/>
          <w:b/>
          <w:sz w:val="28"/>
          <w:szCs w:val="28"/>
        </w:rPr>
        <w:t>3.2评标委员会成员的更换</w:t>
      </w:r>
    </w:p>
    <w:p w14:paraId="0C60C3E9">
      <w:pPr>
        <w:pStyle w:val="2"/>
        <w:adjustRightInd w:val="0"/>
        <w:snapToGrid w:val="0"/>
        <w:spacing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3.2.1评标过程中，因评标委员会成员缺席、回避或者健康等特殊原因导致评标委员会组成不符合规定的，招标人将依法补足后继续评标。被更换的评标委员会成员所作出的评标意见无效。 </w:t>
      </w:r>
    </w:p>
    <w:p w14:paraId="5DA99F5C">
      <w:pPr>
        <w:pStyle w:val="2"/>
        <w:adjustRightInd w:val="0"/>
        <w:snapToGrid w:val="0"/>
        <w:spacing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3.2.2无法及时补足评标委员会成员的，招标人将停止评标活动，封存所有投标文件和开标、评标资料，依法重新组建评标委员会进行评标。原评标委员会所作出的评标意见无效。</w:t>
      </w:r>
    </w:p>
    <w:p w14:paraId="331129A7">
      <w:pPr>
        <w:pStyle w:val="2"/>
        <w:adjustRightInd w:val="0"/>
        <w:snapToGrid w:val="0"/>
        <w:spacing w:line="500" w:lineRule="exact"/>
        <w:rPr>
          <w:rFonts w:ascii="楷体" w:hAnsi="楷体" w:eastAsia="楷体"/>
          <w:b/>
          <w:sz w:val="28"/>
          <w:szCs w:val="28"/>
        </w:rPr>
      </w:pPr>
      <w:r>
        <w:rPr>
          <w:rFonts w:hint="eastAsia" w:ascii="楷体" w:hAnsi="楷体" w:eastAsia="楷体"/>
          <w:b/>
          <w:sz w:val="28"/>
          <w:szCs w:val="28"/>
        </w:rPr>
        <w:t>3.3异常低价的处理</w:t>
      </w:r>
    </w:p>
    <w:p w14:paraId="1278B015">
      <w:pPr>
        <w:pStyle w:val="2"/>
        <w:adjustRightInd w:val="0"/>
        <w:snapToGrid w:val="0"/>
        <w:spacing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57E96744">
      <w:pPr>
        <w:pStyle w:val="2"/>
        <w:adjustRightInd w:val="0"/>
        <w:snapToGrid w:val="0"/>
        <w:spacing w:line="500" w:lineRule="exact"/>
        <w:rPr>
          <w:rFonts w:ascii="楷体" w:hAnsi="楷体" w:eastAsia="楷体" w:cs="宋体"/>
          <w:b/>
          <w:sz w:val="28"/>
          <w:szCs w:val="28"/>
        </w:rPr>
      </w:pPr>
      <w:r>
        <w:rPr>
          <w:rFonts w:hint="eastAsia" w:ascii="楷体" w:hAnsi="楷体" w:eastAsia="楷体"/>
          <w:b/>
          <w:sz w:val="28"/>
          <w:szCs w:val="28"/>
        </w:rPr>
        <w:t>3.4</w:t>
      </w:r>
      <w:r>
        <w:rPr>
          <w:rFonts w:hint="eastAsia" w:ascii="楷体" w:hAnsi="楷体" w:eastAsia="楷体" w:cs="宋体"/>
          <w:b/>
          <w:sz w:val="28"/>
          <w:szCs w:val="28"/>
        </w:rPr>
        <w:t>争议解决</w:t>
      </w:r>
    </w:p>
    <w:p w14:paraId="186EBA22">
      <w:pPr>
        <w:pStyle w:val="2"/>
        <w:adjustRightInd w:val="0"/>
        <w:snapToGrid w:val="0"/>
        <w:spacing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评标委员会成员对需要共同认定的事项存在争议的，按照少数服从多数的原则作出结论。持不同意见的评标委员会成员须在评标报告上签署不同意见及理由。</w:t>
      </w:r>
    </w:p>
    <w:p w14:paraId="4F7EFFEA">
      <w:pPr>
        <w:adjustRightInd w:val="0"/>
        <w:snapToGrid w:val="0"/>
        <w:spacing w:line="500" w:lineRule="exact"/>
        <w:rPr>
          <w:rFonts w:ascii="楷体" w:hAnsi="楷体" w:eastAsia="楷体"/>
          <w:b/>
          <w:sz w:val="28"/>
          <w:szCs w:val="28"/>
        </w:rPr>
      </w:pPr>
      <w:r>
        <w:rPr>
          <w:rFonts w:hint="eastAsia" w:ascii="楷体" w:hAnsi="楷体" w:eastAsia="楷体"/>
          <w:b/>
          <w:sz w:val="28"/>
          <w:szCs w:val="28"/>
        </w:rPr>
        <w:t>3.5评标终止</w:t>
      </w:r>
    </w:p>
    <w:p w14:paraId="18873E88">
      <w:pPr>
        <w:pStyle w:val="2"/>
        <w:adjustRightInd w:val="0"/>
        <w:snapToGrid w:val="0"/>
        <w:spacing w:line="500" w:lineRule="exact"/>
        <w:ind w:firstLine="560" w:firstLineChars="200"/>
        <w:rPr>
          <w:sz w:val="28"/>
          <w:szCs w:val="28"/>
        </w:rPr>
      </w:pPr>
      <w:r>
        <w:rPr>
          <w:rFonts w:hint="eastAsia"/>
          <w:sz w:val="28"/>
          <w:szCs w:val="28"/>
        </w:rPr>
        <w:t>评标委员会发现招标文件存在歧义、重大缺陷导致评标工作无法进行，或者招标文件内容违反国家有关强制性规定的，应当停止评标工作，与招标人或者采购代理机构沟通并作书面记录。招标人确认后，终止评标活动。</w:t>
      </w:r>
    </w:p>
    <w:p w14:paraId="761107B8">
      <w:pPr>
        <w:adjustRightInd w:val="0"/>
        <w:snapToGrid w:val="0"/>
        <w:spacing w:line="500" w:lineRule="exact"/>
        <w:rPr>
          <w:rFonts w:ascii="楷体" w:hAnsi="楷体" w:eastAsia="楷体"/>
          <w:b/>
          <w:sz w:val="28"/>
          <w:szCs w:val="28"/>
        </w:rPr>
      </w:pPr>
      <w:r>
        <w:rPr>
          <w:rFonts w:hint="eastAsia" w:ascii="楷体" w:hAnsi="楷体" w:eastAsia="楷体"/>
          <w:b/>
          <w:sz w:val="28"/>
          <w:szCs w:val="28"/>
        </w:rPr>
        <w:t>3.6修改评标结果</w:t>
      </w:r>
    </w:p>
    <w:p w14:paraId="696F46A2">
      <w:pPr>
        <w:adjustRightInd w:val="0"/>
        <w:snapToGrid w:val="0"/>
        <w:spacing w:line="500" w:lineRule="exact"/>
        <w:ind w:firstLine="560" w:firstLineChars="200"/>
        <w:rPr>
          <w:rFonts w:ascii="宋体"/>
          <w:sz w:val="28"/>
          <w:szCs w:val="28"/>
        </w:rPr>
      </w:pPr>
      <w:r>
        <w:rPr>
          <w:rFonts w:hint="eastAsia" w:ascii="宋体" w:hAnsi="宋体"/>
          <w:sz w:val="28"/>
          <w:szCs w:val="28"/>
        </w:rPr>
        <w:t>评审组长负责汇总和核对各</w:t>
      </w:r>
      <w:r>
        <w:rPr>
          <w:rFonts w:hint="eastAsia" w:asciiTheme="minorEastAsia" w:hAnsiTheme="minorEastAsia" w:eastAsiaTheme="minorEastAsia"/>
          <w:sz w:val="28"/>
          <w:szCs w:val="28"/>
        </w:rPr>
        <w:t>评标委员会成员</w:t>
      </w:r>
      <w:r>
        <w:rPr>
          <w:rFonts w:hint="eastAsia" w:ascii="宋体" w:hAnsi="宋体"/>
          <w:sz w:val="28"/>
          <w:szCs w:val="28"/>
        </w:rPr>
        <w:t>的评审结果。在评标报告签署前，出现下列情形之一的，可以要求其当场修改评审结果：</w:t>
      </w:r>
    </w:p>
    <w:p w14:paraId="400F6C82">
      <w:pPr>
        <w:adjustRightInd w:val="0"/>
        <w:snapToGrid w:val="0"/>
        <w:spacing w:line="500" w:lineRule="exact"/>
        <w:ind w:firstLine="560" w:firstLineChars="200"/>
        <w:rPr>
          <w:rFonts w:ascii="宋体"/>
          <w:sz w:val="28"/>
          <w:szCs w:val="28"/>
        </w:rPr>
      </w:pPr>
      <w:r>
        <w:rPr>
          <w:rFonts w:hint="eastAsia" w:ascii="宋体" w:hAnsi="宋体"/>
          <w:sz w:val="28"/>
          <w:szCs w:val="28"/>
        </w:rPr>
        <w:t>（</w:t>
      </w:r>
      <w:r>
        <w:rPr>
          <w:rFonts w:ascii="宋体" w:hAnsi="宋体"/>
          <w:sz w:val="28"/>
          <w:szCs w:val="28"/>
        </w:rPr>
        <w:t>1</w:t>
      </w:r>
      <w:r>
        <w:rPr>
          <w:rFonts w:hint="eastAsia" w:ascii="宋体" w:hAnsi="宋体"/>
          <w:sz w:val="28"/>
          <w:szCs w:val="28"/>
        </w:rPr>
        <w:t>）分值汇总计算错误；</w:t>
      </w:r>
    </w:p>
    <w:p w14:paraId="28A90034">
      <w:pPr>
        <w:adjustRightInd w:val="0"/>
        <w:snapToGrid w:val="0"/>
        <w:spacing w:line="500" w:lineRule="exact"/>
        <w:ind w:firstLine="560" w:firstLineChars="200"/>
        <w:rPr>
          <w:rFonts w:ascii="宋体"/>
          <w:sz w:val="28"/>
          <w:szCs w:val="28"/>
        </w:rPr>
      </w:pPr>
      <w:r>
        <w:rPr>
          <w:rFonts w:hint="eastAsia" w:ascii="宋体" w:hAnsi="宋体"/>
          <w:sz w:val="28"/>
          <w:szCs w:val="28"/>
        </w:rPr>
        <w:t>（</w:t>
      </w:r>
      <w:r>
        <w:rPr>
          <w:rFonts w:ascii="宋体" w:hAnsi="宋体"/>
          <w:sz w:val="28"/>
          <w:szCs w:val="28"/>
        </w:rPr>
        <w:t>2</w:t>
      </w:r>
      <w:r>
        <w:rPr>
          <w:rFonts w:hint="eastAsia" w:ascii="宋体" w:hAnsi="宋体"/>
          <w:sz w:val="28"/>
          <w:szCs w:val="28"/>
        </w:rPr>
        <w:t>）分项评分超出评分标准范围；</w:t>
      </w:r>
    </w:p>
    <w:p w14:paraId="39B8700E">
      <w:pPr>
        <w:adjustRightInd w:val="0"/>
        <w:snapToGrid w:val="0"/>
        <w:spacing w:line="500" w:lineRule="exact"/>
        <w:ind w:firstLine="560" w:firstLineChars="200"/>
        <w:rPr>
          <w:rFonts w:ascii="宋体"/>
          <w:sz w:val="28"/>
          <w:szCs w:val="28"/>
        </w:rPr>
      </w:pPr>
      <w:r>
        <w:rPr>
          <w:rFonts w:hint="eastAsia" w:ascii="宋体" w:hAnsi="宋体"/>
          <w:sz w:val="28"/>
          <w:szCs w:val="28"/>
        </w:rPr>
        <w:t>（</w:t>
      </w:r>
      <w:r>
        <w:rPr>
          <w:rFonts w:ascii="宋体" w:hAnsi="宋体"/>
          <w:sz w:val="28"/>
          <w:szCs w:val="28"/>
        </w:rPr>
        <w:t>3</w:t>
      </w:r>
      <w:r>
        <w:rPr>
          <w:rFonts w:hint="eastAsia" w:ascii="宋体" w:hAnsi="宋体"/>
          <w:sz w:val="28"/>
          <w:szCs w:val="28"/>
        </w:rPr>
        <w:t>）评标委员会成员对客观评审因素评分不一致；</w:t>
      </w:r>
    </w:p>
    <w:p w14:paraId="4999AA00">
      <w:pPr>
        <w:pStyle w:val="2"/>
        <w:adjustRightInd w:val="0"/>
        <w:snapToGrid w:val="0"/>
        <w:spacing w:line="500" w:lineRule="exact"/>
        <w:ind w:firstLine="560" w:firstLineChars="200"/>
      </w:pPr>
      <w:r>
        <w:rPr>
          <w:rFonts w:hint="eastAsia" w:ascii="宋体" w:hAnsi="宋体"/>
          <w:sz w:val="28"/>
          <w:szCs w:val="28"/>
        </w:rPr>
        <w:t>（</w:t>
      </w:r>
      <w:r>
        <w:rPr>
          <w:rFonts w:ascii="宋体" w:hAnsi="宋体"/>
          <w:sz w:val="28"/>
          <w:szCs w:val="28"/>
        </w:rPr>
        <w:t>4</w:t>
      </w:r>
      <w:r>
        <w:rPr>
          <w:rFonts w:hint="eastAsia" w:ascii="宋体" w:hAnsi="宋体"/>
          <w:sz w:val="28"/>
          <w:szCs w:val="28"/>
        </w:rPr>
        <w:t>）经评标委员会认定评分畸高或畸低。</w:t>
      </w:r>
    </w:p>
    <w:p w14:paraId="01A3F2F3">
      <w:pPr>
        <w:pStyle w:val="2"/>
        <w:adjustRightInd w:val="0"/>
        <w:snapToGrid w:val="0"/>
        <w:spacing w:line="500" w:lineRule="exact"/>
        <w:rPr>
          <w:rFonts w:ascii="楷体" w:hAnsi="楷体" w:eastAsia="楷体"/>
          <w:b/>
          <w:sz w:val="28"/>
          <w:szCs w:val="28"/>
        </w:rPr>
      </w:pPr>
      <w:r>
        <w:rPr>
          <w:rFonts w:hint="eastAsia" w:ascii="楷体" w:hAnsi="楷体" w:eastAsia="楷体"/>
          <w:b/>
          <w:sz w:val="28"/>
          <w:szCs w:val="28"/>
        </w:rPr>
        <w:t>3.7 投标人总分相同</w:t>
      </w:r>
    </w:p>
    <w:p w14:paraId="19AAB2BE">
      <w:pPr>
        <w:adjustRightInd w:val="0"/>
        <w:snapToGrid w:val="0"/>
        <w:spacing w:line="500" w:lineRule="exact"/>
        <w:ind w:firstLine="560" w:firstLineChars="200"/>
        <w:rPr>
          <w:rFonts w:ascii="宋体"/>
          <w:sz w:val="28"/>
          <w:szCs w:val="28"/>
        </w:rPr>
      </w:pPr>
      <w:r>
        <w:rPr>
          <w:rFonts w:hint="eastAsia" w:ascii="宋体" w:hAnsi="宋体"/>
          <w:sz w:val="28"/>
          <w:szCs w:val="28"/>
        </w:rPr>
        <w:t>投标人总分相同时，投标报价低的排名优先；如投标报价也相同，由招标人抽签确定排序。</w:t>
      </w:r>
    </w:p>
    <w:p w14:paraId="026051C4">
      <w:pPr>
        <w:pStyle w:val="2"/>
        <w:adjustRightInd w:val="0"/>
        <w:snapToGrid w:val="0"/>
        <w:spacing w:line="500" w:lineRule="exact"/>
        <w:rPr>
          <w:rFonts w:ascii="楷体" w:hAnsi="楷体" w:eastAsia="楷体"/>
          <w:b/>
          <w:sz w:val="28"/>
          <w:szCs w:val="28"/>
        </w:rPr>
      </w:pPr>
      <w:r>
        <w:rPr>
          <w:rFonts w:hint="eastAsia" w:ascii="楷体" w:hAnsi="楷体" w:eastAsia="楷体"/>
          <w:b/>
          <w:sz w:val="28"/>
          <w:szCs w:val="28"/>
        </w:rPr>
        <w:t>3.8评标报告签署</w:t>
      </w:r>
    </w:p>
    <w:p w14:paraId="6585531F">
      <w:pPr>
        <w:adjustRightInd w:val="0"/>
        <w:snapToGrid w:val="0"/>
        <w:spacing w:line="500" w:lineRule="exact"/>
        <w:ind w:firstLine="560" w:firstLineChars="200"/>
        <w:rPr>
          <w:rFonts w:ascii="宋体" w:hAnsi="宋体"/>
          <w:sz w:val="28"/>
          <w:szCs w:val="28"/>
        </w:rPr>
      </w:pPr>
      <w:r>
        <w:rPr>
          <w:rFonts w:hint="eastAsia" w:ascii="宋体" w:hAnsi="宋体"/>
          <w:sz w:val="28"/>
          <w:szCs w:val="28"/>
        </w:rPr>
        <w:t>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p>
    <w:p w14:paraId="7532CC6B">
      <w:pPr>
        <w:pStyle w:val="2"/>
        <w:adjustRightInd w:val="0"/>
        <w:snapToGrid w:val="0"/>
        <w:spacing w:line="500" w:lineRule="exact"/>
        <w:rPr>
          <w:rFonts w:ascii="黑体" w:hAnsi="黑体" w:eastAsia="黑体"/>
          <w:b/>
          <w:sz w:val="28"/>
          <w:szCs w:val="28"/>
        </w:rPr>
      </w:pPr>
      <w:r>
        <w:rPr>
          <w:rFonts w:hint="eastAsia" w:ascii="黑体" w:hAnsi="黑体" w:eastAsia="黑体"/>
          <w:b/>
          <w:sz w:val="28"/>
          <w:szCs w:val="28"/>
        </w:rPr>
        <w:t>4.判定无效投标的规定</w:t>
      </w:r>
    </w:p>
    <w:p w14:paraId="5BE10BA6">
      <w:pPr>
        <w:pStyle w:val="2"/>
        <w:adjustRightInd w:val="0"/>
        <w:snapToGrid w:val="0"/>
        <w:spacing w:line="500" w:lineRule="exact"/>
        <w:rPr>
          <w:rFonts w:ascii="楷体" w:hAnsi="楷体" w:eastAsia="楷体"/>
          <w:b/>
          <w:sz w:val="28"/>
          <w:szCs w:val="28"/>
        </w:rPr>
      </w:pPr>
      <w:r>
        <w:rPr>
          <w:rFonts w:hint="eastAsia" w:ascii="楷体" w:hAnsi="楷体" w:eastAsia="楷体"/>
          <w:b/>
          <w:sz w:val="28"/>
          <w:szCs w:val="28"/>
        </w:rPr>
        <w:t>4.1开标过程中，有下列情形之一的，作无效投标处理。</w:t>
      </w:r>
    </w:p>
    <w:p w14:paraId="0D167E5E">
      <w:pPr>
        <w:pStyle w:val="2"/>
        <w:adjustRightInd w:val="0"/>
        <w:snapToGrid w:val="0"/>
        <w:spacing w:after="0"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（1）投标文件无法解密；</w:t>
      </w:r>
    </w:p>
    <w:p w14:paraId="0DCF12F0">
      <w:pPr>
        <w:pStyle w:val="2"/>
        <w:adjustRightInd w:val="0"/>
        <w:snapToGrid w:val="0"/>
        <w:spacing w:after="0"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（2）投标文件未在规定的时间内解密成功。</w:t>
      </w:r>
    </w:p>
    <w:p w14:paraId="18C3D836">
      <w:pPr>
        <w:pStyle w:val="2"/>
        <w:adjustRightInd w:val="0"/>
        <w:snapToGrid w:val="0"/>
        <w:spacing w:after="0" w:line="500" w:lineRule="exact"/>
        <w:rPr>
          <w:rFonts w:ascii="楷体" w:hAnsi="楷体" w:eastAsia="楷体"/>
          <w:b/>
          <w:spacing w:val="-14"/>
          <w:sz w:val="28"/>
          <w:szCs w:val="28"/>
        </w:rPr>
      </w:pPr>
      <w:r>
        <w:rPr>
          <w:rFonts w:hint="eastAsia" w:ascii="楷体" w:hAnsi="楷体" w:eastAsia="楷体"/>
          <w:b/>
          <w:sz w:val="28"/>
          <w:szCs w:val="28"/>
        </w:rPr>
        <w:t>4.2资格审查过程中，</w:t>
      </w:r>
      <w:r>
        <w:rPr>
          <w:rFonts w:hint="eastAsia" w:ascii="楷体" w:hAnsi="楷体" w:eastAsia="楷体"/>
          <w:b/>
          <w:spacing w:val="-14"/>
          <w:sz w:val="28"/>
          <w:szCs w:val="28"/>
        </w:rPr>
        <w:t>投标文件出现不符合1.2项评审标准之一的，作无效标处理。</w:t>
      </w:r>
    </w:p>
    <w:p w14:paraId="452B82F6">
      <w:pPr>
        <w:pStyle w:val="2"/>
        <w:adjustRightInd w:val="0"/>
        <w:snapToGrid w:val="0"/>
        <w:spacing w:after="0" w:line="500" w:lineRule="exact"/>
        <w:rPr>
          <w:rFonts w:ascii="楷体" w:hAnsi="楷体" w:eastAsia="楷体"/>
          <w:b/>
          <w:spacing w:val="-14"/>
          <w:sz w:val="28"/>
          <w:szCs w:val="28"/>
        </w:rPr>
      </w:pPr>
      <w:r>
        <w:rPr>
          <w:rFonts w:hint="eastAsia" w:ascii="楷体" w:hAnsi="楷体" w:eastAsia="楷体"/>
          <w:b/>
          <w:spacing w:val="-14"/>
          <w:sz w:val="28"/>
          <w:szCs w:val="28"/>
        </w:rPr>
        <w:t>4.3</w:t>
      </w:r>
      <w:r>
        <w:rPr>
          <w:rFonts w:hint="eastAsia" w:ascii="楷体" w:hAnsi="楷体" w:eastAsia="楷体"/>
          <w:b/>
          <w:sz w:val="28"/>
          <w:szCs w:val="28"/>
        </w:rPr>
        <w:t>评标过程中，有下列情形之一的，作无效投标处理。</w:t>
      </w:r>
    </w:p>
    <w:p w14:paraId="42CE75A8">
      <w:pPr>
        <w:pStyle w:val="2"/>
        <w:adjustRightInd w:val="0"/>
        <w:snapToGrid w:val="0"/>
        <w:spacing w:after="0"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（1）符合性评审时，投标文件出现不符合</w:t>
      </w:r>
      <w:r>
        <w:rPr>
          <w:rFonts w:asciiTheme="minorEastAsia" w:hAnsiTheme="minorEastAsia" w:eastAsiaTheme="minorEastAsia"/>
          <w:sz w:val="28"/>
          <w:szCs w:val="28"/>
        </w:rPr>
        <w:t>2.</w:t>
      </w:r>
      <w:r>
        <w:rPr>
          <w:rFonts w:hint="eastAsia" w:asciiTheme="minorEastAsia" w:hAnsiTheme="minorEastAsia" w:eastAsiaTheme="minorEastAsia"/>
          <w:sz w:val="28"/>
          <w:szCs w:val="28"/>
        </w:rPr>
        <w:t>2.2项评审标准之一的；</w:t>
      </w:r>
    </w:p>
    <w:p w14:paraId="798A3139">
      <w:pPr>
        <w:pStyle w:val="2"/>
        <w:adjustRightInd w:val="0"/>
        <w:snapToGrid w:val="0"/>
        <w:spacing w:after="0"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（2）投标人不确认评标委员会提出的投标报价修正意见的；</w:t>
      </w:r>
    </w:p>
    <w:p w14:paraId="7190C229">
      <w:pPr>
        <w:pStyle w:val="2"/>
        <w:adjustRightInd w:val="0"/>
        <w:snapToGrid w:val="0"/>
        <w:spacing w:after="0"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（3）未按照评标委员会要求提供书面说明及相关证明材料证明其报价合理性的；</w:t>
      </w:r>
    </w:p>
    <w:p w14:paraId="0C301865">
      <w:pPr>
        <w:pStyle w:val="2"/>
        <w:adjustRightInd w:val="0"/>
        <w:snapToGrid w:val="0"/>
        <w:spacing w:after="0"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（4）投标文件含有采购人不能接受的附加条件的。</w:t>
      </w:r>
    </w:p>
    <w:p w14:paraId="13029350">
      <w:pPr>
        <w:pStyle w:val="2"/>
        <w:adjustRightInd w:val="0"/>
        <w:snapToGrid w:val="0"/>
        <w:spacing w:after="0" w:line="500" w:lineRule="exact"/>
        <w:rPr>
          <w:rFonts w:ascii="楷体" w:hAnsi="楷体" w:eastAsia="楷体"/>
          <w:b/>
          <w:sz w:val="28"/>
          <w:szCs w:val="28"/>
        </w:rPr>
      </w:pPr>
      <w:r>
        <w:rPr>
          <w:rFonts w:hint="eastAsia" w:ascii="楷体" w:hAnsi="楷体" w:eastAsia="楷体"/>
          <w:b/>
          <w:sz w:val="28"/>
          <w:szCs w:val="28"/>
        </w:rPr>
        <w:t>4.4法律、法规规定的其他投标无效情形。</w:t>
      </w:r>
      <w:bookmarkEnd w:id="227"/>
      <w:bookmarkEnd w:id="228"/>
      <w:bookmarkEnd w:id="229"/>
      <w:bookmarkEnd w:id="230"/>
      <w:bookmarkEnd w:id="231"/>
      <w:bookmarkEnd w:id="232"/>
      <w:bookmarkEnd w:id="233"/>
      <w:bookmarkEnd w:id="234"/>
      <w:bookmarkEnd w:id="236"/>
    </w:p>
    <w:p w14:paraId="6D18CF73">
      <w:pPr>
        <w:pStyle w:val="2"/>
      </w:pPr>
    </w:p>
    <w:p w14:paraId="39537044">
      <w:pPr>
        <w:pStyle w:val="2"/>
      </w:pPr>
    </w:p>
    <w:p w14:paraId="00BAB230">
      <w:pPr>
        <w:widowControl/>
        <w:jc w:val="left"/>
        <w:rPr>
          <w:rFonts w:ascii="黑体" w:hAnsi="宋体" w:eastAsia="黑体"/>
          <w:b/>
          <w:sz w:val="32"/>
          <w:szCs w:val="20"/>
        </w:rPr>
      </w:pPr>
      <w:bookmarkStart w:id="237" w:name="_Toc383698715"/>
      <w:bookmarkStart w:id="238" w:name="_Toc383623741"/>
      <w:bookmarkStart w:id="239" w:name="_Toc390099086"/>
      <w:bookmarkStart w:id="240" w:name="_Toc383624013"/>
      <w:bookmarkStart w:id="241" w:name="_Toc390246973"/>
      <w:bookmarkStart w:id="242" w:name="_Toc425871381"/>
      <w:bookmarkStart w:id="243" w:name="_Toc383626062"/>
      <w:bookmarkStart w:id="244" w:name="_Toc390098908"/>
      <w:bookmarkStart w:id="245" w:name="_Toc383679815"/>
      <w:r>
        <w:rPr>
          <w:rFonts w:ascii="黑体" w:hAnsi="宋体" w:eastAsia="黑体"/>
          <w:b/>
        </w:rPr>
        <w:br w:type="page"/>
      </w:r>
    </w:p>
    <w:p w14:paraId="22BBC4CA">
      <w:pPr>
        <w:pStyle w:val="17"/>
        <w:adjustRightInd w:val="0"/>
        <w:snapToGrid w:val="0"/>
        <w:spacing w:line="500" w:lineRule="exact"/>
        <w:ind w:left="0" w:firstLine="0"/>
        <w:jc w:val="center"/>
        <w:outlineLvl w:val="0"/>
        <w:rPr>
          <w:rFonts w:ascii="宋体" w:hAnsi="宋体" w:eastAsia="宋体"/>
          <w:b/>
          <w:bCs/>
          <w:color w:val="000000"/>
          <w:szCs w:val="28"/>
        </w:rPr>
      </w:pPr>
      <w:r>
        <w:rPr>
          <w:rFonts w:hint="eastAsia" w:ascii="黑体" w:hAnsi="宋体" w:eastAsia="黑体"/>
          <w:b/>
          <w:color w:val="auto"/>
        </w:rPr>
        <w:t>第四章</w:t>
      </w:r>
      <w:r>
        <w:rPr>
          <w:rFonts w:ascii="黑体" w:hAnsi="宋体" w:eastAsia="黑体"/>
          <w:b/>
          <w:color w:val="auto"/>
        </w:rPr>
        <w:t xml:space="preserve"> </w:t>
      </w:r>
      <w:r>
        <w:rPr>
          <w:rFonts w:hint="eastAsia" w:ascii="黑体" w:hAnsi="宋体" w:eastAsia="黑体"/>
          <w:b/>
          <w:color w:val="auto"/>
        </w:rPr>
        <w:t>合同条款</w:t>
      </w:r>
      <w:bookmarkStart w:id="246" w:name="_Toc120614222"/>
      <w:bookmarkStart w:id="247" w:name="_Toc382813933"/>
      <w:bookmarkStart w:id="248" w:name="_Toc513029243"/>
      <w:bookmarkStart w:id="249" w:name="_Toc390098887"/>
      <w:bookmarkStart w:id="250" w:name="_Toc383623720"/>
      <w:bookmarkStart w:id="251" w:name="_Toc382812295"/>
      <w:bookmarkStart w:id="252" w:name="_Toc390246952"/>
      <w:bookmarkStart w:id="253" w:name="_Toc288030332"/>
      <w:bookmarkStart w:id="254" w:name="_Toc20823315"/>
      <w:bookmarkStart w:id="255" w:name="_Toc16938559"/>
      <w:bookmarkStart w:id="256" w:name="_Toc383679794"/>
      <w:bookmarkStart w:id="257" w:name="_Toc382811181"/>
      <w:bookmarkStart w:id="258" w:name="_Toc383587505"/>
      <w:bookmarkStart w:id="259" w:name="_Toc390099065"/>
      <w:bookmarkStart w:id="260" w:name="_Toc382811586"/>
      <w:bookmarkStart w:id="261" w:name="_Toc282446296"/>
      <w:bookmarkStart w:id="262" w:name="_Toc383698694"/>
      <w:bookmarkStart w:id="263" w:name="_Toc382812484"/>
      <w:bookmarkStart w:id="264" w:name="_Toc425871366"/>
      <w:bookmarkStart w:id="265" w:name="_Toc383623992"/>
      <w:bookmarkStart w:id="266" w:name="_Toc382814014"/>
      <w:bookmarkStart w:id="267" w:name="_Toc383626041"/>
      <w:r>
        <w:rPr>
          <w:rFonts w:hint="eastAsia" w:ascii="黑体" w:hAnsi="宋体" w:eastAsia="黑体"/>
          <w:b/>
          <w:color w:val="auto"/>
        </w:rPr>
        <w:t>（仅供参考）</w:t>
      </w:r>
    </w:p>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14:paraId="10EDDDC9">
      <w:pPr>
        <w:spacing w:before="143" w:line="360" w:lineRule="auto"/>
        <w:ind w:left="240" w:leftChars="100"/>
        <w:rPr>
          <w:rFonts w:hint="eastAsia" w:ascii="宋体" w:hAnsi="宋体" w:cs="宋体"/>
          <w:color w:val="000000"/>
          <w:szCs w:val="21"/>
        </w:rPr>
      </w:pPr>
      <w:r>
        <w:rPr>
          <w:rFonts w:hint="eastAsia" w:ascii="宋体" w:hAnsi="宋体" w:cs="宋体"/>
          <w:color w:val="000000"/>
          <w:spacing w:val="1"/>
          <w:szCs w:val="21"/>
        </w:rPr>
        <w:t>一、通用合同条款部分</w:t>
      </w:r>
    </w:p>
    <w:p w14:paraId="3B64DE06">
      <w:pPr>
        <w:spacing w:before="170" w:line="360" w:lineRule="auto"/>
        <w:ind w:left="240" w:leftChars="100"/>
        <w:rPr>
          <w:rFonts w:hint="eastAsia" w:ascii="宋体" w:hAnsi="宋体" w:cs="宋体"/>
          <w:color w:val="000000"/>
          <w:szCs w:val="21"/>
        </w:rPr>
      </w:pPr>
      <w:r>
        <w:rPr>
          <w:rFonts w:hint="eastAsia" w:ascii="宋体" w:hAnsi="宋体" w:cs="宋体"/>
          <w:color w:val="000000"/>
          <w:spacing w:val="2"/>
          <w:szCs w:val="21"/>
        </w:rPr>
        <w:t>1</w:t>
      </w:r>
      <w:r>
        <w:rPr>
          <w:rFonts w:hint="eastAsia" w:ascii="宋体" w:hAnsi="宋体" w:cs="宋体"/>
          <w:color w:val="000000"/>
          <w:szCs w:val="21"/>
        </w:rPr>
        <w:t>、定义</w:t>
      </w:r>
    </w:p>
    <w:p w14:paraId="66500E26">
      <w:pPr>
        <w:spacing w:before="168" w:line="360" w:lineRule="auto"/>
        <w:ind w:left="240" w:leftChars="100"/>
        <w:rPr>
          <w:rFonts w:hint="eastAsia" w:ascii="宋体" w:hAnsi="宋体" w:cs="宋体"/>
          <w:color w:val="000000"/>
          <w:szCs w:val="21"/>
        </w:rPr>
      </w:pPr>
      <w:r>
        <w:rPr>
          <w:rFonts w:hint="eastAsia" w:ascii="宋体" w:hAnsi="宋体" w:cs="宋体"/>
          <w:color w:val="000000"/>
          <w:szCs w:val="21"/>
        </w:rPr>
        <w:t>本合同中的下列术语应解释为：</w:t>
      </w:r>
    </w:p>
    <w:p w14:paraId="1B6B1211">
      <w:pPr>
        <w:spacing w:before="170" w:line="360" w:lineRule="auto"/>
        <w:ind w:left="240" w:leftChars="100"/>
        <w:rPr>
          <w:rFonts w:hint="eastAsia" w:ascii="宋体" w:hAnsi="宋体" w:cs="宋体"/>
          <w:color w:val="000000"/>
          <w:szCs w:val="21"/>
        </w:rPr>
      </w:pPr>
      <w:r>
        <w:rPr>
          <w:rFonts w:hint="eastAsia" w:ascii="宋体" w:hAnsi="宋体" w:cs="宋体"/>
          <w:color w:val="000000"/>
          <w:spacing w:val="1"/>
          <w:szCs w:val="21"/>
        </w:rPr>
        <w:t>（</w:t>
      </w:r>
      <w:r>
        <w:rPr>
          <w:rFonts w:hint="eastAsia" w:ascii="宋体" w:hAnsi="宋体" w:cs="宋体"/>
          <w:color w:val="000000"/>
          <w:spacing w:val="2"/>
          <w:szCs w:val="21"/>
        </w:rPr>
        <w:t>1</w:t>
      </w:r>
      <w:r>
        <w:rPr>
          <w:rFonts w:hint="eastAsia" w:ascii="宋体" w:hAnsi="宋体" w:cs="宋体"/>
          <w:color w:val="000000"/>
          <w:spacing w:val="-1"/>
          <w:szCs w:val="21"/>
        </w:rPr>
        <w:t>）“合同”系指买方、见证方与卖方签署的、合同格式中载明的</w:t>
      </w:r>
      <w:r>
        <w:rPr>
          <w:rFonts w:hint="eastAsia" w:ascii="宋体" w:hAnsi="宋体" w:cs="宋体"/>
          <w:color w:val="000000"/>
          <w:szCs w:val="21"/>
        </w:rPr>
        <w:t>买方与卖方所达成的协议，包括所有的附件、附录和构成合同的所有文</w:t>
      </w:r>
      <w:r>
        <w:rPr>
          <w:rFonts w:hint="eastAsia" w:ascii="宋体" w:hAnsi="宋体" w:cs="宋体"/>
          <w:color w:val="000000"/>
          <w:spacing w:val="1"/>
          <w:szCs w:val="21"/>
        </w:rPr>
        <w:t>件。</w:t>
      </w:r>
    </w:p>
    <w:p w14:paraId="5521EDB2">
      <w:pPr>
        <w:spacing w:before="170" w:line="360" w:lineRule="auto"/>
        <w:ind w:left="240" w:leftChars="100"/>
        <w:rPr>
          <w:rFonts w:hint="eastAsia" w:ascii="宋体" w:hAnsi="宋体" w:cs="宋体"/>
          <w:color w:val="000000"/>
          <w:szCs w:val="21"/>
        </w:rPr>
      </w:pPr>
      <w:r>
        <w:rPr>
          <w:rFonts w:hint="eastAsia" w:ascii="宋体" w:hAnsi="宋体" w:cs="宋体"/>
          <w:color w:val="000000"/>
          <w:spacing w:val="1"/>
          <w:szCs w:val="21"/>
        </w:rPr>
        <w:t>（</w:t>
      </w:r>
      <w:r>
        <w:rPr>
          <w:rFonts w:hint="eastAsia" w:ascii="宋体" w:hAnsi="宋体" w:cs="宋体"/>
          <w:color w:val="000000"/>
          <w:spacing w:val="-1"/>
          <w:szCs w:val="21"/>
        </w:rPr>
        <w:t>2）“合同价”系指根据合同规定，卖方在正确地完全履行合同义</w:t>
      </w:r>
      <w:r>
        <w:rPr>
          <w:rFonts w:hint="eastAsia" w:ascii="宋体" w:hAnsi="宋体" w:cs="宋体"/>
          <w:color w:val="000000"/>
          <w:szCs w:val="21"/>
        </w:rPr>
        <w:t>务后买方应支付给卖方的价格。</w:t>
      </w:r>
    </w:p>
    <w:p w14:paraId="789DB54C">
      <w:pPr>
        <w:spacing w:before="168" w:line="360" w:lineRule="auto"/>
        <w:ind w:left="240" w:leftChars="100"/>
        <w:rPr>
          <w:rFonts w:hint="eastAsia" w:ascii="宋体" w:hAnsi="宋体" w:cs="宋体"/>
          <w:color w:val="000000"/>
          <w:szCs w:val="21"/>
        </w:rPr>
      </w:pPr>
      <w:r>
        <w:rPr>
          <w:rFonts w:hint="eastAsia" w:ascii="宋体" w:hAnsi="宋体" w:cs="宋体"/>
          <w:color w:val="000000"/>
          <w:spacing w:val="1"/>
          <w:szCs w:val="21"/>
        </w:rPr>
        <w:t>（</w:t>
      </w:r>
      <w:r>
        <w:rPr>
          <w:rFonts w:hint="eastAsia" w:ascii="宋体" w:hAnsi="宋体" w:cs="宋体"/>
          <w:color w:val="000000"/>
          <w:spacing w:val="2"/>
          <w:szCs w:val="21"/>
        </w:rPr>
        <w:t>3</w:t>
      </w:r>
      <w:r>
        <w:rPr>
          <w:rFonts w:hint="eastAsia" w:ascii="宋体" w:hAnsi="宋体" w:cs="宋体"/>
          <w:color w:val="000000"/>
          <w:spacing w:val="-1"/>
          <w:szCs w:val="21"/>
        </w:rPr>
        <w:t>）“服务”系指根据合同规定卖方承担与供货有关所有的辅助服</w:t>
      </w:r>
      <w:r>
        <w:rPr>
          <w:rFonts w:hint="eastAsia" w:ascii="宋体" w:hAnsi="宋体" w:cs="宋体"/>
          <w:color w:val="000000"/>
          <w:szCs w:val="21"/>
        </w:rPr>
        <w:t>务，如运输、保险以及其它的伴随服务，比如安装、调试、测试、提供技术服务、培训和其他所有的卖方应承担的义务。</w:t>
      </w:r>
    </w:p>
    <w:p w14:paraId="4CA131A4">
      <w:pPr>
        <w:spacing w:before="168" w:line="360" w:lineRule="auto"/>
        <w:ind w:left="240" w:leftChars="100"/>
        <w:rPr>
          <w:rFonts w:hint="eastAsia" w:ascii="宋体" w:hAnsi="宋体" w:cs="宋体"/>
          <w:color w:val="000000"/>
          <w:szCs w:val="21"/>
        </w:rPr>
      </w:pPr>
      <w:r>
        <w:rPr>
          <w:rFonts w:hint="eastAsia" w:ascii="宋体" w:hAnsi="宋体" w:cs="宋体"/>
          <w:color w:val="000000"/>
          <w:spacing w:val="1"/>
          <w:szCs w:val="21"/>
        </w:rPr>
        <w:t>（</w:t>
      </w:r>
      <w:r>
        <w:rPr>
          <w:rFonts w:hint="eastAsia" w:ascii="宋体" w:hAnsi="宋体" w:cs="宋体"/>
          <w:color w:val="000000"/>
          <w:spacing w:val="2"/>
          <w:szCs w:val="21"/>
        </w:rPr>
        <w:t>4</w:t>
      </w:r>
      <w:r>
        <w:rPr>
          <w:rFonts w:hint="eastAsia" w:ascii="宋体" w:hAnsi="宋体" w:cs="宋体"/>
          <w:color w:val="000000"/>
          <w:szCs w:val="21"/>
        </w:rPr>
        <w:t>）“买方”系指购买服务的</w:t>
      </w:r>
      <w:r>
        <w:rPr>
          <w:rFonts w:hint="eastAsia" w:ascii="宋体" w:hAnsi="宋体" w:cs="宋体"/>
          <w:color w:val="000000"/>
          <w:szCs w:val="21"/>
          <w:lang w:eastAsia="zh-CN"/>
        </w:rPr>
        <w:t>泰兴市自然资源和规划局</w:t>
      </w:r>
      <w:r>
        <w:rPr>
          <w:rFonts w:hint="eastAsia" w:ascii="宋体" w:hAnsi="宋体" w:cs="宋体"/>
          <w:color w:val="000000"/>
          <w:szCs w:val="21"/>
        </w:rPr>
        <w:t>。</w:t>
      </w:r>
    </w:p>
    <w:p w14:paraId="180CE846">
      <w:pPr>
        <w:spacing w:before="170" w:line="360" w:lineRule="auto"/>
        <w:ind w:left="240" w:leftChars="100"/>
        <w:rPr>
          <w:rFonts w:hint="eastAsia" w:ascii="宋体" w:hAnsi="宋体" w:cs="宋体"/>
          <w:color w:val="000000"/>
          <w:szCs w:val="21"/>
        </w:rPr>
      </w:pPr>
      <w:r>
        <w:rPr>
          <w:rFonts w:hint="eastAsia" w:ascii="宋体" w:hAnsi="宋体" w:cs="宋体"/>
          <w:color w:val="000000"/>
          <w:spacing w:val="1"/>
          <w:szCs w:val="21"/>
        </w:rPr>
        <w:t>（</w:t>
      </w:r>
      <w:r>
        <w:rPr>
          <w:rFonts w:hint="eastAsia" w:ascii="宋体" w:hAnsi="宋体" w:cs="宋体"/>
          <w:color w:val="000000"/>
          <w:spacing w:val="2"/>
          <w:szCs w:val="21"/>
        </w:rPr>
        <w:t>5</w:t>
      </w:r>
      <w:r>
        <w:rPr>
          <w:rFonts w:hint="eastAsia" w:ascii="宋体" w:hAnsi="宋体" w:cs="宋体"/>
          <w:color w:val="000000"/>
          <w:szCs w:val="21"/>
        </w:rPr>
        <w:t>）“卖方”系指提供服务的中标供应商。</w:t>
      </w:r>
    </w:p>
    <w:p w14:paraId="22C4F02E">
      <w:pPr>
        <w:spacing w:before="170" w:line="360" w:lineRule="auto"/>
        <w:ind w:left="240" w:leftChars="100"/>
        <w:rPr>
          <w:rFonts w:hint="eastAsia" w:ascii="宋体" w:hAnsi="宋体" w:cs="宋体"/>
          <w:color w:val="000000"/>
          <w:szCs w:val="21"/>
        </w:rPr>
      </w:pPr>
      <w:r>
        <w:rPr>
          <w:rFonts w:hint="eastAsia" w:ascii="宋体" w:hAnsi="宋体" w:cs="宋体"/>
          <w:color w:val="000000"/>
          <w:spacing w:val="1"/>
          <w:szCs w:val="21"/>
        </w:rPr>
        <w:t>（</w:t>
      </w:r>
      <w:r>
        <w:rPr>
          <w:rFonts w:hint="eastAsia" w:ascii="宋体" w:hAnsi="宋体" w:cs="宋体"/>
          <w:color w:val="000000"/>
          <w:spacing w:val="2"/>
          <w:szCs w:val="21"/>
        </w:rPr>
        <w:t>6</w:t>
      </w:r>
      <w:r>
        <w:rPr>
          <w:rFonts w:hint="eastAsia" w:ascii="宋体" w:hAnsi="宋体" w:cs="宋体"/>
          <w:color w:val="000000"/>
          <w:szCs w:val="21"/>
        </w:rPr>
        <w:t>）“见证方”系指招标人。</w:t>
      </w:r>
    </w:p>
    <w:p w14:paraId="2D59EF07">
      <w:pPr>
        <w:spacing w:before="168" w:line="360" w:lineRule="auto"/>
        <w:ind w:left="240" w:leftChars="100"/>
        <w:rPr>
          <w:rFonts w:hint="eastAsia" w:ascii="宋体" w:hAnsi="宋体" w:cs="宋体"/>
          <w:color w:val="000000"/>
          <w:szCs w:val="21"/>
        </w:rPr>
      </w:pPr>
      <w:r>
        <w:rPr>
          <w:rFonts w:hint="eastAsia" w:ascii="宋体" w:hAnsi="宋体" w:cs="宋体"/>
          <w:color w:val="000000"/>
          <w:spacing w:val="1"/>
          <w:szCs w:val="21"/>
        </w:rPr>
        <w:t>（</w:t>
      </w:r>
      <w:r>
        <w:rPr>
          <w:rFonts w:hint="eastAsia" w:ascii="宋体" w:hAnsi="宋体" w:cs="宋体"/>
          <w:color w:val="000000"/>
          <w:spacing w:val="2"/>
          <w:szCs w:val="21"/>
        </w:rPr>
        <w:t>7</w:t>
      </w:r>
      <w:r>
        <w:rPr>
          <w:rFonts w:hint="eastAsia" w:ascii="宋体" w:hAnsi="宋体" w:cs="宋体"/>
          <w:color w:val="000000"/>
          <w:szCs w:val="21"/>
        </w:rPr>
        <w:t>）“采购人”系指购买服务的</w:t>
      </w:r>
      <w:r>
        <w:rPr>
          <w:rFonts w:hint="eastAsia" w:ascii="宋体" w:hAnsi="宋体" w:cs="宋体"/>
          <w:color w:val="000000"/>
          <w:szCs w:val="21"/>
          <w:lang w:eastAsia="zh-CN"/>
        </w:rPr>
        <w:t>泰兴市自然资源和规划局</w:t>
      </w:r>
      <w:r>
        <w:rPr>
          <w:rFonts w:hint="eastAsia" w:ascii="宋体" w:hAnsi="宋体" w:cs="宋体"/>
          <w:color w:val="000000"/>
          <w:szCs w:val="21"/>
        </w:rPr>
        <w:t>。</w:t>
      </w:r>
    </w:p>
    <w:p w14:paraId="73042099">
      <w:pPr>
        <w:spacing w:before="170" w:line="360" w:lineRule="auto"/>
        <w:ind w:left="240" w:leftChars="100"/>
        <w:rPr>
          <w:rFonts w:hint="eastAsia" w:ascii="宋体" w:hAnsi="宋体" w:cs="宋体"/>
          <w:color w:val="000000"/>
          <w:szCs w:val="21"/>
        </w:rPr>
      </w:pPr>
      <w:r>
        <w:rPr>
          <w:rFonts w:hint="eastAsia" w:ascii="宋体" w:hAnsi="宋体" w:cs="宋体"/>
          <w:color w:val="000000"/>
          <w:spacing w:val="2"/>
          <w:szCs w:val="21"/>
        </w:rPr>
        <w:t>2</w:t>
      </w:r>
      <w:r>
        <w:rPr>
          <w:rFonts w:hint="eastAsia" w:ascii="宋体" w:hAnsi="宋体" w:cs="宋体"/>
          <w:color w:val="000000"/>
          <w:szCs w:val="21"/>
        </w:rPr>
        <w:t>、技术规范</w:t>
      </w:r>
    </w:p>
    <w:p w14:paraId="19F0E241">
      <w:pPr>
        <w:spacing w:before="170" w:line="360" w:lineRule="auto"/>
        <w:ind w:left="240" w:leftChars="100"/>
        <w:rPr>
          <w:rFonts w:hint="eastAsia" w:ascii="宋体" w:hAnsi="宋体" w:cs="宋体"/>
          <w:color w:val="000000"/>
          <w:szCs w:val="21"/>
        </w:rPr>
      </w:pPr>
      <w:r>
        <w:rPr>
          <w:rFonts w:hint="eastAsia" w:ascii="宋体" w:hAnsi="宋体" w:cs="宋体"/>
          <w:color w:val="000000"/>
          <w:szCs w:val="21"/>
        </w:rPr>
        <w:t>卖方所提供服务的技术规格、内容应与招标文件规定的业务要求相一致；若技术性能无相应说明，则按国家有关部门最新颁布的标准及规</w:t>
      </w:r>
      <w:r>
        <w:rPr>
          <w:rFonts w:hint="eastAsia" w:ascii="宋体" w:hAnsi="宋体" w:cs="宋体"/>
          <w:color w:val="000000"/>
          <w:spacing w:val="1"/>
          <w:szCs w:val="21"/>
        </w:rPr>
        <w:t>范为准。</w:t>
      </w:r>
    </w:p>
    <w:p w14:paraId="4BCEDBE4">
      <w:pPr>
        <w:spacing w:before="170" w:line="360" w:lineRule="auto"/>
        <w:ind w:left="240" w:leftChars="100"/>
        <w:rPr>
          <w:rFonts w:hint="eastAsia" w:ascii="宋体" w:hAnsi="宋体" w:cs="宋体"/>
          <w:color w:val="000000"/>
          <w:szCs w:val="21"/>
        </w:rPr>
      </w:pPr>
      <w:r>
        <w:rPr>
          <w:rFonts w:hint="eastAsia" w:ascii="宋体" w:hAnsi="宋体" w:cs="宋体"/>
          <w:color w:val="000000"/>
          <w:spacing w:val="2"/>
          <w:szCs w:val="21"/>
        </w:rPr>
        <w:t>3</w:t>
      </w:r>
      <w:r>
        <w:rPr>
          <w:rFonts w:hint="eastAsia" w:ascii="宋体" w:hAnsi="宋体" w:cs="宋体"/>
          <w:color w:val="000000"/>
          <w:szCs w:val="21"/>
        </w:rPr>
        <w:t>、专利权及版权</w:t>
      </w:r>
    </w:p>
    <w:p w14:paraId="5B135EAB">
      <w:pPr>
        <w:spacing w:before="168" w:line="360" w:lineRule="auto"/>
        <w:ind w:left="240" w:leftChars="100"/>
        <w:rPr>
          <w:rFonts w:hint="eastAsia" w:ascii="宋体" w:hAnsi="宋体" w:cs="宋体"/>
          <w:color w:val="000000"/>
          <w:szCs w:val="21"/>
        </w:rPr>
      </w:pPr>
      <w:r>
        <w:rPr>
          <w:rFonts w:hint="eastAsia" w:ascii="宋体" w:hAnsi="宋体" w:cs="宋体"/>
          <w:color w:val="000000"/>
          <w:spacing w:val="-6"/>
          <w:szCs w:val="21"/>
        </w:rPr>
        <w:t>中标单位对买方提供的业务资料、技术资料应严格保密，不得扩散。</w:t>
      </w:r>
      <w:r>
        <w:rPr>
          <w:rFonts w:hint="eastAsia" w:ascii="宋体" w:hAnsi="宋体" w:cs="宋体"/>
          <w:color w:val="000000"/>
          <w:szCs w:val="21"/>
        </w:rPr>
        <w:t>卖方应保证买方在使用、接受本合同货物和服务或其任何一部分时不受卖方及第三方提出侵犯其专利权、版权、商标权和工业设计权等知识产权的起诉。一旦出现侵权，由卖方负全部责任。</w:t>
      </w:r>
    </w:p>
    <w:p w14:paraId="00E57842">
      <w:pPr>
        <w:spacing w:before="170" w:line="360" w:lineRule="auto"/>
        <w:ind w:left="240" w:leftChars="100"/>
        <w:rPr>
          <w:rFonts w:hint="eastAsia" w:ascii="宋体" w:hAnsi="宋体" w:cs="宋体"/>
          <w:color w:val="000000"/>
          <w:szCs w:val="21"/>
        </w:rPr>
      </w:pPr>
      <w:r>
        <w:rPr>
          <w:rFonts w:hint="eastAsia" w:ascii="宋体" w:hAnsi="宋体" w:cs="宋体"/>
          <w:color w:val="000000"/>
          <w:spacing w:val="2"/>
          <w:szCs w:val="21"/>
        </w:rPr>
        <w:t>4</w:t>
      </w:r>
      <w:r>
        <w:rPr>
          <w:rFonts w:hint="eastAsia" w:ascii="宋体" w:hAnsi="宋体" w:cs="宋体"/>
          <w:color w:val="000000"/>
          <w:szCs w:val="21"/>
        </w:rPr>
        <w:t>、付款方式</w:t>
      </w:r>
    </w:p>
    <w:p w14:paraId="581956DF">
      <w:pPr>
        <w:spacing w:before="170" w:line="360" w:lineRule="auto"/>
        <w:ind w:left="240" w:leftChars="100"/>
        <w:rPr>
          <w:rFonts w:hint="eastAsia" w:ascii="宋体" w:hAnsi="宋体" w:cs="宋体"/>
          <w:color w:val="000000"/>
          <w:szCs w:val="21"/>
        </w:rPr>
      </w:pPr>
      <w:r>
        <w:rPr>
          <w:rFonts w:hint="eastAsia" w:ascii="宋体" w:hAnsi="宋体" w:cs="宋体"/>
          <w:color w:val="000000"/>
          <w:szCs w:val="21"/>
        </w:rPr>
        <w:t>4.1本合同以人民币付款。</w:t>
      </w:r>
    </w:p>
    <w:p w14:paraId="1C619213">
      <w:pPr>
        <w:spacing w:before="168" w:line="360" w:lineRule="auto"/>
        <w:ind w:left="240" w:leftChars="100"/>
        <w:rPr>
          <w:rFonts w:hint="eastAsia" w:ascii="宋体" w:hAnsi="宋体" w:cs="宋体"/>
          <w:color w:val="000000"/>
          <w:szCs w:val="21"/>
        </w:rPr>
      </w:pPr>
      <w:r>
        <w:rPr>
          <w:rFonts w:hint="eastAsia" w:ascii="宋体" w:hAnsi="宋体" w:cs="宋体"/>
          <w:color w:val="000000"/>
          <w:szCs w:val="21"/>
        </w:rPr>
        <w:t>4.2付款方式见合同专用条款。</w:t>
      </w:r>
    </w:p>
    <w:p w14:paraId="1C0C5AAB">
      <w:pPr>
        <w:spacing w:before="170" w:line="360" w:lineRule="auto"/>
        <w:ind w:left="240" w:leftChars="100"/>
        <w:rPr>
          <w:rFonts w:hint="eastAsia" w:ascii="宋体" w:hAnsi="宋体" w:cs="宋体"/>
          <w:color w:val="000000"/>
          <w:szCs w:val="21"/>
        </w:rPr>
      </w:pPr>
      <w:r>
        <w:rPr>
          <w:rFonts w:hint="eastAsia" w:ascii="宋体" w:hAnsi="宋体" w:cs="宋体"/>
          <w:color w:val="000000"/>
          <w:spacing w:val="2"/>
          <w:szCs w:val="21"/>
        </w:rPr>
        <w:t>5</w:t>
      </w:r>
      <w:r>
        <w:rPr>
          <w:rFonts w:hint="eastAsia" w:ascii="宋体" w:hAnsi="宋体" w:cs="宋体"/>
          <w:color w:val="000000"/>
          <w:szCs w:val="21"/>
        </w:rPr>
        <w:t>、伴随服务</w:t>
      </w:r>
    </w:p>
    <w:p w14:paraId="27D48354">
      <w:pPr>
        <w:spacing w:line="360" w:lineRule="auto"/>
        <w:ind w:firstLine="720" w:firstLineChars="300"/>
        <w:jc w:val="left"/>
        <w:rPr>
          <w:rFonts w:hint="eastAsia" w:ascii="宋体" w:hAnsi="宋体" w:cs="宋体"/>
          <w:color w:val="000000"/>
          <w:szCs w:val="21"/>
        </w:rPr>
      </w:pPr>
      <w:bookmarkStart w:id="268" w:name="br1_33"/>
      <w:bookmarkEnd w:id="268"/>
      <w:r>
        <w:rPr>
          <w:rFonts w:hint="eastAsia" w:ascii="宋体" w:hAnsi="宋体" w:cs="宋体"/>
          <w:color w:val="000000"/>
          <w:szCs w:val="21"/>
        </w:rPr>
        <w:t>5.1</w:t>
      </w:r>
      <w:r>
        <w:rPr>
          <w:rFonts w:hint="eastAsia" w:ascii="宋体" w:hAnsi="宋体" w:cs="宋体"/>
          <w:color w:val="000000"/>
          <w:spacing w:val="1"/>
          <w:szCs w:val="21"/>
        </w:rPr>
        <w:t>卖方应按照投标文件的承诺和合同中所附的服务承诺提供服务。</w:t>
      </w:r>
    </w:p>
    <w:p w14:paraId="3308D06D">
      <w:pPr>
        <w:spacing w:before="170" w:line="360" w:lineRule="auto"/>
        <w:ind w:left="559"/>
        <w:jc w:val="left"/>
        <w:rPr>
          <w:rFonts w:hint="eastAsia" w:ascii="宋体" w:hAnsi="宋体" w:cs="宋体"/>
          <w:color w:val="000000"/>
          <w:szCs w:val="21"/>
        </w:rPr>
      </w:pPr>
      <w:r>
        <w:rPr>
          <w:rFonts w:hint="eastAsia" w:ascii="宋体" w:hAnsi="宋体" w:cs="宋体"/>
          <w:color w:val="000000"/>
          <w:szCs w:val="21"/>
        </w:rPr>
        <w:t>5.2</w:t>
      </w:r>
      <w:r>
        <w:rPr>
          <w:rFonts w:hint="eastAsia" w:ascii="宋体" w:hAnsi="宋体" w:cs="宋体"/>
          <w:color w:val="000000"/>
          <w:spacing w:val="1"/>
          <w:szCs w:val="21"/>
        </w:rPr>
        <w:t xml:space="preserve"> </w:t>
      </w:r>
      <w:r>
        <w:rPr>
          <w:rFonts w:hint="eastAsia" w:ascii="宋体" w:hAnsi="宋体" w:cs="宋体"/>
          <w:color w:val="000000"/>
          <w:szCs w:val="21"/>
        </w:rPr>
        <w:t>除本章第</w:t>
      </w:r>
      <w:r>
        <w:rPr>
          <w:rFonts w:hint="eastAsia" w:ascii="宋体" w:hAnsi="宋体" w:cs="宋体"/>
          <w:color w:val="000000"/>
          <w:spacing w:val="1"/>
          <w:szCs w:val="21"/>
        </w:rPr>
        <w:t xml:space="preserve"> </w:t>
      </w:r>
      <w:r>
        <w:rPr>
          <w:rFonts w:hint="eastAsia" w:ascii="宋体" w:hAnsi="宋体" w:cs="宋体"/>
          <w:color w:val="000000"/>
          <w:spacing w:val="-1"/>
          <w:szCs w:val="21"/>
        </w:rPr>
        <w:t>5.1</w:t>
      </w:r>
      <w:r>
        <w:rPr>
          <w:rFonts w:hint="eastAsia" w:ascii="宋体" w:hAnsi="宋体" w:cs="宋体"/>
          <w:color w:val="000000"/>
          <w:szCs w:val="21"/>
        </w:rPr>
        <w:t>条规定外，卖方还应提供下列服务：</w:t>
      </w:r>
    </w:p>
    <w:p w14:paraId="56638DBD">
      <w:pPr>
        <w:spacing w:before="168" w:line="360" w:lineRule="auto"/>
        <w:ind w:left="559"/>
        <w:jc w:val="left"/>
        <w:rPr>
          <w:rFonts w:hint="eastAsia" w:ascii="宋体" w:hAnsi="宋体" w:cs="宋体"/>
          <w:color w:val="000000"/>
          <w:szCs w:val="21"/>
        </w:rPr>
      </w:pPr>
      <w:r>
        <w:rPr>
          <w:rFonts w:hint="eastAsia" w:ascii="宋体" w:hAnsi="宋体" w:cs="宋体"/>
          <w:color w:val="000000"/>
          <w:szCs w:val="21"/>
        </w:rPr>
        <w:t>(1)</w:t>
      </w:r>
      <w:r>
        <w:rPr>
          <w:rFonts w:hint="eastAsia" w:ascii="宋体" w:hAnsi="宋体" w:cs="宋体"/>
          <w:color w:val="000000"/>
          <w:spacing w:val="1"/>
          <w:szCs w:val="21"/>
        </w:rPr>
        <w:t xml:space="preserve"> </w:t>
      </w:r>
      <w:r>
        <w:rPr>
          <w:rFonts w:hint="eastAsia" w:ascii="宋体" w:hAnsi="宋体" w:cs="宋体"/>
          <w:color w:val="000000"/>
          <w:szCs w:val="21"/>
        </w:rPr>
        <w:t>服务的现场质量管理与监督；</w:t>
      </w:r>
    </w:p>
    <w:p w14:paraId="10DA5448">
      <w:pPr>
        <w:spacing w:before="170" w:line="360" w:lineRule="auto"/>
        <w:ind w:left="559"/>
        <w:jc w:val="left"/>
        <w:rPr>
          <w:rFonts w:hint="eastAsia" w:ascii="宋体" w:hAnsi="宋体" w:cs="宋体"/>
          <w:color w:val="000000"/>
          <w:szCs w:val="21"/>
        </w:rPr>
      </w:pPr>
      <w:r>
        <w:rPr>
          <w:rFonts w:hint="eastAsia" w:ascii="宋体" w:hAnsi="宋体" w:cs="宋体"/>
          <w:color w:val="000000"/>
          <w:szCs w:val="21"/>
        </w:rPr>
        <w:t>(2)</w:t>
      </w:r>
      <w:r>
        <w:rPr>
          <w:rFonts w:hint="eastAsia" w:ascii="宋体" w:hAnsi="宋体" w:cs="宋体"/>
          <w:color w:val="000000"/>
          <w:spacing w:val="1"/>
          <w:szCs w:val="21"/>
        </w:rPr>
        <w:t xml:space="preserve"> </w:t>
      </w:r>
      <w:r>
        <w:rPr>
          <w:rFonts w:hint="eastAsia" w:ascii="宋体" w:hAnsi="宋体" w:cs="宋体"/>
          <w:color w:val="000000"/>
          <w:szCs w:val="21"/>
        </w:rPr>
        <w:t>提供服务和维护所需的工具；</w:t>
      </w:r>
    </w:p>
    <w:p w14:paraId="2FD561A3">
      <w:pPr>
        <w:spacing w:before="170" w:line="360" w:lineRule="auto"/>
        <w:ind w:left="559"/>
        <w:jc w:val="left"/>
        <w:rPr>
          <w:rFonts w:hint="eastAsia" w:ascii="宋体" w:hAnsi="宋体" w:cs="宋体"/>
          <w:color w:val="000000"/>
          <w:szCs w:val="21"/>
        </w:rPr>
      </w:pPr>
      <w:r>
        <w:rPr>
          <w:rFonts w:hint="eastAsia" w:ascii="宋体" w:hAnsi="宋体" w:cs="宋体"/>
          <w:color w:val="000000"/>
          <w:spacing w:val="3"/>
          <w:szCs w:val="21"/>
        </w:rPr>
        <w:t>(3)在合同中卖方承诺的期限内对所提供服务实施运行监督、维护，</w:t>
      </w:r>
    </w:p>
    <w:p w14:paraId="1C3A85D0">
      <w:pPr>
        <w:spacing w:before="168" w:line="360" w:lineRule="auto"/>
        <w:jc w:val="left"/>
        <w:rPr>
          <w:rFonts w:hint="eastAsia" w:ascii="宋体" w:hAnsi="宋体" w:cs="宋体"/>
          <w:color w:val="000000"/>
          <w:szCs w:val="21"/>
        </w:rPr>
      </w:pPr>
      <w:r>
        <w:rPr>
          <w:rFonts w:hint="eastAsia" w:ascii="宋体" w:hAnsi="宋体" w:cs="宋体"/>
          <w:color w:val="000000"/>
          <w:szCs w:val="21"/>
        </w:rPr>
        <w:t>但前提条件是该服务并不能免除卖方在质量保证期内应承担的义务；</w:t>
      </w:r>
    </w:p>
    <w:p w14:paraId="44A52672">
      <w:pPr>
        <w:spacing w:before="170" w:line="360" w:lineRule="auto"/>
        <w:ind w:left="559"/>
        <w:jc w:val="left"/>
        <w:rPr>
          <w:rFonts w:hint="eastAsia" w:ascii="宋体" w:hAnsi="宋体" w:cs="宋体"/>
          <w:color w:val="000000"/>
          <w:szCs w:val="21"/>
        </w:rPr>
      </w:pPr>
      <w:r>
        <w:rPr>
          <w:rFonts w:hint="eastAsia" w:ascii="宋体" w:hAnsi="宋体" w:cs="宋体"/>
          <w:color w:val="000000"/>
          <w:szCs w:val="21"/>
        </w:rPr>
        <w:t>(4)</w:t>
      </w:r>
      <w:r>
        <w:rPr>
          <w:rFonts w:hint="eastAsia" w:ascii="宋体" w:hAnsi="宋体" w:cs="宋体"/>
          <w:color w:val="000000"/>
          <w:spacing w:val="1"/>
          <w:szCs w:val="21"/>
        </w:rPr>
        <w:t xml:space="preserve"> </w:t>
      </w:r>
      <w:r>
        <w:rPr>
          <w:rFonts w:hint="eastAsia" w:ascii="宋体" w:hAnsi="宋体" w:cs="宋体"/>
          <w:color w:val="000000"/>
          <w:szCs w:val="21"/>
        </w:rPr>
        <w:t>对服务人员进行培训。</w:t>
      </w:r>
    </w:p>
    <w:p w14:paraId="4B30ACC3">
      <w:pPr>
        <w:spacing w:before="170" w:line="360" w:lineRule="auto"/>
        <w:ind w:left="559"/>
        <w:jc w:val="left"/>
        <w:rPr>
          <w:rFonts w:hint="eastAsia" w:ascii="宋体" w:hAnsi="宋体" w:cs="宋体"/>
          <w:color w:val="000000"/>
          <w:szCs w:val="21"/>
        </w:rPr>
      </w:pPr>
      <w:r>
        <w:rPr>
          <w:rFonts w:hint="eastAsia" w:ascii="宋体" w:hAnsi="宋体" w:cs="宋体"/>
          <w:color w:val="000000"/>
          <w:szCs w:val="21"/>
        </w:rPr>
        <w:t>5.3</w:t>
      </w:r>
      <w:r>
        <w:rPr>
          <w:rFonts w:hint="eastAsia" w:ascii="宋体" w:hAnsi="宋体" w:cs="宋体"/>
          <w:color w:val="000000"/>
          <w:spacing w:val="1"/>
          <w:szCs w:val="21"/>
        </w:rPr>
        <w:t xml:space="preserve"> </w:t>
      </w:r>
      <w:r>
        <w:rPr>
          <w:rFonts w:hint="eastAsia" w:ascii="宋体" w:hAnsi="宋体" w:cs="宋体"/>
          <w:color w:val="000000"/>
          <w:szCs w:val="21"/>
        </w:rPr>
        <w:t>伴随服务的费用应含在合同价中，不单独进行支付。</w:t>
      </w:r>
    </w:p>
    <w:p w14:paraId="1ED90F4C">
      <w:pPr>
        <w:spacing w:before="168" w:line="360" w:lineRule="auto"/>
        <w:ind w:left="559"/>
        <w:jc w:val="left"/>
        <w:rPr>
          <w:rFonts w:hint="eastAsia" w:ascii="宋体" w:hAnsi="宋体" w:cs="宋体"/>
          <w:color w:val="000000"/>
          <w:szCs w:val="21"/>
        </w:rPr>
      </w:pPr>
      <w:r>
        <w:rPr>
          <w:rFonts w:hint="eastAsia" w:ascii="宋体" w:hAnsi="宋体" w:cs="宋体"/>
          <w:color w:val="000000"/>
          <w:spacing w:val="2"/>
          <w:szCs w:val="21"/>
        </w:rPr>
        <w:t>6</w:t>
      </w:r>
      <w:r>
        <w:rPr>
          <w:rFonts w:hint="eastAsia" w:ascii="宋体" w:hAnsi="宋体" w:cs="宋体"/>
          <w:color w:val="000000"/>
          <w:szCs w:val="21"/>
        </w:rPr>
        <w:t>、质量保证</w:t>
      </w:r>
    </w:p>
    <w:p w14:paraId="27DBA011">
      <w:pPr>
        <w:spacing w:before="170" w:line="360" w:lineRule="auto"/>
        <w:ind w:left="559"/>
        <w:jc w:val="left"/>
        <w:rPr>
          <w:rFonts w:hint="eastAsia" w:ascii="宋体" w:hAnsi="宋体" w:cs="宋体"/>
          <w:color w:val="000000"/>
          <w:szCs w:val="21"/>
        </w:rPr>
      </w:pPr>
      <w:r>
        <w:rPr>
          <w:rFonts w:hint="eastAsia" w:ascii="宋体" w:hAnsi="宋体" w:cs="宋体"/>
          <w:color w:val="000000"/>
          <w:szCs w:val="21"/>
        </w:rPr>
        <w:t>6.1投标人所提供服务必须遵守各种国家和部颁标准及有关规定。</w:t>
      </w:r>
    </w:p>
    <w:p w14:paraId="05B8F82D">
      <w:pPr>
        <w:spacing w:before="170" w:line="360" w:lineRule="auto"/>
        <w:ind w:left="559"/>
        <w:jc w:val="left"/>
        <w:rPr>
          <w:rFonts w:hint="eastAsia" w:ascii="宋体" w:hAnsi="宋体" w:cs="宋体"/>
          <w:color w:val="000000"/>
          <w:szCs w:val="21"/>
        </w:rPr>
      </w:pPr>
      <w:r>
        <w:rPr>
          <w:rFonts w:hint="eastAsia" w:ascii="宋体" w:hAnsi="宋体" w:cs="宋体"/>
          <w:color w:val="000000"/>
          <w:szCs w:val="21"/>
        </w:rPr>
        <w:t>6.2投标人所提供服务必须达到本招标文件中规定的要求。</w:t>
      </w:r>
    </w:p>
    <w:p w14:paraId="387CF88C">
      <w:pPr>
        <w:spacing w:before="168" w:line="360" w:lineRule="auto"/>
        <w:ind w:left="559"/>
        <w:jc w:val="left"/>
        <w:rPr>
          <w:rFonts w:hint="eastAsia" w:ascii="宋体" w:hAnsi="宋体" w:cs="宋体"/>
          <w:color w:val="000000"/>
          <w:szCs w:val="21"/>
        </w:rPr>
      </w:pPr>
      <w:r>
        <w:rPr>
          <w:rFonts w:hint="eastAsia" w:ascii="宋体" w:hAnsi="宋体" w:cs="宋体"/>
          <w:color w:val="000000"/>
          <w:szCs w:val="21"/>
        </w:rPr>
        <w:t>6.3</w:t>
      </w:r>
      <w:r>
        <w:rPr>
          <w:rFonts w:hint="eastAsia" w:ascii="宋体" w:hAnsi="宋体" w:cs="宋体"/>
          <w:color w:val="000000"/>
          <w:spacing w:val="-4"/>
          <w:szCs w:val="21"/>
        </w:rPr>
        <w:t>履行本合同的过程中，确因在现有水平和条件下难以克服的技术</w:t>
      </w:r>
      <w:r>
        <w:rPr>
          <w:rFonts w:hint="eastAsia" w:ascii="宋体" w:hAnsi="宋体" w:cs="宋体"/>
          <w:color w:val="000000"/>
          <w:szCs w:val="21"/>
        </w:rPr>
        <w:t>困难，导致部分或全部达不到招标规定的服务标准，乙方应当承担违约</w:t>
      </w:r>
      <w:r>
        <w:rPr>
          <w:rFonts w:hint="eastAsia" w:ascii="宋体" w:hAnsi="宋体" w:cs="宋体"/>
          <w:color w:val="000000"/>
          <w:spacing w:val="1"/>
          <w:szCs w:val="21"/>
        </w:rPr>
        <w:t>责任。</w:t>
      </w:r>
    </w:p>
    <w:p w14:paraId="0E573014">
      <w:pPr>
        <w:spacing w:before="168" w:line="360" w:lineRule="auto"/>
        <w:ind w:left="559"/>
        <w:jc w:val="left"/>
        <w:rPr>
          <w:rFonts w:hint="eastAsia" w:ascii="宋体" w:hAnsi="宋体" w:cs="宋体"/>
          <w:color w:val="000000"/>
          <w:szCs w:val="21"/>
        </w:rPr>
      </w:pPr>
      <w:r>
        <w:rPr>
          <w:rFonts w:hint="eastAsia" w:ascii="宋体" w:hAnsi="宋体" w:cs="宋体"/>
          <w:color w:val="000000"/>
          <w:spacing w:val="2"/>
          <w:szCs w:val="21"/>
        </w:rPr>
        <w:t>7</w:t>
      </w:r>
      <w:r>
        <w:rPr>
          <w:rFonts w:hint="eastAsia" w:ascii="宋体" w:hAnsi="宋体" w:cs="宋体"/>
          <w:color w:val="000000"/>
          <w:szCs w:val="21"/>
        </w:rPr>
        <w:t>、不可抗力</w:t>
      </w:r>
    </w:p>
    <w:p w14:paraId="4E121384">
      <w:pPr>
        <w:spacing w:before="1" w:line="360" w:lineRule="auto"/>
        <w:ind w:firstLine="720" w:firstLineChars="300"/>
        <w:jc w:val="left"/>
        <w:rPr>
          <w:rFonts w:hint="eastAsia" w:ascii="宋体" w:hAnsi="宋体" w:cs="宋体"/>
          <w:color w:val="000000"/>
          <w:szCs w:val="21"/>
        </w:rPr>
      </w:pPr>
      <w:r>
        <w:rPr>
          <w:rFonts w:hint="eastAsia" w:ascii="宋体" w:hAnsi="宋体" w:cs="宋体"/>
          <w:color w:val="000000"/>
          <w:szCs w:val="21"/>
        </w:rPr>
        <w:t>7.1尽管有合同条款第</w:t>
      </w:r>
      <w:r>
        <w:rPr>
          <w:rFonts w:hint="eastAsia" w:ascii="宋体" w:hAnsi="宋体" w:cs="宋体"/>
          <w:color w:val="000000"/>
          <w:spacing w:val="2"/>
          <w:szCs w:val="21"/>
        </w:rPr>
        <w:t xml:space="preserve"> </w:t>
      </w:r>
      <w:r>
        <w:rPr>
          <w:rFonts w:hint="eastAsia" w:ascii="宋体" w:hAnsi="宋体" w:cs="宋体"/>
          <w:color w:val="000000"/>
          <w:spacing w:val="1"/>
          <w:szCs w:val="21"/>
        </w:rPr>
        <w:t>11</w:t>
      </w:r>
      <w:r>
        <w:rPr>
          <w:rFonts w:hint="eastAsia" w:ascii="宋体" w:hAnsi="宋体" w:cs="宋体"/>
          <w:color w:val="000000"/>
          <w:spacing w:val="-7"/>
          <w:szCs w:val="21"/>
        </w:rPr>
        <w:t>条、</w:t>
      </w:r>
      <w:r>
        <w:rPr>
          <w:rFonts w:hint="eastAsia" w:ascii="宋体" w:hAnsi="宋体" w:cs="宋体"/>
          <w:color w:val="000000"/>
          <w:szCs w:val="21"/>
        </w:rPr>
        <w:t>12</w:t>
      </w:r>
      <w:r>
        <w:rPr>
          <w:rFonts w:hint="eastAsia" w:ascii="宋体" w:hAnsi="宋体" w:cs="宋体"/>
          <w:color w:val="000000"/>
          <w:spacing w:val="-1"/>
          <w:szCs w:val="21"/>
        </w:rPr>
        <w:t>条的规定，如果卖方因不可抗力而导致合同实施延误或不能履行合同义务的话，</w:t>
      </w:r>
      <w:r>
        <w:rPr>
          <w:rFonts w:hint="eastAsia" w:ascii="宋体" w:hAnsi="宋体" w:cs="宋体"/>
          <w:color w:val="000000"/>
          <w:szCs w:val="21"/>
        </w:rPr>
        <w:t>也不应该承担误期赔偿的责任。</w:t>
      </w:r>
    </w:p>
    <w:p w14:paraId="671896D8">
      <w:pPr>
        <w:spacing w:before="1" w:line="360" w:lineRule="auto"/>
        <w:ind w:firstLine="720" w:firstLineChars="300"/>
        <w:jc w:val="left"/>
        <w:rPr>
          <w:rFonts w:hint="eastAsia" w:ascii="宋体" w:hAnsi="宋体" w:cs="宋体"/>
          <w:color w:val="000000"/>
          <w:szCs w:val="21"/>
        </w:rPr>
      </w:pPr>
      <w:r>
        <w:rPr>
          <w:rFonts w:hint="eastAsia" w:ascii="宋体" w:hAnsi="宋体" w:cs="宋体"/>
          <w:color w:val="000000"/>
          <w:szCs w:val="21"/>
        </w:rPr>
        <w:t>7.2</w:t>
      </w:r>
      <w:r>
        <w:rPr>
          <w:rFonts w:hint="eastAsia" w:ascii="宋体" w:hAnsi="宋体" w:cs="宋体"/>
          <w:color w:val="000000"/>
          <w:spacing w:val="-4"/>
          <w:szCs w:val="21"/>
        </w:rPr>
        <w:t>本条所述的“不可抗力”系指那些卖方无法控制、不可预见的事</w:t>
      </w:r>
      <w:r>
        <w:rPr>
          <w:rFonts w:hint="eastAsia" w:ascii="宋体" w:hAnsi="宋体" w:cs="宋体"/>
          <w:color w:val="000000"/>
          <w:szCs w:val="21"/>
        </w:rPr>
        <w:t>件，但不包括卖方的违约或疏忽。这些事件包括：战争、严重火灾、洪水、台风、地震以及其它买方和卖方商定的事件。</w:t>
      </w:r>
    </w:p>
    <w:p w14:paraId="6F01C7E6">
      <w:pPr>
        <w:spacing w:before="1" w:line="360" w:lineRule="auto"/>
        <w:ind w:firstLine="720" w:firstLineChars="300"/>
        <w:jc w:val="left"/>
        <w:rPr>
          <w:rFonts w:hint="eastAsia" w:ascii="宋体" w:hAnsi="宋体" w:cs="宋体"/>
          <w:color w:val="000000"/>
          <w:szCs w:val="21"/>
        </w:rPr>
      </w:pPr>
      <w:r>
        <w:rPr>
          <w:rFonts w:hint="eastAsia" w:ascii="宋体" w:hAnsi="宋体" w:cs="宋体"/>
          <w:color w:val="000000"/>
          <w:szCs w:val="21"/>
        </w:rPr>
        <w:t>7.3</w:t>
      </w:r>
      <w:r>
        <w:rPr>
          <w:rFonts w:hint="eastAsia" w:ascii="宋体" w:hAnsi="宋体" w:cs="宋体"/>
          <w:color w:val="000000"/>
          <w:spacing w:val="-4"/>
          <w:szCs w:val="21"/>
        </w:rPr>
        <w:t>在不可抗力事件发生后，卖方应尽快以书面形式将不可抗力的情</w:t>
      </w:r>
      <w:r>
        <w:rPr>
          <w:rFonts w:hint="eastAsia" w:ascii="宋体" w:hAnsi="宋体" w:cs="宋体"/>
          <w:color w:val="000000"/>
          <w:szCs w:val="21"/>
        </w:rPr>
        <w:t>况和原因通知买方。除买方书面另行要求外，卖方应尽实际可能继续履行合同义务，以及寻求采取合理的方案履行不受不可抗力影响的其他事项。如果不可抗力事件影响时间持续</w:t>
      </w:r>
      <w:r>
        <w:rPr>
          <w:rFonts w:hint="eastAsia" w:ascii="宋体" w:hAnsi="宋体" w:cs="宋体"/>
          <w:color w:val="000000"/>
          <w:szCs w:val="21"/>
          <w:u w:val="single"/>
        </w:rPr>
        <w:t xml:space="preserve">      </w:t>
      </w:r>
      <w:r>
        <w:rPr>
          <w:rFonts w:hint="eastAsia" w:ascii="宋体" w:hAnsi="宋体" w:cs="宋体"/>
          <w:color w:val="000000"/>
          <w:szCs w:val="21"/>
        </w:rPr>
        <w:t>天以上时，买方有权终</w:t>
      </w:r>
      <w:r>
        <w:rPr>
          <w:rFonts w:hint="eastAsia" w:ascii="宋体" w:hAnsi="宋体" w:cs="宋体"/>
          <w:color w:val="000000"/>
          <w:szCs w:val="21"/>
        </w:rPr>
        <w:cr/>
      </w:r>
      <w:r>
        <w:rPr>
          <w:rFonts w:hint="eastAsia" w:ascii="宋体" w:hAnsi="宋体" w:cs="宋体"/>
          <w:color w:val="000000"/>
          <w:szCs w:val="21"/>
        </w:rPr>
        <w:t>止与卖方的合同，买方也可以和卖方通过友好协商在合理的时间内达成进一步履行合同的协议。</w:t>
      </w:r>
    </w:p>
    <w:p w14:paraId="7141AAAA">
      <w:pPr>
        <w:spacing w:before="170" w:line="360" w:lineRule="auto"/>
        <w:ind w:left="559"/>
        <w:jc w:val="left"/>
        <w:rPr>
          <w:rFonts w:hint="eastAsia" w:ascii="宋体" w:hAnsi="宋体" w:cs="宋体"/>
          <w:color w:val="000000"/>
          <w:szCs w:val="21"/>
        </w:rPr>
      </w:pPr>
      <w:r>
        <w:rPr>
          <w:rFonts w:hint="eastAsia" w:ascii="宋体" w:hAnsi="宋体" w:cs="宋体"/>
          <w:color w:val="000000"/>
          <w:spacing w:val="2"/>
          <w:szCs w:val="21"/>
        </w:rPr>
        <w:t>8</w:t>
      </w:r>
      <w:r>
        <w:rPr>
          <w:rFonts w:hint="eastAsia" w:ascii="宋体" w:hAnsi="宋体" w:cs="宋体"/>
          <w:color w:val="000000"/>
          <w:szCs w:val="21"/>
        </w:rPr>
        <w:t>、税费</w:t>
      </w:r>
    </w:p>
    <w:p w14:paraId="493B0AC9">
      <w:pPr>
        <w:spacing w:line="360" w:lineRule="auto"/>
        <w:ind w:left="559"/>
        <w:jc w:val="left"/>
        <w:rPr>
          <w:rFonts w:hint="eastAsia" w:ascii="宋体" w:hAnsi="宋体" w:cs="宋体"/>
          <w:color w:val="000000"/>
          <w:szCs w:val="21"/>
        </w:rPr>
      </w:pPr>
      <w:bookmarkStart w:id="269" w:name="br1_35"/>
      <w:bookmarkEnd w:id="269"/>
      <w:r>
        <w:rPr>
          <w:rFonts w:hint="eastAsia" w:ascii="宋体" w:hAnsi="宋体" w:cs="宋体"/>
          <w:color w:val="000000"/>
          <w:szCs w:val="21"/>
        </w:rPr>
        <w:t>8.1本项目实施过程中发生的一切税费均由卖方负担。</w:t>
      </w:r>
    </w:p>
    <w:p w14:paraId="217875E6">
      <w:pPr>
        <w:spacing w:before="170" w:line="360" w:lineRule="auto"/>
        <w:ind w:left="559"/>
        <w:jc w:val="left"/>
        <w:rPr>
          <w:rFonts w:hint="default" w:ascii="宋体" w:hAnsi="宋体" w:eastAsia="宋体" w:cs="宋体"/>
          <w:color w:val="000000"/>
          <w:szCs w:val="21"/>
          <w:lang w:val="en-US" w:eastAsia="zh-CN"/>
        </w:rPr>
      </w:pPr>
      <w:r>
        <w:rPr>
          <w:rFonts w:hint="eastAsia" w:ascii="宋体" w:hAnsi="宋体" w:cs="宋体"/>
          <w:color w:val="000000"/>
          <w:spacing w:val="2"/>
          <w:szCs w:val="21"/>
        </w:rPr>
        <w:t>9</w:t>
      </w:r>
      <w:r>
        <w:rPr>
          <w:rFonts w:hint="eastAsia" w:ascii="宋体" w:hAnsi="宋体" w:cs="宋体"/>
          <w:color w:val="000000"/>
          <w:szCs w:val="21"/>
        </w:rPr>
        <w:t>、履约保证金</w:t>
      </w:r>
      <w:r>
        <w:rPr>
          <w:rFonts w:hint="eastAsia" w:ascii="宋体" w:hAnsi="宋体" w:cs="宋体"/>
          <w:color w:val="000000"/>
          <w:szCs w:val="21"/>
          <w:lang w:eastAsia="zh-CN"/>
        </w:rPr>
        <w:t>：</w:t>
      </w:r>
      <w:r>
        <w:rPr>
          <w:rFonts w:hint="eastAsia" w:ascii="宋体" w:hAnsi="宋体" w:cs="宋体"/>
          <w:color w:val="000000"/>
          <w:szCs w:val="21"/>
          <w:lang w:val="en-US" w:eastAsia="zh-CN"/>
        </w:rPr>
        <w:t>无</w:t>
      </w:r>
    </w:p>
    <w:p w14:paraId="348B8825">
      <w:pPr>
        <w:spacing w:before="170" w:line="360" w:lineRule="auto"/>
        <w:ind w:left="559"/>
        <w:jc w:val="left"/>
        <w:rPr>
          <w:rFonts w:hint="eastAsia" w:ascii="宋体" w:hAnsi="宋体" w:cs="宋体"/>
          <w:color w:val="000000"/>
          <w:szCs w:val="21"/>
        </w:rPr>
      </w:pPr>
      <w:r>
        <w:rPr>
          <w:rFonts w:hint="eastAsia" w:ascii="宋体" w:hAnsi="宋体" w:cs="宋体"/>
          <w:color w:val="000000"/>
          <w:szCs w:val="21"/>
        </w:rPr>
        <w:t>10</w:t>
      </w:r>
      <w:r>
        <w:rPr>
          <w:rFonts w:hint="eastAsia" w:ascii="宋体" w:hAnsi="宋体" w:cs="宋体"/>
          <w:color w:val="000000"/>
          <w:spacing w:val="1"/>
          <w:szCs w:val="21"/>
        </w:rPr>
        <w:t>、仲裁</w:t>
      </w:r>
    </w:p>
    <w:p w14:paraId="57E03DFE">
      <w:pPr>
        <w:spacing w:before="170" w:line="360" w:lineRule="auto"/>
        <w:ind w:left="559"/>
        <w:jc w:val="left"/>
        <w:rPr>
          <w:rFonts w:hint="eastAsia" w:ascii="宋体" w:hAnsi="宋体" w:cs="宋体"/>
          <w:color w:val="000000"/>
          <w:szCs w:val="21"/>
        </w:rPr>
      </w:pPr>
      <w:r>
        <w:rPr>
          <w:rFonts w:hint="eastAsia" w:ascii="宋体" w:hAnsi="宋体" w:cs="宋体"/>
          <w:color w:val="000000"/>
          <w:szCs w:val="21"/>
        </w:rPr>
        <w:t>10.1在执行本合同中所发生的或与本合同有关的一切争端，买方和</w:t>
      </w:r>
      <w:r>
        <w:rPr>
          <w:rFonts w:hint="eastAsia" w:ascii="宋体" w:hAnsi="宋体" w:cs="宋体"/>
          <w:color w:val="000000"/>
          <w:spacing w:val="-2"/>
          <w:szCs w:val="21"/>
        </w:rPr>
        <w:t>卖方应通过友好协商的办法进行解决。如从协商开始</w:t>
      </w:r>
      <w:r>
        <w:rPr>
          <w:rFonts w:hint="eastAsia" w:ascii="宋体" w:hAnsi="宋体" w:cs="宋体"/>
          <w:color w:val="000000"/>
          <w:spacing w:val="-2"/>
          <w:szCs w:val="21"/>
          <w:u w:val="single"/>
        </w:rPr>
        <w:t xml:space="preserve">      </w:t>
      </w:r>
      <w:r>
        <w:rPr>
          <w:rFonts w:hint="eastAsia" w:ascii="宋体" w:hAnsi="宋体" w:cs="宋体"/>
          <w:color w:val="000000"/>
          <w:szCs w:val="21"/>
        </w:rPr>
        <w:t>天内仍不能解决，应将争端提交有关省、市政府或行业主管部门寻求可能解决的</w:t>
      </w:r>
      <w:r>
        <w:rPr>
          <w:rFonts w:hint="eastAsia" w:ascii="宋体" w:hAnsi="宋体" w:cs="宋体"/>
          <w:color w:val="000000"/>
          <w:spacing w:val="-1"/>
          <w:szCs w:val="21"/>
        </w:rPr>
        <w:t>办法。如果提交有关省、市政府或行业主管部门后</w:t>
      </w:r>
      <w:r>
        <w:rPr>
          <w:rFonts w:hint="eastAsia" w:ascii="宋体" w:hAnsi="宋体" w:cs="宋体"/>
          <w:color w:val="000000"/>
          <w:spacing w:val="-1"/>
          <w:szCs w:val="21"/>
          <w:u w:val="single"/>
        </w:rPr>
        <w:t xml:space="preserve">    </w:t>
      </w:r>
      <w:r>
        <w:rPr>
          <w:rFonts w:hint="eastAsia" w:ascii="宋体" w:hAnsi="宋体" w:cs="宋体"/>
          <w:color w:val="000000"/>
          <w:szCs w:val="21"/>
        </w:rPr>
        <w:t>天内仍得不到解决，则应申请仲裁。</w:t>
      </w:r>
    </w:p>
    <w:p w14:paraId="08B26690">
      <w:pPr>
        <w:spacing w:before="170" w:line="360" w:lineRule="auto"/>
        <w:ind w:left="559"/>
        <w:jc w:val="left"/>
        <w:rPr>
          <w:rFonts w:hint="eastAsia" w:ascii="宋体" w:hAnsi="宋体" w:cs="宋体"/>
          <w:color w:val="000000"/>
          <w:szCs w:val="21"/>
        </w:rPr>
      </w:pPr>
      <w:r>
        <w:rPr>
          <w:rFonts w:hint="eastAsia" w:ascii="宋体" w:hAnsi="宋体" w:cs="宋体"/>
          <w:color w:val="000000"/>
          <w:szCs w:val="21"/>
        </w:rPr>
        <w:t>10.2仲裁应根据《中华人民共和国仲裁法》的规定向泰州仲裁委员会申请仲裁。</w:t>
      </w:r>
    </w:p>
    <w:p w14:paraId="7ED90C8C">
      <w:pPr>
        <w:spacing w:line="360" w:lineRule="auto"/>
        <w:ind w:left="559"/>
        <w:jc w:val="left"/>
        <w:rPr>
          <w:rFonts w:hint="eastAsia" w:ascii="宋体" w:hAnsi="宋体" w:cs="宋体"/>
          <w:color w:val="000000"/>
          <w:szCs w:val="21"/>
        </w:rPr>
      </w:pPr>
      <w:r>
        <w:rPr>
          <w:rFonts w:hint="eastAsia" w:ascii="宋体" w:hAnsi="宋体" w:cs="宋体"/>
          <w:color w:val="000000"/>
          <w:szCs w:val="21"/>
        </w:rPr>
        <w:t>10.3仲裁裁决为最终裁决，对买方和卖方均有约束力。</w:t>
      </w:r>
    </w:p>
    <w:p w14:paraId="2CA7F374">
      <w:pPr>
        <w:spacing w:line="360" w:lineRule="auto"/>
        <w:ind w:left="559"/>
        <w:jc w:val="left"/>
        <w:rPr>
          <w:rFonts w:hint="eastAsia" w:ascii="宋体" w:hAnsi="宋体" w:cs="宋体"/>
          <w:color w:val="000000"/>
          <w:szCs w:val="21"/>
        </w:rPr>
      </w:pPr>
      <w:r>
        <w:rPr>
          <w:rFonts w:hint="eastAsia" w:ascii="宋体" w:hAnsi="宋体" w:cs="宋体"/>
          <w:color w:val="000000"/>
          <w:szCs w:val="21"/>
        </w:rPr>
        <w:t>10.4在仲裁期间，本合同应继续执行。</w:t>
      </w:r>
    </w:p>
    <w:p w14:paraId="55851924">
      <w:pPr>
        <w:spacing w:line="360" w:lineRule="auto"/>
        <w:ind w:left="559"/>
        <w:jc w:val="left"/>
        <w:rPr>
          <w:rFonts w:hint="eastAsia" w:ascii="宋体" w:hAnsi="宋体" w:cs="宋体"/>
          <w:color w:val="000000"/>
          <w:szCs w:val="21"/>
        </w:rPr>
      </w:pPr>
      <w:r>
        <w:rPr>
          <w:rFonts w:hint="eastAsia" w:ascii="宋体" w:hAnsi="宋体" w:cs="宋体"/>
          <w:color w:val="000000"/>
          <w:szCs w:val="21"/>
        </w:rPr>
        <w:t>11、违约终止合同</w:t>
      </w:r>
    </w:p>
    <w:p w14:paraId="2D5E29CE">
      <w:pPr>
        <w:spacing w:line="360" w:lineRule="auto"/>
        <w:jc w:val="left"/>
        <w:rPr>
          <w:rFonts w:hint="eastAsia" w:ascii="宋体" w:hAnsi="宋体" w:cs="宋体"/>
          <w:color w:val="000000"/>
          <w:szCs w:val="21"/>
        </w:rPr>
      </w:pPr>
      <w:r>
        <w:rPr>
          <w:rFonts w:hint="eastAsia" w:ascii="宋体" w:hAnsi="宋体" w:cs="宋体"/>
          <w:color w:val="000000"/>
          <w:spacing w:val="419"/>
          <w:szCs w:val="21"/>
        </w:rPr>
        <w:t xml:space="preserve"> </w:t>
      </w:r>
      <w:r>
        <w:rPr>
          <w:rFonts w:hint="eastAsia" w:ascii="宋体" w:hAnsi="宋体" w:cs="宋体"/>
          <w:color w:val="000000"/>
          <w:szCs w:val="21"/>
        </w:rPr>
        <w:t>11.1在买方对卖方违约而采取的任何补救措施不受影响的情况下，买方可向卖方发出终止部分或全部合同的书面通知书。</w:t>
      </w:r>
      <w:r>
        <w:rPr>
          <w:rFonts w:hint="eastAsia" w:ascii="宋体" w:hAnsi="宋体" w:cs="宋体"/>
          <w:color w:val="000000"/>
          <w:szCs w:val="21"/>
        </w:rPr>
        <w:cr/>
      </w:r>
      <w:r>
        <w:rPr>
          <w:rFonts w:hint="eastAsia" w:ascii="宋体" w:hAnsi="宋体" w:cs="宋体"/>
          <w:color w:val="000000"/>
          <w:spacing w:val="419"/>
          <w:szCs w:val="21"/>
        </w:rPr>
        <w:t xml:space="preserve"> </w:t>
      </w:r>
      <w:r>
        <w:rPr>
          <w:rFonts w:hint="eastAsia" w:ascii="宋体" w:hAnsi="宋体" w:cs="宋体"/>
          <w:color w:val="000000"/>
          <w:spacing w:val="1"/>
          <w:szCs w:val="21"/>
        </w:rPr>
        <w:t>(1)</w:t>
      </w:r>
      <w:r>
        <w:rPr>
          <w:rFonts w:hint="eastAsia" w:ascii="宋体" w:hAnsi="宋体" w:cs="宋体"/>
          <w:color w:val="000000"/>
          <w:szCs w:val="21"/>
        </w:rPr>
        <w:t>如果卖方未能按合同规定的期限或买方同意延长的限期内提供部分或全部服务；</w:t>
      </w:r>
    </w:p>
    <w:p w14:paraId="02F84114">
      <w:pPr>
        <w:spacing w:before="170" w:line="360" w:lineRule="auto"/>
        <w:ind w:left="559" w:firstLine="484" w:firstLineChars="200"/>
        <w:jc w:val="left"/>
        <w:rPr>
          <w:rFonts w:hint="eastAsia" w:ascii="宋体" w:hAnsi="宋体" w:cs="宋体"/>
          <w:color w:val="000000"/>
          <w:szCs w:val="21"/>
        </w:rPr>
      </w:pPr>
      <w:r>
        <w:rPr>
          <w:rFonts w:hint="eastAsia" w:ascii="宋体" w:hAnsi="宋体" w:cs="宋体"/>
          <w:color w:val="000000"/>
          <w:spacing w:val="1"/>
          <w:szCs w:val="21"/>
        </w:rPr>
        <w:t>(2)</w:t>
      </w:r>
      <w:r>
        <w:rPr>
          <w:rFonts w:hint="eastAsia" w:ascii="宋体" w:hAnsi="宋体" w:cs="宋体"/>
          <w:color w:val="000000"/>
          <w:szCs w:val="21"/>
        </w:rPr>
        <w:t>卖方在收到买方发出的违约通知后</w:t>
      </w:r>
      <w:r>
        <w:rPr>
          <w:rFonts w:hint="eastAsia" w:ascii="宋体" w:hAnsi="宋体" w:cs="宋体"/>
          <w:color w:val="000000"/>
          <w:szCs w:val="21"/>
          <w:u w:val="single"/>
        </w:rPr>
        <w:t xml:space="preserve">     </w:t>
      </w:r>
      <w:r>
        <w:rPr>
          <w:rFonts w:hint="eastAsia" w:ascii="宋体" w:hAnsi="宋体" w:cs="宋体"/>
          <w:color w:val="000000"/>
          <w:szCs w:val="21"/>
        </w:rPr>
        <w:t>天内，或经买方书面认可延长的时间内未能纠正其过失；</w:t>
      </w:r>
    </w:p>
    <w:p w14:paraId="60848848">
      <w:pPr>
        <w:spacing w:before="168" w:line="360" w:lineRule="auto"/>
        <w:ind w:left="701" w:firstLine="240" w:firstLineChars="100"/>
        <w:jc w:val="left"/>
        <w:rPr>
          <w:rFonts w:hint="eastAsia" w:ascii="宋体" w:hAnsi="宋体" w:cs="宋体"/>
          <w:color w:val="000000"/>
          <w:szCs w:val="21"/>
        </w:rPr>
      </w:pPr>
      <w:r>
        <w:rPr>
          <w:rFonts w:hint="eastAsia" w:ascii="宋体" w:hAnsi="宋体" w:cs="宋体"/>
          <w:color w:val="000000"/>
          <w:szCs w:val="21"/>
        </w:rPr>
        <w:t>(3)如果卖方未能履行合同规定的其他义务。</w:t>
      </w:r>
    </w:p>
    <w:p w14:paraId="3672D071">
      <w:pPr>
        <w:pStyle w:val="28"/>
        <w:spacing w:line="360" w:lineRule="auto"/>
        <w:ind w:firstLine="630" w:firstLineChars="300"/>
        <w:rPr>
          <w:rFonts w:hint="eastAsia" w:ascii="宋体" w:hAnsi="宋体" w:eastAsia="宋体" w:cs="宋体"/>
          <w:color w:val="000000"/>
          <w:sz w:val="21"/>
          <w:szCs w:val="21"/>
          <w:lang w:eastAsia="en-US"/>
        </w:rPr>
      </w:pPr>
      <w:r>
        <w:rPr>
          <w:rFonts w:hint="eastAsia" w:ascii="宋体" w:hAnsi="宋体" w:eastAsia="宋体" w:cs="宋体"/>
          <w:color w:val="000000"/>
          <w:sz w:val="21"/>
          <w:szCs w:val="21"/>
        </w:rPr>
        <w:t>11.2在买方根据上述规定，终止了全部或部分合同后，买方可以依</w:t>
      </w:r>
      <w:bookmarkStart w:id="270" w:name="br1_37"/>
      <w:bookmarkEnd w:id="270"/>
      <w:r>
        <w:rPr>
          <w:rFonts w:hint="eastAsia" w:ascii="宋体" w:hAnsi="宋体" w:eastAsia="宋体" w:cs="宋体"/>
          <w:color w:val="000000"/>
          <w:sz w:val="21"/>
          <w:szCs w:val="21"/>
        </w:rPr>
        <w:t>其认为适当的条件和方法购买与未提供服务类似的服务，卖方应对买方购买类似服务所超出的那部分费用负责。</w:t>
      </w:r>
      <w:r>
        <w:rPr>
          <w:rFonts w:hint="eastAsia" w:ascii="宋体" w:hAnsi="宋体" w:eastAsia="宋体" w:cs="宋体"/>
          <w:color w:val="000000"/>
          <w:sz w:val="21"/>
          <w:szCs w:val="21"/>
          <w:lang w:eastAsia="en-US"/>
        </w:rPr>
        <w:t>但是，卖方应继续执行合同中未终止的部分。</w:t>
      </w:r>
    </w:p>
    <w:p w14:paraId="67BAE0A3">
      <w:pPr>
        <w:pStyle w:val="28"/>
        <w:numPr>
          <w:ilvl w:val="0"/>
          <w:numId w:val="3"/>
        </w:numPr>
        <w:spacing w:line="360" w:lineRule="auto"/>
        <w:ind w:firstLine="630" w:firstLineChars="300"/>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破产中止合同</w:t>
      </w:r>
    </w:p>
    <w:p w14:paraId="7469E7EA">
      <w:pPr>
        <w:pStyle w:val="28"/>
        <w:spacing w:line="360" w:lineRule="auto"/>
        <w:ind w:firstLine="630" w:firstLineChars="300"/>
        <w:rPr>
          <w:rFonts w:hint="eastAsia" w:ascii="宋体" w:hAnsi="宋体" w:eastAsia="宋体" w:cs="宋体"/>
          <w:color w:val="000000"/>
          <w:sz w:val="21"/>
          <w:szCs w:val="21"/>
        </w:rPr>
      </w:pPr>
      <w:r>
        <w:rPr>
          <w:rFonts w:hint="eastAsia" w:ascii="宋体" w:hAnsi="宋体" w:eastAsia="宋体" w:cs="宋体"/>
          <w:color w:val="000000"/>
          <w:sz w:val="21"/>
          <w:szCs w:val="21"/>
        </w:rPr>
        <w:t>12.1如果卖方破产或无清偿能力时，买方在任何时候书面通知卖方中止合同而不给卖方补偿。该中止合同将不损害或影响买方已经或将要采取的补救措施的权利。</w:t>
      </w:r>
    </w:p>
    <w:p w14:paraId="48E44AB6">
      <w:pPr>
        <w:numPr>
          <w:ilvl w:val="0"/>
          <w:numId w:val="3"/>
        </w:numPr>
        <w:spacing w:before="170" w:line="360" w:lineRule="auto"/>
        <w:ind w:firstLine="726" w:firstLineChars="300"/>
        <w:jc w:val="left"/>
        <w:rPr>
          <w:rFonts w:hint="eastAsia" w:ascii="宋体" w:hAnsi="宋体" w:cs="宋体"/>
          <w:color w:val="000000"/>
          <w:spacing w:val="1"/>
          <w:szCs w:val="21"/>
          <w:lang w:eastAsia="en-US"/>
        </w:rPr>
      </w:pPr>
      <w:r>
        <w:rPr>
          <w:rFonts w:hint="eastAsia" w:ascii="宋体" w:hAnsi="宋体" w:cs="宋体"/>
          <w:color w:val="000000"/>
          <w:spacing w:val="1"/>
          <w:szCs w:val="21"/>
          <w:lang w:eastAsia="en-US"/>
        </w:rPr>
        <w:t>转让</w:t>
      </w:r>
    </w:p>
    <w:p w14:paraId="73741BD1">
      <w:pPr>
        <w:spacing w:before="170" w:line="360" w:lineRule="auto"/>
        <w:ind w:left="720" w:leftChars="300"/>
        <w:jc w:val="left"/>
        <w:rPr>
          <w:rFonts w:hint="eastAsia" w:ascii="宋体" w:hAnsi="宋体" w:cs="宋体"/>
          <w:color w:val="000000"/>
          <w:szCs w:val="21"/>
        </w:rPr>
      </w:pPr>
      <w:r>
        <w:rPr>
          <w:rFonts w:hint="eastAsia" w:ascii="宋体" w:hAnsi="宋体" w:cs="宋体"/>
          <w:color w:val="000000"/>
          <w:szCs w:val="21"/>
        </w:rPr>
        <w:t>13.1除买方事先书面同意外，卖方不得部分转让或全部转让其应履行的合同义务。</w:t>
      </w:r>
    </w:p>
    <w:p w14:paraId="645ECB1F">
      <w:pPr>
        <w:spacing w:before="170" w:line="360" w:lineRule="auto"/>
        <w:ind w:left="720" w:leftChars="300"/>
        <w:jc w:val="left"/>
        <w:rPr>
          <w:rFonts w:hint="eastAsia" w:ascii="宋体" w:hAnsi="宋体" w:cs="宋体"/>
          <w:color w:val="000000"/>
          <w:szCs w:val="21"/>
        </w:rPr>
      </w:pPr>
      <w:r>
        <w:rPr>
          <w:rFonts w:hint="eastAsia" w:ascii="宋体" w:hAnsi="宋体" w:cs="宋体"/>
          <w:color w:val="000000"/>
          <w:szCs w:val="21"/>
        </w:rPr>
        <w:t>14、合同生效及其它</w:t>
      </w:r>
    </w:p>
    <w:p w14:paraId="2518838C">
      <w:pPr>
        <w:spacing w:before="168" w:line="360" w:lineRule="auto"/>
        <w:ind w:left="559"/>
        <w:jc w:val="left"/>
        <w:rPr>
          <w:rFonts w:hint="eastAsia" w:ascii="宋体" w:hAnsi="宋体" w:cs="宋体"/>
          <w:color w:val="000000"/>
          <w:szCs w:val="21"/>
        </w:rPr>
      </w:pPr>
      <w:r>
        <w:rPr>
          <w:rFonts w:hint="eastAsia" w:ascii="宋体" w:hAnsi="宋体" w:cs="宋体"/>
          <w:color w:val="000000"/>
          <w:szCs w:val="21"/>
        </w:rPr>
        <w:t>14.1合同应在买方、卖方、见证方签字后生效。</w:t>
      </w:r>
    </w:p>
    <w:p w14:paraId="277D1697">
      <w:pPr>
        <w:spacing w:before="170" w:line="360" w:lineRule="auto"/>
        <w:ind w:left="559"/>
        <w:jc w:val="left"/>
        <w:rPr>
          <w:rFonts w:hint="eastAsia" w:ascii="宋体" w:hAnsi="宋体" w:cs="宋体"/>
          <w:color w:val="000000"/>
          <w:szCs w:val="21"/>
        </w:rPr>
      </w:pPr>
      <w:r>
        <w:rPr>
          <w:rFonts w:hint="eastAsia" w:ascii="宋体" w:hAnsi="宋体" w:cs="宋体"/>
          <w:color w:val="000000"/>
          <w:szCs w:val="21"/>
        </w:rPr>
        <w:t>14.2本合同一式</w:t>
      </w:r>
      <w:r>
        <w:rPr>
          <w:rFonts w:hint="eastAsia" w:ascii="宋体" w:hAnsi="宋体" w:cs="宋体"/>
          <w:color w:val="000000"/>
          <w:szCs w:val="21"/>
          <w:u w:val="single"/>
        </w:rPr>
        <w:t xml:space="preserve">    </w:t>
      </w:r>
      <w:r>
        <w:rPr>
          <w:rFonts w:hint="eastAsia" w:ascii="宋体" w:hAnsi="宋体" w:cs="宋体"/>
          <w:color w:val="000000"/>
          <w:spacing w:val="-5"/>
          <w:szCs w:val="21"/>
        </w:rPr>
        <w:t>份，以中文书写，买方</w:t>
      </w:r>
      <w:r>
        <w:rPr>
          <w:rFonts w:hint="eastAsia" w:ascii="宋体" w:hAnsi="宋体" w:cs="宋体"/>
          <w:color w:val="000000"/>
          <w:spacing w:val="76"/>
          <w:szCs w:val="21"/>
          <w:u w:val="single"/>
        </w:rPr>
        <w:t xml:space="preserve">  </w:t>
      </w:r>
      <w:r>
        <w:rPr>
          <w:rFonts w:hint="eastAsia" w:ascii="宋体" w:hAnsi="宋体" w:cs="宋体"/>
          <w:color w:val="000000"/>
          <w:spacing w:val="-6"/>
          <w:szCs w:val="21"/>
        </w:rPr>
        <w:t>份，卖方、见证方、各</w:t>
      </w:r>
      <w:r>
        <w:rPr>
          <w:rFonts w:hint="eastAsia" w:ascii="宋体" w:hAnsi="宋体" w:cs="宋体"/>
          <w:color w:val="000000"/>
          <w:szCs w:val="21"/>
        </w:rPr>
        <w:t>执</w:t>
      </w:r>
      <w:r>
        <w:rPr>
          <w:rFonts w:hint="eastAsia" w:ascii="宋体" w:hAnsi="宋体" w:cs="宋体"/>
          <w:color w:val="000000"/>
          <w:szCs w:val="21"/>
          <w:u w:val="single"/>
        </w:rPr>
        <w:t xml:space="preserve">    </w:t>
      </w:r>
      <w:r>
        <w:rPr>
          <w:rFonts w:hint="eastAsia" w:ascii="宋体" w:hAnsi="宋体" w:cs="宋体"/>
          <w:color w:val="000000"/>
          <w:spacing w:val="-2"/>
          <w:szCs w:val="21"/>
        </w:rPr>
        <w:t>份。</w:t>
      </w:r>
    </w:p>
    <w:p w14:paraId="180CCAE0">
      <w:pPr>
        <w:spacing w:before="170" w:line="360" w:lineRule="auto"/>
        <w:ind w:left="559"/>
        <w:jc w:val="left"/>
        <w:rPr>
          <w:rFonts w:hint="eastAsia" w:ascii="宋体" w:hAnsi="宋体" w:cs="宋体"/>
          <w:color w:val="000000"/>
          <w:szCs w:val="21"/>
        </w:rPr>
      </w:pPr>
      <w:r>
        <w:rPr>
          <w:rFonts w:hint="eastAsia" w:ascii="宋体" w:hAnsi="宋体" w:cs="宋体"/>
          <w:color w:val="000000"/>
          <w:szCs w:val="21"/>
        </w:rPr>
        <w:t>14.3</w:t>
      </w:r>
      <w:r>
        <w:rPr>
          <w:rFonts w:hint="eastAsia" w:ascii="宋体" w:hAnsi="宋体" w:cs="宋体"/>
          <w:color w:val="000000"/>
          <w:spacing w:val="-9"/>
          <w:szCs w:val="21"/>
        </w:rPr>
        <w:t>如需修改或补充合同内容，应经买方、卖方、见证方协商一致，</w:t>
      </w:r>
      <w:r>
        <w:rPr>
          <w:rFonts w:hint="eastAsia" w:ascii="宋体" w:hAnsi="宋体" w:cs="宋体"/>
          <w:color w:val="000000"/>
          <w:szCs w:val="21"/>
        </w:rPr>
        <w:t>签署书面修改或补充协议。该协议将作为本合同不可分割的一部分。</w:t>
      </w:r>
    </w:p>
    <w:p w14:paraId="6116FC5F">
      <w:pPr>
        <w:spacing w:before="168" w:line="360" w:lineRule="auto"/>
        <w:ind w:left="559"/>
        <w:jc w:val="left"/>
        <w:rPr>
          <w:rFonts w:hint="eastAsia" w:ascii="宋体" w:hAnsi="宋体" w:cs="宋体"/>
          <w:color w:val="000000"/>
          <w:szCs w:val="21"/>
        </w:rPr>
      </w:pPr>
      <w:r>
        <w:rPr>
          <w:rFonts w:hint="eastAsia" w:ascii="宋体" w:hAnsi="宋体" w:cs="宋体"/>
          <w:color w:val="000000"/>
          <w:szCs w:val="21"/>
        </w:rPr>
        <w:t>14.4本合同应按照中华人民共和国的现行法律进行解释。</w:t>
      </w:r>
    </w:p>
    <w:p w14:paraId="2D310B1D">
      <w:pPr>
        <w:spacing w:before="170" w:line="360" w:lineRule="auto"/>
        <w:ind w:left="562"/>
        <w:jc w:val="left"/>
        <w:rPr>
          <w:rFonts w:hint="eastAsia" w:ascii="宋体" w:hAnsi="宋体" w:cs="宋体"/>
          <w:color w:val="000000"/>
          <w:szCs w:val="21"/>
        </w:rPr>
      </w:pPr>
      <w:r>
        <w:rPr>
          <w:rFonts w:hint="eastAsia" w:ascii="宋体" w:hAnsi="宋体" w:cs="宋体"/>
          <w:color w:val="000000"/>
          <w:spacing w:val="1"/>
          <w:szCs w:val="21"/>
        </w:rPr>
        <w:t>二、专用合同条款部分</w:t>
      </w:r>
    </w:p>
    <w:p w14:paraId="2FCFB046">
      <w:pPr>
        <w:spacing w:before="171" w:line="360" w:lineRule="auto"/>
        <w:ind w:left="559"/>
        <w:jc w:val="left"/>
        <w:rPr>
          <w:rFonts w:hint="eastAsia" w:ascii="宋体" w:hAnsi="宋体" w:cs="宋体"/>
          <w:color w:val="000000"/>
          <w:szCs w:val="21"/>
        </w:rPr>
      </w:pPr>
      <w:r>
        <w:rPr>
          <w:rFonts w:hint="eastAsia" w:ascii="宋体" w:hAnsi="宋体" w:cs="宋体"/>
          <w:color w:val="000000"/>
          <w:spacing w:val="1"/>
          <w:szCs w:val="21"/>
        </w:rPr>
        <w:t>甲方</w:t>
      </w:r>
      <w:r>
        <w:rPr>
          <w:rFonts w:hint="eastAsia" w:ascii="宋体" w:hAnsi="宋体" w:cs="宋体"/>
          <w:color w:val="000000"/>
          <w:szCs w:val="21"/>
        </w:rPr>
        <w:t>:</w:t>
      </w:r>
    </w:p>
    <w:p w14:paraId="017DDCD4">
      <w:pPr>
        <w:spacing w:before="168" w:line="360" w:lineRule="auto"/>
        <w:ind w:left="559"/>
        <w:jc w:val="left"/>
        <w:rPr>
          <w:rFonts w:hint="eastAsia" w:ascii="宋体" w:hAnsi="宋体" w:cs="宋体"/>
          <w:color w:val="000000"/>
          <w:szCs w:val="21"/>
        </w:rPr>
      </w:pPr>
      <w:r>
        <w:rPr>
          <w:rFonts w:hint="eastAsia" w:ascii="宋体" w:hAnsi="宋体" w:cs="宋体"/>
          <w:color w:val="000000"/>
          <w:spacing w:val="1"/>
          <w:szCs w:val="21"/>
        </w:rPr>
        <w:t>乙方</w:t>
      </w:r>
      <w:r>
        <w:rPr>
          <w:rFonts w:hint="eastAsia" w:ascii="宋体" w:hAnsi="宋体" w:cs="宋体"/>
          <w:color w:val="000000"/>
          <w:szCs w:val="21"/>
        </w:rPr>
        <w:t>:</w:t>
      </w:r>
    </w:p>
    <w:p w14:paraId="59D18D7C">
      <w:pPr>
        <w:spacing w:before="1" w:line="360" w:lineRule="auto"/>
        <w:jc w:val="left"/>
        <w:rPr>
          <w:rFonts w:hint="eastAsia" w:ascii="宋体" w:hAnsi="宋体" w:cs="宋体"/>
          <w:color w:val="000000"/>
          <w:szCs w:val="21"/>
        </w:rPr>
      </w:pPr>
      <w:r>
        <w:rPr>
          <w:rFonts w:hint="eastAsia" w:ascii="宋体" w:hAnsi="宋体" w:cs="宋体"/>
          <w:color w:val="000000"/>
          <w:spacing w:val="489"/>
          <w:szCs w:val="21"/>
        </w:rPr>
        <w:t xml:space="preserve"> </w:t>
      </w:r>
      <w:r>
        <w:rPr>
          <w:rFonts w:hint="eastAsia" w:ascii="宋体" w:hAnsi="宋体" w:cs="宋体"/>
          <w:color w:val="000000"/>
          <w:szCs w:val="21"/>
        </w:rPr>
        <w:t>甲乙双方根据政府采购编号</w:t>
      </w:r>
      <w:r>
        <w:rPr>
          <w:rFonts w:hint="eastAsia" w:ascii="宋体" w:hAnsi="宋体" w:cs="宋体"/>
          <w:color w:val="000000"/>
          <w:spacing w:val="1"/>
          <w:szCs w:val="21"/>
        </w:rPr>
        <w:t>的</w:t>
      </w:r>
      <w:r>
        <w:rPr>
          <w:rFonts w:hint="eastAsia" w:ascii="宋体" w:hAnsi="宋体" w:cs="宋体"/>
          <w:color w:val="000000"/>
          <w:szCs w:val="21"/>
        </w:rPr>
        <w:t>****</w:t>
      </w:r>
      <w:r>
        <w:rPr>
          <w:rFonts w:hint="eastAsia" w:ascii="宋体" w:hAnsi="宋体" w:cs="宋体"/>
          <w:color w:val="000000"/>
          <w:spacing w:val="1"/>
          <w:szCs w:val="21"/>
        </w:rPr>
        <w:t>项目采购</w:t>
      </w:r>
      <w:r>
        <w:rPr>
          <w:rFonts w:hint="eastAsia" w:ascii="宋体" w:hAnsi="宋体" w:cs="宋体"/>
          <w:color w:val="000000"/>
          <w:szCs w:val="21"/>
        </w:rPr>
        <w:t>结果及招标文件的要求</w:t>
      </w:r>
      <w:r>
        <w:rPr>
          <w:rFonts w:hint="eastAsia" w:ascii="宋体" w:hAnsi="宋体" w:cs="宋体"/>
          <w:color w:val="000000"/>
          <w:spacing w:val="-1"/>
          <w:szCs w:val="21"/>
        </w:rPr>
        <w:t>,</w:t>
      </w:r>
      <w:r>
        <w:rPr>
          <w:rFonts w:hint="eastAsia" w:ascii="宋体" w:hAnsi="宋体" w:cs="宋体"/>
          <w:color w:val="000000"/>
          <w:szCs w:val="21"/>
        </w:rPr>
        <w:t>经协商一致</w:t>
      </w:r>
      <w:r>
        <w:rPr>
          <w:rFonts w:hint="eastAsia" w:ascii="宋体" w:hAnsi="宋体" w:cs="宋体"/>
          <w:color w:val="000000"/>
          <w:spacing w:val="-1"/>
          <w:szCs w:val="21"/>
        </w:rPr>
        <w:t>,</w:t>
      </w:r>
      <w:r>
        <w:rPr>
          <w:rFonts w:hint="eastAsia" w:ascii="宋体" w:hAnsi="宋体" w:cs="宋体"/>
          <w:color w:val="000000"/>
          <w:szCs w:val="21"/>
        </w:rPr>
        <w:t>达成如下采购服务合同:</w:t>
      </w:r>
      <w:r>
        <w:rPr>
          <w:rFonts w:hint="eastAsia" w:ascii="宋体" w:hAnsi="宋体" w:cs="宋体"/>
          <w:color w:val="000000"/>
          <w:szCs w:val="21"/>
        </w:rPr>
        <w:cr/>
      </w:r>
      <w:r>
        <w:rPr>
          <w:rFonts w:hint="eastAsia" w:ascii="宋体" w:hAnsi="宋体" w:cs="宋体"/>
          <w:color w:val="000000"/>
          <w:spacing w:val="489"/>
          <w:szCs w:val="21"/>
        </w:rPr>
        <w:t xml:space="preserve"> </w:t>
      </w:r>
      <w:r>
        <w:rPr>
          <w:rFonts w:hint="eastAsia" w:ascii="宋体" w:hAnsi="宋体" w:cs="宋体"/>
          <w:color w:val="000000"/>
          <w:spacing w:val="-6"/>
          <w:szCs w:val="21"/>
        </w:rPr>
        <w:t>根据《中华人民共和国政府采购法》、《中华人民共和国合同法》和</w:t>
      </w:r>
      <w:r>
        <w:rPr>
          <w:rFonts w:hint="eastAsia" w:ascii="宋体" w:hAnsi="宋体" w:cs="宋体"/>
          <w:color w:val="000000"/>
          <w:szCs w:val="21"/>
        </w:rPr>
        <w:t>相关行业法律法规等法律法规的规定，甲乙双方按照**的招标结果签订本合同。</w:t>
      </w:r>
    </w:p>
    <w:p w14:paraId="06D2E46F">
      <w:pPr>
        <w:spacing w:before="168" w:line="360" w:lineRule="auto"/>
        <w:ind w:left="562"/>
        <w:jc w:val="left"/>
        <w:rPr>
          <w:rFonts w:hint="eastAsia" w:ascii="宋体" w:hAnsi="宋体" w:cs="宋体"/>
          <w:color w:val="000000"/>
          <w:szCs w:val="21"/>
        </w:rPr>
      </w:pPr>
      <w:r>
        <w:rPr>
          <w:rFonts w:hint="eastAsia" w:ascii="宋体" w:hAnsi="宋体" w:cs="宋体"/>
          <w:color w:val="000000"/>
          <w:spacing w:val="1"/>
          <w:szCs w:val="21"/>
        </w:rPr>
        <w:t>一、项目概况</w:t>
      </w:r>
    </w:p>
    <w:p w14:paraId="113635B8">
      <w:pPr>
        <w:spacing w:line="360" w:lineRule="auto"/>
        <w:ind w:firstLine="720" w:firstLineChars="300"/>
      </w:pPr>
      <w:r>
        <w:rPr>
          <w:rFonts w:hint="eastAsia" w:ascii="宋体" w:hAnsi="宋体" w:cs="宋体"/>
          <w:color w:val="000000"/>
          <w:szCs w:val="21"/>
        </w:rPr>
        <w:t>1.1</w:t>
      </w:r>
      <w:r>
        <w:rPr>
          <w:rFonts w:hint="eastAsia" w:ascii="宋体" w:hAnsi="宋体" w:cs="宋体"/>
          <w:color w:val="000000"/>
          <w:spacing w:val="1"/>
          <w:szCs w:val="21"/>
        </w:rPr>
        <w:t xml:space="preserve"> </w:t>
      </w:r>
      <w:r>
        <w:rPr>
          <w:rFonts w:hint="eastAsia" w:ascii="宋体" w:hAnsi="宋体" w:cs="宋体"/>
          <w:color w:val="000000"/>
          <w:szCs w:val="21"/>
        </w:rPr>
        <w:t>项目名称：</w:t>
      </w:r>
      <w:r>
        <w:t xml:space="preserve">                                    </w:t>
      </w:r>
      <w:r>
        <w:rPr>
          <w:sz w:val="24"/>
        </w:rPr>
        <w:t xml:space="preserve">  </w:t>
      </w:r>
    </w:p>
    <w:p w14:paraId="6810096D">
      <w:pPr>
        <w:spacing w:line="360" w:lineRule="auto"/>
        <w:ind w:left="559"/>
        <w:jc w:val="left"/>
        <w:rPr>
          <w:rFonts w:hint="eastAsia" w:ascii="宋体" w:hAnsi="宋体" w:cs="宋体"/>
          <w:color w:val="000000"/>
          <w:szCs w:val="21"/>
        </w:rPr>
      </w:pPr>
      <w:r>
        <w:rPr>
          <w:rFonts w:hint="eastAsia" w:ascii="宋体" w:hAnsi="宋体" w:cs="宋体"/>
          <w:color w:val="000000"/>
          <w:szCs w:val="21"/>
        </w:rPr>
        <w:t>1.2</w:t>
      </w:r>
      <w:r>
        <w:rPr>
          <w:rFonts w:hint="eastAsia" w:ascii="宋体" w:hAnsi="宋体" w:cs="宋体"/>
          <w:color w:val="000000"/>
          <w:spacing w:val="1"/>
          <w:szCs w:val="21"/>
        </w:rPr>
        <w:t xml:space="preserve"> </w:t>
      </w:r>
      <w:r>
        <w:rPr>
          <w:rFonts w:hint="eastAsia" w:ascii="宋体" w:hAnsi="宋体" w:cs="宋体"/>
          <w:color w:val="000000"/>
          <w:szCs w:val="21"/>
        </w:rPr>
        <w:t>项目地点：</w:t>
      </w:r>
    </w:p>
    <w:p w14:paraId="789CE256">
      <w:pPr>
        <w:spacing w:before="170" w:line="360" w:lineRule="auto"/>
        <w:ind w:left="559"/>
        <w:jc w:val="left"/>
        <w:rPr>
          <w:rFonts w:hint="eastAsia" w:ascii="宋体" w:hAnsi="宋体" w:cs="宋体"/>
          <w:color w:val="000000"/>
          <w:szCs w:val="21"/>
        </w:rPr>
      </w:pPr>
      <w:r>
        <w:rPr>
          <w:rFonts w:hint="eastAsia" w:ascii="宋体" w:hAnsi="宋体" w:cs="宋体"/>
          <w:color w:val="000000"/>
          <w:szCs w:val="21"/>
        </w:rPr>
        <w:t>1.3</w:t>
      </w:r>
      <w:r>
        <w:rPr>
          <w:rFonts w:hint="eastAsia" w:ascii="宋体" w:hAnsi="宋体" w:cs="宋体"/>
          <w:color w:val="000000"/>
          <w:spacing w:val="1"/>
          <w:szCs w:val="21"/>
        </w:rPr>
        <w:t xml:space="preserve"> </w:t>
      </w:r>
      <w:r>
        <w:rPr>
          <w:rFonts w:hint="eastAsia" w:ascii="宋体" w:hAnsi="宋体" w:cs="宋体"/>
          <w:color w:val="000000"/>
          <w:szCs w:val="21"/>
        </w:rPr>
        <w:t>项目内容：</w:t>
      </w:r>
    </w:p>
    <w:p w14:paraId="285593D2">
      <w:pPr>
        <w:spacing w:before="168" w:line="360" w:lineRule="auto"/>
        <w:ind w:left="559"/>
        <w:jc w:val="left"/>
        <w:rPr>
          <w:rFonts w:hint="eastAsia" w:ascii="宋体" w:hAnsi="宋体" w:cs="宋体"/>
          <w:color w:val="000000"/>
          <w:szCs w:val="21"/>
        </w:rPr>
      </w:pPr>
      <w:r>
        <w:rPr>
          <w:rFonts w:hint="eastAsia" w:ascii="宋体" w:hAnsi="宋体" w:cs="宋体"/>
          <w:color w:val="000000"/>
          <w:szCs w:val="21"/>
        </w:rPr>
        <w:t>1.4</w:t>
      </w:r>
      <w:r>
        <w:rPr>
          <w:rFonts w:hint="eastAsia" w:ascii="宋体" w:hAnsi="宋体" w:cs="宋体"/>
          <w:color w:val="000000"/>
          <w:spacing w:val="1"/>
          <w:szCs w:val="21"/>
        </w:rPr>
        <w:t xml:space="preserve"> </w:t>
      </w:r>
      <w:r>
        <w:rPr>
          <w:rFonts w:hint="eastAsia" w:ascii="宋体" w:hAnsi="宋体" w:cs="宋体"/>
          <w:color w:val="000000"/>
          <w:szCs w:val="21"/>
        </w:rPr>
        <w:t>合同价款：</w:t>
      </w:r>
    </w:p>
    <w:p w14:paraId="3DEC9166">
      <w:pPr>
        <w:spacing w:before="170" w:line="360" w:lineRule="auto"/>
        <w:ind w:left="562"/>
        <w:jc w:val="left"/>
        <w:rPr>
          <w:rFonts w:hint="eastAsia" w:ascii="宋体" w:hAnsi="宋体" w:cs="宋体"/>
          <w:color w:val="000000"/>
          <w:szCs w:val="21"/>
        </w:rPr>
      </w:pPr>
      <w:r>
        <w:rPr>
          <w:rFonts w:hint="eastAsia" w:ascii="宋体" w:hAnsi="宋体" w:cs="宋体"/>
          <w:color w:val="000000"/>
          <w:spacing w:val="2"/>
          <w:szCs w:val="21"/>
        </w:rPr>
        <w:t>二．定义</w:t>
      </w:r>
    </w:p>
    <w:p w14:paraId="60BCF282">
      <w:pPr>
        <w:spacing w:before="170" w:line="360" w:lineRule="auto"/>
        <w:ind w:left="559"/>
        <w:jc w:val="left"/>
        <w:rPr>
          <w:rFonts w:hint="eastAsia" w:ascii="宋体" w:hAnsi="宋体" w:cs="宋体"/>
          <w:color w:val="000000"/>
          <w:szCs w:val="21"/>
        </w:rPr>
      </w:pPr>
      <w:r>
        <w:rPr>
          <w:rFonts w:hint="eastAsia" w:ascii="宋体" w:hAnsi="宋体" w:cs="宋体"/>
          <w:color w:val="000000"/>
          <w:spacing w:val="-2"/>
          <w:szCs w:val="21"/>
        </w:rPr>
        <w:t>2.l</w:t>
      </w:r>
      <w:r>
        <w:rPr>
          <w:rFonts w:hint="eastAsia" w:ascii="宋体" w:hAnsi="宋体" w:cs="宋体"/>
          <w:color w:val="000000"/>
          <w:spacing w:val="-1"/>
          <w:szCs w:val="21"/>
        </w:rPr>
        <w:t>“合同”系指甲方和乙方（以下简称合同双方）签署的、合同格</w:t>
      </w:r>
      <w:r>
        <w:rPr>
          <w:rFonts w:hint="eastAsia" w:ascii="宋体" w:hAnsi="宋体" w:cs="宋体"/>
          <w:color w:val="000000"/>
          <w:szCs w:val="21"/>
        </w:rPr>
        <w:t>式中列明的合同双方所达成的协议，包括所有的附件、附录、招标、投标文件全部内容及对招、投标文件书面修正、澄清的内容等以及构成合同的所有文件。</w:t>
      </w:r>
    </w:p>
    <w:p w14:paraId="4C537931">
      <w:pPr>
        <w:spacing w:before="170" w:line="360" w:lineRule="auto"/>
        <w:ind w:left="559"/>
        <w:jc w:val="left"/>
        <w:rPr>
          <w:rFonts w:hint="eastAsia" w:ascii="宋体" w:hAnsi="宋体" w:cs="宋体"/>
          <w:color w:val="000000"/>
          <w:szCs w:val="21"/>
        </w:rPr>
      </w:pPr>
      <w:r>
        <w:rPr>
          <w:rFonts w:hint="eastAsia" w:ascii="宋体" w:hAnsi="宋体" w:cs="宋体"/>
          <w:color w:val="000000"/>
          <w:spacing w:val="-3"/>
          <w:szCs w:val="21"/>
        </w:rPr>
        <w:t>2.2</w:t>
      </w:r>
      <w:r>
        <w:rPr>
          <w:rFonts w:hint="eastAsia" w:ascii="宋体" w:hAnsi="宋体" w:cs="宋体"/>
          <w:color w:val="000000"/>
          <w:spacing w:val="-1"/>
          <w:szCs w:val="21"/>
        </w:rPr>
        <w:t>“合同价格”系指根据合同规定，在乙方全面正确地履行合同义</w:t>
      </w:r>
      <w:r>
        <w:rPr>
          <w:rFonts w:hint="eastAsia" w:ascii="宋体" w:hAnsi="宋体" w:cs="宋体"/>
          <w:color w:val="000000"/>
          <w:szCs w:val="21"/>
        </w:rPr>
        <w:t>务后甲方应支付给乙方的价格。</w:t>
      </w:r>
    </w:p>
    <w:p w14:paraId="192DA993">
      <w:pPr>
        <w:spacing w:before="170" w:line="360" w:lineRule="auto"/>
        <w:ind w:left="559"/>
        <w:jc w:val="left"/>
        <w:rPr>
          <w:rFonts w:hint="eastAsia" w:ascii="宋体" w:hAnsi="宋体" w:cs="宋体"/>
          <w:color w:val="000000"/>
          <w:szCs w:val="21"/>
        </w:rPr>
      </w:pPr>
      <w:r>
        <w:rPr>
          <w:rFonts w:hint="eastAsia" w:ascii="宋体" w:hAnsi="宋体" w:cs="宋体"/>
          <w:color w:val="000000"/>
          <w:spacing w:val="1"/>
          <w:szCs w:val="21"/>
        </w:rPr>
        <w:t>2.3</w:t>
      </w:r>
      <w:r>
        <w:rPr>
          <w:rFonts w:hint="eastAsia" w:ascii="宋体" w:hAnsi="宋体" w:cs="宋体"/>
          <w:color w:val="000000"/>
          <w:szCs w:val="21"/>
        </w:rPr>
        <w:t>“甲方”系指采购人。</w:t>
      </w:r>
    </w:p>
    <w:p w14:paraId="5A59EE13">
      <w:pPr>
        <w:spacing w:before="168" w:line="360" w:lineRule="auto"/>
        <w:ind w:left="559"/>
        <w:jc w:val="left"/>
        <w:rPr>
          <w:rFonts w:hint="eastAsia" w:ascii="宋体" w:hAnsi="宋体" w:cs="宋体"/>
          <w:color w:val="000000"/>
          <w:szCs w:val="21"/>
        </w:rPr>
      </w:pPr>
      <w:r>
        <w:rPr>
          <w:rFonts w:hint="eastAsia" w:ascii="宋体" w:hAnsi="宋体" w:cs="宋体"/>
          <w:color w:val="000000"/>
          <w:spacing w:val="1"/>
          <w:szCs w:val="21"/>
        </w:rPr>
        <w:t>2.4</w:t>
      </w:r>
      <w:r>
        <w:rPr>
          <w:rFonts w:hint="eastAsia" w:ascii="宋体" w:hAnsi="宋体" w:cs="宋体"/>
          <w:color w:val="000000"/>
          <w:szCs w:val="21"/>
        </w:rPr>
        <w:t>“乙方”系指中标人。</w:t>
      </w:r>
    </w:p>
    <w:p w14:paraId="2B5E1FAB">
      <w:pPr>
        <w:spacing w:before="170" w:line="360" w:lineRule="auto"/>
        <w:ind w:left="559"/>
        <w:jc w:val="left"/>
        <w:rPr>
          <w:rFonts w:hint="eastAsia" w:ascii="宋体" w:hAnsi="宋体" w:cs="宋体"/>
          <w:color w:val="000000"/>
          <w:szCs w:val="21"/>
        </w:rPr>
      </w:pPr>
      <w:r>
        <w:rPr>
          <w:rFonts w:hint="eastAsia" w:ascii="宋体" w:hAnsi="宋体" w:cs="宋体"/>
          <w:color w:val="000000"/>
          <w:spacing w:val="1"/>
          <w:szCs w:val="21"/>
        </w:rPr>
        <w:t>三．适用范围</w:t>
      </w:r>
    </w:p>
    <w:p w14:paraId="4F6D9662">
      <w:pPr>
        <w:spacing w:before="170" w:line="360" w:lineRule="auto"/>
        <w:ind w:left="559"/>
        <w:jc w:val="left"/>
        <w:rPr>
          <w:rFonts w:hint="eastAsia" w:ascii="宋体" w:hAnsi="宋体" w:cs="宋体"/>
          <w:color w:val="000000"/>
          <w:szCs w:val="21"/>
        </w:rPr>
      </w:pPr>
      <w:r>
        <w:rPr>
          <w:rFonts w:hint="eastAsia" w:ascii="宋体" w:hAnsi="宋体" w:cs="宋体"/>
          <w:color w:val="000000"/>
          <w:szCs w:val="21"/>
        </w:rPr>
        <w:t>3.l本合同条款适用于本次招标项目。</w:t>
      </w:r>
    </w:p>
    <w:p w14:paraId="3A5CBB98">
      <w:pPr>
        <w:spacing w:before="168" w:line="360" w:lineRule="auto"/>
        <w:ind w:left="562"/>
        <w:jc w:val="left"/>
        <w:rPr>
          <w:rFonts w:hint="eastAsia" w:ascii="宋体" w:hAnsi="宋体" w:cs="宋体"/>
          <w:color w:val="000000"/>
          <w:szCs w:val="21"/>
        </w:rPr>
      </w:pPr>
      <w:r>
        <w:rPr>
          <w:rFonts w:hint="eastAsia" w:ascii="宋体" w:hAnsi="宋体" w:cs="宋体"/>
          <w:color w:val="000000"/>
          <w:spacing w:val="1"/>
          <w:szCs w:val="21"/>
        </w:rPr>
        <w:t>四.</w:t>
      </w:r>
      <w:r>
        <w:rPr>
          <w:rFonts w:hint="eastAsia" w:ascii="宋体" w:hAnsi="宋体" w:cs="宋体"/>
          <w:color w:val="000000"/>
          <w:spacing w:val="2"/>
          <w:szCs w:val="21"/>
        </w:rPr>
        <w:t xml:space="preserve"> </w:t>
      </w:r>
      <w:r>
        <w:rPr>
          <w:rFonts w:hint="eastAsia" w:ascii="宋体" w:hAnsi="宋体" w:cs="宋体"/>
          <w:color w:val="000000"/>
          <w:szCs w:val="21"/>
        </w:rPr>
        <w:t>服务工作执行技术标准及工期：</w:t>
      </w:r>
    </w:p>
    <w:p w14:paraId="76555874">
      <w:pPr>
        <w:spacing w:before="170" w:line="360" w:lineRule="auto"/>
        <w:ind w:left="559"/>
        <w:jc w:val="left"/>
        <w:rPr>
          <w:rFonts w:hint="eastAsia" w:ascii="宋体" w:hAnsi="宋体" w:cs="宋体"/>
          <w:color w:val="000000"/>
          <w:szCs w:val="21"/>
        </w:rPr>
      </w:pPr>
      <w:r>
        <w:rPr>
          <w:rFonts w:hint="eastAsia" w:ascii="宋体" w:hAnsi="宋体" w:cs="宋体"/>
          <w:color w:val="000000"/>
          <w:spacing w:val="2"/>
          <w:szCs w:val="21"/>
        </w:rPr>
        <w:t>1</w:t>
      </w:r>
      <w:r>
        <w:rPr>
          <w:rFonts w:hint="eastAsia" w:ascii="宋体" w:hAnsi="宋体" w:cs="宋体"/>
          <w:color w:val="000000"/>
          <w:szCs w:val="21"/>
        </w:rPr>
        <w:t>、技术标准与招标文件一致。</w:t>
      </w:r>
    </w:p>
    <w:p w14:paraId="5D483EBC">
      <w:pPr>
        <w:spacing w:before="170" w:line="360" w:lineRule="auto"/>
        <w:ind w:left="559"/>
        <w:jc w:val="left"/>
        <w:rPr>
          <w:rFonts w:hint="eastAsia" w:ascii="宋体" w:hAnsi="宋体" w:cs="宋体"/>
          <w:color w:val="000000"/>
          <w:szCs w:val="21"/>
        </w:rPr>
      </w:pPr>
      <w:r>
        <w:rPr>
          <w:rFonts w:hint="eastAsia" w:ascii="宋体" w:hAnsi="宋体" w:cs="宋体"/>
          <w:color w:val="000000"/>
          <w:spacing w:val="2"/>
          <w:szCs w:val="21"/>
        </w:rPr>
        <w:t>2</w:t>
      </w:r>
      <w:r>
        <w:rPr>
          <w:rFonts w:hint="eastAsia" w:ascii="宋体" w:hAnsi="宋体" w:cs="宋体"/>
          <w:color w:val="000000"/>
          <w:szCs w:val="21"/>
        </w:rPr>
        <w:t>、项目总工期：</w:t>
      </w:r>
    </w:p>
    <w:p w14:paraId="489FB087">
      <w:pPr>
        <w:spacing w:before="168" w:line="360" w:lineRule="auto"/>
        <w:ind w:left="562"/>
        <w:jc w:val="left"/>
        <w:rPr>
          <w:rFonts w:hint="eastAsia" w:ascii="宋体" w:hAnsi="宋体" w:cs="宋体"/>
          <w:color w:val="000000"/>
          <w:szCs w:val="21"/>
        </w:rPr>
      </w:pPr>
      <w:r>
        <w:rPr>
          <w:rFonts w:hint="eastAsia" w:ascii="宋体" w:hAnsi="宋体" w:cs="宋体"/>
          <w:color w:val="000000"/>
          <w:szCs w:val="21"/>
        </w:rPr>
        <w:t>五.项目经费来源、价款以及支付方式</w:t>
      </w:r>
    </w:p>
    <w:p w14:paraId="238DF03F">
      <w:pPr>
        <w:spacing w:before="170" w:line="360" w:lineRule="auto"/>
        <w:ind w:left="559"/>
        <w:jc w:val="left"/>
        <w:rPr>
          <w:rFonts w:hint="eastAsia" w:ascii="宋体" w:hAnsi="宋体" w:cs="宋体"/>
          <w:color w:val="000000"/>
          <w:szCs w:val="21"/>
        </w:rPr>
      </w:pPr>
      <w:r>
        <w:rPr>
          <w:rFonts w:hint="eastAsia" w:ascii="宋体" w:hAnsi="宋体" w:cs="宋体"/>
          <w:color w:val="000000"/>
          <w:spacing w:val="2"/>
          <w:szCs w:val="21"/>
        </w:rPr>
        <w:t>1</w:t>
      </w:r>
      <w:r>
        <w:rPr>
          <w:rFonts w:hint="eastAsia" w:ascii="宋体" w:hAnsi="宋体" w:cs="宋体"/>
          <w:color w:val="000000"/>
          <w:szCs w:val="21"/>
        </w:rPr>
        <w:t>、经费来源：</w:t>
      </w:r>
    </w:p>
    <w:p w14:paraId="48C5505C">
      <w:pPr>
        <w:spacing w:before="171" w:line="360" w:lineRule="auto"/>
        <w:ind w:left="559"/>
        <w:jc w:val="left"/>
        <w:rPr>
          <w:rFonts w:hint="eastAsia" w:ascii="宋体" w:hAnsi="宋体" w:cs="宋体"/>
          <w:color w:val="000000"/>
          <w:szCs w:val="21"/>
        </w:rPr>
      </w:pPr>
      <w:r>
        <w:rPr>
          <w:rFonts w:hint="eastAsia" w:ascii="宋体" w:hAnsi="宋体" w:cs="宋体"/>
          <w:color w:val="000000"/>
          <w:spacing w:val="2"/>
          <w:szCs w:val="21"/>
        </w:rPr>
        <w:t>2</w:t>
      </w:r>
      <w:r>
        <w:rPr>
          <w:rFonts w:hint="eastAsia" w:ascii="宋体" w:hAnsi="宋体" w:cs="宋体"/>
          <w:color w:val="000000"/>
          <w:szCs w:val="21"/>
        </w:rPr>
        <w:t>、项目价款：</w:t>
      </w:r>
    </w:p>
    <w:p w14:paraId="0B56B8AB">
      <w:pPr>
        <w:spacing w:before="168" w:line="360" w:lineRule="auto"/>
        <w:ind w:left="559"/>
        <w:jc w:val="left"/>
        <w:rPr>
          <w:rFonts w:hint="eastAsia" w:ascii="宋体" w:hAnsi="宋体" w:cs="宋体"/>
          <w:color w:val="000000"/>
          <w:szCs w:val="21"/>
        </w:rPr>
      </w:pPr>
      <w:r>
        <w:rPr>
          <w:rFonts w:hint="eastAsia" w:ascii="宋体" w:hAnsi="宋体" w:cs="宋体"/>
          <w:color w:val="000000"/>
          <w:szCs w:val="21"/>
        </w:rPr>
        <w:t>⑴ ***</w:t>
      </w:r>
    </w:p>
    <w:p w14:paraId="7F425FDE">
      <w:pPr>
        <w:spacing w:before="170" w:line="360" w:lineRule="auto"/>
        <w:ind w:left="559"/>
        <w:jc w:val="left"/>
        <w:rPr>
          <w:rFonts w:hint="eastAsia" w:ascii="宋体" w:hAnsi="宋体" w:cs="宋体"/>
          <w:color w:val="000000"/>
          <w:szCs w:val="21"/>
        </w:rPr>
      </w:pPr>
      <w:r>
        <w:rPr>
          <w:rFonts w:hint="eastAsia" w:ascii="宋体" w:hAnsi="宋体" w:cs="宋体"/>
          <w:color w:val="000000"/>
          <w:szCs w:val="21"/>
        </w:rPr>
        <w:t>⑵ ***</w:t>
      </w:r>
    </w:p>
    <w:p w14:paraId="4746C6F4">
      <w:pPr>
        <w:spacing w:before="170" w:line="360" w:lineRule="auto"/>
        <w:ind w:left="559"/>
        <w:jc w:val="left"/>
        <w:rPr>
          <w:rFonts w:hint="eastAsia" w:ascii="宋体" w:hAnsi="宋体" w:cs="宋体"/>
          <w:color w:val="000000"/>
          <w:szCs w:val="21"/>
        </w:rPr>
      </w:pPr>
      <w:r>
        <w:rPr>
          <w:rFonts w:hint="eastAsia" w:ascii="宋体" w:hAnsi="宋体" w:cs="宋体"/>
          <w:color w:val="000000"/>
          <w:spacing w:val="2"/>
          <w:szCs w:val="21"/>
        </w:rPr>
        <w:t>3</w:t>
      </w:r>
      <w:r>
        <w:rPr>
          <w:rFonts w:hint="eastAsia" w:ascii="宋体" w:hAnsi="宋体" w:cs="宋体"/>
          <w:color w:val="000000"/>
          <w:szCs w:val="21"/>
        </w:rPr>
        <w:t>、支付方式：</w:t>
      </w:r>
    </w:p>
    <w:p w14:paraId="4D5EE72C">
      <w:pPr>
        <w:spacing w:before="168" w:line="360" w:lineRule="auto"/>
        <w:ind w:left="559"/>
        <w:jc w:val="left"/>
        <w:rPr>
          <w:rFonts w:hint="eastAsia" w:ascii="宋体" w:hAnsi="宋体" w:cs="宋体"/>
          <w:color w:val="000000"/>
          <w:szCs w:val="21"/>
        </w:rPr>
      </w:pPr>
      <w:r>
        <w:rPr>
          <w:rFonts w:hint="eastAsia" w:ascii="宋体" w:hAnsi="宋体" w:cs="宋体"/>
          <w:color w:val="000000"/>
          <w:spacing w:val="2"/>
          <w:szCs w:val="21"/>
        </w:rPr>
        <w:t>4</w:t>
      </w:r>
      <w:r>
        <w:rPr>
          <w:rFonts w:hint="eastAsia" w:ascii="宋体" w:hAnsi="宋体" w:cs="宋体"/>
          <w:color w:val="000000"/>
          <w:szCs w:val="21"/>
        </w:rPr>
        <w:t>、方案编制以及审批过程中产生的所有费用均由编制单位承担。</w:t>
      </w:r>
    </w:p>
    <w:p w14:paraId="07B7500A">
      <w:pPr>
        <w:spacing w:before="170" w:line="360" w:lineRule="auto"/>
        <w:ind w:left="562"/>
        <w:jc w:val="left"/>
        <w:rPr>
          <w:rFonts w:hint="eastAsia" w:ascii="宋体" w:hAnsi="宋体" w:cs="宋体"/>
          <w:color w:val="000000"/>
          <w:szCs w:val="21"/>
        </w:rPr>
      </w:pPr>
      <w:r>
        <w:rPr>
          <w:rFonts w:hint="eastAsia" w:ascii="宋体" w:hAnsi="宋体" w:cs="宋体"/>
          <w:color w:val="000000"/>
          <w:szCs w:val="21"/>
        </w:rPr>
        <w:t>六、甲方的义务</w:t>
      </w:r>
    </w:p>
    <w:p w14:paraId="446FD5E4">
      <w:pPr>
        <w:pStyle w:val="20"/>
        <w:ind w:left="480" w:leftChars="200" w:firstLine="0" w:firstLineChars="0"/>
        <w:rPr>
          <w:rFonts w:hint="eastAsia" w:ascii="宋体" w:hAnsi="宋体" w:eastAsia="宋体" w:cs="宋体"/>
          <w:color w:val="000000"/>
          <w:sz w:val="21"/>
          <w:szCs w:val="21"/>
        </w:rPr>
      </w:pPr>
      <w:r>
        <w:rPr>
          <w:rFonts w:hint="eastAsia" w:ascii="宋体" w:hAnsi="宋体" w:eastAsia="宋体" w:cs="宋体"/>
          <w:color w:val="000000"/>
          <w:spacing w:val="2"/>
          <w:sz w:val="21"/>
          <w:szCs w:val="21"/>
        </w:rPr>
        <w:t>1</w:t>
      </w:r>
      <w:r>
        <w:rPr>
          <w:rFonts w:hint="eastAsia" w:ascii="宋体" w:hAnsi="宋体" w:eastAsia="宋体" w:cs="宋体"/>
          <w:color w:val="000000"/>
          <w:spacing w:val="-6"/>
          <w:sz w:val="21"/>
          <w:szCs w:val="21"/>
        </w:rPr>
        <w:t>、负责本项目的组织协商，配合乙方做好相关资料收集和准备工作。</w:t>
      </w:r>
      <w:r>
        <w:rPr>
          <w:rFonts w:hint="eastAsia" w:ascii="宋体" w:hAnsi="宋体" w:eastAsia="宋体" w:cs="宋体"/>
          <w:color w:val="000000"/>
          <w:spacing w:val="-6"/>
          <w:sz w:val="21"/>
          <w:szCs w:val="21"/>
        </w:rPr>
        <w:cr/>
      </w:r>
      <w:r>
        <w:rPr>
          <w:rFonts w:hint="eastAsia" w:ascii="宋体" w:hAnsi="宋体" w:eastAsia="宋体" w:cs="宋体"/>
          <w:color w:val="000000"/>
          <w:spacing w:val="2"/>
          <w:sz w:val="21"/>
          <w:szCs w:val="21"/>
        </w:rPr>
        <w:t>2</w:t>
      </w:r>
      <w:r>
        <w:rPr>
          <w:rFonts w:hint="eastAsia" w:ascii="宋体" w:hAnsi="宋体" w:eastAsia="宋体" w:cs="宋体"/>
          <w:color w:val="000000"/>
          <w:sz w:val="21"/>
          <w:szCs w:val="21"/>
        </w:rPr>
        <w:t xml:space="preserve">、足额向乙方支付经费。 </w:t>
      </w:r>
    </w:p>
    <w:p w14:paraId="4656D5DF">
      <w:pPr>
        <w:pStyle w:val="20"/>
        <w:ind w:firstLine="424"/>
        <w:rPr>
          <w:rFonts w:hint="eastAsia" w:ascii="宋体" w:hAnsi="宋体" w:eastAsia="宋体" w:cs="宋体"/>
          <w:sz w:val="21"/>
          <w:szCs w:val="21"/>
        </w:rPr>
      </w:pPr>
      <w:r>
        <w:rPr>
          <w:rFonts w:hint="eastAsia" w:ascii="宋体" w:hAnsi="宋体" w:eastAsia="宋体" w:cs="宋体"/>
          <w:color w:val="000000"/>
          <w:spacing w:val="1"/>
          <w:sz w:val="21"/>
          <w:szCs w:val="21"/>
        </w:rPr>
        <w:t>七、乙方义务</w:t>
      </w:r>
    </w:p>
    <w:p w14:paraId="56A73B30">
      <w:pPr>
        <w:spacing w:line="360" w:lineRule="auto"/>
        <w:ind w:left="559"/>
        <w:jc w:val="left"/>
        <w:rPr>
          <w:rFonts w:hint="eastAsia" w:ascii="宋体" w:hAnsi="宋体" w:cs="宋体"/>
          <w:color w:val="000000"/>
          <w:szCs w:val="21"/>
        </w:rPr>
      </w:pPr>
      <w:bookmarkStart w:id="271" w:name="br1_40"/>
      <w:bookmarkEnd w:id="271"/>
      <w:r>
        <w:rPr>
          <w:rFonts w:hint="eastAsia" w:ascii="宋体" w:hAnsi="宋体" w:cs="宋体"/>
          <w:color w:val="000000"/>
          <w:szCs w:val="21"/>
        </w:rPr>
        <w:t>严格按照甲方的委托要求独立开展工作，并保证及时高质量完成甲</w:t>
      </w:r>
    </w:p>
    <w:p w14:paraId="3FB68E7D">
      <w:pPr>
        <w:spacing w:before="170" w:line="360" w:lineRule="auto"/>
        <w:jc w:val="left"/>
        <w:rPr>
          <w:rFonts w:hint="eastAsia" w:ascii="宋体" w:hAnsi="宋体" w:cs="宋体"/>
          <w:color w:val="000000"/>
          <w:szCs w:val="21"/>
        </w:rPr>
      </w:pPr>
      <w:r>
        <w:rPr>
          <w:rFonts w:hint="eastAsia" w:ascii="宋体" w:hAnsi="宋体" w:cs="宋体"/>
          <w:color w:val="000000"/>
          <w:szCs w:val="21"/>
        </w:rPr>
        <w:t>方委托任务，具体事项有：</w:t>
      </w:r>
    </w:p>
    <w:p w14:paraId="5B7C282C">
      <w:pPr>
        <w:spacing w:before="168" w:line="360" w:lineRule="auto"/>
        <w:ind w:left="559"/>
        <w:jc w:val="left"/>
        <w:rPr>
          <w:rFonts w:hint="eastAsia" w:ascii="宋体" w:hAnsi="宋体" w:cs="宋体"/>
          <w:color w:val="000000"/>
          <w:szCs w:val="21"/>
        </w:rPr>
      </w:pPr>
      <w:r>
        <w:rPr>
          <w:rFonts w:hint="eastAsia" w:ascii="宋体" w:hAnsi="宋体" w:cs="宋体"/>
          <w:color w:val="000000"/>
          <w:spacing w:val="2"/>
          <w:szCs w:val="21"/>
        </w:rPr>
        <w:t>1</w:t>
      </w:r>
      <w:r>
        <w:rPr>
          <w:rFonts w:hint="eastAsia" w:ascii="宋体" w:hAnsi="宋体" w:cs="宋体"/>
          <w:color w:val="000000"/>
          <w:szCs w:val="21"/>
        </w:rPr>
        <w:t>、</w:t>
      </w:r>
    </w:p>
    <w:p w14:paraId="33BC52DF">
      <w:pPr>
        <w:spacing w:before="169" w:line="360" w:lineRule="auto"/>
        <w:ind w:left="559"/>
        <w:jc w:val="left"/>
        <w:rPr>
          <w:rFonts w:hint="eastAsia" w:ascii="宋体" w:hAnsi="宋体" w:cs="宋体"/>
          <w:color w:val="000000"/>
          <w:szCs w:val="21"/>
        </w:rPr>
      </w:pPr>
      <w:r>
        <w:rPr>
          <w:rFonts w:hint="eastAsia" w:ascii="宋体" w:hAnsi="宋体" w:cs="宋体"/>
          <w:color w:val="000000"/>
          <w:spacing w:val="2"/>
          <w:szCs w:val="21"/>
        </w:rPr>
        <w:t>2</w:t>
      </w:r>
      <w:r>
        <w:rPr>
          <w:rFonts w:hint="eastAsia" w:ascii="宋体" w:hAnsi="宋体" w:cs="宋体"/>
          <w:color w:val="000000"/>
          <w:szCs w:val="21"/>
        </w:rPr>
        <w:t>、</w:t>
      </w:r>
      <w:r>
        <w:rPr>
          <w:rFonts w:hint="eastAsia" w:ascii="宋体" w:hAnsi="宋体" w:cs="宋体"/>
          <w:color w:val="000000"/>
          <w:spacing w:val="202"/>
          <w:szCs w:val="21"/>
        </w:rPr>
        <w:t xml:space="preserve"> </w:t>
      </w:r>
      <w:r>
        <w:rPr>
          <w:rFonts w:hint="eastAsia" w:ascii="宋体" w:hAnsi="宋体" w:cs="宋体"/>
          <w:color w:val="000000"/>
          <w:spacing w:val="-78"/>
          <w:szCs w:val="21"/>
        </w:rPr>
        <w:t xml:space="preserve"> </w:t>
      </w:r>
      <w:r>
        <w:rPr>
          <w:rFonts w:hint="eastAsia" w:ascii="宋体" w:hAnsi="宋体" w:cs="宋体"/>
          <w:color w:val="000000"/>
          <w:spacing w:val="-9"/>
          <w:szCs w:val="21"/>
          <w:u w:val="single"/>
        </w:rPr>
        <w:t>（如有，另行协商）</w:t>
      </w:r>
      <w:r>
        <w:rPr>
          <w:rFonts w:hint="eastAsia" w:ascii="宋体" w:hAnsi="宋体" w:cs="宋体"/>
          <w:color w:val="000000"/>
          <w:spacing w:val="-74"/>
          <w:szCs w:val="21"/>
          <w:u w:val="single"/>
        </w:rPr>
        <w:t xml:space="preserve"> </w:t>
      </w:r>
      <w:r>
        <w:rPr>
          <w:rFonts w:hint="eastAsia" w:ascii="宋体" w:hAnsi="宋体" w:cs="宋体"/>
          <w:color w:val="000000"/>
          <w:szCs w:val="21"/>
        </w:rPr>
        <w:t>。</w:t>
      </w:r>
    </w:p>
    <w:p w14:paraId="3F0D7E38">
      <w:pPr>
        <w:spacing w:before="169" w:line="360" w:lineRule="auto"/>
        <w:ind w:left="562"/>
        <w:jc w:val="left"/>
        <w:rPr>
          <w:rFonts w:hint="eastAsia" w:ascii="宋体" w:hAnsi="宋体" w:cs="宋体"/>
          <w:color w:val="000000"/>
          <w:szCs w:val="21"/>
        </w:rPr>
      </w:pPr>
      <w:r>
        <w:rPr>
          <w:rFonts w:hint="eastAsia" w:ascii="宋体" w:hAnsi="宋体" w:cs="宋体"/>
          <w:color w:val="000000"/>
          <w:spacing w:val="1"/>
          <w:szCs w:val="21"/>
        </w:rPr>
        <w:t>八.</w:t>
      </w:r>
      <w:r>
        <w:rPr>
          <w:rFonts w:hint="eastAsia" w:ascii="宋体" w:hAnsi="宋体" w:cs="宋体"/>
          <w:color w:val="000000"/>
          <w:spacing w:val="5"/>
          <w:szCs w:val="21"/>
        </w:rPr>
        <w:t xml:space="preserve"> </w:t>
      </w:r>
      <w:r>
        <w:rPr>
          <w:rFonts w:hint="eastAsia" w:ascii="宋体" w:hAnsi="宋体" w:cs="宋体"/>
          <w:color w:val="000000"/>
          <w:spacing w:val="4"/>
          <w:szCs w:val="21"/>
        </w:rPr>
        <w:t>本合同涉及的本项目成果的所有权、使用权和著作权归甲方所</w:t>
      </w:r>
      <w:r>
        <w:rPr>
          <w:rFonts w:hint="eastAsia" w:ascii="宋体" w:hAnsi="宋体" w:cs="宋体"/>
          <w:color w:val="000000"/>
          <w:spacing w:val="1"/>
          <w:szCs w:val="21"/>
        </w:rPr>
        <w:t>有。</w:t>
      </w:r>
    </w:p>
    <w:p w14:paraId="5ADDC81B">
      <w:pPr>
        <w:spacing w:before="170" w:line="360" w:lineRule="auto"/>
        <w:ind w:left="562"/>
        <w:jc w:val="left"/>
        <w:rPr>
          <w:rFonts w:hint="default" w:ascii="宋体" w:hAnsi="宋体" w:eastAsia="宋体" w:cs="宋体"/>
          <w:color w:val="000000"/>
          <w:spacing w:val="1"/>
          <w:szCs w:val="21"/>
          <w:lang w:val="en-US" w:eastAsia="zh-CN"/>
        </w:rPr>
      </w:pPr>
      <w:r>
        <w:rPr>
          <w:rFonts w:hint="eastAsia" w:ascii="宋体" w:hAnsi="宋体" w:cs="宋体"/>
          <w:color w:val="000000"/>
          <w:spacing w:val="1"/>
          <w:szCs w:val="21"/>
        </w:rPr>
        <w:t>九．履约保证金</w:t>
      </w:r>
      <w:r>
        <w:rPr>
          <w:rFonts w:hint="eastAsia" w:ascii="宋体" w:hAnsi="宋体" w:cs="宋体"/>
          <w:color w:val="000000"/>
          <w:spacing w:val="1"/>
          <w:szCs w:val="21"/>
          <w:lang w:eastAsia="zh-CN"/>
        </w:rPr>
        <w:t>：</w:t>
      </w:r>
      <w:r>
        <w:rPr>
          <w:rFonts w:hint="eastAsia" w:ascii="宋体" w:hAnsi="宋体" w:cs="宋体"/>
          <w:color w:val="000000"/>
          <w:spacing w:val="1"/>
          <w:szCs w:val="21"/>
          <w:lang w:val="en-US" w:eastAsia="zh-CN"/>
        </w:rPr>
        <w:t>无</w:t>
      </w:r>
    </w:p>
    <w:p w14:paraId="3A5971EB">
      <w:pPr>
        <w:spacing w:before="170" w:line="360" w:lineRule="auto"/>
        <w:ind w:left="562"/>
        <w:jc w:val="left"/>
        <w:rPr>
          <w:rFonts w:hint="eastAsia" w:ascii="宋体" w:hAnsi="宋体" w:cs="宋体"/>
          <w:color w:val="000000"/>
          <w:szCs w:val="21"/>
        </w:rPr>
      </w:pPr>
      <w:r>
        <w:rPr>
          <w:rFonts w:hint="eastAsia" w:ascii="宋体" w:hAnsi="宋体" w:cs="宋体"/>
          <w:color w:val="000000"/>
          <w:spacing w:val="1"/>
          <w:szCs w:val="21"/>
        </w:rPr>
        <w:t>十．不可抗力</w:t>
      </w:r>
    </w:p>
    <w:p w14:paraId="5B017B56">
      <w:pPr>
        <w:spacing w:before="170" w:line="360" w:lineRule="auto"/>
        <w:ind w:left="559"/>
        <w:jc w:val="left"/>
        <w:rPr>
          <w:rFonts w:hint="eastAsia" w:ascii="宋体" w:hAnsi="宋体" w:cs="宋体"/>
          <w:color w:val="000000"/>
          <w:szCs w:val="21"/>
        </w:rPr>
      </w:pPr>
      <w:r>
        <w:rPr>
          <w:rFonts w:hint="eastAsia" w:ascii="宋体" w:hAnsi="宋体" w:cs="宋体"/>
          <w:color w:val="000000"/>
          <w:spacing w:val="3"/>
          <w:szCs w:val="21"/>
        </w:rPr>
        <w:t>1.</w:t>
      </w:r>
      <w:r>
        <w:rPr>
          <w:rFonts w:hint="eastAsia" w:ascii="宋体" w:hAnsi="宋体" w:cs="宋体"/>
          <w:color w:val="000000"/>
          <w:spacing w:val="4"/>
          <w:szCs w:val="21"/>
        </w:rPr>
        <w:t>签约双方任一方由于受诸如战争、严重火灾、洪水、台风、地震</w:t>
      </w:r>
      <w:r>
        <w:rPr>
          <w:rFonts w:hint="eastAsia" w:ascii="宋体" w:hAnsi="宋体" w:cs="宋体"/>
          <w:color w:val="000000"/>
          <w:spacing w:val="-1"/>
          <w:szCs w:val="21"/>
        </w:rPr>
        <w:t>等不可抗力事故的影响而不能执行合同时，履行合同的期限应予以延长，</w:t>
      </w:r>
      <w:r>
        <w:rPr>
          <w:rFonts w:hint="eastAsia" w:ascii="宋体" w:hAnsi="宋体" w:cs="宋体"/>
          <w:color w:val="000000"/>
          <w:szCs w:val="21"/>
        </w:rPr>
        <w:t>延长的期限应相当于事故所影响的时间。</w:t>
      </w:r>
    </w:p>
    <w:p w14:paraId="5BF25DA7">
      <w:pPr>
        <w:spacing w:before="170" w:line="360" w:lineRule="auto"/>
        <w:ind w:left="559"/>
        <w:jc w:val="left"/>
        <w:rPr>
          <w:rFonts w:hint="eastAsia" w:ascii="宋体" w:hAnsi="宋体" w:cs="宋体"/>
          <w:color w:val="000000"/>
          <w:szCs w:val="21"/>
        </w:rPr>
      </w:pPr>
      <w:r>
        <w:rPr>
          <w:rFonts w:hint="eastAsia" w:ascii="宋体" w:hAnsi="宋体" w:cs="宋体"/>
          <w:color w:val="000000"/>
          <w:spacing w:val="3"/>
          <w:szCs w:val="21"/>
        </w:rPr>
        <w:t>2.</w:t>
      </w:r>
      <w:r>
        <w:rPr>
          <w:rFonts w:hint="eastAsia" w:ascii="宋体" w:hAnsi="宋体" w:cs="宋体"/>
          <w:color w:val="000000"/>
          <w:spacing w:val="4"/>
          <w:szCs w:val="21"/>
        </w:rPr>
        <w:t>受阻一方应在不可抗力事故发生后尽快用电报、传真或电传通知</w:t>
      </w:r>
      <w:r>
        <w:rPr>
          <w:rFonts w:hint="eastAsia" w:ascii="宋体" w:hAnsi="宋体" w:cs="宋体"/>
          <w:color w:val="000000"/>
          <w:spacing w:val="-3"/>
          <w:szCs w:val="21"/>
        </w:rPr>
        <w:t>对方，并于事故发生后</w:t>
      </w:r>
      <w:r>
        <w:rPr>
          <w:rFonts w:hint="eastAsia" w:ascii="宋体" w:hAnsi="宋体" w:cs="宋体"/>
          <w:color w:val="000000"/>
          <w:spacing w:val="4"/>
          <w:szCs w:val="21"/>
        </w:rPr>
        <w:t xml:space="preserve"> </w:t>
      </w:r>
      <w:r>
        <w:rPr>
          <w:rFonts w:hint="eastAsia" w:ascii="宋体" w:hAnsi="宋体" w:cs="宋体"/>
          <w:color w:val="000000"/>
          <w:szCs w:val="21"/>
        </w:rPr>
        <w:t>天内将有关当局出具的证明文件用特快专递寄给</w:t>
      </w:r>
      <w:r>
        <w:rPr>
          <w:rFonts w:hint="eastAsia" w:ascii="宋体" w:hAnsi="宋体" w:cs="宋体"/>
          <w:color w:val="000000"/>
          <w:spacing w:val="-3"/>
          <w:szCs w:val="21"/>
        </w:rPr>
        <w:t>对方审阅确认。一旦不可抗力事故的影响持续</w:t>
      </w:r>
      <w:r>
        <w:rPr>
          <w:rFonts w:hint="eastAsia" w:ascii="宋体" w:hAnsi="宋体" w:cs="宋体"/>
          <w:color w:val="000000"/>
          <w:spacing w:val="144"/>
          <w:szCs w:val="21"/>
          <w:u w:val="single"/>
        </w:rPr>
        <w:t xml:space="preserve"> </w:t>
      </w:r>
      <w:r>
        <w:rPr>
          <w:rFonts w:hint="eastAsia" w:ascii="宋体" w:hAnsi="宋体" w:cs="宋体"/>
          <w:color w:val="000000"/>
          <w:spacing w:val="-11"/>
          <w:szCs w:val="21"/>
        </w:rPr>
        <w:t>天以上，双方（或三方）</w:t>
      </w:r>
      <w:r>
        <w:rPr>
          <w:rFonts w:hint="eastAsia" w:ascii="宋体" w:hAnsi="宋体" w:cs="宋体"/>
          <w:color w:val="000000"/>
          <w:szCs w:val="21"/>
        </w:rPr>
        <w:t>应通过友好协商在合理的时间内达成是否继续履行合同的协议。</w:t>
      </w:r>
    </w:p>
    <w:p w14:paraId="00C47B57">
      <w:pPr>
        <w:spacing w:before="168" w:line="360" w:lineRule="auto"/>
        <w:ind w:left="562"/>
        <w:jc w:val="left"/>
        <w:rPr>
          <w:rFonts w:hint="eastAsia" w:ascii="宋体" w:hAnsi="宋体" w:cs="宋体"/>
          <w:color w:val="000000"/>
          <w:szCs w:val="21"/>
        </w:rPr>
      </w:pPr>
      <w:r>
        <w:rPr>
          <w:rFonts w:hint="eastAsia" w:ascii="宋体" w:hAnsi="宋体" w:cs="宋体"/>
          <w:color w:val="000000"/>
          <w:spacing w:val="1"/>
          <w:szCs w:val="21"/>
        </w:rPr>
        <w:t>十一．税费</w:t>
      </w:r>
    </w:p>
    <w:p w14:paraId="00D7F807">
      <w:pPr>
        <w:spacing w:before="170" w:line="360" w:lineRule="auto"/>
        <w:ind w:left="559"/>
        <w:jc w:val="left"/>
        <w:rPr>
          <w:rFonts w:hint="eastAsia" w:ascii="宋体" w:hAnsi="宋体" w:cs="宋体"/>
          <w:color w:val="000000"/>
          <w:szCs w:val="21"/>
        </w:rPr>
      </w:pPr>
      <w:r>
        <w:rPr>
          <w:rFonts w:hint="eastAsia" w:ascii="宋体" w:hAnsi="宋体" w:cs="宋体"/>
          <w:color w:val="000000"/>
          <w:szCs w:val="21"/>
        </w:rPr>
        <w:t>1.与履行本合同有关的一切税费，由乙方承担。</w:t>
      </w:r>
    </w:p>
    <w:p w14:paraId="2C5FC837">
      <w:pPr>
        <w:spacing w:before="170" w:line="360" w:lineRule="auto"/>
        <w:ind w:left="562"/>
        <w:jc w:val="left"/>
        <w:rPr>
          <w:rFonts w:hint="eastAsia" w:ascii="宋体" w:hAnsi="宋体" w:cs="宋体"/>
          <w:color w:val="000000"/>
          <w:szCs w:val="21"/>
        </w:rPr>
      </w:pPr>
      <w:r>
        <w:rPr>
          <w:rFonts w:hint="eastAsia" w:ascii="宋体" w:hAnsi="宋体" w:cs="宋体"/>
          <w:color w:val="000000"/>
          <w:spacing w:val="1"/>
          <w:szCs w:val="21"/>
        </w:rPr>
        <w:t>十二．争议</w:t>
      </w:r>
    </w:p>
    <w:p w14:paraId="336E5AE1">
      <w:pPr>
        <w:snapToGrid w:val="0"/>
        <w:spacing w:line="360" w:lineRule="auto"/>
        <w:ind w:firstLine="492" w:firstLineChars="200"/>
        <w:outlineLvl w:val="0"/>
        <w:rPr>
          <w:rFonts w:hint="eastAsia" w:ascii="宋体" w:hAnsi="宋体" w:cs="宋体"/>
          <w:b/>
          <w:szCs w:val="21"/>
        </w:rPr>
      </w:pPr>
      <w:r>
        <w:rPr>
          <w:rFonts w:hint="eastAsia" w:ascii="宋体" w:hAnsi="宋体" w:cs="宋体"/>
          <w:color w:val="000000"/>
          <w:spacing w:val="3"/>
          <w:szCs w:val="21"/>
        </w:rPr>
        <w:t>1.</w:t>
      </w:r>
      <w:r>
        <w:rPr>
          <w:rFonts w:hint="eastAsia" w:ascii="宋体" w:hAnsi="宋体" w:cs="宋体"/>
          <w:color w:val="000000"/>
          <w:spacing w:val="4"/>
          <w:szCs w:val="21"/>
        </w:rPr>
        <w:t>在执行本合同中发生的或与本合同有关的争端，双方应通过友好</w:t>
      </w:r>
      <w:r>
        <w:rPr>
          <w:rFonts w:hint="eastAsia" w:ascii="宋体" w:hAnsi="宋体" w:cs="宋体"/>
          <w:color w:val="000000"/>
          <w:spacing w:val="3"/>
          <w:szCs w:val="21"/>
        </w:rPr>
        <w:t>协商解决。经协商不能达成协议时，可向泰兴市仲裁委员会按其仲裁规</w:t>
      </w:r>
      <w:r>
        <w:rPr>
          <w:rFonts w:hint="eastAsia" w:ascii="宋体" w:hAnsi="宋体" w:cs="宋体"/>
          <w:color w:val="000000"/>
          <w:szCs w:val="21"/>
        </w:rPr>
        <w:t>则申请仲裁。仲裁不成功，向合同签约地的人民法院提请诉讼。</w:t>
      </w:r>
      <w:r>
        <w:rPr>
          <w:rFonts w:hint="eastAsia" w:ascii="宋体" w:hAnsi="宋体" w:cs="宋体"/>
          <w:color w:val="000000"/>
          <w:szCs w:val="21"/>
        </w:rPr>
        <w:cr/>
      </w:r>
      <w:r>
        <w:rPr>
          <w:rFonts w:hint="eastAsia" w:ascii="宋体" w:hAnsi="宋体" w:cs="宋体"/>
          <w:color w:val="000000"/>
          <w:szCs w:val="21"/>
          <w:lang w:val="en-US" w:eastAsia="zh-CN"/>
        </w:rPr>
        <w:t xml:space="preserve">  </w:t>
      </w:r>
      <w:r>
        <w:rPr>
          <w:rFonts w:hint="eastAsia" w:ascii="宋体" w:hAnsi="宋体" w:cs="宋体"/>
          <w:color w:val="000000"/>
          <w:szCs w:val="21"/>
        </w:rPr>
        <w:t>2.在仲裁和诉讼期间，双方应继续履行争议部分以外的合同内容。</w:t>
      </w:r>
      <w:r>
        <w:rPr>
          <w:rFonts w:hint="eastAsia" w:ascii="宋体" w:hAnsi="宋体" w:cs="宋体"/>
          <w:color w:val="000000"/>
          <w:szCs w:val="21"/>
        </w:rPr>
        <w:cr/>
      </w:r>
      <w:r>
        <w:rPr>
          <w:rFonts w:hint="eastAsia" w:ascii="宋体" w:hAnsi="宋体" w:cs="宋体"/>
          <w:color w:val="000000"/>
          <w:szCs w:val="21"/>
          <w:lang w:val="en-US" w:eastAsia="zh-CN"/>
        </w:rPr>
        <w:t xml:space="preserve">     </w:t>
      </w:r>
      <w:r>
        <w:rPr>
          <w:rFonts w:hint="eastAsia" w:ascii="宋体" w:hAnsi="宋体" w:cs="宋体"/>
          <w:color w:val="000000"/>
          <w:spacing w:val="1"/>
          <w:szCs w:val="21"/>
        </w:rPr>
        <w:t>十三．违约终止合同</w:t>
      </w:r>
    </w:p>
    <w:p w14:paraId="30D3401D">
      <w:pPr>
        <w:spacing w:line="360" w:lineRule="auto"/>
        <w:ind w:left="559"/>
        <w:jc w:val="left"/>
        <w:rPr>
          <w:rFonts w:hint="eastAsia" w:ascii="宋体" w:hAnsi="宋体" w:cs="宋体"/>
          <w:color w:val="000000"/>
          <w:szCs w:val="21"/>
        </w:rPr>
      </w:pPr>
      <w:r>
        <w:rPr>
          <w:rFonts w:hint="eastAsia" w:ascii="宋体" w:hAnsi="宋体" w:cs="宋体"/>
          <w:color w:val="000000"/>
          <w:szCs w:val="21"/>
        </w:rPr>
        <w:t>1</w:t>
      </w:r>
      <w:bookmarkStart w:id="272" w:name="br1_42"/>
      <w:bookmarkEnd w:id="272"/>
      <w:r>
        <w:rPr>
          <w:rFonts w:hint="eastAsia" w:ascii="宋体" w:hAnsi="宋体" w:cs="宋体"/>
          <w:color w:val="000000"/>
          <w:spacing w:val="1"/>
          <w:szCs w:val="21"/>
        </w:rPr>
        <w:t xml:space="preserve"> </w:t>
      </w:r>
      <w:r>
        <w:rPr>
          <w:rFonts w:hint="eastAsia" w:ascii="宋体" w:hAnsi="宋体" w:cs="宋体"/>
          <w:color w:val="000000"/>
          <w:szCs w:val="21"/>
        </w:rPr>
        <w:t>.违约责任</w:t>
      </w:r>
    </w:p>
    <w:p w14:paraId="3E2870AD">
      <w:pPr>
        <w:spacing w:before="170" w:line="360" w:lineRule="auto"/>
        <w:ind w:left="559"/>
        <w:jc w:val="left"/>
        <w:rPr>
          <w:rFonts w:hint="eastAsia" w:ascii="宋体" w:hAnsi="宋体" w:cs="宋体"/>
          <w:color w:val="000000"/>
          <w:szCs w:val="21"/>
        </w:rPr>
      </w:pPr>
      <w:r>
        <w:rPr>
          <w:rFonts w:hint="eastAsia" w:ascii="宋体" w:hAnsi="宋体" w:cs="宋体"/>
          <w:color w:val="000000"/>
          <w:szCs w:val="21"/>
        </w:rPr>
        <w:t>有下列情况之一的，甲方有权终止协议：</w:t>
      </w:r>
    </w:p>
    <w:p w14:paraId="077405D7">
      <w:pPr>
        <w:spacing w:before="168" w:line="360" w:lineRule="auto"/>
        <w:ind w:left="559"/>
        <w:jc w:val="left"/>
        <w:rPr>
          <w:rFonts w:hint="eastAsia" w:ascii="宋体" w:hAnsi="宋体" w:cs="宋体"/>
          <w:color w:val="000000"/>
          <w:szCs w:val="21"/>
        </w:rPr>
      </w:pPr>
      <w:r>
        <w:rPr>
          <w:rFonts w:hint="eastAsia" w:ascii="宋体" w:hAnsi="宋体" w:cs="宋体"/>
          <w:color w:val="000000"/>
          <w:szCs w:val="21"/>
        </w:rPr>
        <w:t>1.1</w:t>
      </w:r>
      <w:r>
        <w:rPr>
          <w:rFonts w:hint="eastAsia" w:ascii="宋体" w:hAnsi="宋体" w:cs="宋体"/>
          <w:color w:val="000000"/>
          <w:spacing w:val="3"/>
          <w:szCs w:val="21"/>
        </w:rPr>
        <w:t xml:space="preserve"> </w:t>
      </w:r>
      <w:r>
        <w:rPr>
          <w:rFonts w:hint="eastAsia" w:ascii="宋体" w:hAnsi="宋体" w:cs="宋体"/>
          <w:color w:val="000000"/>
          <w:spacing w:val="4"/>
          <w:szCs w:val="21"/>
        </w:rPr>
        <w:t>乙方未能按上级要求造成结果失真或未能按进保质完成甲方委</w:t>
      </w:r>
      <w:r>
        <w:rPr>
          <w:rFonts w:hint="eastAsia" w:ascii="宋体" w:hAnsi="宋体" w:cs="宋体"/>
          <w:color w:val="000000"/>
          <w:szCs w:val="21"/>
        </w:rPr>
        <w:t>托任务的。</w:t>
      </w:r>
    </w:p>
    <w:p w14:paraId="33640389">
      <w:pPr>
        <w:spacing w:before="170" w:line="360" w:lineRule="auto"/>
        <w:ind w:left="559"/>
        <w:jc w:val="left"/>
        <w:rPr>
          <w:rFonts w:hint="eastAsia" w:ascii="宋体" w:hAnsi="宋体" w:cs="宋体"/>
          <w:color w:val="000000"/>
          <w:szCs w:val="21"/>
        </w:rPr>
      </w:pPr>
      <w:r>
        <w:rPr>
          <w:rFonts w:hint="eastAsia" w:ascii="宋体" w:hAnsi="宋体" w:cs="宋体"/>
          <w:color w:val="000000"/>
          <w:spacing w:val="1"/>
          <w:szCs w:val="21"/>
        </w:rPr>
        <w:t>1.2</w:t>
      </w:r>
      <w:r>
        <w:rPr>
          <w:rFonts w:hint="eastAsia" w:ascii="宋体" w:hAnsi="宋体" w:cs="宋体"/>
          <w:color w:val="000000"/>
          <w:szCs w:val="21"/>
        </w:rPr>
        <w:t>乙方违反从业道德，影响甲方声誉或投诉查实的。</w:t>
      </w:r>
    </w:p>
    <w:p w14:paraId="5890EE77">
      <w:pPr>
        <w:spacing w:before="168" w:line="360" w:lineRule="auto"/>
        <w:ind w:left="559"/>
        <w:jc w:val="left"/>
        <w:rPr>
          <w:rFonts w:hint="eastAsia" w:ascii="宋体" w:hAnsi="宋体" w:cs="宋体"/>
          <w:color w:val="000000"/>
          <w:szCs w:val="21"/>
        </w:rPr>
      </w:pPr>
      <w:r>
        <w:rPr>
          <w:rFonts w:hint="eastAsia" w:ascii="宋体" w:hAnsi="宋体" w:cs="宋体"/>
          <w:color w:val="000000"/>
          <w:szCs w:val="21"/>
        </w:rPr>
        <w:t>2.因解除而终止</w:t>
      </w:r>
    </w:p>
    <w:p w14:paraId="3CFF5F5C">
      <w:pPr>
        <w:spacing w:before="170" w:line="360" w:lineRule="auto"/>
        <w:ind w:left="559"/>
        <w:jc w:val="left"/>
        <w:rPr>
          <w:rFonts w:hint="eastAsia" w:ascii="宋体" w:hAnsi="宋体" w:cs="宋体"/>
          <w:color w:val="000000"/>
          <w:szCs w:val="21"/>
        </w:rPr>
      </w:pPr>
      <w:r>
        <w:rPr>
          <w:rFonts w:hint="eastAsia" w:ascii="宋体" w:hAnsi="宋体" w:cs="宋体"/>
          <w:color w:val="000000"/>
          <w:szCs w:val="21"/>
        </w:rPr>
        <w:t>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w:t>
      </w:r>
      <w:r>
        <w:rPr>
          <w:rFonts w:hint="eastAsia" w:ascii="宋体" w:hAnsi="宋体" w:cs="宋体"/>
          <w:color w:val="000000"/>
          <w:spacing w:val="1"/>
          <w:szCs w:val="21"/>
        </w:rPr>
        <w:t>任。</w:t>
      </w:r>
    </w:p>
    <w:p w14:paraId="26A263C5">
      <w:pPr>
        <w:spacing w:before="168" w:line="360" w:lineRule="auto"/>
        <w:ind w:left="559"/>
        <w:jc w:val="left"/>
        <w:rPr>
          <w:rFonts w:hint="eastAsia" w:ascii="宋体" w:hAnsi="宋体" w:cs="宋体"/>
          <w:color w:val="000000"/>
          <w:szCs w:val="21"/>
        </w:rPr>
      </w:pPr>
      <w:r>
        <w:rPr>
          <w:rFonts w:hint="eastAsia" w:ascii="宋体" w:hAnsi="宋体" w:cs="宋体"/>
          <w:color w:val="000000"/>
          <w:szCs w:val="21"/>
        </w:rPr>
        <w:t>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w:t>
      </w:r>
      <w:r>
        <w:rPr>
          <w:rFonts w:hint="eastAsia" w:ascii="宋体" w:hAnsi="宋体" w:cs="宋体"/>
          <w:color w:val="000000"/>
          <w:spacing w:val="1"/>
          <w:szCs w:val="21"/>
        </w:rPr>
        <w:t>任。</w:t>
      </w:r>
    </w:p>
    <w:p w14:paraId="40D6031A">
      <w:pPr>
        <w:spacing w:before="170" w:line="360" w:lineRule="auto"/>
        <w:ind w:left="559"/>
        <w:jc w:val="left"/>
        <w:rPr>
          <w:rFonts w:hint="eastAsia" w:ascii="宋体" w:hAnsi="宋体" w:cs="宋体"/>
          <w:color w:val="000000"/>
          <w:szCs w:val="21"/>
        </w:rPr>
      </w:pPr>
      <w:r>
        <w:rPr>
          <w:rFonts w:hint="eastAsia" w:ascii="宋体" w:hAnsi="宋体" w:cs="宋体"/>
          <w:color w:val="000000"/>
          <w:szCs w:val="21"/>
        </w:rPr>
        <w:t>2.3合同一方依本合同约定行使解除权的，合同自解除通知送达另一方之日起终止。违约方应当按本合同约定支付违约金或赔偿损失。</w:t>
      </w:r>
    </w:p>
    <w:p w14:paraId="722A1542">
      <w:pPr>
        <w:spacing w:before="170" w:line="360" w:lineRule="auto"/>
        <w:ind w:left="559"/>
        <w:jc w:val="left"/>
        <w:rPr>
          <w:rFonts w:hint="eastAsia" w:ascii="宋体" w:hAnsi="宋体" w:cs="宋体"/>
          <w:color w:val="000000"/>
          <w:szCs w:val="21"/>
        </w:rPr>
      </w:pPr>
      <w:r>
        <w:rPr>
          <w:rFonts w:hint="eastAsia" w:ascii="宋体" w:hAnsi="宋体" w:cs="宋体"/>
          <w:color w:val="000000"/>
          <w:szCs w:val="21"/>
        </w:rPr>
        <w:t>2.4合同终止后，不妨碍守约方向违约方追究违约责任。</w:t>
      </w:r>
    </w:p>
    <w:p w14:paraId="3CEC0AA2">
      <w:pPr>
        <w:spacing w:before="171" w:line="360" w:lineRule="auto"/>
        <w:ind w:left="559"/>
        <w:jc w:val="left"/>
        <w:rPr>
          <w:rFonts w:hint="eastAsia" w:ascii="宋体" w:hAnsi="宋体" w:cs="宋体"/>
          <w:color w:val="000000"/>
          <w:szCs w:val="21"/>
        </w:rPr>
      </w:pPr>
      <w:r>
        <w:rPr>
          <w:rFonts w:hint="eastAsia" w:ascii="宋体" w:hAnsi="宋体" w:cs="宋体"/>
          <w:color w:val="000000"/>
          <w:szCs w:val="21"/>
        </w:rPr>
        <w:t>3.甲方未能按规定时限支付评估经费的，每延迟一天，按应付金额的0.1%对乙方进行违约赔偿。</w:t>
      </w:r>
    </w:p>
    <w:p w14:paraId="5C7F4090">
      <w:pPr>
        <w:spacing w:before="170" w:line="360" w:lineRule="auto"/>
        <w:ind w:left="562"/>
        <w:jc w:val="left"/>
        <w:rPr>
          <w:rFonts w:hint="eastAsia" w:ascii="宋体" w:hAnsi="宋体" w:cs="宋体"/>
          <w:color w:val="000000"/>
          <w:szCs w:val="21"/>
        </w:rPr>
      </w:pPr>
      <w:r>
        <w:rPr>
          <w:rFonts w:hint="eastAsia" w:ascii="宋体" w:hAnsi="宋体" w:cs="宋体"/>
          <w:color w:val="000000"/>
          <w:spacing w:val="1"/>
          <w:szCs w:val="21"/>
        </w:rPr>
        <w:t>十四．变更指示</w:t>
      </w:r>
    </w:p>
    <w:p w14:paraId="6A22783D">
      <w:pPr>
        <w:spacing w:before="2" w:line="360" w:lineRule="auto"/>
        <w:ind w:firstLine="480" w:firstLineChars="200"/>
        <w:jc w:val="left"/>
        <w:rPr>
          <w:rFonts w:hint="eastAsia" w:ascii="宋体" w:hAnsi="宋体" w:cs="宋体"/>
          <w:color w:val="000000"/>
          <w:szCs w:val="21"/>
        </w:rPr>
      </w:pPr>
      <w:r>
        <w:rPr>
          <w:rFonts w:hint="eastAsia" w:ascii="宋体" w:hAnsi="宋体" w:cs="宋体"/>
          <w:color w:val="000000"/>
          <w:szCs w:val="21"/>
        </w:rPr>
        <w:t>1.甲方有权根据实际需要，在《政府采购法》允许的范围内提出变</w:t>
      </w:r>
      <w:r>
        <w:rPr>
          <w:rFonts w:hint="eastAsia" w:ascii="宋体" w:hAnsi="宋体" w:cs="宋体"/>
          <w:color w:val="000000"/>
          <w:spacing w:val="1"/>
          <w:szCs w:val="21"/>
        </w:rPr>
        <w:t>更要求。</w:t>
      </w:r>
    </w:p>
    <w:p w14:paraId="2175C823">
      <w:pPr>
        <w:spacing w:line="360" w:lineRule="auto"/>
        <w:ind w:firstLine="480" w:firstLineChars="200"/>
        <w:jc w:val="left"/>
        <w:rPr>
          <w:rFonts w:hint="eastAsia" w:ascii="宋体" w:hAnsi="宋体" w:cs="宋体"/>
          <w:color w:val="000000"/>
          <w:szCs w:val="21"/>
        </w:rPr>
      </w:pPr>
      <w:r>
        <w:rPr>
          <w:rFonts w:hint="eastAsia" w:ascii="宋体" w:hAnsi="宋体" w:cs="宋体"/>
          <w:color w:val="000000"/>
          <w:szCs w:val="21"/>
        </w:rPr>
        <w:t>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w:t>
      </w:r>
      <w:r>
        <w:rPr>
          <w:rFonts w:hint="eastAsia" w:ascii="宋体" w:hAnsi="宋体" w:cs="宋体"/>
          <w:color w:val="000000"/>
          <w:spacing w:val="1"/>
          <w:szCs w:val="21"/>
        </w:rPr>
        <w:t>施意见。</w:t>
      </w:r>
    </w:p>
    <w:p w14:paraId="12759D11">
      <w:pPr>
        <w:spacing w:before="170" w:line="360" w:lineRule="auto"/>
        <w:ind w:left="562"/>
        <w:jc w:val="left"/>
        <w:rPr>
          <w:rFonts w:hint="eastAsia" w:ascii="宋体" w:hAnsi="宋体" w:cs="宋体"/>
          <w:color w:val="000000"/>
          <w:szCs w:val="21"/>
        </w:rPr>
      </w:pPr>
      <w:r>
        <w:rPr>
          <w:rFonts w:hint="eastAsia" w:ascii="宋体" w:hAnsi="宋体" w:cs="宋体"/>
          <w:color w:val="000000"/>
          <w:spacing w:val="1"/>
          <w:szCs w:val="21"/>
        </w:rPr>
        <w:t>十五．合同修改</w:t>
      </w:r>
    </w:p>
    <w:p w14:paraId="520E8B4F">
      <w:pPr>
        <w:spacing w:before="168" w:line="360" w:lineRule="auto"/>
        <w:ind w:left="559"/>
        <w:jc w:val="left"/>
        <w:rPr>
          <w:rFonts w:hint="eastAsia" w:ascii="宋体" w:hAnsi="宋体" w:cs="宋体"/>
          <w:color w:val="000000"/>
          <w:szCs w:val="21"/>
        </w:rPr>
      </w:pPr>
      <w:r>
        <w:rPr>
          <w:rFonts w:hint="eastAsia" w:ascii="宋体" w:hAnsi="宋体" w:cs="宋体"/>
          <w:color w:val="000000"/>
          <w:szCs w:val="21"/>
        </w:rPr>
        <w:t>1.对合同条款作出任何改动或偏离，均须甲乙双方签署书面的合同</w:t>
      </w:r>
      <w:r>
        <w:rPr>
          <w:rFonts w:hint="eastAsia" w:ascii="宋体" w:hAnsi="宋体" w:cs="宋体"/>
          <w:color w:val="000000"/>
          <w:spacing w:val="1"/>
          <w:szCs w:val="21"/>
        </w:rPr>
        <w:t>修改书。</w:t>
      </w:r>
    </w:p>
    <w:p w14:paraId="7653F99D">
      <w:pPr>
        <w:spacing w:before="170" w:line="360" w:lineRule="auto"/>
        <w:ind w:left="562"/>
        <w:jc w:val="left"/>
        <w:rPr>
          <w:rFonts w:hint="eastAsia" w:ascii="宋体" w:hAnsi="宋体" w:cs="宋体"/>
          <w:color w:val="000000"/>
          <w:szCs w:val="21"/>
        </w:rPr>
      </w:pPr>
      <w:r>
        <w:rPr>
          <w:rFonts w:hint="eastAsia" w:ascii="宋体" w:hAnsi="宋体" w:cs="宋体"/>
          <w:color w:val="000000"/>
          <w:spacing w:val="1"/>
          <w:szCs w:val="21"/>
        </w:rPr>
        <w:t>十六．适用法律</w:t>
      </w:r>
    </w:p>
    <w:p w14:paraId="147F97B7">
      <w:pPr>
        <w:spacing w:before="168" w:line="360" w:lineRule="auto"/>
        <w:ind w:left="559"/>
        <w:jc w:val="left"/>
        <w:rPr>
          <w:rFonts w:hint="eastAsia" w:ascii="宋体" w:hAnsi="宋体" w:cs="宋体"/>
          <w:color w:val="000000"/>
          <w:szCs w:val="21"/>
        </w:rPr>
      </w:pPr>
      <w:r>
        <w:rPr>
          <w:rFonts w:hint="eastAsia" w:ascii="宋体" w:hAnsi="宋体" w:cs="宋体"/>
          <w:color w:val="000000"/>
          <w:szCs w:val="21"/>
        </w:rPr>
        <w:t>l.本合同应按中华人民共和国的法律解释。</w:t>
      </w:r>
    </w:p>
    <w:p w14:paraId="22BB9243">
      <w:pPr>
        <w:spacing w:before="170" w:line="360" w:lineRule="auto"/>
        <w:ind w:left="562"/>
        <w:jc w:val="left"/>
        <w:rPr>
          <w:rFonts w:hint="eastAsia" w:ascii="宋体" w:hAnsi="宋体" w:cs="宋体"/>
          <w:color w:val="000000"/>
          <w:szCs w:val="21"/>
        </w:rPr>
      </w:pPr>
      <w:r>
        <w:rPr>
          <w:rFonts w:hint="eastAsia" w:ascii="宋体" w:hAnsi="宋体" w:cs="宋体"/>
          <w:color w:val="000000"/>
          <w:spacing w:val="1"/>
          <w:szCs w:val="21"/>
        </w:rPr>
        <w:t>十七．语言与计量单位</w:t>
      </w:r>
    </w:p>
    <w:p w14:paraId="5A151F7E">
      <w:pPr>
        <w:spacing w:before="170" w:line="360" w:lineRule="auto"/>
        <w:ind w:left="559"/>
        <w:jc w:val="left"/>
        <w:rPr>
          <w:rFonts w:hint="eastAsia" w:ascii="宋体" w:hAnsi="宋体" w:cs="宋体"/>
          <w:color w:val="000000"/>
          <w:szCs w:val="21"/>
        </w:rPr>
      </w:pPr>
      <w:r>
        <w:rPr>
          <w:rFonts w:hint="eastAsia" w:ascii="宋体" w:hAnsi="宋体" w:cs="宋体"/>
          <w:color w:val="000000"/>
          <w:szCs w:val="21"/>
        </w:rPr>
        <w:t>1.合同书写应用中文。甲乙双方所有的来往函电以及与合同有关的文件均应以中文书写。</w:t>
      </w:r>
    </w:p>
    <w:p w14:paraId="6ADD9FDB">
      <w:pPr>
        <w:spacing w:before="170" w:line="360" w:lineRule="auto"/>
        <w:ind w:left="559"/>
        <w:jc w:val="left"/>
        <w:rPr>
          <w:rFonts w:hint="eastAsia" w:ascii="宋体" w:hAnsi="宋体" w:cs="宋体"/>
          <w:color w:val="000000"/>
          <w:szCs w:val="21"/>
        </w:rPr>
      </w:pPr>
      <w:r>
        <w:rPr>
          <w:rFonts w:hint="eastAsia" w:ascii="宋体" w:hAnsi="宋体" w:cs="宋体"/>
          <w:color w:val="000000"/>
          <w:szCs w:val="21"/>
        </w:rPr>
        <w:t>2.除技术规格中另有规定外，计量单位均使用国际单位制。</w:t>
      </w:r>
    </w:p>
    <w:p w14:paraId="55B416B0">
      <w:pPr>
        <w:spacing w:before="170" w:line="360" w:lineRule="auto"/>
        <w:ind w:left="562"/>
        <w:jc w:val="left"/>
        <w:rPr>
          <w:rFonts w:hint="eastAsia" w:ascii="宋体" w:hAnsi="宋体" w:cs="宋体"/>
          <w:color w:val="000000"/>
          <w:szCs w:val="21"/>
        </w:rPr>
      </w:pPr>
      <w:r>
        <w:rPr>
          <w:rFonts w:hint="eastAsia" w:ascii="宋体" w:hAnsi="宋体" w:cs="宋体"/>
          <w:color w:val="000000"/>
          <w:spacing w:val="1"/>
          <w:szCs w:val="21"/>
        </w:rPr>
        <w:t>十八．通知</w:t>
      </w:r>
    </w:p>
    <w:p w14:paraId="1E0D45F9">
      <w:pPr>
        <w:spacing w:before="168" w:line="360" w:lineRule="auto"/>
        <w:ind w:left="559"/>
        <w:jc w:val="left"/>
        <w:rPr>
          <w:rFonts w:hint="eastAsia" w:ascii="宋体" w:hAnsi="宋体" w:cs="宋体"/>
          <w:color w:val="000000"/>
          <w:szCs w:val="21"/>
        </w:rPr>
      </w:pPr>
      <w:r>
        <w:rPr>
          <w:rFonts w:hint="eastAsia" w:ascii="宋体" w:hAnsi="宋体" w:cs="宋体"/>
          <w:color w:val="000000"/>
          <w:szCs w:val="21"/>
        </w:rPr>
        <w:t>1.本合同任何一方给另一方的通知都应以书面形式发送，而另一方应以书面形式确认并发送到对方明确的地址。</w:t>
      </w:r>
    </w:p>
    <w:p w14:paraId="65B9DBEC">
      <w:pPr>
        <w:spacing w:before="170" w:line="360" w:lineRule="auto"/>
        <w:ind w:left="562"/>
        <w:jc w:val="left"/>
        <w:rPr>
          <w:rFonts w:hint="eastAsia" w:ascii="宋体" w:hAnsi="宋体" w:cs="宋体"/>
          <w:color w:val="000000"/>
          <w:szCs w:val="21"/>
        </w:rPr>
      </w:pPr>
      <w:r>
        <w:rPr>
          <w:rFonts w:hint="eastAsia" w:ascii="宋体" w:hAnsi="宋体" w:cs="宋体"/>
          <w:color w:val="000000"/>
          <w:spacing w:val="1"/>
          <w:szCs w:val="21"/>
        </w:rPr>
        <w:t>十九．合同文件及资料的保密</w:t>
      </w:r>
    </w:p>
    <w:p w14:paraId="55B7E43D">
      <w:pPr>
        <w:spacing w:before="172" w:line="360" w:lineRule="auto"/>
        <w:ind w:left="542"/>
        <w:jc w:val="left"/>
        <w:rPr>
          <w:rFonts w:hint="eastAsia" w:ascii="宋体" w:hAnsi="宋体" w:cs="宋体"/>
          <w:color w:val="000000"/>
          <w:szCs w:val="21"/>
        </w:rPr>
      </w:pPr>
      <w:r>
        <w:rPr>
          <w:rFonts w:hint="eastAsia" w:ascii="宋体" w:hAnsi="宋体" w:cs="宋体"/>
          <w:color w:val="000000"/>
          <w:spacing w:val="-9"/>
          <w:szCs w:val="21"/>
        </w:rPr>
        <w:t>1.在未经甲方同意的情况下，乙方不得将合同、合同中的规定、有关研究、设计图纸、式样、样本或甲方为乙方提供的资料透露给任何人。</w:t>
      </w:r>
    </w:p>
    <w:p w14:paraId="65CFAFFC">
      <w:pPr>
        <w:spacing w:before="171" w:line="360" w:lineRule="auto"/>
        <w:ind w:left="559"/>
        <w:jc w:val="left"/>
        <w:rPr>
          <w:rFonts w:hint="eastAsia" w:ascii="宋体" w:hAnsi="宋体" w:cs="宋体"/>
          <w:color w:val="000000"/>
          <w:szCs w:val="21"/>
        </w:rPr>
      </w:pPr>
      <w:r>
        <w:rPr>
          <w:rFonts w:hint="eastAsia" w:ascii="宋体" w:hAnsi="宋体" w:cs="宋体"/>
          <w:color w:val="000000"/>
          <w:szCs w:val="21"/>
        </w:rPr>
        <w:t>2.除合同本身以外，乙方从甲方处获得的所有资料其知识产权归甲方所有，乙方应于其合同义务履行完毕以后将这些资料（包括所有副本）退还甲方。</w:t>
      </w:r>
    </w:p>
    <w:p w14:paraId="1CDA6D91">
      <w:pPr>
        <w:spacing w:before="171" w:line="360" w:lineRule="auto"/>
        <w:ind w:left="562"/>
        <w:jc w:val="left"/>
        <w:rPr>
          <w:rFonts w:hint="eastAsia" w:ascii="宋体" w:hAnsi="宋体" w:cs="宋体"/>
          <w:color w:val="000000"/>
          <w:szCs w:val="21"/>
        </w:rPr>
      </w:pPr>
      <w:r>
        <w:rPr>
          <w:rFonts w:hint="eastAsia" w:ascii="宋体" w:hAnsi="宋体" w:cs="宋体"/>
          <w:color w:val="000000"/>
          <w:spacing w:val="1"/>
          <w:szCs w:val="21"/>
        </w:rPr>
        <w:t>二十．合同生效及其他</w:t>
      </w:r>
    </w:p>
    <w:p w14:paraId="512C335C">
      <w:pPr>
        <w:spacing w:before="168" w:line="360" w:lineRule="auto"/>
        <w:ind w:left="559"/>
        <w:jc w:val="left"/>
        <w:rPr>
          <w:rFonts w:hint="eastAsia" w:ascii="宋体" w:hAnsi="宋体" w:cs="宋体"/>
          <w:color w:val="000000"/>
          <w:szCs w:val="21"/>
        </w:rPr>
      </w:pPr>
      <w:r>
        <w:rPr>
          <w:rFonts w:hint="eastAsia" w:ascii="宋体" w:hAnsi="宋体" w:cs="宋体"/>
          <w:color w:val="000000"/>
          <w:szCs w:val="21"/>
        </w:rPr>
        <w:t>1.除合同中另有说明，本合同经双方法定代表人或其委托代理人签字并加盖公章或合同专用章后，即开始生效。</w:t>
      </w:r>
    </w:p>
    <w:p w14:paraId="4D894BA4">
      <w:pPr>
        <w:spacing w:before="2" w:line="360" w:lineRule="auto"/>
        <w:ind w:left="559" w:right="168"/>
        <w:jc w:val="left"/>
        <w:rPr>
          <w:rFonts w:hint="eastAsia" w:ascii="宋体" w:hAnsi="宋体" w:cs="宋体"/>
          <w:color w:val="000000"/>
          <w:szCs w:val="21"/>
        </w:rPr>
      </w:pPr>
      <w:r>
        <w:rPr>
          <w:rFonts w:hint="eastAsia" w:ascii="宋体" w:hAnsi="宋体" w:cs="宋体"/>
          <w:color w:val="000000"/>
          <w:szCs w:val="21"/>
          <w:lang w:eastAsia="en-US"/>
        </w:rPr>
        <w:t>2.合同一式肆份，具有同等法律效力。</w:t>
      </w:r>
      <w:r>
        <w:rPr>
          <w:rFonts w:hint="eastAsia" w:ascii="宋体" w:hAnsi="宋体" w:cs="宋体"/>
          <w:color w:val="000000"/>
          <w:szCs w:val="21"/>
          <w:lang w:eastAsia="en-US"/>
        </w:rPr>
        <w:cr/>
      </w:r>
      <w:r>
        <w:rPr>
          <w:rFonts w:hint="eastAsia" w:ascii="宋体" w:hAnsi="宋体" w:cs="宋体"/>
          <w:color w:val="000000"/>
          <w:spacing w:val="-68"/>
          <w:szCs w:val="21"/>
          <w:lang w:eastAsia="en-US"/>
        </w:rPr>
        <w:t xml:space="preserve"> </w:t>
      </w:r>
      <w:r>
        <w:rPr>
          <w:rFonts w:hint="eastAsia" w:ascii="宋体" w:hAnsi="宋体" w:cs="宋体"/>
          <w:color w:val="000000"/>
          <w:spacing w:val="1"/>
          <w:szCs w:val="21"/>
        </w:rPr>
        <w:t xml:space="preserve">二十一．合同文件及解释顺序 </w:t>
      </w:r>
      <w:r>
        <w:rPr>
          <w:rFonts w:hint="eastAsia" w:ascii="宋体" w:hAnsi="宋体" w:cs="宋体"/>
          <w:color w:val="000000"/>
          <w:szCs w:val="21"/>
        </w:rPr>
        <w:t>下列文件均为合同组成文件</w:t>
      </w:r>
    </w:p>
    <w:p w14:paraId="44DDAD83">
      <w:pPr>
        <w:spacing w:before="3" w:line="360" w:lineRule="auto"/>
        <w:ind w:left="559"/>
        <w:jc w:val="left"/>
        <w:rPr>
          <w:rFonts w:hint="eastAsia" w:ascii="宋体" w:hAnsi="宋体" w:cs="宋体"/>
          <w:color w:val="000000"/>
          <w:szCs w:val="21"/>
        </w:rPr>
      </w:pPr>
      <w:r>
        <w:rPr>
          <w:rFonts w:hint="eastAsia" w:ascii="宋体" w:hAnsi="宋体" w:cs="宋体"/>
          <w:color w:val="000000"/>
          <w:szCs w:val="21"/>
        </w:rPr>
        <w:t>1.招标文件（包括澄清、答疑、修改和补充通知）</w:t>
      </w:r>
    </w:p>
    <w:p w14:paraId="725FC6BF">
      <w:pPr>
        <w:spacing w:line="360" w:lineRule="auto"/>
        <w:ind w:left="559"/>
        <w:jc w:val="left"/>
        <w:rPr>
          <w:rFonts w:hint="eastAsia" w:ascii="宋体" w:hAnsi="宋体" w:cs="宋体"/>
          <w:color w:val="000000"/>
          <w:szCs w:val="21"/>
        </w:rPr>
      </w:pPr>
      <w:r>
        <w:rPr>
          <w:rFonts w:hint="eastAsia" w:ascii="宋体" w:hAnsi="宋体" w:cs="宋体"/>
          <w:color w:val="000000"/>
          <w:szCs w:val="21"/>
        </w:rPr>
        <w:t>2.投标文件（包括修改、澄清）</w:t>
      </w:r>
    </w:p>
    <w:p w14:paraId="4E57DA59">
      <w:pPr>
        <w:spacing w:before="1" w:line="360" w:lineRule="auto"/>
        <w:ind w:firstLine="720" w:firstLineChars="300"/>
        <w:jc w:val="left"/>
        <w:rPr>
          <w:rFonts w:hint="eastAsia" w:ascii="宋体" w:hAnsi="宋体" w:cs="宋体"/>
          <w:color w:val="000000"/>
          <w:szCs w:val="21"/>
        </w:rPr>
      </w:pPr>
      <w:r>
        <w:rPr>
          <w:rFonts w:hint="eastAsia" w:ascii="宋体" w:hAnsi="宋体" w:cs="宋体"/>
          <w:color w:val="000000"/>
          <w:szCs w:val="21"/>
        </w:rPr>
        <w:t>3.中标通知书（包括投标人“回执”）</w:t>
      </w:r>
    </w:p>
    <w:p w14:paraId="142DAA87">
      <w:pPr>
        <w:spacing w:line="360" w:lineRule="auto"/>
        <w:ind w:left="559"/>
        <w:jc w:val="left"/>
        <w:rPr>
          <w:rFonts w:hint="eastAsia" w:ascii="宋体" w:hAnsi="宋体" w:cs="宋体"/>
          <w:color w:val="000000"/>
          <w:szCs w:val="21"/>
        </w:rPr>
      </w:pPr>
      <w:r>
        <w:rPr>
          <w:rFonts w:hint="eastAsia" w:ascii="宋体" w:hAnsi="宋体" w:cs="宋体"/>
          <w:color w:val="000000"/>
          <w:szCs w:val="21"/>
        </w:rPr>
        <w:t>4.双方商定的补充协议或合同期内双方签署的备忘录</w:t>
      </w:r>
    </w:p>
    <w:p w14:paraId="4ECB3613">
      <w:pPr>
        <w:spacing w:before="170" w:line="360" w:lineRule="auto"/>
        <w:ind w:left="559"/>
        <w:jc w:val="left"/>
        <w:rPr>
          <w:rFonts w:hint="eastAsia" w:ascii="宋体" w:hAnsi="宋体" w:cs="宋体"/>
          <w:color w:val="000000"/>
          <w:szCs w:val="21"/>
        </w:rPr>
      </w:pPr>
      <w:r>
        <w:rPr>
          <w:rFonts w:hint="eastAsia" w:ascii="宋体" w:hAnsi="宋体" w:cs="宋体"/>
          <w:color w:val="000000"/>
          <w:szCs w:val="21"/>
        </w:rPr>
        <w:t>5.双方签署的合同谈判备忘录</w:t>
      </w:r>
    </w:p>
    <w:p w14:paraId="50BC2874">
      <w:pPr>
        <w:spacing w:before="168" w:line="360" w:lineRule="auto"/>
        <w:ind w:left="559"/>
        <w:jc w:val="left"/>
        <w:rPr>
          <w:rFonts w:hint="eastAsia" w:ascii="宋体" w:hAnsi="宋体" w:cs="宋体"/>
          <w:color w:val="000000"/>
          <w:szCs w:val="21"/>
        </w:rPr>
      </w:pPr>
      <w:r>
        <w:rPr>
          <w:rFonts w:hint="eastAsia" w:ascii="宋体" w:hAnsi="宋体" w:cs="宋体"/>
          <w:color w:val="000000"/>
          <w:szCs w:val="21"/>
        </w:rPr>
        <w:t>6.与本合同有关的其他文件</w:t>
      </w:r>
    </w:p>
    <w:p w14:paraId="6749E3ED">
      <w:pPr>
        <w:spacing w:before="170" w:line="360" w:lineRule="auto"/>
        <w:ind w:left="420"/>
        <w:jc w:val="left"/>
        <w:rPr>
          <w:rFonts w:hint="eastAsia" w:ascii="宋体" w:hAnsi="宋体" w:cs="宋体"/>
          <w:color w:val="000000"/>
          <w:szCs w:val="21"/>
        </w:rPr>
      </w:pPr>
      <w:r>
        <w:rPr>
          <w:rFonts w:hint="eastAsia" w:ascii="宋体" w:hAnsi="宋体" w:cs="宋体"/>
          <w:color w:val="000000"/>
          <w:spacing w:val="1"/>
          <w:szCs w:val="21"/>
        </w:rPr>
        <w:t>二十二．合同的变更和终止</w:t>
      </w:r>
    </w:p>
    <w:p w14:paraId="75D8E201">
      <w:pPr>
        <w:spacing w:before="170" w:line="360" w:lineRule="auto"/>
        <w:ind w:left="559"/>
        <w:jc w:val="left"/>
        <w:rPr>
          <w:rFonts w:hint="eastAsia" w:ascii="宋体" w:hAnsi="宋体" w:cs="宋体"/>
          <w:color w:val="000000"/>
          <w:szCs w:val="21"/>
        </w:rPr>
      </w:pPr>
      <w:r>
        <w:rPr>
          <w:rFonts w:hint="eastAsia" w:ascii="宋体" w:hAnsi="宋体" w:cs="宋体"/>
          <w:color w:val="000000"/>
          <w:szCs w:val="21"/>
        </w:rPr>
        <w:t>1.除《政府采购法》第50条第二款规定的情形外，本合同一经签订，甲乙双方不得擅自变更、中止或终止合同。</w:t>
      </w:r>
    </w:p>
    <w:p w14:paraId="7B0C4690">
      <w:pPr>
        <w:spacing w:before="170" w:line="360" w:lineRule="auto"/>
        <w:ind w:left="559"/>
        <w:jc w:val="left"/>
        <w:rPr>
          <w:rFonts w:hint="eastAsia" w:ascii="宋体" w:hAnsi="宋体" w:cs="宋体"/>
          <w:color w:val="000000"/>
          <w:szCs w:val="21"/>
        </w:rPr>
      </w:pPr>
      <w:r>
        <w:rPr>
          <w:rFonts w:hint="eastAsia" w:ascii="宋体" w:hAnsi="宋体" w:cs="宋体"/>
          <w:color w:val="000000"/>
          <w:szCs w:val="21"/>
        </w:rPr>
        <w:t>2.除发生法律规定的不能预见、不能避免并不能克服的客观情况外，甲乙双方不得放弃或拒绝履行合同。乙方放弃或拒绝履行合同，在三年内不得参加政府采购活动。</w:t>
      </w:r>
    </w:p>
    <w:p w14:paraId="02C47DAE">
      <w:pPr>
        <w:spacing w:before="170" w:line="360" w:lineRule="auto"/>
        <w:jc w:val="left"/>
        <w:rPr>
          <w:rFonts w:hint="eastAsia" w:ascii="宋体" w:hAnsi="宋体" w:cs="宋体"/>
          <w:color w:val="000000"/>
          <w:szCs w:val="21"/>
        </w:rPr>
      </w:pPr>
      <w:r>
        <w:rPr>
          <w:rFonts w:hint="eastAsia" w:ascii="宋体" w:hAnsi="宋体" w:cs="宋体"/>
          <w:color w:val="000000"/>
          <w:szCs w:val="21"/>
        </w:rPr>
        <w:t>甲方：（盖章）                                  乙方：（盖章）</w:t>
      </w:r>
    </w:p>
    <w:p w14:paraId="4CA1C069">
      <w:pPr>
        <w:spacing w:before="189" w:line="360" w:lineRule="auto"/>
        <w:jc w:val="left"/>
        <w:rPr>
          <w:rFonts w:hint="eastAsia" w:ascii="宋体" w:hAnsi="宋体" w:cs="宋体"/>
          <w:color w:val="000000"/>
          <w:szCs w:val="21"/>
        </w:rPr>
      </w:pPr>
      <w:r>
        <w:rPr>
          <w:rFonts w:hint="eastAsia" w:ascii="宋体" w:hAnsi="宋体" w:cs="宋体"/>
          <w:color w:val="000000"/>
          <w:szCs w:val="21"/>
        </w:rPr>
        <w:t>法定代表人                                      法定代表人</w:t>
      </w:r>
    </w:p>
    <w:p w14:paraId="14757905">
      <w:pPr>
        <w:spacing w:before="190" w:line="360" w:lineRule="auto"/>
        <w:jc w:val="left"/>
        <w:rPr>
          <w:rFonts w:hint="eastAsia" w:ascii="宋体" w:hAnsi="宋体" w:cs="宋体"/>
          <w:color w:val="000000"/>
          <w:szCs w:val="21"/>
        </w:rPr>
      </w:pPr>
      <w:r>
        <w:rPr>
          <w:rFonts w:hint="eastAsia" w:ascii="宋体" w:hAnsi="宋体" w:cs="宋体"/>
          <w:color w:val="000000"/>
          <w:szCs w:val="21"/>
        </w:rPr>
        <w:t>（或授权代理人）：                              （或授权代理人）：</w:t>
      </w:r>
    </w:p>
    <w:p w14:paraId="5584769E">
      <w:pPr>
        <w:spacing w:before="189" w:line="360" w:lineRule="auto"/>
        <w:jc w:val="left"/>
        <w:rPr>
          <w:rFonts w:hint="eastAsia" w:ascii="宋体" w:hAnsi="宋体" w:cs="宋体"/>
          <w:color w:val="000000"/>
          <w:szCs w:val="21"/>
        </w:rPr>
      </w:pPr>
      <w:r>
        <w:rPr>
          <w:rFonts w:hint="eastAsia" w:ascii="宋体" w:hAnsi="宋体" w:cs="宋体"/>
          <w:color w:val="000000"/>
          <w:szCs w:val="21"/>
        </w:rPr>
        <w:t>单位地址：                                      单位地址：</w:t>
      </w:r>
    </w:p>
    <w:p w14:paraId="22990DB5">
      <w:pPr>
        <w:spacing w:before="189" w:line="360" w:lineRule="auto"/>
        <w:jc w:val="left"/>
        <w:rPr>
          <w:rFonts w:hint="eastAsia" w:ascii="宋体" w:hAnsi="宋体" w:cs="宋体"/>
          <w:color w:val="000000"/>
          <w:szCs w:val="21"/>
        </w:rPr>
      </w:pPr>
      <w:r>
        <w:rPr>
          <w:rFonts w:hint="eastAsia" w:ascii="宋体" w:hAnsi="宋体" w:cs="宋体"/>
          <w:color w:val="000000"/>
          <w:szCs w:val="21"/>
        </w:rPr>
        <w:t>邮</w:t>
      </w:r>
      <w:r>
        <w:rPr>
          <w:rFonts w:hint="eastAsia" w:ascii="宋体" w:hAnsi="宋体" w:cs="宋体"/>
          <w:color w:val="000000"/>
          <w:spacing w:val="422"/>
          <w:szCs w:val="21"/>
        </w:rPr>
        <w:t xml:space="preserve"> </w:t>
      </w:r>
      <w:r>
        <w:rPr>
          <w:rFonts w:hint="eastAsia" w:ascii="宋体" w:hAnsi="宋体" w:cs="宋体"/>
          <w:color w:val="000000"/>
          <w:spacing w:val="-2"/>
          <w:szCs w:val="21"/>
        </w:rPr>
        <w:t xml:space="preserve">编：                                   </w:t>
      </w:r>
      <w:r>
        <w:rPr>
          <w:rFonts w:hint="eastAsia" w:ascii="宋体" w:hAnsi="宋体" w:cs="宋体"/>
          <w:color w:val="000000"/>
          <w:szCs w:val="21"/>
        </w:rPr>
        <w:t>邮</w:t>
      </w:r>
      <w:r>
        <w:rPr>
          <w:rFonts w:hint="eastAsia" w:ascii="宋体" w:hAnsi="宋体" w:cs="宋体"/>
          <w:color w:val="000000"/>
          <w:spacing w:val="422"/>
          <w:szCs w:val="21"/>
        </w:rPr>
        <w:t xml:space="preserve"> </w:t>
      </w:r>
      <w:r>
        <w:rPr>
          <w:rFonts w:hint="eastAsia" w:ascii="宋体" w:hAnsi="宋体" w:cs="宋体"/>
          <w:color w:val="000000"/>
          <w:spacing w:val="-2"/>
          <w:szCs w:val="21"/>
        </w:rPr>
        <w:t>编：</w:t>
      </w:r>
    </w:p>
    <w:p w14:paraId="72C37BAD">
      <w:pPr>
        <w:spacing w:before="189" w:line="360" w:lineRule="auto"/>
        <w:jc w:val="left"/>
        <w:rPr>
          <w:rFonts w:hint="eastAsia" w:ascii="宋体" w:hAnsi="宋体"/>
          <w:b/>
          <w:sz w:val="32"/>
          <w:szCs w:val="32"/>
        </w:rPr>
      </w:pPr>
      <w:r>
        <w:rPr>
          <w:rFonts w:hint="eastAsia" w:ascii="宋体" w:hAnsi="宋体" w:cs="宋体"/>
          <w:color w:val="000000"/>
          <w:szCs w:val="21"/>
        </w:rPr>
        <w:t>电</w:t>
      </w:r>
      <w:r>
        <w:rPr>
          <w:rFonts w:hint="eastAsia" w:ascii="宋体" w:hAnsi="宋体" w:cs="宋体"/>
          <w:color w:val="000000"/>
          <w:spacing w:val="422"/>
          <w:szCs w:val="21"/>
        </w:rPr>
        <w:t xml:space="preserve"> </w:t>
      </w:r>
      <w:r>
        <w:rPr>
          <w:rFonts w:hint="eastAsia" w:ascii="宋体" w:hAnsi="宋体" w:cs="宋体"/>
          <w:color w:val="000000"/>
          <w:spacing w:val="-2"/>
          <w:szCs w:val="21"/>
        </w:rPr>
        <w:t xml:space="preserve">话：                                   </w:t>
      </w:r>
      <w:r>
        <w:rPr>
          <w:rFonts w:hint="eastAsia" w:ascii="宋体" w:hAnsi="宋体" w:cs="宋体"/>
          <w:color w:val="000000"/>
          <w:szCs w:val="21"/>
        </w:rPr>
        <w:t>电</w:t>
      </w:r>
      <w:r>
        <w:rPr>
          <w:rFonts w:hint="eastAsia" w:ascii="宋体" w:hAnsi="宋体" w:cs="宋体"/>
          <w:color w:val="000000"/>
          <w:spacing w:val="422"/>
          <w:szCs w:val="21"/>
        </w:rPr>
        <w:t xml:space="preserve"> </w:t>
      </w:r>
      <w:r>
        <w:rPr>
          <w:rFonts w:hint="eastAsia" w:ascii="宋体" w:hAnsi="宋体" w:cs="宋体"/>
          <w:color w:val="000000"/>
          <w:spacing w:val="-2"/>
          <w:szCs w:val="21"/>
        </w:rPr>
        <w:t>话：</w:t>
      </w:r>
    </w:p>
    <w:p w14:paraId="3F8FE052">
      <w:pPr>
        <w:pStyle w:val="2"/>
      </w:pPr>
    </w:p>
    <w:p w14:paraId="39C02696">
      <w:pPr>
        <w:widowControl/>
        <w:jc w:val="left"/>
        <w:rPr>
          <w:rFonts w:ascii="黑体" w:hAnsi="黑体" w:eastAsia="黑体"/>
          <w:sz w:val="44"/>
          <w:szCs w:val="44"/>
        </w:rPr>
      </w:pPr>
      <w:r>
        <w:rPr>
          <w:rFonts w:ascii="黑体" w:hAnsi="黑体" w:eastAsia="黑体"/>
          <w:sz w:val="44"/>
          <w:szCs w:val="44"/>
        </w:rPr>
        <w:br w:type="page"/>
      </w:r>
    </w:p>
    <w:p w14:paraId="67440928">
      <w:pPr>
        <w:jc w:val="center"/>
        <w:rPr>
          <w:rFonts w:hint="eastAsia" w:ascii="黑体" w:hAnsi="黑体" w:eastAsia="黑体"/>
          <w:color w:val="auto"/>
          <w:sz w:val="44"/>
          <w:szCs w:val="44"/>
          <w:lang w:eastAsia="zh-CN"/>
        </w:rPr>
      </w:pPr>
      <w:r>
        <w:rPr>
          <w:rFonts w:ascii="黑体" w:hAnsi="黑体" w:eastAsia="黑体"/>
          <w:color w:val="auto"/>
          <w:sz w:val="44"/>
          <w:szCs w:val="44"/>
        </w:rPr>
        <w:t>第五章</w:t>
      </w:r>
      <w:r>
        <w:rPr>
          <w:rFonts w:hint="eastAsia" w:ascii="黑体" w:hAnsi="黑体" w:eastAsia="黑体"/>
          <w:color w:val="auto"/>
          <w:sz w:val="44"/>
          <w:szCs w:val="44"/>
        </w:rPr>
        <w:t xml:space="preserve"> 采购需求</w:t>
      </w:r>
    </w:p>
    <w:p w14:paraId="2F1CF3AC">
      <w:pPr>
        <w:rPr>
          <w:rFonts w:hint="eastAsia" w:asciiTheme="majorEastAsia" w:hAnsiTheme="majorEastAsia" w:eastAsiaTheme="majorEastAsia"/>
          <w:b w:val="0"/>
          <w:bCs w:val="0"/>
          <w:color w:val="auto"/>
          <w:sz w:val="28"/>
          <w:szCs w:val="28"/>
          <w:lang w:val="en-US" w:eastAsia="zh-CN"/>
        </w:rPr>
      </w:pPr>
      <w:r>
        <w:rPr>
          <w:rFonts w:hint="eastAsia" w:asciiTheme="majorEastAsia" w:hAnsiTheme="majorEastAsia" w:eastAsiaTheme="majorEastAsia"/>
          <w:b w:val="0"/>
          <w:bCs w:val="0"/>
          <w:color w:val="auto"/>
          <w:sz w:val="28"/>
          <w:szCs w:val="28"/>
          <w:lang w:val="en-US" w:eastAsia="zh-CN"/>
        </w:rPr>
        <w:t>一、项目背景</w:t>
      </w:r>
    </w:p>
    <w:p w14:paraId="424DD35B">
      <w:pPr>
        <w:rPr>
          <w:rFonts w:hint="eastAsia" w:asciiTheme="majorEastAsia" w:hAnsiTheme="majorEastAsia" w:eastAsiaTheme="majorEastAsia"/>
          <w:b w:val="0"/>
          <w:bCs w:val="0"/>
          <w:color w:val="auto"/>
          <w:sz w:val="28"/>
          <w:szCs w:val="28"/>
          <w:lang w:val="en-US" w:eastAsia="zh-CN"/>
        </w:rPr>
      </w:pPr>
      <w:r>
        <w:rPr>
          <w:rFonts w:hint="eastAsia" w:asciiTheme="majorEastAsia" w:hAnsiTheme="majorEastAsia" w:eastAsiaTheme="majorEastAsia"/>
          <w:b w:val="0"/>
          <w:bCs w:val="0"/>
          <w:color w:val="auto"/>
          <w:sz w:val="28"/>
          <w:szCs w:val="28"/>
          <w:lang w:val="en-US" w:eastAsia="zh-CN"/>
        </w:rPr>
        <w:t>为落实耕地占补平衡管理改革举措，实现全市耕地总量动态平衡，牢牢守住耕地保护红线，根据《中共中央办公厅国务院办公厅关于加强耕地保护提升耕地质量完善占补平衡的意见》《自然资源部财政部关于实行耕地保护责任目标考核奖惩工作的通知》等文件要求，2024年补充耕地项目涉及利用客土的，项目实施后须进行客土质量抽样检测，客土抽样检测报告将作为项目验收的依据之一。</w:t>
      </w:r>
    </w:p>
    <w:p w14:paraId="5A3B2A4C">
      <w:pPr>
        <w:rPr>
          <w:rFonts w:hint="eastAsia" w:asciiTheme="majorEastAsia" w:hAnsiTheme="majorEastAsia" w:eastAsiaTheme="majorEastAsia"/>
          <w:b w:val="0"/>
          <w:bCs w:val="0"/>
          <w:color w:val="auto"/>
          <w:sz w:val="28"/>
          <w:szCs w:val="28"/>
          <w:lang w:val="en-US" w:eastAsia="zh-CN"/>
        </w:rPr>
      </w:pPr>
      <w:r>
        <w:rPr>
          <w:rFonts w:hint="eastAsia" w:asciiTheme="majorEastAsia" w:hAnsiTheme="majorEastAsia" w:eastAsiaTheme="majorEastAsia"/>
          <w:b w:val="0"/>
          <w:bCs w:val="0"/>
          <w:color w:val="auto"/>
          <w:sz w:val="28"/>
          <w:szCs w:val="28"/>
          <w:lang w:val="en-US" w:eastAsia="zh-CN"/>
        </w:rPr>
        <w:t>二、工作内容</w:t>
      </w:r>
    </w:p>
    <w:p w14:paraId="5107E0B8">
      <w:pPr>
        <w:rPr>
          <w:rFonts w:hint="eastAsia" w:asciiTheme="majorEastAsia" w:hAnsiTheme="majorEastAsia" w:eastAsiaTheme="majorEastAsia"/>
          <w:b w:val="0"/>
          <w:bCs w:val="0"/>
          <w:color w:val="auto"/>
          <w:sz w:val="28"/>
          <w:szCs w:val="28"/>
          <w:lang w:val="en-US" w:eastAsia="zh-CN"/>
        </w:rPr>
      </w:pPr>
      <w:r>
        <w:rPr>
          <w:rFonts w:hint="eastAsia" w:asciiTheme="majorEastAsia" w:hAnsiTheme="majorEastAsia" w:eastAsiaTheme="majorEastAsia"/>
          <w:b w:val="0"/>
          <w:bCs w:val="0"/>
          <w:color w:val="auto"/>
          <w:sz w:val="28"/>
          <w:szCs w:val="28"/>
          <w:lang w:val="en-US" w:eastAsia="zh-CN"/>
        </w:rPr>
        <w:t>根据泰兴市2024年度补充耕地项目中涉及客土回填的项目地实际情况，编制合理可行的客土调查、布点实施方案，对客土质量进行全面调查与评价，编制客土质量抽样检测与评价报告。</w:t>
      </w:r>
    </w:p>
    <w:p w14:paraId="6AD98E30">
      <w:pPr>
        <w:rPr>
          <w:rFonts w:hint="eastAsia" w:asciiTheme="majorEastAsia" w:hAnsiTheme="majorEastAsia" w:eastAsiaTheme="majorEastAsia"/>
          <w:b w:val="0"/>
          <w:bCs w:val="0"/>
          <w:color w:val="auto"/>
          <w:sz w:val="28"/>
          <w:szCs w:val="28"/>
          <w:lang w:val="en-US" w:eastAsia="zh-CN"/>
        </w:rPr>
      </w:pPr>
      <w:r>
        <w:rPr>
          <w:rFonts w:hint="eastAsia" w:asciiTheme="majorEastAsia" w:hAnsiTheme="majorEastAsia" w:eastAsiaTheme="majorEastAsia"/>
          <w:b w:val="0"/>
          <w:bCs w:val="0"/>
          <w:color w:val="auto"/>
          <w:sz w:val="28"/>
          <w:szCs w:val="28"/>
          <w:lang w:val="en-US" w:eastAsia="zh-CN"/>
        </w:rPr>
        <w:t>具体要求：</w:t>
      </w:r>
    </w:p>
    <w:p w14:paraId="0E6C31BF">
      <w:pPr>
        <w:rPr>
          <w:rFonts w:hint="eastAsia" w:asciiTheme="majorEastAsia" w:hAnsiTheme="majorEastAsia" w:eastAsiaTheme="majorEastAsia"/>
          <w:b w:val="0"/>
          <w:bCs w:val="0"/>
          <w:color w:val="auto"/>
          <w:sz w:val="28"/>
          <w:szCs w:val="28"/>
          <w:lang w:val="en-US" w:eastAsia="zh-CN"/>
        </w:rPr>
      </w:pPr>
      <w:r>
        <w:rPr>
          <w:rFonts w:hint="eastAsia" w:asciiTheme="majorEastAsia" w:hAnsiTheme="majorEastAsia" w:eastAsiaTheme="majorEastAsia"/>
          <w:b w:val="0"/>
          <w:bCs w:val="0"/>
          <w:color w:val="auto"/>
          <w:sz w:val="28"/>
          <w:szCs w:val="28"/>
          <w:lang w:val="en-US" w:eastAsia="zh-CN"/>
        </w:rPr>
        <w:t>在项目地内采集一定量的土壤表层样与柱状样，对土壤现场指标进行记录，现场指标主要包括颜色、质地、密实度、现场快速检测指标（重金属和有机物），同时对土壤进行实验室指标测定，实验室指标为：pH、镉、汞、砷、铅、铬、铜、镍、锌及六六六总量、滴滴涕总量、苯并（a）芘等指标，若土源为基坑土、盾构土、冲淤土则需加测全氮、全磷、全钾和有机质，如发现其他疑似特征污染物，须一并纳入实验室检测指标。</w:t>
      </w:r>
    </w:p>
    <w:p w14:paraId="68B96A15">
      <w:pPr>
        <w:rPr>
          <w:rFonts w:hint="eastAsia" w:asciiTheme="majorEastAsia" w:hAnsiTheme="majorEastAsia" w:eastAsiaTheme="majorEastAsia"/>
          <w:b w:val="0"/>
          <w:bCs w:val="0"/>
          <w:color w:val="auto"/>
          <w:sz w:val="28"/>
          <w:szCs w:val="28"/>
          <w:lang w:val="en-US" w:eastAsia="zh-CN"/>
        </w:rPr>
      </w:pPr>
      <w:r>
        <w:rPr>
          <w:rFonts w:hint="eastAsia" w:asciiTheme="majorEastAsia" w:hAnsiTheme="majorEastAsia" w:eastAsiaTheme="majorEastAsia"/>
          <w:b w:val="0"/>
          <w:bCs w:val="0"/>
          <w:color w:val="auto"/>
          <w:sz w:val="28"/>
          <w:szCs w:val="28"/>
          <w:lang w:val="en-US" w:eastAsia="zh-CN"/>
        </w:rPr>
        <w:t>预期成果：</w:t>
      </w:r>
    </w:p>
    <w:p w14:paraId="1B1F1753">
      <w:pPr>
        <w:rPr>
          <w:rFonts w:hint="eastAsia" w:asciiTheme="majorEastAsia" w:hAnsiTheme="majorEastAsia" w:eastAsiaTheme="majorEastAsia"/>
          <w:b w:val="0"/>
          <w:bCs w:val="0"/>
          <w:color w:val="auto"/>
          <w:sz w:val="28"/>
          <w:szCs w:val="28"/>
          <w:lang w:val="en-US" w:eastAsia="zh-CN"/>
        </w:rPr>
      </w:pPr>
      <w:r>
        <w:rPr>
          <w:rFonts w:hint="eastAsia" w:asciiTheme="majorEastAsia" w:hAnsiTheme="majorEastAsia" w:eastAsiaTheme="majorEastAsia"/>
          <w:b w:val="0"/>
          <w:bCs w:val="0"/>
          <w:color w:val="auto"/>
          <w:sz w:val="28"/>
          <w:szCs w:val="28"/>
          <w:lang w:val="en-US" w:eastAsia="zh-CN"/>
        </w:rPr>
        <w:t>提交《泰兴市2024年度补充耕地项目客土质量抽样检测与评价报告》及相关附件（检测报告等）</w:t>
      </w:r>
    </w:p>
    <w:p w14:paraId="0E1E751D">
      <w:pPr>
        <w:rPr>
          <w:rFonts w:hint="eastAsia" w:asciiTheme="majorEastAsia" w:hAnsiTheme="majorEastAsia" w:eastAsiaTheme="majorEastAsia"/>
          <w:b w:val="0"/>
          <w:bCs w:val="0"/>
          <w:color w:val="auto"/>
          <w:sz w:val="28"/>
          <w:szCs w:val="28"/>
          <w:lang w:val="en-US" w:eastAsia="zh-CN"/>
        </w:rPr>
      </w:pPr>
      <w:r>
        <w:rPr>
          <w:rFonts w:hint="eastAsia" w:asciiTheme="majorEastAsia" w:hAnsiTheme="majorEastAsia" w:eastAsiaTheme="majorEastAsia"/>
          <w:b w:val="0"/>
          <w:bCs w:val="0"/>
          <w:color w:val="auto"/>
          <w:sz w:val="28"/>
          <w:szCs w:val="28"/>
          <w:lang w:val="en-US" w:eastAsia="zh-CN"/>
        </w:rPr>
        <w:t>三、工作要求</w:t>
      </w:r>
    </w:p>
    <w:p w14:paraId="5A2D801F">
      <w:pPr>
        <w:rPr>
          <w:rFonts w:hint="eastAsia" w:asciiTheme="majorEastAsia" w:hAnsiTheme="majorEastAsia" w:eastAsiaTheme="majorEastAsia"/>
          <w:b w:val="0"/>
          <w:bCs w:val="0"/>
          <w:color w:val="auto"/>
          <w:sz w:val="28"/>
          <w:szCs w:val="28"/>
          <w:lang w:val="en-US" w:eastAsia="zh-CN"/>
        </w:rPr>
      </w:pPr>
      <w:r>
        <w:rPr>
          <w:rFonts w:hint="eastAsia" w:asciiTheme="majorEastAsia" w:hAnsiTheme="majorEastAsia" w:eastAsiaTheme="majorEastAsia"/>
          <w:b w:val="0"/>
          <w:bCs w:val="0"/>
          <w:color w:val="auto"/>
          <w:sz w:val="28"/>
          <w:szCs w:val="28"/>
          <w:lang w:val="en-US" w:eastAsia="zh-CN"/>
        </w:rPr>
        <w:t>1.中标单位要充分了解现状情况，充分收集相关资料，听取有关部门意见。</w:t>
      </w:r>
    </w:p>
    <w:p w14:paraId="2963F1F8">
      <w:pPr>
        <w:rPr>
          <w:rFonts w:hint="eastAsia" w:asciiTheme="majorEastAsia" w:hAnsiTheme="majorEastAsia" w:eastAsiaTheme="majorEastAsia"/>
          <w:b w:val="0"/>
          <w:bCs w:val="0"/>
          <w:color w:val="000000" w:themeColor="text1"/>
          <w:sz w:val="28"/>
          <w:szCs w:val="28"/>
          <w:lang w:val="en-US" w:eastAsia="zh-CN"/>
          <w14:textFill>
            <w14:solidFill>
              <w14:schemeClr w14:val="tx1"/>
            </w14:solidFill>
          </w14:textFill>
        </w:rPr>
      </w:pPr>
      <w:r>
        <w:rPr>
          <w:rFonts w:hint="eastAsia" w:asciiTheme="majorEastAsia" w:hAnsiTheme="majorEastAsia" w:eastAsiaTheme="majorEastAsia"/>
          <w:b w:val="0"/>
          <w:bCs w:val="0"/>
          <w:color w:val="auto"/>
          <w:sz w:val="28"/>
          <w:szCs w:val="28"/>
          <w:lang w:val="en-US" w:eastAsia="zh-CN"/>
        </w:rPr>
        <w:t>2.土壤样品采集后，两周内出具土壤抽样检测报告。</w:t>
      </w:r>
    </w:p>
    <w:p w14:paraId="0CD9C075">
      <w:pPr>
        <w:rPr>
          <w:rFonts w:hint="eastAsia" w:asciiTheme="majorEastAsia" w:hAnsiTheme="majorEastAsia" w:eastAsiaTheme="majorEastAsia"/>
          <w:b/>
          <w:bCs/>
          <w:color w:val="000000" w:themeColor="text1"/>
          <w:sz w:val="28"/>
          <w:szCs w:val="28"/>
          <w14:textFill>
            <w14:solidFill>
              <w14:schemeClr w14:val="tx1"/>
            </w14:solidFill>
          </w14:textFill>
        </w:rPr>
      </w:pPr>
    </w:p>
    <w:p w14:paraId="13810546">
      <w:pPr>
        <w:pStyle w:val="27"/>
        <w:ind w:firstLine="480"/>
        <w:rPr>
          <w:rFonts w:hint="eastAsia" w:eastAsiaTheme="minorEastAsia"/>
        </w:rPr>
        <w:sectPr>
          <w:footerReference r:id="rId3" w:type="default"/>
          <w:pgSz w:w="11906" w:h="16838"/>
          <w:pgMar w:top="1440" w:right="1558" w:bottom="1440" w:left="1800" w:header="851" w:footer="992" w:gutter="0"/>
          <w:cols w:space="425" w:num="1"/>
          <w:docGrid w:type="lines" w:linePitch="312" w:charSpace="0"/>
        </w:sectPr>
      </w:pPr>
    </w:p>
    <w:p w14:paraId="4E687D0A">
      <w:pPr>
        <w:jc w:val="center"/>
        <w:rPr>
          <w:rFonts w:ascii="黑体" w:hAnsi="黑体" w:eastAsia="黑体"/>
          <w:b/>
        </w:rPr>
      </w:pPr>
      <w:r>
        <w:rPr>
          <w:rFonts w:ascii="黑体" w:hAnsi="黑体" w:eastAsia="黑体"/>
          <w:sz w:val="44"/>
          <w:szCs w:val="44"/>
        </w:rPr>
        <w:t>第六章</w:t>
      </w:r>
      <w:r>
        <w:rPr>
          <w:rFonts w:hint="eastAsia" w:ascii="黑体" w:hAnsi="黑体" w:eastAsia="黑体"/>
          <w:sz w:val="44"/>
          <w:szCs w:val="44"/>
        </w:rPr>
        <w:t xml:space="preserve"> </w:t>
      </w:r>
      <w:r>
        <w:rPr>
          <w:rFonts w:hint="eastAsia" w:ascii="黑体" w:hAnsi="黑体" w:eastAsia="黑体"/>
          <w:b/>
          <w:sz w:val="44"/>
          <w:szCs w:val="44"/>
        </w:rPr>
        <w:t>投标文件的编制要求及参考格式</w:t>
      </w:r>
      <w:r>
        <w:rPr>
          <w:rFonts w:ascii="黑体" w:hAnsi="黑体" w:eastAsia="黑体"/>
          <w:b/>
        </w:rPr>
        <w:t xml:space="preserve"> </w:t>
      </w:r>
      <w:bookmarkStart w:id="273" w:name="_Hlt26671244"/>
      <w:bookmarkEnd w:id="273"/>
      <w:bookmarkStart w:id="274" w:name="_Hlt26955039"/>
      <w:bookmarkEnd w:id="274"/>
      <w:bookmarkStart w:id="275" w:name="_Toc120614282"/>
      <w:bookmarkStart w:id="276" w:name="_Toc288030359"/>
      <w:bookmarkStart w:id="277" w:name="_Toc26554094"/>
      <w:bookmarkStart w:id="278" w:name="_Toc282446331"/>
      <w:bookmarkStart w:id="279" w:name="_Toc49090576"/>
    </w:p>
    <w:p w14:paraId="67B2E51B">
      <w:pPr>
        <w:pStyle w:val="17"/>
        <w:spacing w:line="360" w:lineRule="exact"/>
        <w:ind w:left="646" w:firstLine="0"/>
        <w:jc w:val="center"/>
        <w:outlineLvl w:val="0"/>
        <w:rPr>
          <w:rFonts w:ascii="黑体" w:hAnsi="黑体" w:eastAsia="黑体"/>
          <w:b/>
          <w:color w:val="auto"/>
          <w:sz w:val="44"/>
          <w:szCs w:val="44"/>
        </w:rPr>
      </w:pPr>
    </w:p>
    <w:p w14:paraId="4832E140">
      <w:pPr>
        <w:spacing w:line="500" w:lineRule="exact"/>
        <w:rPr>
          <w:rFonts w:ascii="黑体" w:hAnsi="黑体" w:eastAsia="黑体"/>
          <w:sz w:val="32"/>
          <w:szCs w:val="32"/>
        </w:rPr>
      </w:pPr>
      <w:bookmarkStart w:id="280" w:name="_Toc426469932"/>
      <w:r>
        <w:rPr>
          <w:rFonts w:ascii="黑体" w:hAnsi="黑体" w:eastAsia="黑体"/>
          <w:sz w:val="32"/>
          <w:szCs w:val="32"/>
        </w:rPr>
        <w:t>1.</w:t>
      </w:r>
      <w:r>
        <w:rPr>
          <w:rFonts w:hint="eastAsia" w:ascii="黑体" w:hAnsi="黑体" w:eastAsia="黑体" w:cs="宋体"/>
          <w:sz w:val="32"/>
          <w:szCs w:val="32"/>
        </w:rPr>
        <w:t>投标文件的组成</w:t>
      </w:r>
      <w:bookmarkEnd w:id="280"/>
    </w:p>
    <w:p w14:paraId="6C8B62B7">
      <w:pPr>
        <w:adjustRightInd w:val="0"/>
        <w:snapToGrid w:val="0"/>
        <w:spacing w:line="500" w:lineRule="exact"/>
        <w:ind w:firstLine="560" w:firstLineChars="200"/>
        <w:rPr>
          <w:rFonts w:ascii="宋体"/>
          <w:sz w:val="28"/>
          <w:szCs w:val="28"/>
        </w:rPr>
      </w:pPr>
      <w:bookmarkStart w:id="281" w:name="_Toc426469933"/>
      <w:r>
        <w:rPr>
          <w:rFonts w:ascii="宋体"/>
          <w:sz w:val="28"/>
          <w:szCs w:val="28"/>
        </w:rPr>
        <w:t>见本招标文件第二章</w:t>
      </w:r>
      <w:r>
        <w:rPr>
          <w:rFonts w:hint="eastAsia" w:ascii="宋体"/>
          <w:sz w:val="28"/>
          <w:szCs w:val="28"/>
        </w:rPr>
        <w:t>3.1条。</w:t>
      </w:r>
    </w:p>
    <w:p w14:paraId="3DAE910F">
      <w:pPr>
        <w:spacing w:line="500" w:lineRule="exact"/>
        <w:rPr>
          <w:rFonts w:ascii="黑体" w:hAnsi="黑体" w:eastAsia="黑体"/>
          <w:sz w:val="32"/>
          <w:szCs w:val="32"/>
        </w:rPr>
      </w:pPr>
      <w:r>
        <w:rPr>
          <w:rFonts w:ascii="黑体" w:hAnsi="黑体" w:eastAsia="黑体"/>
          <w:sz w:val="32"/>
          <w:szCs w:val="32"/>
        </w:rPr>
        <w:t>2.</w:t>
      </w:r>
      <w:r>
        <w:rPr>
          <w:rFonts w:hint="eastAsia" w:ascii="黑体" w:hAnsi="黑体" w:eastAsia="黑体" w:cs="宋体"/>
          <w:sz w:val="32"/>
          <w:szCs w:val="32"/>
        </w:rPr>
        <w:t>投标文件的编制内容及编制要求</w:t>
      </w:r>
      <w:bookmarkEnd w:id="281"/>
    </w:p>
    <w:p w14:paraId="1CB89D9E">
      <w:pPr>
        <w:spacing w:line="500" w:lineRule="exact"/>
        <w:rPr>
          <w:rFonts w:ascii="楷体" w:hAnsi="楷体" w:eastAsia="楷体"/>
          <w:b/>
          <w:sz w:val="28"/>
          <w:szCs w:val="28"/>
        </w:rPr>
      </w:pPr>
      <w:r>
        <w:rPr>
          <w:rFonts w:ascii="楷体" w:hAnsi="楷体" w:eastAsia="楷体"/>
          <w:b/>
          <w:sz w:val="28"/>
          <w:szCs w:val="28"/>
        </w:rPr>
        <w:t>2.1</w:t>
      </w:r>
      <w:r>
        <w:rPr>
          <w:rFonts w:hint="eastAsia" w:ascii="楷体" w:hAnsi="楷体" w:eastAsia="楷体" w:cs="宋体"/>
          <w:b/>
          <w:sz w:val="28"/>
          <w:szCs w:val="28"/>
        </w:rPr>
        <w:t>开标一览表</w:t>
      </w:r>
    </w:p>
    <w:p w14:paraId="3B8D31CD">
      <w:pPr>
        <w:spacing w:line="500" w:lineRule="exact"/>
        <w:ind w:firstLine="560" w:firstLineChars="200"/>
        <w:rPr>
          <w:rFonts w:ascii="宋体"/>
          <w:sz w:val="28"/>
          <w:szCs w:val="28"/>
        </w:rPr>
      </w:pPr>
      <w:r>
        <w:rPr>
          <w:rFonts w:ascii="宋体" w:hAnsi="宋体"/>
          <w:sz w:val="28"/>
          <w:szCs w:val="28"/>
        </w:rPr>
        <w:t xml:space="preserve">2.1.1 </w:t>
      </w:r>
      <w:r>
        <w:rPr>
          <w:rFonts w:hint="eastAsia" w:ascii="宋体" w:hAnsi="宋体" w:cs="宋体"/>
          <w:sz w:val="28"/>
          <w:szCs w:val="28"/>
        </w:rPr>
        <w:t>投标人应按表中格式完整、清晰、正确填写；</w:t>
      </w:r>
    </w:p>
    <w:p w14:paraId="5EE89BF5">
      <w:pPr>
        <w:spacing w:line="500" w:lineRule="exact"/>
        <w:ind w:firstLine="560" w:firstLineChars="200"/>
        <w:rPr>
          <w:rFonts w:ascii="宋体"/>
          <w:sz w:val="28"/>
          <w:szCs w:val="28"/>
        </w:rPr>
      </w:pPr>
      <w:r>
        <w:rPr>
          <w:rFonts w:ascii="宋体" w:hAnsi="宋体"/>
          <w:sz w:val="28"/>
          <w:szCs w:val="28"/>
        </w:rPr>
        <w:t>2.1.2</w:t>
      </w:r>
      <w:r>
        <w:rPr>
          <w:rFonts w:hint="eastAsia" w:ascii="宋体" w:hAnsi="宋体" w:cs="宋体"/>
          <w:sz w:val="28"/>
          <w:szCs w:val="28"/>
        </w:rPr>
        <w:t>开标一览表中的价格应与投标文件中</w:t>
      </w:r>
      <w:bookmarkStart w:id="282" w:name="OLE_LINK8"/>
      <w:r>
        <w:rPr>
          <w:rFonts w:hint="eastAsia" w:ascii="宋体" w:hAnsi="宋体" w:cs="宋体"/>
          <w:sz w:val="28"/>
          <w:szCs w:val="28"/>
        </w:rPr>
        <w:t>投标报价明细表</w:t>
      </w:r>
      <w:bookmarkEnd w:id="282"/>
      <w:r>
        <w:rPr>
          <w:rFonts w:hint="eastAsia" w:ascii="宋体" w:hAnsi="宋体" w:cs="宋体"/>
          <w:sz w:val="28"/>
          <w:szCs w:val="28"/>
        </w:rPr>
        <w:t>中的价格一致。</w:t>
      </w:r>
    </w:p>
    <w:p w14:paraId="5BC627F3">
      <w:pPr>
        <w:spacing w:line="500" w:lineRule="exact"/>
        <w:ind w:firstLine="560" w:firstLineChars="200"/>
        <w:rPr>
          <w:rFonts w:ascii="宋体"/>
          <w:sz w:val="28"/>
          <w:szCs w:val="28"/>
        </w:rPr>
      </w:pPr>
      <w:r>
        <w:rPr>
          <w:rFonts w:ascii="宋体" w:hAnsi="宋体"/>
          <w:sz w:val="28"/>
          <w:szCs w:val="28"/>
        </w:rPr>
        <w:t>2.1.</w:t>
      </w:r>
      <w:r>
        <w:rPr>
          <w:rFonts w:hint="eastAsia" w:ascii="宋体" w:hAnsi="宋体"/>
          <w:sz w:val="28"/>
          <w:szCs w:val="28"/>
        </w:rPr>
        <w:t>3</w:t>
      </w:r>
      <w:r>
        <w:rPr>
          <w:rFonts w:hint="eastAsia" w:ascii="宋体" w:hAnsi="宋体" w:cs="宋体"/>
          <w:sz w:val="28"/>
          <w:szCs w:val="28"/>
        </w:rPr>
        <w:t>开标一览表格式见附件。</w:t>
      </w:r>
    </w:p>
    <w:p w14:paraId="789A5BBC">
      <w:pPr>
        <w:spacing w:line="500" w:lineRule="exact"/>
        <w:rPr>
          <w:rFonts w:ascii="楷体" w:hAnsi="楷体" w:eastAsia="楷体"/>
          <w:b/>
          <w:sz w:val="28"/>
          <w:szCs w:val="28"/>
        </w:rPr>
      </w:pPr>
      <w:r>
        <w:rPr>
          <w:rFonts w:ascii="楷体" w:hAnsi="楷体" w:eastAsia="楷体"/>
          <w:b/>
          <w:sz w:val="28"/>
          <w:szCs w:val="28"/>
        </w:rPr>
        <w:t xml:space="preserve">2.2 </w:t>
      </w:r>
      <w:r>
        <w:rPr>
          <w:rFonts w:hint="eastAsia" w:ascii="楷体" w:hAnsi="楷体" w:eastAsia="楷体" w:cs="宋体"/>
          <w:b/>
          <w:sz w:val="28"/>
          <w:szCs w:val="28"/>
        </w:rPr>
        <w:t>投标函</w:t>
      </w:r>
    </w:p>
    <w:p w14:paraId="01B7DABE">
      <w:pPr>
        <w:spacing w:line="500" w:lineRule="exact"/>
        <w:ind w:firstLine="560" w:firstLineChars="200"/>
        <w:rPr>
          <w:rFonts w:ascii="宋体"/>
          <w:sz w:val="28"/>
          <w:szCs w:val="28"/>
        </w:rPr>
      </w:pPr>
      <w:r>
        <w:rPr>
          <w:rFonts w:ascii="宋体" w:hAnsi="宋体"/>
          <w:sz w:val="28"/>
          <w:szCs w:val="28"/>
        </w:rPr>
        <w:t>2.2.1</w:t>
      </w:r>
      <w:r>
        <w:rPr>
          <w:rFonts w:hint="eastAsia" w:ascii="宋体" w:hAnsi="宋体" w:cs="宋体"/>
          <w:sz w:val="28"/>
          <w:szCs w:val="28"/>
        </w:rPr>
        <w:t>投标人应按表中规定格式完整、清晰、正确填写；</w:t>
      </w:r>
    </w:p>
    <w:p w14:paraId="3AC9D46E">
      <w:pPr>
        <w:spacing w:line="500" w:lineRule="exact"/>
        <w:ind w:firstLine="560" w:firstLineChars="200"/>
        <w:rPr>
          <w:rFonts w:ascii="宋体"/>
          <w:sz w:val="28"/>
          <w:szCs w:val="28"/>
        </w:rPr>
      </w:pPr>
      <w:r>
        <w:rPr>
          <w:rFonts w:ascii="宋体" w:hAnsi="宋体"/>
          <w:sz w:val="28"/>
          <w:szCs w:val="28"/>
        </w:rPr>
        <w:t>2.2.2</w:t>
      </w:r>
      <w:r>
        <w:rPr>
          <w:rFonts w:hint="eastAsia" w:ascii="宋体" w:hAnsi="宋体" w:cs="宋体"/>
          <w:sz w:val="28"/>
          <w:szCs w:val="28"/>
        </w:rPr>
        <w:t>投标函必须加盖投标人法人公章并经法定代表人签字或签章。</w:t>
      </w:r>
    </w:p>
    <w:p w14:paraId="0353FF46">
      <w:pPr>
        <w:spacing w:line="500" w:lineRule="exact"/>
        <w:rPr>
          <w:rFonts w:ascii="楷体" w:hAnsi="楷体" w:eastAsia="楷体"/>
          <w:b/>
          <w:sz w:val="28"/>
          <w:szCs w:val="28"/>
        </w:rPr>
      </w:pPr>
      <w:r>
        <w:rPr>
          <w:rFonts w:hint="eastAsia" w:ascii="楷体" w:hAnsi="楷体" w:eastAsia="楷体"/>
          <w:b/>
          <w:sz w:val="28"/>
          <w:szCs w:val="28"/>
        </w:rPr>
        <w:t>2.3资格条件证明文件</w:t>
      </w:r>
    </w:p>
    <w:p w14:paraId="0CB388E9">
      <w:pPr>
        <w:spacing w:line="50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1</w:t>
      </w:r>
      <w:r>
        <w:rPr>
          <w:rFonts w:hint="eastAsia" w:ascii="宋体" w:hAnsi="宋体" w:cs="宋体"/>
          <w:sz w:val="28"/>
          <w:szCs w:val="28"/>
        </w:rPr>
        <w:t>）供应商基本资格条件承诺函；</w:t>
      </w:r>
    </w:p>
    <w:p w14:paraId="34414AB5">
      <w:pPr>
        <w:spacing w:line="50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2</w:t>
      </w:r>
      <w:r>
        <w:rPr>
          <w:rFonts w:hint="eastAsia" w:ascii="宋体" w:hAnsi="宋体" w:cs="宋体"/>
          <w:sz w:val="28"/>
          <w:szCs w:val="28"/>
        </w:rPr>
        <w:t>）招标文件要求的其他资格条件证明材料。</w:t>
      </w:r>
    </w:p>
    <w:p w14:paraId="23EDEF29">
      <w:pPr>
        <w:spacing w:line="500" w:lineRule="exact"/>
        <w:rPr>
          <w:rFonts w:ascii="楷体" w:hAnsi="楷体" w:eastAsia="楷体"/>
          <w:b/>
          <w:sz w:val="28"/>
          <w:szCs w:val="28"/>
        </w:rPr>
      </w:pPr>
      <w:r>
        <w:rPr>
          <w:rFonts w:ascii="楷体" w:hAnsi="楷体" w:eastAsia="楷体"/>
          <w:b/>
          <w:sz w:val="28"/>
          <w:szCs w:val="28"/>
        </w:rPr>
        <w:t>2.</w:t>
      </w:r>
      <w:r>
        <w:rPr>
          <w:rFonts w:hint="eastAsia" w:ascii="楷体" w:hAnsi="楷体" w:eastAsia="楷体"/>
          <w:b/>
          <w:sz w:val="28"/>
          <w:szCs w:val="28"/>
        </w:rPr>
        <w:t>4采购需求</w:t>
      </w:r>
      <w:r>
        <w:rPr>
          <w:rFonts w:hint="eastAsia" w:ascii="楷体" w:hAnsi="楷体" w:eastAsia="楷体" w:cs="宋体"/>
          <w:b/>
          <w:sz w:val="28"/>
          <w:szCs w:val="28"/>
        </w:rPr>
        <w:t>响应表</w:t>
      </w:r>
    </w:p>
    <w:p w14:paraId="15E48FDB">
      <w:pPr>
        <w:spacing w:line="500" w:lineRule="exact"/>
        <w:ind w:firstLine="560" w:firstLineChars="200"/>
        <w:rPr>
          <w:rFonts w:ascii="宋体" w:hAnsi="宋体"/>
          <w:b/>
          <w:sz w:val="28"/>
          <w:szCs w:val="28"/>
        </w:rPr>
      </w:pPr>
      <w:r>
        <w:rPr>
          <w:rFonts w:hint="eastAsia" w:ascii="宋体" w:hAnsi="宋体"/>
          <w:sz w:val="28"/>
          <w:szCs w:val="28"/>
        </w:rPr>
        <w:t>投标人应仔细阅读招标文件第五章采购需求，结合自身的实际情况，如实编制，格式自拟。</w:t>
      </w:r>
      <w:r>
        <w:rPr>
          <w:rFonts w:hint="eastAsia" w:ascii="宋体" w:hAnsi="宋体"/>
          <w:b/>
          <w:sz w:val="28"/>
          <w:szCs w:val="28"/>
        </w:rPr>
        <w:t>采购需求响应表须详细说明实际提供的服务及其他采购需求中相关要求的响应情况。</w:t>
      </w:r>
    </w:p>
    <w:p w14:paraId="1703A022">
      <w:pPr>
        <w:spacing w:line="500" w:lineRule="exact"/>
        <w:rPr>
          <w:rFonts w:ascii="楷体" w:hAnsi="楷体" w:eastAsia="楷体" w:cs="宋体"/>
          <w:b/>
          <w:sz w:val="28"/>
          <w:szCs w:val="28"/>
        </w:rPr>
      </w:pPr>
      <w:r>
        <w:rPr>
          <w:rFonts w:ascii="楷体" w:hAnsi="楷体" w:eastAsia="楷体"/>
          <w:b/>
          <w:sz w:val="28"/>
          <w:szCs w:val="28"/>
        </w:rPr>
        <w:t>2.</w:t>
      </w:r>
      <w:r>
        <w:rPr>
          <w:rFonts w:hint="eastAsia" w:ascii="楷体" w:hAnsi="楷体" w:eastAsia="楷体"/>
          <w:b/>
          <w:sz w:val="28"/>
          <w:szCs w:val="28"/>
        </w:rPr>
        <w:t>5</w:t>
      </w:r>
      <w:r>
        <w:rPr>
          <w:rFonts w:hint="eastAsia" w:ascii="楷体" w:hAnsi="楷体" w:eastAsia="楷体" w:cs="宋体"/>
          <w:b/>
          <w:sz w:val="28"/>
          <w:szCs w:val="28"/>
        </w:rPr>
        <w:t>投标人认为应列入投标文件的其他材料</w:t>
      </w:r>
    </w:p>
    <w:p w14:paraId="0EFABBBD">
      <w:pPr>
        <w:spacing w:line="500" w:lineRule="exact"/>
        <w:ind w:firstLine="560" w:firstLineChars="200"/>
        <w:rPr>
          <w:rFonts w:hint="eastAsia" w:ascii="宋体" w:hAnsi="宋体"/>
          <w:sz w:val="28"/>
          <w:szCs w:val="28"/>
        </w:rPr>
      </w:pPr>
      <w:r>
        <w:rPr>
          <w:rFonts w:hint="eastAsia" w:ascii="宋体" w:hAnsi="宋体"/>
          <w:sz w:val="28"/>
          <w:szCs w:val="28"/>
        </w:rPr>
        <w:t>投标人应对照第三章评标办法中的评审因素，结合自身的实际情况，如实编制，格式自拟。</w:t>
      </w:r>
    </w:p>
    <w:p w14:paraId="35234212">
      <w:pPr>
        <w:pStyle w:val="2"/>
        <w:rPr>
          <w:rFonts w:hint="default" w:ascii="楷体" w:hAnsi="楷体" w:eastAsia="楷体" w:cs="宋体"/>
          <w:b/>
          <w:sz w:val="28"/>
          <w:szCs w:val="28"/>
          <w:lang w:val="en-US" w:eastAsia="zh-CN" w:bidi="ar-SA"/>
        </w:rPr>
      </w:pPr>
      <w:r>
        <w:rPr>
          <w:rFonts w:hint="eastAsia" w:ascii="楷体" w:hAnsi="楷体" w:eastAsia="楷体" w:cs="宋体"/>
          <w:b/>
          <w:sz w:val="28"/>
          <w:szCs w:val="28"/>
          <w:lang w:val="en-US" w:eastAsia="zh-CN" w:bidi="ar-SA"/>
        </w:rPr>
        <w:t>2.6 诚信承诺（格式自拟）</w:t>
      </w:r>
    </w:p>
    <w:p w14:paraId="17D6264C">
      <w:pPr>
        <w:spacing w:line="500" w:lineRule="exact"/>
        <w:rPr>
          <w:rFonts w:ascii="黑体" w:hAnsi="黑体" w:eastAsia="黑体"/>
          <w:sz w:val="32"/>
          <w:szCs w:val="32"/>
        </w:rPr>
      </w:pPr>
      <w:bookmarkStart w:id="283" w:name="_Toc426469934"/>
      <w:r>
        <w:rPr>
          <w:rFonts w:ascii="黑体" w:hAnsi="黑体" w:eastAsia="黑体"/>
          <w:sz w:val="32"/>
          <w:szCs w:val="32"/>
        </w:rPr>
        <w:br w:type="page"/>
      </w:r>
      <w:r>
        <w:rPr>
          <w:rFonts w:ascii="黑体" w:hAnsi="黑体" w:eastAsia="黑体"/>
          <w:sz w:val="32"/>
          <w:szCs w:val="32"/>
        </w:rPr>
        <w:t xml:space="preserve">3. </w:t>
      </w:r>
      <w:r>
        <w:rPr>
          <w:rFonts w:hint="eastAsia" w:ascii="黑体" w:hAnsi="黑体" w:eastAsia="黑体" w:cs="宋体"/>
          <w:sz w:val="32"/>
          <w:szCs w:val="32"/>
        </w:rPr>
        <w:t>投标文件参考格式</w:t>
      </w:r>
      <w:bookmarkEnd w:id="275"/>
      <w:bookmarkEnd w:id="276"/>
      <w:bookmarkEnd w:id="277"/>
      <w:bookmarkEnd w:id="278"/>
      <w:bookmarkEnd w:id="279"/>
      <w:bookmarkEnd w:id="283"/>
      <w:bookmarkStart w:id="284" w:name="_Toc426469936"/>
      <w:bookmarkStart w:id="285" w:name="_Toc426469937"/>
      <w:bookmarkStart w:id="286" w:name="_Toc383679822"/>
      <w:bookmarkStart w:id="287" w:name="_Toc382812507"/>
      <w:bookmarkStart w:id="288" w:name="_Toc382813957"/>
      <w:bookmarkStart w:id="289" w:name="_Toc383698722"/>
      <w:bookmarkStart w:id="290" w:name="_Toc382812316"/>
      <w:bookmarkStart w:id="291" w:name="_Toc383624021"/>
      <w:bookmarkStart w:id="292" w:name="_Toc390098915"/>
      <w:bookmarkStart w:id="293" w:name="_Toc383626069"/>
      <w:bookmarkStart w:id="294" w:name="_Toc390246998"/>
      <w:bookmarkStart w:id="295" w:name="_Toc383587529"/>
      <w:bookmarkStart w:id="296" w:name="_Toc382811202"/>
      <w:bookmarkStart w:id="297" w:name="_Toc382811607"/>
      <w:bookmarkStart w:id="298" w:name="_Toc383623749"/>
      <w:bookmarkStart w:id="299" w:name="_Toc390099111"/>
      <w:bookmarkStart w:id="300" w:name="_Toc382814038"/>
    </w:p>
    <w:p w14:paraId="6A4F2C71">
      <w:pPr>
        <w:rPr>
          <w:rFonts w:ascii="楷体" w:hAnsi="楷体" w:eastAsia="楷体"/>
          <w:b/>
          <w:sz w:val="28"/>
          <w:szCs w:val="28"/>
        </w:rPr>
      </w:pPr>
      <w:r>
        <w:rPr>
          <w:rFonts w:ascii="楷体" w:hAnsi="楷体" w:eastAsia="楷体"/>
          <w:b/>
          <w:sz w:val="28"/>
          <w:szCs w:val="28"/>
        </w:rPr>
        <w:t>3.</w:t>
      </w:r>
      <w:r>
        <w:rPr>
          <w:rFonts w:hint="eastAsia" w:ascii="楷体" w:hAnsi="楷体" w:eastAsia="楷体"/>
          <w:b/>
          <w:sz w:val="28"/>
          <w:szCs w:val="28"/>
        </w:rPr>
        <w:t>1</w:t>
      </w:r>
      <w:r>
        <w:rPr>
          <w:rFonts w:hint="eastAsia" w:ascii="楷体" w:hAnsi="楷体" w:eastAsia="楷体" w:cs="宋体"/>
          <w:b/>
          <w:sz w:val="28"/>
          <w:szCs w:val="28"/>
        </w:rPr>
        <w:t>投标文件封面格式</w:t>
      </w:r>
      <w:bookmarkEnd w:id="284"/>
    </w:p>
    <w:p w14:paraId="046DC2CC">
      <w:pPr>
        <w:spacing w:line="360" w:lineRule="exact"/>
        <w:ind w:firstLine="480" w:firstLineChars="200"/>
        <w:jc w:val="center"/>
        <w:rPr>
          <w:rFonts w:ascii="宋体"/>
        </w:rPr>
      </w:pPr>
    </w:p>
    <w:p w14:paraId="678D37DF">
      <w:pPr>
        <w:spacing w:line="360" w:lineRule="exact"/>
        <w:ind w:firstLine="480" w:firstLineChars="200"/>
        <w:jc w:val="center"/>
        <w:rPr>
          <w:rFonts w:ascii="宋体"/>
        </w:rPr>
      </w:pPr>
    </w:p>
    <w:p w14:paraId="6FFB1A2D">
      <w:pPr>
        <w:jc w:val="center"/>
        <w:rPr>
          <w:rFonts w:ascii="宋体"/>
          <w:b/>
          <w:sz w:val="48"/>
          <w:szCs w:val="48"/>
        </w:rPr>
      </w:pPr>
      <w:r>
        <w:rPr>
          <w:rFonts w:hint="eastAsia" w:ascii="宋体"/>
          <w:b/>
          <w:sz w:val="48"/>
          <w:szCs w:val="48"/>
        </w:rPr>
        <w:t>投标文件</w:t>
      </w:r>
    </w:p>
    <w:p w14:paraId="688BC321">
      <w:pPr>
        <w:pStyle w:val="2"/>
      </w:pPr>
    </w:p>
    <w:p w14:paraId="7CB388AB">
      <w:pPr>
        <w:spacing w:line="440" w:lineRule="exact"/>
        <w:ind w:firstLine="2520" w:firstLineChars="900"/>
        <w:rPr>
          <w:rFonts w:ascii="宋体"/>
          <w:sz w:val="28"/>
          <w:szCs w:val="28"/>
        </w:rPr>
      </w:pPr>
      <w:r>
        <w:rPr>
          <w:rFonts w:hint="eastAsia" w:ascii="宋体"/>
          <w:sz w:val="28"/>
          <w:szCs w:val="28"/>
        </w:rPr>
        <w:t>采购项目名称：</w:t>
      </w:r>
    </w:p>
    <w:p w14:paraId="2B570695">
      <w:pPr>
        <w:spacing w:line="440" w:lineRule="exact"/>
        <w:ind w:firstLine="2520" w:firstLineChars="900"/>
        <w:rPr>
          <w:rFonts w:ascii="宋体" w:cs="宋体"/>
          <w:sz w:val="28"/>
          <w:szCs w:val="28"/>
          <w:u w:val="single"/>
        </w:rPr>
      </w:pPr>
      <w:r>
        <w:rPr>
          <w:rFonts w:hint="eastAsia" w:ascii="宋体"/>
          <w:sz w:val="28"/>
          <w:szCs w:val="28"/>
        </w:rPr>
        <w:t>采购项目编号：</w:t>
      </w:r>
    </w:p>
    <w:p w14:paraId="3F8A0895">
      <w:pPr>
        <w:spacing w:line="360" w:lineRule="exact"/>
        <w:ind w:firstLine="1260" w:firstLineChars="450"/>
        <w:rPr>
          <w:rFonts w:ascii="宋体"/>
          <w:sz w:val="28"/>
          <w:szCs w:val="28"/>
        </w:rPr>
      </w:pPr>
    </w:p>
    <w:p w14:paraId="53A5C002">
      <w:pPr>
        <w:spacing w:line="360" w:lineRule="exact"/>
        <w:ind w:firstLine="560" w:firstLineChars="200"/>
        <w:rPr>
          <w:rFonts w:ascii="宋体"/>
          <w:sz w:val="28"/>
          <w:szCs w:val="28"/>
        </w:rPr>
      </w:pPr>
    </w:p>
    <w:p w14:paraId="0D53A671">
      <w:pPr>
        <w:tabs>
          <w:tab w:val="left" w:pos="2700"/>
        </w:tabs>
        <w:spacing w:line="400" w:lineRule="exact"/>
        <w:ind w:firstLine="2520" w:firstLineChars="900"/>
        <w:rPr>
          <w:rFonts w:ascii="宋体"/>
          <w:sz w:val="28"/>
          <w:szCs w:val="28"/>
          <w:u w:val="single"/>
        </w:rPr>
      </w:pPr>
      <w:r>
        <w:rPr>
          <w:rFonts w:hint="eastAsia" w:ascii="宋体"/>
          <w:sz w:val="28"/>
          <w:szCs w:val="28"/>
        </w:rPr>
        <w:t>投标人名称：</w:t>
      </w:r>
      <w:r>
        <w:rPr>
          <w:rFonts w:ascii="宋体"/>
          <w:sz w:val="28"/>
          <w:szCs w:val="28"/>
          <w:u w:val="single"/>
        </w:rPr>
        <w:t xml:space="preserve">  </w:t>
      </w:r>
      <w:r>
        <w:rPr>
          <w:rFonts w:hint="eastAsia" w:ascii="宋体"/>
          <w:sz w:val="28"/>
          <w:szCs w:val="28"/>
          <w:u w:val="single"/>
        </w:rPr>
        <w:t>（盖法人章）</w:t>
      </w:r>
      <w:r>
        <w:rPr>
          <w:rFonts w:ascii="宋体"/>
          <w:sz w:val="28"/>
          <w:szCs w:val="28"/>
          <w:u w:val="single"/>
        </w:rPr>
        <w:t xml:space="preserve">     </w:t>
      </w:r>
    </w:p>
    <w:p w14:paraId="17A1F448">
      <w:pPr>
        <w:tabs>
          <w:tab w:val="left" w:pos="2700"/>
        </w:tabs>
        <w:spacing w:line="400" w:lineRule="exact"/>
        <w:ind w:firstLine="2520" w:firstLineChars="900"/>
        <w:rPr>
          <w:rFonts w:ascii="宋体"/>
          <w:sz w:val="28"/>
          <w:szCs w:val="28"/>
          <w:u w:val="single"/>
        </w:rPr>
      </w:pPr>
      <w:r>
        <w:rPr>
          <w:rFonts w:hint="eastAsia" w:ascii="宋体"/>
          <w:sz w:val="28"/>
          <w:szCs w:val="28"/>
        </w:rPr>
        <w:t>联系人：</w:t>
      </w:r>
    </w:p>
    <w:p w14:paraId="7AFCCC98">
      <w:pPr>
        <w:tabs>
          <w:tab w:val="left" w:pos="2700"/>
        </w:tabs>
        <w:spacing w:line="400" w:lineRule="exact"/>
        <w:ind w:firstLine="2520" w:firstLineChars="900"/>
        <w:rPr>
          <w:rFonts w:ascii="宋体"/>
          <w:sz w:val="28"/>
          <w:szCs w:val="28"/>
          <w:u w:val="single"/>
        </w:rPr>
      </w:pPr>
      <w:r>
        <w:rPr>
          <w:rFonts w:hint="eastAsia" w:ascii="宋体"/>
          <w:sz w:val="28"/>
          <w:szCs w:val="28"/>
        </w:rPr>
        <w:t>联系电话：</w:t>
      </w:r>
    </w:p>
    <w:p w14:paraId="695DE8A7">
      <w:pPr>
        <w:spacing w:line="400" w:lineRule="exact"/>
        <w:ind w:firstLine="2520" w:firstLineChars="900"/>
        <w:rPr>
          <w:rFonts w:ascii="宋体"/>
          <w:sz w:val="28"/>
          <w:szCs w:val="28"/>
        </w:rPr>
      </w:pPr>
      <w:r>
        <w:rPr>
          <w:rFonts w:hint="eastAsia" w:ascii="宋体"/>
          <w:sz w:val="28"/>
          <w:szCs w:val="28"/>
        </w:rPr>
        <w:t>日期：</w:t>
      </w:r>
      <w:r>
        <w:rPr>
          <w:rFonts w:ascii="宋体"/>
          <w:sz w:val="28"/>
          <w:szCs w:val="28"/>
        </w:rPr>
        <w:t>______</w:t>
      </w:r>
      <w:r>
        <w:rPr>
          <w:rFonts w:hint="eastAsia" w:ascii="宋体"/>
          <w:sz w:val="28"/>
          <w:szCs w:val="28"/>
        </w:rPr>
        <w:t>年</w:t>
      </w:r>
      <w:r>
        <w:rPr>
          <w:rFonts w:ascii="宋体"/>
          <w:sz w:val="28"/>
          <w:szCs w:val="28"/>
        </w:rPr>
        <w:t>____</w:t>
      </w:r>
      <w:r>
        <w:rPr>
          <w:rFonts w:hint="eastAsia" w:ascii="宋体"/>
          <w:sz w:val="28"/>
          <w:szCs w:val="28"/>
        </w:rPr>
        <w:t>月</w:t>
      </w:r>
      <w:r>
        <w:rPr>
          <w:rFonts w:ascii="宋体"/>
          <w:sz w:val="28"/>
          <w:szCs w:val="28"/>
        </w:rPr>
        <w:t>____</w:t>
      </w:r>
      <w:r>
        <w:rPr>
          <w:rFonts w:hint="eastAsia" w:ascii="宋体"/>
          <w:sz w:val="28"/>
          <w:szCs w:val="28"/>
        </w:rPr>
        <w:t>日</w:t>
      </w:r>
    </w:p>
    <w:p w14:paraId="6A6681F7">
      <w:pPr>
        <w:spacing w:line="400" w:lineRule="exact"/>
        <w:rPr>
          <w:rFonts w:ascii="宋体"/>
          <w:sz w:val="28"/>
          <w:szCs w:val="28"/>
        </w:rPr>
      </w:pPr>
    </w:p>
    <w:p w14:paraId="774337D7">
      <w:pPr>
        <w:spacing w:line="400" w:lineRule="exact"/>
        <w:rPr>
          <w:rFonts w:ascii="楷体" w:hAnsi="楷体" w:eastAsia="楷体"/>
          <w:b/>
          <w:sz w:val="28"/>
          <w:szCs w:val="28"/>
        </w:rPr>
      </w:pPr>
      <w:r>
        <w:rPr>
          <w:rFonts w:ascii="楷体" w:hAnsi="楷体" w:eastAsia="楷体"/>
          <w:b/>
          <w:sz w:val="28"/>
          <w:szCs w:val="28"/>
        </w:rPr>
        <w:t>3.</w:t>
      </w:r>
      <w:r>
        <w:rPr>
          <w:rFonts w:hint="eastAsia" w:ascii="楷体" w:hAnsi="楷体" w:eastAsia="楷体"/>
          <w:b/>
          <w:sz w:val="28"/>
          <w:szCs w:val="28"/>
        </w:rPr>
        <w:t>2</w:t>
      </w:r>
      <w:r>
        <w:rPr>
          <w:rFonts w:ascii="楷体" w:hAnsi="楷体" w:eastAsia="楷体"/>
          <w:b/>
          <w:sz w:val="28"/>
          <w:szCs w:val="28"/>
        </w:rPr>
        <w:t xml:space="preserve"> </w:t>
      </w:r>
      <w:r>
        <w:rPr>
          <w:rFonts w:hint="eastAsia" w:ascii="楷体" w:hAnsi="楷体" w:eastAsia="楷体" w:cs="宋体"/>
          <w:b/>
          <w:sz w:val="28"/>
          <w:szCs w:val="28"/>
        </w:rPr>
        <w:t>开标一览表</w:t>
      </w:r>
      <w:bookmarkEnd w:id="285"/>
    </w:p>
    <w:p w14:paraId="1E4AC1DA">
      <w:pPr>
        <w:rPr>
          <w:b/>
          <w:sz w:val="32"/>
          <w:szCs w:val="32"/>
        </w:rPr>
      </w:pPr>
      <w:bookmarkStart w:id="301" w:name="_Toc426469938"/>
      <w:r>
        <w:rPr>
          <w:rFonts w:hint="eastAsia"/>
        </w:rPr>
        <w:t xml:space="preserve">                  </w:t>
      </w:r>
      <w:r>
        <w:rPr>
          <w:rFonts w:hint="eastAsia"/>
          <w:b/>
          <w:sz w:val="32"/>
          <w:szCs w:val="32"/>
        </w:rPr>
        <w:t>开标一览表</w:t>
      </w:r>
    </w:p>
    <w:p w14:paraId="015D3D2E">
      <w:pPr>
        <w:pStyle w:val="2"/>
        <w:rPr>
          <w:sz w:val="28"/>
          <w:szCs w:val="28"/>
        </w:rPr>
      </w:pPr>
      <w:r>
        <w:rPr>
          <w:rFonts w:hint="eastAsia"/>
          <w:sz w:val="28"/>
          <w:szCs w:val="28"/>
        </w:rPr>
        <w:t>投标人名称（加盖公章）：</w:t>
      </w:r>
    </w:p>
    <w:p w14:paraId="2A9B8967">
      <w:pPr>
        <w:pStyle w:val="2"/>
        <w:rPr>
          <w:sz w:val="28"/>
          <w:szCs w:val="28"/>
        </w:rPr>
      </w:pPr>
      <w:r>
        <w:rPr>
          <w:rFonts w:hint="eastAsia"/>
          <w:sz w:val="28"/>
          <w:szCs w:val="28"/>
        </w:rPr>
        <w:t>项目名称：</w:t>
      </w:r>
    </w:p>
    <w:p w14:paraId="7255C150">
      <w:pPr>
        <w:pStyle w:val="2"/>
        <w:rPr>
          <w:sz w:val="28"/>
          <w:szCs w:val="28"/>
        </w:rPr>
      </w:pPr>
      <w:r>
        <w:rPr>
          <w:rFonts w:hint="eastAsia"/>
          <w:sz w:val="28"/>
          <w:szCs w:val="28"/>
        </w:rPr>
        <w:t>项目编号：</w:t>
      </w:r>
    </w:p>
    <w:tbl>
      <w:tblPr>
        <w:tblStyle w:val="23"/>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6"/>
        <w:gridCol w:w="5245"/>
      </w:tblGrid>
      <w:tr w14:paraId="4B6BA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6" w:type="dxa"/>
          </w:tcPr>
          <w:p w14:paraId="07635A72">
            <w:pPr>
              <w:pStyle w:val="2"/>
              <w:rPr>
                <w:sz w:val="28"/>
                <w:szCs w:val="28"/>
              </w:rPr>
            </w:pPr>
            <w:r>
              <w:rPr>
                <w:rFonts w:hint="eastAsia"/>
                <w:sz w:val="28"/>
                <w:szCs w:val="28"/>
              </w:rPr>
              <w:t>标的名称</w:t>
            </w:r>
          </w:p>
        </w:tc>
        <w:tc>
          <w:tcPr>
            <w:tcW w:w="5245" w:type="dxa"/>
          </w:tcPr>
          <w:p w14:paraId="70CA14CD">
            <w:pPr>
              <w:pStyle w:val="2"/>
              <w:rPr>
                <w:sz w:val="28"/>
                <w:szCs w:val="28"/>
              </w:rPr>
            </w:pPr>
          </w:p>
        </w:tc>
      </w:tr>
      <w:tr w14:paraId="5DC15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6" w:type="dxa"/>
          </w:tcPr>
          <w:p w14:paraId="3A133E73">
            <w:pPr>
              <w:pStyle w:val="2"/>
              <w:rPr>
                <w:rFonts w:hint="default" w:eastAsia="宋体"/>
                <w:sz w:val="28"/>
                <w:szCs w:val="28"/>
                <w:lang w:val="en-US" w:eastAsia="zh-CN"/>
              </w:rPr>
            </w:pPr>
            <w:r>
              <w:rPr>
                <w:rFonts w:hint="eastAsia"/>
                <w:sz w:val="28"/>
                <w:szCs w:val="28"/>
                <w:lang w:val="en-US" w:eastAsia="zh-CN"/>
              </w:rPr>
              <w:t>投标报价</w:t>
            </w:r>
          </w:p>
        </w:tc>
        <w:tc>
          <w:tcPr>
            <w:tcW w:w="5245" w:type="dxa"/>
          </w:tcPr>
          <w:p w14:paraId="72DE8BCD">
            <w:pPr>
              <w:pStyle w:val="2"/>
              <w:spacing w:line="460" w:lineRule="exact"/>
              <w:rPr>
                <w:rFonts w:hint="eastAsia"/>
                <w:sz w:val="28"/>
                <w:szCs w:val="28"/>
              </w:rPr>
            </w:pPr>
            <w:r>
              <w:rPr>
                <w:rFonts w:hint="eastAsia"/>
                <w:sz w:val="28"/>
                <w:szCs w:val="28"/>
              </w:rPr>
              <w:t>投标</w:t>
            </w:r>
            <w:r>
              <w:rPr>
                <w:rFonts w:hint="eastAsia"/>
                <w:sz w:val="28"/>
                <w:szCs w:val="28"/>
                <w:lang w:eastAsia="zh-CN"/>
              </w:rPr>
              <w:t>单</w:t>
            </w:r>
            <w:r>
              <w:rPr>
                <w:rFonts w:hint="eastAsia"/>
                <w:sz w:val="28"/>
                <w:szCs w:val="28"/>
              </w:rPr>
              <w:t>价：</w:t>
            </w:r>
          </w:p>
          <w:p w14:paraId="398E7369">
            <w:pPr>
              <w:pStyle w:val="2"/>
              <w:spacing w:line="460" w:lineRule="exact"/>
              <w:rPr>
                <w:rFonts w:hint="eastAsia"/>
                <w:sz w:val="28"/>
                <w:szCs w:val="28"/>
                <w:lang w:eastAsia="zh-CN"/>
              </w:rPr>
            </w:pPr>
            <w:r>
              <w:rPr>
                <w:rFonts w:hint="eastAsia"/>
                <w:sz w:val="28"/>
                <w:szCs w:val="28"/>
              </w:rPr>
              <w:t>小写</w:t>
            </w:r>
            <w:r>
              <w:rPr>
                <w:rFonts w:hint="eastAsia"/>
                <w:sz w:val="28"/>
                <w:szCs w:val="28"/>
                <w:u w:val="none"/>
              </w:rPr>
              <w:t>：</w:t>
            </w:r>
            <w:r>
              <w:rPr>
                <w:rFonts w:hint="eastAsia"/>
                <w:sz w:val="28"/>
                <w:szCs w:val="28"/>
                <w:u w:val="single"/>
              </w:rPr>
              <w:t xml:space="preserve">            </w:t>
            </w:r>
            <w:r>
              <w:rPr>
                <w:rFonts w:hint="eastAsia"/>
                <w:sz w:val="28"/>
                <w:szCs w:val="28"/>
                <w:u w:val="single"/>
                <w:lang w:val="en-US" w:eastAsia="zh-CN"/>
              </w:rPr>
              <w:t xml:space="preserve">     元/亩</w:t>
            </w:r>
          </w:p>
          <w:p w14:paraId="0E4254B4">
            <w:pPr>
              <w:pStyle w:val="2"/>
              <w:spacing w:line="460" w:lineRule="exact"/>
              <w:rPr>
                <w:sz w:val="28"/>
                <w:szCs w:val="28"/>
              </w:rPr>
            </w:pPr>
            <w:r>
              <w:rPr>
                <w:rFonts w:hint="eastAsia"/>
                <w:sz w:val="28"/>
                <w:szCs w:val="28"/>
              </w:rPr>
              <w:t>大写：</w:t>
            </w:r>
            <w:r>
              <w:rPr>
                <w:rFonts w:hint="eastAsia"/>
                <w:sz w:val="28"/>
                <w:szCs w:val="28"/>
                <w:u w:val="single"/>
              </w:rPr>
              <w:t xml:space="preserve">                     </w:t>
            </w:r>
            <w:r>
              <w:rPr>
                <w:rFonts w:hint="eastAsia"/>
                <w:sz w:val="28"/>
                <w:szCs w:val="28"/>
              </w:rPr>
              <w:t>（人民币）</w:t>
            </w:r>
          </w:p>
        </w:tc>
      </w:tr>
    </w:tbl>
    <w:p w14:paraId="69BCDDCB">
      <w:pPr>
        <w:rPr>
          <w:sz w:val="28"/>
          <w:szCs w:val="28"/>
        </w:rPr>
      </w:pPr>
    </w:p>
    <w:p w14:paraId="1DA96A7F">
      <w:pPr>
        <w:spacing w:line="400" w:lineRule="exact"/>
        <w:ind w:firstLine="2520" w:firstLineChars="900"/>
        <w:rPr>
          <w:rFonts w:ascii="宋体"/>
          <w:sz w:val="28"/>
          <w:szCs w:val="28"/>
        </w:rPr>
      </w:pPr>
      <w:r>
        <w:rPr>
          <w:rFonts w:hint="eastAsia"/>
          <w:sz w:val="28"/>
          <w:szCs w:val="28"/>
        </w:rPr>
        <w:t>日期：</w:t>
      </w:r>
      <w:r>
        <w:rPr>
          <w:rFonts w:ascii="宋体"/>
          <w:sz w:val="28"/>
          <w:szCs w:val="28"/>
        </w:rPr>
        <w:t>______</w:t>
      </w:r>
      <w:r>
        <w:rPr>
          <w:rFonts w:hint="eastAsia" w:ascii="宋体"/>
          <w:sz w:val="28"/>
          <w:szCs w:val="28"/>
        </w:rPr>
        <w:t>年</w:t>
      </w:r>
      <w:r>
        <w:rPr>
          <w:rFonts w:ascii="宋体"/>
          <w:sz w:val="28"/>
          <w:szCs w:val="28"/>
        </w:rPr>
        <w:t>____</w:t>
      </w:r>
      <w:r>
        <w:rPr>
          <w:rFonts w:hint="eastAsia" w:ascii="宋体"/>
          <w:sz w:val="28"/>
          <w:szCs w:val="28"/>
        </w:rPr>
        <w:t>月</w:t>
      </w:r>
      <w:r>
        <w:rPr>
          <w:rFonts w:ascii="宋体"/>
          <w:sz w:val="28"/>
          <w:szCs w:val="28"/>
        </w:rPr>
        <w:t>____</w:t>
      </w:r>
      <w:r>
        <w:rPr>
          <w:rFonts w:hint="eastAsia" w:ascii="宋体"/>
          <w:sz w:val="28"/>
          <w:szCs w:val="28"/>
        </w:rPr>
        <w:t>日</w:t>
      </w:r>
    </w:p>
    <w:p w14:paraId="2604F1ED"/>
    <w:p w14:paraId="2CBA3CBD">
      <w:pPr>
        <w:rPr>
          <w:rFonts w:ascii="楷体" w:hAnsi="楷体" w:eastAsia="楷体"/>
          <w:sz w:val="28"/>
          <w:szCs w:val="28"/>
        </w:rPr>
      </w:pPr>
      <w:r>
        <w:br w:type="page"/>
      </w:r>
      <w:r>
        <w:rPr>
          <w:rFonts w:ascii="楷体" w:hAnsi="楷体" w:eastAsia="楷体" w:cs="宋体"/>
          <w:b/>
          <w:sz w:val="28"/>
          <w:szCs w:val="28"/>
        </w:rPr>
        <w:t>3.</w:t>
      </w:r>
      <w:r>
        <w:rPr>
          <w:rFonts w:hint="eastAsia" w:ascii="楷体" w:hAnsi="楷体" w:eastAsia="楷体" w:cs="宋体"/>
          <w:b/>
          <w:sz w:val="28"/>
          <w:szCs w:val="28"/>
        </w:rPr>
        <w:t>3</w:t>
      </w:r>
      <w:r>
        <w:rPr>
          <w:rFonts w:ascii="楷体" w:hAnsi="楷体" w:eastAsia="楷体" w:cs="宋体"/>
          <w:b/>
          <w:sz w:val="28"/>
          <w:szCs w:val="28"/>
        </w:rPr>
        <w:t xml:space="preserve"> </w:t>
      </w:r>
      <w:r>
        <w:rPr>
          <w:rFonts w:hint="eastAsia" w:ascii="楷体" w:hAnsi="楷体" w:eastAsia="楷体" w:cs="宋体"/>
          <w:b/>
          <w:sz w:val="28"/>
          <w:szCs w:val="28"/>
        </w:rPr>
        <w:t>投标函</w:t>
      </w:r>
      <w:bookmarkEnd w:id="301"/>
    </w:p>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14:paraId="4290F9BA">
      <w:pPr>
        <w:jc w:val="center"/>
        <w:rPr>
          <w:sz w:val="44"/>
          <w:szCs w:val="44"/>
        </w:rPr>
      </w:pPr>
      <w:bookmarkStart w:id="302" w:name="_Toc367785041"/>
      <w:r>
        <w:rPr>
          <w:rFonts w:hint="eastAsia"/>
          <w:sz w:val="44"/>
          <w:szCs w:val="44"/>
        </w:rPr>
        <w:t>投</w:t>
      </w:r>
      <w:r>
        <w:rPr>
          <w:rFonts w:eastAsia="Times New Roman"/>
          <w:sz w:val="44"/>
          <w:szCs w:val="44"/>
        </w:rPr>
        <w:t xml:space="preserve"> </w:t>
      </w:r>
      <w:r>
        <w:rPr>
          <w:rFonts w:hint="eastAsia" w:ascii="宋体" w:hAnsi="宋体" w:cs="宋体"/>
          <w:sz w:val="44"/>
          <w:szCs w:val="44"/>
        </w:rPr>
        <w:t>标</w:t>
      </w:r>
      <w:r>
        <w:rPr>
          <w:rFonts w:eastAsia="Times New Roman"/>
          <w:sz w:val="44"/>
          <w:szCs w:val="44"/>
        </w:rPr>
        <w:t xml:space="preserve"> </w:t>
      </w:r>
      <w:r>
        <w:rPr>
          <w:rFonts w:hint="eastAsia" w:ascii="宋体" w:hAnsi="宋体" w:cs="宋体"/>
          <w:sz w:val="44"/>
          <w:szCs w:val="44"/>
        </w:rPr>
        <w:t>函</w:t>
      </w:r>
      <w:bookmarkEnd w:id="302"/>
    </w:p>
    <w:p w14:paraId="645F3B7D">
      <w:pPr>
        <w:rPr>
          <w:rFonts w:asciiTheme="minorEastAsia" w:hAnsiTheme="minorEastAsia"/>
          <w:sz w:val="28"/>
          <w:szCs w:val="28"/>
        </w:rPr>
      </w:pPr>
      <w:r>
        <w:rPr>
          <w:rFonts w:hint="eastAsia" w:asciiTheme="minorEastAsia" w:hAnsiTheme="minorEastAsia"/>
          <w:sz w:val="28"/>
          <w:szCs w:val="28"/>
        </w:rPr>
        <w:t>致：</w:t>
      </w:r>
      <w:r>
        <w:rPr>
          <w:rFonts w:asciiTheme="minorEastAsia" w:hAnsiTheme="minorEastAsia"/>
          <w:sz w:val="28"/>
          <w:szCs w:val="28"/>
          <w:u w:val="single"/>
        </w:rPr>
        <w:t>(</w:t>
      </w:r>
      <w:r>
        <w:rPr>
          <w:rFonts w:hint="eastAsia" w:asciiTheme="minorEastAsia" w:hAnsiTheme="minorEastAsia"/>
          <w:sz w:val="28"/>
          <w:szCs w:val="28"/>
          <w:u w:val="single"/>
        </w:rPr>
        <w:t>采购人名称</w:t>
      </w:r>
      <w:r>
        <w:rPr>
          <w:rFonts w:asciiTheme="minorEastAsia" w:hAnsiTheme="minorEastAsia"/>
          <w:sz w:val="28"/>
          <w:szCs w:val="28"/>
          <w:u w:val="single"/>
        </w:rPr>
        <w:t>)</w:t>
      </w:r>
      <w:r>
        <w:rPr>
          <w:rFonts w:hint="eastAsia" w:asciiTheme="minorEastAsia" w:hAnsiTheme="minorEastAsia"/>
          <w:sz w:val="28"/>
          <w:szCs w:val="28"/>
        </w:rPr>
        <w:t>：</w:t>
      </w:r>
    </w:p>
    <w:p w14:paraId="3C119333">
      <w:pPr>
        <w:spacing w:line="520" w:lineRule="exact"/>
        <w:ind w:firstLine="560" w:firstLineChars="200"/>
        <w:rPr>
          <w:rFonts w:asciiTheme="minorEastAsia" w:hAnsiTheme="minorEastAsia"/>
          <w:sz w:val="28"/>
          <w:szCs w:val="28"/>
        </w:rPr>
      </w:pPr>
      <w:r>
        <w:rPr>
          <w:rFonts w:hint="eastAsia" w:asciiTheme="minorEastAsia" w:hAnsiTheme="minorEastAsia"/>
          <w:sz w:val="28"/>
          <w:szCs w:val="28"/>
        </w:rPr>
        <w:t>根据</w:t>
      </w:r>
      <w:r>
        <w:rPr>
          <w:rFonts w:asciiTheme="minorEastAsia" w:hAnsiTheme="minorEastAsia"/>
          <w:sz w:val="28"/>
          <w:szCs w:val="28"/>
          <w:u w:val="single"/>
        </w:rPr>
        <w:t xml:space="preserve">   </w:t>
      </w:r>
      <w:r>
        <w:rPr>
          <w:rFonts w:hint="eastAsia" w:asciiTheme="minorEastAsia" w:hAnsiTheme="minorEastAsia"/>
          <w:sz w:val="28"/>
          <w:szCs w:val="28"/>
          <w:u w:val="single"/>
        </w:rPr>
        <w:t>（项目名称）</w:t>
      </w:r>
      <w:r>
        <w:rPr>
          <w:rFonts w:asciiTheme="minorEastAsia" w:hAnsiTheme="minorEastAsia"/>
          <w:sz w:val="28"/>
          <w:szCs w:val="28"/>
          <w:u w:val="single"/>
        </w:rPr>
        <w:t xml:space="preserve">    </w:t>
      </w:r>
      <w:r>
        <w:rPr>
          <w:rFonts w:hint="eastAsia" w:asciiTheme="minorEastAsia" w:hAnsiTheme="minorEastAsia"/>
          <w:sz w:val="28"/>
          <w:szCs w:val="28"/>
        </w:rPr>
        <w:t>招标文件的所有条款要求，遵照《中华人民共和国政府采购法》、《中华人民共和国政府采购法实施条例》等有关规定，我方承诺如下：</w:t>
      </w:r>
    </w:p>
    <w:p w14:paraId="62FF4B0F">
      <w:pPr>
        <w:spacing w:line="520" w:lineRule="exact"/>
        <w:ind w:firstLine="560" w:firstLineChars="200"/>
        <w:rPr>
          <w:rFonts w:asciiTheme="minorEastAsia" w:hAnsiTheme="minorEastAsia"/>
          <w:sz w:val="28"/>
          <w:szCs w:val="28"/>
        </w:rPr>
      </w:pPr>
      <w:r>
        <w:rPr>
          <w:rFonts w:asciiTheme="minorEastAsia" w:hAnsiTheme="minorEastAsia"/>
          <w:sz w:val="28"/>
          <w:szCs w:val="28"/>
        </w:rPr>
        <w:t>1</w:t>
      </w:r>
      <w:r>
        <w:rPr>
          <w:rFonts w:hint="eastAsia" w:asciiTheme="minorEastAsia" w:hAnsiTheme="minorEastAsia"/>
          <w:sz w:val="28"/>
          <w:szCs w:val="28"/>
        </w:rPr>
        <w:t>、投标</w:t>
      </w:r>
      <w:r>
        <w:rPr>
          <w:rFonts w:hint="eastAsia" w:asciiTheme="minorEastAsia" w:hAnsiTheme="minorEastAsia"/>
          <w:sz w:val="28"/>
          <w:szCs w:val="28"/>
          <w:lang w:eastAsia="zh-CN"/>
        </w:rPr>
        <w:t>单</w:t>
      </w:r>
      <w:r>
        <w:rPr>
          <w:rFonts w:hint="eastAsia" w:asciiTheme="minorEastAsia" w:hAnsiTheme="minorEastAsia"/>
          <w:sz w:val="28"/>
          <w:szCs w:val="28"/>
        </w:rPr>
        <w:t>价为</w:t>
      </w:r>
      <w:r>
        <w:rPr>
          <w:rFonts w:hint="eastAsia" w:asciiTheme="minorEastAsia" w:hAnsiTheme="minorEastAsia"/>
          <w:sz w:val="28"/>
          <w:szCs w:val="28"/>
          <w:u w:val="single"/>
        </w:rPr>
        <w:t xml:space="preserve">：         </w:t>
      </w:r>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u w:val="single"/>
        </w:rPr>
        <w:t xml:space="preserve"> </w:t>
      </w:r>
      <w:r>
        <w:rPr>
          <w:rFonts w:hint="eastAsia" w:asciiTheme="minorEastAsia" w:hAnsiTheme="minorEastAsia"/>
          <w:sz w:val="28"/>
          <w:szCs w:val="28"/>
        </w:rPr>
        <w:t>元</w:t>
      </w:r>
      <w:r>
        <w:rPr>
          <w:rFonts w:hint="eastAsia" w:asciiTheme="minorEastAsia" w:hAnsiTheme="minorEastAsia"/>
          <w:sz w:val="28"/>
          <w:szCs w:val="28"/>
          <w:lang w:val="en-US" w:eastAsia="zh-CN"/>
        </w:rPr>
        <w:t>/亩</w:t>
      </w:r>
      <w:r>
        <w:rPr>
          <w:rFonts w:hint="eastAsia" w:asciiTheme="minorEastAsia" w:hAnsiTheme="minorEastAsia"/>
          <w:sz w:val="28"/>
          <w:szCs w:val="28"/>
        </w:rPr>
        <w:t>（小写）</w:t>
      </w:r>
      <w:r>
        <w:rPr>
          <w:rFonts w:hint="eastAsia" w:asciiTheme="minorEastAsia" w:hAnsiTheme="minorEastAsia"/>
          <w:sz w:val="28"/>
          <w:szCs w:val="28"/>
          <w:u w:val="single"/>
        </w:rPr>
        <w:t xml:space="preserve">     </w:t>
      </w:r>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u w:val="single"/>
        </w:rPr>
        <w:t xml:space="preserve">   </w:t>
      </w:r>
      <w:r>
        <w:rPr>
          <w:rFonts w:hint="eastAsia" w:asciiTheme="minorEastAsia" w:hAnsiTheme="minorEastAsia"/>
          <w:sz w:val="28"/>
          <w:szCs w:val="28"/>
        </w:rPr>
        <w:t>(人民币大写)。</w:t>
      </w:r>
    </w:p>
    <w:p w14:paraId="4C7B9A48">
      <w:pPr>
        <w:spacing w:line="520" w:lineRule="exact"/>
        <w:ind w:firstLine="560" w:firstLineChars="200"/>
        <w:rPr>
          <w:rFonts w:asciiTheme="minorEastAsia" w:hAnsiTheme="minorEastAsia"/>
          <w:sz w:val="28"/>
          <w:szCs w:val="28"/>
        </w:rPr>
      </w:pPr>
      <w:r>
        <w:rPr>
          <w:rFonts w:hint="eastAsia" w:asciiTheme="minorEastAsia" w:hAnsiTheme="minorEastAsia"/>
          <w:sz w:val="28"/>
          <w:szCs w:val="28"/>
        </w:rPr>
        <w:t>2、合同履行期限（工期）：</w:t>
      </w:r>
      <w:r>
        <w:rPr>
          <w:rFonts w:hint="eastAsia" w:asciiTheme="minorEastAsia" w:hAnsiTheme="minorEastAsia"/>
          <w:sz w:val="28"/>
          <w:szCs w:val="28"/>
          <w:u w:val="single"/>
        </w:rPr>
        <w:t xml:space="preserve">              </w:t>
      </w:r>
      <w:r>
        <w:rPr>
          <w:rFonts w:hint="eastAsia" w:asciiTheme="minorEastAsia" w:hAnsiTheme="minorEastAsia"/>
          <w:sz w:val="28"/>
          <w:szCs w:val="28"/>
        </w:rPr>
        <w:t>。</w:t>
      </w:r>
      <w:r>
        <w:rPr>
          <w:rFonts w:asciiTheme="minorEastAsia" w:hAnsiTheme="minorEastAsia"/>
          <w:sz w:val="28"/>
          <w:szCs w:val="28"/>
        </w:rPr>
        <w:t xml:space="preserve"> </w:t>
      </w:r>
    </w:p>
    <w:p w14:paraId="262C07EC">
      <w:pPr>
        <w:spacing w:line="520" w:lineRule="exact"/>
        <w:ind w:firstLine="560" w:firstLineChars="200"/>
        <w:rPr>
          <w:rFonts w:asciiTheme="minorEastAsia" w:hAnsiTheme="minorEastAsia"/>
          <w:sz w:val="28"/>
          <w:szCs w:val="28"/>
        </w:rPr>
      </w:pPr>
      <w:r>
        <w:rPr>
          <w:rFonts w:hint="eastAsia" w:asciiTheme="minorEastAsia" w:hAnsiTheme="minorEastAsia"/>
          <w:sz w:val="28"/>
          <w:szCs w:val="28"/>
        </w:rPr>
        <w:t>3、投标有效期：</w:t>
      </w:r>
      <w:r>
        <w:rPr>
          <w:rFonts w:hint="eastAsia" w:asciiTheme="minorEastAsia" w:hAnsiTheme="minorEastAsia"/>
          <w:sz w:val="28"/>
          <w:szCs w:val="28"/>
          <w:u w:val="single"/>
        </w:rPr>
        <w:t xml:space="preserve"> 60天 </w:t>
      </w:r>
      <w:r>
        <w:rPr>
          <w:rFonts w:hint="eastAsia" w:asciiTheme="minorEastAsia" w:hAnsiTheme="minorEastAsia"/>
          <w:sz w:val="28"/>
          <w:szCs w:val="28"/>
        </w:rPr>
        <w:t>。在投标有效期内我方同意遵守本投标文件中的承诺且在此期限期满之前投标文件对我方具有法律约束力。</w:t>
      </w:r>
    </w:p>
    <w:p w14:paraId="4D259B6F">
      <w:pPr>
        <w:spacing w:line="520" w:lineRule="exact"/>
        <w:ind w:firstLine="560" w:firstLineChars="200"/>
        <w:rPr>
          <w:rFonts w:asciiTheme="minorEastAsia" w:hAnsiTheme="minorEastAsia"/>
          <w:sz w:val="28"/>
          <w:szCs w:val="28"/>
        </w:rPr>
      </w:pPr>
      <w:r>
        <w:rPr>
          <w:rFonts w:hint="eastAsia" w:asciiTheme="minorEastAsia" w:hAnsiTheme="minorEastAsia"/>
          <w:sz w:val="28"/>
          <w:szCs w:val="28"/>
        </w:rPr>
        <w:t>4、我方已详细审查全部招标文件。我们完全理解并同意放弃对这方面有不明及误解的权力。</w:t>
      </w:r>
    </w:p>
    <w:p w14:paraId="74F0D44E">
      <w:pPr>
        <w:spacing w:line="520" w:lineRule="exact"/>
        <w:ind w:firstLine="560" w:firstLineChars="200"/>
        <w:rPr>
          <w:rFonts w:asciiTheme="minorEastAsia" w:hAnsiTheme="minorEastAsia"/>
          <w:sz w:val="28"/>
          <w:szCs w:val="28"/>
        </w:rPr>
      </w:pPr>
      <w:r>
        <w:rPr>
          <w:rFonts w:hint="eastAsia" w:asciiTheme="minorEastAsia" w:hAnsiTheme="minorEastAsia"/>
          <w:sz w:val="28"/>
          <w:szCs w:val="28"/>
        </w:rPr>
        <w:t>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p>
    <w:p w14:paraId="3F81FE52">
      <w:pPr>
        <w:pStyle w:val="2"/>
      </w:pPr>
    </w:p>
    <w:p w14:paraId="58B67357">
      <w:pPr>
        <w:spacing w:line="520" w:lineRule="exact"/>
        <w:ind w:right="560" w:firstLine="3080" w:firstLineChars="1100"/>
        <w:rPr>
          <w:rFonts w:asciiTheme="minorEastAsia" w:hAnsiTheme="minorEastAsia"/>
          <w:sz w:val="28"/>
          <w:szCs w:val="28"/>
        </w:rPr>
      </w:pPr>
      <w:r>
        <w:rPr>
          <w:rFonts w:hint="eastAsia" w:asciiTheme="minorEastAsia" w:hAnsiTheme="minorEastAsia"/>
          <w:sz w:val="28"/>
          <w:szCs w:val="28"/>
        </w:rPr>
        <w:t>投标人名称(盖法人章)：</w:t>
      </w:r>
    </w:p>
    <w:p w14:paraId="19579D46">
      <w:pPr>
        <w:spacing w:line="520" w:lineRule="exact"/>
        <w:ind w:firstLine="3080" w:firstLineChars="1100"/>
        <w:rPr>
          <w:rFonts w:asciiTheme="minorEastAsia" w:hAnsiTheme="minorEastAsia"/>
          <w:sz w:val="28"/>
          <w:szCs w:val="28"/>
        </w:rPr>
      </w:pPr>
      <w:r>
        <w:rPr>
          <w:rFonts w:hint="eastAsia" w:asciiTheme="minorEastAsia" w:hAnsiTheme="minorEastAsia"/>
          <w:sz w:val="28"/>
          <w:szCs w:val="28"/>
        </w:rPr>
        <w:t>法定代表人 (签字或签章)：</w:t>
      </w:r>
    </w:p>
    <w:p w14:paraId="6A169F1F">
      <w:pPr>
        <w:spacing w:line="520" w:lineRule="exact"/>
        <w:ind w:firstLine="3080" w:firstLineChars="1100"/>
        <w:rPr>
          <w:rFonts w:asciiTheme="minorEastAsia" w:hAnsiTheme="minorEastAsia"/>
          <w:sz w:val="28"/>
          <w:szCs w:val="28"/>
        </w:rPr>
      </w:pPr>
      <w:r>
        <w:rPr>
          <w:rFonts w:hint="eastAsia" w:asciiTheme="minorEastAsia" w:hAnsiTheme="minorEastAsia"/>
          <w:sz w:val="28"/>
          <w:szCs w:val="28"/>
        </w:rPr>
        <w:t>日期：   年  月   日</w:t>
      </w:r>
    </w:p>
    <w:p w14:paraId="5AAAF5D1">
      <w:pPr>
        <w:widowControl/>
        <w:spacing w:line="500" w:lineRule="exact"/>
        <w:jc w:val="left"/>
        <w:rPr>
          <w:rFonts w:ascii="楷体" w:hAnsi="楷体" w:eastAsia="楷体" w:cs="宋体"/>
          <w:b/>
          <w:sz w:val="32"/>
          <w:szCs w:val="32"/>
        </w:rPr>
      </w:pPr>
      <w:r>
        <w:rPr>
          <w:rFonts w:asciiTheme="minorEastAsia" w:hAnsiTheme="minorEastAsia"/>
          <w:sz w:val="28"/>
          <w:szCs w:val="28"/>
        </w:rPr>
        <w:br w:type="page"/>
      </w:r>
      <w:r>
        <w:rPr>
          <w:rFonts w:hint="eastAsia" w:ascii="楷体" w:hAnsi="楷体" w:eastAsia="楷体" w:cs="宋体"/>
          <w:b/>
          <w:sz w:val="32"/>
          <w:szCs w:val="32"/>
        </w:rPr>
        <w:t>3.4供应商资格条件证明文件</w:t>
      </w:r>
    </w:p>
    <w:p w14:paraId="748C9EFF">
      <w:pPr>
        <w:pStyle w:val="7"/>
        <w:spacing w:line="50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（1）供应商基本资格条件承诺函</w:t>
      </w:r>
    </w:p>
    <w:p w14:paraId="65810DD4">
      <w:pPr>
        <w:pStyle w:val="7"/>
        <w:spacing w:line="500" w:lineRule="exact"/>
        <w:jc w:val="center"/>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供应商基本资格条件承诺函</w:t>
      </w:r>
    </w:p>
    <w:p w14:paraId="6CF9B79F">
      <w:pPr>
        <w:adjustRightInd w:val="0"/>
        <w:snapToGrid w:val="0"/>
        <w:spacing w:line="50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一、按照《政府采购法》第二十二条规定的供应商基本资格条件，我公司郑重承诺如下：</w:t>
      </w:r>
    </w:p>
    <w:p w14:paraId="2EEC4169">
      <w:pPr>
        <w:pStyle w:val="7"/>
        <w:adjustRightInd w:val="0"/>
        <w:snapToGrid w:val="0"/>
        <w:spacing w:line="500" w:lineRule="exact"/>
        <w:ind w:firstLine="560" w:firstLineChars="200"/>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rPr>
        <w:t>1.我公司具有</w:t>
      </w:r>
      <w:r>
        <w:rPr>
          <w:rFonts w:hint="eastAsia" w:asciiTheme="minorEastAsia" w:hAnsiTheme="minorEastAsia" w:eastAsiaTheme="minorEastAsia"/>
          <w:sz w:val="28"/>
          <w:szCs w:val="28"/>
          <w:shd w:val="clear" w:color="auto" w:fill="FFFFFF"/>
        </w:rPr>
        <w:t>良好的商业信誉和健全的财务制度；</w:t>
      </w:r>
    </w:p>
    <w:p w14:paraId="7339A7B2">
      <w:pPr>
        <w:pStyle w:val="7"/>
        <w:adjustRightInd w:val="0"/>
        <w:snapToGrid w:val="0"/>
        <w:spacing w:line="500" w:lineRule="exact"/>
        <w:ind w:firstLine="560" w:firstLineChars="200"/>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2.我公司具有履行合同所必须的设备和专业技术能力；</w:t>
      </w:r>
    </w:p>
    <w:p w14:paraId="59D4AC08">
      <w:pPr>
        <w:pStyle w:val="7"/>
        <w:adjustRightInd w:val="0"/>
        <w:snapToGrid w:val="0"/>
        <w:spacing w:line="500" w:lineRule="exact"/>
        <w:ind w:firstLine="560" w:firstLineChars="200"/>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3.我公司具有依法缴纳税收和社会保障资金的良好记录；</w:t>
      </w:r>
    </w:p>
    <w:p w14:paraId="7020809E">
      <w:pPr>
        <w:pStyle w:val="7"/>
        <w:adjustRightInd w:val="0"/>
        <w:snapToGrid w:val="0"/>
        <w:spacing w:line="500" w:lineRule="exact"/>
        <w:ind w:firstLine="560" w:firstLineChars="200"/>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4.我公司参加政府采购活动前三年内，在经营活动中没有重大违法记录；</w:t>
      </w:r>
    </w:p>
    <w:p w14:paraId="37C680BD">
      <w:pPr>
        <w:pStyle w:val="7"/>
        <w:adjustRightInd w:val="0"/>
        <w:snapToGrid w:val="0"/>
        <w:spacing w:line="500" w:lineRule="exact"/>
        <w:ind w:firstLine="560" w:firstLineChars="200"/>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5.我公司未列入在信用中国网站（www.creditchina.gov.cn）“失信被执行人”、“重大税收违法案件当事人名单”中，也未列入中国政府采购网（www.ccgp.gov.cn）“政府采购严重违法失信行为记录名单”中</w:t>
      </w:r>
      <w:r>
        <w:rPr>
          <w:rFonts w:hint="eastAsia" w:asciiTheme="minorEastAsia" w:hAnsiTheme="minorEastAsia" w:eastAsiaTheme="minorEastAsia"/>
          <w:sz w:val="28"/>
          <w:szCs w:val="28"/>
        </w:rPr>
        <w:t>。</w:t>
      </w:r>
    </w:p>
    <w:p w14:paraId="25E9D21B">
      <w:pPr>
        <w:pStyle w:val="7"/>
        <w:adjustRightInd w:val="0"/>
        <w:snapToGrid w:val="0"/>
        <w:spacing w:line="500" w:lineRule="exact"/>
        <w:ind w:firstLine="560" w:firstLineChars="200"/>
        <w:rPr>
          <w:rFonts w:asciiTheme="minorEastAsia" w:hAnsiTheme="minorEastAsia" w:eastAsiaTheme="minorEastAsia"/>
          <w:kern w:val="2"/>
          <w:sz w:val="28"/>
          <w:szCs w:val="28"/>
        </w:rPr>
      </w:pPr>
      <w:r>
        <w:rPr>
          <w:rFonts w:hint="eastAsia" w:asciiTheme="minorEastAsia" w:hAnsiTheme="minorEastAsia" w:eastAsiaTheme="minorEastAsia"/>
          <w:sz w:val="28"/>
          <w:szCs w:val="28"/>
          <w:shd w:val="clear" w:color="auto" w:fill="FFFFFF"/>
        </w:rPr>
        <w:t>二、</w:t>
      </w:r>
      <w:r>
        <w:rPr>
          <w:rFonts w:hint="eastAsia" w:asciiTheme="minorEastAsia" w:hAnsiTheme="minorEastAsia" w:eastAsiaTheme="minorEastAsia"/>
          <w:sz w:val="28"/>
          <w:szCs w:val="28"/>
        </w:rPr>
        <w:t>我公司承诺：在本次投标过程中，我公司不存在本项目招标文件第二章第1.4.3条所列情形之一。</w:t>
      </w:r>
    </w:p>
    <w:p w14:paraId="4BB7CF6D">
      <w:pPr>
        <w:adjustRightInd w:val="0"/>
        <w:snapToGrid w:val="0"/>
        <w:spacing w:before="156" w:beforeLines="50" w:line="500" w:lineRule="exact"/>
        <w:ind w:firstLine="3920" w:firstLineChars="1400"/>
        <w:rPr>
          <w:rFonts w:asciiTheme="minorEastAsia" w:hAnsiTheme="minorEastAsia" w:eastAsiaTheme="minorEastAsia"/>
          <w:sz w:val="28"/>
          <w:szCs w:val="28"/>
        </w:rPr>
      </w:pPr>
    </w:p>
    <w:p w14:paraId="0FD48C93">
      <w:pPr>
        <w:adjustRightInd w:val="0"/>
        <w:snapToGrid w:val="0"/>
        <w:spacing w:before="156" w:beforeLines="50" w:line="500" w:lineRule="exact"/>
        <w:ind w:firstLine="3920" w:firstLineChars="1400"/>
        <w:rPr>
          <w:rFonts w:asciiTheme="minorEastAsia" w:hAnsiTheme="minorEastAsia" w:eastAsiaTheme="minorEastAsia"/>
          <w:sz w:val="28"/>
          <w:szCs w:val="28"/>
        </w:rPr>
      </w:pPr>
      <w:r>
        <w:rPr>
          <w:rFonts w:asciiTheme="minorEastAsia" w:hAnsiTheme="minorEastAsia" w:eastAsiaTheme="minorEastAsia"/>
          <w:sz w:val="28"/>
          <w:szCs w:val="28"/>
        </w:rPr>
        <w:t>投标人名称(盖法人章)：</w:t>
      </w:r>
    </w:p>
    <w:p w14:paraId="2FCFC53D">
      <w:pPr>
        <w:adjustRightInd w:val="0"/>
        <w:snapToGrid w:val="0"/>
        <w:spacing w:before="156" w:beforeLines="50" w:line="500" w:lineRule="exact"/>
        <w:ind w:firstLine="3920" w:firstLineChars="1400"/>
        <w:rPr>
          <w:rFonts w:asciiTheme="minorEastAsia" w:hAnsiTheme="minorEastAsia" w:eastAsiaTheme="minorEastAsia"/>
          <w:sz w:val="28"/>
          <w:szCs w:val="28"/>
          <w:u w:val="single"/>
        </w:rPr>
      </w:pPr>
      <w:r>
        <w:rPr>
          <w:rFonts w:hint="eastAsia" w:asciiTheme="minorEastAsia" w:hAnsiTheme="minorEastAsia" w:eastAsiaTheme="minorEastAsia"/>
          <w:sz w:val="28"/>
          <w:szCs w:val="28"/>
        </w:rPr>
        <w:t>法定代表人</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签字或签章</w:t>
      </w:r>
      <w:r>
        <w:rPr>
          <w:rFonts w:asciiTheme="minorEastAsia" w:hAnsiTheme="minorEastAsia" w:eastAsiaTheme="minorEastAsia"/>
          <w:sz w:val="28"/>
          <w:szCs w:val="28"/>
        </w:rPr>
        <w:t>)</w:t>
      </w:r>
      <w:r>
        <w:rPr>
          <w:rFonts w:hint="eastAsia" w:asciiTheme="minorEastAsia" w:hAnsiTheme="minorEastAsia" w:eastAsiaTheme="minorEastAsia"/>
          <w:sz w:val="28"/>
          <w:szCs w:val="28"/>
        </w:rPr>
        <w:t>：</w:t>
      </w:r>
    </w:p>
    <w:p w14:paraId="53994A39">
      <w:pPr>
        <w:adjustRightInd w:val="0"/>
        <w:snapToGrid w:val="0"/>
        <w:spacing w:before="156" w:beforeLines="50" w:line="500" w:lineRule="exact"/>
        <w:ind w:firstLine="3920" w:firstLineChars="1400"/>
        <w:rPr>
          <w:rFonts w:asciiTheme="minorEastAsia" w:hAnsiTheme="minorEastAsia" w:eastAsiaTheme="minorEastAsia"/>
          <w:sz w:val="28"/>
          <w:szCs w:val="28"/>
        </w:rPr>
      </w:pPr>
      <w:r>
        <w:rPr>
          <w:rFonts w:hint="eastAsia" w:asciiTheme="minorEastAsia" w:hAnsiTheme="minorEastAsia" w:eastAsiaTheme="minorEastAsia"/>
          <w:sz w:val="28"/>
          <w:szCs w:val="28"/>
        </w:rPr>
        <w:t>日期：   年  月   日</w:t>
      </w:r>
    </w:p>
    <w:p w14:paraId="7070D950">
      <w:pPr>
        <w:pStyle w:val="7"/>
        <w:adjustRightInd w:val="0"/>
        <w:snapToGrid w:val="0"/>
        <w:spacing w:line="500" w:lineRule="exact"/>
        <w:rPr>
          <w:rFonts w:asciiTheme="minorEastAsia" w:hAnsiTheme="minorEastAsia" w:eastAsiaTheme="minorEastAsia"/>
          <w:b/>
          <w:sz w:val="28"/>
          <w:szCs w:val="28"/>
        </w:rPr>
      </w:pPr>
    </w:p>
    <w:p w14:paraId="773FB3B1">
      <w:pPr>
        <w:pStyle w:val="7"/>
        <w:adjustRightInd w:val="0"/>
        <w:snapToGrid w:val="0"/>
        <w:spacing w:line="5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（2）</w:t>
      </w:r>
      <w:r>
        <w:rPr>
          <w:rFonts w:hint="eastAsia" w:cs="宋体" w:asciiTheme="minorEastAsia" w:hAnsiTheme="minorEastAsia" w:eastAsiaTheme="minorEastAsia"/>
          <w:b/>
          <w:sz w:val="28"/>
          <w:szCs w:val="28"/>
        </w:rPr>
        <w:t>招标文件要求的其他资格条件及证明材料</w:t>
      </w:r>
    </w:p>
    <w:p w14:paraId="4C47C80F">
      <w:pPr>
        <w:pStyle w:val="7"/>
        <w:adjustRightInd w:val="0"/>
        <w:snapToGrid w:val="0"/>
        <w:spacing w:line="50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1.具有有效的营业执照（附证书的复印件）；</w:t>
      </w:r>
    </w:p>
    <w:p w14:paraId="7D1A2B71">
      <w:pPr>
        <w:pStyle w:val="7"/>
        <w:adjustRightInd w:val="0"/>
        <w:snapToGrid w:val="0"/>
        <w:spacing w:line="500" w:lineRule="exact"/>
        <w:ind w:firstLine="560" w:firstLineChars="200"/>
        <w:rPr>
          <w:rFonts w:ascii="楷体" w:hAnsi="楷体" w:eastAsia="楷体" w:cs="宋体"/>
          <w:b/>
          <w:sz w:val="28"/>
          <w:szCs w:val="28"/>
        </w:rPr>
      </w:pPr>
      <w:r>
        <w:rPr>
          <w:rFonts w:hint="eastAsia" w:cs="宋体" w:asciiTheme="minorEastAsia" w:hAnsiTheme="minorEastAsia" w:eastAsiaTheme="minorEastAsia"/>
          <w:sz w:val="28"/>
          <w:szCs w:val="28"/>
        </w:rPr>
        <w:t>2.中小企业声明函（参考格式附后）。</w:t>
      </w:r>
    </w:p>
    <w:p w14:paraId="568BA98C">
      <w:pPr>
        <w:widowControl/>
        <w:jc w:val="left"/>
        <w:rPr>
          <w:rFonts w:cs="宋体" w:asciiTheme="majorEastAsia" w:hAnsiTheme="majorEastAsia" w:eastAsiaTheme="majorEastAsia"/>
          <w:b/>
          <w:sz w:val="30"/>
          <w:szCs w:val="30"/>
        </w:rPr>
      </w:pPr>
      <w:r>
        <w:rPr>
          <w:rFonts w:cs="宋体" w:asciiTheme="majorEastAsia" w:hAnsiTheme="majorEastAsia" w:eastAsiaTheme="majorEastAsia"/>
          <w:b/>
          <w:sz w:val="30"/>
          <w:szCs w:val="30"/>
        </w:rPr>
        <w:br w:type="page"/>
      </w:r>
    </w:p>
    <w:p w14:paraId="0DE2FA7E">
      <w:pPr>
        <w:widowControl/>
        <w:jc w:val="left"/>
        <w:rPr>
          <w:rFonts w:cs="宋体" w:asciiTheme="majorEastAsia" w:hAnsiTheme="majorEastAsia" w:eastAsiaTheme="majorEastAsia"/>
          <w:b/>
          <w:sz w:val="30"/>
          <w:szCs w:val="30"/>
        </w:rPr>
      </w:pPr>
    </w:p>
    <w:p w14:paraId="2CFA892B">
      <w:pPr>
        <w:widowControl/>
        <w:jc w:val="left"/>
        <w:rPr>
          <w:rFonts w:cs="宋体" w:asciiTheme="majorEastAsia" w:hAnsiTheme="majorEastAsia" w:eastAsiaTheme="majorEastAsia"/>
          <w:sz w:val="30"/>
          <w:szCs w:val="30"/>
        </w:rPr>
      </w:pPr>
      <w:r>
        <w:rPr>
          <w:rFonts w:hint="eastAsia" w:cs="宋体" w:asciiTheme="majorEastAsia" w:hAnsiTheme="majorEastAsia" w:eastAsiaTheme="majorEastAsia"/>
          <w:b/>
          <w:sz w:val="30"/>
          <w:szCs w:val="30"/>
        </w:rPr>
        <w:t>附件：中小企业声明函</w:t>
      </w:r>
    </w:p>
    <w:p w14:paraId="54BD58FE">
      <w:pPr>
        <w:spacing w:line="440" w:lineRule="exact"/>
        <w:jc w:val="center"/>
        <w:rPr>
          <w:rFonts w:ascii="黑体" w:eastAsia="黑体"/>
          <w:bCs/>
          <w:sz w:val="32"/>
          <w:szCs w:val="32"/>
        </w:rPr>
      </w:pPr>
      <w:r>
        <w:rPr>
          <w:rFonts w:hint="eastAsia" w:ascii="黑体" w:eastAsia="黑体"/>
          <w:bCs/>
          <w:sz w:val="32"/>
          <w:szCs w:val="32"/>
        </w:rPr>
        <w:t>中小企业声明函</w:t>
      </w:r>
    </w:p>
    <w:p w14:paraId="2DC00DBA">
      <w:pPr>
        <w:spacing w:line="440" w:lineRule="exact"/>
        <w:ind w:firstLine="570"/>
        <w:rPr>
          <w:rFonts w:cs="宋体" w:asciiTheme="minorEastAsia" w:hAnsiTheme="minorEastAsia"/>
          <w:sz w:val="28"/>
          <w:szCs w:val="28"/>
        </w:rPr>
      </w:pPr>
      <w:r>
        <w:rPr>
          <w:rFonts w:hint="eastAsia" w:cs="宋体" w:asciiTheme="minorEastAsia" w:hAnsiTheme="minorEastAsia"/>
          <w:sz w:val="28"/>
          <w:szCs w:val="28"/>
        </w:rPr>
        <w:t>本公司（联合体）郑重声明，根据《政府采购促进中小企业发展管理办法》（财库[2020]46号）的规定，本公司（联合体）参加</w:t>
      </w:r>
      <w:r>
        <w:rPr>
          <w:rFonts w:hint="eastAsia" w:cs="宋体" w:asciiTheme="minorEastAsia" w:hAnsiTheme="minorEastAsia"/>
          <w:sz w:val="28"/>
          <w:szCs w:val="28"/>
          <w:u w:val="single"/>
        </w:rPr>
        <w:t xml:space="preserve"> （单位名称）      </w:t>
      </w:r>
      <w:r>
        <w:rPr>
          <w:rFonts w:hint="eastAsia" w:cs="宋体" w:asciiTheme="minorEastAsia" w:hAnsiTheme="minorEastAsia"/>
          <w:sz w:val="28"/>
          <w:szCs w:val="28"/>
        </w:rPr>
        <w:t>的</w:t>
      </w:r>
      <w:r>
        <w:rPr>
          <w:rFonts w:hint="eastAsia" w:cs="宋体" w:asciiTheme="minorEastAsia" w:hAnsiTheme="minorEastAsia"/>
          <w:sz w:val="28"/>
          <w:szCs w:val="28"/>
          <w:u w:val="single"/>
        </w:rPr>
        <w:t xml:space="preserve"> （标的名称）       </w:t>
      </w:r>
      <w:r>
        <w:rPr>
          <w:rFonts w:hint="eastAsia" w:cs="宋体" w:asciiTheme="minorEastAsia" w:hAnsiTheme="minorEastAsia"/>
          <w:sz w:val="28"/>
          <w:szCs w:val="28"/>
        </w:rPr>
        <w:t>采购活动，提供的货物或服务全部由符合政策要求的小微企业提供。相关企业（含联合体中的中小企业、签订分包意向协议的中小企业）的具体情况如下：</w:t>
      </w:r>
    </w:p>
    <w:p w14:paraId="7A97016E">
      <w:pPr>
        <w:spacing w:line="440" w:lineRule="exact"/>
        <w:ind w:firstLine="560" w:firstLineChars="200"/>
        <w:rPr>
          <w:rFonts w:cs="宋体" w:asciiTheme="minorEastAsia" w:hAnsiTheme="minorEastAsia"/>
          <w:sz w:val="28"/>
          <w:szCs w:val="28"/>
          <w:u w:val="single"/>
        </w:rPr>
      </w:pPr>
      <w:r>
        <w:rPr>
          <w:rFonts w:hint="eastAsia" w:cs="宋体" w:asciiTheme="minorEastAsia" w:hAnsiTheme="minorEastAsia"/>
          <w:sz w:val="28"/>
          <w:szCs w:val="28"/>
        </w:rPr>
        <w:t>1.</w:t>
      </w:r>
      <w:r>
        <w:rPr>
          <w:rFonts w:hint="eastAsia" w:cs="宋体" w:asciiTheme="minorEastAsia" w:hAnsiTheme="minorEastAsia"/>
          <w:sz w:val="28"/>
          <w:szCs w:val="28"/>
          <w:u w:val="single"/>
        </w:rPr>
        <w:t xml:space="preserve"> （标的名称）        </w:t>
      </w:r>
      <w:r>
        <w:rPr>
          <w:rFonts w:hint="eastAsia" w:cs="宋体" w:asciiTheme="minorEastAsia" w:hAnsiTheme="minorEastAsia"/>
          <w:sz w:val="28"/>
          <w:szCs w:val="28"/>
        </w:rPr>
        <w:t>，属于</w:t>
      </w:r>
      <w:r>
        <w:rPr>
          <w:rFonts w:hint="eastAsia" w:cs="宋体" w:asciiTheme="minorEastAsia" w:hAnsiTheme="minorEastAsia"/>
          <w:sz w:val="28"/>
          <w:szCs w:val="28"/>
          <w:u w:val="single"/>
        </w:rPr>
        <w:t xml:space="preserve">  （采购文件中明确的所属行业） </w:t>
      </w:r>
      <w:r>
        <w:rPr>
          <w:rFonts w:hint="eastAsia" w:cs="宋体" w:asciiTheme="minorEastAsia" w:hAnsiTheme="minorEastAsia"/>
          <w:sz w:val="28"/>
          <w:szCs w:val="28"/>
        </w:rPr>
        <w:t>；承建（承接）企业为</w:t>
      </w:r>
      <w:r>
        <w:rPr>
          <w:rFonts w:hint="eastAsia" w:cs="宋体" w:asciiTheme="minorEastAsia" w:hAnsiTheme="minorEastAsia"/>
          <w:sz w:val="28"/>
          <w:szCs w:val="28"/>
          <w:u w:val="single"/>
        </w:rPr>
        <w:t xml:space="preserve"> （企业名称）</w:t>
      </w:r>
      <w:r>
        <w:rPr>
          <w:rFonts w:hint="eastAsia" w:cs="宋体" w:asciiTheme="minorEastAsia" w:hAnsiTheme="minorEastAsia"/>
          <w:sz w:val="28"/>
          <w:szCs w:val="28"/>
        </w:rPr>
        <w:t>，从业人员</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人，营业收入</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万元，资产总额</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万元，属于</w:t>
      </w:r>
      <w:r>
        <w:rPr>
          <w:rFonts w:hint="eastAsia" w:cs="宋体" w:asciiTheme="minorEastAsia" w:hAnsiTheme="minorEastAsia"/>
          <w:sz w:val="28"/>
          <w:szCs w:val="28"/>
          <w:u w:val="single"/>
        </w:rPr>
        <w:t xml:space="preserve"> （中型企业、小型企业、微型企业）       </w:t>
      </w:r>
      <w:r>
        <w:rPr>
          <w:rFonts w:hint="eastAsia" w:cs="宋体" w:asciiTheme="minorEastAsia" w:hAnsiTheme="minorEastAsia"/>
          <w:sz w:val="28"/>
          <w:szCs w:val="28"/>
        </w:rPr>
        <w:t>；</w:t>
      </w:r>
    </w:p>
    <w:p w14:paraId="43108757">
      <w:pPr>
        <w:spacing w:line="440" w:lineRule="exact"/>
        <w:ind w:firstLine="560" w:firstLineChars="200"/>
        <w:rPr>
          <w:rFonts w:cs="宋体" w:asciiTheme="minorEastAsia" w:hAnsiTheme="minorEastAsia"/>
          <w:sz w:val="28"/>
          <w:szCs w:val="28"/>
          <w:u w:val="single"/>
        </w:rPr>
      </w:pPr>
      <w:r>
        <w:rPr>
          <w:rFonts w:hint="eastAsia" w:cs="宋体" w:asciiTheme="minorEastAsia" w:hAnsiTheme="minorEastAsia"/>
          <w:sz w:val="28"/>
          <w:szCs w:val="28"/>
        </w:rPr>
        <w:t>2.</w:t>
      </w:r>
      <w:r>
        <w:rPr>
          <w:rFonts w:hint="eastAsia" w:cs="宋体" w:asciiTheme="minorEastAsia" w:hAnsiTheme="minorEastAsia"/>
          <w:sz w:val="28"/>
          <w:szCs w:val="28"/>
          <w:u w:val="single"/>
        </w:rPr>
        <w:t xml:space="preserve">（标的名称）        </w:t>
      </w:r>
      <w:r>
        <w:rPr>
          <w:rFonts w:hint="eastAsia" w:cs="宋体" w:asciiTheme="minorEastAsia" w:hAnsiTheme="minorEastAsia"/>
          <w:sz w:val="28"/>
          <w:szCs w:val="28"/>
        </w:rPr>
        <w:t>，属于</w:t>
      </w:r>
      <w:r>
        <w:rPr>
          <w:rFonts w:hint="eastAsia" w:cs="宋体" w:asciiTheme="minorEastAsia" w:hAnsiTheme="minorEastAsia"/>
          <w:sz w:val="28"/>
          <w:szCs w:val="28"/>
          <w:u w:val="single"/>
        </w:rPr>
        <w:t xml:space="preserve">  （采购文件中明确的所属行业） </w:t>
      </w:r>
      <w:r>
        <w:rPr>
          <w:rFonts w:hint="eastAsia" w:cs="宋体" w:asciiTheme="minorEastAsia" w:hAnsiTheme="minorEastAsia"/>
          <w:sz w:val="28"/>
          <w:szCs w:val="28"/>
        </w:rPr>
        <w:t>；承建（承接）企业为</w:t>
      </w:r>
      <w:r>
        <w:rPr>
          <w:rFonts w:hint="eastAsia" w:cs="宋体" w:asciiTheme="minorEastAsia" w:hAnsiTheme="minorEastAsia"/>
          <w:sz w:val="28"/>
          <w:szCs w:val="28"/>
          <w:u w:val="single"/>
        </w:rPr>
        <w:t xml:space="preserve"> （企业名称）</w:t>
      </w:r>
      <w:r>
        <w:rPr>
          <w:rFonts w:hint="eastAsia" w:cs="宋体" w:asciiTheme="minorEastAsia" w:hAnsiTheme="minorEastAsia"/>
          <w:sz w:val="28"/>
          <w:szCs w:val="28"/>
        </w:rPr>
        <w:t>，从业人员</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人，营业收入</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万元，资产总额</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万元，属于</w:t>
      </w:r>
      <w:r>
        <w:rPr>
          <w:rFonts w:hint="eastAsia" w:cs="宋体" w:asciiTheme="minorEastAsia" w:hAnsiTheme="minorEastAsia"/>
          <w:sz w:val="28"/>
          <w:szCs w:val="28"/>
          <w:u w:val="single"/>
        </w:rPr>
        <w:t xml:space="preserve"> （中型企业、小型企业、微型企业）       </w:t>
      </w:r>
      <w:r>
        <w:rPr>
          <w:rFonts w:hint="eastAsia" w:cs="宋体" w:asciiTheme="minorEastAsia" w:hAnsiTheme="minorEastAsia"/>
          <w:sz w:val="28"/>
          <w:szCs w:val="28"/>
        </w:rPr>
        <w:t>；</w:t>
      </w:r>
    </w:p>
    <w:p w14:paraId="28CF4868">
      <w:pPr>
        <w:pStyle w:val="27"/>
        <w:spacing w:line="440" w:lineRule="exact"/>
        <w:ind w:left="930" w:firstLine="0" w:firstLineChars="0"/>
        <w:rPr>
          <w:rFonts w:ascii="ΟGB2312" w:hAnsi="宋体" w:eastAsia="ΟGB2312" w:cs="宋体"/>
          <w:sz w:val="28"/>
          <w:szCs w:val="28"/>
        </w:rPr>
      </w:pPr>
      <w:r>
        <w:rPr>
          <w:rFonts w:ascii="ΟGB2312" w:hAnsi="宋体" w:eastAsia="ΟGB2312" w:cs="宋体"/>
          <w:sz w:val="28"/>
          <w:szCs w:val="28"/>
        </w:rPr>
        <w:t>……</w:t>
      </w:r>
    </w:p>
    <w:p w14:paraId="5DD06BB2">
      <w:pPr>
        <w:spacing w:line="440" w:lineRule="exact"/>
        <w:ind w:firstLine="560" w:firstLineChars="200"/>
        <w:rPr>
          <w:rFonts w:ascii="ΟGB2312" w:hAnsi="宋体" w:eastAsia="ΟGB2312" w:cs="宋体"/>
          <w:sz w:val="28"/>
          <w:szCs w:val="28"/>
        </w:rPr>
      </w:pPr>
      <w:r>
        <w:rPr>
          <w:rFonts w:hint="eastAsia" w:ascii="ΟGB2312" w:hAnsi="宋体" w:eastAsia="ΟGB2312" w:cs="宋体"/>
          <w:sz w:val="28"/>
          <w:szCs w:val="28"/>
        </w:rPr>
        <w:t>以上企业，不属于大企业的分支机构，不存在控股股东为大企业的情形，也不存在与大企业的负责人为同一人的情形。</w:t>
      </w:r>
    </w:p>
    <w:p w14:paraId="4F3FEA6E">
      <w:pPr>
        <w:spacing w:line="440" w:lineRule="exact"/>
        <w:ind w:firstLine="570"/>
        <w:rPr>
          <w:rFonts w:ascii="ΟGB2312" w:hAnsi="宋体" w:eastAsia="ΟGB2312" w:cs="宋体"/>
          <w:sz w:val="28"/>
          <w:szCs w:val="28"/>
        </w:rPr>
      </w:pPr>
      <w:r>
        <w:rPr>
          <w:rFonts w:hint="eastAsia" w:ascii="ΟGB2312" w:hAnsi="宋体" w:eastAsia="ΟGB2312" w:cs="宋体"/>
          <w:sz w:val="28"/>
          <w:szCs w:val="28"/>
        </w:rPr>
        <w:t>本企业对上述声明内容的真实性负责。如有虚假，将依法承担相应责任。</w:t>
      </w:r>
    </w:p>
    <w:p w14:paraId="1DD2B616">
      <w:pPr>
        <w:spacing w:line="440" w:lineRule="exact"/>
        <w:ind w:firstLine="4760" w:firstLineChars="1700"/>
        <w:rPr>
          <w:rFonts w:ascii="ΟGB2312" w:hAnsi="宋体" w:eastAsia="ΟGB2312" w:cs="宋体"/>
          <w:sz w:val="28"/>
          <w:szCs w:val="28"/>
        </w:rPr>
      </w:pPr>
      <w:r>
        <w:rPr>
          <w:rFonts w:hint="eastAsia" w:ascii="ΟGB2312" w:hAnsi="宋体" w:eastAsia="ΟGB2312" w:cs="宋体"/>
          <w:sz w:val="28"/>
          <w:szCs w:val="28"/>
        </w:rPr>
        <w:t>企业名称（盖章）：</w:t>
      </w:r>
    </w:p>
    <w:p w14:paraId="2B8A9B82">
      <w:pPr>
        <w:spacing w:line="440" w:lineRule="exact"/>
        <w:ind w:firstLine="4760" w:firstLineChars="1700"/>
        <w:rPr>
          <w:rFonts w:ascii="ΟGB2312" w:hAnsi="宋体" w:eastAsia="ΟGB2312" w:cs="宋体"/>
          <w:sz w:val="28"/>
          <w:szCs w:val="28"/>
        </w:rPr>
      </w:pPr>
      <w:r>
        <w:rPr>
          <w:rFonts w:hint="eastAsia" w:ascii="ΟGB2312" w:hAnsi="宋体" w:eastAsia="ΟGB2312" w:cs="宋体"/>
          <w:sz w:val="28"/>
          <w:szCs w:val="28"/>
        </w:rPr>
        <w:t>日  期：</w:t>
      </w:r>
    </w:p>
    <w:p w14:paraId="7438E961">
      <w:pPr>
        <w:pStyle w:val="34"/>
        <w:spacing w:line="440" w:lineRule="exact"/>
        <w:textAlignment w:val="center"/>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注：1、从业人员、营业收入填报上一年度数据，无上一年度数据的新成立企业可不填报。</w:t>
      </w:r>
    </w:p>
    <w:p w14:paraId="0ABC12C0">
      <w:pPr>
        <w:spacing w:line="440" w:lineRule="exact"/>
        <w:ind w:firstLine="560" w:firstLineChars="200"/>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2、供应商如不提供此声明函，价格将不做相应扣除。</w:t>
      </w:r>
    </w:p>
    <w:p w14:paraId="4992C483">
      <w:pPr>
        <w:spacing w:line="440" w:lineRule="exact"/>
        <w:ind w:firstLine="560" w:firstLineChars="200"/>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3、供应商提供的声明函内容不实的，属于提供虚假材料谋取中标，依照《中华人民共和国政府采购法》等国家有关规定追究相应责任。</w:t>
      </w:r>
    </w:p>
    <w:p w14:paraId="51E3717D">
      <w:pPr>
        <w:widowControl/>
        <w:spacing w:line="440" w:lineRule="exact"/>
        <w:jc w:val="left"/>
        <w:rPr>
          <w:rFonts w:ascii="楷体" w:hAnsi="楷体" w:eastAsia="楷体" w:cs="宋体"/>
          <w:b/>
          <w:sz w:val="28"/>
          <w:szCs w:val="28"/>
        </w:rPr>
      </w:pPr>
    </w:p>
    <w:p w14:paraId="2A69BADF">
      <w:pPr>
        <w:widowControl/>
        <w:spacing w:line="440" w:lineRule="exact"/>
        <w:jc w:val="left"/>
        <w:rPr>
          <w:rFonts w:ascii="楷体" w:hAnsi="楷体" w:eastAsia="楷体" w:cs="宋体"/>
          <w:b/>
          <w:sz w:val="28"/>
          <w:szCs w:val="28"/>
        </w:rPr>
      </w:pPr>
    </w:p>
    <w:p w14:paraId="2DF38409">
      <w:pPr>
        <w:widowControl/>
        <w:spacing w:line="440" w:lineRule="exact"/>
        <w:jc w:val="left"/>
        <w:rPr>
          <w:rFonts w:ascii="楷体" w:hAnsi="楷体" w:eastAsia="楷体" w:cs="宋体"/>
          <w:b/>
          <w:sz w:val="32"/>
          <w:szCs w:val="32"/>
        </w:rPr>
      </w:pPr>
      <w:r>
        <w:rPr>
          <w:rFonts w:hint="eastAsia" w:ascii="楷体" w:hAnsi="楷体" w:eastAsia="楷体" w:cs="宋体"/>
          <w:b/>
          <w:sz w:val="32"/>
          <w:szCs w:val="32"/>
        </w:rPr>
        <w:t>3.5采购需求响应表（格式自拟）</w:t>
      </w:r>
    </w:p>
    <w:p w14:paraId="7ECEDA9F">
      <w:pPr>
        <w:pStyle w:val="12"/>
        <w:ind w:left="480"/>
        <w:rPr>
          <w:rFonts w:ascii="楷体" w:hAnsi="楷体" w:eastAsia="楷体" w:cs="宋体"/>
          <w:b/>
          <w:sz w:val="32"/>
          <w:szCs w:val="32"/>
        </w:rPr>
      </w:pPr>
    </w:p>
    <w:p w14:paraId="398D9614">
      <w:pPr>
        <w:pStyle w:val="50"/>
        <w:spacing w:line="400" w:lineRule="exact"/>
        <w:ind w:firstLine="0"/>
        <w:jc w:val="both"/>
        <w:rPr>
          <w:rFonts w:ascii="楷体" w:hAnsi="楷体" w:eastAsia="楷体" w:cs="宋体"/>
          <w:b/>
          <w:sz w:val="32"/>
          <w:szCs w:val="32"/>
        </w:rPr>
      </w:pPr>
      <w:r>
        <w:rPr>
          <w:rFonts w:hint="eastAsia" w:ascii="楷体" w:hAnsi="楷体" w:eastAsia="楷体" w:cs="宋体"/>
          <w:b/>
          <w:sz w:val="32"/>
          <w:szCs w:val="32"/>
        </w:rPr>
        <w:t>3.6附件：</w:t>
      </w:r>
    </w:p>
    <w:p w14:paraId="46A8043B">
      <w:pPr>
        <w:pStyle w:val="20"/>
        <w:spacing w:line="400" w:lineRule="exact"/>
        <w:ind w:firstLine="0" w:firstLineChars="0"/>
      </w:pPr>
    </w:p>
    <w:p w14:paraId="318189F7">
      <w:pPr>
        <w:widowControl/>
        <w:spacing w:line="400" w:lineRule="exact"/>
        <w:jc w:val="center"/>
        <w:outlineLvl w:val="1"/>
        <w:rPr>
          <w:rFonts w:ascii="宋体" w:hAnsi="宋体"/>
          <w:b/>
          <w:sz w:val="28"/>
          <w:szCs w:val="28"/>
        </w:rPr>
      </w:pPr>
      <w:r>
        <w:rPr>
          <w:rFonts w:hint="eastAsia" w:ascii="宋体" w:hAnsi="宋体"/>
          <w:b/>
          <w:sz w:val="28"/>
          <w:szCs w:val="28"/>
        </w:rPr>
        <w:t>法定代表人身份证明书</w:t>
      </w:r>
    </w:p>
    <w:p w14:paraId="67A9C346">
      <w:pPr>
        <w:spacing w:line="400" w:lineRule="exact"/>
        <w:rPr>
          <w:rFonts w:ascii="宋体" w:hAnsi="宋体"/>
          <w:b/>
          <w:szCs w:val="20"/>
        </w:rPr>
      </w:pPr>
    </w:p>
    <w:p w14:paraId="5F3DC192">
      <w:pPr>
        <w:spacing w:line="400" w:lineRule="exact"/>
        <w:ind w:firstLine="612"/>
        <w:rPr>
          <w:rFonts w:ascii="宋体" w:hAnsi="宋体"/>
        </w:rPr>
      </w:pPr>
      <w:r>
        <w:rPr>
          <w:rFonts w:hint="eastAsia" w:ascii="宋体" w:hAnsi="宋体"/>
        </w:rPr>
        <w:t>单位名称：</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p>
    <w:p w14:paraId="688023B4">
      <w:pPr>
        <w:spacing w:line="400" w:lineRule="exact"/>
        <w:ind w:firstLine="610"/>
        <w:rPr>
          <w:rFonts w:ascii="宋体" w:hAnsi="宋体"/>
          <w:u w:val="single"/>
        </w:rPr>
      </w:pPr>
      <w:r>
        <w:rPr>
          <w:rFonts w:hint="eastAsia" w:ascii="宋体" w:hAnsi="宋体"/>
        </w:rPr>
        <w:t>单位性质：</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p>
    <w:p w14:paraId="53F4B0FA">
      <w:pPr>
        <w:spacing w:line="400" w:lineRule="exact"/>
        <w:ind w:firstLine="610"/>
        <w:rPr>
          <w:rFonts w:ascii="宋体" w:hAnsi="宋体"/>
          <w:u w:val="single"/>
        </w:rPr>
      </w:pPr>
      <w:r>
        <w:rPr>
          <w:rFonts w:hint="eastAsia" w:ascii="宋体" w:hAnsi="宋体"/>
        </w:rPr>
        <w:t>地    址：</w:t>
      </w:r>
      <w:r>
        <w:rPr>
          <w:rFonts w:hint="eastAsia" w:ascii="宋体" w:hAnsi="宋体"/>
          <w:u w:val="single"/>
        </w:rPr>
        <w:tab/>
      </w:r>
      <w:r>
        <w:rPr>
          <w:rFonts w:hint="eastAsia" w:ascii="宋体" w:hAnsi="宋体"/>
          <w:u w:val="single"/>
        </w:rPr>
        <w:tab/>
      </w:r>
      <w:r>
        <w:rPr>
          <w:rFonts w:hint="eastAsia" w:ascii="宋体" w:hAnsi="宋体"/>
          <w:u w:val="single"/>
        </w:rPr>
        <w:t xml:space="preserve">  </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 xml:space="preserve">       </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p>
    <w:p w14:paraId="24B7FC11">
      <w:pPr>
        <w:spacing w:line="400" w:lineRule="exact"/>
        <w:ind w:firstLine="610"/>
        <w:rPr>
          <w:rFonts w:ascii="宋体" w:hAnsi="宋体"/>
        </w:rPr>
      </w:pPr>
      <w:r>
        <w:rPr>
          <w:rFonts w:hint="eastAsia" w:ascii="宋体" w:hAnsi="宋体"/>
        </w:rPr>
        <w:t>成立时间：</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69969AE8">
      <w:pPr>
        <w:spacing w:line="400" w:lineRule="exact"/>
        <w:ind w:firstLine="610"/>
        <w:rPr>
          <w:rFonts w:ascii="宋体" w:hAnsi="宋体"/>
          <w:u w:val="single"/>
        </w:rPr>
      </w:pPr>
      <w:r>
        <w:rPr>
          <w:rFonts w:hint="eastAsia" w:ascii="宋体" w:hAnsi="宋体"/>
        </w:rPr>
        <w:t>经营期限：</w:t>
      </w:r>
      <w:r>
        <w:rPr>
          <w:rFonts w:hint="eastAsia" w:ascii="宋体" w:hAnsi="宋体"/>
          <w:u w:val="single"/>
        </w:rPr>
        <w:tab/>
      </w:r>
      <w:r>
        <w:rPr>
          <w:rFonts w:hint="eastAsia" w:ascii="宋体" w:hAnsi="宋体"/>
          <w:u w:val="single"/>
        </w:rPr>
        <w:t xml:space="preserve">                                                </w:t>
      </w:r>
      <w:r>
        <w:rPr>
          <w:rFonts w:hint="eastAsia" w:ascii="宋体" w:hAnsi="宋体"/>
          <w:u w:val="single"/>
        </w:rPr>
        <w:tab/>
      </w:r>
    </w:p>
    <w:p w14:paraId="4F794D99">
      <w:pPr>
        <w:spacing w:line="400" w:lineRule="exact"/>
        <w:ind w:firstLine="610"/>
        <w:rPr>
          <w:rFonts w:ascii="宋体" w:hAnsi="宋体"/>
        </w:rPr>
      </w:pPr>
      <w:r>
        <w:rPr>
          <w:rFonts w:hint="eastAsia" w:ascii="宋体" w:hAnsi="宋体"/>
        </w:rPr>
        <w:t>姓    名：</w:t>
      </w:r>
      <w:r>
        <w:rPr>
          <w:rFonts w:hint="eastAsia" w:ascii="宋体" w:hAnsi="宋体"/>
          <w:u w:val="single"/>
        </w:rPr>
        <w:t xml:space="preserve">         </w:t>
      </w:r>
      <w:r>
        <w:rPr>
          <w:rFonts w:hint="eastAsia" w:ascii="宋体" w:hAnsi="宋体"/>
        </w:rPr>
        <w:t xml:space="preserve"> 性别：</w:t>
      </w:r>
      <w:r>
        <w:rPr>
          <w:rFonts w:hint="eastAsia" w:ascii="宋体" w:hAnsi="宋体"/>
          <w:u w:val="single"/>
        </w:rPr>
        <w:t xml:space="preserve">        </w:t>
      </w:r>
      <w:r>
        <w:rPr>
          <w:rFonts w:hint="eastAsia" w:ascii="宋体" w:hAnsi="宋体"/>
        </w:rPr>
        <w:t>年龄：</w:t>
      </w:r>
      <w:r>
        <w:rPr>
          <w:rFonts w:hint="eastAsia" w:ascii="宋体" w:hAnsi="宋体"/>
          <w:u w:val="single"/>
        </w:rPr>
        <w:t xml:space="preserve">          </w:t>
      </w:r>
      <w:r>
        <w:rPr>
          <w:rFonts w:hint="eastAsia" w:ascii="宋体" w:hAnsi="宋体"/>
        </w:rPr>
        <w:t xml:space="preserve"> </w:t>
      </w:r>
    </w:p>
    <w:p w14:paraId="123DC062">
      <w:pPr>
        <w:spacing w:line="400" w:lineRule="exact"/>
        <w:ind w:firstLine="610"/>
        <w:rPr>
          <w:rFonts w:ascii="宋体" w:hAnsi="宋体"/>
          <w:u w:val="single"/>
        </w:rPr>
      </w:pPr>
      <w:r>
        <w:rPr>
          <w:rFonts w:hint="eastAsia" w:ascii="宋体" w:hAnsi="宋体"/>
        </w:rPr>
        <w:t>身份证号码</w:t>
      </w:r>
      <w:r>
        <w:rPr>
          <w:rFonts w:hint="eastAsia" w:ascii="宋体" w:hAnsi="宋体"/>
          <w:u w:val="single"/>
        </w:rPr>
        <w:t xml:space="preserve">                                 </w:t>
      </w:r>
    </w:p>
    <w:p w14:paraId="665F27D4">
      <w:pPr>
        <w:spacing w:line="400" w:lineRule="exact"/>
        <w:ind w:firstLine="610"/>
        <w:rPr>
          <w:rFonts w:ascii="宋体" w:hAnsi="宋体"/>
        </w:rPr>
      </w:pPr>
      <w:r>
        <w:rPr>
          <w:rFonts w:hint="eastAsia" w:ascii="宋体" w:hAnsi="宋体"/>
        </w:rPr>
        <w:t>联系方式：</w:t>
      </w:r>
      <w:r>
        <w:rPr>
          <w:rFonts w:hint="eastAsia" w:ascii="宋体" w:hAnsi="宋体"/>
          <w:u w:val="single"/>
        </w:rPr>
        <w:t xml:space="preserve">                         </w:t>
      </w:r>
      <w:r>
        <w:rPr>
          <w:rFonts w:hint="eastAsia" w:ascii="宋体" w:hAnsi="宋体"/>
        </w:rPr>
        <w:t>邮箱：</w:t>
      </w:r>
      <w:r>
        <w:rPr>
          <w:rFonts w:hint="eastAsia" w:ascii="宋体" w:hAnsi="宋体"/>
          <w:u w:val="single"/>
        </w:rPr>
        <w:t xml:space="preserve">                    </w:t>
      </w:r>
    </w:p>
    <w:p w14:paraId="542291A3">
      <w:pPr>
        <w:spacing w:line="400" w:lineRule="exact"/>
        <w:ind w:firstLine="610"/>
        <w:rPr>
          <w:rFonts w:ascii="宋体" w:hAnsi="宋体"/>
        </w:rPr>
      </w:pPr>
      <w:r>
        <w:rPr>
          <w:rFonts w:hint="eastAsia" w:ascii="宋体" w:hAnsi="宋体"/>
        </w:rPr>
        <w:t>系</w:t>
      </w:r>
      <w:r>
        <w:rPr>
          <w:rFonts w:hint="eastAsia" w:ascii="宋体" w:hAnsi="宋体"/>
          <w:u w:val="single"/>
        </w:rPr>
        <w:t xml:space="preserve">          （供应商单位名称）         </w:t>
      </w:r>
      <w:r>
        <w:rPr>
          <w:rFonts w:hint="eastAsia" w:ascii="宋体" w:hAnsi="宋体"/>
        </w:rPr>
        <w:t>的法定代表人。</w:t>
      </w:r>
    </w:p>
    <w:p w14:paraId="2E12111A">
      <w:pPr>
        <w:spacing w:line="400" w:lineRule="exact"/>
        <w:ind w:firstLine="610"/>
        <w:rPr>
          <w:rFonts w:ascii="宋体" w:hAnsi="宋体"/>
        </w:rPr>
      </w:pPr>
      <w:r>
        <w:rPr>
          <w:rFonts w:hint="eastAsia" w:ascii="宋体" w:hAnsi="宋体"/>
        </w:rPr>
        <w:t>特此证明。</w:t>
      </w:r>
    </w:p>
    <w:p w14:paraId="6250274C">
      <w:pPr>
        <w:spacing w:line="400" w:lineRule="exact"/>
        <w:ind w:firstLine="610"/>
        <w:rPr>
          <w:rFonts w:ascii="宋体" w:hAnsi="宋体"/>
        </w:rPr>
      </w:pPr>
      <w:r>
        <w:rPr>
          <w:rFonts w:hint="eastAsia" w:ascii="宋体" w:hAnsi="宋体"/>
          <w:u w:val="single"/>
        </w:rPr>
        <w:t xml:space="preserve">          附身份证复印件                                   </w:t>
      </w:r>
    </w:p>
    <w:p w14:paraId="2B2BEEFE">
      <w:pPr>
        <w:tabs>
          <w:tab w:val="left" w:pos="720"/>
          <w:tab w:val="left" w:pos="900"/>
        </w:tabs>
        <w:spacing w:line="400" w:lineRule="exact"/>
        <w:ind w:firstLine="480" w:firstLineChars="200"/>
        <w:rPr>
          <w:rFonts w:ascii="宋体" w:hAnsi="宋体"/>
        </w:rPr>
      </w:pPr>
    </w:p>
    <w:p w14:paraId="66D19B0C">
      <w:pPr>
        <w:tabs>
          <w:tab w:val="left" w:pos="720"/>
          <w:tab w:val="left" w:pos="900"/>
        </w:tabs>
        <w:spacing w:line="400" w:lineRule="exact"/>
        <w:ind w:firstLine="4440" w:firstLineChars="1850"/>
        <w:rPr>
          <w:rFonts w:ascii="宋体" w:hAnsi="宋体"/>
          <w:u w:val="single"/>
        </w:rPr>
      </w:pPr>
      <w:r>
        <w:rPr>
          <w:rFonts w:hint="eastAsia" w:ascii="宋体" w:hAnsi="宋体"/>
        </w:rPr>
        <w:t>供应商：</w:t>
      </w:r>
      <w:r>
        <w:rPr>
          <w:rFonts w:hint="eastAsia" w:ascii="宋体" w:hAnsi="宋体"/>
          <w:u w:val="single"/>
        </w:rPr>
        <w:t xml:space="preserve">             （盖公章）</w:t>
      </w:r>
    </w:p>
    <w:p w14:paraId="6628A28A">
      <w:pPr>
        <w:tabs>
          <w:tab w:val="left" w:pos="720"/>
          <w:tab w:val="left" w:pos="900"/>
        </w:tabs>
        <w:spacing w:line="400" w:lineRule="exact"/>
        <w:ind w:firstLine="4440" w:firstLineChars="1850"/>
        <w:rPr>
          <w:rFonts w:ascii="宋体" w:hAnsi="宋体"/>
        </w:rPr>
      </w:pPr>
      <w:r>
        <w:rPr>
          <w:rFonts w:hint="eastAsia" w:ascii="宋体" w:hAnsi="宋体"/>
        </w:rPr>
        <w:t>法定代表人签名</w:t>
      </w:r>
      <w:r>
        <w:rPr>
          <w:rFonts w:hint="eastAsia" w:ascii="宋体" w:hAnsi="宋体"/>
          <w:u w:val="single"/>
        </w:rPr>
        <w:t xml:space="preserve">：            </w:t>
      </w:r>
    </w:p>
    <w:p w14:paraId="46D393B7">
      <w:pPr>
        <w:tabs>
          <w:tab w:val="left" w:pos="720"/>
          <w:tab w:val="left" w:pos="900"/>
        </w:tabs>
        <w:spacing w:line="400" w:lineRule="exact"/>
        <w:ind w:firstLine="4440" w:firstLineChars="1850"/>
        <w:rPr>
          <w:rFonts w:ascii="宋体" w:hAnsi="宋体"/>
        </w:rPr>
      </w:pPr>
      <w:r>
        <w:rPr>
          <w:rFonts w:hint="eastAsia" w:ascii="宋体" w:hAnsi="宋体"/>
        </w:rPr>
        <w:t>日 期：</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4A087781">
      <w:pPr>
        <w:widowControl/>
        <w:jc w:val="center"/>
        <w:outlineLvl w:val="1"/>
        <w:rPr>
          <w:rFonts w:ascii="宋体" w:hAnsi="宋体" w:cs="宋体"/>
          <w:b/>
          <w:sz w:val="32"/>
          <w:szCs w:val="32"/>
        </w:rPr>
      </w:pPr>
      <w:bookmarkStart w:id="303" w:name="_Toc25165"/>
      <w:bookmarkStart w:id="304" w:name="_Toc263"/>
      <w:bookmarkStart w:id="305" w:name="_Toc27790"/>
      <w:bookmarkStart w:id="306" w:name="_Toc18831"/>
      <w:bookmarkStart w:id="307" w:name="_Toc7171"/>
    </w:p>
    <w:p w14:paraId="14F2A8FF">
      <w:pPr>
        <w:widowControl/>
        <w:jc w:val="center"/>
        <w:outlineLvl w:val="1"/>
        <w:rPr>
          <w:rFonts w:ascii="宋体" w:hAnsi="宋体" w:cs="宋体"/>
          <w:sz w:val="32"/>
          <w:szCs w:val="32"/>
        </w:rPr>
      </w:pPr>
      <w:r>
        <w:rPr>
          <w:rFonts w:hint="eastAsia" w:ascii="宋体" w:hAnsi="宋体" w:cs="宋体"/>
          <w:b/>
          <w:sz w:val="32"/>
          <w:szCs w:val="32"/>
        </w:rPr>
        <w:br w:type="page"/>
      </w:r>
      <w:r>
        <w:rPr>
          <w:rFonts w:hint="eastAsia" w:ascii="宋体" w:hAnsi="宋体" w:cs="宋体"/>
          <w:b/>
          <w:sz w:val="32"/>
          <w:szCs w:val="32"/>
        </w:rPr>
        <w:t>授权委托书</w:t>
      </w:r>
      <w:bookmarkEnd w:id="303"/>
      <w:bookmarkEnd w:id="304"/>
      <w:bookmarkEnd w:id="305"/>
      <w:bookmarkEnd w:id="306"/>
      <w:bookmarkEnd w:id="307"/>
    </w:p>
    <w:p w14:paraId="023F428A">
      <w:pPr>
        <w:widowControl/>
        <w:spacing w:line="420" w:lineRule="exact"/>
        <w:jc w:val="left"/>
        <w:rPr>
          <w:rFonts w:ascii="宋体" w:hAnsi="宋体" w:cs="宋体"/>
          <w:sz w:val="18"/>
          <w:szCs w:val="18"/>
        </w:rPr>
      </w:pPr>
      <w:r>
        <w:rPr>
          <w:rFonts w:hint="eastAsia" w:ascii="宋体" w:hAnsi="宋体" w:cs="宋体"/>
          <w:sz w:val="32"/>
          <w:szCs w:val="32"/>
        </w:rPr>
        <w:t> </w:t>
      </w:r>
    </w:p>
    <w:p w14:paraId="3FBC2E75">
      <w:pPr>
        <w:widowControl/>
        <w:spacing w:line="420" w:lineRule="exact"/>
        <w:jc w:val="left"/>
        <w:rPr>
          <w:rFonts w:ascii="宋体" w:hAnsi="宋体" w:cs="宋体"/>
          <w:sz w:val="18"/>
          <w:szCs w:val="18"/>
        </w:rPr>
      </w:pPr>
      <w:r>
        <w:rPr>
          <w:rFonts w:hint="eastAsia" w:ascii="宋体" w:hAnsi="宋体" w:cs="宋体"/>
        </w:rPr>
        <w:t>委托人（供应商）：</w:t>
      </w:r>
      <w:r>
        <w:rPr>
          <w:rFonts w:hint="eastAsia" w:ascii="宋体" w:hAnsi="宋体" w:cs="宋体"/>
          <w:u w:val="single"/>
        </w:rPr>
        <w:t xml:space="preserve">                              </w:t>
      </w:r>
    </w:p>
    <w:p w14:paraId="3BE051BD">
      <w:pPr>
        <w:widowControl/>
        <w:spacing w:line="420" w:lineRule="exact"/>
        <w:jc w:val="left"/>
        <w:rPr>
          <w:rFonts w:ascii="宋体" w:hAnsi="宋体" w:cs="宋体"/>
          <w:sz w:val="18"/>
          <w:szCs w:val="18"/>
        </w:rPr>
      </w:pPr>
      <w:r>
        <w:rPr>
          <w:rFonts w:hint="eastAsia" w:ascii="宋体" w:hAnsi="宋体" w:cs="宋体"/>
        </w:rPr>
        <w:t>地    址：</w:t>
      </w:r>
      <w:r>
        <w:rPr>
          <w:rFonts w:hint="eastAsia" w:ascii="宋体" w:hAnsi="宋体" w:cs="宋体"/>
          <w:u w:val="single"/>
        </w:rPr>
        <w:t xml:space="preserve">                                   </w:t>
      </w:r>
    </w:p>
    <w:p w14:paraId="7FF4E58D">
      <w:pPr>
        <w:widowControl/>
        <w:spacing w:line="420" w:lineRule="exact"/>
        <w:jc w:val="left"/>
        <w:rPr>
          <w:rFonts w:ascii="宋体" w:hAnsi="宋体" w:cs="宋体"/>
          <w:sz w:val="18"/>
          <w:szCs w:val="18"/>
        </w:rPr>
      </w:pPr>
      <w:r>
        <w:rPr>
          <w:rFonts w:hint="eastAsia" w:ascii="宋体" w:hAnsi="宋体" w:cs="宋体"/>
        </w:rPr>
        <w:t>法定代表人：</w:t>
      </w:r>
      <w:r>
        <w:rPr>
          <w:rFonts w:hint="eastAsia" w:ascii="宋体" w:hAnsi="宋体" w:cs="宋体"/>
          <w:u w:val="single"/>
        </w:rPr>
        <w:t xml:space="preserve">                                 </w:t>
      </w:r>
    </w:p>
    <w:p w14:paraId="6A2BFEA9">
      <w:pPr>
        <w:widowControl/>
        <w:spacing w:line="420" w:lineRule="exact"/>
        <w:jc w:val="left"/>
        <w:rPr>
          <w:rFonts w:ascii="宋体" w:hAnsi="宋体" w:cs="宋体"/>
          <w:sz w:val="18"/>
          <w:szCs w:val="18"/>
        </w:rPr>
      </w:pPr>
      <w:r>
        <w:rPr>
          <w:rFonts w:hint="eastAsia" w:ascii="宋体" w:hAnsi="宋体" w:cs="宋体"/>
        </w:rPr>
        <w:t>受委托人（一）：</w:t>
      </w:r>
      <w:r>
        <w:rPr>
          <w:rFonts w:hint="eastAsia" w:ascii="宋体" w:hAnsi="宋体" w:cs="宋体"/>
          <w:u w:val="single"/>
        </w:rPr>
        <w:t xml:space="preserve">                 </w:t>
      </w:r>
      <w:r>
        <w:rPr>
          <w:rFonts w:hint="eastAsia" w:ascii="宋体" w:hAnsi="宋体" w:cs="宋体"/>
        </w:rPr>
        <w:t>职务：</w:t>
      </w:r>
      <w:r>
        <w:rPr>
          <w:rFonts w:hint="eastAsia" w:ascii="宋体" w:hAnsi="宋体" w:cs="宋体"/>
          <w:u w:val="single"/>
        </w:rPr>
        <w:t xml:space="preserve">          </w:t>
      </w:r>
    </w:p>
    <w:p w14:paraId="37EBDE41">
      <w:pPr>
        <w:widowControl/>
        <w:spacing w:line="420" w:lineRule="exact"/>
        <w:jc w:val="left"/>
        <w:rPr>
          <w:rFonts w:ascii="宋体" w:hAnsi="宋体" w:cs="宋体"/>
          <w:sz w:val="18"/>
          <w:szCs w:val="18"/>
        </w:rPr>
      </w:pPr>
      <w:r>
        <w:rPr>
          <w:rFonts w:hint="eastAsia" w:ascii="宋体" w:hAnsi="宋体" w:cs="宋体"/>
        </w:rPr>
        <w:t>受委托人（一）身份证号码：</w:t>
      </w:r>
      <w:r>
        <w:rPr>
          <w:rFonts w:hint="eastAsia" w:ascii="宋体" w:hAnsi="宋体" w:cs="宋体"/>
          <w:u w:val="single"/>
        </w:rPr>
        <w:t>                       </w:t>
      </w:r>
    </w:p>
    <w:p w14:paraId="265DC877">
      <w:pPr>
        <w:spacing w:line="400" w:lineRule="exact"/>
        <w:rPr>
          <w:rFonts w:ascii="宋体" w:hAnsi="宋体"/>
        </w:rPr>
      </w:pPr>
      <w:r>
        <w:rPr>
          <w:rFonts w:hint="eastAsia" w:ascii="宋体" w:hAnsi="宋体"/>
        </w:rPr>
        <w:t>联系方式：</w:t>
      </w:r>
      <w:r>
        <w:rPr>
          <w:rFonts w:hint="eastAsia" w:ascii="宋体" w:hAnsi="宋体"/>
          <w:u w:val="single"/>
        </w:rPr>
        <w:t xml:space="preserve">                         </w:t>
      </w:r>
      <w:r>
        <w:rPr>
          <w:rFonts w:hint="eastAsia" w:ascii="宋体" w:hAnsi="宋体"/>
        </w:rPr>
        <w:t>邮箱：</w:t>
      </w:r>
      <w:r>
        <w:rPr>
          <w:rFonts w:hint="eastAsia" w:ascii="宋体" w:hAnsi="宋体"/>
          <w:u w:val="single"/>
        </w:rPr>
        <w:t xml:space="preserve">                            </w:t>
      </w:r>
    </w:p>
    <w:p w14:paraId="7B3C36C5">
      <w:pPr>
        <w:widowControl/>
        <w:spacing w:line="420" w:lineRule="exact"/>
        <w:jc w:val="left"/>
        <w:rPr>
          <w:rFonts w:ascii="宋体" w:hAnsi="宋体" w:cs="宋体"/>
          <w:sz w:val="18"/>
          <w:szCs w:val="18"/>
        </w:rPr>
      </w:pPr>
      <w:r>
        <w:rPr>
          <w:rFonts w:hint="eastAsia" w:ascii="宋体" w:hAnsi="宋体" w:cs="宋体"/>
        </w:rPr>
        <w:t> </w:t>
      </w:r>
    </w:p>
    <w:p w14:paraId="21AFA32A">
      <w:pPr>
        <w:widowControl/>
        <w:spacing w:line="420" w:lineRule="exact"/>
        <w:ind w:firstLine="480" w:firstLineChars="200"/>
        <w:jc w:val="left"/>
        <w:rPr>
          <w:rFonts w:ascii="宋体" w:hAnsi="宋体" w:cs="宋体"/>
          <w:sz w:val="18"/>
          <w:szCs w:val="18"/>
        </w:rPr>
      </w:pPr>
      <w:r>
        <w:rPr>
          <w:rFonts w:hint="eastAsia" w:ascii="宋体" w:hAnsi="宋体" w:cs="宋体"/>
        </w:rPr>
        <w:t>现委托上述受委托人在</w:t>
      </w:r>
      <w:r>
        <w:rPr>
          <w:rFonts w:hint="eastAsia" w:ascii="宋体" w:hAnsi="宋体" w:cs="宋体"/>
          <w:u w:val="single"/>
        </w:rPr>
        <w:t>   （招标项目名称）        </w:t>
      </w:r>
      <w:r>
        <w:rPr>
          <w:rFonts w:hint="eastAsia" w:ascii="宋体" w:hAnsi="宋体" w:cs="宋体"/>
        </w:rPr>
        <w:t>招标投标活动中，作为委托人的授权委托人。</w:t>
      </w:r>
    </w:p>
    <w:p w14:paraId="5F969712">
      <w:pPr>
        <w:widowControl/>
        <w:spacing w:line="420" w:lineRule="exact"/>
        <w:ind w:firstLine="480" w:firstLineChars="200"/>
        <w:jc w:val="left"/>
        <w:rPr>
          <w:rFonts w:ascii="宋体" w:hAnsi="宋体" w:cs="宋体"/>
          <w:sz w:val="18"/>
          <w:szCs w:val="18"/>
        </w:rPr>
      </w:pPr>
      <w:r>
        <w:rPr>
          <w:rFonts w:hint="eastAsia" w:ascii="宋体" w:hAnsi="宋体" w:cs="宋体"/>
        </w:rPr>
        <w:t>委托事项：领取采购文件、编制、签署、递交、说明补正响应文件、签订合同和处理有关事宜等特别授权。受委托人联合行使或独立行使的委托权限，其法律后果由委托人承担。</w:t>
      </w:r>
    </w:p>
    <w:p w14:paraId="54BE8E19">
      <w:pPr>
        <w:widowControl/>
        <w:spacing w:line="420" w:lineRule="exact"/>
        <w:ind w:firstLine="480" w:firstLineChars="200"/>
        <w:jc w:val="left"/>
        <w:rPr>
          <w:rFonts w:ascii="宋体" w:hAnsi="宋体" w:cs="宋体"/>
          <w:sz w:val="18"/>
          <w:szCs w:val="18"/>
        </w:rPr>
      </w:pPr>
      <w:r>
        <w:rPr>
          <w:rFonts w:hint="eastAsia" w:ascii="宋体" w:hAnsi="宋体" w:cs="宋体"/>
        </w:rPr>
        <w:t>投标事务负责人无转委托权。采购人（采购代理机构）有权拒绝其他任何代表委托人行使的投标事宜，以及超出本授权范围的其他事宜。</w:t>
      </w:r>
    </w:p>
    <w:p w14:paraId="4827344F">
      <w:pPr>
        <w:widowControl/>
        <w:spacing w:line="420" w:lineRule="exact"/>
        <w:ind w:firstLine="480" w:firstLineChars="200"/>
        <w:jc w:val="left"/>
        <w:rPr>
          <w:rFonts w:ascii="宋体" w:hAnsi="宋体" w:cs="宋体"/>
          <w:sz w:val="18"/>
          <w:szCs w:val="18"/>
        </w:rPr>
      </w:pPr>
      <w:r>
        <w:rPr>
          <w:rFonts w:hint="eastAsia" w:ascii="宋体" w:hAnsi="宋体" w:cs="宋体"/>
        </w:rPr>
        <w:t>委托期限：</w:t>
      </w:r>
      <w:r>
        <w:rPr>
          <w:rFonts w:hint="eastAsia" w:ascii="宋体" w:hAnsi="宋体" w:cs="宋体"/>
          <w:u w:val="single"/>
        </w:rPr>
        <w:t xml:space="preserve">   </w:t>
      </w:r>
      <w:r>
        <w:rPr>
          <w:rFonts w:hint="eastAsia" w:ascii="宋体" w:hAnsi="宋体" w:cs="宋体"/>
        </w:rPr>
        <w:t>日，自</w:t>
      </w:r>
      <w:r>
        <w:rPr>
          <w:rFonts w:hint="eastAsia" w:ascii="宋体" w:hAnsi="宋体" w:cs="宋体"/>
          <w:u w:val="single"/>
        </w:rPr>
        <w:t>  </w:t>
      </w:r>
      <w:r>
        <w:rPr>
          <w:rFonts w:hint="eastAsia" w:ascii="宋体" w:hAnsi="宋体" w:cs="宋体"/>
        </w:rPr>
        <w:t>年</w:t>
      </w:r>
      <w:r>
        <w:rPr>
          <w:rFonts w:hint="eastAsia" w:ascii="宋体" w:hAnsi="宋体" w:cs="宋体"/>
          <w:u w:val="single"/>
        </w:rPr>
        <w:t>  </w:t>
      </w:r>
      <w:r>
        <w:rPr>
          <w:rFonts w:hint="eastAsia" w:ascii="宋体" w:hAnsi="宋体" w:cs="宋体"/>
        </w:rPr>
        <w:t>月</w:t>
      </w:r>
      <w:r>
        <w:rPr>
          <w:rFonts w:hint="eastAsia" w:ascii="宋体" w:hAnsi="宋体" w:cs="宋体"/>
          <w:u w:val="single"/>
        </w:rPr>
        <w:t>  </w:t>
      </w:r>
      <w:r>
        <w:rPr>
          <w:rFonts w:hint="eastAsia" w:ascii="宋体" w:hAnsi="宋体" w:cs="宋体"/>
        </w:rPr>
        <w:t>日至</w:t>
      </w:r>
      <w:r>
        <w:rPr>
          <w:rFonts w:hint="eastAsia" w:ascii="宋体" w:hAnsi="宋体" w:cs="宋体"/>
          <w:u w:val="single"/>
        </w:rPr>
        <w:t>  </w:t>
      </w:r>
      <w:r>
        <w:rPr>
          <w:rFonts w:hint="eastAsia" w:ascii="宋体" w:hAnsi="宋体" w:cs="宋体"/>
        </w:rPr>
        <w:t>年</w:t>
      </w:r>
      <w:r>
        <w:rPr>
          <w:rFonts w:hint="eastAsia" w:ascii="宋体" w:hAnsi="宋体" w:cs="宋体"/>
          <w:u w:val="single"/>
        </w:rPr>
        <w:t>  </w:t>
      </w:r>
      <w:r>
        <w:rPr>
          <w:rFonts w:hint="eastAsia" w:ascii="宋体" w:hAnsi="宋体" w:cs="宋体"/>
        </w:rPr>
        <w:t>月</w:t>
      </w:r>
      <w:r>
        <w:rPr>
          <w:rFonts w:hint="eastAsia" w:ascii="宋体" w:hAnsi="宋体" w:cs="宋体"/>
          <w:u w:val="single"/>
        </w:rPr>
        <w:t>  </w:t>
      </w:r>
      <w:r>
        <w:rPr>
          <w:rFonts w:hint="eastAsia" w:ascii="宋体" w:hAnsi="宋体" w:cs="宋体"/>
        </w:rPr>
        <w:t>日。</w:t>
      </w:r>
    </w:p>
    <w:p w14:paraId="31E714C7">
      <w:pPr>
        <w:widowControl/>
        <w:spacing w:line="420" w:lineRule="exact"/>
        <w:ind w:firstLine="480" w:firstLineChars="200"/>
        <w:jc w:val="left"/>
        <w:rPr>
          <w:rFonts w:ascii="宋体" w:hAnsi="宋体" w:cs="宋体"/>
        </w:rPr>
      </w:pPr>
    </w:p>
    <w:p w14:paraId="79FC0DC8">
      <w:pPr>
        <w:spacing w:line="420" w:lineRule="exact"/>
        <w:ind w:firstLine="610"/>
        <w:rPr>
          <w:rFonts w:ascii="宋体" w:hAnsi="宋体"/>
          <w:szCs w:val="20"/>
        </w:rPr>
      </w:pPr>
      <w:r>
        <w:rPr>
          <w:rFonts w:hint="eastAsia" w:ascii="宋体" w:hAnsi="宋体"/>
          <w:u w:val="single"/>
        </w:rPr>
        <w:t xml:space="preserve">          附身份证复印件                                  </w:t>
      </w:r>
    </w:p>
    <w:p w14:paraId="2985FDB2">
      <w:pPr>
        <w:widowControl/>
        <w:spacing w:line="420" w:lineRule="exact"/>
        <w:ind w:firstLine="480" w:firstLineChars="200"/>
        <w:jc w:val="left"/>
        <w:rPr>
          <w:rFonts w:ascii="宋体" w:hAnsi="宋体" w:cs="宋体"/>
        </w:rPr>
      </w:pPr>
    </w:p>
    <w:p w14:paraId="29CEC98B">
      <w:pPr>
        <w:widowControl/>
        <w:spacing w:line="420" w:lineRule="exact"/>
        <w:ind w:firstLine="480" w:firstLineChars="200"/>
        <w:jc w:val="left"/>
        <w:rPr>
          <w:rFonts w:ascii="宋体" w:hAnsi="宋体" w:cs="宋体"/>
        </w:rPr>
      </w:pPr>
    </w:p>
    <w:p w14:paraId="12B28E95">
      <w:pPr>
        <w:widowControl/>
        <w:spacing w:line="420" w:lineRule="exact"/>
        <w:ind w:firstLine="480" w:firstLineChars="200"/>
        <w:jc w:val="left"/>
        <w:rPr>
          <w:rFonts w:ascii="宋体" w:hAnsi="宋体" w:cs="宋体"/>
        </w:rPr>
      </w:pPr>
    </w:p>
    <w:p w14:paraId="0E836873">
      <w:pPr>
        <w:widowControl/>
        <w:spacing w:line="420" w:lineRule="exact"/>
        <w:ind w:firstLine="480" w:firstLineChars="200"/>
        <w:jc w:val="left"/>
        <w:rPr>
          <w:rFonts w:ascii="宋体" w:hAnsi="宋体" w:cs="宋体"/>
        </w:rPr>
      </w:pPr>
    </w:p>
    <w:p w14:paraId="38EA1D03">
      <w:pPr>
        <w:widowControl/>
        <w:spacing w:line="420" w:lineRule="exact"/>
        <w:ind w:firstLine="480" w:firstLineChars="200"/>
        <w:jc w:val="left"/>
        <w:rPr>
          <w:rFonts w:ascii="宋体" w:hAnsi="宋体" w:cs="宋体"/>
        </w:rPr>
      </w:pPr>
    </w:p>
    <w:p w14:paraId="0060784C">
      <w:pPr>
        <w:widowControl/>
        <w:spacing w:line="420" w:lineRule="exact"/>
        <w:ind w:firstLine="480" w:firstLineChars="200"/>
        <w:jc w:val="left"/>
        <w:rPr>
          <w:rFonts w:ascii="宋体" w:hAnsi="宋体" w:cs="宋体"/>
          <w:sz w:val="18"/>
          <w:szCs w:val="18"/>
        </w:rPr>
      </w:pPr>
      <w:r>
        <w:rPr>
          <w:rFonts w:hint="eastAsia" w:ascii="宋体" w:hAnsi="宋体" w:cs="宋体"/>
        </w:rPr>
        <w:t> </w:t>
      </w:r>
    </w:p>
    <w:p w14:paraId="64E07B1E">
      <w:pPr>
        <w:widowControl/>
        <w:spacing w:line="420" w:lineRule="exact"/>
        <w:ind w:firstLine="480" w:firstLineChars="200"/>
        <w:jc w:val="left"/>
        <w:rPr>
          <w:rFonts w:ascii="宋体" w:hAnsi="宋体" w:cs="宋体"/>
          <w:sz w:val="18"/>
          <w:szCs w:val="18"/>
        </w:rPr>
      </w:pPr>
      <w:r>
        <w:rPr>
          <w:rFonts w:hint="eastAsia" w:ascii="宋体" w:hAnsi="宋体" w:cs="宋体"/>
        </w:rPr>
        <w:t>委托人：</w:t>
      </w:r>
      <w:r>
        <w:rPr>
          <w:rFonts w:hint="eastAsia" w:ascii="宋体" w:hAnsi="宋体" w:cs="宋体"/>
          <w:u w:val="single"/>
        </w:rPr>
        <w:t xml:space="preserve">                            </w:t>
      </w:r>
      <w:r>
        <w:rPr>
          <w:rFonts w:hint="eastAsia" w:ascii="宋体" w:hAnsi="宋体" w:cs="宋体"/>
        </w:rPr>
        <w:t>（盖单位章）</w:t>
      </w:r>
    </w:p>
    <w:p w14:paraId="3CF9A4C0">
      <w:pPr>
        <w:widowControl/>
        <w:spacing w:line="420" w:lineRule="exact"/>
        <w:ind w:firstLine="480" w:firstLineChars="200"/>
        <w:jc w:val="left"/>
        <w:rPr>
          <w:rFonts w:ascii="宋体" w:hAnsi="宋体" w:cs="宋体"/>
          <w:sz w:val="18"/>
          <w:szCs w:val="18"/>
        </w:rPr>
      </w:pPr>
      <w:r>
        <w:rPr>
          <w:rFonts w:hint="eastAsia" w:ascii="宋体" w:hAnsi="宋体" w:cs="宋体"/>
        </w:rPr>
        <w:t> </w:t>
      </w:r>
    </w:p>
    <w:p w14:paraId="6397378D">
      <w:pPr>
        <w:widowControl/>
        <w:spacing w:line="420" w:lineRule="exact"/>
        <w:ind w:firstLine="480" w:firstLineChars="200"/>
        <w:jc w:val="left"/>
        <w:rPr>
          <w:rFonts w:ascii="宋体" w:hAnsi="宋体" w:cs="宋体"/>
          <w:sz w:val="18"/>
          <w:szCs w:val="18"/>
        </w:rPr>
      </w:pPr>
      <w:r>
        <w:rPr>
          <w:rFonts w:hint="eastAsia" w:ascii="宋体" w:hAnsi="宋体" w:cs="宋体"/>
        </w:rPr>
        <w:t>法定代表人：</w:t>
      </w:r>
      <w:r>
        <w:rPr>
          <w:rFonts w:hint="eastAsia" w:ascii="宋体" w:hAnsi="宋体" w:cs="宋体"/>
          <w:u w:val="single"/>
        </w:rPr>
        <w:t xml:space="preserve">                         </w:t>
      </w:r>
      <w:r>
        <w:rPr>
          <w:rFonts w:hint="eastAsia" w:ascii="宋体" w:hAnsi="宋体" w:cs="宋体"/>
        </w:rPr>
        <w:t>（签字）</w:t>
      </w:r>
    </w:p>
    <w:p w14:paraId="458059C1">
      <w:pPr>
        <w:widowControl/>
        <w:spacing w:line="420" w:lineRule="exact"/>
        <w:ind w:firstLine="480" w:firstLineChars="200"/>
        <w:jc w:val="left"/>
        <w:rPr>
          <w:rFonts w:ascii="宋体" w:hAnsi="宋体" w:cs="宋体"/>
          <w:sz w:val="18"/>
          <w:szCs w:val="18"/>
        </w:rPr>
      </w:pPr>
      <w:r>
        <w:rPr>
          <w:rFonts w:hint="eastAsia" w:ascii="宋体" w:hAnsi="宋体" w:cs="宋体"/>
        </w:rPr>
        <w:t> </w:t>
      </w:r>
    </w:p>
    <w:p w14:paraId="4D11E44B">
      <w:pPr>
        <w:pStyle w:val="50"/>
        <w:spacing w:line="360" w:lineRule="exact"/>
        <w:ind w:left="-2" w:leftChars="-1" w:firstLineChars="200"/>
        <w:jc w:val="center"/>
        <w:rPr>
          <w:rFonts w:asciiTheme="minorEastAsia" w:hAnsiTheme="minorEastAsia" w:eastAsiaTheme="minorEastAsia" w:cstheme="minorEastAsia"/>
          <w:color w:val="000000" w:themeColor="text1"/>
          <w14:textFill>
            <w14:solidFill>
              <w14:schemeClr w14:val="tx1"/>
            </w14:solidFill>
          </w14:textFill>
        </w:rPr>
      </w:pPr>
      <w:r>
        <w:rPr>
          <w:rFonts w:hint="eastAsia" w:ascii="宋体" w:hAnsi="宋体" w:cs="宋体"/>
        </w:rPr>
        <w:t>受委托人：</w:t>
      </w:r>
      <w:r>
        <w:rPr>
          <w:rFonts w:hint="eastAsia" w:ascii="宋体" w:hAnsi="宋体" w:cs="宋体"/>
          <w:u w:val="single"/>
        </w:rPr>
        <w:t>                       </w:t>
      </w:r>
      <w:r>
        <w:rPr>
          <w:rFonts w:hint="eastAsia" w:ascii="宋体" w:hAnsi="宋体" w:cs="宋体"/>
        </w:rPr>
        <w:t>（签字）</w:t>
      </w:r>
    </w:p>
    <w:p w14:paraId="21D66FB4">
      <w:pPr>
        <w:pStyle w:val="12"/>
        <w:ind w:left="480"/>
        <w:rPr>
          <w:rFonts w:ascii="楷体" w:hAnsi="楷体" w:eastAsia="楷体" w:cs="宋体"/>
          <w:b/>
          <w:sz w:val="32"/>
          <w:szCs w:val="32"/>
        </w:rPr>
      </w:pPr>
    </w:p>
    <w:p w14:paraId="22940A8E"/>
    <w:sectPr>
      <w:footerReference r:id="rId4" w:type="default"/>
      <w:pgSz w:w="11906" w:h="16838"/>
      <w:pgMar w:top="1440" w:right="1558"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ΟGB2312">
    <w:altName w:val="宋体"/>
    <w:panose1 w:val="00000000000000000000"/>
    <w:charset w:val="86"/>
    <w:family w:val="roman"/>
    <w:pitch w:val="default"/>
    <w:sig w:usb0="00000000" w:usb1="00000000" w:usb2="00000010" w:usb3="00000000" w:csb0="0004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71460182"/>
    </w:sdtPr>
    <w:sdtContent>
      <w:p w14:paraId="6A4A34B6">
        <w:pPr>
          <w:pStyle w:val="14"/>
          <w:jc w:val="center"/>
        </w:pPr>
        <w:r>
          <w:fldChar w:fldCharType="begin"/>
        </w:r>
        <w:r>
          <w:instrText xml:space="preserve">PAGE   \* MERGEFORMAT</w:instrText>
        </w:r>
        <w:r>
          <w:fldChar w:fldCharType="separate"/>
        </w:r>
        <w:r>
          <w:rPr>
            <w:lang w:val="zh-CN"/>
          </w:rPr>
          <w:t>24</w:t>
        </w:r>
        <w:r>
          <w:fldChar w:fldCharType="end"/>
        </w:r>
      </w:p>
    </w:sdtContent>
  </w:sdt>
  <w:p w14:paraId="256D5D5C">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60973525"/>
    </w:sdtPr>
    <w:sdtContent>
      <w:p w14:paraId="6A314E7E">
        <w:pPr>
          <w:pStyle w:val="14"/>
          <w:jc w:val="center"/>
        </w:pPr>
        <w:r>
          <w:fldChar w:fldCharType="begin"/>
        </w:r>
        <w:r>
          <w:instrText xml:space="preserve">PAGE   \* MERGEFORMAT</w:instrText>
        </w:r>
        <w:r>
          <w:fldChar w:fldCharType="separate"/>
        </w:r>
        <w:r>
          <w:rPr>
            <w:lang w:val="zh-CN"/>
          </w:rPr>
          <w:t>31</w:t>
        </w:r>
        <w:r>
          <w:fldChar w:fldCharType="end"/>
        </w:r>
      </w:p>
    </w:sdtContent>
  </w:sdt>
  <w:p w14:paraId="7534DCDA">
    <w:pPr>
      <w:pStyle w:val="1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5BFBB6"/>
    <w:multiLevelType w:val="singleLevel"/>
    <w:tmpl w:val="AD5BFBB6"/>
    <w:lvl w:ilvl="0" w:tentative="0">
      <w:start w:val="1"/>
      <w:numFmt w:val="decimal"/>
      <w:suff w:val="nothing"/>
      <w:lvlText w:val="%1、"/>
      <w:lvlJc w:val="left"/>
      <w:rPr>
        <w:rFonts w:hint="default" w:ascii="宋体" w:hAnsi="宋体" w:eastAsia="宋体" w:cs="宋体"/>
      </w:rPr>
    </w:lvl>
  </w:abstractNum>
  <w:abstractNum w:abstractNumId="1">
    <w:nsid w:val="DF52B197"/>
    <w:multiLevelType w:val="singleLevel"/>
    <w:tmpl w:val="DF52B197"/>
    <w:lvl w:ilvl="0" w:tentative="0">
      <w:start w:val="12"/>
      <w:numFmt w:val="decimal"/>
      <w:suff w:val="nothing"/>
      <w:lvlText w:val="%1、"/>
      <w:lvlJc w:val="left"/>
    </w:lvl>
  </w:abstractNum>
  <w:abstractNum w:abstractNumId="2">
    <w:nsid w:val="50AC2192"/>
    <w:multiLevelType w:val="singleLevel"/>
    <w:tmpl w:val="50AC2192"/>
    <w:lvl w:ilvl="0" w:tentative="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dkYmYyMmNlYTM3NzJmZTZiZTk1ZGE4NDZmMTQ1MzEifQ=="/>
  </w:docVars>
  <w:rsids>
    <w:rsidRoot w:val="00F24CD4"/>
    <w:rsid w:val="00016641"/>
    <w:rsid w:val="00030D30"/>
    <w:rsid w:val="00043A56"/>
    <w:rsid w:val="00056D7A"/>
    <w:rsid w:val="00061954"/>
    <w:rsid w:val="00062627"/>
    <w:rsid w:val="0006601B"/>
    <w:rsid w:val="00081434"/>
    <w:rsid w:val="00084A19"/>
    <w:rsid w:val="00091566"/>
    <w:rsid w:val="0009699F"/>
    <w:rsid w:val="000A0E3B"/>
    <w:rsid w:val="000B36D7"/>
    <w:rsid w:val="000D0035"/>
    <w:rsid w:val="000F02B8"/>
    <w:rsid w:val="000F4C80"/>
    <w:rsid w:val="000F7203"/>
    <w:rsid w:val="00101544"/>
    <w:rsid w:val="0011400B"/>
    <w:rsid w:val="00114A5C"/>
    <w:rsid w:val="00121DDC"/>
    <w:rsid w:val="00130DF9"/>
    <w:rsid w:val="00150FED"/>
    <w:rsid w:val="0016448A"/>
    <w:rsid w:val="0017591F"/>
    <w:rsid w:val="00177EE0"/>
    <w:rsid w:val="0019223D"/>
    <w:rsid w:val="001A071D"/>
    <w:rsid w:val="001A4B04"/>
    <w:rsid w:val="001A65D1"/>
    <w:rsid w:val="001A6760"/>
    <w:rsid w:val="001C3EE0"/>
    <w:rsid w:val="001C48F9"/>
    <w:rsid w:val="001D076C"/>
    <w:rsid w:val="001E276B"/>
    <w:rsid w:val="001F3FFA"/>
    <w:rsid w:val="001F6455"/>
    <w:rsid w:val="00220DE6"/>
    <w:rsid w:val="0022576E"/>
    <w:rsid w:val="00242E7C"/>
    <w:rsid w:val="00250E66"/>
    <w:rsid w:val="002562A9"/>
    <w:rsid w:val="00260CE9"/>
    <w:rsid w:val="00270BE5"/>
    <w:rsid w:val="00274C87"/>
    <w:rsid w:val="00281479"/>
    <w:rsid w:val="002C1E07"/>
    <w:rsid w:val="002C5D00"/>
    <w:rsid w:val="0031340D"/>
    <w:rsid w:val="003159E4"/>
    <w:rsid w:val="00321BEE"/>
    <w:rsid w:val="003225BB"/>
    <w:rsid w:val="003340F4"/>
    <w:rsid w:val="0033630F"/>
    <w:rsid w:val="003637D2"/>
    <w:rsid w:val="003704E0"/>
    <w:rsid w:val="0037724D"/>
    <w:rsid w:val="003805D0"/>
    <w:rsid w:val="003A2CB1"/>
    <w:rsid w:val="003A6119"/>
    <w:rsid w:val="003A798E"/>
    <w:rsid w:val="003B6A16"/>
    <w:rsid w:val="003D00F1"/>
    <w:rsid w:val="003D3AEE"/>
    <w:rsid w:val="003E5A3E"/>
    <w:rsid w:val="003F4A6D"/>
    <w:rsid w:val="004227B7"/>
    <w:rsid w:val="00422F99"/>
    <w:rsid w:val="0043186A"/>
    <w:rsid w:val="004825D9"/>
    <w:rsid w:val="00487A3C"/>
    <w:rsid w:val="00495D48"/>
    <w:rsid w:val="00496D1D"/>
    <w:rsid w:val="004A133D"/>
    <w:rsid w:val="004A1E85"/>
    <w:rsid w:val="004C1448"/>
    <w:rsid w:val="004C266E"/>
    <w:rsid w:val="004D1A7D"/>
    <w:rsid w:val="004D50D4"/>
    <w:rsid w:val="004E6288"/>
    <w:rsid w:val="004E637D"/>
    <w:rsid w:val="004F674A"/>
    <w:rsid w:val="00511A86"/>
    <w:rsid w:val="00532CCE"/>
    <w:rsid w:val="0053315C"/>
    <w:rsid w:val="0053456B"/>
    <w:rsid w:val="00545818"/>
    <w:rsid w:val="00562B2E"/>
    <w:rsid w:val="00563375"/>
    <w:rsid w:val="0056756E"/>
    <w:rsid w:val="00571146"/>
    <w:rsid w:val="00573FC2"/>
    <w:rsid w:val="005845F5"/>
    <w:rsid w:val="00593827"/>
    <w:rsid w:val="0059592D"/>
    <w:rsid w:val="005B5D6B"/>
    <w:rsid w:val="005C3349"/>
    <w:rsid w:val="005C3762"/>
    <w:rsid w:val="005D62FA"/>
    <w:rsid w:val="005F3A4A"/>
    <w:rsid w:val="00602CB8"/>
    <w:rsid w:val="006375D2"/>
    <w:rsid w:val="00644F30"/>
    <w:rsid w:val="00647AF0"/>
    <w:rsid w:val="00650B20"/>
    <w:rsid w:val="0065251A"/>
    <w:rsid w:val="00682B15"/>
    <w:rsid w:val="00696C1C"/>
    <w:rsid w:val="006A35DB"/>
    <w:rsid w:val="006C140E"/>
    <w:rsid w:val="006E23DF"/>
    <w:rsid w:val="006F6E5D"/>
    <w:rsid w:val="007078FC"/>
    <w:rsid w:val="0071261D"/>
    <w:rsid w:val="0074119A"/>
    <w:rsid w:val="00741B2E"/>
    <w:rsid w:val="00744074"/>
    <w:rsid w:val="007471EF"/>
    <w:rsid w:val="00796394"/>
    <w:rsid w:val="007F2883"/>
    <w:rsid w:val="00822E12"/>
    <w:rsid w:val="00832566"/>
    <w:rsid w:val="0085221E"/>
    <w:rsid w:val="00873257"/>
    <w:rsid w:val="00874B4B"/>
    <w:rsid w:val="00884752"/>
    <w:rsid w:val="008923D8"/>
    <w:rsid w:val="008B7CF4"/>
    <w:rsid w:val="008C257A"/>
    <w:rsid w:val="008C2736"/>
    <w:rsid w:val="008C44E2"/>
    <w:rsid w:val="008D5504"/>
    <w:rsid w:val="008E024C"/>
    <w:rsid w:val="008E250D"/>
    <w:rsid w:val="00904B62"/>
    <w:rsid w:val="009122D4"/>
    <w:rsid w:val="009378D4"/>
    <w:rsid w:val="00950D05"/>
    <w:rsid w:val="00952547"/>
    <w:rsid w:val="009749EB"/>
    <w:rsid w:val="009848B3"/>
    <w:rsid w:val="009856BB"/>
    <w:rsid w:val="0099207E"/>
    <w:rsid w:val="00992340"/>
    <w:rsid w:val="00996796"/>
    <w:rsid w:val="00997C8E"/>
    <w:rsid w:val="009B781D"/>
    <w:rsid w:val="009C779F"/>
    <w:rsid w:val="009E4540"/>
    <w:rsid w:val="009F6FBC"/>
    <w:rsid w:val="00A06AEA"/>
    <w:rsid w:val="00A16F4E"/>
    <w:rsid w:val="00A1767A"/>
    <w:rsid w:val="00A21AE0"/>
    <w:rsid w:val="00A301DD"/>
    <w:rsid w:val="00A30DA2"/>
    <w:rsid w:val="00A33089"/>
    <w:rsid w:val="00A36F47"/>
    <w:rsid w:val="00A46E79"/>
    <w:rsid w:val="00A56B1E"/>
    <w:rsid w:val="00A668E1"/>
    <w:rsid w:val="00A8781E"/>
    <w:rsid w:val="00A92B5D"/>
    <w:rsid w:val="00A92B82"/>
    <w:rsid w:val="00A94FFD"/>
    <w:rsid w:val="00AA07F0"/>
    <w:rsid w:val="00AA5695"/>
    <w:rsid w:val="00AB7349"/>
    <w:rsid w:val="00AF16F4"/>
    <w:rsid w:val="00B179F1"/>
    <w:rsid w:val="00B22B7F"/>
    <w:rsid w:val="00B25EE8"/>
    <w:rsid w:val="00B2654F"/>
    <w:rsid w:val="00B72F9A"/>
    <w:rsid w:val="00B74686"/>
    <w:rsid w:val="00B80030"/>
    <w:rsid w:val="00B83EBC"/>
    <w:rsid w:val="00B93086"/>
    <w:rsid w:val="00BB46CC"/>
    <w:rsid w:val="00BB6EFF"/>
    <w:rsid w:val="00BC758A"/>
    <w:rsid w:val="00BD6078"/>
    <w:rsid w:val="00BE4092"/>
    <w:rsid w:val="00BF207B"/>
    <w:rsid w:val="00C01975"/>
    <w:rsid w:val="00C0745E"/>
    <w:rsid w:val="00C16494"/>
    <w:rsid w:val="00C21E0B"/>
    <w:rsid w:val="00C27B7E"/>
    <w:rsid w:val="00C345A1"/>
    <w:rsid w:val="00C35D1F"/>
    <w:rsid w:val="00C43EE5"/>
    <w:rsid w:val="00C57323"/>
    <w:rsid w:val="00C61A2C"/>
    <w:rsid w:val="00C70C0F"/>
    <w:rsid w:val="00C72133"/>
    <w:rsid w:val="00C73680"/>
    <w:rsid w:val="00C97304"/>
    <w:rsid w:val="00CA70E0"/>
    <w:rsid w:val="00CB0DB1"/>
    <w:rsid w:val="00CB5140"/>
    <w:rsid w:val="00CB70B6"/>
    <w:rsid w:val="00CC04F8"/>
    <w:rsid w:val="00CC4EA0"/>
    <w:rsid w:val="00CD3536"/>
    <w:rsid w:val="00CE25FF"/>
    <w:rsid w:val="00CE2AE3"/>
    <w:rsid w:val="00CE2ED5"/>
    <w:rsid w:val="00CE5DC4"/>
    <w:rsid w:val="00CF19E6"/>
    <w:rsid w:val="00D04BBA"/>
    <w:rsid w:val="00D164D4"/>
    <w:rsid w:val="00D23952"/>
    <w:rsid w:val="00D44AD1"/>
    <w:rsid w:val="00D80F96"/>
    <w:rsid w:val="00D85650"/>
    <w:rsid w:val="00D87EEB"/>
    <w:rsid w:val="00D93B90"/>
    <w:rsid w:val="00D93FCB"/>
    <w:rsid w:val="00DA553D"/>
    <w:rsid w:val="00DA7A8D"/>
    <w:rsid w:val="00DB20F7"/>
    <w:rsid w:val="00DB4BA2"/>
    <w:rsid w:val="00DC5E6F"/>
    <w:rsid w:val="00DD1784"/>
    <w:rsid w:val="00DD528F"/>
    <w:rsid w:val="00DE1084"/>
    <w:rsid w:val="00DF034E"/>
    <w:rsid w:val="00DF0EFB"/>
    <w:rsid w:val="00E036A7"/>
    <w:rsid w:val="00E123D2"/>
    <w:rsid w:val="00E271C9"/>
    <w:rsid w:val="00E27970"/>
    <w:rsid w:val="00E41917"/>
    <w:rsid w:val="00E60A9C"/>
    <w:rsid w:val="00E70C4D"/>
    <w:rsid w:val="00E7679E"/>
    <w:rsid w:val="00E80FDE"/>
    <w:rsid w:val="00E846D9"/>
    <w:rsid w:val="00EB0902"/>
    <w:rsid w:val="00ED19B1"/>
    <w:rsid w:val="00ED296B"/>
    <w:rsid w:val="00EE1722"/>
    <w:rsid w:val="00EE1C40"/>
    <w:rsid w:val="00EF369D"/>
    <w:rsid w:val="00F038B5"/>
    <w:rsid w:val="00F06C37"/>
    <w:rsid w:val="00F13A48"/>
    <w:rsid w:val="00F13BC3"/>
    <w:rsid w:val="00F153D1"/>
    <w:rsid w:val="00F24CD4"/>
    <w:rsid w:val="00F27316"/>
    <w:rsid w:val="00F3547E"/>
    <w:rsid w:val="00F410C7"/>
    <w:rsid w:val="00F57104"/>
    <w:rsid w:val="00F73ACC"/>
    <w:rsid w:val="00F75D40"/>
    <w:rsid w:val="00F80386"/>
    <w:rsid w:val="00F82EA7"/>
    <w:rsid w:val="00F96656"/>
    <w:rsid w:val="00F96F60"/>
    <w:rsid w:val="00F978C6"/>
    <w:rsid w:val="00FA081C"/>
    <w:rsid w:val="00FA4AE3"/>
    <w:rsid w:val="00FC29BF"/>
    <w:rsid w:val="00FC60C2"/>
    <w:rsid w:val="00FD4C97"/>
    <w:rsid w:val="00FF304F"/>
    <w:rsid w:val="011E0236"/>
    <w:rsid w:val="012375FA"/>
    <w:rsid w:val="01431A4A"/>
    <w:rsid w:val="014A2DD9"/>
    <w:rsid w:val="01B841E6"/>
    <w:rsid w:val="01BA68B2"/>
    <w:rsid w:val="01BB5A85"/>
    <w:rsid w:val="01C35DFF"/>
    <w:rsid w:val="01D34AC7"/>
    <w:rsid w:val="01E054EB"/>
    <w:rsid w:val="022278B2"/>
    <w:rsid w:val="02511F45"/>
    <w:rsid w:val="025832D3"/>
    <w:rsid w:val="026E6F9B"/>
    <w:rsid w:val="02994018"/>
    <w:rsid w:val="02B349AE"/>
    <w:rsid w:val="03327FC8"/>
    <w:rsid w:val="03B24C65"/>
    <w:rsid w:val="03BD5AE4"/>
    <w:rsid w:val="03E272F9"/>
    <w:rsid w:val="04096F7B"/>
    <w:rsid w:val="040E6340"/>
    <w:rsid w:val="041A2F36"/>
    <w:rsid w:val="0429076D"/>
    <w:rsid w:val="042948F2"/>
    <w:rsid w:val="0431202E"/>
    <w:rsid w:val="043B10FF"/>
    <w:rsid w:val="04763EE5"/>
    <w:rsid w:val="04784101"/>
    <w:rsid w:val="047D1717"/>
    <w:rsid w:val="04CB5FDF"/>
    <w:rsid w:val="050E236F"/>
    <w:rsid w:val="051C683A"/>
    <w:rsid w:val="052838D4"/>
    <w:rsid w:val="052A284F"/>
    <w:rsid w:val="053A45A8"/>
    <w:rsid w:val="05976809"/>
    <w:rsid w:val="059E1945"/>
    <w:rsid w:val="05A54A82"/>
    <w:rsid w:val="05C869C2"/>
    <w:rsid w:val="05F8235F"/>
    <w:rsid w:val="062260D2"/>
    <w:rsid w:val="062A4633"/>
    <w:rsid w:val="063D4CBA"/>
    <w:rsid w:val="066B5CCB"/>
    <w:rsid w:val="06976AC0"/>
    <w:rsid w:val="06A0349B"/>
    <w:rsid w:val="06A27213"/>
    <w:rsid w:val="06A765D7"/>
    <w:rsid w:val="06C62F02"/>
    <w:rsid w:val="06D66EBD"/>
    <w:rsid w:val="06E15AD9"/>
    <w:rsid w:val="06EB6E0C"/>
    <w:rsid w:val="07746E01"/>
    <w:rsid w:val="077E37DC"/>
    <w:rsid w:val="083E4D1A"/>
    <w:rsid w:val="085E716A"/>
    <w:rsid w:val="089112ED"/>
    <w:rsid w:val="08931509"/>
    <w:rsid w:val="08A55394"/>
    <w:rsid w:val="08A76D63"/>
    <w:rsid w:val="08C90A87"/>
    <w:rsid w:val="08EB4EA1"/>
    <w:rsid w:val="08EB6C4F"/>
    <w:rsid w:val="08FC0E5C"/>
    <w:rsid w:val="093A7BD7"/>
    <w:rsid w:val="09841DE3"/>
    <w:rsid w:val="09CD27F9"/>
    <w:rsid w:val="0A083831"/>
    <w:rsid w:val="0A4F1460"/>
    <w:rsid w:val="0A543B62"/>
    <w:rsid w:val="0A886720"/>
    <w:rsid w:val="0ADD4CBE"/>
    <w:rsid w:val="0AF3003D"/>
    <w:rsid w:val="0B0264D2"/>
    <w:rsid w:val="0B2C17A1"/>
    <w:rsid w:val="0B751115"/>
    <w:rsid w:val="0B7E1CB6"/>
    <w:rsid w:val="0B8E5FB8"/>
    <w:rsid w:val="0BCA2A97"/>
    <w:rsid w:val="0BEB340A"/>
    <w:rsid w:val="0C2D57D1"/>
    <w:rsid w:val="0C3703FE"/>
    <w:rsid w:val="0C5965C6"/>
    <w:rsid w:val="0C662A91"/>
    <w:rsid w:val="0C7B02EA"/>
    <w:rsid w:val="0C9615C8"/>
    <w:rsid w:val="0CA4630A"/>
    <w:rsid w:val="0CE929F7"/>
    <w:rsid w:val="0CF514D7"/>
    <w:rsid w:val="0CFC2B46"/>
    <w:rsid w:val="0D0504FC"/>
    <w:rsid w:val="0D1150F2"/>
    <w:rsid w:val="0D166265"/>
    <w:rsid w:val="0D3D5EE8"/>
    <w:rsid w:val="0D6C2329"/>
    <w:rsid w:val="0DAE2B79"/>
    <w:rsid w:val="0DC7755F"/>
    <w:rsid w:val="0E016F15"/>
    <w:rsid w:val="0E056A05"/>
    <w:rsid w:val="0E150EAB"/>
    <w:rsid w:val="0E172295"/>
    <w:rsid w:val="0E2B5D40"/>
    <w:rsid w:val="0E3E5A73"/>
    <w:rsid w:val="0E43752E"/>
    <w:rsid w:val="0E6D45AA"/>
    <w:rsid w:val="0E965864"/>
    <w:rsid w:val="0E96765D"/>
    <w:rsid w:val="0EA63619"/>
    <w:rsid w:val="0EE77EB9"/>
    <w:rsid w:val="0F093F3B"/>
    <w:rsid w:val="0F5512C6"/>
    <w:rsid w:val="0F566DED"/>
    <w:rsid w:val="0F735BF1"/>
    <w:rsid w:val="0FA20284"/>
    <w:rsid w:val="0FB0474F"/>
    <w:rsid w:val="0FB415D5"/>
    <w:rsid w:val="10204215"/>
    <w:rsid w:val="104941DA"/>
    <w:rsid w:val="104B3917"/>
    <w:rsid w:val="109127D2"/>
    <w:rsid w:val="10C761F4"/>
    <w:rsid w:val="11032084"/>
    <w:rsid w:val="111E1B8C"/>
    <w:rsid w:val="11716160"/>
    <w:rsid w:val="117B581C"/>
    <w:rsid w:val="118F65E6"/>
    <w:rsid w:val="11AC0F46"/>
    <w:rsid w:val="11D87F8D"/>
    <w:rsid w:val="11DA1F57"/>
    <w:rsid w:val="11F052D6"/>
    <w:rsid w:val="12541D09"/>
    <w:rsid w:val="12A8305E"/>
    <w:rsid w:val="12A8611D"/>
    <w:rsid w:val="12B04A66"/>
    <w:rsid w:val="12B10F0A"/>
    <w:rsid w:val="12CA1FCB"/>
    <w:rsid w:val="13082AF4"/>
    <w:rsid w:val="13525B1D"/>
    <w:rsid w:val="138E4DA7"/>
    <w:rsid w:val="139D148E"/>
    <w:rsid w:val="13C06F2A"/>
    <w:rsid w:val="13C54541"/>
    <w:rsid w:val="13CF0812"/>
    <w:rsid w:val="13EE6AF0"/>
    <w:rsid w:val="14382F65"/>
    <w:rsid w:val="14991C55"/>
    <w:rsid w:val="14B24AC5"/>
    <w:rsid w:val="14D964F6"/>
    <w:rsid w:val="14E7475B"/>
    <w:rsid w:val="151A266A"/>
    <w:rsid w:val="15897F1C"/>
    <w:rsid w:val="158A77F0"/>
    <w:rsid w:val="158E72E0"/>
    <w:rsid w:val="15B900D5"/>
    <w:rsid w:val="15C745A0"/>
    <w:rsid w:val="163C6D3C"/>
    <w:rsid w:val="165E3157"/>
    <w:rsid w:val="169326D4"/>
    <w:rsid w:val="16A668AC"/>
    <w:rsid w:val="16A86180"/>
    <w:rsid w:val="16AA5140"/>
    <w:rsid w:val="170F4451"/>
    <w:rsid w:val="172C5003"/>
    <w:rsid w:val="17441DA1"/>
    <w:rsid w:val="17542220"/>
    <w:rsid w:val="179130B8"/>
    <w:rsid w:val="179E7583"/>
    <w:rsid w:val="17A81C09"/>
    <w:rsid w:val="17AE342C"/>
    <w:rsid w:val="17C90AA4"/>
    <w:rsid w:val="17F13B56"/>
    <w:rsid w:val="18090EA0"/>
    <w:rsid w:val="1817209B"/>
    <w:rsid w:val="181D2B9D"/>
    <w:rsid w:val="1833416F"/>
    <w:rsid w:val="187B4002"/>
    <w:rsid w:val="188E75F7"/>
    <w:rsid w:val="18CB43A7"/>
    <w:rsid w:val="18F338FE"/>
    <w:rsid w:val="1910625E"/>
    <w:rsid w:val="19377E5F"/>
    <w:rsid w:val="1943335F"/>
    <w:rsid w:val="194B54E8"/>
    <w:rsid w:val="1A116732"/>
    <w:rsid w:val="1A466BC3"/>
    <w:rsid w:val="1A530AF8"/>
    <w:rsid w:val="1A5F124B"/>
    <w:rsid w:val="1A9B5FFB"/>
    <w:rsid w:val="1AA807B0"/>
    <w:rsid w:val="1ABC3B86"/>
    <w:rsid w:val="1AC15A62"/>
    <w:rsid w:val="1AD87250"/>
    <w:rsid w:val="1ADD6614"/>
    <w:rsid w:val="1AEF6A73"/>
    <w:rsid w:val="1B3E3557"/>
    <w:rsid w:val="1B617245"/>
    <w:rsid w:val="1B636B19"/>
    <w:rsid w:val="1B762CF0"/>
    <w:rsid w:val="1BA333BA"/>
    <w:rsid w:val="1C4F3541"/>
    <w:rsid w:val="1CA53161"/>
    <w:rsid w:val="1CB735C0"/>
    <w:rsid w:val="1CE02B97"/>
    <w:rsid w:val="1D104A7F"/>
    <w:rsid w:val="1D5A219E"/>
    <w:rsid w:val="1E636E30"/>
    <w:rsid w:val="1E9D67E6"/>
    <w:rsid w:val="1EA638ED"/>
    <w:rsid w:val="1EBF689B"/>
    <w:rsid w:val="1EC51899"/>
    <w:rsid w:val="1EC57AEB"/>
    <w:rsid w:val="1EDA5344"/>
    <w:rsid w:val="1EE60968"/>
    <w:rsid w:val="1F0028D1"/>
    <w:rsid w:val="1F5C3FAB"/>
    <w:rsid w:val="1F5F584A"/>
    <w:rsid w:val="1F7C464D"/>
    <w:rsid w:val="1FBC4A4A"/>
    <w:rsid w:val="1FC658C9"/>
    <w:rsid w:val="1FD91AA0"/>
    <w:rsid w:val="20140D2A"/>
    <w:rsid w:val="20196410"/>
    <w:rsid w:val="202C6073"/>
    <w:rsid w:val="204D5FEA"/>
    <w:rsid w:val="207401DD"/>
    <w:rsid w:val="208732AA"/>
    <w:rsid w:val="208C6B12"/>
    <w:rsid w:val="20A976C4"/>
    <w:rsid w:val="20DB1848"/>
    <w:rsid w:val="20ED1916"/>
    <w:rsid w:val="215018EE"/>
    <w:rsid w:val="215313DE"/>
    <w:rsid w:val="21EB1616"/>
    <w:rsid w:val="21FB192E"/>
    <w:rsid w:val="220F79FB"/>
    <w:rsid w:val="221072CF"/>
    <w:rsid w:val="2229482B"/>
    <w:rsid w:val="22D30A28"/>
    <w:rsid w:val="22D60519"/>
    <w:rsid w:val="22E5250A"/>
    <w:rsid w:val="23052BAC"/>
    <w:rsid w:val="232623FE"/>
    <w:rsid w:val="232E2103"/>
    <w:rsid w:val="238E3BA3"/>
    <w:rsid w:val="23A2644A"/>
    <w:rsid w:val="23A3664D"/>
    <w:rsid w:val="23EB7FF4"/>
    <w:rsid w:val="242B6642"/>
    <w:rsid w:val="24442C50"/>
    <w:rsid w:val="245272C7"/>
    <w:rsid w:val="245636BF"/>
    <w:rsid w:val="25317C88"/>
    <w:rsid w:val="254038D8"/>
    <w:rsid w:val="255E10AA"/>
    <w:rsid w:val="2572277A"/>
    <w:rsid w:val="259A6743"/>
    <w:rsid w:val="259B3353"/>
    <w:rsid w:val="25E42F4C"/>
    <w:rsid w:val="26121868"/>
    <w:rsid w:val="26946721"/>
    <w:rsid w:val="26D27249"/>
    <w:rsid w:val="271D6716"/>
    <w:rsid w:val="27271343"/>
    <w:rsid w:val="27750300"/>
    <w:rsid w:val="27822A1D"/>
    <w:rsid w:val="27B23302"/>
    <w:rsid w:val="27C76682"/>
    <w:rsid w:val="27DA086F"/>
    <w:rsid w:val="27E56B08"/>
    <w:rsid w:val="284D6B87"/>
    <w:rsid w:val="286D0FD7"/>
    <w:rsid w:val="28946B3B"/>
    <w:rsid w:val="28BE0379"/>
    <w:rsid w:val="28ED036A"/>
    <w:rsid w:val="28F416F8"/>
    <w:rsid w:val="28FD67FF"/>
    <w:rsid w:val="292518B2"/>
    <w:rsid w:val="292C49EE"/>
    <w:rsid w:val="294A2B7B"/>
    <w:rsid w:val="29E259F5"/>
    <w:rsid w:val="2A0C65CE"/>
    <w:rsid w:val="2A1F09F7"/>
    <w:rsid w:val="2A585CB7"/>
    <w:rsid w:val="2A88034A"/>
    <w:rsid w:val="2A8B7E3A"/>
    <w:rsid w:val="2AC84BEB"/>
    <w:rsid w:val="2ACB0237"/>
    <w:rsid w:val="2AEC1E8B"/>
    <w:rsid w:val="2B8C2DFF"/>
    <w:rsid w:val="2B920D55"/>
    <w:rsid w:val="2BD55811"/>
    <w:rsid w:val="2BE710A1"/>
    <w:rsid w:val="2C4604BD"/>
    <w:rsid w:val="2C610E53"/>
    <w:rsid w:val="2C6C77F8"/>
    <w:rsid w:val="2C7212B2"/>
    <w:rsid w:val="2C772424"/>
    <w:rsid w:val="2C9805ED"/>
    <w:rsid w:val="2CC969F8"/>
    <w:rsid w:val="2CCE2260"/>
    <w:rsid w:val="2CF10822"/>
    <w:rsid w:val="2D26209C"/>
    <w:rsid w:val="2D3E1194"/>
    <w:rsid w:val="2D4A7B39"/>
    <w:rsid w:val="2D74105A"/>
    <w:rsid w:val="2D8A6187"/>
    <w:rsid w:val="2D9E60D7"/>
    <w:rsid w:val="2DA07759"/>
    <w:rsid w:val="2DD12008"/>
    <w:rsid w:val="2DE0049D"/>
    <w:rsid w:val="2E100D83"/>
    <w:rsid w:val="2E4E5407"/>
    <w:rsid w:val="2E6E69EE"/>
    <w:rsid w:val="2E755089"/>
    <w:rsid w:val="2E864BA1"/>
    <w:rsid w:val="2EA4771D"/>
    <w:rsid w:val="2EB45BB2"/>
    <w:rsid w:val="2EFE6E2D"/>
    <w:rsid w:val="2F320885"/>
    <w:rsid w:val="2F642A08"/>
    <w:rsid w:val="2FA31782"/>
    <w:rsid w:val="2FB57C97"/>
    <w:rsid w:val="2FBB6ACC"/>
    <w:rsid w:val="301461DC"/>
    <w:rsid w:val="302D729E"/>
    <w:rsid w:val="3032417B"/>
    <w:rsid w:val="303C64C9"/>
    <w:rsid w:val="30470360"/>
    <w:rsid w:val="304E7940"/>
    <w:rsid w:val="3054598C"/>
    <w:rsid w:val="308928A7"/>
    <w:rsid w:val="308E41E1"/>
    <w:rsid w:val="30F32296"/>
    <w:rsid w:val="30FA690C"/>
    <w:rsid w:val="312F0409"/>
    <w:rsid w:val="3149291E"/>
    <w:rsid w:val="318C6F4C"/>
    <w:rsid w:val="31B163D9"/>
    <w:rsid w:val="322B4EB9"/>
    <w:rsid w:val="324059AE"/>
    <w:rsid w:val="3244724D"/>
    <w:rsid w:val="32672F3B"/>
    <w:rsid w:val="327318E0"/>
    <w:rsid w:val="32D700C1"/>
    <w:rsid w:val="32D83E39"/>
    <w:rsid w:val="32E60ABA"/>
    <w:rsid w:val="32F01183"/>
    <w:rsid w:val="33272C01"/>
    <w:rsid w:val="336F1A9F"/>
    <w:rsid w:val="336F654B"/>
    <w:rsid w:val="33B87818"/>
    <w:rsid w:val="33CC574C"/>
    <w:rsid w:val="341727DA"/>
    <w:rsid w:val="341B5449"/>
    <w:rsid w:val="3422536C"/>
    <w:rsid w:val="342F5CDB"/>
    <w:rsid w:val="3454129D"/>
    <w:rsid w:val="34790D04"/>
    <w:rsid w:val="34A17A33"/>
    <w:rsid w:val="34C401D1"/>
    <w:rsid w:val="34CB5A03"/>
    <w:rsid w:val="350B22A4"/>
    <w:rsid w:val="35335914"/>
    <w:rsid w:val="35586B6B"/>
    <w:rsid w:val="356B4AF0"/>
    <w:rsid w:val="357C0AAC"/>
    <w:rsid w:val="35F42D38"/>
    <w:rsid w:val="360A60B7"/>
    <w:rsid w:val="361A2073"/>
    <w:rsid w:val="362F5B1E"/>
    <w:rsid w:val="364C66D0"/>
    <w:rsid w:val="366F6862"/>
    <w:rsid w:val="36AA2B75"/>
    <w:rsid w:val="36C721FA"/>
    <w:rsid w:val="3736112E"/>
    <w:rsid w:val="37773C20"/>
    <w:rsid w:val="3784633D"/>
    <w:rsid w:val="379C3687"/>
    <w:rsid w:val="37A442EA"/>
    <w:rsid w:val="37CB536B"/>
    <w:rsid w:val="38207E14"/>
    <w:rsid w:val="38564B50"/>
    <w:rsid w:val="387B329C"/>
    <w:rsid w:val="389E51DD"/>
    <w:rsid w:val="38CA1FBC"/>
    <w:rsid w:val="38EC7CF6"/>
    <w:rsid w:val="391159AF"/>
    <w:rsid w:val="39180AEB"/>
    <w:rsid w:val="391F631E"/>
    <w:rsid w:val="39227BBC"/>
    <w:rsid w:val="392A6A70"/>
    <w:rsid w:val="3936665A"/>
    <w:rsid w:val="3942200C"/>
    <w:rsid w:val="39644A2A"/>
    <w:rsid w:val="396C0E37"/>
    <w:rsid w:val="399379B2"/>
    <w:rsid w:val="39A607ED"/>
    <w:rsid w:val="39AE31FE"/>
    <w:rsid w:val="39BD78E5"/>
    <w:rsid w:val="39F07CBA"/>
    <w:rsid w:val="3A26548A"/>
    <w:rsid w:val="3A976388"/>
    <w:rsid w:val="3ADD023E"/>
    <w:rsid w:val="3AE01ADD"/>
    <w:rsid w:val="3B693880"/>
    <w:rsid w:val="3BBD1E1E"/>
    <w:rsid w:val="3BE15B0C"/>
    <w:rsid w:val="3C047A4D"/>
    <w:rsid w:val="3C8B3CCA"/>
    <w:rsid w:val="3C931926"/>
    <w:rsid w:val="3C97441D"/>
    <w:rsid w:val="3CC571DC"/>
    <w:rsid w:val="3D401E19"/>
    <w:rsid w:val="3D597924"/>
    <w:rsid w:val="3D683537"/>
    <w:rsid w:val="3DD05E38"/>
    <w:rsid w:val="3DE2791A"/>
    <w:rsid w:val="3DE33F6B"/>
    <w:rsid w:val="3E6B3DB3"/>
    <w:rsid w:val="3EAD617A"/>
    <w:rsid w:val="3ED92ACB"/>
    <w:rsid w:val="3F0D4E6A"/>
    <w:rsid w:val="3F255D10"/>
    <w:rsid w:val="3F6A406B"/>
    <w:rsid w:val="3F7647BE"/>
    <w:rsid w:val="3FAA090B"/>
    <w:rsid w:val="406C133E"/>
    <w:rsid w:val="40784565"/>
    <w:rsid w:val="40844CB8"/>
    <w:rsid w:val="409969B6"/>
    <w:rsid w:val="40BE01CA"/>
    <w:rsid w:val="40E85247"/>
    <w:rsid w:val="40F260C6"/>
    <w:rsid w:val="40F75247"/>
    <w:rsid w:val="41210759"/>
    <w:rsid w:val="41265D6F"/>
    <w:rsid w:val="412F731A"/>
    <w:rsid w:val="41361918"/>
    <w:rsid w:val="41720FB5"/>
    <w:rsid w:val="41F93484"/>
    <w:rsid w:val="41FA7928"/>
    <w:rsid w:val="424D3EFC"/>
    <w:rsid w:val="427174BE"/>
    <w:rsid w:val="428D254A"/>
    <w:rsid w:val="42AB6E74"/>
    <w:rsid w:val="42F92F33"/>
    <w:rsid w:val="43763B0B"/>
    <w:rsid w:val="438751EB"/>
    <w:rsid w:val="438F40A0"/>
    <w:rsid w:val="439E0787"/>
    <w:rsid w:val="43A23DD3"/>
    <w:rsid w:val="43B117D6"/>
    <w:rsid w:val="43C20EE5"/>
    <w:rsid w:val="440C3942"/>
    <w:rsid w:val="444634F5"/>
    <w:rsid w:val="444E5D09"/>
    <w:rsid w:val="44550E45"/>
    <w:rsid w:val="446C2633"/>
    <w:rsid w:val="44703ED1"/>
    <w:rsid w:val="4475773A"/>
    <w:rsid w:val="44B02520"/>
    <w:rsid w:val="44D426B2"/>
    <w:rsid w:val="45232CF2"/>
    <w:rsid w:val="45254284"/>
    <w:rsid w:val="45563B4C"/>
    <w:rsid w:val="45B778DE"/>
    <w:rsid w:val="45CB4971"/>
    <w:rsid w:val="45FE72BB"/>
    <w:rsid w:val="4651335C"/>
    <w:rsid w:val="467852BF"/>
    <w:rsid w:val="46F96400"/>
    <w:rsid w:val="47134FE8"/>
    <w:rsid w:val="4723522B"/>
    <w:rsid w:val="473236C0"/>
    <w:rsid w:val="47767A51"/>
    <w:rsid w:val="47C63E08"/>
    <w:rsid w:val="485E2293"/>
    <w:rsid w:val="48686BDB"/>
    <w:rsid w:val="48B87BF5"/>
    <w:rsid w:val="49211C3E"/>
    <w:rsid w:val="492360EA"/>
    <w:rsid w:val="495C67D2"/>
    <w:rsid w:val="496C18D9"/>
    <w:rsid w:val="49A14B2D"/>
    <w:rsid w:val="49A85EBB"/>
    <w:rsid w:val="49C32CF5"/>
    <w:rsid w:val="49D00F6E"/>
    <w:rsid w:val="49E1317B"/>
    <w:rsid w:val="49E14F29"/>
    <w:rsid w:val="49EC3FFA"/>
    <w:rsid w:val="4A45370A"/>
    <w:rsid w:val="4A4A6F73"/>
    <w:rsid w:val="4A660114"/>
    <w:rsid w:val="4B1F03FF"/>
    <w:rsid w:val="4B35377F"/>
    <w:rsid w:val="4B3A6FE7"/>
    <w:rsid w:val="4B4614E8"/>
    <w:rsid w:val="4BE64A79"/>
    <w:rsid w:val="4C147838"/>
    <w:rsid w:val="4C1A4723"/>
    <w:rsid w:val="4C8F3CB7"/>
    <w:rsid w:val="4CAA5AA7"/>
    <w:rsid w:val="4CD3324F"/>
    <w:rsid w:val="4CD86AB8"/>
    <w:rsid w:val="4CDB2104"/>
    <w:rsid w:val="4CE87A1F"/>
    <w:rsid w:val="4D0B3391"/>
    <w:rsid w:val="4D2D73CD"/>
    <w:rsid w:val="4D551EB6"/>
    <w:rsid w:val="4D6420F9"/>
    <w:rsid w:val="4D902EEE"/>
    <w:rsid w:val="4D984FB4"/>
    <w:rsid w:val="4DD454D1"/>
    <w:rsid w:val="4DE167DD"/>
    <w:rsid w:val="4DE44FE8"/>
    <w:rsid w:val="4E2468B8"/>
    <w:rsid w:val="4E315298"/>
    <w:rsid w:val="4E4F6905"/>
    <w:rsid w:val="4E683E6B"/>
    <w:rsid w:val="4E6A7BE3"/>
    <w:rsid w:val="4E751761"/>
    <w:rsid w:val="4E824F2D"/>
    <w:rsid w:val="4EFC0A88"/>
    <w:rsid w:val="4F0A4F22"/>
    <w:rsid w:val="4F0E67C1"/>
    <w:rsid w:val="4F1A33B7"/>
    <w:rsid w:val="4F1B52F5"/>
    <w:rsid w:val="4F367AC5"/>
    <w:rsid w:val="4F412C02"/>
    <w:rsid w:val="4F4977F9"/>
    <w:rsid w:val="4F7306F5"/>
    <w:rsid w:val="4F7F146C"/>
    <w:rsid w:val="4F980780"/>
    <w:rsid w:val="4FF05EC6"/>
    <w:rsid w:val="50642410"/>
    <w:rsid w:val="506A3ECB"/>
    <w:rsid w:val="506A5C79"/>
    <w:rsid w:val="50A0169A"/>
    <w:rsid w:val="50C730CB"/>
    <w:rsid w:val="50CC0757"/>
    <w:rsid w:val="51173B8B"/>
    <w:rsid w:val="51215BBC"/>
    <w:rsid w:val="51340035"/>
    <w:rsid w:val="513D513B"/>
    <w:rsid w:val="51A647D1"/>
    <w:rsid w:val="51A96C75"/>
    <w:rsid w:val="521C2FA3"/>
    <w:rsid w:val="523D453F"/>
    <w:rsid w:val="524A3FB4"/>
    <w:rsid w:val="5251113A"/>
    <w:rsid w:val="5253273C"/>
    <w:rsid w:val="52816C33"/>
    <w:rsid w:val="528B637A"/>
    <w:rsid w:val="52CF270B"/>
    <w:rsid w:val="53360094"/>
    <w:rsid w:val="53370074"/>
    <w:rsid w:val="535350EA"/>
    <w:rsid w:val="538E7ED0"/>
    <w:rsid w:val="53AE2320"/>
    <w:rsid w:val="53B92A73"/>
    <w:rsid w:val="53D855EF"/>
    <w:rsid w:val="53D8739D"/>
    <w:rsid w:val="542919A7"/>
    <w:rsid w:val="54300F87"/>
    <w:rsid w:val="543C5B7E"/>
    <w:rsid w:val="549F610D"/>
    <w:rsid w:val="54B95421"/>
    <w:rsid w:val="54FD0A7F"/>
    <w:rsid w:val="54FE4BE1"/>
    <w:rsid w:val="5512068D"/>
    <w:rsid w:val="5527238A"/>
    <w:rsid w:val="55313209"/>
    <w:rsid w:val="554A42CB"/>
    <w:rsid w:val="555E38D2"/>
    <w:rsid w:val="555E7D76"/>
    <w:rsid w:val="5587107B"/>
    <w:rsid w:val="55967510"/>
    <w:rsid w:val="55E91F5E"/>
    <w:rsid w:val="55F873F7"/>
    <w:rsid w:val="55F935FB"/>
    <w:rsid w:val="560B3A5A"/>
    <w:rsid w:val="56150435"/>
    <w:rsid w:val="563034C0"/>
    <w:rsid w:val="56A17F1A"/>
    <w:rsid w:val="56E878F7"/>
    <w:rsid w:val="570566FB"/>
    <w:rsid w:val="5718669A"/>
    <w:rsid w:val="572B3928"/>
    <w:rsid w:val="573174F0"/>
    <w:rsid w:val="57325016"/>
    <w:rsid w:val="573D15CA"/>
    <w:rsid w:val="57476D14"/>
    <w:rsid w:val="579C30D0"/>
    <w:rsid w:val="57A31A70"/>
    <w:rsid w:val="57A852D8"/>
    <w:rsid w:val="57B819BF"/>
    <w:rsid w:val="58020E8D"/>
    <w:rsid w:val="580469B3"/>
    <w:rsid w:val="5805272B"/>
    <w:rsid w:val="58353010"/>
    <w:rsid w:val="585316E8"/>
    <w:rsid w:val="58647451"/>
    <w:rsid w:val="58B26EC7"/>
    <w:rsid w:val="58E3481A"/>
    <w:rsid w:val="59480B21"/>
    <w:rsid w:val="59513E7A"/>
    <w:rsid w:val="5963158C"/>
    <w:rsid w:val="59633BAD"/>
    <w:rsid w:val="598B6C60"/>
    <w:rsid w:val="59C06909"/>
    <w:rsid w:val="5A0148B9"/>
    <w:rsid w:val="5A1629CD"/>
    <w:rsid w:val="5A1B4488"/>
    <w:rsid w:val="5A1E1882"/>
    <w:rsid w:val="5A4A5AF5"/>
    <w:rsid w:val="5A53777D"/>
    <w:rsid w:val="5AA4447D"/>
    <w:rsid w:val="5ABF613D"/>
    <w:rsid w:val="5AE12FDB"/>
    <w:rsid w:val="5AFF7905"/>
    <w:rsid w:val="5B1A64ED"/>
    <w:rsid w:val="5B6854AA"/>
    <w:rsid w:val="5B8C73EB"/>
    <w:rsid w:val="5B90055D"/>
    <w:rsid w:val="5C0276AD"/>
    <w:rsid w:val="5C074CC3"/>
    <w:rsid w:val="5C2C472A"/>
    <w:rsid w:val="5C621EFA"/>
    <w:rsid w:val="5C9B540C"/>
    <w:rsid w:val="5CB36BF9"/>
    <w:rsid w:val="5CC130C4"/>
    <w:rsid w:val="5CCB5CF1"/>
    <w:rsid w:val="5CDF354A"/>
    <w:rsid w:val="5CF8285E"/>
    <w:rsid w:val="5D080CF3"/>
    <w:rsid w:val="5D172CE4"/>
    <w:rsid w:val="5D323FC2"/>
    <w:rsid w:val="5D4C4CF3"/>
    <w:rsid w:val="5D956FF3"/>
    <w:rsid w:val="5DA14CA4"/>
    <w:rsid w:val="5DBF5C0A"/>
    <w:rsid w:val="5DE60909"/>
    <w:rsid w:val="5DF03535"/>
    <w:rsid w:val="5DF41277"/>
    <w:rsid w:val="5E2558D5"/>
    <w:rsid w:val="5E5E4943"/>
    <w:rsid w:val="5E604B5F"/>
    <w:rsid w:val="5E7E6D93"/>
    <w:rsid w:val="5E9D546B"/>
    <w:rsid w:val="5EA902B4"/>
    <w:rsid w:val="5EC073AC"/>
    <w:rsid w:val="5EC818D1"/>
    <w:rsid w:val="5EC944B2"/>
    <w:rsid w:val="5ECA4D51"/>
    <w:rsid w:val="5F0059FA"/>
    <w:rsid w:val="5F1C2834"/>
    <w:rsid w:val="5F28567D"/>
    <w:rsid w:val="5F645F89"/>
    <w:rsid w:val="5F944AC0"/>
    <w:rsid w:val="5FD44EBD"/>
    <w:rsid w:val="5FE570CA"/>
    <w:rsid w:val="602C4CF9"/>
    <w:rsid w:val="60367925"/>
    <w:rsid w:val="60692C88"/>
    <w:rsid w:val="60AD6EA0"/>
    <w:rsid w:val="60BD1DF5"/>
    <w:rsid w:val="60C211B9"/>
    <w:rsid w:val="6109328C"/>
    <w:rsid w:val="612D18A0"/>
    <w:rsid w:val="61357BDD"/>
    <w:rsid w:val="614B4ACA"/>
    <w:rsid w:val="61677FB2"/>
    <w:rsid w:val="61761FA3"/>
    <w:rsid w:val="617F52FC"/>
    <w:rsid w:val="61A30FEA"/>
    <w:rsid w:val="61C420EE"/>
    <w:rsid w:val="624665A5"/>
    <w:rsid w:val="625422E5"/>
    <w:rsid w:val="62894684"/>
    <w:rsid w:val="628C7CD0"/>
    <w:rsid w:val="62BB05B6"/>
    <w:rsid w:val="62BE2E26"/>
    <w:rsid w:val="62CA25A7"/>
    <w:rsid w:val="62CE02E9"/>
    <w:rsid w:val="63416D0D"/>
    <w:rsid w:val="6350092A"/>
    <w:rsid w:val="637F5A87"/>
    <w:rsid w:val="638135AD"/>
    <w:rsid w:val="63911317"/>
    <w:rsid w:val="63C57BFC"/>
    <w:rsid w:val="63DF02D4"/>
    <w:rsid w:val="63FD075A"/>
    <w:rsid w:val="6417181C"/>
    <w:rsid w:val="64526CF8"/>
    <w:rsid w:val="645446EA"/>
    <w:rsid w:val="645B0956"/>
    <w:rsid w:val="64836EB1"/>
    <w:rsid w:val="64AE06C7"/>
    <w:rsid w:val="64C03C61"/>
    <w:rsid w:val="64F83738"/>
    <w:rsid w:val="6554084E"/>
    <w:rsid w:val="656071F2"/>
    <w:rsid w:val="65B03CD6"/>
    <w:rsid w:val="65F938CF"/>
    <w:rsid w:val="66033642"/>
    <w:rsid w:val="660B1FFF"/>
    <w:rsid w:val="660B3602"/>
    <w:rsid w:val="663743F7"/>
    <w:rsid w:val="6650370B"/>
    <w:rsid w:val="665C2657"/>
    <w:rsid w:val="66817D8A"/>
    <w:rsid w:val="66884C53"/>
    <w:rsid w:val="67024A05"/>
    <w:rsid w:val="672D1356"/>
    <w:rsid w:val="67544B35"/>
    <w:rsid w:val="67550FD9"/>
    <w:rsid w:val="675F3C06"/>
    <w:rsid w:val="676463C0"/>
    <w:rsid w:val="67682EE9"/>
    <w:rsid w:val="676A6106"/>
    <w:rsid w:val="67801DCE"/>
    <w:rsid w:val="678E44EB"/>
    <w:rsid w:val="67B35CFF"/>
    <w:rsid w:val="67BF28F6"/>
    <w:rsid w:val="67C82386"/>
    <w:rsid w:val="67DB0DB2"/>
    <w:rsid w:val="67FF7197"/>
    <w:rsid w:val="68232E85"/>
    <w:rsid w:val="687011B3"/>
    <w:rsid w:val="68755967"/>
    <w:rsid w:val="687922FA"/>
    <w:rsid w:val="68863282"/>
    <w:rsid w:val="689E250C"/>
    <w:rsid w:val="68A51AEC"/>
    <w:rsid w:val="68B327D3"/>
    <w:rsid w:val="68E343C2"/>
    <w:rsid w:val="68F71C1C"/>
    <w:rsid w:val="693D1D24"/>
    <w:rsid w:val="694D7B54"/>
    <w:rsid w:val="697257F6"/>
    <w:rsid w:val="69D106BF"/>
    <w:rsid w:val="69D56401"/>
    <w:rsid w:val="6A0171F6"/>
    <w:rsid w:val="6A7774B8"/>
    <w:rsid w:val="6AC02C0D"/>
    <w:rsid w:val="6AF6662F"/>
    <w:rsid w:val="6B1C3BBC"/>
    <w:rsid w:val="6B234F4A"/>
    <w:rsid w:val="6B6537B4"/>
    <w:rsid w:val="6B791801"/>
    <w:rsid w:val="6B99750F"/>
    <w:rsid w:val="6BAE0CB8"/>
    <w:rsid w:val="6C4909E0"/>
    <w:rsid w:val="6C7353BC"/>
    <w:rsid w:val="6CBE5332"/>
    <w:rsid w:val="6CCF5389"/>
    <w:rsid w:val="6CD81D64"/>
    <w:rsid w:val="6CE34991"/>
    <w:rsid w:val="6CF22E26"/>
    <w:rsid w:val="6D633D24"/>
    <w:rsid w:val="6D7442E5"/>
    <w:rsid w:val="6DA73C10"/>
    <w:rsid w:val="6DF1132F"/>
    <w:rsid w:val="6DFA4688"/>
    <w:rsid w:val="6E22598D"/>
    <w:rsid w:val="6E315BD0"/>
    <w:rsid w:val="6E34236A"/>
    <w:rsid w:val="6E364F94"/>
    <w:rsid w:val="6E494CC8"/>
    <w:rsid w:val="6E7B6E4B"/>
    <w:rsid w:val="6E9D582D"/>
    <w:rsid w:val="6ED07197"/>
    <w:rsid w:val="6EDF5173"/>
    <w:rsid w:val="6EF015E7"/>
    <w:rsid w:val="6F060E0B"/>
    <w:rsid w:val="6F503DBF"/>
    <w:rsid w:val="6F5E0C47"/>
    <w:rsid w:val="6F685621"/>
    <w:rsid w:val="6F71619F"/>
    <w:rsid w:val="6F927E36"/>
    <w:rsid w:val="6F99623C"/>
    <w:rsid w:val="6FB940CF"/>
    <w:rsid w:val="6FCC3E02"/>
    <w:rsid w:val="6FEF7AF1"/>
    <w:rsid w:val="6FF70753"/>
    <w:rsid w:val="6FFE5F86"/>
    <w:rsid w:val="70390D6C"/>
    <w:rsid w:val="70480FAF"/>
    <w:rsid w:val="707B3132"/>
    <w:rsid w:val="70BC0AB7"/>
    <w:rsid w:val="711F7F62"/>
    <w:rsid w:val="7121017E"/>
    <w:rsid w:val="718F50E7"/>
    <w:rsid w:val="72077373"/>
    <w:rsid w:val="722D66AE"/>
    <w:rsid w:val="724C4D86"/>
    <w:rsid w:val="728409C4"/>
    <w:rsid w:val="72A414C0"/>
    <w:rsid w:val="72AB41A3"/>
    <w:rsid w:val="72AF5EFB"/>
    <w:rsid w:val="72B0293D"/>
    <w:rsid w:val="72D8486C"/>
    <w:rsid w:val="737547B1"/>
    <w:rsid w:val="739E5AB6"/>
    <w:rsid w:val="73D019E7"/>
    <w:rsid w:val="73F43B4B"/>
    <w:rsid w:val="74081181"/>
    <w:rsid w:val="741B7106"/>
    <w:rsid w:val="74253AE1"/>
    <w:rsid w:val="7429582C"/>
    <w:rsid w:val="744F5002"/>
    <w:rsid w:val="7452064E"/>
    <w:rsid w:val="74A964C0"/>
    <w:rsid w:val="750202C6"/>
    <w:rsid w:val="752972CF"/>
    <w:rsid w:val="75644ADD"/>
    <w:rsid w:val="758331B5"/>
    <w:rsid w:val="75874327"/>
    <w:rsid w:val="758962F1"/>
    <w:rsid w:val="762027B2"/>
    <w:rsid w:val="763C5112"/>
    <w:rsid w:val="765E777E"/>
    <w:rsid w:val="768F3DF2"/>
    <w:rsid w:val="76961786"/>
    <w:rsid w:val="76AF247D"/>
    <w:rsid w:val="772F0D4F"/>
    <w:rsid w:val="77476464"/>
    <w:rsid w:val="77530965"/>
    <w:rsid w:val="77560455"/>
    <w:rsid w:val="77585F7B"/>
    <w:rsid w:val="776D5ECB"/>
    <w:rsid w:val="77C35AEB"/>
    <w:rsid w:val="77E617D9"/>
    <w:rsid w:val="77F35CA4"/>
    <w:rsid w:val="78085BF3"/>
    <w:rsid w:val="78144598"/>
    <w:rsid w:val="78174088"/>
    <w:rsid w:val="783C3AEF"/>
    <w:rsid w:val="78564BB1"/>
    <w:rsid w:val="785D5F3F"/>
    <w:rsid w:val="78852686"/>
    <w:rsid w:val="78882890"/>
    <w:rsid w:val="788C2381"/>
    <w:rsid w:val="78F10436"/>
    <w:rsid w:val="791D122B"/>
    <w:rsid w:val="792425B9"/>
    <w:rsid w:val="794B6EF7"/>
    <w:rsid w:val="797D616D"/>
    <w:rsid w:val="798474FC"/>
    <w:rsid w:val="799C05CF"/>
    <w:rsid w:val="79D51B05"/>
    <w:rsid w:val="79EE4DDF"/>
    <w:rsid w:val="7A456C8B"/>
    <w:rsid w:val="7A85352B"/>
    <w:rsid w:val="7AA339B1"/>
    <w:rsid w:val="7AB91427"/>
    <w:rsid w:val="7ACF310D"/>
    <w:rsid w:val="7ADC6EC3"/>
    <w:rsid w:val="7B9D48A5"/>
    <w:rsid w:val="7C0B5CB2"/>
    <w:rsid w:val="7C0E12FE"/>
    <w:rsid w:val="7C1F175E"/>
    <w:rsid w:val="7CB023B6"/>
    <w:rsid w:val="7CB73744"/>
    <w:rsid w:val="7CB93960"/>
    <w:rsid w:val="7CBB3234"/>
    <w:rsid w:val="7D060228"/>
    <w:rsid w:val="7D2012E9"/>
    <w:rsid w:val="7D4C6582"/>
    <w:rsid w:val="7D584F27"/>
    <w:rsid w:val="7DBF4FA6"/>
    <w:rsid w:val="7DE844FD"/>
    <w:rsid w:val="7E353C4D"/>
    <w:rsid w:val="7E3E411D"/>
    <w:rsid w:val="7E723DC7"/>
    <w:rsid w:val="7EBE525E"/>
    <w:rsid w:val="7F3217A8"/>
    <w:rsid w:val="7F3D2627"/>
    <w:rsid w:val="7F583CA8"/>
    <w:rsid w:val="7F604567"/>
    <w:rsid w:val="7F62208D"/>
    <w:rsid w:val="7FBF303C"/>
    <w:rsid w:val="7FCF6F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99"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4"/>
      <w:szCs w:val="24"/>
      <w:lang w:val="en-US" w:eastAsia="zh-CN" w:bidi="ar-SA"/>
    </w:rPr>
  </w:style>
  <w:style w:type="paragraph" w:styleId="4">
    <w:name w:val="heading 1"/>
    <w:basedOn w:val="1"/>
    <w:next w:val="1"/>
    <w:autoRedefine/>
    <w:qFormat/>
    <w:uiPriority w:val="0"/>
    <w:pPr>
      <w:keepNext/>
      <w:keepLines/>
      <w:spacing w:before="340" w:after="330" w:line="578" w:lineRule="auto"/>
      <w:outlineLvl w:val="0"/>
    </w:pPr>
    <w:rPr>
      <w:b/>
      <w:bCs/>
      <w:kern w:val="44"/>
      <w:sz w:val="44"/>
      <w:szCs w:val="44"/>
    </w:rPr>
  </w:style>
  <w:style w:type="paragraph" w:styleId="5">
    <w:name w:val="heading 2"/>
    <w:basedOn w:val="1"/>
    <w:next w:val="1"/>
    <w:autoRedefine/>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autoRedefine/>
    <w:qFormat/>
    <w:uiPriority w:val="9"/>
    <w:pPr>
      <w:keepNext/>
      <w:keepLines/>
      <w:autoSpaceDE w:val="0"/>
      <w:autoSpaceDN w:val="0"/>
      <w:adjustRightInd w:val="0"/>
      <w:spacing w:before="360" w:after="120"/>
      <w:jc w:val="left"/>
      <w:outlineLvl w:val="2"/>
    </w:pPr>
    <w:rPr>
      <w:rFonts w:ascii="宋体"/>
      <w:b/>
      <w:szCs w:val="20"/>
      <w:u w:val="single"/>
    </w:rPr>
  </w:style>
  <w:style w:type="character" w:default="1" w:styleId="24">
    <w:name w:val="Default Paragraph Font"/>
    <w:autoRedefine/>
    <w:semiHidden/>
    <w:unhideWhenUsed/>
    <w:qFormat/>
    <w:uiPriority w:val="1"/>
  </w:style>
  <w:style w:type="table" w:default="1" w:styleId="22">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link w:val="31"/>
    <w:autoRedefine/>
    <w:qFormat/>
    <w:uiPriority w:val="99"/>
    <w:pPr>
      <w:spacing w:after="120"/>
    </w:pPr>
  </w:style>
  <w:style w:type="paragraph" w:styleId="3">
    <w:name w:val="toc 2"/>
    <w:basedOn w:val="1"/>
    <w:next w:val="1"/>
    <w:autoRedefine/>
    <w:qFormat/>
    <w:uiPriority w:val="39"/>
    <w:pPr>
      <w:ind w:left="210"/>
      <w:jc w:val="left"/>
    </w:pPr>
    <w:rPr>
      <w:smallCaps/>
      <w:sz w:val="20"/>
      <w:szCs w:val="20"/>
    </w:rPr>
  </w:style>
  <w:style w:type="paragraph" w:styleId="7">
    <w:name w:val="Document Map"/>
    <w:basedOn w:val="1"/>
    <w:link w:val="38"/>
    <w:autoRedefine/>
    <w:unhideWhenUsed/>
    <w:qFormat/>
    <w:uiPriority w:val="99"/>
    <w:rPr>
      <w:rFonts w:ascii="宋体"/>
      <w:sz w:val="18"/>
      <w:szCs w:val="18"/>
    </w:rPr>
  </w:style>
  <w:style w:type="paragraph" w:styleId="8">
    <w:name w:val="annotation text"/>
    <w:basedOn w:val="1"/>
    <w:link w:val="39"/>
    <w:autoRedefine/>
    <w:unhideWhenUsed/>
    <w:qFormat/>
    <w:uiPriority w:val="99"/>
    <w:pPr>
      <w:jc w:val="left"/>
    </w:pPr>
  </w:style>
  <w:style w:type="paragraph" w:styleId="9">
    <w:name w:val="Body Text Indent"/>
    <w:basedOn w:val="1"/>
    <w:next w:val="10"/>
    <w:autoRedefine/>
    <w:qFormat/>
    <w:uiPriority w:val="0"/>
    <w:pPr>
      <w:spacing w:after="120"/>
      <w:ind w:left="420"/>
    </w:pPr>
    <w:rPr>
      <w:rFonts w:ascii="Calibri" w:hAnsi="Calibri"/>
    </w:rPr>
  </w:style>
  <w:style w:type="paragraph" w:styleId="10">
    <w:name w:val="envelope return"/>
    <w:basedOn w:val="1"/>
    <w:autoRedefine/>
    <w:qFormat/>
    <w:uiPriority w:val="0"/>
  </w:style>
  <w:style w:type="paragraph" w:styleId="11">
    <w:name w:val="Plain Text"/>
    <w:basedOn w:val="1"/>
    <w:autoRedefine/>
    <w:qFormat/>
    <w:uiPriority w:val="99"/>
    <w:rPr>
      <w:rFonts w:ascii="宋体" w:hAnsi="Courier New"/>
      <w:szCs w:val="20"/>
    </w:rPr>
  </w:style>
  <w:style w:type="paragraph" w:styleId="12">
    <w:name w:val="Body Text Indent 2"/>
    <w:basedOn w:val="1"/>
    <w:autoRedefine/>
    <w:qFormat/>
    <w:uiPriority w:val="0"/>
    <w:pPr>
      <w:spacing w:after="120" w:line="480" w:lineRule="auto"/>
      <w:ind w:left="420" w:leftChars="200"/>
    </w:pPr>
  </w:style>
  <w:style w:type="paragraph" w:styleId="13">
    <w:name w:val="Balloon Text"/>
    <w:basedOn w:val="1"/>
    <w:link w:val="37"/>
    <w:autoRedefine/>
    <w:semiHidden/>
    <w:unhideWhenUsed/>
    <w:qFormat/>
    <w:uiPriority w:val="99"/>
    <w:rPr>
      <w:sz w:val="18"/>
      <w:szCs w:val="18"/>
    </w:rPr>
  </w:style>
  <w:style w:type="paragraph" w:styleId="14">
    <w:name w:val="footer"/>
    <w:basedOn w:val="1"/>
    <w:link w:val="36"/>
    <w:autoRedefine/>
    <w:unhideWhenUsed/>
    <w:qFormat/>
    <w:uiPriority w:val="99"/>
    <w:pPr>
      <w:tabs>
        <w:tab w:val="center" w:pos="4153"/>
        <w:tab w:val="right" w:pos="8306"/>
      </w:tabs>
      <w:snapToGrid w:val="0"/>
      <w:jc w:val="left"/>
    </w:pPr>
    <w:rPr>
      <w:sz w:val="18"/>
      <w:szCs w:val="18"/>
    </w:rPr>
  </w:style>
  <w:style w:type="paragraph" w:styleId="15">
    <w:name w:val="header"/>
    <w:basedOn w:val="1"/>
    <w:link w:val="35"/>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qFormat/>
    <w:uiPriority w:val="0"/>
    <w:pPr>
      <w:tabs>
        <w:tab w:val="right" w:leader="dot" w:pos="8720"/>
      </w:tabs>
      <w:spacing w:before="120" w:after="120" w:line="400" w:lineRule="exact"/>
      <w:jc w:val="left"/>
    </w:pPr>
    <w:rPr>
      <w:rFonts w:ascii="宋体" w:hAnsi="宋体"/>
      <w:caps/>
    </w:rPr>
  </w:style>
  <w:style w:type="paragraph" w:styleId="17">
    <w:name w:val="Body Text Indent 3"/>
    <w:basedOn w:val="1"/>
    <w:link w:val="32"/>
    <w:autoRedefine/>
    <w:qFormat/>
    <w:uiPriority w:val="99"/>
    <w:pPr>
      <w:ind w:left="645" w:firstLine="645"/>
    </w:pPr>
    <w:rPr>
      <w:rFonts w:ascii="Arial" w:hAnsi="Arial" w:eastAsia="仿宋_GB2312"/>
      <w:color w:val="FFFF00"/>
      <w:sz w:val="32"/>
      <w:szCs w:val="20"/>
    </w:rPr>
  </w:style>
  <w:style w:type="paragraph" w:styleId="18">
    <w:name w:val="Normal (Web)"/>
    <w:basedOn w:val="1"/>
    <w:autoRedefine/>
    <w:qFormat/>
    <w:uiPriority w:val="99"/>
    <w:pPr>
      <w:spacing w:before="150" w:after="150" w:line="480" w:lineRule="auto"/>
      <w:jc w:val="left"/>
    </w:pPr>
    <w:rPr>
      <w:rFonts w:hint="eastAsia" w:ascii="宋体" w:hAnsi="宋体"/>
      <w:color w:val="000000"/>
    </w:rPr>
  </w:style>
  <w:style w:type="paragraph" w:styleId="19">
    <w:name w:val="annotation subject"/>
    <w:basedOn w:val="8"/>
    <w:next w:val="8"/>
    <w:link w:val="40"/>
    <w:autoRedefine/>
    <w:semiHidden/>
    <w:unhideWhenUsed/>
    <w:qFormat/>
    <w:uiPriority w:val="99"/>
    <w:rPr>
      <w:b/>
      <w:bCs/>
    </w:rPr>
  </w:style>
  <w:style w:type="paragraph" w:styleId="20">
    <w:name w:val="Body Text First Indent"/>
    <w:basedOn w:val="2"/>
    <w:autoRedefine/>
    <w:qFormat/>
    <w:uiPriority w:val="0"/>
    <w:pPr>
      <w:spacing w:line="360" w:lineRule="auto"/>
      <w:ind w:firstLine="200" w:firstLineChars="200"/>
    </w:pPr>
    <w:rPr>
      <w:rFonts w:ascii="仿宋_GB2312" w:hAnsi="Arial" w:eastAsia="仿宋_GB2312"/>
      <w:sz w:val="30"/>
      <w:szCs w:val="30"/>
    </w:rPr>
  </w:style>
  <w:style w:type="paragraph" w:styleId="21">
    <w:name w:val="Body Text First Indent 2"/>
    <w:basedOn w:val="9"/>
    <w:autoRedefine/>
    <w:qFormat/>
    <w:uiPriority w:val="0"/>
    <w:pPr>
      <w:spacing w:after="0" w:line="360" w:lineRule="auto"/>
      <w:ind w:left="0" w:firstLine="420"/>
    </w:pPr>
    <w:rPr>
      <w:rFonts w:ascii="宋体" w:hAnsi="宋体"/>
      <w:sz w:val="20"/>
      <w:szCs w:val="20"/>
    </w:rPr>
  </w:style>
  <w:style w:type="table" w:styleId="23">
    <w:name w:val="Table Grid"/>
    <w:basedOn w:val="22"/>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Hyperlink"/>
    <w:autoRedefine/>
    <w:qFormat/>
    <w:uiPriority w:val="99"/>
    <w:rPr>
      <w:rFonts w:cs="Times New Roman"/>
      <w:color w:val="336699"/>
      <w:sz w:val="18"/>
      <w:u w:val="none"/>
    </w:rPr>
  </w:style>
  <w:style w:type="character" w:styleId="26">
    <w:name w:val="annotation reference"/>
    <w:basedOn w:val="24"/>
    <w:autoRedefine/>
    <w:semiHidden/>
    <w:unhideWhenUsed/>
    <w:qFormat/>
    <w:uiPriority w:val="99"/>
    <w:rPr>
      <w:sz w:val="21"/>
      <w:szCs w:val="21"/>
    </w:rPr>
  </w:style>
  <w:style w:type="paragraph" w:styleId="27">
    <w:name w:val="List Paragraph"/>
    <w:basedOn w:val="1"/>
    <w:autoRedefine/>
    <w:qFormat/>
    <w:uiPriority w:val="34"/>
    <w:pPr>
      <w:ind w:firstLine="420" w:firstLineChars="200"/>
    </w:pPr>
    <w:rPr>
      <w:rFonts w:eastAsia="Times New Roman"/>
    </w:rPr>
  </w:style>
  <w:style w:type="paragraph" w:customStyle="1" w:styleId="28">
    <w:name w:val="正文1"/>
    <w:basedOn w:val="1"/>
    <w:next w:val="1"/>
    <w:autoRedefine/>
    <w:qFormat/>
    <w:uiPriority w:val="0"/>
    <w:pPr>
      <w:widowControl/>
      <w:spacing w:line="360" w:lineRule="auto"/>
      <w:ind w:left="360" w:firstLine="420"/>
      <w:jc w:val="left"/>
    </w:pPr>
    <w:rPr>
      <w:rFonts w:ascii="宋体" w:hAnsi="宋体"/>
      <w:szCs w:val="20"/>
    </w:rPr>
  </w:style>
  <w:style w:type="character" w:customStyle="1" w:styleId="29">
    <w:name w:val="正文文本 Char"/>
    <w:basedOn w:val="24"/>
    <w:autoRedefine/>
    <w:semiHidden/>
    <w:qFormat/>
    <w:uiPriority w:val="99"/>
    <w:rPr>
      <w:rFonts w:ascii="Times New Roman" w:hAnsi="Times New Roman" w:eastAsia="宋体" w:cs="Times New Roman"/>
      <w:kern w:val="0"/>
      <w:sz w:val="24"/>
      <w:szCs w:val="24"/>
    </w:rPr>
  </w:style>
  <w:style w:type="character" w:customStyle="1" w:styleId="30">
    <w:name w:val="正文文本缩进 3 Char"/>
    <w:basedOn w:val="24"/>
    <w:autoRedefine/>
    <w:semiHidden/>
    <w:qFormat/>
    <w:uiPriority w:val="99"/>
    <w:rPr>
      <w:rFonts w:ascii="Times New Roman" w:hAnsi="Times New Roman" w:eastAsia="宋体" w:cs="Times New Roman"/>
      <w:kern w:val="0"/>
      <w:sz w:val="16"/>
      <w:szCs w:val="16"/>
    </w:rPr>
  </w:style>
  <w:style w:type="character" w:customStyle="1" w:styleId="31">
    <w:name w:val="正文文本 Char1"/>
    <w:link w:val="2"/>
    <w:autoRedefine/>
    <w:qFormat/>
    <w:locked/>
    <w:uiPriority w:val="99"/>
    <w:rPr>
      <w:rFonts w:ascii="Times New Roman" w:hAnsi="Times New Roman" w:eastAsia="宋体" w:cs="Times New Roman"/>
      <w:kern w:val="0"/>
      <w:sz w:val="24"/>
      <w:szCs w:val="24"/>
    </w:rPr>
  </w:style>
  <w:style w:type="character" w:customStyle="1" w:styleId="32">
    <w:name w:val="正文文本缩进 3 Char1"/>
    <w:link w:val="17"/>
    <w:autoRedefine/>
    <w:qFormat/>
    <w:locked/>
    <w:uiPriority w:val="99"/>
    <w:rPr>
      <w:rFonts w:ascii="Arial" w:hAnsi="Arial" w:eastAsia="仿宋_GB2312" w:cs="Times New Roman"/>
      <w:color w:val="FFFF00"/>
      <w:kern w:val="0"/>
      <w:sz w:val="32"/>
      <w:szCs w:val="20"/>
    </w:rPr>
  </w:style>
  <w:style w:type="paragraph" w:customStyle="1" w:styleId="33">
    <w:name w:val="Default"/>
    <w:autoRedefine/>
    <w:qFormat/>
    <w:uiPriority w:val="99"/>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customStyle="1" w:styleId="34">
    <w:name w:val="WPS Plain"/>
    <w:autoRedefine/>
    <w:qFormat/>
    <w:uiPriority w:val="0"/>
    <w:rPr>
      <w:rFonts w:ascii="Times New Roman" w:hAnsi="Times New Roman" w:eastAsia="宋体" w:cs="Times New Roman"/>
      <w:lang w:val="en-US" w:eastAsia="zh-CN" w:bidi="ar-SA"/>
    </w:rPr>
  </w:style>
  <w:style w:type="character" w:customStyle="1" w:styleId="35">
    <w:name w:val="页眉 Char"/>
    <w:basedOn w:val="24"/>
    <w:link w:val="15"/>
    <w:autoRedefine/>
    <w:qFormat/>
    <w:uiPriority w:val="99"/>
    <w:rPr>
      <w:rFonts w:ascii="Times New Roman" w:hAnsi="Times New Roman" w:eastAsia="宋体" w:cs="Times New Roman"/>
      <w:sz w:val="18"/>
      <w:szCs w:val="18"/>
    </w:rPr>
  </w:style>
  <w:style w:type="character" w:customStyle="1" w:styleId="36">
    <w:name w:val="页脚 Char"/>
    <w:basedOn w:val="24"/>
    <w:link w:val="14"/>
    <w:autoRedefine/>
    <w:qFormat/>
    <w:uiPriority w:val="99"/>
    <w:rPr>
      <w:rFonts w:ascii="Times New Roman" w:hAnsi="Times New Roman" w:eastAsia="宋体" w:cs="Times New Roman"/>
      <w:sz w:val="18"/>
      <w:szCs w:val="18"/>
    </w:rPr>
  </w:style>
  <w:style w:type="character" w:customStyle="1" w:styleId="37">
    <w:name w:val="批注框文本 Char"/>
    <w:basedOn w:val="24"/>
    <w:link w:val="13"/>
    <w:autoRedefine/>
    <w:semiHidden/>
    <w:qFormat/>
    <w:uiPriority w:val="99"/>
    <w:rPr>
      <w:rFonts w:ascii="Times New Roman" w:hAnsi="Times New Roman" w:eastAsia="宋体" w:cs="Times New Roman"/>
      <w:sz w:val="18"/>
      <w:szCs w:val="18"/>
    </w:rPr>
  </w:style>
  <w:style w:type="character" w:customStyle="1" w:styleId="38">
    <w:name w:val="文档结构图 Char"/>
    <w:basedOn w:val="24"/>
    <w:link w:val="7"/>
    <w:autoRedefine/>
    <w:qFormat/>
    <w:uiPriority w:val="99"/>
    <w:rPr>
      <w:rFonts w:ascii="宋体" w:hAnsi="Times New Roman" w:eastAsia="宋体" w:cs="Times New Roman"/>
      <w:sz w:val="18"/>
      <w:szCs w:val="18"/>
    </w:rPr>
  </w:style>
  <w:style w:type="character" w:customStyle="1" w:styleId="39">
    <w:name w:val="批注文字 Char"/>
    <w:basedOn w:val="24"/>
    <w:link w:val="8"/>
    <w:autoRedefine/>
    <w:qFormat/>
    <w:uiPriority w:val="99"/>
    <w:rPr>
      <w:rFonts w:ascii="Times New Roman" w:hAnsi="Times New Roman" w:eastAsia="宋体" w:cs="Times New Roman"/>
      <w:sz w:val="24"/>
      <w:szCs w:val="24"/>
    </w:rPr>
  </w:style>
  <w:style w:type="character" w:customStyle="1" w:styleId="40">
    <w:name w:val="批注主题 Char"/>
    <w:basedOn w:val="39"/>
    <w:link w:val="19"/>
    <w:autoRedefine/>
    <w:semiHidden/>
    <w:qFormat/>
    <w:uiPriority w:val="99"/>
    <w:rPr>
      <w:rFonts w:ascii="Times New Roman" w:hAnsi="Times New Roman" w:eastAsia="宋体" w:cs="Times New Roman"/>
      <w:b/>
      <w:bCs/>
      <w:sz w:val="24"/>
      <w:szCs w:val="24"/>
    </w:rPr>
  </w:style>
  <w:style w:type="paragraph" w:customStyle="1" w:styleId="41">
    <w:name w:val="正文首行缩进2字符"/>
    <w:basedOn w:val="1"/>
    <w:autoRedefine/>
    <w:qFormat/>
    <w:uiPriority w:val="0"/>
    <w:pPr>
      <w:ind w:firstLine="482"/>
    </w:pPr>
  </w:style>
  <w:style w:type="character" w:customStyle="1" w:styleId="42">
    <w:name w:val="current"/>
    <w:basedOn w:val="24"/>
    <w:autoRedefine/>
    <w:qFormat/>
    <w:uiPriority w:val="0"/>
    <w:rPr>
      <w:b/>
      <w:bCs/>
      <w:color w:val="05A7D8"/>
      <w:sz w:val="18"/>
      <w:szCs w:val="18"/>
    </w:rPr>
  </w:style>
  <w:style w:type="character" w:customStyle="1" w:styleId="43">
    <w:name w:val="l-btn-left"/>
    <w:basedOn w:val="24"/>
    <w:autoRedefine/>
    <w:qFormat/>
    <w:uiPriority w:val="0"/>
  </w:style>
  <w:style w:type="character" w:customStyle="1" w:styleId="44">
    <w:name w:val="l-btn-text36"/>
    <w:basedOn w:val="24"/>
    <w:autoRedefine/>
    <w:qFormat/>
    <w:uiPriority w:val="0"/>
  </w:style>
  <w:style w:type="character" w:customStyle="1" w:styleId="45">
    <w:name w:val="l-btn-text"/>
    <w:basedOn w:val="24"/>
    <w:autoRedefine/>
    <w:qFormat/>
    <w:uiPriority w:val="0"/>
  </w:style>
  <w:style w:type="character" w:customStyle="1" w:styleId="46">
    <w:name w:val="grame"/>
    <w:basedOn w:val="24"/>
    <w:autoRedefine/>
    <w:qFormat/>
    <w:uiPriority w:val="0"/>
  </w:style>
  <w:style w:type="paragraph" w:customStyle="1" w:styleId="47">
    <w:name w:val="标准文本"/>
    <w:basedOn w:val="1"/>
    <w:autoRedefine/>
    <w:qFormat/>
    <w:uiPriority w:val="0"/>
    <w:pPr>
      <w:spacing w:line="360" w:lineRule="auto"/>
      <w:ind w:firstLine="480" w:firstLineChars="200"/>
    </w:pPr>
    <w:rPr>
      <w:rFonts w:cs="宋体"/>
      <w:szCs w:val="20"/>
    </w:rPr>
  </w:style>
  <w:style w:type="paragraph" w:customStyle="1" w:styleId="48">
    <w:name w:val="_Style 3"/>
    <w:autoRedefine/>
    <w:qFormat/>
    <w:uiPriority w:val="1"/>
    <w:pPr>
      <w:widowControl w:val="0"/>
      <w:jc w:val="both"/>
    </w:pPr>
    <w:rPr>
      <w:rFonts w:ascii="Calibri" w:hAnsi="Calibri" w:eastAsia="宋体" w:cs="Times New Roman"/>
      <w:kern w:val="2"/>
      <w:sz w:val="21"/>
      <w:szCs w:val="22"/>
      <w:lang w:val="en-US" w:eastAsia="zh-CN" w:bidi="ar-SA"/>
    </w:rPr>
  </w:style>
  <w:style w:type="paragraph" w:customStyle="1" w:styleId="49">
    <w:name w:val="Table Paragraph"/>
    <w:basedOn w:val="1"/>
    <w:autoRedefine/>
    <w:qFormat/>
    <w:uiPriority w:val="99"/>
    <w:pPr>
      <w:tabs>
        <w:tab w:val="left" w:pos="709"/>
      </w:tabs>
      <w:autoSpaceDE w:val="0"/>
      <w:autoSpaceDN w:val="0"/>
      <w:spacing w:line="400" w:lineRule="exact"/>
      <w:jc w:val="left"/>
    </w:pPr>
    <w:rPr>
      <w:rFonts w:asciiTheme="minorEastAsia" w:hAnsiTheme="minorEastAsia" w:eastAsiaTheme="minorEastAsia" w:cstheme="minorEastAsia"/>
      <w:color w:val="FF0000"/>
      <w:szCs w:val="21"/>
    </w:rPr>
  </w:style>
  <w:style w:type="paragraph" w:customStyle="1" w:styleId="50">
    <w:name w:val="普通正文"/>
    <w:basedOn w:val="1"/>
    <w:autoRedefine/>
    <w:qFormat/>
    <w:uiPriority w:val="0"/>
    <w:pPr>
      <w:adjustRightInd w:val="0"/>
      <w:spacing w:line="360" w:lineRule="auto"/>
      <w:ind w:firstLine="480"/>
      <w:jc w:val="left"/>
    </w:pPr>
    <w:rPr>
      <w:rFonts w:ascii="Arial" w:hAnsi="Arial"/>
    </w:rPr>
  </w:style>
  <w:style w:type="paragraph" w:customStyle="1" w:styleId="51">
    <w:name w:val="正文2"/>
    <w:basedOn w:val="1"/>
    <w:autoRedefine/>
    <w:qFormat/>
    <w:uiPriority w:val="0"/>
    <w:pPr>
      <w:spacing w:before="156" w:line="360" w:lineRule="auto"/>
      <w:ind w:firstLine="200" w:firstLineChars="200"/>
    </w:pPr>
    <w:rPr>
      <w:szCs w:val="20"/>
    </w:rPr>
  </w:style>
  <w:style w:type="paragraph" w:customStyle="1" w:styleId="52">
    <w:name w:val="_Style 7"/>
    <w:basedOn w:val="2"/>
    <w:next w:val="20"/>
    <w:qFormat/>
    <w:uiPriority w:val="99"/>
    <w:pPr>
      <w:spacing w:line="360" w:lineRule="auto"/>
      <w:ind w:firstLine="200" w:firstLineChars="200"/>
    </w:pPr>
    <w:rPr>
      <w:rFonts w:asciiTheme="minorHAnsi" w:hAnsiTheme="minorHAnsi" w:eastAsiaTheme="minorEastAsia" w:cstheme="minorBidi"/>
      <w:szCs w:val="22"/>
      <w:lang w:val="en-US" w:eastAsia="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0E754B-EB4A-43D1-BB5D-D4321357B8D6}">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38</Pages>
  <Words>17431</Words>
  <Characters>18579</Characters>
  <Lines>129</Lines>
  <Paragraphs>36</Paragraphs>
  <TotalTime>17</TotalTime>
  <ScaleCrop>false</ScaleCrop>
  <LinksUpToDate>false</LinksUpToDate>
  <CharactersWithSpaces>21854</CharactersWithSpaces>
  <Application>WPS Office_12.1.0.18240_F1E327BC-269C-435d-A152-05C5408002CA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2024-05-06T02:50:00Z</dcterms:created>
  <dc:creator>阙美霞</dc:creator>
  <cp:lastModifiedBy>虎啸</cp:lastModifiedBy>
  <cp:lastPrinted>2024-08-30T03:24:00Z</cp:lastPrinted>
  <dcterms:modified xsi:type="dcterms:W3CDTF">2024-09-13T02:46:35Z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107D11C0A207419BB99B110BDCDCA4C4_13</vt:lpwstr>
  </property>
</Properties>
</file>