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项目名称：南通市食品药品监督检验中心智汇园新址实验</w:t>
      </w:r>
      <w:r/>
    </w:p>
    <w:p>
      <w:pPr>
        <w:ind w:firstLine="1606"/>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室设备采购项目</w:t>
      </w:r>
      <w:r>
        <w:rPr>
          <w:rFonts w:hint="eastAsia" w:ascii="Arial" w:hAnsi="Arial"/>
          <w:b/>
          <w:bCs/>
          <w:sz w:val="32"/>
          <w:szCs w:val="24"/>
          <w:lang w:eastAsia="zh-CN"/>
        </w:rPr>
        <w:t xml:space="preserve">四</w:t>
      </w:r>
      <w:r/>
    </w:p>
    <w:p>
      <w:pPr>
        <w:spacing w:before="120" w:after="120" w:line="360" w:lineRule="auto"/>
        <w:rPr>
          <w:rFonts w:ascii="Arial" w:hAnsi="Arial"/>
          <w:b/>
          <w:bCs/>
          <w:sz w:val="32"/>
          <w:szCs w:val="24"/>
        </w:rPr>
      </w:pPr>
      <w:r>
        <w:rPr>
          <w:rFonts w:hint="eastAsia" w:ascii="Arial" w:hAnsi="Arial"/>
          <w:b/>
          <w:bCs/>
          <w:sz w:val="32"/>
          <w:szCs w:val="24"/>
        </w:rPr>
        <w:t xml:space="preserve">项目编号：JSZC-320600-JZCG-G2024-0236</w:t>
      </w:r>
      <w:r/>
    </w:p>
    <w:p>
      <w:pPr>
        <w:ind w:left="3012" w:hanging="3012"/>
        <w:rPr>
          <w:b/>
          <w:sz w:val="30"/>
          <w:szCs w:val="30"/>
        </w:rPr>
      </w:pPr>
      <w:r>
        <w:rPr>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716"/>
        <w:ind w:firstLine="0"/>
        <w:rPr>
          <w:rFonts w:ascii="宋体" w:hAnsi="宋体" w:eastAsia="宋体"/>
          <w:sz w:val="24"/>
          <w:szCs w:val="24"/>
          <w:lang w:eastAsia="zh-CN"/>
        </w:rPr>
      </w:pPr>
      <w:r>
        <w:rPr>
          <w:rFonts w:ascii="宋体" w:hAnsi="宋体" w:eastAsia="宋体"/>
          <w:sz w:val="24"/>
          <w:szCs w:val="24"/>
          <w:lang w:eastAsia="zh-CN"/>
        </w:rPr>
      </w:r>
      <w:r/>
    </w:p>
    <w:p>
      <w:pPr>
        <w:pStyle w:val="716"/>
        <w:ind w:firstLine="0"/>
        <w:rPr>
          <w:rFonts w:ascii="宋体" w:hAnsi="宋体" w:eastAsia="宋体"/>
          <w:sz w:val="24"/>
          <w:szCs w:val="24"/>
          <w:lang w:eastAsia="zh-CN"/>
        </w:rPr>
      </w:pPr>
      <w:r>
        <w:rPr>
          <w:rFonts w:ascii="宋体" w:hAnsi="宋体" w:eastAsia="宋体"/>
          <w:sz w:val="24"/>
          <w:szCs w:val="24"/>
          <w:lang w:eastAsia="zh-CN"/>
        </w:rPr>
      </w:r>
      <w:r/>
    </w:p>
    <w:p>
      <w:pPr>
        <w:pStyle w:val="716"/>
        <w:ind w:firstLine="0"/>
        <w:rPr>
          <w:lang w:eastAsia="zh-CN"/>
        </w:rPr>
      </w:pPr>
      <w:r>
        <w:rPr>
          <w:lang w:eastAsia="zh-CN"/>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ind w:firstLine="2400"/>
        <w:spacing w:line="360" w:lineRule="auto"/>
        <w:rPr>
          <w:rFonts w:ascii="宋体" w:hAnsi="宋体"/>
          <w:sz w:val="32"/>
          <w:szCs w:val="20"/>
        </w:rPr>
      </w:pPr>
      <w:r>
        <w:rPr>
          <w:rFonts w:hint="eastAsia" w:ascii="宋体" w:hAnsi="宋体"/>
          <w:sz w:val="32"/>
          <w:szCs w:val="20"/>
        </w:rPr>
        <w:t xml:space="preserve">南通市公共资源交易中心</w:t>
      </w:r>
      <w:r/>
    </w:p>
    <w:p>
      <w:pPr>
        <w:pStyle w:val="716"/>
        <w:ind w:firstLine="2432"/>
        <w:rPr>
          <w:rFonts w:ascii="宋体" w:hAnsi="宋体" w:eastAsia="宋体"/>
          <w:sz w:val="32"/>
          <w:szCs w:val="20"/>
          <w:lang w:eastAsia="zh-CN"/>
        </w:rPr>
      </w:pPr>
      <w:r>
        <w:rPr>
          <w:rFonts w:hint="eastAsia" w:ascii="宋体" w:hAnsi="宋体" w:eastAsia="宋体"/>
          <w:sz w:val="32"/>
          <w:szCs w:val="20"/>
          <w:lang w:eastAsia="zh-CN"/>
        </w:rPr>
        <w:t xml:space="preserve">（南通市政府采购中心）</w:t>
      </w:r>
      <w:r/>
    </w:p>
    <w:p>
      <w:pPr>
        <w:jc w:val="center"/>
        <w:spacing w:before="120" w:after="120" w:line="360" w:lineRule="auto"/>
        <w:rPr>
          <w:rFonts w:ascii="Arial" w:hAnsi="Arial"/>
          <w:bCs/>
          <w:sz w:val="32"/>
          <w:szCs w:val="24"/>
        </w:rPr>
      </w:pPr>
      <w:r>
        <w:rPr>
          <w:rFonts w:hint="eastAsia" w:ascii="Arial" w:hAnsi="Arial"/>
          <w:bCs/>
          <w:sz w:val="32"/>
          <w:szCs w:val="24"/>
        </w:rPr>
        <w:t xml:space="preserve">2024年12月</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……………………………………38</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………………………57</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………………………………68</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16"/>
        <w:rPr>
          <w:lang w:eastAsia="zh-CN"/>
        </w:rPr>
      </w:pPr>
      <w:r>
        <w:rPr>
          <w:lang w:eastAsia="zh-CN"/>
        </w:rPr>
      </w:r>
      <w:r/>
    </w:p>
    <w:p>
      <w:pPr>
        <w:pStyle w:val="716"/>
        <w:rPr>
          <w:lang w:eastAsia="zh-CN"/>
        </w:rPr>
      </w:pPr>
      <w:r>
        <w:rPr>
          <w:lang w:eastAsia="zh-CN"/>
        </w:rPr>
      </w:r>
      <w:r/>
    </w:p>
    <w:p>
      <w:pPr>
        <w:rPr>
          <w:szCs w:val="21"/>
        </w:rPr>
      </w:pPr>
      <w:r>
        <w:rPr>
          <w:szCs w:val="21"/>
        </w:rPr>
      </w:r>
      <w:r/>
    </w:p>
    <w:p>
      <w:pPr>
        <w:rPr>
          <w:szCs w:val="21"/>
        </w:rPr>
      </w:pPr>
      <w:r>
        <w:rPr>
          <w:szCs w:val="21"/>
        </w:rPr>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受南通市食品药品监督检验中心的委托，南通市公共资源交易中心就南通市食品药品监督检验中心智汇园新址实验室设备采购项目</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(JSZC-320600-JZCG-G2024-0236)进行公开招标采购，欢迎符合条件的供应商投标。</w:t>
      </w:r>
      <w:r/>
    </w:p>
    <w:p>
      <w:pPr>
        <w:ind w:firstLine="560"/>
        <w:spacing w:line="48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项目概况</w:t>
      </w:r>
      <w:r/>
    </w:p>
    <w:p>
      <w:pPr>
        <w:ind w:firstLine="560"/>
        <w:spacing w:line="48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南通市食品药品监督检验中心智汇园新址实验室设备采购项目</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的潜在投标人可在</w:t>
      </w:r>
      <w:r>
        <w:rPr>
          <w:rFonts w:hint="eastAsia" w:ascii="仿宋" w:hAnsi="仿宋" w:eastAsia="仿宋"/>
          <w:sz w:val="28"/>
          <w:szCs w:val="28"/>
          <w:u w:val="single"/>
        </w:rPr>
        <w:t xml:space="preserve">“江苏政府采购网”自行免费下载</w:t>
      </w:r>
      <w:r>
        <w:rPr>
          <w:rFonts w:hint="eastAsia" w:ascii="仿宋" w:hAnsi="仿宋" w:eastAsia="仿宋"/>
          <w:sz w:val="28"/>
          <w:szCs w:val="28"/>
        </w:rPr>
        <w:t xml:space="preserve">招标文件，并于</w:t>
      </w:r>
      <w:r>
        <w:rPr>
          <w:rFonts w:hint="eastAsia" w:ascii="仿宋" w:hAnsi="仿宋" w:eastAsia="仿宋"/>
          <w:sz w:val="28"/>
          <w:szCs w:val="28"/>
          <w:highlight w:val="none"/>
          <w:u w:val="single"/>
        </w:rPr>
        <w:t xml:space="preserve">2024</w:t>
      </w:r>
      <w:r>
        <w:rPr>
          <w:rFonts w:hint="eastAsia" w:ascii="仿宋" w:hAnsi="仿宋" w:eastAsia="仿宋"/>
          <w:bCs/>
          <w:sz w:val="28"/>
          <w:szCs w:val="28"/>
          <w:highlight w:val="none"/>
          <w:u w:val="single"/>
        </w:rPr>
        <w:t xml:space="preserve">年12月25日</w:t>
      </w:r>
      <w:r>
        <w:rPr>
          <w:rFonts w:hint="eastAsia" w:ascii="仿宋" w:hAnsi="仿宋" w:eastAsia="仿宋"/>
          <w:bCs/>
          <w:sz w:val="28"/>
          <w:szCs w:val="28"/>
          <w:highlight w:val="none"/>
          <w:u w:val="single"/>
          <w:lang w:val="en-US" w:eastAsia="zh-CN"/>
        </w:rPr>
        <w:t xml:space="preserve">10</w:t>
      </w:r>
      <w:r>
        <w:rPr>
          <w:rFonts w:hint="eastAsia" w:ascii="仿宋" w:hAnsi="仿宋" w:eastAsia="仿宋"/>
          <w:bCs/>
          <w:sz w:val="28"/>
          <w:szCs w:val="28"/>
          <w:highlight w:val="none"/>
          <w:u w:val="single"/>
        </w:rPr>
        <w:t xml:space="preserve">点00分（</w:t>
      </w:r>
      <w:r>
        <w:rPr>
          <w:rFonts w:hint="eastAsia" w:ascii="仿宋" w:hAnsi="仿宋" w:eastAsia="仿宋"/>
          <w:bCs/>
          <w:sz w:val="28"/>
          <w:szCs w:val="28"/>
        </w:rPr>
        <w:t xml:space="preserve">北京时间）前递交投标</w:t>
      </w:r>
      <w:r>
        <w:rPr>
          <w:rFonts w:ascii="仿宋" w:hAnsi="仿宋" w:eastAsia="仿宋"/>
          <w:bCs/>
          <w:sz w:val="28"/>
          <w:szCs w:val="28"/>
        </w:rPr>
        <w:t xml:space="preserve">文件</w:t>
      </w:r>
      <w:r>
        <w:rPr>
          <w:rFonts w:hint="eastAsia" w:ascii="仿宋" w:hAnsi="仿宋" w:eastAsia="仿宋"/>
          <w:sz w:val="28"/>
          <w:szCs w:val="28"/>
        </w:rPr>
        <w:t xml:space="preserve">。</w:t>
      </w:r>
      <w:r/>
    </w:p>
    <w:p>
      <w:pPr>
        <w:keepLines/>
        <w:keepNext/>
        <w:spacing w:before="120" w:after="120" w:line="480" w:lineRule="exact"/>
        <w:rPr>
          <w:rFonts w:ascii="仿宋" w:hAnsi="仿宋" w:eastAsia="仿宋"/>
          <w:sz w:val="28"/>
          <w:szCs w:val="28"/>
          <w:highlight w:val="green"/>
        </w:rPr>
        <w:outlineLvl w:val="2"/>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仿宋" w:hAnsi="仿宋" w:eastAsia="仿宋"/>
          <w:b/>
          <w:bCs/>
          <w:sz w:val="28"/>
          <w:szCs w:val="28"/>
        </w:rPr>
        <w:t xml:space="preserve">一、项目基本情况</w:t>
      </w:r>
      <w:bookmarkEnd w:id="6"/>
      <w:r/>
      <w:bookmarkEnd w:id="7"/>
      <w:r/>
      <w:bookmarkEnd w:id="8"/>
      <w:r/>
      <w:bookmarkEnd w:id="9"/>
      <w:r/>
      <w:bookmarkEnd w:id="10"/>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1.项目编号：JSZC-320600-JZCG-G2024-0236</w:t>
      </w:r>
      <w:r/>
    </w:p>
    <w:p>
      <w:pPr>
        <w:ind w:firstLine="560"/>
        <w:spacing w:line="480" w:lineRule="exact"/>
        <w:rPr>
          <w:rFonts w:hint="eastAsia" w:ascii="仿宋" w:hAnsi="仿宋" w:eastAsia="仿宋"/>
          <w:sz w:val="28"/>
          <w:szCs w:val="28"/>
          <w:lang w:eastAsia="zh-CN"/>
        </w:rPr>
      </w:pPr>
      <w:r>
        <w:rPr>
          <w:rFonts w:hint="eastAsia" w:ascii="仿宋" w:hAnsi="仿宋" w:eastAsia="仿宋"/>
          <w:sz w:val="28"/>
          <w:szCs w:val="28"/>
        </w:rPr>
        <w:t xml:space="preserve">2.项目名称：</w:t>
      </w:r>
      <w:bookmarkEnd w:id="11"/>
      <w:r>
        <w:rPr>
          <w:rFonts w:hint="eastAsia" w:ascii="仿宋" w:hAnsi="仿宋" w:eastAsia="仿宋"/>
          <w:sz w:val="28"/>
          <w:szCs w:val="28"/>
        </w:rPr>
        <w:t xml:space="preserve">南通市食品药品监督检验中心智汇园新址实验室设备采购项目</w:t>
      </w:r>
      <w:r>
        <w:rPr>
          <w:rFonts w:hint="eastAsia" w:ascii="仿宋" w:hAnsi="仿宋" w:eastAsia="仿宋"/>
          <w:sz w:val="28"/>
          <w:szCs w:val="28"/>
          <w:lang w:eastAsia="zh-CN"/>
        </w:rPr>
        <w:t xml:space="preserve">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3.预算金额：：274.5万元</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4.本项目设定最高限价，最高限价为274.5万元</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5.采购需求（简介）：详细内容见本招标文件第四章</w:t>
      </w:r>
      <w:r/>
    </w:p>
    <w:p>
      <w:pPr>
        <w:ind w:firstLine="504"/>
        <w:spacing w:line="360" w:lineRule="exact"/>
        <w:rPr>
          <w:rFonts w:ascii="仿宋" w:hAnsi="仿宋" w:eastAsia="仿宋"/>
          <w:sz w:val="28"/>
          <w:szCs w:val="28"/>
        </w:rPr>
      </w:pPr>
      <w:r>
        <w:rPr>
          <w:rFonts w:hint="eastAsia" w:ascii="仿宋" w:hAnsi="仿宋" w:eastAsia="仿宋"/>
          <w:sz w:val="28"/>
          <w:szCs w:val="28"/>
        </w:rPr>
        <w:t xml:space="preserve">6.合同履行期限：</w:t>
      </w:r>
      <w:bookmarkStart w:id="12" w:name="_Hlk175314915"/>
      <w:r/>
      <w:bookmarkStart w:id="13" w:name="_Toc38985264"/>
      <w:r/>
      <w:bookmarkStart w:id="14" w:name="_Toc28359080"/>
      <w:r/>
      <w:bookmarkStart w:id="15" w:name="_Toc35393622"/>
      <w:r/>
      <w:bookmarkStart w:id="16" w:name="_Toc28359003"/>
      <w:r/>
      <w:bookmarkStart w:id="17" w:name="_Toc35393791"/>
      <w:r>
        <w:rPr>
          <w:rFonts w:hint="eastAsia" w:ascii="仿宋" w:hAnsi="仿宋" w:eastAsia="仿宋"/>
          <w:sz w:val="28"/>
          <w:szCs w:val="28"/>
        </w:rPr>
        <w:t xml:space="preserve">合同签订后90</w:t>
      </w:r>
      <w:r>
        <w:rPr>
          <w:rFonts w:hint="eastAsia" w:ascii="仿宋" w:hAnsi="仿宋" w:eastAsia="仿宋"/>
          <w:color w:val="000000"/>
          <w:sz w:val="28"/>
          <w:szCs w:val="28"/>
        </w:rPr>
        <w:t xml:space="preserve">天内将货物送达采购人指定地点、安装调试完毕并验收合格。</w:t>
      </w:r>
      <w:bookmarkEnd w:id="12"/>
      <w:r/>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二、申请人的资格要求：</w:t>
      </w:r>
      <w:bookmarkEnd w:id="13"/>
      <w:r/>
      <w:bookmarkEnd w:id="14"/>
      <w:r/>
      <w:bookmarkEnd w:id="15"/>
      <w:r/>
      <w:bookmarkEnd w:id="16"/>
      <w:r/>
      <w:bookmarkEnd w:id="17"/>
      <w:r/>
      <w:r/>
    </w:p>
    <w:p>
      <w:pPr>
        <w:ind w:firstLine="560"/>
        <w:spacing w:line="480" w:lineRule="exact"/>
        <w:rPr>
          <w:rFonts w:ascii="仿宋" w:hAnsi="仿宋" w:eastAsia="仿宋"/>
          <w:sz w:val="28"/>
          <w:szCs w:val="28"/>
        </w:rPr>
      </w:pPr>
      <w:r/>
      <w:bookmarkStart w:id="18" w:name="_Toc28359004"/>
      <w:r/>
      <w:bookmarkStart w:id="19" w:name="_Toc38985265"/>
      <w:r/>
      <w:bookmarkStart w:id="20" w:name="_Toc28359081"/>
      <w:r/>
      <w:bookmarkStart w:id="21" w:name="_Toc35393623"/>
      <w:r/>
      <w:bookmarkStart w:id="22" w:name="_Toc35393792"/>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通用</w:t>
      </w:r>
      <w:r>
        <w:rPr>
          <w:rFonts w:ascii="仿宋" w:hAnsi="仿宋" w:eastAsia="仿宋"/>
          <w:sz w:val="28"/>
          <w:szCs w:val="28"/>
        </w:rPr>
        <w:t xml:space="preserve">资格要求</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3.落实政府采购政策需满足的资格要求：无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4.本项目不接受联合体投标。</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5.本项目不接受分包。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（二）本项目的特定资格要求：</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投标产品如果为进口产品的，投标时投标人须提供制造商的专项授权书原件扫描件（本次采购接受进口产品投标情况详见采购需求）。</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三、获取招标文件</w:t>
      </w:r>
      <w:bookmarkEnd w:id="18"/>
      <w:r/>
      <w:bookmarkEnd w:id="19"/>
      <w:r/>
      <w:bookmarkEnd w:id="20"/>
      <w:r/>
      <w:bookmarkEnd w:id="21"/>
      <w:r/>
      <w:bookmarkEnd w:id="22"/>
      <w:r/>
      <w:r/>
    </w:p>
    <w:p>
      <w:pPr>
        <w:ind w:firstLine="540"/>
        <w:spacing w:line="480" w:lineRule="exact"/>
        <w:rPr>
          <w:rFonts w:ascii="仿宋" w:hAnsi="仿宋" w:eastAsia="仿宋" w:cs="宋体"/>
          <w:sz w:val="28"/>
          <w:szCs w:val="28"/>
        </w:rPr>
      </w:pPr>
      <w:r/>
      <w:bookmarkStart w:id="23" w:name="_Toc28359005"/>
      <w:r/>
      <w:bookmarkStart w:id="24" w:name="_Toc28359082"/>
      <w:r/>
      <w:bookmarkStart w:id="25" w:name="_Toc35393624"/>
      <w:r/>
      <w:bookmarkStart w:id="26" w:name="_Toc35393793"/>
      <w:r/>
      <w:bookmarkStart w:id="27" w:name="_Toc38985266"/>
      <w:r>
        <w:rPr>
          <w:rFonts w:hint="eastAsia" w:ascii="仿宋" w:hAnsi="仿宋" w:eastAsia="仿宋" w:cs="宋体"/>
          <w:sz w:val="28"/>
          <w:szCs w:val="28"/>
        </w:rPr>
        <w:t xml:space="preserve">1.时间：自招标文件公告发布之日起5个工作日。</w:t>
      </w:r>
      <w:r/>
    </w:p>
    <w:p>
      <w:pPr>
        <w:ind w:firstLine="540"/>
        <w:spacing w:line="480" w:lineRule="exact"/>
        <w:rPr>
          <w:rFonts w:ascii="仿宋" w:hAnsi="仿宋" w:eastAsia="仿宋" w:cs="宋体"/>
          <w:sz w:val="28"/>
          <w:szCs w:val="28"/>
          <w:u w:val="single"/>
        </w:rPr>
      </w:pPr>
      <w:r>
        <w:rPr>
          <w:rFonts w:hint="eastAsia" w:ascii="仿宋" w:hAnsi="仿宋" w:eastAsia="仿宋" w:cs="宋体"/>
          <w:sz w:val="28"/>
          <w:szCs w:val="28"/>
        </w:rPr>
        <w:t xml:space="preserve">2.方式：</w:t>
      </w:r>
      <w:r>
        <w:rPr>
          <w:rFonts w:ascii="仿宋" w:hAnsi="仿宋" w:eastAsia="仿宋" w:cs="宋体"/>
          <w:sz w:val="28"/>
          <w:szCs w:val="28"/>
        </w:rPr>
        <w:t xml:space="preserve">凡有意参与投标的供应商须登录江苏政府采购网首页点击</w:t>
      </w:r>
      <w:r>
        <w:rPr>
          <w:rFonts w:hint="eastAsia" w:ascii="仿宋" w:hAnsi="仿宋" w:eastAsia="仿宋" w:cs="宋体"/>
          <w:sz w:val="28"/>
          <w:szCs w:val="28"/>
        </w:rPr>
        <w:t xml:space="preserve">“</w:t>
      </w:r>
      <w:r>
        <w:rPr>
          <w:rFonts w:ascii="仿宋" w:hAnsi="仿宋" w:eastAsia="仿宋" w:cs="宋体"/>
          <w:sz w:val="28"/>
          <w:szCs w:val="28"/>
        </w:rPr>
        <w:t xml:space="preserve">苏采云</w:t>
      </w:r>
      <w:r>
        <w:rPr>
          <w:rFonts w:hint="eastAsia" w:ascii="仿宋" w:hAnsi="仿宋" w:eastAsia="仿宋" w:cs="宋体"/>
          <w:sz w:val="28"/>
          <w:szCs w:val="28"/>
        </w:rPr>
        <w:t xml:space="preserve">”</w:t>
      </w:r>
      <w:r>
        <w:rPr>
          <w:rFonts w:ascii="仿宋" w:hAnsi="仿宋" w:eastAsia="仿宋" w:cs="宋体"/>
          <w:sz w:val="28"/>
          <w:szCs w:val="28"/>
        </w:rPr>
        <w:t xml:space="preserve">→通过CA锁进行响应确认，并自行在招标文件有效获取期内及时下载获取。</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四、提交投标文件</w:t>
      </w:r>
      <w:bookmarkEnd w:id="23"/>
      <w:r/>
      <w:bookmarkEnd w:id="24"/>
      <w:r>
        <w:rPr>
          <w:rFonts w:hint="eastAsia" w:ascii="仿宋" w:hAnsi="仿宋" w:eastAsia="仿宋"/>
          <w:b/>
          <w:bCs/>
          <w:sz w:val="28"/>
          <w:szCs w:val="28"/>
        </w:rPr>
        <w:t xml:space="preserve">截止时间、开标时间和地点</w:t>
      </w:r>
      <w:bookmarkEnd w:id="25"/>
      <w:r/>
      <w:bookmarkEnd w:id="26"/>
      <w:r/>
      <w:bookmarkEnd w:id="27"/>
      <w:r/>
      <w:r/>
    </w:p>
    <w:p>
      <w:pPr>
        <w:ind w:firstLine="560"/>
        <w:spacing w:line="480" w:lineRule="exact"/>
        <w:rPr>
          <w:rFonts w:ascii="仿宋" w:hAnsi="仿宋" w:eastAsia="仿宋" w:cs="宋体"/>
          <w:i/>
          <w:sz w:val="28"/>
          <w:szCs w:val="28"/>
        </w:rPr>
      </w:pPr>
      <w:r>
        <w:rPr>
          <w:rFonts w:hint="eastAsia" w:ascii="仿宋" w:hAnsi="仿宋" w:eastAsia="仿宋"/>
          <w:bCs/>
          <w:sz w:val="28"/>
          <w:szCs w:val="28"/>
          <w:u w:val="single"/>
        </w:rPr>
        <w:t xml:space="preserve">1</w:t>
      </w:r>
      <w:r>
        <w:rPr>
          <w:rFonts w:hint="eastAsia" w:ascii="仿宋" w:hAnsi="仿宋" w:eastAsia="仿宋"/>
          <w:bCs/>
          <w:sz w:val="28"/>
          <w:szCs w:val="28"/>
          <w:highlight w:val="none"/>
          <w:u w:val="single"/>
        </w:rPr>
        <w:t xml:space="preserve">.2024年12月25日10点00分</w:t>
      </w:r>
      <w:r>
        <w:rPr>
          <w:rFonts w:hint="eastAsia" w:ascii="仿宋" w:hAnsi="仿宋" w:eastAsia="仿宋"/>
          <w:bCs/>
          <w:sz w:val="28"/>
          <w:szCs w:val="28"/>
          <w:highlight w:val="none"/>
        </w:rPr>
        <w:t xml:space="preserve">（北京</w:t>
      </w:r>
      <w:r>
        <w:rPr>
          <w:rFonts w:hint="eastAsia" w:ascii="仿宋" w:hAnsi="仿宋" w:eastAsia="仿宋"/>
          <w:bCs/>
          <w:sz w:val="28"/>
          <w:szCs w:val="28"/>
          <w:highlight w:val="none"/>
        </w:rPr>
        <w:t xml:space="preserve">时</w:t>
      </w:r>
      <w:r>
        <w:rPr>
          <w:rFonts w:hint="eastAsia" w:ascii="仿宋" w:hAnsi="仿宋" w:eastAsia="仿宋"/>
          <w:bCs/>
          <w:sz w:val="28"/>
          <w:szCs w:val="28"/>
        </w:rPr>
        <w:t xml:space="preserve">间）</w:t>
      </w:r>
      <w:r/>
    </w:p>
    <w:p>
      <w:pPr>
        <w:ind w:firstLine="560"/>
        <w:spacing w:line="480" w:lineRule="exact"/>
        <w:rPr>
          <w:rFonts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keepLines/>
        <w:keepNext/>
        <w:spacing w:before="120" w:after="120" w:line="480" w:lineRule="exact"/>
        <w:rPr>
          <w:rFonts w:ascii="仿宋" w:hAnsi="仿宋" w:eastAsia="仿宋"/>
          <w:b/>
          <w:bCs/>
          <w:sz w:val="28"/>
          <w:szCs w:val="28"/>
        </w:rPr>
        <w:outlineLvl w:val="2"/>
      </w:pPr>
      <w:r/>
      <w:bookmarkStart w:id="28" w:name="_Toc35393625"/>
      <w:r/>
      <w:bookmarkStart w:id="29" w:name="_Toc38985267"/>
      <w:r/>
      <w:bookmarkStart w:id="30" w:name="_Toc28359084"/>
      <w:r/>
      <w:bookmarkStart w:id="31" w:name="_Toc28359007"/>
      <w:r/>
      <w:bookmarkStart w:id="32" w:name="_Toc35393794"/>
      <w:r>
        <w:rPr>
          <w:rFonts w:hint="eastAsia" w:ascii="仿宋" w:hAnsi="仿宋" w:eastAsia="仿宋"/>
          <w:b/>
          <w:bCs/>
          <w:sz w:val="28"/>
          <w:szCs w:val="28"/>
        </w:rPr>
        <w:t xml:space="preserve">五、公告期限</w:t>
      </w:r>
      <w:bookmarkEnd w:id="28"/>
      <w:r/>
      <w:bookmarkEnd w:id="29"/>
      <w:r/>
      <w:bookmarkEnd w:id="30"/>
      <w:r/>
      <w:bookmarkEnd w:id="31"/>
      <w:r/>
      <w:bookmarkEnd w:id="32"/>
      <w:r/>
      <w:r/>
    </w:p>
    <w:p>
      <w:pPr>
        <w:spacing w:line="480" w:lineRule="exact"/>
        <w:rPr>
          <w:rFonts w:ascii="仿宋" w:hAnsi="仿宋" w:eastAsia="仿宋" w:cs="宋体"/>
          <w:sz w:val="28"/>
          <w:szCs w:val="28"/>
        </w:rPr>
      </w:pPr>
      <w:r/>
      <w:bookmarkStart w:id="33" w:name="_Toc35393795"/>
      <w:r/>
      <w:bookmarkStart w:id="34" w:name="_Toc35393626"/>
      <w:r/>
      <w:bookmarkStart w:id="35" w:name="_Toc38985268"/>
      <w:r>
        <w:rPr>
          <w:rFonts w:hint="eastAsia" w:ascii="仿宋" w:hAnsi="仿宋" w:eastAsia="仿宋" w:cs="宋体"/>
          <w:sz w:val="28"/>
          <w:szCs w:val="28"/>
        </w:rPr>
        <w:t xml:space="preserve">招标公告及招标文件公告期限为自本公告发布之日起5个工作日。</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六、其他补充事宜</w:t>
      </w:r>
      <w:bookmarkEnd w:id="33"/>
      <w:r/>
      <w:bookmarkEnd w:id="34"/>
      <w:r/>
      <w:bookmarkEnd w:id="35"/>
      <w:r/>
      <w:r/>
    </w:p>
    <w:p>
      <w:pPr>
        <w:ind w:right="119" w:firstLine="560"/>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投标保证金：免收</w:t>
      </w:r>
      <w:r/>
    </w:p>
    <w:p>
      <w:pPr>
        <w:ind w:right="119" w:firstLine="560"/>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项目演示、样品、答辩等：</w:t>
      </w:r>
      <w:r>
        <w:rPr>
          <w:rFonts w:hint="eastAsia" w:ascii="仿宋" w:hAnsi="仿宋" w:eastAsia="仿宋" w:cs="宋体"/>
          <w:sz w:val="28"/>
          <w:szCs w:val="28"/>
        </w:rPr>
        <w:t xml:space="preserve">无</w:t>
      </w:r>
      <w:r/>
    </w:p>
    <w:p>
      <w:pPr>
        <w:ind w:right="119" w:firstLine="560"/>
        <w:rPr>
          <w:rFonts w:ascii="仿宋" w:hAnsi="仿宋" w:eastAsia="仿宋" w:cs="宋体"/>
          <w:sz w:val="28"/>
          <w:szCs w:val="28"/>
        </w:rPr>
      </w:pPr>
      <w:r>
        <w:rPr>
          <w:rFonts w:hint="eastAsia" w:ascii="仿宋" w:hAnsi="仿宋" w:eastAsia="仿宋" w:cs="宋体"/>
          <w:sz w:val="28"/>
          <w:szCs w:val="28"/>
        </w:rPr>
        <w:t xml:space="preserve">3.供应商（含潜在供应商）对与本项目有关的所有询问、质疑均请向采购人提出，由采购人负责答复。</w:t>
      </w:r>
      <w:r/>
    </w:p>
    <w:p>
      <w:pPr>
        <w:ind w:right="119" w:firstLine="560"/>
        <w:rPr>
          <w:rFonts w:ascii="仿宋" w:hAnsi="仿宋" w:eastAsia="仿宋" w:cs="宋体"/>
          <w:sz w:val="28"/>
          <w:szCs w:val="28"/>
        </w:rPr>
      </w:pPr>
      <w:r>
        <w:rPr>
          <w:rFonts w:hint="eastAsia" w:ascii="仿宋" w:hAnsi="仿宋" w:eastAsia="仿宋" w:cs="宋体"/>
          <w:sz w:val="28"/>
          <w:szCs w:val="28"/>
        </w:rPr>
        <w:t xml:space="preserve">系统操作过程中如遇问题，请致电“苏采云”客服0519-86722801。</w:t>
      </w:r>
      <w:r/>
    </w:p>
    <w:p>
      <w:pPr>
        <w:ind w:right="119" w:firstLine="560"/>
        <w:rPr>
          <w:rFonts w:ascii="仿宋" w:hAnsi="仿宋" w:eastAsia="仿宋" w:cs="宋体"/>
          <w:sz w:val="28"/>
          <w:szCs w:val="28"/>
        </w:rPr>
      </w:pPr>
      <w:r>
        <w:rPr>
          <w:rFonts w:hint="eastAsia" w:ascii="仿宋" w:hAnsi="仿宋" w:eastAsia="仿宋" w:cs="宋体"/>
          <w:sz w:val="28"/>
          <w:szCs w:val="28"/>
        </w:rPr>
        <w:t xml:space="preserve">4.有关本次招标的事项若存在变动或修改，均以江苏政府采购网发布的更正或补充通知为准，敬请及时关注。</w:t>
      </w:r>
      <w:r/>
    </w:p>
    <w:p>
      <w:pPr>
        <w:ind w:right="119" w:firstLine="560"/>
        <w:rPr>
          <w:rFonts w:ascii="仿宋" w:hAnsi="仿宋" w:eastAsia="仿宋" w:cs="宋体"/>
          <w:sz w:val="28"/>
          <w:szCs w:val="28"/>
        </w:rPr>
      </w:pPr>
      <w:r>
        <w:rPr>
          <w:rFonts w:hint="eastAsia" w:ascii="仿宋" w:hAnsi="仿宋" w:eastAsia="仿宋"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6.“苏采云”系统使用相关提醒</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6.1.根据省财政厅《关</w:t>
      </w:r>
      <w:r>
        <w:rPr>
          <w:rFonts w:hint="eastAsia" w:ascii="仿宋" w:hAnsi="仿宋" w:eastAsia="仿宋" w:cs="宋体"/>
          <w:bCs/>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6.2领取CA和办理电子签章请至南通市政务服务中心裙楼四楼（南通市公共资源交中心）CA办理窗口办理，详见《江苏省政府采购数字证书(供应商)</w:t>
      </w:r>
      <w:r>
        <w:rPr>
          <w:rFonts w:hint="eastAsia" w:ascii="宋体" w:hAnsi="宋体" w:cs="宋体"/>
          <w:bCs/>
          <w:sz w:val="28"/>
          <w:szCs w:val="28"/>
        </w:rPr>
        <w:t xml:space="preserve"> </w:t>
      </w:r>
      <w:r>
        <w:rPr>
          <w:rFonts w:hint="eastAsia" w:ascii="仿宋" w:hAnsi="仿宋" w:eastAsia="仿宋" w:cs="仿宋"/>
          <w:bCs/>
          <w:sz w:val="28"/>
          <w:szCs w:val="28"/>
        </w:rPr>
        <w:t xml:space="preserve">CA</w:t>
      </w:r>
      <w:r>
        <w:rPr>
          <w:rFonts w:hint="eastAsia" w:ascii="仿宋" w:hAnsi="仿宋" w:eastAsia="仿宋" w:cs="宋体"/>
          <w:bCs/>
          <w:sz w:val="28"/>
          <w:szCs w:val="28"/>
        </w:rPr>
        <w:t xml:space="preserve">及电子签章办理指南》），请及时进行注册并按要求制作、上传电子投标文件。</w:t>
      </w:r>
      <w:r/>
    </w:p>
    <w:p>
      <w:pPr>
        <w:ind w:right="119" w:firstLine="560"/>
        <w:rPr>
          <w:rFonts w:ascii="仿宋" w:hAnsi="仿宋" w:eastAsia="仿宋" w:cs="宋体"/>
          <w:b/>
          <w:sz w:val="28"/>
          <w:szCs w:val="28"/>
        </w:rPr>
      </w:pPr>
      <w:r>
        <w:rPr>
          <w:rFonts w:hint="eastAsia" w:ascii="仿宋" w:hAnsi="仿宋" w:eastAsia="仿宋" w:cs="宋体"/>
          <w:bCs/>
          <w:sz w:val="28"/>
          <w:szCs w:val="28"/>
        </w:rPr>
        <w:t xml:space="preserve">6.3开标当天投标供应商应及时登录“苏采云”不见面开标大厅，并在规定时</w:t>
      </w:r>
      <w:r>
        <w:rPr>
          <w:rFonts w:hint="eastAsia" w:ascii="仿宋" w:hAnsi="仿宋" w:eastAsia="仿宋" w:cs="宋体"/>
          <w:bCs/>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480" w:lineRule="exact"/>
        <w:rPr>
          <w:rFonts w:ascii="仿宋" w:hAnsi="仿宋" w:eastAsia="仿宋"/>
          <w:b/>
          <w:bCs/>
          <w:sz w:val="28"/>
          <w:szCs w:val="28"/>
        </w:rPr>
        <w:outlineLvl w:val="2"/>
      </w:pPr>
      <w:r/>
      <w:bookmarkStart w:id="36" w:name="_Toc28359008"/>
      <w:r/>
      <w:bookmarkStart w:id="37" w:name="_Toc38985269"/>
      <w:r/>
      <w:bookmarkStart w:id="38" w:name="_Toc28359085"/>
      <w:r/>
      <w:bookmarkStart w:id="39" w:name="_Toc35393796"/>
      <w:r/>
      <w:bookmarkStart w:id="40" w:name="_Toc35393627"/>
      <w:r>
        <w:rPr>
          <w:rFonts w:hint="eastAsia" w:ascii="仿宋" w:hAnsi="仿宋" w:eastAsia="仿宋"/>
          <w:b/>
          <w:bCs/>
          <w:sz w:val="28"/>
          <w:szCs w:val="28"/>
        </w:rPr>
        <w:t xml:space="preserve">七、本次招标联系方式</w:t>
      </w:r>
      <w:bookmarkEnd w:id="36"/>
      <w:r/>
      <w:bookmarkEnd w:id="37"/>
      <w:r/>
      <w:bookmarkEnd w:id="38"/>
      <w:r/>
      <w:bookmarkEnd w:id="39"/>
      <w:r/>
      <w:bookmarkEnd w:id="40"/>
      <w:r/>
      <w:r/>
    </w:p>
    <w:p>
      <w:pPr>
        <w:jc w:val="left"/>
        <w:spacing w:line="440" w:lineRule="exact"/>
        <w:widowControl/>
        <w:rPr>
          <w:rFonts w:ascii="仿宋" w:hAnsi="仿宋" w:eastAsia="仿宋"/>
          <w:sz w:val="28"/>
          <w:szCs w:val="28"/>
        </w:rPr>
      </w:pPr>
      <w:r>
        <w:rPr>
          <w:rFonts w:hint="eastAsia" w:ascii="仿宋" w:hAnsi="仿宋" w:eastAsia="仿宋" w:cs="宋体"/>
          <w:sz w:val="28"/>
          <w:szCs w:val="28"/>
        </w:rPr>
        <w:t xml:space="preserve">　1.采购人信息</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名 称：南通市食品药品监督检验中心</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地址：南通市崇川区胜利路168号智汇产业园4号楼</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联系人：葛建华</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联系方式：</w:t>
      </w:r>
      <w:bookmarkStart w:id="41" w:name="_Toc28359009"/>
      <w:r/>
      <w:bookmarkStart w:id="42" w:name="_Toc28359086"/>
      <w:r>
        <w:rPr>
          <w:rFonts w:ascii="仿宋" w:hAnsi="仿宋" w:eastAsia="仿宋"/>
          <w:sz w:val="28"/>
          <w:szCs w:val="28"/>
        </w:rPr>
        <w:t xml:space="preserve">13862925576</w:t>
      </w:r>
      <w:r/>
    </w:p>
    <w:p>
      <w:pPr>
        <w:ind w:firstLine="280"/>
        <w:jc w:val="left"/>
        <w:spacing w:line="440" w:lineRule="exact"/>
        <w:rPr>
          <w:rFonts w:ascii="仿宋" w:hAnsi="仿宋" w:eastAsia="仿宋"/>
          <w:sz w:val="28"/>
          <w:szCs w:val="28"/>
        </w:rPr>
      </w:pPr>
      <w:r>
        <w:rPr>
          <w:rFonts w:hint="eastAsia" w:ascii="仿宋" w:hAnsi="仿宋" w:eastAsia="仿宋" w:cs="宋体"/>
          <w:sz w:val="28"/>
          <w:szCs w:val="28"/>
        </w:rPr>
        <w:t xml:space="preserve">2.南通市公共资源交易中心信息</w:t>
      </w:r>
      <w:bookmarkEnd w:id="41"/>
      <w:r/>
      <w:bookmarkEnd w:id="42"/>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地　址：</w:t>
      </w:r>
      <w:r>
        <w:rPr>
          <w:rFonts w:ascii="仿宋" w:hAnsi="仿宋" w:eastAsia="仿宋"/>
          <w:sz w:val="28"/>
          <w:szCs w:val="28"/>
        </w:rPr>
        <w:t xml:space="preserve">南通市工农南路150号</w:t>
      </w:r>
      <w:r/>
    </w:p>
    <w:p>
      <w:pPr>
        <w:ind w:firstLine="280"/>
        <w:spacing w:line="44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val="en-US" w:eastAsia="zh-CN"/>
        </w:rPr>
        <w:t xml:space="preserve">杨女士</w:t>
      </w:r>
      <w:r/>
    </w:p>
    <w:p>
      <w:pPr>
        <w:ind w:firstLine="280"/>
        <w:spacing w:line="44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联系方式：</w:t>
      </w:r>
      <w:bookmarkStart w:id="43" w:name="_Toc28359010"/>
      <w:r/>
      <w:bookmarkStart w:id="44" w:name="_Toc28359087"/>
      <w:r>
        <w:rPr>
          <w:rFonts w:hint="eastAsia" w:ascii="仿宋" w:hAnsi="仿宋" w:eastAsia="仿宋"/>
          <w:sz w:val="28"/>
          <w:szCs w:val="28"/>
        </w:rPr>
        <w:t xml:space="preserve">0513-590019</w:t>
      </w:r>
      <w:r>
        <w:rPr>
          <w:rFonts w:hint="eastAsia" w:ascii="仿宋" w:hAnsi="仿宋" w:eastAsia="仿宋"/>
          <w:sz w:val="28"/>
          <w:szCs w:val="28"/>
          <w:lang w:val="en-US" w:eastAsia="zh-CN"/>
        </w:rPr>
        <w:t xml:space="preserve">86</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3.软件技术支持：0519-86722801</w:t>
      </w:r>
      <w:r/>
    </w:p>
    <w:p>
      <w:pPr>
        <w:ind w:firstLine="1960"/>
        <w:spacing w:line="440" w:lineRule="exact"/>
        <w:rPr>
          <w:rFonts w:ascii="仿宋" w:hAnsi="仿宋" w:eastAsia="仿宋"/>
          <w:sz w:val="28"/>
          <w:szCs w:val="28"/>
        </w:rPr>
      </w:pPr>
      <w:r>
        <w:rPr>
          <w:rFonts w:hint="eastAsia" w:ascii="仿宋" w:hAnsi="仿宋" w:eastAsia="仿宋"/>
          <w:sz w:val="28"/>
          <w:szCs w:val="28"/>
        </w:rPr>
        <w:t xml:space="preserve">那工 0513-59001950</w:t>
      </w:r>
      <w:bookmarkEnd w:id="43"/>
      <w:r/>
      <w:bookmarkEnd w:id="44"/>
      <w:r/>
      <w:r/>
    </w:p>
    <w:p>
      <w:pPr>
        <w:ind w:right="840"/>
        <w:jc w:val="center"/>
        <w:rPr>
          <w:rFonts w:ascii="黑体" w:hAnsi="Arial" w:eastAsia="黑体" w:cs="Arial"/>
          <w:sz w:val="44"/>
          <w:szCs w:val="44"/>
        </w:rPr>
      </w:pPr>
      <w:r>
        <w:rPr>
          <w:rFonts w:ascii="宋体" w:hAnsi="宋体"/>
          <w:sz w:val="24"/>
          <w:szCs w:val="24"/>
        </w:rPr>
        <w:br w:type="page" w:clear="all"/>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120614213"/>
      <w:r/>
      <w:bookmarkStart w:id="49" w:name="_Toc513029202"/>
      <w:r>
        <w:rPr>
          <w:rFonts w:hint="eastAsia" w:ascii="黑体" w:hAnsi="Arial" w:eastAsia="黑体" w:cs="Arial"/>
          <w:b/>
          <w:bCs/>
          <w:sz w:val="44"/>
          <w:szCs w:val="44"/>
        </w:rPr>
        <w:t xml:space="preserve">投标人须知</w:t>
      </w:r>
      <w:bookmarkEnd w:id="46"/>
      <w:r/>
      <w:bookmarkEnd w:id="47"/>
      <w:r/>
      <w:bookmarkEnd w:id="48"/>
      <w:r/>
      <w:bookmarkEnd w:id="49"/>
      <w:r/>
      <w:r/>
    </w:p>
    <w:p>
      <w:pPr>
        <w:keepLines/>
        <w:keepNext/>
        <w:spacing w:line="480" w:lineRule="exact"/>
        <w:rPr>
          <w:rFonts w:ascii="仿宋" w:hAnsi="仿宋" w:eastAsia="仿宋"/>
          <w:b/>
          <w:bCs/>
          <w:sz w:val="28"/>
          <w:szCs w:val="28"/>
        </w:rPr>
        <w:outlineLvl w:val="2"/>
      </w:pPr>
      <w:r/>
      <w:bookmarkStart w:id="50" w:name="_Toc120614214"/>
      <w:r/>
      <w:bookmarkStart w:id="51" w:name="_Toc16938519"/>
      <w:r/>
      <w:bookmarkStart w:id="52" w:name="_Toc513029203"/>
      <w:r/>
      <w:bookmarkStart w:id="53" w:name="_Toc20823275"/>
      <w:r>
        <w:rPr>
          <w:rFonts w:ascii="仿宋" w:hAnsi="仿宋" w:eastAsia="仿宋"/>
          <w:b/>
          <w:bCs/>
          <w:sz w:val="28"/>
          <w:szCs w:val="28"/>
        </w:rPr>
        <w:t xml:space="preserve">（一）总则</w:t>
      </w:r>
      <w:bookmarkEnd w:id="50"/>
      <w:r/>
      <w:bookmarkEnd w:id="51"/>
      <w:r/>
      <w:bookmarkEnd w:id="52"/>
      <w:r/>
      <w:bookmarkEnd w:id="53"/>
      <w:r/>
      <w:r/>
    </w:p>
    <w:p>
      <w:pPr>
        <w:keepNext/>
        <w:spacing w:line="480" w:lineRule="exact"/>
        <w:rPr>
          <w:rFonts w:ascii="仿宋" w:hAnsi="仿宋" w:eastAsia="仿宋"/>
          <w:b/>
          <w:bCs/>
          <w:sz w:val="28"/>
          <w:szCs w:val="28"/>
        </w:rPr>
        <w:outlineLvl w:val="3"/>
      </w:pPr>
      <w:r/>
      <w:bookmarkStart w:id="54" w:name="_Hlt16619475"/>
      <w:r/>
      <w:bookmarkEnd w:id="54"/>
      <w:r/>
      <w:bookmarkStart w:id="55" w:name="_Toc458694821"/>
      <w:r/>
      <w:bookmarkStart w:id="56" w:name="_Toc16938520"/>
      <w:r/>
      <w:bookmarkStart w:id="57" w:name="_Toc513029204"/>
      <w:r/>
      <w:bookmarkStart w:id="58" w:name="_Toc20823276"/>
      <w:r>
        <w:rPr>
          <w:rFonts w:ascii="仿宋" w:hAnsi="仿宋" w:eastAsia="仿宋"/>
          <w:sz w:val="28"/>
          <w:szCs w:val="28"/>
        </w:rPr>
        <w:t xml:space="preserve">1</w:t>
      </w:r>
      <w:bookmarkEnd w:id="55"/>
      <w:r>
        <w:rPr>
          <w:rFonts w:ascii="仿宋" w:hAnsi="仿宋" w:eastAsia="仿宋"/>
          <w:sz w:val="28"/>
          <w:szCs w:val="28"/>
        </w:rPr>
        <w:t xml:space="preserve">.招标方式</w:t>
      </w:r>
      <w:bookmarkEnd w:id="56"/>
      <w:r/>
      <w:bookmarkEnd w:id="57"/>
      <w:r/>
      <w:bookmarkEnd w:id="58"/>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59" w:name="_Toc20823277"/>
      <w:r/>
      <w:bookmarkStart w:id="60" w:name="_Toc513029205"/>
      <w:r/>
      <w:bookmarkStart w:id="61" w:name="_Toc16938521"/>
      <w:r>
        <w:rPr>
          <w:rFonts w:ascii="仿宋" w:hAnsi="仿宋" w:eastAsia="仿宋"/>
          <w:sz w:val="28"/>
          <w:szCs w:val="28"/>
        </w:rPr>
        <w:t xml:space="preserve">2.合格的投标人</w:t>
      </w:r>
      <w:bookmarkEnd w:id="59"/>
      <w:r/>
      <w:bookmarkEnd w:id="60"/>
      <w:r/>
      <w:bookmarkEnd w:id="61"/>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sz w:val="28"/>
          <w:szCs w:val="28"/>
        </w:rPr>
        <w:outlineLvl w:val="3"/>
      </w:pPr>
      <w:r/>
      <w:bookmarkStart w:id="62" w:name="_Toc20823278"/>
      <w:r/>
      <w:bookmarkStart w:id="63" w:name="_Toc16938522"/>
      <w:r/>
      <w:bookmarkStart w:id="64" w:name="_Toc513029206"/>
      <w:r>
        <w:rPr>
          <w:rFonts w:ascii="仿宋" w:hAnsi="仿宋" w:eastAsia="仿宋"/>
          <w:sz w:val="28"/>
          <w:szCs w:val="28"/>
        </w:rPr>
        <w:t xml:space="preserve">3.适用法律</w:t>
      </w:r>
      <w:bookmarkEnd w:id="62"/>
      <w:r/>
      <w:bookmarkEnd w:id="63"/>
      <w:r/>
      <w:bookmarkEnd w:id="64"/>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keepNext/>
        <w:spacing w:line="480" w:lineRule="exact"/>
        <w:rPr>
          <w:rFonts w:ascii="仿宋" w:hAnsi="仿宋" w:eastAsia="仿宋"/>
          <w:b/>
          <w:bCs/>
          <w:sz w:val="28"/>
          <w:szCs w:val="28"/>
        </w:rPr>
        <w:outlineLvl w:val="3"/>
      </w:pPr>
      <w:r/>
      <w:bookmarkStart w:id="65" w:name="_Toc16938523"/>
      <w:r/>
      <w:bookmarkStart w:id="66" w:name="_Toc462564067"/>
      <w:r/>
      <w:bookmarkStart w:id="67" w:name="_Toc513029207"/>
      <w:r/>
      <w:bookmarkStart w:id="68" w:name="_Toc20823279"/>
      <w:r>
        <w:rPr>
          <w:rFonts w:ascii="仿宋" w:hAnsi="仿宋" w:eastAsia="仿宋"/>
          <w:sz w:val="28"/>
          <w:szCs w:val="28"/>
        </w:rPr>
        <w:t xml:space="preserve">4.投标费用</w:t>
      </w:r>
      <w:bookmarkEnd w:id="65"/>
      <w:r/>
      <w:bookmarkEnd w:id="66"/>
      <w:r/>
      <w:bookmarkEnd w:id="67"/>
      <w:r/>
      <w:bookmarkEnd w:id="68"/>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rPr>
        <w:t xml:space="preserve">公共资源交易</w:t>
      </w:r>
      <w:r>
        <w:rPr>
          <w:rFonts w:ascii="仿宋" w:hAnsi="仿宋" w:eastAsia="仿宋"/>
          <w:sz w:val="28"/>
          <w:szCs w:val="28"/>
        </w:rPr>
        <w:t xml:space="preserve">中心（以下简称采购中心）在任何情况下均无义务和责任承担这些费用。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keepLines/>
        <w:keepNext/>
        <w:spacing w:before="120" w:after="120" w:line="480" w:lineRule="exact"/>
        <w:rPr>
          <w:rFonts w:ascii="仿宋" w:hAnsi="仿宋" w:eastAsia="仿宋"/>
          <w:b/>
          <w:bCs/>
          <w:sz w:val="28"/>
          <w:szCs w:val="28"/>
        </w:rPr>
        <w:outlineLvl w:val="2"/>
      </w:pPr>
      <w:r/>
      <w:bookmarkStart w:id="69" w:name="_Toc20823281"/>
      <w:r/>
      <w:bookmarkStart w:id="70" w:name="_Toc16938525"/>
      <w:r/>
      <w:bookmarkStart w:id="71" w:name="_Toc120614215"/>
      <w:r/>
      <w:bookmarkStart w:id="72" w:name="_Toc513029209"/>
      <w:r>
        <w:rPr>
          <w:rFonts w:hint="eastAsia" w:ascii="仿宋" w:hAnsi="仿宋" w:eastAsia="仿宋"/>
          <w:b/>
          <w:bCs/>
          <w:sz w:val="28"/>
          <w:szCs w:val="28"/>
        </w:rPr>
        <w:t xml:space="preserve">二、招标文件</w:t>
      </w:r>
      <w:bookmarkEnd w:id="69"/>
      <w:r/>
      <w:bookmarkEnd w:id="70"/>
      <w:r/>
      <w:bookmarkEnd w:id="71"/>
      <w:r/>
      <w:bookmarkEnd w:id="72"/>
      <w:r/>
      <w:r/>
    </w:p>
    <w:p>
      <w:pPr>
        <w:keepLines/>
        <w:keepNext/>
        <w:spacing w:line="480" w:lineRule="exact"/>
        <w:rPr>
          <w:rFonts w:ascii="仿宋" w:hAnsi="仿宋" w:eastAsia="仿宋" w:cs="Arial"/>
          <w:sz w:val="28"/>
          <w:szCs w:val="28"/>
        </w:rPr>
        <w:outlineLvl w:val="3"/>
      </w:pPr>
      <w:r/>
      <w:bookmarkStart w:id="73" w:name="_Toc16938526"/>
      <w:r/>
      <w:bookmarkStart w:id="74" w:name="_Toc20823282"/>
      <w:r/>
      <w:bookmarkStart w:id="75" w:name="_Toc513029210"/>
      <w:r>
        <w:rPr>
          <w:rFonts w:hint="eastAsia" w:ascii="仿宋" w:hAnsi="仿宋" w:eastAsia="仿宋" w:cs="Arial"/>
          <w:sz w:val="28"/>
          <w:szCs w:val="28"/>
        </w:rPr>
        <w:t xml:space="preserve">6、招标文件构成</w:t>
      </w:r>
      <w:bookmarkEnd w:id="73"/>
      <w:r/>
      <w:bookmarkEnd w:id="74"/>
      <w:r/>
      <w:bookmarkEnd w:id="75"/>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6.1</w:t>
      </w:r>
      <w:r>
        <w:rPr>
          <w:rFonts w:hint="eastAsia" w:ascii="仿宋" w:hAnsi="仿宋" w:eastAsia="仿宋"/>
          <w:sz w:val="28"/>
          <w:szCs w:val="28"/>
        </w:rPr>
        <w:t xml:space="preserve"> 招标文件由以下部分组成：</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（1）投标</w:t>
      </w:r>
      <w:r>
        <w:rPr>
          <w:rFonts w:ascii="仿宋" w:hAnsi="仿宋" w:eastAsia="仿宋"/>
          <w:sz w:val="28"/>
          <w:szCs w:val="28"/>
        </w:rPr>
        <w:t xml:space="preserve">邀请</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（2）投标人须知</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（3）合同文本</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（4）采购需求</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（5）评标方法与评标标准</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（6）投标文件格式</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请仔细检查招标文件是否齐全，如有缺漏请立即与采购中心联系解决。</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6.2</w:t>
      </w:r>
      <w:r>
        <w:rPr>
          <w:rFonts w:hint="eastAsia" w:ascii="仿宋" w:hAnsi="仿宋" w:eastAsia="仿宋"/>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ascii="仿宋" w:hAnsi="仿宋" w:eastAsia="仿宋" w:cs="Arial"/>
          <w:sz w:val="28"/>
          <w:szCs w:val="28"/>
        </w:rPr>
        <w:outlineLvl w:val="3"/>
      </w:pPr>
      <w:r/>
      <w:bookmarkStart w:id="76" w:name="_Toc20823283"/>
      <w:r/>
      <w:bookmarkStart w:id="77" w:name="_Toc16938527"/>
      <w:r/>
      <w:bookmarkStart w:id="78" w:name="_Toc462564070"/>
      <w:r/>
      <w:bookmarkStart w:id="79" w:name="_Toc513029211"/>
      <w:r>
        <w:rPr>
          <w:rFonts w:hint="eastAsia" w:ascii="仿宋" w:hAnsi="仿宋" w:eastAsia="仿宋" w:cs="Arial"/>
          <w:sz w:val="28"/>
          <w:szCs w:val="28"/>
        </w:rPr>
        <w:t xml:space="preserve">7、招标文件的澄清</w:t>
      </w:r>
      <w:bookmarkEnd w:id="76"/>
      <w:r/>
      <w:bookmarkEnd w:id="77"/>
      <w:r/>
      <w:bookmarkEnd w:id="78"/>
      <w:r/>
      <w:bookmarkEnd w:id="79"/>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任何要求对招标文件进行澄清的投标人，应在投标截止期</w:t>
      </w:r>
      <w:r>
        <w:rPr>
          <w:rFonts w:hint="eastAsia" w:ascii="仿宋" w:hAnsi="仿宋" w:eastAsia="仿宋"/>
          <w:b/>
          <w:sz w:val="28"/>
          <w:szCs w:val="28"/>
        </w:rPr>
        <w:t xml:space="preserve">十日</w:t>
      </w:r>
      <w:r>
        <w:rPr>
          <w:rFonts w:hint="eastAsia" w:ascii="仿宋" w:hAnsi="仿宋" w:eastAsia="仿宋"/>
          <w:sz w:val="28"/>
          <w:szCs w:val="28"/>
        </w:rPr>
        <w:t xml:space="preserve">前按招标公告中的通讯地址，以书面形式通知采购中心。采购人有权对发出的招标文件进行必要的澄清或修改。</w:t>
      </w:r>
      <w:r/>
    </w:p>
    <w:p>
      <w:pPr>
        <w:keepLines/>
        <w:keepNext/>
        <w:spacing w:line="480" w:lineRule="exact"/>
        <w:rPr>
          <w:rFonts w:ascii="仿宋" w:hAnsi="仿宋" w:eastAsia="仿宋" w:cs="Arial"/>
          <w:sz w:val="28"/>
          <w:szCs w:val="28"/>
        </w:rPr>
        <w:outlineLvl w:val="3"/>
      </w:pPr>
      <w:r/>
      <w:bookmarkStart w:id="80" w:name="_Toc513029212"/>
      <w:r/>
      <w:bookmarkStart w:id="81" w:name="_Toc20823284"/>
      <w:r/>
      <w:bookmarkStart w:id="82" w:name="_Toc462564071"/>
      <w:r/>
      <w:bookmarkStart w:id="83" w:name="_Toc16938528"/>
      <w:r>
        <w:rPr>
          <w:rFonts w:hint="eastAsia" w:ascii="仿宋" w:hAnsi="仿宋" w:eastAsia="仿宋" w:cs="Arial"/>
          <w:sz w:val="28"/>
          <w:szCs w:val="28"/>
        </w:rPr>
        <w:t xml:space="preserve">8、招标文件的修改</w:t>
      </w:r>
      <w:bookmarkEnd w:id="80"/>
      <w:r/>
      <w:bookmarkEnd w:id="81"/>
      <w:r/>
      <w:bookmarkEnd w:id="82"/>
      <w:r/>
      <w:bookmarkEnd w:id="83"/>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8.1</w:t>
      </w:r>
      <w:r>
        <w:rPr>
          <w:rFonts w:hint="eastAsia" w:ascii="仿宋" w:hAnsi="仿宋" w:eastAsia="仿宋"/>
          <w:sz w:val="28"/>
          <w:szCs w:val="28"/>
        </w:rPr>
        <w:t xml:space="preserve"> 在投标截止时间前，采购中心可以对招标文件进行修改。</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8.2 </w:t>
      </w:r>
      <w:r>
        <w:rPr>
          <w:rFonts w:hint="eastAsia" w:ascii="仿宋" w:hAnsi="仿宋" w:eastAsia="仿宋"/>
          <w:sz w:val="28"/>
          <w:szCs w:val="28"/>
        </w:rPr>
        <w:t xml:space="preserve">采购中心有权按照法定的要求推迟投标截止日期和开标日期。</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8.3 </w:t>
      </w:r>
      <w:r>
        <w:rPr>
          <w:rFonts w:hint="eastAsia" w:ascii="仿宋" w:hAnsi="仿宋" w:eastAsia="仿宋"/>
          <w:sz w:val="28"/>
          <w:szCs w:val="28"/>
        </w:rPr>
        <w:t xml:space="preserve">招标文件的修改将在江苏政府采购网公布，补充文件将作为招标文件的组成部分，并对投标人具有约束力。</w:t>
      </w:r>
      <w:r/>
    </w:p>
    <w:p>
      <w:pPr>
        <w:keepLines/>
        <w:keepNext/>
        <w:spacing w:before="120" w:after="120" w:line="480" w:lineRule="exact"/>
        <w:rPr>
          <w:rFonts w:ascii="仿宋" w:hAnsi="仿宋" w:eastAsia="仿宋"/>
          <w:b/>
          <w:bCs/>
          <w:sz w:val="28"/>
          <w:szCs w:val="28"/>
        </w:rPr>
        <w:outlineLvl w:val="2"/>
      </w:pPr>
      <w:r/>
      <w:bookmarkStart w:id="84" w:name="_Toc20823285"/>
      <w:r/>
      <w:bookmarkStart w:id="85" w:name="_Toc462564072"/>
      <w:r/>
      <w:bookmarkStart w:id="86" w:name="_Toc120614216"/>
      <w:r/>
      <w:bookmarkStart w:id="87" w:name="_Toc513029213"/>
      <w:r/>
      <w:bookmarkStart w:id="88" w:name="_Toc16938529"/>
      <w:r>
        <w:rPr>
          <w:rFonts w:hint="eastAsia" w:ascii="仿宋" w:hAnsi="仿宋" w:eastAsia="仿宋"/>
          <w:b/>
          <w:bCs/>
          <w:sz w:val="28"/>
          <w:szCs w:val="28"/>
        </w:rPr>
        <w:t xml:space="preserve">三、投标文件的编制</w:t>
      </w:r>
      <w:bookmarkEnd w:id="84"/>
      <w:r/>
      <w:bookmarkEnd w:id="85"/>
      <w:r/>
      <w:bookmarkEnd w:id="86"/>
      <w:r/>
      <w:bookmarkEnd w:id="87"/>
      <w:r/>
      <w:bookmarkEnd w:id="88"/>
      <w:r/>
      <w:r/>
    </w:p>
    <w:p>
      <w:pPr>
        <w:keepLines/>
        <w:keepNext/>
        <w:spacing w:line="480" w:lineRule="exact"/>
        <w:rPr>
          <w:rFonts w:ascii="仿宋" w:hAnsi="仿宋" w:eastAsia="仿宋" w:cs="Arial"/>
          <w:b/>
          <w:sz w:val="28"/>
          <w:szCs w:val="28"/>
        </w:rPr>
        <w:outlineLvl w:val="3"/>
      </w:pPr>
      <w:r/>
      <w:bookmarkStart w:id="89" w:name="_Toc20823286"/>
      <w:r/>
      <w:bookmarkStart w:id="90" w:name="_Toc513029214"/>
      <w:r/>
      <w:bookmarkStart w:id="91" w:name="_Toc462564073"/>
      <w:r/>
      <w:bookmarkStart w:id="92" w:name="_Toc16938530"/>
      <w:r>
        <w:rPr>
          <w:rFonts w:hint="eastAsia" w:ascii="仿宋" w:hAnsi="仿宋" w:eastAsia="仿宋" w:cs="Arial"/>
          <w:sz w:val="28"/>
          <w:szCs w:val="28"/>
        </w:rPr>
        <w:t xml:space="preserve">9、投标文件的语言及度量衡单位</w:t>
      </w:r>
      <w:bookmarkEnd w:id="89"/>
      <w:r/>
      <w:bookmarkEnd w:id="90"/>
      <w:r/>
      <w:bookmarkEnd w:id="91"/>
      <w:r/>
      <w:bookmarkEnd w:id="92"/>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9.1</w:t>
      </w:r>
      <w:r>
        <w:rPr>
          <w:rFonts w:hint="eastAsia" w:ascii="仿宋" w:hAnsi="仿宋" w:eastAsia="仿宋"/>
          <w:sz w:val="28"/>
          <w:szCs w:val="28"/>
        </w:rPr>
        <w:t xml:space="preserve"> 投标人提交的投标文件以及投标人与采购中心就有关投标的所有来往通知、函件和文件均应使用简体中文。</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9.2</w:t>
      </w:r>
      <w:r>
        <w:rPr>
          <w:rFonts w:hint="eastAsia" w:ascii="仿宋" w:hAnsi="仿宋" w:eastAsia="仿宋"/>
          <w:sz w:val="28"/>
          <w:szCs w:val="28"/>
        </w:rPr>
        <w:t xml:space="preserve"> 除技术性能另有规定外，投标文件所使用的度量衡单位，均须采用国家法定计量单位。</w:t>
      </w:r>
      <w:r/>
    </w:p>
    <w:p>
      <w:pPr>
        <w:keepLines/>
        <w:keepNext/>
        <w:spacing w:line="480" w:lineRule="exact"/>
        <w:rPr>
          <w:rFonts w:ascii="仿宋" w:hAnsi="仿宋" w:eastAsia="仿宋" w:cs="Arial"/>
          <w:sz w:val="28"/>
          <w:szCs w:val="28"/>
        </w:rPr>
        <w:outlineLvl w:val="3"/>
      </w:pPr>
      <w:r/>
      <w:bookmarkStart w:id="93" w:name="_Toc16938531"/>
      <w:r/>
      <w:bookmarkStart w:id="94" w:name="_Toc20823287"/>
      <w:r/>
      <w:bookmarkStart w:id="95" w:name="_Toc513029215"/>
      <w:r/>
      <w:bookmarkStart w:id="96" w:name="_Toc462564074"/>
      <w:r>
        <w:rPr>
          <w:rFonts w:hint="eastAsia" w:ascii="仿宋" w:hAnsi="仿宋" w:eastAsia="仿宋" w:cs="Arial"/>
          <w:sz w:val="28"/>
          <w:szCs w:val="28"/>
        </w:rPr>
        <w:t xml:space="preserve">10、投标文件构成</w:t>
      </w:r>
      <w:bookmarkEnd w:id="93"/>
      <w:r/>
      <w:bookmarkEnd w:id="94"/>
      <w:r/>
      <w:bookmarkEnd w:id="95"/>
      <w:r/>
      <w:bookmarkEnd w:id="96"/>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10.2 如标书制作工具中格式和内容与“江苏政府采购网”发布的招标文件不一致，请以“江苏政府采购网”发布的招标文件为准。</w:t>
      </w:r>
      <w:r/>
    </w:p>
    <w:p>
      <w:pPr>
        <w:keepLines/>
        <w:keepNext/>
        <w:spacing w:line="480" w:lineRule="exact"/>
        <w:rPr>
          <w:rFonts w:ascii="仿宋" w:hAnsi="仿宋" w:eastAsia="仿宋" w:cs="Arial"/>
          <w:sz w:val="28"/>
          <w:szCs w:val="28"/>
        </w:rPr>
        <w:outlineLvl w:val="3"/>
      </w:pPr>
      <w:r/>
      <w:bookmarkStart w:id="97" w:name="_Hlt26668975"/>
      <w:r/>
      <w:bookmarkEnd w:id="97"/>
      <w:r/>
      <w:bookmarkStart w:id="98" w:name="_Hlt26670360"/>
      <w:r/>
      <w:bookmarkEnd w:id="98"/>
      <w:r/>
      <w:bookmarkStart w:id="99" w:name="_Hlt26954838"/>
      <w:r/>
      <w:bookmarkEnd w:id="99"/>
      <w:r/>
      <w:bookmarkStart w:id="100" w:name="_Toc513029219"/>
      <w:r/>
      <w:bookmarkStart w:id="101" w:name="_Toc14577357"/>
      <w:r/>
      <w:bookmarkStart w:id="102" w:name="_Toc49090509"/>
      <w:r/>
      <w:bookmarkStart w:id="103" w:name="_Toc49090507"/>
      <w:r/>
      <w:bookmarkStart w:id="104" w:name="_Toc513029216"/>
      <w:r/>
      <w:bookmarkStart w:id="105" w:name="_Toc14577354"/>
      <w:r/>
      <w:bookmarkStart w:id="106" w:name="_Toc14577355"/>
      <w:r/>
      <w:bookmarkStart w:id="107" w:name="_Toc49090508"/>
      <w:r>
        <w:rPr>
          <w:rFonts w:hint="eastAsia" w:ascii="仿宋" w:hAnsi="仿宋" w:eastAsia="仿宋" w:cs="Arial"/>
          <w:sz w:val="28"/>
          <w:szCs w:val="28"/>
        </w:rPr>
        <w:t xml:space="preserve">11、证明投标人及投标标的符合招标文件规定的文件</w:t>
      </w:r>
      <w:bookmarkEnd w:id="100"/>
      <w:r/>
      <w:bookmarkEnd w:id="101"/>
      <w:r/>
      <w:bookmarkEnd w:id="102"/>
      <w:r/>
      <w:bookmarkEnd w:id="103"/>
      <w:r/>
      <w:bookmarkEnd w:id="104"/>
      <w:r/>
      <w:bookmarkEnd w:id="105"/>
      <w:r/>
      <w:r/>
    </w:p>
    <w:p>
      <w:pPr>
        <w:spacing w:line="480" w:lineRule="exact"/>
        <w:rPr>
          <w:rFonts w:ascii="仿宋" w:hAnsi="仿宋" w:eastAsia="仿宋"/>
          <w:sz w:val="28"/>
          <w:szCs w:val="28"/>
        </w:rPr>
      </w:pPr>
      <w:r>
        <w:rPr>
          <w:rFonts w:hint="eastAsia" w:ascii="仿宋" w:hAnsi="仿宋" w:eastAsia="仿宋"/>
          <w:sz w:val="28"/>
          <w:szCs w:val="28"/>
        </w:rPr>
        <w:t xml:space="preserve">    11.1 投标人应按照招标文件要求提交证明文件，证明其及投标标的符合招标文件规定。</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11.2招标文件对证明文件无明确形式要求的，证明文件可以以文字资料、图纸和数据等形式提交。</w:t>
      </w:r>
      <w:bookmarkEnd w:id="106"/>
      <w:r/>
      <w:bookmarkEnd w:id="107"/>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12、投标分项报价表</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投标人按照招标文件规定格式填报投标分项报价表。</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投标货币。投标文件中的单价和总价无特殊规定的采用人民币报价，以元为单位标注。</w:t>
      </w:r>
      <w:r>
        <w:rPr>
          <w:rFonts w:hint="eastAsia" w:ascii="仿宋" w:hAnsi="仿宋" w:eastAsia="仿宋"/>
          <w:sz w:val="28"/>
          <w:szCs w:val="28"/>
        </w:rPr>
        <w:t xml:space="preserve">招标文件中另有规定的按规定执行。</w:t>
      </w:r>
      <w:r/>
    </w:p>
    <w:p>
      <w:pPr>
        <w:keepLines/>
        <w:keepNext/>
        <w:spacing w:line="480" w:lineRule="exact"/>
        <w:rPr>
          <w:rFonts w:ascii="仿宋" w:hAnsi="仿宋" w:eastAsia="仿宋" w:cs="Arial"/>
          <w:sz w:val="28"/>
          <w:szCs w:val="28"/>
        </w:rPr>
        <w:outlineLvl w:val="3"/>
      </w:pPr>
      <w:r/>
      <w:bookmarkStart w:id="108" w:name="_Hlt26670482"/>
      <w:r/>
      <w:bookmarkEnd w:id="108"/>
      <w:r/>
      <w:bookmarkStart w:id="109" w:name="_Hlt26954848"/>
      <w:r/>
      <w:bookmarkEnd w:id="109"/>
      <w:r/>
      <w:bookmarkStart w:id="110" w:name="_Hlt26670486"/>
      <w:r/>
      <w:bookmarkEnd w:id="110"/>
      <w:r/>
      <w:bookmarkStart w:id="111" w:name="_Hlt26954731"/>
      <w:r/>
      <w:bookmarkEnd w:id="111"/>
      <w:r/>
      <w:bookmarkStart w:id="112" w:name="_Hlt26954846"/>
      <w:r/>
      <w:bookmarkEnd w:id="112"/>
      <w:r>
        <w:rPr>
          <w:rFonts w:hint="eastAsia" w:ascii="仿宋" w:hAnsi="仿宋" w:eastAsia="仿宋" w:cs="Arial"/>
          <w:sz w:val="28"/>
          <w:szCs w:val="28"/>
        </w:rPr>
        <w:t xml:space="preserve">13、技术要求响应及偏离表、商务要求响应及偏离表</w:t>
      </w:r>
      <w:r/>
    </w:p>
    <w:p>
      <w:pPr>
        <w:ind w:firstLine="480"/>
        <w:spacing w:line="480" w:lineRule="exact"/>
        <w:rPr>
          <w:rFonts w:ascii="仿宋" w:hAnsi="仿宋" w:eastAsia="仿宋" w:cs="宋体"/>
          <w:sz w:val="28"/>
          <w:szCs w:val="28"/>
          <w:lang w:val="zh-CN"/>
        </w:rPr>
      </w:pPr>
      <w:r>
        <w:rPr>
          <w:rFonts w:ascii="仿宋" w:hAnsi="仿宋" w:eastAsia="仿宋" w:cs="宋体"/>
          <w:bCs/>
          <w:sz w:val="28"/>
          <w:szCs w:val="28"/>
          <w:lang w:val="zh-CN"/>
        </w:rPr>
        <w:t xml:space="preserve">1</w:t>
      </w:r>
      <w:r>
        <w:rPr>
          <w:rFonts w:hint="eastAsia" w:ascii="仿宋" w:hAnsi="仿宋" w:eastAsia="仿宋" w:cs="宋体"/>
          <w:bCs/>
          <w:sz w:val="28"/>
          <w:szCs w:val="28"/>
          <w:lang w:val="zh-CN"/>
        </w:rPr>
        <w:t xml:space="preserve">3</w:t>
      </w:r>
      <w:r>
        <w:rPr>
          <w:rFonts w:ascii="仿宋" w:hAnsi="仿宋" w:eastAsia="仿宋" w:cs="宋体"/>
          <w:bCs/>
          <w:sz w:val="28"/>
          <w:szCs w:val="28"/>
          <w:lang w:val="zh-CN"/>
        </w:rPr>
        <w:t xml:space="preserve">.1</w:t>
      </w:r>
      <w:r>
        <w:rPr>
          <w:rFonts w:hint="eastAsia" w:ascii="仿宋" w:hAnsi="仿宋" w:eastAsia="仿宋" w:cs="宋体"/>
          <w:sz w:val="28"/>
          <w:szCs w:val="28"/>
          <w:lang w:val="zh-CN"/>
        </w:rPr>
        <w:t xml:space="preserve">投标人需对招标文件中的技术要求与商务要求逐项作出响应或偏离，并说明原因。</w:t>
      </w:r>
      <w:r/>
    </w:p>
    <w:p>
      <w:pPr>
        <w:ind w:firstLine="480"/>
        <w:spacing w:line="480" w:lineRule="exact"/>
        <w:rPr>
          <w:rFonts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14、服务承诺、培训计划、人员安排及其他</w:t>
      </w:r>
      <w:r/>
    </w:p>
    <w:p>
      <w:pPr>
        <w:ind w:firstLine="480"/>
        <w:spacing w:line="480" w:lineRule="exact"/>
        <w:rPr>
          <w:rFonts w:ascii="仿宋" w:hAnsi="仿宋" w:eastAsia="仿宋"/>
          <w:sz w:val="28"/>
          <w:szCs w:val="28"/>
        </w:rPr>
      </w:pPr>
      <w:r>
        <w:rPr>
          <w:rFonts w:hint="eastAsia" w:ascii="仿宋" w:hAnsi="仿宋" w:eastAsia="仿宋"/>
          <w:bCs/>
          <w:sz w:val="28"/>
          <w:szCs w:val="28"/>
        </w:rPr>
        <w:t xml:space="preserve">14.1 </w:t>
      </w:r>
      <w:r>
        <w:rPr>
          <w:rFonts w:hint="eastAsia" w:ascii="仿宋" w:hAnsi="仿宋" w:eastAsia="仿宋"/>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14.2 投标人需根据招标文件要求提供培训计划。</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14.3投标人需根据招标文件要求提供</w:t>
      </w:r>
      <w:r>
        <w:rPr>
          <w:rFonts w:hint="eastAsia" w:ascii="仿宋" w:hAnsi="仿宋" w:eastAsia="仿宋" w:cs="宋体"/>
          <w:sz w:val="28"/>
          <w:szCs w:val="28"/>
          <w:lang w:val="zh-CN"/>
        </w:rPr>
        <w:t xml:space="preserve">所投标的的主要组成部分、功能设计、实现思路及关键技术等。</w:t>
      </w:r>
      <w:r/>
    </w:p>
    <w:p>
      <w:pPr>
        <w:keepLines/>
        <w:keepNext/>
        <w:spacing w:line="480" w:lineRule="exact"/>
        <w:rPr>
          <w:rFonts w:ascii="仿宋" w:hAnsi="仿宋" w:eastAsia="仿宋" w:cs="Arial"/>
          <w:sz w:val="28"/>
          <w:szCs w:val="28"/>
        </w:rPr>
        <w:outlineLvl w:val="3"/>
      </w:pPr>
      <w:r/>
      <w:bookmarkStart w:id="113" w:name="_Toc14577359"/>
      <w:r/>
      <w:bookmarkStart w:id="114" w:name="_Toc49090510"/>
      <w:r>
        <w:rPr>
          <w:rFonts w:hint="eastAsia" w:ascii="仿宋" w:hAnsi="仿宋" w:eastAsia="仿宋" w:cs="Arial"/>
          <w:sz w:val="28"/>
          <w:szCs w:val="28"/>
        </w:rPr>
        <w:t xml:space="preserve">15、投标函和开标一览表</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15.1</w:t>
      </w:r>
      <w:r>
        <w:rPr>
          <w:rFonts w:hint="eastAsia" w:ascii="仿宋" w:hAnsi="仿宋" w:eastAsia="仿宋"/>
          <w:sz w:val="28"/>
          <w:szCs w:val="28"/>
        </w:rPr>
        <w:t xml:space="preserve"> 投标人应按照招标文件中提供的格式完整、正确填写投标函、开标一览表。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15.2 对于采用货币报价的项目，开标一览表中的投标总报价应与投标分项报价表中的投标总报价一致，如不一致，不作为无效投标处理，但评标时按开标一览表中价格为准。</w:t>
      </w:r>
      <w:bookmarkEnd w:id="113"/>
      <w:r/>
      <w:bookmarkEnd w:id="114"/>
      <w:r/>
      <w:r/>
    </w:p>
    <w:p>
      <w:pPr>
        <w:keepLines/>
        <w:keepNext/>
        <w:spacing w:line="480" w:lineRule="exact"/>
        <w:rPr>
          <w:rFonts w:ascii="仿宋" w:hAnsi="仿宋" w:eastAsia="仿宋" w:cs="Arial"/>
          <w:sz w:val="28"/>
          <w:szCs w:val="28"/>
        </w:rPr>
        <w:outlineLvl w:val="3"/>
      </w:pPr>
      <w:r/>
      <w:bookmarkStart w:id="115" w:name="_Toc49090511"/>
      <w:r/>
      <w:bookmarkStart w:id="116" w:name="_Toc14577360"/>
      <w:r>
        <w:rPr>
          <w:rFonts w:hint="eastAsia" w:ascii="仿宋" w:hAnsi="仿宋" w:eastAsia="仿宋" w:cs="Arial"/>
          <w:sz w:val="28"/>
          <w:szCs w:val="28"/>
        </w:rPr>
        <w:t xml:space="preserve">16、投标有效期</w:t>
      </w:r>
      <w:bookmarkEnd w:id="115"/>
      <w:r/>
      <w:bookmarkEnd w:id="116"/>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16.1投标有效期为采购中心规定的开标之日后</w:t>
      </w:r>
      <w:r>
        <w:rPr>
          <w:rFonts w:hint="eastAsia" w:ascii="仿宋" w:hAnsi="仿宋" w:eastAsia="仿宋"/>
          <w:sz w:val="28"/>
          <w:szCs w:val="28"/>
          <w:u w:val="single"/>
        </w:rPr>
        <w:t xml:space="preserve">九十（90）天</w:t>
      </w:r>
      <w:r>
        <w:rPr>
          <w:rFonts w:hint="eastAsia" w:ascii="仿宋" w:hAnsi="仿宋" w:eastAsia="仿宋"/>
          <w:bCs/>
          <w:sz w:val="28"/>
          <w:szCs w:val="28"/>
        </w:rPr>
        <w:t xml:space="preserve">。投标有效期比规定短的将被视为未实质性响应招标文件而予以拒绝。</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w:t>
      </w:r>
      <w:r>
        <w:rPr>
          <w:rFonts w:ascii="仿宋" w:hAnsi="仿宋" w:eastAsia="仿宋" w:cs="Arial"/>
          <w:sz w:val="28"/>
          <w:szCs w:val="28"/>
        </w:rPr>
        <w:t xml:space="preserve">7</w:t>
      </w:r>
      <w:r>
        <w:rPr>
          <w:rFonts w:hint="eastAsia" w:ascii="仿宋" w:hAnsi="仿宋" w:eastAsia="仿宋" w:cs="Arial"/>
          <w:sz w:val="28"/>
          <w:szCs w:val="28"/>
        </w:rPr>
        <w:t xml:space="preserve">、投标有效期的延长</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sz w:val="28"/>
          <w:szCs w:val="28"/>
        </w:rPr>
        <w:t xml:space="preserve">受投标有效期约束的所有权利与义务均延长至新的有效期</w:t>
      </w:r>
      <w:r>
        <w:rPr>
          <w:rFonts w:hint="eastAsia" w:ascii="仿宋" w:hAnsi="仿宋" w:eastAsia="仿宋"/>
          <w:bCs/>
          <w:sz w:val="28"/>
          <w:szCs w:val="28"/>
        </w:rPr>
        <w:t xml:space="preserve">。</w:t>
      </w:r>
      <w:r/>
    </w:p>
    <w:p>
      <w:pPr>
        <w:keepLines/>
        <w:keepNext/>
        <w:spacing w:before="120" w:after="120" w:line="480" w:lineRule="exact"/>
        <w:rPr>
          <w:rFonts w:ascii="仿宋" w:hAnsi="仿宋" w:eastAsia="仿宋"/>
          <w:b/>
          <w:bCs/>
          <w:sz w:val="28"/>
          <w:szCs w:val="28"/>
        </w:rPr>
        <w:outlineLvl w:val="2"/>
      </w:pPr>
      <w:r/>
      <w:bookmarkStart w:id="117" w:name="_Hlt26954739"/>
      <w:r/>
      <w:bookmarkEnd w:id="117"/>
      <w:r/>
      <w:bookmarkStart w:id="118" w:name="_Hlt26954852"/>
      <w:r/>
      <w:bookmarkEnd w:id="118"/>
      <w:r/>
      <w:bookmarkStart w:id="119" w:name="_Toc120614217"/>
      <w:r/>
      <w:bookmarkStart w:id="120" w:name="_Toc20823296"/>
      <w:r/>
      <w:bookmarkStart w:id="121" w:name="_Toc513029224"/>
      <w:r/>
      <w:bookmarkStart w:id="122" w:name="_Toc16938540"/>
      <w:r>
        <w:rPr>
          <w:rFonts w:hint="eastAsia" w:ascii="仿宋" w:hAnsi="仿宋" w:eastAsia="仿宋"/>
          <w:b/>
          <w:bCs/>
          <w:sz w:val="28"/>
          <w:szCs w:val="28"/>
        </w:rPr>
        <w:t xml:space="preserve">四、投标文件的递交</w:t>
      </w:r>
      <w:bookmarkEnd w:id="119"/>
      <w:r/>
      <w:bookmarkEnd w:id="120"/>
      <w:r/>
      <w:bookmarkEnd w:id="121"/>
      <w:r/>
      <w:bookmarkEnd w:id="122"/>
      <w:r/>
      <w:r/>
    </w:p>
    <w:p>
      <w:pPr>
        <w:keepLines/>
        <w:keepNext/>
        <w:spacing w:line="480" w:lineRule="exact"/>
        <w:rPr>
          <w:rFonts w:ascii="仿宋" w:hAnsi="仿宋" w:eastAsia="仿宋"/>
          <w:bCs/>
          <w:sz w:val="28"/>
          <w:szCs w:val="28"/>
        </w:rPr>
        <w:outlineLvl w:val="3"/>
      </w:pPr>
      <w:r/>
      <w:bookmarkStart w:id="123" w:name="_Toc513029225"/>
      <w:r/>
      <w:bookmarkStart w:id="124" w:name="_Toc16938541"/>
      <w:r/>
      <w:bookmarkStart w:id="125" w:name="_Toc462564084"/>
      <w:r/>
      <w:bookmarkStart w:id="126" w:name="_Toc20823297"/>
      <w:r>
        <w:rPr>
          <w:rFonts w:hint="eastAsia" w:ascii="仿宋" w:hAnsi="仿宋" w:eastAsia="仿宋"/>
          <w:bCs/>
          <w:sz w:val="28"/>
          <w:szCs w:val="28"/>
        </w:rPr>
        <w:t xml:space="preserve">1</w:t>
      </w:r>
      <w:r>
        <w:rPr>
          <w:rFonts w:ascii="仿宋" w:hAnsi="仿宋" w:eastAsia="仿宋"/>
          <w:bCs/>
          <w:sz w:val="28"/>
          <w:szCs w:val="28"/>
        </w:rPr>
        <w:t xml:space="preserve">8</w:t>
      </w:r>
      <w:r>
        <w:rPr>
          <w:rFonts w:hint="eastAsia" w:ascii="仿宋" w:hAnsi="仿宋" w:eastAsia="仿宋"/>
          <w:bCs/>
          <w:sz w:val="28"/>
          <w:szCs w:val="28"/>
        </w:rPr>
        <w:t xml:space="preserve">、电子投标文件</w:t>
      </w:r>
      <w:bookmarkEnd w:id="123"/>
      <w:r/>
      <w:bookmarkEnd w:id="124"/>
      <w:r/>
      <w:bookmarkEnd w:id="125"/>
      <w:r/>
      <w:bookmarkEnd w:id="126"/>
      <w:r>
        <w:rPr>
          <w:rFonts w:hint="eastAsia" w:ascii="仿宋" w:hAnsi="仿宋" w:eastAsia="仿宋"/>
          <w:bCs/>
          <w:sz w:val="28"/>
          <w:szCs w:val="28"/>
        </w:rPr>
        <w:t xml:space="preserve">的递交</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18.1投标人应当按照《操作手册》规定，在投标截止时间前</w:t>
      </w:r>
      <w:r>
        <w:rPr>
          <w:rFonts w:ascii="仿宋" w:hAnsi="仿宋" w:eastAsia="仿宋"/>
          <w:bCs/>
          <w:sz w:val="28"/>
          <w:szCs w:val="28"/>
        </w:rPr>
        <w:t xml:space="preserve">制作</w:t>
      </w:r>
      <w:r>
        <w:rPr>
          <w:rFonts w:hint="eastAsia" w:ascii="仿宋" w:hAnsi="仿宋" w:eastAsia="仿宋"/>
          <w:bCs/>
          <w:sz w:val="28"/>
          <w:szCs w:val="28"/>
        </w:rPr>
        <w:t xml:space="preserve">并上传电子投标文件。</w:t>
      </w:r>
      <w:bookmarkStart w:id="127" w:name="_Toc513029226"/>
      <w:r/>
      <w:bookmarkStart w:id="128" w:name="_Toc20823298"/>
      <w:r/>
      <w:bookmarkStart w:id="129" w:name="_Toc16938542"/>
      <w:r/>
      <w:r/>
    </w:p>
    <w:p>
      <w:pPr>
        <w:keepLines/>
        <w:keepNext/>
        <w:spacing w:line="480" w:lineRule="exact"/>
        <w:rPr>
          <w:rFonts w:ascii="仿宋" w:hAnsi="仿宋" w:eastAsia="仿宋"/>
          <w:bCs/>
          <w:sz w:val="28"/>
          <w:szCs w:val="28"/>
        </w:rPr>
        <w:outlineLvl w:val="3"/>
      </w:pPr>
      <w:r>
        <w:rPr>
          <w:rFonts w:ascii="仿宋" w:hAnsi="仿宋" w:eastAsia="仿宋"/>
          <w:bCs/>
          <w:sz w:val="28"/>
          <w:szCs w:val="28"/>
        </w:rPr>
        <w:t xml:space="preserve">19</w:t>
      </w:r>
      <w:r>
        <w:rPr>
          <w:rFonts w:hint="eastAsia" w:ascii="仿宋" w:hAnsi="仿宋" w:eastAsia="仿宋"/>
          <w:bCs/>
          <w:sz w:val="28"/>
          <w:szCs w:val="28"/>
        </w:rPr>
        <w:t xml:space="preserve">、投标截止日期</w:t>
      </w:r>
      <w:bookmarkEnd w:id="127"/>
      <w:r/>
      <w:bookmarkEnd w:id="128"/>
      <w:r/>
      <w:bookmarkEnd w:id="129"/>
      <w:r/>
      <w:r/>
    </w:p>
    <w:p>
      <w:pPr>
        <w:ind w:firstLine="562"/>
        <w:spacing w:line="480" w:lineRule="exact"/>
        <w:rPr>
          <w:rFonts w:ascii="仿宋" w:hAnsi="仿宋" w:eastAsia="仿宋"/>
          <w:b/>
          <w:bCs/>
          <w:sz w:val="28"/>
          <w:szCs w:val="28"/>
          <w:u w:val="single"/>
        </w:rPr>
      </w:pPr>
      <w:r>
        <w:rPr>
          <w:rFonts w:ascii="仿宋" w:hAnsi="仿宋" w:eastAsia="仿宋"/>
          <w:b/>
          <w:sz w:val="28"/>
          <w:szCs w:val="28"/>
          <w:u w:val="single"/>
        </w:rPr>
        <w:t xml:space="preserve">19</w:t>
      </w:r>
      <w:r>
        <w:rPr>
          <w:rFonts w:hint="eastAsia" w:ascii="仿宋" w:hAnsi="仿宋" w:eastAsia="仿宋"/>
          <w:b/>
          <w:sz w:val="28"/>
          <w:szCs w:val="28"/>
          <w:u w:val="single"/>
        </w:rPr>
        <w:t xml:space="preserve">.1</w:t>
      </w:r>
      <w:r>
        <w:rPr>
          <w:rFonts w:hint="eastAsia" w:ascii="仿宋" w:hAnsi="仿宋" w:eastAsia="仿宋"/>
          <w:b/>
          <w:bCs/>
          <w:sz w:val="28"/>
          <w:szCs w:val="28"/>
          <w:u w:val="single"/>
        </w:rPr>
        <w:t xml:space="preserve"> 投标人上传电子投标文件的时间不得迟于招标公告中规定的投标截止时间。</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480" w:lineRule="exact"/>
        <w:rPr>
          <w:rFonts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w:t>
      </w:r>
      <w:r>
        <w:rPr>
          <w:rFonts w:hint="eastAsia" w:ascii="仿宋" w:hAnsi="仿宋" w:eastAsia="仿宋"/>
          <w:bCs/>
          <w:sz w:val="28"/>
          <w:szCs w:val="28"/>
        </w:rPr>
        <w:t xml:space="preserve"> 采购中心可以按照规定，通过修改招标文件酌情延长投标截止日期，在此情况下，投标人的所有权利和义务以及投标人受制的截止日期均应以延长后新的截止日期为准。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ascii="仿宋" w:hAnsi="仿宋" w:eastAsia="仿宋" w:cs="Arial"/>
          <w:sz w:val="28"/>
          <w:szCs w:val="28"/>
        </w:rPr>
        <w:outlineLvl w:val="3"/>
      </w:pPr>
      <w:r/>
      <w:bookmarkStart w:id="130" w:name="_Toc20823299"/>
      <w:r/>
      <w:bookmarkStart w:id="131" w:name="_Toc16938543"/>
      <w:r/>
      <w:bookmarkStart w:id="132" w:name="_Toc513029227"/>
      <w:r>
        <w:rPr>
          <w:rFonts w:hint="eastAsia" w:ascii="仿宋" w:hAnsi="仿宋" w:eastAsia="仿宋" w:cs="Arial"/>
          <w:sz w:val="28"/>
          <w:szCs w:val="28"/>
        </w:rPr>
        <w:t xml:space="preserve">2</w:t>
      </w:r>
      <w:r>
        <w:rPr>
          <w:rFonts w:ascii="仿宋" w:hAnsi="仿宋" w:eastAsia="仿宋" w:cs="Arial"/>
          <w:sz w:val="28"/>
          <w:szCs w:val="28"/>
        </w:rPr>
        <w:t xml:space="preserve">0</w:t>
      </w:r>
      <w:r>
        <w:rPr>
          <w:rFonts w:hint="eastAsia" w:ascii="仿宋" w:hAnsi="仿宋" w:eastAsia="仿宋" w:cs="Arial"/>
          <w:sz w:val="28"/>
          <w:szCs w:val="28"/>
        </w:rPr>
        <w:t xml:space="preserve">、投标文件</w:t>
      </w:r>
      <w:bookmarkEnd w:id="130"/>
      <w:r/>
      <w:bookmarkEnd w:id="131"/>
      <w:r/>
      <w:bookmarkEnd w:id="132"/>
      <w:r>
        <w:rPr>
          <w:rFonts w:hint="eastAsia" w:ascii="仿宋" w:hAnsi="仿宋" w:eastAsia="仿宋" w:cs="Arial"/>
          <w:sz w:val="28"/>
          <w:szCs w:val="28"/>
        </w:rPr>
        <w:t xml:space="preserve">的拒收</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20.1 采购中心拒绝接收在其规定的投标截止时间后上传的任何投标文件。</w:t>
      </w:r>
      <w:r/>
    </w:p>
    <w:p>
      <w:pPr>
        <w:keepLines/>
        <w:keepNext/>
        <w:spacing w:line="480" w:lineRule="exact"/>
        <w:rPr>
          <w:rFonts w:ascii="仿宋" w:hAnsi="仿宋" w:eastAsia="仿宋" w:cs="Arial"/>
          <w:sz w:val="28"/>
          <w:szCs w:val="28"/>
        </w:rPr>
        <w:outlineLvl w:val="3"/>
      </w:pPr>
      <w:r/>
      <w:bookmarkStart w:id="133" w:name="_Toc513029228"/>
      <w:r/>
      <w:bookmarkStart w:id="134" w:name="_Toc20823300"/>
      <w:r/>
      <w:bookmarkStart w:id="135" w:name="_Toc16938544"/>
      <w:r>
        <w:rPr>
          <w:rFonts w:hint="eastAsia" w:ascii="仿宋" w:hAnsi="仿宋" w:eastAsia="仿宋" w:cs="Arial"/>
          <w:sz w:val="28"/>
          <w:szCs w:val="28"/>
        </w:rPr>
        <w:t xml:space="preserve">2</w:t>
      </w:r>
      <w:r>
        <w:rPr>
          <w:rFonts w:ascii="仿宋" w:hAnsi="仿宋" w:eastAsia="仿宋" w:cs="Arial"/>
          <w:sz w:val="28"/>
          <w:szCs w:val="28"/>
        </w:rPr>
        <w:t xml:space="preserve">1</w:t>
      </w:r>
      <w:r>
        <w:rPr>
          <w:rFonts w:hint="eastAsia" w:ascii="仿宋" w:hAnsi="仿宋" w:eastAsia="仿宋" w:cs="Arial"/>
          <w:sz w:val="28"/>
          <w:szCs w:val="28"/>
        </w:rPr>
        <w:t xml:space="preserve">、投标文件的撤回和修改</w:t>
      </w:r>
      <w:bookmarkEnd w:id="133"/>
      <w:r/>
      <w:bookmarkEnd w:id="134"/>
      <w:r/>
      <w:bookmarkEnd w:id="135"/>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 投标文件的撤回</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.1.1 电子投标文件的撤回</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投标人撤回电子投标文件，则认为其不再参与本项目投标活动。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 投标文件的修改</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21.2.1投标人可在投标截止时间前，对其电子投标文件进行修改，具体操作方法见《操作手册》。</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2.2</w:t>
      </w:r>
      <w:r>
        <w:rPr>
          <w:rFonts w:hint="eastAsia" w:ascii="仿宋" w:hAnsi="仿宋" w:eastAsia="仿宋"/>
          <w:bCs/>
          <w:sz w:val="28"/>
          <w:szCs w:val="28"/>
        </w:rPr>
        <w:t xml:space="preserve"> 在投标截止时间之后，投标人不得对其电子投标文件作任何修改。</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bCs/>
          <w:sz w:val="28"/>
          <w:szCs w:val="28"/>
        </w:rPr>
        <w:t xml:space="preserve"> 在投标截止时间至招标文件中规定的投标有效期满之间的这段时间内，投标人不得撤回其投标。</w:t>
      </w:r>
      <w:r/>
    </w:p>
    <w:p>
      <w:pPr>
        <w:keepLines/>
        <w:keepNext/>
        <w:spacing w:before="120" w:after="120" w:line="480" w:lineRule="exact"/>
        <w:rPr>
          <w:rFonts w:ascii="仿宋" w:hAnsi="仿宋" w:eastAsia="仿宋"/>
          <w:b/>
          <w:bCs/>
          <w:sz w:val="28"/>
          <w:szCs w:val="28"/>
        </w:rPr>
        <w:outlineLvl w:val="2"/>
      </w:pPr>
      <w:r/>
      <w:bookmarkStart w:id="136" w:name="_Toc120614218"/>
      <w:r/>
      <w:bookmarkStart w:id="137" w:name="_Toc16938545"/>
      <w:r/>
      <w:bookmarkStart w:id="138" w:name="_Toc513029229"/>
      <w:r/>
      <w:bookmarkStart w:id="139" w:name="_Toc20823301"/>
      <w:r>
        <w:rPr>
          <w:rFonts w:hint="eastAsia" w:ascii="仿宋" w:hAnsi="仿宋" w:eastAsia="仿宋"/>
          <w:b/>
          <w:bCs/>
          <w:sz w:val="28"/>
          <w:szCs w:val="28"/>
        </w:rPr>
        <w:t xml:space="preserve">五、开标与评标</w:t>
      </w:r>
      <w:bookmarkEnd w:id="136"/>
      <w:r/>
      <w:bookmarkEnd w:id="137"/>
      <w:r/>
      <w:bookmarkEnd w:id="138"/>
      <w:r/>
      <w:bookmarkEnd w:id="139"/>
      <w:r/>
      <w:r/>
    </w:p>
    <w:p>
      <w:pPr>
        <w:keepLines/>
        <w:keepNext/>
        <w:spacing w:line="480" w:lineRule="exact"/>
        <w:rPr>
          <w:rFonts w:ascii="仿宋" w:hAnsi="仿宋" w:eastAsia="仿宋" w:cs="Arial"/>
          <w:sz w:val="28"/>
          <w:szCs w:val="28"/>
        </w:rPr>
        <w:outlineLvl w:val="3"/>
      </w:pPr>
      <w:r/>
      <w:bookmarkStart w:id="140" w:name="_Toc513029230"/>
      <w:r/>
      <w:bookmarkStart w:id="141" w:name="_Toc20823302"/>
      <w:r/>
      <w:bookmarkStart w:id="142" w:name="_Toc16938546"/>
      <w:r>
        <w:rPr>
          <w:rFonts w:hint="eastAsia" w:ascii="仿宋" w:hAnsi="仿宋" w:eastAsia="仿宋" w:cs="Arial"/>
          <w:sz w:val="28"/>
          <w:szCs w:val="28"/>
        </w:rPr>
        <w:t xml:space="preserve">22、开标</w:t>
      </w:r>
      <w:bookmarkEnd w:id="140"/>
      <w:r/>
      <w:bookmarkEnd w:id="141"/>
      <w:r/>
      <w:bookmarkEnd w:id="142"/>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ascii="仿宋" w:hAnsi="仿宋" w:eastAsia="仿宋" w:cs="Arial"/>
          <w:sz w:val="28"/>
          <w:szCs w:val="28"/>
        </w:rPr>
        <w:outlineLvl w:val="3"/>
      </w:pPr>
      <w:r/>
      <w:bookmarkStart w:id="143" w:name="_Toc16938547"/>
      <w:r/>
      <w:bookmarkStart w:id="144" w:name="_Toc20823303"/>
      <w:r/>
      <w:bookmarkStart w:id="145" w:name="_Toc513029231"/>
      <w:r>
        <w:rPr>
          <w:rFonts w:hint="eastAsia" w:ascii="仿宋" w:hAnsi="仿宋" w:eastAsia="仿宋" w:cs="Arial"/>
          <w:sz w:val="28"/>
          <w:szCs w:val="28"/>
        </w:rPr>
        <w:t xml:space="preserve">2</w:t>
      </w:r>
      <w:r>
        <w:rPr>
          <w:rFonts w:ascii="仿宋" w:hAnsi="仿宋" w:eastAsia="仿宋" w:cs="Arial"/>
          <w:sz w:val="28"/>
          <w:szCs w:val="28"/>
        </w:rPr>
        <w:t xml:space="preserve">3</w:t>
      </w:r>
      <w:r>
        <w:rPr>
          <w:rFonts w:hint="eastAsia" w:ascii="仿宋" w:hAnsi="仿宋" w:eastAsia="仿宋" w:cs="Arial"/>
          <w:sz w:val="28"/>
          <w:szCs w:val="28"/>
        </w:rPr>
        <w:t xml:space="preserve">、评标委员会</w:t>
      </w:r>
      <w:r/>
    </w:p>
    <w:p>
      <w:pPr>
        <w:spacing w:line="480" w:lineRule="exact"/>
        <w:rPr>
          <w:rFonts w:ascii="仿宋" w:hAnsi="仿宋" w:eastAsia="仿宋"/>
          <w:b/>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.1开标后，采购中心将立即组织评标委员会（以下简称评委会）进行评标。</w:t>
      </w:r>
      <w:r/>
    </w:p>
    <w:p>
      <w:pPr>
        <w:spacing w:line="480" w:lineRule="exact"/>
        <w:rPr>
          <w:rFonts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.2 评委会由采购人代表和有关技术、经济等方面的专家组成，且人员构成符合政府采购有关规定。</w:t>
      </w:r>
      <w:r/>
    </w:p>
    <w:p>
      <w:pPr>
        <w:spacing w:line="480" w:lineRule="exact"/>
        <w:rPr>
          <w:rFonts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.3评委会独立工作，负责评审所有投标文件并确定中标侯选人。</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4</w:t>
      </w:r>
      <w:r>
        <w:rPr>
          <w:rFonts w:hint="eastAsia" w:ascii="仿宋" w:hAnsi="仿宋" w:eastAsia="仿宋" w:cs="Arial"/>
          <w:sz w:val="28"/>
          <w:szCs w:val="28"/>
        </w:rPr>
        <w:t xml:space="preserve">．评标过程的保密与公正</w:t>
      </w:r>
      <w:bookmarkEnd w:id="143"/>
      <w:r/>
      <w:bookmarkEnd w:id="144"/>
      <w:r/>
      <w:bookmarkEnd w:id="145"/>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.1</w:t>
      </w:r>
      <w:r>
        <w:rPr>
          <w:rFonts w:hint="eastAsia" w:ascii="仿宋" w:hAnsi="仿宋" w:eastAsia="仿宋"/>
          <w:bCs/>
          <w:sz w:val="28"/>
          <w:szCs w:val="28"/>
        </w:rPr>
        <w:t xml:space="preserve">凡是与审查、澄清、评价和比较投标的有关资料以及授标建议等，采购人、评委、采购中心均不得向投标人或与评标无关的其他人员透露。</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.2在评标过程中，投标人不得以任何行为影响评标过程，否则其投标文件将被作为无效投标文件。</w:t>
      </w:r>
      <w:r/>
    </w:p>
    <w:p>
      <w:pPr>
        <w:ind w:firstLine="560"/>
        <w:spacing w:line="480" w:lineRule="exact"/>
        <w:rPr>
          <w:rFonts w:ascii="仿宋" w:hAnsi="仿宋" w:eastAsia="仿宋"/>
          <w:b/>
          <w:sz w:val="28"/>
          <w:szCs w:val="28"/>
        </w:rPr>
      </w:pPr>
      <w:r>
        <w:rPr>
          <w:rFonts w:ascii="仿宋" w:hAnsi="仿宋" w:eastAsia="仿宋"/>
          <w:sz w:val="28"/>
          <w:szCs w:val="28"/>
        </w:rPr>
        <w:t xml:space="preserve">24</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ascii="仿宋" w:hAnsi="仿宋" w:eastAsia="仿宋" w:cs="Arial"/>
          <w:sz w:val="28"/>
          <w:szCs w:val="28"/>
        </w:rPr>
        <w:outlineLvl w:val="3"/>
      </w:pPr>
      <w:r/>
      <w:bookmarkStart w:id="146" w:name="_Toc20823304"/>
      <w:r/>
      <w:bookmarkStart w:id="147" w:name="_Toc16938548"/>
      <w:r/>
      <w:bookmarkStart w:id="148" w:name="_Toc513029232"/>
      <w:r>
        <w:rPr>
          <w:rFonts w:hint="eastAsia" w:ascii="仿宋" w:hAnsi="仿宋" w:eastAsia="仿宋" w:cs="Arial"/>
          <w:sz w:val="28"/>
          <w:szCs w:val="28"/>
        </w:rPr>
        <w:t xml:space="preserve">2</w:t>
      </w:r>
      <w:r>
        <w:rPr>
          <w:rFonts w:ascii="仿宋" w:hAnsi="仿宋" w:eastAsia="仿宋" w:cs="Arial"/>
          <w:sz w:val="28"/>
          <w:szCs w:val="28"/>
        </w:rPr>
        <w:t xml:space="preserve">5</w:t>
      </w:r>
      <w:r>
        <w:rPr>
          <w:rFonts w:hint="eastAsia" w:ascii="仿宋" w:hAnsi="仿宋" w:eastAsia="仿宋" w:cs="Arial"/>
          <w:sz w:val="28"/>
          <w:szCs w:val="28"/>
        </w:rPr>
        <w:t xml:space="preserve">．投标文件的澄清</w:t>
      </w:r>
      <w:bookmarkEnd w:id="146"/>
      <w:r/>
      <w:bookmarkEnd w:id="147"/>
      <w:r/>
      <w:bookmarkEnd w:id="148"/>
      <w:r/>
      <w:r/>
    </w:p>
    <w:p>
      <w:pPr>
        <w:ind w:firstLine="560"/>
        <w:spacing w:line="480" w:lineRule="exact"/>
        <w:rPr>
          <w:rFonts w:ascii="仿宋" w:hAnsi="仿宋" w:eastAsia="仿宋"/>
          <w:sz w:val="28"/>
          <w:szCs w:val="28"/>
        </w:rPr>
      </w:pPr>
      <w:r/>
      <w:bookmarkStart w:id="149" w:name="_Toc20823305"/>
      <w:r/>
      <w:bookmarkStart w:id="150" w:name="_Toc513029233"/>
      <w:r/>
      <w:bookmarkStart w:id="151" w:name="_Toc16938549"/>
      <w:r>
        <w:rPr>
          <w:rFonts w:ascii="仿宋" w:hAnsi="仿宋" w:eastAsia="仿宋"/>
          <w:sz w:val="28"/>
          <w:szCs w:val="28"/>
        </w:rPr>
        <w:t xml:space="preserve">25</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评标</w:t>
      </w:r>
      <w:r>
        <w:rPr>
          <w:rFonts w:ascii="仿宋" w:hAnsi="仿宋" w:eastAsia="仿宋"/>
          <w:sz w:val="28"/>
          <w:szCs w:val="28"/>
        </w:rPr>
        <w:t xml:space="preserve">委员会并非对每个投标人都做澄清要求</w:t>
      </w:r>
      <w:r>
        <w:rPr>
          <w:rFonts w:hint="eastAsia" w:ascii="仿宋" w:hAnsi="仿宋" w:eastAsia="仿宋"/>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.3 接到评委会澄清、说明和补正要求的投标人如未按规定做出澄清、说明和补正，其风险由投标人自行承担。</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6</w:t>
      </w:r>
      <w:r>
        <w:rPr>
          <w:rFonts w:hint="eastAsia" w:ascii="仿宋" w:hAnsi="仿宋" w:eastAsia="仿宋" w:cs="Arial"/>
          <w:sz w:val="28"/>
          <w:szCs w:val="28"/>
        </w:rPr>
        <w:t xml:space="preserve">、对投标文件的初审</w:t>
      </w:r>
      <w:bookmarkEnd w:id="149"/>
      <w:r/>
      <w:bookmarkEnd w:id="150"/>
      <w:r/>
      <w:bookmarkEnd w:id="151"/>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.1</w:t>
      </w:r>
      <w:r>
        <w:rPr>
          <w:rFonts w:hint="eastAsia" w:ascii="仿宋" w:hAnsi="仿宋" w:eastAsia="仿宋"/>
          <w:bCs/>
          <w:sz w:val="28"/>
          <w:szCs w:val="28"/>
        </w:rPr>
        <w:t xml:space="preserve">投标文件初审分为资格审查和符合性审查。</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.1.1 资格审查：依据法律法规和招标文件的规定，由采购人对投标文件中的资格证明文件进行审查。资格审查的结论，采购人以书面形式向评委会进行反馈。</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sz w:val="28"/>
          <w:szCs w:val="28"/>
        </w:rPr>
        <w:t xml:space="preserve">评委决定投标文件的响应性只根据投标文件本身的内容，而不寻求外部的证据。</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.3</w:t>
      </w:r>
      <w:r>
        <w:rPr>
          <w:rFonts w:hint="eastAsia" w:ascii="仿宋" w:hAnsi="仿宋" w:eastAsia="仿宋"/>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.4</w:t>
      </w:r>
      <w:r>
        <w:rPr>
          <w:rFonts w:hint="eastAsia" w:ascii="仿宋" w:hAnsi="仿宋" w:eastAsia="仿宋"/>
          <w:bCs/>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（1）投标文件中开标一览表内容与投标文件中相应内容不一致的，以开标一览表为准。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sz w:val="28"/>
          <w:szCs w:val="28"/>
        </w:rPr>
      </w:pPr>
      <w:r/>
      <w:bookmarkStart w:id="152" w:name="_Toc16938550"/>
      <w:r/>
      <w:bookmarkStart w:id="153" w:name="_Toc20823306"/>
      <w:r/>
      <w:bookmarkStart w:id="154" w:name="_Toc513029234"/>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48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420"/>
        <w:spacing w:line="48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ind w:firstLine="420"/>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7</w:t>
      </w:r>
      <w:r>
        <w:rPr>
          <w:rFonts w:hint="eastAsia" w:ascii="仿宋" w:hAnsi="仿宋" w:eastAsia="仿宋" w:cs="Arial"/>
          <w:sz w:val="28"/>
          <w:szCs w:val="28"/>
        </w:rPr>
        <w:t xml:space="preserve">、</w:t>
      </w:r>
      <w:bookmarkEnd w:id="152"/>
      <w:r/>
      <w:bookmarkEnd w:id="153"/>
      <w:r/>
      <w:bookmarkEnd w:id="154"/>
      <w:r>
        <w:rPr>
          <w:rFonts w:hint="eastAsia" w:ascii="仿宋" w:hAnsi="仿宋" w:eastAsia="仿宋" w:cs="Arial"/>
          <w:sz w:val="28"/>
          <w:szCs w:val="28"/>
        </w:rPr>
        <w:t xml:space="preserve">无效投标条款和废标条款</w:t>
      </w:r>
      <w:r/>
    </w:p>
    <w:p>
      <w:pPr>
        <w:ind w:left="479"/>
        <w:spacing w:line="480" w:lineRule="exact"/>
        <w:rPr>
          <w:rFonts w:ascii="仿宋" w:hAnsi="仿宋" w:eastAsia="仿宋"/>
          <w:bCs/>
          <w:sz w:val="28"/>
          <w:szCs w:val="28"/>
        </w:rPr>
      </w:pPr>
      <w:r/>
      <w:bookmarkStart w:id="155" w:name="_Toc20823307"/>
      <w:r/>
      <w:bookmarkStart w:id="156" w:name="_Toc16938551"/>
      <w:r/>
      <w:bookmarkStart w:id="157" w:name="_Toc513029235"/>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.1无效投标条款</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 投标人在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规定的时间内未成功解密电子投标文件的。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 投标人未按照招标文件要求上传电子投标文件的。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3</w:t>
      </w:r>
      <w:r>
        <w:rPr>
          <w:rFonts w:hint="eastAsia" w:ascii="仿宋" w:hAnsi="仿宋" w:eastAsia="仿宋"/>
          <w:bCs/>
          <w:sz w:val="28"/>
          <w:szCs w:val="28"/>
        </w:rPr>
        <w:t xml:space="preserve">投标人同一</w:t>
      </w:r>
      <w:r>
        <w:rPr>
          <w:rFonts w:ascii="仿宋" w:hAnsi="仿宋" w:eastAsia="仿宋"/>
          <w:bCs/>
          <w:sz w:val="28"/>
          <w:szCs w:val="28"/>
        </w:rPr>
        <w:t xml:space="preserve">分包</w:t>
      </w:r>
      <w:r>
        <w:rPr>
          <w:rFonts w:hint="eastAsia" w:ascii="仿宋" w:hAnsi="仿宋" w:eastAsia="仿宋"/>
          <w:bCs/>
          <w:sz w:val="28"/>
          <w:szCs w:val="28"/>
        </w:rPr>
        <w:t xml:space="preserve">提交两个</w:t>
      </w:r>
      <w:r>
        <w:rPr>
          <w:rFonts w:ascii="仿宋" w:hAnsi="仿宋" w:eastAsia="仿宋"/>
          <w:bCs/>
          <w:sz w:val="28"/>
          <w:szCs w:val="28"/>
        </w:rPr>
        <w:t xml:space="preserve">（</w:t>
      </w:r>
      <w:r>
        <w:rPr>
          <w:rFonts w:hint="eastAsia" w:ascii="仿宋" w:hAnsi="仿宋" w:eastAsia="仿宋"/>
          <w:bCs/>
          <w:sz w:val="28"/>
          <w:szCs w:val="28"/>
        </w:rPr>
        <w:t xml:space="preserve">含</w:t>
      </w:r>
      <w:r>
        <w:rPr>
          <w:rFonts w:ascii="仿宋" w:hAnsi="仿宋" w:eastAsia="仿宋"/>
          <w:bCs/>
          <w:sz w:val="28"/>
          <w:szCs w:val="28"/>
        </w:rPr>
        <w:t xml:space="preserve">两个）</w:t>
      </w:r>
      <w:r>
        <w:rPr>
          <w:rFonts w:hint="eastAsia" w:ascii="仿宋" w:hAnsi="仿宋" w:eastAsia="仿宋"/>
          <w:bCs/>
          <w:sz w:val="28"/>
          <w:szCs w:val="28"/>
        </w:rPr>
        <w:t xml:space="preserve">以上不同的</w:t>
      </w:r>
      <w:r>
        <w:rPr>
          <w:rFonts w:ascii="仿宋" w:hAnsi="仿宋" w:eastAsia="仿宋"/>
          <w:bCs/>
          <w:sz w:val="28"/>
          <w:szCs w:val="28"/>
        </w:rPr>
        <w:t xml:space="preserve">投标报价的。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4</w:t>
      </w:r>
      <w:r>
        <w:rPr>
          <w:rFonts w:hint="eastAsia" w:ascii="仿宋" w:hAnsi="仿宋" w:eastAsia="仿宋"/>
          <w:bCs/>
          <w:sz w:val="28"/>
          <w:szCs w:val="28"/>
        </w:rPr>
        <w:t xml:space="preserve">投标人不具备招标文件中规定资格要求的。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5</w:t>
      </w:r>
      <w:r>
        <w:rPr>
          <w:rFonts w:hint="eastAsia" w:ascii="仿宋" w:hAnsi="仿宋" w:eastAsia="仿宋"/>
          <w:bCs/>
          <w:sz w:val="28"/>
          <w:szCs w:val="28"/>
        </w:rPr>
        <w:t xml:space="preserve">投标人的报价超过了采购预算或最高限价的。</w:t>
      </w:r>
      <w:r/>
    </w:p>
    <w:p>
      <w:pPr>
        <w:ind w:firstLine="420"/>
        <w:spacing w:line="480" w:lineRule="exact"/>
        <w:rPr>
          <w:rFonts w:ascii="仿宋" w:hAnsi="仿宋" w:eastAsia="仿宋"/>
          <w:bCs/>
          <w:i/>
          <w:sz w:val="28"/>
          <w:szCs w:val="28"/>
          <w:u w:val="single"/>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6</w:t>
      </w:r>
      <w:r>
        <w:rPr>
          <w:rFonts w:hint="eastAsia" w:ascii="仿宋" w:hAnsi="仿宋" w:eastAsia="仿宋"/>
          <w:bCs/>
          <w:sz w:val="28"/>
          <w:szCs w:val="28"/>
        </w:rPr>
        <w:t xml:space="preserve">未通过符合性审查的。</w:t>
      </w:r>
      <w:r/>
    </w:p>
    <w:p>
      <w:pPr>
        <w:ind w:firstLine="420"/>
        <w:spacing w:line="480" w:lineRule="exact"/>
        <w:rPr>
          <w:rFonts w:ascii="仿宋" w:hAnsi="仿宋" w:eastAsia="仿宋"/>
          <w:b/>
          <w:bCs/>
          <w:sz w:val="28"/>
          <w:szCs w:val="28"/>
          <w:highlight w:val="red"/>
          <w:u w:val="single"/>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7</w:t>
      </w:r>
      <w:r>
        <w:rPr>
          <w:rFonts w:hint="eastAsia" w:ascii="仿宋" w:hAnsi="仿宋" w:eastAsia="仿宋"/>
          <w:bCs/>
          <w:sz w:val="28"/>
          <w:szCs w:val="28"/>
        </w:rPr>
        <w:t xml:space="preserve">不符合招标文件中规定的实质性要求的</w:t>
      </w:r>
      <w:r>
        <w:rPr>
          <w:rFonts w:hint="eastAsia" w:ascii="仿宋" w:hAnsi="仿宋" w:eastAsia="仿宋"/>
          <w:b/>
          <w:bCs/>
          <w:sz w:val="28"/>
          <w:szCs w:val="28"/>
        </w:rPr>
        <w:t xml:space="preserve">（详见本招标文件第四章采购需求中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8</w:t>
      </w:r>
      <w:r>
        <w:rPr>
          <w:rFonts w:hint="eastAsia" w:ascii="仿宋" w:hAnsi="仿宋" w:eastAsia="仿宋"/>
          <w:bCs/>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9</w:t>
      </w:r>
      <w:r>
        <w:rPr>
          <w:rFonts w:hint="eastAsia" w:ascii="仿宋" w:hAnsi="仿宋" w:eastAsia="仿宋"/>
          <w:bCs/>
          <w:sz w:val="28"/>
          <w:szCs w:val="28"/>
        </w:rPr>
        <w:t xml:space="preserve">投标文件含有采购人不能接受的附加条件的。</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10</w:t>
      </w:r>
      <w:r>
        <w:rPr>
          <w:rFonts w:hint="eastAsia" w:ascii="仿宋" w:hAnsi="仿宋" w:eastAsia="仿宋"/>
          <w:bCs/>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1</w:t>
      </w:r>
      <w:r>
        <w:rPr>
          <w:rFonts w:hint="eastAsia" w:ascii="仿宋" w:hAnsi="仿宋" w:eastAsia="仿宋"/>
          <w:bCs/>
          <w:sz w:val="28"/>
          <w:szCs w:val="28"/>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2</w:t>
      </w:r>
      <w:r>
        <w:rPr>
          <w:rFonts w:hint="eastAsia" w:ascii="仿宋" w:hAnsi="仿宋" w:eastAsia="仿宋"/>
          <w:bCs/>
          <w:sz w:val="28"/>
          <w:szCs w:val="28"/>
        </w:rPr>
        <w:t xml:space="preserve"> 投标文件未按照招标文件要求加盖CA电子公章的。</w:t>
      </w:r>
      <w:r/>
    </w:p>
    <w:p>
      <w:pPr>
        <w:ind w:firstLine="560"/>
        <w:spacing w:line="480" w:lineRule="exact"/>
        <w:rPr>
          <w:rFonts w:ascii="仿宋" w:hAnsi="仿宋" w:eastAsia="仿宋"/>
          <w:bCs/>
          <w:sz w:val="28"/>
          <w:szCs w:val="28"/>
          <w:highlight w:val="yellow"/>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3</w:t>
      </w:r>
      <w:r>
        <w:rPr>
          <w:rFonts w:hint="eastAsia" w:ascii="仿宋" w:hAnsi="仿宋" w:eastAsia="仿宋"/>
          <w:bCs/>
          <w:sz w:val="28"/>
          <w:szCs w:val="28"/>
        </w:rPr>
        <w:t xml:space="preserve">其他法律、法规及本招标文件规定的属无效投标的情形。</w:t>
      </w:r>
      <w:r/>
    </w:p>
    <w:p>
      <w:pPr>
        <w:ind w:firstLine="560"/>
        <w:spacing w:line="480" w:lineRule="exact"/>
        <w:rPr>
          <w:rFonts w:ascii="仿宋" w:hAnsi="仿宋" w:eastAsia="仿宋"/>
          <w:bCs/>
          <w:sz w:val="28"/>
          <w:szCs w:val="28"/>
          <w:highlight w:val="green"/>
        </w:rPr>
      </w:pPr>
      <w:r>
        <w:rPr>
          <w:rFonts w:hint="eastAsia" w:ascii="仿宋" w:hAnsi="仿宋" w:eastAsia="仿宋"/>
          <w:bCs/>
          <w:sz w:val="28"/>
          <w:szCs w:val="28"/>
        </w:rPr>
        <w:t xml:space="preserve">27.1.14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.2废标条款</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.2.1符合专业条件的供应商或者对招标文件作实质响应的供应商不足三家的。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.2.2出现影响采购公正的违法、违规行为的。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.2.3因重大变故，采购任务取消的。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.2.4评标委员会认定招标文件存在歧义、重大缺陷导致评审工作无法进行。</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.2.5 因</w:t>
      </w:r>
      <w:r>
        <w:rPr>
          <w:rFonts w:hint="eastAsia" w:ascii="仿宋" w:hAnsi="仿宋" w:eastAsia="仿宋"/>
          <w:sz w:val="28"/>
          <w:szCs w:val="28"/>
        </w:rPr>
        <w:t xml:space="preserve">苏采云系统</w:t>
      </w:r>
      <w:r>
        <w:rPr>
          <w:rFonts w:ascii="仿宋" w:hAnsi="仿宋" w:eastAsia="仿宋"/>
          <w:bCs/>
          <w:sz w:val="28"/>
          <w:szCs w:val="28"/>
        </w:rPr>
        <w:t xml:space="preserve">系统故障原因造成开标不成功</w:t>
      </w:r>
      <w:r>
        <w:rPr>
          <w:rFonts w:hint="eastAsia" w:ascii="仿宋" w:hAnsi="仿宋" w:eastAsia="仿宋"/>
          <w:bCs/>
          <w:sz w:val="28"/>
          <w:szCs w:val="28"/>
        </w:rPr>
        <w:t xml:space="preserve">的</w:t>
      </w:r>
      <w:r>
        <w:rPr>
          <w:rFonts w:ascii="仿宋" w:hAnsi="仿宋" w:eastAsia="仿宋"/>
          <w:bCs/>
          <w:sz w:val="28"/>
          <w:szCs w:val="28"/>
        </w:rPr>
        <w:t xml:space="preserve">。</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.3 投标截止时间结束后参加投标的供应商不足三家的处理：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.3.1如出现投标截止时间结束后参加投标的供应商或者在评标期间对招标文件做出实质响应的供应商不足三家情况，按政府采购相关规定执行。</w:t>
      </w:r>
      <w:r/>
    </w:p>
    <w:p>
      <w:pPr>
        <w:keepLines/>
        <w:keepNext/>
        <w:spacing w:before="120" w:after="120" w:line="480" w:lineRule="exact"/>
        <w:rPr>
          <w:rFonts w:ascii="仿宋" w:hAnsi="仿宋" w:eastAsia="仿宋"/>
          <w:b/>
          <w:bCs/>
          <w:sz w:val="28"/>
          <w:szCs w:val="28"/>
        </w:rPr>
        <w:outlineLvl w:val="2"/>
      </w:pPr>
      <w:r/>
      <w:bookmarkStart w:id="158" w:name="_Toc120614219"/>
      <w:r>
        <w:rPr>
          <w:rFonts w:hint="eastAsia" w:ascii="仿宋" w:hAnsi="仿宋" w:eastAsia="仿宋"/>
          <w:b/>
          <w:bCs/>
          <w:sz w:val="28"/>
          <w:szCs w:val="28"/>
        </w:rPr>
        <w:t xml:space="preserve">六、</w:t>
      </w:r>
      <w:bookmarkEnd w:id="155"/>
      <w:r/>
      <w:bookmarkEnd w:id="156"/>
      <w:r/>
      <w:bookmarkEnd w:id="157"/>
      <w:r>
        <w:rPr>
          <w:rFonts w:hint="eastAsia" w:ascii="仿宋" w:hAnsi="仿宋" w:eastAsia="仿宋"/>
          <w:b/>
          <w:bCs/>
          <w:sz w:val="28"/>
          <w:szCs w:val="28"/>
        </w:rPr>
        <w:t xml:space="preserve">定标</w:t>
      </w:r>
      <w:bookmarkEnd w:id="158"/>
      <w:r/>
      <w:r/>
    </w:p>
    <w:p>
      <w:pPr>
        <w:keepLines/>
        <w:keepNext/>
        <w:spacing w:line="480" w:lineRule="exact"/>
        <w:rPr>
          <w:rFonts w:ascii="仿宋" w:hAnsi="仿宋" w:eastAsia="仿宋"/>
          <w:bCs/>
          <w:sz w:val="28"/>
          <w:szCs w:val="28"/>
        </w:rPr>
        <w:outlineLvl w:val="3"/>
      </w:pPr>
      <w:r/>
      <w:bookmarkStart w:id="159" w:name="_Toc513029238"/>
      <w:r/>
      <w:bookmarkStart w:id="160" w:name="_Toc20823310"/>
      <w:r/>
      <w:bookmarkStart w:id="161" w:name="_Toc16938554"/>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w:t>
      </w:r>
      <w:bookmarkEnd w:id="159"/>
      <w:r>
        <w:rPr>
          <w:rFonts w:hint="eastAsia" w:ascii="仿宋" w:hAnsi="仿宋" w:eastAsia="仿宋"/>
          <w:bCs/>
          <w:sz w:val="28"/>
          <w:szCs w:val="28"/>
        </w:rPr>
        <w:t xml:space="preserve">确定</w:t>
      </w:r>
      <w:bookmarkEnd w:id="160"/>
      <w:r/>
      <w:bookmarkEnd w:id="161"/>
      <w:r>
        <w:rPr>
          <w:rFonts w:hint="eastAsia" w:ascii="仿宋" w:hAnsi="仿宋" w:eastAsia="仿宋"/>
          <w:bCs/>
          <w:sz w:val="28"/>
          <w:szCs w:val="28"/>
        </w:rPr>
        <w:t xml:space="preserve">中标单位</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.1中标候选人的选取原则和数量见招标文件第五章规定。 </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.2 采购人应根据评委会推荐的中标候选人确定中标人。</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.3 </w:t>
      </w:r>
      <w:r>
        <w:rPr>
          <w:rFonts w:hint="eastAsia" w:ascii="仿宋" w:hAnsi="仿宋" w:eastAsia="仿宋"/>
          <w:sz w:val="28"/>
          <w:szCs w:val="28"/>
        </w:rPr>
        <w:t xml:space="preserve">采购中心将在“江苏政府采购网”发布中标公告，公告期限为1个工作日。</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 若有充分证据证明，中标人出现下列情况之一的，一经查实，将被取消中标资格：</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.4.1提供虚假材料谋取中标的。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.4.2向采购人、采购中心行贿或者提供其他不正当利益的。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.4.3属于本文件规定的无效条件，但在评标过程中又未被评委会发现的。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.4.4与采购人或者其他供应商恶意串通的。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.4.5采取不正当手段诋毁、排挤其他供应商的。</w:t>
      </w:r>
      <w:r/>
    </w:p>
    <w:p>
      <w:pPr>
        <w:ind w:firstLine="560"/>
        <w:spacing w:line="480" w:lineRule="exact"/>
        <w:rPr>
          <w:rFonts w:ascii="仿宋" w:hAnsi="仿宋" w:eastAsia="仿宋"/>
          <w:sz w:val="28"/>
          <w:szCs w:val="28"/>
        </w:rPr>
      </w:pPr>
      <w:r/>
      <w:bookmarkStart w:id="162" w:name="_Toc200451960"/>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w:t>
      </w:r>
      <w:r>
        <w:rPr>
          <w:rFonts w:ascii="仿宋" w:hAnsi="仿宋" w:eastAsia="仿宋" w:cs="宋体"/>
          <w:sz w:val="28"/>
          <w:szCs w:val="28"/>
        </w:rPr>
        <w:t xml:space="preserve">有下列情形之一的，</w:t>
      </w:r>
      <w:r>
        <w:rPr>
          <w:rFonts w:hint="eastAsia" w:ascii="仿宋" w:hAnsi="仿宋" w:eastAsia="仿宋" w:cs="宋体"/>
          <w:sz w:val="28"/>
          <w:szCs w:val="28"/>
        </w:rPr>
        <w:t xml:space="preserve">视为投标人</w:t>
      </w:r>
      <w:r>
        <w:rPr>
          <w:rFonts w:ascii="仿宋" w:hAnsi="仿宋" w:eastAsia="仿宋" w:cs="宋体"/>
          <w:sz w:val="28"/>
          <w:szCs w:val="28"/>
        </w:rPr>
        <w:t xml:space="preserve">串通</w:t>
      </w:r>
      <w:r>
        <w:rPr>
          <w:rFonts w:hint="eastAsia" w:ascii="仿宋" w:hAnsi="仿宋" w:eastAsia="仿宋" w:cs="宋体"/>
          <w:sz w:val="28"/>
          <w:szCs w:val="28"/>
        </w:rPr>
        <w:t xml:space="preserve">投标，投标无效：</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.5.1不同投标人的投标文件由同一单位或者个人编制；</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.5.2不同投标人委托同一单位或者个人办理投标事宜；</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.5.3 不同投标人的投标文件载明的项目管理成员或者联系人员为同一人；</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.5.4不同投标人的投标文件异常一致或者投标报价呈规律性差异；</w:t>
      </w:r>
      <w:r/>
    </w:p>
    <w:p>
      <w:pPr>
        <w:keepLines/>
        <w:keepNext/>
        <w:spacing w:line="480" w:lineRule="exact"/>
        <w:rPr>
          <w:rFonts w:ascii="仿宋" w:hAnsi="仿宋" w:eastAsia="仿宋"/>
          <w:bCs/>
          <w:sz w:val="28"/>
          <w:szCs w:val="28"/>
        </w:rPr>
        <w:outlineLvl w:val="3"/>
      </w:pPr>
      <w:r>
        <w:rPr>
          <w:rFonts w:ascii="仿宋" w:hAnsi="仿宋" w:eastAsia="仿宋"/>
          <w:bCs/>
          <w:sz w:val="28"/>
          <w:szCs w:val="28"/>
        </w:rPr>
        <w:t xml:space="preserve">29</w:t>
      </w:r>
      <w:r>
        <w:rPr>
          <w:rFonts w:hint="eastAsia" w:ascii="仿宋" w:hAnsi="仿宋" w:eastAsia="仿宋"/>
          <w:bCs/>
          <w:sz w:val="28"/>
          <w:szCs w:val="28"/>
        </w:rPr>
        <w:t xml:space="preserve">、质疑处理</w:t>
      </w:r>
      <w:bookmarkEnd w:id="162"/>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spacing w:line="480" w:lineRule="exact"/>
        <w:rPr>
          <w:rFonts w:ascii="仿宋" w:hAnsi="仿宋" w:eastAsia="仿宋" w:cs="宋体"/>
          <w:sz w:val="28"/>
          <w:szCs w:val="28"/>
        </w:rPr>
      </w:pPr>
      <w:r>
        <w:rPr>
          <w:rFonts w:ascii="仿宋" w:hAnsi="仿宋" w:eastAsia="仿宋"/>
          <w:sz w:val="28"/>
          <w:szCs w:val="28"/>
        </w:rPr>
        <w:t xml:space="preserve">29</w:t>
      </w:r>
      <w:r>
        <w:rPr>
          <w:rFonts w:hint="eastAsia" w:ascii="仿宋" w:hAnsi="仿宋" w:eastAsia="仿宋"/>
          <w:sz w:val="28"/>
          <w:szCs w:val="28"/>
        </w:rPr>
        <w:t xml:space="preserve">.2.1</w:t>
      </w:r>
      <w:r>
        <w:rPr>
          <w:rFonts w:ascii="仿宋" w:hAnsi="仿宋" w:eastAsia="仿宋" w:cs="宋体"/>
          <w:sz w:val="28"/>
          <w:szCs w:val="28"/>
        </w:rPr>
        <w:t xml:space="preserve">对可以质疑的采购文件提出质疑的，为收到采购文件之日或者采购文件公告期限届满之日；</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.2.2</w:t>
      </w:r>
      <w:r>
        <w:rPr>
          <w:rFonts w:ascii="仿宋" w:hAnsi="仿宋" w:eastAsia="仿宋" w:cs="宋体"/>
          <w:sz w:val="28"/>
          <w:szCs w:val="28"/>
        </w:rPr>
        <w:t xml:space="preserve">对采购过程提出质疑的，为各采购程序环节结束之日；</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.2.3</w:t>
      </w:r>
      <w:r>
        <w:rPr>
          <w:rFonts w:ascii="仿宋" w:hAnsi="仿宋" w:eastAsia="仿宋" w:cs="宋体"/>
          <w:sz w:val="28"/>
          <w:szCs w:val="28"/>
        </w:rPr>
        <w:t xml:space="preserve">对中标或者成交结果提出质疑的，为中标或者成交结果公告期限届满之日。</w:t>
      </w:r>
      <w:r/>
    </w:p>
    <w:p>
      <w:pPr>
        <w:ind w:firstLine="560"/>
        <w:spacing w:line="480" w:lineRule="exact"/>
        <w:rPr>
          <w:rFonts w:ascii="仿宋" w:hAnsi="仿宋" w:eastAsia="仿宋" w:cs="宋体"/>
          <w:sz w:val="28"/>
          <w:szCs w:val="28"/>
        </w:rPr>
      </w:pPr>
      <w:r>
        <w:rPr>
          <w:rFonts w:hint="eastAsia" w:ascii="仿宋" w:hAnsi="仿宋" w:eastAsia="仿宋" w:cs="宋体"/>
          <w:sz w:val="28"/>
          <w:szCs w:val="28"/>
        </w:rPr>
        <w:t xml:space="preserve">供应商应当在法定质疑期内一次性提出针对同一采购程序环节的质疑。供应商如在法定期限内对同一采购程序环节提出多次质疑的，</w:t>
      </w:r>
      <w:r>
        <w:rPr>
          <w:rFonts w:ascii="仿宋" w:hAnsi="仿宋" w:eastAsia="仿宋" w:cs="宋体"/>
          <w:sz w:val="28"/>
          <w:szCs w:val="28"/>
        </w:rPr>
        <w:t xml:space="preserve">采购人</w:t>
      </w:r>
      <w:r>
        <w:rPr>
          <w:rFonts w:hint="eastAsia" w:ascii="仿宋" w:hAnsi="仿宋" w:eastAsia="仿宋" w:cs="宋体"/>
          <w:sz w:val="28"/>
          <w:szCs w:val="28"/>
        </w:rPr>
        <w:t xml:space="preserve">将只对供应商第一次质疑作出答复。</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.4</w:t>
      </w:r>
      <w:r>
        <w:rPr>
          <w:rFonts w:hint="eastAsia" w:ascii="仿宋" w:hAnsi="仿宋" w:eastAsia="仿宋" w:cs="宋体"/>
          <w:sz w:val="28"/>
          <w:szCs w:val="28"/>
        </w:rPr>
        <w:t xml:space="preserve">供应商（含潜在供应商）对与本项目有关的所有询问、质疑均请向采购人提出，由采购人负责答复。</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采购人只接收以纸质原件形式送达的质疑,建议供应商尽量通过邮寄方式提交质疑（采购人不接受无快递运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采购人质疑接收人及联系方式见招标文件第一章。</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 以下情形的质疑不予受理</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.5.1 内容不符合《政府采购质疑和投诉办法》第十二条规定的质疑。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.5.2 超出政府采购法定期限的质疑。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.5.3 以传真、电子邮件等方式递交的非原件形式的质疑。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.5.4 未参加投标活动的供应商或在投标活动中自身权益未受到损害的供应商所提出的质疑。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.5.5供应商组成联合体参加投标，联合体中任何一方或多方未按要求签字、盖章、加盖公章的质疑。</w:t>
      </w:r>
      <w:r/>
    </w:p>
    <w:p>
      <w:pPr>
        <w:ind w:firstLine="546"/>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keepLines/>
        <w:keepNext/>
        <w:spacing w:line="480" w:lineRule="exact"/>
        <w:rPr>
          <w:rFonts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0</w:t>
      </w:r>
      <w:r>
        <w:rPr>
          <w:rFonts w:hint="eastAsia" w:ascii="仿宋" w:hAnsi="仿宋" w:eastAsia="仿宋"/>
          <w:bCs/>
          <w:sz w:val="28"/>
          <w:szCs w:val="28"/>
        </w:rPr>
        <w:t xml:space="preserve">、中标通知书</w:t>
      </w:r>
      <w:r/>
    </w:p>
    <w:p>
      <w:pPr>
        <w:ind w:firstLine="560"/>
        <w:spacing w:line="480" w:lineRule="exact"/>
        <w:rPr>
          <w:rFonts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80" w:lineRule="exact"/>
        <w:rPr>
          <w:rFonts w:ascii="仿宋" w:hAnsi="仿宋" w:eastAsia="仿宋"/>
          <w:b/>
          <w:bCs/>
          <w:sz w:val="28"/>
          <w:szCs w:val="28"/>
        </w:rPr>
        <w:outlineLvl w:val="2"/>
      </w:pPr>
      <w:r/>
      <w:bookmarkStart w:id="163" w:name="_Toc120614220"/>
      <w:r/>
      <w:bookmarkStart w:id="164" w:name="_Toc513029236"/>
      <w:r/>
      <w:bookmarkStart w:id="165" w:name="_Toc16938552"/>
      <w:r/>
      <w:bookmarkStart w:id="166" w:name="_Toc20823308"/>
      <w:r>
        <w:rPr>
          <w:rFonts w:hint="eastAsia" w:ascii="仿宋" w:hAnsi="仿宋" w:eastAsia="仿宋"/>
          <w:b/>
          <w:bCs/>
          <w:sz w:val="28"/>
          <w:szCs w:val="28"/>
        </w:rPr>
        <w:t xml:space="preserve">七、授予合同</w:t>
      </w:r>
      <w:bookmarkEnd w:id="163"/>
      <w:r/>
      <w:bookmarkEnd w:id="164"/>
      <w:r/>
      <w:bookmarkEnd w:id="165"/>
      <w:r/>
      <w:bookmarkEnd w:id="166"/>
      <w:r/>
      <w:r/>
    </w:p>
    <w:p>
      <w:pPr>
        <w:keepLines/>
        <w:keepNext/>
        <w:spacing w:line="480" w:lineRule="exact"/>
        <w:rPr>
          <w:rFonts w:ascii="仿宋" w:hAnsi="仿宋" w:eastAsia="仿宋"/>
          <w:bCs/>
          <w:sz w:val="28"/>
          <w:szCs w:val="28"/>
        </w:rPr>
        <w:outlineLvl w:val="3"/>
      </w:pPr>
      <w:r/>
      <w:bookmarkStart w:id="167" w:name="_Toc16938553"/>
      <w:r/>
      <w:bookmarkStart w:id="168" w:name="_Toc20823309"/>
      <w:r/>
      <w:bookmarkStart w:id="169" w:name="_Toc513029237"/>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bCs/>
          <w:sz w:val="28"/>
          <w:szCs w:val="28"/>
        </w:rPr>
        <w:t xml:space="preserve">. 签订合同</w:t>
      </w:r>
      <w:r/>
    </w:p>
    <w:p>
      <w:pPr>
        <w:ind w:firstLine="700"/>
        <w:spacing w:line="480" w:lineRule="exact"/>
        <w:rPr>
          <w:rFonts w:ascii="仿宋" w:hAnsi="仿宋" w:eastAsia="仿宋"/>
          <w:sz w:val="28"/>
          <w:szCs w:val="28"/>
        </w:rPr>
      </w:pPr>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sz w:val="28"/>
          <w:szCs w:val="28"/>
        </w:rPr>
        <w:t xml:space="preserve">.l中标人应当在中标通知书发出之日起三十日内，按照招标文件确定的事项与采购人签订政府采购合同。</w:t>
      </w:r>
      <w:r/>
    </w:p>
    <w:p>
      <w:pPr>
        <w:ind w:firstLine="70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.2招标文件、中标人的投标文件及招标过程中有关澄清、承诺文件均应作为合同附件。</w:t>
      </w:r>
      <w:r/>
    </w:p>
    <w:p>
      <w:pPr>
        <w:ind w:firstLine="700"/>
        <w:spacing w:line="480" w:lineRule="exact"/>
        <w:rPr>
          <w:rFonts w:ascii="仿宋" w:hAnsi="仿宋" w:eastAsia="仿宋"/>
          <w:sz w:val="28"/>
          <w:szCs w:val="28"/>
        </w:rPr>
      </w:pPr>
      <w:r>
        <w:rPr>
          <w:rFonts w:hint="eastAsia" w:ascii="仿宋" w:hAnsi="仿宋" w:eastAsia="仿宋"/>
          <w:sz w:val="28"/>
          <w:szCs w:val="28"/>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480" w:lineRule="exact"/>
        <w:rPr>
          <w:rFonts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2</w:t>
      </w:r>
      <w:r>
        <w:rPr>
          <w:rFonts w:hint="eastAsia" w:ascii="仿宋" w:hAnsi="仿宋" w:eastAsia="仿宋"/>
          <w:bCs/>
          <w:sz w:val="28"/>
          <w:szCs w:val="28"/>
        </w:rPr>
        <w:t xml:space="preserve">、货物（包含与货物相关的服务）的追加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7"/>
      <w:r/>
      <w:bookmarkEnd w:id="168"/>
      <w:r/>
      <w:bookmarkEnd w:id="169"/>
      <w:r/>
      <w:r/>
    </w:p>
    <w:p>
      <w:pPr>
        <w:keepLines/>
        <w:keepNext/>
        <w:spacing w:line="480" w:lineRule="exact"/>
        <w:rPr>
          <w:rFonts w:ascii="仿宋" w:hAnsi="仿宋" w:eastAsia="仿宋"/>
          <w:bCs/>
          <w:sz w:val="28"/>
          <w:szCs w:val="28"/>
        </w:rPr>
        <w:outlineLvl w:val="3"/>
      </w:pPr>
      <w:r/>
      <w:bookmarkStart w:id="170" w:name="_Toc479757207"/>
      <w:r/>
      <w:bookmarkStart w:id="171" w:name="_Toc513029242"/>
      <w:r/>
      <w:bookmarkStart w:id="172" w:name="_Toc20823314"/>
      <w:r/>
      <w:bookmarkStart w:id="173" w:name="_Toc16938558"/>
      <w:r/>
      <w:bookmarkStart w:id="174" w:name="_Toc120614221"/>
      <w:r>
        <w:rPr>
          <w:rFonts w:hint="eastAsia" w:ascii="仿宋" w:hAnsi="仿宋" w:eastAsia="仿宋"/>
          <w:bCs/>
          <w:sz w:val="28"/>
          <w:szCs w:val="28"/>
        </w:rPr>
        <w:t xml:space="preserve">3</w:t>
      </w:r>
      <w:r>
        <w:rPr>
          <w:rFonts w:ascii="仿宋" w:hAnsi="仿宋" w:eastAsia="仿宋"/>
          <w:bCs/>
          <w:sz w:val="28"/>
          <w:szCs w:val="28"/>
        </w:rPr>
        <w:t xml:space="preserve">3</w:t>
      </w:r>
      <w:r>
        <w:rPr>
          <w:rFonts w:hint="eastAsia" w:ascii="仿宋" w:hAnsi="仿宋" w:eastAsia="仿宋"/>
          <w:bCs/>
          <w:sz w:val="28"/>
          <w:szCs w:val="28"/>
        </w:rPr>
        <w:t xml:space="preserve">、政府采购履约资金扶持政策</w:t>
      </w:r>
      <w:r/>
    </w:p>
    <w:p>
      <w:pPr>
        <w:ind w:firstLine="555"/>
        <w:spacing w:line="480" w:lineRule="exact"/>
        <w:rPr>
          <w:rFonts w:ascii="仿宋" w:hAnsi="仿宋" w:eastAsia="仿宋"/>
          <w:bCs/>
          <w:sz w:val="28"/>
          <w:szCs w:val="28"/>
        </w:rPr>
      </w:pPr>
      <w:r>
        <w:rPr>
          <w:rFonts w:hint="eastAsia" w:ascii="仿宋" w:hAnsi="仿宋" w:eastAsia="仿宋"/>
          <w:bCs/>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60"/>
        <w:spacing w:line="440" w:lineRule="exact"/>
        <w:rPr>
          <w:rFonts w:ascii="仿宋" w:hAnsi="仿宋" w:eastAsia="仿宋"/>
          <w:bCs/>
          <w:sz w:val="28"/>
          <w:szCs w:val="28"/>
        </w:rPr>
      </w:pPr>
      <w:r>
        <w:rPr>
          <w:rFonts w:hint="eastAsia" w:ascii="仿宋" w:hAnsi="仿宋" w:eastAsia="仿宋"/>
          <w:bCs/>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170"/>
      <w:r/>
      <w:bookmarkEnd w:id="171"/>
      <w:r/>
      <w:bookmarkEnd w:id="172"/>
      <w:r/>
      <w:bookmarkEnd w:id="173"/>
      <w:r/>
      <w:bookmarkEnd w:id="174"/>
      <w:r/>
      <w:r/>
    </w:p>
    <w:p>
      <w:pPr>
        <w:jc w:val="center"/>
        <w:keepNext/>
        <w:rPr>
          <w:rFonts w:ascii="黑体" w:eastAsia="黑体"/>
          <w:bCs/>
          <w:color w:val="000000"/>
          <w:sz w:val="44"/>
          <w:szCs w:val="28"/>
        </w:rPr>
        <w:outlineLvl w:val="0"/>
      </w:pPr>
      <w:r/>
      <w:bookmarkStart w:id="175" w:name="_Hlk176807159"/>
      <w:r/>
      <w:bookmarkStart w:id="176" w:name="_Toc120614281"/>
      <w:r/>
      <w:bookmarkStart w:id="177" w:name="_Toc49090575"/>
      <w:r/>
      <w:bookmarkStart w:id="178" w:name="_Toc26554093"/>
      <w:r/>
      <w:bookmarkStart w:id="179" w:name="_Toc462564139"/>
      <w:r/>
      <w:bookmarkStart w:id="180" w:name="_Toc479757211"/>
      <w:r>
        <w:rPr>
          <w:rFonts w:hint="eastAsia" w:ascii="黑体" w:eastAsia="黑体"/>
          <w:bCs/>
          <w:color w:val="000000"/>
          <w:sz w:val="44"/>
          <w:szCs w:val="28"/>
        </w:rPr>
        <w:t xml:space="preserve">第三章  合同文本</w:t>
      </w:r>
      <w:r/>
    </w:p>
    <w:p>
      <w:pPr>
        <w:ind w:firstLine="50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以下为中标后签定本项目合同的通用条款，中标人不得提出实质性的修改。</w:t>
      </w:r>
      <w:bookmarkStart w:id="181" w:name="_Toc3995"/>
      <w:r/>
      <w:r/>
    </w:p>
    <w:p>
      <w:pPr>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spacing w:line="278" w:lineRule="auto"/>
        <w:rPr>
          <w:szCs w:val="24"/>
        </w:rPr>
      </w:pPr>
      <w:r>
        <w:rPr>
          <w:szCs w:val="24"/>
        </w:rPr>
      </w:r>
      <w:r/>
    </w:p>
    <w:p>
      <w:pPr>
        <w:spacing w:line="278" w:lineRule="auto"/>
        <w:rPr>
          <w:rFonts w:eastAsia="黑体"/>
          <w:sz w:val="44"/>
          <w:szCs w:val="44"/>
        </w:rPr>
      </w:pPr>
      <w:r>
        <w:rPr>
          <w:rFonts w:eastAsia="黑体"/>
          <w:sz w:val="44"/>
          <w:szCs w:val="44"/>
        </w:rPr>
        <w:br w:type="page" w:clear="all"/>
      </w:r>
      <w:r/>
    </w:p>
    <w:p>
      <w:pPr>
        <w:ind w:firstLine="880"/>
        <w:spacing w:line="278" w:lineRule="auto"/>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bookmarkEnd w:id="181"/>
      <w:r/>
      <w:r/>
    </w:p>
    <w:p>
      <w:pPr>
        <w:jc w:val="center"/>
        <w:keepLines/>
        <w:keepNext/>
        <w:spacing w:line="400" w:lineRule="exact"/>
        <w:rPr>
          <w:rFonts w:hint="eastAsia" w:ascii="黑体" w:hAnsi="黑体" w:eastAsia="黑体"/>
          <w:b/>
          <w:bCs/>
          <w:sz w:val="28"/>
          <w:szCs w:val="28"/>
        </w:rPr>
        <w:outlineLvl w:val="1"/>
      </w:pPr>
      <w:r/>
      <w:bookmarkStart w:id="18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2"/>
      <w:r/>
      <w:r/>
    </w:p>
    <w:p>
      <w:pPr>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szCs w:val="24"/>
        </w:rPr>
      </w:pPr>
      <w:r>
        <w:rPr>
          <w:szCs w:val="24"/>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5"/>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6"/>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numPr>
          <w:ilvl w:val="255"/>
          <w:numId w:val="0"/>
        </w:num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cs="宋体"/>
          <w:szCs w:val="24"/>
        </w:rPr>
      </w:pPr>
      <w:r>
        <w:rPr>
          <w:rFonts w:hint="eastAsia" w:ascii="宋体" w:hAnsi="宋体"/>
          <w:szCs w:val="21"/>
        </w:rPr>
        <w:t xml:space="preserve">    </w:t>
      </w:r>
      <w:r/>
    </w:p>
    <w:tbl>
      <w:tblPr>
        <w:tblStyle w:val="715"/>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jc w:val="center"/>
          <w:trHeight w:val="653"/>
        </w:trPr>
        <w:tc>
          <w:tcPr>
            <w:tcW w:w="1129"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序号</w:t>
            </w:r>
            <w:r/>
          </w:p>
        </w:tc>
        <w:tc>
          <w:tcPr>
            <w:tcW w:w="2155"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货物名称</w:t>
            </w:r>
            <w:r/>
          </w:p>
        </w:tc>
        <w:tc>
          <w:tcPr>
            <w:tcW w:w="4022" w:type="dxa"/>
            <w:vAlign w:val="center"/>
            <w:textDirection w:val="lrTb"/>
            <w:noWrap w:val="false"/>
          </w:tcPr>
          <w:p>
            <w:pPr>
              <w:jc w:val="center"/>
              <w:rPr>
                <w:rFonts w:ascii="仿宋_GB2312" w:eastAsia="仿宋_GB2312"/>
                <w:sz w:val="28"/>
                <w:szCs w:val="28"/>
                <w:lang w:val="zh-CN"/>
              </w:rPr>
            </w:pPr>
            <w:r>
              <w:rPr>
                <w:rFonts w:hint="eastAsia" w:ascii="仿宋_GB2312" w:eastAsia="仿宋_GB2312"/>
                <w:sz w:val="28"/>
                <w:szCs w:val="28"/>
                <w:lang w:val="zh-CN"/>
              </w:rPr>
              <w:t xml:space="preserve">规格、型号</w:t>
            </w:r>
            <w:r/>
          </w:p>
        </w:tc>
        <w:tc>
          <w:tcPr>
            <w:tcW w:w="914"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单位</w:t>
            </w:r>
            <w:r/>
          </w:p>
        </w:tc>
        <w:tc>
          <w:tcPr>
            <w:tcW w:w="1050"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数量</w:t>
            </w:r>
            <w:r/>
          </w:p>
        </w:tc>
        <w:tc>
          <w:tcPr>
            <w:tcW w:w="1050" w:type="dxa"/>
            <w:vAlign w:val="center"/>
            <w:textDirection w:val="lrTb"/>
            <w:noWrap w:val="false"/>
          </w:tcPr>
          <w:p>
            <w:pPr>
              <w:jc w:val="center"/>
              <w:rPr>
                <w:rFonts w:ascii="仿宋_GB2312" w:eastAsia="仿宋_GB2312"/>
                <w:sz w:val="28"/>
                <w:szCs w:val="28"/>
              </w:rPr>
            </w:pPr>
            <w:r>
              <w:rPr>
                <w:rFonts w:hint="eastAsia" w:ascii="仿宋_GB2312" w:eastAsia="仿宋_GB2312"/>
                <w:sz w:val="28"/>
                <w:szCs w:val="28"/>
              </w:rPr>
              <w:t xml:space="preserve">品牌</w:t>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val="false"/>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jc w:val="center"/>
              <w:rPr>
                <w:rFonts w:ascii="仿宋_GB2312" w:eastAsia="仿宋_GB2312"/>
                <w:sz w:val="28"/>
                <w:szCs w:val="28"/>
                <w:lang w:val="zh-CN"/>
              </w:rPr>
            </w:pPr>
            <w:r>
              <w:rPr>
                <w:rFonts w:ascii="仿宋_GB2312" w:eastAsia="仿宋_GB2312"/>
                <w:sz w:val="28"/>
                <w:szCs w:val="28"/>
                <w:lang w:val="zh-CN"/>
              </w:rPr>
            </w:r>
            <w:r/>
          </w:p>
        </w:tc>
      </w:tr>
    </w:tbl>
    <w:p>
      <w:pPr>
        <w:ind w:firstLine="420"/>
        <w:spacing w:line="400" w:lineRule="exact"/>
        <w:rPr>
          <w:rFonts w:hint="eastAsia" w:ascii="宋体" w:hAnsi="宋体" w:cs="宋体"/>
          <w:szCs w:val="24"/>
        </w:rPr>
      </w:pPr>
      <w:r>
        <w:rPr>
          <w:rFonts w:hint="eastAsia" w:ascii="宋体" w:hAnsi="宋体" w:cs="宋体"/>
          <w:szCs w:val="24"/>
        </w:rPr>
      </w:r>
      <w:r/>
    </w:p>
    <w:p>
      <w:pPr>
        <w:numPr>
          <w:ilvl w:val="255"/>
          <w:numId w:val="0"/>
        </w:num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þ</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numPr>
          <w:ilvl w:val="255"/>
          <w:numId w:val="0"/>
        </w:num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szCs w:val="24"/>
        </w:rPr>
        <w:t xml:space="preserve">         若本项目不专门面向中小企业采购，是否给予小微企业评审优惠：</w:t>
      </w:r>
      <w:bookmarkStart w:id="183" w:name="OLE_LINK25"/>
      <w:r>
        <w:rPr>
          <w:rFonts w:ascii="Wingdings" w:hAnsi="Wingdings" w:eastAsia="Wingdings" w:cs="Wingdings"/>
          <w:iCs/>
          <w:szCs w:val="21"/>
        </w:rPr>
        <w:t xml:space="preserve">¨</w:t>
      </w:r>
      <w:bookmarkEnd w:id="183"/>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184" w:name="OLE_LINK2"/>
      <w:r>
        <w:rPr>
          <w:rFonts w:ascii="Wingdings" w:hAnsi="Wingdings" w:eastAsia="Wingdings" w:cs="Wingdings"/>
          <w:szCs w:val="24"/>
        </w:rPr>
        <w:t xml:space="preserve">þ</w:t>
      </w:r>
      <w:bookmarkEnd w:id="184"/>
      <w:r>
        <w:rPr>
          <w:rFonts w:hint="eastAsia" w:ascii="宋体" w:hAnsi="宋体"/>
          <w:iCs/>
          <w:szCs w:val="21"/>
        </w:rPr>
        <w:t xml:space="preserve">否</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4"/>
        </w:rPr>
        <w:t xml:space="preserve">þ</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p>
    <w:p>
      <w:pPr>
        <w:numPr>
          <w:ilvl w:val="255"/>
          <w:numId w:val="0"/>
        </w:num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4"/>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p>
    <w:p>
      <w:pPr>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（3）付款方式：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left="0" w:right="0" w:firstLine="0"/>
        <w:jc w:val="both"/>
        <w:spacing w:before="0" w:after="0"/>
        <w:rPr>
          <w:sz w:val="21"/>
          <w:szCs w:val="21"/>
          <w:u w:val="single"/>
        </w:rPr>
        <w:pBdr>
          <w:top w:val="none" w:color="000000" w:sz="4" w:space="0"/>
          <w:left w:val="none" w:color="000000" w:sz="4" w:space="0"/>
          <w:bottom w:val="none" w:color="000000" w:sz="4" w:space="0"/>
          <w:right w:val="none" w:color="000000" w:sz="4" w:space="0"/>
        </w:pBdr>
      </w:pPr>
      <w:r>
        <w:rPr>
          <w:rFonts w:ascii="Wingdings" w:hAnsi="Wingdings" w:eastAsia="Wingdings" w:cs="Wingdings"/>
          <w:szCs w:val="24"/>
        </w:rPr>
        <w:t xml:space="preserve">   þ</w:t>
      </w:r>
      <w:r>
        <w:rPr>
          <w:rFonts w:hint="eastAsia" w:ascii="宋体" w:hAnsi="宋体"/>
          <w:szCs w:val="21"/>
        </w:rPr>
        <w:t xml:space="preserve">分期付款：</w:t>
      </w:r>
      <w:r>
        <w:rPr>
          <w:rFonts w:ascii="FangSong" w:hAnsi="FangSong" w:eastAsia="FangSong" w:cs="FangSong"/>
          <w:color w:val="000000"/>
          <w:sz w:val="21"/>
          <w:szCs w:val="21"/>
          <w:u w:val="single"/>
        </w:rPr>
        <w:t xml:space="preserve">合同签订并收到乙方开具的发票后</w:t>
      </w:r>
      <w:r>
        <w:rPr>
          <w:rFonts w:ascii="Times New Roman" w:hAnsi="Times New Roman" w:eastAsia="Times New Roman" w:cs="Times New Roman"/>
          <w:color w:val="000000"/>
          <w:sz w:val="21"/>
          <w:szCs w:val="21"/>
          <w:u w:val="single"/>
        </w:rPr>
        <w:t xml:space="preserve">10</w:t>
      </w:r>
      <w:r>
        <w:rPr>
          <w:rFonts w:ascii="FangSong" w:hAnsi="FangSong" w:eastAsia="FangSong" w:cs="FangSong"/>
          <w:color w:val="000000"/>
          <w:sz w:val="21"/>
          <w:szCs w:val="21"/>
          <w:u w:val="single"/>
        </w:rPr>
        <w:t xml:space="preserve">个工作日内支付本合同总价款的</w:t>
      </w:r>
      <w:r>
        <w:rPr>
          <w:rFonts w:ascii="Times New Roman" w:hAnsi="Times New Roman" w:eastAsia="Times New Roman" w:cs="Times New Roman"/>
          <w:color w:val="000000"/>
          <w:sz w:val="21"/>
          <w:szCs w:val="21"/>
          <w:u w:val="single"/>
        </w:rPr>
        <w:t xml:space="preserve">30%</w:t>
      </w:r>
      <w:r>
        <w:rPr>
          <w:rFonts w:ascii="FangSong" w:hAnsi="FangSong" w:eastAsia="FangSong" w:cs="FangSong"/>
          <w:color w:val="000000"/>
          <w:sz w:val="21"/>
          <w:szCs w:val="21"/>
          <w:u w:val="single"/>
        </w:rPr>
        <w:t xml:space="preserve">（人民币         元）；货物交付安装、调试完成、验收合格，并收到乙方开具的发票后</w:t>
      </w:r>
      <w:r>
        <w:rPr>
          <w:rFonts w:ascii="Times New Roman" w:hAnsi="Times New Roman" w:eastAsia="Times New Roman" w:cs="Times New Roman"/>
          <w:color w:val="000000"/>
          <w:sz w:val="21"/>
          <w:szCs w:val="21"/>
          <w:u w:val="single"/>
        </w:rPr>
        <w:t xml:space="preserve">10</w:t>
      </w:r>
      <w:r>
        <w:rPr>
          <w:rFonts w:ascii="FangSong" w:hAnsi="FangSong" w:eastAsia="FangSong" w:cs="FangSong"/>
          <w:color w:val="000000"/>
          <w:sz w:val="21"/>
          <w:szCs w:val="21"/>
          <w:u w:val="single"/>
        </w:rPr>
        <w:t xml:space="preserve">个工作日内再支付本合同总价款的</w:t>
      </w:r>
      <w:r>
        <w:rPr>
          <w:rFonts w:ascii="Times New Roman" w:hAnsi="Times New Roman" w:eastAsia="Times New Roman" w:cs="Times New Roman"/>
          <w:color w:val="000000"/>
          <w:sz w:val="21"/>
          <w:szCs w:val="21"/>
          <w:u w:val="single"/>
        </w:rPr>
        <w:t xml:space="preserve">15%</w:t>
      </w:r>
      <w:r>
        <w:rPr>
          <w:rFonts w:ascii="FangSong" w:hAnsi="FangSong" w:eastAsia="FangSong" w:cs="FangSong"/>
          <w:color w:val="000000"/>
          <w:sz w:val="21"/>
          <w:szCs w:val="21"/>
          <w:u w:val="single"/>
        </w:rPr>
        <w:t xml:space="preserve">（人民币         元）；余款（人民币           元）在货物质保期满并收到乙方开具的发票后</w:t>
      </w:r>
      <w:r>
        <w:rPr>
          <w:rFonts w:ascii="Times New Roman" w:hAnsi="Times New Roman" w:eastAsia="Times New Roman" w:cs="Times New Roman"/>
          <w:color w:val="000000"/>
          <w:sz w:val="21"/>
          <w:szCs w:val="21"/>
          <w:u w:val="single"/>
        </w:rPr>
        <w:t xml:space="preserve">10</w:t>
      </w:r>
      <w:r>
        <w:rPr>
          <w:rFonts w:ascii="FangSong" w:hAnsi="FangSong" w:eastAsia="FangSong" w:cs="FangSong"/>
          <w:color w:val="000000"/>
          <w:sz w:val="21"/>
          <w:szCs w:val="21"/>
          <w:u w:val="single"/>
        </w:rPr>
        <w:t xml:space="preserve">个工作日内付清。以上付款均通过银行转账，不计利息。</w:t>
      </w:r>
      <w:r>
        <w:rPr>
          <w:sz w:val="21"/>
          <w:szCs w:val="21"/>
          <w:u w:val="single"/>
        </w:rPr>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p>
    <w:p>
      <w:pPr>
        <w:numPr>
          <w:ilvl w:val="0"/>
          <w:numId w:val="5"/>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185" w:name="OLE_LINK40"/>
      <w:r>
        <w:rPr>
          <w:rFonts w:hint="eastAsia" w:ascii="宋体" w:hAnsi="宋体" w:cs="宋体"/>
          <w:bCs/>
          <w:szCs w:val="21"/>
          <w:u w:val="single"/>
        </w:rPr>
        <w:t xml:space="preserve">以支票、汇票、本票或者金融机构、担保机构出具的保函等非现金形式提交</w:t>
      </w:r>
      <w:bookmarkEnd w:id="185"/>
      <w:r>
        <w:rPr>
          <w:rFonts w:hint="eastAsia" w:ascii="宋体" w:hAnsi="宋体" w:cs="宋体"/>
          <w:bCs/>
          <w:szCs w:val="21"/>
          <w:u w:val="single"/>
        </w:rPr>
        <w:t xml:space="preserve">。                  </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项目成交金额的10%                 </w:t>
      </w:r>
      <w:r/>
    </w:p>
    <w:p>
      <w:pPr>
        <w:ind w:firstLine="420"/>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提交履约保证金之日起至货物验收合格之日止。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p>
    <w:p>
      <w:pPr>
        <w:numPr>
          <w:ilvl w:val="0"/>
          <w:numId w:val="5"/>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186" w:name="_Hlk171087831"/>
      <w:r>
        <w:rPr>
          <w:rFonts w:ascii="Wingdings" w:hAnsi="Wingdings" w:eastAsia="Wingdings" w:cs="Wingdings"/>
          <w:szCs w:val="21"/>
        </w:rPr>
        <w:t xml:space="preserve">þ</w:t>
      </w:r>
      <w:bookmarkEnd w:id="186"/>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bookmarkStart w:id="187" w:name="_Hlk171087968"/>
      <w:r>
        <w:rPr>
          <w:rFonts w:ascii="Wingdings" w:hAnsi="Wingdings" w:eastAsia="Wingdings" w:cs="Wingdings"/>
          <w:szCs w:val="21"/>
        </w:rPr>
        <w:t xml:space="preserve">þ</w:t>
      </w:r>
      <w:bookmarkEnd w:id="187"/>
      <w:r>
        <w:rPr>
          <w:rFonts w:hint="eastAsia" w:ascii="宋体" w:hAnsi="宋体"/>
          <w:bCs/>
          <w:szCs w:val="21"/>
        </w:rPr>
        <w:t xml:space="preserve">分期/分项验收：</w:t>
      </w:r>
      <w:r>
        <w:rPr>
          <w:rFonts w:hint="eastAsia" w:ascii="宋体" w:hAnsi="宋体"/>
          <w:bCs/>
          <w:szCs w:val="21"/>
          <w:u w:val="single"/>
        </w:rPr>
        <w:t xml:space="preserve">    每台设备安装调试合格后分别验收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p>
    <w:p>
      <w:pPr>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422"/>
        <w:spacing w:line="400" w:lineRule="exact"/>
        <w:rPr>
          <w:rFonts w:hint="eastAsia" w:ascii="宋体" w:hAnsi="宋体"/>
          <w:b/>
          <w:szCs w:val="21"/>
        </w:rPr>
      </w:pPr>
      <w:r>
        <w:rPr>
          <w:rFonts w:hint="eastAsia" w:ascii="宋体" w:hAnsi="宋体"/>
          <w:b/>
          <w:szCs w:val="21"/>
        </w:rPr>
        <w:t xml:space="preserve">5. 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numPr>
          <w:ilvl w:val="0"/>
          <w:numId w:val="8"/>
        </w:numPr>
        <w:jc w:val="left"/>
        <w:spacing w:line="400" w:lineRule="exact"/>
        <w:widowControl/>
        <w:rPr>
          <w:rFonts w:hint="eastAsia" w:ascii="宋体" w:hAnsi="宋体" w:cs="宋体"/>
          <w:szCs w:val="21"/>
        </w:rPr>
      </w:pPr>
      <w:r>
        <w:rPr>
          <w:rFonts w:hint="eastAsia" w:ascii="宋体" w:hAnsi="宋体" w:cs="宋体"/>
          <w:color w:val="000000"/>
          <w:szCs w:val="21"/>
        </w:rPr>
        <w:t xml:space="preserve">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 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ind w:left="422"/>
        <w:spacing w:line="400" w:lineRule="exact"/>
        <w:rPr>
          <w:rFonts w:hint="eastAsia" w:ascii="宋体" w:hAnsi="宋体"/>
          <w:b/>
          <w:szCs w:val="21"/>
        </w:rPr>
      </w:pPr>
      <w:r>
        <w:rPr>
          <w:rFonts w:hint="eastAsia" w:ascii="宋体" w:hAnsi="宋体"/>
          <w:b/>
          <w:szCs w:val="21"/>
        </w:rPr>
        <w:t xml:space="preserve">7. 合同份数</w:t>
      </w:r>
      <w:r/>
    </w:p>
    <w:p>
      <w:pPr>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spacing w:line="278" w:lineRule="auto"/>
        <w:rPr>
          <w:szCs w:val="24"/>
        </w:rPr>
      </w:pPr>
      <w:r>
        <w:rPr>
          <w:rFonts w:hint="eastAsia"/>
          <w:szCs w:val="24"/>
        </w:rPr>
        <w:br w:type="page" w:clear="all"/>
      </w:r>
      <w:r/>
    </w:p>
    <w:p>
      <w:pPr>
        <w:ind w:firstLine="420"/>
        <w:spacing w:line="278" w:lineRule="auto"/>
        <w:rPr>
          <w:szCs w:val="21"/>
        </w:rPr>
      </w:pPr>
      <w:r>
        <w:rPr>
          <w:szCs w:val="21"/>
        </w:rPr>
      </w:r>
      <w:r/>
    </w:p>
    <w:tbl>
      <w:tblPr>
        <w:tblStyle w:val="71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szCs w:val="24"/>
              </w:rPr>
            </w:pPr>
            <w:r>
              <w:rPr>
                <w:szCs w:val="21"/>
              </w:rPr>
              <w:t xml:space="preserve">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szCs w:val="24"/>
              </w:rPr>
            </w:pPr>
            <w:r>
              <w:rPr>
                <w:szCs w:val="21"/>
              </w:rPr>
              <w:t xml:space="preserve">乙方</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rFonts w:hint="eastAsia"/>
                <w:szCs w:val="21"/>
              </w:rPr>
              <w:t xml:space="preserve">南通市食品药品监督检验中心</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rFonts w:hint="eastAsia"/>
                <w:szCs w:val="21"/>
              </w:rPr>
              <w:t xml:space="preserve">南通市胜利路168号4幢</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spacing w:val="20"/>
                <w:szCs w:val="21"/>
              </w:rPr>
            </w:pPr>
            <w:r>
              <w:rPr>
                <w:spacing w:val="20"/>
                <w:szCs w:val="21"/>
              </w:rPr>
            </w:r>
            <w:r/>
          </w:p>
        </w:tc>
      </w:tr>
    </w:tbl>
    <w:p>
      <w:pPr>
        <w:jc w:val="center"/>
        <w:keepLines/>
        <w:keepNext/>
        <w:spacing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188" w:name="_Toc27624"/>
      <w:r>
        <w:rPr>
          <w:rFonts w:hint="eastAsia" w:ascii="黑体" w:hAnsi="黑体" w:eastAsia="黑体"/>
          <w:sz w:val="28"/>
          <w:szCs w:val="28"/>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hint="eastAsia" w:ascii="宋体" w:hAnsi="宋体"/>
          <w:b/>
          <w:bCs/>
          <w:color w:val="000000"/>
          <w:sz w:val="24"/>
          <w:szCs w:val="24"/>
        </w:rPr>
      </w:pPr>
      <w:r>
        <w:rPr>
          <w:rFonts w:hint="eastAsia" w:ascii="宋体" w:hAnsi="宋体"/>
          <w:b/>
          <w:color w:val="000000"/>
          <w:sz w:val="24"/>
          <w:szCs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szCs w:val="24"/>
        </w:rPr>
      </w:pPr>
      <w:r>
        <w:rPr>
          <w:rFonts w:hint="eastAsia" w:ascii="宋体" w:hAnsi="宋体"/>
          <w:b/>
          <w:color w:val="000000"/>
          <w:sz w:val="24"/>
          <w:szCs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10"/>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bookmarkStart w:id="189" w:name="OLE_LINK7"/>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189"/>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szCs w:val="21"/>
        </w:rPr>
        <w:t xml:space="preserve">。</w:t>
      </w:r>
      <w:r/>
    </w:p>
    <w:p>
      <w:pPr>
        <w:jc w:val="left"/>
        <w:spacing w:line="400" w:lineRule="exact"/>
        <w:rPr>
          <w:rFonts w:hint="eastAsia" w:ascii="宋体" w:hAnsi="宋体"/>
          <w:b/>
          <w:bCs/>
          <w:sz w:val="24"/>
          <w:szCs w:val="24"/>
        </w:rPr>
      </w:pPr>
      <w:r>
        <w:rPr>
          <w:rFonts w:hint="eastAsia" w:ascii="宋体" w:hAnsi="宋体"/>
          <w:b/>
          <w:bCs/>
          <w:sz w:val="24"/>
          <w:szCs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szCs w:val="24"/>
        </w:rPr>
      </w:pPr>
      <w:r>
        <w:rPr>
          <w:rFonts w:hint="eastAsia" w:ascii="宋体" w:hAnsi="宋体"/>
          <w:b/>
          <w:bCs/>
          <w:sz w:val="24"/>
          <w:szCs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szCs w:val="24"/>
        </w:rPr>
      </w:pPr>
      <w:r>
        <w:rPr>
          <w:rFonts w:hint="eastAsia" w:ascii="宋体" w:hAnsi="宋体"/>
          <w:b/>
          <w:bCs/>
          <w:sz w:val="24"/>
          <w:szCs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hint="eastAsia" w:ascii="宋体" w:hAnsi="宋体"/>
          <w:b/>
          <w:sz w:val="24"/>
          <w:szCs w:val="24"/>
        </w:rPr>
      </w:pPr>
      <w:r>
        <w:rPr>
          <w:rFonts w:hint="eastAsia" w:ascii="宋体" w:hAnsi="宋体"/>
          <w:b/>
          <w:sz w:val="24"/>
          <w:szCs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szCs w:val="24"/>
        </w:rPr>
      </w:pPr>
      <w:r>
        <w:rPr>
          <w:rFonts w:hint="eastAsia" w:ascii="宋体" w:hAnsi="宋体"/>
          <w:b/>
          <w:bCs/>
          <w:sz w:val="24"/>
          <w:szCs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szCs w:val="24"/>
        </w:rPr>
      </w:pPr>
      <w:r>
        <w:rPr>
          <w:rFonts w:hint="eastAsia" w:ascii="宋体" w:hAnsi="宋体"/>
          <w:b/>
          <w:bCs/>
          <w:sz w:val="24"/>
          <w:szCs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szCs w:val="24"/>
        </w:rPr>
      </w:pPr>
      <w:r>
        <w:rPr>
          <w:rFonts w:hint="eastAsia" w:ascii="宋体" w:hAnsi="宋体"/>
          <w:b/>
          <w:sz w:val="24"/>
          <w:szCs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szCs w:val="24"/>
        </w:rPr>
      </w:pPr>
      <w:r>
        <w:rPr>
          <w:rFonts w:hint="eastAsia" w:ascii="宋体" w:hAnsi="宋体"/>
          <w:b/>
          <w:sz w:val="24"/>
          <w:szCs w:val="24"/>
        </w:rPr>
        <w:t xml:space="preserve">21. 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szCs w:val="24"/>
        </w:rPr>
      </w:pPr>
      <w:r>
        <w:rPr>
          <w:rFonts w:hint="eastAsia" w:ascii="宋体" w:hAnsi="宋体"/>
          <w:b/>
          <w:sz w:val="24"/>
          <w:szCs w:val="24"/>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b/>
          <w:bCs/>
          <w:sz w:val="24"/>
          <w:szCs w:val="24"/>
        </w:rPr>
      </w:pPr>
      <w:r>
        <w:rPr>
          <w:rFonts w:hint="eastAsia" w:ascii="宋体" w:hAnsi="宋体"/>
          <w:b/>
          <w:bCs/>
          <w:sz w:val="24"/>
          <w:szCs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91" w:name="_Toc20313"/>
      <w:r/>
      <w:r/>
    </w:p>
    <w:p>
      <w:pPr>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91"/>
      <w:r/>
      <w:r/>
    </w:p>
    <w:tbl>
      <w:tblPr>
        <w:tblStyle w:val="71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0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pStyle w:val="716"/>
              <w:ind w:firstLine="0"/>
              <w:spacing w:after="0"/>
            </w:pPr>
            <w:r>
              <w:rPr>
                <w:rFonts w:hint="eastAsia" w:asciiTheme="minorEastAsia" w:hAnsiTheme="minorEastAsia" w:eastAsiaTheme="minorEastAsia"/>
              </w:rPr>
              <w:t xml:space="preserve">甲方未在60日内对乙方履约提出任何异议或者向乙方作出任何说明的，视为验收通过。</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szCs w:val="24"/>
              </w:rPr>
            </w:pPr>
            <w:r>
              <w:rPr>
                <w:rFonts w:hint="eastAsia" w:ascii="宋体" w:hAnsi="宋体"/>
                <w:szCs w:val="21"/>
              </w:rPr>
              <w:t xml:space="preserve">第5.4款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2.仪器设备到达后，乙方在5个工作日内安排有经验的工程师到达设备使用现场，免费安装调试设备，并在3天内安装、调试完毕。</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4.保修期内乙方按投标承诺提供免费维护和质量保证，所有货物保修服务方式均为乙方上门保修，即由乙方派员到货物使用现场维修，保修费用计入合同总价，不再另行收取。</w:t>
            </w:r>
            <w:r/>
          </w:p>
          <w:p>
            <w:pPr>
              <w:pStyle w:val="716"/>
              <w:ind w:firstLine="0"/>
              <w:rPr>
                <w:rFonts w:hint="eastAsia" w:asciiTheme="minorEastAsia" w:hAnsiTheme="minorEastAsia" w:eastAsiaTheme="minorEastAsia"/>
              </w:rPr>
            </w:pPr>
            <w:r>
              <w:rPr>
                <w:rFonts w:hint="eastAsia" w:asciiTheme="minorEastAsia" w:hAnsiTheme="minorEastAsia" w:eastAsiaTheme="minorEastAsia"/>
              </w:rPr>
              <w:t xml:space="preserve">5.售后服务4小时内响应，2个工作日内上门。保修期内每年提供一次原厂技术维护。乙方提供设备终身维修保养服务。</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7.如果设备交付使用后，缺陷多次反复出现，乙方必</w:t>
            </w:r>
            <w:bookmarkStart w:id="192" w:name="OLE_LINK3"/>
            <w:r>
              <w:rPr>
                <w:rFonts w:hint="eastAsia" w:asciiTheme="minorEastAsia" w:hAnsiTheme="minorEastAsia" w:eastAsiaTheme="minorEastAsia"/>
                <w:szCs w:val="21"/>
              </w:rPr>
              <w:t xml:space="preserve">须提出分析报告和解决方案，更换该产品，直到最后纠正缺陷、乙方提供质保从纠正之日起重新计算质保期。</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8.如乙方提供的设备设有维修软件密码，乙方应保证无条件地为甲方永久免费打开。</w:t>
            </w:r>
            <w:r/>
          </w:p>
          <w:p>
            <w:pPr>
              <w:jc w:val="left"/>
              <w:spacing w:line="278" w:lineRule="auto"/>
              <w:rPr>
                <w:rFonts w:hint="eastAsia" w:ascii="宋体" w:hAnsi="宋体"/>
                <w:szCs w:val="21"/>
              </w:rPr>
            </w:pPr>
            <w:r>
              <w:rPr>
                <w:rFonts w:hint="eastAsia" w:asciiTheme="minorEastAsia" w:hAnsiTheme="minorEastAsia" w:eastAsiaTheme="minorEastAsia"/>
                <w:szCs w:val="21"/>
              </w:rPr>
              <w:t xml:space="preserve">9.仪器设备安装后，乙方需长期提供技术支持和维修服务，包括软件的免费升级、为甲方提供需要的方法开发及应用资料。</w:t>
            </w:r>
            <w:bookmarkEnd w:id="192"/>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667"/>
        </w:trPr>
        <w:tc>
          <w:tcPr>
            <w:tcW w:w="1607" w:type="dxa"/>
            <w:vAlign w:val="center"/>
            <w:vMerge w:val="restart"/>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line="278" w:lineRule="auto"/>
              <w:rPr>
                <w:rFonts w:hint="eastAsia" w:asciiTheme="minorEastAsia" w:hAnsiTheme="minorEastAsia" w:eastAsiaTheme="minorEastAsia"/>
                <w:szCs w:val="24"/>
              </w:rPr>
            </w:pPr>
            <w:r/>
            <w:bookmarkStart w:id="193" w:name="_Hlk175612562"/>
            <w:r>
              <w:rPr>
                <w:rFonts w:hint="eastAsia" w:asciiTheme="minorEastAsia" w:hAnsiTheme="minorEastAsia" w:eastAsiaTheme="minorEastAsia"/>
                <w:szCs w:val="24"/>
              </w:rPr>
              <w:t xml:space="preserve">商品包装和快递包装要求执行财办库【2020】123号，具体如下：</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1.1商品包装环保要求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1.1.1商品包装层数不得超过3层，空隙率不大于40%；</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1.1.2商品包装尽可能使用单一材质的包装材料，如因功能需求必需使用不同材质，不同材质间应便于分离；</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1.1.3商品包装中铅、汞、镉、六价铬的总含量应不大于100mg/kg；</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1.1.4商品包装印刷使用的油墨中挥发性有机化合物(VOCs)含量应不大于5%（以重量计）；</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1.1.5塑料材质商品包装上呈现的印刷颜色不得超过6 色；</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1.1.6纸质商品包装应使用75%以上的可再生纤维原料生产；</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1.1.7木质商品包装的原料应来源于可持续性森林。</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1.2快递包装环保要求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1.2.1快递包装中重金属（铅、汞、镉、六价铬）总量应不大于100mg/kg；</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1.2.2快递包装印刷使用的油墨中不应添加邻苯二甲酸酯，其挥发性有机化合物(VOCs)含量应不大于5%（以重量计）；</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1.2.3快递包装中使用纸基材的包装材料，纸基材中的有机氯的含量应不大于150 mg/kg；</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1.2.5快递中使用的塑料包装袋不得使用聚氯乙烯作为原料，且原料应为单一材质制成，生物分解率大于</w:t>
            </w:r>
            <w:bookmarkEnd w:id="193"/>
            <w:r/>
            <w:bookmarkStart w:id="194" w:name="_Hlk175612636"/>
            <w:r>
              <w:rPr>
                <w:rFonts w:hint="eastAsia" w:asciiTheme="minorEastAsia" w:hAnsiTheme="minorEastAsia" w:eastAsiaTheme="minorEastAsia"/>
                <w:szCs w:val="24"/>
              </w:rPr>
              <w:t xml:space="preserve">60%；</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1.2.6快递中使用的充气类填充物不得使用聚氯乙烯作为原料，且原料为单一材质制成，生物分解率大于60%；</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1.2.7快递中使用的集装袋应为单一材质制成，其重复使用次数应不小于80次；</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1.2.8快递中应使用幅宽不大于45mm的生物降解胶带；</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1.2.9快递包装中不得使用溶剂型胶粘剂；</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1.2.10快递应使用电子面单；</w:t>
            </w:r>
            <w:r/>
          </w:p>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1.2.11直接使用商品包装作为快递包装的商品，其商品包装满足《商品包装政府采购需求标准（试行）》即可；</w:t>
            </w:r>
            <w:r/>
          </w:p>
          <w:p>
            <w:pPr>
              <w:spacing w:line="278" w:lineRule="auto"/>
              <w:rPr>
                <w:szCs w:val="24"/>
              </w:rPr>
            </w:pPr>
            <w:r>
              <w:rPr>
                <w:rFonts w:hint="eastAsia" w:asciiTheme="minorEastAsia" w:hAnsiTheme="minorEastAsia" w:eastAsiaTheme="minorEastAsia"/>
                <w:szCs w:val="24"/>
              </w:rPr>
              <w:t xml:space="preserve">1.2.12快递包装产品质量和封装方式应符合相关国家或行业标准技术指标要求。</w:t>
            </w:r>
            <w:bookmarkEnd w:id="194"/>
            <w:r/>
            <w:r/>
          </w:p>
        </w:tc>
      </w:tr>
      <w:tr>
        <w:trPr>
          <w:trHeight w:val="667"/>
        </w:trPr>
        <w:tc>
          <w:tcPr>
            <w:tcW w:w="1607" w:type="dxa"/>
            <w:vAlign w:val="center"/>
            <w:vMerge w:val="continue"/>
            <w:textDirection w:val="lrTb"/>
            <w:noWrap w:val="false"/>
          </w:tcPr>
          <w:p>
            <w:pPr>
              <w:jc w:val="center"/>
              <w:spacing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line="278" w:lineRule="auto"/>
              <w:rPr>
                <w:szCs w:val="24"/>
              </w:rPr>
            </w:pPr>
            <w:r>
              <w:rPr>
                <w:rFonts w:hint="eastAsia" w:asciiTheme="minorEastAsia" w:hAnsiTheme="minorEastAsia" w:eastAsiaTheme="minorEastAsia"/>
                <w:szCs w:val="24"/>
              </w:rPr>
              <w:t xml:space="preserve">采购人指定地点</w:t>
            </w:r>
            <w:r/>
          </w:p>
        </w:tc>
      </w:tr>
      <w:tr>
        <w:trPr>
          <w:trHeight w:val="772"/>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line="278"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p>
          <w:p>
            <w:pPr>
              <w:spacing w:line="278" w:lineRule="auto"/>
              <w:rPr>
                <w:szCs w:val="24"/>
              </w:rPr>
            </w:pPr>
            <w:r>
              <w:rPr>
                <w:rFonts w:hint="eastAsia" w:asciiTheme="minorEastAsia" w:hAnsiTheme="minorEastAsia" w:eastAsiaTheme="minorEastAsia"/>
                <w:szCs w:val="24"/>
              </w:rPr>
              <w:t xml:space="preserve">2.乙方发货到甲方指定地点，并送达甲方指定楼层的安装位置。</w:t>
            </w:r>
            <w:r/>
          </w:p>
        </w:tc>
      </w:tr>
      <w:tr>
        <w:trPr>
          <w:trHeight w:val="66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line="278" w:lineRule="auto"/>
              <w:rPr>
                <w:szCs w:val="24"/>
              </w:rPr>
            </w:pPr>
            <w:r>
              <w:rPr>
                <w:rFonts w:hint="eastAsia"/>
                <w:szCs w:val="24"/>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spacing w:line="278" w:lineRule="auto"/>
              <w:rPr>
                <w:rFonts w:hint="eastAsia" w:ascii="宋体" w:hAnsi="宋体"/>
                <w:szCs w:val="21"/>
              </w:rPr>
            </w:pPr>
            <w:r/>
            <w:bookmarkStart w:id="195" w:name="OLE_LINK10"/>
            <w:r>
              <w:rPr>
                <w:rFonts w:hint="eastAsia" w:asciiTheme="minorEastAsia" w:hAnsiTheme="minorEastAsia" w:eastAsiaTheme="minorEastAsia"/>
                <w:szCs w:val="21"/>
              </w:rPr>
              <w:t xml:space="preserve">质保期  年，质保期内维修、零配件更换、人工、差旅等所有费用由乙方承担。</w:t>
            </w:r>
            <w:bookmarkStart w:id="196" w:name="OLE_LINK9"/>
            <w:r>
              <w:rPr>
                <w:rFonts w:hint="eastAsia" w:asciiTheme="minorEastAsia" w:hAnsiTheme="minorEastAsia" w:eastAsiaTheme="minorEastAsia"/>
                <w:szCs w:val="21"/>
              </w:rPr>
              <w:t xml:space="preserve">乙方提供设备终身维修保养服务。</w:t>
            </w:r>
            <w:bookmarkEnd w:id="195"/>
            <w:r/>
            <w:bookmarkEnd w:id="196"/>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bookmarkStart w:id="197" w:name="_Hlk174700718"/>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货物质量缺陷</w:t>
            </w:r>
            <w:r/>
          </w:p>
          <w:p>
            <w:pPr>
              <w:jc w:val="left"/>
              <w:spacing w:line="278" w:lineRule="auto"/>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bookmarkStart w:id="198" w:name="OLE_LINK13"/>
            <w:r>
              <w:rPr>
                <w:rFonts w:hint="eastAsia" w:asciiTheme="minorEastAsia" w:hAnsiTheme="minorEastAsia" w:eastAsiaTheme="minorEastAsia"/>
                <w:szCs w:val="21"/>
              </w:rPr>
              <w:t xml:space="preserve">1.乙方维修的响应时间为4小时，2个工作日内到达现场维修。</w:t>
            </w:r>
            <w:bookmarkEnd w:id="198"/>
            <w:r/>
            <w:r/>
          </w:p>
          <w:p>
            <w:pPr>
              <w:pStyle w:val="716"/>
              <w:ind w:firstLine="0"/>
              <w:jc w:val="left"/>
              <w:spacing w:after="0"/>
            </w:pPr>
            <w:r>
              <w:rPr>
                <w:rFonts w:asciiTheme="minorEastAsia" w:hAnsiTheme="minorEastAsia" w:eastAsiaTheme="minorEastAsia"/>
              </w:rPr>
              <w:t xml:space="preserve">2.</w:t>
            </w:r>
            <w:r>
              <w:rPr>
                <w:rFonts w:hint="eastAsia" w:asciiTheme="minorEastAsia" w:hAnsiTheme="minorEastAsia" w:eastAsiaTheme="minorEastAsia"/>
              </w:rPr>
              <w:t xml:space="preserve">乙方应于</w:t>
            </w:r>
            <w:r>
              <w:rPr>
                <w:rFonts w:asciiTheme="minorEastAsia" w:hAnsiTheme="minorEastAsia" w:eastAsiaTheme="minorEastAsia"/>
              </w:rPr>
              <w:t xml:space="preserve">15</w:t>
            </w:r>
            <w:r>
              <w:rPr>
                <w:rFonts w:hint="eastAsia" w:asciiTheme="minorEastAsia" w:hAnsiTheme="minorEastAsia" w:eastAsiaTheme="minorEastAsia"/>
              </w:rPr>
              <w:t xml:space="preserve">日内更换有缺陷的货物或部件。</w:t>
            </w:r>
            <w:bookmarkEnd w:id="197"/>
            <w:r/>
            <w:r/>
          </w:p>
        </w:tc>
      </w:tr>
      <w:tr>
        <w:trPr>
          <w:trHeight w:val="736"/>
        </w:trPr>
        <w:tc>
          <w:tcPr>
            <w:tcW w:w="1607" w:type="dxa"/>
            <w:vAlign w:val="center"/>
            <w:textDirection w:val="lrTb"/>
            <w:noWrap w:val="false"/>
          </w:tcPr>
          <w:p>
            <w:pPr>
              <w:jc w:val="center"/>
              <w:spacing w:line="278" w:lineRule="auto"/>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line="278" w:lineRule="auto"/>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bookmarkStart w:id="199" w:name="OLE_LINK5"/>
            <w:r>
              <w:rPr>
                <w:rFonts w:hint="eastAsia" w:asciiTheme="minorEastAsia" w:hAnsiTheme="minorEastAsia" w:eastAsiaTheme="minorEastAsia"/>
                <w:szCs w:val="21"/>
              </w:rPr>
              <w:t xml:space="preserve">1.乙方有权依据合同约定和项目需要，向甲方了解有关情况，调阅有关资料等，甲方应予积极配合；</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2.乙方有义务妥善保管和保护由甲方提供的前款信息和资料等；</w:t>
            </w:r>
            <w:r/>
          </w:p>
          <w:p>
            <w:pPr>
              <w:jc w:val="left"/>
              <w:spacing w:line="278" w:lineRule="auto"/>
              <w:rPr>
                <w:rFonts w:hint="eastAsia" w:ascii="宋体" w:hAnsi="宋体"/>
                <w:szCs w:val="21"/>
              </w:rPr>
            </w:pPr>
            <w:r>
              <w:rPr>
                <w:rFonts w:hint="eastAsia" w:asciiTheme="minorEastAsia" w:hAnsiTheme="minorEastAsia" w:eastAsiaTheme="minorEastAsia"/>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199"/>
            <w:r>
              <w:rPr>
                <w:rFonts w:hint="eastAsia" w:asciiTheme="minorEastAsia" w:hAnsiTheme="minorEastAsia" w:eastAsiaTheme="minorEastAsia"/>
                <w:szCs w:val="21"/>
              </w:rPr>
              <w:t xml:space="preserve">信息和资料。</w:t>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spacing w:line="278" w:lineRule="auto"/>
              <w:rPr>
                <w:rFonts w:hint="eastAsia" w:ascii="宋体" w:hAnsi="宋体"/>
                <w:szCs w:val="21"/>
              </w:rPr>
            </w:pPr>
            <w:r/>
            <w:bookmarkStart w:id="200" w:name="_Hlk177935615"/>
            <w:r>
              <w:rPr>
                <w:rFonts w:hint="eastAsia" w:ascii="宋体" w:hAnsi="宋体"/>
                <w:szCs w:val="21"/>
                <w:u w:val="single"/>
              </w:rPr>
              <w:t xml:space="preserve">合同签订并收到乙方开具的发票后10个工作日内支付本合同总价款的30%（人民币         元）；货物交付安装、调试完成、验收合格，并收到乙方开具的发票后10个工作日内再支付本合同总价款的15%（人民币         元）；余款（人民币           元）在货物质保期满并收到乙方开具的发票后10个工作日内付清。以上付款均通过银行转账，不计利息。</w:t>
            </w:r>
            <w:bookmarkEnd w:id="200"/>
            <w:r/>
            <w:r/>
          </w:p>
        </w:tc>
      </w:tr>
      <w:tr>
        <w:trPr>
          <w:trHeight w:val="697"/>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发生以下情况的，履约保证金不予退还或部分退还：</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a.签订合同后，乙方不履行合同义务的，甲方有权全额扣除履约保证金，全额不予退还，同时甲方亦有权终止合同，乙方还须承担相应的法律赔偿责任。</w:t>
            </w:r>
            <w:r/>
          </w:p>
          <w:p>
            <w:pPr>
              <w:jc w:val="left"/>
              <w:spacing w:line="400" w:lineRule="exact"/>
              <w:widowControl/>
              <w:rPr>
                <w:rFonts w:hint="eastAsia" w:ascii="华文楷体" w:hAnsi="华文楷体" w:eastAsia="华文楷体" w:cs="华文楷体"/>
                <w:sz w:val="22"/>
                <w:szCs w:val="21"/>
              </w:rPr>
            </w:pPr>
            <w:r>
              <w:rPr>
                <w:rFonts w:hint="eastAsia" w:asciiTheme="minorEastAsia" w:hAnsiTheme="minorEastAsia" w:eastAsiaTheme="minorEastAsia"/>
                <w:szCs w:val="21"/>
              </w:rPr>
              <w:t xml:space="preserve">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rPr>
              <w:t xml:space="preserve">以现金形式提交履约保证金的，乙方全部履行合同义务，经甲方验收合格无质量、进度等问题的，甲方在验收合格后</w:t>
            </w:r>
            <w:r>
              <w:rPr>
                <w:rFonts w:asciiTheme="minorEastAsia" w:hAnsiTheme="minorEastAsia" w:eastAsiaTheme="minorEastAsia"/>
              </w:rPr>
              <w:t xml:space="preserve">10</w:t>
            </w:r>
            <w:r>
              <w:rPr>
                <w:rFonts w:hint="eastAsia" w:asciiTheme="minorEastAsia" w:hAnsiTheme="minorEastAsia" w:eastAsiaTheme="minorEastAsia"/>
              </w:rPr>
              <w:t xml:space="preserve">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szCs w:val="21"/>
              </w:rPr>
              <w:t xml:space="preserve">质保期  年，质保期内维修、零配件更换、人工、差旅等所有费用由乙方承担。</w:t>
            </w:r>
            <w:bookmarkStart w:id="201" w:name="OLE_LINK12"/>
            <w:r>
              <w:rPr>
                <w:rFonts w:hint="eastAsia" w:asciiTheme="minorEastAsia" w:hAnsiTheme="minorEastAsia" w:eastAsiaTheme="minorEastAsia"/>
                <w:szCs w:val="21"/>
              </w:rPr>
              <w:t xml:space="preserve">乙方提供设备终身维修保养服务</w:t>
            </w:r>
            <w:bookmarkEnd w:id="201"/>
            <w:r/>
            <w:bookmarkStart w:id="202" w:name="OLE_LINK33"/>
            <w:r>
              <w:rPr>
                <w:rFonts w:hint="eastAsia" w:asciiTheme="minorEastAsia" w:hAnsiTheme="minorEastAsia" w:eastAsiaTheme="minorEastAsia"/>
                <w:szCs w:val="21"/>
              </w:rPr>
              <w:t xml:space="preserve">。</w:t>
            </w:r>
            <w:bookmarkEnd w:id="202"/>
            <w:r/>
            <w:r/>
          </w:p>
        </w:tc>
      </w:tr>
      <w:tr>
        <w:trPr>
          <w:trHeight w:val="784"/>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szCs w:val="21"/>
              </w:rPr>
              <w:t xml:space="preserve">如果设备交付使用后，缺陷多次反复出现，乙方必须提出分析报告和解决方案，更换该产品，直到最后纠正缺陷、乙方提供质保从纠正之日起重新计算质保期。</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spacing w:line="278" w:lineRule="auto"/>
              <w:rPr>
                <w:rFonts w:hint="eastAsia" w:ascii="宋体" w:hAnsi="宋体"/>
                <w:szCs w:val="21"/>
              </w:rPr>
            </w:pPr>
            <w:r>
              <w:rPr>
                <w:rFonts w:hint="eastAsia" w:asciiTheme="minorEastAsia" w:hAnsiTheme="minorEastAsia" w:eastAsiaTheme="minorEastAsia"/>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p>
        </w:tc>
      </w:tr>
      <w:tr>
        <w:trPr>
          <w:trHeight w:val="736"/>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spacing w:line="278" w:lineRule="auto"/>
              <w:rPr>
                <w:rFonts w:hint="eastAsia" w:asciiTheme="minorEastAsia" w:hAnsiTheme="minorEastAsia" w:eastAsiaTheme="minorEastAsia"/>
                <w:szCs w:val="21"/>
              </w:rPr>
            </w:pPr>
            <w:r/>
            <w:bookmarkStart w:id="203" w:name="OLE_LINK6"/>
            <w:r>
              <w:rPr>
                <w:rFonts w:hint="eastAsia" w:asciiTheme="minorEastAsia" w:hAnsiTheme="minorEastAsia" w:eastAsiaTheme="minorEastAsia"/>
                <w:szCs w:val="21"/>
              </w:rPr>
              <w:t xml:space="preserve">甲方未按合同规定的期限向乙方支付货款的，每逾期1天甲方向乙方偿付逾期款的万分之一作为逾期付款违约金，</w:t>
            </w:r>
            <w:bookmarkEnd w:id="203"/>
            <w:r>
              <w:rPr>
                <w:rFonts w:hint="eastAsia" w:asciiTheme="minorEastAsia" w:hAnsiTheme="minorEastAsia" w:eastAsiaTheme="minorEastAsia"/>
                <w:szCs w:val="21"/>
              </w:rPr>
              <w:t xml:space="preserve">但累计违约金总额不超过逾期款的5%。</w:t>
            </w:r>
            <w:r/>
          </w:p>
          <w:p>
            <w:pPr>
              <w:jc w:val="left"/>
              <w:spacing w:line="278" w:lineRule="auto"/>
              <w:rPr>
                <w:rFonts w:hint="eastAsia" w:ascii="宋体" w:hAnsi="宋体"/>
                <w:szCs w:val="21"/>
              </w:rPr>
            </w:pPr>
            <w:r>
              <w:rPr>
                <w:rFonts w:hint="eastAsia" w:ascii="宋体" w:hAnsi="宋体"/>
                <w:szCs w:val="21"/>
              </w:rPr>
              <w:t xml:space="preserve">但因财政支付审批流程等客观原因导致付款滞后的，甲方出具书面证明材料后免责。</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1.甲方无正当理由拒收货物、拒付货物款的，由甲方向乙方偿付本合同总价款5%的违约金。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2.如乙方不能按期交付货物、完成安装调试并验收通过的，甲方有权扣留全部履约保证金；同时乙方应向甲方支付本合同总价款5%的违约金。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4.乙方所交付的货物品种、型号、规格不符合合同规定的，甲方有权拒收并扣留乙方全部履约保证金。甲方拒收的，乙方应向甲方支付本合同总价款5%的违约金。</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6.乙方未按本合同的规定和“服务承诺”提供伴随服务/售后服务的，应承担甲方另行采购相关服务而支付的费用，并按本合同总价款的5%向甲方承担违约责任。</w:t>
            </w:r>
            <w:r/>
          </w:p>
          <w:p>
            <w:pPr>
              <w:jc w:val="left"/>
              <w:spacing w:line="278"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p>
          <w:p>
            <w:pPr>
              <w:jc w:val="left"/>
              <w:spacing w:line="278" w:lineRule="auto"/>
              <w:rPr>
                <w:rFonts w:hint="eastAsia" w:ascii="宋体" w:hAnsi="宋体"/>
                <w:szCs w:val="21"/>
              </w:rPr>
            </w:pPr>
            <w:r>
              <w:rPr>
                <w:rFonts w:hint="eastAsia" w:asciiTheme="minorEastAsia" w:hAnsiTheme="minorEastAsia" w:eastAsiaTheme="minorEastAsia"/>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278" w:lineRule="auto"/>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因本合同及合同有关事项发生的争议，按下列第</w:t>
            </w:r>
            <w:r>
              <w:rPr>
                <w:rFonts w:hint="eastAsia" w:cs="宋体" w:asciiTheme="minorEastAsia" w:hAnsiTheme="minorEastAsia" w:eastAsiaTheme="minorEastAsia"/>
                <w:iCs/>
                <w:szCs w:val="21"/>
                <w:u w:val="single"/>
              </w:rPr>
              <w:t xml:space="preserve">（1）</w:t>
            </w:r>
            <w:r>
              <w:rPr>
                <w:rFonts w:hint="eastAsia" w:cs="宋体" w:asciiTheme="minorEastAsia" w:hAnsiTheme="minorEastAsia" w:eastAsiaTheme="minorEastAsia"/>
                <w:iCs/>
                <w:szCs w:val="21"/>
              </w:rPr>
              <w:t xml:space="preserve">种方式解决：</w:t>
            </w:r>
            <w:r/>
          </w:p>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（1）向</w:t>
            </w:r>
            <w:r>
              <w:rPr>
                <w:rFonts w:hint="eastAsia" w:cs="宋体" w:asciiTheme="minorEastAsia" w:hAnsiTheme="minorEastAsia" w:eastAsiaTheme="minorEastAsia"/>
                <w:iCs/>
                <w:szCs w:val="21"/>
                <w:u w:val="single"/>
              </w:rPr>
              <w:t xml:space="preserve">南通市</w:t>
            </w:r>
            <w:r>
              <w:rPr>
                <w:rFonts w:hint="eastAsia" w:cs="宋体" w:asciiTheme="minorEastAsia" w:hAnsiTheme="minorEastAsia" w:eastAsiaTheme="minorEastAsia"/>
                <w:iCs/>
                <w:szCs w:val="21"/>
              </w:rPr>
              <w:t xml:space="preserve">仲裁委员会申请仲裁，仲裁地点为</w:t>
            </w:r>
            <w:r>
              <w:rPr>
                <w:rFonts w:hint="eastAsia" w:cs="宋体" w:asciiTheme="minorEastAsia" w:hAnsiTheme="minorEastAsia" w:eastAsiaTheme="minorEastAsia"/>
                <w:iCs/>
                <w:szCs w:val="21"/>
                <w:u w:val="single"/>
              </w:rPr>
              <w:t xml:space="preserve">  南通市   </w:t>
            </w:r>
            <w:r>
              <w:rPr>
                <w:rFonts w:hint="eastAsia" w:cs="宋体" w:asciiTheme="minorEastAsia" w:hAnsiTheme="minorEastAsia" w:eastAsiaTheme="minorEastAsia"/>
                <w:iCs/>
                <w:szCs w:val="21"/>
              </w:rPr>
              <w:t xml:space="preserve">；</w:t>
            </w:r>
            <w:r/>
          </w:p>
          <w:p>
            <w:pPr>
              <w:jc w:val="left"/>
              <w:spacing w:line="278" w:lineRule="auto"/>
              <w:rPr>
                <w:rFonts w:hint="eastAsia" w:ascii="宋体" w:hAnsi="宋体"/>
                <w:szCs w:val="21"/>
                <w:u w:val="single"/>
              </w:rPr>
            </w:pPr>
            <w:r>
              <w:rPr>
                <w:rFonts w:hint="eastAsia" w:cs="宋体" w:asciiTheme="minorEastAsia" w:hAnsiTheme="minorEastAsia" w:eastAsiaTheme="minorEastAsia"/>
                <w:iCs/>
                <w:szCs w:val="21"/>
              </w:rPr>
              <w:t xml:space="preserve">（2）向甲方所在地有管辖权的人民法院起诉。</w:t>
            </w:r>
            <w:r/>
          </w:p>
        </w:tc>
      </w:tr>
      <w:tr>
        <w:trPr>
          <w:trHeight w:val="770"/>
        </w:trPr>
        <w:tc>
          <w:tcPr>
            <w:tcW w:w="1607" w:type="dxa"/>
            <w:vAlign w:val="center"/>
            <w:textDirection w:val="lrTb"/>
            <w:noWrap w:val="false"/>
          </w:tcPr>
          <w:p>
            <w:pPr>
              <w:jc w:val="center"/>
              <w:spacing w:line="278" w:lineRule="auto"/>
              <w:rPr>
                <w:rFonts w:hint="eastAsia" w:ascii="宋体" w:hAnsi="宋体"/>
                <w:szCs w:val="21"/>
              </w:rPr>
            </w:pPr>
            <w:r>
              <w:rPr>
                <w:rFonts w:hint="eastAsia" w:ascii="宋体" w:hAnsi="宋体"/>
                <w:szCs w:val="21"/>
              </w:rPr>
              <w:t xml:space="preserve">第二节</w:t>
            </w:r>
            <w:r/>
          </w:p>
          <w:p>
            <w:pPr>
              <w:jc w:val="center"/>
              <w:spacing w:line="278" w:lineRule="auto"/>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spacing w:line="278" w:lineRule="auto"/>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spacing w:line="278" w:lineRule="auto"/>
              <w:rPr>
                <w:szCs w:val="24"/>
              </w:rPr>
            </w:pPr>
            <w:r>
              <w:rPr>
                <w:rFonts w:hint="eastAsia" w:asciiTheme="minorEastAsia" w:hAnsiTheme="minorEastAsia" w:eastAsiaTheme="minorEastAsia"/>
                <w:szCs w:val="21"/>
              </w:rPr>
              <w:t xml:space="preserve">因货物的质量问题发生争议的，应当邀请国家认可的质量检测机构对货物质量进行鉴定。货物符合标准的，鉴定费由甲方承担；货物不符合质量标准的，鉴定费由乙方承担。</w:t>
            </w:r>
            <w:r/>
          </w:p>
        </w:tc>
      </w:tr>
    </w:tbl>
    <w:p>
      <w:pPr>
        <w:spacing w:line="278" w:lineRule="auto"/>
        <w:rPr>
          <w:szCs w:val="24"/>
        </w:rPr>
      </w:pPr>
      <w:r>
        <w:rPr>
          <w:szCs w:val="24"/>
        </w:rPr>
      </w:r>
      <w:r/>
    </w:p>
    <w:p>
      <w:pPr>
        <w:jc w:val="center"/>
        <w:spacing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第四章 采购需求</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项目属性:货物类项目。</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p>
    <w:tbl>
      <w:tblPr>
        <w:tblStyle w:val="715"/>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60"/>
        <w:gridCol w:w="2410"/>
        <w:gridCol w:w="850"/>
        <w:gridCol w:w="1985"/>
      </w:tblGrid>
      <w:tr>
        <w:trPr>
          <w:cantSplit/>
          <w:jc w:val="center"/>
        </w:trPr>
        <w:tc>
          <w:tcPr>
            <w:tcW w:w="846"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bookmarkStart w:id="204" w:name="_Hlk175314267"/>
            <w:r>
              <w:rPr>
                <w:rFonts w:hint="eastAsia" w:asciiTheme="majorEastAsia" w:hAnsiTheme="majorEastAsia" w:eastAsiaTheme="majorEastAsia" w:cstheme="majorEastAsia"/>
                <w:sz w:val="28"/>
                <w:szCs w:val="28"/>
              </w:rPr>
              <w:t xml:space="preserve">序号</w:t>
            </w:r>
            <w:r/>
          </w:p>
        </w:tc>
        <w:tc>
          <w:tcPr>
            <w:tcW w:w="3260"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采购标的</w:t>
            </w:r>
            <w:r/>
          </w:p>
        </w:tc>
        <w:tc>
          <w:tcPr>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对应中小企业划分标准所属行业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数量</w:t>
            </w:r>
            <w:r/>
          </w:p>
        </w:tc>
        <w:tc>
          <w:tcPr>
            <w:tcW w:w="1985" w:type="dxa"/>
            <w:vAlign w:val="center"/>
            <w:textDirection w:val="lrTb"/>
            <w:noWrap w:val="false"/>
          </w:tcPr>
          <w:p>
            <w:pPr>
              <w:jc w:val="center"/>
              <w:spacing w:line="48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是否属于强制环保节能产品</w:t>
            </w:r>
            <w:r/>
          </w:p>
        </w:tc>
      </w:tr>
      <w:tr>
        <w:trPr>
          <w:cantSplit/>
          <w:jc w:val="center"/>
          <w:trHeight w:val="291"/>
        </w:trPr>
        <w:tc>
          <w:tcPr>
            <w:tcW w:w="846" w:type="dxa"/>
            <w:vAlign w:val="center"/>
            <w:textDirection w:val="lrTb"/>
            <w:noWrap w:val="false"/>
          </w:tcPr>
          <w:p>
            <w:pPr>
              <w:jc w:val="center"/>
              <w:spacing w:line="480" w:lineRule="exact"/>
              <w:rPr>
                <w:rFonts w:hint="eastAsia" w:ascii="仿宋" w:hAnsi="仿宋" w:eastAsia="仿宋"/>
                <w:sz w:val="24"/>
                <w:szCs w:val="24"/>
              </w:rPr>
            </w:pPr>
            <w:r/>
            <w:bookmarkStart w:id="205" w:name="_Hlk174624518"/>
            <w:r/>
            <w:bookmarkStart w:id="206" w:name="OLE_LINK34"/>
            <w:r>
              <w:rPr>
                <w:rFonts w:hint="eastAsia" w:ascii="仿宋" w:hAnsi="仿宋" w:eastAsia="仿宋"/>
                <w:sz w:val="24"/>
                <w:szCs w:val="24"/>
              </w:rPr>
              <w:t xml:space="preserve">1</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洗瓶机</w:t>
            </w:r>
            <w:r/>
          </w:p>
        </w:tc>
        <w:tc>
          <w:tcPr>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否</w:t>
            </w:r>
            <w:bookmarkEnd w:id="205"/>
            <w:r/>
            <w:bookmarkEnd w:id="206"/>
            <w:r/>
            <w:r/>
          </w:p>
        </w:tc>
      </w:tr>
      <w:tr>
        <w:trPr>
          <w:cantSplit/>
          <w:jc w:val="center"/>
          <w:trHeight w:val="235"/>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超纯水机</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2台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222"/>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3</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高效液相色谱仪（DAD+FLD检测器）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bookmarkStart w:id="242" w:name="_GoBack"/>
            <w:r/>
            <w:bookmarkEnd w:id="242"/>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222"/>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4</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高效液相色谱仪（DAD检测器）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3台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473"/>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5</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80" w:lineRule="exact"/>
              <w:rPr>
                <w:rFonts w:hint="eastAsia" w:ascii="仿宋" w:hAnsi="仿宋" w:eastAsia="仿宋"/>
                <w:sz w:val="24"/>
                <w:szCs w:val="24"/>
              </w:rPr>
            </w:pPr>
            <w:r>
              <w:rPr>
                <w:rFonts w:hint="eastAsia" w:ascii="宋体" w:hAnsi="宋体"/>
                <w:sz w:val="24"/>
                <w:szCs w:val="24"/>
              </w:rPr>
              <w:t xml:space="preserve">超高效液相色谱仪</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sz w:val="24"/>
                <w:szCs w:val="24"/>
              </w:rPr>
              <w:t xml:space="preserve">否</w:t>
            </w:r>
            <w:r/>
          </w:p>
        </w:tc>
      </w:tr>
      <w:tr>
        <w:trPr>
          <w:cantSplit/>
          <w:jc w:val="center"/>
          <w:trHeight w:val="473"/>
        </w:trPr>
        <w:tc>
          <w:tcPr>
            <w:tcW w:w="846" w:type="dxa"/>
            <w:vAlign w:val="center"/>
            <w:textDirection w:val="lrTb"/>
            <w:noWrap w:val="false"/>
          </w:tcPr>
          <w:p>
            <w:pPr>
              <w:jc w:val="center"/>
              <w:spacing w:line="480" w:lineRule="exact"/>
              <w:rPr>
                <w:rFonts w:hint="eastAsia" w:ascii="仿宋" w:hAnsi="仿宋" w:eastAsia="仿宋"/>
                <w:sz w:val="24"/>
                <w:szCs w:val="24"/>
              </w:rPr>
            </w:pPr>
            <w:r>
              <w:rPr>
                <w:rFonts w:hint="eastAsia" w:ascii="仿宋" w:hAnsi="仿宋" w:eastAsia="仿宋"/>
                <w:sz w:val="24"/>
                <w:szCs w:val="24"/>
              </w:rPr>
              <w:t xml:space="preserve">6</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氮吹浓缩仪</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工业</w:t>
            </w:r>
            <w:r/>
          </w:p>
        </w:tc>
        <w:tc>
          <w:tcPr>
            <w:tcW w:w="850" w:type="dxa"/>
            <w:vAlign w:val="center"/>
            <w:textDirection w:val="lrTb"/>
            <w:noWrap w:val="false"/>
          </w:tcPr>
          <w:p>
            <w:pPr>
              <w:jc w:val="center"/>
              <w:spacing w:line="480" w:lineRule="exact"/>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1台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8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否</w:t>
            </w:r>
            <w:bookmarkEnd w:id="204"/>
            <w:r/>
            <w:r/>
          </w:p>
        </w:tc>
      </w:tr>
    </w:tbl>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p>
    <w:p>
      <w:pPr>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技术要求是指对采购标的功能和质量要求，包括性能、材料、结构、外观、安全，或者服务内容和标准等。</w:t>
      </w:r>
      <w:r/>
    </w:p>
    <w:p>
      <w:pPr>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本次采购需切实履行绿色采购，参照《</w:t>
      </w:r>
      <w:bookmarkStart w:id="207" w:name="OLE_LINK18"/>
      <w:r>
        <w:rPr>
          <w:rFonts w:hint="eastAsia" w:ascii="仿宋" w:hAnsi="仿宋" w:eastAsia="仿宋" w:cs="仿宋"/>
          <w:bCs/>
          <w:color w:val="000000"/>
          <w:sz w:val="28"/>
          <w:szCs w:val="28"/>
        </w:rPr>
        <w:t xml:space="preserve">江苏省财政厅关于加强政府绿色采购有关事项的通知</w:t>
      </w:r>
      <w:bookmarkEnd w:id="207"/>
      <w:r>
        <w:rPr>
          <w:rFonts w:hint="eastAsia" w:ascii="仿宋" w:hAnsi="仿宋" w:eastAsia="仿宋" w:cs="仿宋"/>
          <w:bCs/>
          <w:color w:val="000000"/>
          <w:sz w:val="28"/>
          <w:szCs w:val="28"/>
        </w:rPr>
        <w:t xml:space="preserve">》（苏财购〔2023〕65号），严格落实节能环保产品采购政策，严格执行绿色采购需求标准，推广使用低挥发性有机化合物产品，确保绿色采购落实到位。</w:t>
      </w:r>
      <w:r/>
    </w:p>
    <w:p>
      <w:pPr>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品目清单见《</w:t>
      </w:r>
      <w:bookmarkStart w:id="208" w:name="OLE_LINK14"/>
      <w:r>
        <w:rPr>
          <w:rFonts w:hint="eastAsia" w:ascii="仿宋" w:hAnsi="仿宋" w:eastAsia="仿宋" w:cs="仿宋"/>
          <w:bCs/>
          <w:color w:val="000000"/>
          <w:sz w:val="28"/>
          <w:szCs w:val="28"/>
        </w:rPr>
        <w:t xml:space="preserve">关于印发环境标志产品政府采购品目清单的通知</w:t>
      </w:r>
      <w:bookmarkEnd w:id="208"/>
      <w:r>
        <w:rPr>
          <w:rFonts w:hint="eastAsia" w:ascii="仿宋" w:hAnsi="仿宋" w:eastAsia="仿宋" w:cs="仿宋"/>
          <w:bCs/>
          <w:color w:val="000000"/>
          <w:sz w:val="28"/>
          <w:szCs w:val="28"/>
        </w:rPr>
        <w:t xml:space="preserve">》（</w:t>
      </w:r>
      <w:bookmarkStart w:id="209" w:name="OLE_LINK15"/>
      <w:r>
        <w:rPr>
          <w:rFonts w:hint="eastAsia" w:ascii="仿宋" w:hAnsi="仿宋" w:eastAsia="仿宋" w:cs="仿宋"/>
          <w:bCs/>
          <w:color w:val="000000"/>
          <w:sz w:val="28"/>
          <w:szCs w:val="28"/>
        </w:rPr>
        <w:t xml:space="preserve">财库〔2019〕18号</w:t>
      </w:r>
      <w:bookmarkEnd w:id="209"/>
      <w:r>
        <w:rPr>
          <w:rFonts w:hint="eastAsia" w:ascii="仿宋" w:hAnsi="仿宋" w:eastAsia="仿宋" w:cs="仿宋"/>
          <w:bCs/>
          <w:color w:val="000000"/>
          <w:sz w:val="28"/>
          <w:szCs w:val="28"/>
        </w:rPr>
        <w:t xml:space="preserve">）、《</w:t>
      </w:r>
      <w:bookmarkStart w:id="210" w:name="OLE_LINK16"/>
      <w:r>
        <w:rPr>
          <w:rFonts w:hint="eastAsia" w:ascii="仿宋" w:hAnsi="仿宋" w:eastAsia="仿宋" w:cs="仿宋"/>
          <w:bCs/>
          <w:color w:val="000000"/>
          <w:sz w:val="28"/>
          <w:szCs w:val="28"/>
        </w:rPr>
        <w:t xml:space="preserve">关于印发节能产品政府采购品目清单的通知</w:t>
      </w:r>
      <w:bookmarkEnd w:id="210"/>
      <w:r>
        <w:rPr>
          <w:rFonts w:hint="eastAsia" w:ascii="仿宋" w:hAnsi="仿宋" w:eastAsia="仿宋" w:cs="仿宋"/>
          <w:bCs/>
          <w:color w:val="000000"/>
          <w:sz w:val="28"/>
          <w:szCs w:val="28"/>
        </w:rPr>
        <w:t xml:space="preserve">》（</w:t>
      </w:r>
      <w:bookmarkStart w:id="211" w:name="OLE_LINK17"/>
      <w:r>
        <w:rPr>
          <w:rFonts w:hint="eastAsia" w:ascii="仿宋" w:hAnsi="仿宋" w:eastAsia="仿宋" w:cs="仿宋"/>
          <w:bCs/>
          <w:color w:val="000000"/>
          <w:sz w:val="28"/>
          <w:szCs w:val="28"/>
        </w:rPr>
        <w:t xml:space="preserve">财库〔2019〕19号</w:t>
      </w:r>
      <w:bookmarkEnd w:id="211"/>
      <w:r>
        <w:rPr>
          <w:rFonts w:hint="eastAsia" w:ascii="仿宋" w:hAnsi="仿宋" w:eastAsia="仿宋" w:cs="仿宋"/>
          <w:bCs/>
          <w:color w:val="000000"/>
          <w:sz w:val="28"/>
          <w:szCs w:val="28"/>
        </w:rPr>
        <w:t xml:space="preserve">）。</w:t>
      </w:r>
      <w:r/>
    </w:p>
    <w:p>
      <w:pPr>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需求标准见《商品包装政府采购需求标准（试行）》《快递包装政府采购需求标准（试行）》（财办库〔2020〕123号）、《绿色数据中心政府采购需求标准（试行）》（财库〔2023〕7号）。</w:t>
      </w:r>
      <w:r/>
    </w:p>
    <w:p>
      <w:pPr>
        <w:spacing w:line="360" w:lineRule="auto"/>
        <w:rPr>
          <w:rFonts w:hint="eastAsia" w:ascii="宋体" w:hAnsi="宋体"/>
          <w:sz w:val="24"/>
          <w:szCs w:val="24"/>
        </w:rPr>
      </w:pPr>
      <w:r>
        <w:rPr>
          <w:rFonts w:hint="eastAsia" w:ascii="宋体" w:hAnsi="宋体"/>
          <w:sz w:val="24"/>
          <w:szCs w:val="24"/>
        </w:rPr>
        <w:t xml:space="preserve">品目一：洗瓶机 1台</w:t>
      </w:r>
      <w:r/>
    </w:p>
    <w:p>
      <w:pPr>
        <w:spacing w:line="360" w:lineRule="auto"/>
        <w:rPr>
          <w:rFonts w:hint="eastAsia" w:ascii="宋体" w:hAnsi="宋体"/>
          <w:sz w:val="24"/>
          <w:szCs w:val="24"/>
        </w:rPr>
      </w:pPr>
      <w:r>
        <w:rPr>
          <w:rFonts w:hint="eastAsia" w:ascii="宋体" w:hAnsi="宋体"/>
          <w:sz w:val="24"/>
          <w:szCs w:val="24"/>
        </w:rPr>
        <w:t xml:space="preserve">1.技术指标</w:t>
      </w:r>
      <w:r/>
    </w:p>
    <w:p>
      <w:pPr>
        <w:spacing w:line="360" w:lineRule="auto"/>
        <w:rPr>
          <w:rFonts w:hint="eastAsia" w:ascii="宋体" w:hAnsi="宋体"/>
          <w:sz w:val="24"/>
          <w:szCs w:val="24"/>
        </w:rPr>
      </w:pPr>
      <w:r>
        <w:rPr>
          <w:rFonts w:hint="eastAsia" w:ascii="宋体" w:hAnsi="宋体"/>
          <w:sz w:val="24"/>
          <w:szCs w:val="24"/>
        </w:rPr>
        <w:t xml:space="preserve">1.1 仪器结构</w:t>
      </w:r>
      <w:r/>
    </w:p>
    <w:p>
      <w:pPr>
        <w:spacing w:line="360" w:lineRule="auto"/>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.1.1 外壳材质，304不锈钢；内腔材质，316L不锈钢；门体采用耐腐蚀、防爆、防刮花钢化玻璃，可视窗≥400×400mm能观察每个喷水口状况。</w:t>
      </w:r>
      <w:r/>
    </w:p>
    <w:p>
      <w:pPr>
        <w:spacing w:line="360" w:lineRule="auto"/>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.1.2清洗内腔容积≥315L，内腔上下喷淋臂距离≥950mm，因安装条件限制要求外部尺寸：长和宽和高：≤670mm和≤757mm和1650mm</w:t>
      </w:r>
      <w:r>
        <w:rPr>
          <w:rFonts w:hint="eastAsia" w:ascii="宋体" w:hAnsi="宋体"/>
          <w:sz w:val="24"/>
          <w:szCs w:val="24"/>
        </w:rPr>
        <w:t xml:space="preserve">±20mm。</w:t>
      </w:r>
      <w:r/>
    </w:p>
    <w:p>
      <w:pPr>
        <w:spacing w:line="360" w:lineRule="auto"/>
        <w:rPr>
          <w:rFonts w:hint="eastAsia" w:ascii="宋体" w:hAnsi="宋体"/>
          <w:sz w:val="24"/>
          <w:szCs w:val="24"/>
        </w:rPr>
      </w:pPr>
      <w:r>
        <w:rPr>
          <w:rFonts w:hint="eastAsia" w:ascii="宋体" w:hAnsi="宋体"/>
          <w:sz w:val="24"/>
          <w:szCs w:val="24"/>
        </w:rPr>
        <w:t xml:space="preserve">▲1.1.3 内腔压模成型，内腔需一体成型三面圆弧设计，没有直角边,洁净度更好清洗内腔无加热装置、无焊点、足够坚硬无需螺丝固定。</w:t>
      </w:r>
      <w:r/>
    </w:p>
    <w:p>
      <w:pPr>
        <w:spacing w:line="360" w:lineRule="auto"/>
        <w:rPr>
          <w:rFonts w:hint="eastAsia" w:ascii="宋体" w:hAnsi="宋体"/>
          <w:sz w:val="24"/>
          <w:szCs w:val="24"/>
        </w:rPr>
      </w:pPr>
      <w:r>
        <w:rPr>
          <w:rFonts w:hint="eastAsia" w:ascii="宋体" w:hAnsi="宋体"/>
          <w:sz w:val="24"/>
          <w:szCs w:val="24"/>
        </w:rPr>
        <w:t xml:space="preserve">1.1.4清洗模块采用最新无焊接工艺，避免焊接焊点脱落、焊点有污染物残留、喷管不好更换。</w:t>
      </w:r>
      <w:r/>
    </w:p>
    <w:p>
      <w:pPr>
        <w:spacing w:line="360" w:lineRule="auto"/>
        <w:rPr>
          <w:rFonts w:hint="eastAsia" w:ascii="宋体" w:hAnsi="宋体"/>
          <w:sz w:val="24"/>
          <w:szCs w:val="24"/>
        </w:rPr>
      </w:pPr>
      <w:r>
        <w:rPr>
          <w:rFonts w:hint="eastAsia" w:ascii="宋体" w:hAnsi="宋体"/>
          <w:sz w:val="24"/>
          <w:szCs w:val="24"/>
        </w:rPr>
        <w:t xml:space="preserve">1.2控制系统</w:t>
      </w:r>
      <w:r/>
    </w:p>
    <w:p>
      <w:pPr>
        <w:spacing w:line="360" w:lineRule="auto"/>
        <w:rPr>
          <w:rFonts w:hint="eastAsia" w:ascii="宋体" w:hAnsi="宋体"/>
          <w:sz w:val="24"/>
          <w:szCs w:val="24"/>
        </w:rPr>
      </w:pPr>
      <w:r>
        <w:rPr>
          <w:rFonts w:hint="eastAsia" w:ascii="宋体" w:hAnsi="宋体"/>
          <w:sz w:val="24"/>
          <w:szCs w:val="24"/>
        </w:rPr>
        <w:t xml:space="preserve">▲1.2.1 </w:t>
      </w:r>
      <w:r>
        <w:rPr>
          <w:rFonts w:hint="eastAsia" w:ascii="宋体" w:hAnsi="宋体"/>
          <w:color w:val="000000"/>
          <w:sz w:val="24"/>
          <w:szCs w:val="24"/>
        </w:rPr>
        <w:t xml:space="preserve">控制系统为微电脑芯片控制技术非PLC控制，7寸及以上全彩触摸屏（非电容屏），内置不少于30种标准清洗程序和120种自定义程序，可连接SCADA系统，可建立多个快捷方式，方便客户“一键运行”；具有三级权限管理和指纹识别权限管理系统，SD卡存储审计追踪系统功能。</w:t>
      </w:r>
      <w:r/>
    </w:p>
    <w:p>
      <w:pPr>
        <w:spacing w:line="360" w:lineRule="auto"/>
        <w:rPr>
          <w:rFonts w:hint="eastAsia" w:ascii="宋体" w:hAnsi="宋体"/>
          <w:sz w:val="24"/>
          <w:szCs w:val="24"/>
        </w:rPr>
      </w:pPr>
      <w:r>
        <w:rPr>
          <w:rFonts w:hint="eastAsia" w:ascii="宋体" w:hAnsi="宋体"/>
          <w:sz w:val="24"/>
          <w:szCs w:val="24"/>
        </w:rPr>
        <w:t xml:space="preserve">1.3循环系统</w:t>
      </w:r>
      <w:r/>
    </w:p>
    <w:p>
      <w:pPr>
        <w:spacing w:line="360" w:lineRule="auto"/>
        <w:rPr>
          <w:rFonts w:hint="eastAsia" w:ascii="宋体" w:hAnsi="宋体"/>
          <w:sz w:val="24"/>
          <w:szCs w:val="24"/>
        </w:rPr>
      </w:pPr>
      <w:r>
        <w:rPr>
          <w:rFonts w:hint="eastAsia" w:ascii="宋体" w:hAnsi="宋体"/>
          <w:sz w:val="24"/>
          <w:szCs w:val="24"/>
        </w:rPr>
        <w:t xml:space="preserve">1.3.1</w:t>
      </w:r>
      <w:r>
        <w:rPr>
          <w:rFonts w:hint="eastAsia" w:ascii="宋体" w:hAnsi="宋体"/>
          <w:color w:val="000000"/>
          <w:sz w:val="24"/>
          <w:szCs w:val="24"/>
        </w:rPr>
        <w:t xml:space="preserve">内置纯水增加泵，不得外置，并且仪器内置储水槽下方不得有主板等不耐水元器件，防止短路。</w:t>
      </w:r>
      <w:r/>
    </w:p>
    <w:p>
      <w:pPr>
        <w:spacing w:line="360" w:lineRule="auto"/>
        <w:rPr>
          <w:rFonts w:hint="eastAsia" w:ascii="宋体" w:hAnsi="宋体"/>
          <w:sz w:val="24"/>
          <w:szCs w:val="24"/>
        </w:rPr>
      </w:pPr>
      <w:r>
        <w:rPr>
          <w:rFonts w:hint="eastAsia" w:ascii="宋体" w:hAnsi="宋体"/>
          <w:sz w:val="24"/>
          <w:szCs w:val="24"/>
        </w:rPr>
        <w:t xml:space="preserve">1.4安全保护系统</w:t>
      </w:r>
      <w:r/>
    </w:p>
    <w:p>
      <w:pPr>
        <w:spacing w:line="360" w:lineRule="auto"/>
        <w:rPr>
          <w:rFonts w:hint="eastAsia" w:ascii="宋体" w:hAnsi="宋体"/>
          <w:sz w:val="24"/>
          <w:szCs w:val="24"/>
        </w:rPr>
      </w:pPr>
      <w:r>
        <w:rPr>
          <w:rFonts w:hint="eastAsia" w:ascii="宋体" w:hAnsi="宋体"/>
          <w:sz w:val="24"/>
          <w:szCs w:val="24"/>
        </w:rPr>
        <w:t xml:space="preserve">1.4.1 </w:t>
      </w:r>
      <w:r>
        <w:rPr>
          <w:rFonts w:hint="eastAsia" w:ascii="宋体" w:hAnsi="宋体"/>
          <w:color w:val="000000"/>
          <w:sz w:val="24"/>
          <w:szCs w:val="24"/>
        </w:rPr>
        <w:t xml:space="preserve">机器具有过温保护功能，漏水实时监测保护功能，机器具有停水自恢复功能；程序断电后自动记忆，清洗剂缺液自动显示提醒。</w:t>
      </w:r>
      <w:r/>
    </w:p>
    <w:p>
      <w:pPr>
        <w:spacing w:line="360" w:lineRule="auto"/>
        <w:rPr>
          <w:rFonts w:hint="eastAsia" w:ascii="宋体" w:hAnsi="宋体"/>
          <w:sz w:val="24"/>
          <w:szCs w:val="24"/>
        </w:rPr>
      </w:pPr>
      <w:r>
        <w:rPr>
          <w:rFonts w:hint="eastAsia" w:ascii="宋体" w:hAnsi="宋体"/>
          <w:sz w:val="24"/>
          <w:szCs w:val="24"/>
        </w:rPr>
        <w:t xml:space="preserve">1.4.2具有多层过滤系统：防止杂物进入管路造成堵塞，杂物有专用收集系统；</w:t>
      </w:r>
      <w:r/>
    </w:p>
    <w:p>
      <w:pPr>
        <w:spacing w:line="360" w:lineRule="auto"/>
        <w:rPr>
          <w:rFonts w:hint="eastAsia" w:ascii="宋体" w:hAnsi="宋体"/>
          <w:sz w:val="24"/>
          <w:szCs w:val="24"/>
        </w:rPr>
      </w:pPr>
      <w:r>
        <w:rPr>
          <w:rFonts w:hint="eastAsia" w:ascii="宋体" w:hAnsi="宋体"/>
          <w:sz w:val="24"/>
          <w:szCs w:val="24"/>
        </w:rPr>
        <w:t xml:space="preserve">1.4.3</w:t>
      </w:r>
      <w:r>
        <w:rPr>
          <w:rFonts w:hint="eastAsia" w:ascii="宋体" w:hAnsi="宋体"/>
          <w:color w:val="000000"/>
          <w:sz w:val="24"/>
          <w:szCs w:val="24"/>
        </w:rPr>
        <w:t xml:space="preserve">内腔不得有加热装置，防止瓶子的塑料件烧融化。</w:t>
      </w:r>
      <w:r/>
    </w:p>
    <w:p>
      <w:pPr>
        <w:spacing w:line="360" w:lineRule="auto"/>
        <w:rPr>
          <w:rFonts w:hint="eastAsia" w:ascii="宋体" w:hAnsi="宋体"/>
          <w:sz w:val="24"/>
          <w:szCs w:val="24"/>
        </w:rPr>
      </w:pPr>
      <w:r>
        <w:rPr>
          <w:rFonts w:hint="eastAsia" w:ascii="宋体" w:hAnsi="宋体"/>
          <w:sz w:val="24"/>
          <w:szCs w:val="24"/>
        </w:rPr>
        <w:t xml:space="preserve">1.5干燥系统</w:t>
      </w:r>
      <w:r/>
    </w:p>
    <w:p>
      <w:pPr>
        <w:spacing w:line="360" w:lineRule="auto"/>
        <w:rPr>
          <w:rFonts w:hint="eastAsia" w:ascii="宋体" w:hAnsi="宋体"/>
          <w:sz w:val="24"/>
          <w:szCs w:val="24"/>
        </w:rPr>
      </w:pPr>
      <w:r>
        <w:rPr>
          <w:rFonts w:hint="eastAsia" w:ascii="宋体" w:hAnsi="宋体"/>
          <w:sz w:val="24"/>
          <w:szCs w:val="24"/>
        </w:rPr>
        <w:t xml:space="preserve">1.5.1</w:t>
      </w:r>
      <w:r>
        <w:rPr>
          <w:rFonts w:hint="eastAsia" w:ascii="宋体" w:hAnsi="宋体"/>
          <w:color w:val="000000"/>
          <w:sz w:val="24"/>
          <w:szCs w:val="24"/>
        </w:rPr>
        <w:t xml:space="preserve">管道式压缩风机HEPA烘干系统，压缩管路最高真空压力可达110mbar，热风循环量不低于150m³/h，干燥空气通过注射清洗栏架直达器皿内部，可彻底干燥玻璃器皿的内部和外部，温度可调（室温～120℃），干燥时间（0～50分钟）；</w:t>
      </w:r>
      <w:r>
        <w:rPr>
          <w:rFonts w:hint="eastAsia" w:ascii="宋体" w:hAnsi="宋体"/>
          <w:sz w:val="24"/>
          <w:szCs w:val="24"/>
        </w:rPr>
        <w:t xml:space="preserve">▲1.5.2</w:t>
      </w:r>
      <w:r>
        <w:rPr>
          <w:rFonts w:hint="eastAsia" w:ascii="宋体" w:hAnsi="宋体"/>
          <w:color w:val="000000"/>
          <w:sz w:val="24"/>
          <w:szCs w:val="24"/>
        </w:rPr>
        <w:t xml:space="preserve">具有双重喷淋热交换系统，采用EU-W节水冷凝技术，烘干冷却0耗水量，无需冷却水。蒸汽冷凝器采用高品质不锈钢材料，能够在循环结束前冷却玻璃器皿。干燥过程耗水量为0L/次。（需提供干燥耗水量第三方检测报告佐证）</w:t>
      </w:r>
      <w:r/>
    </w:p>
    <w:p>
      <w:pPr>
        <w:spacing w:line="360" w:lineRule="auto"/>
        <w:rPr>
          <w:rFonts w:hint="eastAsia" w:ascii="宋体" w:hAnsi="宋体"/>
          <w:sz w:val="24"/>
          <w:szCs w:val="24"/>
        </w:rPr>
      </w:pPr>
      <w:r>
        <w:rPr>
          <w:rFonts w:hint="eastAsia"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t xml:space="preserve">品目二：超纯水机 2台</w:t>
      </w:r>
      <w:r/>
    </w:p>
    <w:p>
      <w:pPr>
        <w:spacing w:line="360" w:lineRule="auto"/>
        <w:rPr>
          <w:rFonts w:hint="eastAsia" w:ascii="宋体" w:hAnsi="宋体"/>
          <w:sz w:val="24"/>
          <w:szCs w:val="24"/>
        </w:rPr>
      </w:pPr>
      <w:r>
        <w:rPr>
          <w:rFonts w:hint="eastAsia" w:ascii="宋体" w:hAnsi="宋体"/>
          <w:sz w:val="24"/>
          <w:szCs w:val="24"/>
        </w:rPr>
        <w:t xml:space="preserve">1. 技术指标</w:t>
      </w:r>
      <w:r/>
    </w:p>
    <w:p>
      <w:pPr>
        <w:spacing w:line="360" w:lineRule="auto"/>
        <w:rPr>
          <w:rFonts w:hint="eastAsia" w:ascii="宋体" w:hAnsi="宋体"/>
          <w:sz w:val="24"/>
          <w:szCs w:val="24"/>
        </w:rPr>
      </w:pPr>
      <w:r>
        <w:rPr>
          <w:rFonts w:hint="eastAsia" w:ascii="宋体" w:hAnsi="宋体"/>
          <w:sz w:val="24"/>
          <w:szCs w:val="24"/>
        </w:rPr>
        <w:t xml:space="preserve">1.1 产水电阻率：≥18.2MΩ.cm@25℃，产水流0～1.5L/min连续可调。</w:t>
      </w:r>
      <w:r/>
    </w:p>
    <w:p>
      <w:pPr>
        <w:spacing w:line="360" w:lineRule="auto"/>
        <w:rPr>
          <w:rFonts w:hint="eastAsia" w:ascii="宋体" w:hAnsi="宋体"/>
          <w:sz w:val="24"/>
          <w:szCs w:val="24"/>
        </w:rPr>
      </w:pPr>
      <w:r>
        <w:rPr>
          <w:rFonts w:hint="eastAsia" w:ascii="宋体" w:hAnsi="宋体"/>
          <w:szCs w:val="21"/>
        </w:rPr>
        <w:t xml:space="preserve">▲</w:t>
      </w:r>
      <w:r>
        <w:rPr>
          <w:rFonts w:hint="eastAsia" w:ascii="宋体" w:hAnsi="宋体"/>
          <w:sz w:val="24"/>
          <w:szCs w:val="24"/>
        </w:rPr>
        <w:t xml:space="preserve">1.2 Pb/Hg/Cr/As重金属离子≤0.01ppb、Mn/Fe/Cu/Zn微量元素离子含量≤ 0.01ppb。投标时提供检测报告复印件。</w:t>
      </w:r>
      <w:r/>
    </w:p>
    <w:p>
      <w:pPr>
        <w:spacing w:line="360" w:lineRule="auto"/>
        <w:rPr>
          <w:rFonts w:hint="eastAsia" w:ascii="宋体" w:hAnsi="宋体"/>
          <w:sz w:val="24"/>
          <w:szCs w:val="24"/>
        </w:rPr>
      </w:pPr>
      <w:r>
        <w:rPr>
          <w:rFonts w:hint="eastAsia" w:ascii="宋体" w:hAnsi="宋体"/>
          <w:szCs w:val="21"/>
        </w:rPr>
        <w:t xml:space="preserve">▲</w:t>
      </w:r>
      <w:r>
        <w:rPr>
          <w:rFonts w:hint="eastAsia" w:ascii="宋体" w:hAnsi="宋体"/>
          <w:sz w:val="24"/>
          <w:szCs w:val="24"/>
        </w:rPr>
        <w:t xml:space="preserve">1.3 TOC≤5ppb，投标时提供检测报告复印件。</w:t>
      </w:r>
      <w:r/>
    </w:p>
    <w:p>
      <w:pPr>
        <w:spacing w:line="360" w:lineRule="auto"/>
        <w:rPr>
          <w:rFonts w:hint="eastAsia" w:ascii="宋体" w:hAnsi="宋体"/>
          <w:sz w:val="24"/>
          <w:szCs w:val="24"/>
        </w:rPr>
      </w:pPr>
      <w:r>
        <w:rPr>
          <w:rFonts w:hint="eastAsia" w:ascii="宋体" w:hAnsi="宋体"/>
          <w:sz w:val="24"/>
          <w:szCs w:val="24"/>
        </w:rPr>
        <w:t xml:space="preserve">1.4 纯化柱、紫外灯等均具备识别芯片，系统可自动识别类型、生产列号、安装日期、更换期限、过水量或剩余寿命。</w:t>
      </w:r>
      <w:r/>
    </w:p>
    <w:p>
      <w:pPr>
        <w:spacing w:line="360" w:lineRule="auto"/>
        <w:rPr>
          <w:rFonts w:hint="eastAsia" w:ascii="宋体" w:hAnsi="宋体"/>
          <w:sz w:val="24"/>
          <w:szCs w:val="24"/>
        </w:rPr>
      </w:pPr>
      <w:r>
        <w:rPr>
          <w:rFonts w:hint="eastAsia" w:ascii="宋体" w:hAnsi="宋体"/>
          <w:sz w:val="24"/>
          <w:szCs w:val="24"/>
        </w:rPr>
        <w:t xml:space="preserve">1.5 主机屏幕显示TOC数值，配置TOC检测模块，在线检测超纯水中的TOC，精度≤0.1ppb，检测范围:1～900ppb。系统内置双紫外灯，一个是内置纯化组件， 采用无汞设计，172nm紫外线氧化有机物，紫外灯无需预热，另外一个专门用于检测产水TOC的紫外灯。</w:t>
      </w:r>
      <w:r/>
    </w:p>
    <w:p>
      <w:pPr>
        <w:spacing w:line="360" w:lineRule="auto"/>
        <w:rPr>
          <w:rFonts w:hint="eastAsia" w:ascii="宋体" w:hAnsi="宋体"/>
          <w:sz w:val="24"/>
          <w:szCs w:val="24"/>
        </w:rPr>
      </w:pPr>
      <w:r>
        <w:rPr>
          <w:rFonts w:hint="eastAsia" w:ascii="宋体" w:hAnsi="宋体"/>
          <w:sz w:val="24"/>
          <w:szCs w:val="24"/>
        </w:rPr>
        <w:t xml:space="preserve">1.6 配置触控屏，具备进水液位显示，进水和产水水质显示，取水功能设置，系统设置、维护引导等。</w:t>
      </w:r>
      <w:r/>
    </w:p>
    <w:p>
      <w:pPr>
        <w:spacing w:line="360" w:lineRule="auto"/>
        <w:rPr>
          <w:rFonts w:hint="eastAsia" w:ascii="宋体" w:hAnsi="宋体"/>
          <w:sz w:val="24"/>
          <w:szCs w:val="24"/>
        </w:rPr>
      </w:pPr>
      <w:r>
        <w:rPr>
          <w:rFonts w:hint="eastAsia" w:ascii="宋体" w:hAnsi="宋体"/>
          <w:sz w:val="24"/>
          <w:szCs w:val="24"/>
        </w:rPr>
        <w:t xml:space="preserve">1.7 配置独立取水器，可与主机分离至少6米以上，可通过无数据线方式与主机通讯连接，可查看系统状态，可定量取水，可根据需求增配到8个以上取水器。</w:t>
      </w:r>
      <w:r/>
    </w:p>
    <w:p>
      <w:pPr>
        <w:spacing w:line="360" w:lineRule="auto"/>
        <w:rPr>
          <w:rFonts w:hint="eastAsia" w:ascii="宋体" w:hAnsi="宋体"/>
          <w:sz w:val="24"/>
          <w:szCs w:val="24"/>
        </w:rPr>
      </w:pPr>
      <w:r>
        <w:rPr>
          <w:rFonts w:hint="eastAsia" w:ascii="宋体" w:hAnsi="宋体"/>
          <w:sz w:val="24"/>
          <w:szCs w:val="24"/>
        </w:rPr>
        <w:t xml:space="preserve">1.8 内置进水电导率仪，可全程监控进水水质，并实时显示在主控屏上；在检测不合格时自动报警，并设置有自动停机。</w:t>
      </w:r>
      <w:r/>
    </w:p>
    <w:p>
      <w:pPr>
        <w:spacing w:line="360" w:lineRule="auto"/>
        <w:rPr>
          <w:rFonts w:hint="eastAsia" w:ascii="宋体" w:hAnsi="宋体"/>
          <w:sz w:val="24"/>
          <w:szCs w:val="24"/>
        </w:rPr>
      </w:pPr>
      <w:r>
        <w:rPr>
          <w:rFonts w:hint="eastAsia" w:ascii="宋体" w:hAnsi="宋体"/>
          <w:sz w:val="24"/>
          <w:szCs w:val="24"/>
        </w:rPr>
        <w:t xml:space="preserve">1.9 配置通用型进水液位检测装置，适合各种类型储水容器，在线检测储水容器的液位，液位精度≤1%，并实时显示在主控屏上；当进水低于设定液位时机器自动停止运行，进水缺水保护，能够进行声音报警。</w:t>
      </w:r>
      <w:r/>
    </w:p>
    <w:p>
      <w:pPr>
        <w:spacing w:line="360" w:lineRule="auto"/>
        <w:rPr>
          <w:rFonts w:hint="eastAsia" w:ascii="宋体" w:hAnsi="宋体"/>
          <w:sz w:val="24"/>
          <w:szCs w:val="24"/>
        </w:rPr>
      </w:pPr>
      <w:r>
        <w:rPr>
          <w:rFonts w:hint="eastAsia" w:ascii="宋体" w:hAnsi="宋体"/>
          <w:sz w:val="24"/>
          <w:szCs w:val="24"/>
        </w:rPr>
        <w:t xml:space="preserve">1.10 屏幕具备耗材状态显示及提示和报警信息，带有二维码耗材查询功能，并可在线获取耗材信息和质量证书。</w:t>
      </w:r>
      <w:r/>
    </w:p>
    <w:p>
      <w:pPr>
        <w:spacing w:line="360" w:lineRule="auto"/>
        <w:rPr>
          <w:rFonts w:hint="eastAsia" w:ascii="宋体" w:hAnsi="宋体"/>
          <w:sz w:val="24"/>
          <w:szCs w:val="24"/>
        </w:rPr>
      </w:pPr>
      <w:r>
        <w:rPr>
          <w:rFonts w:hint="eastAsia"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t xml:space="preserve">品目三：高效液相色谱仪（DAD+FLD检测器）  1台</w:t>
      </w:r>
      <w:r/>
    </w:p>
    <w:p>
      <w:pPr>
        <w:spacing w:line="360" w:lineRule="auto"/>
        <w:rPr>
          <w:rFonts w:hint="eastAsia" w:ascii="宋体" w:hAnsi="宋体"/>
          <w:sz w:val="24"/>
          <w:szCs w:val="24"/>
        </w:rPr>
      </w:pPr>
      <w:r>
        <w:rPr>
          <w:rFonts w:hint="eastAsia" w:ascii="宋体" w:hAnsi="宋体"/>
          <w:sz w:val="24"/>
          <w:szCs w:val="24"/>
        </w:rPr>
        <w:t xml:space="preserve">1、技术指标</w:t>
      </w:r>
      <w:r/>
    </w:p>
    <w:p>
      <w:pPr>
        <w:spacing w:line="360" w:lineRule="auto"/>
        <w:rPr>
          <w:rFonts w:hint="eastAsia" w:ascii="宋体" w:hAnsi="宋体"/>
          <w:sz w:val="24"/>
          <w:szCs w:val="24"/>
        </w:rPr>
      </w:pPr>
      <w:r>
        <w:rPr>
          <w:rFonts w:hint="eastAsia" w:ascii="宋体" w:hAnsi="宋体"/>
          <w:sz w:val="24"/>
          <w:szCs w:val="24"/>
        </w:rPr>
        <w:t xml:space="preserve">1.1 四元梯度泵</w:t>
      </w:r>
      <w:r/>
    </w:p>
    <w:p>
      <w:pPr>
        <w:spacing w:line="360" w:lineRule="auto"/>
        <w:rPr>
          <w:rFonts w:hint="eastAsia" w:ascii="宋体" w:hAnsi="宋体"/>
          <w:sz w:val="24"/>
          <w:szCs w:val="24"/>
        </w:rPr>
      </w:pPr>
      <w:r>
        <w:rPr>
          <w:rFonts w:hint="eastAsia" w:ascii="宋体" w:hAnsi="宋体"/>
          <w:sz w:val="24"/>
          <w:szCs w:val="24"/>
        </w:rPr>
        <w:t xml:space="preserve">1.1.1双柱塞串联泵</w:t>
      </w:r>
      <w:r/>
    </w:p>
    <w:p>
      <w:pPr>
        <w:spacing w:line="360" w:lineRule="auto"/>
        <w:rPr>
          <w:rFonts w:hint="eastAsia" w:ascii="宋体" w:hAnsi="宋体"/>
          <w:sz w:val="24"/>
          <w:szCs w:val="24"/>
        </w:rPr>
      </w:pPr>
      <w:r>
        <w:rPr>
          <w:rFonts w:hint="eastAsia" w:ascii="宋体" w:hAnsi="宋体"/>
          <w:sz w:val="24"/>
          <w:szCs w:val="24"/>
        </w:rPr>
        <w:t xml:space="preserve">1.1.2流速精密度：≤0.07%RSD；流速准确度：±1%；流速范围：0.001～8.0mL/min，0.001mL/min步进</w:t>
      </w:r>
      <w:r/>
    </w:p>
    <w:p>
      <w:pPr>
        <w:spacing w:line="360" w:lineRule="auto"/>
        <w:rPr>
          <w:rFonts w:hint="eastAsia" w:ascii="宋体" w:hAnsi="宋体"/>
          <w:sz w:val="24"/>
          <w:szCs w:val="24"/>
        </w:rPr>
      </w:pPr>
      <w:r>
        <w:rPr>
          <w:rFonts w:hint="eastAsia" w:ascii="宋体" w:hAnsi="宋体"/>
          <w:sz w:val="24"/>
          <w:szCs w:val="24"/>
        </w:rPr>
        <w:t xml:space="preserve">1.1.3压力范围：承压高限≥600bar</w:t>
      </w:r>
      <w:r/>
    </w:p>
    <w:p>
      <w:pPr>
        <w:spacing w:line="360" w:lineRule="auto"/>
        <w:rPr>
          <w:rFonts w:hint="eastAsia" w:ascii="宋体" w:hAnsi="宋体"/>
          <w:sz w:val="24"/>
          <w:szCs w:val="24"/>
        </w:rPr>
      </w:pPr>
      <w:r>
        <w:rPr>
          <w:rFonts w:hint="eastAsia" w:ascii="宋体" w:hAnsi="宋体"/>
          <w:sz w:val="24"/>
          <w:szCs w:val="24"/>
        </w:rPr>
        <w:t xml:space="preserve">1.1.4梯度组成精度：＜0.20%RSD </w:t>
      </w:r>
      <w:r/>
    </w:p>
    <w:p>
      <w:pPr>
        <w:spacing w:line="360" w:lineRule="auto"/>
        <w:rPr>
          <w:rFonts w:hint="eastAsia" w:ascii="宋体" w:hAnsi="宋体"/>
          <w:sz w:val="24"/>
          <w:szCs w:val="24"/>
        </w:rPr>
      </w:pPr>
      <w:r>
        <w:rPr>
          <w:rFonts w:hint="eastAsia" w:ascii="宋体" w:hAnsi="宋体"/>
          <w:sz w:val="24"/>
          <w:szCs w:val="24"/>
        </w:rPr>
        <w:t xml:space="preserve">1.1.5集成的脱气原件：4通道</w:t>
      </w:r>
      <w:r/>
    </w:p>
    <w:p>
      <w:pPr>
        <w:spacing w:line="360" w:lineRule="auto"/>
        <w:rPr>
          <w:rFonts w:hint="eastAsia" w:ascii="宋体" w:hAnsi="宋体"/>
          <w:sz w:val="24"/>
          <w:szCs w:val="24"/>
        </w:rPr>
      </w:pPr>
      <w:r>
        <w:rPr>
          <w:rFonts w:hint="eastAsia" w:ascii="宋体" w:hAnsi="宋体"/>
          <w:sz w:val="24"/>
          <w:szCs w:val="24"/>
        </w:rPr>
        <w:t xml:space="preserve">1.2 自动液体进样器</w:t>
      </w:r>
      <w:r/>
    </w:p>
    <w:p>
      <w:pPr>
        <w:spacing w:line="360" w:lineRule="auto"/>
        <w:rPr>
          <w:rFonts w:hint="eastAsia" w:ascii="宋体" w:hAnsi="宋体"/>
          <w:sz w:val="24"/>
          <w:szCs w:val="24"/>
        </w:rPr>
      </w:pPr>
      <w:r>
        <w:rPr>
          <w:rFonts w:hint="eastAsia" w:ascii="宋体" w:hAnsi="宋体"/>
          <w:sz w:val="24"/>
          <w:szCs w:val="24"/>
        </w:rPr>
        <w:t xml:space="preserve">1.2.1进样设计方式：阀进样技术，使用微型计量泵准确控制取样体积</w:t>
      </w:r>
      <w:r/>
    </w:p>
    <w:p>
      <w:pPr>
        <w:spacing w:line="360" w:lineRule="auto"/>
        <w:rPr>
          <w:rFonts w:hint="eastAsia" w:ascii="宋体" w:hAnsi="宋体"/>
          <w:sz w:val="24"/>
          <w:szCs w:val="24"/>
        </w:rPr>
      </w:pPr>
      <w:r>
        <w:rPr>
          <w:rFonts w:hint="eastAsia" w:ascii="宋体" w:hAnsi="宋体"/>
          <w:sz w:val="24"/>
          <w:szCs w:val="24"/>
        </w:rPr>
        <w:t xml:space="preserve">1.2.2进样范围：0.1～100μL，增量为0.1μL；进样精度：＜0.25%RSD</w:t>
      </w:r>
      <w:r/>
    </w:p>
    <w:p>
      <w:pPr>
        <w:spacing w:line="360" w:lineRule="auto"/>
        <w:rPr>
          <w:rFonts w:hint="eastAsia" w:ascii="宋体" w:hAnsi="宋体"/>
          <w:sz w:val="24"/>
          <w:szCs w:val="24"/>
        </w:rPr>
      </w:pPr>
      <w:r>
        <w:rPr>
          <w:rFonts w:hint="eastAsia" w:ascii="宋体" w:hAnsi="宋体"/>
          <w:sz w:val="24"/>
          <w:szCs w:val="24"/>
        </w:rPr>
        <w:t xml:space="preserve">1.2.3样品残留：＜0.004%</w:t>
      </w:r>
      <w:r/>
    </w:p>
    <w:p>
      <w:pPr>
        <w:spacing w:line="360" w:lineRule="auto"/>
        <w:rPr>
          <w:rFonts w:hint="eastAsia" w:ascii="宋体" w:hAnsi="宋体"/>
          <w:sz w:val="24"/>
          <w:szCs w:val="24"/>
        </w:rPr>
      </w:pPr>
      <w:r>
        <w:rPr>
          <w:rFonts w:hint="eastAsia" w:ascii="宋体" w:hAnsi="宋体"/>
          <w:sz w:val="24"/>
          <w:szCs w:val="24"/>
        </w:rPr>
        <w:t xml:space="preserve">1.2.4进样循环时间：20s</w:t>
      </w:r>
      <w:r/>
    </w:p>
    <w:p>
      <w:pPr>
        <w:spacing w:line="360" w:lineRule="auto"/>
        <w:rPr>
          <w:rFonts w:hint="eastAsia" w:ascii="宋体" w:hAnsi="宋体"/>
          <w:sz w:val="24"/>
          <w:szCs w:val="24"/>
        </w:rPr>
      </w:pPr>
      <w:r>
        <w:rPr>
          <w:rFonts w:hint="eastAsia" w:ascii="宋体" w:hAnsi="宋体"/>
          <w:sz w:val="24"/>
          <w:szCs w:val="24"/>
        </w:rPr>
        <w:t xml:space="preserve">▲1.2.5容量：不小于130×2mL小瓶。进样器样品仓温控范围最低温度小于5℃</w:t>
      </w:r>
      <w:r/>
    </w:p>
    <w:p>
      <w:pPr>
        <w:spacing w:line="360" w:lineRule="auto"/>
        <w:rPr>
          <w:rFonts w:hint="eastAsia" w:ascii="宋体" w:hAnsi="宋体"/>
          <w:sz w:val="24"/>
          <w:szCs w:val="24"/>
        </w:rPr>
      </w:pPr>
      <w:r>
        <w:rPr>
          <w:rFonts w:hint="eastAsia" w:ascii="宋体" w:hAnsi="宋体"/>
          <w:sz w:val="24"/>
          <w:szCs w:val="24"/>
        </w:rPr>
        <w:t xml:space="preserve">1.2.6编程进样：可进行柱前衍生，柱前样品稀释，自动混合等复杂进样方式</w:t>
      </w:r>
      <w:r/>
    </w:p>
    <w:p>
      <w:pPr>
        <w:spacing w:line="360" w:lineRule="auto"/>
        <w:rPr>
          <w:rFonts w:hint="eastAsia" w:ascii="宋体" w:hAnsi="宋体"/>
          <w:sz w:val="24"/>
          <w:szCs w:val="24"/>
        </w:rPr>
      </w:pPr>
      <w:r>
        <w:rPr>
          <w:rFonts w:hint="eastAsia" w:ascii="宋体" w:hAnsi="宋体"/>
          <w:sz w:val="24"/>
          <w:szCs w:val="24"/>
        </w:rPr>
        <w:t xml:space="preserve">1.2.7配置有冷光源照明系统，便于观察样品的摆放和监控运行状态  </w:t>
      </w:r>
      <w:r/>
    </w:p>
    <w:p>
      <w:pPr>
        <w:spacing w:line="360" w:lineRule="auto"/>
        <w:rPr>
          <w:rFonts w:hint="eastAsia" w:ascii="宋体" w:hAnsi="宋体"/>
          <w:sz w:val="24"/>
          <w:szCs w:val="24"/>
        </w:rPr>
      </w:pPr>
      <w:r>
        <w:rPr>
          <w:rFonts w:hint="eastAsia" w:ascii="宋体" w:hAnsi="宋体"/>
          <w:sz w:val="24"/>
          <w:szCs w:val="24"/>
        </w:rPr>
        <w:t xml:space="preserve">1.3 柱温箱  </w:t>
      </w:r>
      <w:r/>
    </w:p>
    <w:p>
      <w:pPr>
        <w:spacing w:line="360" w:lineRule="auto"/>
        <w:rPr>
          <w:rFonts w:hint="eastAsia" w:ascii="宋体" w:hAnsi="宋体"/>
          <w:sz w:val="24"/>
          <w:szCs w:val="24"/>
        </w:rPr>
      </w:pPr>
      <w:r>
        <w:rPr>
          <w:rFonts w:hint="eastAsia" w:ascii="宋体" w:hAnsi="宋体"/>
          <w:sz w:val="24"/>
          <w:szCs w:val="24"/>
        </w:rPr>
        <w:t xml:space="preserve">1.3.1温控模式：采用静态加热方式 </w:t>
      </w:r>
      <w:r/>
    </w:p>
    <w:p>
      <w:pPr>
        <w:spacing w:line="360" w:lineRule="auto"/>
        <w:rPr>
          <w:rFonts w:hint="eastAsia" w:ascii="宋体" w:hAnsi="宋体"/>
          <w:sz w:val="24"/>
          <w:szCs w:val="24"/>
        </w:rPr>
      </w:pPr>
      <w:r>
        <w:rPr>
          <w:rFonts w:hint="eastAsia" w:ascii="宋体" w:hAnsi="宋体"/>
          <w:sz w:val="24"/>
          <w:szCs w:val="24"/>
        </w:rPr>
        <w:t xml:space="preserve">1.3.2控温范围：10℃～85℃，可升降温；温度稳定性：±0.1℃；控温准确度：±0.5℃；温度精度：0.05℃</w:t>
      </w:r>
      <w:r/>
    </w:p>
    <w:p>
      <w:pPr>
        <w:spacing w:line="360" w:lineRule="auto"/>
        <w:rPr>
          <w:rFonts w:hint="eastAsia" w:ascii="宋体" w:hAnsi="宋体"/>
          <w:sz w:val="24"/>
          <w:szCs w:val="24"/>
        </w:rPr>
      </w:pPr>
      <w:r>
        <w:rPr>
          <w:rFonts w:hint="eastAsia" w:ascii="宋体" w:hAnsi="宋体"/>
          <w:sz w:val="24"/>
          <w:szCs w:val="24"/>
        </w:rPr>
        <w:t xml:space="preserve">▲1.3.3色谱柱容量：可放置</w:t>
      </w:r>
      <w:r>
        <w:rPr>
          <w:rFonts w:hint="eastAsia" w:ascii="宋体" w:hAnsi="宋体"/>
          <w:szCs w:val="21"/>
        </w:rPr>
        <w:t xml:space="preserve">≥</w:t>
      </w:r>
      <w:r>
        <w:rPr>
          <w:rFonts w:hint="eastAsia" w:ascii="宋体" w:hAnsi="宋体"/>
          <w:sz w:val="24"/>
          <w:szCs w:val="24"/>
        </w:rPr>
        <w:t xml:space="preserve">4根300mm长度色谱柱</w:t>
      </w:r>
      <w:r/>
    </w:p>
    <w:p>
      <w:pPr>
        <w:spacing w:line="360" w:lineRule="auto"/>
        <w:rPr>
          <w:rFonts w:hint="eastAsia" w:ascii="宋体" w:hAnsi="宋体"/>
          <w:sz w:val="24"/>
          <w:szCs w:val="24"/>
        </w:rPr>
      </w:pPr>
      <w:r>
        <w:rPr>
          <w:rFonts w:hint="eastAsia" w:ascii="宋体" w:hAnsi="宋体"/>
          <w:sz w:val="24"/>
          <w:szCs w:val="24"/>
        </w:rPr>
        <w:t xml:space="preserve">1.4 二极管阵列检测器</w:t>
      </w:r>
      <w:r/>
    </w:p>
    <w:p>
      <w:pPr>
        <w:spacing w:line="360" w:lineRule="auto"/>
        <w:rPr>
          <w:rFonts w:hint="eastAsia" w:ascii="宋体" w:hAnsi="宋体"/>
          <w:sz w:val="24"/>
          <w:szCs w:val="24"/>
        </w:rPr>
      </w:pPr>
      <w:r>
        <w:rPr>
          <w:rFonts w:hint="eastAsia" w:ascii="宋体" w:hAnsi="宋体"/>
          <w:sz w:val="24"/>
          <w:szCs w:val="24"/>
        </w:rPr>
        <w:t xml:space="preserve">1.4.1光源：氘灯</w:t>
      </w:r>
      <w:r/>
    </w:p>
    <w:p>
      <w:pPr>
        <w:spacing w:line="360" w:lineRule="auto"/>
        <w:rPr>
          <w:rFonts w:hint="eastAsia" w:ascii="宋体" w:hAnsi="宋体"/>
          <w:sz w:val="24"/>
          <w:szCs w:val="24"/>
        </w:rPr>
      </w:pPr>
      <w:r>
        <w:rPr>
          <w:rFonts w:hint="eastAsia" w:ascii="宋体" w:hAnsi="宋体"/>
          <w:sz w:val="24"/>
          <w:szCs w:val="24"/>
        </w:rPr>
        <w:t xml:space="preserve">1.4.2二极管数量：1024个</w:t>
      </w:r>
      <w:r/>
    </w:p>
    <w:p>
      <w:pPr>
        <w:spacing w:line="360" w:lineRule="auto"/>
        <w:rPr>
          <w:rFonts w:hint="eastAsia" w:ascii="宋体" w:hAnsi="宋体"/>
          <w:sz w:val="24"/>
          <w:szCs w:val="24"/>
        </w:rPr>
      </w:pPr>
      <w:r>
        <w:rPr>
          <w:rFonts w:hint="eastAsia" w:ascii="宋体" w:hAnsi="宋体"/>
          <w:sz w:val="24"/>
          <w:szCs w:val="24"/>
        </w:rPr>
        <w:t xml:space="preserve">1.4.3波长范围：190～800nm</w:t>
      </w:r>
      <w:r/>
    </w:p>
    <w:p>
      <w:pPr>
        <w:spacing w:line="360" w:lineRule="auto"/>
        <w:rPr>
          <w:rFonts w:hint="eastAsia" w:ascii="宋体" w:hAnsi="宋体"/>
          <w:sz w:val="24"/>
          <w:szCs w:val="24"/>
        </w:rPr>
      </w:pPr>
      <w:r>
        <w:rPr>
          <w:rFonts w:hint="eastAsia" w:ascii="宋体" w:hAnsi="宋体"/>
          <w:sz w:val="24"/>
          <w:szCs w:val="24"/>
        </w:rPr>
        <w:t xml:space="preserve">1.4.4基线噪音：＜±0.7×10</w:t>
      </w:r>
      <w:r>
        <w:rPr>
          <w:rFonts w:hint="eastAsia" w:ascii="宋体" w:hAnsi="宋体"/>
          <w:sz w:val="24"/>
          <w:szCs w:val="24"/>
          <w:vertAlign w:val="superscript"/>
        </w:rPr>
        <w:t xml:space="preserve">-5</w:t>
      </w:r>
      <w:r>
        <w:rPr>
          <w:rFonts w:hint="eastAsia" w:ascii="宋体" w:hAnsi="宋体"/>
          <w:sz w:val="24"/>
          <w:szCs w:val="24"/>
        </w:rPr>
        <w:t xml:space="preserve">AU；基线漂移：＜0.9×10</w:t>
      </w:r>
      <w:r>
        <w:rPr>
          <w:rFonts w:hint="eastAsia" w:ascii="宋体" w:hAnsi="宋体"/>
          <w:sz w:val="24"/>
          <w:szCs w:val="24"/>
          <w:vertAlign w:val="superscript"/>
        </w:rPr>
        <w:t xml:space="preserve">-3</w:t>
      </w:r>
      <w:r>
        <w:rPr>
          <w:rFonts w:hint="eastAsia" w:ascii="宋体" w:hAnsi="宋体"/>
          <w:sz w:val="24"/>
          <w:szCs w:val="24"/>
        </w:rPr>
        <w:t xml:space="preserve">AU/小时</w:t>
      </w:r>
      <w:r/>
    </w:p>
    <w:p>
      <w:pPr>
        <w:spacing w:line="360" w:lineRule="auto"/>
        <w:rPr>
          <w:rFonts w:hint="eastAsia" w:ascii="宋体" w:hAnsi="宋体"/>
          <w:sz w:val="24"/>
          <w:szCs w:val="24"/>
        </w:rPr>
      </w:pPr>
      <w:r>
        <w:rPr>
          <w:rFonts w:hint="eastAsia" w:ascii="宋体" w:hAnsi="宋体"/>
          <w:sz w:val="24"/>
          <w:szCs w:val="24"/>
        </w:rPr>
        <w:t xml:space="preserve">1.4.5采样频率：120Hz</w:t>
      </w:r>
      <w:r/>
    </w:p>
    <w:p>
      <w:pPr>
        <w:spacing w:line="360" w:lineRule="auto"/>
        <w:rPr>
          <w:rFonts w:hint="eastAsia" w:ascii="宋体" w:hAnsi="宋体"/>
          <w:sz w:val="24"/>
          <w:szCs w:val="24"/>
        </w:rPr>
      </w:pPr>
      <w:r>
        <w:rPr>
          <w:rFonts w:hint="eastAsia" w:ascii="宋体" w:hAnsi="宋体"/>
          <w:sz w:val="24"/>
          <w:szCs w:val="24"/>
        </w:rPr>
        <w:t xml:space="preserve">1.4.6狭缝宽度：可编程狭缝     </w:t>
      </w:r>
      <w:r/>
    </w:p>
    <w:p>
      <w:pPr>
        <w:spacing w:line="360" w:lineRule="auto"/>
        <w:rPr>
          <w:rFonts w:hint="eastAsia" w:ascii="宋体" w:hAnsi="宋体"/>
          <w:sz w:val="24"/>
          <w:szCs w:val="24"/>
        </w:rPr>
      </w:pPr>
      <w:r>
        <w:rPr>
          <w:rFonts w:hint="eastAsia" w:ascii="宋体" w:hAnsi="宋体"/>
          <w:sz w:val="24"/>
          <w:szCs w:val="24"/>
        </w:rPr>
        <w:t xml:space="preserve">1.5 荧光检测器</w:t>
      </w:r>
      <w:r/>
    </w:p>
    <w:p>
      <w:pPr>
        <w:spacing w:line="360" w:lineRule="auto"/>
        <w:rPr>
          <w:rFonts w:hint="eastAsia" w:ascii="宋体" w:hAnsi="宋体"/>
          <w:sz w:val="24"/>
          <w:szCs w:val="24"/>
        </w:rPr>
      </w:pPr>
      <w:r>
        <w:rPr>
          <w:rFonts w:hint="eastAsia" w:ascii="宋体" w:hAnsi="宋体"/>
          <w:sz w:val="24"/>
          <w:szCs w:val="24"/>
        </w:rPr>
        <w:t xml:space="preserve">1.5.1 光源：氙灯</w:t>
      </w:r>
      <w:r/>
    </w:p>
    <w:p>
      <w:pPr>
        <w:spacing w:line="360" w:lineRule="auto"/>
        <w:rPr>
          <w:rFonts w:hint="eastAsia" w:ascii="宋体" w:hAnsi="宋体"/>
          <w:sz w:val="24"/>
          <w:szCs w:val="24"/>
        </w:rPr>
      </w:pPr>
      <w:r>
        <w:rPr>
          <w:rFonts w:hint="eastAsia" w:ascii="宋体" w:hAnsi="宋体"/>
          <w:sz w:val="24"/>
          <w:szCs w:val="24"/>
        </w:rPr>
        <w:t xml:space="preserve">1.5.2 数据最大采集速度：＞70Hz</w:t>
      </w:r>
      <w:r/>
    </w:p>
    <w:p>
      <w:pPr>
        <w:spacing w:line="360" w:lineRule="auto"/>
        <w:rPr>
          <w:rFonts w:hint="eastAsia" w:ascii="宋体" w:hAnsi="宋体"/>
          <w:sz w:val="24"/>
          <w:szCs w:val="24"/>
        </w:rPr>
      </w:pPr>
      <w:r>
        <w:rPr>
          <w:rFonts w:hint="eastAsia" w:ascii="宋体" w:hAnsi="宋体"/>
          <w:sz w:val="24"/>
          <w:szCs w:val="24"/>
        </w:rPr>
        <w:t xml:space="preserve">1.5.3 波长范围：210nm～880nm</w:t>
      </w:r>
      <w:r/>
    </w:p>
    <w:p>
      <w:pPr>
        <w:spacing w:line="360" w:lineRule="auto"/>
        <w:rPr>
          <w:rFonts w:hint="eastAsia" w:ascii="宋体" w:hAnsi="宋体"/>
          <w:sz w:val="24"/>
          <w:szCs w:val="24"/>
        </w:rPr>
      </w:pPr>
      <w:r>
        <w:rPr>
          <w:rFonts w:hint="eastAsia" w:ascii="宋体" w:hAnsi="宋体"/>
          <w:sz w:val="24"/>
          <w:szCs w:val="24"/>
        </w:rPr>
        <w:t xml:space="preserve">1.5.4 流通池体积：≤8μL</w:t>
      </w:r>
      <w:r/>
    </w:p>
    <w:p>
      <w:pPr>
        <w:spacing w:line="360" w:lineRule="auto"/>
        <w:rPr>
          <w:rFonts w:hint="eastAsia" w:ascii="宋体" w:hAnsi="宋体"/>
          <w:sz w:val="24"/>
          <w:szCs w:val="24"/>
        </w:rPr>
      </w:pPr>
      <w:r>
        <w:rPr>
          <w:rFonts w:hint="eastAsia" w:ascii="宋体" w:hAnsi="宋体"/>
          <w:sz w:val="24"/>
          <w:szCs w:val="24"/>
        </w:rPr>
        <w:t xml:space="preserve">2、原厂培训要求</w:t>
      </w:r>
      <w:r/>
    </w:p>
    <w:p>
      <w:pPr>
        <w:spacing w:line="360" w:lineRule="auto"/>
        <w:rPr>
          <w:rFonts w:hint="eastAsia" w:ascii="宋体" w:hAnsi="宋体"/>
          <w:sz w:val="24"/>
          <w:szCs w:val="24"/>
        </w:rPr>
      </w:pPr>
      <w:r>
        <w:rPr>
          <w:rFonts w:hint="eastAsia" w:ascii="宋体" w:hAnsi="宋体"/>
          <w:sz w:val="24"/>
          <w:szCs w:val="24"/>
        </w:rPr>
        <w:t xml:space="preserve">2.1每台仪器提供2个名额，参加原厂组织的高阶应用实操培训。</w:t>
      </w:r>
      <w:r/>
    </w:p>
    <w:p>
      <w:pPr>
        <w:spacing w:line="360" w:lineRule="auto"/>
        <w:rPr>
          <w:rFonts w:hint="eastAsia" w:ascii="宋体" w:hAnsi="宋体"/>
          <w:sz w:val="24"/>
          <w:szCs w:val="24"/>
        </w:rPr>
      </w:pPr>
      <w:r>
        <w:rPr>
          <w:rFonts w:hint="eastAsia"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t xml:space="preserve">品目四：高效液相色谱仪（DAD检测器） 3台</w:t>
      </w:r>
      <w:r/>
    </w:p>
    <w:p>
      <w:pPr>
        <w:spacing w:line="360" w:lineRule="auto"/>
        <w:rPr>
          <w:rFonts w:hint="eastAsia" w:ascii="宋体" w:hAnsi="宋体"/>
          <w:sz w:val="24"/>
          <w:szCs w:val="24"/>
        </w:rPr>
      </w:pPr>
      <w:r>
        <w:rPr>
          <w:rFonts w:hint="eastAsia" w:ascii="宋体" w:hAnsi="宋体"/>
          <w:sz w:val="24"/>
          <w:szCs w:val="24"/>
        </w:rPr>
        <w:t xml:space="preserve">1、技术指标</w:t>
      </w:r>
      <w:r/>
    </w:p>
    <w:p>
      <w:pPr>
        <w:spacing w:line="360" w:lineRule="auto"/>
        <w:rPr>
          <w:rFonts w:hint="eastAsia" w:ascii="宋体" w:hAnsi="宋体"/>
          <w:sz w:val="24"/>
          <w:szCs w:val="24"/>
        </w:rPr>
      </w:pPr>
      <w:r>
        <w:rPr>
          <w:rFonts w:hint="eastAsia" w:ascii="宋体" w:hAnsi="宋体"/>
          <w:sz w:val="24"/>
          <w:szCs w:val="24"/>
        </w:rPr>
        <w:t xml:space="preserve">1.1 四元梯度泵</w:t>
      </w:r>
      <w:r/>
    </w:p>
    <w:p>
      <w:pPr>
        <w:spacing w:line="360" w:lineRule="auto"/>
        <w:rPr>
          <w:rFonts w:hint="eastAsia" w:ascii="宋体" w:hAnsi="宋体"/>
          <w:sz w:val="24"/>
          <w:szCs w:val="24"/>
        </w:rPr>
      </w:pPr>
      <w:r>
        <w:rPr>
          <w:rFonts w:hint="eastAsia" w:ascii="宋体" w:hAnsi="宋体"/>
          <w:sz w:val="24"/>
          <w:szCs w:val="24"/>
        </w:rPr>
        <w:t xml:space="preserve">1.1.1双柱塞串联泵</w:t>
      </w:r>
      <w:r/>
    </w:p>
    <w:p>
      <w:pPr>
        <w:spacing w:line="360" w:lineRule="auto"/>
        <w:rPr>
          <w:rFonts w:hint="eastAsia" w:ascii="宋体" w:hAnsi="宋体"/>
          <w:sz w:val="24"/>
          <w:szCs w:val="24"/>
        </w:rPr>
      </w:pPr>
      <w:r>
        <w:rPr>
          <w:rFonts w:hint="eastAsia" w:ascii="宋体" w:hAnsi="宋体"/>
          <w:sz w:val="24"/>
          <w:szCs w:val="24"/>
        </w:rPr>
        <w:t xml:space="preserve">1.1.2流速精密度：≤0.07%RSD；流速准确度：±1%；流速范围：0.001～8.0mL/min，0.001mL/min步进 </w:t>
      </w:r>
      <w:r/>
    </w:p>
    <w:p>
      <w:pPr>
        <w:spacing w:line="360" w:lineRule="auto"/>
        <w:rPr>
          <w:rFonts w:hint="eastAsia" w:ascii="宋体" w:hAnsi="宋体"/>
          <w:sz w:val="24"/>
          <w:szCs w:val="24"/>
        </w:rPr>
      </w:pPr>
      <w:r>
        <w:rPr>
          <w:rFonts w:hint="eastAsia" w:ascii="宋体" w:hAnsi="宋体"/>
          <w:sz w:val="24"/>
          <w:szCs w:val="24"/>
        </w:rPr>
        <w:t xml:space="preserve">1.1.3压力范围：2台承压高限≥400bar,1台承压高限≥600bar</w:t>
      </w:r>
      <w:r/>
    </w:p>
    <w:p>
      <w:pPr>
        <w:spacing w:line="360" w:lineRule="auto"/>
        <w:rPr>
          <w:rFonts w:hint="eastAsia" w:ascii="宋体" w:hAnsi="宋体"/>
          <w:sz w:val="24"/>
          <w:szCs w:val="24"/>
        </w:rPr>
      </w:pPr>
      <w:r>
        <w:rPr>
          <w:rFonts w:hint="eastAsia" w:ascii="宋体" w:hAnsi="宋体"/>
          <w:sz w:val="24"/>
          <w:szCs w:val="24"/>
        </w:rPr>
        <w:t xml:space="preserve">1.1.4梯度组成精度：＜0.20%RSD </w:t>
      </w:r>
      <w:r/>
    </w:p>
    <w:p>
      <w:pPr>
        <w:spacing w:line="360" w:lineRule="auto"/>
        <w:rPr>
          <w:rFonts w:hint="eastAsia" w:ascii="宋体" w:hAnsi="宋体"/>
          <w:sz w:val="24"/>
          <w:szCs w:val="24"/>
        </w:rPr>
      </w:pPr>
      <w:r>
        <w:rPr>
          <w:rFonts w:hint="eastAsia" w:ascii="宋体" w:hAnsi="宋体"/>
          <w:sz w:val="24"/>
          <w:szCs w:val="24"/>
        </w:rPr>
        <w:t xml:space="preserve">1.1.5集成的脱气原件：4通道</w:t>
      </w:r>
      <w:r/>
    </w:p>
    <w:p>
      <w:pPr>
        <w:spacing w:line="360" w:lineRule="auto"/>
        <w:rPr>
          <w:rFonts w:hint="eastAsia" w:ascii="宋体" w:hAnsi="宋体"/>
          <w:sz w:val="24"/>
          <w:szCs w:val="24"/>
        </w:rPr>
      </w:pPr>
      <w:r>
        <w:rPr>
          <w:rFonts w:hint="eastAsia" w:ascii="宋体" w:hAnsi="宋体"/>
          <w:sz w:val="24"/>
          <w:szCs w:val="24"/>
        </w:rPr>
        <w:t xml:space="preserve">1.2 自动液体进样器</w:t>
      </w:r>
      <w:r/>
    </w:p>
    <w:p>
      <w:pPr>
        <w:spacing w:line="360" w:lineRule="auto"/>
        <w:rPr>
          <w:rFonts w:hint="eastAsia" w:ascii="宋体" w:hAnsi="宋体"/>
          <w:sz w:val="24"/>
          <w:szCs w:val="24"/>
        </w:rPr>
      </w:pPr>
      <w:r>
        <w:rPr>
          <w:rFonts w:hint="eastAsia" w:ascii="宋体" w:hAnsi="宋体"/>
          <w:sz w:val="24"/>
          <w:szCs w:val="24"/>
        </w:rPr>
        <w:t xml:space="preserve">1.2.1进样设计方式：阀进样技术，使用微型计量泵准确控制取样体积</w:t>
      </w:r>
      <w:r/>
    </w:p>
    <w:p>
      <w:pPr>
        <w:spacing w:line="360" w:lineRule="auto"/>
        <w:rPr>
          <w:rFonts w:hint="eastAsia" w:ascii="宋体" w:hAnsi="宋体"/>
          <w:sz w:val="24"/>
          <w:szCs w:val="24"/>
        </w:rPr>
      </w:pPr>
      <w:r>
        <w:rPr>
          <w:rFonts w:hint="eastAsia" w:ascii="宋体" w:hAnsi="宋体"/>
          <w:sz w:val="24"/>
          <w:szCs w:val="24"/>
        </w:rPr>
        <w:t xml:space="preserve">1.2.2进样范围：0.1～100μL，增量为0.1μL；进样精度：＜0.25%RSD</w:t>
      </w:r>
      <w:r/>
    </w:p>
    <w:p>
      <w:pPr>
        <w:spacing w:line="360" w:lineRule="auto"/>
        <w:rPr>
          <w:rFonts w:hint="eastAsia" w:ascii="宋体" w:hAnsi="宋体"/>
          <w:sz w:val="24"/>
          <w:szCs w:val="24"/>
        </w:rPr>
      </w:pPr>
      <w:r>
        <w:rPr>
          <w:rFonts w:hint="eastAsia" w:ascii="宋体" w:hAnsi="宋体"/>
          <w:sz w:val="24"/>
          <w:szCs w:val="24"/>
        </w:rPr>
        <w:t xml:space="preserve">1.2.3样品残留：＜0.004%</w:t>
      </w:r>
      <w:r/>
    </w:p>
    <w:p>
      <w:pPr>
        <w:spacing w:line="360" w:lineRule="auto"/>
        <w:rPr>
          <w:rFonts w:hint="eastAsia" w:ascii="宋体" w:hAnsi="宋体"/>
          <w:sz w:val="24"/>
          <w:szCs w:val="24"/>
        </w:rPr>
      </w:pPr>
      <w:r>
        <w:rPr>
          <w:rFonts w:hint="eastAsia" w:ascii="宋体" w:hAnsi="宋体"/>
          <w:sz w:val="24"/>
          <w:szCs w:val="24"/>
        </w:rPr>
        <w:t xml:space="preserve">1.2.4进样循环时间：20s</w:t>
      </w:r>
      <w:r/>
    </w:p>
    <w:p>
      <w:pPr>
        <w:spacing w:line="360" w:lineRule="auto"/>
        <w:rPr>
          <w:rFonts w:hint="eastAsia" w:ascii="宋体" w:hAnsi="宋体"/>
          <w:sz w:val="24"/>
          <w:szCs w:val="24"/>
        </w:rPr>
      </w:pPr>
      <w:r>
        <w:rPr>
          <w:rFonts w:hint="eastAsia" w:ascii="宋体" w:hAnsi="宋体"/>
          <w:sz w:val="24"/>
          <w:szCs w:val="24"/>
        </w:rPr>
        <w:t xml:space="preserve">▲1.2.5容量：不小于130×2mL小瓶。进样器样品仓温控范围最低温度小于5℃。</w:t>
      </w:r>
      <w:r/>
    </w:p>
    <w:p>
      <w:pPr>
        <w:spacing w:line="360" w:lineRule="auto"/>
        <w:rPr>
          <w:rFonts w:hint="eastAsia" w:ascii="宋体" w:hAnsi="宋体"/>
          <w:sz w:val="24"/>
          <w:szCs w:val="24"/>
        </w:rPr>
      </w:pPr>
      <w:r>
        <w:rPr>
          <w:rFonts w:hint="eastAsia" w:ascii="宋体" w:hAnsi="宋体"/>
          <w:sz w:val="24"/>
          <w:szCs w:val="24"/>
        </w:rPr>
        <w:t xml:space="preserve">1.2.6编程进样：可进行柱前衍生，柱前样品稀释，自动混合等复杂进样方式</w:t>
      </w:r>
      <w:r/>
    </w:p>
    <w:p>
      <w:pPr>
        <w:spacing w:line="360" w:lineRule="auto"/>
        <w:rPr>
          <w:rFonts w:hint="eastAsia" w:ascii="宋体" w:hAnsi="宋体"/>
          <w:sz w:val="24"/>
          <w:szCs w:val="24"/>
        </w:rPr>
      </w:pPr>
      <w:r>
        <w:rPr>
          <w:rFonts w:hint="eastAsia" w:ascii="宋体" w:hAnsi="宋体"/>
          <w:sz w:val="24"/>
          <w:szCs w:val="24"/>
        </w:rPr>
        <w:t xml:space="preserve">1.2.7配置有冷光源照明系统，便于观察样品的摆放和监控运行状态  </w:t>
      </w:r>
      <w:r/>
    </w:p>
    <w:p>
      <w:pPr>
        <w:spacing w:line="360" w:lineRule="auto"/>
        <w:rPr>
          <w:rFonts w:hint="eastAsia" w:ascii="宋体" w:hAnsi="宋体"/>
          <w:sz w:val="24"/>
          <w:szCs w:val="24"/>
        </w:rPr>
      </w:pPr>
      <w:r>
        <w:rPr>
          <w:rFonts w:hint="eastAsia" w:ascii="宋体" w:hAnsi="宋体"/>
          <w:sz w:val="24"/>
          <w:szCs w:val="24"/>
        </w:rPr>
        <w:t xml:space="preserve">1.3 柱温箱  </w:t>
      </w:r>
      <w:r/>
    </w:p>
    <w:p>
      <w:pPr>
        <w:spacing w:line="360" w:lineRule="auto"/>
        <w:rPr>
          <w:rFonts w:hint="eastAsia" w:ascii="宋体" w:hAnsi="宋体"/>
          <w:sz w:val="24"/>
          <w:szCs w:val="24"/>
        </w:rPr>
      </w:pPr>
      <w:r>
        <w:rPr>
          <w:rFonts w:hint="eastAsia" w:ascii="宋体" w:hAnsi="宋体"/>
          <w:sz w:val="24"/>
          <w:szCs w:val="24"/>
        </w:rPr>
        <w:t xml:space="preserve">1.3.1温控模式：采用静态加热方式 </w:t>
      </w:r>
      <w:r/>
    </w:p>
    <w:p>
      <w:pPr>
        <w:spacing w:line="360" w:lineRule="auto"/>
        <w:rPr>
          <w:rFonts w:hint="eastAsia" w:ascii="宋体" w:hAnsi="宋体"/>
          <w:sz w:val="24"/>
          <w:szCs w:val="24"/>
        </w:rPr>
      </w:pPr>
      <w:r>
        <w:rPr>
          <w:rFonts w:hint="eastAsia" w:ascii="宋体" w:hAnsi="宋体"/>
          <w:sz w:val="24"/>
          <w:szCs w:val="24"/>
        </w:rPr>
        <w:t xml:space="preserve">1.3.2控温范围：10℃～85℃，可升降温；温度稳定性：±0.1℃；控温准确度：±0.5℃；温度精度：0.05℃</w:t>
      </w:r>
      <w:r/>
    </w:p>
    <w:p>
      <w:pPr>
        <w:spacing w:line="360" w:lineRule="auto"/>
        <w:rPr>
          <w:rFonts w:hint="eastAsia" w:ascii="宋体" w:hAnsi="宋体"/>
          <w:sz w:val="24"/>
          <w:szCs w:val="24"/>
        </w:rPr>
      </w:pPr>
      <w:r>
        <w:rPr>
          <w:rFonts w:hint="eastAsia" w:ascii="宋体" w:hAnsi="宋体"/>
          <w:sz w:val="24"/>
          <w:szCs w:val="24"/>
        </w:rPr>
        <w:t xml:space="preserve">▲1.3.3色谱柱容量：可放置</w:t>
      </w:r>
      <w:r>
        <w:rPr>
          <w:rFonts w:hint="eastAsia" w:ascii="宋体" w:hAnsi="宋体"/>
          <w:szCs w:val="21"/>
        </w:rPr>
        <w:t xml:space="preserve">≥</w:t>
      </w:r>
      <w:r>
        <w:rPr>
          <w:rFonts w:hint="eastAsia" w:ascii="宋体" w:hAnsi="宋体"/>
          <w:sz w:val="24"/>
          <w:szCs w:val="24"/>
        </w:rPr>
        <w:t xml:space="preserve">4根300mm长度色谱柱</w:t>
      </w:r>
      <w:r/>
    </w:p>
    <w:p>
      <w:pPr>
        <w:spacing w:line="360" w:lineRule="auto"/>
        <w:rPr>
          <w:rFonts w:hint="eastAsia" w:ascii="宋体" w:hAnsi="宋体"/>
          <w:sz w:val="24"/>
          <w:szCs w:val="24"/>
        </w:rPr>
      </w:pPr>
      <w:r>
        <w:rPr>
          <w:rFonts w:hint="eastAsia" w:ascii="宋体" w:hAnsi="宋体"/>
          <w:sz w:val="24"/>
          <w:szCs w:val="24"/>
        </w:rPr>
        <w:t xml:space="preserve">1.4 二极管阵列检测器</w:t>
      </w:r>
      <w:r/>
    </w:p>
    <w:p>
      <w:pPr>
        <w:spacing w:line="360" w:lineRule="auto"/>
        <w:rPr>
          <w:rFonts w:hint="eastAsia" w:ascii="宋体" w:hAnsi="宋体"/>
          <w:sz w:val="24"/>
          <w:szCs w:val="24"/>
        </w:rPr>
      </w:pPr>
      <w:r>
        <w:rPr>
          <w:rFonts w:hint="eastAsia" w:ascii="宋体" w:hAnsi="宋体"/>
          <w:sz w:val="24"/>
          <w:szCs w:val="24"/>
        </w:rPr>
        <w:t xml:space="preserve">1.4.1光源：氘灯</w:t>
      </w:r>
      <w:r/>
    </w:p>
    <w:p>
      <w:pPr>
        <w:spacing w:line="360" w:lineRule="auto"/>
        <w:rPr>
          <w:rFonts w:hint="eastAsia" w:ascii="宋体" w:hAnsi="宋体"/>
          <w:sz w:val="24"/>
          <w:szCs w:val="24"/>
        </w:rPr>
      </w:pPr>
      <w:r>
        <w:rPr>
          <w:rFonts w:hint="eastAsia" w:ascii="宋体" w:hAnsi="宋体"/>
          <w:sz w:val="24"/>
          <w:szCs w:val="24"/>
        </w:rPr>
        <w:t xml:space="preserve">1.4.2二极管数量：1024个</w:t>
      </w:r>
      <w:r/>
    </w:p>
    <w:p>
      <w:pPr>
        <w:spacing w:line="360" w:lineRule="auto"/>
        <w:rPr>
          <w:rFonts w:hint="eastAsia" w:ascii="宋体" w:hAnsi="宋体"/>
          <w:sz w:val="24"/>
          <w:szCs w:val="24"/>
        </w:rPr>
      </w:pPr>
      <w:r>
        <w:rPr>
          <w:rFonts w:hint="eastAsia" w:ascii="宋体" w:hAnsi="宋体"/>
          <w:sz w:val="24"/>
          <w:szCs w:val="24"/>
        </w:rPr>
        <w:t xml:space="preserve">1.4.3波长范围：190～800nm</w:t>
      </w:r>
      <w:r/>
    </w:p>
    <w:p>
      <w:pPr>
        <w:spacing w:line="360" w:lineRule="auto"/>
        <w:rPr>
          <w:rFonts w:hint="eastAsia" w:ascii="宋体" w:hAnsi="宋体"/>
          <w:sz w:val="24"/>
          <w:szCs w:val="24"/>
        </w:rPr>
      </w:pPr>
      <w:r>
        <w:rPr>
          <w:rFonts w:hint="eastAsia" w:ascii="宋体" w:hAnsi="宋体"/>
          <w:sz w:val="24"/>
          <w:szCs w:val="24"/>
        </w:rPr>
        <w:t xml:space="preserve">1.4.4基线噪音：＜±0.7×10</w:t>
      </w:r>
      <w:r>
        <w:rPr>
          <w:rFonts w:hint="eastAsia" w:ascii="宋体" w:hAnsi="宋体"/>
          <w:sz w:val="24"/>
          <w:szCs w:val="24"/>
          <w:vertAlign w:val="superscript"/>
        </w:rPr>
        <w:t xml:space="preserve">-5</w:t>
      </w:r>
      <w:r>
        <w:rPr>
          <w:rFonts w:hint="eastAsia" w:ascii="宋体" w:hAnsi="宋体"/>
          <w:sz w:val="24"/>
          <w:szCs w:val="24"/>
        </w:rPr>
        <w:t xml:space="preserve">AU；基线漂移：＜0.9×10</w:t>
      </w:r>
      <w:r>
        <w:rPr>
          <w:rFonts w:hint="eastAsia" w:ascii="宋体" w:hAnsi="宋体"/>
          <w:sz w:val="24"/>
          <w:szCs w:val="24"/>
          <w:vertAlign w:val="superscript"/>
        </w:rPr>
        <w:t xml:space="preserve">-3</w:t>
      </w:r>
      <w:r>
        <w:rPr>
          <w:rFonts w:hint="eastAsia" w:ascii="宋体" w:hAnsi="宋体"/>
          <w:sz w:val="24"/>
          <w:szCs w:val="24"/>
        </w:rPr>
        <w:t xml:space="preserve">AU/小时</w:t>
      </w:r>
      <w:r/>
    </w:p>
    <w:p>
      <w:pPr>
        <w:spacing w:line="360" w:lineRule="auto"/>
        <w:rPr>
          <w:rFonts w:hint="eastAsia" w:ascii="宋体" w:hAnsi="宋体"/>
          <w:sz w:val="24"/>
          <w:szCs w:val="24"/>
        </w:rPr>
      </w:pPr>
      <w:r>
        <w:rPr>
          <w:rFonts w:hint="eastAsia" w:ascii="宋体" w:hAnsi="宋体"/>
          <w:sz w:val="24"/>
          <w:szCs w:val="24"/>
        </w:rPr>
        <w:t xml:space="preserve">1.4.5采样频率：120Hz</w:t>
      </w:r>
      <w:r/>
    </w:p>
    <w:p>
      <w:pPr>
        <w:spacing w:line="360" w:lineRule="auto"/>
        <w:rPr>
          <w:rFonts w:hint="eastAsia" w:ascii="宋体" w:hAnsi="宋体"/>
          <w:sz w:val="24"/>
          <w:szCs w:val="24"/>
        </w:rPr>
      </w:pPr>
      <w:r>
        <w:rPr>
          <w:rFonts w:hint="eastAsia" w:ascii="宋体" w:hAnsi="宋体"/>
          <w:sz w:val="24"/>
          <w:szCs w:val="24"/>
        </w:rPr>
        <w:t xml:space="preserve">1.4.6狭缝宽度：可编程狭缝     </w:t>
      </w:r>
      <w:r/>
    </w:p>
    <w:p>
      <w:pPr>
        <w:spacing w:line="360" w:lineRule="auto"/>
        <w:rPr>
          <w:rFonts w:hint="eastAsia" w:ascii="宋体" w:hAnsi="宋体"/>
          <w:sz w:val="24"/>
          <w:szCs w:val="24"/>
        </w:rPr>
      </w:pPr>
      <w:r>
        <w:rPr>
          <w:rFonts w:hint="eastAsia" w:ascii="宋体" w:hAnsi="宋体"/>
          <w:sz w:val="24"/>
          <w:szCs w:val="24"/>
        </w:rPr>
        <w:t xml:space="preserve">2、原厂培训要求</w:t>
      </w:r>
      <w:r/>
    </w:p>
    <w:p>
      <w:pPr>
        <w:spacing w:line="360" w:lineRule="auto"/>
        <w:rPr>
          <w:rFonts w:hint="eastAsia" w:ascii="宋体" w:hAnsi="宋体"/>
          <w:sz w:val="24"/>
          <w:szCs w:val="24"/>
        </w:rPr>
      </w:pPr>
      <w:r>
        <w:rPr>
          <w:rFonts w:hint="eastAsia" w:ascii="宋体" w:hAnsi="宋体"/>
          <w:sz w:val="24"/>
          <w:szCs w:val="24"/>
        </w:rPr>
        <w:t xml:space="preserve">2.1每台仪器提供2个名额，参加原厂组织的高阶应用实操培训。</w:t>
      </w:r>
      <w:r/>
    </w:p>
    <w:p>
      <w:pPr>
        <w:spacing w:line="360" w:lineRule="auto"/>
        <w:rPr>
          <w:rFonts w:hint="eastAsia" w:ascii="宋体" w:hAnsi="宋体"/>
          <w:sz w:val="24"/>
          <w:szCs w:val="24"/>
        </w:rPr>
      </w:pPr>
      <w:r>
        <w:rPr>
          <w:rFonts w:hint="eastAsia" w:ascii="宋体" w:hAnsi="宋体"/>
          <w:sz w:val="24"/>
          <w:szCs w:val="24"/>
        </w:rPr>
        <w:t xml:space="preserve"> </w:t>
      </w:r>
      <w:r/>
    </w:p>
    <w:p>
      <w:pPr>
        <w:spacing w:line="360" w:lineRule="auto"/>
        <w:rPr>
          <w:rFonts w:hint="eastAsia" w:ascii="宋体" w:hAnsi="宋体"/>
          <w:sz w:val="24"/>
          <w:szCs w:val="24"/>
        </w:rPr>
      </w:pPr>
      <w:r>
        <w:rPr>
          <w:rFonts w:hint="eastAsia" w:ascii="宋体" w:hAnsi="宋体"/>
          <w:sz w:val="24"/>
          <w:szCs w:val="24"/>
        </w:rPr>
        <w:t xml:space="preserve">品目五：超高效液相色谱仪1台</w:t>
      </w:r>
      <w:r/>
    </w:p>
    <w:p>
      <w:pPr>
        <w:spacing w:line="360" w:lineRule="auto"/>
        <w:rPr>
          <w:rFonts w:hint="eastAsia" w:ascii="宋体" w:hAnsi="宋体"/>
          <w:sz w:val="24"/>
          <w:szCs w:val="24"/>
        </w:rPr>
      </w:pPr>
      <w:r>
        <w:rPr>
          <w:rFonts w:hint="eastAsia" w:ascii="宋体" w:hAnsi="宋体"/>
          <w:sz w:val="24"/>
          <w:szCs w:val="24"/>
        </w:rPr>
        <w:t xml:space="preserve">1、技术指标</w:t>
      </w:r>
      <w:r/>
    </w:p>
    <w:p>
      <w:pPr>
        <w:spacing w:line="360" w:lineRule="auto"/>
        <w:rPr>
          <w:rFonts w:hint="eastAsia" w:ascii="宋体" w:hAnsi="宋体"/>
          <w:sz w:val="24"/>
          <w:szCs w:val="24"/>
        </w:rPr>
      </w:pPr>
      <w:r>
        <w:rPr>
          <w:rFonts w:hint="eastAsia" w:ascii="宋体" w:hAnsi="宋体"/>
          <w:sz w:val="24"/>
          <w:szCs w:val="24"/>
        </w:rPr>
        <w:t xml:space="preserve">1.1二元超高压混合梯度泵</w:t>
      </w:r>
      <w:r/>
    </w:p>
    <w:p>
      <w:pPr>
        <w:spacing w:line="360" w:lineRule="auto"/>
        <w:rPr>
          <w:rFonts w:hint="eastAsia" w:ascii="宋体" w:hAnsi="宋体"/>
          <w:sz w:val="24"/>
          <w:szCs w:val="24"/>
        </w:rPr>
      </w:pPr>
      <w:r>
        <w:rPr>
          <w:rFonts w:hint="eastAsia" w:ascii="宋体" w:hAnsi="宋体"/>
          <w:sz w:val="24"/>
          <w:szCs w:val="24"/>
        </w:rPr>
        <w:t xml:space="preserve">1.1.1流量范围：0.001mL/min～5.0mL/min，递增率0.001mL/min</w:t>
      </w:r>
      <w:r/>
    </w:p>
    <w:p>
      <w:pPr>
        <w:spacing w:line="360" w:lineRule="auto"/>
        <w:rPr>
          <w:rFonts w:hint="eastAsia" w:ascii="宋体" w:hAnsi="宋体"/>
          <w:sz w:val="24"/>
          <w:szCs w:val="24"/>
        </w:rPr>
      </w:pPr>
      <w:r>
        <w:rPr>
          <w:rFonts w:hint="eastAsia" w:ascii="宋体" w:hAnsi="宋体"/>
          <w:sz w:val="24"/>
          <w:szCs w:val="24"/>
        </w:rPr>
        <w:t xml:space="preserve">1.1.2压力范围：不小于0～1200bar</w:t>
      </w:r>
      <w:r/>
    </w:p>
    <w:p>
      <w:pPr>
        <w:spacing w:line="360" w:lineRule="auto"/>
        <w:rPr>
          <w:rFonts w:hint="eastAsia" w:ascii="宋体" w:hAnsi="宋体"/>
          <w:sz w:val="24"/>
          <w:szCs w:val="24"/>
        </w:rPr>
      </w:pPr>
      <w:r>
        <w:rPr>
          <w:rFonts w:hint="eastAsia" w:ascii="宋体" w:hAnsi="宋体"/>
          <w:sz w:val="24"/>
          <w:szCs w:val="24"/>
        </w:rPr>
        <w:t xml:space="preserve">1.1.3流速精密度：＜0.07%RSD</w:t>
      </w:r>
      <w:r/>
    </w:p>
    <w:p>
      <w:pPr>
        <w:spacing w:line="360" w:lineRule="auto"/>
        <w:rPr>
          <w:rFonts w:hint="eastAsia" w:ascii="宋体" w:hAnsi="宋体"/>
          <w:sz w:val="24"/>
          <w:szCs w:val="24"/>
        </w:rPr>
      </w:pPr>
      <w:r>
        <w:rPr>
          <w:rFonts w:hint="eastAsia" w:ascii="宋体" w:hAnsi="宋体"/>
          <w:sz w:val="24"/>
          <w:szCs w:val="24"/>
        </w:rPr>
        <w:t xml:space="preserve">1.1.4梯度洗脱：0～100%，最小递增率为0.1%</w:t>
      </w:r>
      <w:r/>
    </w:p>
    <w:p>
      <w:pPr>
        <w:spacing w:line="360" w:lineRule="auto"/>
        <w:rPr>
          <w:rFonts w:hint="eastAsia" w:ascii="宋体" w:hAnsi="宋体"/>
          <w:sz w:val="24"/>
          <w:szCs w:val="24"/>
        </w:rPr>
      </w:pPr>
      <w:r>
        <w:rPr>
          <w:rFonts w:hint="eastAsia" w:ascii="宋体" w:hAnsi="宋体"/>
          <w:sz w:val="24"/>
          <w:szCs w:val="24"/>
        </w:rPr>
        <w:t xml:space="preserve">▲1.1.5延迟体积： ≤90μL</w:t>
      </w:r>
      <w:r/>
    </w:p>
    <w:p>
      <w:pPr>
        <w:spacing w:line="360" w:lineRule="auto"/>
        <w:rPr>
          <w:rFonts w:hint="eastAsia" w:ascii="宋体" w:hAnsi="宋体"/>
          <w:sz w:val="24"/>
          <w:szCs w:val="24"/>
        </w:rPr>
      </w:pPr>
      <w:r>
        <w:rPr>
          <w:rFonts w:hint="eastAsia" w:ascii="宋体" w:hAnsi="宋体"/>
          <w:sz w:val="24"/>
          <w:szCs w:val="24"/>
        </w:rPr>
        <w:t xml:space="preserve">1.1.6梯度精度：±0.15%，不随反压变化</w:t>
      </w:r>
      <w:r/>
    </w:p>
    <w:p>
      <w:pPr>
        <w:spacing w:line="360" w:lineRule="auto"/>
        <w:rPr>
          <w:rFonts w:hint="eastAsia" w:ascii="宋体" w:hAnsi="宋体"/>
          <w:sz w:val="24"/>
          <w:szCs w:val="24"/>
        </w:rPr>
      </w:pPr>
      <w:r>
        <w:rPr>
          <w:rFonts w:hint="eastAsia" w:ascii="宋体" w:hAnsi="宋体"/>
          <w:sz w:val="24"/>
          <w:szCs w:val="24"/>
        </w:rPr>
        <w:t xml:space="preserve">1.2柱温箱</w:t>
      </w:r>
      <w:r/>
    </w:p>
    <w:p>
      <w:pPr>
        <w:spacing w:line="360" w:lineRule="auto"/>
        <w:rPr>
          <w:rFonts w:hint="eastAsia" w:ascii="宋体" w:hAnsi="宋体"/>
          <w:sz w:val="24"/>
          <w:szCs w:val="24"/>
        </w:rPr>
      </w:pPr>
      <w:r>
        <w:rPr>
          <w:rFonts w:hint="eastAsia" w:ascii="宋体" w:hAnsi="宋体"/>
          <w:sz w:val="24"/>
          <w:szCs w:val="24"/>
        </w:rPr>
        <w:t xml:space="preserve">1.2.1柱温范围：4～90℃，温度精度：</w:t>
      </w:r>
      <w:r>
        <w:rPr>
          <w:rFonts w:ascii="宋体" w:hAnsi="宋体"/>
          <w:sz w:val="24"/>
          <w:szCs w:val="24"/>
        </w:rPr>
        <w:t xml:space="preserve">±</w:t>
      </w:r>
      <w:r>
        <w:rPr>
          <w:rFonts w:hint="eastAsia" w:ascii="宋体" w:hAnsi="宋体"/>
          <w:sz w:val="24"/>
          <w:szCs w:val="24"/>
        </w:rPr>
        <w:t xml:space="preserve">0.05℃</w:t>
      </w:r>
      <w:r/>
    </w:p>
    <w:p>
      <w:pPr>
        <w:spacing w:line="360" w:lineRule="auto"/>
        <w:rPr>
          <w:rFonts w:hint="eastAsia" w:ascii="宋体" w:hAnsi="宋体"/>
          <w:sz w:val="24"/>
          <w:szCs w:val="24"/>
        </w:rPr>
      </w:pPr>
      <w:r>
        <w:rPr>
          <w:rFonts w:hint="eastAsia" w:ascii="宋体" w:hAnsi="宋体"/>
          <w:sz w:val="24"/>
          <w:szCs w:val="24"/>
        </w:rPr>
        <w:t xml:space="preserve">▲1.2.2 柱容量，同时容纳10cm柱8根或30cm柱4根，可内置可控温柱切换阀，可随意切换。</w:t>
      </w:r>
      <w:r/>
    </w:p>
    <w:p>
      <w:pPr>
        <w:spacing w:line="360" w:lineRule="auto"/>
        <w:rPr>
          <w:rFonts w:hint="eastAsia" w:ascii="宋体" w:hAnsi="宋体"/>
          <w:sz w:val="24"/>
          <w:szCs w:val="24"/>
        </w:rPr>
      </w:pPr>
      <w:r>
        <w:rPr>
          <w:rFonts w:hint="eastAsia" w:ascii="宋体" w:hAnsi="宋体"/>
          <w:sz w:val="24"/>
          <w:szCs w:val="24"/>
        </w:rPr>
        <w:t xml:space="preserve">1.3自动进样器：</w:t>
      </w:r>
      <w:r/>
    </w:p>
    <w:p>
      <w:pPr>
        <w:spacing w:line="360" w:lineRule="auto"/>
        <w:rPr>
          <w:rFonts w:hint="eastAsia" w:ascii="宋体" w:hAnsi="宋体"/>
          <w:sz w:val="24"/>
          <w:szCs w:val="24"/>
        </w:rPr>
      </w:pPr>
      <w:r>
        <w:rPr>
          <w:rFonts w:hint="eastAsia" w:ascii="宋体" w:hAnsi="宋体"/>
          <w:sz w:val="24"/>
          <w:szCs w:val="24"/>
        </w:rPr>
        <w:t xml:space="preserve">1.3.1样品容量：125样品盘 </w:t>
      </w:r>
      <w:r/>
    </w:p>
    <w:p>
      <w:pPr>
        <w:spacing w:line="360" w:lineRule="auto"/>
        <w:rPr>
          <w:rFonts w:hint="eastAsia" w:ascii="宋体" w:hAnsi="宋体"/>
          <w:sz w:val="24"/>
          <w:szCs w:val="24"/>
        </w:rPr>
      </w:pPr>
      <w:r>
        <w:rPr>
          <w:rFonts w:hint="eastAsia" w:ascii="宋体" w:hAnsi="宋体"/>
          <w:sz w:val="24"/>
          <w:szCs w:val="24"/>
        </w:rPr>
        <w:t xml:space="preserve">1.3.2进样范围：0.1～20μL，以0.1μL步进，改变进样体积无需更换定量环。</w:t>
      </w:r>
      <w:r/>
    </w:p>
    <w:p>
      <w:pPr>
        <w:spacing w:line="360" w:lineRule="auto"/>
        <w:rPr>
          <w:rFonts w:hint="eastAsia" w:ascii="宋体" w:hAnsi="宋体"/>
          <w:sz w:val="24"/>
          <w:szCs w:val="24"/>
        </w:rPr>
      </w:pPr>
      <w:r>
        <w:rPr>
          <w:rFonts w:hint="eastAsia" w:ascii="宋体" w:hAnsi="宋体"/>
          <w:sz w:val="24"/>
          <w:szCs w:val="24"/>
        </w:rPr>
        <w:t xml:space="preserve">1.3.3进样精度：＜0.15% RSD</w:t>
      </w:r>
      <w:r/>
    </w:p>
    <w:p>
      <w:pPr>
        <w:spacing w:line="360" w:lineRule="auto"/>
        <w:rPr>
          <w:rFonts w:hint="eastAsia" w:ascii="宋体" w:hAnsi="宋体"/>
          <w:sz w:val="24"/>
          <w:szCs w:val="24"/>
        </w:rPr>
      </w:pPr>
      <w:r>
        <w:rPr>
          <w:rFonts w:hint="eastAsia" w:ascii="宋体" w:hAnsi="宋体"/>
          <w:sz w:val="24"/>
          <w:szCs w:val="24"/>
        </w:rPr>
        <w:t xml:space="preserve">1.3.4 交叉污染：＜0.001%</w:t>
      </w:r>
      <w:r/>
    </w:p>
    <w:p>
      <w:pPr>
        <w:spacing w:line="360" w:lineRule="auto"/>
        <w:rPr>
          <w:rFonts w:hint="eastAsia" w:ascii="宋体" w:hAnsi="宋体"/>
          <w:sz w:val="24"/>
          <w:szCs w:val="24"/>
        </w:rPr>
      </w:pPr>
      <w:r>
        <w:rPr>
          <w:rFonts w:hint="eastAsia" w:ascii="宋体" w:hAnsi="宋体"/>
          <w:sz w:val="24"/>
          <w:szCs w:val="24"/>
        </w:rPr>
        <w:t xml:space="preserve">1.3.5进样次数：1～99次进样</w:t>
      </w:r>
      <w:r/>
    </w:p>
    <w:p>
      <w:pPr>
        <w:spacing w:line="360" w:lineRule="auto"/>
        <w:rPr>
          <w:rFonts w:hint="eastAsia" w:ascii="宋体" w:hAnsi="宋体"/>
          <w:sz w:val="24"/>
          <w:szCs w:val="24"/>
        </w:rPr>
      </w:pPr>
      <w:r>
        <w:rPr>
          <w:rFonts w:hint="eastAsia" w:ascii="宋体" w:hAnsi="宋体"/>
          <w:sz w:val="24"/>
          <w:szCs w:val="24"/>
        </w:rPr>
        <w:t xml:space="preserve">1.3.6进样器压力：不小于0～1200Bar</w:t>
      </w:r>
      <w:r/>
    </w:p>
    <w:p>
      <w:pPr>
        <w:spacing w:line="360" w:lineRule="auto"/>
        <w:rPr>
          <w:rFonts w:hint="eastAsia" w:ascii="宋体" w:hAnsi="宋体"/>
          <w:sz w:val="24"/>
          <w:szCs w:val="24"/>
        </w:rPr>
      </w:pPr>
      <w:r>
        <w:rPr>
          <w:rFonts w:hint="eastAsia" w:ascii="宋体" w:hAnsi="宋体"/>
          <w:sz w:val="24"/>
          <w:szCs w:val="24"/>
        </w:rPr>
        <w:t xml:space="preserve">1.3.7控制：进样体积，自动洗针程序，柱前自动衍生程序，取样及进样速率</w:t>
      </w:r>
      <w:r/>
    </w:p>
    <w:p>
      <w:pPr>
        <w:spacing w:line="360" w:lineRule="auto"/>
        <w:rPr>
          <w:rFonts w:hint="eastAsia" w:ascii="宋体" w:hAnsi="宋体"/>
          <w:sz w:val="24"/>
          <w:szCs w:val="24"/>
        </w:rPr>
      </w:pPr>
      <w:r>
        <w:rPr>
          <w:rFonts w:hint="eastAsia" w:ascii="宋体" w:hAnsi="宋体"/>
          <w:sz w:val="24"/>
          <w:szCs w:val="24"/>
        </w:rPr>
        <w:t xml:space="preserve">1.4二极管阵列紫外检测器</w:t>
      </w:r>
      <w:r/>
    </w:p>
    <w:p>
      <w:pPr>
        <w:spacing w:line="360" w:lineRule="auto"/>
        <w:rPr>
          <w:rFonts w:hint="eastAsia" w:ascii="宋体" w:hAnsi="宋体"/>
          <w:sz w:val="24"/>
          <w:szCs w:val="24"/>
        </w:rPr>
      </w:pPr>
      <w:r>
        <w:rPr>
          <w:rFonts w:hint="eastAsia" w:ascii="宋体" w:hAnsi="宋体"/>
          <w:sz w:val="24"/>
          <w:szCs w:val="24"/>
        </w:rPr>
        <w:t xml:space="preserve">1.4.1二极管对数：512对</w:t>
      </w:r>
      <w:r/>
    </w:p>
    <w:p>
      <w:pPr>
        <w:spacing w:line="360" w:lineRule="auto"/>
        <w:rPr>
          <w:rFonts w:hint="eastAsia" w:ascii="宋体" w:hAnsi="宋体"/>
          <w:sz w:val="24"/>
          <w:szCs w:val="24"/>
        </w:rPr>
      </w:pPr>
      <w:r>
        <w:rPr>
          <w:rFonts w:hint="eastAsia" w:ascii="宋体" w:hAnsi="宋体"/>
          <w:sz w:val="24"/>
          <w:szCs w:val="24"/>
        </w:rPr>
        <w:t xml:space="preserve">1.4.2波长范围：不小于190～600nm</w:t>
      </w:r>
      <w:r/>
    </w:p>
    <w:p>
      <w:pPr>
        <w:spacing w:line="360" w:lineRule="auto"/>
        <w:rPr>
          <w:rFonts w:hint="eastAsia" w:ascii="宋体" w:hAnsi="宋体"/>
          <w:sz w:val="24"/>
          <w:szCs w:val="24"/>
        </w:rPr>
      </w:pPr>
      <w:r>
        <w:rPr>
          <w:rFonts w:hint="eastAsia" w:ascii="宋体" w:hAnsi="宋体"/>
          <w:sz w:val="24"/>
          <w:szCs w:val="24"/>
        </w:rPr>
        <w:t xml:space="preserve">1.4.3二极管宽度：＜1nm</w:t>
      </w:r>
      <w:r/>
    </w:p>
    <w:p>
      <w:pPr>
        <w:spacing w:line="360" w:lineRule="auto"/>
        <w:rPr>
          <w:rFonts w:hint="eastAsia" w:ascii="宋体" w:hAnsi="宋体"/>
          <w:sz w:val="24"/>
          <w:szCs w:val="24"/>
        </w:rPr>
      </w:pPr>
      <w:r>
        <w:rPr>
          <w:rFonts w:hint="eastAsia" w:ascii="宋体" w:hAnsi="宋体"/>
          <w:sz w:val="24"/>
          <w:szCs w:val="24"/>
        </w:rPr>
        <w:t xml:space="preserve">1.4.4最大采集速率：120Hz</w:t>
      </w:r>
      <w:r/>
    </w:p>
    <w:p>
      <w:pPr>
        <w:spacing w:line="360" w:lineRule="auto"/>
        <w:rPr>
          <w:rFonts w:hint="eastAsia" w:ascii="宋体" w:hAnsi="宋体"/>
          <w:sz w:val="24"/>
          <w:szCs w:val="24"/>
        </w:rPr>
      </w:pPr>
      <w:r>
        <w:rPr>
          <w:rFonts w:hint="eastAsia" w:ascii="宋体" w:hAnsi="宋体"/>
          <w:sz w:val="24"/>
          <w:szCs w:val="24"/>
        </w:rPr>
        <w:t xml:space="preserve">▲1.4.5 噪音：＜±3×0</w:t>
      </w:r>
      <w:r>
        <w:rPr>
          <w:rFonts w:hint="eastAsia" w:ascii="宋体" w:hAnsi="宋体"/>
          <w:sz w:val="24"/>
          <w:szCs w:val="24"/>
          <w:vertAlign w:val="superscript"/>
        </w:rPr>
        <w:t xml:space="preserve">-6</w:t>
      </w:r>
      <w:r>
        <w:rPr>
          <w:rFonts w:hint="eastAsia" w:ascii="宋体" w:hAnsi="宋体"/>
          <w:sz w:val="24"/>
          <w:szCs w:val="24"/>
        </w:rPr>
        <w:t xml:space="preserve">AU/cm at 230nm</w:t>
      </w:r>
      <w:r/>
    </w:p>
    <w:p>
      <w:pPr>
        <w:spacing w:line="360" w:lineRule="auto"/>
        <w:rPr>
          <w:rFonts w:hint="eastAsia" w:ascii="宋体" w:hAnsi="宋体"/>
          <w:sz w:val="24"/>
          <w:szCs w:val="24"/>
        </w:rPr>
      </w:pPr>
      <w:r>
        <w:rPr>
          <w:rFonts w:hint="eastAsia" w:ascii="宋体" w:hAnsi="宋体"/>
          <w:sz w:val="24"/>
          <w:szCs w:val="24"/>
        </w:rPr>
        <w:t xml:space="preserve">1.4.6漂移：＜1×10</w:t>
      </w:r>
      <w:r>
        <w:rPr>
          <w:rFonts w:hint="eastAsia" w:ascii="宋体" w:hAnsi="宋体"/>
          <w:sz w:val="24"/>
          <w:szCs w:val="24"/>
          <w:vertAlign w:val="superscript"/>
        </w:rPr>
        <w:t xml:space="preserve">-3</w:t>
      </w:r>
      <w:r>
        <w:rPr>
          <w:rFonts w:hint="eastAsia" w:ascii="宋体" w:hAnsi="宋体"/>
          <w:sz w:val="24"/>
          <w:szCs w:val="24"/>
        </w:rPr>
        <w:t xml:space="preserve">AU/hr at 230nm</w:t>
      </w:r>
      <w:r/>
    </w:p>
    <w:p>
      <w:pPr>
        <w:spacing w:line="360" w:lineRule="auto"/>
        <w:rPr>
          <w:rFonts w:hint="eastAsia" w:ascii="宋体" w:hAnsi="宋体"/>
          <w:sz w:val="24"/>
          <w:szCs w:val="24"/>
        </w:rPr>
      </w:pPr>
      <w:r>
        <w:rPr>
          <w:rFonts w:hint="eastAsia" w:ascii="宋体" w:hAnsi="宋体"/>
          <w:sz w:val="24"/>
          <w:szCs w:val="24"/>
        </w:rPr>
        <w:t xml:space="preserve">1.4.7光纤式流通池，池体积≤2μL</w:t>
      </w:r>
      <w:r/>
    </w:p>
    <w:p>
      <w:pPr>
        <w:spacing w:line="360" w:lineRule="auto"/>
        <w:rPr>
          <w:rFonts w:hint="eastAsia" w:ascii="宋体" w:hAnsi="宋体"/>
          <w:sz w:val="24"/>
          <w:szCs w:val="24"/>
        </w:rPr>
      </w:pPr>
      <w:r>
        <w:rPr>
          <w:rFonts w:hint="eastAsia" w:ascii="宋体" w:hAnsi="宋体"/>
          <w:sz w:val="24"/>
          <w:szCs w:val="24"/>
        </w:rPr>
        <w:t xml:space="preserve">2、原厂培训要求</w:t>
      </w:r>
      <w:r/>
    </w:p>
    <w:p>
      <w:pPr>
        <w:spacing w:line="360" w:lineRule="auto"/>
        <w:rPr>
          <w:rFonts w:hint="eastAsia" w:ascii="宋体" w:hAnsi="宋体"/>
          <w:sz w:val="24"/>
          <w:szCs w:val="24"/>
        </w:rPr>
      </w:pPr>
      <w:r>
        <w:rPr>
          <w:rFonts w:hint="eastAsia" w:ascii="宋体" w:hAnsi="宋体"/>
          <w:sz w:val="24"/>
          <w:szCs w:val="24"/>
        </w:rPr>
        <w:t xml:space="preserve">2.1</w:t>
      </w:r>
      <w:bookmarkStart w:id="212" w:name="_Hlk181051775"/>
      <w:r>
        <w:rPr>
          <w:rFonts w:hint="eastAsia" w:ascii="宋体" w:hAnsi="宋体"/>
          <w:sz w:val="24"/>
          <w:szCs w:val="24"/>
        </w:rPr>
        <w:t xml:space="preserve">每台仪器提供2个名额，参加原厂组织的高阶应用实操培训</w:t>
      </w:r>
      <w:bookmarkEnd w:id="212"/>
      <w:r>
        <w:rPr>
          <w:rFonts w:hint="eastAsia" w:ascii="宋体" w:hAnsi="宋体"/>
          <w:sz w:val="24"/>
          <w:szCs w:val="24"/>
        </w:rPr>
        <w:t xml:space="preserve">。</w:t>
      </w:r>
      <w:r/>
    </w:p>
    <w:p>
      <w:pPr>
        <w:jc w:val="left"/>
        <w:widowControl/>
        <w:rPr>
          <w:rFonts w:hint="eastAsia" w:ascii="宋体" w:hAnsi="宋体"/>
          <w:b/>
          <w:bCs/>
          <w:sz w:val="24"/>
          <w:szCs w:val="24"/>
        </w:rPr>
      </w:pPr>
      <w:r>
        <w:rPr>
          <w:rFonts w:hint="eastAsia" w:ascii="黑体" w:hAnsi="Courier New" w:eastAsia="黑体" w:cs="宋体"/>
          <w:sz w:val="20"/>
          <w:szCs w:val="20"/>
        </w:rPr>
        <w:t xml:space="preserve"> </w:t>
      </w:r>
      <w:r>
        <w:rPr>
          <w:rFonts w:hint="eastAsia" w:ascii="宋体" w:hAnsi="宋体"/>
          <w:b/>
          <w:bCs/>
          <w:sz w:val="24"/>
          <w:szCs w:val="24"/>
        </w:rPr>
        <w:t xml:space="preserve"> </w:t>
      </w:r>
      <w:r/>
    </w:p>
    <w:p>
      <w:pPr>
        <w:spacing w:line="360" w:lineRule="auto"/>
        <w:rPr>
          <w:rFonts w:hint="eastAsia" w:ascii="宋体" w:hAnsi="宋体"/>
          <w:color w:val="000000"/>
          <w:sz w:val="24"/>
          <w:szCs w:val="24"/>
        </w:rPr>
      </w:pPr>
      <w:r>
        <w:rPr>
          <w:rFonts w:hint="eastAsia" w:ascii="宋体" w:hAnsi="宋体"/>
          <w:sz w:val="24"/>
          <w:szCs w:val="24"/>
        </w:rPr>
        <w:t xml:space="preserve">品目六：</w:t>
      </w:r>
      <w:r>
        <w:rPr>
          <w:rFonts w:hint="eastAsia" w:ascii="宋体" w:hAnsi="宋体"/>
          <w:color w:val="000000"/>
          <w:sz w:val="24"/>
          <w:szCs w:val="24"/>
        </w:rPr>
        <w:t xml:space="preserve">氮吹浓缩仪 1台</w:t>
      </w:r>
      <w:r/>
    </w:p>
    <w:p>
      <w:pPr>
        <w:spacing w:line="360" w:lineRule="auto"/>
        <w:rPr>
          <w:rFonts w:hint="eastAsia" w:ascii="宋体" w:hAnsi="宋体"/>
          <w:sz w:val="24"/>
          <w:szCs w:val="24"/>
        </w:rPr>
      </w:pPr>
      <w:r>
        <w:rPr>
          <w:rFonts w:hint="eastAsia" w:ascii="宋体" w:hAnsi="宋体"/>
          <w:sz w:val="24"/>
          <w:szCs w:val="24"/>
        </w:rPr>
        <w:t xml:space="preserve">1、技术指标</w:t>
      </w:r>
      <w:r/>
    </w:p>
    <w:p>
      <w:pPr>
        <w:spacing w:line="360" w:lineRule="auto"/>
        <w:rPr>
          <w:rFonts w:hint="eastAsia" w:ascii="宋体" w:hAnsi="宋体"/>
          <w:sz w:val="24"/>
          <w:szCs w:val="24"/>
        </w:rPr>
      </w:pPr>
      <w:r>
        <w:rPr>
          <w:rFonts w:hint="eastAsia" w:ascii="宋体" w:hAnsi="宋体"/>
          <w:sz w:val="24"/>
          <w:szCs w:val="24"/>
        </w:rPr>
        <w:t xml:space="preserve">1.1气流斜向吹扫样品，气流可调范围：通过电磁流量阀控制气体流速，流量可调范围0～7 L/min，步进0.1 L/min。</w:t>
      </w:r>
      <w:r/>
    </w:p>
    <w:p>
      <w:pPr>
        <w:spacing w:line="360" w:lineRule="auto"/>
        <w:rPr>
          <w:rFonts w:hint="eastAsia" w:ascii="宋体" w:hAnsi="宋体"/>
          <w:sz w:val="24"/>
          <w:szCs w:val="24"/>
        </w:rPr>
      </w:pPr>
      <w:r>
        <w:rPr>
          <w:rFonts w:hint="eastAsia" w:ascii="宋体" w:hAnsi="宋体"/>
          <w:sz w:val="24"/>
          <w:szCs w:val="24"/>
        </w:rPr>
        <w:t xml:space="preserve">▲1.2氮吹针控制：氮吹针≥6排，每排可通过按键独立开关，每排氮吹针数量≤10个。同时每个氮吹针可单独控制开关。</w:t>
      </w:r>
      <w:r/>
    </w:p>
    <w:p>
      <w:pPr>
        <w:spacing w:line="360" w:lineRule="auto"/>
        <w:rPr>
          <w:rFonts w:hint="eastAsia" w:ascii="宋体" w:hAnsi="宋体"/>
          <w:sz w:val="24"/>
          <w:szCs w:val="24"/>
        </w:rPr>
      </w:pPr>
      <w:r>
        <w:rPr>
          <w:rFonts w:hint="eastAsia" w:ascii="宋体" w:hAnsi="宋体"/>
          <w:sz w:val="24"/>
          <w:szCs w:val="24"/>
        </w:rPr>
        <w:t xml:space="preserve">1.3适用的样品管体积范围：1.5～200 mL</w:t>
      </w:r>
      <w:r/>
    </w:p>
    <w:p>
      <w:pPr>
        <w:spacing w:line="360" w:lineRule="auto"/>
        <w:rPr>
          <w:rFonts w:hint="eastAsia" w:ascii="宋体" w:hAnsi="宋体"/>
          <w:sz w:val="24"/>
          <w:szCs w:val="24"/>
        </w:rPr>
      </w:pPr>
      <w:r>
        <w:rPr>
          <w:rFonts w:hint="eastAsia" w:ascii="宋体" w:hAnsi="宋体"/>
          <w:sz w:val="24"/>
          <w:szCs w:val="24"/>
        </w:rPr>
        <w:t xml:space="preserve">1.4样品数量：最大可同时处理样品数量≥48个，其中50 mL样品管≥24个。</w:t>
      </w:r>
      <w:r/>
    </w:p>
    <w:p>
      <w:pPr>
        <w:spacing w:line="360" w:lineRule="auto"/>
        <w:rPr>
          <w:rFonts w:hint="eastAsia" w:ascii="宋体" w:hAnsi="宋体"/>
          <w:sz w:val="24"/>
          <w:szCs w:val="24"/>
        </w:rPr>
      </w:pPr>
      <w:r>
        <w:rPr>
          <w:rFonts w:hint="eastAsia" w:ascii="宋体" w:hAnsi="宋体"/>
          <w:sz w:val="24"/>
          <w:szCs w:val="24"/>
        </w:rPr>
        <w:t xml:space="preserve">▲1.5多功能支架：24位模式支持外径21～32mm内任意试管或离心管，48位模式支持外径10～20mm内任意试管或离心管。</w:t>
      </w:r>
      <w:r/>
    </w:p>
    <w:p>
      <w:pPr>
        <w:spacing w:line="360" w:lineRule="auto"/>
        <w:rPr>
          <w:rFonts w:hint="eastAsia" w:ascii="宋体" w:hAnsi="宋体"/>
          <w:sz w:val="24"/>
          <w:szCs w:val="24"/>
        </w:rPr>
      </w:pPr>
      <w:r>
        <w:rPr>
          <w:rFonts w:hint="eastAsia" w:ascii="宋体" w:hAnsi="宋体"/>
          <w:sz w:val="24"/>
          <w:szCs w:val="24"/>
        </w:rPr>
        <w:t xml:space="preserve">1.6可升级定量浓缩支架，实现6位自动定量浓缩，支持使用50mL和200 mL定量浓缩管，可同时适用于0.5mL和1.0 mL两种不同的定量浓缩终点。</w:t>
      </w:r>
      <w:r/>
    </w:p>
    <w:p>
      <w:pPr>
        <w:spacing w:line="360" w:lineRule="auto"/>
        <w:rPr>
          <w:rFonts w:hint="eastAsia" w:ascii="宋体" w:hAnsi="宋体"/>
          <w:sz w:val="24"/>
          <w:szCs w:val="24"/>
        </w:rPr>
      </w:pPr>
      <w:r>
        <w:rPr>
          <w:rFonts w:hint="eastAsia" w:ascii="宋体" w:hAnsi="宋体"/>
          <w:sz w:val="24"/>
          <w:szCs w:val="24"/>
        </w:rPr>
        <w:t xml:space="preserve">1.7操控面板：7英寸以上彩色触摸屏控制，可进行参数设置，方法编辑和存储、以及显示运行参数等，操作简单。</w:t>
      </w:r>
      <w:r/>
    </w:p>
    <w:p>
      <w:pPr>
        <w:spacing w:line="360" w:lineRule="auto"/>
        <w:rPr>
          <w:rFonts w:hint="eastAsia" w:ascii="宋体" w:hAnsi="宋体"/>
          <w:sz w:val="24"/>
          <w:szCs w:val="24"/>
        </w:rPr>
      </w:pPr>
      <w:r>
        <w:rPr>
          <w:rFonts w:hint="eastAsia" w:ascii="宋体" w:hAnsi="宋体"/>
          <w:sz w:val="24"/>
          <w:szCs w:val="24"/>
        </w:rPr>
        <w:t xml:space="preserve">1.8四种气流控制模式：恒定模式、梯度模式、斜率模式、手动模式。可设置≥3种梯度的气流自动变化。</w:t>
      </w:r>
      <w:r/>
    </w:p>
    <w:p>
      <w:pPr>
        <w:spacing w:line="360" w:lineRule="auto"/>
        <w:rPr>
          <w:rFonts w:hint="eastAsia" w:ascii="宋体" w:hAnsi="宋体"/>
          <w:sz w:val="24"/>
          <w:szCs w:val="24"/>
        </w:rPr>
      </w:pPr>
      <w:r>
        <w:rPr>
          <w:rFonts w:hint="eastAsia" w:ascii="宋体" w:hAnsi="宋体"/>
          <w:sz w:val="24"/>
          <w:szCs w:val="24"/>
        </w:rPr>
        <w:t xml:space="preserve">▲1.9可移动式氮吹针设计，允许左右移动范围≥20mm，从而实现每排实验精准调整氮吹角度。</w:t>
      </w:r>
      <w:r/>
    </w:p>
    <w:p>
      <w:pPr>
        <w:spacing w:line="360" w:lineRule="auto"/>
        <w:rPr>
          <w:rFonts w:hint="eastAsia" w:ascii="宋体" w:hAnsi="宋体"/>
          <w:sz w:val="24"/>
          <w:szCs w:val="24"/>
        </w:rPr>
      </w:pPr>
      <w:r>
        <w:rPr>
          <w:rFonts w:hint="eastAsia" w:ascii="宋体" w:hAnsi="宋体"/>
          <w:sz w:val="24"/>
          <w:szCs w:val="24"/>
        </w:rPr>
        <w:t xml:space="preserve">1.10可视化机身：机身三面及机盖透明设计，可从多个角度直观观察浓缩进程。</w:t>
      </w:r>
      <w:r/>
    </w:p>
    <w:p>
      <w:pPr>
        <w:spacing w:line="360" w:lineRule="auto"/>
        <w:rPr>
          <w:rFonts w:hint="eastAsia" w:ascii="宋体" w:hAnsi="宋体"/>
          <w:sz w:val="24"/>
          <w:szCs w:val="24"/>
        </w:rPr>
      </w:pPr>
      <w:r>
        <w:rPr>
          <w:rFonts w:hint="eastAsia" w:ascii="宋体" w:hAnsi="宋体"/>
          <w:sz w:val="24"/>
          <w:szCs w:val="24"/>
        </w:rPr>
        <w:t xml:space="preserve">1.11具有水浴照明系统，进一步提升浓缩过程的可视化。</w:t>
      </w:r>
      <w:r/>
    </w:p>
    <w:p>
      <w:pPr>
        <w:spacing w:line="360" w:lineRule="auto"/>
        <w:rPr>
          <w:rFonts w:hint="eastAsia" w:ascii="宋体" w:hAnsi="宋体"/>
          <w:sz w:val="24"/>
          <w:szCs w:val="24"/>
        </w:rPr>
      </w:pPr>
      <w:r>
        <w:rPr>
          <w:rFonts w:hint="eastAsia" w:ascii="宋体" w:hAnsi="宋体"/>
          <w:sz w:val="24"/>
          <w:szCs w:val="24"/>
        </w:rPr>
        <w:t xml:space="preserve">1.12水浴温控范围：室温至90℃。</w:t>
      </w:r>
      <w:r/>
    </w:p>
    <w:p>
      <w:pPr>
        <w:spacing w:line="360" w:lineRule="auto"/>
        <w:rPr>
          <w:rFonts w:hint="eastAsia" w:ascii="宋体" w:hAnsi="宋体"/>
          <w:sz w:val="24"/>
          <w:szCs w:val="24"/>
        </w:rPr>
      </w:pPr>
      <w:r>
        <w:rPr>
          <w:rFonts w:hint="eastAsia" w:ascii="宋体" w:hAnsi="宋体"/>
          <w:sz w:val="24"/>
          <w:szCs w:val="24"/>
        </w:rPr>
        <w:t xml:space="preserve">1.13支持休眠模式，且具有自动唤醒功能，可在指定的时间启动加热。</w:t>
      </w:r>
      <w:r/>
    </w:p>
    <w:p>
      <w:pPr>
        <w:spacing w:line="360" w:lineRule="auto"/>
        <w:rPr>
          <w:rFonts w:hint="eastAsia" w:ascii="宋体" w:hAnsi="宋体"/>
          <w:sz w:val="24"/>
          <w:szCs w:val="24"/>
        </w:rPr>
      </w:pPr>
      <w:r>
        <w:rPr>
          <w:rFonts w:hint="eastAsia" w:ascii="宋体" w:hAnsi="宋体"/>
          <w:sz w:val="24"/>
          <w:szCs w:val="24"/>
        </w:rPr>
        <w:t xml:space="preserve">1.14自带排气装置，可无需在通风橱中使用。</w:t>
      </w:r>
      <w:r/>
    </w:p>
    <w:p>
      <w:pPr>
        <w:spacing w:line="360" w:lineRule="auto"/>
        <w:rPr>
          <w:rFonts w:hint="eastAsia" w:ascii="宋体" w:hAnsi="宋体"/>
          <w:sz w:val="24"/>
          <w:szCs w:val="24"/>
        </w:rPr>
      </w:pPr>
      <w:r>
        <w:rPr>
          <w:rFonts w:hint="eastAsia" w:ascii="宋体" w:hAnsi="宋体"/>
          <w:sz w:val="24"/>
          <w:szCs w:val="24"/>
        </w:rPr>
        <w:t xml:space="preserve">1.15即插即拔式排水口设计。</w:t>
      </w:r>
      <w:r/>
    </w:p>
    <w:p>
      <w:pPr>
        <w:spacing w:line="360" w:lineRule="auto"/>
        <w:rPr>
          <w:rFonts w:hint="eastAsia" w:ascii="宋体" w:hAnsi="宋体"/>
          <w:sz w:val="24"/>
          <w:szCs w:val="24"/>
        </w:rPr>
      </w:pPr>
      <w:r>
        <w:rPr>
          <w:rFonts w:hint="eastAsia" w:ascii="宋体" w:hAnsi="宋体"/>
          <w:sz w:val="24"/>
          <w:szCs w:val="24"/>
        </w:rPr>
        <w:t xml:space="preserve">1.16认证：CE认证以及中国RoHS标准</w:t>
      </w:r>
      <w:r/>
    </w:p>
    <w:p>
      <w:pPr>
        <w:jc w:val="left"/>
        <w:widowControl/>
        <w:rPr>
          <w:rFonts w:hint="eastAsia" w:ascii="仿宋" w:hAnsi="仿宋" w:eastAsia="仿宋"/>
          <w:b/>
          <w:bCs/>
          <w:color w:val="000000"/>
          <w:sz w:val="28"/>
          <w:szCs w:val="28"/>
        </w:rPr>
      </w:pPr>
      <w:r>
        <w:rPr>
          <w:rFonts w:hint="eastAsia" w:ascii="宋体" w:hAnsi="宋体" w:eastAsia="黑体" w:cs="宋体"/>
          <w:sz w:val="24"/>
          <w:szCs w:val="24"/>
        </w:rPr>
        <w:t xml:space="preserve"> </w:t>
      </w:r>
      <w:r>
        <w:rPr>
          <w:rFonts w:hint="eastAsia" w:ascii="仿宋" w:hAnsi="仿宋" w:eastAsia="仿宋"/>
          <w:b/>
          <w:bCs/>
          <w:color w:val="000000"/>
          <w:sz w:val="28"/>
          <w:szCs w:val="28"/>
        </w:rPr>
        <w:t xml:space="preserve">三</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1、采购标的需实现的功能或者目标，以及为落实政府采购政策需满足的要求：</w:t>
      </w:r>
      <w:r/>
    </w:p>
    <w:p>
      <w:pPr>
        <w:pStyle w:val="716"/>
        <w:spacing w:after="0" w:line="360" w:lineRule="exact"/>
      </w:pPr>
      <w:r>
        <w:rPr>
          <w:rFonts w:hint="eastAsia"/>
        </w:rPr>
        <w:t xml:space="preserve">投标产品能够充分满足采购人开展化妆品、食品、药品监督检验工作的应用需求。</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、采购标的需执行的国家相关标准、行业标准、地方标准或者其他标准、规范：</w:t>
      </w:r>
      <w:r/>
    </w:p>
    <w:p>
      <w:pPr>
        <w:pStyle w:val="716"/>
        <w:spacing w:after="0" w:line="360" w:lineRule="exact"/>
      </w:pPr>
      <w:r>
        <w:rPr>
          <w:rFonts w:hint="eastAsia"/>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、采购标的需满足的质量、安全、技术规格、物理特性等要求：</w:t>
      </w:r>
      <w:r/>
    </w:p>
    <w:p>
      <w:pPr>
        <w:pStyle w:val="716"/>
        <w:spacing w:after="0" w:line="360" w:lineRule="exact"/>
      </w:pPr>
      <w:r>
        <w:rPr>
          <w:rFonts w:hint="eastAsia"/>
        </w:rPr>
        <w:t xml:space="preserve">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p>
    <w:p>
      <w:pPr>
        <w:pStyle w:val="716"/>
        <w:spacing w:after="0" w:line="360" w:lineRule="exact"/>
      </w:pPr>
      <w:r>
        <w:rPr>
          <w:rFonts w:hint="eastAsia"/>
        </w:rPr>
        <w:t xml:space="preserve">3.2确保设备质保期内开机率为95%，如设备故障停机率超过5%（一年按365天计算，每年18天），每超过一天，质保期延长两周。</w:t>
      </w:r>
      <w:r/>
    </w:p>
    <w:p>
      <w:pPr>
        <w:pStyle w:val="716"/>
        <w:spacing w:after="0" w:line="360" w:lineRule="exact"/>
      </w:pPr>
      <w:r>
        <w:rPr>
          <w:rFonts w:hint="eastAsia"/>
        </w:rPr>
        <w:t xml:space="preserve">3.3本次所投产品的年限为10年，设备使用年限内中标人承诺保证配件、耗材的供应。</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、采购标的的数量、采购项目交付或者实施的时间和地点：</w:t>
      </w:r>
      <w:r/>
    </w:p>
    <w:p>
      <w:pPr>
        <w:pStyle w:val="716"/>
        <w:spacing w:after="0" w:line="360" w:lineRule="exact"/>
      </w:pPr>
      <w:r>
        <w:rPr>
          <w:rFonts w:hint="eastAsia"/>
        </w:rPr>
        <w:t xml:space="preserve">4.1采购标的数量：</w:t>
      </w:r>
      <w:bookmarkStart w:id="213" w:name="_Hlk181052426"/>
      <w:r>
        <w:rPr>
          <w:rFonts w:hint="eastAsia"/>
        </w:rPr>
        <w:t xml:space="preserve">洗瓶机1台、超纯水机2台、高效液相色谱仪（DAD+FLD检测器）1台、高效液相色谱仪（DAD检测器）3台、超高效液相色谱仪1台、氮吹浓缩仪1台</w:t>
      </w:r>
      <w:bookmarkEnd w:id="213"/>
      <w:r>
        <w:rPr>
          <w:rFonts w:hint="eastAsia"/>
        </w:rPr>
        <w:t xml:space="preserve">。</w:t>
      </w:r>
      <w:r/>
    </w:p>
    <w:p>
      <w:pPr>
        <w:pStyle w:val="716"/>
        <w:spacing w:after="0" w:line="360" w:lineRule="exact"/>
      </w:pPr>
      <w:r>
        <w:rPr>
          <w:rFonts w:hint="eastAsia"/>
        </w:rPr>
        <w:t xml:space="preserve">4.2产品配置要求</w:t>
      </w:r>
      <w:r/>
    </w:p>
    <w:p>
      <w:pPr>
        <w:ind w:firstLine="420"/>
        <w:spacing w:line="360" w:lineRule="auto"/>
        <w:rPr>
          <w:rFonts w:hint="eastAsia" w:ascii="宋体" w:hAnsi="宋体"/>
          <w:szCs w:val="21"/>
        </w:rPr>
      </w:pPr>
      <w:r>
        <w:rPr>
          <w:rFonts w:hint="eastAsia" w:ascii="宋体" w:hAnsi="宋体"/>
          <w:szCs w:val="21"/>
        </w:rPr>
        <w:t xml:space="preserve">4.2.1品目一：洗瓶机 1台</w:t>
      </w:r>
      <w:r/>
    </w:p>
    <w:p>
      <w:pPr>
        <w:ind w:left="424"/>
        <w:spacing w:line="360" w:lineRule="auto"/>
        <w:rPr>
          <w:rFonts w:hint="eastAsia" w:ascii="宋体" w:hAnsi="宋体"/>
          <w:szCs w:val="21"/>
        </w:rPr>
      </w:pPr>
      <w:r>
        <w:rPr>
          <w:rFonts w:hint="eastAsia" w:ascii="宋体" w:hAnsi="宋体"/>
          <w:szCs w:val="21"/>
        </w:rPr>
        <w:t xml:space="preserve">4.2.1.1实验室洗瓶机主机 1台 </w:t>
      </w:r>
      <w:r/>
    </w:p>
    <w:p>
      <w:pPr>
        <w:ind w:left="424"/>
        <w:spacing w:line="360" w:lineRule="auto"/>
        <w:rPr>
          <w:rFonts w:hint="eastAsia" w:ascii="宋体" w:hAnsi="宋体"/>
          <w:szCs w:val="21"/>
        </w:rPr>
      </w:pPr>
      <w:r>
        <w:rPr>
          <w:rFonts w:hint="eastAsia" w:ascii="宋体" w:hAnsi="宋体"/>
          <w:szCs w:val="21"/>
        </w:rPr>
        <w:t xml:space="preserve">4.2.1.2在线管道压力监测组件 1套</w:t>
      </w:r>
      <w:r/>
    </w:p>
    <w:p>
      <w:pPr>
        <w:ind w:left="424"/>
        <w:spacing w:line="360" w:lineRule="auto"/>
        <w:rPr>
          <w:rFonts w:hint="eastAsia" w:ascii="宋体" w:hAnsi="宋体"/>
          <w:szCs w:val="21"/>
        </w:rPr>
      </w:pPr>
      <w:r>
        <w:rPr>
          <w:rFonts w:hint="eastAsia" w:ascii="宋体" w:hAnsi="宋体"/>
          <w:szCs w:val="21"/>
        </w:rPr>
        <w:t xml:space="preserve">4.2.1.3 审计追踪组件 1套 </w:t>
      </w:r>
      <w:r/>
    </w:p>
    <w:p>
      <w:pPr>
        <w:ind w:left="424"/>
        <w:spacing w:line="360" w:lineRule="auto"/>
        <w:rPr>
          <w:rFonts w:hint="eastAsia" w:ascii="宋体" w:hAnsi="宋体"/>
          <w:szCs w:val="21"/>
        </w:rPr>
      </w:pPr>
      <w:r>
        <w:rPr>
          <w:rFonts w:hint="eastAsia" w:ascii="宋体" w:hAnsi="宋体"/>
          <w:szCs w:val="21"/>
        </w:rPr>
        <w:t xml:space="preserve">4.2.1.4无水冷凝烘干组件 1套 </w:t>
      </w:r>
      <w:r/>
    </w:p>
    <w:p>
      <w:pPr>
        <w:ind w:left="424"/>
        <w:spacing w:line="360" w:lineRule="auto"/>
        <w:rPr>
          <w:rFonts w:hint="eastAsia" w:ascii="宋体" w:hAnsi="宋体"/>
          <w:szCs w:val="21"/>
        </w:rPr>
      </w:pPr>
      <w:r>
        <w:rPr>
          <w:rFonts w:hint="eastAsia" w:ascii="宋体" w:hAnsi="宋体"/>
          <w:szCs w:val="21"/>
        </w:rPr>
        <w:t xml:space="preserve">4.2.1.5 清洗模块底座 2套 </w:t>
      </w:r>
      <w:r/>
    </w:p>
    <w:p>
      <w:pPr>
        <w:ind w:left="424"/>
        <w:spacing w:line="360" w:lineRule="auto"/>
        <w:rPr>
          <w:rFonts w:hint="eastAsia" w:ascii="宋体" w:hAnsi="宋体"/>
          <w:szCs w:val="21"/>
        </w:rPr>
      </w:pPr>
      <w:r>
        <w:rPr>
          <w:rFonts w:hint="eastAsia" w:ascii="宋体" w:hAnsi="宋体"/>
          <w:szCs w:val="21"/>
        </w:rPr>
        <w:t xml:space="preserve">4.2.1.6 指纹识别模块，指纹用户10个</w:t>
      </w:r>
      <w:r/>
    </w:p>
    <w:p>
      <w:pPr>
        <w:ind w:left="424"/>
        <w:spacing w:line="360" w:lineRule="auto"/>
        <w:rPr>
          <w:rFonts w:hint="eastAsia" w:ascii="宋体" w:hAnsi="宋体"/>
          <w:szCs w:val="21"/>
        </w:rPr>
      </w:pPr>
      <w:r>
        <w:rPr>
          <w:rFonts w:hint="eastAsia" w:ascii="宋体" w:hAnsi="宋体"/>
          <w:szCs w:val="21"/>
        </w:rPr>
        <w:t xml:space="preserve">4.2.1.7 内置式纯水增压泵1个</w:t>
      </w:r>
      <w:r/>
    </w:p>
    <w:p>
      <w:pPr>
        <w:ind w:left="424"/>
        <w:spacing w:line="360" w:lineRule="auto"/>
        <w:rPr>
          <w:rFonts w:hint="eastAsia" w:ascii="宋体" w:hAnsi="宋体"/>
          <w:szCs w:val="21"/>
        </w:rPr>
      </w:pPr>
      <w:r>
        <w:rPr>
          <w:rFonts w:hint="eastAsia" w:ascii="宋体" w:hAnsi="宋体"/>
          <w:szCs w:val="21"/>
        </w:rPr>
        <w:t xml:space="preserve">4.2.1.8 喷淋清洗架一3套，适于50～250ml左右试剂瓶、容量瓶、三角瓶等32位</w:t>
      </w:r>
      <w:r/>
    </w:p>
    <w:p>
      <w:pPr>
        <w:ind w:left="424"/>
        <w:spacing w:line="360" w:lineRule="auto"/>
        <w:rPr>
          <w:rFonts w:hint="eastAsia" w:ascii="宋体" w:hAnsi="宋体"/>
          <w:szCs w:val="21"/>
        </w:rPr>
      </w:pPr>
      <w:r>
        <w:rPr>
          <w:rFonts w:hint="eastAsia" w:ascii="宋体" w:hAnsi="宋体"/>
          <w:szCs w:val="21"/>
        </w:rPr>
        <w:t xml:space="preserve">4.2.1.9 喷淋清洗架二3套，适于10ml～500ml 容量瓶、三角瓶、烧杯等66位</w:t>
      </w:r>
      <w:r/>
    </w:p>
    <w:p>
      <w:pPr>
        <w:ind w:left="424"/>
        <w:spacing w:line="360" w:lineRule="auto"/>
        <w:rPr>
          <w:rFonts w:hint="eastAsia" w:ascii="宋体" w:hAnsi="宋体"/>
          <w:szCs w:val="21"/>
        </w:rPr>
      </w:pPr>
      <w:r>
        <w:rPr>
          <w:rFonts w:hint="eastAsia" w:ascii="宋体" w:hAnsi="宋体"/>
          <w:szCs w:val="21"/>
        </w:rPr>
        <w:t xml:space="preserve">4.2.1.10 喷淋清洗架三1套，适于0.1ml～50ml 移液管、试管、比色管等102位</w:t>
      </w:r>
      <w:r/>
    </w:p>
    <w:p>
      <w:pPr>
        <w:ind w:left="424"/>
        <w:spacing w:line="360" w:lineRule="auto"/>
        <w:rPr>
          <w:rFonts w:hint="eastAsia" w:ascii="宋体" w:hAnsi="宋体"/>
          <w:szCs w:val="21"/>
        </w:rPr>
      </w:pPr>
      <w:r>
        <w:rPr>
          <w:rFonts w:hint="eastAsia" w:ascii="宋体" w:hAnsi="宋体"/>
          <w:szCs w:val="21"/>
        </w:rPr>
        <w:t xml:space="preserve">4.2.1.11无机物净化装置 1套</w:t>
      </w:r>
      <w:r/>
    </w:p>
    <w:p>
      <w:pPr>
        <w:ind w:left="424"/>
        <w:spacing w:line="360" w:lineRule="auto"/>
        <w:rPr>
          <w:rFonts w:hint="eastAsia" w:ascii="宋体" w:hAnsi="宋体"/>
          <w:szCs w:val="21"/>
        </w:rPr>
      </w:pPr>
      <w:r>
        <w:rPr>
          <w:rFonts w:hint="eastAsia" w:ascii="宋体" w:hAnsi="宋体"/>
          <w:szCs w:val="21"/>
        </w:rPr>
        <w:t xml:space="preserve">4.2.1.12安全防护系统 1套</w:t>
      </w:r>
      <w:r/>
    </w:p>
    <w:p>
      <w:pPr>
        <w:ind w:left="424"/>
        <w:spacing w:line="360" w:lineRule="auto"/>
        <w:rPr>
          <w:rFonts w:hint="eastAsia" w:ascii="宋体" w:hAnsi="宋体"/>
          <w:szCs w:val="21"/>
        </w:rPr>
      </w:pPr>
      <w:r>
        <w:rPr>
          <w:rFonts w:hint="eastAsia" w:ascii="宋体" w:hAnsi="宋体"/>
          <w:szCs w:val="21"/>
        </w:rPr>
        <w:t xml:space="preserve">（清洗模块可根据客户实际使用情况调换，一年内免费更换）</w:t>
      </w:r>
      <w:r/>
    </w:p>
    <w:p>
      <w:pPr>
        <w:ind w:left="424"/>
        <w:spacing w:line="360" w:lineRule="auto"/>
        <w:rPr>
          <w:rFonts w:hint="eastAsia" w:ascii="宋体" w:hAnsi="宋体"/>
          <w:szCs w:val="21"/>
        </w:rPr>
      </w:pPr>
      <w:r>
        <w:rPr>
          <w:rFonts w:hint="eastAsia" w:ascii="宋体" w:hAnsi="宋体"/>
          <w:szCs w:val="21"/>
        </w:rPr>
        <w:t xml:space="preserve">4.2.2品目二：超纯水机 2台</w:t>
      </w:r>
      <w:r/>
    </w:p>
    <w:p>
      <w:pPr>
        <w:ind w:left="424"/>
        <w:spacing w:line="360" w:lineRule="auto"/>
        <w:rPr>
          <w:rFonts w:hint="eastAsia" w:ascii="宋体" w:hAnsi="宋体"/>
          <w:szCs w:val="21"/>
        </w:rPr>
      </w:pPr>
      <w:r>
        <w:rPr>
          <w:rFonts w:hint="eastAsia" w:ascii="宋体" w:hAnsi="宋体"/>
          <w:szCs w:val="21"/>
        </w:rPr>
        <w:t xml:space="preserve">4.2.2.1主机（含内置TOC检测模块），2台</w:t>
      </w:r>
      <w:r/>
    </w:p>
    <w:p>
      <w:pPr>
        <w:ind w:left="424"/>
        <w:spacing w:line="360" w:lineRule="auto"/>
        <w:rPr>
          <w:rFonts w:hint="eastAsia" w:ascii="宋体" w:hAnsi="宋体"/>
          <w:szCs w:val="21"/>
        </w:rPr>
      </w:pPr>
      <w:r>
        <w:rPr>
          <w:rFonts w:hint="eastAsia" w:ascii="宋体" w:hAnsi="宋体"/>
          <w:szCs w:val="21"/>
        </w:rPr>
        <w:t xml:space="preserve">4.2.2.2带芯片预纯化柱2根，带芯片精纯化柱2根、0.22μm终端除菌过滤器2个，172nm紫外灯2个，TOC灯2个。</w:t>
      </w:r>
      <w:r/>
    </w:p>
    <w:p>
      <w:pPr>
        <w:ind w:left="424"/>
        <w:spacing w:line="360" w:lineRule="auto"/>
        <w:rPr>
          <w:rFonts w:hint="eastAsia" w:ascii="宋体" w:hAnsi="宋体"/>
          <w:szCs w:val="21"/>
        </w:rPr>
      </w:pPr>
      <w:r>
        <w:rPr>
          <w:rFonts w:hint="eastAsia" w:ascii="宋体" w:hAnsi="宋体"/>
          <w:szCs w:val="21"/>
        </w:rPr>
        <w:t xml:space="preserve">4.2.2.3安装配件包，2套</w:t>
      </w:r>
      <w:r/>
    </w:p>
    <w:p>
      <w:pPr>
        <w:ind w:left="424"/>
        <w:spacing w:line="360" w:lineRule="auto"/>
        <w:rPr>
          <w:rFonts w:hint="eastAsia" w:ascii="宋体" w:hAnsi="宋体"/>
          <w:szCs w:val="21"/>
        </w:rPr>
      </w:pPr>
      <w:r>
        <w:rPr>
          <w:rFonts w:hint="eastAsia" w:ascii="宋体" w:hAnsi="宋体"/>
          <w:szCs w:val="21"/>
        </w:rPr>
        <w:t xml:space="preserve">4.2.2.4独立取水手柄，2套</w:t>
      </w:r>
      <w:r/>
    </w:p>
    <w:p>
      <w:pPr>
        <w:ind w:left="424"/>
        <w:spacing w:line="360" w:lineRule="auto"/>
        <w:rPr>
          <w:rFonts w:hint="eastAsia" w:ascii="宋体" w:hAnsi="宋体"/>
          <w:szCs w:val="21"/>
        </w:rPr>
      </w:pPr>
      <w:r>
        <w:rPr>
          <w:rFonts w:hint="eastAsia" w:ascii="宋体" w:hAnsi="宋体"/>
          <w:szCs w:val="21"/>
        </w:rPr>
        <w:t xml:space="preserve">4.2.3品目三：高效液相色谱仪（DAD+FLD检测器）  1台</w:t>
      </w:r>
      <w:r/>
    </w:p>
    <w:p>
      <w:pPr>
        <w:ind w:left="424"/>
        <w:spacing w:line="360" w:lineRule="auto"/>
        <w:rPr>
          <w:rFonts w:hint="eastAsia" w:ascii="宋体" w:hAnsi="宋体"/>
          <w:szCs w:val="21"/>
        </w:rPr>
      </w:pPr>
      <w:r>
        <w:rPr>
          <w:rFonts w:hint="eastAsia" w:ascii="宋体" w:hAnsi="宋体"/>
          <w:szCs w:val="21"/>
        </w:rPr>
        <w:t xml:space="preserve">4.2.3.1主机（含四元梯度泵（含在线脱气机）、自动液体进样器、柱温箱、二极管阵列检测器、荧光检测器）1套</w:t>
      </w:r>
      <w:r/>
    </w:p>
    <w:p>
      <w:pPr>
        <w:ind w:left="424"/>
        <w:spacing w:line="360" w:lineRule="auto"/>
        <w:rPr>
          <w:rFonts w:hint="eastAsia" w:ascii="宋体" w:hAnsi="宋体"/>
          <w:szCs w:val="21"/>
        </w:rPr>
      </w:pPr>
      <w:r>
        <w:rPr>
          <w:rFonts w:hint="eastAsia" w:ascii="宋体" w:hAnsi="宋体"/>
          <w:szCs w:val="21"/>
        </w:rPr>
        <w:t xml:space="preserve">4.2.3.2仪器控制和数据处理系统（DVDRW，≥16GB内存，≥256GB固态盘，≥1TB普通盘，≥22寸屏，配置满足工作站软件运行的要求）1套</w:t>
      </w:r>
      <w:r/>
    </w:p>
    <w:p>
      <w:pPr>
        <w:ind w:left="424"/>
        <w:spacing w:line="360" w:lineRule="auto"/>
        <w:rPr>
          <w:rFonts w:hint="eastAsia" w:ascii="宋体" w:hAnsi="宋体"/>
          <w:szCs w:val="21"/>
        </w:rPr>
      </w:pPr>
      <w:r>
        <w:rPr>
          <w:rFonts w:hint="eastAsia" w:ascii="宋体" w:hAnsi="宋体"/>
          <w:szCs w:val="21"/>
        </w:rPr>
        <w:t xml:space="preserve">4.2.3.3色谱柱C</w:t>
      </w:r>
      <w:r>
        <w:rPr>
          <w:rFonts w:hint="eastAsia" w:ascii="宋体" w:hAnsi="宋体"/>
          <w:szCs w:val="21"/>
          <w:vertAlign w:val="subscript"/>
        </w:rPr>
        <w:t xml:space="preserve">18</w:t>
      </w:r>
      <w:r>
        <w:rPr>
          <w:rFonts w:hint="eastAsia" w:ascii="宋体" w:hAnsi="宋体"/>
          <w:szCs w:val="21"/>
        </w:rPr>
        <w:t xml:space="preserve">-150mm 3根；进样小瓶1000个（含盖）</w:t>
      </w:r>
      <w:r/>
    </w:p>
    <w:p>
      <w:pPr>
        <w:ind w:left="424"/>
        <w:spacing w:line="360" w:lineRule="auto"/>
        <w:rPr>
          <w:rFonts w:hint="eastAsia" w:ascii="宋体" w:hAnsi="宋体"/>
          <w:szCs w:val="21"/>
        </w:rPr>
      </w:pPr>
      <w:r>
        <w:rPr>
          <w:rFonts w:hint="eastAsia" w:ascii="宋体" w:hAnsi="宋体"/>
          <w:szCs w:val="21"/>
        </w:rPr>
        <w:t xml:space="preserve">4.2.3.4数据输出系统1台</w:t>
      </w:r>
      <w:r/>
    </w:p>
    <w:p>
      <w:pPr>
        <w:ind w:left="424"/>
        <w:jc w:val="left"/>
        <w:widowControl/>
        <w:rPr>
          <w:rFonts w:hint="eastAsia" w:ascii="宋体" w:hAnsi="宋体"/>
          <w:szCs w:val="21"/>
        </w:rPr>
      </w:pPr>
      <w:r>
        <w:rPr>
          <w:rFonts w:hint="eastAsia" w:ascii="宋体" w:hAnsi="宋体"/>
          <w:szCs w:val="21"/>
        </w:rPr>
        <w:t xml:space="preserve">4.2.4</w:t>
      </w:r>
      <w:r>
        <w:rPr>
          <w:rFonts w:hint="eastAsia" w:ascii="黑体" w:hAnsi="Courier New" w:eastAsia="黑体" w:cs="宋体"/>
          <w:szCs w:val="21"/>
        </w:rPr>
        <w:t xml:space="preserve"> </w:t>
      </w:r>
      <w:r>
        <w:rPr>
          <w:rFonts w:hint="eastAsia" w:ascii="宋体" w:hAnsi="宋体"/>
          <w:szCs w:val="21"/>
        </w:rPr>
        <w:t xml:space="preserve">品目四：高效液相色谱仪（DAD检测器） 3台</w:t>
      </w:r>
      <w:r/>
    </w:p>
    <w:p>
      <w:pPr>
        <w:ind w:left="424"/>
        <w:spacing w:line="360" w:lineRule="auto"/>
        <w:rPr>
          <w:rFonts w:hint="eastAsia" w:ascii="宋体" w:hAnsi="宋体"/>
          <w:szCs w:val="21"/>
        </w:rPr>
      </w:pPr>
      <w:r>
        <w:rPr>
          <w:rFonts w:hint="eastAsia" w:ascii="宋体" w:hAnsi="宋体"/>
          <w:szCs w:val="21"/>
        </w:rPr>
        <w:t xml:space="preserve">4.2.4.1主机（含四元梯度泵（含在线脱气机）、自动液体进样器、柱温箱、二极管阵列检测器）3套</w:t>
      </w:r>
      <w:r/>
    </w:p>
    <w:p>
      <w:pPr>
        <w:ind w:left="424"/>
        <w:spacing w:line="360" w:lineRule="auto"/>
        <w:rPr>
          <w:rFonts w:hint="eastAsia" w:ascii="宋体" w:hAnsi="宋体"/>
          <w:szCs w:val="21"/>
        </w:rPr>
      </w:pPr>
      <w:r>
        <w:rPr>
          <w:rFonts w:hint="eastAsia" w:ascii="宋体" w:hAnsi="宋体"/>
          <w:szCs w:val="21"/>
        </w:rPr>
        <w:t xml:space="preserve">4.2.4.2仪器控制和数据处理系统（DVDRW，≥16GB内存，≥256GB固态盘，≥1TB普通盘，≥22寸屏，配置满足工作站软件运行的要求）3套</w:t>
      </w:r>
      <w:r/>
    </w:p>
    <w:p>
      <w:pPr>
        <w:ind w:left="424"/>
        <w:spacing w:line="360" w:lineRule="auto"/>
        <w:rPr>
          <w:rFonts w:hint="eastAsia" w:ascii="宋体" w:hAnsi="宋体"/>
          <w:szCs w:val="21"/>
        </w:rPr>
      </w:pPr>
      <w:r>
        <w:rPr>
          <w:rFonts w:hint="eastAsia" w:ascii="宋体" w:hAnsi="宋体"/>
          <w:szCs w:val="21"/>
        </w:rPr>
        <w:t xml:space="preserve">4.2.4.3色谱柱C</w:t>
      </w:r>
      <w:r>
        <w:rPr>
          <w:rFonts w:hint="eastAsia" w:ascii="宋体" w:hAnsi="宋体"/>
          <w:szCs w:val="21"/>
          <w:vertAlign w:val="subscript"/>
        </w:rPr>
        <w:t xml:space="preserve">18</w:t>
      </w:r>
      <w:r>
        <w:rPr>
          <w:rFonts w:hint="eastAsia" w:ascii="宋体" w:hAnsi="宋体"/>
          <w:szCs w:val="21"/>
        </w:rPr>
        <w:t xml:space="preserve">-150mm 4根、C</w:t>
      </w:r>
      <w:r>
        <w:rPr>
          <w:rFonts w:hint="eastAsia" w:ascii="宋体" w:hAnsi="宋体"/>
          <w:szCs w:val="21"/>
          <w:vertAlign w:val="subscript"/>
        </w:rPr>
        <w:t xml:space="preserve">18</w:t>
      </w:r>
      <w:r>
        <w:rPr>
          <w:rFonts w:hint="eastAsia" w:ascii="宋体" w:hAnsi="宋体"/>
          <w:szCs w:val="21"/>
        </w:rPr>
        <w:t xml:space="preserve">-250mm 2根、氨基柱3根；进样小瓶3000个（含盖）</w:t>
      </w:r>
      <w:r/>
    </w:p>
    <w:p>
      <w:pPr>
        <w:ind w:left="424"/>
        <w:spacing w:line="360" w:lineRule="auto"/>
        <w:rPr>
          <w:rFonts w:hint="eastAsia" w:ascii="宋体" w:hAnsi="宋体"/>
          <w:szCs w:val="21"/>
        </w:rPr>
      </w:pPr>
      <w:r>
        <w:rPr>
          <w:rFonts w:hint="eastAsia" w:ascii="宋体" w:hAnsi="宋体"/>
          <w:szCs w:val="21"/>
        </w:rPr>
        <w:t xml:space="preserve">4.2.4.4数据输出系统3台</w:t>
      </w:r>
      <w:r/>
    </w:p>
    <w:p>
      <w:pPr>
        <w:ind w:left="424"/>
        <w:jc w:val="left"/>
        <w:widowControl/>
        <w:rPr>
          <w:rFonts w:hint="eastAsia" w:ascii="宋体" w:hAnsi="宋体" w:cs="宋体"/>
          <w:szCs w:val="21"/>
        </w:rPr>
      </w:pPr>
      <w:r>
        <w:rPr>
          <w:rFonts w:hint="eastAsia" w:ascii="宋体" w:hAnsi="宋体"/>
          <w:szCs w:val="21"/>
        </w:rPr>
        <w:t xml:space="preserve">4.2.5</w:t>
      </w:r>
      <w:r>
        <w:rPr>
          <w:rFonts w:hint="eastAsia" w:ascii="宋体" w:hAnsi="宋体" w:cs="宋体"/>
          <w:szCs w:val="21"/>
        </w:rPr>
        <w:t xml:space="preserve">品目五：超高效液相色谱仪1台</w:t>
      </w:r>
      <w:r/>
    </w:p>
    <w:p>
      <w:pPr>
        <w:ind w:left="424"/>
        <w:spacing w:line="360" w:lineRule="auto"/>
        <w:rPr>
          <w:rFonts w:hint="eastAsia" w:ascii="宋体" w:hAnsi="宋体"/>
          <w:szCs w:val="21"/>
        </w:rPr>
      </w:pPr>
      <w:r>
        <w:rPr>
          <w:rFonts w:hint="eastAsia" w:ascii="宋体" w:hAnsi="宋体"/>
          <w:szCs w:val="21"/>
        </w:rPr>
        <w:t xml:space="preserve">4.2.5.1 主机（含二元超高压混合梯度泵、超大容量自动进样器、柱温箱、高灵敏度DAD检测器）1套</w:t>
      </w:r>
      <w:r/>
    </w:p>
    <w:p>
      <w:pPr>
        <w:ind w:left="424"/>
        <w:spacing w:line="360" w:lineRule="auto"/>
        <w:rPr>
          <w:rFonts w:hint="eastAsia" w:ascii="宋体" w:hAnsi="宋体"/>
          <w:szCs w:val="21"/>
        </w:rPr>
      </w:pPr>
      <w:r>
        <w:rPr>
          <w:rFonts w:hint="eastAsia" w:ascii="宋体" w:hAnsi="宋体"/>
          <w:szCs w:val="21"/>
        </w:rPr>
        <w:t xml:space="preserve">4.2.5.2仪器控制和数据处理系统（DVDRW，≥16GB内存，≥256GB固态盘，≥1TB普通盘，≥22寸屏，配置满足工作站软件运行的要求）1套</w:t>
      </w:r>
      <w:r/>
    </w:p>
    <w:p>
      <w:pPr>
        <w:ind w:left="424"/>
        <w:spacing w:line="360" w:lineRule="auto"/>
        <w:rPr>
          <w:rFonts w:hint="eastAsia" w:ascii="宋体" w:hAnsi="宋体"/>
          <w:szCs w:val="21"/>
        </w:rPr>
      </w:pPr>
      <w:r>
        <w:rPr>
          <w:rFonts w:hint="eastAsia" w:ascii="宋体" w:hAnsi="宋体"/>
          <w:szCs w:val="21"/>
        </w:rPr>
        <w:t xml:space="preserve">4.2.5.3 C</w:t>
      </w:r>
      <w:r>
        <w:rPr>
          <w:rFonts w:hint="eastAsia" w:ascii="宋体" w:hAnsi="宋体"/>
          <w:szCs w:val="21"/>
          <w:vertAlign w:val="subscript"/>
        </w:rPr>
        <w:t xml:space="preserve">18</w:t>
      </w:r>
      <w:r>
        <w:rPr>
          <w:rFonts w:hint="eastAsia" w:ascii="宋体" w:hAnsi="宋体"/>
          <w:szCs w:val="21"/>
        </w:rPr>
        <w:t xml:space="preserve">超高效色谱柱2根</w:t>
      </w:r>
      <w:r/>
    </w:p>
    <w:p>
      <w:pPr>
        <w:ind w:firstLine="420"/>
        <w:jc w:val="left"/>
        <w:widowControl/>
        <w:rPr>
          <w:rFonts w:hint="eastAsia" w:ascii="宋体" w:hAnsi="宋体" w:cs="宋体"/>
          <w:color w:val="000000"/>
          <w:szCs w:val="21"/>
        </w:rPr>
      </w:pPr>
      <w:r>
        <w:rPr>
          <w:rFonts w:hint="eastAsia" w:ascii="宋体" w:hAnsi="宋体"/>
          <w:szCs w:val="21"/>
        </w:rPr>
        <w:t xml:space="preserve">4.2.6</w:t>
      </w:r>
      <w:r>
        <w:rPr>
          <w:rFonts w:hint="eastAsia" w:ascii="宋体" w:hAnsi="宋体" w:cs="宋体"/>
          <w:szCs w:val="21"/>
        </w:rPr>
        <w:t xml:space="preserve">品目六：</w:t>
      </w:r>
      <w:r>
        <w:rPr>
          <w:rFonts w:hint="eastAsia" w:ascii="宋体" w:hAnsi="宋体" w:cs="宋体"/>
          <w:color w:val="000000"/>
          <w:szCs w:val="21"/>
        </w:rPr>
        <w:t xml:space="preserve">氮吹浓缩仪 1台</w:t>
      </w:r>
      <w:r/>
    </w:p>
    <w:p>
      <w:pPr>
        <w:ind w:left="424"/>
        <w:spacing w:line="360" w:lineRule="auto"/>
        <w:rPr>
          <w:rFonts w:hint="eastAsia" w:ascii="宋体" w:hAnsi="宋体"/>
          <w:szCs w:val="21"/>
        </w:rPr>
      </w:pPr>
      <w:r/>
      <w:bookmarkStart w:id="214" w:name="_Hlk180804088"/>
      <w:r>
        <w:rPr>
          <w:rFonts w:hint="eastAsia" w:ascii="宋体" w:hAnsi="宋体"/>
          <w:szCs w:val="21"/>
        </w:rPr>
        <w:t xml:space="preserve">4.2.6.1</w:t>
      </w:r>
      <w:bookmarkEnd w:id="214"/>
      <w:r>
        <w:rPr>
          <w:rFonts w:hint="eastAsia" w:ascii="宋体" w:hAnsi="宋体"/>
          <w:szCs w:val="21"/>
        </w:rPr>
        <w:t xml:space="preserve">主机 1台</w:t>
      </w:r>
      <w:r/>
    </w:p>
    <w:p>
      <w:pPr>
        <w:ind w:left="424"/>
        <w:spacing w:line="360" w:lineRule="auto"/>
        <w:rPr>
          <w:rFonts w:hint="eastAsia" w:ascii="宋体" w:hAnsi="宋体"/>
          <w:szCs w:val="21"/>
        </w:rPr>
      </w:pPr>
      <w:r>
        <w:rPr>
          <w:rFonts w:hint="eastAsia" w:ascii="宋体" w:hAnsi="宋体"/>
          <w:szCs w:val="21"/>
        </w:rPr>
        <w:t xml:space="preserve">4.2.6.2  48位浓缩支架 1个，24位浓缩支架 1个，原厂浓缩试管 100个</w:t>
      </w:r>
      <w:r/>
    </w:p>
    <w:p>
      <w:pPr>
        <w:pStyle w:val="716"/>
        <w:spacing w:after="0" w:line="360" w:lineRule="exact"/>
      </w:pPr>
      <w:r>
        <w:rPr>
          <w:rFonts w:hint="eastAsia"/>
        </w:rPr>
        <w:t xml:space="preserve">4.3主要标的：洗瓶机。</w:t>
      </w:r>
      <w:r/>
    </w:p>
    <w:p>
      <w:pPr>
        <w:pStyle w:val="716"/>
        <w:spacing w:line="360" w:lineRule="exact"/>
      </w:pPr>
      <w:r>
        <w:rPr>
          <w:rFonts w:hint="eastAsia"/>
        </w:rPr>
        <w:t xml:space="preserve">4.4交货期：合同签订后90天内将货物送达采购人指定地点、安装调试完毕并验收合格。</w:t>
      </w:r>
      <w:r/>
    </w:p>
    <w:p>
      <w:pPr>
        <w:pStyle w:val="716"/>
        <w:spacing w:after="0" w:line="360" w:lineRule="exact"/>
      </w:pPr>
      <w:r>
        <w:rPr>
          <w:rFonts w:hint="eastAsia"/>
        </w:rPr>
        <w:t xml:space="preserve">4.5交货地点：采购人指定地点指定楼层的安装位置。</w:t>
      </w:r>
      <w:r/>
    </w:p>
    <w:p>
      <w:pP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、采购标的需满足的服务标准、期限、效率等要求：</w:t>
      </w:r>
      <w:r/>
    </w:p>
    <w:p>
      <w:pPr>
        <w:pStyle w:val="716"/>
        <w:spacing w:after="0" w:line="360" w:lineRule="exact"/>
      </w:pPr>
      <w:r>
        <w:rPr>
          <w:rFonts w:hint="eastAsia"/>
        </w:rPr>
        <w:t xml:space="preserve">5.1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pStyle w:val="716"/>
        <w:spacing w:after="0" w:line="360" w:lineRule="exact"/>
      </w:pPr>
      <w:r>
        <w:rPr>
          <w:rFonts w:hint="eastAsia"/>
        </w:rPr>
        <w:t xml:space="preserve">5.2仪器设备到达后，中标人在5个工作日内安排有经验的工程师到达设备使用现场，免费安装调试设备，并在3天内安装、调试完毕。</w:t>
      </w:r>
      <w:r/>
    </w:p>
    <w:p>
      <w:pPr>
        <w:pStyle w:val="716"/>
        <w:spacing w:after="0" w:line="360" w:lineRule="exact"/>
      </w:pPr>
      <w:r>
        <w:rPr>
          <w:rFonts w:hint="eastAsia"/>
        </w:rPr>
        <w:t xml:space="preserve">5.3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p>
    <w:p>
      <w:pPr>
        <w:pStyle w:val="716"/>
        <w:spacing w:after="0" w:line="360" w:lineRule="exact"/>
      </w:pPr>
      <w:r>
        <w:rPr>
          <w:rFonts w:hint="eastAsia"/>
        </w:rPr>
        <w:t xml:space="preserve">5.4 保修期内中标人按投标承诺提供免费维护和质量保证，所有货物保修服务方式均为中标人上门保修，即由中标人派员到货物使用现场维修，保修费用计入投标总价，不再另行收取。</w:t>
      </w:r>
      <w:r/>
    </w:p>
    <w:p>
      <w:pPr>
        <w:pStyle w:val="716"/>
        <w:spacing w:after="0" w:line="360" w:lineRule="exact"/>
      </w:pPr>
      <w:r>
        <w:rPr>
          <w:rFonts w:hint="eastAsia"/>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p>
    <w:p>
      <w:pPr>
        <w:pStyle w:val="716"/>
        <w:spacing w:after="0" w:line="360" w:lineRule="exact"/>
      </w:pPr>
      <w:r>
        <w:rPr>
          <w:rFonts w:hint="eastAsia"/>
        </w:rPr>
        <w:t xml:space="preserve">5.6如果设备交付使用后，缺陷多次反复出现，中标人必须提出分析报告和解决方案，更换该产品，直到最后纠正缺陷、中标人提供质保从纠正之日起重新计算质保期。</w:t>
      </w:r>
      <w:r/>
    </w:p>
    <w:p>
      <w:pPr>
        <w:pStyle w:val="716"/>
        <w:spacing w:after="0" w:line="360" w:lineRule="exact"/>
      </w:pPr>
      <w:r>
        <w:rPr>
          <w:rFonts w:hint="eastAsia"/>
        </w:rPr>
        <w:t xml:space="preserve">5.7如中标人提供的设备设有维修软件密码，中标人应保证无条件地为采购人永久免费打开。</w:t>
      </w:r>
      <w:r/>
    </w:p>
    <w:p>
      <w:pPr>
        <w:pStyle w:val="716"/>
        <w:spacing w:after="0" w:line="360" w:lineRule="exact"/>
      </w:pPr>
      <w:r>
        <w:rPr>
          <w:rFonts w:hint="eastAsia"/>
        </w:rPr>
        <w:t xml:space="preserve">5.8仪器设备安装后，需长期提供技术支持和维修服务，包括软件的免费升级、为采购人提供需要的方法开发及应用资料。</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6、采购标的的验收标准：</w:t>
      </w:r>
      <w:r/>
    </w:p>
    <w:p>
      <w:pPr>
        <w:pStyle w:val="716"/>
        <w:spacing w:after="0" w:line="360" w:lineRule="exact"/>
      </w:pPr>
      <w:r>
        <w:rPr>
          <w:rFonts w:hint="eastAsia"/>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p>
    <w:p>
      <w:pPr>
        <w:pStyle w:val="716"/>
        <w:spacing w:after="0" w:line="360" w:lineRule="exact"/>
      </w:pPr>
      <w:r>
        <w:rPr>
          <w:rFonts w:hint="eastAsia"/>
        </w:rPr>
        <w:t xml:space="preserve">6.2中标人在货物运输到达之前应提前通知采购人，并提示货物运输装卸的注意事项，采购人配合中标人做好货物的交接工作。</w:t>
      </w:r>
      <w:r/>
    </w:p>
    <w:p>
      <w:pPr>
        <w:pStyle w:val="716"/>
        <w:spacing w:after="0" w:line="360" w:lineRule="exact"/>
      </w:pPr>
      <w:r>
        <w:rPr>
          <w:rFonts w:hint="eastAsia"/>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p>
    <w:p>
      <w:pPr>
        <w:pStyle w:val="716"/>
        <w:spacing w:after="0" w:line="360" w:lineRule="exact"/>
      </w:pPr>
      <w:r>
        <w:rPr>
          <w:rFonts w:hint="eastAsia"/>
        </w:rPr>
        <w:t xml:space="preserve">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p>
    <w:p>
      <w:pPr>
        <w:pStyle w:val="716"/>
        <w:spacing w:after="0" w:line="360" w:lineRule="exact"/>
      </w:pPr>
      <w:r>
        <w:rPr>
          <w:rFonts w:hint="eastAsia"/>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p>
    <w:p>
      <w:pPr>
        <w:pStyle w:val="716"/>
        <w:spacing w:after="0" w:line="360" w:lineRule="exact"/>
      </w:pPr>
      <w:r>
        <w:rPr>
          <w:rFonts w:hint="eastAsia"/>
        </w:rPr>
        <w:t xml:space="preserve">6.6如果验收过程中发现数量不足或有质量、技术等问题的，采购人有权拒收。中标人应在30天内按照采购人的要求，采取补足、更换或退货等处理措施，并承担由此发生的一切损失和费用。</w:t>
      </w:r>
      <w:r/>
    </w:p>
    <w:p>
      <w:pPr>
        <w:spacing w:line="480" w:lineRule="exact"/>
        <w:rPr>
          <w:rFonts w:hint="eastAsia" w:ascii="仿宋" w:hAnsi="仿宋" w:eastAsia="仿宋"/>
          <w:color w:val="000000"/>
          <w:sz w:val="28"/>
          <w:szCs w:val="28"/>
        </w:rPr>
      </w:pPr>
      <w:r/>
      <w:bookmarkStart w:id="215" w:name="_Hlk176806128"/>
      <w:r/>
      <w:bookmarkStart w:id="216" w:name="_Hlk174696087"/>
      <w:r>
        <w:rPr>
          <w:rFonts w:hint="eastAsia" w:ascii="仿宋" w:hAnsi="仿宋" w:eastAsia="仿宋"/>
          <w:color w:val="000000"/>
          <w:sz w:val="28"/>
          <w:szCs w:val="28"/>
        </w:rPr>
        <w:t xml:space="preserve">7、非单一产品采购项目，采购标的中的核心产品：</w:t>
      </w:r>
      <w:bookmarkEnd w:id="215"/>
      <w:r/>
      <w:r/>
    </w:p>
    <w:p>
      <w:pPr>
        <w:ind w:firstLine="420"/>
        <w:spacing w:line="480" w:lineRule="exact"/>
      </w:pPr>
      <w:r/>
      <w:bookmarkStart w:id="217" w:name="_Hlk176806351"/>
      <w:r/>
      <w:bookmarkStart w:id="218" w:name="_Hlk176806190"/>
      <w:r>
        <w:rPr>
          <w:rFonts w:hint="eastAsia"/>
        </w:rPr>
        <w:t xml:space="preserve">洗瓶机</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8、付款方式：</w:t>
      </w:r>
      <w:r/>
    </w:p>
    <w:p>
      <w:pPr>
        <w:pStyle w:val="716"/>
        <w:spacing w:after="0" w:line="360" w:lineRule="exact"/>
      </w:pPr>
      <w:r>
        <w:rPr>
          <w:rFonts w:hint="eastAsia"/>
        </w:rPr>
        <w:t xml:space="preserve">  合同签订后支付合同总价款的30%；货物交付安装、调试完成、验收合格后再支付合同总价款的15%；余款在货物质保期满并收到中标人开具的发票后10个工作日内付清。以上付款均通过银行转账，不计利息</w:t>
      </w:r>
      <w:r>
        <w:rPr>
          <w:rFonts w:hint="eastAsia"/>
        </w:rPr>
        <w:t xml:space="preserve">。</w:t>
      </w:r>
      <w:bookmarkEnd w:id="217"/>
      <w:r/>
      <w:r/>
    </w:p>
    <w:p>
      <w:pPr>
        <w:pStyle w:val="716"/>
        <w:ind w:firstLine="0"/>
        <w:spacing w:after="0"/>
        <w:rPr>
          <w:rFonts w:hint="eastAsia" w:ascii="仿宋" w:hAnsi="仿宋" w:eastAsia="仿宋"/>
          <w:sz w:val="28"/>
          <w:szCs w:val="28"/>
        </w:rPr>
      </w:pPr>
      <w:r/>
      <w:bookmarkStart w:id="219" w:name="_Hlk176806378"/>
      <w:r>
        <w:rPr>
          <w:rFonts w:hint="eastAsia" w:ascii="仿宋" w:hAnsi="仿宋" w:eastAsia="仿宋"/>
          <w:sz w:val="28"/>
          <w:szCs w:val="28"/>
        </w:rPr>
        <w:t xml:space="preserve">9、关于进口产品投标：</w:t>
      </w:r>
      <w:bookmarkEnd w:id="216"/>
      <w:r/>
      <w:r/>
    </w:p>
    <w:p>
      <w:pPr>
        <w:ind w:firstLine="420"/>
        <w:spacing w:line="278" w:lineRule="auto"/>
      </w:pPr>
      <w:r>
        <w:rPr>
          <w:rFonts w:hint="eastAsia"/>
        </w:rPr>
        <w:t xml:space="preserve">本项目高效液相色谱仪（DAD+FLD检测器）、高效液相色谱仪（DAD检测器）、超高效液相色谱仪、氮吹浓缩仪接受进口产品投标，超纯水机、洗瓶机不接受进口产品投标。投标产品如果为进口产品的，投标时投标人须提供制造商的专项授权书原件扫描件。</w:t>
      </w:r>
      <w:bookmarkEnd w:id="219"/>
      <w:r/>
      <w:r/>
    </w:p>
    <w:p>
      <w:pPr>
        <w:spacing w:line="278" w:lineRule="auto"/>
        <w:rPr>
          <w:rFonts w:hint="eastAsia" w:ascii="仿宋" w:hAnsi="仿宋" w:eastAsia="仿宋"/>
          <w:color w:val="000000"/>
          <w:sz w:val="28"/>
          <w:szCs w:val="28"/>
        </w:rPr>
      </w:pPr>
      <w:r/>
      <w:bookmarkStart w:id="220" w:name="_Hlk176806561"/>
      <w:r>
        <w:rPr>
          <w:rFonts w:hint="eastAsia" w:ascii="仿宋" w:hAnsi="仿宋" w:eastAsia="仿宋"/>
          <w:color w:val="000000"/>
          <w:sz w:val="28"/>
          <w:szCs w:val="28"/>
        </w:rPr>
        <w:t xml:space="preserve">10、商品包装和快递包装要求执行财办库【2020】123号，具体如下：</w:t>
      </w:r>
      <w:r/>
    </w:p>
    <w:p>
      <w:pPr>
        <w:pStyle w:val="716"/>
        <w:spacing w:after="0" w:line="360" w:lineRule="exact"/>
      </w:pPr>
      <w:r/>
      <w:bookmarkStart w:id="221" w:name="_Hlk175617619"/>
      <w:r>
        <w:rPr>
          <w:rFonts w:hint="eastAsia"/>
        </w:rPr>
        <w:t xml:space="preserve">10.1商品包装环保要求</w:t>
      </w:r>
      <w:r/>
    </w:p>
    <w:p>
      <w:pPr>
        <w:pStyle w:val="716"/>
        <w:spacing w:after="0" w:line="360" w:lineRule="exact"/>
      </w:pPr>
      <w:r>
        <w:rPr>
          <w:rFonts w:hint="eastAsia"/>
        </w:rPr>
        <w:t xml:space="preserve">10.1.1商品包装层数不得超过3层，空隙率不大于40%；</w:t>
      </w:r>
      <w:r/>
    </w:p>
    <w:p>
      <w:pPr>
        <w:pStyle w:val="716"/>
        <w:spacing w:after="0" w:line="360" w:lineRule="exact"/>
      </w:pPr>
      <w:r>
        <w:rPr>
          <w:rFonts w:hint="eastAsia"/>
        </w:rPr>
        <w:t xml:space="preserve">10.1.2商品包装尽可能使用单一材质的包装材料，如因功能需求必需使用不同材质，不同材质间应便于分离；</w:t>
      </w:r>
      <w:r/>
    </w:p>
    <w:p>
      <w:pPr>
        <w:pStyle w:val="716"/>
        <w:spacing w:after="0" w:line="360" w:lineRule="exact"/>
      </w:pPr>
      <w:r>
        <w:rPr>
          <w:rFonts w:hint="eastAsia"/>
        </w:rPr>
        <w:t xml:space="preserve">10.1.3商品包装中铅、汞、镉、六价铬的总含量应不大于100mg/kg；</w:t>
      </w:r>
      <w:r/>
    </w:p>
    <w:p>
      <w:pPr>
        <w:pStyle w:val="716"/>
        <w:spacing w:after="0" w:line="360" w:lineRule="exact"/>
      </w:pPr>
      <w:r>
        <w:rPr>
          <w:rFonts w:hint="eastAsia"/>
        </w:rPr>
        <w:t xml:space="preserve">10.1.4商品包装印刷使用的油墨中挥发性有机化合物(VOCs)含量应不大于5%（以重量计）；</w:t>
      </w:r>
      <w:r/>
    </w:p>
    <w:p>
      <w:pPr>
        <w:pStyle w:val="716"/>
        <w:spacing w:after="0" w:line="360" w:lineRule="exact"/>
      </w:pPr>
      <w:r>
        <w:rPr>
          <w:rFonts w:hint="eastAsia"/>
        </w:rPr>
        <w:t xml:space="preserve">10.1.5塑料材质商品包装上呈现的印刷颜色不得超过6 色；</w:t>
      </w:r>
      <w:r/>
    </w:p>
    <w:p>
      <w:pPr>
        <w:pStyle w:val="716"/>
        <w:spacing w:after="0" w:line="360" w:lineRule="exact"/>
      </w:pPr>
      <w:r>
        <w:rPr>
          <w:rFonts w:hint="eastAsia"/>
        </w:rPr>
        <w:t xml:space="preserve">10.1.6纸质商品包装应使用75%以上的可再生纤维原料生产；</w:t>
      </w:r>
      <w:r/>
    </w:p>
    <w:p>
      <w:pPr>
        <w:pStyle w:val="716"/>
        <w:spacing w:after="0" w:line="360" w:lineRule="exact"/>
      </w:pPr>
      <w:r>
        <w:rPr>
          <w:rFonts w:hint="eastAsia"/>
        </w:rPr>
        <w:t xml:space="preserve">10.1.7木质商品包装的原料应来源于可持续性森林。</w:t>
      </w:r>
      <w:r/>
    </w:p>
    <w:p>
      <w:pPr>
        <w:pStyle w:val="716"/>
        <w:spacing w:after="0" w:line="360" w:lineRule="exact"/>
      </w:pPr>
      <w:r>
        <w:rPr>
          <w:rFonts w:hint="eastAsia"/>
        </w:rPr>
        <w:t xml:space="preserve">10.2快递包装环保要求</w:t>
      </w:r>
      <w:r/>
    </w:p>
    <w:p>
      <w:pPr>
        <w:pStyle w:val="716"/>
        <w:spacing w:after="0" w:line="360" w:lineRule="exact"/>
      </w:pPr>
      <w:r>
        <w:rPr>
          <w:rFonts w:hint="eastAsia"/>
        </w:rPr>
        <w:t xml:space="preserve">10.2.1快递包装中重金属（铅、汞、镉、六价铬）总量应不大于100mg/kg；</w:t>
      </w:r>
      <w:r/>
    </w:p>
    <w:p>
      <w:pPr>
        <w:pStyle w:val="716"/>
        <w:spacing w:after="0" w:line="360" w:lineRule="exact"/>
      </w:pPr>
      <w:r>
        <w:rPr>
          <w:rFonts w:hint="eastAsia"/>
        </w:rPr>
        <w:t xml:space="preserve">10.2.2快递包装印刷使用的油墨中不应添加邻苯二甲酸酯，其挥发性有机化合物(VOCs)含量应不大于5%（以重量计）；</w:t>
      </w:r>
      <w:r/>
    </w:p>
    <w:p>
      <w:pPr>
        <w:pStyle w:val="716"/>
        <w:spacing w:after="0" w:line="360" w:lineRule="exact"/>
      </w:pPr>
      <w:r>
        <w:rPr>
          <w:rFonts w:hint="eastAsia"/>
        </w:rPr>
        <w:t xml:space="preserve">10.2.3快递包装中使用纸基材的包装材料，纸基材中的有机氯的含量应不大于150 mg/kg；</w:t>
      </w:r>
      <w:r/>
    </w:p>
    <w:p>
      <w:pPr>
        <w:pStyle w:val="716"/>
        <w:spacing w:after="0" w:line="360" w:lineRule="exact"/>
      </w:pPr>
      <w:r>
        <w:rPr>
          <w:rFonts w:hint="eastAsia"/>
        </w:rPr>
        <w:t xml:space="preserve">10.2.4快递包装中使用塑料基材的包装材料不得使用邻苯二甲酸二异壬酯、邻苯二甲酸二正辛酯、邻苯二甲酸二(2-乙基)己酯、邻苯二甲酸二异癸酯、邻苯二甲酸丁基苄基酯、邻苯二甲酸二丁酯等作为增塑剂；</w:t>
      </w:r>
      <w:r/>
    </w:p>
    <w:p>
      <w:pPr>
        <w:pStyle w:val="716"/>
        <w:spacing w:after="0" w:line="360" w:lineRule="exact"/>
      </w:pPr>
      <w:r>
        <w:rPr>
          <w:rFonts w:hint="eastAsia"/>
        </w:rPr>
        <w:t xml:space="preserve">10.2.5快递中使用的塑料包装袋不得使用聚氯乙烯作为原料，且原料应为单一材质制成，生物分解率大于60%；</w:t>
      </w:r>
      <w:r/>
    </w:p>
    <w:p>
      <w:pPr>
        <w:pStyle w:val="716"/>
        <w:spacing w:after="0" w:line="360" w:lineRule="exact"/>
      </w:pPr>
      <w:r>
        <w:rPr>
          <w:rFonts w:hint="eastAsia"/>
        </w:rPr>
        <w:t xml:space="preserve">10.2.6快递中使用的充气类填充物不得使用聚氯乙烯作为原料，且原料为单一材质制成，生物分解率大于60%；</w:t>
      </w:r>
      <w:r/>
    </w:p>
    <w:p>
      <w:pPr>
        <w:pStyle w:val="716"/>
        <w:spacing w:after="0" w:line="360" w:lineRule="exact"/>
      </w:pPr>
      <w:r>
        <w:rPr>
          <w:rFonts w:hint="eastAsia"/>
        </w:rPr>
        <w:t xml:space="preserve">10.2.7快递中使用的集装袋应为单一材质制成，其重复使用次数应不小于80次；</w:t>
      </w:r>
      <w:r/>
    </w:p>
    <w:p>
      <w:pPr>
        <w:pStyle w:val="716"/>
        <w:spacing w:after="0" w:line="360" w:lineRule="exact"/>
      </w:pPr>
      <w:r>
        <w:rPr>
          <w:rFonts w:hint="eastAsia"/>
        </w:rPr>
        <w:t xml:space="preserve">10.2.8快递中应使用幅宽不大于45mm的生物降解胶带；</w:t>
      </w:r>
      <w:r/>
    </w:p>
    <w:p>
      <w:pPr>
        <w:pStyle w:val="716"/>
        <w:spacing w:after="0" w:line="360" w:lineRule="exact"/>
      </w:pPr>
      <w:r>
        <w:rPr>
          <w:rFonts w:hint="eastAsia"/>
        </w:rPr>
        <w:t xml:space="preserve">10.2.9快递包装中不得使用溶剂型胶粘剂；</w:t>
      </w:r>
      <w:r/>
    </w:p>
    <w:p>
      <w:pPr>
        <w:pStyle w:val="716"/>
        <w:spacing w:after="0" w:line="360" w:lineRule="exact"/>
      </w:pPr>
      <w:r>
        <w:rPr>
          <w:rFonts w:hint="eastAsia"/>
        </w:rPr>
        <w:t xml:space="preserve">10.2.10快递应使用电子面单；</w:t>
      </w:r>
      <w:r/>
    </w:p>
    <w:p>
      <w:pPr>
        <w:pStyle w:val="716"/>
        <w:spacing w:after="0" w:line="360" w:lineRule="exact"/>
      </w:pPr>
      <w:r>
        <w:rPr>
          <w:rFonts w:hint="eastAsia"/>
        </w:rPr>
        <w:t xml:space="preserve">10.2.11直接使用商品包装作为快递包装的商品，其商品包装满足《商品包装政府采购需求标准（试行）》即可；</w:t>
      </w:r>
      <w:r/>
    </w:p>
    <w:p>
      <w:pPr>
        <w:pStyle w:val="716"/>
        <w:spacing w:after="0" w:line="360" w:lineRule="exact"/>
      </w:pPr>
      <w:r>
        <w:rPr>
          <w:rFonts w:hint="eastAsia"/>
        </w:rPr>
        <w:t xml:space="preserve">10.2.12快递包装产品质量和封装方式应符合相关国家或行业标准技术指标要求</w:t>
      </w:r>
      <w:bookmarkEnd w:id="221"/>
      <w:r>
        <w:rPr>
          <w:rFonts w:hint="eastAsia"/>
        </w:rPr>
        <w:t xml:space="preserve">。</w:t>
      </w:r>
      <w:r/>
    </w:p>
    <w:p>
      <w:p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11、履约保证金：</w:t>
      </w:r>
      <w:r/>
    </w:p>
    <w:p>
      <w:pPr>
        <w:pStyle w:val="716"/>
        <w:spacing w:after="0" w:line="360" w:lineRule="exact"/>
      </w:pPr>
      <w:r>
        <w:rPr>
          <w:rFonts w:hint="eastAsia"/>
        </w:rPr>
        <w:t xml:space="preserve">11.1本项目成交后的履约保证金为项目成交价的10%，中标供应商的履约保证金须在</w:t>
      </w:r>
      <w:bookmarkStart w:id="222" w:name="_Hlk175318062"/>
      <w:r>
        <w:rPr>
          <w:rFonts w:hint="eastAsia"/>
        </w:rPr>
        <w:t xml:space="preserve">成交通知书发出之日起</w:t>
      </w:r>
      <w:bookmarkEnd w:id="222"/>
      <w:r>
        <w:rPr>
          <w:rFonts w:hint="eastAsia"/>
        </w:rPr>
        <w:t xml:space="preserve">至合同签订前，以支票、汇票、本票或者金融机构、担保机构出具的保函等非现金形式提交。成交通知书发出之日起30日内，中标供应商凭成交通知书和履约保证金缴纳凭证与采购人签订合同。超期或未有协商，则视为自动放弃成交资格。</w:t>
      </w:r>
      <w:r/>
    </w:p>
    <w:p>
      <w:pPr>
        <w:pStyle w:val="716"/>
        <w:spacing w:after="0" w:line="360" w:lineRule="exact"/>
      </w:pPr>
      <w:r>
        <w:rPr>
          <w:rFonts w:hint="eastAsia"/>
        </w:rPr>
        <w:t xml:space="preserve">11.2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r/>
    </w:p>
    <w:p>
      <w:pPr>
        <w:pStyle w:val="716"/>
        <w:spacing w:after="0" w:line="360" w:lineRule="exact"/>
      </w:pPr>
      <w:r>
        <w:rPr>
          <w:rFonts w:hint="eastAsia"/>
        </w:rPr>
        <w:t xml:space="preserve">11.3发生以下情况的，履约保证金不予退还或部分退还：</w:t>
      </w:r>
      <w:r/>
    </w:p>
    <w:p>
      <w:pPr>
        <w:pStyle w:val="716"/>
        <w:spacing w:after="0" w:line="360" w:lineRule="exact"/>
      </w:pPr>
      <w:r>
        <w:rPr>
          <w:rFonts w:hint="eastAsia"/>
        </w:rPr>
        <w:t xml:space="preserve">a.签订合同后，中标供应商不履行合同义务的，采购人有权全额扣除履约保证金，全额不予退还，同时采购人亦有权终止合同，中标供应商还须承担相应的法律赔偿责任。</w:t>
      </w:r>
      <w:r/>
    </w:p>
    <w:p>
      <w:pPr>
        <w:pStyle w:val="716"/>
        <w:spacing w:after="0" w:line="360" w:lineRule="exact"/>
      </w:pPr>
      <w:r>
        <w:rPr>
          <w:rFonts w:hint="eastAsia"/>
        </w:rPr>
        <w:t xml:space="preserve">b.中标供应商在履约过程中发生违约行为，给采购人造成损失的，采购人有权在中标供应商缴纳的履约保证金中予以扣款，以弥补采购人经济损失，不足的部分中标供应商另外补齐。</w:t>
      </w:r>
      <w:r/>
    </w:p>
    <w:p>
      <w:pPr>
        <w:pStyle w:val="716"/>
        <w:spacing w:after="0" w:line="360" w:lineRule="exact"/>
      </w:pPr>
      <w:r>
        <w:rPr>
          <w:rFonts w:hint="eastAsia"/>
        </w:rPr>
        <w:t xml:space="preserve">11.4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218"/>
      <w:r/>
      <w:bookmarkEnd w:id="220"/>
      <w:r/>
      <w:r/>
    </w:p>
    <w:p>
      <w:pPr>
        <w:pStyle w:val="716"/>
        <w:spacing w:after="0" w:line="360" w:lineRule="exact"/>
      </w:pPr>
      <w:r/>
      <w:r/>
    </w:p>
    <w:p>
      <w:pPr>
        <w:spacing w:line="480" w:lineRule="exact"/>
        <w:rPr>
          <w:rFonts w:hint="eastAsia" w:ascii="仿宋" w:hAnsi="仿宋" w:eastAsia="仿宋"/>
          <w:b/>
          <w:bCs/>
          <w:i/>
          <w:color w:val="000000"/>
          <w:sz w:val="28"/>
          <w:szCs w:val="28"/>
          <w:u w:val="single"/>
        </w:rPr>
      </w:pPr>
      <w:r>
        <w:rPr>
          <w:rFonts w:hint="eastAsia" w:ascii="仿宋" w:hAnsi="仿宋" w:eastAsia="仿宋"/>
          <w:b/>
          <w:bCs/>
          <w:color w:val="000000"/>
          <w:sz w:val="28"/>
          <w:szCs w:val="28"/>
        </w:rPr>
        <w:t xml:space="preserve">四、</w:t>
      </w:r>
      <w:bookmarkStart w:id="223" w:name="_Hlk175527870"/>
      <w:r>
        <w:rPr>
          <w:rFonts w:hint="eastAsia" w:ascii="仿宋" w:hAnsi="仿宋" w:eastAsia="仿宋"/>
          <w:b/>
          <w:bCs/>
          <w:iCs/>
          <w:color w:val="000000"/>
          <w:sz w:val="28"/>
          <w:szCs w:val="28"/>
        </w:rPr>
        <w:t xml:space="preserve">采购需求中必须满足的实质性要求</w:t>
      </w:r>
      <w:bookmarkEnd w:id="223"/>
      <w:r>
        <w:rPr>
          <w:rFonts w:hint="eastAsia" w:ascii="仿宋" w:hAnsi="仿宋" w:eastAsia="仿宋"/>
          <w:b/>
          <w:bCs/>
          <w:iCs/>
          <w:color w:val="000000"/>
          <w:sz w:val="28"/>
          <w:szCs w:val="28"/>
        </w:rPr>
        <w:t xml:space="preserve">。</w:t>
      </w:r>
      <w:r/>
    </w:p>
    <w:p>
      <w:pPr>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t xml:space="preserve">4.1技术部分实质性要求</w:t>
      </w:r>
      <w:r/>
    </w:p>
    <w:p>
      <w:pPr>
        <w:pStyle w:val="716"/>
        <w:spacing w:after="0" w:line="360" w:lineRule="exact"/>
        <w:rPr>
          <w:i/>
          <w:iCs/>
          <w:u w:val="single"/>
        </w:rPr>
      </w:pPr>
      <w:r>
        <w:rPr>
          <w:rFonts w:hint="eastAsia"/>
          <w:i/>
          <w:iCs/>
          <w:u w:val="single"/>
        </w:rPr>
        <w:t xml:space="preserve">4.1.1投标参数应客观真实，保证不虚假应标。</w:t>
      </w:r>
      <w:r/>
    </w:p>
    <w:p>
      <w:pPr>
        <w:pStyle w:val="716"/>
        <w:spacing w:after="0" w:line="360" w:lineRule="exact"/>
        <w:rPr>
          <w:i/>
          <w:iCs/>
          <w:u w:val="single"/>
        </w:rPr>
      </w:pPr>
      <w:r/>
      <w:bookmarkStart w:id="224" w:name="_Hlk175436534"/>
      <w:r>
        <w:rPr>
          <w:rFonts w:hint="eastAsia"/>
          <w:i/>
          <w:iCs/>
          <w:u w:val="single"/>
        </w:rPr>
        <w:t xml:space="preserve">4.1.2投标人在投标时须填写并提交技术要求响应及偏离表，</w:t>
      </w:r>
      <w:bookmarkStart w:id="225" w:name="_Hlk177951190"/>
      <w:r>
        <w:rPr>
          <w:rFonts w:hint="eastAsia"/>
          <w:i/>
          <w:iCs/>
          <w:u w:val="single"/>
        </w:rPr>
        <w:t xml:space="preserve">每条均注明</w:t>
      </w:r>
      <w:bookmarkStart w:id="226" w:name="_Hlk177936345"/>
      <w:r>
        <w:rPr>
          <w:rFonts w:hint="eastAsia"/>
          <w:i/>
          <w:iCs/>
          <w:u w:val="single"/>
        </w:rPr>
        <w:t xml:space="preserve">“超出”、“符合”或“偏离”。</w:t>
      </w:r>
      <w:bookmarkEnd w:id="226"/>
      <w:r/>
      <w:bookmarkStart w:id="227" w:name="_Hlk177937273"/>
      <w:r>
        <w:rPr>
          <w:rFonts w:hint="eastAsia"/>
          <w:i/>
          <w:iCs/>
          <w:u w:val="single"/>
        </w:rPr>
        <w:t xml:space="preserve">未提交者作无效投标处理。</w:t>
      </w:r>
      <w:bookmarkEnd w:id="224"/>
      <w:r/>
      <w:bookmarkEnd w:id="225"/>
      <w:r/>
      <w:bookmarkEnd w:id="227"/>
      <w:r/>
      <w:r/>
    </w:p>
    <w:p>
      <w:pPr>
        <w:ind w:firstLine="560"/>
        <w:spacing w:line="480" w:lineRule="exact"/>
        <w:rPr>
          <w:rFonts w:hint="eastAsia" w:ascii="仿宋" w:hAnsi="仿宋" w:eastAsia="仿宋"/>
          <w:b/>
          <w:i/>
          <w:color w:val="000000"/>
          <w:sz w:val="28"/>
          <w:szCs w:val="28"/>
          <w:u w:val="single"/>
        </w:rPr>
      </w:pPr>
      <w:r>
        <w:rPr>
          <w:rFonts w:hint="eastAsia" w:ascii="仿宋" w:hAnsi="仿宋" w:eastAsia="仿宋"/>
          <w:i/>
          <w:sz w:val="28"/>
          <w:szCs w:val="28"/>
          <w:u w:val="single"/>
        </w:rPr>
        <w:t xml:space="preserve">4.2商务部分实质性要求</w:t>
      </w:r>
      <w:r/>
    </w:p>
    <w:p>
      <w:pPr>
        <w:pStyle w:val="716"/>
        <w:spacing w:after="0" w:line="360" w:lineRule="exact"/>
        <w:rPr>
          <w:i/>
          <w:iCs/>
          <w:u w:val="single"/>
        </w:rPr>
      </w:pPr>
      <w:r/>
      <w:bookmarkStart w:id="228" w:name="OLE_LINK1"/>
      <w:r>
        <w:rPr>
          <w:rFonts w:hint="eastAsia"/>
          <w:i/>
          <w:iCs/>
          <w:u w:val="single"/>
        </w:rPr>
        <w:t xml:space="preserve">4.2.1中标人在中标通知书发出后30日内凭履约保证金缴纳凭证，按照招标文件确定的事项与采购人签订合同，超期视为自动放弃成交资格。</w:t>
      </w:r>
      <w:r/>
    </w:p>
    <w:p>
      <w:pPr>
        <w:pStyle w:val="716"/>
        <w:spacing w:after="0" w:line="360" w:lineRule="exact"/>
        <w:rPr>
          <w:i/>
          <w:iCs/>
          <w:u w:val="single"/>
        </w:rPr>
      </w:pPr>
      <w:r/>
      <w:bookmarkStart w:id="229" w:name="_Hlk180779940"/>
      <w:r>
        <w:rPr>
          <w:rFonts w:hint="eastAsia"/>
          <w:i/>
          <w:iCs/>
          <w:u w:val="single"/>
        </w:rPr>
        <w:t xml:space="preserve">4.2.2中标人承诺严格按“商务要求：4.2产品配置要求”配置供货。</w:t>
      </w:r>
      <w:bookmarkEnd w:id="229"/>
      <w:r/>
      <w:r/>
    </w:p>
    <w:p>
      <w:pPr>
        <w:pStyle w:val="716"/>
        <w:spacing w:after="0" w:line="360" w:lineRule="exact"/>
        <w:rPr>
          <w:i/>
          <w:iCs/>
          <w:u w:val="single"/>
        </w:rPr>
      </w:pPr>
      <w:r>
        <w:rPr>
          <w:rFonts w:hint="eastAsia"/>
          <w:i/>
          <w:iCs/>
          <w:u w:val="single"/>
        </w:rPr>
        <w:t xml:space="preserve">4.2.3中标人保证所供应的产品是全新、未使用过的原装合格正品，</w:t>
      </w:r>
      <w:bookmarkStart w:id="230" w:name="_Hlk175617714"/>
      <w:r>
        <w:rPr>
          <w:rFonts w:hint="eastAsia"/>
          <w:i/>
          <w:iCs/>
          <w:u w:val="single"/>
        </w:rPr>
        <w:t xml:space="preserve">严禁供应改装、翻新产品。</w:t>
      </w:r>
      <w:bookmarkEnd w:id="230"/>
      <w:r/>
      <w:r/>
    </w:p>
    <w:p>
      <w:pPr>
        <w:pStyle w:val="716"/>
        <w:spacing w:after="0" w:line="360" w:lineRule="exact"/>
        <w:rPr>
          <w:i/>
          <w:iCs/>
          <w:u w:val="single"/>
        </w:rPr>
      </w:pPr>
      <w:r>
        <w:rPr>
          <w:rFonts w:hint="eastAsia"/>
          <w:i/>
          <w:iCs/>
          <w:u w:val="single"/>
        </w:rPr>
        <w:t xml:space="preserve">4.2.4中标人确保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p>
    <w:p>
      <w:pPr>
        <w:pStyle w:val="716"/>
        <w:spacing w:after="0" w:line="360" w:lineRule="exact"/>
        <w:rPr>
          <w:i/>
          <w:iCs/>
          <w:u w:val="single"/>
        </w:rPr>
      </w:pPr>
      <w:r>
        <w:rPr>
          <w:rFonts w:hint="eastAsia"/>
          <w:i/>
          <w:iCs/>
          <w:u w:val="single"/>
        </w:rPr>
        <w:t xml:space="preserve">4.2.5货物到货后，需报采购人后方可进场，保证绝不将不合格的货物使用到本项目，否则一切损失及后果由中标人自行承担。</w:t>
      </w:r>
      <w:r/>
    </w:p>
    <w:p>
      <w:pPr>
        <w:pStyle w:val="716"/>
        <w:spacing w:after="0" w:line="360" w:lineRule="exact"/>
        <w:rPr>
          <w:i/>
          <w:iCs/>
          <w:u w:val="single"/>
        </w:rPr>
      </w:pPr>
      <w:r>
        <w:rPr>
          <w:rFonts w:hint="eastAsia"/>
          <w:i/>
          <w:iCs/>
          <w:u w:val="single"/>
        </w:rPr>
        <w:t xml:space="preserve">4.2.6中标人应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的包括但不限于律师费、诉讼费、保全费、公证费、差旅费、保全保险费等费用），此外还须向采购人支付本合同总价款20%的赔偿金。</w:t>
      </w:r>
      <w:r/>
    </w:p>
    <w:p>
      <w:pPr>
        <w:pStyle w:val="716"/>
        <w:spacing w:after="0" w:line="360" w:lineRule="exact"/>
        <w:rPr>
          <w:i/>
          <w:iCs/>
          <w:u w:val="single"/>
        </w:rPr>
      </w:pPr>
      <w:r>
        <w:rPr>
          <w:rFonts w:hint="eastAsia"/>
          <w:i/>
          <w:iCs/>
          <w:u w:val="single"/>
        </w:rPr>
        <w:t xml:space="preserve">4.2.7中标人保证设备报修后4小时内响应，2个工作日内到达现场维修。</w:t>
      </w:r>
      <w:r/>
    </w:p>
    <w:p>
      <w:pPr>
        <w:pStyle w:val="716"/>
        <w:spacing w:after="0" w:line="360" w:lineRule="exact"/>
        <w:rPr>
          <w:i/>
          <w:iCs/>
          <w:u w:val="single"/>
        </w:rPr>
      </w:pPr>
      <w:r>
        <w:rPr>
          <w:rFonts w:hint="eastAsia"/>
          <w:i/>
          <w:iCs/>
          <w:u w:val="single"/>
        </w:rPr>
        <w:t xml:space="preserve">4.2.8如果货物的质量或规格与合同不符，或证实货物是有缺陷的，包括潜在的缺陷或使用不符合要求的材料等，中标人承担违约责任。</w:t>
      </w:r>
      <w:r/>
    </w:p>
    <w:p>
      <w:pPr>
        <w:pStyle w:val="716"/>
        <w:spacing w:after="0" w:line="360" w:lineRule="exact"/>
        <w:rPr>
          <w:i/>
          <w:iCs/>
          <w:u w:val="single"/>
        </w:rPr>
      </w:pPr>
      <w:r>
        <w:rPr>
          <w:rFonts w:hint="eastAsia"/>
          <w:i/>
          <w:iCs/>
          <w:u w:val="single"/>
        </w:rPr>
        <w:t xml:space="preserve">4.2.9投标人在投标时须填写并提交商务要求响应及偏离表，每条均注明“超出”、“符合”或“偏离”。未提交者作无效投标处理。</w:t>
      </w:r>
      <w:bookmarkEnd w:id="228"/>
      <w:r/>
      <w:r/>
    </w:p>
    <w:p>
      <w:pPr>
        <w:ind w:firstLine="560"/>
        <w:spacing w:line="480" w:lineRule="exact"/>
        <w:rPr>
          <w:rFonts w:hint="eastAsia" w:ascii="仿宋" w:hAnsi="仿宋" w:eastAsia="仿宋"/>
          <w:i/>
          <w:iCs/>
          <w:sz w:val="28"/>
          <w:szCs w:val="28"/>
          <w:u w:val="single"/>
        </w:rPr>
      </w:pPr>
      <w:r>
        <w:rPr>
          <w:rFonts w:hint="eastAsia" w:ascii="仿宋" w:hAnsi="仿宋" w:eastAsia="仿宋"/>
          <w:i/>
          <w:iCs/>
          <w:sz w:val="28"/>
          <w:szCs w:val="28"/>
          <w:u w:val="single"/>
        </w:rPr>
        <w:t xml:space="preserve">4.3报价部分实质性要求</w:t>
      </w:r>
      <w:r/>
    </w:p>
    <w:p>
      <w:pPr>
        <w:pStyle w:val="716"/>
        <w:spacing w:after="0" w:line="360" w:lineRule="exact"/>
        <w:rPr>
          <w:i/>
          <w:iCs/>
          <w:u w:val="single"/>
        </w:rPr>
      </w:pPr>
      <w:r>
        <w:rPr>
          <w:rFonts w:hint="eastAsia"/>
          <w:i/>
          <w:iCs/>
          <w:u w:val="single"/>
        </w:rPr>
        <w:t xml:space="preserve">4.3.1本项目报价包含但不限于投标、货物供应、运输、安装调试、培训、质保等各方面产生的全部费用，中标人不得要求采购人支付除合同价款以外的其他任何费用。</w:t>
      </w:r>
      <w:r/>
    </w:p>
    <w:p>
      <w:pPr>
        <w:pStyle w:val="716"/>
        <w:spacing w:after="0" w:line="360" w:lineRule="exact"/>
        <w:rPr>
          <w:i/>
          <w:iCs/>
          <w:u w:val="single"/>
        </w:rPr>
      </w:pPr>
      <w:r>
        <w:rPr>
          <w:i/>
          <w:iCs/>
          <w:u w:val="single"/>
        </w:rPr>
      </w:r>
      <w:r/>
    </w:p>
    <w:p>
      <w:pPr>
        <w:pStyle w:val="716"/>
        <w:spacing w:after="0" w:line="360" w:lineRule="exact"/>
        <w:rPr>
          <w:i/>
          <w:iCs/>
          <w:u w:val="single"/>
        </w:rPr>
      </w:pPr>
      <w:r>
        <w:rPr>
          <w:i/>
          <w:iCs/>
          <w:u w:val="single"/>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bookmarkStart w:id="231" w:name="_Hlk175090407"/>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231"/>
      <w:r/>
      <w:r/>
    </w:p>
    <w:p>
      <w:pPr>
        <w:ind w:firstLine="512"/>
        <w:jc w:val="left"/>
        <w:spacing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p>
    <w:p>
      <w:pPr>
        <w:ind w:firstLine="562"/>
        <w:jc w:val="left"/>
        <w:spacing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p>
    <w:p>
      <w:pPr>
        <w:pStyle w:val="956"/>
        <w:numPr>
          <w:ilvl w:val="0"/>
          <w:numId w:val="13"/>
        </w:numPr>
        <w:ind w:firstLine="562"/>
        <w:spacing w:before="0" w:after="0" w:line="480" w:lineRule="exact"/>
        <w:rPr>
          <w:rFonts w:hint="eastAsia" w:ascii="仿宋" w:hAnsi="仿宋" w:eastAsia="仿宋"/>
          <w:b/>
          <w:sz w:val="28"/>
          <w:szCs w:val="28"/>
        </w:rPr>
      </w:pPr>
      <w:r/>
      <w:bookmarkStart w:id="232" w:name="OLE_LINK19"/>
      <w:r>
        <w:rPr>
          <w:rFonts w:hint="eastAsia" w:ascii="仿宋" w:hAnsi="仿宋" w:eastAsia="仿宋"/>
          <w:b/>
          <w:sz w:val="28"/>
          <w:szCs w:val="28"/>
        </w:rPr>
        <w:t xml:space="preserve">价格分：35分</w:t>
      </w:r>
      <w:r/>
    </w:p>
    <w:p>
      <w:pPr>
        <w:ind w:firstLine="562"/>
        <w:spacing w:line="500" w:lineRule="exact"/>
        <w:rPr>
          <w:rFonts w:eastAsia="方正仿宋_GBK"/>
          <w:sz w:val="28"/>
          <w:szCs w:val="28"/>
        </w:rPr>
      </w:pPr>
      <w:r/>
      <w:bookmarkStart w:id="233" w:name="_Hlk176807078"/>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bookmarkEnd w:id="233"/>
      <w:r/>
      <w:r/>
    </w:p>
    <w:p>
      <w:pPr>
        <w:pStyle w:val="956"/>
        <w:ind w:left="562" w:firstLine="0"/>
        <w:spacing w:before="0" w:after="0" w:line="480" w:lineRule="exact"/>
        <w:rPr>
          <w:rFonts w:hint="eastAsia" w:ascii="仿宋" w:hAnsi="仿宋" w:eastAsia="仿宋"/>
          <w:b/>
          <w:sz w:val="28"/>
          <w:szCs w:val="28"/>
        </w:rPr>
      </w:pPr>
      <w:r>
        <w:rPr>
          <w:rFonts w:hint="eastAsia" w:ascii="仿宋" w:hAnsi="仿宋" w:eastAsia="仿宋"/>
          <w:b/>
          <w:sz w:val="28"/>
          <w:szCs w:val="28"/>
        </w:rPr>
      </w:r>
      <w:r/>
    </w:p>
    <w:p>
      <w:pPr>
        <w:numPr>
          <w:ilvl w:val="0"/>
          <w:numId w:val="13"/>
        </w:numPr>
        <w:ind w:firstLine="562"/>
        <w:jc w:val="left"/>
        <w:spacing w:line="480" w:lineRule="exact"/>
        <w:rPr>
          <w:rFonts w:hint="eastAsia" w:ascii="仿宋" w:hAnsi="仿宋" w:eastAsia="仿宋"/>
          <w:b/>
          <w:sz w:val="28"/>
          <w:szCs w:val="28"/>
        </w:rPr>
      </w:pPr>
      <w:r>
        <w:rPr>
          <w:rFonts w:hint="eastAsia" w:ascii="仿宋" w:hAnsi="仿宋" w:eastAsia="仿宋"/>
          <w:b/>
          <w:sz w:val="28"/>
          <w:szCs w:val="28"/>
        </w:rPr>
        <w:t xml:space="preserve">技术分：46分</w:t>
      </w:r>
      <w:r/>
    </w:p>
    <w:tbl>
      <w:tblPr>
        <w:tblStyle w:val="71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p>
        </w:tc>
        <w:tc>
          <w:tcPr>
            <w:tcW w:w="2835" w:type="dxa"/>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p>
        </w:tc>
      </w:tr>
      <w:tr>
        <w:trPr/>
        <w:tc>
          <w:tcPr>
            <w:tcW w:w="959" w:type="dxa"/>
            <w:vAlign w:val="center"/>
            <w:textDirection w:val="lrTb"/>
            <w:noWrap w:val="false"/>
          </w:tcPr>
          <w:p>
            <w:pPr>
              <w:jc w:val="center"/>
              <w:spacing w:line="48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1</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rPr>
              <w:t xml:space="preserve">技术要求响应</w:t>
            </w:r>
            <w:r/>
          </w:p>
        </w:tc>
        <w:tc>
          <w:tcPr>
            <w:tcW w:w="2835" w:type="dxa"/>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评委根据投标文件《技术要求响应及偏离表》中相关内容，结合投标文件提供的佐证材料等进行打分。其中：完全满足招标文件技术参数要求的得40分；招标文件中标注“▲”的内容为关键参数要求，有一项偏离的，扣2分；其他参数为常规参数，有一项偏离的，扣0.5分；扣完为止。</w:t>
            </w:r>
            <w:r/>
          </w:p>
          <w:p>
            <w:pPr>
              <w:jc w:val="left"/>
              <w:spacing w:line="480" w:lineRule="exact"/>
              <w:rPr>
                <w:rFonts w:hint="eastAsia" w:ascii="仿宋" w:hAnsi="仿宋" w:eastAsia="仿宋"/>
                <w:b/>
                <w:sz w:val="28"/>
                <w:szCs w:val="28"/>
              </w:rPr>
            </w:pPr>
            <w:r>
              <w:rPr>
                <w:rFonts w:hint="eastAsia" w:ascii="宋体" w:hAnsi="宋体" w:cs="宋体"/>
                <w:sz w:val="24"/>
                <w:szCs w:val="24"/>
              </w:rPr>
              <w:t xml:space="preserve">注：1、投标产品为进口产品的，标注“▲”的参数，投标时必须提供相关证明材料（如产品彩页、技术白皮书、检测报告等，并加盖制造商公章）扫描件，否则视为偏离；未标注“▲”的参数，如参数项下标明投标时须提供相关证明材料的，也须按要求提供，否则视为偏离。2、技术要求响应及偏离表中技术要求条目须与招标文件严格对应，如有缺漏、删减或自行修改的，则视为偏离。</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40</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客观分</w:t>
            </w:r>
            <w:r/>
          </w:p>
        </w:tc>
      </w:tr>
      <w:tr>
        <w:trPr/>
        <w:tc>
          <w:tcPr>
            <w:tcW w:w="959" w:type="dxa"/>
            <w:vAlign w:val="center"/>
            <w:textDirection w:val="lrTb"/>
            <w:noWrap w:val="false"/>
          </w:tcPr>
          <w:p>
            <w:pPr>
              <w:jc w:val="center"/>
              <w:spacing w:line="480" w:lineRule="exac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产品质量性能</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投标时投标人应提供《</w:t>
            </w:r>
            <w:bookmarkStart w:id="234" w:name="_Hlk180766683"/>
            <w:r>
              <w:rPr>
                <w:rFonts w:hint="eastAsia" w:ascii="宋体" w:hAnsi="宋体"/>
                <w:sz w:val="24"/>
              </w:rPr>
              <w:t xml:space="preserve">投标产品配置选型一览表</w:t>
            </w:r>
            <w:bookmarkEnd w:id="234"/>
            <w:r>
              <w:rPr>
                <w:rFonts w:hint="eastAsia" w:ascii="宋体" w:hAnsi="宋体"/>
                <w:sz w:val="24"/>
              </w:rPr>
              <w:t xml:space="preserve">》（表1），注明技术先进性、产品稳定性、品牌性能口碑（诸如既往用户满意度评价、第三方市场占有率的调查数据、在知名杂志发表的专业类文献等）等产品质量性能参数。评委根据投标人所投产品的整体配置选型情况进行打分：</w:t>
            </w:r>
            <w:r/>
          </w:p>
          <w:p>
            <w:pPr>
              <w:jc w:val="left"/>
              <w:spacing w:line="360" w:lineRule="auto"/>
              <w:rPr>
                <w:rFonts w:hint="eastAsia" w:ascii="宋体" w:hAnsi="宋体"/>
                <w:sz w:val="24"/>
              </w:rPr>
            </w:pPr>
            <w:r>
              <w:rPr>
                <w:rFonts w:hint="eastAsia" w:ascii="宋体" w:hAnsi="宋体"/>
                <w:sz w:val="24"/>
              </w:rPr>
              <w:t xml:space="preserve">1、配置选型方面，展现出高度的合理性，充分考虑了实际应用的需求与场景，确保所选配置能够充分发挥效用，不造成资源浪费。技术层面，紧跟行业前沿，采用了先进的技术架构和设计理念，产品具备较高的可扩展性。稳定性方面，产品经过严格的质量控制和测试验证，确保了在高强度、高负载的运行环境下依然能够保持稳定的运行状态。品牌性能口碑方面，该品牌在市场上享有良好的声誉，占有率高，其产品在性能、质量、可靠性等方面均得到了广泛认可和好评，得6分。</w:t>
            </w:r>
            <w:r/>
          </w:p>
          <w:p>
            <w:pPr>
              <w:jc w:val="left"/>
              <w:spacing w:line="360" w:lineRule="auto"/>
              <w:rPr>
                <w:rFonts w:hint="eastAsia" w:ascii="宋体" w:hAnsi="宋体"/>
                <w:sz w:val="24"/>
              </w:rPr>
            </w:pPr>
            <w:r>
              <w:rPr>
                <w:rFonts w:hint="eastAsia" w:ascii="宋体" w:hAnsi="宋体"/>
                <w:sz w:val="24"/>
              </w:rPr>
              <w:t xml:space="preserve">2、配置选型方面，具有一定合理性，能够考虑到实际应用的需求与场景。技术层面，采用了较为成熟的技术架构和设计理念，产品具备一定可扩展性。稳定性方面，产品经过质量控制和测试验证，保证在正常运行环境下能够保持稳定的运行状态。品牌性能口碑方面，该品牌在市场上具备一定声誉和占有率，其产品在性能、质量、可靠性等方面被用户认可，得3分。</w:t>
            </w:r>
            <w:r/>
          </w:p>
          <w:p>
            <w:pPr>
              <w:jc w:val="left"/>
              <w:spacing w:line="360" w:lineRule="auto"/>
              <w:rPr>
                <w:rFonts w:hint="eastAsia" w:ascii="宋体" w:hAnsi="宋体"/>
                <w:sz w:val="24"/>
              </w:rPr>
            </w:pPr>
            <w:r>
              <w:rPr>
                <w:rFonts w:hint="eastAsia" w:ascii="宋体" w:hAnsi="宋体"/>
                <w:sz w:val="24"/>
              </w:rPr>
              <w:t xml:space="preserve">3、配置选型方面，与实际应用的需求和场景不相匹配，合理性较差。技术层面，采用了较为落后的技术架构和设计理念，产品不具备可扩展性。稳定性方面，未能证明产品在正常运行环境下能够保持稳定的运行状态。品牌性能口碑方面，该品牌在市场上占有率较小，声誉较差，其产品在性能、质量或可靠性等方面认可度低，得1分；</w:t>
            </w:r>
            <w:r/>
          </w:p>
          <w:p>
            <w:pPr>
              <w:jc w:val="left"/>
              <w:spacing w:line="480" w:lineRule="exact"/>
              <w:rPr>
                <w:rFonts w:hint="eastAsia" w:ascii="仿宋" w:hAnsi="仿宋" w:eastAsia="仿宋"/>
                <w:b/>
                <w:sz w:val="28"/>
                <w:szCs w:val="28"/>
              </w:rPr>
            </w:pPr>
            <w:r>
              <w:rPr>
                <w:rFonts w:hint="eastAsia" w:ascii="宋体" w:hAnsi="宋体"/>
                <w:sz w:val="24"/>
              </w:rPr>
              <w:t xml:space="preserve">4、投标时未提供相关信息的不得分。</w:t>
            </w:r>
            <w:r/>
          </w:p>
        </w:tc>
        <w:tc>
          <w:tcPr>
            <w:tcW w:w="124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6</w:t>
            </w:r>
            <w:r/>
          </w:p>
        </w:tc>
        <w:tc>
          <w:tcPr>
            <w:tcW w:w="1110"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主观分</w:t>
            </w:r>
            <w:r/>
          </w:p>
        </w:tc>
      </w:tr>
    </w:tbl>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jc w:val="center"/>
        <w:widowControl/>
        <w:rPr>
          <w:rFonts w:hint="eastAsia" w:ascii="仿宋" w:hAnsi="仿宋" w:eastAsia="仿宋"/>
          <w:b/>
          <w:bCs/>
          <w:sz w:val="28"/>
          <w:szCs w:val="28"/>
        </w:rPr>
        <w:pBdr>
          <w:top w:val="none" w:color="000000" w:sz="0" w:space="0"/>
          <w:left w:val="none" w:color="000000" w:sz="0" w:space="0"/>
          <w:bottom w:val="none" w:color="000000" w:sz="0" w:space="0"/>
          <w:right w:val="none" w:color="000000" w:sz="0" w:space="0"/>
        </w:pBdr>
      </w:pPr>
      <w:r/>
      <w:bookmarkStart w:id="235" w:name="_Hlk180780886"/>
      <w:r>
        <w:rPr>
          <w:rFonts w:hint="eastAsia" w:ascii="仿宋" w:hAnsi="仿宋" w:eastAsia="仿宋"/>
          <w:b/>
          <w:sz w:val="28"/>
          <w:szCs w:val="28"/>
        </w:rPr>
        <w:t xml:space="preserve">表1.</w:t>
      </w:r>
      <w:r>
        <w:rPr>
          <w:rFonts w:hint="eastAsia" w:ascii="仿宋" w:hAnsi="仿宋" w:eastAsia="仿宋"/>
          <w:b/>
          <w:bCs/>
          <w:sz w:val="28"/>
          <w:szCs w:val="28"/>
        </w:rPr>
        <w:t xml:space="preserve">投标产品配置选型一览表</w:t>
      </w:r>
      <w:r/>
    </w:p>
    <w:tbl>
      <w:tblPr>
        <w:tblStyle w:val="990"/>
        <w:tblW w:w="87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559"/>
        <w:gridCol w:w="1276"/>
        <w:gridCol w:w="1417"/>
        <w:gridCol w:w="1843"/>
        <w:gridCol w:w="1843"/>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设备名称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品牌规格型号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生产厂家</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产品质量性能参数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是否进口</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eastAsiaTheme="minorEastAsia"/>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rFonts w:hint="eastAsia" w:eastAsiaTheme="minorEastAsia"/>
                <w:color w:val="000000"/>
                <w:sz w:val="28"/>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bookmarkEnd w:id="235"/>
            <w:r/>
            <w:r/>
          </w:p>
        </w:tc>
      </w:tr>
    </w:tbl>
    <w:p>
      <w:pPr>
        <w:jc w:val="left"/>
        <w:widowControl/>
        <w:rPr>
          <w:sz w:val="20"/>
          <w:szCs w:val="20"/>
        </w:rPr>
        <w:pBdr>
          <w:top w:val="none" w:color="000000" w:sz="0" w:space="0"/>
          <w:left w:val="none" w:color="000000" w:sz="0" w:space="0"/>
          <w:bottom w:val="none" w:color="000000" w:sz="0" w:space="0"/>
          <w:right w:val="none" w:color="000000" w:sz="0" w:space="0"/>
        </w:pBdr>
      </w:pPr>
      <w:r>
        <w:rPr>
          <w:sz w:val="20"/>
          <w:szCs w:val="20"/>
        </w:rPr>
      </w:r>
      <w:r/>
    </w:p>
    <w:p>
      <w:pPr>
        <w:jc w:val="left"/>
        <w:spacing w:line="480" w:lineRule="exact"/>
        <w:rPr>
          <w:rFonts w:hint="eastAsia" w:ascii="仿宋" w:hAnsi="仿宋" w:eastAsia="仿宋"/>
          <w:b/>
          <w:sz w:val="28"/>
          <w:szCs w:val="28"/>
        </w:rPr>
      </w:pPr>
      <w:r>
        <w:rPr>
          <w:rFonts w:hint="eastAsia" w:ascii="仿宋" w:hAnsi="仿宋" w:eastAsia="仿宋"/>
          <w:b/>
          <w:sz w:val="28"/>
          <w:szCs w:val="28"/>
        </w:rPr>
      </w:r>
      <w:r/>
    </w:p>
    <w:p>
      <w:pPr>
        <w:numPr>
          <w:ilvl w:val="0"/>
          <w:numId w:val="13"/>
        </w:numPr>
        <w:ind w:firstLine="562"/>
        <w:jc w:val="left"/>
        <w:spacing w:line="480" w:lineRule="exact"/>
        <w:rPr>
          <w:rFonts w:hint="eastAsia" w:ascii="仿宋" w:hAnsi="仿宋" w:eastAsia="仿宋"/>
          <w:sz w:val="28"/>
          <w:szCs w:val="28"/>
        </w:rPr>
      </w:pPr>
      <w:r>
        <w:rPr>
          <w:rFonts w:hint="eastAsia" w:ascii="仿宋" w:hAnsi="仿宋" w:eastAsia="仿宋"/>
          <w:b/>
          <w:sz w:val="28"/>
          <w:szCs w:val="28"/>
        </w:rPr>
        <w:t xml:space="preserve">商务分：19分</w:t>
      </w:r>
      <w:r/>
    </w:p>
    <w:tbl>
      <w:tblPr>
        <w:tblStyle w:val="71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W w:w="1701"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p>
        </w:tc>
        <w:tc>
          <w:tcPr>
            <w:tcW w:w="2835" w:type="dxa"/>
            <w:textDirection w:val="lrTb"/>
            <w:noWrap w:val="false"/>
          </w:tcPr>
          <w:p>
            <w:pPr>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p>
        </w:tc>
        <w:tc>
          <w:tcPr>
            <w:tcW w:w="1241"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p>
        </w:tc>
        <w:tc>
          <w:tcPr>
            <w:tcW w:w="1110"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p>
        </w:tc>
        <w:tc>
          <w:tcPr>
            <w:tcW w:w="1618" w:type="dxa"/>
            <w:vAlign w:val="center"/>
            <w:textDirection w:val="lrTb"/>
            <w:noWrap w:val="false"/>
          </w:tcPr>
          <w:p>
            <w:pPr>
              <w:jc w:val="left"/>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1</w:t>
            </w:r>
            <w:r/>
          </w:p>
        </w:tc>
        <w:tc>
          <w:tcPr>
            <w:tcW w:w="170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安装调试方案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安装调试方案，内容包括但不限于①工作目标、②程序和步骤、③人员构架、④管理和协调、⑤时间进度、⑥关键要点。评委根据投标人提供的具体安装调试方案进行打分：</w:t>
            </w:r>
            <w:r/>
          </w:p>
          <w:p>
            <w:pPr>
              <w:jc w:val="left"/>
              <w:spacing w:line="360" w:lineRule="auto"/>
              <w:rPr>
                <w:rFonts w:hint="eastAsia" w:ascii="宋体" w:hAnsi="宋体"/>
                <w:sz w:val="24"/>
              </w:rPr>
            </w:pPr>
            <w:r>
              <w:rPr>
                <w:rFonts w:hint="eastAsia" w:ascii="宋体" w:hAnsi="宋体"/>
                <w:sz w:val="24"/>
              </w:rPr>
              <w:t xml:space="preserve">1、方案内容均阐述到位，详细周全，方案各步骤均经过设计，以确保安装目标顺利实现，同时方案还充分预见到各种情况并提出具体应对措施以保证整体可行性，得6分；</w:t>
            </w:r>
            <w:r/>
          </w:p>
          <w:p>
            <w:pPr>
              <w:jc w:val="left"/>
              <w:spacing w:line="360" w:lineRule="auto"/>
              <w:rPr>
                <w:rFonts w:hint="eastAsia" w:ascii="宋体" w:hAnsi="宋体"/>
                <w:sz w:val="24"/>
              </w:rPr>
            </w:pPr>
            <w:r>
              <w:rPr>
                <w:rFonts w:hint="eastAsia" w:ascii="宋体" w:hAnsi="宋体"/>
                <w:sz w:val="24"/>
              </w:rPr>
              <w:t xml:space="preserve">2、方案内容均有所阐述，但部分内容阐述不到位，方案预见到一些情况并提出了应对措施，方案具有可行性，得3分；</w:t>
            </w:r>
            <w:r/>
          </w:p>
          <w:p>
            <w:pPr>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3、方案内容不全，或均有所阐述，但大部分内容阐述不到位，各类情况预见性不强，应对措施不具体，方案可行性较差，得1分；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6</w:t>
            </w:r>
            <w:r/>
          </w:p>
        </w:tc>
        <w:tc>
          <w:tcPr>
            <w:tcW w:w="1110"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主观分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2</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sz w:val="24"/>
              </w:rPr>
              <w:t xml:space="preserve">验收方案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投标时投标人应对本项目提供完整、详细、可行的验收方案，内容包括但不限于①工作目标、②程序和步骤、③组织和协调、④应急预案。评委根据投标人提供的具体验收方案进行打分：</w:t>
            </w:r>
            <w:r/>
          </w:p>
          <w:p>
            <w:pPr>
              <w:jc w:val="left"/>
              <w:spacing w:line="360" w:lineRule="auto"/>
              <w:rPr>
                <w:rFonts w:hint="eastAsia" w:ascii="宋体" w:hAnsi="宋体"/>
                <w:sz w:val="24"/>
              </w:rPr>
            </w:pPr>
            <w:r>
              <w:rPr>
                <w:rFonts w:hint="eastAsia" w:ascii="宋体" w:hAnsi="宋体"/>
                <w:sz w:val="24"/>
              </w:rPr>
              <w:t xml:space="preserve">1、方案内容均阐述到位，验收流程清晰，步骤明确，可按照流程开展正确验收操作，并制定个性化合理化应急预案，得3分；</w:t>
            </w:r>
            <w:r/>
          </w:p>
          <w:p>
            <w:pPr>
              <w:jc w:val="left"/>
              <w:spacing w:line="360" w:lineRule="auto"/>
              <w:rPr>
                <w:rFonts w:hint="eastAsia" w:ascii="宋体" w:hAnsi="宋体"/>
                <w:sz w:val="24"/>
              </w:rPr>
            </w:pPr>
            <w:r>
              <w:rPr>
                <w:rFonts w:hint="eastAsia" w:ascii="宋体" w:hAnsi="宋体"/>
                <w:sz w:val="24"/>
              </w:rPr>
              <w:t xml:space="preserve">2、方案内容均有所阐述，但部分内容阐述不到位，验收流程与步骤不够清晰，应急预案针对性不够强，得2分；</w:t>
            </w:r>
            <w:r/>
          </w:p>
          <w:p>
            <w:pPr>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3、方案内容不全，或均有所阐述，但大部分内容阐述不到位，验收流程与步骤不合理，应急预案不具备针对性，得1分；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3</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bookmarkStart w:id="236" w:name="_Hlk175328100"/>
            <w:r>
              <w:rPr>
                <w:rFonts w:hint="eastAsia" w:ascii="宋体" w:hAnsi="宋体" w:cs="宋体"/>
                <w:sz w:val="28"/>
                <w:szCs w:val="28"/>
              </w:rPr>
              <w:t xml:space="preserve">3</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sz w:val="24"/>
              </w:rPr>
              <w:t xml:space="preserve">培训方案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培训方案，内容包括但不限于①培训内容和目标、②时间地点安排、③方法要点、④师资和人次、⑤管理和协调、⑥效果评价。评委根据投标人提供的具体培训方案进行打分：</w:t>
            </w:r>
            <w:r/>
          </w:p>
          <w:p>
            <w:pPr>
              <w:jc w:val="left"/>
              <w:spacing w:line="360" w:lineRule="auto"/>
              <w:rPr>
                <w:rFonts w:hint="eastAsia" w:ascii="宋体" w:hAnsi="宋体"/>
                <w:sz w:val="24"/>
              </w:rPr>
            </w:pPr>
            <w:r>
              <w:rPr>
                <w:rFonts w:hint="eastAsia" w:ascii="宋体" w:hAnsi="宋体"/>
                <w:sz w:val="24"/>
              </w:rPr>
              <w:t xml:space="preserve">1、方案内容包含上述要点，能够根据货物特点安排有针对性并符合业主要求的培训内容，由富有经验的师资力量开展培训活动，具有详细培训课程安排和个性化的培训效果评价计划，得4分；</w:t>
            </w:r>
            <w:r/>
          </w:p>
          <w:p>
            <w:pPr>
              <w:jc w:val="left"/>
              <w:spacing w:line="360" w:lineRule="auto"/>
              <w:rPr>
                <w:rFonts w:hint="eastAsia" w:ascii="宋体" w:hAnsi="宋体"/>
                <w:sz w:val="24"/>
              </w:rPr>
            </w:pPr>
            <w:r>
              <w:rPr>
                <w:rFonts w:hint="eastAsia" w:ascii="宋体" w:hAnsi="宋体"/>
                <w:sz w:val="24"/>
              </w:rPr>
              <w:t xml:space="preserve">2、方案内容包含上述要点，能够根据货物特点安排有针对性的培训内容，但师资力量较弱，培训课程安排不够详细，培训效果评价计划不够有针对性，得2分； </w:t>
            </w:r>
            <w:r/>
          </w:p>
          <w:p>
            <w:pPr>
              <w:jc w:val="left"/>
              <w:spacing w:line="360" w:lineRule="auto"/>
              <w:rPr>
                <w:rFonts w:hint="eastAsia" w:ascii="宋体" w:hAnsi="宋体"/>
                <w:sz w:val="24"/>
              </w:rPr>
            </w:pPr>
            <w:r>
              <w:rPr>
                <w:rFonts w:hint="eastAsia" w:ascii="宋体" w:hAnsi="宋体"/>
                <w:sz w:val="24"/>
              </w:rPr>
              <w:t xml:space="preserve">3、方案内容不全，或包含上述要点，但缺少根据货物特点和业主要求的个性化内容，师资力量较弱，无具体课程安排和培训效果评价计划，得1分；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bookmarkEnd w:id="236"/>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4</w:t>
            </w:r>
            <w:r/>
          </w:p>
        </w:tc>
        <w:tc>
          <w:tcPr>
            <w:tcW w:w="170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sz w:val="24"/>
              </w:rPr>
              <w:t xml:space="preserve">售后服务方案</w:t>
            </w:r>
            <w:r/>
          </w:p>
        </w:tc>
        <w:tc>
          <w:tcPr>
            <w:tcW w:w="2835" w:type="dxa"/>
            <w:textDirection w:val="lrTb"/>
            <w:noWrap w:val="false"/>
          </w:tcPr>
          <w:p>
            <w:pPr>
              <w:jc w:val="left"/>
              <w:spacing w:line="360" w:lineRule="auto"/>
              <w:rPr>
                <w:rFonts w:hint="eastAsia" w:ascii="宋体" w:hAnsi="宋体"/>
                <w:sz w:val="24"/>
              </w:rPr>
            </w:pPr>
            <w:r>
              <w:rPr>
                <w:rFonts w:hint="eastAsia" w:ascii="宋体" w:hAnsi="宋体"/>
                <w:sz w:val="24"/>
              </w:rPr>
              <w:t xml:space="preserve">投标时投标人应对本项目提供完整、详细、可行的售后方案，内容包括但不限于①保修时间响应、②服务响应速度、③应急处理方式、④日常维护和保养、⑤零配件和维修备品备件的供应保障、⑥服务人员专业素养、⑦软件免费升级保障、⑧客户反馈处理机制等。评委根据投标人提供的具体售后方案进行打分：</w:t>
            </w:r>
            <w:r/>
          </w:p>
          <w:p>
            <w:pPr>
              <w:jc w:val="left"/>
              <w:spacing w:line="360" w:lineRule="auto"/>
              <w:rPr>
                <w:rFonts w:hint="eastAsia" w:ascii="宋体" w:hAnsi="宋体"/>
                <w:sz w:val="24"/>
              </w:rPr>
            </w:pPr>
            <w:r>
              <w:rPr>
                <w:rFonts w:hint="eastAsia" w:ascii="宋体" w:hAnsi="宋体"/>
                <w:sz w:val="24"/>
              </w:rPr>
              <w:t xml:space="preserve">1、方案详尽列出上述所有要点所涉具体内容，能够根据业主要求提供个性化服务，保修时间≥2年，得4分；</w:t>
            </w:r>
            <w:r/>
          </w:p>
          <w:p>
            <w:pPr>
              <w:jc w:val="left"/>
              <w:spacing w:line="360" w:lineRule="auto"/>
              <w:rPr>
                <w:rFonts w:hint="eastAsia" w:ascii="宋体" w:hAnsi="宋体"/>
                <w:sz w:val="24"/>
              </w:rPr>
            </w:pPr>
            <w:r>
              <w:rPr>
                <w:rFonts w:hint="eastAsia" w:ascii="宋体" w:hAnsi="宋体"/>
                <w:sz w:val="24"/>
              </w:rPr>
              <w:t xml:space="preserve">2、方案详尽列出上述所有要点所涉具体内容，能够提供个性化服务，保修时间1年，得2分； </w:t>
            </w:r>
            <w:r/>
          </w:p>
          <w:p>
            <w:pPr>
              <w:jc w:val="left"/>
              <w:spacing w:line="360" w:lineRule="auto"/>
              <w:rPr>
                <w:rFonts w:hint="eastAsia" w:ascii="宋体" w:hAnsi="宋体"/>
                <w:sz w:val="24"/>
              </w:rPr>
            </w:pPr>
            <w:r>
              <w:rPr>
                <w:rFonts w:hint="eastAsia" w:ascii="宋体" w:hAnsi="宋体"/>
                <w:sz w:val="24"/>
              </w:rPr>
              <w:t xml:space="preserve">3、方案不能详尽列出上述要点所涉具体内容，仅能提供通用化服务，保修时间1年，得1分；</w:t>
            </w:r>
            <w:r/>
          </w:p>
          <w:p>
            <w:pPr>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p>
        </w:tc>
        <w:tc>
          <w:tcPr>
            <w:tcW w:w="1110"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p>
        </w:tc>
      </w:tr>
      <w:tr>
        <w:trPr/>
        <w:tc>
          <w:tcPr>
            <w:tcW w:w="959" w:type="dxa"/>
            <w:vAlign w:val="center"/>
            <w:textDirection w:val="lrTb"/>
            <w:noWrap w:val="false"/>
          </w:tcPr>
          <w:p>
            <w:pPr>
              <w:jc w:val="center"/>
              <w:spacing w:line="480" w:lineRule="exact"/>
              <w:rPr>
                <w:rFonts w:hint="eastAsia" w:ascii="宋体" w:hAnsi="宋体" w:cs="宋体"/>
                <w:sz w:val="28"/>
                <w:szCs w:val="28"/>
              </w:rPr>
            </w:pPr>
            <w:r>
              <w:rPr>
                <w:rFonts w:hint="eastAsia" w:ascii="宋体" w:hAnsi="宋体" w:cs="宋体"/>
                <w:sz w:val="28"/>
                <w:szCs w:val="28"/>
              </w:rPr>
              <w:t xml:space="preserve">5</w:t>
            </w:r>
            <w:r/>
          </w:p>
        </w:tc>
        <w:tc>
          <w:tcPr>
            <w:tcW w:w="1701" w:type="dxa"/>
            <w:vAlign w:val="center"/>
            <w:textDirection w:val="lrTb"/>
            <w:noWrap w:val="false"/>
          </w:tcPr>
          <w:p>
            <w:pPr>
              <w:jc w:val="center"/>
              <w:spacing w:line="480" w:lineRule="exact"/>
              <w:rPr>
                <w:rFonts w:hint="eastAsia" w:ascii="宋体" w:hAnsi="宋体"/>
                <w:sz w:val="24"/>
              </w:rPr>
            </w:pPr>
            <w:r>
              <w:rPr>
                <w:rFonts w:hint="eastAsia" w:ascii="宋体" w:hAnsi="宋体"/>
                <w:sz w:val="24"/>
              </w:rPr>
              <w:t xml:space="preserve">节能环保</w:t>
            </w:r>
            <w:r/>
          </w:p>
        </w:tc>
        <w:tc>
          <w:tcPr>
            <w:tcW w:w="2835" w:type="dxa"/>
            <w:textDirection w:val="lrTb"/>
            <w:noWrap w:val="false"/>
          </w:tcPr>
          <w:p>
            <w:pPr>
              <w:spacing w:line="480" w:lineRule="exact"/>
              <w:rPr>
                <w:rFonts w:hint="eastAsia" w:ascii="宋体" w:hAnsi="宋体"/>
                <w:sz w:val="24"/>
              </w:rPr>
            </w:pPr>
            <w:r>
              <w:rPr>
                <w:rFonts w:hint="eastAsia" w:ascii="宋体" w:hAnsi="宋体"/>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480" w:lineRule="exact"/>
              <w:rPr>
                <w:rFonts w:hint="eastAsia" w:ascii="宋体" w:hAnsi="宋体"/>
                <w:sz w:val="24"/>
              </w:rPr>
            </w:pPr>
            <w:r>
              <w:rPr>
                <w:rFonts w:hint="eastAsia" w:ascii="宋体" w:hAnsi="宋体"/>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p>
            <w:pPr>
              <w:jc w:val="left"/>
              <w:spacing w:line="360" w:lineRule="auto"/>
              <w:rPr>
                <w:rFonts w:hint="eastAsia" w:ascii="宋体" w:hAnsi="宋体"/>
                <w:sz w:val="24"/>
              </w:rPr>
            </w:pPr>
            <w:r>
              <w:rPr>
                <w:rFonts w:hint="eastAsia" w:ascii="宋体" w:hAnsi="宋体"/>
                <w:sz w:val="24"/>
              </w:rPr>
            </w:r>
            <w:r/>
          </w:p>
        </w:tc>
        <w:tc>
          <w:tcPr>
            <w:tcW w:w="1241"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2</w:t>
            </w:r>
            <w:r/>
          </w:p>
        </w:tc>
        <w:tc>
          <w:tcPr>
            <w:tcW w:w="1110"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val="false"/>
          </w:tcPr>
          <w:p>
            <w:pPr>
              <w:jc w:val="center"/>
              <w:spacing w:line="480" w:lineRule="exact"/>
              <w:rPr>
                <w:rFonts w:hint="eastAsia" w:ascii="宋体" w:hAnsi="宋体" w:cs="宋体"/>
                <w:sz w:val="24"/>
                <w:szCs w:val="24"/>
              </w:rPr>
            </w:pPr>
            <w:r>
              <w:rPr>
                <w:rFonts w:hint="eastAsia" w:ascii="宋体" w:hAnsi="宋体" w:cs="宋体"/>
                <w:sz w:val="24"/>
                <w:szCs w:val="24"/>
              </w:rPr>
              <w:t xml:space="preserve">客观分</w:t>
            </w:r>
            <w:bookmarkEnd w:id="232"/>
            <w:r/>
            <w:r/>
          </w:p>
        </w:tc>
      </w:tr>
    </w:tbl>
    <w:p>
      <w:pPr>
        <w:pStyle w:val="716"/>
        <w:ind w:firstLine="640"/>
        <w:rPr>
          <w:sz w:val="32"/>
          <w:szCs w:val="32"/>
        </w:rPr>
      </w:pPr>
      <w:r>
        <w:rPr>
          <w:sz w:val="32"/>
          <w:szCs w:val="32"/>
        </w:rPr>
      </w:r>
      <w:r/>
    </w:p>
    <w:p>
      <w:pPr>
        <w:pStyle w:val="716"/>
        <w:ind w:firstLine="640"/>
        <w:rPr>
          <w:sz w:val="32"/>
          <w:szCs w:val="32"/>
        </w:rPr>
      </w:pPr>
      <w:r>
        <w:rPr>
          <w:sz w:val="32"/>
          <w:szCs w:val="32"/>
        </w:rPr>
      </w:r>
      <w:r/>
    </w:p>
    <w:p>
      <w:pPr>
        <w:pStyle w:val="716"/>
        <w:ind w:firstLine="640"/>
        <w:rPr>
          <w:sz w:val="32"/>
          <w:szCs w:val="32"/>
        </w:rPr>
      </w:pPr>
      <w:r>
        <w:rPr>
          <w:sz w:val="32"/>
          <w:szCs w:val="32"/>
        </w:rPr>
      </w:r>
      <w:bookmarkEnd w:id="175"/>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pStyle w:val="716"/>
        <w:rPr>
          <w:lang w:eastAsia="zh-CN"/>
        </w:rPr>
      </w:pPr>
      <w:r>
        <w:rPr>
          <w:lang w:eastAsia="zh-CN"/>
        </w:rPr>
      </w:r>
      <w:r/>
    </w:p>
    <w:p>
      <w:pPr>
        <w:jc w:val="center"/>
        <w:keepNext/>
        <w:rPr>
          <w:rFonts w:ascii="黑体" w:eastAsia="黑体"/>
          <w:bCs/>
          <w:sz w:val="44"/>
          <w:szCs w:val="28"/>
        </w:rPr>
        <w:outlineLvl w:val="0"/>
      </w:pPr>
      <w:r>
        <w:rPr>
          <w:rFonts w:hint="eastAsia" w:ascii="黑体" w:eastAsia="黑体"/>
          <w:bCs/>
          <w:sz w:val="44"/>
          <w:szCs w:val="28"/>
        </w:rPr>
        <w:t xml:space="preserve">第六章  投标</w:t>
      </w:r>
      <w:bookmarkEnd w:id="176"/>
      <w:r/>
      <w:bookmarkEnd w:id="177"/>
      <w:r/>
      <w:bookmarkEnd w:id="178"/>
      <w:r>
        <w:rPr>
          <w:rFonts w:hint="eastAsia" w:ascii="黑体" w:eastAsia="黑体"/>
          <w:bCs/>
          <w:sz w:val="44"/>
          <w:szCs w:val="28"/>
        </w:rPr>
        <w:t xml:space="preserve">文件格式 </w:t>
      </w:r>
      <w:r/>
    </w:p>
    <w:p>
      <w:pPr>
        <w:jc w:val="center"/>
        <w:rPr>
          <w:rFonts w:ascii="宋体" w:hAnsi="宋体"/>
          <w:b/>
          <w:sz w:val="72"/>
          <w:szCs w:val="21"/>
        </w:rPr>
      </w:pPr>
      <w:r/>
      <w:bookmarkStart w:id="237" w:name="_Hlt26671244"/>
      <w:r/>
      <w:bookmarkEnd w:id="237"/>
      <w:r/>
      <w:bookmarkStart w:id="238" w:name="_Hlt26955039"/>
      <w:r/>
      <w:bookmarkEnd w:id="238"/>
      <w:r/>
      <w:bookmarkStart w:id="239" w:name="_Toc49090576"/>
      <w:r/>
      <w:bookmarkStart w:id="240" w:name="_Toc120614282"/>
      <w:r/>
      <w:bookmarkStart w:id="241" w:name="_Toc26554094"/>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pStyle w:val="716"/>
        <w:ind w:firstLine="0"/>
        <w:rPr>
          <w:lang w:eastAsia="zh-CN"/>
        </w:rPr>
      </w:pPr>
      <w:r>
        <w:rPr>
          <w:lang w:eastAsia="zh-CN"/>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firstLine="420"/>
        <w:spacing w:line="48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投标人符合《政府采购法》第二十二条规定条件的声明函（格式见附件5）</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spacing w:line="480" w:lineRule="exact"/>
        <w:rPr>
          <w:rFonts w:ascii="仿宋" w:hAnsi="仿宋" w:eastAsia="仿宋"/>
          <w:sz w:val="28"/>
          <w:szCs w:val="28"/>
        </w:rPr>
      </w:pPr>
      <w:r>
        <w:rPr>
          <w:rFonts w:hint="eastAsia" w:ascii="仿宋" w:hAnsi="仿宋" w:eastAsia="仿宋"/>
          <w:sz w:val="28"/>
          <w:szCs w:val="28"/>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ascii="仿宋" w:hAnsi="仿宋" w:eastAsia="仿宋"/>
          <w:b/>
          <w:bCs/>
          <w:sz w:val="28"/>
          <w:szCs w:val="28"/>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，否则做无效投标处理（</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10）</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56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中小微企业声明函（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残疾人福利性单位声明函（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pStyle w:val="716"/>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ascii="仿宋" w:hAnsi="仿宋" w:eastAsia="仿宋"/>
          <w:sz w:val="28"/>
          <w:szCs w:val="28"/>
        </w:rPr>
      </w:pPr>
      <w:r>
        <w:rPr>
          <w:rFonts w:hint="eastAsia" w:ascii="仿宋" w:hAnsi="仿宋" w:eastAsia="仿宋"/>
          <w:b/>
          <w:sz w:val="28"/>
          <w:szCs w:val="28"/>
        </w:rPr>
        <w:t xml:space="preserve">开标一览表</w:t>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项目编号：项目编号 </w:t>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投标人名称（公章）：货币单位：人民币元</w:t>
      </w:r>
      <w:r/>
    </w:p>
    <w:tbl>
      <w:tblPr>
        <w:tblStyle w:val="715"/>
        <w:tblW w:w="91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3056"/>
        <w:gridCol w:w="3056"/>
      </w:tblGrid>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项目名称</w:t>
            </w:r>
            <w:r/>
          </w:p>
        </w:tc>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项目内容</w:t>
            </w:r>
            <w:r/>
          </w:p>
        </w:tc>
        <w:tc>
          <w:tcPr>
            <w:tcW w:w="3056" w:type="dxa"/>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总价（小写）</w:t>
            </w:r>
            <w:r/>
          </w:p>
        </w:tc>
      </w:tr>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项目名称 </w:t>
            </w:r>
            <w:r/>
          </w:p>
        </w:tc>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详见投标文件</w:t>
            </w:r>
            <w:r/>
          </w:p>
        </w:tc>
        <w:tc>
          <w:tcPr>
            <w:tcW w:w="3056" w:type="dxa"/>
            <w:textDirection w:val="lrTb"/>
            <w:noWrap w:val="false"/>
          </w:tcPr>
          <w:p>
            <w:pPr>
              <w:ind w:firstLine="1680"/>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元</w:t>
            </w:r>
            <w:r/>
          </w:p>
        </w:tc>
      </w:tr>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总价（大写）：</w:t>
            </w:r>
            <w:r/>
          </w:p>
        </w:tc>
        <w:tc>
          <w:tcPr>
            <w:gridSpan w:val="2"/>
            <w:tcW w:w="6112" w:type="dxa"/>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金额大写 </w:t>
            </w:r>
            <w:r/>
          </w:p>
        </w:tc>
      </w:tr>
    </w:tbl>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盖章（公章）：</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2</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投标分项报价表（分包号：**）</w:t>
      </w:r>
      <w:r/>
    </w:p>
    <w:tbl>
      <w:tblPr>
        <w:tblStyle w:val="715"/>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93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98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110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5</w:t>
            </w:r>
            <w:r/>
          </w:p>
        </w:tc>
        <w:tc>
          <w:tcPr>
            <w:tcW w:w="138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6</w:t>
            </w:r>
            <w:r/>
          </w:p>
        </w:tc>
        <w:tc>
          <w:tcPr>
            <w:tcW w:w="924"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7</w:t>
            </w:r>
            <w:r/>
          </w:p>
        </w:tc>
        <w:tc>
          <w:tcPr>
            <w:tcW w:w="100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8</w:t>
            </w:r>
            <w:r/>
          </w:p>
        </w:tc>
        <w:tc>
          <w:tcPr>
            <w:tcW w:w="96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9</w:t>
            </w:r>
            <w:r/>
          </w:p>
        </w:tc>
      </w:tr>
      <w:tr>
        <w:trPr>
          <w:cantSplit/>
          <w:trHeight w:val="294"/>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产品</w:t>
            </w:r>
            <w:r/>
          </w:p>
          <w:p>
            <w:pPr>
              <w:jc w:val="center"/>
              <w:spacing w:line="480" w:lineRule="exact"/>
              <w:rPr>
                <w:rFonts w:ascii="仿宋" w:hAnsi="仿宋" w:eastAsia="仿宋"/>
                <w:sz w:val="28"/>
                <w:szCs w:val="28"/>
              </w:rPr>
            </w:pPr>
            <w:r>
              <w:rPr>
                <w:rFonts w:hint="eastAsia" w:ascii="仿宋" w:hAnsi="仿宋" w:eastAsia="仿宋"/>
                <w:sz w:val="28"/>
                <w:szCs w:val="28"/>
              </w:rPr>
              <w:t xml:space="preserve">名称</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品牌（如有）</w:t>
            </w:r>
            <w:r/>
          </w:p>
        </w:tc>
        <w:tc>
          <w:tcPr>
            <w:tcW w:w="93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规格</w:t>
            </w:r>
            <w:r/>
          </w:p>
          <w:p>
            <w:pPr>
              <w:jc w:val="center"/>
              <w:spacing w:line="480" w:lineRule="exact"/>
              <w:rPr>
                <w:rFonts w:ascii="仿宋" w:hAnsi="仿宋" w:eastAsia="仿宋"/>
                <w:sz w:val="28"/>
                <w:szCs w:val="28"/>
              </w:rPr>
            </w:pPr>
            <w:r>
              <w:rPr>
                <w:rFonts w:hint="eastAsia" w:ascii="仿宋" w:hAnsi="仿宋" w:eastAsia="仿宋"/>
                <w:sz w:val="28"/>
                <w:szCs w:val="28"/>
              </w:rPr>
              <w:t xml:space="preserve">型号</w:t>
            </w:r>
            <w:r/>
          </w:p>
        </w:tc>
        <w:tc>
          <w:tcPr>
            <w:tcW w:w="98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制造商名称</w:t>
            </w:r>
            <w:r/>
          </w:p>
        </w:tc>
        <w:tc>
          <w:tcPr>
            <w:tcW w:w="110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产地</w:t>
            </w:r>
            <w:r/>
          </w:p>
        </w:tc>
        <w:tc>
          <w:tcPr>
            <w:tcW w:w="138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交付期</w:t>
            </w:r>
            <w:r/>
          </w:p>
        </w:tc>
        <w:tc>
          <w:tcPr>
            <w:tcW w:w="924"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数量</w:t>
            </w:r>
            <w:r/>
          </w:p>
        </w:tc>
        <w:tc>
          <w:tcPr>
            <w:tcW w:w="100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单价</w:t>
            </w:r>
            <w:r/>
          </w:p>
        </w:tc>
        <w:tc>
          <w:tcPr>
            <w:tcW w:w="96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总价</w:t>
            </w:r>
            <w:r/>
          </w:p>
        </w:tc>
      </w:tr>
      <w:tr>
        <w:trPr>
          <w:cantSplit/>
          <w:trHeight w:val="696"/>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highlight w:val="cyan"/>
              </w:rPr>
            </w:pPr>
            <w:r>
              <w:rPr>
                <w:rFonts w:ascii="仿宋" w:hAnsi="仿宋" w:eastAsia="仿宋"/>
                <w:sz w:val="28"/>
                <w:szCs w:val="28"/>
                <w:highlight w:val="cyan"/>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u w:val="single"/>
              </w:rPr>
            </w:pPr>
            <w:r>
              <w:rPr>
                <w:rFonts w:hint="eastAsia" w:ascii="仿宋" w:hAnsi="仿宋" w:eastAsia="仿宋"/>
                <w:sz w:val="28"/>
                <w:szCs w:val="28"/>
              </w:rPr>
              <w:t xml:space="preserve">合同签订后日</w:t>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724"/>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580"/>
        </w:trPr>
        <w:tc>
          <w:tcPr>
            <w:tcW w:w="50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249"/>
        </w:trPr>
        <w:tc>
          <w:tcPr>
            <w:tcW w:w="500"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gridSpan w:val="8"/>
            <w:tcW w:w="7797"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投标总报价（人民币：元）</w:t>
            </w:r>
            <w:r/>
          </w:p>
        </w:tc>
        <w:tc>
          <w:tcPr>
            <w:tcW w:w="966" w:type="dxa"/>
            <w:textDirection w:val="lrTb"/>
            <w:noWrap/>
          </w:tcPr>
          <w:p>
            <w:pP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备注：</w:t>
      </w:r>
      <w:r/>
    </w:p>
    <w:p>
      <w:pPr>
        <w:spacing w:line="480" w:lineRule="exact"/>
        <w:rPr>
          <w:rFonts w:ascii="仿宋" w:hAnsi="仿宋" w:eastAsia="仿宋"/>
          <w:sz w:val="28"/>
          <w:szCs w:val="28"/>
        </w:rPr>
      </w:pPr>
      <w:r>
        <w:rPr>
          <w:rFonts w:hint="eastAsia" w:ascii="仿宋" w:hAnsi="仿宋" w:eastAsia="仿宋"/>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sz w:val="28"/>
          <w:szCs w:val="28"/>
        </w:rPr>
        <w:t xml:space="preserve">有</w:t>
      </w:r>
      <w:r>
        <w:rPr>
          <w:rFonts w:hint="eastAsia" w:ascii="仿宋" w:hAnsi="仿宋" w:eastAsia="仿宋"/>
          <w:sz w:val="28"/>
          <w:szCs w:val="28"/>
        </w:rPr>
        <w:t xml:space="preserve">）国内运输保险、报关清关（如果</w:t>
      </w:r>
      <w:r>
        <w:rPr>
          <w:rFonts w:ascii="仿宋" w:hAnsi="仿宋" w:eastAsia="仿宋"/>
          <w:sz w:val="28"/>
          <w:szCs w:val="28"/>
        </w:rPr>
        <w:t xml:space="preserve">有</w:t>
      </w:r>
      <w:r>
        <w:rPr>
          <w:rFonts w:hint="eastAsia" w:ascii="仿宋" w:hAnsi="仿宋" w:eastAsia="仿宋"/>
          <w:sz w:val="28"/>
          <w:szCs w:val="28"/>
        </w:rPr>
        <w:t xml:space="preserve">）、开证（如果</w:t>
      </w:r>
      <w:r>
        <w:rPr>
          <w:rFonts w:ascii="仿宋" w:hAnsi="仿宋" w:eastAsia="仿宋"/>
          <w:sz w:val="28"/>
          <w:szCs w:val="28"/>
        </w:rPr>
        <w:t xml:space="preserve">有</w:t>
      </w:r>
      <w:r>
        <w:rPr>
          <w:rFonts w:hint="eastAsia" w:ascii="仿宋" w:hAnsi="仿宋" w:eastAsia="仿宋"/>
          <w:sz w:val="28"/>
          <w:szCs w:val="28"/>
        </w:rPr>
        <w:t xml:space="preserve">）、办理全套免税手续费用（如果</w:t>
      </w:r>
      <w:r>
        <w:rPr>
          <w:rFonts w:ascii="仿宋" w:hAnsi="仿宋" w:eastAsia="仿宋"/>
          <w:sz w:val="28"/>
          <w:szCs w:val="28"/>
        </w:rPr>
        <w:t xml:space="preserve">有</w:t>
      </w:r>
      <w:r>
        <w:rPr>
          <w:rFonts w:hint="eastAsia" w:ascii="仿宋" w:hAnsi="仿宋" w:eastAsia="仿宋"/>
          <w:sz w:val="28"/>
          <w:szCs w:val="28"/>
        </w:rPr>
        <w:t xml:space="preserve">）及其他有关的为完成本项目发生的所有费用，招标文件中另有规定的除外。</w:t>
      </w:r>
      <w:r/>
    </w:p>
    <w:p>
      <w:pPr>
        <w:spacing w:line="480" w:lineRule="exact"/>
        <w:rPr>
          <w:rFonts w:ascii="仿宋" w:hAnsi="仿宋" w:eastAsia="仿宋"/>
          <w:sz w:val="28"/>
          <w:szCs w:val="28"/>
        </w:rPr>
      </w:pPr>
      <w:r>
        <w:rPr>
          <w:rFonts w:hint="eastAsia" w:ascii="仿宋" w:hAnsi="仿宋" w:eastAsia="仿宋"/>
          <w:sz w:val="28"/>
          <w:szCs w:val="28"/>
        </w:rPr>
        <w:t xml:space="preserve">2.“投标分项报价表”中“投标总报价”数额应当与“开标一览表”中“投标总报价”数额一致。</w:t>
      </w:r>
      <w:r/>
    </w:p>
    <w:p>
      <w:pPr>
        <w:spacing w:line="480" w:lineRule="exact"/>
        <w:rPr>
          <w:rFonts w:ascii="仿宋" w:hAnsi="仿宋" w:eastAsia="仿宋"/>
          <w:sz w:val="28"/>
          <w:szCs w:val="28"/>
        </w:rPr>
      </w:pPr>
      <w:r>
        <w:rPr>
          <w:rFonts w:hint="eastAsia" w:ascii="仿宋" w:hAnsi="仿宋" w:eastAsia="仿宋"/>
          <w:sz w:val="28"/>
          <w:szCs w:val="28"/>
        </w:rPr>
        <w:t xml:space="preserve">3.投标人需认真填写本报价表，尤其注意规格型号的准确填写。</w:t>
      </w:r>
      <w:r/>
    </w:p>
    <w:p>
      <w:pPr>
        <w:spacing w:line="480" w:lineRule="exact"/>
        <w:rPr>
          <w:rFonts w:ascii="仿宋" w:hAnsi="仿宋" w:eastAsia="仿宋"/>
          <w:sz w:val="28"/>
          <w:szCs w:val="28"/>
        </w:rPr>
      </w:pPr>
      <w:r>
        <w:rPr>
          <w:rFonts w:hint="eastAsia" w:ascii="仿宋" w:hAnsi="仿宋" w:eastAsia="仿宋"/>
          <w:sz w:val="28"/>
          <w:szCs w:val="28"/>
        </w:rPr>
        <w:t xml:space="preserve">4.项目</w:t>
      </w:r>
      <w:r>
        <w:rPr>
          <w:rFonts w:ascii="仿宋" w:hAnsi="仿宋" w:eastAsia="仿宋"/>
          <w:sz w:val="28"/>
          <w:szCs w:val="28"/>
        </w:rPr>
        <w:t xml:space="preserve">经办人可以根据</w:t>
      </w:r>
      <w:r>
        <w:rPr>
          <w:rFonts w:hint="eastAsia" w:ascii="仿宋" w:hAnsi="仿宋" w:eastAsia="仿宋"/>
          <w:sz w:val="28"/>
          <w:szCs w:val="28"/>
        </w:rPr>
        <w:t xml:space="preserve">项目</w:t>
      </w:r>
      <w:r>
        <w:rPr>
          <w:rFonts w:ascii="仿宋" w:hAnsi="仿宋" w:eastAsia="仿宋"/>
          <w:sz w:val="28"/>
          <w:szCs w:val="28"/>
        </w:rPr>
        <w:t xml:space="preserve">实际需要</w:t>
      </w:r>
      <w:r>
        <w:rPr>
          <w:rFonts w:hint="eastAsia" w:ascii="仿宋" w:hAnsi="仿宋" w:eastAsia="仿宋"/>
          <w:sz w:val="28"/>
          <w:szCs w:val="28"/>
        </w:rPr>
        <w:t xml:space="preserve">对</w:t>
      </w:r>
      <w:r>
        <w:rPr>
          <w:rFonts w:ascii="仿宋" w:hAnsi="仿宋" w:eastAsia="仿宋"/>
          <w:sz w:val="28"/>
          <w:szCs w:val="28"/>
        </w:rPr>
        <w:t xml:space="preserve">表格结构进行</w:t>
      </w:r>
      <w:r>
        <w:rPr>
          <w:rFonts w:hint="eastAsia" w:ascii="仿宋" w:hAnsi="仿宋" w:eastAsia="仿宋"/>
          <w:sz w:val="28"/>
          <w:szCs w:val="28"/>
        </w:rPr>
        <w:t xml:space="preserve">调整</w:t>
      </w:r>
      <w:r>
        <w:rPr>
          <w:rFonts w:ascii="仿宋" w:hAnsi="仿宋" w:eastAsia="仿宋"/>
          <w:sz w:val="28"/>
          <w:szCs w:val="28"/>
        </w:rPr>
        <w:t xml:space="preserve">。</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3 </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技术要求响应及偏离表（分包号：**）</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3</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pStyle w:val="716"/>
        <w:ind w:firstLine="0"/>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4 </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商务要求响应及偏离表（分包号：**）</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4</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5</w:t>
      </w:r>
      <w:r/>
    </w:p>
    <w:p>
      <w:pPr>
        <w:jc w:val="center"/>
        <w:rPr>
          <w:rFonts w:ascii="宋体" w:hAnsi="宋体"/>
          <w:b/>
          <w:sz w:val="30"/>
          <w:szCs w:val="30"/>
          <w:highlight w:val="green"/>
        </w:rPr>
      </w:pPr>
      <w:r>
        <w:rPr>
          <w:rFonts w:hint="eastAsia" w:ascii="宋体" w:hAnsi="宋体"/>
          <w:b/>
          <w:sz w:val="30"/>
          <w:szCs w:val="30"/>
        </w:rPr>
        <w:t xml:space="preserve">投标人符合《政府采购法》第二十二条规定条件的声明函</w:t>
      </w:r>
      <w:r/>
    </w:p>
    <w:p>
      <w:pPr>
        <w:spacing w:line="460" w:lineRule="exact"/>
        <w:rPr>
          <w:rFonts w:ascii="宋体" w:hAnsi="宋体"/>
          <w:b/>
          <w:bCs/>
          <w:sz w:val="44"/>
          <w:szCs w:val="44"/>
        </w:rPr>
      </w:pPr>
      <w:r>
        <w:rPr>
          <w:rFonts w:ascii="宋体" w:hAnsi="宋体"/>
          <w:b/>
          <w:bCs/>
          <w:sz w:val="44"/>
          <w:szCs w:val="44"/>
        </w:rPr>
      </w:r>
      <w:r/>
    </w:p>
    <w:p>
      <w:pPr>
        <w:ind w:firstLine="480"/>
        <w:spacing w:line="520" w:lineRule="exact"/>
        <w:rPr>
          <w:rFonts w:ascii="宋体" w:hAnsi="宋体"/>
          <w:b/>
          <w:bCs/>
          <w:sz w:val="24"/>
        </w:rPr>
      </w:pPr>
      <w:r>
        <w:rPr>
          <w:rFonts w:hint="eastAsia" w:ascii="宋体" w:hAnsi="宋体"/>
          <w:bCs/>
          <w:sz w:val="24"/>
        </w:rPr>
        <w:t xml:space="preserve">我单位参加</w:t>
      </w:r>
      <w:r>
        <w:rPr>
          <w:rFonts w:hint="eastAsia" w:ascii="宋体" w:hAnsi="宋体"/>
          <w:bCs/>
          <w:sz w:val="24"/>
          <w:szCs w:val="21"/>
          <w:u w:val="single"/>
        </w:rPr>
        <w:t xml:space="preserve">________________ _</w:t>
      </w:r>
      <w:r>
        <w:rPr>
          <w:rFonts w:hint="eastAsia" w:ascii="宋体" w:hAnsi="宋体"/>
          <w:bCs/>
          <w:sz w:val="24"/>
          <w:szCs w:val="21"/>
        </w:rPr>
        <w:t xml:space="preserve">（项目名称），</w:t>
      </w:r>
      <w:r>
        <w:rPr>
          <w:rFonts w:hint="eastAsia" w:ascii="宋体" w:hAnsi="宋体"/>
          <w:bCs/>
          <w:sz w:val="24"/>
          <w:szCs w:val="21"/>
          <w:u w:val="single"/>
        </w:rPr>
        <w:t xml:space="preserve">_______ 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rPr>
      </w:pPr>
      <w:r>
        <w:rPr>
          <w:rFonts w:hint="eastAsia" w:ascii="宋体" w:hAnsi="宋体"/>
          <w:sz w:val="24"/>
        </w:rPr>
        <w:t xml:space="preserve">6.我单位满足法律、行政法规规定的其他条件。</w:t>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ascii="宋体" w:hAnsi="宋体"/>
          <w:bCs/>
          <w:sz w:val="24"/>
          <w:szCs w:val="21"/>
        </w:rPr>
      </w:r>
      <w:r/>
    </w:p>
    <w:p>
      <w:pPr>
        <w:jc w:val="right"/>
        <w:spacing w:line="460" w:lineRule="exac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__</w:t>
      </w:r>
      <w:r>
        <w:rPr>
          <w:rFonts w:hint="eastAsia" w:ascii="宋体" w:hAnsi="宋体"/>
          <w:bCs/>
          <w:sz w:val="24"/>
          <w:szCs w:val="21"/>
        </w:rPr>
        <w:t xml:space="preserve">月</w:t>
      </w:r>
      <w:r>
        <w:rPr>
          <w:rFonts w:hint="eastAsia" w:ascii="宋体" w:hAnsi="宋体"/>
          <w:bCs/>
          <w:sz w:val="24"/>
          <w:szCs w:val="21"/>
          <w:u w:val="single"/>
        </w:rPr>
        <w:t xml:space="preserve">__</w:t>
      </w:r>
      <w:r>
        <w:rPr>
          <w:rFonts w:hint="eastAsia" w:ascii="宋体" w:hAnsi="宋体"/>
          <w:bCs/>
          <w:sz w:val="24"/>
          <w:szCs w:val="21"/>
        </w:rPr>
        <w:t xml:space="preserve">日</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附件6</w:t>
      </w:r>
      <w:r/>
    </w:p>
    <w:p>
      <w:pPr>
        <w:ind w:firstLine="480"/>
        <w:jc w:val="center"/>
        <w:spacing w:line="480" w:lineRule="exact"/>
        <w:rPr>
          <w:rFonts w:ascii="仿宋" w:hAnsi="仿宋" w:eastAsia="仿宋"/>
          <w:bCs/>
          <w:sz w:val="28"/>
          <w:szCs w:val="28"/>
        </w:rPr>
      </w:pPr>
      <w:r>
        <w:rPr>
          <w:rFonts w:hint="eastAsia" w:ascii="仿宋" w:hAnsi="仿宋" w:eastAsia="仿宋"/>
          <w:b/>
          <w:sz w:val="28"/>
          <w:szCs w:val="28"/>
        </w:rPr>
        <w:t xml:space="preserve">法人授权书</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本授权书声明：____________（投标人名称）授权________________（被授权人的姓名）为我方就JSZC-</w:t>
      </w:r>
      <w:r>
        <w:rPr>
          <w:rFonts w:ascii="仿宋" w:hAnsi="仿宋" w:eastAsia="仿宋"/>
          <w:sz w:val="28"/>
          <w:szCs w:val="28"/>
        </w:rPr>
        <w:t xml:space="preserve">320000-</w:t>
      </w:r>
      <w:r>
        <w:rPr>
          <w:rFonts w:ascii="仿宋" w:hAnsi="仿宋" w:eastAsia="仿宋"/>
          <w:sz w:val="28"/>
          <w:szCs w:val="28"/>
          <w:u w:val="single"/>
        </w:rPr>
        <w:t xml:space="preserve">***</w:t>
      </w:r>
      <w:r>
        <w:rPr>
          <w:rFonts w:hint="eastAsia" w:ascii="仿宋" w:hAnsi="仿宋" w:eastAsia="仿宋"/>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本授权书于______年____月____日起生效，特此声明。</w:t>
      </w:r>
      <w:r/>
    </w:p>
    <w:p>
      <w:pPr>
        <w:spacing w:line="480" w:lineRule="exact"/>
        <w:tabs>
          <w:tab w:val="left" w:pos="360" w:leader="none"/>
        </w:tabs>
        <w:rPr>
          <w:rFonts w:ascii="仿宋" w:hAnsi="仿宋" w:eastAsia="仿宋"/>
          <w:sz w:val="28"/>
          <w:szCs w:val="28"/>
          <w:u w:val="single"/>
        </w:rPr>
      </w:pPr>
      <w:r>
        <w:rPr>
          <w:rFonts w:hint="eastAsia" w:ascii="仿宋" w:hAnsi="仿宋" w:eastAsia="仿宋"/>
          <w:sz w:val="28"/>
          <w:szCs w:val="28"/>
        </w:rPr>
        <w:t xml:space="preserve">被授权人身份证号码：______</w:t>
      </w:r>
      <w:r/>
    </w:p>
    <w:p>
      <w:pPr>
        <w:spacing w:line="480" w:lineRule="exact"/>
        <w:tabs>
          <w:tab w:val="left" w:pos="360" w:leader="none"/>
        </w:tabs>
        <w:rPr>
          <w:rFonts w:ascii="仿宋" w:hAnsi="仿宋" w:eastAsia="仿宋"/>
          <w:sz w:val="28"/>
          <w:szCs w:val="28"/>
          <w:u w:val="single"/>
        </w:rPr>
      </w:pPr>
      <w:r>
        <w:rPr>
          <w:rFonts w:hint="eastAsia" w:ascii="仿宋" w:hAnsi="仿宋" w:eastAsia="仿宋"/>
          <w:sz w:val="28"/>
          <w:szCs w:val="28"/>
        </w:rPr>
        <w:t xml:space="preserve">被授权人联系电话：（手机）______</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授权单位名称：</w:t>
      </w:r>
      <w:r>
        <w:rPr>
          <w:rFonts w:hint="eastAsia" w:ascii="仿宋" w:hAnsi="仿宋" w:eastAsia="仿宋"/>
          <w:sz w:val="28"/>
          <w:szCs w:val="28"/>
          <w:u w:val="single"/>
        </w:rPr>
        <w:t xml:space="preserve">（加盖CA电子公章）</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单位地址：______</w:t>
      </w:r>
      <w:r/>
    </w:p>
    <w:p>
      <w:pPr>
        <w:ind w:firstLine="560"/>
        <w:jc w:val="left"/>
        <w:spacing w:line="480" w:lineRule="exact"/>
        <w:tabs>
          <w:tab w:val="left" w:pos="360" w:leader="none"/>
        </w:tabs>
        <w:rPr>
          <w:rFonts w:ascii="仿宋" w:hAnsi="仿宋" w:eastAsia="仿宋"/>
          <w:b/>
          <w:sz w:val="28"/>
          <w:szCs w:val="28"/>
        </w:rPr>
      </w:pPr>
      <w:r>
        <w:rPr>
          <w:rFonts w:hint="eastAsia" w:ascii="仿宋" w:hAnsi="仿宋" w:eastAsia="仿宋"/>
          <w:sz w:val="28"/>
          <w:szCs w:val="28"/>
        </w:rPr>
        <w:t xml:space="preserve">日期：__________</w:t>
      </w:r>
      <w:r>
        <w:rPr>
          <w:rFonts w:ascii="仿宋" w:hAnsi="仿宋" w:eastAsia="仿宋" w:cs="Arial"/>
          <w:b/>
          <w:sz w:val="28"/>
          <w:szCs w:val="28"/>
        </w:rPr>
        <w:br w:type="page" w:clear="all"/>
      </w:r>
      <w:r>
        <w:rPr>
          <w:rFonts w:hint="eastAsia" w:ascii="仿宋" w:hAnsi="仿宋" w:eastAsia="仿宋"/>
          <w:b/>
          <w:sz w:val="28"/>
          <w:szCs w:val="28"/>
        </w:rPr>
        <w:t xml:space="preserve">附件7                          </w:t>
      </w:r>
      <w:r/>
    </w:p>
    <w:p>
      <w:pPr>
        <w:jc w:val="center"/>
        <w:spacing w:line="480" w:lineRule="exact"/>
        <w:tabs>
          <w:tab w:val="left" w:pos="360" w:leader="none"/>
        </w:tabs>
        <w:rPr>
          <w:rFonts w:ascii="仿宋" w:hAnsi="仿宋" w:eastAsia="仿宋"/>
          <w:sz w:val="28"/>
          <w:szCs w:val="28"/>
        </w:rPr>
      </w:pPr>
      <w:r>
        <w:rPr>
          <w:rFonts w:hint="eastAsia" w:ascii="仿宋" w:hAnsi="仿宋" w:eastAsia="仿宋"/>
          <w:b/>
          <w:sz w:val="28"/>
          <w:szCs w:val="28"/>
        </w:rPr>
        <w:t xml:space="preserve">投标函</w:t>
      </w:r>
      <w:r/>
    </w:p>
    <w:p>
      <w:pPr>
        <w:jc w:val="left"/>
        <w:spacing w:line="480" w:lineRule="exact"/>
        <w:rPr>
          <w:rFonts w:ascii="仿宋" w:hAnsi="仿宋" w:eastAsia="仿宋"/>
          <w:sz w:val="28"/>
          <w:szCs w:val="28"/>
        </w:rPr>
      </w:pPr>
      <w:r>
        <w:rPr>
          <w:rFonts w:hint="eastAsia" w:ascii="仿宋" w:hAnsi="仿宋" w:eastAsia="仿宋"/>
          <w:sz w:val="28"/>
          <w:szCs w:val="28"/>
        </w:rPr>
        <w:t xml:space="preserve">致：南通市公共资源交易中心</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根据贵方的JSZC-</w:t>
      </w:r>
      <w:r>
        <w:rPr>
          <w:rFonts w:ascii="仿宋" w:hAnsi="仿宋" w:eastAsia="仿宋"/>
          <w:sz w:val="28"/>
          <w:szCs w:val="28"/>
        </w:rPr>
        <w:t xml:space="preserve">320000-</w:t>
      </w:r>
      <w:r>
        <w:rPr>
          <w:rFonts w:ascii="仿宋" w:hAnsi="仿宋" w:eastAsia="仿宋"/>
          <w:sz w:val="28"/>
          <w:szCs w:val="28"/>
          <w:u w:val="single"/>
        </w:rPr>
        <w:t xml:space="preserve">****</w:t>
      </w:r>
      <w:r>
        <w:rPr>
          <w:rFonts w:hint="eastAsia" w:ascii="仿宋" w:hAnsi="仿宋" w:eastAsia="仿宋"/>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据此函，__________签字人兹宣布同意如下：</w:t>
      </w:r>
      <w:r/>
    </w:p>
    <w:p>
      <w:pPr>
        <w:ind w:firstLine="480"/>
        <w:jc w:val="left"/>
        <w:spacing w:line="480" w:lineRule="exact"/>
        <w:rPr>
          <w:rFonts w:ascii="仿宋" w:hAnsi="仿宋" w:eastAsia="仿宋"/>
          <w:sz w:val="28"/>
          <w:szCs w:val="28"/>
        </w:rPr>
      </w:pPr>
      <w:r>
        <w:rPr>
          <w:rFonts w:hint="eastAsia" w:ascii="仿宋" w:hAnsi="仿宋" w:eastAsia="仿宋"/>
          <w:sz w:val="28"/>
          <w:szCs w:val="28"/>
        </w:rPr>
        <w:t xml:space="preserve">1.按招标文件规定的各项要求，向买方提供所需货物（包含与货物相关的服务）。</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2.我们完全理解贵方不一定将合同授予最低报价的投标人。</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ascii="仿宋" w:hAnsi="仿宋" w:eastAsia="仿宋"/>
          <w:sz w:val="28"/>
          <w:szCs w:val="28"/>
        </w:rPr>
      </w:pPr>
      <w:r>
        <w:rPr>
          <w:rFonts w:hint="eastAsia" w:ascii="仿宋" w:hAnsi="仿宋"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.一旦我方中标,我方将根据招标文件的规定，严格履行合同的责任和义务,并保证在招标文件规定的时间完成项目，交付买方验收、使用。</w:t>
      </w:r>
      <w:r/>
    </w:p>
    <w:p>
      <w:pPr>
        <w:ind w:left="425"/>
        <w:jc w:val="left"/>
        <w:spacing w:line="480" w:lineRule="exact"/>
        <w:rPr>
          <w:rFonts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.与本投标有关的正式通讯地址为：</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地          址：</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邮          编：</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电          话：</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传          真：</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投标人开户行：</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账          号： </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日           期：________年____月____日</w:t>
      </w:r>
      <w:r/>
    </w:p>
    <w:p>
      <w:pPr>
        <w:jc w:val="left"/>
        <w:spacing w:line="480" w:lineRule="exact"/>
        <w:rPr>
          <w:rFonts w:ascii="仿宋" w:hAnsi="仿宋" w:eastAsia="仿宋"/>
          <w:bCs/>
          <w:sz w:val="28"/>
          <w:szCs w:val="28"/>
        </w:rPr>
      </w:pPr>
      <w:r>
        <w:rPr>
          <w:rFonts w:ascii="仿宋" w:hAnsi="仿宋" w:eastAsia="仿宋"/>
          <w:bCs/>
          <w:sz w:val="28"/>
          <w:szCs w:val="28"/>
        </w:rPr>
      </w:r>
      <w:r/>
    </w:p>
    <w:p>
      <w:pPr>
        <w:jc w:val="left"/>
        <w:spacing w:line="480" w:lineRule="exact"/>
        <w:rPr>
          <w:rFonts w:ascii="仿宋" w:hAnsi="仿宋" w:eastAsia="仿宋"/>
          <w:bCs/>
          <w:sz w:val="28"/>
          <w:szCs w:val="28"/>
        </w:rPr>
      </w:pPr>
      <w:r>
        <w:rPr>
          <w:rFonts w:ascii="仿宋" w:hAnsi="仿宋" w:eastAsia="仿宋"/>
          <w:bCs/>
          <w:sz w:val="28"/>
          <w:szCs w:val="28"/>
        </w:rPr>
      </w:r>
      <w:r/>
    </w:p>
    <w:p>
      <w:pPr>
        <w:jc w:val="left"/>
        <w:spacing w:line="480" w:lineRule="exact"/>
        <w:rPr>
          <w:rFonts w:ascii="仿宋" w:hAnsi="仿宋" w:eastAsia="仿宋"/>
          <w:bCs/>
          <w:sz w:val="28"/>
          <w:szCs w:val="28"/>
        </w:rPr>
      </w:pPr>
      <w:r>
        <w:rPr>
          <w:rFonts w:ascii="仿宋" w:hAnsi="仿宋" w:eastAsia="仿宋"/>
          <w:bCs/>
          <w:sz w:val="28"/>
          <w:szCs w:val="28"/>
        </w:rPr>
      </w:r>
      <w:r/>
    </w:p>
    <w:p>
      <w:pPr>
        <w:pStyle w:val="716"/>
        <w:ind w:firstLine="0"/>
        <w:rPr>
          <w:lang w:eastAsia="zh-CN"/>
        </w:rPr>
      </w:pPr>
      <w:r>
        <w:rPr>
          <w:lang w:eastAsia="zh-CN"/>
        </w:rPr>
      </w:r>
      <w:r/>
    </w:p>
    <w:p>
      <w:pPr>
        <w:jc w:val="left"/>
        <w:spacing w:line="480" w:lineRule="exact"/>
        <w:rPr>
          <w:rFonts w:ascii="仿宋" w:hAnsi="仿宋" w:eastAsia="仿宋"/>
          <w:b/>
          <w:sz w:val="28"/>
          <w:szCs w:val="28"/>
        </w:rPr>
      </w:pPr>
      <w:r>
        <w:rPr>
          <w:rFonts w:hint="eastAsia" w:ascii="仿宋" w:hAnsi="仿宋" w:eastAsia="仿宋"/>
          <w:b/>
          <w:sz w:val="28"/>
          <w:szCs w:val="28"/>
        </w:rPr>
        <w:t xml:space="preserve">附件8 </w:t>
      </w:r>
      <w:r/>
    </w:p>
    <w:p>
      <w:pPr>
        <w:ind w:firstLine="281"/>
        <w:jc w:val="center"/>
        <w:spacing w:line="480" w:lineRule="exact"/>
        <w:rPr>
          <w:rFonts w:ascii="仿宋" w:hAnsi="仿宋" w:eastAsia="仿宋"/>
          <w:b/>
          <w:sz w:val="28"/>
          <w:szCs w:val="28"/>
        </w:rPr>
      </w:pPr>
      <w:r>
        <w:rPr>
          <w:rFonts w:hint="eastAsia" w:ascii="仿宋" w:hAnsi="仿宋" w:eastAsia="仿宋"/>
          <w:b/>
          <w:sz w:val="28"/>
          <w:szCs w:val="28"/>
        </w:rPr>
        <w:t xml:space="preserve">中小微企业声明函（货物类项目）</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本公司（联合体）郑重声明，根据《政府采购促进中小企业发展管理办法》(财库[2020]46号)的规定，本公司（联合体）参加南通市公共资源交易中心组织的</w:t>
      </w:r>
      <w:r>
        <w:rPr>
          <w:rFonts w:hint="eastAsia" w:ascii="仿宋" w:hAnsi="仿宋" w:eastAsia="仿宋"/>
          <w:sz w:val="28"/>
          <w:szCs w:val="28"/>
          <w:u w:val="single"/>
        </w:rPr>
        <w:t xml:space="preserve">（单位名称）</w:t>
      </w:r>
      <w:r>
        <w:rPr>
          <w:rFonts w:hint="eastAsia" w:ascii="仿宋" w:hAnsi="仿宋" w:eastAsia="仿宋"/>
          <w:sz w:val="28"/>
          <w:szCs w:val="28"/>
        </w:rPr>
        <w:t xml:space="preserve">采购编号为JSZC</w:t>
      </w:r>
      <w:r>
        <w:rPr>
          <w:rFonts w:ascii="仿宋" w:hAnsi="仿宋" w:eastAsia="仿宋"/>
          <w:sz w:val="28"/>
          <w:szCs w:val="28"/>
        </w:rPr>
        <w:t xml:space="preserve">-320000-</w:t>
      </w:r>
      <w:r>
        <w:rPr>
          <w:rFonts w:hint="eastAsia" w:ascii="仿宋" w:hAnsi="仿宋" w:eastAsia="仿宋"/>
          <w:sz w:val="28"/>
          <w:szCs w:val="28"/>
          <w:u w:val="single"/>
        </w:rPr>
        <w:t xml:space="preserve">***</w:t>
      </w:r>
      <w:r>
        <w:rPr>
          <w:rFonts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u w:val="single"/>
        </w:rPr>
        <w:t xml:space="preserve">（项目名称）（分包号：**）</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2.</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（采购文件中明确的所属行业）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180" w:firstLine="420"/>
        <w:jc w:val="right"/>
        <w:spacing w:line="480" w:lineRule="exact"/>
        <w:rPr>
          <w:rFonts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ascii="仿宋" w:hAnsi="仿宋" w:eastAsia="仿宋"/>
          <w:sz w:val="28"/>
          <w:szCs w:val="28"/>
        </w:rPr>
      </w:pPr>
      <w:r>
        <w:rPr>
          <w:rFonts w:hint="eastAsia" w:ascii="仿宋" w:hAnsi="仿宋" w:eastAsia="仿宋"/>
          <w:sz w:val="28"/>
          <w:szCs w:val="28"/>
        </w:rPr>
        <w:t xml:space="preserve">日  期：</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1.从业人员、营业收入、资产总额填报上一年度数据，无上一年度数据的新成立企业可不填报。</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2.专门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供应商如不提供此声明函，则</w:t>
      </w:r>
      <w:r>
        <w:rPr>
          <w:rFonts w:ascii="仿宋" w:hAnsi="仿宋" w:eastAsia="仿宋"/>
          <w:b/>
          <w:sz w:val="28"/>
          <w:szCs w:val="28"/>
        </w:rPr>
        <w:t xml:space="preserve">不能通过资格审查；</w:t>
      </w:r>
      <w:r>
        <w:rPr>
          <w:rFonts w:hint="eastAsia" w:ascii="仿宋" w:hAnsi="仿宋" w:eastAsia="仿宋"/>
          <w:b/>
          <w:sz w:val="28"/>
          <w:szCs w:val="28"/>
        </w:rPr>
        <w:t xml:space="preserve">非专门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供应商如不提供此声明函，价格将不做相应扣除。</w:t>
      </w:r>
      <w:r/>
    </w:p>
    <w:p>
      <w:pPr>
        <w:ind w:left="561"/>
        <w:spacing w:line="480" w:lineRule="exact"/>
        <w:rPr>
          <w:rFonts w:ascii="仿宋" w:hAnsi="仿宋" w:eastAsia="仿宋"/>
          <w:sz w:val="28"/>
          <w:szCs w:val="28"/>
        </w:rPr>
      </w:pPr>
      <w:r>
        <w:rPr>
          <w:rFonts w:hint="eastAsia" w:ascii="仿宋" w:hAnsi="仿宋" w:eastAsia="仿宋"/>
          <w:sz w:val="28"/>
          <w:szCs w:val="28"/>
        </w:rPr>
        <w:t xml:space="preserve">3.供应商</w:t>
      </w:r>
      <w:r>
        <w:rPr>
          <w:rFonts w:ascii="仿宋" w:hAnsi="仿宋" w:eastAsia="仿宋"/>
          <w:sz w:val="28"/>
          <w:szCs w:val="28"/>
        </w:rPr>
        <w:t xml:space="preserve">自行勾选</w:t>
      </w:r>
      <w:r>
        <w:rPr>
          <w:rFonts w:hint="eastAsia" w:ascii="仿宋" w:hAnsi="仿宋" w:eastAsia="仿宋"/>
          <w:sz w:val="28"/>
          <w:szCs w:val="28"/>
        </w:rPr>
        <w:t xml:space="preserve">制造商</w:t>
      </w:r>
      <w:r>
        <w:rPr>
          <w:rFonts w:ascii="仿宋" w:hAnsi="仿宋" w:eastAsia="仿宋"/>
          <w:sz w:val="28"/>
          <w:szCs w:val="28"/>
        </w:rPr>
        <w:t xml:space="preserve">的企业</w:t>
      </w:r>
      <w:r>
        <w:rPr>
          <w:rFonts w:hint="eastAsia" w:ascii="仿宋" w:hAnsi="仿宋" w:eastAsia="仿宋"/>
          <w:sz w:val="28"/>
          <w:szCs w:val="28"/>
        </w:rPr>
        <w:t xml:space="preserve">规模类型</w:t>
      </w:r>
      <w:r>
        <w:rPr>
          <w:rFonts w:ascii="仿宋" w:hAnsi="仿宋" w:eastAsia="仿宋"/>
          <w:sz w:val="28"/>
          <w:szCs w:val="28"/>
        </w:rPr>
        <w:t xml:space="preserve">。</w:t>
      </w:r>
      <w:r/>
    </w:p>
    <w:p>
      <w:pPr>
        <w:pStyle w:val="716"/>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附件9</w:t>
      </w:r>
      <w:r/>
    </w:p>
    <w:p>
      <w:pPr>
        <w:ind w:left="561" w:hanging="141"/>
        <w:jc w:val="center"/>
        <w:spacing w:line="480" w:lineRule="exact"/>
        <w:rPr>
          <w:rFonts w:ascii="仿宋" w:hAnsi="仿宋" w:eastAsia="仿宋"/>
          <w:sz w:val="28"/>
          <w:szCs w:val="28"/>
        </w:rPr>
      </w:pPr>
      <w:r>
        <w:rPr>
          <w:rFonts w:hint="eastAsia" w:ascii="仿宋" w:hAnsi="仿宋" w:eastAsia="仿宋"/>
          <w:b/>
          <w:sz w:val="28"/>
          <w:szCs w:val="28"/>
        </w:rPr>
        <w:t xml:space="preserve">残疾人福利性单位声明函（货物类项目）</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sz w:val="28"/>
          <w:szCs w:val="28"/>
        </w:rPr>
        <w:t xml:space="preserve">JSZC-320000-</w:t>
      </w:r>
      <w:r>
        <w:rPr>
          <w:rFonts w:ascii="仿宋" w:hAnsi="仿宋" w:eastAsia="仿宋"/>
          <w:sz w:val="28"/>
          <w:szCs w:val="28"/>
          <w:u w:val="single"/>
        </w:rPr>
        <w:t xml:space="preserve">****</w:t>
      </w:r>
      <w:r>
        <w:rPr>
          <w:rFonts w:hint="eastAsia" w:ascii="仿宋" w:hAnsi="仿宋" w:eastAsia="仿宋"/>
          <w:sz w:val="28"/>
          <w:szCs w:val="28"/>
        </w:rPr>
        <w:t xml:space="preserve">的_____项目（分包号：**）采购活动提供本单位制造的货物，或者提供其他残疾人福利性单位制造的货物（不包括使用非残疾人福利性单位注册商标的货物）。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48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w:t>
      </w:r>
      <w:r>
        <w:rPr>
          <w:rFonts w:hint="eastAsia" w:ascii="仿宋" w:hAnsi="仿宋" w:eastAsia="仿宋"/>
          <w:b/>
          <w:sz w:val="28"/>
          <w:szCs w:val="28"/>
        </w:rPr>
        <w:t xml:space="preserve">专门面向中小微型企业采购的</w:t>
      </w:r>
      <w:r>
        <w:rPr>
          <w:rFonts w:ascii="仿宋" w:hAnsi="仿宋" w:eastAsia="仿宋"/>
          <w:b/>
          <w:sz w:val="28"/>
          <w:szCs w:val="28"/>
        </w:rPr>
        <w:t xml:space="preserve">项目</w:t>
      </w:r>
      <w:r>
        <w:rPr>
          <w:rFonts w:hint="eastAsia" w:ascii="仿宋" w:hAnsi="仿宋" w:eastAsia="仿宋"/>
          <w:b/>
          <w:sz w:val="28"/>
          <w:szCs w:val="28"/>
        </w:rPr>
        <w:t xml:space="preserve">，供应商为残疾人福利性单位并提供本单位制造的货物，或者提供其他残疾人福利性单位制造的货物，必须提供此</w:t>
      </w:r>
      <w:r>
        <w:rPr>
          <w:rFonts w:ascii="仿宋" w:hAnsi="仿宋" w:eastAsia="仿宋"/>
          <w:b/>
          <w:sz w:val="28"/>
          <w:szCs w:val="28"/>
        </w:rPr>
        <w:t xml:space="preserve">声明函</w:t>
      </w:r>
      <w:r>
        <w:rPr>
          <w:rFonts w:hint="eastAsia" w:ascii="仿宋" w:hAnsi="仿宋" w:eastAsia="仿宋"/>
          <w:b/>
          <w:sz w:val="28"/>
          <w:szCs w:val="28"/>
        </w:rPr>
        <w:t xml:space="preserve">，</w:t>
      </w:r>
      <w:r>
        <w:rPr>
          <w:rFonts w:ascii="仿宋" w:hAnsi="仿宋" w:eastAsia="仿宋"/>
          <w:b/>
          <w:sz w:val="28"/>
          <w:szCs w:val="28"/>
        </w:rPr>
        <w:t xml:space="preserve">否则将</w:t>
      </w:r>
      <w:r>
        <w:rPr>
          <w:rFonts w:hint="eastAsia" w:ascii="仿宋" w:hAnsi="仿宋" w:eastAsia="仿宋"/>
          <w:b/>
          <w:sz w:val="28"/>
          <w:szCs w:val="28"/>
        </w:rPr>
        <w:t xml:space="preserve">不能</w:t>
      </w:r>
      <w:r>
        <w:rPr>
          <w:rFonts w:ascii="仿宋" w:hAnsi="仿宋" w:eastAsia="仿宋"/>
          <w:b/>
          <w:sz w:val="28"/>
          <w:szCs w:val="28"/>
        </w:rPr>
        <w:t xml:space="preserve">通过资格审查</w:t>
      </w:r>
      <w:r>
        <w:rPr>
          <w:rFonts w:hint="eastAsia" w:ascii="仿宋" w:hAnsi="仿宋" w:eastAsia="仿宋"/>
          <w:b/>
          <w:sz w:val="28"/>
          <w:szCs w:val="28"/>
        </w:rPr>
        <w:t xml:space="preserve">。</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 非专门面向中小微型企业采购的</w:t>
      </w:r>
      <w:r>
        <w:rPr>
          <w:rFonts w:ascii="仿宋" w:hAnsi="仿宋" w:eastAsia="仿宋"/>
          <w:sz w:val="28"/>
          <w:szCs w:val="28"/>
        </w:rPr>
        <w:t xml:space="preserve">项目</w:t>
      </w:r>
      <w:r>
        <w:rPr>
          <w:rFonts w:hint="eastAsia" w:ascii="仿宋" w:hAnsi="仿宋" w:eastAsia="仿宋"/>
          <w:sz w:val="28"/>
          <w:szCs w:val="28"/>
        </w:rPr>
        <w:t xml:space="preserve">，供应商如不提供此声明函，价格将不做相应扣除。</w:t>
      </w:r>
      <w:r/>
    </w:p>
    <w:p>
      <w:pPr>
        <w:ind w:firstLine="56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.中标/成交供应商为残疾人福利性单位的，此声明函将随中标/成交结果同时公告，接受社会监督。</w:t>
      </w:r>
      <w:r/>
    </w:p>
    <w:p>
      <w:pPr>
        <w:ind w:firstLine="584"/>
        <w:spacing w:line="480" w:lineRule="exact"/>
        <w:rPr>
          <w:rFonts w:ascii="仿宋" w:hAnsi="仿宋" w:eastAsia="仿宋"/>
          <w:spacing w:val="6"/>
          <w:sz w:val="28"/>
          <w:szCs w:val="28"/>
        </w:rPr>
      </w:pPr>
      <w:r>
        <w:rPr>
          <w:rFonts w:ascii="仿宋" w:hAnsi="仿宋" w:eastAsia="仿宋"/>
          <w:spacing w:val="6"/>
          <w:sz w:val="28"/>
          <w:szCs w:val="28"/>
        </w:rPr>
      </w:r>
      <w:r/>
    </w:p>
    <w:p>
      <w:pPr>
        <w:pStyle w:val="716"/>
        <w:ind w:firstLine="600"/>
        <w:rPr>
          <w:lang w:eastAsia="zh-CN"/>
        </w:rPr>
      </w:pPr>
      <w:r>
        <w:rPr>
          <w:lang w:eastAsia="zh-CN"/>
        </w:rPr>
      </w:r>
      <w:r/>
    </w:p>
    <w:p>
      <w:pPr>
        <w:pStyle w:val="716"/>
        <w:ind w:firstLine="600"/>
        <w:rPr>
          <w:lang w:eastAsia="zh-CN"/>
        </w:rPr>
      </w:pPr>
      <w:r>
        <w:rPr>
          <w:lang w:eastAsia="zh-CN"/>
        </w:rPr>
      </w:r>
      <w:r/>
    </w:p>
    <w:p>
      <w:pPr>
        <w:pStyle w:val="716"/>
        <w:ind w:firstLine="600"/>
        <w:rPr>
          <w:lang w:eastAsia="zh-CN"/>
        </w:rPr>
      </w:pPr>
      <w:r>
        <w:rPr>
          <w:lang w:eastAsia="zh-CN"/>
        </w:rPr>
      </w:r>
      <w:r/>
    </w:p>
    <w:p>
      <w:pPr>
        <w:ind w:right="1559" w:firstLine="584"/>
        <w:jc w:val="right"/>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供应商全称（加盖CA电子公章）：</w:t>
      </w:r>
      <w:r/>
    </w:p>
    <w:p>
      <w:pPr>
        <w:ind w:right="1559" w:firstLine="560"/>
        <w:jc w:val="right"/>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jc w:val="center"/>
        <w:spacing w:line="480" w:lineRule="exact"/>
        <w:rPr>
          <w:rFonts w:ascii="仿宋" w:hAnsi="仿宋" w:eastAsia="仿宋"/>
          <w:b/>
          <w:sz w:val="28"/>
          <w:szCs w:val="28"/>
        </w:rPr>
      </w:pPr>
      <w:r>
        <w:rPr>
          <w:rFonts w:ascii="仿宋" w:hAnsi="仿宋" w:eastAsia="仿宋"/>
          <w:b/>
          <w:sz w:val="28"/>
          <w:szCs w:val="28"/>
        </w:rPr>
      </w:r>
      <w:r/>
    </w:p>
    <w:p>
      <w:pPr>
        <w:pStyle w:val="716"/>
        <w:rPr>
          <w:lang w:eastAsia="zh-CN"/>
        </w:rPr>
      </w:pPr>
      <w:r>
        <w:rPr>
          <w:lang w:eastAsia="zh-CN"/>
        </w:rPr>
      </w:r>
      <w:bookmarkEnd w:id="179"/>
      <w:r/>
      <w:bookmarkEnd w:id="180"/>
      <w:r/>
      <w:bookmarkEnd w:id="239"/>
      <w:r/>
      <w:bookmarkEnd w:id="240"/>
      <w:r/>
      <w:bookmarkEnd w:id="241"/>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w:t>
      </w:r>
      <w:r>
        <w:rPr>
          <w:rFonts w:hint="eastAsia" w:ascii="仿宋" w:hAnsi="仿宋" w:eastAsia="仿宋"/>
          <w:b/>
          <w:sz w:val="28"/>
          <w:szCs w:val="28"/>
        </w:rPr>
        <w:t xml:space="preserve">0</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实质性要求响应及偏离表</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spacing w:line="480" w:lineRule="exact"/>
        <w:rPr>
          <w:rFonts w:ascii="仿宋_GB2312" w:eastAsia="仿宋_GB2312"/>
          <w:sz w:val="30"/>
          <w:szCs w:val="30"/>
        </w:rPr>
      </w:pPr>
      <w:r>
        <w:rPr>
          <w:rFonts w:ascii="仿宋_GB2312" w:eastAsia="仿宋_GB2312"/>
          <w:sz w:val="30"/>
          <w:szCs w:val="30"/>
        </w:rPr>
      </w:r>
      <w:r/>
    </w:p>
    <w:p>
      <w:pPr>
        <w:pStyle w:val="716"/>
        <w:rPr>
          <w:lang w:eastAsia="zh-CN"/>
        </w:rPr>
      </w:pPr>
      <w:r>
        <w:rPr>
          <w:lang w:eastAsia="zh-CN"/>
        </w:rPr>
      </w:r>
      <w:r/>
    </w:p>
    <w:p>
      <w:pPr>
        <w:pStyle w:val="716"/>
        <w:rPr>
          <w:lang w:eastAsia="zh-CN"/>
        </w:rPr>
      </w:pPr>
      <w:r>
        <w:rPr>
          <w:lang w:eastAsia="zh-CN"/>
        </w:rPr>
      </w:r>
      <w:r/>
    </w:p>
    <w:p>
      <w:pPr>
        <w:pStyle w:val="716"/>
        <w:rPr>
          <w:lang w:eastAsia="zh-CN"/>
        </w:rPr>
      </w:pPr>
      <w:r>
        <w:rPr>
          <w:lang w:eastAsia="zh-CN"/>
        </w:rPr>
      </w:r>
      <w:r/>
    </w:p>
    <w:p>
      <w:pPr>
        <w:pStyle w:val="716"/>
        <w:rPr>
          <w:lang w:eastAsia="zh-CN"/>
        </w:rPr>
      </w:pPr>
      <w:r>
        <w:rPr>
          <w:lang w:eastAsia="zh-CN"/>
        </w:rPr>
      </w:r>
      <w:r/>
    </w:p>
    <w:p>
      <w:pPr>
        <w:pStyle w:val="716"/>
        <w:rPr>
          <w:lang w:eastAsia="zh-CN"/>
        </w:rPr>
      </w:pPr>
      <w:r>
        <w:rPr>
          <w:lang w:eastAsia="zh-CN"/>
        </w:rPr>
      </w:r>
      <w:r/>
    </w:p>
    <w:p>
      <w:pPr>
        <w:jc w:val="cente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480" w:lineRule="exact"/>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联系电话：</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80" w:lineRule="exact"/>
        <w:rPr>
          <w:rFonts w:ascii="仿宋" w:hAnsi="仿宋" w:eastAsia="仿宋" w:cs="仿宋"/>
          <w:sz w:val="28"/>
          <w:szCs w:val="28"/>
          <w:u w:val="single"/>
        </w:rPr>
      </w:pPr>
      <w:r>
        <w:rPr>
          <w:rFonts w:ascii="仿宋" w:hAnsi="仿宋" w:eastAsia="仿宋" w:cs="仿宋"/>
          <w:sz w:val="28"/>
          <w:szCs w:val="28"/>
          <w:u w:val="single"/>
        </w:rPr>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80" w:lineRule="exact"/>
        <w:rPr>
          <w:rFonts w:ascii="仿宋" w:hAnsi="仿宋" w:eastAsia="仿宋"/>
          <w:sz w:val="28"/>
          <w:szCs w:val="28"/>
        </w:rPr>
      </w:pPr>
      <w:r>
        <w:rPr>
          <w:rFonts w:hint="eastAsia" w:ascii="仿宋" w:hAnsi="仿宋" w:eastAsia="仿宋"/>
          <w:sz w:val="28"/>
          <w:szCs w:val="28"/>
        </w:rPr>
        <w:t xml:space="preserve">签字(签章)：                   公章：                      </w:t>
      </w:r>
      <w:r/>
    </w:p>
    <w:p>
      <w:pPr>
        <w:spacing w:line="480" w:lineRule="exact"/>
        <w:rPr>
          <w:rFonts w:ascii="仿宋" w:hAnsi="仿宋" w:eastAsia="仿宋"/>
          <w:sz w:val="28"/>
          <w:szCs w:val="28"/>
        </w:rPr>
      </w:pPr>
      <w:r>
        <w:rPr>
          <w:rFonts w:hint="eastAsia" w:ascii="仿宋" w:hAnsi="仿宋" w:eastAsia="仿宋"/>
          <w:sz w:val="28"/>
          <w:szCs w:val="28"/>
        </w:rPr>
        <w:t xml:space="preserve">日期：    </w:t>
      </w:r>
      <w:r/>
    </w:p>
    <w:p>
      <w:pPr>
        <w:spacing w:line="480" w:lineRule="exact"/>
        <w:rPr>
          <w:rFonts w:ascii="仿宋" w:hAnsi="仿宋" w:eastAsia="仿宋"/>
          <w:b/>
          <w:sz w:val="28"/>
          <w:szCs w:val="28"/>
        </w:rPr>
      </w:pPr>
      <w:r>
        <w:rPr>
          <w:rFonts w:hint="eastAsia" w:ascii="仿宋" w:hAnsi="仿宋" w:eastAsia="仿宋"/>
          <w:b/>
          <w:sz w:val="28"/>
          <w:szCs w:val="28"/>
        </w:rPr>
        <w:t xml:space="preserve">质疑函制作说明：</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w:t>
      </w:r>
      <w:r>
        <w:rPr>
          <w:rFonts w:hint="eastAsia" w:ascii="仿宋" w:hAnsi="仿宋" w:eastAsia="仿宋" w:cs="宋体"/>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5.质疑函的质疑请求应与质疑事项相关。</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6.质疑供应商为自然人的，质疑函应由本人签字；质疑供应商为法人或者其他组织的，质疑函应由法定代表人、主要负责人，或者其授权代表签字或者盖章，并加盖公章。</w:t>
      </w:r>
      <w:r/>
    </w:p>
    <w:p>
      <w:pPr>
        <w:rPr>
          <w:sz w:val="24"/>
          <w:szCs w:val="24"/>
        </w:rPr>
      </w:pPr>
      <w:r>
        <w:rPr>
          <w:sz w:val="24"/>
          <w:szCs w:val="24"/>
        </w:rPr>
      </w:r>
      <w:r/>
    </w:p>
    <w:p>
      <w:pPr>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710"/>
      <w:isLgl w:val="false"/>
      <w:suff w:val="nothing"/>
      <w:lvlText w:val=""/>
      <w:lvlJc w:val="left"/>
      <w:pPr>
        <w:ind w:left="0" w:firstLine="0"/>
      </w:pPr>
      <w:rPr>
        <w:rFonts w:hint="eastAsia"/>
      </w:rPr>
    </w:lvl>
    <w:lvl w:ilvl="6">
      <w:start w:val="1"/>
      <w:numFmt w:val="decimal"/>
      <w:pStyle w:val="711"/>
      <w:isLgl w:val="false"/>
      <w:suff w:val="nothing"/>
      <w:lvlText w:val=""/>
      <w:lvlJc w:val="left"/>
      <w:pPr>
        <w:ind w:left="0" w:firstLine="0"/>
      </w:pPr>
      <w:rPr>
        <w:rFonts w:hint="eastAsia"/>
      </w:rPr>
    </w:lvl>
    <w:lvl w:ilvl="7">
      <w:start w:val="1"/>
      <w:numFmt w:val="decimal"/>
      <w:pStyle w:val="712"/>
      <w:isLgl w:val="false"/>
      <w:suff w:val="nothing"/>
      <w:lvlText w:val=""/>
      <w:lvlJc w:val="left"/>
      <w:pPr>
        <w:ind w:left="0" w:firstLine="0"/>
      </w:pPr>
      <w:rPr>
        <w:rFonts w:hint="eastAsia"/>
      </w:rPr>
    </w:lvl>
    <w:lvl w:ilvl="8">
      <w:start w:val="1"/>
      <w:numFmt w:val="decimal"/>
      <w:pStyle w:val="713"/>
      <w:isLgl w:val="false"/>
      <w:suff w:val="nothing"/>
      <w:lvlText w:val=""/>
      <w:lvlJc w:val="left"/>
      <w:pPr>
        <w:ind w:left="0" w:firstLine="0"/>
      </w:pPr>
      <w:rPr>
        <w:rFonts w:hint="eastAsia"/>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10"/>
  </w:num>
  <w:num w:numId="2">
    <w:abstractNumId w:val="5"/>
  </w:num>
  <w:num w:numId="3">
    <w:abstractNumId w:val="12"/>
  </w:num>
  <w:num w:numId="4">
    <w:abstractNumId w:val="8"/>
  </w:num>
  <w:num w:numId="5">
    <w:abstractNumId w:val="3"/>
  </w:num>
  <w:num w:numId="6">
    <w:abstractNumId w:val="2"/>
  </w:num>
  <w:num w:numId="7">
    <w:abstractNumId w:val="9"/>
  </w:num>
  <w:num w:numId="8">
    <w:abstractNumId w:val="1"/>
  </w:num>
  <w:num w:numId="9">
    <w:abstractNumId w:val="0"/>
  </w:num>
  <w:num w:numId="10">
    <w:abstractNumId w:val="6"/>
  </w:num>
  <w:num w:numId="11">
    <w:abstractNumId w:val="7"/>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Title Char"/>
    <w:basedOn w:val="714"/>
    <w:link w:val="749"/>
    <w:uiPriority w:val="10"/>
    <w:rPr>
      <w:sz w:val="48"/>
      <w:szCs w:val="48"/>
    </w:rPr>
  </w:style>
  <w:style w:type="character" w:styleId="699">
    <w:name w:val="Subtitle Char"/>
    <w:basedOn w:val="714"/>
    <w:link w:val="738"/>
    <w:uiPriority w:val="11"/>
    <w:rPr>
      <w:sz w:val="24"/>
      <w:szCs w:val="24"/>
    </w:rPr>
  </w:style>
  <w:style w:type="character" w:styleId="700">
    <w:name w:val="Quote Char"/>
    <w:link w:val="782"/>
    <w:uiPriority w:val="29"/>
    <w:rPr>
      <w:i/>
    </w:rPr>
  </w:style>
  <w:style w:type="character" w:styleId="701">
    <w:name w:val="Intense Quote Char"/>
    <w:link w:val="784"/>
    <w:uiPriority w:val="30"/>
    <w:rPr>
      <w:i/>
    </w:rPr>
  </w:style>
  <w:style w:type="character" w:styleId="702">
    <w:name w:val="Footnote Text Char"/>
    <w:link w:val="740"/>
    <w:uiPriority w:val="99"/>
    <w:rPr>
      <w:sz w:val="18"/>
    </w:rPr>
  </w:style>
  <w:style w:type="character" w:styleId="703">
    <w:name w:val="Endnote Text Char"/>
    <w:link w:val="732"/>
    <w:uiPriority w:val="99"/>
    <w:rPr>
      <w:sz w:val="20"/>
    </w:rPr>
  </w:style>
  <w:style w:type="paragraph" w:styleId="704" w:default="1">
    <w:name w:val="Normal"/>
    <w:next w:val="716"/>
    <w:uiPriority w:val="0"/>
    <w:qFormat/>
    <w:pPr>
      <w:jc w:val="both"/>
      <w:widowControl w:val="off"/>
    </w:pPr>
    <w:rPr>
      <w:rFonts w:ascii="Times New Roman" w:hAnsi="Times New Roman" w:eastAsia="宋体" w:cs="Times New Roman"/>
      <w:sz w:val="21"/>
      <w:szCs w:val="22"/>
      <w:lang w:val="en-US" w:eastAsia="zh-CN" w:bidi="ar-SA"/>
    </w:rPr>
  </w:style>
  <w:style w:type="paragraph" w:styleId="705">
    <w:name w:val="Heading 1"/>
    <w:basedOn w:val="704"/>
    <w:next w:val="704"/>
    <w:link w:val="922"/>
    <w:uiPriority w:val="0"/>
    <w:qFormat/>
    <w:pPr>
      <w:jc w:val="center"/>
      <w:keepNext/>
      <w:outlineLvl w:val="0"/>
    </w:pPr>
    <w:rPr>
      <w:rFonts w:ascii="楷体_GB2312" w:eastAsia="楷体_GB2312"/>
      <w:sz w:val="28"/>
      <w:szCs w:val="28"/>
      <w:lang w:eastAsia="en-US"/>
    </w:rPr>
  </w:style>
  <w:style w:type="paragraph" w:styleId="706">
    <w:name w:val="Heading 2"/>
    <w:basedOn w:val="704"/>
    <w:next w:val="718"/>
    <w:link w:val="92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07">
    <w:name w:val="Heading 3"/>
    <w:basedOn w:val="704"/>
    <w:next w:val="718"/>
    <w:link w:val="925"/>
    <w:uiPriority w:val="0"/>
    <w:qFormat/>
    <w:pPr>
      <w:keepLines/>
      <w:keepNext/>
      <w:spacing w:before="260" w:after="260" w:line="416" w:lineRule="auto"/>
      <w:outlineLvl w:val="2"/>
    </w:pPr>
    <w:rPr>
      <w:b/>
      <w:bCs/>
      <w:sz w:val="32"/>
      <w:szCs w:val="32"/>
      <w:lang w:eastAsia="en-US"/>
    </w:rPr>
  </w:style>
  <w:style w:type="paragraph" w:styleId="708">
    <w:name w:val="Heading 4"/>
    <w:basedOn w:val="704"/>
    <w:next w:val="718"/>
    <w:link w:val="926"/>
    <w:uiPriority w:val="0"/>
    <w:qFormat/>
    <w:pPr>
      <w:keepLines/>
      <w:keepNext/>
      <w:spacing w:before="280" w:after="290" w:line="376" w:lineRule="auto"/>
      <w:outlineLvl w:val="3"/>
    </w:pPr>
    <w:rPr>
      <w:rFonts w:ascii="Arial" w:hAnsi="Arial" w:eastAsia="黑体"/>
      <w:b/>
      <w:bCs/>
      <w:sz w:val="28"/>
      <w:szCs w:val="28"/>
      <w:lang w:eastAsia="en-US"/>
    </w:rPr>
  </w:style>
  <w:style w:type="paragraph" w:styleId="709">
    <w:name w:val="Heading 5"/>
    <w:basedOn w:val="704"/>
    <w:next w:val="718"/>
    <w:link w:val="927"/>
    <w:uiPriority w:val="0"/>
    <w:qFormat/>
    <w:pPr>
      <w:keepNext/>
      <w:outlineLvl w:val="4"/>
    </w:pPr>
    <w:rPr>
      <w:rFonts w:ascii="宋体"/>
      <w:color w:val="000000"/>
      <w:sz w:val="28"/>
      <w:szCs w:val="28"/>
      <w:lang w:eastAsia="en-US"/>
    </w:rPr>
  </w:style>
  <w:style w:type="paragraph" w:styleId="710">
    <w:name w:val="Heading 6"/>
    <w:basedOn w:val="704"/>
    <w:next w:val="704"/>
    <w:link w:val="92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11">
    <w:name w:val="Heading 7"/>
    <w:basedOn w:val="704"/>
    <w:next w:val="704"/>
    <w:link w:val="929"/>
    <w:uiPriority w:val="0"/>
    <w:qFormat/>
    <w:pPr>
      <w:numPr>
        <w:ilvl w:val="6"/>
        <w:numId w:val="1"/>
      </w:numPr>
      <w:keepLines/>
      <w:keepNext/>
      <w:spacing w:before="240" w:after="64" w:line="320" w:lineRule="auto"/>
      <w:outlineLvl w:val="6"/>
    </w:pPr>
    <w:rPr>
      <w:b/>
      <w:bCs/>
      <w:sz w:val="24"/>
      <w:szCs w:val="24"/>
      <w:lang w:eastAsia="en-US"/>
    </w:rPr>
  </w:style>
  <w:style w:type="paragraph" w:styleId="712">
    <w:name w:val="Heading 8"/>
    <w:basedOn w:val="704"/>
    <w:next w:val="704"/>
    <w:link w:val="93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13">
    <w:name w:val="Heading 9"/>
    <w:basedOn w:val="704"/>
    <w:next w:val="704"/>
    <w:link w:val="931"/>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First Indent"/>
    <w:basedOn w:val="717"/>
    <w:link w:val="921"/>
    <w:uiPriority w:val="99"/>
    <w:qFormat/>
    <w:pPr>
      <w:ind w:firstLine="200"/>
      <w:spacing w:line="360" w:lineRule="auto"/>
    </w:pPr>
    <w:rPr>
      <w:rFonts w:ascii="仿宋_GB2312" w:hAnsi="Times New Roman" w:eastAsia="仿宋_GB2312"/>
      <w:sz w:val="30"/>
      <w:szCs w:val="30"/>
    </w:rPr>
  </w:style>
  <w:style w:type="paragraph" w:styleId="717">
    <w:name w:val="Body Text"/>
    <w:basedOn w:val="704"/>
    <w:next w:val="704"/>
    <w:link w:val="920"/>
    <w:uiPriority w:val="99"/>
    <w:qFormat/>
    <w:rPr>
      <w:rFonts w:ascii="楷体_GB2312" w:hAnsi="Arial" w:eastAsia="楷体_GB2312"/>
      <w:sz w:val="28"/>
      <w:szCs w:val="28"/>
      <w:lang w:eastAsia="en-US"/>
    </w:rPr>
  </w:style>
  <w:style w:type="paragraph" w:styleId="718">
    <w:name w:val="Normal Indent"/>
    <w:basedOn w:val="704"/>
    <w:link w:val="924"/>
    <w:uiPriority w:val="0"/>
    <w:qFormat/>
    <w:pPr>
      <w:ind w:firstLine="420"/>
    </w:pPr>
    <w:rPr>
      <w:sz w:val="20"/>
      <w:szCs w:val="21"/>
      <w:lang w:eastAsia="en-US"/>
    </w:rPr>
  </w:style>
  <w:style w:type="paragraph" w:styleId="719">
    <w:name w:val="List 3"/>
    <w:basedOn w:val="704"/>
    <w:uiPriority w:val="0"/>
    <w:qFormat/>
    <w:pPr>
      <w:ind w:left="100" w:hanging="200"/>
    </w:pPr>
    <w:rPr>
      <w:szCs w:val="21"/>
    </w:rPr>
  </w:style>
  <w:style w:type="paragraph" w:styleId="720">
    <w:name w:val="toc 7"/>
    <w:basedOn w:val="704"/>
    <w:next w:val="704"/>
    <w:uiPriority w:val="39"/>
    <w:qFormat/>
    <w:pPr>
      <w:ind w:left="1260"/>
      <w:jc w:val="left"/>
    </w:pPr>
    <w:rPr>
      <w:szCs w:val="21"/>
    </w:rPr>
  </w:style>
  <w:style w:type="paragraph" w:styleId="721">
    <w:name w:val="Document Map"/>
    <w:basedOn w:val="704"/>
    <w:link w:val="932"/>
    <w:uiPriority w:val="0"/>
    <w:semiHidden/>
    <w:qFormat/>
    <w:pPr>
      <w:shd w:val="clear" w:color="auto" w:fill="000080"/>
    </w:pPr>
    <w:rPr>
      <w:sz w:val="20"/>
      <w:szCs w:val="21"/>
      <w:lang w:eastAsia="en-US"/>
    </w:rPr>
  </w:style>
  <w:style w:type="paragraph" w:styleId="722">
    <w:name w:val="annotation text"/>
    <w:basedOn w:val="704"/>
    <w:link w:val="933"/>
    <w:uiPriority w:val="99"/>
    <w:unhideWhenUsed/>
    <w:qFormat/>
    <w:pPr>
      <w:jc w:val="left"/>
    </w:pPr>
  </w:style>
  <w:style w:type="paragraph" w:styleId="723">
    <w:name w:val="Body Text 3"/>
    <w:basedOn w:val="704"/>
    <w:link w:val="934"/>
    <w:uiPriority w:val="0"/>
    <w:qFormat/>
    <w:rPr>
      <w:rFonts w:ascii="仿宋_GB2312" w:hAnsi="Arial" w:eastAsia="仿宋_GB2312"/>
      <w:sz w:val="32"/>
      <w:szCs w:val="32"/>
      <w:lang w:eastAsia="en-US"/>
    </w:rPr>
  </w:style>
  <w:style w:type="paragraph" w:styleId="724">
    <w:name w:val="Body Text Indent"/>
    <w:basedOn w:val="704"/>
    <w:link w:val="935"/>
    <w:uiPriority w:val="99"/>
    <w:unhideWhenUsed/>
    <w:qFormat/>
    <w:pPr>
      <w:ind w:left="420"/>
      <w:spacing w:after="120"/>
    </w:pPr>
  </w:style>
  <w:style w:type="paragraph" w:styleId="725">
    <w:name w:val="List 2"/>
    <w:basedOn w:val="704"/>
    <w:uiPriority w:val="0"/>
    <w:qFormat/>
    <w:pPr>
      <w:ind w:left="100" w:hanging="200"/>
    </w:pPr>
    <w:rPr>
      <w:szCs w:val="21"/>
    </w:rPr>
  </w:style>
  <w:style w:type="paragraph" w:styleId="726">
    <w:name w:val="toc 5"/>
    <w:basedOn w:val="704"/>
    <w:next w:val="704"/>
    <w:uiPriority w:val="39"/>
    <w:qFormat/>
    <w:pPr>
      <w:ind w:left="840"/>
      <w:jc w:val="left"/>
    </w:pPr>
    <w:rPr>
      <w:szCs w:val="21"/>
    </w:rPr>
  </w:style>
  <w:style w:type="paragraph" w:styleId="727">
    <w:name w:val="toc 3"/>
    <w:basedOn w:val="704"/>
    <w:next w:val="704"/>
    <w:uiPriority w:val="39"/>
    <w:qFormat/>
    <w:pPr>
      <w:ind w:left="420"/>
      <w:jc w:val="left"/>
    </w:pPr>
    <w:rPr>
      <w:i/>
      <w:iCs/>
      <w:szCs w:val="24"/>
    </w:rPr>
  </w:style>
  <w:style w:type="paragraph" w:styleId="728">
    <w:name w:val="Plain Text"/>
    <w:basedOn w:val="704"/>
    <w:link w:val="936"/>
    <w:uiPriority w:val="0"/>
    <w:qFormat/>
    <w:rPr>
      <w:rFonts w:ascii="宋体" w:hAnsi="Courier New"/>
      <w:sz w:val="20"/>
      <w:szCs w:val="21"/>
      <w:lang w:eastAsia="en-US"/>
    </w:rPr>
  </w:style>
  <w:style w:type="paragraph" w:styleId="729">
    <w:name w:val="toc 8"/>
    <w:basedOn w:val="704"/>
    <w:next w:val="704"/>
    <w:uiPriority w:val="39"/>
    <w:qFormat/>
    <w:pPr>
      <w:ind w:left="1470"/>
      <w:jc w:val="left"/>
    </w:pPr>
    <w:rPr>
      <w:szCs w:val="21"/>
    </w:rPr>
  </w:style>
  <w:style w:type="paragraph" w:styleId="730">
    <w:name w:val="Date"/>
    <w:basedOn w:val="704"/>
    <w:next w:val="704"/>
    <w:link w:val="937"/>
    <w:uiPriority w:val="0"/>
    <w:qFormat/>
    <w:rPr>
      <w:sz w:val="24"/>
      <w:szCs w:val="24"/>
      <w:lang w:eastAsia="en-US"/>
    </w:rPr>
  </w:style>
  <w:style w:type="paragraph" w:styleId="731">
    <w:name w:val="Body Text Indent 2"/>
    <w:basedOn w:val="704"/>
    <w:link w:val="938"/>
    <w:uiPriority w:val="0"/>
    <w:qFormat/>
    <w:pPr>
      <w:ind w:left="630" w:firstLine="645"/>
    </w:pPr>
    <w:rPr>
      <w:rFonts w:ascii="Arial" w:hAnsi="Arial" w:eastAsia="仿宋_GB2312"/>
      <w:sz w:val="32"/>
      <w:szCs w:val="32"/>
      <w:lang w:eastAsia="en-US"/>
    </w:rPr>
  </w:style>
  <w:style w:type="paragraph" w:styleId="732">
    <w:name w:val="endnote text"/>
    <w:basedOn w:val="704"/>
    <w:link w:val="918"/>
    <w:uiPriority w:val="99"/>
    <w:semiHidden/>
    <w:unhideWhenUsed/>
    <w:qFormat/>
    <w:rPr>
      <w:sz w:val="20"/>
    </w:rPr>
  </w:style>
  <w:style w:type="paragraph" w:styleId="733">
    <w:name w:val="Balloon Text"/>
    <w:basedOn w:val="704"/>
    <w:link w:val="939"/>
    <w:uiPriority w:val="99"/>
    <w:semiHidden/>
    <w:qFormat/>
    <w:rPr>
      <w:sz w:val="18"/>
      <w:szCs w:val="18"/>
      <w:lang w:eastAsia="en-US"/>
    </w:rPr>
  </w:style>
  <w:style w:type="paragraph" w:styleId="734">
    <w:name w:val="Footer"/>
    <w:basedOn w:val="704"/>
    <w:link w:val="940"/>
    <w:uiPriority w:val="99"/>
    <w:qFormat/>
    <w:pPr>
      <w:jc w:val="left"/>
      <w:tabs>
        <w:tab w:val="center" w:pos="4153" w:leader="none"/>
        <w:tab w:val="right" w:pos="8306" w:leader="none"/>
      </w:tabs>
    </w:pPr>
    <w:rPr>
      <w:sz w:val="18"/>
      <w:szCs w:val="18"/>
      <w:lang w:eastAsia="en-US"/>
    </w:rPr>
  </w:style>
  <w:style w:type="paragraph" w:styleId="735">
    <w:name w:val="Header"/>
    <w:basedOn w:val="704"/>
    <w:link w:val="941"/>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736">
    <w:name w:val="toc 1"/>
    <w:basedOn w:val="704"/>
    <w:next w:val="704"/>
    <w:uiPriority w:val="39"/>
    <w:qFormat/>
    <w:pPr>
      <w:jc w:val="left"/>
      <w:spacing w:before="120" w:after="120" w:line="400" w:lineRule="exact"/>
      <w:tabs>
        <w:tab w:val="right" w:pos="8720" w:leader="dot"/>
      </w:tabs>
    </w:pPr>
    <w:rPr>
      <w:rFonts w:ascii="宋体" w:hAnsi="宋体"/>
      <w:caps/>
      <w:sz w:val="24"/>
      <w:szCs w:val="24"/>
    </w:rPr>
  </w:style>
  <w:style w:type="paragraph" w:styleId="737">
    <w:name w:val="toc 4"/>
    <w:basedOn w:val="704"/>
    <w:next w:val="704"/>
    <w:uiPriority w:val="39"/>
    <w:qFormat/>
    <w:pPr>
      <w:ind w:left="630"/>
      <w:jc w:val="left"/>
    </w:pPr>
    <w:rPr>
      <w:szCs w:val="21"/>
    </w:rPr>
  </w:style>
  <w:style w:type="paragraph" w:styleId="738">
    <w:name w:val="Subtitle"/>
    <w:basedOn w:val="704"/>
    <w:next w:val="704"/>
    <w:link w:val="781"/>
    <w:uiPriority w:val="11"/>
    <w:qFormat/>
    <w:pPr>
      <w:spacing w:before="200" w:after="200"/>
    </w:pPr>
    <w:rPr>
      <w:sz w:val="24"/>
      <w:szCs w:val="24"/>
    </w:rPr>
  </w:style>
  <w:style w:type="paragraph" w:styleId="739">
    <w:name w:val="List"/>
    <w:basedOn w:val="704"/>
    <w:uiPriority w:val="0"/>
    <w:qFormat/>
    <w:pPr>
      <w:ind w:left="200" w:hanging="200"/>
    </w:pPr>
    <w:rPr>
      <w:szCs w:val="21"/>
    </w:rPr>
  </w:style>
  <w:style w:type="paragraph" w:styleId="740">
    <w:name w:val="footnote text"/>
    <w:basedOn w:val="704"/>
    <w:link w:val="917"/>
    <w:uiPriority w:val="99"/>
    <w:semiHidden/>
    <w:unhideWhenUsed/>
    <w:qFormat/>
    <w:pPr>
      <w:spacing w:after="40"/>
    </w:pPr>
    <w:rPr>
      <w:sz w:val="18"/>
    </w:rPr>
  </w:style>
  <w:style w:type="paragraph" w:styleId="741">
    <w:name w:val="toc 6"/>
    <w:basedOn w:val="704"/>
    <w:next w:val="704"/>
    <w:uiPriority w:val="39"/>
    <w:qFormat/>
    <w:pPr>
      <w:ind w:left="1050"/>
      <w:jc w:val="left"/>
    </w:pPr>
    <w:rPr>
      <w:szCs w:val="21"/>
    </w:rPr>
  </w:style>
  <w:style w:type="paragraph" w:styleId="742">
    <w:name w:val="Body Text Indent 3"/>
    <w:basedOn w:val="704"/>
    <w:link w:val="942"/>
    <w:uiPriority w:val="0"/>
    <w:qFormat/>
    <w:pPr>
      <w:ind w:left="645" w:firstLine="645"/>
    </w:pPr>
    <w:rPr>
      <w:rFonts w:ascii="Arial" w:hAnsi="Arial" w:eastAsia="仿宋_GB2312"/>
      <w:color w:val="ffff00"/>
      <w:sz w:val="32"/>
      <w:szCs w:val="32"/>
      <w:lang w:eastAsia="en-US"/>
    </w:rPr>
  </w:style>
  <w:style w:type="paragraph" w:styleId="743">
    <w:name w:val="table of figures"/>
    <w:basedOn w:val="704"/>
    <w:next w:val="704"/>
    <w:uiPriority w:val="99"/>
    <w:qFormat/>
    <w:pPr>
      <w:ind w:left="840" w:hanging="420"/>
    </w:pPr>
    <w:rPr>
      <w:szCs w:val="21"/>
    </w:rPr>
  </w:style>
  <w:style w:type="paragraph" w:styleId="744">
    <w:name w:val="toc 2"/>
    <w:basedOn w:val="704"/>
    <w:next w:val="704"/>
    <w:uiPriority w:val="39"/>
    <w:qFormat/>
    <w:pPr>
      <w:ind w:left="210"/>
      <w:jc w:val="left"/>
    </w:pPr>
    <w:rPr>
      <w:smallCaps/>
      <w:szCs w:val="24"/>
    </w:rPr>
  </w:style>
  <w:style w:type="paragraph" w:styleId="745">
    <w:name w:val="toc 9"/>
    <w:basedOn w:val="704"/>
    <w:next w:val="704"/>
    <w:uiPriority w:val="39"/>
    <w:qFormat/>
    <w:pPr>
      <w:ind w:left="1680"/>
      <w:jc w:val="left"/>
    </w:pPr>
    <w:rPr>
      <w:szCs w:val="21"/>
    </w:rPr>
  </w:style>
  <w:style w:type="paragraph" w:styleId="746">
    <w:name w:val="Body Text 2"/>
    <w:basedOn w:val="704"/>
    <w:link w:val="943"/>
    <w:uiPriority w:val="0"/>
    <w:qFormat/>
    <w:pPr>
      <w:jc w:val="center"/>
      <w:widowControl/>
    </w:pPr>
    <w:rPr>
      <w:rFonts w:ascii="楷体_GB2312" w:eastAsia="楷体_GB2312"/>
      <w:sz w:val="28"/>
      <w:szCs w:val="28"/>
      <w:lang w:eastAsia="en-US"/>
    </w:rPr>
  </w:style>
  <w:style w:type="paragraph" w:styleId="747">
    <w:name w:val="Normal (Web)"/>
    <w:basedOn w:val="704"/>
    <w:uiPriority w:val="99"/>
    <w:qFormat/>
    <w:pPr>
      <w:jc w:val="left"/>
      <w:spacing w:before="100" w:beforeAutospacing="1" w:after="100" w:afterAutospacing="1"/>
      <w:widowControl/>
    </w:pPr>
    <w:rPr>
      <w:rFonts w:ascii="宋体" w:hAnsi="宋体" w:cs="宋体"/>
      <w:sz w:val="24"/>
      <w:szCs w:val="24"/>
    </w:rPr>
  </w:style>
  <w:style w:type="paragraph" w:styleId="748">
    <w:name w:val="index 1"/>
    <w:basedOn w:val="704"/>
    <w:next w:val="704"/>
    <w:uiPriority w:val="0"/>
    <w:semiHidden/>
    <w:qFormat/>
    <w:pPr>
      <w:spacing w:line="240" w:lineRule="atLeast"/>
    </w:pPr>
    <w:rPr>
      <w:b/>
      <w:bCs/>
      <w:szCs w:val="21"/>
    </w:rPr>
  </w:style>
  <w:style w:type="paragraph" w:styleId="749">
    <w:name w:val="Title"/>
    <w:basedOn w:val="704"/>
    <w:next w:val="704"/>
    <w:link w:val="780"/>
    <w:uiPriority w:val="10"/>
    <w:qFormat/>
    <w:pPr>
      <w:contextualSpacing/>
      <w:spacing w:before="300" w:after="200"/>
    </w:pPr>
    <w:rPr>
      <w:sz w:val="48"/>
      <w:szCs w:val="48"/>
    </w:rPr>
  </w:style>
  <w:style w:type="paragraph" w:styleId="750">
    <w:name w:val="annotation subject"/>
    <w:basedOn w:val="722"/>
    <w:next w:val="722"/>
    <w:link w:val="944"/>
    <w:uiPriority w:val="0"/>
    <w:semiHidden/>
    <w:qFormat/>
    <w:rPr>
      <w:b/>
      <w:bCs/>
      <w:sz w:val="20"/>
      <w:szCs w:val="21"/>
      <w:lang w:eastAsia="en-US"/>
    </w:rPr>
  </w:style>
  <w:style w:type="paragraph" w:styleId="751">
    <w:name w:val="Body Text First Indent 2"/>
    <w:basedOn w:val="724"/>
    <w:link w:val="945"/>
    <w:uiPriority w:val="0"/>
    <w:qFormat/>
    <w:pPr>
      <w:ind w:left="0" w:firstLine="420"/>
      <w:spacing w:after="0" w:line="360" w:lineRule="auto"/>
    </w:pPr>
    <w:rPr>
      <w:rFonts w:ascii="宋体" w:hAnsi="宋体"/>
      <w:sz w:val="20"/>
      <w:szCs w:val="20"/>
      <w:lang w:eastAsia="en-US"/>
    </w:rPr>
  </w:style>
  <w:style w:type="table" w:styleId="752">
    <w:name w:val="Table Grid"/>
    <w:basedOn w:val="715"/>
    <w:uiPriority w:val="0"/>
    <w:qFormat/>
    <w:pPr>
      <w:jc w:val="both"/>
      <w:widowControl w:val="off"/>
    </w:pPr>
    <w:tblPr>
      <w:tblCellMar>
        <w:left w:w="108" w:type="dxa"/>
        <w:top w:w="0" w:type="dxa"/>
        <w:right w:w="108" w:type="dxa"/>
        <w:bottom w:w="0" w:type="dxa"/>
      </w:tblCellMar>
    </w:tblPr>
  </w:style>
  <w:style w:type="character" w:styleId="753">
    <w:name w:val="Strong"/>
    <w:uiPriority w:val="0"/>
    <w:qFormat/>
    <w:rPr>
      <w:b/>
      <w:bCs/>
    </w:rPr>
  </w:style>
  <w:style w:type="character" w:styleId="754">
    <w:name w:val="endnote reference"/>
    <w:uiPriority w:val="99"/>
    <w:semiHidden/>
    <w:unhideWhenUsed/>
    <w:qFormat/>
    <w:rPr>
      <w:vertAlign w:val="superscript"/>
    </w:rPr>
  </w:style>
  <w:style w:type="character" w:styleId="755">
    <w:name w:val="page number"/>
    <w:uiPriority w:val="0"/>
    <w:qFormat/>
  </w:style>
  <w:style w:type="character" w:styleId="756">
    <w:name w:val="FollowedHyperlink"/>
    <w:uiPriority w:val="0"/>
    <w:qFormat/>
    <w:rPr>
      <w:color w:val="800080"/>
      <w:u w:val="single"/>
    </w:rPr>
  </w:style>
  <w:style w:type="character" w:styleId="757">
    <w:name w:val="Hyperlink"/>
    <w:uiPriority w:val="99"/>
    <w:qFormat/>
    <w:rPr>
      <w:color w:val="0000ff"/>
      <w:u w:val="single"/>
    </w:rPr>
  </w:style>
  <w:style w:type="character" w:styleId="758">
    <w:name w:val="annotation reference"/>
    <w:uiPriority w:val="0"/>
    <w:semiHidden/>
    <w:qFormat/>
    <w:rPr>
      <w:sz w:val="21"/>
      <w:szCs w:val="21"/>
    </w:rPr>
  </w:style>
  <w:style w:type="character" w:styleId="759">
    <w:name w:val="footnote reference"/>
    <w:uiPriority w:val="99"/>
    <w:unhideWhenUsed/>
    <w:qFormat/>
    <w:rPr>
      <w:vertAlign w:val="superscript"/>
    </w:rPr>
  </w:style>
  <w:style w:type="paragraph" w:styleId="760" w:customStyle="1">
    <w:name w:val="Heading 1"/>
    <w:basedOn w:val="704"/>
    <w:next w:val="704"/>
    <w:link w:val="761"/>
    <w:uiPriority w:val="9"/>
    <w:qFormat/>
    <w:pPr>
      <w:keepLines/>
      <w:keepNext/>
      <w:spacing w:before="480" w:after="200"/>
      <w:outlineLvl w:val="0"/>
    </w:pPr>
    <w:rPr>
      <w:rFonts w:ascii="Arial" w:hAnsi="Arial" w:eastAsia="Arial" w:cs="Arial"/>
      <w:sz w:val="40"/>
      <w:szCs w:val="40"/>
    </w:rPr>
  </w:style>
  <w:style w:type="character" w:styleId="761" w:customStyle="1">
    <w:name w:val="Heading 1 Char"/>
    <w:link w:val="760"/>
    <w:uiPriority w:val="9"/>
    <w:qFormat/>
    <w:rPr>
      <w:rFonts w:ascii="Arial" w:hAnsi="Arial" w:eastAsia="Arial" w:cs="Arial"/>
      <w:sz w:val="40"/>
      <w:szCs w:val="40"/>
    </w:rPr>
  </w:style>
  <w:style w:type="paragraph" w:styleId="762" w:customStyle="1">
    <w:name w:val="Heading 2"/>
    <w:basedOn w:val="704"/>
    <w:next w:val="704"/>
    <w:link w:val="763"/>
    <w:uiPriority w:val="9"/>
    <w:unhideWhenUsed/>
    <w:qFormat/>
    <w:pPr>
      <w:keepLines/>
      <w:keepNext/>
      <w:spacing w:before="360" w:after="200"/>
      <w:outlineLvl w:val="1"/>
    </w:pPr>
    <w:rPr>
      <w:rFonts w:ascii="Arial" w:hAnsi="Arial" w:eastAsia="Arial" w:cs="Arial"/>
      <w:sz w:val="34"/>
    </w:rPr>
  </w:style>
  <w:style w:type="character" w:styleId="763" w:customStyle="1">
    <w:name w:val="Heading 2 Char"/>
    <w:link w:val="762"/>
    <w:uiPriority w:val="9"/>
    <w:qFormat/>
    <w:rPr>
      <w:rFonts w:ascii="Arial" w:hAnsi="Arial" w:eastAsia="Arial" w:cs="Arial"/>
      <w:sz w:val="34"/>
    </w:rPr>
  </w:style>
  <w:style w:type="paragraph" w:styleId="764" w:customStyle="1">
    <w:name w:val="Heading 3"/>
    <w:basedOn w:val="704"/>
    <w:next w:val="704"/>
    <w:link w:val="765"/>
    <w:uiPriority w:val="9"/>
    <w:unhideWhenUsed/>
    <w:qFormat/>
    <w:pPr>
      <w:keepLines/>
      <w:keepNext/>
      <w:spacing w:before="320" w:after="200"/>
      <w:outlineLvl w:val="2"/>
    </w:pPr>
    <w:rPr>
      <w:rFonts w:ascii="Arial" w:hAnsi="Arial" w:eastAsia="Arial" w:cs="Arial"/>
      <w:sz w:val="30"/>
      <w:szCs w:val="30"/>
    </w:rPr>
  </w:style>
  <w:style w:type="character" w:styleId="765" w:customStyle="1">
    <w:name w:val="Heading 3 Char"/>
    <w:link w:val="764"/>
    <w:uiPriority w:val="9"/>
    <w:qFormat/>
    <w:rPr>
      <w:rFonts w:ascii="Arial" w:hAnsi="Arial" w:eastAsia="Arial" w:cs="Arial"/>
      <w:sz w:val="30"/>
      <w:szCs w:val="30"/>
    </w:rPr>
  </w:style>
  <w:style w:type="paragraph" w:styleId="766" w:customStyle="1">
    <w:name w:val="Heading 4"/>
    <w:basedOn w:val="704"/>
    <w:next w:val="704"/>
    <w:link w:val="767"/>
    <w:uiPriority w:val="9"/>
    <w:unhideWhenUsed/>
    <w:qFormat/>
    <w:pPr>
      <w:keepLines/>
      <w:keepNext/>
      <w:spacing w:before="320" w:after="200"/>
      <w:outlineLvl w:val="3"/>
    </w:pPr>
    <w:rPr>
      <w:rFonts w:ascii="Arial" w:hAnsi="Arial" w:eastAsia="Arial" w:cs="Arial"/>
      <w:b/>
      <w:bCs/>
      <w:sz w:val="26"/>
      <w:szCs w:val="26"/>
    </w:rPr>
  </w:style>
  <w:style w:type="character" w:styleId="767" w:customStyle="1">
    <w:name w:val="Heading 4 Char"/>
    <w:link w:val="766"/>
    <w:uiPriority w:val="9"/>
    <w:qFormat/>
    <w:rPr>
      <w:rFonts w:ascii="Arial" w:hAnsi="Arial" w:eastAsia="Arial" w:cs="Arial"/>
      <w:b/>
      <w:bCs/>
      <w:sz w:val="26"/>
      <w:szCs w:val="26"/>
    </w:rPr>
  </w:style>
  <w:style w:type="paragraph" w:styleId="768" w:customStyle="1">
    <w:name w:val="Heading 5"/>
    <w:basedOn w:val="704"/>
    <w:next w:val="704"/>
    <w:link w:val="769"/>
    <w:uiPriority w:val="9"/>
    <w:unhideWhenUsed/>
    <w:qFormat/>
    <w:pPr>
      <w:keepLines/>
      <w:keepNext/>
      <w:spacing w:before="320" w:after="200"/>
      <w:outlineLvl w:val="4"/>
    </w:pPr>
    <w:rPr>
      <w:rFonts w:ascii="Arial" w:hAnsi="Arial" w:eastAsia="Arial" w:cs="Arial"/>
      <w:b/>
      <w:bCs/>
      <w:sz w:val="24"/>
      <w:szCs w:val="24"/>
    </w:rPr>
  </w:style>
  <w:style w:type="character" w:styleId="769" w:customStyle="1">
    <w:name w:val="Heading 5 Char"/>
    <w:link w:val="768"/>
    <w:uiPriority w:val="9"/>
    <w:qFormat/>
    <w:rPr>
      <w:rFonts w:ascii="Arial" w:hAnsi="Arial" w:eastAsia="Arial" w:cs="Arial"/>
      <w:b/>
      <w:bCs/>
      <w:sz w:val="24"/>
      <w:szCs w:val="24"/>
    </w:rPr>
  </w:style>
  <w:style w:type="paragraph" w:styleId="770" w:customStyle="1">
    <w:name w:val="Heading 6"/>
    <w:basedOn w:val="704"/>
    <w:next w:val="704"/>
    <w:link w:val="771"/>
    <w:uiPriority w:val="9"/>
    <w:unhideWhenUsed/>
    <w:qFormat/>
    <w:pPr>
      <w:keepLines/>
      <w:keepNext/>
      <w:spacing w:before="320" w:after="200"/>
      <w:outlineLvl w:val="5"/>
    </w:pPr>
    <w:rPr>
      <w:rFonts w:ascii="Arial" w:hAnsi="Arial" w:eastAsia="Arial" w:cs="Arial"/>
      <w:b/>
      <w:bCs/>
      <w:sz w:val="22"/>
    </w:rPr>
  </w:style>
  <w:style w:type="character" w:styleId="771" w:customStyle="1">
    <w:name w:val="Heading 6 Char"/>
    <w:link w:val="770"/>
    <w:uiPriority w:val="9"/>
    <w:qFormat/>
    <w:rPr>
      <w:rFonts w:ascii="Arial" w:hAnsi="Arial" w:eastAsia="Arial" w:cs="Arial"/>
      <w:b/>
      <w:bCs/>
      <w:sz w:val="22"/>
      <w:szCs w:val="22"/>
    </w:rPr>
  </w:style>
  <w:style w:type="paragraph" w:styleId="772" w:customStyle="1">
    <w:name w:val="Heading 7"/>
    <w:basedOn w:val="704"/>
    <w:next w:val="704"/>
    <w:link w:val="773"/>
    <w:uiPriority w:val="9"/>
    <w:unhideWhenUsed/>
    <w:qFormat/>
    <w:pPr>
      <w:keepLines/>
      <w:keepNext/>
      <w:spacing w:before="320" w:after="200"/>
      <w:outlineLvl w:val="6"/>
    </w:pPr>
    <w:rPr>
      <w:rFonts w:ascii="Arial" w:hAnsi="Arial" w:eastAsia="Arial" w:cs="Arial"/>
      <w:b/>
      <w:bCs/>
      <w:i/>
      <w:iCs/>
      <w:sz w:val="22"/>
    </w:rPr>
  </w:style>
  <w:style w:type="character" w:styleId="773" w:customStyle="1">
    <w:name w:val="Heading 7 Char"/>
    <w:link w:val="772"/>
    <w:uiPriority w:val="9"/>
    <w:qFormat/>
    <w:rPr>
      <w:rFonts w:ascii="Arial" w:hAnsi="Arial" w:eastAsia="Arial" w:cs="Arial"/>
      <w:b/>
      <w:bCs/>
      <w:i/>
      <w:iCs/>
      <w:sz w:val="22"/>
      <w:szCs w:val="22"/>
    </w:rPr>
  </w:style>
  <w:style w:type="paragraph" w:styleId="774" w:customStyle="1">
    <w:name w:val="Heading 8"/>
    <w:basedOn w:val="704"/>
    <w:next w:val="704"/>
    <w:link w:val="775"/>
    <w:uiPriority w:val="9"/>
    <w:unhideWhenUsed/>
    <w:qFormat/>
    <w:pPr>
      <w:keepLines/>
      <w:keepNext/>
      <w:spacing w:before="320" w:after="200"/>
      <w:outlineLvl w:val="7"/>
    </w:pPr>
    <w:rPr>
      <w:rFonts w:ascii="Arial" w:hAnsi="Arial" w:eastAsia="Arial" w:cs="Arial"/>
      <w:i/>
      <w:iCs/>
      <w:sz w:val="22"/>
    </w:rPr>
  </w:style>
  <w:style w:type="character" w:styleId="775" w:customStyle="1">
    <w:name w:val="Heading 8 Char"/>
    <w:link w:val="774"/>
    <w:uiPriority w:val="9"/>
    <w:qFormat/>
    <w:rPr>
      <w:rFonts w:ascii="Arial" w:hAnsi="Arial" w:eastAsia="Arial" w:cs="Arial"/>
      <w:i/>
      <w:iCs/>
      <w:sz w:val="22"/>
      <w:szCs w:val="22"/>
    </w:rPr>
  </w:style>
  <w:style w:type="paragraph" w:styleId="776" w:customStyle="1">
    <w:name w:val="Heading 9"/>
    <w:basedOn w:val="704"/>
    <w:next w:val="704"/>
    <w:link w:val="777"/>
    <w:uiPriority w:val="9"/>
    <w:unhideWhenUsed/>
    <w:qFormat/>
    <w:pPr>
      <w:keepLines/>
      <w:keepNext/>
      <w:spacing w:before="320" w:after="200"/>
      <w:outlineLvl w:val="8"/>
    </w:pPr>
    <w:rPr>
      <w:rFonts w:ascii="Arial" w:hAnsi="Arial" w:eastAsia="Arial" w:cs="Arial"/>
      <w:i/>
      <w:iCs/>
      <w:szCs w:val="21"/>
    </w:rPr>
  </w:style>
  <w:style w:type="character" w:styleId="777" w:customStyle="1">
    <w:name w:val="Heading 9 Char"/>
    <w:link w:val="776"/>
    <w:uiPriority w:val="9"/>
    <w:qFormat/>
    <w:rPr>
      <w:rFonts w:ascii="Arial" w:hAnsi="Arial" w:eastAsia="Arial" w:cs="Arial"/>
      <w:i/>
      <w:iCs/>
      <w:sz w:val="21"/>
      <w:szCs w:val="21"/>
    </w:rPr>
  </w:style>
  <w:style w:type="paragraph" w:styleId="778">
    <w:name w:val="List Paragraph"/>
    <w:basedOn w:val="704"/>
    <w:uiPriority w:val="34"/>
    <w:qFormat/>
    <w:pPr>
      <w:contextualSpacing/>
      <w:ind w:left="720"/>
      <w:jc w:val="left"/>
      <w:widowControl/>
    </w:pPr>
    <w:rPr>
      <w:rFonts w:ascii="Calibri" w:hAnsi="Calibri"/>
      <w:sz w:val="24"/>
      <w:szCs w:val="24"/>
      <w:lang w:eastAsia="en-US" w:bidi="en-US"/>
    </w:rPr>
  </w:style>
  <w:style w:type="paragraph" w:styleId="779">
    <w:name w:val="No Spacing"/>
    <w:uiPriority w:val="1"/>
    <w:qFormat/>
    <w:pPr>
      <w:jc w:val="both"/>
      <w:widowControl w:val="off"/>
    </w:pPr>
    <w:rPr>
      <w:rFonts w:ascii="Times New Roman" w:hAnsi="Times New Roman" w:eastAsia="宋体" w:cs="Times New Roman"/>
      <w:sz w:val="21"/>
      <w:szCs w:val="21"/>
      <w:lang w:val="en-US" w:eastAsia="zh-CN" w:bidi="ar-SA"/>
    </w:rPr>
  </w:style>
  <w:style w:type="character" w:styleId="780" w:customStyle="1">
    <w:name w:val="标题 Char"/>
    <w:link w:val="749"/>
    <w:uiPriority w:val="10"/>
    <w:rPr>
      <w:sz w:val="48"/>
      <w:szCs w:val="48"/>
    </w:rPr>
  </w:style>
  <w:style w:type="character" w:styleId="781" w:customStyle="1">
    <w:name w:val="副标题 Char"/>
    <w:link w:val="738"/>
    <w:uiPriority w:val="11"/>
    <w:rPr>
      <w:sz w:val="24"/>
      <w:szCs w:val="24"/>
    </w:rPr>
  </w:style>
  <w:style w:type="paragraph" w:styleId="782">
    <w:name w:val="Quote"/>
    <w:basedOn w:val="704"/>
    <w:next w:val="704"/>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704"/>
    <w:next w:val="704"/>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paragraph" w:styleId="786" w:customStyle="1">
    <w:name w:val="Header"/>
    <w:basedOn w:val="704"/>
    <w:link w:val="787"/>
    <w:uiPriority w:val="99"/>
    <w:unhideWhenUsed/>
    <w:qFormat/>
    <w:pPr>
      <w:tabs>
        <w:tab w:val="center" w:pos="7143" w:leader="none"/>
        <w:tab w:val="right" w:pos="14287" w:leader="none"/>
      </w:tabs>
    </w:pPr>
  </w:style>
  <w:style w:type="character" w:styleId="787" w:customStyle="1">
    <w:name w:val="Header Char"/>
    <w:link w:val="786"/>
    <w:uiPriority w:val="99"/>
    <w:qFormat/>
  </w:style>
  <w:style w:type="paragraph" w:styleId="788" w:customStyle="1">
    <w:name w:val="Footer"/>
    <w:basedOn w:val="704"/>
    <w:link w:val="791"/>
    <w:uiPriority w:val="99"/>
    <w:unhideWhenUsed/>
    <w:qFormat/>
    <w:pPr>
      <w:tabs>
        <w:tab w:val="center" w:pos="7143" w:leader="none"/>
        <w:tab w:val="right" w:pos="14287" w:leader="none"/>
      </w:tabs>
    </w:pPr>
  </w:style>
  <w:style w:type="character" w:styleId="789" w:customStyle="1">
    <w:name w:val="Footer Char"/>
    <w:link w:val="788"/>
    <w:uiPriority w:val="99"/>
    <w:qFormat/>
  </w:style>
  <w:style w:type="paragraph" w:styleId="790" w:customStyle="1">
    <w:name w:val="Caption"/>
    <w:basedOn w:val="704"/>
    <w:next w:val="704"/>
    <w:uiPriority w:val="35"/>
    <w:semiHidden/>
    <w:unhideWhenUsed/>
    <w:qFormat/>
    <w:pPr>
      <w:spacing w:line="276" w:lineRule="auto"/>
    </w:pPr>
    <w:rPr>
      <w:b/>
      <w:bCs/>
      <w:color w:val="4f81bd" w:themeColor="accent1"/>
      <w:sz w:val="18"/>
      <w:szCs w:val="18"/>
    </w:rPr>
  </w:style>
  <w:style w:type="character" w:styleId="791" w:customStyle="1">
    <w:name w:val="Caption Char"/>
    <w:link w:val="788"/>
    <w:uiPriority w:val="99"/>
    <w:qFormat/>
  </w:style>
  <w:style w:type="table" w:styleId="7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Char"/>
    <w:link w:val="740"/>
    <w:uiPriority w:val="99"/>
    <w:qFormat/>
    <w:rPr>
      <w:sz w:val="18"/>
    </w:rPr>
  </w:style>
  <w:style w:type="character" w:styleId="918" w:customStyle="1">
    <w:name w:val="尾注文本 Char"/>
    <w:link w:val="732"/>
    <w:uiPriority w:val="99"/>
    <w:qFormat/>
    <w:rPr>
      <w:sz w:val="20"/>
    </w:rPr>
  </w:style>
  <w:style w:type="paragraph" w:styleId="919" w:customStyle="1">
    <w:name w:val="TOC Heading"/>
    <w:uiPriority w:val="39"/>
    <w:unhideWhenUsed/>
    <w:qFormat/>
    <w:rPr>
      <w:rFonts w:ascii="Times New Roman" w:hAnsi="Times New Roman" w:eastAsia="宋体" w:cs="Times New Roman"/>
      <w:lang w:val="en-US" w:eastAsia="zh-CN" w:bidi="ar-SA"/>
    </w:rPr>
  </w:style>
  <w:style w:type="character" w:styleId="920" w:customStyle="1">
    <w:name w:val="正文文本 Char"/>
    <w:link w:val="717"/>
    <w:uiPriority w:val="99"/>
    <w:qFormat/>
    <w:rPr>
      <w:rFonts w:ascii="楷体_GB2312" w:hAnsi="Arial" w:eastAsia="楷体_GB2312" w:cs="Times New Roman"/>
      <w:sz w:val="28"/>
      <w:szCs w:val="28"/>
    </w:rPr>
  </w:style>
  <w:style w:type="character" w:styleId="921" w:customStyle="1">
    <w:name w:val="正文首行缩进 Char"/>
    <w:link w:val="716"/>
    <w:uiPriority w:val="99"/>
    <w:qFormat/>
    <w:rPr>
      <w:rFonts w:ascii="仿宋_GB2312" w:hAnsi="Times New Roman" w:eastAsia="仿宋_GB2312" w:cs="Times New Roman"/>
      <w:sz w:val="30"/>
      <w:szCs w:val="30"/>
    </w:rPr>
  </w:style>
  <w:style w:type="character" w:styleId="922" w:customStyle="1">
    <w:name w:val="标题 1 Char"/>
    <w:link w:val="705"/>
    <w:uiPriority w:val="0"/>
    <w:qFormat/>
    <w:rPr>
      <w:rFonts w:ascii="楷体_GB2312" w:hAnsi="Times New Roman" w:eastAsia="楷体_GB2312" w:cs="Times New Roman"/>
      <w:sz w:val="28"/>
      <w:szCs w:val="28"/>
    </w:rPr>
  </w:style>
  <w:style w:type="character" w:styleId="923" w:customStyle="1">
    <w:name w:val="标题 2 Char"/>
    <w:link w:val="706"/>
    <w:uiPriority w:val="0"/>
    <w:qFormat/>
    <w:rPr>
      <w:rFonts w:ascii="Arial" w:hAnsi="Arial" w:eastAsia="幼圆" w:cs="Arial"/>
      <w:b/>
      <w:bCs/>
      <w:sz w:val="44"/>
      <w:szCs w:val="44"/>
    </w:rPr>
  </w:style>
  <w:style w:type="character" w:styleId="924" w:customStyle="1">
    <w:name w:val="正文缩进 Char"/>
    <w:link w:val="718"/>
    <w:uiPriority w:val="0"/>
    <w:qFormat/>
    <w:rPr>
      <w:szCs w:val="21"/>
    </w:rPr>
  </w:style>
  <w:style w:type="character" w:styleId="925" w:customStyle="1">
    <w:name w:val="标题 3 Char"/>
    <w:link w:val="707"/>
    <w:uiPriority w:val="0"/>
    <w:qFormat/>
    <w:rPr>
      <w:rFonts w:ascii="Times New Roman" w:hAnsi="Times New Roman" w:eastAsia="宋体" w:cs="Times New Roman"/>
      <w:b/>
      <w:bCs/>
      <w:sz w:val="32"/>
      <w:szCs w:val="32"/>
    </w:rPr>
  </w:style>
  <w:style w:type="character" w:styleId="926" w:customStyle="1">
    <w:name w:val="标题 4 Char"/>
    <w:link w:val="708"/>
    <w:uiPriority w:val="0"/>
    <w:qFormat/>
    <w:rPr>
      <w:rFonts w:ascii="Arial" w:hAnsi="Arial" w:eastAsia="黑体" w:cs="Arial"/>
      <w:b/>
      <w:bCs/>
      <w:sz w:val="28"/>
      <w:szCs w:val="28"/>
    </w:rPr>
  </w:style>
  <w:style w:type="character" w:styleId="927" w:customStyle="1">
    <w:name w:val="标题 5 Char"/>
    <w:link w:val="709"/>
    <w:uiPriority w:val="0"/>
    <w:qFormat/>
    <w:rPr>
      <w:rFonts w:ascii="宋体" w:hAnsi="Times New Roman" w:eastAsia="宋体" w:cs="Times New Roman"/>
      <w:color w:val="000000"/>
      <w:sz w:val="28"/>
      <w:szCs w:val="28"/>
    </w:rPr>
  </w:style>
  <w:style w:type="character" w:styleId="928" w:customStyle="1">
    <w:name w:val="标题 6 Char"/>
    <w:link w:val="710"/>
    <w:uiPriority w:val="0"/>
    <w:qFormat/>
    <w:rPr>
      <w:rFonts w:ascii="Arial" w:hAnsi="Arial" w:eastAsia="黑体" w:cs="Times New Roman"/>
      <w:b/>
      <w:bCs/>
      <w:sz w:val="24"/>
      <w:szCs w:val="24"/>
    </w:rPr>
  </w:style>
  <w:style w:type="character" w:styleId="929" w:customStyle="1">
    <w:name w:val="标题 7 Char"/>
    <w:link w:val="711"/>
    <w:uiPriority w:val="0"/>
    <w:qFormat/>
    <w:rPr>
      <w:rFonts w:ascii="Times New Roman" w:hAnsi="Times New Roman" w:eastAsia="宋体" w:cs="Times New Roman"/>
      <w:b/>
      <w:bCs/>
      <w:sz w:val="24"/>
      <w:szCs w:val="24"/>
    </w:rPr>
  </w:style>
  <w:style w:type="character" w:styleId="930" w:customStyle="1">
    <w:name w:val="标题 8 Char"/>
    <w:link w:val="712"/>
    <w:uiPriority w:val="0"/>
    <w:qFormat/>
    <w:rPr>
      <w:rFonts w:ascii="Arial" w:hAnsi="Arial" w:eastAsia="黑体" w:cs="Times New Roman"/>
      <w:sz w:val="24"/>
      <w:szCs w:val="24"/>
    </w:rPr>
  </w:style>
  <w:style w:type="character" w:styleId="931" w:customStyle="1">
    <w:name w:val="标题 9 Char"/>
    <w:link w:val="713"/>
    <w:uiPriority w:val="0"/>
    <w:qFormat/>
    <w:rPr>
      <w:rFonts w:ascii="Arial" w:hAnsi="Arial" w:eastAsia="黑体" w:cs="Times New Roman"/>
      <w:szCs w:val="21"/>
    </w:rPr>
  </w:style>
  <w:style w:type="character" w:styleId="932" w:customStyle="1">
    <w:name w:val="文档结构图 Char"/>
    <w:link w:val="721"/>
    <w:uiPriority w:val="0"/>
    <w:semiHidden/>
    <w:qFormat/>
    <w:rPr>
      <w:rFonts w:ascii="Times New Roman" w:hAnsi="Times New Roman" w:eastAsia="宋体" w:cs="Times New Roman"/>
      <w:szCs w:val="21"/>
      <w:shd w:val="clear" w:color="auto" w:fill="000080"/>
    </w:rPr>
  </w:style>
  <w:style w:type="character" w:styleId="933" w:customStyle="1">
    <w:name w:val="批注文字 Char"/>
    <w:link w:val="722"/>
    <w:uiPriority w:val="99"/>
    <w:semiHidden/>
    <w:qFormat/>
  </w:style>
  <w:style w:type="character" w:styleId="934" w:customStyle="1">
    <w:name w:val="正文文本 3 Char"/>
    <w:link w:val="723"/>
    <w:uiPriority w:val="0"/>
    <w:qFormat/>
    <w:rPr>
      <w:rFonts w:ascii="仿宋_GB2312" w:hAnsi="Arial" w:eastAsia="仿宋_GB2312" w:cs="Times New Roman"/>
      <w:sz w:val="32"/>
      <w:szCs w:val="32"/>
    </w:rPr>
  </w:style>
  <w:style w:type="character" w:styleId="935" w:customStyle="1">
    <w:name w:val="正文文本缩进 Char"/>
    <w:link w:val="724"/>
    <w:uiPriority w:val="99"/>
    <w:semiHidden/>
    <w:qFormat/>
  </w:style>
  <w:style w:type="character" w:styleId="936" w:customStyle="1">
    <w:name w:val="纯文本 Char"/>
    <w:link w:val="728"/>
    <w:uiPriority w:val="0"/>
    <w:qFormat/>
    <w:rPr>
      <w:rFonts w:ascii="宋体" w:hAnsi="Courier New" w:eastAsia="宋体" w:cs="Courier New"/>
      <w:szCs w:val="21"/>
    </w:rPr>
  </w:style>
  <w:style w:type="character" w:styleId="937" w:customStyle="1">
    <w:name w:val="日期 Char"/>
    <w:link w:val="730"/>
    <w:uiPriority w:val="0"/>
    <w:qFormat/>
    <w:rPr>
      <w:rFonts w:ascii="Times New Roman" w:hAnsi="Times New Roman" w:eastAsia="宋体" w:cs="Times New Roman"/>
      <w:sz w:val="24"/>
      <w:szCs w:val="24"/>
    </w:rPr>
  </w:style>
  <w:style w:type="character" w:styleId="938" w:customStyle="1">
    <w:name w:val="正文文本缩进 2 Char"/>
    <w:link w:val="731"/>
    <w:uiPriority w:val="0"/>
    <w:qFormat/>
    <w:rPr>
      <w:rFonts w:ascii="Arial" w:hAnsi="Arial" w:eastAsia="仿宋_GB2312" w:cs="Arial"/>
      <w:sz w:val="32"/>
      <w:szCs w:val="32"/>
    </w:rPr>
  </w:style>
  <w:style w:type="character" w:styleId="939" w:customStyle="1">
    <w:name w:val="批注框文本 Char"/>
    <w:link w:val="733"/>
    <w:uiPriority w:val="99"/>
    <w:semiHidden/>
    <w:qFormat/>
    <w:rPr>
      <w:rFonts w:ascii="Times New Roman" w:hAnsi="Times New Roman" w:eastAsia="宋体" w:cs="Times New Roman"/>
      <w:sz w:val="18"/>
      <w:szCs w:val="18"/>
    </w:rPr>
  </w:style>
  <w:style w:type="character" w:styleId="940" w:customStyle="1">
    <w:name w:val="页脚 Char"/>
    <w:link w:val="734"/>
    <w:uiPriority w:val="99"/>
    <w:qFormat/>
    <w:rPr>
      <w:rFonts w:ascii="Times New Roman" w:hAnsi="Times New Roman" w:eastAsia="宋体" w:cs="Times New Roman"/>
      <w:sz w:val="18"/>
      <w:szCs w:val="18"/>
    </w:rPr>
  </w:style>
  <w:style w:type="character" w:styleId="941" w:customStyle="1">
    <w:name w:val="页眉 Char"/>
    <w:link w:val="735"/>
    <w:uiPriority w:val="99"/>
    <w:qFormat/>
    <w:rPr>
      <w:rFonts w:ascii="Times New Roman" w:hAnsi="Times New Roman" w:eastAsia="宋体" w:cs="Times New Roman"/>
      <w:sz w:val="18"/>
      <w:szCs w:val="18"/>
    </w:rPr>
  </w:style>
  <w:style w:type="character" w:styleId="942" w:customStyle="1">
    <w:name w:val="正文文本缩进 3 Char"/>
    <w:link w:val="742"/>
    <w:uiPriority w:val="0"/>
    <w:qFormat/>
    <w:rPr>
      <w:rFonts w:ascii="Arial" w:hAnsi="Arial" w:eastAsia="仿宋_GB2312" w:cs="Arial"/>
      <w:color w:val="ffff00"/>
      <w:sz w:val="32"/>
      <w:szCs w:val="32"/>
    </w:rPr>
  </w:style>
  <w:style w:type="character" w:styleId="943" w:customStyle="1">
    <w:name w:val="正文文本 2 Char"/>
    <w:link w:val="746"/>
    <w:uiPriority w:val="0"/>
    <w:qFormat/>
    <w:rPr>
      <w:rFonts w:ascii="楷体_GB2312" w:hAnsi="Times New Roman" w:eastAsia="楷体_GB2312" w:cs="Times New Roman"/>
      <w:sz w:val="28"/>
      <w:szCs w:val="28"/>
    </w:rPr>
  </w:style>
  <w:style w:type="character" w:styleId="944" w:customStyle="1">
    <w:name w:val="批注主题 Char"/>
    <w:link w:val="750"/>
    <w:uiPriority w:val="0"/>
    <w:semiHidden/>
    <w:qFormat/>
    <w:rPr>
      <w:rFonts w:ascii="Times New Roman" w:hAnsi="Times New Roman" w:eastAsia="宋体" w:cs="Times New Roman"/>
      <w:b/>
      <w:bCs/>
      <w:szCs w:val="21"/>
    </w:rPr>
  </w:style>
  <w:style w:type="character" w:styleId="945" w:customStyle="1">
    <w:name w:val="正文首行缩进 2 Char"/>
    <w:link w:val="751"/>
    <w:uiPriority w:val="0"/>
    <w:qFormat/>
    <w:rPr>
      <w:rFonts w:ascii="宋体" w:hAnsi="宋体" w:eastAsia="宋体" w:cs="Times New Roman"/>
      <w:szCs w:val="20"/>
    </w:rPr>
  </w:style>
  <w:style w:type="character" w:styleId="946" w:customStyle="1">
    <w:name w:val="font5 Char"/>
    <w:uiPriority w:val="0"/>
    <w:qFormat/>
    <w:rPr>
      <w:rFonts w:ascii="宋体" w:hAnsi="宋体" w:eastAsia="宋体"/>
      <w:sz w:val="28"/>
      <w:szCs w:val="28"/>
      <w:lang w:val="en-US" w:eastAsia="zh-CN" w:bidi="ar-SA"/>
    </w:rPr>
  </w:style>
  <w:style w:type="character" w:styleId="947" w:customStyle="1">
    <w:name w:val="二级目录 Char"/>
    <w:link w:val="948"/>
    <w:uiPriority w:val="0"/>
    <w:qFormat/>
    <w:rPr>
      <w:b/>
      <w:sz w:val="30"/>
      <w:szCs w:val="28"/>
      <w:lang w:val="en-US" w:eastAsia="zh-CN" w:bidi="ar-SA"/>
    </w:rPr>
  </w:style>
  <w:style w:type="paragraph" w:styleId="948" w:customStyle="1">
    <w:name w:val="二级目录"/>
    <w:next w:val="704"/>
    <w:link w:val="94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704"/>
    <w:link w:val="949"/>
    <w:uiPriority w:val="0"/>
    <w:qFormat/>
    <w:pPr>
      <w:contextualSpacing/>
      <w:ind w:left="720"/>
      <w:jc w:val="left"/>
      <w:widowControl/>
    </w:pPr>
    <w:rPr>
      <w:rFonts w:ascii="Calibri" w:hAnsi="Calibri"/>
      <w:sz w:val="24"/>
      <w:szCs w:val="24"/>
      <w:lang w:eastAsia="en-US" w:bidi="en-US"/>
    </w:rPr>
  </w:style>
  <w:style w:type="paragraph" w:styleId="951" w:customStyle="1">
    <w:name w:val="Body Text(ch)"/>
    <w:basedOn w:val="704"/>
    <w:next w:val="717"/>
    <w:uiPriority w:val="0"/>
    <w:qFormat/>
    <w:pPr>
      <w:spacing w:after="120"/>
    </w:pPr>
    <w:rPr>
      <w:rFonts w:ascii="宋体" w:hAnsi="Arial"/>
      <w:bCs/>
      <w:iCs/>
      <w:szCs w:val="24"/>
    </w:rPr>
  </w:style>
  <w:style w:type="paragraph" w:styleId="952"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4" w:customStyle="1">
    <w:name w:val="Char"/>
    <w:basedOn w:val="704"/>
    <w:uiPriority w:val="0"/>
    <w:qFormat/>
    <w:pPr>
      <w:ind w:firstLine="200"/>
      <w:tabs>
        <w:tab w:val="left" w:pos="360" w:leader="none"/>
      </w:tabs>
    </w:pPr>
    <w:rPr>
      <w:sz w:val="28"/>
      <w:szCs w:val="30"/>
    </w:rPr>
  </w:style>
  <w:style w:type="paragraph" w:styleId="955" w:customStyle="1">
    <w:name w:val="Char1"/>
    <w:basedOn w:val="721"/>
    <w:uiPriority w:val="0"/>
    <w:qFormat/>
    <w:rPr>
      <w:rFonts w:ascii="Tahoma" w:hAnsi="Tahoma"/>
      <w:sz w:val="24"/>
      <w:szCs w:val="24"/>
    </w:rPr>
  </w:style>
  <w:style w:type="paragraph" w:styleId="956"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57" w:customStyle="1">
    <w:name w:val="table_lines"/>
    <w:basedOn w:val="704"/>
    <w:uiPriority w:val="0"/>
    <w:qFormat/>
    <w:pPr>
      <w:jc w:val="left"/>
      <w:widowControl/>
    </w:pPr>
    <w:rPr>
      <w:sz w:val="20"/>
      <w:szCs w:val="20"/>
      <w:lang w:val="de-DE" w:eastAsia="de-DE"/>
    </w:rPr>
  </w:style>
  <w:style w:type="paragraph" w:styleId="95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9"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60" w:customStyle="1">
    <w:name w:val="Char Char Char Char"/>
    <w:basedOn w:val="721"/>
    <w:uiPriority w:val="0"/>
    <w:qFormat/>
    <w:pPr>
      <w:spacing w:line="360" w:lineRule="auto"/>
    </w:pPr>
    <w:rPr>
      <w:rFonts w:ascii="Tahoma" w:hAnsi="Tahoma"/>
      <w:sz w:val="24"/>
      <w:szCs w:val="24"/>
    </w:rPr>
  </w:style>
  <w:style w:type="paragraph" w:styleId="961" w:customStyle="1">
    <w:name w:val="4"/>
    <w:basedOn w:val="704"/>
    <w:next w:val="742"/>
    <w:uiPriority w:val="0"/>
    <w:qFormat/>
    <w:pPr>
      <w:ind w:firstLine="420"/>
      <w:spacing w:line="360" w:lineRule="auto"/>
    </w:pPr>
    <w:rPr>
      <w:color w:val="ff0000"/>
      <w:sz w:val="24"/>
      <w:szCs w:val="24"/>
    </w:rPr>
  </w:style>
  <w:style w:type="paragraph" w:styleId="962"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63" w:customStyle="1">
    <w:name w:val="Char Char Char Char Char Char Char Char Char Char"/>
    <w:basedOn w:val="704"/>
    <w:uiPriority w:val="0"/>
    <w:qFormat/>
    <w:pPr>
      <w:spacing w:line="360" w:lineRule="auto"/>
    </w:pPr>
    <w:rPr>
      <w:sz w:val="24"/>
      <w:szCs w:val="20"/>
    </w:rPr>
  </w:style>
  <w:style w:type="paragraph" w:styleId="964" w:customStyle="1">
    <w:name w:val="样式1"/>
    <w:basedOn w:val="704"/>
    <w:uiPriority w:val="0"/>
    <w:qFormat/>
    <w:pPr>
      <w:numPr>
        <w:ilvl w:val="0"/>
        <w:numId w:val="3"/>
      </w:numPr>
    </w:pPr>
    <w:rPr>
      <w:rFonts w:ascii="宋体" w:hAnsi="宋体"/>
      <w:szCs w:val="21"/>
    </w:rPr>
  </w:style>
  <w:style w:type="paragraph" w:styleId="965"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704"/>
    <w:next w:val="704"/>
    <w:uiPriority w:val="0"/>
    <w:pPr>
      <w:ind w:firstLine="624"/>
      <w:spacing w:line="590" w:lineRule="atLeast"/>
    </w:pPr>
    <w:rPr>
      <w:rFonts w:ascii="方正黑体_GBK" w:eastAsia="方正黑体_GBK"/>
      <w:sz w:val="32"/>
      <w:szCs w:val="32"/>
    </w:rPr>
  </w:style>
  <w:style w:type="paragraph" w:styleId="969" w:customStyle="1">
    <w:name w:val="xl24"/>
    <w:basedOn w:val="70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9"/>
    <w:basedOn w:val="70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1"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2" w:customStyle="1">
    <w:name w:val="xl28"/>
    <w:basedOn w:val="70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3" w:customStyle="1">
    <w:name w:val="Char Char Char Char Char Char Char Char1"/>
    <w:basedOn w:val="704"/>
    <w:uiPriority w:val="0"/>
    <w:pPr>
      <w:jc w:val="left"/>
      <w:spacing w:after="160" w:line="240" w:lineRule="exact"/>
      <w:widowControl/>
    </w:pPr>
    <w:rPr>
      <w:rFonts w:ascii="Verdana" w:hAnsi="Verdana"/>
      <w:sz w:val="20"/>
      <w:szCs w:val="20"/>
      <w:lang w:eastAsia="en-US"/>
    </w:rPr>
  </w:style>
  <w:style w:type="paragraph" w:styleId="974" w:customStyle="1">
    <w:name w:val="xl30"/>
    <w:basedOn w:val="704"/>
    <w:uiPriority w:val="0"/>
    <w:pPr>
      <w:jc w:val="center"/>
      <w:spacing w:before="100" w:beforeAutospacing="1" w:after="100" w:afterAutospacing="1"/>
      <w:widowControl/>
    </w:pPr>
    <w:rPr>
      <w:rFonts w:ascii="宋体" w:hAnsi="宋体"/>
      <w:b/>
      <w:bCs/>
      <w:sz w:val="36"/>
      <w:szCs w:val="36"/>
    </w:rPr>
  </w:style>
  <w:style w:type="paragraph" w:styleId="975" w:customStyle="1">
    <w:name w:val="Char Char Char Char1"/>
    <w:basedOn w:val="721"/>
    <w:uiPriority w:val="0"/>
    <w:pPr>
      <w:spacing w:line="360" w:lineRule="auto"/>
    </w:pPr>
    <w:rPr>
      <w:rFonts w:ascii="Tahoma" w:hAnsi="Tahoma"/>
      <w:sz w:val="24"/>
      <w:szCs w:val="24"/>
    </w:rPr>
  </w:style>
  <w:style w:type="paragraph" w:styleId="976" w:customStyle="1">
    <w:name w:val="table_1stline"/>
    <w:basedOn w:val="704"/>
    <w:uiPriority w:val="0"/>
    <w:qFormat/>
    <w:pPr>
      <w:jc w:val="left"/>
      <w:spacing w:before="120"/>
      <w:widowControl/>
    </w:pPr>
    <w:rPr>
      <w:bCs/>
      <w:sz w:val="20"/>
      <w:szCs w:val="20"/>
      <w:lang w:val="de-DE" w:eastAsia="de-DE"/>
    </w:rPr>
  </w:style>
  <w:style w:type="paragraph" w:styleId="977"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978" w:customStyle="1">
    <w:name w:val="标题1"/>
    <w:basedOn w:val="704"/>
    <w:next w:val="70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Revision"/>
    <w:uiPriority w:val="99"/>
    <w:qFormat/>
    <w:rPr>
      <w:rFonts w:ascii="Times New Roman" w:hAnsi="Times New Roman" w:eastAsia="宋体" w:cs="Times New Roman"/>
      <w:sz w:val="21"/>
      <w:szCs w:val="21"/>
      <w:lang w:val="en-US" w:eastAsia="zh-CN" w:bidi="ar-SA"/>
    </w:rPr>
  </w:style>
  <w:style w:type="paragraph" w:styleId="980" w:customStyle="1">
    <w:name w:val="引文目录标题1"/>
    <w:basedOn w:val="704"/>
    <w:next w:val="704"/>
    <w:uiPriority w:val="0"/>
    <w:qFormat/>
    <w:pPr>
      <w:spacing w:before="120"/>
    </w:pPr>
    <w:rPr>
      <w:rFonts w:ascii="Arial" w:hAnsi="Arial"/>
      <w:sz w:val="24"/>
    </w:rPr>
  </w:style>
  <w:style w:type="paragraph" w:styleId="981" w:customStyle="1">
    <w:name w:val="段"/>
    <w:next w:val="704"/>
    <w:uiPriority w:val="0"/>
    <w:qFormat/>
    <w:pPr>
      <w:ind w:firstLine="200"/>
      <w:jc w:val="both"/>
    </w:pPr>
    <w:rPr>
      <w:rFonts w:ascii="宋体" w:hAnsi="Times New Roman" w:eastAsia="Times New Roman" w:cs="Times New Roman"/>
      <w:sz w:val="21"/>
      <w:lang w:val="en-US" w:eastAsia="zh-CN" w:bidi="ar-SA"/>
    </w:rPr>
  </w:style>
  <w:style w:type="character" w:styleId="982" w:customStyle="1">
    <w:name w:val="超链接1"/>
    <w:uiPriority w:val="0"/>
    <w:qFormat/>
    <w:rPr>
      <w:rFonts w:ascii="Times New Roman" w:hAnsi="Times New Roman" w:eastAsia="宋体" w:cs="Times New Roman"/>
      <w:sz w:val="21"/>
      <w:szCs w:val="24"/>
      <w:lang w:val="en-US" w:eastAsia="zh-CN" w:bidi="ar-SA"/>
    </w:rPr>
  </w:style>
  <w:style w:type="paragraph" w:styleId="983" w:customStyle="1">
    <w:name w:val="正文首行缩进1"/>
    <w:basedOn w:val="984"/>
    <w:uiPriority w:val="0"/>
    <w:qFormat/>
    <w:pPr>
      <w:ind w:firstLine="200"/>
      <w:spacing w:line="360" w:lineRule="auto"/>
    </w:pPr>
    <w:rPr>
      <w:rFonts w:ascii="仿宋_GB2312" w:hAnsi="Times New Roman" w:eastAsia="仿宋_GB2312"/>
      <w:sz w:val="30"/>
      <w:szCs w:val="30"/>
    </w:rPr>
  </w:style>
  <w:style w:type="paragraph" w:styleId="984" w:customStyle="1">
    <w:name w:val="正文文本1"/>
    <w:basedOn w:val="704"/>
    <w:next w:val="704"/>
    <w:uiPriority w:val="0"/>
    <w:qFormat/>
    <w:rPr>
      <w:rFonts w:ascii="楷体_GB2312" w:hAnsi="Arial" w:eastAsia="楷体_GB2312"/>
      <w:sz w:val="28"/>
      <w:szCs w:val="28"/>
      <w:lang w:eastAsia="en-US"/>
    </w:rPr>
  </w:style>
  <w:style w:type="paragraph" w:styleId="985" w:customStyle="1">
    <w:name w:val="正文缩进2格"/>
    <w:basedOn w:val="704"/>
    <w:uiPriority w:val="0"/>
    <w:qFormat/>
    <w:pPr>
      <w:ind w:firstLine="639"/>
      <w:spacing w:line="600" w:lineRule="exact"/>
    </w:pPr>
    <w:rPr>
      <w:rFonts w:ascii="仿宋_GB2312" w:hAnsi="宋体" w:eastAsia="仿宋_GB2312"/>
      <w:sz w:val="31"/>
      <w:szCs w:val="28"/>
      <w:lang w:eastAsia="en-US"/>
    </w:rPr>
  </w:style>
  <w:style w:type="paragraph" w:styleId="9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987" w:customStyle="1">
    <w:name w:val="Table Normal"/>
    <w:uiPriority w:val="0"/>
    <w:semiHidden/>
    <w:unhideWhenUsed/>
    <w:qFormat/>
    <w:tblPr>
      <w:tblCellMar>
        <w:left w:w="0" w:type="dxa"/>
        <w:top w:w="0" w:type="dxa"/>
        <w:right w:w="0" w:type="dxa"/>
        <w:bottom w:w="0" w:type="dxa"/>
      </w:tblCellMar>
    </w:tblPr>
  </w:style>
  <w:style w:type="paragraph" w:styleId="988" w:customStyle="1">
    <w:name w:val="*正文"/>
    <w:basedOn w:val="704"/>
    <w:uiPriority w:val="99"/>
    <w:qFormat/>
    <w:pPr>
      <w:ind w:firstLine="482"/>
      <w:spacing w:line="360" w:lineRule="auto"/>
    </w:pPr>
    <w:rPr>
      <w:rFonts w:eastAsia="仿宋_GB2312"/>
      <w:sz w:val="28"/>
    </w:rPr>
  </w:style>
  <w:style w:type="table" w:styleId="989" w:customStyle="1">
    <w:name w:val="Grid Table 6 Colorful - Accent 31"/>
    <w:uiPriority w:val="99"/>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0"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1" w:customStyle="1">
    <w:name w:val="Table Grid Light1"/>
    <w:basedOn w:val="715"/>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2" w:customStyle="1">
    <w:name w:val="Plain Table 11"/>
    <w:basedOn w:val="715"/>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Plain Table 21"/>
    <w:basedOn w:val="715"/>
    <w:uiPriority w:val="59"/>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31"/>
    <w:basedOn w:val="715"/>
    <w:uiPriority w:val="99"/>
    <w:rPr>
      <w:rFonts w:ascii="Calibri" w:hAnsi="Calibri"/>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Plain Table 41"/>
    <w:basedOn w:val="715"/>
    <w:uiPriority w:val="99"/>
    <w:rPr>
      <w:rFonts w:ascii="Calibri" w:hAnsi="Calibri"/>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Plain Table 51"/>
    <w:basedOn w:val="715"/>
    <w:uiPriority w:val="99"/>
    <w:qFormat/>
    <w:rPr>
      <w:rFonts w:ascii="Calibri" w:hAnsi="Calibri"/>
    </w:rPr>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Grid Table 1 Light1"/>
    <w:basedOn w:val="715"/>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98" w:customStyle="1">
    <w:name w:val="Grid Table 1 Light - Accent 11"/>
    <w:basedOn w:val="715"/>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99" w:customStyle="1">
    <w:name w:val="Grid Table 1 Light - Accent 21"/>
    <w:basedOn w:val="715"/>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00" w:customStyle="1">
    <w:name w:val="Grid Table 1 Light - Accent 31"/>
    <w:basedOn w:val="715"/>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01" w:customStyle="1">
    <w:name w:val="Grid Table 1 Light - Accent 41"/>
    <w:basedOn w:val="715"/>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02" w:customStyle="1">
    <w:name w:val="Grid Table 1 Light - Accent 51"/>
    <w:basedOn w:val="715"/>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03" w:customStyle="1">
    <w:name w:val="Grid Table 1 Light - Accent 61"/>
    <w:basedOn w:val="715"/>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04" w:customStyle="1">
    <w:name w:val="Grid Table 21"/>
    <w:basedOn w:val="715"/>
    <w:uiPriority w:val="99"/>
    <w:qFormat/>
    <w:rPr>
      <w:rFonts w:ascii="Calibri" w:hAnsi="Calibri"/>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05" w:customStyle="1">
    <w:name w:val="Grid Table 2 - Accent 11"/>
    <w:basedOn w:val="715"/>
    <w:uiPriority w:val="99"/>
    <w:qFormat/>
    <w:rPr>
      <w:rFonts w:ascii="Calibri" w:hAnsi="Calibri"/>
    </w:rPr>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06" w:customStyle="1">
    <w:name w:val="Grid Table 2 - Accent 21"/>
    <w:basedOn w:val="715"/>
    <w:uiPriority w:val="99"/>
    <w:rPr>
      <w:rFonts w:ascii="Calibri" w:hAnsi="Calibri"/>
    </w:rPr>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07" w:customStyle="1">
    <w:name w:val="Grid Table 2 - Accent 31"/>
    <w:basedOn w:val="715"/>
    <w:uiPriority w:val="99"/>
    <w:qFormat/>
    <w:rPr>
      <w:rFonts w:ascii="Calibri" w:hAnsi="Calibri"/>
    </w:rPr>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08" w:customStyle="1">
    <w:name w:val="Grid Table 2 - Accent 41"/>
    <w:basedOn w:val="715"/>
    <w:uiPriority w:val="99"/>
    <w:qFormat/>
    <w:rPr>
      <w:rFonts w:ascii="Calibri" w:hAnsi="Calibri"/>
    </w:rPr>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09" w:customStyle="1">
    <w:name w:val="Grid Table 2 - Accent 51"/>
    <w:basedOn w:val="715"/>
    <w:uiPriority w:val="99"/>
    <w:rPr>
      <w:rFonts w:ascii="Calibri" w:hAnsi="Calibri"/>
    </w:rPr>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10" w:customStyle="1">
    <w:name w:val="Grid Table 2 - Accent 61"/>
    <w:basedOn w:val="715"/>
    <w:uiPriority w:val="99"/>
    <w:rPr>
      <w:rFonts w:ascii="Calibri" w:hAnsi="Calibri"/>
    </w:rPr>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11" w:customStyle="1">
    <w:name w:val="Grid Table 31"/>
    <w:basedOn w:val="715"/>
    <w:uiPriority w:val="99"/>
    <w:qFormat/>
    <w:rPr>
      <w:rFonts w:ascii="Calibri" w:hAnsi="Calibri"/>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1"/>
    <w:basedOn w:val="715"/>
    <w:uiPriority w:val="99"/>
    <w:qFormat/>
    <w:rPr>
      <w:rFonts w:ascii="Calibri" w:hAnsi="Calibri"/>
    </w:rPr>
    <w:tblPr>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1"/>
    <w:basedOn w:val="715"/>
    <w:uiPriority w:val="99"/>
    <w:qFormat/>
    <w:rPr>
      <w:rFonts w:ascii="Calibri" w:hAnsi="Calibri"/>
    </w:rPr>
    <w:tblPr>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1"/>
    <w:basedOn w:val="715"/>
    <w:uiPriority w:val="99"/>
    <w:qFormat/>
    <w:rPr>
      <w:rFonts w:ascii="Calibri" w:hAnsi="Calibri"/>
    </w:rPr>
    <w:tblPr>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1"/>
    <w:basedOn w:val="715"/>
    <w:uiPriority w:val="99"/>
    <w:qFormat/>
    <w:rPr>
      <w:rFonts w:ascii="Calibri" w:hAnsi="Calibri"/>
    </w:rPr>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1"/>
    <w:basedOn w:val="715"/>
    <w:uiPriority w:val="99"/>
    <w:qFormat/>
    <w:rPr>
      <w:rFonts w:ascii="Calibri" w:hAnsi="Calibri"/>
    </w:rPr>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1"/>
    <w:basedOn w:val="715"/>
    <w:uiPriority w:val="99"/>
    <w:qFormat/>
    <w:rPr>
      <w:rFonts w:ascii="Calibri" w:hAnsi="Calibri"/>
    </w:rPr>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1"/>
    <w:basedOn w:val="715"/>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19" w:customStyle="1">
    <w:name w:val="Grid Table 4 - Accent 11"/>
    <w:basedOn w:val="715"/>
    <w:uiPriority w:val="59"/>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20" w:customStyle="1">
    <w:name w:val="Grid Table 4 - Accent 21"/>
    <w:basedOn w:val="715"/>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21" w:customStyle="1">
    <w:name w:val="Grid Table 4 - Accent 31"/>
    <w:basedOn w:val="715"/>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22" w:customStyle="1">
    <w:name w:val="Grid Table 4 - Accent 41"/>
    <w:basedOn w:val="715"/>
    <w:uiPriority w:val="59"/>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23" w:customStyle="1">
    <w:name w:val="Grid Table 4 - Accent 51"/>
    <w:basedOn w:val="715"/>
    <w:uiPriority w:val="59"/>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24" w:customStyle="1">
    <w:name w:val="Grid Table 4 - Accent 61"/>
    <w:basedOn w:val="715"/>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25" w:customStyle="1">
    <w:name w:val="Grid Table 5 Dark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26" w:customStyle="1">
    <w:name w:val="Grid Table 5 Dark- Accent 11"/>
    <w:basedOn w:val="715"/>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27" w:customStyle="1">
    <w:name w:val="Grid Table 5 Dark - Accent 2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28" w:customStyle="1">
    <w:name w:val="Grid Table 5 Dark - Accent 31"/>
    <w:basedOn w:val="715"/>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29" w:customStyle="1">
    <w:name w:val="Grid Table 5 Dark- Accent 4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30" w:customStyle="1">
    <w:name w:val="Grid Table 5 Dark - Accent 5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31" w:customStyle="1">
    <w:name w:val="Grid Table 5 Dark - Accent 61"/>
    <w:basedOn w:val="715"/>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32" w:customStyle="1">
    <w:name w:val="Grid Table 6 Colorful1"/>
    <w:basedOn w:val="715"/>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33" w:customStyle="1">
    <w:name w:val="Grid Table 6 Colorful - Accent 11"/>
    <w:basedOn w:val="715"/>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34" w:customStyle="1">
    <w:name w:val="Grid Table 6 Colorful - Accent 21"/>
    <w:basedOn w:val="715"/>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035" w:customStyle="1">
    <w:name w:val="Grid Table 6 Colorful - Accent 32"/>
    <w:basedOn w:val="715"/>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036" w:customStyle="1">
    <w:name w:val="Grid Table 6 Colorful - Accent 41"/>
    <w:basedOn w:val="715"/>
    <w:uiPriority w:val="99"/>
    <w:qFormat/>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037" w:customStyle="1">
    <w:name w:val="Grid Table 6 Colorful - Accent 51"/>
    <w:basedOn w:val="715"/>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038" w:customStyle="1">
    <w:name w:val="Grid Table 6 Colorful - Accent 61"/>
    <w:basedOn w:val="715"/>
    <w:uiPriority w:val="99"/>
    <w:qFormat/>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039" w:customStyle="1">
    <w:name w:val="Grid Table 7 Colorful1"/>
    <w:basedOn w:val="715"/>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40" w:customStyle="1">
    <w:name w:val="Grid Table 7 Colorful - Accent 11"/>
    <w:basedOn w:val="715"/>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1" w:customStyle="1">
    <w:name w:val="Grid Table 7 Colorful - Accent 21"/>
    <w:basedOn w:val="715"/>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42" w:customStyle="1">
    <w:name w:val="Grid Table 7 Colorful - Accent 31"/>
    <w:basedOn w:val="715"/>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43" w:customStyle="1">
    <w:name w:val="Grid Table 7 Colorful - Accent 41"/>
    <w:basedOn w:val="715"/>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44" w:customStyle="1">
    <w:name w:val="Grid Table 7 Colorful - Accent 51"/>
    <w:basedOn w:val="715"/>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45" w:customStyle="1">
    <w:name w:val="Grid Table 7 Colorful - Accent 61"/>
    <w:basedOn w:val="715"/>
    <w:uiPriority w:val="99"/>
    <w:qFormat/>
    <w:rPr>
      <w:rFonts w:ascii="Calibri" w:hAnsi="Calibri"/>
    </w:rPr>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46" w:customStyle="1">
    <w:name w:val="List Table 1 Light1"/>
    <w:basedOn w:val="715"/>
    <w:uiPriority w:val="99"/>
    <w:qFormat/>
    <w:rPr>
      <w:rFonts w:ascii="Calibri" w:hAnsi="Calibri"/>
    </w:rPr>
    <w:tblPr>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47" w:customStyle="1">
    <w:name w:val="List Table 1 Light - Accent 11"/>
    <w:basedOn w:val="715"/>
    <w:uiPriority w:val="99"/>
    <w:qFormat/>
    <w:rPr>
      <w:rFonts w:ascii="Calibri" w:hAnsi="Calibri"/>
    </w:rPr>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48" w:customStyle="1">
    <w:name w:val="List Table 1 Light - Accent 21"/>
    <w:basedOn w:val="715"/>
    <w:uiPriority w:val="99"/>
    <w:qFormat/>
    <w:rPr>
      <w:rFonts w:ascii="Calibri" w:hAnsi="Calibri"/>
    </w:rPr>
    <w:tblPr>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49" w:customStyle="1">
    <w:name w:val="List Table 1 Light - Accent 31"/>
    <w:basedOn w:val="715"/>
    <w:uiPriority w:val="99"/>
    <w:qFormat/>
    <w:rPr>
      <w:rFonts w:ascii="Calibri" w:hAnsi="Calibri"/>
    </w:rPr>
    <w:tblPr>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50" w:customStyle="1">
    <w:name w:val="List Table 1 Light - Accent 41"/>
    <w:basedOn w:val="715"/>
    <w:uiPriority w:val="99"/>
    <w:qFormat/>
    <w:rPr>
      <w:rFonts w:ascii="Calibri" w:hAnsi="Calibri"/>
    </w:rPr>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51" w:customStyle="1">
    <w:name w:val="List Table 1 Light - Accent 51"/>
    <w:basedOn w:val="715"/>
    <w:uiPriority w:val="99"/>
    <w:qFormat/>
    <w:rPr>
      <w:rFonts w:ascii="Calibri" w:hAnsi="Calibri"/>
    </w:rPr>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52" w:customStyle="1">
    <w:name w:val="List Table 1 Light - Accent 61"/>
    <w:basedOn w:val="715"/>
    <w:uiPriority w:val="99"/>
    <w:qFormat/>
    <w:rPr>
      <w:rFonts w:ascii="Calibri" w:hAnsi="Calibri"/>
    </w:rPr>
    <w:tblPr>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53" w:customStyle="1">
    <w:name w:val="List Table 21"/>
    <w:basedOn w:val="715"/>
    <w:uiPriority w:val="99"/>
    <w:qFormat/>
    <w:rPr>
      <w:rFonts w:ascii="Calibri" w:hAnsi="Calibri"/>
    </w:rPr>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54" w:customStyle="1">
    <w:name w:val="List Table 2 - Accent 11"/>
    <w:basedOn w:val="715"/>
    <w:uiPriority w:val="99"/>
    <w:qFormat/>
    <w:rPr>
      <w:rFonts w:ascii="Calibri" w:hAnsi="Calibri"/>
    </w:rPr>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55" w:customStyle="1">
    <w:name w:val="List Table 2 - Accent 21"/>
    <w:basedOn w:val="715"/>
    <w:uiPriority w:val="99"/>
    <w:qFormat/>
    <w:rPr>
      <w:rFonts w:ascii="Calibri" w:hAnsi="Calibri"/>
    </w:rPr>
    <w:tblPr>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056" w:customStyle="1">
    <w:name w:val="List Table 2 - Accent 31"/>
    <w:basedOn w:val="715"/>
    <w:uiPriority w:val="99"/>
    <w:qFormat/>
    <w:rPr>
      <w:rFonts w:ascii="Calibri" w:hAnsi="Calibri"/>
    </w:rPr>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57" w:customStyle="1">
    <w:name w:val="List Table 2 - Accent 41"/>
    <w:basedOn w:val="715"/>
    <w:uiPriority w:val="99"/>
    <w:qFormat/>
    <w:rPr>
      <w:rFonts w:ascii="Calibri" w:hAnsi="Calibri"/>
    </w:rPr>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58" w:customStyle="1">
    <w:name w:val="List Table 2 - Accent 51"/>
    <w:basedOn w:val="715"/>
    <w:uiPriority w:val="99"/>
    <w:qFormat/>
    <w:rPr>
      <w:rFonts w:ascii="Calibri" w:hAnsi="Calibri"/>
    </w:rPr>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59" w:customStyle="1">
    <w:name w:val="List Table 2 - Accent 61"/>
    <w:basedOn w:val="715"/>
    <w:uiPriority w:val="99"/>
    <w:qFormat/>
    <w:rPr>
      <w:rFonts w:ascii="Calibri" w:hAnsi="Calibri"/>
    </w:rPr>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60" w:customStyle="1">
    <w:name w:val="List Table 3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1" w:customStyle="1">
    <w:name w:val="List Table 3 - Accent 11"/>
    <w:basedOn w:val="715"/>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62" w:customStyle="1">
    <w:name w:val="List Table 3 - Accent 21"/>
    <w:basedOn w:val="715"/>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063" w:customStyle="1">
    <w:name w:val="List Table 3 - Accent 31"/>
    <w:basedOn w:val="715"/>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064" w:customStyle="1">
    <w:name w:val="List Table 3 - Accent 41"/>
    <w:basedOn w:val="715"/>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5" w:customStyle="1">
    <w:name w:val="List Table 3 - Accent 51"/>
    <w:basedOn w:val="715"/>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66" w:customStyle="1">
    <w:name w:val="List Table 3 - Accent 61"/>
    <w:basedOn w:val="715"/>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67" w:customStyle="1">
    <w:name w:val="List Table 4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8" w:customStyle="1">
    <w:name w:val="List Table 4 - Accent 11"/>
    <w:basedOn w:val="715"/>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69" w:customStyle="1">
    <w:name w:val="List Table 4 - Accent 21"/>
    <w:basedOn w:val="715"/>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70" w:customStyle="1">
    <w:name w:val="List Table 4 - Accent 31"/>
    <w:basedOn w:val="715"/>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71" w:customStyle="1">
    <w:name w:val="List Table 4 - Accent 41"/>
    <w:basedOn w:val="715"/>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72" w:customStyle="1">
    <w:name w:val="List Table 4 - Accent 51"/>
    <w:basedOn w:val="715"/>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73" w:customStyle="1">
    <w:name w:val="List Table 4 - Accent 61"/>
    <w:basedOn w:val="715"/>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74" w:customStyle="1">
    <w:name w:val="List Table 5 Dark1"/>
    <w:basedOn w:val="715"/>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75" w:customStyle="1">
    <w:name w:val="List Table 5 Dark - Accent 11"/>
    <w:basedOn w:val="715"/>
    <w:uiPriority w:val="99"/>
    <w:qFormat/>
    <w:rPr>
      <w:rFonts w:ascii="Calibri" w:hAnsi="Calibri"/>
    </w:rPr>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76" w:customStyle="1">
    <w:name w:val="List Table 5 Dark - Accent 21"/>
    <w:basedOn w:val="715"/>
    <w:uiPriority w:val="99"/>
    <w:qFormat/>
    <w:rPr>
      <w:rFonts w:ascii="Calibri" w:hAnsi="Calibri"/>
    </w:rPr>
    <w:tblPr>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077" w:customStyle="1">
    <w:name w:val="List Table 5 Dark - Accent 31"/>
    <w:basedOn w:val="715"/>
    <w:uiPriority w:val="99"/>
    <w:qFormat/>
    <w:rPr>
      <w:rFonts w:ascii="Calibri" w:hAnsi="Calibri"/>
    </w:rPr>
    <w:tblPr>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078" w:customStyle="1">
    <w:name w:val="List Table 5 Dark - Accent 41"/>
    <w:basedOn w:val="715"/>
    <w:uiPriority w:val="99"/>
    <w:qFormat/>
    <w:rPr>
      <w:rFonts w:ascii="Calibri" w:hAnsi="Calibri"/>
    </w:rPr>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79" w:customStyle="1">
    <w:name w:val="List Table 5 Dark - Accent 51"/>
    <w:basedOn w:val="715"/>
    <w:uiPriority w:val="99"/>
    <w:qFormat/>
    <w:rPr>
      <w:rFonts w:ascii="Calibri" w:hAnsi="Calibri"/>
    </w:rPr>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80" w:customStyle="1">
    <w:name w:val="List Table 5 Dark - Accent 61"/>
    <w:basedOn w:val="715"/>
    <w:uiPriority w:val="99"/>
    <w:qFormat/>
    <w:rPr>
      <w:rFonts w:ascii="Calibri" w:hAnsi="Calibri"/>
    </w:rPr>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1" w:customStyle="1">
    <w:name w:val="List Table 6 Colorful1"/>
    <w:basedOn w:val="715"/>
    <w:uiPriority w:val="99"/>
    <w:qFormat/>
    <w:rPr>
      <w:rFonts w:ascii="Calibri" w:hAnsi="Calibri"/>
    </w:rPr>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82" w:customStyle="1">
    <w:name w:val="List Table 6 Colorful - Accent 11"/>
    <w:basedOn w:val="715"/>
    <w:uiPriority w:val="99"/>
    <w:qFormat/>
    <w:rPr>
      <w:rFonts w:ascii="Calibri" w:hAnsi="Calibri"/>
    </w:rPr>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083" w:customStyle="1">
    <w:name w:val="List Table 6 Colorful - Accent 21"/>
    <w:basedOn w:val="715"/>
    <w:uiPriority w:val="99"/>
    <w:qFormat/>
    <w:rPr>
      <w:rFonts w:ascii="Calibri" w:hAnsi="Calibri"/>
    </w:rPr>
    <w:tblPr>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084" w:customStyle="1">
    <w:name w:val="List Table 6 Colorful - Accent 31"/>
    <w:basedOn w:val="715"/>
    <w:uiPriority w:val="99"/>
    <w:qFormat/>
    <w:rPr>
      <w:rFonts w:ascii="Calibri" w:hAnsi="Calibri"/>
    </w:rPr>
    <w:tblPr>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085" w:customStyle="1">
    <w:name w:val="List Table 6 Colorful - Accent 41"/>
    <w:basedOn w:val="715"/>
    <w:uiPriority w:val="99"/>
    <w:qFormat/>
    <w:rPr>
      <w:rFonts w:ascii="Calibri" w:hAnsi="Calibri"/>
    </w:rPr>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086" w:customStyle="1">
    <w:name w:val="List Table 6 Colorful - Accent 51"/>
    <w:basedOn w:val="715"/>
    <w:uiPriority w:val="99"/>
    <w:qFormat/>
    <w:rPr>
      <w:rFonts w:ascii="Calibri" w:hAnsi="Calibri"/>
    </w:rPr>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087" w:customStyle="1">
    <w:name w:val="List Table 6 Colorful - Accent 61"/>
    <w:basedOn w:val="715"/>
    <w:uiPriority w:val="99"/>
    <w:qFormat/>
    <w:rPr>
      <w:rFonts w:ascii="Calibri" w:hAnsi="Calibri"/>
    </w:rPr>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88" w:customStyle="1">
    <w:name w:val="List Table 7 Colorful1"/>
    <w:basedOn w:val="715"/>
    <w:uiPriority w:val="99"/>
    <w:qFormat/>
    <w:rPr>
      <w:rFonts w:ascii="Calibri" w:hAnsi="Calibri"/>
    </w:rPr>
    <w:tblPr>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89" w:customStyle="1">
    <w:name w:val="List Table 7 Colorful - Accent 11"/>
    <w:basedOn w:val="715"/>
    <w:uiPriority w:val="99"/>
    <w:qFormat/>
    <w:rPr>
      <w:rFonts w:ascii="Calibri" w:hAnsi="Calibri"/>
    </w:rPr>
    <w:tblPr>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90" w:customStyle="1">
    <w:name w:val="List Table 7 Colorful - Accent 21"/>
    <w:basedOn w:val="715"/>
    <w:uiPriority w:val="99"/>
    <w:qFormat/>
    <w:rPr>
      <w:rFonts w:ascii="Calibri" w:hAnsi="Calibri"/>
    </w:rPr>
    <w:tblPr>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91" w:customStyle="1">
    <w:name w:val="List Table 7 Colorful - Accent 31"/>
    <w:basedOn w:val="715"/>
    <w:uiPriority w:val="99"/>
    <w:qFormat/>
    <w:rPr>
      <w:rFonts w:ascii="Calibri" w:hAnsi="Calibri"/>
    </w:rPr>
    <w:tblPr>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92" w:customStyle="1">
    <w:name w:val="List Table 7 Colorful - Accent 41"/>
    <w:basedOn w:val="715"/>
    <w:uiPriority w:val="99"/>
    <w:qFormat/>
    <w:rPr>
      <w:rFonts w:ascii="Calibri" w:hAnsi="Calibri"/>
    </w:rPr>
    <w:tblPr>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93" w:customStyle="1">
    <w:name w:val="List Table 7 Colorful - Accent 51"/>
    <w:basedOn w:val="715"/>
    <w:uiPriority w:val="99"/>
    <w:qFormat/>
    <w:rPr>
      <w:rFonts w:ascii="Calibri" w:hAnsi="Calibri"/>
    </w:rPr>
    <w:tblPr>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94" w:customStyle="1">
    <w:name w:val="List Table 7 Colorful - Accent 61"/>
    <w:basedOn w:val="715"/>
    <w:uiPriority w:val="99"/>
    <w:qFormat/>
    <w:rPr>
      <w:rFonts w:ascii="Calibri" w:hAnsi="Calibri"/>
    </w:rPr>
    <w:tblPr>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95" w:customStyle="1">
    <w:name w:val="Lined - Accent 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96" w:customStyle="1">
    <w:name w:val="Lined - Accent 1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97" w:customStyle="1">
    <w:name w:val="Lined - Accent 2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98" w:customStyle="1">
    <w:name w:val="Lined - Accent 3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99" w:customStyle="1">
    <w:name w:val="Lined - Accent 4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00" w:customStyle="1">
    <w:name w:val="Lined - Accent 5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01" w:customStyle="1">
    <w:name w:val="Lined - Accent 61"/>
    <w:basedOn w:val="715"/>
    <w:uiPriority w:val="99"/>
    <w:qFormat/>
    <w:rPr>
      <w:rFonts w:ascii="Calibri" w:hAnsi="Calibri"/>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02" w:customStyle="1">
    <w:name w:val="Bordered &amp; Lined - Accent 1"/>
    <w:basedOn w:val="715"/>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03" w:customStyle="1">
    <w:name w:val="Bordered &amp; Lined - Accent 11"/>
    <w:basedOn w:val="715"/>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04" w:customStyle="1">
    <w:name w:val="Bordered &amp; Lined - Accent 21"/>
    <w:basedOn w:val="715"/>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05" w:customStyle="1">
    <w:name w:val="Bordered &amp; Lined - Accent 31"/>
    <w:basedOn w:val="715"/>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06" w:customStyle="1">
    <w:name w:val="Bordered &amp; Lined - Accent 41"/>
    <w:basedOn w:val="715"/>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07" w:customStyle="1">
    <w:name w:val="Bordered &amp; Lined - Accent 51"/>
    <w:basedOn w:val="715"/>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08" w:customStyle="1">
    <w:name w:val="Bordered &amp; Lined - Accent 61"/>
    <w:basedOn w:val="715"/>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09" w:customStyle="1">
    <w:name w:val="Bordered1"/>
    <w:basedOn w:val="715"/>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10" w:customStyle="1">
    <w:name w:val="Bordered - Accent 11"/>
    <w:basedOn w:val="715"/>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11" w:customStyle="1">
    <w:name w:val="Bordered - Accent 21"/>
    <w:basedOn w:val="715"/>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12" w:customStyle="1">
    <w:name w:val="Bordered - Accent 31"/>
    <w:basedOn w:val="715"/>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13" w:customStyle="1">
    <w:name w:val="Bordered - Accent 41"/>
    <w:basedOn w:val="715"/>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4" w:customStyle="1">
    <w:name w:val="Bordered - Accent 51"/>
    <w:basedOn w:val="715"/>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15" w:customStyle="1">
    <w:name w:val="Bordered - Accent 61"/>
    <w:basedOn w:val="715"/>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116" w:customStyle="1">
    <w:name w:val="网格型1"/>
    <w:basedOn w:val="7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7" w:customStyle="1">
    <w:name w:val="页眉 字符"/>
    <w:basedOn w:val="714"/>
    <w:uiPriority w:val="99"/>
    <w:qFormat/>
    <w:rPr>
      <w:sz w:val="18"/>
      <w:szCs w:val="18"/>
    </w:rPr>
  </w:style>
  <w:style w:type="character" w:styleId="1118" w:customStyle="1">
    <w:name w:val="页脚 字符"/>
    <w:basedOn w:val="714"/>
    <w:uiPriority w:val="99"/>
    <w:qFormat/>
    <w:rPr>
      <w:sz w:val="18"/>
      <w:szCs w:val="18"/>
    </w:rPr>
  </w:style>
  <w:style w:type="paragraph" w:styleId="1119" w:customStyle="1">
    <w:name w:val="修订1"/>
    <w:hidden/>
    <w:uiPriority w:val="99"/>
    <w:semiHidden/>
    <w:qFormat/>
    <w:rPr>
      <w:rFonts w:ascii="Times New Roman" w:hAnsi="Times New Roman" w:eastAsia="宋体" w:cs="Times New Roman"/>
      <w:sz w:val="21"/>
      <w:szCs w:val="22"/>
      <w:lang w:val="en-US" w:eastAsia="zh-CN" w:bidi="ar-SA"/>
    </w:rPr>
  </w:style>
  <w:style w:type="table" w:styleId="1120" w:customStyle="1">
    <w:name w:val="网格型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1"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2" w:customStyle="1">
    <w:name w:val="网格型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3" w:customStyle="1">
    <w:name w:val="网格型111"/>
    <w:basedOn w:val="71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125" w:customStyle="1">
    <w:name w:val="Unresolved Mention"/>
    <w:basedOn w:val="714"/>
    <w:uiPriority w:val="99"/>
    <w:semiHidden/>
    <w:unhideWhenUsed/>
    <w:qFormat/>
    <w:rPr>
      <w:color w:val="605e5c"/>
      <w:shd w:val="clear" w:color="auto" w:fill="e1dfdd"/>
    </w:rPr>
  </w:style>
  <w:style w:type="table" w:styleId="1126" w:customStyle="1">
    <w:name w:val="网格型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杨腊梅</cp:lastModifiedBy>
  <cp:revision>809</cp:revision>
  <dcterms:created xsi:type="dcterms:W3CDTF">2023-12-25T07:48:00Z</dcterms:created>
  <dcterms:modified xsi:type="dcterms:W3CDTF">2024-12-04T06:24:31Z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1D363C04B4B64A9AB0A6673A75DF68F2</vt:lpwstr>
  </property>
</Properties>
</file>