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7190B">
      <w:pPr>
        <w:jc w:val="center"/>
        <w:rPr>
          <w:b/>
          <w:bCs/>
          <w:color w:val="000000" w:themeColor="text1"/>
          <w:sz w:val="52"/>
          <w14:textFill>
            <w14:solidFill>
              <w14:schemeClr w14:val="tx1"/>
            </w14:solidFill>
          </w14:textFill>
        </w:rPr>
      </w:pPr>
    </w:p>
    <w:p w14:paraId="5CC891D9">
      <w:pPr>
        <w:jc w:val="center"/>
        <w:rPr>
          <w:b/>
          <w:bCs/>
          <w:color w:val="000000" w:themeColor="text1"/>
          <w:sz w:val="52"/>
          <w14:textFill>
            <w14:solidFill>
              <w14:schemeClr w14:val="tx1"/>
            </w14:solidFill>
          </w14:textFill>
        </w:rPr>
      </w:pPr>
      <w:r>
        <w:rPr>
          <w:b/>
          <w:bCs/>
          <w:color w:val="000000" w:themeColor="text1"/>
          <w:sz w:val="52"/>
          <w14:textFill>
            <w14:solidFill>
              <w14:schemeClr w14:val="tx1"/>
            </w14:solidFill>
          </w14:textFill>
        </w:rPr>
        <w:t>宜 兴 市 政 府 采 购</w:t>
      </w:r>
    </w:p>
    <w:p w14:paraId="5241F4C0">
      <w:pPr>
        <w:jc w:val="center"/>
        <w:rPr>
          <w:b/>
          <w:bCs/>
          <w:color w:val="000000" w:themeColor="text1"/>
          <w:sz w:val="52"/>
          <w14:textFill>
            <w14:solidFill>
              <w14:schemeClr w14:val="tx1"/>
            </w14:solidFill>
          </w14:textFill>
        </w:rPr>
      </w:pPr>
    </w:p>
    <w:p w14:paraId="05B15554">
      <w:pPr>
        <w:jc w:val="center"/>
        <w:rPr>
          <w:rFonts w:eastAsia="黑体"/>
          <w:b/>
          <w:bCs/>
          <w:color w:val="000000" w:themeColor="text1"/>
          <w:sz w:val="96"/>
          <w:szCs w:val="96"/>
          <w14:textFill>
            <w14:solidFill>
              <w14:schemeClr w14:val="tx1"/>
            </w14:solidFill>
          </w14:textFill>
        </w:rPr>
      </w:pPr>
      <w:r>
        <w:rPr>
          <w:rFonts w:eastAsia="黑体"/>
          <w:b/>
          <w:bCs/>
          <w:color w:val="000000" w:themeColor="text1"/>
          <w:sz w:val="96"/>
          <w:szCs w:val="96"/>
          <w14:textFill>
            <w14:solidFill>
              <w14:schemeClr w14:val="tx1"/>
            </w14:solidFill>
          </w14:textFill>
        </w:rPr>
        <w:t>招</w:t>
      </w:r>
    </w:p>
    <w:p w14:paraId="53B85A8E">
      <w:pPr>
        <w:jc w:val="center"/>
        <w:rPr>
          <w:rFonts w:eastAsia="黑体"/>
          <w:b/>
          <w:bCs/>
          <w:color w:val="000000" w:themeColor="text1"/>
          <w:sz w:val="96"/>
          <w:szCs w:val="96"/>
          <w14:textFill>
            <w14:solidFill>
              <w14:schemeClr w14:val="tx1"/>
            </w14:solidFill>
          </w14:textFill>
        </w:rPr>
      </w:pPr>
      <w:r>
        <w:rPr>
          <w:rFonts w:eastAsia="黑体"/>
          <w:b/>
          <w:bCs/>
          <w:color w:val="000000" w:themeColor="text1"/>
          <w:sz w:val="96"/>
          <w:szCs w:val="96"/>
          <w14:textFill>
            <w14:solidFill>
              <w14:schemeClr w14:val="tx1"/>
            </w14:solidFill>
          </w14:textFill>
        </w:rPr>
        <w:t>标</w:t>
      </w:r>
    </w:p>
    <w:p w14:paraId="07514D46">
      <w:pPr>
        <w:jc w:val="center"/>
        <w:rPr>
          <w:rFonts w:eastAsia="黑体"/>
          <w:b/>
          <w:bCs/>
          <w:color w:val="000000" w:themeColor="text1"/>
          <w:sz w:val="96"/>
          <w:szCs w:val="96"/>
          <w14:textFill>
            <w14:solidFill>
              <w14:schemeClr w14:val="tx1"/>
            </w14:solidFill>
          </w14:textFill>
        </w:rPr>
      </w:pPr>
      <w:r>
        <w:rPr>
          <w:rFonts w:eastAsia="黑体"/>
          <w:b/>
          <w:bCs/>
          <w:color w:val="000000" w:themeColor="text1"/>
          <w:sz w:val="96"/>
          <w:szCs w:val="96"/>
          <w14:textFill>
            <w14:solidFill>
              <w14:schemeClr w14:val="tx1"/>
            </w14:solidFill>
          </w14:textFill>
        </w:rPr>
        <w:t>文</w:t>
      </w:r>
    </w:p>
    <w:p w14:paraId="72E4EE0F">
      <w:pPr>
        <w:jc w:val="center"/>
        <w:rPr>
          <w:rFonts w:eastAsia="黑体"/>
          <w:b/>
          <w:bCs/>
          <w:color w:val="000000" w:themeColor="text1"/>
          <w:sz w:val="96"/>
          <w:szCs w:val="96"/>
          <w14:textFill>
            <w14:solidFill>
              <w14:schemeClr w14:val="tx1"/>
            </w14:solidFill>
          </w14:textFill>
        </w:rPr>
      </w:pPr>
      <w:r>
        <w:rPr>
          <w:rFonts w:eastAsia="黑体"/>
          <w:b/>
          <w:bCs/>
          <w:color w:val="000000" w:themeColor="text1"/>
          <w:sz w:val="96"/>
          <w:szCs w:val="96"/>
          <w14:textFill>
            <w14:solidFill>
              <w14:schemeClr w14:val="tx1"/>
            </w14:solidFill>
          </w14:textFill>
        </w:rPr>
        <w:t>件</w:t>
      </w:r>
    </w:p>
    <w:p w14:paraId="163A503F">
      <w:pPr>
        <w:jc w:val="center"/>
        <w:rPr>
          <w:b/>
          <w:bCs/>
          <w:color w:val="000000" w:themeColor="text1"/>
          <w:sz w:val="84"/>
          <w14:textFill>
            <w14:solidFill>
              <w14:schemeClr w14:val="tx1"/>
            </w14:solidFill>
          </w14:textFill>
        </w:rPr>
      </w:pPr>
    </w:p>
    <w:p w14:paraId="056E5879">
      <w:pPr>
        <w:jc w:val="center"/>
        <w:rPr>
          <w:b/>
          <w:bCs/>
          <w:color w:val="000000" w:themeColor="text1"/>
          <w:sz w:val="84"/>
          <w14:textFill>
            <w14:solidFill>
              <w14:schemeClr w14:val="tx1"/>
            </w14:solidFill>
          </w14:textFill>
        </w:rPr>
      </w:pPr>
    </w:p>
    <w:p w14:paraId="14B6D06F">
      <w:pPr>
        <w:jc w:val="center"/>
        <w:rPr>
          <w:color w:val="000000" w:themeColor="text1"/>
          <w:sz w:val="32"/>
          <w14:textFill>
            <w14:solidFill>
              <w14:schemeClr w14:val="tx1"/>
            </w14:solidFill>
          </w14:textFill>
        </w:rPr>
      </w:pPr>
      <w:r>
        <w:rPr>
          <w:color w:val="000000" w:themeColor="text1"/>
          <w:sz w:val="32"/>
          <w14:textFill>
            <w14:solidFill>
              <w14:schemeClr w14:val="tx1"/>
            </w14:solidFill>
          </w14:textFill>
        </w:rPr>
        <w:t>项目编号：JSZC-320282-HTBX-G2025-0004</w:t>
      </w:r>
    </w:p>
    <w:p w14:paraId="603E6FF8">
      <w:pPr>
        <w:jc w:val="center"/>
        <w:rPr>
          <w:color w:val="000000" w:themeColor="text1"/>
          <w:sz w:val="32"/>
          <w14:textFill>
            <w14:solidFill>
              <w14:schemeClr w14:val="tx1"/>
            </w14:solidFill>
          </w14:textFill>
        </w:rPr>
      </w:pPr>
      <w:r>
        <w:rPr>
          <w:color w:val="000000" w:themeColor="text1"/>
          <w:sz w:val="32"/>
          <w14:textFill>
            <w14:solidFill>
              <w14:schemeClr w14:val="tx1"/>
            </w14:solidFill>
          </w14:textFill>
        </w:rPr>
        <w:t>采购人：宜兴市民政局</w:t>
      </w:r>
    </w:p>
    <w:p w14:paraId="76914E0C">
      <w:pPr>
        <w:jc w:val="center"/>
        <w:rPr>
          <w:color w:val="000000" w:themeColor="text1"/>
          <w:sz w:val="32"/>
          <w14:textFill>
            <w14:solidFill>
              <w14:schemeClr w14:val="tx1"/>
            </w14:solidFill>
          </w14:textFill>
        </w:rPr>
      </w:pPr>
      <w:r>
        <w:rPr>
          <w:color w:val="000000" w:themeColor="text1"/>
          <w:sz w:val="32"/>
          <w14:textFill>
            <w14:solidFill>
              <w14:schemeClr w14:val="tx1"/>
            </w14:solidFill>
          </w14:textFill>
        </w:rPr>
        <w:t>项目名称：养老机构综合责任保险、养老机构入住老人意外伤害保险和居家养老服务机构综合责任保险</w:t>
      </w:r>
    </w:p>
    <w:p w14:paraId="6CC23330">
      <w:pPr>
        <w:jc w:val="center"/>
        <w:rPr>
          <w:color w:val="000000" w:themeColor="text1"/>
          <w:sz w:val="32"/>
          <w14:textFill>
            <w14:solidFill>
              <w14:schemeClr w14:val="tx1"/>
            </w14:solidFill>
          </w14:textFill>
        </w:rPr>
      </w:pPr>
      <w:r>
        <w:rPr>
          <w:color w:val="000000" w:themeColor="text1"/>
          <w:sz w:val="32"/>
          <w14:textFill>
            <w14:solidFill>
              <w14:schemeClr w14:val="tx1"/>
            </w14:solidFill>
          </w14:textFill>
        </w:rPr>
        <w:t>采购代理机构：恒泰保险经纪有限公司</w:t>
      </w:r>
    </w:p>
    <w:p w14:paraId="29A9EF47">
      <w:pPr>
        <w:jc w:val="center"/>
        <w:rPr>
          <w:color w:val="000000" w:themeColor="text1"/>
          <w:sz w:val="32"/>
          <w14:textFill>
            <w14:solidFill>
              <w14:schemeClr w14:val="tx1"/>
            </w14:solidFill>
          </w14:textFill>
        </w:rPr>
      </w:pPr>
    </w:p>
    <w:p w14:paraId="1747BEEC">
      <w:pPr>
        <w:jc w:val="center"/>
        <w:rPr>
          <w:color w:val="000000" w:themeColor="text1"/>
          <w:sz w:val="32"/>
          <w14:textFill>
            <w14:solidFill>
              <w14:schemeClr w14:val="tx1"/>
            </w14:solidFill>
          </w14:textFill>
        </w:rPr>
      </w:pPr>
    </w:p>
    <w:p w14:paraId="29925A8B">
      <w:pPr>
        <w:jc w:val="center"/>
        <w:rPr>
          <w:color w:val="000000" w:themeColor="text1"/>
          <w:sz w:val="32"/>
          <w14:textFill>
            <w14:solidFill>
              <w14:schemeClr w14:val="tx1"/>
            </w14:solidFill>
          </w14:textFill>
        </w:rPr>
      </w:pPr>
    </w:p>
    <w:p w14:paraId="196D29C1">
      <w:pPr>
        <w:jc w:val="center"/>
        <w:rPr>
          <w:color w:val="000000" w:themeColor="text1"/>
          <w:sz w:val="32"/>
          <w14:textFill>
            <w14:solidFill>
              <w14:schemeClr w14:val="tx1"/>
            </w14:solidFill>
          </w14:textFill>
        </w:rPr>
      </w:pPr>
      <w:r>
        <w:rPr>
          <w:color w:val="000000" w:themeColor="text1"/>
          <w:sz w:val="32"/>
          <w14:textFill>
            <w14:solidFill>
              <w14:schemeClr w14:val="tx1"/>
            </w14:solidFill>
          </w14:textFill>
        </w:rPr>
        <w:t>二</w:t>
      </w:r>
      <w:r>
        <w:rPr>
          <w:rFonts w:hint="eastAsia"/>
          <w:color w:val="000000" w:themeColor="text1"/>
          <w:sz w:val="30"/>
          <w:szCs w:val="30"/>
          <w14:textFill>
            <w14:solidFill>
              <w14:schemeClr w14:val="tx1"/>
            </w14:solidFill>
          </w14:textFill>
        </w:rPr>
        <w:t>〇</w:t>
      </w:r>
      <w:r>
        <w:rPr>
          <w:color w:val="000000" w:themeColor="text1"/>
          <w:sz w:val="32"/>
          <w14:textFill>
            <w14:solidFill>
              <w14:schemeClr w14:val="tx1"/>
            </w14:solidFill>
          </w14:textFill>
        </w:rPr>
        <w:t>二</w:t>
      </w:r>
      <w:r>
        <w:rPr>
          <w:rFonts w:hint="eastAsia"/>
          <w:color w:val="000000" w:themeColor="text1"/>
          <w:sz w:val="32"/>
          <w14:textFill>
            <w14:solidFill>
              <w14:schemeClr w14:val="tx1"/>
            </w14:solidFill>
          </w14:textFill>
        </w:rPr>
        <w:t>五</w:t>
      </w:r>
      <w:r>
        <w:rPr>
          <w:color w:val="000000" w:themeColor="text1"/>
          <w:sz w:val="32"/>
          <w14:textFill>
            <w14:solidFill>
              <w14:schemeClr w14:val="tx1"/>
            </w14:solidFill>
          </w14:textFill>
        </w:rPr>
        <w:t>年</w:t>
      </w:r>
      <w:r>
        <w:rPr>
          <w:rFonts w:hint="eastAsia"/>
          <w:color w:val="000000" w:themeColor="text1"/>
          <w:sz w:val="32"/>
          <w14:textFill>
            <w14:solidFill>
              <w14:schemeClr w14:val="tx1"/>
            </w14:solidFill>
          </w14:textFill>
        </w:rPr>
        <w:t>五</w:t>
      </w:r>
      <w:r>
        <w:rPr>
          <w:color w:val="000000" w:themeColor="text1"/>
          <w:sz w:val="32"/>
          <w14:textFill>
            <w14:solidFill>
              <w14:schemeClr w14:val="tx1"/>
            </w14:solidFill>
          </w14:textFill>
        </w:rPr>
        <w:t>月</w:t>
      </w:r>
    </w:p>
    <w:p w14:paraId="1D29B8A0">
      <w:pPr>
        <w:spacing w:line="360" w:lineRule="auto"/>
        <w:rPr>
          <w:rStyle w:val="51"/>
          <w:bCs/>
          <w:color w:val="000000" w:themeColor="text1"/>
          <w:sz w:val="48"/>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6" w:h="16838"/>
          <w:pgMar w:top="1440" w:right="1077" w:bottom="1440" w:left="1077" w:header="851" w:footer="992" w:gutter="0"/>
          <w:pgNumType w:start="1"/>
          <w:cols w:space="720" w:num="1"/>
          <w:titlePg/>
          <w:docGrid w:linePitch="360" w:charSpace="0"/>
        </w:sectPr>
      </w:pPr>
    </w:p>
    <w:p w14:paraId="6ACD09A3">
      <w:pPr>
        <w:spacing w:line="360" w:lineRule="auto"/>
        <w:rPr>
          <w:rStyle w:val="51"/>
          <w:bCs/>
          <w:color w:val="000000" w:themeColor="text1"/>
          <w:sz w:val="48"/>
          <w14:textFill>
            <w14:solidFill>
              <w14:schemeClr w14:val="tx1"/>
            </w14:solidFill>
          </w14:textFill>
        </w:rPr>
      </w:pPr>
    </w:p>
    <w:p w14:paraId="38DCBB62">
      <w:pPr>
        <w:jc w:val="center"/>
        <w:rPr>
          <w:rStyle w:val="51"/>
          <w:rFonts w:eastAsia="黑体"/>
          <w:bCs/>
          <w:color w:val="000000" w:themeColor="text1"/>
          <w:sz w:val="48"/>
          <w14:textFill>
            <w14:solidFill>
              <w14:schemeClr w14:val="tx1"/>
            </w14:solidFill>
          </w14:textFill>
        </w:rPr>
      </w:pPr>
      <w:r>
        <w:rPr>
          <w:rStyle w:val="51"/>
          <w:rFonts w:eastAsia="黑体"/>
          <w:bCs/>
          <w:color w:val="000000" w:themeColor="text1"/>
          <w:sz w:val="48"/>
          <w14:textFill>
            <w14:solidFill>
              <w14:schemeClr w14:val="tx1"/>
            </w14:solidFill>
          </w14:textFill>
        </w:rPr>
        <w:t>目     录</w:t>
      </w:r>
    </w:p>
    <w:p w14:paraId="18FC238B">
      <w:pPr>
        <w:jc w:val="center"/>
        <w:rPr>
          <w:rFonts w:eastAsia="仿宋"/>
          <w:bCs/>
          <w:color w:val="000000" w:themeColor="text1"/>
          <w:sz w:val="30"/>
          <w14:textFill>
            <w14:solidFill>
              <w14:schemeClr w14:val="tx1"/>
            </w14:solidFill>
          </w14:textFill>
        </w:rPr>
      </w:pPr>
    </w:p>
    <w:p w14:paraId="03D57281">
      <w:pPr>
        <w:jc w:val="center"/>
        <w:rPr>
          <w:rFonts w:eastAsia="仿宋"/>
          <w:bCs/>
          <w:color w:val="000000" w:themeColor="text1"/>
          <w:sz w:val="30"/>
          <w14:textFill>
            <w14:solidFill>
              <w14:schemeClr w14:val="tx1"/>
            </w14:solidFill>
          </w14:textFill>
        </w:rPr>
      </w:pPr>
    </w:p>
    <w:p w14:paraId="389E60C0">
      <w:pPr>
        <w:pStyle w:val="29"/>
        <w:tabs>
          <w:tab w:val="right" w:leader="dot" w:pos="9639"/>
        </w:tabs>
        <w:spacing w:line="360" w:lineRule="auto"/>
        <w:rPr>
          <w:color w:val="000000" w:themeColor="text1"/>
          <w:sz w:val="32"/>
          <w:szCs w:val="32"/>
          <w14:textFill>
            <w14:solidFill>
              <w14:schemeClr w14:val="tx1"/>
            </w14:solidFill>
          </w14:textFill>
        </w:rPr>
      </w:pPr>
      <w:r>
        <w:fldChar w:fldCharType="begin"/>
      </w:r>
      <w:r>
        <w:instrText xml:space="preserve"> HYPERLINK "file:///C:\\Users\\zhaos\\AppData\\Local\\Temp\\定稿-招标文件-监测监控能力建设项目-1.docx" \l "_Toc2870" \o "file:///C:UserszhaosAppDataLocalTemp定稿-招标文件-监测监控能力建设项目-1.docx#_Toc2870" </w:instrText>
      </w:r>
      <w:r>
        <w:fldChar w:fldCharType="separate"/>
      </w:r>
      <w:r>
        <w:rPr>
          <w:rStyle w:val="54"/>
          <w:rFonts w:eastAsia="黑体"/>
          <w:color w:val="000000" w:themeColor="text1"/>
          <w:sz w:val="32"/>
          <w:szCs w:val="32"/>
          <w14:textFill>
            <w14:solidFill>
              <w14:schemeClr w14:val="tx1"/>
            </w14:solidFill>
          </w14:textFill>
        </w:rPr>
        <w:t>第一章 投标邀请函</w:t>
      </w:r>
      <w:r>
        <w:rPr>
          <w:rStyle w:val="54"/>
          <w:color w:val="000000" w:themeColor="text1"/>
          <w:sz w:val="32"/>
          <w:szCs w:val="32"/>
          <w14:textFill>
            <w14:solidFill>
              <w14:schemeClr w14:val="tx1"/>
            </w14:solidFill>
          </w14:textFill>
        </w:rPr>
        <w:tab/>
      </w:r>
      <w:r>
        <w:rPr>
          <w:rStyle w:val="54"/>
          <w:color w:val="000000" w:themeColor="text1"/>
          <w:sz w:val="32"/>
          <w:szCs w:val="32"/>
          <w14:textFill>
            <w14:solidFill>
              <w14:schemeClr w14:val="tx1"/>
            </w14:solidFill>
          </w14:textFill>
        </w:rPr>
        <w:fldChar w:fldCharType="end"/>
      </w:r>
      <w:r>
        <w:rPr>
          <w:rStyle w:val="54"/>
          <w:color w:val="000000" w:themeColor="text1"/>
          <w:sz w:val="32"/>
          <w:szCs w:val="32"/>
          <w14:textFill>
            <w14:solidFill>
              <w14:schemeClr w14:val="tx1"/>
            </w14:solidFill>
          </w14:textFill>
        </w:rPr>
        <w:t>2</w:t>
      </w:r>
    </w:p>
    <w:p w14:paraId="049569AD">
      <w:pPr>
        <w:pStyle w:val="29"/>
        <w:tabs>
          <w:tab w:val="right" w:leader="dot" w:pos="9639"/>
        </w:tabs>
        <w:spacing w:line="360" w:lineRule="auto"/>
        <w:rPr>
          <w:color w:val="000000" w:themeColor="text1"/>
          <w:sz w:val="32"/>
          <w:szCs w:val="32"/>
          <w14:textFill>
            <w14:solidFill>
              <w14:schemeClr w14:val="tx1"/>
            </w14:solidFill>
          </w14:textFill>
        </w:rPr>
      </w:pPr>
      <w:r>
        <w:fldChar w:fldCharType="begin"/>
      </w:r>
      <w:r>
        <w:instrText xml:space="preserve"> HYPERLINK "file:///C:\\Users\\zhaos\\AppData\\Local\\Temp\\定稿-招标文件-监测监控能力建设项目-1.docx" \l "_Toc24238" \o "file:///C:UserszhaosAppDataLocalTemp定稿-招标文件-监测监控能力建设项目-1.docx#_Toc24238" </w:instrText>
      </w:r>
      <w:r>
        <w:fldChar w:fldCharType="separate"/>
      </w:r>
      <w:r>
        <w:rPr>
          <w:rStyle w:val="54"/>
          <w:rFonts w:eastAsia="黑体"/>
          <w:color w:val="000000" w:themeColor="text1"/>
          <w:sz w:val="32"/>
          <w:szCs w:val="32"/>
          <w14:textFill>
            <w14:solidFill>
              <w14:schemeClr w14:val="tx1"/>
            </w14:solidFill>
          </w14:textFill>
        </w:rPr>
        <w:t>第二章 投标人须知</w:t>
      </w:r>
      <w:r>
        <w:rPr>
          <w:rStyle w:val="54"/>
          <w:color w:val="000000" w:themeColor="text1"/>
          <w:sz w:val="32"/>
          <w:szCs w:val="32"/>
          <w14:textFill>
            <w14:solidFill>
              <w14:schemeClr w14:val="tx1"/>
            </w14:solidFill>
          </w14:textFill>
        </w:rPr>
        <w:tab/>
      </w:r>
      <w:r>
        <w:rPr>
          <w:rStyle w:val="54"/>
          <w:color w:val="000000" w:themeColor="text1"/>
          <w:sz w:val="32"/>
          <w:szCs w:val="32"/>
          <w14:textFill>
            <w14:solidFill>
              <w14:schemeClr w14:val="tx1"/>
            </w14:solidFill>
          </w14:textFill>
        </w:rPr>
        <w:fldChar w:fldCharType="end"/>
      </w:r>
      <w:r>
        <w:rPr>
          <w:rStyle w:val="54"/>
          <w:color w:val="000000" w:themeColor="text1"/>
          <w:sz w:val="32"/>
          <w:szCs w:val="32"/>
          <w14:textFill>
            <w14:solidFill>
              <w14:schemeClr w14:val="tx1"/>
            </w14:solidFill>
          </w14:textFill>
        </w:rPr>
        <w:t>5</w:t>
      </w:r>
    </w:p>
    <w:p w14:paraId="3FC20400">
      <w:pPr>
        <w:pStyle w:val="29"/>
        <w:tabs>
          <w:tab w:val="right" w:leader="dot" w:pos="9639"/>
        </w:tabs>
        <w:spacing w:line="360" w:lineRule="auto"/>
        <w:rPr>
          <w:color w:val="000000" w:themeColor="text1"/>
          <w:sz w:val="32"/>
          <w:szCs w:val="32"/>
          <w14:textFill>
            <w14:solidFill>
              <w14:schemeClr w14:val="tx1"/>
            </w14:solidFill>
          </w14:textFill>
        </w:rPr>
      </w:pPr>
      <w:r>
        <w:fldChar w:fldCharType="begin"/>
      </w:r>
      <w:r>
        <w:instrText xml:space="preserve"> HYPERLINK "file:///C:\\Users\\zhaos\\AppData\\Local\\Temp\\定稿-招标文件-监测监控能力建设项目-1.docx" \l "_Toc4094" \o "file:///C:UserszhaosAppDataLocalTemp定稿-招标文件-监测监控能力建设项目-1.docx#_Toc4094" </w:instrText>
      </w:r>
      <w:r>
        <w:fldChar w:fldCharType="separate"/>
      </w:r>
      <w:r>
        <w:rPr>
          <w:rStyle w:val="54"/>
          <w:rFonts w:eastAsia="黑体"/>
          <w:color w:val="000000" w:themeColor="text1"/>
          <w:sz w:val="32"/>
          <w:szCs w:val="32"/>
          <w14:textFill>
            <w14:solidFill>
              <w14:schemeClr w14:val="tx1"/>
            </w14:solidFill>
          </w14:textFill>
        </w:rPr>
        <w:t>第三章 评标方法和标准</w:t>
      </w:r>
      <w:r>
        <w:rPr>
          <w:rStyle w:val="54"/>
          <w:color w:val="000000" w:themeColor="text1"/>
          <w:sz w:val="32"/>
          <w:szCs w:val="32"/>
          <w14:textFill>
            <w14:solidFill>
              <w14:schemeClr w14:val="tx1"/>
            </w14:solidFill>
          </w14:textFill>
        </w:rPr>
        <w:tab/>
      </w:r>
      <w:r>
        <w:rPr>
          <w:rStyle w:val="54"/>
          <w:color w:val="000000" w:themeColor="text1"/>
          <w:sz w:val="32"/>
          <w:szCs w:val="32"/>
          <w14:textFill>
            <w14:solidFill>
              <w14:schemeClr w14:val="tx1"/>
            </w14:solidFill>
          </w14:textFill>
        </w:rPr>
        <w:fldChar w:fldCharType="end"/>
      </w:r>
      <w:r>
        <w:rPr>
          <w:rStyle w:val="54"/>
          <w:color w:val="000000" w:themeColor="text1"/>
          <w:sz w:val="32"/>
          <w:szCs w:val="32"/>
          <w14:textFill>
            <w14:solidFill>
              <w14:schemeClr w14:val="tx1"/>
            </w14:solidFill>
          </w14:textFill>
        </w:rPr>
        <w:t>16</w:t>
      </w:r>
    </w:p>
    <w:p w14:paraId="0C5AE96F">
      <w:pPr>
        <w:pStyle w:val="29"/>
        <w:tabs>
          <w:tab w:val="right" w:leader="dot" w:pos="9639"/>
        </w:tabs>
        <w:spacing w:line="360" w:lineRule="auto"/>
        <w:rPr>
          <w:color w:val="000000" w:themeColor="text1"/>
          <w:sz w:val="32"/>
          <w:szCs w:val="32"/>
          <w14:textFill>
            <w14:solidFill>
              <w14:schemeClr w14:val="tx1"/>
            </w14:solidFill>
          </w14:textFill>
        </w:rPr>
      </w:pPr>
      <w:r>
        <w:fldChar w:fldCharType="begin"/>
      </w:r>
      <w:r>
        <w:instrText xml:space="preserve"> HYPERLINK "file:///C:\\Users\\zhaos\\AppData\\Local\\Temp\\定稿-招标文件-监测监控能力建设项目-1.docx" \l "_Toc27472" \o "file:///C:UserszhaosAppDataLocalTemp定稿-招标文件-监测监控能力建设项目-1.docx#_Toc27472" </w:instrText>
      </w:r>
      <w:r>
        <w:fldChar w:fldCharType="separate"/>
      </w:r>
      <w:r>
        <w:rPr>
          <w:rStyle w:val="54"/>
          <w:rFonts w:eastAsia="黑体"/>
          <w:color w:val="000000" w:themeColor="text1"/>
          <w:sz w:val="32"/>
          <w:szCs w:val="32"/>
          <w14:textFill>
            <w14:solidFill>
              <w14:schemeClr w14:val="tx1"/>
            </w14:solidFill>
          </w14:textFill>
        </w:rPr>
        <w:t>第四章 项目技术要求和有关说明</w:t>
      </w:r>
      <w:r>
        <w:rPr>
          <w:rStyle w:val="54"/>
          <w:rFonts w:eastAsia="黑体"/>
          <w:color w:val="000000" w:themeColor="text1"/>
          <w:sz w:val="32"/>
          <w:szCs w:val="32"/>
          <w14:textFill>
            <w14:solidFill>
              <w14:schemeClr w14:val="tx1"/>
            </w14:solidFill>
          </w14:textFill>
        </w:rPr>
        <w:tab/>
      </w:r>
      <w:r>
        <w:rPr>
          <w:rStyle w:val="54"/>
          <w:rFonts w:eastAsia="黑体"/>
          <w:color w:val="000000" w:themeColor="text1"/>
          <w:sz w:val="32"/>
          <w:szCs w:val="32"/>
          <w14:textFill>
            <w14:solidFill>
              <w14:schemeClr w14:val="tx1"/>
            </w14:solidFill>
          </w14:textFill>
        </w:rPr>
        <w:fldChar w:fldCharType="end"/>
      </w:r>
      <w:r>
        <w:rPr>
          <w:rStyle w:val="54"/>
          <w:rFonts w:eastAsia="黑体"/>
          <w:color w:val="000000" w:themeColor="text1"/>
          <w:sz w:val="32"/>
          <w:szCs w:val="32"/>
          <w14:textFill>
            <w14:solidFill>
              <w14:schemeClr w14:val="tx1"/>
            </w14:solidFill>
          </w14:textFill>
        </w:rPr>
        <w:t>2</w:t>
      </w:r>
      <w:r>
        <w:rPr>
          <w:rStyle w:val="54"/>
          <w:rFonts w:hint="eastAsia" w:eastAsia="黑体"/>
          <w:color w:val="000000" w:themeColor="text1"/>
          <w:sz w:val="32"/>
          <w:szCs w:val="32"/>
          <w14:textFill>
            <w14:solidFill>
              <w14:schemeClr w14:val="tx1"/>
            </w14:solidFill>
          </w14:textFill>
        </w:rPr>
        <w:t>1</w:t>
      </w:r>
    </w:p>
    <w:p w14:paraId="75966E24">
      <w:pPr>
        <w:pStyle w:val="29"/>
        <w:tabs>
          <w:tab w:val="right" w:leader="dot" w:pos="9639"/>
        </w:tabs>
        <w:spacing w:line="360" w:lineRule="auto"/>
        <w:rPr>
          <w:rStyle w:val="54"/>
          <w:rFonts w:eastAsia="黑体"/>
          <w:color w:val="000000" w:themeColor="text1"/>
          <w:sz w:val="32"/>
          <w:szCs w:val="32"/>
          <w14:textFill>
            <w14:solidFill>
              <w14:schemeClr w14:val="tx1"/>
            </w14:solidFill>
          </w14:textFill>
        </w:rPr>
      </w:pPr>
      <w:r>
        <w:fldChar w:fldCharType="begin"/>
      </w:r>
      <w:r>
        <w:instrText xml:space="preserve"> HYPERLINK "file:///C:\\Users\\zhaos\\AppData\\Local\\Temp\\定稿-招标文件-监测监控能力建设项目-1.docx" \l "_Toc27472" \o "file:///C:UserszhaosAppDataLocalTemp定稿-招标文件-监测监控能力建设项目-1.docx#_Toc27472" </w:instrText>
      </w:r>
      <w:r>
        <w:fldChar w:fldCharType="separate"/>
      </w:r>
      <w:r>
        <w:rPr>
          <w:rStyle w:val="54"/>
          <w:rFonts w:eastAsia="黑体"/>
          <w:color w:val="000000" w:themeColor="text1"/>
          <w:sz w:val="32"/>
          <w:szCs w:val="32"/>
          <w14:textFill>
            <w14:solidFill>
              <w14:schemeClr w14:val="tx1"/>
            </w14:solidFill>
          </w14:textFill>
        </w:rPr>
        <w:t>第</w:t>
      </w:r>
      <w:r>
        <w:rPr>
          <w:rStyle w:val="54"/>
          <w:rFonts w:hint="eastAsia" w:eastAsia="黑体"/>
          <w:color w:val="000000" w:themeColor="text1"/>
          <w:sz w:val="32"/>
          <w:szCs w:val="32"/>
          <w14:textFill>
            <w14:solidFill>
              <w14:schemeClr w14:val="tx1"/>
            </w14:solidFill>
          </w14:textFill>
        </w:rPr>
        <w:t>五</w:t>
      </w:r>
      <w:r>
        <w:rPr>
          <w:rStyle w:val="54"/>
          <w:rFonts w:eastAsia="黑体"/>
          <w:color w:val="000000" w:themeColor="text1"/>
          <w:sz w:val="32"/>
          <w:szCs w:val="32"/>
          <w14:textFill>
            <w14:solidFill>
              <w14:schemeClr w14:val="tx1"/>
            </w14:solidFill>
          </w14:textFill>
        </w:rPr>
        <w:t xml:space="preserve">章 </w:t>
      </w:r>
      <w:r>
        <w:rPr>
          <w:rStyle w:val="54"/>
          <w:rFonts w:hint="eastAsia" w:eastAsia="黑体"/>
          <w:color w:val="000000" w:themeColor="text1"/>
          <w:sz w:val="32"/>
          <w:szCs w:val="32"/>
          <w14:textFill>
            <w14:solidFill>
              <w14:schemeClr w14:val="tx1"/>
            </w14:solidFill>
          </w14:textFill>
        </w:rPr>
        <w:t>保险方案</w:t>
      </w:r>
      <w:r>
        <w:rPr>
          <w:rStyle w:val="54"/>
          <w:rFonts w:eastAsia="黑体"/>
          <w:color w:val="000000" w:themeColor="text1"/>
          <w:sz w:val="32"/>
          <w:szCs w:val="32"/>
          <w14:textFill>
            <w14:solidFill>
              <w14:schemeClr w14:val="tx1"/>
            </w14:solidFill>
          </w14:textFill>
        </w:rPr>
        <w:tab/>
      </w:r>
      <w:r>
        <w:rPr>
          <w:rStyle w:val="54"/>
          <w:rFonts w:eastAsia="黑体"/>
          <w:color w:val="000000" w:themeColor="text1"/>
          <w:sz w:val="32"/>
          <w:szCs w:val="32"/>
          <w14:textFill>
            <w14:solidFill>
              <w14:schemeClr w14:val="tx1"/>
            </w14:solidFill>
          </w14:textFill>
        </w:rPr>
        <w:fldChar w:fldCharType="end"/>
      </w:r>
      <w:r>
        <w:rPr>
          <w:rStyle w:val="54"/>
          <w:rFonts w:eastAsia="黑体"/>
          <w:color w:val="000000" w:themeColor="text1"/>
          <w:sz w:val="32"/>
          <w:szCs w:val="32"/>
          <w14:textFill>
            <w14:solidFill>
              <w14:schemeClr w14:val="tx1"/>
            </w14:solidFill>
          </w14:textFill>
        </w:rPr>
        <w:t>2</w:t>
      </w:r>
      <w:r>
        <w:rPr>
          <w:rStyle w:val="54"/>
          <w:rFonts w:hint="eastAsia" w:eastAsia="黑体"/>
          <w:color w:val="000000" w:themeColor="text1"/>
          <w:sz w:val="32"/>
          <w:szCs w:val="32"/>
          <w14:textFill>
            <w14:solidFill>
              <w14:schemeClr w14:val="tx1"/>
            </w14:solidFill>
          </w14:textFill>
        </w:rPr>
        <w:t>8</w:t>
      </w:r>
    </w:p>
    <w:p w14:paraId="5A78B0BC">
      <w:pPr>
        <w:pStyle w:val="29"/>
        <w:tabs>
          <w:tab w:val="right" w:leader="dot" w:pos="9639"/>
        </w:tabs>
        <w:spacing w:line="360" w:lineRule="auto"/>
        <w:rPr>
          <w:rStyle w:val="54"/>
          <w:rFonts w:eastAsia="黑体"/>
          <w:color w:val="000000" w:themeColor="text1"/>
          <w14:textFill>
            <w14:solidFill>
              <w14:schemeClr w14:val="tx1"/>
            </w14:solidFill>
          </w14:textFill>
        </w:rPr>
      </w:pPr>
      <w:r>
        <w:fldChar w:fldCharType="begin"/>
      </w:r>
      <w:r>
        <w:instrText xml:space="preserve"> HYPERLINK "file:///C:\\Users\\zhaos\\AppData\\Local\\Temp\\定稿-招标文件-监测监控能力建设项目-1.docx" \l "_Toc29764" \o "file:///C:UserszhaosAppDataLocalTemp定稿-招标文件-监测监控能力建设项目-1.docx#_Toc29764" </w:instrText>
      </w:r>
      <w:r>
        <w:fldChar w:fldCharType="separate"/>
      </w:r>
      <w:r>
        <w:rPr>
          <w:rStyle w:val="54"/>
          <w:rFonts w:eastAsia="黑体"/>
          <w:color w:val="000000" w:themeColor="text1"/>
          <w:sz w:val="32"/>
          <w:szCs w:val="32"/>
          <w14:textFill>
            <w14:solidFill>
              <w14:schemeClr w14:val="tx1"/>
            </w14:solidFill>
          </w14:textFill>
        </w:rPr>
        <w:t>第</w:t>
      </w:r>
      <w:r>
        <w:rPr>
          <w:rStyle w:val="54"/>
          <w:rFonts w:hint="eastAsia" w:eastAsia="黑体"/>
          <w:color w:val="000000" w:themeColor="text1"/>
          <w:sz w:val="32"/>
          <w:szCs w:val="32"/>
          <w14:textFill>
            <w14:solidFill>
              <w14:schemeClr w14:val="tx1"/>
            </w14:solidFill>
          </w14:textFill>
        </w:rPr>
        <w:t>六</w:t>
      </w:r>
      <w:r>
        <w:rPr>
          <w:rStyle w:val="54"/>
          <w:rFonts w:eastAsia="黑体"/>
          <w:color w:val="000000" w:themeColor="text1"/>
          <w:sz w:val="32"/>
          <w:szCs w:val="32"/>
          <w14:textFill>
            <w14:solidFill>
              <w14:schemeClr w14:val="tx1"/>
            </w14:solidFill>
          </w14:textFill>
        </w:rPr>
        <w:t>章 政府采购合同（格式）</w:t>
      </w:r>
      <w:r>
        <w:rPr>
          <w:rStyle w:val="54"/>
          <w:rFonts w:eastAsia="黑体"/>
          <w:color w:val="000000" w:themeColor="text1"/>
          <w:sz w:val="32"/>
          <w:szCs w:val="32"/>
          <w14:textFill>
            <w14:solidFill>
              <w14:schemeClr w14:val="tx1"/>
            </w14:solidFill>
          </w14:textFill>
        </w:rPr>
        <w:tab/>
      </w:r>
      <w:r>
        <w:rPr>
          <w:rStyle w:val="54"/>
          <w:rFonts w:eastAsia="黑体"/>
          <w:color w:val="000000" w:themeColor="text1"/>
          <w:sz w:val="32"/>
          <w:szCs w:val="32"/>
          <w14:textFill>
            <w14:solidFill>
              <w14:schemeClr w14:val="tx1"/>
            </w14:solidFill>
          </w14:textFill>
        </w:rPr>
        <w:fldChar w:fldCharType="end"/>
      </w:r>
      <w:r>
        <w:rPr>
          <w:rStyle w:val="54"/>
          <w:rFonts w:hint="eastAsia" w:eastAsia="黑体"/>
          <w:color w:val="000000" w:themeColor="text1"/>
          <w:sz w:val="32"/>
          <w:szCs w:val="32"/>
          <w14:textFill>
            <w14:solidFill>
              <w14:schemeClr w14:val="tx1"/>
            </w14:solidFill>
          </w14:textFill>
        </w:rPr>
        <w:t>30</w:t>
      </w:r>
    </w:p>
    <w:p w14:paraId="07D49347">
      <w:pPr>
        <w:pStyle w:val="29"/>
        <w:tabs>
          <w:tab w:val="right" w:leader="dot" w:pos="9639"/>
        </w:tabs>
        <w:spacing w:line="360" w:lineRule="auto"/>
        <w:rPr>
          <w:color w:val="000000" w:themeColor="text1"/>
          <w:sz w:val="32"/>
          <w:szCs w:val="32"/>
          <w14:textFill>
            <w14:solidFill>
              <w14:schemeClr w14:val="tx1"/>
            </w14:solidFill>
          </w14:textFill>
        </w:rPr>
      </w:pPr>
      <w:r>
        <w:fldChar w:fldCharType="begin"/>
      </w:r>
      <w:r>
        <w:instrText xml:space="preserve"> HYPERLINK "file:///C:\\Users\\zhaos\\AppData\\Local\\Temp\\定稿-招标文件-监测监控能力建设项目-1.docx" \l "_Toc3743" \o "file:///C:UserszhaosAppDataLocalTemp定稿-招标文件-监测监控能力建设项目-1.docx#_Toc3743" </w:instrText>
      </w:r>
      <w:r>
        <w:fldChar w:fldCharType="separate"/>
      </w:r>
      <w:r>
        <w:rPr>
          <w:rStyle w:val="54"/>
          <w:rFonts w:eastAsia="黑体"/>
          <w:color w:val="000000" w:themeColor="text1"/>
          <w:sz w:val="32"/>
          <w:szCs w:val="32"/>
          <w14:textFill>
            <w14:solidFill>
              <w14:schemeClr w14:val="tx1"/>
            </w14:solidFill>
          </w14:textFill>
        </w:rPr>
        <w:t>第</w:t>
      </w:r>
      <w:r>
        <w:rPr>
          <w:rStyle w:val="54"/>
          <w:rFonts w:hint="eastAsia" w:eastAsia="黑体"/>
          <w:color w:val="000000" w:themeColor="text1"/>
          <w:sz w:val="32"/>
          <w:szCs w:val="32"/>
          <w14:textFill>
            <w14:solidFill>
              <w14:schemeClr w14:val="tx1"/>
            </w14:solidFill>
          </w14:textFill>
        </w:rPr>
        <w:t>七</w:t>
      </w:r>
      <w:r>
        <w:rPr>
          <w:rStyle w:val="54"/>
          <w:rFonts w:eastAsia="黑体"/>
          <w:color w:val="000000" w:themeColor="text1"/>
          <w:sz w:val="32"/>
          <w:szCs w:val="32"/>
          <w14:textFill>
            <w14:solidFill>
              <w14:schemeClr w14:val="tx1"/>
            </w14:solidFill>
          </w14:textFill>
        </w:rPr>
        <w:t>章 投标文件（格式）</w:t>
      </w:r>
      <w:r>
        <w:rPr>
          <w:rStyle w:val="54"/>
          <w:color w:val="000000" w:themeColor="text1"/>
          <w:sz w:val="32"/>
          <w:szCs w:val="32"/>
          <w14:textFill>
            <w14:solidFill>
              <w14:schemeClr w14:val="tx1"/>
            </w14:solidFill>
          </w14:textFill>
        </w:rPr>
        <w:tab/>
      </w:r>
      <w:r>
        <w:rPr>
          <w:rStyle w:val="54"/>
          <w:color w:val="000000" w:themeColor="text1"/>
          <w:sz w:val="32"/>
          <w:szCs w:val="32"/>
          <w14:textFill>
            <w14:solidFill>
              <w14:schemeClr w14:val="tx1"/>
            </w14:solidFill>
          </w14:textFill>
        </w:rPr>
        <w:fldChar w:fldCharType="end"/>
      </w:r>
      <w:r>
        <w:rPr>
          <w:rStyle w:val="54"/>
          <w:color w:val="000000" w:themeColor="text1"/>
          <w:sz w:val="32"/>
          <w:szCs w:val="32"/>
          <w14:textFill>
            <w14:solidFill>
              <w14:schemeClr w14:val="tx1"/>
            </w14:solidFill>
          </w14:textFill>
        </w:rPr>
        <w:t>3</w:t>
      </w:r>
      <w:r>
        <w:rPr>
          <w:rStyle w:val="54"/>
          <w:rFonts w:hint="eastAsia"/>
          <w:color w:val="000000" w:themeColor="text1"/>
          <w:sz w:val="32"/>
          <w:szCs w:val="32"/>
          <w14:textFill>
            <w14:solidFill>
              <w14:schemeClr w14:val="tx1"/>
            </w14:solidFill>
          </w14:textFill>
        </w:rPr>
        <w:t>3</w:t>
      </w:r>
    </w:p>
    <w:p w14:paraId="17327E45">
      <w:pPr>
        <w:spacing w:line="360" w:lineRule="auto"/>
        <w:rPr>
          <w:bCs/>
          <w:color w:val="000000" w:themeColor="text1"/>
          <w:sz w:val="30"/>
          <w:szCs w:val="30"/>
          <w14:textFill>
            <w14:solidFill>
              <w14:schemeClr w14:val="tx1"/>
            </w14:solidFill>
          </w14:textFill>
        </w:rPr>
      </w:pPr>
    </w:p>
    <w:p w14:paraId="162D3798">
      <w:pPr>
        <w:spacing w:line="360" w:lineRule="auto"/>
        <w:rPr>
          <w:bCs/>
          <w:color w:val="000000" w:themeColor="text1"/>
          <w:sz w:val="30"/>
          <w:szCs w:val="30"/>
          <w14:textFill>
            <w14:solidFill>
              <w14:schemeClr w14:val="tx1"/>
            </w14:solidFill>
          </w14:textFill>
        </w:rPr>
      </w:pPr>
    </w:p>
    <w:p w14:paraId="5123EDF4">
      <w:pPr>
        <w:spacing w:line="360" w:lineRule="auto"/>
        <w:rPr>
          <w:bCs/>
          <w:color w:val="000000" w:themeColor="text1"/>
          <w:sz w:val="30"/>
          <w14:textFill>
            <w14:solidFill>
              <w14:schemeClr w14:val="tx1"/>
            </w14:solidFill>
          </w14:textFill>
        </w:rPr>
      </w:pPr>
    </w:p>
    <w:p w14:paraId="2326F843">
      <w:pPr>
        <w:spacing w:line="360" w:lineRule="auto"/>
        <w:rPr>
          <w:bCs/>
          <w:color w:val="000000" w:themeColor="text1"/>
          <w:sz w:val="30"/>
          <w14:textFill>
            <w14:solidFill>
              <w14:schemeClr w14:val="tx1"/>
            </w14:solidFill>
          </w14:textFill>
        </w:rPr>
      </w:pPr>
    </w:p>
    <w:p w14:paraId="7F5BB580">
      <w:pPr>
        <w:spacing w:line="360" w:lineRule="auto"/>
        <w:jc w:val="center"/>
        <w:rPr>
          <w:b/>
          <w:bCs/>
          <w:color w:val="000000" w:themeColor="text1"/>
          <w:sz w:val="28"/>
          <w:szCs w:val="28"/>
          <w14:textFill>
            <w14:solidFill>
              <w14:schemeClr w14:val="tx1"/>
            </w14:solidFill>
          </w14:textFill>
        </w:rPr>
      </w:pPr>
      <w:bookmarkStart w:id="0" w:name="报价方须知前附表"/>
      <w:bookmarkEnd w:id="0"/>
      <w:r>
        <w:rPr>
          <w:bCs/>
          <w:color w:val="000000" w:themeColor="text1"/>
          <w:sz w:val="32"/>
          <w14:textFill>
            <w14:solidFill>
              <w14:schemeClr w14:val="tx1"/>
            </w14:solidFill>
          </w14:textFill>
        </w:rPr>
        <w:br w:type="page" w:clear="all"/>
      </w:r>
      <w:r>
        <w:rPr>
          <w:b/>
          <w:bCs/>
          <w:color w:val="000000" w:themeColor="text1"/>
          <w:sz w:val="28"/>
          <w:szCs w:val="28"/>
          <w14:textFill>
            <w14:solidFill>
              <w14:schemeClr w14:val="tx1"/>
            </w14:solidFill>
          </w14:textFill>
        </w:rPr>
        <w:t>第一章 投标邀请函</w:t>
      </w:r>
    </w:p>
    <w:p w14:paraId="2FE40700">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宜兴市民政局委托恒泰保险经纪有限公司对</w:t>
      </w:r>
      <w:r>
        <w:rPr>
          <w:color w:val="000000" w:themeColor="text1"/>
          <w:sz w:val="24"/>
          <w:szCs w:val="28"/>
          <w14:textFill>
            <w14:solidFill>
              <w14:schemeClr w14:val="tx1"/>
            </w14:solidFill>
          </w14:textFill>
        </w:rPr>
        <w:t>养老机构综合责任保险、养老机构入住老人意外伤害保险和居家养老服务机构综合责任保险进行公开招标，</w:t>
      </w:r>
      <w:r>
        <w:rPr>
          <w:bCs/>
          <w:color w:val="000000" w:themeColor="text1"/>
          <w:sz w:val="24"/>
          <w:szCs w:val="24"/>
          <w14:textFill>
            <w14:solidFill>
              <w14:schemeClr w14:val="tx1"/>
            </w14:solidFill>
          </w14:textFill>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56"/>
        <w:gridCol w:w="1576"/>
        <w:gridCol w:w="6534"/>
      </w:tblGrid>
      <w:tr w14:paraId="63EC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3" w:type="dxa"/>
          </w:tcPr>
          <w:p w14:paraId="16E606FF">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序号</w:t>
            </w:r>
          </w:p>
        </w:tc>
        <w:tc>
          <w:tcPr>
            <w:tcW w:w="856" w:type="dxa"/>
          </w:tcPr>
          <w:p w14:paraId="5AB32187">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事项</w:t>
            </w:r>
          </w:p>
        </w:tc>
        <w:tc>
          <w:tcPr>
            <w:tcW w:w="8110" w:type="dxa"/>
            <w:gridSpan w:val="2"/>
          </w:tcPr>
          <w:p w14:paraId="36BCF893">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内容</w:t>
            </w:r>
          </w:p>
        </w:tc>
      </w:tr>
      <w:tr w14:paraId="53693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33" w:type="dxa"/>
            <w:vAlign w:val="center"/>
          </w:tcPr>
          <w:p w14:paraId="74AD4F69">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w:t>
            </w:r>
          </w:p>
        </w:tc>
        <w:tc>
          <w:tcPr>
            <w:tcW w:w="856" w:type="dxa"/>
            <w:vAlign w:val="center"/>
          </w:tcPr>
          <w:p w14:paraId="2F19AFB9">
            <w:pPr>
              <w:jc w:val="center"/>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项</w:t>
            </w:r>
          </w:p>
          <w:p w14:paraId="569396C3">
            <w:pPr>
              <w:jc w:val="center"/>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目</w:t>
            </w:r>
          </w:p>
          <w:p w14:paraId="374C0259">
            <w:pPr>
              <w:jc w:val="center"/>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信</w:t>
            </w:r>
          </w:p>
          <w:p w14:paraId="1D92C4F1">
            <w:pPr>
              <w:jc w:val="center"/>
              <w:rPr>
                <w:bCs/>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息</w:t>
            </w:r>
          </w:p>
        </w:tc>
        <w:tc>
          <w:tcPr>
            <w:tcW w:w="8110" w:type="dxa"/>
            <w:gridSpan w:val="2"/>
          </w:tcPr>
          <w:p w14:paraId="0121734F">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项目名称：养老机构综合责任保险、养老机构入住老人意外伤害保险和居家养老服务机构综合责任保险</w:t>
            </w:r>
          </w:p>
          <w:p w14:paraId="180F4947">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项目编号: JSZC-320282-HTBX-G2025-0004</w:t>
            </w:r>
          </w:p>
          <w:p w14:paraId="374F2518">
            <w:pPr>
              <w:spacing w:line="360" w:lineRule="auto"/>
              <w:rPr>
                <w:bCs/>
                <w:color w:val="000000" w:themeColor="text1"/>
                <w:sz w:val="24"/>
                <w14:textFill>
                  <w14:solidFill>
                    <w14:schemeClr w14:val="tx1"/>
                  </w14:solidFill>
                </w14:textFill>
              </w:rPr>
            </w:pPr>
            <w:r>
              <w:rPr>
                <w:bCs/>
                <w:color w:val="000000" w:themeColor="text1"/>
                <w:sz w:val="24"/>
                <w:szCs w:val="24"/>
                <w14:textFill>
                  <w14:solidFill>
                    <w14:schemeClr w14:val="tx1"/>
                  </w14:solidFill>
                </w14:textFill>
              </w:rPr>
              <w:t>定点时间：</w:t>
            </w:r>
            <w:r>
              <w:rPr>
                <w:bCs/>
                <w:color w:val="000000" w:themeColor="text1"/>
                <w:sz w:val="24"/>
                <w14:textFill>
                  <w14:solidFill>
                    <w14:schemeClr w14:val="tx1"/>
                  </w14:solidFill>
                </w14:textFill>
              </w:rPr>
              <w:t>壹年（自合同签订生效之日起）</w:t>
            </w:r>
          </w:p>
          <w:p w14:paraId="2D8C9F76">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采购人：宜兴市民政局</w:t>
            </w:r>
          </w:p>
          <w:p w14:paraId="34A72643">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品    目：服务　　　　　　　　　　　　　　　　　　　　　　　　　　　　　　　　　　　　　　　　　　　　　　　　　　　　　　　　　　　　　　　　　　　　　　　　　　　　　　　　　　　　　　　　　</w:t>
            </w:r>
          </w:p>
          <w:p w14:paraId="206C2C57">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采购方式：公开招标 </w:t>
            </w:r>
          </w:p>
          <w:p w14:paraId="73BE4D62">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评标方法：综合评分法</w:t>
            </w:r>
          </w:p>
          <w:p w14:paraId="11DD9EB7">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标的行业：其他未列明行业 </w:t>
            </w:r>
          </w:p>
          <w:p w14:paraId="7FE97BA7">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本项目是否专门面向中小企业：否 </w:t>
            </w:r>
          </w:p>
          <w:p w14:paraId="3BBF8EFA">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预算金额：</w:t>
            </w:r>
            <w:r>
              <w:rPr>
                <w:rFonts w:hint="eastAsia" w:ascii="宋体" w:hAnsi="宋体" w:cs="宋体"/>
                <w:sz w:val="24"/>
                <w:szCs w:val="24"/>
              </w:rPr>
              <w:t>68.79万元</w:t>
            </w:r>
          </w:p>
        </w:tc>
      </w:tr>
      <w:tr w14:paraId="7A9E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3" w:type="dxa"/>
            <w:vMerge w:val="restart"/>
            <w:vAlign w:val="center"/>
          </w:tcPr>
          <w:p w14:paraId="4C7A77B4">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w:t>
            </w:r>
          </w:p>
        </w:tc>
        <w:tc>
          <w:tcPr>
            <w:tcW w:w="856" w:type="dxa"/>
            <w:vMerge w:val="restart"/>
            <w:vAlign w:val="center"/>
          </w:tcPr>
          <w:p w14:paraId="52ADBACB">
            <w:pPr>
              <w:spacing w:line="276" w:lineRule="auto"/>
              <w:jc w:val="center"/>
              <w:rPr>
                <w:b/>
                <w:bCs/>
                <w:color w:val="000000" w:themeColor="text1"/>
                <w:sz w:val="24"/>
                <w14:textFill>
                  <w14:solidFill>
                    <w14:schemeClr w14:val="tx1"/>
                  </w14:solidFill>
                </w14:textFill>
              </w:rPr>
            </w:pPr>
            <w:bookmarkStart w:id="1" w:name="OLE_LINK208"/>
            <w:r>
              <w:rPr>
                <w:b/>
                <w:bCs/>
                <w:color w:val="000000" w:themeColor="text1"/>
                <w:sz w:val="24"/>
                <w:lang w:val="zh-CN"/>
                <w14:textFill>
                  <w14:solidFill>
                    <w14:schemeClr w14:val="tx1"/>
                  </w14:solidFill>
                </w14:textFill>
              </w:rPr>
              <w:t>资</w:t>
            </w:r>
          </w:p>
          <w:p w14:paraId="711C7B5D">
            <w:pPr>
              <w:spacing w:line="276" w:lineRule="auto"/>
              <w:jc w:val="center"/>
              <w:rPr>
                <w:b/>
                <w:bCs/>
                <w:color w:val="000000" w:themeColor="text1"/>
                <w:sz w:val="24"/>
                <w14:textFill>
                  <w14:solidFill>
                    <w14:schemeClr w14:val="tx1"/>
                  </w14:solidFill>
                </w14:textFill>
              </w:rPr>
            </w:pPr>
            <w:r>
              <w:rPr>
                <w:b/>
                <w:bCs/>
                <w:color w:val="000000" w:themeColor="text1"/>
                <w:sz w:val="24"/>
                <w:lang w:val="zh-CN"/>
                <w14:textFill>
                  <w14:solidFill>
                    <w14:schemeClr w14:val="tx1"/>
                  </w14:solidFill>
                </w14:textFill>
              </w:rPr>
              <w:t>格</w:t>
            </w:r>
          </w:p>
          <w:p w14:paraId="2801D9BF">
            <w:pPr>
              <w:spacing w:line="276" w:lineRule="auto"/>
              <w:jc w:val="center"/>
              <w:rPr>
                <w:b/>
                <w:bCs/>
                <w:color w:val="000000" w:themeColor="text1"/>
                <w:sz w:val="24"/>
                <w14:textFill>
                  <w14:solidFill>
                    <w14:schemeClr w14:val="tx1"/>
                  </w14:solidFill>
                </w14:textFill>
              </w:rPr>
            </w:pPr>
            <w:r>
              <w:rPr>
                <w:b/>
                <w:bCs/>
                <w:color w:val="000000" w:themeColor="text1"/>
                <w:sz w:val="24"/>
                <w:lang w:val="zh-CN"/>
                <w14:textFill>
                  <w14:solidFill>
                    <w14:schemeClr w14:val="tx1"/>
                  </w14:solidFill>
                </w14:textFill>
              </w:rPr>
              <w:t>审</w:t>
            </w:r>
          </w:p>
          <w:p w14:paraId="6843AD2C">
            <w:pPr>
              <w:spacing w:line="276" w:lineRule="auto"/>
              <w:jc w:val="center"/>
              <w:rPr>
                <w:color w:val="000000" w:themeColor="text1"/>
                <w:sz w:val="24"/>
                <w14:textFill>
                  <w14:solidFill>
                    <w14:schemeClr w14:val="tx1"/>
                  </w14:solidFill>
                </w14:textFill>
              </w:rPr>
            </w:pPr>
            <w:r>
              <w:rPr>
                <w:b/>
                <w:bCs/>
                <w:color w:val="000000" w:themeColor="text1"/>
                <w:sz w:val="24"/>
                <w:lang w:val="zh-CN"/>
                <w14:textFill>
                  <w14:solidFill>
                    <w14:schemeClr w14:val="tx1"/>
                  </w14:solidFill>
                </w14:textFill>
              </w:rPr>
              <w:t>查</w:t>
            </w:r>
            <w:bookmarkEnd w:id="1"/>
          </w:p>
        </w:tc>
        <w:tc>
          <w:tcPr>
            <w:tcW w:w="8110" w:type="dxa"/>
            <w:gridSpan w:val="2"/>
          </w:tcPr>
          <w:p w14:paraId="2EE80D46">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1.满足《中华人民共和国政府采购法》第二十二条规定；</w:t>
            </w:r>
          </w:p>
          <w:p w14:paraId="0AC3A36B">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2.落实政府采购政策需满足的资格要求：无；</w:t>
            </w:r>
          </w:p>
          <w:p w14:paraId="7649F440">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3.其他要求</w:t>
            </w:r>
          </w:p>
          <w:p w14:paraId="6EABC459">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（1）无不良信用记录</w:t>
            </w:r>
          </w:p>
          <w:p w14:paraId="0BFE27EB">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（2）不接受联合体</w:t>
            </w:r>
          </w:p>
          <w:p w14:paraId="05A7A0F3">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（3）采购人特殊要求</w:t>
            </w:r>
          </w:p>
          <w:p w14:paraId="12B9CDEA">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1）符合《最高人民法院关于适用</w:t>
            </w:r>
            <w:r>
              <w:rPr>
                <w:rFonts w:hint="eastAsia"/>
                <w:bCs/>
                <w:color w:val="000000" w:themeColor="text1"/>
                <w:sz w:val="24"/>
                <w14:textFill>
                  <w14:solidFill>
                    <w14:schemeClr w14:val="tx1"/>
                  </w14:solidFill>
                </w14:textFill>
              </w:rPr>
              <w:t>〈</w:t>
            </w:r>
            <w:r>
              <w:rPr>
                <w:bCs/>
                <w:color w:val="000000" w:themeColor="text1"/>
                <w:sz w:val="24"/>
                <w14:textFill>
                  <w14:solidFill>
                    <w14:schemeClr w14:val="tx1"/>
                  </w14:solidFill>
                </w14:textFill>
              </w:rPr>
              <w:t>中华人民共和国民事诉讼法</w:t>
            </w:r>
            <w:r>
              <w:rPr>
                <w:rFonts w:hint="eastAsia"/>
                <w:bCs/>
                <w:color w:val="000000" w:themeColor="text1"/>
                <w:sz w:val="24"/>
                <w14:textFill>
                  <w14:solidFill>
                    <w14:schemeClr w14:val="tx1"/>
                  </w14:solidFill>
                </w14:textFill>
              </w:rPr>
              <w:t>〉</w:t>
            </w:r>
            <w:r>
              <w:rPr>
                <w:bCs/>
                <w:color w:val="000000" w:themeColor="text1"/>
                <w:sz w:val="24"/>
                <w14:textFill>
                  <w14:solidFill>
                    <w14:schemeClr w14:val="tx1"/>
                  </w14:solidFill>
                </w14:textFill>
              </w:rPr>
              <w:t>若干问题的意见》第四十条的规定；</w:t>
            </w:r>
          </w:p>
          <w:p w14:paraId="33AA4BE9">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w:t>
            </w:r>
            <w:r>
              <w:rPr>
                <w:rFonts w:hint="eastAsia" w:ascii="宋体" w:hAnsi="宋体"/>
                <w:sz w:val="24"/>
                <w:szCs w:val="24"/>
              </w:rPr>
              <w:t>具有国家金融监督管理部门核发的《中华人民共和国保险许可证》</w:t>
            </w:r>
            <w:r>
              <w:rPr>
                <w:rFonts w:hint="eastAsia"/>
                <w:bCs/>
                <w:color w:val="000000" w:themeColor="text1"/>
                <w:sz w:val="24"/>
                <w14:textFill>
                  <w14:solidFill>
                    <w14:schemeClr w14:val="tx1"/>
                  </w14:solidFill>
                </w14:textFill>
              </w:rPr>
              <w:t>。</w:t>
            </w:r>
          </w:p>
        </w:tc>
      </w:tr>
      <w:tr w14:paraId="03E8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33" w:type="dxa"/>
            <w:vMerge w:val="continue"/>
            <w:vAlign w:val="center"/>
          </w:tcPr>
          <w:p w14:paraId="13CCBA09">
            <w:pPr>
              <w:spacing w:line="240" w:lineRule="atLeast"/>
              <w:rPr>
                <w:color w:val="000000" w:themeColor="text1"/>
                <w14:textFill>
                  <w14:solidFill>
                    <w14:schemeClr w14:val="tx1"/>
                  </w14:solidFill>
                </w14:textFill>
              </w:rPr>
            </w:pPr>
          </w:p>
        </w:tc>
        <w:tc>
          <w:tcPr>
            <w:tcW w:w="856" w:type="dxa"/>
            <w:vMerge w:val="continue"/>
          </w:tcPr>
          <w:p w14:paraId="49FD9217">
            <w:pPr>
              <w:spacing w:line="240" w:lineRule="atLeast"/>
              <w:rPr>
                <w:color w:val="000000" w:themeColor="text1"/>
                <w14:textFill>
                  <w14:solidFill>
                    <w14:schemeClr w14:val="tx1"/>
                  </w14:solidFill>
                </w14:textFill>
              </w:rPr>
            </w:pPr>
          </w:p>
        </w:tc>
        <w:tc>
          <w:tcPr>
            <w:tcW w:w="8110" w:type="dxa"/>
            <w:gridSpan w:val="2"/>
            <w:vAlign w:val="center"/>
          </w:tcPr>
          <w:p w14:paraId="1D158634">
            <w:pPr>
              <w:spacing w:line="360" w:lineRule="auto"/>
              <w:rPr>
                <w:bCs/>
                <w:color w:val="000000" w:themeColor="text1"/>
                <w:sz w:val="24"/>
                <w:szCs w:val="21"/>
                <w14:textFill>
                  <w14:solidFill>
                    <w14:schemeClr w14:val="tx1"/>
                  </w14:solidFill>
                </w14:textFill>
              </w:rPr>
            </w:pPr>
            <w:r>
              <w:rPr>
                <w:bCs/>
                <w:color w:val="000000" w:themeColor="text1"/>
                <w:sz w:val="24"/>
                <w:szCs w:val="21"/>
                <w14:textFill>
                  <w14:solidFill>
                    <w14:schemeClr w14:val="tx1"/>
                  </w14:solidFill>
                </w14:textFill>
              </w:rPr>
              <w:t>投标保证金：本项目免收投标保证金。</w:t>
            </w:r>
          </w:p>
        </w:tc>
      </w:tr>
      <w:tr w14:paraId="02A2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3" w:type="dxa"/>
            <w:vMerge w:val="continue"/>
            <w:vAlign w:val="center"/>
          </w:tcPr>
          <w:p w14:paraId="7E1B256C">
            <w:pPr>
              <w:spacing w:line="240" w:lineRule="atLeast"/>
              <w:rPr>
                <w:color w:val="000000" w:themeColor="text1"/>
                <w14:textFill>
                  <w14:solidFill>
                    <w14:schemeClr w14:val="tx1"/>
                  </w14:solidFill>
                </w14:textFill>
              </w:rPr>
            </w:pPr>
          </w:p>
        </w:tc>
        <w:tc>
          <w:tcPr>
            <w:tcW w:w="856" w:type="dxa"/>
            <w:vMerge w:val="continue"/>
          </w:tcPr>
          <w:p w14:paraId="391C14A6">
            <w:pPr>
              <w:spacing w:line="240" w:lineRule="atLeast"/>
              <w:rPr>
                <w:bCs/>
                <w:color w:val="000000" w:themeColor="text1"/>
                <w:sz w:val="24"/>
                <w:szCs w:val="21"/>
                <w14:textFill>
                  <w14:solidFill>
                    <w14:schemeClr w14:val="tx1"/>
                  </w14:solidFill>
                </w14:textFill>
              </w:rPr>
            </w:pPr>
          </w:p>
        </w:tc>
        <w:tc>
          <w:tcPr>
            <w:tcW w:w="8110" w:type="dxa"/>
            <w:gridSpan w:val="2"/>
          </w:tcPr>
          <w:p w14:paraId="46C9B756">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拒绝下述供应商参加本次采购活动：</w:t>
            </w:r>
          </w:p>
          <w:p w14:paraId="7F4E28A6">
            <w:pPr>
              <w:spacing w:line="360" w:lineRule="auto"/>
              <w:rPr>
                <w:bCs/>
                <w:color w:val="000000" w:themeColor="text1"/>
                <w:sz w:val="24"/>
                <w:szCs w:val="21"/>
                <w14:textFill>
                  <w14:solidFill>
                    <w14:schemeClr w14:val="tx1"/>
                  </w14:solidFill>
                </w14:textFill>
              </w:rPr>
            </w:pPr>
            <w:r>
              <w:rPr>
                <w:bCs/>
                <w:color w:val="000000" w:themeColor="text1"/>
                <w:sz w:val="24"/>
                <w14:textFill>
                  <w14:solidFill>
                    <w14:schemeClr w14:val="tx1"/>
                  </w14:solidFill>
                </w14:textFill>
              </w:rPr>
              <w:t>供应商单位负责人为同一人或者存在直接控股、管理关系的不同供应商，不得参加同一合同项下的政府采购活动，否则相关投标将被认定为无效投标。</w:t>
            </w:r>
          </w:p>
        </w:tc>
      </w:tr>
      <w:tr w14:paraId="35F3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3" w:type="dxa"/>
            <w:vAlign w:val="center"/>
          </w:tcPr>
          <w:p w14:paraId="171552AF">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w:t>
            </w:r>
          </w:p>
        </w:tc>
        <w:tc>
          <w:tcPr>
            <w:tcW w:w="856" w:type="dxa"/>
            <w:vAlign w:val="center"/>
          </w:tcPr>
          <w:p w14:paraId="51DCC4A1">
            <w:pPr>
              <w:jc w:val="center"/>
              <w:rPr>
                <w:bCs/>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招标文件</w:t>
            </w:r>
          </w:p>
        </w:tc>
        <w:tc>
          <w:tcPr>
            <w:tcW w:w="8110" w:type="dxa"/>
            <w:gridSpan w:val="2"/>
          </w:tcPr>
          <w:p w14:paraId="0576AB4A">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1.“招标文件”的获取：投标文件提交截止时间前，通过“江苏政府采购网”首页“苏采云”标签进入系统，应在“项目参与”</w:t>
            </w:r>
            <w:r>
              <w:rPr>
                <w:rFonts w:hint="eastAsia"/>
                <w:bCs/>
                <w:color w:val="000000" w:themeColor="text1"/>
                <w:sz w:val="24"/>
                <w14:textFill>
                  <w14:solidFill>
                    <w14:schemeClr w14:val="tx1"/>
                  </w14:solidFill>
                </w14:textFill>
              </w:rPr>
              <w:t>中</w:t>
            </w:r>
            <w:r>
              <w:rPr>
                <w:bCs/>
                <w:color w:val="000000" w:themeColor="text1"/>
                <w:sz w:val="24"/>
                <w14:textFill>
                  <w14:solidFill>
                    <w14:schemeClr w14:val="tx1"/>
                  </w14:solidFill>
                </w14:textFill>
              </w:rPr>
              <w:t>下载电子招标文件(后缀名为“.kedt”)；可在“江苏政府采购网”采购公告附件中下载word版招标文件。</w:t>
            </w:r>
          </w:p>
          <w:p w14:paraId="18498B40">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2.“CA锁”的使用：投标人须办理有效的CA锁（即有效的CA数字证书及电子签章）才可参与全流程电子政府采购活动，省内各地区办理的“苏采云”系统下的CA锁全省通用。</w:t>
            </w:r>
          </w:p>
          <w:p w14:paraId="43E465DF">
            <w:pPr>
              <w:spacing w:line="360" w:lineRule="auto"/>
              <w:rPr>
                <w:color w:val="000000" w:themeColor="text1"/>
                <w:sz w:val="24"/>
                <w14:textFill>
                  <w14:solidFill>
                    <w14:schemeClr w14:val="tx1"/>
                  </w14:solidFill>
                </w14:textFill>
              </w:rPr>
            </w:pPr>
            <w:r>
              <w:rPr>
                <w:bCs/>
                <w:color w:val="000000" w:themeColor="text1"/>
                <w:sz w:val="24"/>
                <w14:textFill>
                  <w14:solidFill>
                    <w14:schemeClr w14:val="tx1"/>
                  </w14:solidFill>
                </w14:textFill>
              </w:rPr>
              <w:t>3.CA锁办理方式:“苏采云”系统供应商操作手册及政府采购客户端工具详见江苏政府采购网“办事指南”中的资料下载专栏中的《江苏省政府采购管理交易系统（苏采云)供应商操作指南》。</w:t>
            </w:r>
          </w:p>
        </w:tc>
      </w:tr>
      <w:tr w14:paraId="65E6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33" w:type="dxa"/>
            <w:vAlign w:val="center"/>
          </w:tcPr>
          <w:p w14:paraId="2612B79A">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4</w:t>
            </w:r>
          </w:p>
        </w:tc>
        <w:tc>
          <w:tcPr>
            <w:tcW w:w="856" w:type="dxa"/>
            <w:vAlign w:val="center"/>
          </w:tcPr>
          <w:p w14:paraId="6C6DA8A2">
            <w:pPr>
              <w:jc w:val="center"/>
              <w:rPr>
                <w:bCs/>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投标文件</w:t>
            </w:r>
          </w:p>
        </w:tc>
        <w:tc>
          <w:tcPr>
            <w:tcW w:w="8110" w:type="dxa"/>
            <w:gridSpan w:val="2"/>
          </w:tcPr>
          <w:p w14:paraId="182D3808">
            <w:pPr>
              <w:spacing w:line="360" w:lineRule="auto"/>
              <w:rPr>
                <w:bCs/>
                <w:color w:val="000000" w:themeColor="text1"/>
                <w:sz w:val="24"/>
                <w14:textFill>
                  <w14:solidFill>
                    <w14:schemeClr w14:val="tx1"/>
                  </w14:solidFill>
                </w14:textFill>
              </w:rPr>
            </w:pPr>
            <w:bookmarkStart w:id="2" w:name="_Hlk127868380"/>
            <w:r>
              <w:rPr>
                <w:bCs/>
                <w:color w:val="000000" w:themeColor="text1"/>
                <w:sz w:val="24"/>
                <w14:textFill>
                  <w14:solidFill>
                    <w14:schemeClr w14:val="tx1"/>
                  </w14:solidFill>
                </w14:textFill>
              </w:rPr>
              <w:t>1.“投标文件”制作及提交：将后缀名为“.kedt”的招标文件导入政府采购客户端工具制作投标文件,导出加密的投标文件(后缀名为zip),通过“苏采云”系统上传投标文件。</w:t>
            </w:r>
            <w:bookmarkEnd w:id="2"/>
          </w:p>
          <w:p w14:paraId="343AB92A">
            <w:pPr>
              <w:spacing w:line="360" w:lineRule="auto"/>
              <w:rPr>
                <w:bCs/>
                <w:color w:val="000000" w:themeColor="text1"/>
                <w:sz w:val="24"/>
                <w:szCs w:val="24"/>
                <w14:textFill>
                  <w14:solidFill>
                    <w14:schemeClr w14:val="tx1"/>
                  </w14:solidFill>
                </w14:textFill>
              </w:rPr>
            </w:pPr>
            <w:r>
              <w:rPr>
                <w:bCs/>
                <w:color w:val="000000" w:themeColor="text1"/>
                <w:sz w:val="24"/>
                <w14:textFill>
                  <w14:solidFill>
                    <w14:schemeClr w14:val="tx1"/>
                  </w14:solidFill>
                </w14:textFill>
              </w:rPr>
              <w:t xml:space="preserve">2.提交投标文件截止时间后的投标文件，恕不接受。 </w:t>
            </w:r>
          </w:p>
        </w:tc>
      </w:tr>
      <w:tr w14:paraId="5A03A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33" w:type="dxa"/>
            <w:vAlign w:val="center"/>
          </w:tcPr>
          <w:p w14:paraId="211D10CB">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5</w:t>
            </w:r>
          </w:p>
        </w:tc>
        <w:tc>
          <w:tcPr>
            <w:tcW w:w="856" w:type="dxa"/>
            <w:vAlign w:val="center"/>
          </w:tcPr>
          <w:p w14:paraId="67B26EDF">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开标时间</w:t>
            </w:r>
          </w:p>
        </w:tc>
        <w:tc>
          <w:tcPr>
            <w:tcW w:w="8110" w:type="dxa"/>
            <w:gridSpan w:val="2"/>
          </w:tcPr>
          <w:p w14:paraId="376437F6">
            <w:pPr>
              <w:spacing w:line="360" w:lineRule="auto"/>
              <w:rPr>
                <w:bCs/>
                <w:color w:val="000000" w:themeColor="text1"/>
                <w:sz w:val="24"/>
                <w14:textFill>
                  <w14:solidFill>
                    <w14:schemeClr w14:val="tx1"/>
                  </w14:solidFill>
                </w14:textFill>
              </w:rPr>
            </w:pPr>
            <w:bookmarkStart w:id="3" w:name="_Hlk127868748"/>
            <w:r>
              <w:rPr>
                <w:bCs/>
                <w:color w:val="000000" w:themeColor="text1"/>
                <w:sz w:val="24"/>
                <w14:textFill>
                  <w14:solidFill>
                    <w14:schemeClr w14:val="tx1"/>
                  </w14:solidFill>
                </w14:textFill>
              </w:rPr>
              <w:t>本项目采用远程不见面交易模式，通过不见面交易系统及相应的配套硬件设备（摄像头、话筒、麦克风等）完成远程解密、开标现场异议及回复、开标唱标等交互环节。</w:t>
            </w:r>
            <w:bookmarkEnd w:id="3"/>
          </w:p>
          <w:p w14:paraId="46EFED17">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1.不见面开标注意事项</w:t>
            </w:r>
          </w:p>
          <w:p w14:paraId="26F5E003">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1.1不见面开标项目的时间均以国家授时中心发布的时间为准；</w:t>
            </w:r>
          </w:p>
          <w:p w14:paraId="6F7C8BC2">
            <w:pPr>
              <w:spacing w:line="360" w:lineRule="auto"/>
              <w:rPr>
                <w:bCs/>
                <w:color w:val="000000" w:themeColor="text1"/>
                <w:sz w:val="24"/>
                <w14:textFill>
                  <w14:solidFill>
                    <w14:schemeClr w14:val="tx1"/>
                  </w14:solidFill>
                </w14:textFill>
              </w:rPr>
            </w:pPr>
            <w:bookmarkStart w:id="4" w:name="_Hlk127868774"/>
            <w:r>
              <w:rPr>
                <w:bCs/>
                <w:color w:val="000000" w:themeColor="text1"/>
                <w:sz w:val="24"/>
                <w14:textFill>
                  <w14:solidFill>
                    <w14:schemeClr w14:val="tx1"/>
                  </w14:solidFill>
                </w14:textFill>
              </w:rPr>
              <w:t>1.2开标当日，投标人不必抵达开标现场，仅需在任意地点通过“苏采云”系统</w:t>
            </w:r>
            <w:r>
              <w:fldChar w:fldCharType="begin"/>
            </w:r>
            <w:r>
              <w:instrText xml:space="preserve"> HYPERLINK "http://jszfcg.jsczt.cn/）" </w:instrText>
            </w:r>
            <w:r>
              <w:fldChar w:fldCharType="separate"/>
            </w:r>
            <w:r>
              <w:rPr>
                <w:bCs/>
                <w:color w:val="000000" w:themeColor="text1"/>
                <w:sz w:val="24"/>
                <w14:textFill>
                  <w14:solidFill>
                    <w14:schemeClr w14:val="tx1"/>
                  </w14:solidFill>
                </w14:textFill>
              </w:rPr>
              <w:t>“开标大厅”参与开标过程；</w:t>
            </w:r>
            <w:r>
              <w:rPr>
                <w:bCs/>
                <w:color w:val="000000" w:themeColor="text1"/>
                <w:sz w:val="24"/>
                <w14:textFill>
                  <w14:solidFill>
                    <w14:schemeClr w14:val="tx1"/>
                  </w14:solidFill>
                </w14:textFill>
              </w:rPr>
              <w:fldChar w:fldCharType="end"/>
            </w:r>
            <w:bookmarkEnd w:id="4"/>
          </w:p>
          <w:p w14:paraId="572763EA">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3BDF177E">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1.4投标文件提交截止时间后，采购代理机构将在系统内公布投标人名单，通过开标会议区发出投标文件解密的指令，投标人在各自地点按规定时间自行实施远程解密，投标人解密限定在解密时间开始起30分钟内完成，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7003C278">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1.5在评审结束前，各投标人应当随时关注不见面开标大厅，并按照要求在规定时间内进行响应，且承担未及时作出响应的一切后果。参与远程交互的应当为授权委托人或法人代表，中途不得随意更换，作出响应的人员</w:t>
            </w:r>
            <w:r>
              <w:rPr>
                <w:rFonts w:hint="eastAsia"/>
                <w:bCs/>
                <w:color w:val="000000" w:themeColor="text1"/>
                <w:sz w:val="24"/>
                <w14:textFill>
                  <w14:solidFill>
                    <w14:schemeClr w14:val="tx1"/>
                  </w14:solidFill>
                </w14:textFill>
              </w:rPr>
              <w:t>将</w:t>
            </w:r>
            <w:r>
              <w:rPr>
                <w:bCs/>
                <w:color w:val="000000" w:themeColor="text1"/>
                <w:sz w:val="24"/>
                <w14:textFill>
                  <w14:solidFill>
                    <w14:schemeClr w14:val="tx1"/>
                  </w14:solidFill>
                </w14:textFill>
              </w:rPr>
              <w:t>被</w:t>
            </w:r>
            <w:r>
              <w:rPr>
                <w:rFonts w:hint="eastAsia"/>
                <w:bCs/>
                <w:color w:val="000000" w:themeColor="text1"/>
                <w:sz w:val="24"/>
                <w14:textFill>
                  <w14:solidFill>
                    <w14:schemeClr w14:val="tx1"/>
                  </w14:solidFill>
                </w14:textFill>
              </w:rPr>
              <w:t>视为投标人</w:t>
            </w:r>
            <w:r>
              <w:rPr>
                <w:bCs/>
                <w:color w:val="000000" w:themeColor="text1"/>
                <w:sz w:val="24"/>
                <w14:textFill>
                  <w14:solidFill>
                    <w14:schemeClr w14:val="tx1"/>
                  </w14:solidFill>
                </w14:textFill>
              </w:rPr>
              <w:t>的授权委托人或法人代表。</w:t>
            </w:r>
          </w:p>
          <w:p w14:paraId="5A0D13D0">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2.采购活动时间</w:t>
            </w:r>
          </w:p>
          <w:p w14:paraId="7FFD061D">
            <w:pP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2.1提交投标文件截止（即投标截止）时间及开标时间：详见本项目招标公告；</w:t>
            </w:r>
          </w:p>
          <w:p w14:paraId="29F5D5FB">
            <w:pPr>
              <w:spacing w:line="360" w:lineRule="auto"/>
              <w:rPr>
                <w:bCs/>
                <w:color w:val="000000" w:themeColor="text1"/>
                <w:sz w:val="24"/>
                <w:szCs w:val="24"/>
                <w14:textFill>
                  <w14:solidFill>
                    <w14:schemeClr w14:val="tx1"/>
                  </w14:solidFill>
                </w14:textFill>
              </w:rPr>
            </w:pPr>
            <w:r>
              <w:rPr>
                <w:bCs/>
                <w:color w:val="000000" w:themeColor="text1"/>
                <w:sz w:val="24"/>
                <w14:textFill>
                  <w14:solidFill>
                    <w14:schemeClr w14:val="tx1"/>
                  </w14:solidFill>
                </w14:textFill>
              </w:rPr>
              <w:t>2.2确定中标人时间：评标结束后，详见中标结果公告。</w:t>
            </w:r>
          </w:p>
        </w:tc>
      </w:tr>
      <w:tr w14:paraId="73E5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3" w:type="dxa"/>
            <w:vMerge w:val="restart"/>
            <w:vAlign w:val="center"/>
          </w:tcPr>
          <w:p w14:paraId="4090C62E">
            <w:pPr>
              <w:jc w:val="center"/>
              <w:rPr>
                <w:bCs/>
                <w:color w:val="000000" w:themeColor="text1"/>
                <w:sz w:val="24"/>
                <w:szCs w:val="24"/>
                <w14:textFill>
                  <w14:solidFill>
                    <w14:schemeClr w14:val="tx1"/>
                  </w14:solidFill>
                </w14:textFill>
              </w:rPr>
            </w:pPr>
            <w:bookmarkStart w:id="5" w:name="OLE_LINK84"/>
            <w:r>
              <w:rPr>
                <w:bCs/>
                <w:color w:val="000000" w:themeColor="text1"/>
                <w:sz w:val="24"/>
                <w:szCs w:val="24"/>
                <w14:textFill>
                  <w14:solidFill>
                    <w14:schemeClr w14:val="tx1"/>
                  </w14:solidFill>
                </w14:textFill>
              </w:rPr>
              <w:t>6</w:t>
            </w:r>
          </w:p>
        </w:tc>
        <w:tc>
          <w:tcPr>
            <w:tcW w:w="856" w:type="dxa"/>
            <w:vMerge w:val="restart"/>
            <w:vAlign w:val="center"/>
          </w:tcPr>
          <w:p w14:paraId="40113C9B">
            <w:pPr>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联系方式</w:t>
            </w:r>
          </w:p>
        </w:tc>
        <w:tc>
          <w:tcPr>
            <w:tcW w:w="1576" w:type="dxa"/>
            <w:vAlign w:val="center"/>
          </w:tcPr>
          <w:p w14:paraId="02C13E25">
            <w:pPr>
              <w:spacing w:line="360" w:lineRule="auto"/>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采购人</w:t>
            </w:r>
          </w:p>
        </w:tc>
        <w:tc>
          <w:tcPr>
            <w:tcW w:w="6534" w:type="dxa"/>
            <w:vAlign w:val="center"/>
          </w:tcPr>
          <w:p w14:paraId="686D0BCD">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联系人：</w:t>
            </w:r>
            <w:r>
              <w:rPr>
                <w:rFonts w:hint="eastAsia"/>
                <w:bCs/>
                <w:color w:val="000000" w:themeColor="text1"/>
                <w:sz w:val="24"/>
                <w:szCs w:val="24"/>
                <w14:textFill>
                  <w14:solidFill>
                    <w14:schemeClr w14:val="tx1"/>
                  </w14:solidFill>
                </w14:textFill>
              </w:rPr>
              <w:t>蔡水彬</w:t>
            </w:r>
          </w:p>
          <w:p w14:paraId="25A5F39B">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联系电话：0510-</w:t>
            </w:r>
            <w:r>
              <w:rPr>
                <w:rFonts w:hint="eastAsia"/>
                <w:bCs/>
                <w:color w:val="000000" w:themeColor="text1"/>
                <w:sz w:val="24"/>
                <w:szCs w:val="24"/>
                <w14:textFill>
                  <w14:solidFill>
                    <w14:schemeClr w14:val="tx1"/>
                  </w14:solidFill>
                </w14:textFill>
              </w:rPr>
              <w:t>87962022</w:t>
            </w:r>
          </w:p>
          <w:p w14:paraId="05C6FBCD">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质疑受理人：</w:t>
            </w:r>
            <w:r>
              <w:rPr>
                <w:rFonts w:hint="eastAsia"/>
                <w:bCs/>
                <w:color w:val="000000" w:themeColor="text1"/>
                <w:sz w:val="24"/>
                <w:szCs w:val="24"/>
                <w14:textFill>
                  <w14:solidFill>
                    <w14:schemeClr w14:val="tx1"/>
                  </w14:solidFill>
                </w14:textFill>
              </w:rPr>
              <w:t>蔡水彬</w:t>
            </w:r>
            <w:r>
              <w:rPr>
                <w:bCs/>
                <w:color w:val="000000" w:themeColor="text1"/>
                <w:sz w:val="24"/>
                <w:szCs w:val="24"/>
                <w14:textFill>
                  <w14:solidFill>
                    <w14:schemeClr w14:val="tx1"/>
                  </w14:solidFill>
                </w14:textFill>
              </w:rPr>
              <w:t xml:space="preserve">              </w:t>
            </w:r>
          </w:p>
          <w:p w14:paraId="66876021">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联系电话：0510-</w:t>
            </w:r>
            <w:r>
              <w:rPr>
                <w:rFonts w:hint="eastAsia"/>
                <w:bCs/>
                <w:color w:val="000000" w:themeColor="text1"/>
                <w:sz w:val="24"/>
                <w:szCs w:val="24"/>
                <w14:textFill>
                  <w14:solidFill>
                    <w14:schemeClr w14:val="tx1"/>
                  </w14:solidFill>
                </w14:textFill>
              </w:rPr>
              <w:t>87962022</w:t>
            </w:r>
            <w:bookmarkStart w:id="93" w:name="_GoBack"/>
            <w:bookmarkEnd w:id="93"/>
          </w:p>
          <w:p w14:paraId="44293FA1">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联系地址：宜兴市氿滨南路10号宜城软件园10-12楼</w:t>
            </w:r>
          </w:p>
          <w:p w14:paraId="2E9F02A7">
            <w:pPr>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邮政编码：214206</w:t>
            </w:r>
          </w:p>
        </w:tc>
      </w:tr>
      <w:tr w14:paraId="3C62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33" w:type="dxa"/>
            <w:vMerge w:val="continue"/>
            <w:vAlign w:val="center"/>
          </w:tcPr>
          <w:p w14:paraId="596800CC">
            <w:pPr>
              <w:jc w:val="center"/>
              <w:rPr>
                <w:bCs/>
                <w:color w:val="000000" w:themeColor="text1"/>
                <w:sz w:val="24"/>
                <w:szCs w:val="24"/>
                <w14:textFill>
                  <w14:solidFill>
                    <w14:schemeClr w14:val="tx1"/>
                  </w14:solidFill>
                </w14:textFill>
              </w:rPr>
            </w:pPr>
          </w:p>
        </w:tc>
        <w:tc>
          <w:tcPr>
            <w:tcW w:w="856" w:type="dxa"/>
            <w:vMerge w:val="continue"/>
          </w:tcPr>
          <w:p w14:paraId="5414ABE0">
            <w:pPr>
              <w:jc w:val="left"/>
              <w:rPr>
                <w:bCs/>
                <w:color w:val="000000" w:themeColor="text1"/>
                <w:sz w:val="24"/>
                <w:szCs w:val="24"/>
                <w14:textFill>
                  <w14:solidFill>
                    <w14:schemeClr w14:val="tx1"/>
                  </w14:solidFill>
                </w14:textFill>
              </w:rPr>
            </w:pPr>
          </w:p>
        </w:tc>
        <w:tc>
          <w:tcPr>
            <w:tcW w:w="1576" w:type="dxa"/>
            <w:vAlign w:val="center"/>
          </w:tcPr>
          <w:p w14:paraId="3F3DD84B">
            <w:pPr>
              <w:spacing w:line="360" w:lineRule="auto"/>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采购代理</w:t>
            </w:r>
          </w:p>
          <w:p w14:paraId="38295B25">
            <w:pPr>
              <w:spacing w:line="360" w:lineRule="auto"/>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机构</w:t>
            </w:r>
          </w:p>
        </w:tc>
        <w:tc>
          <w:tcPr>
            <w:tcW w:w="6534" w:type="dxa"/>
          </w:tcPr>
          <w:p w14:paraId="52BB3957">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采购代理机构：恒泰保险经纪有限公司</w:t>
            </w:r>
          </w:p>
          <w:p w14:paraId="303A479F">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联系人：商亭悦、杜元、</w:t>
            </w:r>
            <w:r>
              <w:rPr>
                <w:rFonts w:hint="eastAsia"/>
                <w:bCs/>
                <w:color w:val="000000" w:themeColor="text1"/>
                <w:sz w:val="24"/>
                <w:szCs w:val="24"/>
                <w14:textFill>
                  <w14:solidFill>
                    <w14:schemeClr w14:val="tx1"/>
                  </w14:solidFill>
                </w14:textFill>
              </w:rPr>
              <w:t>顾正勤</w:t>
            </w:r>
          </w:p>
          <w:p w14:paraId="49A6386C">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联系电话：0510-81833895</w:t>
            </w:r>
          </w:p>
          <w:p w14:paraId="015049ED">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联系地址：无锡市滨湖区鸿桥路801-1212</w:t>
            </w:r>
          </w:p>
          <w:p w14:paraId="5CDABBE9">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邮政编码：214000 </w:t>
            </w:r>
          </w:p>
        </w:tc>
      </w:tr>
      <w:tr w14:paraId="4C364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33" w:type="dxa"/>
            <w:vMerge w:val="continue"/>
            <w:vAlign w:val="center"/>
          </w:tcPr>
          <w:p w14:paraId="51657A7D">
            <w:pPr>
              <w:jc w:val="center"/>
              <w:rPr>
                <w:bCs/>
                <w:color w:val="000000" w:themeColor="text1"/>
                <w:sz w:val="24"/>
                <w:szCs w:val="24"/>
                <w14:textFill>
                  <w14:solidFill>
                    <w14:schemeClr w14:val="tx1"/>
                  </w14:solidFill>
                </w14:textFill>
              </w:rPr>
            </w:pPr>
          </w:p>
        </w:tc>
        <w:tc>
          <w:tcPr>
            <w:tcW w:w="856" w:type="dxa"/>
            <w:vMerge w:val="continue"/>
          </w:tcPr>
          <w:p w14:paraId="76674846">
            <w:pPr>
              <w:jc w:val="left"/>
              <w:rPr>
                <w:bCs/>
                <w:color w:val="000000" w:themeColor="text1"/>
                <w:sz w:val="24"/>
                <w:szCs w:val="24"/>
                <w14:textFill>
                  <w14:solidFill>
                    <w14:schemeClr w14:val="tx1"/>
                  </w14:solidFill>
                </w14:textFill>
              </w:rPr>
            </w:pPr>
          </w:p>
        </w:tc>
        <w:tc>
          <w:tcPr>
            <w:tcW w:w="1576" w:type="dxa"/>
            <w:vAlign w:val="center"/>
          </w:tcPr>
          <w:p w14:paraId="283387D5">
            <w:pPr>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“苏采云”</w:t>
            </w:r>
          </w:p>
          <w:p w14:paraId="3A37EB63">
            <w:pPr>
              <w:spacing w:line="360" w:lineRule="auto"/>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客服</w:t>
            </w:r>
          </w:p>
        </w:tc>
        <w:tc>
          <w:tcPr>
            <w:tcW w:w="6534" w:type="dxa"/>
            <w:vAlign w:val="center"/>
          </w:tcPr>
          <w:p w14:paraId="799AF088">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投标人(供应商) 在“苏采云”系统操作过程中如遇问题，请致电“苏采云”客服</w:t>
            </w:r>
          </w:p>
          <w:p w14:paraId="766058D0">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联系电话：16651529117、025-83633744、025-83633743</w:t>
            </w:r>
          </w:p>
        </w:tc>
      </w:tr>
      <w:tr w14:paraId="13D87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vAlign w:val="center"/>
          </w:tcPr>
          <w:p w14:paraId="4E3EF96C">
            <w:pPr>
              <w:jc w:val="center"/>
              <w:rPr>
                <w:bCs/>
                <w:color w:val="000000" w:themeColor="text1"/>
                <w:sz w:val="24"/>
                <w:szCs w:val="24"/>
                <w14:textFill>
                  <w14:solidFill>
                    <w14:schemeClr w14:val="tx1"/>
                  </w14:solidFill>
                </w14:textFill>
              </w:rPr>
            </w:pPr>
          </w:p>
        </w:tc>
        <w:tc>
          <w:tcPr>
            <w:tcW w:w="856" w:type="dxa"/>
            <w:vMerge w:val="continue"/>
          </w:tcPr>
          <w:p w14:paraId="7C4E50F6">
            <w:pPr>
              <w:jc w:val="left"/>
              <w:rPr>
                <w:bCs/>
                <w:color w:val="000000" w:themeColor="text1"/>
                <w:sz w:val="24"/>
                <w:szCs w:val="24"/>
                <w14:textFill>
                  <w14:solidFill>
                    <w14:schemeClr w14:val="tx1"/>
                  </w14:solidFill>
                </w14:textFill>
              </w:rPr>
            </w:pPr>
          </w:p>
        </w:tc>
        <w:tc>
          <w:tcPr>
            <w:tcW w:w="1576" w:type="dxa"/>
            <w:vAlign w:val="center"/>
          </w:tcPr>
          <w:p w14:paraId="40B029D8">
            <w:pPr>
              <w:spacing w:line="360" w:lineRule="auto"/>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财政监管</w:t>
            </w:r>
          </w:p>
          <w:p w14:paraId="2A6339FE">
            <w:pPr>
              <w:spacing w:line="360" w:lineRule="auto"/>
              <w:jc w:val="cente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部门</w:t>
            </w:r>
          </w:p>
        </w:tc>
        <w:tc>
          <w:tcPr>
            <w:tcW w:w="6534" w:type="dxa"/>
          </w:tcPr>
          <w:p w14:paraId="1AD529CF">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政府采购监督管理及投诉处理主体: 宜兴市民政局                   </w:t>
            </w:r>
          </w:p>
          <w:p w14:paraId="59FC3732">
            <w:pPr>
              <w:spacing w:line="360" w:lineRule="auto"/>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联系地址：宜兴市氿滨南路10号宜城软件园10-12楼</w:t>
            </w:r>
          </w:p>
        </w:tc>
      </w:tr>
      <w:bookmarkEnd w:id="5"/>
    </w:tbl>
    <w:p w14:paraId="3B6BD9E9">
      <w:pPr>
        <w:spacing w:line="360" w:lineRule="auto"/>
        <w:jc w:val="center"/>
        <w:rPr>
          <w:b/>
          <w:bCs/>
          <w:color w:val="000000" w:themeColor="text1"/>
          <w:sz w:val="28"/>
          <w:szCs w:val="28"/>
          <w14:textFill>
            <w14:solidFill>
              <w14:schemeClr w14:val="tx1"/>
            </w14:solidFill>
          </w14:textFill>
        </w:rPr>
      </w:pPr>
      <w:bookmarkStart w:id="6" w:name="二．报价方须知"/>
      <w:bookmarkEnd w:id="6"/>
    </w:p>
    <w:p w14:paraId="00E15D7F">
      <w:pPr>
        <w:spacing w:line="360" w:lineRule="auto"/>
        <w:jc w:val="center"/>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第二章 投标人须知</w:t>
      </w:r>
    </w:p>
    <w:p w14:paraId="4CBC9E7C">
      <w:pPr>
        <w:spacing w:line="360" w:lineRule="auto"/>
        <w:ind w:firstLine="482"/>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一、总   则</w:t>
      </w:r>
    </w:p>
    <w:p w14:paraId="4813A884">
      <w:pPr>
        <w:spacing w:line="360" w:lineRule="auto"/>
        <w:ind w:firstLine="482"/>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1.适用法律</w:t>
      </w:r>
    </w:p>
    <w:p w14:paraId="21C1AD6A">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1.1 《中华人民共和国政府采购法</w:t>
      </w:r>
      <w:r>
        <w:rPr>
          <w:rFonts w:hint="eastAsia"/>
          <w:bCs/>
          <w:color w:val="000000" w:themeColor="text1"/>
          <w:sz w:val="24"/>
          <w:szCs w:val="24"/>
          <w:lang w:val="zh-CN"/>
          <w14:textFill>
            <w14:solidFill>
              <w14:schemeClr w14:val="tx1"/>
            </w14:solidFill>
          </w14:textFill>
        </w:rPr>
        <w:t>》《</w:t>
      </w:r>
      <w:r>
        <w:rPr>
          <w:bCs/>
          <w:color w:val="000000" w:themeColor="text1"/>
          <w:sz w:val="24"/>
          <w:szCs w:val="24"/>
          <w:lang w:val="zh-CN"/>
          <w14:textFill>
            <w14:solidFill>
              <w14:schemeClr w14:val="tx1"/>
            </w14:solidFill>
          </w14:textFill>
        </w:rPr>
        <w:t>中华人民共和国政府采购法实施条例</w:t>
      </w:r>
      <w:r>
        <w:rPr>
          <w:rFonts w:hint="eastAsia"/>
          <w:bCs/>
          <w:color w:val="000000" w:themeColor="text1"/>
          <w:sz w:val="24"/>
          <w:szCs w:val="24"/>
          <w:lang w:val="zh-CN"/>
          <w14:textFill>
            <w14:solidFill>
              <w14:schemeClr w14:val="tx1"/>
            </w14:solidFill>
          </w14:textFill>
        </w:rPr>
        <w:t>》《</w:t>
      </w:r>
      <w:r>
        <w:rPr>
          <w:bCs/>
          <w:color w:val="000000" w:themeColor="text1"/>
          <w:sz w:val="24"/>
          <w:szCs w:val="24"/>
          <w:lang w:val="zh-CN"/>
          <w14:textFill>
            <w14:solidFill>
              <w14:schemeClr w14:val="tx1"/>
            </w14:solidFill>
          </w14:textFill>
        </w:rPr>
        <w:t>政府采购货物和服务招标投标管理办法》等有关</w:t>
      </w:r>
      <w:r>
        <w:rPr>
          <w:rFonts w:hint="eastAsia"/>
          <w:bCs/>
          <w:color w:val="000000" w:themeColor="text1"/>
          <w:sz w:val="24"/>
          <w:szCs w:val="24"/>
          <w:lang w:val="zh-CN"/>
          <w14:textFill>
            <w14:solidFill>
              <w14:schemeClr w14:val="tx1"/>
            </w14:solidFill>
          </w14:textFill>
        </w:rPr>
        <w:t>法律法规</w:t>
      </w:r>
      <w:r>
        <w:rPr>
          <w:bCs/>
          <w:color w:val="000000" w:themeColor="text1"/>
          <w:sz w:val="24"/>
          <w:szCs w:val="24"/>
          <w:lang w:val="zh-CN"/>
          <w14:textFill>
            <w14:solidFill>
              <w14:schemeClr w14:val="tx1"/>
            </w14:solidFill>
          </w14:textFill>
        </w:rPr>
        <w:t>、规章和规定等。</w:t>
      </w:r>
    </w:p>
    <w:p w14:paraId="17BD1B3D">
      <w:pPr>
        <w:spacing w:line="360" w:lineRule="auto"/>
        <w:ind w:firstLine="482"/>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2.定义</w:t>
      </w:r>
    </w:p>
    <w:p w14:paraId="219EB2F2">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2.1 “投标人”</w:t>
      </w:r>
      <w:r>
        <w:rPr>
          <w:bCs/>
          <w:color w:val="000000" w:themeColor="text1"/>
          <w:sz w:val="24"/>
          <w:szCs w:val="24"/>
          <w14:textFill>
            <w14:solidFill>
              <w14:schemeClr w14:val="tx1"/>
            </w14:solidFill>
          </w14:textFill>
        </w:rPr>
        <w:t>是指参加投标竞争，并符合招标文件规定资格条件的法人、其他组织或者自然人</w:t>
      </w:r>
      <w:bookmarkStart w:id="7" w:name="_Hlk151625213"/>
      <w:r>
        <w:rPr>
          <w:bCs/>
          <w:color w:val="000000" w:themeColor="text1"/>
          <w:sz w:val="24"/>
          <w:szCs w:val="24"/>
          <w14:textFill>
            <w14:solidFill>
              <w14:schemeClr w14:val="tx1"/>
            </w14:solidFill>
          </w14:textFill>
        </w:rPr>
        <w:t>，即</w:t>
      </w:r>
      <w:r>
        <w:rPr>
          <w:bCs/>
          <w:color w:val="000000" w:themeColor="text1"/>
          <w:sz w:val="24"/>
          <w:szCs w:val="24"/>
          <w:lang w:val="zh-CN"/>
          <w14:textFill>
            <w14:solidFill>
              <w14:schemeClr w14:val="tx1"/>
            </w14:solidFill>
          </w14:textFill>
        </w:rPr>
        <w:t>参与投标的供应商</w:t>
      </w:r>
      <w:bookmarkEnd w:id="7"/>
      <w:r>
        <w:rPr>
          <w:bCs/>
          <w:color w:val="000000" w:themeColor="text1"/>
          <w:sz w:val="24"/>
          <w:szCs w:val="24"/>
          <w14:textFill>
            <w14:solidFill>
              <w14:schemeClr w14:val="tx1"/>
            </w14:solidFill>
          </w14:textFill>
        </w:rPr>
        <w:t>；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p>
    <w:p w14:paraId="102976A8">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2.2 </w:t>
      </w:r>
      <w:r>
        <w:rPr>
          <w:bCs/>
          <w:color w:val="000000" w:themeColor="text1"/>
          <w:sz w:val="24"/>
          <w:szCs w:val="24"/>
          <w:lang w:val="zh-CN"/>
          <w14:textFill>
            <w14:solidFill>
              <w14:schemeClr w14:val="tx1"/>
            </w14:solidFill>
          </w14:textFill>
        </w:rPr>
        <w:t>招标文件中的“</w:t>
      </w:r>
      <w:bookmarkStart w:id="8" w:name="_Hlk164149389"/>
      <w:r>
        <w:rPr>
          <w:bCs/>
          <w:color w:val="000000" w:themeColor="text1"/>
          <w:sz w:val="24"/>
          <w:szCs w:val="24"/>
          <w:lang w:val="zh-CN"/>
          <w14:textFill>
            <w14:solidFill>
              <w14:schemeClr w14:val="tx1"/>
            </w14:solidFill>
          </w14:textFill>
        </w:rPr>
        <w:t>法定代表人”是指投标人的营业执照或相关部门的有效登记证明文件中的“法定代表人</w:t>
      </w:r>
      <w:r>
        <w:rPr>
          <w:rFonts w:hint="eastAsia"/>
          <w:bCs/>
          <w:color w:val="000000" w:themeColor="text1"/>
          <w:sz w:val="24"/>
          <w:szCs w:val="24"/>
          <w:lang w:val="zh-CN"/>
          <w14:textFill>
            <w14:solidFill>
              <w14:schemeClr w14:val="tx1"/>
            </w14:solidFill>
          </w14:textFill>
        </w:rPr>
        <w:t>”“</w:t>
      </w:r>
      <w:r>
        <w:rPr>
          <w:bCs/>
          <w:color w:val="000000" w:themeColor="text1"/>
          <w:sz w:val="24"/>
          <w:szCs w:val="24"/>
          <w:lang w:val="zh-CN"/>
          <w14:textFill>
            <w14:solidFill>
              <w14:schemeClr w14:val="tx1"/>
            </w14:solidFill>
          </w14:textFill>
        </w:rPr>
        <w:t>执行事务合伙人</w:t>
      </w:r>
      <w:r>
        <w:rPr>
          <w:rFonts w:hint="eastAsia"/>
          <w:bCs/>
          <w:color w:val="000000" w:themeColor="text1"/>
          <w:sz w:val="24"/>
          <w:szCs w:val="24"/>
          <w:lang w:val="zh-CN"/>
          <w14:textFill>
            <w14:solidFill>
              <w14:schemeClr w14:val="tx1"/>
            </w14:solidFill>
          </w14:textFill>
        </w:rPr>
        <w:t>”“</w:t>
      </w:r>
      <w:r>
        <w:rPr>
          <w:bCs/>
          <w:color w:val="000000" w:themeColor="text1"/>
          <w:sz w:val="24"/>
          <w:szCs w:val="24"/>
          <w:lang w:val="zh-CN"/>
          <w14:textFill>
            <w14:solidFill>
              <w14:schemeClr w14:val="tx1"/>
            </w14:solidFill>
          </w14:textFill>
        </w:rPr>
        <w:t>经营者</w:t>
      </w:r>
      <w:r>
        <w:rPr>
          <w:rFonts w:hint="eastAsia"/>
          <w:bCs/>
          <w:color w:val="000000" w:themeColor="text1"/>
          <w:sz w:val="24"/>
          <w:szCs w:val="24"/>
          <w:lang w:val="zh-CN"/>
          <w14:textFill>
            <w14:solidFill>
              <w14:schemeClr w14:val="tx1"/>
            </w14:solidFill>
          </w14:textFill>
        </w:rPr>
        <w:t>”“</w:t>
      </w:r>
      <w:r>
        <w:rPr>
          <w:bCs/>
          <w:color w:val="000000" w:themeColor="text1"/>
          <w:sz w:val="24"/>
          <w:szCs w:val="24"/>
          <w:lang w:val="zh-CN"/>
          <w14:textFill>
            <w14:solidFill>
              <w14:schemeClr w14:val="tx1"/>
            </w14:solidFill>
          </w14:textFill>
        </w:rPr>
        <w:t>负责人”，若为自然人的指自然人本人。</w:t>
      </w:r>
      <w:bookmarkEnd w:id="8"/>
    </w:p>
    <w:p w14:paraId="483E7F2C">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w:t>
      </w:r>
      <w:r>
        <w:rPr>
          <w:bCs/>
          <w:color w:val="000000" w:themeColor="text1"/>
          <w:sz w:val="24"/>
          <w:szCs w:val="24"/>
          <w14:textFill>
            <w14:solidFill>
              <w14:schemeClr w14:val="tx1"/>
            </w14:solidFill>
          </w14:textFill>
        </w:rPr>
        <w:t>3</w:t>
      </w:r>
      <w:r>
        <w:rPr>
          <w:bCs/>
          <w:color w:val="000000" w:themeColor="text1"/>
          <w:sz w:val="24"/>
          <w:szCs w:val="24"/>
          <w:lang w:val="zh-CN"/>
          <w14:textFill>
            <w14:solidFill>
              <w14:schemeClr w14:val="tx1"/>
            </w14:solidFill>
          </w14:textFill>
        </w:rPr>
        <w:t xml:space="preserve"> </w:t>
      </w:r>
      <w:r>
        <w:rPr>
          <w:bCs/>
          <w:color w:val="000000" w:themeColor="text1"/>
          <w:sz w:val="24"/>
          <w:szCs w:val="24"/>
          <w14:textFill>
            <w14:solidFill>
              <w14:schemeClr w14:val="tx1"/>
            </w14:solidFill>
          </w14:textFill>
        </w:rPr>
        <w:t>“投标人（电子签章）”是指投标人的电子公章，自然人投标即指自然人私章。</w:t>
      </w:r>
    </w:p>
    <w:p w14:paraId="3C5F3678">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2.4 “服务”指本招标文件中所述服务及相关产品。</w:t>
      </w:r>
    </w:p>
    <w:p w14:paraId="287A7B91">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2.5 “响应”指提交投标文件并对招标文件提出的条件和要求进行实质性回应。</w:t>
      </w:r>
    </w:p>
    <w:p w14:paraId="6D1E853F">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2.6 “证明材料”指招标文件中要求提供的相关材料。</w:t>
      </w:r>
    </w:p>
    <w:p w14:paraId="70F1E3C3">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2.7“电子交易平台”指本项目政府采购活动所依托的江苏政府采购网(www.ccgp-jiangsu.gov.cn) “苏采云”平台（系统）。</w:t>
      </w:r>
    </w:p>
    <w:p w14:paraId="7D527C33">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2.8 “中小企业声明”指符合政府采购政策的投标人提供的《中小企业声明函》或《残疾人福利性单位声明函》或监狱企业的证明文件。</w:t>
      </w:r>
    </w:p>
    <w:p w14:paraId="2C9DF6F2">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2.9 “评审因素”是指评标方法和标准中包括的价格因素、技术因素、商务因素等方面。</w:t>
      </w:r>
    </w:p>
    <w:p w14:paraId="370FD371">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2.10 “正偏离”指投标人提供的货物（服务）响应情况优于招标文件要求；“负偏离”指投标人提供的货物（服务）响应情况劣于招标文件要求。</w:t>
      </w:r>
    </w:p>
    <w:p w14:paraId="036C583D">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3.政策功能</w:t>
      </w:r>
    </w:p>
    <w:p w14:paraId="34B389B4">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3.1 政府采购支持中小企业发展，供应商在参加政府采购活动过程中，符合《政府采购促进中小企业发展管理办法》（财库〔2021〕46号）第二条、第四条规定的，可以享受中小企业扶持政策。</w:t>
      </w:r>
    </w:p>
    <w:p w14:paraId="4A9C707E">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3.1.1 对于专门面向中小企业的项目，只面向中小企业采购；对于非专门面向中小企业的项目，对符合规定的小微企业报价给予10%（工程项目为5%）的扣除，用扣除后的价格参加评审；</w:t>
      </w:r>
    </w:p>
    <w:p w14:paraId="793DAF62">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3.1.2 参加政府采购活动的中小企业，应当按照《办法》（财库〔2021〕46号）的规定提供《中小企业声明函》（“中小企业划型标准”详见《关于印发中小企业划型标准规定的通知》工信部联企业〔2011〕300号）；</w:t>
      </w:r>
    </w:p>
    <w:p w14:paraId="0F125DA3">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3.1.3中小企业依据《办法》（财库〔2021〕46号）规定的扶持政策获得政府采购合同后，小微企业不得将合同分包给大中型企业，中型企业不得将合同分包给大型企业。</w:t>
      </w:r>
    </w:p>
    <w:p w14:paraId="617FCFA7">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3.2</w:t>
      </w:r>
      <w:bookmarkStart w:id="9" w:name="OLE_LINK197"/>
      <w:bookmarkStart w:id="10" w:name="OLE_LINK86"/>
      <w:r>
        <w:rPr>
          <w:bCs/>
          <w:color w:val="000000" w:themeColor="text1"/>
          <w:sz w:val="24"/>
          <w:szCs w:val="24"/>
          <w14:textFill>
            <w14:solidFill>
              <w14:schemeClr w14:val="tx1"/>
            </w14:solidFill>
          </w14:textFill>
        </w:rPr>
        <w:t>在政府采购活动中，残疾人福利性单位视同小微企业，</w:t>
      </w:r>
      <w:bookmarkEnd w:id="9"/>
      <w:r>
        <w:rPr>
          <w:bCs/>
          <w:color w:val="000000" w:themeColor="text1"/>
          <w:sz w:val="24"/>
          <w:szCs w:val="24"/>
          <w14:textFill>
            <w14:solidFill>
              <w14:schemeClr w14:val="tx1"/>
            </w14:solidFill>
          </w14:textFill>
        </w:rPr>
        <w:t>提供本单位制造的货物、承担的工程或者服务，或者提供其他残疾人福利性单位制造的货物，在评审时将获得优势。参</w:t>
      </w:r>
      <w:bookmarkStart w:id="11" w:name="OLE_LINK198"/>
      <w:r>
        <w:rPr>
          <w:bCs/>
          <w:color w:val="000000" w:themeColor="text1"/>
          <w:sz w:val="24"/>
          <w:szCs w:val="24"/>
          <w14:textFill>
            <w14:solidFill>
              <w14:schemeClr w14:val="tx1"/>
            </w14:solidFill>
          </w14:textFill>
        </w:rPr>
        <w:t>加投标的</w:t>
      </w:r>
      <w:bookmarkStart w:id="12" w:name="OLE_LINK43"/>
      <w:r>
        <w:rPr>
          <w:bCs/>
          <w:color w:val="000000" w:themeColor="text1"/>
          <w:sz w:val="24"/>
          <w:szCs w:val="24"/>
          <w14:textFill>
            <w14:solidFill>
              <w14:schemeClr w14:val="tx1"/>
            </w14:solidFill>
          </w14:textFill>
        </w:rPr>
        <w:t>残疾人福利性单位</w:t>
      </w:r>
      <w:bookmarkEnd w:id="12"/>
      <w:r>
        <w:rPr>
          <w:bCs/>
          <w:color w:val="000000" w:themeColor="text1"/>
          <w:sz w:val="24"/>
          <w:szCs w:val="24"/>
          <w14:textFill>
            <w14:solidFill>
              <w14:schemeClr w14:val="tx1"/>
            </w14:solidFill>
          </w14:textFill>
        </w:rPr>
        <w:t>应当按照《关于促进残疾人就业政府采购政策的通知》</w:t>
      </w:r>
      <w:bookmarkStart w:id="13" w:name="sendNo"/>
      <w:r>
        <w:rPr>
          <w:bCs/>
          <w:color w:val="000000" w:themeColor="text1"/>
          <w:sz w:val="24"/>
          <w:szCs w:val="24"/>
          <w14:textFill>
            <w14:solidFill>
              <w14:schemeClr w14:val="tx1"/>
            </w14:solidFill>
          </w14:textFill>
        </w:rPr>
        <w:t>（财库〔2017〕141号）</w:t>
      </w:r>
      <w:bookmarkEnd w:id="13"/>
      <w:r>
        <w:rPr>
          <w:bCs/>
          <w:color w:val="000000" w:themeColor="text1"/>
          <w:sz w:val="24"/>
          <w:szCs w:val="24"/>
          <w14:textFill>
            <w14:solidFill>
              <w14:schemeClr w14:val="tx1"/>
            </w14:solidFill>
          </w14:textFill>
        </w:rPr>
        <w:t>的规定提供《</w:t>
      </w:r>
      <w:bookmarkStart w:id="14" w:name="OLE_LINK42"/>
      <w:r>
        <w:rPr>
          <w:bCs/>
          <w:color w:val="000000" w:themeColor="text1"/>
          <w:sz w:val="24"/>
          <w:szCs w:val="24"/>
          <w14:textFill>
            <w14:solidFill>
              <w14:schemeClr w14:val="tx1"/>
            </w14:solidFill>
          </w14:textFill>
        </w:rPr>
        <w:t>残疾人福利性单位</w:t>
      </w:r>
      <w:bookmarkEnd w:id="14"/>
      <w:r>
        <w:rPr>
          <w:bCs/>
          <w:color w:val="000000" w:themeColor="text1"/>
          <w:sz w:val="24"/>
          <w:szCs w:val="24"/>
          <w14:textFill>
            <w14:solidFill>
              <w14:schemeClr w14:val="tx1"/>
            </w14:solidFill>
          </w14:textFill>
        </w:rPr>
        <w:t>声明函》。</w:t>
      </w:r>
      <w:bookmarkEnd w:id="10"/>
      <w:bookmarkEnd w:id="11"/>
    </w:p>
    <w:p w14:paraId="3D365FB4">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3.3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p>
    <w:p w14:paraId="2DCAED0F">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4.投标费用</w:t>
      </w:r>
    </w:p>
    <w:p w14:paraId="25880015">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4.1 投标人应自行承担所有与准备和参加投标有关的一切费用。</w:t>
      </w:r>
    </w:p>
    <w:p w14:paraId="232718A4">
      <w:pPr>
        <w:spacing w:line="360" w:lineRule="auto"/>
        <w:ind w:firstLine="480"/>
        <w:rPr>
          <w:bCs/>
          <w:color w:val="000000" w:themeColor="text1"/>
          <w:sz w:val="24"/>
          <w:szCs w:val="24"/>
          <w14:textFill>
            <w14:solidFill>
              <w14:schemeClr w14:val="tx1"/>
            </w14:solidFill>
          </w14:textFill>
        </w:rPr>
      </w:pPr>
      <w:bookmarkStart w:id="15" w:name="OLE_LINK88"/>
      <w:r>
        <w:rPr>
          <w:bCs/>
          <w:color w:val="000000" w:themeColor="text1"/>
          <w:sz w:val="24"/>
          <w:szCs w:val="24"/>
          <w14:textFill>
            <w14:solidFill>
              <w14:schemeClr w14:val="tx1"/>
            </w14:solidFill>
          </w14:textFill>
        </w:rPr>
        <w:t xml:space="preserve">4.2 </w:t>
      </w:r>
      <w:bookmarkEnd w:id="15"/>
      <w:r>
        <w:rPr>
          <w:bCs/>
          <w:color w:val="000000" w:themeColor="text1"/>
          <w:sz w:val="24"/>
          <w:szCs w:val="24"/>
          <w14:textFill>
            <w14:solidFill>
              <w14:schemeClr w14:val="tx1"/>
            </w14:solidFill>
          </w14:textFill>
        </w:rPr>
        <w:t>采购代理与服务费用</w:t>
      </w:r>
    </w:p>
    <w:p w14:paraId="7A481207">
      <w:pPr>
        <w:spacing w:line="360" w:lineRule="auto"/>
        <w:ind w:firstLine="48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4.2.1</w:t>
      </w:r>
      <w:r>
        <w:rPr>
          <w:bCs/>
          <w:color w:val="000000" w:themeColor="text1"/>
          <w:sz w:val="24"/>
          <w:szCs w:val="24"/>
          <w14:textFill>
            <w14:solidFill>
              <w14:schemeClr w14:val="tx1"/>
            </w14:solidFill>
          </w14:textFill>
        </w:rPr>
        <w:t>采购代理服务费为</w:t>
      </w:r>
      <w:r>
        <w:rPr>
          <w:rFonts w:hint="eastAsia"/>
          <w:bCs/>
          <w:color w:val="000000" w:themeColor="text1"/>
          <w:sz w:val="24"/>
          <w:szCs w:val="24"/>
          <w14:textFill>
            <w14:solidFill>
              <w14:schemeClr w14:val="tx1"/>
            </w14:solidFill>
          </w14:textFill>
        </w:rPr>
        <w:t>含税总保费的1.5%</w:t>
      </w:r>
      <w:r>
        <w:rPr>
          <w:bCs/>
          <w:color w:val="000000" w:themeColor="text1"/>
          <w:sz w:val="24"/>
          <w:szCs w:val="24"/>
          <w14:textFill>
            <w14:solidFill>
              <w14:schemeClr w14:val="tx1"/>
            </w14:solidFill>
          </w14:textFill>
        </w:rPr>
        <w:t>，</w:t>
      </w:r>
      <w:r>
        <w:rPr>
          <w:rFonts w:hint="eastAsia"/>
          <w:bCs/>
          <w:color w:val="000000" w:themeColor="text1"/>
          <w:sz w:val="24"/>
          <w:szCs w:val="24"/>
          <w14:textFill>
            <w14:solidFill>
              <w14:schemeClr w14:val="tx1"/>
            </w14:solidFill>
          </w14:textFill>
        </w:rPr>
        <w:t>代理费由中标供应商在合同见证时支付</w:t>
      </w:r>
      <w:r>
        <w:rPr>
          <w:bCs/>
          <w:color w:val="000000" w:themeColor="text1"/>
          <w:sz w:val="24"/>
          <w:szCs w:val="24"/>
          <w14:textFill>
            <w14:solidFill>
              <w14:schemeClr w14:val="tx1"/>
            </w14:solidFill>
          </w14:textFill>
        </w:rPr>
        <w:t>。</w:t>
      </w:r>
    </w:p>
    <w:p w14:paraId="0CBA198E">
      <w:pPr>
        <w:spacing w:line="360" w:lineRule="auto"/>
        <w:ind w:firstLine="480"/>
        <w:outlineLvl w:val="0"/>
        <w:rPr>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4.2.2</w:t>
      </w:r>
      <w:r>
        <w:rPr>
          <w:b/>
          <w:bCs/>
          <w:color w:val="000000" w:themeColor="text1"/>
          <w:sz w:val="24"/>
          <w:szCs w:val="24"/>
          <w14:textFill>
            <w14:solidFill>
              <w14:schemeClr w14:val="tx1"/>
            </w14:solidFill>
          </w14:textFill>
        </w:rPr>
        <w:t>采购代理服务费汇到如下账号</w:t>
      </w:r>
    </w:p>
    <w:p w14:paraId="2DCD19A5">
      <w:pPr>
        <w:spacing w:line="360" w:lineRule="auto"/>
        <w:ind w:firstLine="566"/>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收款单位：恒泰保险经纪有限公司</w:t>
      </w:r>
    </w:p>
    <w:p w14:paraId="32DB5CFE">
      <w:pPr>
        <w:spacing w:line="360" w:lineRule="auto"/>
        <w:ind w:firstLine="566"/>
        <w:outlineLvl w:val="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开户银行：中国工商银行南京城北支行</w:t>
      </w:r>
    </w:p>
    <w:p w14:paraId="76A2F288">
      <w:pPr>
        <w:spacing w:line="360" w:lineRule="auto"/>
        <w:ind w:left="-2" w:firstLine="566"/>
        <w:outlineLvl w:val="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账    号：4301010919100529942</w:t>
      </w:r>
    </w:p>
    <w:p w14:paraId="42387D9C">
      <w:pPr>
        <w:spacing w:line="360" w:lineRule="auto"/>
        <w:ind w:firstLine="545"/>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4.2.3</w:t>
      </w:r>
      <w:r>
        <w:rPr>
          <w:bCs/>
          <w:color w:val="000000" w:themeColor="text1"/>
          <w:sz w:val="24"/>
          <w:szCs w:val="24"/>
          <w14:textFill>
            <w14:solidFill>
              <w14:schemeClr w14:val="tx1"/>
            </w14:solidFill>
          </w14:textFill>
        </w:rPr>
        <w:t>采购代理机构向采购人出具全额正规发票。</w:t>
      </w:r>
    </w:p>
    <w:p w14:paraId="638FA5F3">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5.保密要求</w:t>
      </w:r>
    </w:p>
    <w:p w14:paraId="520091AF">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5.1采购各方当事人，对采购活动过程中获悉的国家秘密和商业秘密，应当依法予以保密。</w:t>
      </w:r>
    </w:p>
    <w:p w14:paraId="66A0A046">
      <w:pPr>
        <w:spacing w:line="360" w:lineRule="auto"/>
        <w:ind w:firstLine="482"/>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二、招标文件</w:t>
      </w:r>
    </w:p>
    <w:p w14:paraId="615F19E8">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6.</w:t>
      </w:r>
      <w:r>
        <w:rPr>
          <w:b/>
          <w:color w:val="000000" w:themeColor="text1"/>
          <w:sz w:val="24"/>
          <w:szCs w:val="24"/>
          <w:lang w:val="zh-CN"/>
          <w14:textFill>
            <w14:solidFill>
              <w14:schemeClr w14:val="tx1"/>
            </w14:solidFill>
          </w14:textFill>
        </w:rPr>
        <w:t>招标文件的组成</w:t>
      </w:r>
    </w:p>
    <w:p w14:paraId="0D3E85AE">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6.1 供应商应登录“苏采云” 系统下载磋商文件</w:t>
      </w:r>
      <w:r>
        <w:rPr>
          <w:bCs/>
          <w:color w:val="000000" w:themeColor="text1"/>
          <w:sz w:val="24"/>
          <w:szCs w:val="21"/>
          <w14:textFill>
            <w14:solidFill>
              <w14:schemeClr w14:val="tx1"/>
            </w14:solidFill>
          </w14:textFill>
        </w:rPr>
        <w:t>(后缀名为“.kedt”)</w:t>
      </w:r>
      <w:r>
        <w:rPr>
          <w:bCs/>
          <w:color w:val="000000" w:themeColor="text1"/>
          <w:sz w:val="24"/>
          <w:szCs w:val="24"/>
          <w14:textFill>
            <w14:solidFill>
              <w14:schemeClr w14:val="tx1"/>
            </w14:solidFill>
          </w14:textFill>
        </w:rPr>
        <w:t>。供应商须按磋商文件要求提交资料并对磋商文件相关内容作出实质性响应，否则报价无效。</w:t>
      </w:r>
    </w:p>
    <w:p w14:paraId="3FD1D962">
      <w:pPr>
        <w:spacing w:line="360" w:lineRule="auto"/>
        <w:ind w:firstLine="480"/>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6.2 招标文件如与招标公告有不一致的地方，以招标文件为准；电子投标文件制作</w:t>
      </w:r>
      <w:r>
        <w:rPr>
          <w:bCs/>
          <w:color w:val="000000" w:themeColor="text1"/>
          <w:sz w:val="24"/>
          <w:szCs w:val="21"/>
          <w14:textFill>
            <w14:solidFill>
              <w14:schemeClr w14:val="tx1"/>
            </w14:solidFill>
          </w14:textFill>
        </w:rPr>
        <w:t>客户端工具中</w:t>
      </w:r>
      <w:r>
        <w:rPr>
          <w:bCs/>
          <w:color w:val="000000" w:themeColor="text1"/>
          <w:sz w:val="24"/>
          <w:szCs w:val="24"/>
          <w14:textFill>
            <w14:solidFill>
              <w14:schemeClr w14:val="tx1"/>
            </w14:solidFill>
          </w14:textFill>
        </w:rPr>
        <w:t>电子投标文件格式、说明与投标文件格式、说明不一致的，以招标文件格式、说明为准。</w:t>
      </w:r>
    </w:p>
    <w:p w14:paraId="5DDDDA9B">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6.3相关网站公告、公示信息如有不一致的，以“江苏政府采购网”发布的信息为准。</w:t>
      </w:r>
    </w:p>
    <w:p w14:paraId="2C30CCFC">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7.</w:t>
      </w:r>
      <w:r>
        <w:rPr>
          <w:b/>
          <w:color w:val="000000" w:themeColor="text1"/>
          <w:sz w:val="24"/>
          <w:szCs w:val="24"/>
          <w:lang w:val="zh-CN"/>
          <w14:textFill>
            <w14:solidFill>
              <w14:schemeClr w14:val="tx1"/>
            </w14:solidFill>
          </w14:textFill>
        </w:rPr>
        <w:t>招标文件的解释</w:t>
      </w:r>
    </w:p>
    <w:p w14:paraId="3F342D7F">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7.1 本文件和“第三章 评标方法和标准”和“第四章 项目技术要求和有关说明”由</w:t>
      </w:r>
      <w:bookmarkStart w:id="16" w:name="OLE_LINK13"/>
      <w:r>
        <w:rPr>
          <w:bCs/>
          <w:color w:val="000000" w:themeColor="text1"/>
          <w:sz w:val="24"/>
          <w:szCs w:val="24"/>
          <w14:textFill>
            <w14:solidFill>
              <w14:schemeClr w14:val="tx1"/>
            </w14:solidFill>
          </w14:textFill>
        </w:rPr>
        <w:t>采购人负责解释</w:t>
      </w:r>
      <w:bookmarkEnd w:id="16"/>
      <w:r>
        <w:rPr>
          <w:bCs/>
          <w:color w:val="000000" w:themeColor="text1"/>
          <w:sz w:val="24"/>
          <w:szCs w:val="24"/>
          <w14:textFill>
            <w14:solidFill>
              <w14:schemeClr w14:val="tx1"/>
            </w14:solidFill>
          </w14:textFill>
        </w:rPr>
        <w:t>，其他部分由采购人和采购代理机构负责解释。</w:t>
      </w:r>
    </w:p>
    <w:p w14:paraId="00FA8E8E">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7.2本项目不组织现场答疑。</w:t>
      </w:r>
    </w:p>
    <w:p w14:paraId="63D35044">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7.3投标人如有需要对招标文件要求澄清的问题，请以电子邮件及传真件形式提出“JSZC-320282-HTBX-G2025-0004项目需澄清问题”，并于202</w:t>
      </w:r>
      <w:r>
        <w:rPr>
          <w:rFonts w:hint="eastAsia"/>
          <w:bCs/>
          <w:color w:val="000000" w:themeColor="text1"/>
          <w:sz w:val="24"/>
          <w:szCs w:val="24"/>
          <w14:textFill>
            <w14:solidFill>
              <w14:schemeClr w14:val="tx1"/>
            </w14:solidFill>
          </w14:textFill>
        </w:rPr>
        <w:t>5</w:t>
      </w:r>
      <w:r>
        <w:rPr>
          <w:bCs/>
          <w:color w:val="000000" w:themeColor="text1"/>
          <w:sz w:val="24"/>
          <w:szCs w:val="24"/>
          <w14:textFill>
            <w14:solidFill>
              <w14:schemeClr w14:val="tx1"/>
            </w14:solidFill>
          </w14:textFill>
        </w:rPr>
        <w:t>年</w:t>
      </w:r>
      <w:r>
        <w:rPr>
          <w:rFonts w:hint="eastAsia"/>
          <w:bCs/>
          <w:color w:val="000000" w:themeColor="text1"/>
          <w:sz w:val="24"/>
          <w:szCs w:val="24"/>
          <w14:textFill>
            <w14:solidFill>
              <w14:schemeClr w14:val="tx1"/>
            </w14:solidFill>
          </w14:textFill>
        </w:rPr>
        <w:t>5</w:t>
      </w:r>
      <w:r>
        <w:rPr>
          <w:bCs/>
          <w:color w:val="000000" w:themeColor="text1"/>
          <w:sz w:val="24"/>
          <w:szCs w:val="24"/>
          <w14:textFill>
            <w14:solidFill>
              <w14:schemeClr w14:val="tx1"/>
            </w14:solidFill>
          </w14:textFill>
        </w:rPr>
        <w:t>月</w:t>
      </w:r>
      <w:r>
        <w:rPr>
          <w:rFonts w:hint="eastAsia"/>
          <w:bCs/>
          <w:color w:val="000000" w:themeColor="text1"/>
          <w:sz w:val="24"/>
          <w:szCs w:val="24"/>
          <w14:textFill>
            <w14:solidFill>
              <w14:schemeClr w14:val="tx1"/>
            </w14:solidFill>
          </w14:textFill>
        </w:rPr>
        <w:t>1</w:t>
      </w:r>
      <w:r>
        <w:rPr>
          <w:bCs/>
          <w:color w:val="000000" w:themeColor="text1"/>
          <w:sz w:val="24"/>
          <w:szCs w:val="24"/>
          <w14:textFill>
            <w14:solidFill>
              <w14:schemeClr w14:val="tx1"/>
            </w14:solidFill>
          </w14:textFill>
        </w:rPr>
        <w:t>6日上午10：00前发送至采购代理机构邮箱（</w:t>
      </w:r>
      <w:r>
        <w:rPr>
          <w:rFonts w:hint="eastAsia"/>
          <w:bCs/>
          <w:color w:val="000000" w:themeColor="text1"/>
          <w:sz w:val="24"/>
          <w:szCs w:val="24"/>
          <w14:textFill>
            <w14:solidFill>
              <w14:schemeClr w14:val="tx1"/>
            </w14:solidFill>
          </w14:textFill>
        </w:rPr>
        <w:t>guzq_ht@jsgx.net</w:t>
      </w:r>
      <w:r>
        <w:rPr>
          <w:bCs/>
          <w:color w:val="000000" w:themeColor="text1"/>
          <w:sz w:val="24"/>
          <w:szCs w:val="24"/>
          <w14:textFill>
            <w14:solidFill>
              <w14:schemeClr w14:val="tx1"/>
            </w14:solidFill>
          </w14:textFill>
        </w:rPr>
        <w:t>）。</w:t>
      </w:r>
    </w:p>
    <w:p w14:paraId="77F48B9B">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8.</w:t>
      </w:r>
      <w:r>
        <w:rPr>
          <w:b/>
          <w:color w:val="000000" w:themeColor="text1"/>
          <w:sz w:val="24"/>
          <w:szCs w:val="24"/>
          <w:lang w:val="zh-CN"/>
          <w14:textFill>
            <w14:solidFill>
              <w14:schemeClr w14:val="tx1"/>
            </w14:solidFill>
          </w14:textFill>
        </w:rPr>
        <w:t>招标文件的澄清、修改</w:t>
      </w:r>
    </w:p>
    <w:p w14:paraId="7362DB20">
      <w:pPr>
        <w:spacing w:line="360" w:lineRule="auto"/>
        <w:ind w:firstLine="480"/>
        <w:rPr>
          <w:color w:val="000000" w:themeColor="text1"/>
          <w:sz w:val="24"/>
          <w:szCs w:val="21"/>
          <w14:textFill>
            <w14:solidFill>
              <w14:schemeClr w14:val="tx1"/>
            </w14:solidFill>
          </w14:textFill>
        </w:rPr>
      </w:pPr>
      <w:r>
        <w:rPr>
          <w:bCs/>
          <w:color w:val="000000" w:themeColor="text1"/>
          <w:sz w:val="24"/>
          <w:szCs w:val="24"/>
          <w14:textFill>
            <w14:solidFill>
              <w14:schemeClr w14:val="tx1"/>
            </w14:solidFill>
          </w14:textFill>
        </w:rPr>
        <w:t>8.1</w:t>
      </w:r>
      <w:bookmarkStart w:id="17" w:name="OLE_LINK326"/>
      <w:r>
        <w:rPr>
          <w:color w:val="000000" w:themeColor="text1"/>
          <w:sz w:val="24"/>
          <w:szCs w:val="24"/>
          <w14:textFill>
            <w14:solidFill>
              <w14:schemeClr w14:val="tx1"/>
            </w14:solidFill>
          </w14:textFill>
        </w:rPr>
        <w:t>采购人或者采购代理机构</w:t>
      </w:r>
      <w:r>
        <w:rPr>
          <w:color w:val="000000" w:themeColor="text1"/>
          <w:sz w:val="24"/>
          <w:szCs w:val="21"/>
          <w:lang w:val="zh-CN"/>
          <w14:textFill>
            <w14:solidFill>
              <w14:schemeClr w14:val="tx1"/>
            </w14:solidFill>
          </w14:textFill>
        </w:rPr>
        <w:t>对</w:t>
      </w:r>
      <w:r>
        <w:rPr>
          <w:bCs/>
          <w:color w:val="000000" w:themeColor="text1"/>
          <w:sz w:val="24"/>
          <w:szCs w:val="24"/>
          <w:lang w:val="zh-CN"/>
          <w14:textFill>
            <w14:solidFill>
              <w14:schemeClr w14:val="tx1"/>
            </w14:solidFill>
          </w14:textFill>
        </w:rPr>
        <w:t>已</w:t>
      </w:r>
      <w:r>
        <w:rPr>
          <w:color w:val="000000" w:themeColor="text1"/>
          <w:sz w:val="24"/>
          <w:szCs w:val="21"/>
          <w:lang w:val="zh-CN"/>
          <w14:textFill>
            <w14:solidFill>
              <w14:schemeClr w14:val="tx1"/>
            </w14:solidFill>
          </w14:textFill>
        </w:rPr>
        <w:t>发出的招标文件进行必要澄清或者修改的，将在投标截止时间</w:t>
      </w:r>
      <w:r>
        <w:rPr>
          <w:iCs/>
          <w:color w:val="000000" w:themeColor="text1"/>
          <w:sz w:val="24"/>
          <w:szCs w:val="21"/>
          <w14:textFill>
            <w14:solidFill>
              <w14:schemeClr w14:val="tx1"/>
            </w14:solidFill>
          </w14:textFill>
        </w:rPr>
        <w:t>15</w:t>
      </w:r>
      <w:r>
        <w:rPr>
          <w:iCs/>
          <w:color w:val="000000" w:themeColor="text1"/>
          <w:sz w:val="24"/>
          <w:szCs w:val="21"/>
          <w:lang w:val="zh-CN"/>
          <w14:textFill>
            <w14:solidFill>
              <w14:schemeClr w14:val="tx1"/>
            </w14:solidFill>
          </w14:textFill>
        </w:rPr>
        <w:t>日</w:t>
      </w:r>
      <w:r>
        <w:rPr>
          <w:color w:val="000000" w:themeColor="text1"/>
          <w:sz w:val="24"/>
          <w:szCs w:val="21"/>
          <w:lang w:val="zh-CN"/>
          <w14:textFill>
            <w14:solidFill>
              <w14:schemeClr w14:val="tx1"/>
            </w14:solidFill>
          </w14:textFill>
        </w:rPr>
        <w:t>前</w:t>
      </w:r>
      <w:r>
        <w:rPr>
          <w:color w:val="000000" w:themeColor="text1"/>
          <w:sz w:val="24"/>
          <w:szCs w:val="21"/>
          <w14:textFill>
            <w14:solidFill>
              <w14:schemeClr w14:val="tx1"/>
            </w14:solidFill>
          </w14:textFill>
        </w:rPr>
        <w:t>，</w:t>
      </w:r>
      <w:r>
        <w:rPr>
          <w:color w:val="000000" w:themeColor="text1"/>
          <w:sz w:val="24"/>
          <w:szCs w:val="21"/>
          <w:lang w:val="zh-CN"/>
          <w14:textFill>
            <w14:solidFill>
              <w14:schemeClr w14:val="tx1"/>
            </w14:solidFill>
          </w14:textFill>
        </w:rPr>
        <w:t>在原招标公告媒体发布更正公告。不足</w:t>
      </w:r>
      <w:r>
        <w:rPr>
          <w:color w:val="000000" w:themeColor="text1"/>
          <w:sz w:val="24"/>
          <w:szCs w:val="21"/>
          <w14:textFill>
            <w14:solidFill>
              <w14:schemeClr w14:val="tx1"/>
            </w14:solidFill>
          </w14:textFill>
        </w:rPr>
        <w:t>15日的，</w:t>
      </w:r>
      <w:r>
        <w:rPr>
          <w:color w:val="000000" w:themeColor="text1"/>
          <w:sz w:val="24"/>
          <w:szCs w:val="24"/>
          <w14:textFill>
            <w14:solidFill>
              <w14:schemeClr w14:val="tx1"/>
            </w14:solidFill>
          </w14:textFill>
        </w:rPr>
        <w:t>采购人或者采购代理机构有权决定是否顺延投标截止时间和开标时间，</w:t>
      </w:r>
      <w:r>
        <w:rPr>
          <w:color w:val="000000" w:themeColor="text1"/>
          <w:sz w:val="24"/>
          <w:szCs w:val="21"/>
          <w:lang w:val="zh-CN"/>
          <w14:textFill>
            <w14:solidFill>
              <w14:schemeClr w14:val="tx1"/>
            </w14:solidFill>
          </w14:textFill>
        </w:rPr>
        <w:t>该澄清或者修改的内容为招标文件的组成部分。</w:t>
      </w:r>
      <w:bookmarkEnd w:id="17"/>
    </w:p>
    <w:p w14:paraId="1B3303EB">
      <w:pPr>
        <w:spacing w:line="360" w:lineRule="auto"/>
        <w:ind w:firstLine="48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8.2</w:t>
      </w:r>
      <w:r>
        <w:rPr>
          <w:color w:val="000000" w:themeColor="text1"/>
          <w:sz w:val="24"/>
          <w:szCs w:val="21"/>
          <w:lang w:val="zh-CN"/>
          <w14:textFill>
            <w14:solidFill>
              <w14:schemeClr w14:val="tx1"/>
            </w14:solidFill>
          </w14:textFill>
        </w:rPr>
        <w:t>投标人应在投标截止时间前关注原采购信息发布媒体上有关本招标项目有无变更公告。如投标人未及时关注，由此造成的一切损失由投标人自行承担。</w:t>
      </w:r>
    </w:p>
    <w:p w14:paraId="4FA05642">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三、投标文件</w:t>
      </w:r>
    </w:p>
    <w:p w14:paraId="23385FB6">
      <w:pPr>
        <w:spacing w:line="360" w:lineRule="auto"/>
        <w:ind w:firstLine="482"/>
        <w:rPr>
          <w:b/>
          <w:color w:val="000000" w:themeColor="text1"/>
          <w:sz w:val="24"/>
          <w:szCs w:val="24"/>
          <w14:textFill>
            <w14:solidFill>
              <w14:schemeClr w14:val="tx1"/>
            </w14:solidFill>
          </w14:textFill>
        </w:rPr>
      </w:pPr>
      <w:bookmarkStart w:id="18" w:name="OLE_LINK16"/>
      <w:bookmarkStart w:id="19" w:name="OLE_LINK21"/>
      <w:r>
        <w:rPr>
          <w:b/>
          <w:color w:val="000000" w:themeColor="text1"/>
          <w:sz w:val="24"/>
          <w:szCs w:val="24"/>
          <w14:textFill>
            <w14:solidFill>
              <w14:schemeClr w14:val="tx1"/>
            </w14:solidFill>
          </w14:textFill>
        </w:rPr>
        <w:t>9</w:t>
      </w:r>
      <w:bookmarkStart w:id="20" w:name="OLE_LINK62"/>
      <w:r>
        <w:rPr>
          <w:b/>
          <w:color w:val="000000" w:themeColor="text1"/>
          <w:sz w:val="24"/>
          <w:szCs w:val="24"/>
          <w14:textFill>
            <w14:solidFill>
              <w14:schemeClr w14:val="tx1"/>
            </w14:solidFill>
          </w14:textFill>
        </w:rPr>
        <w:t>.投标文件的组成</w:t>
      </w:r>
      <w:bookmarkEnd w:id="18"/>
      <w:r>
        <w:rPr>
          <w:b/>
          <w:color w:val="000000" w:themeColor="text1"/>
          <w:sz w:val="24"/>
          <w:szCs w:val="24"/>
          <w14:textFill>
            <w14:solidFill>
              <w14:schemeClr w14:val="tx1"/>
            </w14:solidFill>
          </w14:textFill>
        </w:rPr>
        <w:t>：</w:t>
      </w:r>
      <w:bookmarkStart w:id="21" w:name="OLE_LINK215"/>
      <w:r>
        <w:rPr>
          <w:b/>
          <w:color w:val="000000" w:themeColor="text1"/>
          <w:sz w:val="24"/>
          <w:szCs w:val="24"/>
          <w14:textFill>
            <w14:solidFill>
              <w14:schemeClr w14:val="tx1"/>
            </w14:solidFill>
          </w14:textFill>
        </w:rPr>
        <w:t>对应第六章 投标文件（格式）</w:t>
      </w:r>
      <w:bookmarkEnd w:id="21"/>
      <w:r>
        <w:rPr>
          <w:b/>
          <w:color w:val="000000" w:themeColor="text1"/>
          <w:sz w:val="24"/>
          <w:szCs w:val="24"/>
          <w14:textFill>
            <w14:solidFill>
              <w14:schemeClr w14:val="tx1"/>
            </w14:solidFill>
          </w14:textFill>
        </w:rPr>
        <w:t>。</w:t>
      </w:r>
    </w:p>
    <w:p w14:paraId="485AA092">
      <w:pPr>
        <w:numPr>
          <w:ilvl w:val="0"/>
          <w:numId w:val="1"/>
        </w:numPr>
        <w:tabs>
          <w:tab w:val="left" w:pos="0"/>
          <w:tab w:val="left" w:pos="255"/>
        </w:tabs>
        <w:spacing w:line="360" w:lineRule="auto"/>
        <w:rPr>
          <w:color w:val="000000" w:themeColor="text1"/>
          <w:sz w:val="24"/>
          <w:szCs w:val="21"/>
          <w14:textFill>
            <w14:solidFill>
              <w14:schemeClr w14:val="tx1"/>
            </w14:solidFill>
          </w14:textFill>
        </w:rPr>
      </w:pPr>
      <w:bookmarkStart w:id="22" w:name="OLE_LINK114"/>
      <w:bookmarkStart w:id="23" w:name="OLE_LINK51"/>
      <w:bookmarkStart w:id="24" w:name="OLE_LINK92"/>
      <w:r>
        <w:rPr>
          <w:color w:val="000000" w:themeColor="text1"/>
          <w:sz w:val="24"/>
          <w:szCs w:val="21"/>
          <w:lang w:val="zh-CN"/>
          <w14:textFill>
            <w14:solidFill>
              <w14:schemeClr w14:val="tx1"/>
            </w14:solidFill>
          </w14:textFill>
        </w:rPr>
        <w:t>封面（</w:t>
      </w:r>
      <w:r>
        <w:rPr>
          <w:b/>
          <w:bCs/>
          <w:color w:val="000000" w:themeColor="text1"/>
          <w:sz w:val="24"/>
          <w:szCs w:val="24"/>
          <w14:textFill>
            <w14:solidFill>
              <w14:schemeClr w14:val="tx1"/>
            </w14:solidFill>
          </w14:textFill>
        </w:rPr>
        <w:t>格式见附件</w:t>
      </w:r>
      <w:r>
        <w:rPr>
          <w:color w:val="000000" w:themeColor="text1"/>
          <w:sz w:val="24"/>
          <w:szCs w:val="21"/>
          <w:lang w:val="zh-CN"/>
          <w14:textFill>
            <w14:solidFill>
              <w14:schemeClr w14:val="tx1"/>
            </w14:solidFill>
          </w14:textFill>
        </w:rPr>
        <w:t>）</w:t>
      </w:r>
    </w:p>
    <w:p w14:paraId="193DF1CF">
      <w:pPr>
        <w:numPr>
          <w:ilvl w:val="0"/>
          <w:numId w:val="1"/>
        </w:numPr>
        <w:tabs>
          <w:tab w:val="left" w:pos="0"/>
          <w:tab w:val="left" w:pos="255"/>
        </w:tabs>
        <w:spacing w:line="360" w:lineRule="auto"/>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目录</w:t>
      </w:r>
    </w:p>
    <w:p w14:paraId="3D88C27E">
      <w:pPr>
        <w:numPr>
          <w:ilvl w:val="0"/>
          <w:numId w:val="1"/>
        </w:numPr>
        <w:tabs>
          <w:tab w:val="left" w:pos="0"/>
          <w:tab w:val="left" w:pos="255"/>
        </w:tabs>
        <w:spacing w:line="360" w:lineRule="auto"/>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投标函（</w:t>
      </w:r>
      <w:r>
        <w:rPr>
          <w:b/>
          <w:bCs/>
          <w:color w:val="000000" w:themeColor="text1"/>
          <w:sz w:val="24"/>
          <w:szCs w:val="24"/>
          <w14:textFill>
            <w14:solidFill>
              <w14:schemeClr w14:val="tx1"/>
            </w14:solidFill>
          </w14:textFill>
        </w:rPr>
        <w:t>格式见附件</w:t>
      </w:r>
      <w:r>
        <w:rPr>
          <w:color w:val="000000" w:themeColor="text1"/>
          <w:sz w:val="24"/>
          <w:szCs w:val="21"/>
          <w:lang w:val="zh-CN"/>
          <w14:textFill>
            <w14:solidFill>
              <w14:schemeClr w14:val="tx1"/>
            </w14:solidFill>
          </w14:textFill>
        </w:rPr>
        <w:t>）</w:t>
      </w:r>
    </w:p>
    <w:p w14:paraId="350B8878">
      <w:pPr>
        <w:numPr>
          <w:ilvl w:val="0"/>
          <w:numId w:val="1"/>
        </w:numPr>
        <w:tabs>
          <w:tab w:val="left" w:pos="0"/>
          <w:tab w:val="left" w:pos="255"/>
        </w:tabs>
        <w:spacing w:line="360" w:lineRule="auto"/>
        <w:rPr>
          <w:color w:val="000000" w:themeColor="text1"/>
          <w:sz w:val="24"/>
          <w:szCs w:val="24"/>
          <w14:textFill>
            <w14:solidFill>
              <w14:schemeClr w14:val="tx1"/>
            </w14:solidFill>
          </w14:textFill>
        </w:rPr>
      </w:pPr>
      <w:bookmarkStart w:id="25" w:name="OLE_LINK20"/>
      <w:r>
        <w:rPr>
          <w:color w:val="000000" w:themeColor="text1"/>
          <w:sz w:val="24"/>
          <w:szCs w:val="24"/>
          <w14:textFill>
            <w14:solidFill>
              <w14:schemeClr w14:val="tx1"/>
            </w14:solidFill>
          </w14:textFill>
        </w:rPr>
        <w:t>资格证明文件</w:t>
      </w:r>
      <w:bookmarkEnd w:id="25"/>
    </w:p>
    <w:p w14:paraId="78E3C53F">
      <w:pPr>
        <w:tabs>
          <w:tab w:val="left" w:pos="0"/>
          <w:tab w:val="left" w:pos="255"/>
        </w:tabs>
        <w:spacing w:line="360" w:lineRule="auto"/>
        <w:ind w:left="420"/>
        <w:rPr>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①</w:t>
      </w:r>
      <w:r>
        <w:rPr>
          <w:b/>
          <w:color w:val="000000" w:themeColor="text1"/>
          <w:sz w:val="24"/>
          <w:szCs w:val="24"/>
          <w:lang w:val="zh-CN"/>
          <w14:textFill>
            <w14:solidFill>
              <w14:schemeClr w14:val="tx1"/>
            </w14:solidFill>
          </w14:textFill>
        </w:rPr>
        <w:t>资格声明函</w:t>
      </w:r>
      <w:r>
        <w:rPr>
          <w:rFonts w:hint="eastAsia"/>
          <w:b/>
          <w:color w:val="000000" w:themeColor="text1"/>
          <w:sz w:val="24"/>
          <w:szCs w:val="24"/>
          <w:lang w:val="zh-CN"/>
          <w14:textFill>
            <w14:solidFill>
              <w14:schemeClr w14:val="tx1"/>
            </w14:solidFill>
          </w14:textFill>
        </w:rPr>
        <w:t>：</w:t>
      </w:r>
      <w:r>
        <w:rPr>
          <w:bCs/>
          <w:color w:val="000000" w:themeColor="text1"/>
          <w:sz w:val="24"/>
          <w:szCs w:val="24"/>
          <w:lang w:val="zh-CN"/>
          <w14:textFill>
            <w14:solidFill>
              <w14:schemeClr w14:val="tx1"/>
            </w14:solidFill>
          </w14:textFill>
        </w:rPr>
        <w:t>关于资格的声明函</w:t>
      </w:r>
      <w:r>
        <w:rPr>
          <w:color w:val="000000" w:themeColor="text1"/>
          <w:sz w:val="24"/>
          <w:szCs w:val="21"/>
          <w:lang w:val="zh-CN"/>
          <w14:textFill>
            <w14:solidFill>
              <w14:schemeClr w14:val="tx1"/>
            </w14:solidFill>
          </w14:textFill>
        </w:rPr>
        <w:t>（</w:t>
      </w:r>
      <w:r>
        <w:rPr>
          <w:b/>
          <w:bCs/>
          <w:color w:val="000000" w:themeColor="text1"/>
          <w:sz w:val="24"/>
          <w:szCs w:val="24"/>
          <w14:textFill>
            <w14:solidFill>
              <w14:schemeClr w14:val="tx1"/>
            </w14:solidFill>
          </w14:textFill>
        </w:rPr>
        <w:t>格式见附件</w:t>
      </w:r>
      <w:r>
        <w:rPr>
          <w:color w:val="000000" w:themeColor="text1"/>
          <w:sz w:val="24"/>
          <w:szCs w:val="21"/>
          <w:lang w:val="zh-CN"/>
          <w14:textFill>
            <w14:solidFill>
              <w14:schemeClr w14:val="tx1"/>
            </w14:solidFill>
          </w14:textFill>
        </w:rPr>
        <w:t>）</w:t>
      </w:r>
      <w:r>
        <w:rPr>
          <w:bCs/>
          <w:color w:val="000000" w:themeColor="text1"/>
          <w:sz w:val="24"/>
          <w:szCs w:val="24"/>
          <w:lang w:val="zh-CN"/>
          <w14:textFill>
            <w14:solidFill>
              <w14:schemeClr w14:val="tx1"/>
            </w14:solidFill>
          </w14:textFill>
        </w:rPr>
        <w:t>。</w:t>
      </w:r>
    </w:p>
    <w:p w14:paraId="261C0FC7">
      <w:pPr>
        <w:tabs>
          <w:tab w:val="left" w:pos="0"/>
          <w:tab w:val="left" w:pos="255"/>
        </w:tabs>
        <w:spacing w:line="360" w:lineRule="auto"/>
        <w:ind w:left="420"/>
        <w:rPr>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②</w:t>
      </w:r>
      <w:r>
        <w:rPr>
          <w:b/>
          <w:color w:val="000000" w:themeColor="text1"/>
          <w:sz w:val="24"/>
          <w:szCs w:val="24"/>
          <w:lang w:val="zh-CN"/>
          <w14:textFill>
            <w14:solidFill>
              <w14:schemeClr w14:val="tx1"/>
            </w14:solidFill>
          </w14:textFill>
        </w:rPr>
        <w:t>具有独立承担民事责任的能力：</w:t>
      </w:r>
      <w:r>
        <w:rPr>
          <w:color w:val="000000" w:themeColor="text1"/>
          <w:sz w:val="24"/>
          <w:szCs w:val="24"/>
          <w14:textFill>
            <w14:solidFill>
              <w14:schemeClr w14:val="tx1"/>
            </w14:solidFill>
          </w14:textFill>
        </w:rPr>
        <w:t>投标人有效期内营业执照副本复印件或扫描件</w:t>
      </w:r>
      <w:r>
        <w:rPr>
          <w:b/>
          <w:bCs/>
          <w:color w:val="000000" w:themeColor="text1"/>
          <w:sz w:val="24"/>
          <w:szCs w:val="24"/>
          <w14:textFill>
            <w14:solidFill>
              <w14:schemeClr w14:val="tx1"/>
            </w14:solidFill>
          </w14:textFill>
        </w:rPr>
        <w:t>。</w:t>
      </w:r>
    </w:p>
    <w:p w14:paraId="3D200FED">
      <w:pPr>
        <w:tabs>
          <w:tab w:val="left" w:pos="0"/>
          <w:tab w:val="left" w:pos="255"/>
        </w:tabs>
        <w:spacing w:line="360" w:lineRule="auto"/>
        <w:rPr>
          <w:bCs/>
          <w:color w:val="000000" w:themeColor="text1"/>
          <w:sz w:val="24"/>
          <w:szCs w:val="24"/>
          <w:lang w:val="zh-CN"/>
          <w14:textFill>
            <w14:solidFill>
              <w14:schemeClr w14:val="tx1"/>
            </w14:solidFill>
          </w14:textFill>
        </w:rPr>
      </w:pPr>
      <w:r>
        <w:rPr>
          <w:bCs/>
          <w:color w:val="000000" w:themeColor="text1"/>
          <w:sz w:val="24"/>
          <w:szCs w:val="24"/>
          <w:lang w:val="zh-CN"/>
          <w14:textFill>
            <w14:solidFill>
              <w14:schemeClr w14:val="tx1"/>
            </w14:solidFill>
          </w14:textFill>
        </w:rPr>
        <w:tab/>
      </w:r>
      <w:r>
        <w:rPr>
          <w:bCs/>
          <w:color w:val="000000" w:themeColor="text1"/>
          <w:sz w:val="24"/>
          <w:szCs w:val="24"/>
          <w:lang w:val="zh-CN"/>
          <w14:textFill>
            <w14:solidFill>
              <w14:schemeClr w14:val="tx1"/>
            </w14:solidFill>
          </w14:textFill>
        </w:rPr>
        <w:tab/>
      </w:r>
      <w:r>
        <w:rPr>
          <w:rFonts w:hint="eastAsia"/>
          <w:b/>
          <w:color w:val="000000" w:themeColor="text1"/>
          <w:sz w:val="24"/>
          <w:szCs w:val="24"/>
          <w:lang w:val="zh-CN"/>
          <w14:textFill>
            <w14:solidFill>
              <w14:schemeClr w14:val="tx1"/>
            </w14:solidFill>
          </w14:textFill>
        </w:rPr>
        <w:t>③</w:t>
      </w:r>
      <w:r>
        <w:rPr>
          <w:b/>
          <w:color w:val="000000" w:themeColor="text1"/>
          <w:sz w:val="24"/>
          <w:szCs w:val="24"/>
          <w:lang w:val="zh-CN"/>
          <w14:textFill>
            <w14:solidFill>
              <w14:schemeClr w14:val="tx1"/>
            </w14:solidFill>
          </w14:textFill>
        </w:rPr>
        <w:t>被授权代表身份证明1：</w:t>
      </w:r>
      <w:bookmarkStart w:id="26" w:name="_Hlk197516788"/>
      <w:r>
        <w:rPr>
          <w:bCs/>
          <w:color w:val="000000" w:themeColor="text1"/>
          <w:sz w:val="24"/>
          <w:szCs w:val="24"/>
          <w:lang w:val="zh-CN"/>
          <w14:textFill>
            <w14:solidFill>
              <w14:schemeClr w14:val="tx1"/>
            </w14:solidFill>
          </w14:textFill>
        </w:rPr>
        <w:t>法定代表人或投标机构负责人授权委托书</w:t>
      </w:r>
      <w:bookmarkEnd w:id="26"/>
      <w:r>
        <w:rPr>
          <w:bCs/>
          <w:color w:val="000000" w:themeColor="text1"/>
          <w:sz w:val="24"/>
          <w:szCs w:val="24"/>
          <w:lang w:val="zh-CN"/>
          <w14:textFill>
            <w14:solidFill>
              <w14:schemeClr w14:val="tx1"/>
            </w14:solidFill>
          </w14:textFill>
        </w:rPr>
        <w:t>（法定代表人亲自参加的除外）。</w:t>
      </w:r>
    </w:p>
    <w:p w14:paraId="3BD1C0D6">
      <w:pPr>
        <w:tabs>
          <w:tab w:val="left" w:pos="0"/>
          <w:tab w:val="left" w:pos="255"/>
        </w:tabs>
        <w:spacing w:line="360" w:lineRule="auto"/>
        <w:ind w:left="42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④</w:t>
      </w:r>
      <w:r>
        <w:rPr>
          <w:bCs/>
          <w:color w:val="000000" w:themeColor="text1"/>
          <w:sz w:val="24"/>
          <w:szCs w:val="24"/>
          <w14:textFill>
            <w14:solidFill>
              <w14:schemeClr w14:val="tx1"/>
            </w14:solidFill>
          </w14:textFill>
        </w:rPr>
        <w:t>投标人的法定代表人身份证复印件及被授权代</w:t>
      </w:r>
      <w:r>
        <w:rPr>
          <w:rFonts w:hint="eastAsia"/>
          <w:bCs/>
          <w:color w:val="000000" w:themeColor="text1"/>
          <w:sz w:val="24"/>
          <w:szCs w:val="24"/>
          <w14:textFill>
            <w14:solidFill>
              <w14:schemeClr w14:val="tx1"/>
            </w14:solidFill>
          </w14:textFill>
        </w:rPr>
        <w:t>表人</w:t>
      </w:r>
      <w:r>
        <w:rPr>
          <w:bCs/>
          <w:color w:val="000000" w:themeColor="text1"/>
          <w:sz w:val="24"/>
          <w:szCs w:val="24"/>
          <w14:textFill>
            <w14:solidFill>
              <w14:schemeClr w14:val="tx1"/>
            </w14:solidFill>
          </w14:textFill>
        </w:rPr>
        <w:t>身份证复印件或扫描件正反面。</w:t>
      </w:r>
    </w:p>
    <w:p w14:paraId="4BE3B62A">
      <w:pPr>
        <w:tabs>
          <w:tab w:val="left" w:pos="0"/>
          <w:tab w:val="left" w:pos="255"/>
        </w:tabs>
        <w:spacing w:line="360" w:lineRule="auto"/>
        <w:ind w:left="420"/>
        <w:rPr>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⑤</w:t>
      </w:r>
      <w:r>
        <w:rPr>
          <w:b/>
          <w:color w:val="000000" w:themeColor="text1"/>
          <w:sz w:val="24"/>
          <w:szCs w:val="24"/>
          <w:lang w:val="zh-CN"/>
          <w14:textFill>
            <w14:solidFill>
              <w14:schemeClr w14:val="tx1"/>
            </w14:solidFill>
          </w14:textFill>
        </w:rPr>
        <w:t>被授权代表身份证明2</w:t>
      </w:r>
      <w:r>
        <w:rPr>
          <w:b/>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投标人为本项目被授权代表在近六个月内任意一个月份的社保</w:t>
      </w:r>
    </w:p>
    <w:p w14:paraId="4330F008">
      <w:pPr>
        <w:tabs>
          <w:tab w:val="left" w:pos="0"/>
          <w:tab w:val="left" w:pos="255"/>
        </w:tabs>
        <w:spacing w:line="360" w:lineRule="auto"/>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证明复印件或扫描件（提供相关主管部门证明或银行代扣证明，法定代表人亲自参加的除外）</w:t>
      </w:r>
      <w:r>
        <w:rPr>
          <w:bCs/>
          <w:color w:val="000000" w:themeColor="text1"/>
          <w:sz w:val="24"/>
          <w:szCs w:val="24"/>
          <w14:textFill>
            <w14:solidFill>
              <w14:schemeClr w14:val="tx1"/>
            </w14:solidFill>
          </w14:textFill>
        </w:rPr>
        <w:t>。</w:t>
      </w:r>
    </w:p>
    <w:p w14:paraId="0F320EEC">
      <w:pPr>
        <w:tabs>
          <w:tab w:val="left" w:pos="0"/>
          <w:tab w:val="left" w:pos="255"/>
        </w:tabs>
        <w:spacing w:line="360" w:lineRule="auto"/>
        <w:ind w:left="42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⑥</w:t>
      </w:r>
      <w:r>
        <w:rPr>
          <w:bCs/>
          <w:color w:val="000000" w:themeColor="text1"/>
          <w:sz w:val="24"/>
          <w:szCs w:val="24"/>
          <w14:textFill>
            <w14:solidFill>
              <w14:schemeClr w14:val="tx1"/>
            </w14:solidFill>
          </w14:textFill>
        </w:rPr>
        <w:t>投标人的《中华人民共和国保险许可证》</w:t>
      </w:r>
      <w:r>
        <w:rPr>
          <w:b/>
          <w:color w:val="000000" w:themeColor="text1"/>
          <w:sz w:val="24"/>
          <w:szCs w:val="24"/>
          <w14:textFill>
            <w14:solidFill>
              <w14:schemeClr w14:val="tx1"/>
            </w14:solidFill>
          </w14:textFill>
        </w:rPr>
        <w:t>复印件或扫描件</w:t>
      </w:r>
      <w:r>
        <w:rPr>
          <w:color w:val="000000" w:themeColor="text1"/>
          <w:sz w:val="24"/>
          <w:szCs w:val="24"/>
          <w14:textFill>
            <w14:solidFill>
              <w14:schemeClr w14:val="tx1"/>
            </w14:solidFill>
          </w14:textFill>
        </w:rPr>
        <w:t>。</w:t>
      </w:r>
    </w:p>
    <w:p w14:paraId="4DADF62A">
      <w:pPr>
        <w:tabs>
          <w:tab w:val="left" w:pos="0"/>
          <w:tab w:val="left" w:pos="255"/>
        </w:tabs>
        <w:spacing w:line="360" w:lineRule="auto"/>
        <w:ind w:left="420"/>
        <w:rPr>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⑦</w:t>
      </w:r>
      <w:r>
        <w:rPr>
          <w:b/>
          <w:color w:val="000000" w:themeColor="text1"/>
          <w:sz w:val="24"/>
          <w:szCs w:val="24"/>
          <w:lang w:val="zh-CN"/>
          <w14:textFill>
            <w14:solidFill>
              <w14:schemeClr w14:val="tx1"/>
            </w14:solidFill>
          </w14:textFill>
        </w:rPr>
        <w:t>具有良好的商业信誉和健全的财务会计制度：</w:t>
      </w:r>
      <w:r>
        <w:rPr>
          <w:bCs/>
          <w:color w:val="000000" w:themeColor="text1"/>
          <w:sz w:val="24"/>
          <w:szCs w:val="24"/>
          <w14:textFill>
            <w14:solidFill>
              <w14:schemeClr w14:val="tx1"/>
            </w14:solidFill>
          </w14:textFill>
        </w:rPr>
        <w:t>经第三方专业机构审计的总公司202</w:t>
      </w:r>
      <w:r>
        <w:rPr>
          <w:rFonts w:hint="eastAsia"/>
          <w:bCs/>
          <w:color w:val="000000" w:themeColor="text1"/>
          <w:sz w:val="24"/>
          <w:szCs w:val="24"/>
          <w14:textFill>
            <w14:solidFill>
              <w14:schemeClr w14:val="tx1"/>
            </w14:solidFill>
          </w14:textFill>
        </w:rPr>
        <w:t>3</w:t>
      </w:r>
      <w:r>
        <w:rPr>
          <w:bCs/>
          <w:color w:val="000000" w:themeColor="text1"/>
          <w:sz w:val="24"/>
          <w:szCs w:val="24"/>
          <w14:textFill>
            <w14:solidFill>
              <w14:schemeClr w14:val="tx1"/>
            </w14:solidFill>
          </w14:textFill>
        </w:rPr>
        <w:t>年</w:t>
      </w:r>
    </w:p>
    <w:p w14:paraId="7D9C9B08">
      <w:pPr>
        <w:tabs>
          <w:tab w:val="left" w:pos="0"/>
          <w:tab w:val="left" w:pos="255"/>
        </w:tabs>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度审计报告和所附的资产负债表、利润表和偿付能力状况表（</w:t>
      </w:r>
      <w:r>
        <w:rPr>
          <w:b/>
          <w:bCs/>
          <w:color w:val="000000" w:themeColor="text1"/>
          <w:sz w:val="24"/>
          <w:szCs w:val="24"/>
          <w14:textFill>
            <w14:solidFill>
              <w14:schemeClr w14:val="tx1"/>
            </w14:solidFill>
          </w14:textFill>
        </w:rPr>
        <w:t>复印件或扫描件</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w:t>
      </w:r>
      <w:r>
        <w:rPr>
          <w:bCs/>
          <w:color w:val="000000" w:themeColor="text1"/>
          <w:sz w:val="24"/>
          <w:szCs w:val="24"/>
          <w14:textFill>
            <w14:solidFill>
              <w14:schemeClr w14:val="tx1"/>
            </w14:solidFill>
          </w14:textFill>
        </w:rPr>
        <w:t>投标人的法人或投标人基本账户开户许可证或基本存款信息复印件或扫描件。</w:t>
      </w:r>
    </w:p>
    <w:p w14:paraId="2DDDDFA8">
      <w:pPr>
        <w:tabs>
          <w:tab w:val="left" w:pos="0"/>
          <w:tab w:val="left" w:pos="255"/>
        </w:tabs>
        <w:spacing w:line="360" w:lineRule="auto"/>
        <w:ind w:left="420"/>
        <w:rPr>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⑧</w:t>
      </w:r>
      <w:r>
        <w:rPr>
          <w:b/>
          <w:color w:val="000000" w:themeColor="text1"/>
          <w:sz w:val="24"/>
          <w:szCs w:val="24"/>
          <w:lang w:val="zh-CN"/>
          <w14:textFill>
            <w14:solidFill>
              <w14:schemeClr w14:val="tx1"/>
            </w14:solidFill>
          </w14:textFill>
        </w:rPr>
        <w:t>有依法缴纳税收的良好记录：</w:t>
      </w:r>
      <w:r>
        <w:rPr>
          <w:bCs/>
          <w:color w:val="000000" w:themeColor="text1"/>
          <w:sz w:val="24"/>
          <w:szCs w:val="24"/>
          <w:lang w:val="zh-CN"/>
          <w14:textFill>
            <w14:solidFill>
              <w14:schemeClr w14:val="tx1"/>
            </w14:solidFill>
          </w14:textFill>
        </w:rPr>
        <w:t>投标人依法缴纳近十二个月中任意一个月份税收的相关</w:t>
      </w:r>
    </w:p>
    <w:p w14:paraId="1851F149">
      <w:pPr>
        <w:tabs>
          <w:tab w:val="left" w:pos="0"/>
          <w:tab w:val="left" w:pos="255"/>
        </w:tabs>
        <w:spacing w:line="360" w:lineRule="auto"/>
        <w:rPr>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材料（提供相关主管部门证明或银行代扣证明）复印件或扫描件。</w:t>
      </w:r>
    </w:p>
    <w:p w14:paraId="5B91DD83">
      <w:pPr>
        <w:tabs>
          <w:tab w:val="left" w:pos="0"/>
          <w:tab w:val="left" w:pos="255"/>
        </w:tabs>
        <w:spacing w:line="360" w:lineRule="auto"/>
        <w:ind w:left="420"/>
        <w:rPr>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⑨</w:t>
      </w:r>
      <w:r>
        <w:rPr>
          <w:b/>
          <w:color w:val="000000" w:themeColor="text1"/>
          <w:sz w:val="24"/>
          <w:szCs w:val="24"/>
          <w:lang w:val="zh-CN"/>
          <w14:textFill>
            <w14:solidFill>
              <w14:schemeClr w14:val="tx1"/>
            </w14:solidFill>
          </w14:textFill>
        </w:rPr>
        <w:t>有依法缴纳社会保障资金的良好记录：</w:t>
      </w:r>
      <w:r>
        <w:rPr>
          <w:bCs/>
          <w:color w:val="000000" w:themeColor="text1"/>
          <w:sz w:val="24"/>
          <w:szCs w:val="24"/>
          <w:lang w:val="zh-CN"/>
          <w14:textFill>
            <w14:solidFill>
              <w14:schemeClr w14:val="tx1"/>
            </w14:solidFill>
          </w14:textFill>
        </w:rPr>
        <w:t>投标人依法缴纳近十二个月中任意一个月份社</w:t>
      </w:r>
    </w:p>
    <w:p w14:paraId="5C651870">
      <w:pPr>
        <w:tabs>
          <w:tab w:val="left" w:pos="0"/>
          <w:tab w:val="left" w:pos="255"/>
        </w:tabs>
        <w:spacing w:line="360" w:lineRule="auto"/>
        <w:rPr>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会保障资金的相关材料（提供相关主管部门证明或银行代扣证明）复印件</w:t>
      </w:r>
      <w:r>
        <w:rPr>
          <w:bCs/>
          <w:color w:val="000000" w:themeColor="text1"/>
          <w:sz w:val="24"/>
          <w:szCs w:val="24"/>
          <w14:textFill>
            <w14:solidFill>
              <w14:schemeClr w14:val="tx1"/>
            </w14:solidFill>
          </w14:textFill>
        </w:rPr>
        <w:t>。</w:t>
      </w:r>
    </w:p>
    <w:p w14:paraId="2E795501">
      <w:pPr>
        <w:tabs>
          <w:tab w:val="left" w:pos="0"/>
          <w:tab w:val="left" w:pos="255"/>
        </w:tabs>
        <w:spacing w:line="360" w:lineRule="auto"/>
        <w:ind w:left="420"/>
        <w:rPr>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⑩</w:t>
      </w:r>
      <w:r>
        <w:rPr>
          <w:b/>
          <w:color w:val="000000" w:themeColor="text1"/>
          <w:sz w:val="24"/>
          <w:szCs w:val="24"/>
          <w14:textFill>
            <w14:solidFill>
              <w14:schemeClr w14:val="tx1"/>
            </w14:solidFill>
          </w14:textFill>
        </w:rPr>
        <w:t>无不良信用记录：</w:t>
      </w:r>
      <w:r>
        <w:rPr>
          <w:bCs/>
          <w:color w:val="000000" w:themeColor="text1"/>
          <w:sz w:val="24"/>
          <w:szCs w:val="24"/>
          <w14:textFill>
            <w14:solidFill>
              <w14:schemeClr w14:val="tx1"/>
            </w14:solidFill>
          </w14:textFill>
        </w:rPr>
        <w:t>未被“</w:t>
      </w:r>
      <w:r>
        <w:rPr>
          <w:bCs/>
          <w:color w:val="000000" w:themeColor="text1"/>
          <w:sz w:val="24"/>
          <w:szCs w:val="24"/>
          <w:lang w:val="zh-CN"/>
          <w14:textFill>
            <w14:solidFill>
              <w14:schemeClr w14:val="tx1"/>
            </w14:solidFill>
          </w14:textFill>
        </w:rPr>
        <w:t>信用中国</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网站</w:t>
      </w:r>
      <w:r>
        <w:rPr>
          <w:bCs/>
          <w:color w:val="000000" w:themeColor="text1"/>
          <w:sz w:val="24"/>
          <w:szCs w:val="24"/>
          <w14:textFill>
            <w14:solidFill>
              <w14:schemeClr w14:val="tx1"/>
            </w14:solidFill>
          </w14:textFill>
        </w:rPr>
        <w:t>（www.creditchina.gov.cn）</w:t>
      </w:r>
      <w:r>
        <w:rPr>
          <w:bCs/>
          <w:color w:val="000000" w:themeColor="text1"/>
          <w:sz w:val="24"/>
          <w:szCs w:val="24"/>
          <w:lang w:val="zh-CN"/>
          <w14:textFill>
            <w14:solidFill>
              <w14:schemeClr w14:val="tx1"/>
            </w14:solidFill>
          </w14:textFill>
        </w:rPr>
        <w:t>列入失信执行人、</w:t>
      </w:r>
    </w:p>
    <w:p w14:paraId="2752898B">
      <w:pPr>
        <w:tabs>
          <w:tab w:val="left" w:pos="0"/>
          <w:tab w:val="left" w:pos="255"/>
        </w:tabs>
        <w:spacing w:line="360" w:lineRule="auto"/>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重大税收违法案件当事人名单、政府采购严重违法失信名单</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或未在</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中国政府采购网</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网站</w:t>
      </w:r>
      <w:r>
        <w:rPr>
          <w:bCs/>
          <w:color w:val="000000" w:themeColor="text1"/>
          <w:sz w:val="24"/>
          <w:szCs w:val="24"/>
          <w14:textFill>
            <w14:solidFill>
              <w14:schemeClr w14:val="tx1"/>
            </w14:solidFill>
          </w14:textFill>
        </w:rPr>
        <w:t>（www.ccgp.gov.cn）</w:t>
      </w:r>
      <w:r>
        <w:rPr>
          <w:bCs/>
          <w:color w:val="000000" w:themeColor="text1"/>
          <w:sz w:val="24"/>
          <w:szCs w:val="24"/>
          <w:lang w:val="zh-CN"/>
          <w14:textFill>
            <w14:solidFill>
              <w14:schemeClr w14:val="tx1"/>
            </w14:solidFill>
          </w14:textFill>
        </w:rPr>
        <w:t>被列入政府采购严重违法失信行为记录名单</w:t>
      </w:r>
      <w:r>
        <w:rPr>
          <w:bCs/>
          <w:color w:val="000000" w:themeColor="text1"/>
          <w:sz w:val="24"/>
          <w:szCs w:val="24"/>
          <w14:textFill>
            <w14:solidFill>
              <w14:schemeClr w14:val="tx1"/>
            </w14:solidFill>
          </w14:textFill>
        </w:rPr>
        <w:t>；</w:t>
      </w:r>
      <w:r>
        <w:rPr>
          <w:b/>
          <w:color w:val="000000" w:themeColor="text1"/>
          <w:sz w:val="24"/>
          <w:szCs w:val="24"/>
          <w14:textFill>
            <w14:solidFill>
              <w14:schemeClr w14:val="tx1"/>
            </w14:solidFill>
          </w14:textFill>
        </w:rPr>
        <w:t>（若投标人企业信息已录入以上网站的，</w:t>
      </w:r>
      <w:r>
        <w:rPr>
          <w:b/>
          <w:color w:val="000000" w:themeColor="text1"/>
          <w:sz w:val="24"/>
          <w:szCs w:val="24"/>
          <w:lang w:val="zh-CN"/>
          <w14:textFill>
            <w14:solidFill>
              <w14:schemeClr w14:val="tx1"/>
            </w14:solidFill>
          </w14:textFill>
        </w:rPr>
        <w:t>无需提供相关证明材料</w:t>
      </w:r>
      <w:r>
        <w:rPr>
          <w:b/>
          <w:color w:val="000000" w:themeColor="text1"/>
          <w:sz w:val="24"/>
          <w:szCs w:val="24"/>
          <w14:textFill>
            <w14:solidFill>
              <w14:schemeClr w14:val="tx1"/>
            </w14:solidFill>
          </w14:textFill>
        </w:rPr>
        <w:t>；若投标人企业信息未录入以上网站的，须在投标文件中提供无不良信用记录承诺书）</w:t>
      </w:r>
      <w:r>
        <w:rPr>
          <w:color w:val="000000" w:themeColor="text1"/>
          <w:sz w:val="24"/>
          <w:szCs w:val="24"/>
          <w14:textFill>
            <w14:solidFill>
              <w14:schemeClr w14:val="tx1"/>
            </w14:solidFill>
          </w14:textFill>
        </w:rPr>
        <w:t>注：以上“近十二个月”是指投标截止日之前近十二个月（不含投标当月）。</w:t>
      </w:r>
      <w:r>
        <w:rPr>
          <w:b/>
          <w:color w:val="000000" w:themeColor="text1"/>
          <w:sz w:val="24"/>
          <w:szCs w:val="24"/>
          <w14:textFill>
            <w14:solidFill>
              <w14:schemeClr w14:val="tx1"/>
            </w14:solidFill>
          </w14:textFill>
        </w:rPr>
        <w:t xml:space="preserve"> </w:t>
      </w:r>
    </w:p>
    <w:p w14:paraId="1921428C">
      <w:pPr>
        <w:tabs>
          <w:tab w:val="left" w:pos="0"/>
          <w:tab w:val="left" w:pos="255"/>
        </w:tabs>
        <w:spacing w:line="360" w:lineRule="auto"/>
        <w:ind w:firstLine="472"/>
        <w:rPr>
          <w:color w:val="000000" w:themeColor="text1"/>
          <w:sz w:val="24"/>
          <w:szCs w:val="24"/>
          <w14:textFill>
            <w14:solidFill>
              <w14:schemeClr w14:val="tx1"/>
            </w14:solidFill>
          </w14:textFill>
        </w:rPr>
      </w:pPr>
      <w:r>
        <w:rPr>
          <w:rFonts w:ascii="Cambria Math" w:hAnsi="Cambria Math" w:cs="Cambria Math"/>
          <w:b/>
          <w:color w:val="000000" w:themeColor="text1"/>
          <w:sz w:val="24"/>
          <w:szCs w:val="24"/>
          <w14:textFill>
            <w14:solidFill>
              <w14:schemeClr w14:val="tx1"/>
            </w14:solidFill>
          </w14:textFill>
        </w:rPr>
        <w:t>⑪</w:t>
      </w:r>
      <w:r>
        <w:rPr>
          <w:bCs/>
          <w:color w:val="000000" w:themeColor="text1"/>
          <w:sz w:val="24"/>
          <w:szCs w:val="24"/>
          <w14:textFill>
            <w14:solidFill>
              <w14:schemeClr w14:val="tx1"/>
            </w14:solidFill>
          </w14:textFill>
        </w:rPr>
        <w:t>经第三方专业机构核实的2023年度投标人或上级公司的《履约能力调查报告书》精简版复印件或扫描件</w:t>
      </w:r>
      <w:r>
        <w:rPr>
          <w:b/>
          <w:bCs/>
          <w:color w:val="000000" w:themeColor="text1"/>
          <w:sz w:val="24"/>
          <w:szCs w:val="24"/>
          <w14:textFill>
            <w14:solidFill>
              <w14:schemeClr w14:val="tx1"/>
            </w14:solidFill>
          </w14:textFill>
        </w:rPr>
        <w:t>（投标时必须提供原件备查）</w:t>
      </w:r>
      <w:r>
        <w:rPr>
          <w:color w:val="000000" w:themeColor="text1"/>
          <w:sz w:val="24"/>
          <w:szCs w:val="24"/>
          <w14:textFill>
            <w14:solidFill>
              <w14:schemeClr w14:val="tx1"/>
            </w14:solidFill>
          </w14:textFill>
        </w:rPr>
        <w:t>。</w:t>
      </w:r>
      <w:bookmarkEnd w:id="22"/>
      <w:bookmarkStart w:id="27" w:name="OLE_LINK7"/>
      <w:r>
        <w:rPr>
          <w:color w:val="000000" w:themeColor="text1"/>
          <w:sz w:val="24"/>
          <w:szCs w:val="24"/>
          <w14:textFill>
            <w14:solidFill>
              <w14:schemeClr w14:val="tx1"/>
            </w14:solidFill>
          </w14:textFill>
        </w:rPr>
        <w:t>技术商务部分评分导读表（附招标文件第三章</w:t>
      </w:r>
      <w:r>
        <w:rPr>
          <w:color w:val="000000" w:themeColor="text1"/>
          <w:sz w:val="24"/>
          <w:szCs w:val="21"/>
          <w14:textFill>
            <w14:solidFill>
              <w14:schemeClr w14:val="tx1"/>
            </w14:solidFill>
          </w14:textFill>
        </w:rPr>
        <w:t>“评标方法和标准”中要求提供的相关文件、证明材料等</w:t>
      </w:r>
      <w:r>
        <w:rPr>
          <w:color w:val="000000" w:themeColor="text1"/>
          <w:sz w:val="24"/>
          <w:szCs w:val="24"/>
          <w14:textFill>
            <w14:solidFill>
              <w14:schemeClr w14:val="tx1"/>
            </w14:solidFill>
          </w14:textFill>
        </w:rPr>
        <w:t>）。</w:t>
      </w:r>
    </w:p>
    <w:p w14:paraId="1C4FF7FC">
      <w:pPr>
        <w:tabs>
          <w:tab w:val="left" w:pos="255"/>
        </w:tabs>
        <w:spacing w:line="360" w:lineRule="auto"/>
        <w:ind w:left="400"/>
        <w:rPr>
          <w:color w:val="000000" w:themeColor="text1"/>
          <w:sz w:val="24"/>
          <w:szCs w:val="24"/>
          <w14:textFill>
            <w14:solidFill>
              <w14:schemeClr w14:val="tx1"/>
            </w14:solidFill>
          </w14:textFill>
        </w:rPr>
      </w:pPr>
      <w:r>
        <w:rPr>
          <w:color w:val="000000" w:themeColor="text1"/>
          <w:sz w:val="24"/>
          <w:szCs w:val="21"/>
          <w:lang w:val="zh-CN"/>
          <w14:textFill>
            <w14:solidFill>
              <w14:schemeClr w14:val="tx1"/>
            </w14:solidFill>
          </w14:textFill>
        </w:rPr>
        <w:t>（</w:t>
      </w:r>
      <w:r>
        <w:rPr>
          <w:rFonts w:hint="eastAsia"/>
          <w:color w:val="000000" w:themeColor="text1"/>
          <w:sz w:val="24"/>
          <w:szCs w:val="21"/>
          <w:lang w:val="zh-CN"/>
          <w14:textFill>
            <w14:solidFill>
              <w14:schemeClr w14:val="tx1"/>
            </w14:solidFill>
          </w14:textFill>
        </w:rPr>
        <w:t>5</w:t>
      </w:r>
      <w:r>
        <w:rPr>
          <w:color w:val="000000" w:themeColor="text1"/>
          <w:sz w:val="24"/>
          <w:szCs w:val="21"/>
          <w:lang w:val="zh-CN"/>
          <w14:textFill>
            <w14:solidFill>
              <w14:schemeClr w14:val="tx1"/>
            </w14:solidFill>
          </w14:textFill>
        </w:rPr>
        <w:t>）其他资料（投标人认为有必要提供的声明和文件，如有自拟并自行添加）</w:t>
      </w:r>
      <w:bookmarkEnd w:id="19"/>
      <w:bookmarkEnd w:id="20"/>
      <w:bookmarkEnd w:id="23"/>
      <w:bookmarkEnd w:id="27"/>
    </w:p>
    <w:p w14:paraId="5526C107">
      <w:pPr>
        <w:tabs>
          <w:tab w:val="left" w:pos="255"/>
        </w:tabs>
        <w:spacing w:line="360" w:lineRule="auto"/>
        <w:ind w:left="40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w:t>
      </w:r>
      <w:r>
        <w:rPr>
          <w:rFonts w:hint="eastAsia"/>
          <w:color w:val="000000" w:themeColor="text1"/>
          <w:sz w:val="24"/>
          <w:szCs w:val="21"/>
          <w:lang w:val="zh-CN"/>
          <w14:textFill>
            <w14:solidFill>
              <w14:schemeClr w14:val="tx1"/>
            </w14:solidFill>
          </w14:textFill>
        </w:rPr>
        <w:t>6</w:t>
      </w:r>
      <w:r>
        <w:rPr>
          <w:color w:val="000000" w:themeColor="text1"/>
          <w:sz w:val="24"/>
          <w:szCs w:val="21"/>
          <w:lang w:val="zh-CN"/>
          <w14:textFill>
            <w14:solidFill>
              <w14:schemeClr w14:val="tx1"/>
            </w14:solidFill>
          </w14:textFill>
        </w:rPr>
        <w:t>）服务团队人员配置一览表（</w:t>
      </w:r>
      <w:r>
        <w:rPr>
          <w:b/>
          <w:bCs/>
          <w:color w:val="000000" w:themeColor="text1"/>
          <w:sz w:val="24"/>
          <w:szCs w:val="24"/>
          <w14:textFill>
            <w14:solidFill>
              <w14:schemeClr w14:val="tx1"/>
            </w14:solidFill>
          </w14:textFill>
        </w:rPr>
        <w:t>格式见附件</w:t>
      </w:r>
      <w:r>
        <w:rPr>
          <w:color w:val="000000" w:themeColor="text1"/>
          <w:sz w:val="24"/>
          <w:szCs w:val="21"/>
          <w:lang w:val="zh-CN"/>
          <w14:textFill>
            <w14:solidFill>
              <w14:schemeClr w14:val="tx1"/>
            </w14:solidFill>
          </w14:textFill>
        </w:rPr>
        <w:t>）</w:t>
      </w:r>
    </w:p>
    <w:p w14:paraId="1F0D985B">
      <w:pPr>
        <w:tabs>
          <w:tab w:val="left" w:pos="255"/>
        </w:tabs>
        <w:spacing w:line="360" w:lineRule="auto"/>
        <w:ind w:left="40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w:t>
      </w:r>
      <w:r>
        <w:rPr>
          <w:rFonts w:hint="eastAsia"/>
          <w:color w:val="000000" w:themeColor="text1"/>
          <w:sz w:val="24"/>
          <w:szCs w:val="21"/>
          <w:lang w:val="zh-CN"/>
          <w14:textFill>
            <w14:solidFill>
              <w14:schemeClr w14:val="tx1"/>
            </w14:solidFill>
          </w14:textFill>
        </w:rPr>
        <w:t>7</w:t>
      </w:r>
      <w:r>
        <w:rPr>
          <w:color w:val="000000" w:themeColor="text1"/>
          <w:sz w:val="24"/>
          <w:szCs w:val="21"/>
          <w:lang w:val="zh-CN"/>
          <w14:textFill>
            <w14:solidFill>
              <w14:schemeClr w14:val="tx1"/>
            </w14:solidFill>
          </w14:textFill>
        </w:rPr>
        <w:t>）投标人基本状况一览表（</w:t>
      </w:r>
      <w:r>
        <w:rPr>
          <w:b/>
          <w:bCs/>
          <w:color w:val="000000" w:themeColor="text1"/>
          <w:sz w:val="24"/>
          <w:szCs w:val="24"/>
          <w14:textFill>
            <w14:solidFill>
              <w14:schemeClr w14:val="tx1"/>
            </w14:solidFill>
          </w14:textFill>
        </w:rPr>
        <w:t>格式见附件</w:t>
      </w:r>
      <w:r>
        <w:rPr>
          <w:color w:val="000000" w:themeColor="text1"/>
          <w:sz w:val="24"/>
          <w:szCs w:val="21"/>
          <w:lang w:val="zh-CN"/>
          <w14:textFill>
            <w14:solidFill>
              <w14:schemeClr w14:val="tx1"/>
            </w14:solidFill>
          </w14:textFill>
        </w:rPr>
        <w:t>）</w:t>
      </w:r>
    </w:p>
    <w:p w14:paraId="0BF477D8">
      <w:pPr>
        <w:spacing w:line="360" w:lineRule="auto"/>
        <w:ind w:firstLine="482"/>
        <w:rPr>
          <w:bCs/>
          <w:color w:val="000000" w:themeColor="text1"/>
          <w:sz w:val="24"/>
          <w:szCs w:val="24"/>
          <w14:textFill>
            <w14:solidFill>
              <w14:schemeClr w14:val="tx1"/>
            </w14:solidFill>
          </w14:textFill>
        </w:rPr>
      </w:pPr>
      <w:r>
        <w:rPr>
          <w:b/>
          <w:bCs/>
          <w:color w:val="000000" w:themeColor="text1"/>
          <w:sz w:val="24"/>
          <w:szCs w:val="24"/>
          <w:lang w:val="zh-CN"/>
          <w14:textFill>
            <w14:solidFill>
              <w14:schemeClr w14:val="tx1"/>
            </w14:solidFill>
          </w14:textFill>
        </w:rPr>
        <w:t>上述</w:t>
      </w:r>
      <w:r>
        <w:rPr>
          <w:b/>
          <w:color w:val="000000" w:themeColor="text1"/>
          <w:sz w:val="24"/>
          <w:szCs w:val="24"/>
          <w14:textFill>
            <w14:solidFill>
              <w14:schemeClr w14:val="tx1"/>
            </w14:solidFill>
          </w14:textFill>
        </w:rPr>
        <w:t>（1）-</w:t>
      </w:r>
      <w:r>
        <w:rPr>
          <w:rFonts w:eastAsia="仿宋"/>
          <w:b/>
          <w:color w:val="000000" w:themeColor="text1"/>
          <w:sz w:val="24"/>
          <w:szCs w:val="24"/>
          <w14:textFill>
            <w14:solidFill>
              <w14:schemeClr w14:val="tx1"/>
            </w14:solidFill>
          </w14:textFill>
        </w:rPr>
        <w:t>（4）</w:t>
      </w:r>
      <w:r>
        <w:rPr>
          <w:b/>
          <w:bCs/>
          <w:color w:val="000000" w:themeColor="text1"/>
          <w:sz w:val="24"/>
          <w:szCs w:val="24"/>
          <w:lang w:val="zh-CN"/>
          <w14:textFill>
            <w14:solidFill>
              <w14:schemeClr w14:val="tx1"/>
            </w14:solidFill>
          </w14:textFill>
        </w:rPr>
        <w:t>项投标人必须按要求全部提供，否则投标无效。</w:t>
      </w:r>
      <w:r>
        <w:rPr>
          <w:b/>
          <w:color w:val="000000" w:themeColor="text1"/>
          <w:sz w:val="24"/>
          <w:szCs w:val="24"/>
          <w14:textFill>
            <w14:solidFill>
              <w14:schemeClr w14:val="tx1"/>
            </w14:solidFill>
          </w14:textFill>
        </w:rPr>
        <w:t>若要求提交原件的，投标人应在</w:t>
      </w:r>
      <w:r>
        <w:rPr>
          <w:b/>
          <w:color w:val="000000" w:themeColor="text1"/>
          <w:sz w:val="24"/>
          <w:szCs w:val="24"/>
          <w:lang w:val="zh-CN"/>
          <w14:textFill>
            <w14:solidFill>
              <w14:schemeClr w14:val="tx1"/>
            </w14:solidFill>
          </w14:textFill>
        </w:rPr>
        <w:t>投标截止时间</w:t>
      </w:r>
      <w:r>
        <w:rPr>
          <w:b/>
          <w:color w:val="000000" w:themeColor="text1"/>
          <w:sz w:val="24"/>
          <w:szCs w:val="24"/>
          <w14:textFill>
            <w14:solidFill>
              <w14:schemeClr w14:val="tx1"/>
            </w14:solidFill>
          </w14:textFill>
        </w:rPr>
        <w:t>之前将相关原件与投标文件一并提交。</w:t>
      </w:r>
      <w:r>
        <w:rPr>
          <w:bCs/>
          <w:color w:val="000000" w:themeColor="text1"/>
          <w:sz w:val="24"/>
          <w:szCs w:val="24"/>
          <w:lang w:val="zh-CN"/>
          <w14:textFill>
            <w14:solidFill>
              <w14:schemeClr w14:val="tx1"/>
            </w14:solidFill>
          </w14:textFill>
        </w:rPr>
        <w:t>如上述证明文件遇年检、换证，则必须提供法定年检、换证单位出具的有效证明原件和复印件一并提交。如上述“</w:t>
      </w:r>
      <w:bookmarkStart w:id="28" w:name="OLE_LINK118"/>
      <w:r>
        <w:rPr>
          <w:bCs/>
          <w:color w:val="000000" w:themeColor="text1"/>
          <w:sz w:val="24"/>
          <w:szCs w:val="24"/>
          <w:lang w:val="zh-CN"/>
          <w14:textFill>
            <w14:solidFill>
              <w14:schemeClr w14:val="tx1"/>
            </w14:solidFill>
          </w14:textFill>
        </w:rPr>
        <w:t>（</w:t>
      </w:r>
      <w:r>
        <w:rPr>
          <w:bCs/>
          <w:color w:val="000000" w:themeColor="text1"/>
          <w:sz w:val="24"/>
          <w:szCs w:val="24"/>
          <w14:textFill>
            <w14:solidFill>
              <w14:schemeClr w14:val="tx1"/>
            </w14:solidFill>
          </w14:textFill>
        </w:rPr>
        <w:t>4</w:t>
      </w:r>
      <w:r>
        <w:rPr>
          <w:bCs/>
          <w:color w:val="000000" w:themeColor="text1"/>
          <w:sz w:val="24"/>
          <w:szCs w:val="24"/>
          <w:lang w:val="zh-CN"/>
          <w14:textFill>
            <w14:solidFill>
              <w14:schemeClr w14:val="tx1"/>
            </w14:solidFill>
          </w14:textFill>
        </w:rPr>
        <w:t>）资格证明文件”第</w:t>
      </w:r>
      <w:r>
        <w:rPr>
          <w:rFonts w:hint="eastAsia" w:ascii="宋体" w:hAnsi="宋体" w:cs="宋体"/>
          <w:bCs/>
          <w:color w:val="000000" w:themeColor="text1"/>
          <w:sz w:val="24"/>
          <w:szCs w:val="24"/>
          <w14:textFill>
            <w14:solidFill>
              <w14:schemeClr w14:val="tx1"/>
            </w14:solidFill>
          </w14:textFill>
        </w:rPr>
        <w:t>⑧</w:t>
      </w:r>
      <w:r>
        <w:rPr>
          <w:bCs/>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⑨</w:t>
      </w:r>
      <w:r>
        <w:rPr>
          <w:bCs/>
          <w:color w:val="000000" w:themeColor="text1"/>
          <w:sz w:val="24"/>
          <w:szCs w:val="24"/>
          <w:lang w:val="zh-CN"/>
          <w14:textFill>
            <w14:solidFill>
              <w14:schemeClr w14:val="tx1"/>
            </w14:solidFill>
          </w14:textFill>
        </w:rPr>
        <w:t>项，依法免税或</w:t>
      </w:r>
      <w:bookmarkStart w:id="29" w:name="OLE_LINK19"/>
      <w:r>
        <w:rPr>
          <w:bCs/>
          <w:color w:val="000000" w:themeColor="text1"/>
          <w:sz w:val="24"/>
          <w:szCs w:val="24"/>
          <w:lang w:val="zh-CN"/>
          <w14:textFill>
            <w14:solidFill>
              <w14:schemeClr w14:val="tx1"/>
            </w14:solidFill>
          </w14:textFill>
        </w:rPr>
        <w:t>不需要缴纳社会保障资金</w:t>
      </w:r>
      <w:bookmarkEnd w:id="29"/>
      <w:r>
        <w:rPr>
          <w:bCs/>
          <w:color w:val="000000" w:themeColor="text1"/>
          <w:sz w:val="24"/>
          <w:szCs w:val="24"/>
          <w:lang w:val="zh-CN"/>
          <w14:textFill>
            <w14:solidFill>
              <w14:schemeClr w14:val="tx1"/>
            </w14:solidFill>
          </w14:textFill>
        </w:rPr>
        <w:t>的投标人，须在投标文件中提供相应文件证明其依法免税或不需要缴纳社会保障资金。</w:t>
      </w:r>
      <w:bookmarkEnd w:id="28"/>
      <w:r>
        <w:rPr>
          <w:bCs/>
          <w:color w:val="000000" w:themeColor="text1"/>
          <w:sz w:val="24"/>
          <w:szCs w:val="24"/>
          <w:lang w:val="zh-CN"/>
          <w14:textFill>
            <w14:solidFill>
              <w14:schemeClr w14:val="tx1"/>
            </w14:solidFill>
          </w14:textFill>
        </w:rPr>
        <w:t>投标人法定代表人或授权代表为外籍、港、澳、台地区人士的，其身份证明须提供有效的护照或港澳同胞来往内地通行证、台湾同胞来往大陆通行证，或</w:t>
      </w:r>
      <w:r>
        <w:rPr>
          <w:rFonts w:hint="eastAsia"/>
          <w:bCs/>
          <w:color w:val="000000" w:themeColor="text1"/>
          <w:sz w:val="24"/>
          <w:szCs w:val="24"/>
          <w:lang w:val="zh-CN"/>
          <w14:textFill>
            <w14:solidFill>
              <w14:schemeClr w14:val="tx1"/>
            </w14:solidFill>
          </w14:textFill>
        </w:rPr>
        <w:t>其他</w:t>
      </w:r>
      <w:r>
        <w:rPr>
          <w:bCs/>
          <w:color w:val="000000" w:themeColor="text1"/>
          <w:sz w:val="24"/>
          <w:szCs w:val="24"/>
          <w:lang w:val="zh-CN"/>
          <w14:textFill>
            <w14:solidFill>
              <w14:schemeClr w14:val="tx1"/>
            </w14:solidFill>
          </w14:textFill>
        </w:rPr>
        <w:t>可在中国大陆有效居留的许可证明。</w:t>
      </w:r>
      <w:bookmarkEnd w:id="24"/>
    </w:p>
    <w:p w14:paraId="7907A737">
      <w:pPr>
        <w:spacing w:line="360" w:lineRule="auto"/>
        <w:ind w:firstLine="482"/>
        <w:rPr>
          <w:b/>
          <w:color w:val="000000" w:themeColor="text1"/>
          <w:sz w:val="24"/>
          <w:szCs w:val="24"/>
          <w14:textFill>
            <w14:solidFill>
              <w14:schemeClr w14:val="tx1"/>
            </w14:solidFill>
          </w14:textFill>
        </w:rPr>
      </w:pPr>
      <w:bookmarkStart w:id="30" w:name="OLE_LINK219"/>
      <w:bookmarkStart w:id="31" w:name="OLE_LINK93"/>
      <w:r>
        <w:rPr>
          <w:b/>
          <w:color w:val="000000" w:themeColor="text1"/>
          <w:sz w:val="24"/>
          <w:szCs w:val="24"/>
          <w14:textFill>
            <w14:solidFill>
              <w14:schemeClr w14:val="tx1"/>
            </w14:solidFill>
          </w14:textFill>
        </w:rPr>
        <w:t>10</w:t>
      </w:r>
      <w:bookmarkStart w:id="32" w:name="_Toc19624"/>
      <w:bookmarkStart w:id="33" w:name="_Toc2248"/>
      <w:bookmarkStart w:id="34" w:name="_Toc520356155"/>
      <w:bookmarkStart w:id="35" w:name="_Toc515647770"/>
      <w:bookmarkStart w:id="36" w:name="_Toc23231"/>
      <w:r>
        <w:rPr>
          <w:b/>
          <w:color w:val="000000" w:themeColor="text1"/>
          <w:sz w:val="24"/>
          <w:szCs w:val="24"/>
          <w14:textFill>
            <w14:solidFill>
              <w14:schemeClr w14:val="tx1"/>
            </w14:solidFill>
          </w14:textFill>
        </w:rPr>
        <w:t>.投标报价</w:t>
      </w:r>
      <w:bookmarkEnd w:id="32"/>
      <w:bookmarkEnd w:id="33"/>
      <w:bookmarkEnd w:id="34"/>
      <w:bookmarkEnd w:id="35"/>
      <w:bookmarkEnd w:id="36"/>
    </w:p>
    <w:p w14:paraId="4356782D">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w:t>
      </w:r>
      <w:r>
        <w:rPr>
          <w:bCs/>
          <w:color w:val="000000" w:themeColor="text1"/>
          <w:sz w:val="24"/>
          <w:szCs w:val="24"/>
          <w14:textFill>
            <w14:solidFill>
              <w14:schemeClr w14:val="tx1"/>
            </w14:solidFill>
          </w14:textFill>
        </w:rPr>
        <w:t>0</w:t>
      </w:r>
      <w:r>
        <w:rPr>
          <w:bCs/>
          <w:color w:val="000000" w:themeColor="text1"/>
          <w:sz w:val="24"/>
          <w:szCs w:val="24"/>
          <w:lang w:val="zh-CN"/>
          <w14:textFill>
            <w14:solidFill>
              <w14:schemeClr w14:val="tx1"/>
            </w14:solidFill>
          </w14:textFill>
        </w:rPr>
        <w:t>.1所有投标均以人民币报价</w:t>
      </w:r>
      <w:bookmarkStart w:id="37" w:name="OLE_LINK204"/>
      <w:r>
        <w:rPr>
          <w:bCs/>
          <w:color w:val="000000" w:themeColor="text1"/>
          <w:sz w:val="24"/>
          <w:szCs w:val="24"/>
          <w:lang w:val="zh-CN"/>
          <w14:textFill>
            <w14:solidFill>
              <w14:schemeClr w14:val="tx1"/>
            </w14:solidFill>
          </w14:textFill>
        </w:rPr>
        <w:t>。</w:t>
      </w:r>
      <w:bookmarkEnd w:id="37"/>
      <w:r>
        <w:rPr>
          <w:bCs/>
          <w:color w:val="000000" w:themeColor="text1"/>
          <w:sz w:val="24"/>
          <w:szCs w:val="24"/>
          <w:lang w:val="zh-CN"/>
          <w14:textFill>
            <w14:solidFill>
              <w14:schemeClr w14:val="tx1"/>
            </w14:solidFill>
          </w14:textFill>
        </w:rPr>
        <w:t>投标人的投标报价应遵守《中华人民共和国价格法》。同时，根据《中华人民共和国政府采购法》第二条的规定，为保证公平竞争，如有货物主体部分的赠与行为，其投标将被认定为投标无效。</w:t>
      </w:r>
    </w:p>
    <w:p w14:paraId="0B4ED10A">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10.2 投标报价应包含完成本服务项目发生的所有含税费用、支付给员工的工资和国家强制缴纳的各种社会保障资金，以及投标人认为需要的其他费用等。</w:t>
      </w:r>
    </w:p>
    <w:p w14:paraId="22D4F778">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w:t>
      </w:r>
      <w:r>
        <w:rPr>
          <w:bCs/>
          <w:color w:val="000000" w:themeColor="text1"/>
          <w:sz w:val="24"/>
          <w:szCs w:val="24"/>
          <w14:textFill>
            <w14:solidFill>
              <w14:schemeClr w14:val="tx1"/>
            </w14:solidFill>
          </w14:textFill>
        </w:rPr>
        <w:t>0</w:t>
      </w:r>
      <w:r>
        <w:rPr>
          <w:bCs/>
          <w:color w:val="000000" w:themeColor="text1"/>
          <w:sz w:val="24"/>
          <w:szCs w:val="24"/>
          <w:lang w:val="zh-CN"/>
          <w14:textFill>
            <w14:solidFill>
              <w14:schemeClr w14:val="tx1"/>
            </w14:solidFill>
          </w14:textFill>
        </w:rPr>
        <w:t>.</w:t>
      </w:r>
      <w:r>
        <w:rPr>
          <w:bCs/>
          <w:color w:val="000000" w:themeColor="text1"/>
          <w:sz w:val="24"/>
          <w:szCs w:val="24"/>
          <w14:textFill>
            <w14:solidFill>
              <w14:schemeClr w14:val="tx1"/>
            </w14:solidFill>
          </w14:textFill>
        </w:rPr>
        <w:t xml:space="preserve">3 </w:t>
      </w:r>
      <w:r>
        <w:rPr>
          <w:bCs/>
          <w:color w:val="000000" w:themeColor="text1"/>
          <w:sz w:val="24"/>
          <w:szCs w:val="24"/>
          <w:lang w:val="zh-CN"/>
          <w14:textFill>
            <w14:solidFill>
              <w14:schemeClr w14:val="tx1"/>
            </w14:solidFill>
          </w14:textFill>
        </w:rPr>
        <w:t>投标人所报的各分项投标单价在合同履行过程中是固定不变的，不得以任何理由予以变更。任何包含价格调整要求的投标，其投标将被认定为投标无效。</w:t>
      </w:r>
    </w:p>
    <w:p w14:paraId="417593BE">
      <w:pPr>
        <w:spacing w:line="360" w:lineRule="auto"/>
        <w:ind w:firstLine="480"/>
        <w:rPr>
          <w:b/>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w:t>
      </w:r>
      <w:r>
        <w:rPr>
          <w:bCs/>
          <w:color w:val="000000" w:themeColor="text1"/>
          <w:sz w:val="24"/>
          <w:szCs w:val="24"/>
          <w14:textFill>
            <w14:solidFill>
              <w14:schemeClr w14:val="tx1"/>
            </w14:solidFill>
          </w14:textFill>
        </w:rPr>
        <w:t>0</w:t>
      </w:r>
      <w:r>
        <w:rPr>
          <w:bCs/>
          <w:color w:val="000000" w:themeColor="text1"/>
          <w:sz w:val="24"/>
          <w:szCs w:val="24"/>
          <w:lang w:val="zh-CN"/>
          <w14:textFill>
            <w14:solidFill>
              <w14:schemeClr w14:val="tx1"/>
            </w14:solidFill>
          </w14:textFill>
        </w:rPr>
        <w:t>.</w:t>
      </w:r>
      <w:r>
        <w:rPr>
          <w:bCs/>
          <w:color w:val="000000" w:themeColor="text1"/>
          <w:sz w:val="24"/>
          <w:szCs w:val="24"/>
          <w14:textFill>
            <w14:solidFill>
              <w14:schemeClr w14:val="tx1"/>
            </w14:solidFill>
          </w14:textFill>
        </w:rPr>
        <w:t xml:space="preserve">4 </w:t>
      </w:r>
      <w:r>
        <w:rPr>
          <w:bCs/>
          <w:color w:val="000000" w:themeColor="text1"/>
          <w:sz w:val="24"/>
          <w:szCs w:val="24"/>
          <w:lang w:val="zh-CN"/>
          <w14:textFill>
            <w14:solidFill>
              <w14:schemeClr w14:val="tx1"/>
            </w14:solidFill>
          </w14:textFill>
        </w:rPr>
        <w:t>每种服务及货物只能有一个投标报价，采购人不接受具有附加条件的报价。</w:t>
      </w:r>
      <w:bookmarkEnd w:id="30"/>
      <w:bookmarkEnd w:id="31"/>
    </w:p>
    <w:p w14:paraId="7F49C816">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11.投标文件的制作及密封</w:t>
      </w:r>
    </w:p>
    <w:p w14:paraId="55C7FC5A">
      <w:pPr>
        <w:spacing w:line="360" w:lineRule="auto"/>
        <w:ind w:firstLine="480"/>
        <w:rPr>
          <w:bCs/>
          <w:color w:val="000000" w:themeColor="text1"/>
          <w:sz w:val="24"/>
          <w:szCs w:val="24"/>
          <w14:textFill>
            <w14:solidFill>
              <w14:schemeClr w14:val="tx1"/>
            </w14:solidFill>
          </w14:textFill>
        </w:rPr>
      </w:pPr>
      <w:bookmarkStart w:id="38" w:name="OLE_LINK94"/>
      <w:r>
        <w:rPr>
          <w:bCs/>
          <w:color w:val="000000" w:themeColor="text1"/>
          <w:sz w:val="24"/>
          <w:szCs w:val="24"/>
          <w14:textFill>
            <w14:solidFill>
              <w14:schemeClr w14:val="tx1"/>
            </w14:solidFill>
          </w14:textFill>
        </w:rPr>
        <w:t>11.1</w:t>
      </w:r>
      <w:bookmarkStart w:id="39" w:name="OLE_LINK203"/>
      <w:r>
        <w:rPr>
          <w:bCs/>
          <w:color w:val="000000" w:themeColor="text1"/>
          <w:sz w:val="24"/>
          <w:szCs w:val="24"/>
          <w14:textFill>
            <w14:solidFill>
              <w14:schemeClr w14:val="tx1"/>
            </w14:solidFill>
          </w14:textFill>
        </w:rPr>
        <w:t xml:space="preserve"> </w:t>
      </w:r>
      <w:bookmarkEnd w:id="39"/>
      <w:r>
        <w:rPr>
          <w:bCs/>
          <w:color w:val="000000" w:themeColor="text1"/>
          <w:sz w:val="24"/>
          <w:szCs w:val="24"/>
          <w:lang w:val="zh-CN"/>
          <w14:textFill>
            <w14:solidFill>
              <w14:schemeClr w14:val="tx1"/>
            </w14:solidFill>
          </w14:textFill>
        </w:rPr>
        <w:t>所有文件、往来函件均应使用简体中文（规格、型号辅助符号例外）。</w:t>
      </w:r>
    </w:p>
    <w:p w14:paraId="7C80654C">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11.2 </w:t>
      </w:r>
      <w:r>
        <w:rPr>
          <w:bCs/>
          <w:color w:val="000000" w:themeColor="text1"/>
          <w:sz w:val="24"/>
          <w:szCs w:val="24"/>
          <w:lang w:val="zh-CN"/>
          <w14:textFill>
            <w14:solidFill>
              <w14:schemeClr w14:val="tx1"/>
            </w14:solidFill>
          </w14:textFill>
        </w:rPr>
        <w:t>投标人所使用的计量单位应为国家法定计量单位。</w:t>
      </w:r>
    </w:p>
    <w:p w14:paraId="1263895C">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11.3 </w:t>
      </w:r>
      <w:r>
        <w:rPr>
          <w:bCs/>
          <w:color w:val="000000" w:themeColor="text1"/>
          <w:sz w:val="24"/>
          <w:szCs w:val="24"/>
          <w:lang w:val="zh-CN"/>
          <w14:textFill>
            <w14:solidFill>
              <w14:schemeClr w14:val="tx1"/>
            </w14:solidFill>
          </w14:textFill>
        </w:rPr>
        <w:t>如投标人对招标文件的相关内容有不同意见的偏离，应在投标文件中详细说明偏离的情况，如未明确作出偏离情况的说明，</w:t>
      </w:r>
      <w:bookmarkStart w:id="40" w:name="OLE_LINK119"/>
      <w:r>
        <w:rPr>
          <w:bCs/>
          <w:color w:val="000000" w:themeColor="text1"/>
          <w:sz w:val="24"/>
          <w:szCs w:val="24"/>
          <w:lang w:val="zh-CN"/>
          <w14:textFill>
            <w14:solidFill>
              <w14:schemeClr w14:val="tx1"/>
            </w14:solidFill>
          </w14:textFill>
        </w:rPr>
        <w:t>则视同</w:t>
      </w:r>
      <w:r>
        <w:rPr>
          <w:bCs/>
          <w:color w:val="000000" w:themeColor="text1"/>
          <w:sz w:val="24"/>
          <w:szCs w:val="24"/>
          <w14:textFill>
            <w14:solidFill>
              <w14:schemeClr w14:val="tx1"/>
            </w14:solidFill>
          </w14:textFill>
        </w:rPr>
        <w:t>投标人</w:t>
      </w:r>
      <w:bookmarkStart w:id="41" w:name="OLE_LINK225"/>
      <w:r>
        <w:rPr>
          <w:bCs/>
          <w:color w:val="000000" w:themeColor="text1"/>
          <w:sz w:val="24"/>
          <w:szCs w:val="24"/>
          <w14:textFill>
            <w14:solidFill>
              <w14:schemeClr w14:val="tx1"/>
            </w14:solidFill>
          </w14:textFill>
        </w:rPr>
        <w:t>承诺实质性响应</w:t>
      </w:r>
      <w:bookmarkEnd w:id="41"/>
      <w:r>
        <w:rPr>
          <w:bCs/>
          <w:color w:val="000000" w:themeColor="text1"/>
          <w:sz w:val="24"/>
          <w:szCs w:val="24"/>
          <w14:textFill>
            <w14:solidFill>
              <w14:schemeClr w14:val="tx1"/>
            </w14:solidFill>
          </w14:textFill>
        </w:rPr>
        <w:t>招标文件的要求。</w:t>
      </w:r>
      <w:bookmarkEnd w:id="40"/>
    </w:p>
    <w:p w14:paraId="0723BC42">
      <w:pPr>
        <w:spacing w:line="360" w:lineRule="auto"/>
        <w:ind w:firstLine="480"/>
        <w:jc w:val="lef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11.4 </w:t>
      </w:r>
      <w:r>
        <w:rPr>
          <w:bCs/>
          <w:color w:val="000000" w:themeColor="text1"/>
          <w:sz w:val="24"/>
          <w:szCs w:val="24"/>
          <w:lang w:val="zh-CN"/>
          <w14:textFill>
            <w14:solidFill>
              <w14:schemeClr w14:val="tx1"/>
            </w14:solidFill>
          </w14:textFill>
        </w:rPr>
        <w:t>不因投标文件的装订、纸张、文件排序等非实质性的格式、形式而否决响应。本招标文件中要求提供相关证明材料的，原则上供应商在投标文件中提交相关证明材料原件扫描件,若供应商无法提供原件扫描件的，可以以电子照片、截图等其他方式提供。无论以何种方式提供的证明材料，彩色、黑白均认可，但必须保证证明材料的清晰完整、真实有效，</w:t>
      </w:r>
      <w:bookmarkStart w:id="42" w:name="_Hlk166503004"/>
      <w:bookmarkStart w:id="43" w:name="_Hlk160719877"/>
      <w:r>
        <w:rPr>
          <w:bCs/>
          <w:color w:val="000000" w:themeColor="text1"/>
          <w:sz w:val="24"/>
          <w:szCs w:val="24"/>
          <w:lang w:val="zh-CN"/>
          <w14:textFill>
            <w14:solidFill>
              <w14:schemeClr w14:val="tx1"/>
            </w14:solidFill>
          </w14:textFill>
        </w:rPr>
        <w:t>否则由供应商自行承担证明材料被判定为无效的风险。供应商提供的相关材料中的相关名称、表述等与采购需求、评审标准不一致，评审小组认为其实质相同的视作等同。</w:t>
      </w:r>
      <w:bookmarkEnd w:id="42"/>
      <w:r>
        <w:rPr>
          <w:bCs/>
          <w:color w:val="000000" w:themeColor="text1"/>
          <w:sz w:val="24"/>
          <w:szCs w:val="24"/>
          <w:lang w:val="zh-CN"/>
          <w14:textFill>
            <w14:solidFill>
              <w14:schemeClr w14:val="tx1"/>
            </w14:solidFill>
          </w14:textFill>
        </w:rPr>
        <w:t>若供应商提交的投标文件格式与招标文件中的不一致，但必要的评审所需信息不影响评审判断的，视为符合要求，否则报价无效。</w:t>
      </w:r>
      <w:bookmarkEnd w:id="43"/>
    </w:p>
    <w:p w14:paraId="3A3171C8">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11.5供应商提交的投标文件中加盖的公章，均视为经供应商法定代表人同意或授权。</w:t>
      </w:r>
    </w:p>
    <w:p w14:paraId="43F7F303">
      <w:pPr>
        <w:spacing w:line="360" w:lineRule="auto"/>
        <w:ind w:left="478"/>
        <w:rPr>
          <w:b/>
          <w:bCs/>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12</w:t>
      </w:r>
      <w:bookmarkStart w:id="44" w:name="_Hlk131926146"/>
      <w:r>
        <w:rPr>
          <w:b/>
          <w:color w:val="000000" w:themeColor="text1"/>
          <w:sz w:val="24"/>
          <w:szCs w:val="24"/>
          <w14:textFill>
            <w14:solidFill>
              <w14:schemeClr w14:val="tx1"/>
            </w14:solidFill>
          </w14:textFill>
        </w:rPr>
        <w:t>.电子响应文件</w:t>
      </w:r>
      <w:bookmarkEnd w:id="44"/>
    </w:p>
    <w:p w14:paraId="4BE28819">
      <w:pPr>
        <w:tabs>
          <w:tab w:val="left" w:pos="945"/>
        </w:tabs>
        <w:spacing w:line="360" w:lineRule="auto"/>
        <w:ind w:left="1" w:firstLine="480"/>
        <w:jc w:val="left"/>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12.1 供应商应通过投标文件制作软件使用数字认证证书对投标文件进行合成、</w:t>
      </w:r>
      <w:r>
        <w:rPr>
          <w:rFonts w:hint="eastAsia"/>
          <w:bCs/>
          <w:color w:val="000000" w:themeColor="text1"/>
          <w:sz w:val="24"/>
          <w:szCs w:val="24"/>
          <w:lang w:val="zh-CN"/>
          <w14:textFill>
            <w14:solidFill>
              <w14:schemeClr w14:val="tx1"/>
            </w14:solidFill>
          </w14:textFill>
        </w:rPr>
        <w:t>电子</w:t>
      </w:r>
      <w:r>
        <w:rPr>
          <w:bCs/>
          <w:color w:val="000000" w:themeColor="text1"/>
          <w:sz w:val="24"/>
          <w:szCs w:val="24"/>
          <w:lang w:val="zh-CN"/>
          <w14:textFill>
            <w14:solidFill>
              <w14:schemeClr w14:val="tx1"/>
            </w14:solidFill>
          </w14:textFill>
        </w:rPr>
        <w:t>签章及加密打包，并在招标文件规定的截止时间前，通过招标文件编制软件或登录“苏采云”系统在规定时间内完成提交，时间以电子交易平台时间为准。具体流程如下：将后缀名为“.kedt”的招标文件导入政府采购客户端工具--制作投标文件--导出加密的投标文件(后缀名为zip) --通过“苏采云”系统上传投标文件。（详见《江苏省政府采购交易系统（苏采云）供应商操作手册》）</w:t>
      </w:r>
    </w:p>
    <w:p w14:paraId="739350C4">
      <w:pPr>
        <w:tabs>
          <w:tab w:val="left" w:pos="945"/>
        </w:tabs>
        <w:spacing w:line="360" w:lineRule="auto"/>
        <w:ind w:left="1" w:firstLine="480"/>
        <w:jc w:val="left"/>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 xml:space="preserve">12.2 截止时间以后传输的投标文件，“苏采云”平台将拒绝接收。供应商应充分考虑网络环境、网络带宽等风险因素。 </w:t>
      </w:r>
    </w:p>
    <w:p w14:paraId="299FA314">
      <w:pPr>
        <w:tabs>
          <w:tab w:val="left" w:pos="945"/>
        </w:tabs>
        <w:spacing w:line="360" w:lineRule="auto"/>
        <w:ind w:left="1" w:firstLine="480"/>
        <w:jc w:val="left"/>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 xml:space="preserve">12.3 提交完成后至解密前，供应商不能对加密投标文件时所使用的数字认证证书进行更新、续费，否则可能引起的投标文件解密失败等相关后果由供应商自行承担（友情提示：若供应商已领取副锁（含多把副锁）请注意正副锁的使用差别）。 </w:t>
      </w:r>
    </w:p>
    <w:p w14:paraId="2F06C838">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12.4 因不可抗力事件造成的（线上、线下）投标文件的损坏、丢失的，采购代理不承担责任。</w:t>
      </w:r>
    </w:p>
    <w:p w14:paraId="418DB468">
      <w:pPr>
        <w:spacing w:line="360" w:lineRule="auto"/>
        <w:ind w:firstLine="482"/>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13.投标文件的拒收：</w:t>
      </w:r>
      <w:r>
        <w:rPr>
          <w:bCs/>
          <w:color w:val="000000" w:themeColor="text1"/>
          <w:sz w:val="24"/>
          <w:szCs w:val="24"/>
          <w:lang w:val="zh-CN"/>
          <w14:textFill>
            <w14:solidFill>
              <w14:schemeClr w14:val="tx1"/>
            </w14:solidFill>
          </w14:textFill>
        </w:rPr>
        <w:t>在招标文件要求的提交截止时间之后提交的投标文件和招标文件规定拒收情形的将被拒收。</w:t>
      </w:r>
    </w:p>
    <w:p w14:paraId="7C3DC1DB">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14.投标文件的真实性</w:t>
      </w:r>
    </w:p>
    <w:p w14:paraId="0168C1E8">
      <w:pPr>
        <w:spacing w:line="360" w:lineRule="auto"/>
        <w:ind w:firstLine="480"/>
        <w:rPr>
          <w:color w:val="000000" w:themeColor="text1"/>
          <w:sz w:val="24"/>
          <w:szCs w:val="28"/>
          <w14:textFill>
            <w14:solidFill>
              <w14:schemeClr w14:val="tx1"/>
            </w14:solidFill>
          </w14:textFill>
        </w:rPr>
      </w:pPr>
      <w:r>
        <w:rPr>
          <w:color w:val="000000" w:themeColor="text1"/>
          <w:sz w:val="24"/>
          <w:szCs w:val="28"/>
          <w14:textFill>
            <w14:solidFill>
              <w14:schemeClr w14:val="tx1"/>
            </w14:solidFill>
          </w14:textFill>
        </w:rPr>
        <w:t>14.1 投标人（含中标供应商）应对其投标文件中提供的所有材料的真实性负责。</w:t>
      </w:r>
    </w:p>
    <w:p w14:paraId="3D5C7DE6">
      <w:pPr>
        <w:spacing w:line="360" w:lineRule="auto"/>
        <w:ind w:firstLine="480"/>
        <w:rPr>
          <w:color w:val="000000" w:themeColor="text1"/>
          <w:sz w:val="24"/>
          <w:szCs w:val="28"/>
          <w14:textFill>
            <w14:solidFill>
              <w14:schemeClr w14:val="tx1"/>
            </w14:solidFill>
          </w14:textFill>
        </w:rPr>
      </w:pPr>
      <w:r>
        <w:rPr>
          <w:color w:val="000000" w:themeColor="text1"/>
          <w:sz w:val="24"/>
          <w:szCs w:val="28"/>
          <w14:textFill>
            <w14:solidFill>
              <w14:schemeClr w14:val="tx1"/>
            </w14:solidFill>
          </w14:textFill>
        </w:rPr>
        <w:t>14.2 如</w:t>
      </w:r>
      <w:bookmarkStart w:id="45" w:name="OLE_LINK45"/>
      <w:r>
        <w:rPr>
          <w:color w:val="000000" w:themeColor="text1"/>
          <w:sz w:val="24"/>
          <w:szCs w:val="28"/>
          <w14:textFill>
            <w14:solidFill>
              <w14:schemeClr w14:val="tx1"/>
            </w14:solidFill>
          </w14:textFill>
        </w:rPr>
        <w:t>采购人、</w:t>
      </w:r>
      <w:bookmarkEnd w:id="45"/>
      <w:r>
        <w:rPr>
          <w:color w:val="000000" w:themeColor="text1"/>
          <w:sz w:val="24"/>
          <w:szCs w:val="28"/>
          <w14:textFill>
            <w14:solidFill>
              <w14:schemeClr w14:val="tx1"/>
            </w14:solidFill>
          </w14:textFill>
        </w:rPr>
        <w:t>采购代理机构</w:t>
      </w:r>
      <w:r>
        <w:rPr>
          <w:bCs/>
          <w:color w:val="000000" w:themeColor="text1"/>
          <w:sz w:val="24"/>
          <w:szCs w:val="24"/>
          <w14:textFill>
            <w14:solidFill>
              <w14:schemeClr w14:val="tx1"/>
            </w14:solidFill>
          </w14:textFill>
        </w:rPr>
        <w:t>、评标委员会</w:t>
      </w:r>
      <w:r>
        <w:rPr>
          <w:color w:val="000000" w:themeColor="text1"/>
          <w:sz w:val="24"/>
          <w:szCs w:val="28"/>
          <w14:textFill>
            <w14:solidFill>
              <w14:schemeClr w14:val="tx1"/>
            </w14:solidFill>
          </w14:textFill>
        </w:rPr>
        <w:t>视情况或根据各项</w:t>
      </w:r>
      <w:r>
        <w:rPr>
          <w:rFonts w:hint="eastAsia"/>
          <w:color w:val="000000" w:themeColor="text1"/>
          <w:sz w:val="24"/>
          <w:szCs w:val="28"/>
          <w14:textFill>
            <w14:solidFill>
              <w14:schemeClr w14:val="tx1"/>
            </w14:solidFill>
          </w14:textFill>
        </w:rPr>
        <w:t>法律法规</w:t>
      </w:r>
      <w:r>
        <w:rPr>
          <w:color w:val="000000" w:themeColor="text1"/>
          <w:sz w:val="24"/>
          <w:szCs w:val="28"/>
          <w14:textFill>
            <w14:solidFill>
              <w14:schemeClr w14:val="tx1"/>
            </w14:solidFill>
          </w14:textFill>
        </w:rPr>
        <w:t>、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38"/>
    </w:p>
    <w:p w14:paraId="2754CC21">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15.投标文件的有效期</w:t>
      </w:r>
    </w:p>
    <w:p w14:paraId="198FC060">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投标文件的有效期为提交投标文件截止之日起的60天（含截止当日）。在特殊情况下，采购人、采购招标代理机构可与供应商协商延长投标文件的有效期。</w:t>
      </w:r>
    </w:p>
    <w:p w14:paraId="7B3EBB9C">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16.投标文件的退还</w:t>
      </w:r>
    </w:p>
    <w:p w14:paraId="2BE2CC87">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16.1 投标截止时间后，采购人和采购代理机构对所有投标人的投标文件一律不予退还。</w:t>
      </w:r>
    </w:p>
    <w:p w14:paraId="06FD23CB">
      <w:pPr>
        <w:spacing w:line="360" w:lineRule="auto"/>
        <w:ind w:firstLine="482"/>
        <w:rPr>
          <w:b/>
          <w:color w:val="000000" w:themeColor="text1"/>
          <w:sz w:val="24"/>
          <w:szCs w:val="24"/>
          <w14:textFill>
            <w14:solidFill>
              <w14:schemeClr w14:val="tx1"/>
            </w14:solidFill>
          </w14:textFill>
        </w:rPr>
      </w:pPr>
      <w:bookmarkStart w:id="46" w:name="OLE_LINK125"/>
      <w:r>
        <w:rPr>
          <w:b/>
          <w:color w:val="000000" w:themeColor="text1"/>
          <w:sz w:val="24"/>
          <w:szCs w:val="24"/>
          <w14:textFill>
            <w14:solidFill>
              <w14:schemeClr w14:val="tx1"/>
            </w14:solidFill>
          </w14:textFill>
        </w:rPr>
        <w:t>17.投标文件的</w:t>
      </w:r>
      <w:bookmarkStart w:id="47" w:name="OLE_LINK260"/>
      <w:bookmarkStart w:id="48" w:name="OLE_LINK273"/>
      <w:r>
        <w:rPr>
          <w:b/>
          <w:color w:val="000000" w:themeColor="text1"/>
          <w:sz w:val="24"/>
          <w:szCs w:val="24"/>
          <w14:textFill>
            <w14:solidFill>
              <w14:schemeClr w14:val="tx1"/>
            </w14:solidFill>
          </w14:textFill>
        </w:rPr>
        <w:t>补充、修改或者撤回</w:t>
      </w:r>
      <w:bookmarkEnd w:id="47"/>
    </w:p>
    <w:p w14:paraId="1DBA9BDC">
      <w:pPr>
        <w:spacing w:line="360" w:lineRule="auto"/>
        <w:ind w:firstLine="480"/>
        <w:rPr>
          <w:bCs/>
          <w:color w:val="000000" w:themeColor="text1"/>
          <w:sz w:val="24"/>
          <w:szCs w:val="24"/>
          <w14:textFill>
            <w14:solidFill>
              <w14:schemeClr w14:val="tx1"/>
            </w14:solidFill>
          </w14:textFill>
        </w:rPr>
      </w:pPr>
      <w:bookmarkStart w:id="49" w:name="OLE_LINK221"/>
      <w:r>
        <w:rPr>
          <w:bCs/>
          <w:color w:val="000000" w:themeColor="text1"/>
          <w:sz w:val="24"/>
          <w:szCs w:val="24"/>
          <w14:textFill>
            <w14:solidFill>
              <w14:schemeClr w14:val="tx1"/>
            </w14:solidFill>
          </w14:textFill>
        </w:rPr>
        <w:t>17.1</w:t>
      </w:r>
      <w:r>
        <w:rPr>
          <w:bCs/>
          <w:color w:val="000000" w:themeColor="text1"/>
          <w:sz w:val="24"/>
          <w:szCs w:val="24"/>
          <w:lang w:val="zh-CN"/>
          <w14:textFill>
            <w14:solidFill>
              <w14:schemeClr w14:val="tx1"/>
            </w14:solidFill>
          </w14:textFill>
        </w:rPr>
        <w:t xml:space="preserve"> 投标人在投标截止时间前，可以对所递交的投标文件进行补充、修改或撤回，并书面通知</w:t>
      </w:r>
      <w:bookmarkStart w:id="50" w:name="OLE_LINK294"/>
      <w:r>
        <w:rPr>
          <w:bCs/>
          <w:color w:val="000000" w:themeColor="text1"/>
          <w:sz w:val="24"/>
          <w:szCs w:val="24"/>
          <w:lang w:val="zh-CN"/>
          <w14:textFill>
            <w14:solidFill>
              <w14:schemeClr w14:val="tx1"/>
            </w14:solidFill>
          </w14:textFill>
        </w:rPr>
        <w:t>采购人或者</w:t>
      </w:r>
      <w:bookmarkEnd w:id="50"/>
      <w:r>
        <w:rPr>
          <w:bCs/>
          <w:color w:val="000000" w:themeColor="text1"/>
          <w:sz w:val="24"/>
          <w:szCs w:val="24"/>
          <w:lang w:val="zh-CN"/>
          <w14:textFill>
            <w14:solidFill>
              <w14:schemeClr w14:val="tx1"/>
            </w14:solidFill>
          </w14:textFill>
        </w:rPr>
        <w:t>采购代理机构。补充、修改的内容应当按照招标文件要求签署、盖章、密封后，并作为投标文件的组成部分。</w:t>
      </w:r>
      <w:bookmarkEnd w:id="46"/>
    </w:p>
    <w:p w14:paraId="47641189">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17.2 </w:t>
      </w:r>
      <w:bookmarkEnd w:id="48"/>
      <w:bookmarkEnd w:id="49"/>
      <w:r>
        <w:rPr>
          <w:bCs/>
          <w:color w:val="000000" w:themeColor="text1"/>
          <w:sz w:val="24"/>
          <w:szCs w:val="24"/>
          <w14:textFill>
            <w14:solidFill>
              <w14:schemeClr w14:val="tx1"/>
            </w14:solidFill>
          </w14:textFill>
        </w:rPr>
        <w:t>在投标截止时间之后，采购人、采购代理机构、评标委员会不接受投标人主动对其投标文件做任何补充、修改。</w:t>
      </w:r>
    </w:p>
    <w:p w14:paraId="5204D58A">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18.</w:t>
      </w:r>
      <w:r>
        <w:rPr>
          <w:b/>
          <w:color w:val="000000" w:themeColor="text1"/>
          <w:sz w:val="24"/>
          <w:szCs w:val="24"/>
          <w:lang w:val="zh-CN"/>
          <w14:textFill>
            <w14:solidFill>
              <w14:schemeClr w14:val="tx1"/>
            </w14:solidFill>
          </w14:textFill>
        </w:rPr>
        <w:t>无效投标的确认</w:t>
      </w:r>
    </w:p>
    <w:p w14:paraId="094DBBCF">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18.1 投标人有下列情况之一者，其投标无效：</w:t>
      </w:r>
    </w:p>
    <w:p w14:paraId="63405B66">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（1）投标文件未按招标文件给定格式如实填写（编写）的或未按要求签署、盖章的；</w:t>
      </w:r>
    </w:p>
    <w:p w14:paraId="1C1D2B87">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（2）不具备招标文件投标邀请函中“2.1投标人参加本次政府采购活动应具备的资格条件”或未按招标文件规定的要求提供资格证明文件的；</w:t>
      </w:r>
    </w:p>
    <w:p w14:paraId="619A4CC9">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（3）投标文件中有招标文件未允许提供的选择性内容的；</w:t>
      </w:r>
    </w:p>
    <w:p w14:paraId="4198AE02">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（4）投标文件含有采购人不能接受的附加条件的；</w:t>
      </w:r>
    </w:p>
    <w:p w14:paraId="4062F870">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（5）报价超过招标文件中规定的预算金额或者最高限价的；</w:t>
      </w:r>
    </w:p>
    <w:p w14:paraId="2CE8C30E">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（6）投标文件报价出现前后不一致，且投标人拒绝修正的；</w:t>
      </w:r>
    </w:p>
    <w:p w14:paraId="415FB70E">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（7）评标委员会认为投标人的报价明显低于其他通过符合性审查投标人的报价，有可能影响产品质量或者不能诚信履约，且投标人不能证明其报价合理性的；</w:t>
      </w:r>
    </w:p>
    <w:p w14:paraId="19DF7D0C">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w:t>
      </w:r>
      <w:r>
        <w:rPr>
          <w:rFonts w:hint="eastAsia"/>
          <w:bCs/>
          <w:color w:val="000000" w:themeColor="text1"/>
          <w:sz w:val="24"/>
          <w:szCs w:val="24"/>
          <w14:textFill>
            <w14:solidFill>
              <w14:schemeClr w14:val="tx1"/>
            </w14:solidFill>
          </w14:textFill>
        </w:rPr>
        <w:t>8</w:t>
      </w:r>
      <w:r>
        <w:rPr>
          <w:bCs/>
          <w:color w:val="000000" w:themeColor="text1"/>
          <w:sz w:val="24"/>
          <w:szCs w:val="24"/>
          <w14:textFill>
            <w14:solidFill>
              <w14:schemeClr w14:val="tx1"/>
            </w14:solidFill>
          </w14:textFill>
        </w:rPr>
        <w:t>）与其他投标人串通投标的，包括但不限于以下几种情况：</w:t>
      </w:r>
    </w:p>
    <w:p w14:paraId="1E85ED63">
      <w:pPr>
        <w:spacing w:line="360" w:lineRule="auto"/>
        <w:ind w:firstLine="60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r>
        <w:rPr>
          <w:bCs/>
          <w:color w:val="000000" w:themeColor="text1"/>
          <w:sz w:val="24"/>
          <w:szCs w:val="24"/>
          <w14:textFill>
            <w14:solidFill>
              <w14:schemeClr w14:val="tx1"/>
            </w14:solidFill>
          </w14:textFill>
        </w:rPr>
        <w:t>不同投标人的投标文件由同一单位或者个人编制；</w:t>
      </w:r>
    </w:p>
    <w:p w14:paraId="077559A0">
      <w:pPr>
        <w:spacing w:line="360" w:lineRule="auto"/>
        <w:ind w:firstLine="60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bCs/>
          <w:color w:val="000000" w:themeColor="text1"/>
          <w:sz w:val="24"/>
          <w:szCs w:val="24"/>
          <w14:textFill>
            <w14:solidFill>
              <w14:schemeClr w14:val="tx1"/>
            </w14:solidFill>
          </w14:textFill>
        </w:rPr>
        <w:t>不同投标人委托同一单位或者个人办理投标事宜；</w:t>
      </w:r>
    </w:p>
    <w:p w14:paraId="4BC40B5F">
      <w:pPr>
        <w:spacing w:line="360" w:lineRule="auto"/>
        <w:ind w:firstLine="60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w:t>
      </w:r>
      <w:r>
        <w:rPr>
          <w:bCs/>
          <w:color w:val="000000" w:themeColor="text1"/>
          <w:sz w:val="24"/>
          <w:szCs w:val="24"/>
          <w14:textFill>
            <w14:solidFill>
              <w14:schemeClr w14:val="tx1"/>
            </w14:solidFill>
          </w14:textFill>
        </w:rPr>
        <w:t>不同投标人的投标文件载明的项目管理成员或者联系人员为同一人；</w:t>
      </w:r>
    </w:p>
    <w:p w14:paraId="60ADBB2C">
      <w:pPr>
        <w:spacing w:line="360" w:lineRule="auto"/>
        <w:ind w:firstLine="60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w:t>
      </w:r>
      <w:r>
        <w:rPr>
          <w:bCs/>
          <w:color w:val="000000" w:themeColor="text1"/>
          <w:sz w:val="24"/>
          <w:szCs w:val="24"/>
          <w14:textFill>
            <w14:solidFill>
              <w14:schemeClr w14:val="tx1"/>
            </w14:solidFill>
          </w14:textFill>
        </w:rPr>
        <w:t>不同投标人的投标文件异常一致或者投标报价呈规律性差异；</w:t>
      </w:r>
    </w:p>
    <w:p w14:paraId="154CF3E0">
      <w:pPr>
        <w:spacing w:line="360" w:lineRule="auto"/>
        <w:ind w:firstLine="600"/>
        <w:rPr>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w:t>
      </w:r>
      <w:r>
        <w:rPr>
          <w:bCs/>
          <w:color w:val="000000" w:themeColor="text1"/>
          <w:sz w:val="24"/>
          <w:szCs w:val="24"/>
          <w14:textFill>
            <w14:solidFill>
              <w14:schemeClr w14:val="tx1"/>
            </w14:solidFill>
          </w14:textFill>
        </w:rPr>
        <w:t>不同投标人的投标文件相互混装。</w:t>
      </w:r>
    </w:p>
    <w:p w14:paraId="149E12B3">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w:t>
      </w:r>
      <w:r>
        <w:rPr>
          <w:rFonts w:hint="eastAsia"/>
          <w:bCs/>
          <w:color w:val="000000" w:themeColor="text1"/>
          <w:sz w:val="24"/>
          <w:szCs w:val="24"/>
          <w14:textFill>
            <w14:solidFill>
              <w14:schemeClr w14:val="tx1"/>
            </w14:solidFill>
          </w14:textFill>
        </w:rPr>
        <w:t>9</w:t>
      </w:r>
      <w:r>
        <w:rPr>
          <w:bCs/>
          <w:color w:val="000000" w:themeColor="text1"/>
          <w:sz w:val="24"/>
          <w:szCs w:val="24"/>
          <w14:textFill>
            <w14:solidFill>
              <w14:schemeClr w14:val="tx1"/>
            </w14:solidFill>
          </w14:textFill>
        </w:rPr>
        <w:t>）提供虚假材料（含虚假承诺）的；</w:t>
      </w:r>
    </w:p>
    <w:p w14:paraId="2DD819AA">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w:t>
      </w:r>
      <w:r>
        <w:rPr>
          <w:rFonts w:hint="eastAsia"/>
          <w:bCs/>
          <w:color w:val="000000" w:themeColor="text1"/>
          <w:sz w:val="24"/>
          <w:szCs w:val="24"/>
          <w14:textFill>
            <w14:solidFill>
              <w14:schemeClr w14:val="tx1"/>
            </w14:solidFill>
          </w14:textFill>
        </w:rPr>
        <w:t>0</w:t>
      </w:r>
      <w:r>
        <w:rPr>
          <w:bCs/>
          <w:color w:val="000000" w:themeColor="text1"/>
          <w:sz w:val="24"/>
          <w:szCs w:val="24"/>
          <w14:textFill>
            <w14:solidFill>
              <w14:schemeClr w14:val="tx1"/>
            </w14:solidFill>
          </w14:textFill>
        </w:rPr>
        <w:t>）投标文件内容不全、自相矛盾或不符合法律法规和招标文件中规定的</w:t>
      </w:r>
      <w:r>
        <w:rPr>
          <w:rFonts w:hint="eastAsia"/>
          <w:bCs/>
          <w:color w:val="000000" w:themeColor="text1"/>
          <w:sz w:val="24"/>
          <w:szCs w:val="24"/>
          <w14:textFill>
            <w14:solidFill>
              <w14:schemeClr w14:val="tx1"/>
            </w14:solidFill>
          </w14:textFill>
        </w:rPr>
        <w:t>其他</w:t>
      </w:r>
      <w:r>
        <w:rPr>
          <w:bCs/>
          <w:color w:val="000000" w:themeColor="text1"/>
          <w:sz w:val="24"/>
          <w:szCs w:val="24"/>
          <w14:textFill>
            <w14:solidFill>
              <w14:schemeClr w14:val="tx1"/>
            </w14:solidFill>
          </w14:textFill>
        </w:rPr>
        <w:t>实质性要求的；</w:t>
      </w:r>
    </w:p>
    <w:p w14:paraId="0F54BF0A">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w:t>
      </w:r>
      <w:r>
        <w:rPr>
          <w:rFonts w:hint="eastAsia"/>
          <w:bCs/>
          <w:color w:val="000000" w:themeColor="text1"/>
          <w:sz w:val="24"/>
          <w:szCs w:val="24"/>
          <w14:textFill>
            <w14:solidFill>
              <w14:schemeClr w14:val="tx1"/>
            </w14:solidFill>
          </w14:textFill>
        </w:rPr>
        <w:t>1</w:t>
      </w:r>
      <w:r>
        <w:rPr>
          <w:bCs/>
          <w:color w:val="000000" w:themeColor="text1"/>
          <w:sz w:val="24"/>
          <w:szCs w:val="24"/>
          <w14:textFill>
            <w14:solidFill>
              <w14:schemeClr w14:val="tx1"/>
            </w14:solidFill>
          </w14:textFill>
        </w:rPr>
        <w:t>）</w:t>
      </w:r>
      <w:r>
        <w:rPr>
          <w:rFonts w:hint="eastAsia"/>
          <w:bCs/>
          <w:color w:val="000000" w:themeColor="text1"/>
          <w:sz w:val="24"/>
          <w:szCs w:val="24"/>
          <w14:textFill>
            <w14:solidFill>
              <w14:schemeClr w14:val="tx1"/>
            </w14:solidFill>
          </w14:textFill>
        </w:rPr>
        <w:t>法律法规</w:t>
      </w:r>
      <w:r>
        <w:rPr>
          <w:bCs/>
          <w:color w:val="000000" w:themeColor="text1"/>
          <w:sz w:val="24"/>
          <w:szCs w:val="24"/>
          <w14:textFill>
            <w14:solidFill>
              <w14:schemeClr w14:val="tx1"/>
            </w14:solidFill>
          </w14:textFill>
        </w:rPr>
        <w:t>和招标文件规定的其他无效情形。</w:t>
      </w:r>
    </w:p>
    <w:p w14:paraId="08914703">
      <w:pPr>
        <w:spacing w:line="360" w:lineRule="auto"/>
        <w:ind w:firstLine="482"/>
        <w:rPr>
          <w:bCs/>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四、联合体投标、中标后分包</w:t>
      </w:r>
    </w:p>
    <w:p w14:paraId="60366F94">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19.本项目不接受联合体，不接受中标后分包。</w:t>
      </w:r>
    </w:p>
    <w:p w14:paraId="541B386C">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五、</w:t>
      </w:r>
      <w:r>
        <w:rPr>
          <w:b/>
          <w:color w:val="000000" w:themeColor="text1"/>
          <w:sz w:val="24"/>
          <w:szCs w:val="24"/>
          <w:lang w:val="zh-CN"/>
          <w14:textFill>
            <w14:solidFill>
              <w14:schemeClr w14:val="tx1"/>
            </w14:solidFill>
          </w14:textFill>
        </w:rPr>
        <w:t>开标、</w:t>
      </w:r>
      <w:r>
        <w:rPr>
          <w:b/>
          <w:color w:val="000000" w:themeColor="text1"/>
          <w:sz w:val="24"/>
          <w:szCs w:val="24"/>
          <w14:textFill>
            <w14:solidFill>
              <w14:schemeClr w14:val="tx1"/>
            </w14:solidFill>
          </w14:textFill>
        </w:rPr>
        <w:t>资审、</w:t>
      </w:r>
      <w:r>
        <w:rPr>
          <w:b/>
          <w:color w:val="000000" w:themeColor="text1"/>
          <w:sz w:val="24"/>
          <w:szCs w:val="24"/>
          <w:lang w:val="zh-CN"/>
          <w14:textFill>
            <w14:solidFill>
              <w14:schemeClr w14:val="tx1"/>
            </w14:solidFill>
          </w14:textFill>
        </w:rPr>
        <w:t>评标、定标、废标</w:t>
      </w:r>
    </w:p>
    <w:p w14:paraId="4BCFD1B0">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20.开标</w:t>
      </w:r>
    </w:p>
    <w:p w14:paraId="265A252A">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20</w:t>
      </w:r>
      <w:r>
        <w:rPr>
          <w:bCs/>
          <w:color w:val="000000" w:themeColor="text1"/>
          <w:sz w:val="24"/>
          <w:szCs w:val="24"/>
          <w:lang w:val="zh-CN"/>
          <w14:textFill>
            <w14:solidFill>
              <w14:schemeClr w14:val="tx1"/>
            </w14:solidFill>
          </w14:textFill>
        </w:rPr>
        <w:t xml:space="preserve">.1 </w:t>
      </w:r>
      <w:bookmarkStart w:id="51" w:name="OLE_LINK276"/>
      <w:r>
        <w:rPr>
          <w:bCs/>
          <w:color w:val="000000" w:themeColor="text1"/>
          <w:sz w:val="24"/>
          <w:szCs w:val="24"/>
          <w:lang w:val="zh-CN"/>
          <w14:textFill>
            <w14:solidFill>
              <w14:schemeClr w14:val="tx1"/>
            </w14:solidFill>
          </w14:textFill>
        </w:rPr>
        <w:t>采购人按磋商文件规定的时间在“苏采云开标大厅”召开开标大会。</w:t>
      </w:r>
      <w:r>
        <w:rPr>
          <w:bCs/>
          <w:color w:val="000000" w:themeColor="text1"/>
          <w:sz w:val="24"/>
          <w:szCs w:val="24"/>
          <w14:textFill>
            <w14:solidFill>
              <w14:schemeClr w14:val="tx1"/>
            </w14:solidFill>
          </w14:textFill>
        </w:rPr>
        <w:t>供应商</w:t>
      </w:r>
      <w:r>
        <w:rPr>
          <w:bCs/>
          <w:color w:val="000000" w:themeColor="text1"/>
          <w:sz w:val="24"/>
          <w:szCs w:val="24"/>
          <w:lang w:val="zh-CN"/>
          <w14:textFill>
            <w14:solidFill>
              <w14:schemeClr w14:val="tx1"/>
            </w14:solidFill>
          </w14:textFill>
        </w:rPr>
        <w:t>应当在</w:t>
      </w:r>
      <w:r>
        <w:rPr>
          <w:bCs/>
          <w:color w:val="000000" w:themeColor="text1"/>
          <w:sz w:val="24"/>
          <w:szCs w:val="24"/>
          <w14:textFill>
            <w14:solidFill>
              <w14:schemeClr w14:val="tx1"/>
            </w14:solidFill>
          </w14:textFill>
        </w:rPr>
        <w:t>报价</w:t>
      </w:r>
      <w:r>
        <w:rPr>
          <w:bCs/>
          <w:color w:val="000000" w:themeColor="text1"/>
          <w:sz w:val="24"/>
          <w:szCs w:val="24"/>
          <w:lang w:val="zh-CN"/>
          <w14:textFill>
            <w14:solidFill>
              <w14:schemeClr w14:val="tx1"/>
            </w14:solidFill>
          </w14:textFill>
        </w:rPr>
        <w:t>前做好充分准备，携带 CA 数字证书准时参加。</w:t>
      </w:r>
    </w:p>
    <w:p w14:paraId="008F341F">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提交投标文件或成功解密投标文件的供应商不足</w:t>
      </w:r>
      <w:r>
        <w:rPr>
          <w:bCs/>
          <w:color w:val="000000" w:themeColor="text1"/>
          <w:sz w:val="24"/>
          <w:szCs w:val="24"/>
          <w14:textFill>
            <w14:solidFill>
              <w14:schemeClr w14:val="tx1"/>
            </w14:solidFill>
          </w14:textFill>
        </w:rPr>
        <w:t>3家的，不得开标。</w:t>
      </w:r>
      <w:bookmarkEnd w:id="51"/>
    </w:p>
    <w:p w14:paraId="65BC5286">
      <w:pPr>
        <w:spacing w:line="360" w:lineRule="auto"/>
        <w:ind w:firstLine="480"/>
        <w:rPr>
          <w:b/>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20.2 </w:t>
      </w:r>
      <w:r>
        <w:rPr>
          <w:bCs/>
          <w:color w:val="000000" w:themeColor="text1"/>
          <w:sz w:val="24"/>
          <w:szCs w:val="24"/>
          <w:lang w:val="zh-CN"/>
          <w14:textFill>
            <w14:solidFill>
              <w14:schemeClr w14:val="tx1"/>
            </w14:solidFill>
          </w14:textFill>
        </w:rPr>
        <w:t>投标文件提交截止时间后，在“苏采云开标大厅”开启投标文件，相关注意事项详见报价邀请函。</w:t>
      </w:r>
    </w:p>
    <w:p w14:paraId="3C0C0E32">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20</w:t>
      </w:r>
      <w:r>
        <w:rPr>
          <w:bCs/>
          <w:color w:val="000000" w:themeColor="text1"/>
          <w:sz w:val="24"/>
          <w:szCs w:val="24"/>
          <w:lang w:val="zh-CN"/>
          <w14:textFill>
            <w14:solidFill>
              <w14:schemeClr w14:val="tx1"/>
            </w14:solidFill>
          </w14:textFill>
        </w:rPr>
        <w:t>.</w:t>
      </w:r>
      <w:r>
        <w:rPr>
          <w:bCs/>
          <w:color w:val="000000" w:themeColor="text1"/>
          <w:sz w:val="24"/>
          <w:szCs w:val="24"/>
          <w14:textFill>
            <w14:solidFill>
              <w14:schemeClr w14:val="tx1"/>
            </w14:solidFill>
          </w14:textFill>
        </w:rPr>
        <w:t>3</w:t>
      </w:r>
      <w:r>
        <w:rPr>
          <w:bCs/>
          <w:color w:val="000000" w:themeColor="text1"/>
          <w:sz w:val="24"/>
          <w:szCs w:val="24"/>
          <w:lang w:val="zh-CN"/>
          <w14:textFill>
            <w14:solidFill>
              <w14:schemeClr w14:val="tx1"/>
            </w14:solidFill>
          </w14:textFill>
        </w:rPr>
        <w:t xml:space="preserve"> 开标</w:t>
      </w:r>
      <w:bookmarkStart w:id="52" w:name="OLE_LINK130"/>
      <w:r>
        <w:rPr>
          <w:bCs/>
          <w:color w:val="000000" w:themeColor="text1"/>
          <w:sz w:val="24"/>
          <w:szCs w:val="24"/>
          <w:lang w:val="zh-CN"/>
          <w14:textFill>
            <w14:solidFill>
              <w14:schemeClr w14:val="tx1"/>
            </w14:solidFill>
          </w14:textFill>
        </w:rPr>
        <w:t>过程由采购人或者采购代理机构负责记录，由参加开标的各投标人代表和相关工作人员签字确认后随采购文件一并存档。</w:t>
      </w:r>
      <w:bookmarkEnd w:id="52"/>
      <w:r>
        <w:rPr>
          <w:bCs/>
          <w:color w:val="000000" w:themeColor="text1"/>
          <w:sz w:val="24"/>
          <w:szCs w:val="24"/>
          <w:lang w:val="zh-CN"/>
          <w14:textFill>
            <w14:solidFill>
              <w14:schemeClr w14:val="tx1"/>
            </w14:solidFill>
          </w14:textFill>
        </w:rPr>
        <w:t>投标人未参加开标的，视同认可开标结果。</w:t>
      </w:r>
    </w:p>
    <w:p w14:paraId="4CC10E7A">
      <w:pPr>
        <w:tabs>
          <w:tab w:val="left" w:pos="52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20.4 </w:t>
      </w:r>
      <w:bookmarkStart w:id="53" w:name="OLE_LINK131"/>
      <w:bookmarkStart w:id="54" w:name="OLE_LINK179"/>
      <w:r>
        <w:rPr>
          <w:bCs/>
          <w:color w:val="000000" w:themeColor="text1"/>
          <w:sz w:val="24"/>
          <w:szCs w:val="24"/>
          <w14:textFill>
            <w14:solidFill>
              <w14:schemeClr w14:val="tx1"/>
            </w14:solidFill>
          </w14:textFill>
        </w:rPr>
        <w:t>投标人对开标过程和开标记录有疑义，以及认为采购人、采购代理机构相关工作人员有需要回避的情形的，应当场提出询问或者回避申请。</w:t>
      </w:r>
      <w:bookmarkEnd w:id="53"/>
      <w:bookmarkStart w:id="55" w:name="OLE_LINK176"/>
      <w:r>
        <w:rPr>
          <w:bCs/>
          <w:color w:val="000000" w:themeColor="text1"/>
          <w:sz w:val="24"/>
          <w:szCs w:val="24"/>
          <w14:textFill>
            <w14:solidFill>
              <w14:schemeClr w14:val="tx1"/>
            </w14:solidFill>
          </w14:textFill>
        </w:rPr>
        <w:t>对投标文件报价前后不一致的修正，待进入评标环节以后，由</w:t>
      </w:r>
      <w:r>
        <w:rPr>
          <w:bCs/>
          <w:color w:val="000000" w:themeColor="text1"/>
          <w:sz w:val="24"/>
          <w:szCs w:val="24"/>
          <w:lang w:val="zh-CN"/>
          <w14:textFill>
            <w14:solidFill>
              <w14:schemeClr w14:val="tx1"/>
            </w14:solidFill>
          </w14:textFill>
        </w:rPr>
        <w:t>评标委员会</w:t>
      </w:r>
      <w:r>
        <w:rPr>
          <w:rFonts w:hint="eastAsia"/>
          <w:bCs/>
          <w:color w:val="000000" w:themeColor="text1"/>
          <w:sz w:val="24"/>
          <w:szCs w:val="24"/>
          <w:lang w:val="zh-CN"/>
          <w14:textFill>
            <w14:solidFill>
              <w14:schemeClr w14:val="tx1"/>
            </w14:solidFill>
          </w14:textFill>
        </w:rPr>
        <w:t>作出</w:t>
      </w:r>
      <w:r>
        <w:rPr>
          <w:bCs/>
          <w:color w:val="000000" w:themeColor="text1"/>
          <w:sz w:val="24"/>
          <w:szCs w:val="24"/>
          <w:lang w:val="zh-CN"/>
          <w14:textFill>
            <w14:solidFill>
              <w14:schemeClr w14:val="tx1"/>
            </w14:solidFill>
          </w14:textFill>
        </w:rPr>
        <w:t>认定</w:t>
      </w:r>
      <w:bookmarkEnd w:id="54"/>
      <w:bookmarkEnd w:id="55"/>
      <w:r>
        <w:rPr>
          <w:bCs/>
          <w:color w:val="000000" w:themeColor="text1"/>
          <w:sz w:val="24"/>
          <w:szCs w:val="24"/>
          <w:lang w:val="zh-CN"/>
          <w14:textFill>
            <w14:solidFill>
              <w14:schemeClr w14:val="tx1"/>
            </w14:solidFill>
          </w14:textFill>
        </w:rPr>
        <w:t>。</w:t>
      </w:r>
    </w:p>
    <w:p w14:paraId="73ABFD28">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21.资格性审查</w:t>
      </w:r>
    </w:p>
    <w:p w14:paraId="60F42E1E">
      <w:pPr>
        <w:spacing w:line="360" w:lineRule="auto"/>
        <w:ind w:firstLine="480"/>
        <w:rPr>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21.1 开标结束后，</w:t>
      </w:r>
      <w:r>
        <w:rPr>
          <w:color w:val="000000" w:themeColor="text1"/>
          <w:sz w:val="24"/>
          <w:szCs w:val="24"/>
          <w14:textFill>
            <w14:solidFill>
              <w14:schemeClr w14:val="tx1"/>
            </w14:solidFill>
          </w14:textFill>
        </w:rPr>
        <w:t>采购人现场依法对投标人的资格进行审查。</w:t>
      </w:r>
    </w:p>
    <w:p w14:paraId="6D28D145">
      <w:pPr>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合格投标人不足3家的，不得评标。</w:t>
      </w:r>
    </w:p>
    <w:p w14:paraId="139735E9">
      <w:pPr>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21.2 资格审查包括两部分内容：</w:t>
      </w:r>
    </w:p>
    <w:p w14:paraId="294F5633">
      <w:pPr>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21.2.1 按照本须知“9</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投标文件的组成”中“（3）资格证明文件”的要求依法对投标人的资格进行审查。</w:t>
      </w:r>
    </w:p>
    <w:p w14:paraId="099F5F14">
      <w:pPr>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21.2.2 信用查询。</w:t>
      </w:r>
    </w:p>
    <w:p w14:paraId="400F2EEE">
      <w:pPr>
        <w:spacing w:line="360" w:lineRule="auto"/>
        <w:ind w:firstLine="480"/>
        <w:rPr>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w:t>
      </w:r>
      <w:r>
        <w:rPr>
          <w:color w:val="000000" w:themeColor="text1"/>
          <w:sz w:val="24"/>
          <w:szCs w:val="24"/>
          <w14:textFill>
            <w14:solidFill>
              <w14:schemeClr w14:val="tx1"/>
            </w14:solidFill>
          </w14:textFill>
        </w:rPr>
        <w:t>查询时间：采购人将在资审环节查询投标人的信用记录，投标人存在不良信用记录的，其投标将被认定为投标无效。</w:t>
      </w:r>
    </w:p>
    <w:p w14:paraId="18B6706F">
      <w:pPr>
        <w:spacing w:line="360" w:lineRule="auto"/>
        <w:ind w:firstLine="480"/>
        <w:rPr>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w:t>
      </w:r>
      <w:r>
        <w:rPr>
          <w:color w:val="000000" w:themeColor="text1"/>
          <w:sz w:val="24"/>
          <w:szCs w:val="24"/>
          <w14:textFill>
            <w14:solidFill>
              <w14:schemeClr w14:val="tx1"/>
            </w14:solidFill>
          </w14:textFill>
        </w:rPr>
        <w:t>不良信用记录指：</w:t>
      </w:r>
      <w:r>
        <w:rPr>
          <w:bCs/>
          <w:color w:val="000000" w:themeColor="text1"/>
          <w:sz w:val="24"/>
          <w:szCs w:val="24"/>
          <w14:textFill>
            <w14:solidFill>
              <w14:schemeClr w14:val="tx1"/>
            </w14:solidFill>
          </w14:textFill>
        </w:rPr>
        <w:t>被“信用中国”（www.creditchina.gov.cn)、中国政府采购网（www.ccgp.gov.cn）列入失信被执行人、重大税收违法案件当事人名单、政府采购严重违法失信行为记录名单（在限制期内）</w:t>
      </w:r>
      <w:r>
        <w:rPr>
          <w:color w:val="000000" w:themeColor="text1"/>
          <w:sz w:val="24"/>
          <w:szCs w:val="24"/>
          <w:lang w:val="zh-CN"/>
          <w14:textFill>
            <w14:solidFill>
              <w14:schemeClr w14:val="tx1"/>
            </w14:solidFill>
          </w14:textFill>
        </w:rPr>
        <w:t>。</w:t>
      </w:r>
      <w:r>
        <w:rPr>
          <w:bCs/>
          <w:color w:val="000000" w:themeColor="text1"/>
          <w:sz w:val="24"/>
          <w:szCs w:val="24"/>
          <w14:textFill>
            <w14:solidFill>
              <w14:schemeClr w14:val="tx1"/>
            </w14:solidFill>
          </w14:textFill>
        </w:rPr>
        <w:t>存在以上任意一项不良信用记录，其</w:t>
      </w:r>
      <w:r>
        <w:rPr>
          <w:color w:val="000000" w:themeColor="text1"/>
          <w:sz w:val="24"/>
          <w:szCs w:val="24"/>
          <w14:textFill>
            <w14:solidFill>
              <w14:schemeClr w14:val="tx1"/>
            </w14:solidFill>
          </w14:textFill>
        </w:rPr>
        <w:t>报价无效</w:t>
      </w:r>
      <w:r>
        <w:rPr>
          <w:bCs/>
          <w:color w:val="000000" w:themeColor="text1"/>
          <w:sz w:val="24"/>
          <w:szCs w:val="24"/>
          <w14:textFill>
            <w14:solidFill>
              <w14:schemeClr w14:val="tx1"/>
            </w14:solidFill>
          </w14:textFill>
        </w:rPr>
        <w:t>。</w:t>
      </w:r>
    </w:p>
    <w:p w14:paraId="090E1F88">
      <w:pPr>
        <w:tabs>
          <w:tab w:val="left" w:pos="525"/>
        </w:tabs>
        <w:spacing w:line="360" w:lineRule="auto"/>
        <w:ind w:firstLine="480"/>
        <w:rPr>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③</w:t>
      </w:r>
      <w:r>
        <w:rPr>
          <w:color w:val="000000" w:themeColor="text1"/>
          <w:sz w:val="24"/>
          <w:szCs w:val="24"/>
          <w14:textFill>
            <w14:solidFill>
              <w14:schemeClr w14:val="tx1"/>
            </w14:solidFill>
          </w14:textFill>
        </w:rPr>
        <w:t>查询及记录方式：</w:t>
      </w:r>
      <w:r>
        <w:rPr>
          <w:bCs/>
          <w:color w:val="000000" w:themeColor="text1"/>
          <w:sz w:val="24"/>
          <w:szCs w:val="24"/>
          <w14:textFill>
            <w14:solidFill>
              <w14:schemeClr w14:val="tx1"/>
            </w14:solidFill>
          </w14:textFill>
        </w:rPr>
        <w:t>评审当日，评审小组在以上网站查询并打印查询结果、签字、存档备查。供应商不良信用记录以评审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56" w:name="_Hlk163724827"/>
      <w:r>
        <w:rPr>
          <w:bCs/>
          <w:color w:val="000000" w:themeColor="text1"/>
          <w:sz w:val="24"/>
          <w:szCs w:val="24"/>
          <w:lang w:val="zh-CN"/>
          <w14:textFill>
            <w14:solidFill>
              <w14:schemeClr w14:val="tx1"/>
            </w14:solidFill>
          </w14:textFill>
        </w:rPr>
        <w:t>以供应商提供的资格声明函中作出的无不良信用记录承诺为准。</w:t>
      </w:r>
      <w:bookmarkEnd w:id="56"/>
    </w:p>
    <w:p w14:paraId="67FC1181">
      <w:pPr>
        <w:tabs>
          <w:tab w:val="left" w:pos="525"/>
        </w:tabs>
        <w:spacing w:line="360" w:lineRule="auto"/>
        <w:ind w:firstLine="482"/>
        <w:rPr>
          <w:bCs/>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22.评标</w:t>
      </w:r>
    </w:p>
    <w:p w14:paraId="62B1BDF0">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22.1 具体评标事务由采购人依法组建的评标委员会负责。</w:t>
      </w:r>
    </w:p>
    <w:p w14:paraId="029D559E">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22.2 评标委员会对符合资格的投标人的投标文件进行符合性审查，以确定其是否满足招标文件的实质性要求。</w:t>
      </w:r>
      <w:r>
        <w:rPr>
          <w:b/>
          <w:color w:val="000000" w:themeColor="text1"/>
          <w:sz w:val="24"/>
          <w:szCs w:val="24"/>
          <w:lang w:val="zh-CN"/>
          <w14:textFill>
            <w14:solidFill>
              <w14:schemeClr w14:val="tx1"/>
            </w14:solidFill>
          </w14:textFill>
        </w:rPr>
        <w:t>实质性要求是指本招标文件中</w:t>
      </w:r>
      <w:r>
        <w:rPr>
          <w:b/>
          <w:color w:val="000000" w:themeColor="text1"/>
          <w:sz w:val="24"/>
          <w:szCs w:val="24"/>
          <w14:textFill>
            <w14:solidFill>
              <w14:schemeClr w14:val="tx1"/>
            </w14:solidFill>
          </w14:textFill>
        </w:rPr>
        <w:t>“第</w:t>
      </w:r>
      <w:r>
        <w:rPr>
          <w:rFonts w:hint="eastAsia"/>
          <w:b/>
          <w:color w:val="000000" w:themeColor="text1"/>
          <w:sz w:val="24"/>
          <w:szCs w:val="24"/>
          <w14:textFill>
            <w14:solidFill>
              <w14:schemeClr w14:val="tx1"/>
            </w14:solidFill>
          </w14:textFill>
        </w:rPr>
        <w:t>四</w:t>
      </w:r>
      <w:r>
        <w:rPr>
          <w:b/>
          <w:color w:val="000000" w:themeColor="text1"/>
          <w:sz w:val="24"/>
          <w:szCs w:val="24"/>
          <w14:textFill>
            <w14:solidFill>
              <w14:schemeClr w14:val="tx1"/>
            </w14:solidFill>
          </w14:textFill>
        </w:rPr>
        <w:t>章 项目技术要求和有关说明”部分及其他“必须”或“应（应当）”等文字说明的相关要求。</w:t>
      </w:r>
    </w:p>
    <w:p w14:paraId="485FC9DF">
      <w:pPr>
        <w:spacing w:line="360" w:lineRule="auto"/>
        <w:ind w:firstLine="480"/>
        <w:rPr>
          <w:b/>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22.3</w:t>
      </w:r>
      <w:bookmarkStart w:id="57" w:name="OLE_LINK132"/>
      <w:r>
        <w:rPr>
          <w:b/>
          <w:color w:val="000000" w:themeColor="text1"/>
          <w:sz w:val="24"/>
          <w:szCs w:val="24"/>
          <w14:textFill>
            <w14:solidFill>
              <w14:schemeClr w14:val="tx1"/>
            </w14:solidFill>
          </w14:textFill>
        </w:rPr>
        <w:t xml:space="preserve"> 澄清有关问题。</w:t>
      </w:r>
      <w:bookmarkEnd w:id="57"/>
      <w:r>
        <w:rPr>
          <w:bCs/>
          <w:color w:val="000000" w:themeColor="text1"/>
          <w:sz w:val="24"/>
          <w:szCs w:val="24"/>
          <w14:textFill>
            <w14:solidFill>
              <w14:schemeClr w14:val="tx1"/>
            </w14:solidFill>
          </w14:textFill>
        </w:rPr>
        <w:t>评审小组对投标文件的有效性、完整性和响应程度进行审查时，可以要求供应商对投标文件中含义不明确、同类问题表述不一致或者有明显文字错误和计算错误的内容作出必要的澄清、说明或者更正。供应商的澄清、说明或者更正不得超出投标文件的范围或者改变投标文件的实质性内容。</w:t>
      </w:r>
      <w:r>
        <w:rPr>
          <w:color w:val="000000" w:themeColor="text1"/>
          <w:sz w:val="24"/>
          <w:szCs w:val="24"/>
          <w14:textFill>
            <w14:solidFill>
              <w14:schemeClr w14:val="tx1"/>
            </w14:solidFill>
          </w14:textFill>
        </w:rPr>
        <w:t>若</w:t>
      </w:r>
      <w:r>
        <w:rPr>
          <w:bCs/>
          <w:color w:val="000000" w:themeColor="text1"/>
          <w:sz w:val="24"/>
          <w:szCs w:val="24"/>
          <w14:textFill>
            <w14:solidFill>
              <w14:schemeClr w14:val="tx1"/>
            </w14:solidFill>
          </w14:textFill>
        </w:rPr>
        <w:t>对不同文字文本投标文件的解释发生异议的，以中文文本为准。</w:t>
      </w:r>
      <w:bookmarkStart w:id="58" w:name="_Hlk164086081"/>
      <w:bookmarkStart w:id="59" w:name="_Hlk159572925"/>
      <w:r>
        <w:rPr>
          <w:bCs/>
          <w:color w:val="000000" w:themeColor="text1"/>
          <w:sz w:val="24"/>
          <w:szCs w:val="24"/>
          <w14:textFill>
            <w14:solidFill>
              <w14:schemeClr w14:val="tx1"/>
            </w14:solidFill>
          </w14:textFill>
        </w:rPr>
        <w:t>供应商获得证书的时间是指发文时间或证书落款时间，若供应商同时提供了发文和证书，以发文时间为准。</w:t>
      </w:r>
      <w:bookmarkEnd w:id="58"/>
      <w:r>
        <w:rPr>
          <w:bCs/>
          <w:color w:val="000000" w:themeColor="text1"/>
          <w:sz w:val="24"/>
          <w:szCs w:val="24"/>
          <w14:textFill>
            <w14:solidFill>
              <w14:schemeClr w14:val="tx1"/>
            </w14:solidFill>
          </w14:textFill>
        </w:rPr>
        <w:t>同一合同项下的续签合同、补充合同不单独作为有效证明材料。除以上评审小组</w:t>
      </w:r>
      <w:r>
        <w:rPr>
          <w:bCs/>
          <w:color w:val="000000" w:themeColor="text1"/>
          <w:sz w:val="24"/>
          <w14:textFill>
            <w14:solidFill>
              <w14:schemeClr w14:val="tx1"/>
            </w14:solidFill>
          </w14:textFill>
        </w:rPr>
        <w:t>要求供应商作出必要的澄清、说明或者纠正时，需要供应商提供相关证明材料外，供应商</w:t>
      </w:r>
      <w:r>
        <w:rPr>
          <w:bCs/>
          <w:color w:val="000000" w:themeColor="text1"/>
          <w:sz w:val="24"/>
          <w:szCs w:val="24"/>
          <w14:textFill>
            <w14:solidFill>
              <w14:schemeClr w14:val="tx1"/>
            </w14:solidFill>
          </w14:textFill>
        </w:rPr>
        <w:t>提供的</w:t>
      </w:r>
      <w:r>
        <w:rPr>
          <w:bCs/>
          <w:color w:val="000000" w:themeColor="text1"/>
          <w:sz w:val="24"/>
          <w14:textFill>
            <w14:solidFill>
              <w14:schemeClr w14:val="tx1"/>
            </w14:solidFill>
          </w14:textFill>
        </w:rPr>
        <w:t>投标文件以外的证明材料一概不作为评审依据。</w:t>
      </w:r>
      <w:bookmarkEnd w:id="59"/>
    </w:p>
    <w:p w14:paraId="5CF1A838">
      <w:pPr>
        <w:spacing w:line="360" w:lineRule="auto"/>
        <w:ind w:firstLine="480"/>
        <w:rPr>
          <w:b/>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评审小组要求供应商澄清、说明或者更正响应文件应当以书面形式作出</w:t>
      </w:r>
      <w:bookmarkStart w:id="60" w:name="_Hlk160096255"/>
      <w:r>
        <w:rPr>
          <w:bCs/>
          <w:color w:val="000000" w:themeColor="text1"/>
          <w:sz w:val="24"/>
          <w:szCs w:val="24"/>
          <w14:textFill>
            <w14:solidFill>
              <w14:schemeClr w14:val="tx1"/>
            </w14:solidFill>
          </w14:textFill>
        </w:rPr>
        <w:t>，采用不见面交易模式的，可以采用数据电文形式进行，并做好记录。</w:t>
      </w:r>
      <w:bookmarkEnd w:id="60"/>
      <w:r>
        <w:rPr>
          <w:bCs/>
          <w:color w:val="000000" w:themeColor="text1"/>
          <w:sz w:val="24"/>
          <w14:textFill>
            <w14:solidFill>
              <w14:schemeClr w14:val="tx1"/>
            </w14:solidFill>
          </w14:textFill>
        </w:rPr>
        <w:t>供应商在项目评审全过程中应</w:t>
      </w:r>
      <w:r>
        <w:rPr>
          <w:rFonts w:hint="eastAsia"/>
          <w:bCs/>
          <w:color w:val="000000" w:themeColor="text1"/>
          <w:sz w:val="24"/>
          <w14:textFill>
            <w14:solidFill>
              <w14:schemeClr w14:val="tx1"/>
            </w14:solidFill>
          </w14:textFill>
        </w:rPr>
        <w:t>保持通信畅通</w:t>
      </w:r>
      <w:r>
        <w:rPr>
          <w:bCs/>
          <w:color w:val="000000" w:themeColor="text1"/>
          <w:sz w:val="24"/>
          <w14:textFill>
            <w14:solidFill>
              <w14:schemeClr w14:val="tx1"/>
            </w14:solidFill>
          </w14:textFill>
        </w:rPr>
        <w:t>，及时接听电话，由法定代表人或其授权代表负责答复相关信息。如未按上述要求及时应答，由此所产生的损失及风险由供应商自行承担。</w:t>
      </w:r>
    </w:p>
    <w:p w14:paraId="04DBFABD">
      <w:pPr>
        <w:tabs>
          <w:tab w:val="left" w:pos="945"/>
        </w:tabs>
        <w:spacing w:line="360" w:lineRule="auto"/>
        <w:ind w:firstLine="523"/>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22.4 </w:t>
      </w:r>
      <w:r>
        <w:rPr>
          <w:b/>
          <w:color w:val="000000" w:themeColor="text1"/>
          <w:sz w:val="24"/>
          <w14:textFill>
            <w14:solidFill>
              <w14:schemeClr w14:val="tx1"/>
            </w14:solidFill>
          </w14:textFill>
        </w:rPr>
        <w:t>比较与评价</w:t>
      </w:r>
      <w:r>
        <w:rPr>
          <w:bCs/>
          <w:color w:val="000000" w:themeColor="text1"/>
          <w:sz w:val="24"/>
          <w14:textFill>
            <w14:solidFill>
              <w14:schemeClr w14:val="tx1"/>
            </w14:solidFill>
          </w14:textFill>
        </w:rPr>
        <w:t>。</w:t>
      </w:r>
      <w:r>
        <w:rPr>
          <w:color w:val="000000" w:themeColor="text1"/>
          <w:sz w:val="24"/>
          <w:szCs w:val="24"/>
          <w14:textFill>
            <w14:solidFill>
              <w14:schemeClr w14:val="tx1"/>
            </w14:solidFill>
          </w14:textFill>
        </w:rPr>
        <w:t>评标委员会应当按照招标文件中规定的评标方法和标准，对符合性审查合格的投标文件进行商务和技术评估，综合比较与评价。</w:t>
      </w:r>
    </w:p>
    <w:p w14:paraId="6D2AFC11">
      <w:pPr>
        <w:tabs>
          <w:tab w:val="left" w:pos="945"/>
        </w:tabs>
        <w:spacing w:line="360" w:lineRule="auto"/>
        <w:ind w:firstLine="523"/>
        <w:rPr>
          <w:bCs/>
          <w:color w:val="000000" w:themeColor="text1"/>
          <w:sz w:val="24"/>
          <w:szCs w:val="24"/>
          <w14:textFill>
            <w14:solidFill>
              <w14:schemeClr w14:val="tx1"/>
            </w14:solidFill>
          </w14:textFill>
        </w:rPr>
      </w:pPr>
      <w:r>
        <w:rPr>
          <w:bCs/>
          <w:color w:val="000000" w:themeColor="text1"/>
          <w:sz w:val="24"/>
          <w14:textFill>
            <w14:solidFill>
              <w14:schemeClr w14:val="tx1"/>
            </w14:solidFill>
          </w14:textFill>
        </w:rPr>
        <w:t>22.</w:t>
      </w:r>
      <w:r>
        <w:rPr>
          <w:bCs/>
          <w:color w:val="000000" w:themeColor="text1"/>
          <w:sz w:val="24"/>
          <w:szCs w:val="24"/>
          <w14:textFill>
            <w14:solidFill>
              <w14:schemeClr w14:val="tx1"/>
            </w14:solidFill>
          </w14:textFill>
        </w:rPr>
        <w:t xml:space="preserve">5 </w:t>
      </w:r>
      <w:r>
        <w:rPr>
          <w:b/>
          <w:color w:val="000000" w:themeColor="text1"/>
          <w:sz w:val="24"/>
          <w14:textFill>
            <w14:solidFill>
              <w14:schemeClr w14:val="tx1"/>
            </w14:solidFill>
          </w14:textFill>
        </w:rPr>
        <w:t>评标方法和标准</w:t>
      </w:r>
      <w:r>
        <w:rPr>
          <w:bCs/>
          <w:color w:val="000000" w:themeColor="text1"/>
          <w:sz w:val="24"/>
          <w14:textFill>
            <w14:solidFill>
              <w14:schemeClr w14:val="tx1"/>
            </w14:solidFill>
          </w14:textFill>
        </w:rPr>
        <w:t>。</w:t>
      </w:r>
      <w:bookmarkStart w:id="61" w:name="OLE_LINK1"/>
    </w:p>
    <w:p w14:paraId="4C1363D1">
      <w:pPr>
        <w:tabs>
          <w:tab w:val="left" w:pos="945"/>
        </w:tabs>
        <w:spacing w:line="360" w:lineRule="auto"/>
        <w:ind w:firstLine="523"/>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22.5.1</w:t>
      </w:r>
      <w:bookmarkEnd w:id="61"/>
      <w:r>
        <w:rPr>
          <w:bCs/>
          <w:color w:val="000000" w:themeColor="text1"/>
          <w:sz w:val="24"/>
          <w:szCs w:val="24"/>
          <w14:textFill>
            <w14:solidFill>
              <w14:schemeClr w14:val="tx1"/>
            </w14:solidFill>
          </w14:textFill>
        </w:rPr>
        <w:t xml:space="preserve"> </w:t>
      </w:r>
      <w:r>
        <w:rPr>
          <w:bCs/>
          <w:color w:val="000000" w:themeColor="text1"/>
          <w:sz w:val="24"/>
          <w14:textFill>
            <w14:solidFill>
              <w14:schemeClr w14:val="tx1"/>
            </w14:solidFill>
          </w14:textFill>
        </w:rPr>
        <w:t>本次招标采用综合评分法，即投标文件满足招标文件全部实质性要求，且按照评审因素的量化指标评审得分最高的投标人为第一中标候选人。评标委员会在</w:t>
      </w:r>
      <w:r>
        <w:rPr>
          <w:color w:val="000000" w:themeColor="text1"/>
          <w:sz w:val="24"/>
          <w:szCs w:val="24"/>
          <w14:textFill>
            <w14:solidFill>
              <w14:schemeClr w14:val="tx1"/>
            </w14:solidFill>
          </w14:textFill>
        </w:rPr>
        <w:t>投标文件满足招标文件全部实质性要求</w:t>
      </w:r>
      <w:r>
        <w:rPr>
          <w:bCs/>
          <w:color w:val="000000" w:themeColor="text1"/>
          <w:sz w:val="24"/>
          <w14:textFill>
            <w14:solidFill>
              <w14:schemeClr w14:val="tx1"/>
            </w14:solidFill>
          </w14:textFill>
        </w:rPr>
        <w:t>的前提下</w:t>
      </w:r>
      <w:r>
        <w:rPr>
          <w:bCs/>
          <w:color w:val="000000" w:themeColor="text1"/>
          <w:sz w:val="24"/>
          <w:szCs w:val="24"/>
          <w:lang w:val="zh-CN"/>
          <w14:textFill>
            <w14:solidFill>
              <w14:schemeClr w14:val="tx1"/>
            </w14:solidFill>
          </w14:textFill>
        </w:rPr>
        <w:t>，按照招标文件规定的</w:t>
      </w:r>
      <w:r>
        <w:rPr>
          <w:bCs/>
          <w:color w:val="000000" w:themeColor="text1"/>
          <w:sz w:val="24"/>
          <w14:textFill>
            <w14:solidFill>
              <w14:schemeClr w14:val="tx1"/>
            </w14:solidFill>
          </w14:textFill>
        </w:rPr>
        <w:t>评审因素的量化指标</w:t>
      </w:r>
      <w:r>
        <w:rPr>
          <w:bCs/>
          <w:color w:val="000000" w:themeColor="text1"/>
          <w:sz w:val="24"/>
          <w:szCs w:val="24"/>
          <w:lang w:val="zh-CN"/>
          <w14:textFill>
            <w14:solidFill>
              <w14:schemeClr w14:val="tx1"/>
            </w14:solidFill>
          </w14:textFill>
        </w:rPr>
        <w:t>分别评定各投标人的得分。</w:t>
      </w:r>
      <w:r>
        <w:rPr>
          <w:bCs/>
          <w:color w:val="000000" w:themeColor="text1"/>
          <w:sz w:val="24"/>
          <w14:textFill>
            <w14:solidFill>
              <w14:schemeClr w14:val="tx1"/>
            </w14:solidFill>
          </w14:textFill>
        </w:rPr>
        <w:t>各投</w:t>
      </w:r>
      <w:r>
        <w:rPr>
          <w:bCs/>
          <w:color w:val="000000" w:themeColor="text1"/>
          <w:sz w:val="24"/>
          <w:szCs w:val="24"/>
          <w:lang w:val="zh-CN"/>
          <w14:textFill>
            <w14:solidFill>
              <w14:schemeClr w14:val="tx1"/>
            </w14:solidFill>
          </w14:textFill>
        </w:rPr>
        <w:t>标人的最终得分为各评</w:t>
      </w:r>
      <w:r>
        <w:rPr>
          <w:bCs/>
          <w:color w:val="000000" w:themeColor="text1"/>
          <w:sz w:val="24"/>
          <w14:textFill>
            <w14:solidFill>
              <w14:schemeClr w14:val="tx1"/>
            </w14:solidFill>
          </w14:textFill>
        </w:rPr>
        <w:t>委评审后得分的平均值（四舍五入保留两位小数）</w:t>
      </w:r>
      <w:r>
        <w:rPr>
          <w:bCs/>
          <w:color w:val="000000" w:themeColor="text1"/>
          <w:sz w:val="24"/>
          <w:szCs w:val="24"/>
          <w:lang w:val="zh-CN"/>
          <w14:textFill>
            <w14:solidFill>
              <w14:schemeClr w14:val="tx1"/>
            </w14:solidFill>
          </w14:textFill>
        </w:rPr>
        <w:t>，按最终得分由高到低顺序排列，</w:t>
      </w:r>
      <w:bookmarkStart w:id="62" w:name="_Hlk128408333"/>
      <w:r>
        <w:rPr>
          <w:bCs/>
          <w:color w:val="000000" w:themeColor="text1"/>
          <w:sz w:val="24"/>
          <w:szCs w:val="24"/>
          <w:lang w:val="zh-CN"/>
          <w14:textFill>
            <w14:solidFill>
              <w14:schemeClr w14:val="tx1"/>
            </w14:solidFill>
          </w14:textFill>
        </w:rPr>
        <w:t>并作为中标候选人排序，编写评审报告</w:t>
      </w:r>
      <w:r>
        <w:rPr>
          <w:bCs/>
          <w:color w:val="000000" w:themeColor="text1"/>
          <w:sz w:val="24"/>
          <w14:textFill>
            <w14:solidFill>
              <w14:schemeClr w14:val="tx1"/>
            </w14:solidFill>
          </w14:textFill>
        </w:rPr>
        <w:t>。</w:t>
      </w:r>
      <w:r>
        <w:rPr>
          <w:bCs/>
          <w:color w:val="000000" w:themeColor="text1"/>
          <w:sz w:val="24"/>
          <w:szCs w:val="24"/>
          <w:lang w:val="zh-CN"/>
          <w14:textFill>
            <w14:solidFill>
              <w14:schemeClr w14:val="tx1"/>
            </w14:solidFill>
          </w14:textFill>
        </w:rPr>
        <w:t>若最终</w:t>
      </w:r>
      <w:r>
        <w:rPr>
          <w:bCs/>
          <w:color w:val="000000" w:themeColor="text1"/>
          <w:sz w:val="24"/>
          <w14:textFill>
            <w14:solidFill>
              <w14:schemeClr w14:val="tx1"/>
            </w14:solidFill>
          </w14:textFill>
        </w:rPr>
        <w:t>得分</w:t>
      </w:r>
      <w:r>
        <w:rPr>
          <w:bCs/>
          <w:color w:val="000000" w:themeColor="text1"/>
          <w:sz w:val="24"/>
          <w:szCs w:val="24"/>
          <w:lang w:val="zh-CN"/>
          <w14:textFill>
            <w14:solidFill>
              <w14:schemeClr w14:val="tx1"/>
            </w14:solidFill>
          </w14:textFill>
        </w:rPr>
        <w:t>相同，按</w:t>
      </w:r>
      <w:r>
        <w:rPr>
          <w:bCs/>
          <w:color w:val="000000" w:themeColor="text1"/>
          <w:sz w:val="24"/>
          <w:szCs w:val="24"/>
          <w14:textFill>
            <w14:solidFill>
              <w14:schemeClr w14:val="tx1"/>
            </w14:solidFill>
          </w14:textFill>
        </w:rPr>
        <w:t>投标</w:t>
      </w:r>
      <w:r>
        <w:rPr>
          <w:bCs/>
          <w:color w:val="000000" w:themeColor="text1"/>
          <w:sz w:val="24"/>
          <w:szCs w:val="24"/>
          <w:lang w:val="zh-CN"/>
          <w14:textFill>
            <w14:solidFill>
              <w14:schemeClr w14:val="tx1"/>
            </w14:solidFill>
          </w14:textFill>
        </w:rPr>
        <w:t>报价由低到高顺序排列；若最终</w:t>
      </w:r>
      <w:r>
        <w:rPr>
          <w:bCs/>
          <w:color w:val="000000" w:themeColor="text1"/>
          <w:sz w:val="24"/>
          <w14:textFill>
            <w14:solidFill>
              <w14:schemeClr w14:val="tx1"/>
            </w14:solidFill>
          </w14:textFill>
        </w:rPr>
        <w:t>得分</w:t>
      </w:r>
      <w:r>
        <w:rPr>
          <w:bCs/>
          <w:color w:val="000000" w:themeColor="text1"/>
          <w:sz w:val="24"/>
          <w:szCs w:val="24"/>
          <w:lang w:val="zh-CN"/>
          <w14:textFill>
            <w14:solidFill>
              <w14:schemeClr w14:val="tx1"/>
            </w14:solidFill>
          </w14:textFill>
        </w:rPr>
        <w:t>且</w:t>
      </w:r>
      <w:r>
        <w:rPr>
          <w:bCs/>
          <w:color w:val="000000" w:themeColor="text1"/>
          <w:sz w:val="24"/>
          <w:szCs w:val="24"/>
          <w14:textFill>
            <w14:solidFill>
              <w14:schemeClr w14:val="tx1"/>
            </w14:solidFill>
          </w14:textFill>
        </w:rPr>
        <w:t>投标</w:t>
      </w:r>
      <w:r>
        <w:rPr>
          <w:bCs/>
          <w:color w:val="000000" w:themeColor="text1"/>
          <w:sz w:val="24"/>
          <w:szCs w:val="24"/>
          <w:lang w:val="zh-CN"/>
          <w14:textFill>
            <w14:solidFill>
              <w14:schemeClr w14:val="tx1"/>
            </w14:solidFill>
          </w14:textFill>
        </w:rPr>
        <w:t>报价均相同的，</w:t>
      </w:r>
      <w:bookmarkEnd w:id="62"/>
      <w:r>
        <w:rPr>
          <w:bCs/>
          <w:color w:val="000000" w:themeColor="text1"/>
          <w:sz w:val="24"/>
          <w14:textFill>
            <w14:solidFill>
              <w14:schemeClr w14:val="tx1"/>
            </w14:solidFill>
          </w14:textFill>
        </w:rPr>
        <w:t>由采购人代表抽签确定排序。</w:t>
      </w:r>
    </w:p>
    <w:p w14:paraId="7CEA6CD8">
      <w:pPr>
        <w:spacing w:line="360" w:lineRule="auto"/>
        <w:ind w:firstLine="480"/>
        <w:rPr>
          <w:color w:val="000000" w:themeColor="text1"/>
          <w:sz w:val="24"/>
          <w:szCs w:val="24"/>
          <w14:textFill>
            <w14:solidFill>
              <w14:schemeClr w14:val="tx1"/>
            </w14:solidFill>
          </w14:textFill>
        </w:rPr>
      </w:pPr>
      <w:bookmarkStart w:id="63" w:name="OLE_LINK298"/>
      <w:r>
        <w:rPr>
          <w:color w:val="000000" w:themeColor="text1"/>
          <w:sz w:val="24"/>
          <w:szCs w:val="24"/>
          <w14:textFill>
            <w14:solidFill>
              <w14:schemeClr w14:val="tx1"/>
            </w14:solidFill>
          </w14:textFill>
        </w:rPr>
        <w:t>注：除了算术修正</w:t>
      </w:r>
      <w:bookmarkStart w:id="64" w:name="OLE_LINK201"/>
      <w:r>
        <w:rPr>
          <w:color w:val="000000" w:themeColor="text1"/>
          <w:sz w:val="24"/>
          <w:szCs w:val="24"/>
          <w14:textFill>
            <w14:solidFill>
              <w14:schemeClr w14:val="tx1"/>
            </w14:solidFill>
          </w14:textFill>
        </w:rPr>
        <w:t>（</w:t>
      </w:r>
      <w:bookmarkStart w:id="65" w:name="OLE_LINK202"/>
      <w:r>
        <w:rPr>
          <w:color w:val="000000" w:themeColor="text1"/>
          <w:sz w:val="24"/>
          <w:szCs w:val="24"/>
          <w14:textFill>
            <w14:solidFill>
              <w14:schemeClr w14:val="tx1"/>
            </w14:solidFill>
          </w14:textFill>
        </w:rPr>
        <w:t>22.5.2</w:t>
      </w:r>
      <w:bookmarkEnd w:id="65"/>
      <w:r>
        <w:rPr>
          <w:color w:val="000000" w:themeColor="text1"/>
          <w:sz w:val="24"/>
          <w:szCs w:val="24"/>
          <w14:textFill>
            <w14:solidFill>
              <w14:schemeClr w14:val="tx1"/>
            </w14:solidFill>
          </w14:textFill>
        </w:rPr>
        <w:t>）</w:t>
      </w:r>
      <w:bookmarkEnd w:id="64"/>
      <w:r>
        <w:rPr>
          <w:color w:val="000000" w:themeColor="text1"/>
          <w:sz w:val="24"/>
          <w:szCs w:val="24"/>
          <w14:textFill>
            <w14:solidFill>
              <w14:schemeClr w14:val="tx1"/>
            </w14:solidFill>
          </w14:textFill>
        </w:rPr>
        <w:t>和落实政府采购政策需进行的价格扣除外，不对投标人的投标价格进行任何调整。</w:t>
      </w:r>
      <w:bookmarkEnd w:id="63"/>
    </w:p>
    <w:p w14:paraId="07C4AAE1">
      <w:pPr>
        <w:tabs>
          <w:tab w:val="left" w:pos="945"/>
        </w:tabs>
        <w:spacing w:line="360" w:lineRule="auto"/>
        <w:ind w:left="420" w:firstLine="120"/>
        <w:rPr>
          <w:bCs/>
          <w:color w:val="000000" w:themeColor="text1"/>
          <w:sz w:val="24"/>
          <w14:textFill>
            <w14:solidFill>
              <w14:schemeClr w14:val="tx1"/>
            </w14:solidFill>
          </w14:textFill>
        </w:rPr>
      </w:pPr>
      <w:r>
        <w:rPr>
          <w:bCs/>
          <w:color w:val="000000" w:themeColor="text1"/>
          <w:sz w:val="24"/>
          <w:szCs w:val="24"/>
          <w14:textFill>
            <w14:solidFill>
              <w14:schemeClr w14:val="tx1"/>
            </w14:solidFill>
          </w14:textFill>
        </w:rPr>
        <w:t xml:space="preserve">22.5.2 </w:t>
      </w:r>
      <w:r>
        <w:rPr>
          <w:bCs/>
          <w:color w:val="000000" w:themeColor="text1"/>
          <w:sz w:val="24"/>
          <w14:textFill>
            <w14:solidFill>
              <w14:schemeClr w14:val="tx1"/>
            </w14:solidFill>
          </w14:textFill>
        </w:rPr>
        <w:t>投标文件报价出现前后不一致的，除招标文件另有规定外，按照下列规定修正:</w:t>
      </w:r>
    </w:p>
    <w:p w14:paraId="3388E97F">
      <w:pPr>
        <w:tabs>
          <w:tab w:val="left" w:pos="945"/>
        </w:tabs>
        <w:spacing w:line="360" w:lineRule="auto"/>
        <w:ind w:left="420" w:firstLine="120"/>
        <w:rPr>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w:t>
      </w:r>
      <w:r>
        <w:rPr>
          <w:bCs/>
          <w:color w:val="000000" w:themeColor="text1"/>
          <w:sz w:val="24"/>
          <w14:textFill>
            <w14:solidFill>
              <w14:schemeClr w14:val="tx1"/>
            </w14:solidFill>
          </w14:textFill>
        </w:rPr>
        <w:t>投标文件中开标一览表内容与投标文件中相应内容不一致的，以开标一览表为准；</w:t>
      </w:r>
    </w:p>
    <w:p w14:paraId="0F982F11">
      <w:pPr>
        <w:tabs>
          <w:tab w:val="left" w:pos="945"/>
        </w:tabs>
        <w:spacing w:line="360" w:lineRule="auto"/>
        <w:ind w:left="420" w:firstLine="120"/>
        <w:rPr>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w:t>
      </w:r>
      <w:r>
        <w:rPr>
          <w:bCs/>
          <w:color w:val="000000" w:themeColor="text1"/>
          <w:sz w:val="24"/>
          <w14:textFill>
            <w14:solidFill>
              <w14:schemeClr w14:val="tx1"/>
            </w14:solidFill>
          </w14:textFill>
        </w:rPr>
        <w:t>大写金额和小写金额不一致的，以大写金额为准；</w:t>
      </w:r>
    </w:p>
    <w:p w14:paraId="234435F8">
      <w:pPr>
        <w:tabs>
          <w:tab w:val="left" w:pos="945"/>
        </w:tabs>
        <w:spacing w:line="360" w:lineRule="auto"/>
        <w:ind w:left="420" w:firstLine="120"/>
        <w:rPr>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w:t>
      </w:r>
      <w:r>
        <w:rPr>
          <w:bCs/>
          <w:color w:val="000000" w:themeColor="text1"/>
          <w:sz w:val="24"/>
          <w14:textFill>
            <w14:solidFill>
              <w14:schemeClr w14:val="tx1"/>
            </w14:solidFill>
          </w14:textFill>
        </w:rPr>
        <w:t>单价金额小数点或者百分比有明显错位的，以开标一览表的总价为准，并修改单价；</w:t>
      </w:r>
    </w:p>
    <w:p w14:paraId="50E4A1D8">
      <w:pPr>
        <w:tabs>
          <w:tab w:val="left" w:pos="945"/>
        </w:tabs>
        <w:spacing w:line="360" w:lineRule="auto"/>
        <w:ind w:left="420" w:firstLine="120"/>
        <w:rPr>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④</w:t>
      </w:r>
      <w:r>
        <w:rPr>
          <w:bCs/>
          <w:color w:val="000000" w:themeColor="text1"/>
          <w:sz w:val="24"/>
          <w14:textFill>
            <w14:solidFill>
              <w14:schemeClr w14:val="tx1"/>
            </w14:solidFill>
          </w14:textFill>
        </w:rPr>
        <w:t>总价金额与按单价汇总金额不一致的，以单价金额计算结果为准。</w:t>
      </w:r>
    </w:p>
    <w:p w14:paraId="190AFC57">
      <w:pPr>
        <w:spacing w:line="360" w:lineRule="auto"/>
        <w:ind w:firstLine="48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注：同时出现两种以上不一致的，按照前款规定的顺序修正。修正后的报价须</w:t>
      </w:r>
      <w:r>
        <w:rPr>
          <w:color w:val="000000" w:themeColor="text1"/>
          <w:sz w:val="24"/>
          <w:szCs w:val="24"/>
          <w14:textFill>
            <w14:solidFill>
              <w14:schemeClr w14:val="tx1"/>
            </w14:solidFill>
          </w14:textFill>
        </w:rPr>
        <w:t>加盖投标人公章，或由法定代表人或其授权的代表签字。</w:t>
      </w:r>
      <w:r>
        <w:rPr>
          <w:bCs/>
          <w:color w:val="000000" w:themeColor="text1"/>
          <w:sz w:val="24"/>
          <w14:textFill>
            <w14:solidFill>
              <w14:schemeClr w14:val="tx1"/>
            </w14:solidFill>
          </w14:textFill>
        </w:rPr>
        <w:t>投标人不确认的，其投标无效。</w:t>
      </w:r>
    </w:p>
    <w:p w14:paraId="1368D8EA">
      <w:pPr>
        <w:spacing w:line="360" w:lineRule="auto"/>
        <w:ind w:firstLine="480"/>
        <w:rPr>
          <w:bCs/>
          <w:color w:val="000000" w:themeColor="text1"/>
          <w:sz w:val="24"/>
          <w:szCs w:val="24"/>
          <w14:textFill>
            <w14:solidFill>
              <w14:schemeClr w14:val="tx1"/>
            </w14:solidFill>
          </w14:textFill>
        </w:rPr>
      </w:pPr>
      <w:r>
        <w:rPr>
          <w:bCs/>
          <w:color w:val="000000" w:themeColor="text1"/>
          <w:sz w:val="24"/>
          <w14:textFill>
            <w14:solidFill>
              <w14:schemeClr w14:val="tx1"/>
            </w14:solidFill>
          </w14:textFill>
        </w:rPr>
        <w:t xml:space="preserve">22.6 </w:t>
      </w:r>
      <w:r>
        <w:rPr>
          <w:color w:val="000000" w:themeColor="text1"/>
          <w:sz w:val="24"/>
          <w:szCs w:val="24"/>
          <w14:textFill>
            <w14:solidFill>
              <w14:schemeClr w14:val="tx1"/>
            </w14:solidFill>
          </w14:textFill>
        </w:rPr>
        <w:t>评标委员会根据全体评标成员签字的原始评标记录和评标结果编写评标报告</w:t>
      </w:r>
      <w:r>
        <w:rPr>
          <w:bCs/>
          <w:color w:val="000000" w:themeColor="text1"/>
          <w:sz w:val="24"/>
          <w:szCs w:val="24"/>
          <w:lang w:val="zh-CN"/>
          <w14:textFill>
            <w14:solidFill>
              <w14:schemeClr w14:val="tx1"/>
            </w14:solidFill>
          </w14:textFill>
        </w:rPr>
        <w:t>。</w:t>
      </w:r>
    </w:p>
    <w:p w14:paraId="42A0B8AD">
      <w:pPr>
        <w:spacing w:line="360" w:lineRule="auto"/>
        <w:ind w:firstLine="48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22.7 采购人或</w:t>
      </w:r>
      <w:r>
        <w:rPr>
          <w:bCs/>
          <w:color w:val="000000" w:themeColor="text1"/>
          <w:sz w:val="24"/>
          <w:szCs w:val="24"/>
          <w:lang w:val="zh-CN"/>
          <w14:textFill>
            <w14:solidFill>
              <w14:schemeClr w14:val="tx1"/>
            </w14:solidFill>
          </w14:textFill>
        </w:rPr>
        <w:t>采购代理机构</w:t>
      </w:r>
      <w:r>
        <w:rPr>
          <w:bCs/>
          <w:color w:val="000000" w:themeColor="text1"/>
          <w:sz w:val="24"/>
          <w14:textFill>
            <w14:solidFill>
              <w14:schemeClr w14:val="tx1"/>
            </w14:solidFill>
          </w14:textFill>
        </w:rPr>
        <w:t>宣读</w:t>
      </w:r>
      <w:r>
        <w:rPr>
          <w:bCs/>
          <w:color w:val="000000" w:themeColor="text1"/>
          <w:sz w:val="24"/>
          <w:szCs w:val="24"/>
          <w:lang w:val="zh-CN"/>
          <w14:textFill>
            <w14:solidFill>
              <w14:schemeClr w14:val="tx1"/>
            </w14:solidFill>
          </w14:textFill>
        </w:rPr>
        <w:t>评标委员会初步评审意见。</w:t>
      </w:r>
    </w:p>
    <w:p w14:paraId="49F9337B">
      <w:pPr>
        <w:spacing w:line="360" w:lineRule="auto"/>
        <w:ind w:firstLine="482"/>
        <w:rPr>
          <w:b/>
          <w:color w:val="000000" w:themeColor="text1"/>
          <w:sz w:val="24"/>
          <w:szCs w:val="24"/>
          <w14:textFill>
            <w14:solidFill>
              <w14:schemeClr w14:val="tx1"/>
            </w14:solidFill>
          </w14:textFill>
        </w:rPr>
      </w:pPr>
      <w:bookmarkStart w:id="66" w:name="_Toc23122"/>
      <w:r>
        <w:rPr>
          <w:b/>
          <w:color w:val="000000" w:themeColor="text1"/>
          <w:sz w:val="24"/>
          <w:szCs w:val="24"/>
          <w14:textFill>
            <w14:solidFill>
              <w14:schemeClr w14:val="tx1"/>
            </w14:solidFill>
          </w14:textFill>
        </w:rPr>
        <w:t>23.定标</w:t>
      </w:r>
    </w:p>
    <w:p w14:paraId="441C3311">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23.1 </w:t>
      </w:r>
      <w:r>
        <w:rPr>
          <w:bCs/>
          <w:color w:val="000000" w:themeColor="text1"/>
          <w:sz w:val="24"/>
          <w:szCs w:val="24"/>
          <w:lang w:val="zh-CN"/>
          <w14:textFill>
            <w14:solidFill>
              <w14:schemeClr w14:val="tx1"/>
            </w14:solidFill>
          </w14:textFill>
        </w:rPr>
        <w:t>评审结束后，采购人依照法律规定在收到评审报告后5个工作日内，在评审报告推荐的中标候选人中按顺序确定中标供应商。</w:t>
      </w:r>
    </w:p>
    <w:p w14:paraId="5D0BB23A">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23.2</w:t>
      </w:r>
      <w:r>
        <w:rPr>
          <w:rFonts w:hint="eastAsia" w:ascii="宋体" w:hAnsi="宋体"/>
          <w:bCs/>
          <w:color w:val="000000" w:themeColor="text1"/>
          <w:sz w:val="24"/>
          <w:szCs w:val="24"/>
          <w14:textFill>
            <w14:solidFill>
              <w14:schemeClr w14:val="tx1"/>
            </w14:solidFill>
          </w14:textFill>
        </w:rPr>
        <w:t>采购代理机构在财政部门指定的政府采购信息发布媒体上发布中标公告的同时，</w:t>
      </w:r>
      <w:r>
        <w:rPr>
          <w:bCs/>
          <w:color w:val="000000" w:themeColor="text1"/>
          <w:sz w:val="24"/>
          <w:szCs w:val="24"/>
          <w:lang w:val="zh-CN"/>
          <w14:textFill>
            <w14:solidFill>
              <w14:schemeClr w14:val="tx1"/>
            </w14:solidFill>
          </w14:textFill>
        </w:rPr>
        <w:t>采购人或采购代理机构向中标供应商发出中标通知书。</w:t>
      </w:r>
    </w:p>
    <w:p w14:paraId="6D8F91AA">
      <w:pPr>
        <w:spacing w:line="360" w:lineRule="auto"/>
        <w:ind w:firstLine="480"/>
        <w:rPr>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23.3 </w:t>
      </w:r>
      <w:r>
        <w:rPr>
          <w:bCs/>
          <w:color w:val="000000" w:themeColor="text1"/>
          <w:sz w:val="24"/>
          <w:szCs w:val="24"/>
          <w:lang w:val="zh-CN"/>
          <w14:textFill>
            <w14:solidFill>
              <w14:schemeClr w14:val="tx1"/>
            </w14:solidFill>
          </w14:textFill>
        </w:rPr>
        <w:t>供应商中标后，</w:t>
      </w:r>
      <w:r>
        <w:rPr>
          <w:bCs/>
          <w:color w:val="000000" w:themeColor="text1"/>
          <w:sz w:val="24"/>
          <w:szCs w:val="24"/>
          <w14:textFill>
            <w14:solidFill>
              <w14:schemeClr w14:val="tx1"/>
            </w14:solidFill>
          </w14:textFill>
        </w:rPr>
        <w:t>采购招标代理</w:t>
      </w:r>
      <w:r>
        <w:rPr>
          <w:bCs/>
          <w:color w:val="000000" w:themeColor="text1"/>
          <w:sz w:val="24"/>
          <w:szCs w:val="24"/>
          <w:lang w:val="zh-CN"/>
          <w14:textFill>
            <w14:solidFill>
              <w14:schemeClr w14:val="tx1"/>
            </w14:solidFill>
          </w14:textFill>
        </w:rPr>
        <w:t>机构</w:t>
      </w:r>
      <w:r>
        <w:rPr>
          <w:color w:val="000000" w:themeColor="text1"/>
          <w:sz w:val="24"/>
          <w:szCs w:val="24"/>
          <w14:textFill>
            <w14:solidFill>
              <w14:schemeClr w14:val="tx1"/>
            </w14:solidFill>
          </w14:textFill>
        </w:rPr>
        <w:t>将向中标供应商发出电子中标通知书，请中标供应商登录“苏采云”系统及时下载中标通知书。因系统存储空间有限，自中标结果公告发布之日起30日后，“苏采云”系统不再保证提供下载中标通知书服务。因未及时下载而造成的一切后果由中标供应商自行承担。</w:t>
      </w:r>
    </w:p>
    <w:p w14:paraId="63B34685">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24.投标截止后投标人不足3家或者通过资格审查或符合性审查的投标人不足3家的，除采购任务取消情形外，按照以下方式处理：</w:t>
      </w:r>
    </w:p>
    <w:p w14:paraId="21E34282">
      <w:pPr>
        <w:spacing w:line="360" w:lineRule="auto"/>
        <w:ind w:firstLine="480"/>
        <w:rPr>
          <w:b/>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24.1</w:t>
      </w:r>
      <w:r>
        <w:rPr>
          <w:bCs/>
          <w:color w:val="000000" w:themeColor="text1"/>
          <w:sz w:val="24"/>
          <w:szCs w:val="24"/>
          <w14:textFill>
            <w14:solidFill>
              <w14:schemeClr w14:val="tx1"/>
            </w14:solidFill>
          </w14:textFill>
        </w:rPr>
        <w:t>招标文件存在不合理条款或者招标程序不符合规定的，采购人、采购代理机构改正后依法重新招标；</w:t>
      </w:r>
    </w:p>
    <w:p w14:paraId="4DEF57C3">
      <w:pPr>
        <w:spacing w:line="360" w:lineRule="auto"/>
        <w:ind w:left="420"/>
        <w:rPr>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24.2</w:t>
      </w:r>
      <w:r>
        <w:rPr>
          <w:bCs/>
          <w:color w:val="000000" w:themeColor="text1"/>
          <w:sz w:val="24"/>
          <w:szCs w:val="24"/>
          <w14:textFill>
            <w14:solidFill>
              <w14:schemeClr w14:val="tx1"/>
            </w14:solidFill>
          </w14:textFill>
        </w:rPr>
        <w:t>招标文件没有不合理条款、招标程序符合规定，采购人依法报财政部门批准后可以采</w:t>
      </w:r>
    </w:p>
    <w:p w14:paraId="2FC9CC1C">
      <w:pPr>
        <w:spacing w:line="360" w:lineRule="auto"/>
        <w:rPr>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用其他采购方式采购。</w:t>
      </w:r>
    </w:p>
    <w:p w14:paraId="28C147CB">
      <w:pPr>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25.废标的确认</w:t>
      </w:r>
    </w:p>
    <w:p w14:paraId="448B3227">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25.1 有下列情形之一的予以废标，同时由</w:t>
      </w:r>
      <w:r>
        <w:rPr>
          <w:bCs/>
          <w:color w:val="000000" w:themeColor="text1"/>
          <w:sz w:val="24"/>
          <w14:textFill>
            <w14:solidFill>
              <w14:schemeClr w14:val="tx1"/>
            </w14:solidFill>
          </w14:textFill>
        </w:rPr>
        <w:t>采购人或</w:t>
      </w:r>
      <w:r>
        <w:rPr>
          <w:bCs/>
          <w:color w:val="000000" w:themeColor="text1"/>
          <w:sz w:val="24"/>
          <w:szCs w:val="24"/>
          <w:lang w:val="zh-CN"/>
          <w14:textFill>
            <w14:solidFill>
              <w14:schemeClr w14:val="tx1"/>
            </w14:solidFill>
          </w14:textFill>
        </w:rPr>
        <w:t>采购代理机构</w:t>
      </w:r>
      <w:r>
        <w:rPr>
          <w:bCs/>
          <w:color w:val="000000" w:themeColor="text1"/>
          <w:sz w:val="24"/>
          <w:szCs w:val="24"/>
          <w14:textFill>
            <w14:solidFill>
              <w14:schemeClr w14:val="tx1"/>
            </w14:solidFill>
          </w14:textFill>
        </w:rPr>
        <w:t>将废标理由通知所有投标人：</w:t>
      </w:r>
    </w:p>
    <w:p w14:paraId="518D7E92">
      <w:pPr>
        <w:numPr>
          <w:ilvl w:val="0"/>
          <w:numId w:val="2"/>
        </w:numPr>
        <w:spacing w:line="360" w:lineRule="auto"/>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符合专业条件的投标人或者对招标文件作出实质性响应的投标人不足</w:t>
      </w:r>
      <w:r>
        <w:rPr>
          <w:bCs/>
          <w:color w:val="000000" w:themeColor="text1"/>
          <w:sz w:val="24"/>
          <w:szCs w:val="24"/>
          <w14:textFill>
            <w14:solidFill>
              <w14:schemeClr w14:val="tx1"/>
            </w14:solidFill>
          </w14:textFill>
        </w:rPr>
        <w:t>3</w:t>
      </w:r>
      <w:r>
        <w:rPr>
          <w:bCs/>
          <w:color w:val="000000" w:themeColor="text1"/>
          <w:sz w:val="24"/>
          <w:szCs w:val="24"/>
          <w:lang w:val="zh-CN"/>
          <w14:textFill>
            <w14:solidFill>
              <w14:schemeClr w14:val="tx1"/>
            </w14:solidFill>
          </w14:textFill>
        </w:rPr>
        <w:t>家，且未采用其他采购方式的；</w:t>
      </w:r>
    </w:p>
    <w:p w14:paraId="4869185B">
      <w:pPr>
        <w:numPr>
          <w:ilvl w:val="0"/>
          <w:numId w:val="2"/>
        </w:numPr>
        <w:spacing w:line="360" w:lineRule="auto"/>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出现影响采购公正的违法、违规行为；</w:t>
      </w:r>
    </w:p>
    <w:p w14:paraId="258AE337">
      <w:pPr>
        <w:numPr>
          <w:ilvl w:val="0"/>
          <w:numId w:val="2"/>
        </w:numPr>
        <w:spacing w:line="360" w:lineRule="auto"/>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投标人的报价均超过采购预算，采购人不能支付；</w:t>
      </w:r>
    </w:p>
    <w:p w14:paraId="7BDD8EA0">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因重大变故，采购任务取消。</w:t>
      </w:r>
    </w:p>
    <w:p w14:paraId="2CD0BA7E">
      <w:pPr>
        <w:spacing w:line="360" w:lineRule="auto"/>
        <w:ind w:left="420"/>
        <w:rPr>
          <w:b/>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六、投标保证金</w:t>
      </w:r>
    </w:p>
    <w:p w14:paraId="1FE00112">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26.投标保证金：本项目免收</w:t>
      </w:r>
      <w:r>
        <w:rPr>
          <w:bCs/>
          <w:color w:val="000000" w:themeColor="text1"/>
          <w:sz w:val="24"/>
          <w:szCs w:val="24"/>
          <w:lang w:val="zh-CN"/>
          <w14:textFill>
            <w14:solidFill>
              <w14:schemeClr w14:val="tx1"/>
            </w14:solidFill>
          </w14:textFill>
        </w:rPr>
        <w:t>投标保证金。</w:t>
      </w:r>
    </w:p>
    <w:p w14:paraId="32FF88B2">
      <w:pPr>
        <w:spacing w:line="360" w:lineRule="auto"/>
        <w:ind w:left="42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七、签订合同</w:t>
      </w:r>
    </w:p>
    <w:p w14:paraId="29C0A185">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27.签订合同</w:t>
      </w:r>
    </w:p>
    <w:p w14:paraId="7438016C">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27.1 投标人</w:t>
      </w:r>
      <w:r>
        <w:rPr>
          <w:bCs/>
          <w:color w:val="000000" w:themeColor="text1"/>
          <w:sz w:val="24"/>
          <w:szCs w:val="24"/>
          <w:lang w:val="zh-CN"/>
          <w14:textFill>
            <w14:solidFill>
              <w14:schemeClr w14:val="tx1"/>
            </w14:solidFill>
          </w14:textFill>
        </w:rPr>
        <w:t>被视为充分熟悉本招标项目所在地的与履行合同有关的各种情况，包括自然环境、气候条件、劳动力、施工现场及公用设施等，本招标文件不再对上述情况进行描述。</w:t>
      </w:r>
      <w:r>
        <w:rPr>
          <w:bCs/>
          <w:color w:val="000000" w:themeColor="text1"/>
          <w:sz w:val="24"/>
          <w:szCs w:val="24"/>
          <w14:textFill>
            <w14:solidFill>
              <w14:schemeClr w14:val="tx1"/>
            </w14:solidFill>
          </w14:textFill>
        </w:rPr>
        <w:t>投标人</w:t>
      </w:r>
      <w:r>
        <w:rPr>
          <w:bCs/>
          <w:color w:val="000000" w:themeColor="text1"/>
          <w:sz w:val="24"/>
          <w:szCs w:val="24"/>
          <w:lang w:val="zh-CN"/>
          <w14:textFill>
            <w14:solidFill>
              <w14:schemeClr w14:val="tx1"/>
            </w14:solidFill>
          </w14:textFill>
        </w:rPr>
        <w:t>应认真阅读和充分理解招标文件中所有的内容，一旦中标后，在合同履行过程中的所有风险由</w:t>
      </w:r>
      <w:r>
        <w:rPr>
          <w:bCs/>
          <w:color w:val="000000" w:themeColor="text1"/>
          <w:sz w:val="24"/>
          <w:szCs w:val="24"/>
          <w14:textFill>
            <w14:solidFill>
              <w14:schemeClr w14:val="tx1"/>
            </w14:solidFill>
          </w14:textFill>
        </w:rPr>
        <w:t>投标人</w:t>
      </w:r>
      <w:r>
        <w:rPr>
          <w:bCs/>
          <w:color w:val="000000" w:themeColor="text1"/>
          <w:sz w:val="24"/>
          <w:szCs w:val="24"/>
          <w:lang w:val="zh-CN"/>
          <w14:textFill>
            <w14:solidFill>
              <w14:schemeClr w14:val="tx1"/>
            </w14:solidFill>
          </w14:textFill>
        </w:rPr>
        <w:t>自行承担。</w:t>
      </w:r>
    </w:p>
    <w:p w14:paraId="2C87B26A">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27.2 </w:t>
      </w:r>
      <w:r>
        <w:rPr>
          <w:bCs/>
          <w:color w:val="000000" w:themeColor="text1"/>
          <w:sz w:val="24"/>
          <w:szCs w:val="24"/>
          <w:lang w:val="zh-CN"/>
          <w14:textFill>
            <w14:solidFill>
              <w14:schemeClr w14:val="tx1"/>
            </w14:solidFill>
          </w14:textFill>
        </w:rPr>
        <w:t>中标供应商应于中标通知书发出之日起30日内，按照招标文件确定的事项与采购人签订政府采购合同；采购人应于政府采购合同签订之日起</w:t>
      </w:r>
      <w:r>
        <w:rPr>
          <w:bCs/>
          <w:color w:val="000000" w:themeColor="text1"/>
          <w:sz w:val="24"/>
          <w:szCs w:val="24"/>
          <w14:textFill>
            <w14:solidFill>
              <w14:schemeClr w14:val="tx1"/>
            </w14:solidFill>
          </w14:textFill>
        </w:rPr>
        <w:t>2个工作日内对合同进行公告，并于7个工作日内将合同副本报同级财政监管部门备案</w:t>
      </w:r>
      <w:r>
        <w:rPr>
          <w:bCs/>
          <w:color w:val="000000" w:themeColor="text1"/>
          <w:sz w:val="24"/>
          <w:szCs w:val="24"/>
          <w:lang w:val="zh-CN"/>
          <w14:textFill>
            <w14:solidFill>
              <w14:schemeClr w14:val="tx1"/>
            </w14:solidFill>
          </w14:textFill>
        </w:rPr>
        <w:t>。</w:t>
      </w:r>
    </w:p>
    <w:p w14:paraId="12820C9C">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中标供应商如逾期不办理相关手续、签订合同，财政部门将依据有关规定进行处理。</w:t>
      </w:r>
    </w:p>
    <w:p w14:paraId="39426AC6">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如遇特殊情况，采购人及财政部门可延期签订合同。</w:t>
      </w:r>
    </w:p>
    <w:p w14:paraId="1F9B0E3F">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27.3 </w:t>
      </w:r>
      <w:r>
        <w:rPr>
          <w:bCs/>
          <w:color w:val="000000" w:themeColor="text1"/>
          <w:sz w:val="24"/>
          <w:szCs w:val="24"/>
          <w:lang w:val="zh-CN"/>
          <w14:textFill>
            <w14:solidFill>
              <w14:schemeClr w14:val="tx1"/>
            </w14:solidFill>
          </w14:textFill>
        </w:rPr>
        <w:t>签订合同书及合同条款应以招标文件和中标供应商的投标文件为依据。</w:t>
      </w:r>
    </w:p>
    <w:p w14:paraId="01207AD8">
      <w:pPr>
        <w:spacing w:line="360" w:lineRule="auto"/>
        <w:ind w:firstLine="482"/>
        <w:rPr>
          <w:bCs/>
          <w:color w:val="000000" w:themeColor="text1"/>
          <w:sz w:val="24"/>
          <w:szCs w:val="24"/>
          <w14:textFill>
            <w14:solidFill>
              <w14:schemeClr w14:val="tx1"/>
            </w14:solidFill>
          </w14:textFill>
        </w:rPr>
      </w:pPr>
      <w:r>
        <w:rPr>
          <w:b/>
          <w:bCs/>
          <w:color w:val="000000" w:themeColor="text1"/>
          <w:sz w:val="24"/>
          <w:szCs w:val="24"/>
          <w:lang w:val="zh-CN"/>
          <w14:textFill>
            <w14:solidFill>
              <w14:schemeClr w14:val="tx1"/>
            </w14:solidFill>
          </w14:textFill>
        </w:rPr>
        <w:t>27.4本项目不收取履约保证金</w:t>
      </w:r>
    </w:p>
    <w:p w14:paraId="3BD6046F">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27.</w:t>
      </w:r>
      <w:bookmarkStart w:id="67" w:name="OLE_LINK5"/>
      <w:r>
        <w:rPr>
          <w:bCs/>
          <w:color w:val="000000" w:themeColor="text1"/>
          <w:sz w:val="24"/>
          <w:szCs w:val="24"/>
          <w14:textFill>
            <w14:solidFill>
              <w14:schemeClr w14:val="tx1"/>
            </w14:solidFill>
          </w14:textFill>
        </w:rPr>
        <w:t>5</w:t>
      </w:r>
      <w:r>
        <w:rPr>
          <w:bCs/>
          <w:color w:val="000000" w:themeColor="text1"/>
          <w:sz w:val="24"/>
          <w:szCs w:val="24"/>
          <w:lang w:val="zh-CN"/>
          <w14:textFill>
            <w14:solidFill>
              <w14:schemeClr w14:val="tx1"/>
            </w14:solidFill>
          </w14:textFill>
        </w:rPr>
        <w:t>中标供应商拒绝与采购人签订合同，或因不可抗力或者自身原因不能履行政府采购合同的，</w:t>
      </w:r>
      <w:r>
        <w:rPr>
          <w:rFonts w:hint="eastAsia"/>
          <w:bCs/>
          <w:color w:val="000000" w:themeColor="text1"/>
          <w:sz w:val="24"/>
          <w:szCs w:val="24"/>
          <w:lang w:val="zh-CN"/>
          <w14:textFill>
            <w14:solidFill>
              <w14:schemeClr w14:val="tx1"/>
            </w14:solidFill>
          </w14:textFill>
        </w:rPr>
        <w:t>需要</w:t>
      </w:r>
      <w:r>
        <w:rPr>
          <w:bCs/>
          <w:color w:val="000000" w:themeColor="text1"/>
          <w:sz w:val="24"/>
          <w:szCs w:val="24"/>
          <w:lang w:val="zh-CN"/>
          <w14:textFill>
            <w14:solidFill>
              <w14:schemeClr w14:val="tx1"/>
            </w14:solidFill>
          </w14:textFill>
        </w:rPr>
        <w:t>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采购金额千分之五以上千分之十以下的罚款，列入不良行为记录名单，在一至三年内禁止参加政府采购活动</w:t>
      </w:r>
      <w:bookmarkStart w:id="68" w:name="OLE_LINK2"/>
      <w:r>
        <w:rPr>
          <w:bCs/>
          <w:color w:val="000000" w:themeColor="text1"/>
          <w:sz w:val="24"/>
          <w:szCs w:val="24"/>
          <w:lang w:val="zh-CN"/>
          <w14:textFill>
            <w14:solidFill>
              <w14:schemeClr w14:val="tx1"/>
            </w14:solidFill>
          </w14:textFill>
        </w:rPr>
        <w:t>。</w:t>
      </w:r>
      <w:bookmarkEnd w:id="67"/>
      <w:bookmarkEnd w:id="68"/>
      <w:r>
        <w:rPr>
          <w:bCs/>
          <w:color w:val="000000" w:themeColor="text1"/>
          <w:sz w:val="24"/>
          <w:szCs w:val="24"/>
          <w:lang w:val="zh-CN"/>
          <w14:textFill>
            <w14:solidFill>
              <w14:schemeClr w14:val="tx1"/>
            </w14:solidFill>
          </w14:textFill>
        </w:rPr>
        <w:t>拒绝签订政府采购合同的中标供应商不得参加对该项目重新开展的采购活动。</w:t>
      </w:r>
    </w:p>
    <w:p w14:paraId="2EFBDE06">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中标候选人放弃中标资格的，参照前款进行处理。</w:t>
      </w:r>
    </w:p>
    <w:p w14:paraId="73A6D921">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w:t>
      </w:r>
      <w:r>
        <w:rPr>
          <w:bCs/>
          <w:color w:val="000000" w:themeColor="text1"/>
          <w:sz w:val="24"/>
          <w:szCs w:val="24"/>
          <w14:textFill>
            <w14:solidFill>
              <w14:schemeClr w14:val="tx1"/>
            </w14:solidFill>
          </w14:textFill>
        </w:rPr>
        <w:t>7.6</w:t>
      </w:r>
      <w:r>
        <w:rPr>
          <w:bCs/>
          <w:color w:val="000000" w:themeColor="text1"/>
          <w:sz w:val="24"/>
          <w:szCs w:val="24"/>
          <w:lang w:val="zh-CN"/>
          <w14:textFill>
            <w14:solidFill>
              <w14:schemeClr w14:val="tx1"/>
            </w14:solidFill>
          </w14:textFill>
        </w:rPr>
        <w:t xml:space="preserve"> 采购合同履行中，采购人需追加与合同标的相同服务的，在不改变合同其他条款的前提下，可以与中标供应商协商签订补充合同，但所有补充合同的采购金额不得超过原合同采购金额的</w:t>
      </w:r>
      <w:r>
        <w:rPr>
          <w:rFonts w:hint="eastAsia"/>
          <w:bCs/>
          <w:color w:val="000000" w:themeColor="text1"/>
          <w:sz w:val="24"/>
          <w:szCs w:val="24"/>
          <w:lang w:val="zh-CN"/>
          <w14:textFill>
            <w14:solidFill>
              <w14:schemeClr w14:val="tx1"/>
            </w14:solidFill>
          </w14:textFill>
        </w:rPr>
        <w:t>10%</w:t>
      </w:r>
      <w:r>
        <w:rPr>
          <w:bCs/>
          <w:color w:val="000000" w:themeColor="text1"/>
          <w:sz w:val="24"/>
          <w:szCs w:val="24"/>
          <w:lang w:val="zh-CN"/>
          <w14:textFill>
            <w14:solidFill>
              <w14:schemeClr w14:val="tx1"/>
            </w14:solidFill>
          </w14:textFill>
        </w:rPr>
        <w:t>。</w:t>
      </w:r>
    </w:p>
    <w:p w14:paraId="0E0888BA">
      <w:pPr>
        <w:spacing w:line="360" w:lineRule="auto"/>
        <w:ind w:firstLine="482"/>
        <w:rPr>
          <w:b/>
          <w:color w:val="000000" w:themeColor="text1"/>
          <w:sz w:val="24"/>
          <w:szCs w:val="24"/>
          <w14:textFill>
            <w14:solidFill>
              <w14:schemeClr w14:val="tx1"/>
            </w14:solidFill>
          </w14:textFill>
        </w:rPr>
      </w:pPr>
      <w:r>
        <w:rPr>
          <w:rFonts w:hint="eastAsia"/>
          <w:b/>
          <w:color w:val="000000" w:themeColor="text1"/>
          <w:sz w:val="24"/>
          <w:szCs w:val="24"/>
          <w:lang w:val="zh-CN"/>
          <w14:textFill>
            <w14:solidFill>
              <w14:schemeClr w14:val="tx1"/>
            </w14:solidFill>
          </w14:textFill>
        </w:rPr>
        <w:t>八</w:t>
      </w:r>
      <w:r>
        <w:rPr>
          <w:b/>
          <w:color w:val="000000" w:themeColor="text1"/>
          <w:sz w:val="24"/>
          <w:szCs w:val="24"/>
          <w:lang w:val="zh-CN"/>
          <w14:textFill>
            <w14:solidFill>
              <w14:schemeClr w14:val="tx1"/>
            </w14:solidFill>
          </w14:textFill>
        </w:rPr>
        <w:t>、质疑处理</w:t>
      </w:r>
    </w:p>
    <w:p w14:paraId="3474510C">
      <w:pPr>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    </w:t>
      </w:r>
      <w:r>
        <w:rPr>
          <w:rFonts w:hint="eastAsia"/>
          <w:bCs/>
          <w:color w:val="000000" w:themeColor="text1"/>
          <w:sz w:val="24"/>
          <w:szCs w:val="24"/>
          <w14:textFill>
            <w14:solidFill>
              <w14:schemeClr w14:val="tx1"/>
            </w14:solidFill>
          </w14:textFill>
        </w:rPr>
        <w:t>28</w:t>
      </w:r>
      <w:r>
        <w:rPr>
          <w:bCs/>
          <w:color w:val="000000" w:themeColor="text1"/>
          <w:sz w:val="24"/>
          <w:szCs w:val="24"/>
          <w14:textFill>
            <w14:solidFill>
              <w14:schemeClr w14:val="tx1"/>
            </w14:solidFill>
          </w14:textFill>
        </w:rPr>
        <w:t>.询问</w:t>
      </w:r>
    </w:p>
    <w:p w14:paraId="01485782">
      <w:pPr>
        <w:spacing w:line="360" w:lineRule="auto"/>
        <w:ind w:firstLine="48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28</w:t>
      </w:r>
      <w:r>
        <w:rPr>
          <w:bCs/>
          <w:color w:val="000000" w:themeColor="text1"/>
          <w:sz w:val="24"/>
          <w:szCs w:val="24"/>
          <w14:textFill>
            <w14:solidFill>
              <w14:schemeClr w14:val="tx1"/>
            </w14:solidFill>
          </w14:textFill>
        </w:rPr>
        <w:t xml:space="preserve">.1 </w:t>
      </w:r>
      <w:r>
        <w:rPr>
          <w:bCs/>
          <w:color w:val="000000" w:themeColor="text1"/>
          <w:sz w:val="24"/>
          <w:szCs w:val="24"/>
          <w:lang w:val="zh-CN"/>
          <w14:textFill>
            <w14:solidFill>
              <w14:schemeClr w14:val="tx1"/>
            </w14:solidFill>
          </w14:textFill>
        </w:rPr>
        <w:t>投标人对采购活动事项有疑问的，可以向采购人提出询问，采购人将在</w:t>
      </w:r>
      <w:r>
        <w:rPr>
          <w:bCs/>
          <w:color w:val="000000" w:themeColor="text1"/>
          <w:sz w:val="24"/>
          <w:szCs w:val="24"/>
          <w14:textFill>
            <w14:solidFill>
              <w14:schemeClr w14:val="tx1"/>
            </w14:solidFill>
          </w14:textFill>
        </w:rPr>
        <w:t>三</w:t>
      </w:r>
      <w:r>
        <w:rPr>
          <w:bCs/>
          <w:color w:val="000000" w:themeColor="text1"/>
          <w:sz w:val="24"/>
          <w:szCs w:val="24"/>
          <w:lang w:val="zh-CN"/>
          <w14:textFill>
            <w14:solidFill>
              <w14:schemeClr w14:val="tx1"/>
            </w14:solidFill>
          </w14:textFill>
        </w:rPr>
        <w:t>个工作日内作出答复，但答复的内容不得涉及商业秘密；投标人也可以向采购人委托的代理机构提出询问，代理机构就采购人委托授权范围内的事项作出答复。</w:t>
      </w:r>
    </w:p>
    <w:p w14:paraId="53E1801B">
      <w:pPr>
        <w:spacing w:line="360" w:lineRule="auto"/>
        <w:ind w:firstLine="48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29</w:t>
      </w:r>
      <w:r>
        <w:rPr>
          <w:bCs/>
          <w:color w:val="000000" w:themeColor="text1"/>
          <w:sz w:val="24"/>
          <w:szCs w:val="24"/>
          <w14:textFill>
            <w14:solidFill>
              <w14:schemeClr w14:val="tx1"/>
            </w14:solidFill>
          </w14:textFill>
        </w:rPr>
        <w:t>.质疑</w:t>
      </w:r>
    </w:p>
    <w:p w14:paraId="38D38356">
      <w:pPr>
        <w:spacing w:line="360" w:lineRule="auto"/>
        <w:ind w:firstLine="48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29</w:t>
      </w:r>
      <w:r>
        <w:rPr>
          <w:bCs/>
          <w:color w:val="000000" w:themeColor="text1"/>
          <w:sz w:val="24"/>
          <w:szCs w:val="24"/>
          <w14:textFill>
            <w14:solidFill>
              <w14:schemeClr w14:val="tx1"/>
            </w14:solidFill>
          </w14:textFill>
        </w:rPr>
        <w:t xml:space="preserve">.1 </w:t>
      </w:r>
      <w:r>
        <w:rPr>
          <w:bCs/>
          <w:color w:val="000000" w:themeColor="text1"/>
          <w:sz w:val="24"/>
          <w:szCs w:val="24"/>
          <w:lang w:val="zh-CN"/>
          <w14:textFill>
            <w14:solidFill>
              <w14:schemeClr w14:val="tx1"/>
            </w14:solidFill>
          </w14:textFill>
        </w:rPr>
        <w:t>质疑必须符合《中华人民共和国政府采购法》《中华人民共和国政府采购法实施条例》《江苏省政府采购供应商监督管理暂行办法》中“质疑”相关内容要求。“宜兴市政府采购质疑书”格式内容，可在“宜兴市公共资源交易中心”</w:t>
      </w:r>
      <w:r>
        <w:rPr>
          <w:bCs/>
          <w:color w:val="000000" w:themeColor="text1"/>
          <w:sz w:val="24"/>
          <w:szCs w:val="24"/>
          <w14:textFill>
            <w14:solidFill>
              <w14:schemeClr w14:val="tx1"/>
            </w14:solidFill>
          </w14:textFill>
        </w:rPr>
        <w:t>网站</w:t>
      </w:r>
      <w:r>
        <w:rPr>
          <w:bCs/>
          <w:color w:val="000000" w:themeColor="text1"/>
          <w:sz w:val="24"/>
          <w:szCs w:val="24"/>
          <w:lang w:val="zh-CN"/>
          <w14:textFill>
            <w14:solidFill>
              <w14:schemeClr w14:val="tx1"/>
            </w14:solidFill>
          </w14:textFill>
        </w:rPr>
        <w:t>“下载中心”栏自行下载。</w:t>
      </w:r>
    </w:p>
    <w:p w14:paraId="6530B340">
      <w:pPr>
        <w:spacing w:line="360" w:lineRule="auto"/>
        <w:ind w:firstLine="482"/>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29</w:t>
      </w:r>
      <w:r>
        <w:rPr>
          <w:b/>
          <w:color w:val="000000" w:themeColor="text1"/>
          <w:sz w:val="24"/>
          <w:szCs w:val="24"/>
          <w14:textFill>
            <w14:solidFill>
              <w14:schemeClr w14:val="tx1"/>
            </w14:solidFill>
          </w14:textFill>
        </w:rPr>
        <w:t xml:space="preserve">.2 </w:t>
      </w:r>
      <w:r>
        <w:rPr>
          <w:b/>
          <w:color w:val="000000" w:themeColor="text1"/>
          <w:sz w:val="24"/>
          <w:szCs w:val="24"/>
          <w:lang w:val="zh-CN"/>
          <w14:textFill>
            <w14:solidFill>
              <w14:schemeClr w14:val="tx1"/>
            </w14:solidFill>
          </w14:textFill>
        </w:rPr>
        <w:t>质疑答复责任主体</w:t>
      </w:r>
    </w:p>
    <w:p w14:paraId="68873841">
      <w:pPr>
        <w:spacing w:line="360" w:lineRule="auto"/>
        <w:ind w:left="426"/>
        <w:rPr>
          <w:bCs/>
          <w:color w:val="000000" w:themeColor="text1"/>
          <w:sz w:val="24"/>
          <w:szCs w:val="24"/>
          <w14:textFill>
            <w14:solidFill>
              <w14:schemeClr w14:val="tx1"/>
            </w14:solidFill>
          </w14:textFill>
        </w:rPr>
      </w:pPr>
      <w:r>
        <w:rPr>
          <w:rFonts w:hint="eastAsia"/>
          <w:bCs/>
          <w:color w:val="000000" w:themeColor="text1"/>
          <w:sz w:val="24"/>
          <w:szCs w:val="24"/>
          <w:lang w:val="zh-CN"/>
          <w14:textFill>
            <w14:solidFill>
              <w14:schemeClr w14:val="tx1"/>
            </w14:solidFill>
          </w14:textFill>
        </w:rPr>
        <w:t>29.2.1</w:t>
      </w:r>
      <w:r>
        <w:rPr>
          <w:bCs/>
          <w:color w:val="000000" w:themeColor="text1"/>
          <w:sz w:val="24"/>
          <w:szCs w:val="24"/>
          <w:lang w:val="zh-CN"/>
          <w14:textFill>
            <w14:solidFill>
              <w14:schemeClr w14:val="tx1"/>
            </w14:solidFill>
          </w14:textFill>
        </w:rPr>
        <w:t>根据《中华人民共和国政府采购法</w:t>
      </w:r>
      <w:r>
        <w:rPr>
          <w:rFonts w:hint="eastAsia"/>
          <w:bCs/>
          <w:color w:val="000000" w:themeColor="text1"/>
          <w:sz w:val="24"/>
          <w:szCs w:val="24"/>
          <w:lang w:val="zh-CN"/>
          <w14:textFill>
            <w14:solidFill>
              <w14:schemeClr w14:val="tx1"/>
            </w14:solidFill>
          </w14:textFill>
        </w:rPr>
        <w:t>》第</w:t>
      </w:r>
      <w:r>
        <w:rPr>
          <w:bCs/>
          <w:color w:val="000000" w:themeColor="text1"/>
          <w:sz w:val="24"/>
          <w:szCs w:val="24"/>
          <w14:textFill>
            <w14:solidFill>
              <w14:schemeClr w14:val="tx1"/>
            </w14:solidFill>
          </w14:textFill>
        </w:rPr>
        <w:t>五十二条、五十三条规定，</w:t>
      </w:r>
      <w:r>
        <w:rPr>
          <w:bCs/>
          <w:color w:val="000000" w:themeColor="text1"/>
          <w:sz w:val="24"/>
          <w:szCs w:val="24"/>
          <w:lang w:val="zh-CN"/>
          <w14:textFill>
            <w14:solidFill>
              <w14:schemeClr w14:val="tx1"/>
            </w14:solidFill>
          </w14:textFill>
        </w:rPr>
        <w:t>投标人认为</w:t>
      </w:r>
      <w:r>
        <w:rPr>
          <w:b/>
          <w:color w:val="000000" w:themeColor="text1"/>
          <w:sz w:val="24"/>
          <w:szCs w:val="24"/>
          <w:lang w:val="zh-CN"/>
          <w14:textFill>
            <w14:solidFill>
              <w14:schemeClr w14:val="tx1"/>
            </w14:solidFill>
          </w14:textFill>
        </w:rPr>
        <w:t>采购文件、采购过程和中标结果</w:t>
      </w:r>
      <w:r>
        <w:rPr>
          <w:bCs/>
          <w:color w:val="000000" w:themeColor="text1"/>
          <w:sz w:val="24"/>
          <w:szCs w:val="24"/>
          <w:lang w:val="zh-CN"/>
          <w14:textFill>
            <w14:solidFill>
              <w14:schemeClr w14:val="tx1"/>
            </w14:solidFill>
          </w14:textFill>
        </w:rPr>
        <w:t>使自己的权益受到损害的，可以在知道或者应当知道其权益受到损害之日起七个工作日内，以书面形式向采购人提出质疑。</w:t>
      </w:r>
    </w:p>
    <w:p w14:paraId="12F10354">
      <w:pPr>
        <w:spacing w:line="360" w:lineRule="auto"/>
        <w:ind w:left="426"/>
        <w:rPr>
          <w:bCs/>
          <w:color w:val="000000" w:themeColor="text1"/>
          <w:sz w:val="24"/>
          <w:szCs w:val="24"/>
          <w14:textFill>
            <w14:solidFill>
              <w14:schemeClr w14:val="tx1"/>
            </w14:solidFill>
          </w14:textFill>
        </w:rPr>
      </w:pPr>
      <w:r>
        <w:rPr>
          <w:rFonts w:hint="eastAsia"/>
          <w:bCs/>
          <w:color w:val="000000" w:themeColor="text1"/>
          <w:sz w:val="24"/>
          <w:szCs w:val="24"/>
          <w:lang w:val="zh-CN"/>
          <w14:textFill>
            <w14:solidFill>
              <w14:schemeClr w14:val="tx1"/>
            </w14:solidFill>
          </w14:textFill>
        </w:rPr>
        <w:t>29.2.2</w:t>
      </w:r>
      <w:r>
        <w:rPr>
          <w:bCs/>
          <w:color w:val="000000" w:themeColor="text1"/>
          <w:sz w:val="24"/>
          <w:szCs w:val="24"/>
          <w:lang w:val="zh-CN"/>
          <w14:textFill>
            <w14:solidFill>
              <w14:schemeClr w14:val="tx1"/>
            </w14:solidFill>
          </w14:textFill>
        </w:rPr>
        <w:t>投标人认为</w:t>
      </w:r>
      <w:r>
        <w:rPr>
          <w:b/>
          <w:color w:val="000000" w:themeColor="text1"/>
          <w:sz w:val="24"/>
          <w:szCs w:val="24"/>
          <w:lang w:val="zh-CN"/>
          <w14:textFill>
            <w14:solidFill>
              <w14:schemeClr w14:val="tx1"/>
            </w14:solidFill>
          </w14:textFill>
        </w:rPr>
        <w:t>采购程序及流程操作</w:t>
      </w:r>
      <w:r>
        <w:rPr>
          <w:bCs/>
          <w:color w:val="000000" w:themeColor="text1"/>
          <w:sz w:val="24"/>
          <w:szCs w:val="24"/>
          <w:lang w:val="zh-CN"/>
          <w14:textFill>
            <w14:solidFill>
              <w14:schemeClr w14:val="tx1"/>
            </w14:solidFill>
          </w14:textFill>
        </w:rPr>
        <w:t>使自己的权益受到损害的，可以向采购人提出质疑，</w:t>
      </w:r>
    </w:p>
    <w:p w14:paraId="38659616">
      <w:pPr>
        <w:spacing w:line="360" w:lineRule="auto"/>
        <w:rPr>
          <w:bCs/>
          <w:color w:val="000000" w:themeColor="text1"/>
          <w:sz w:val="24"/>
          <w:szCs w:val="24"/>
          <w:lang w:val="zh-CN"/>
          <w14:textFill>
            <w14:solidFill>
              <w14:schemeClr w14:val="tx1"/>
            </w14:solidFill>
          </w14:textFill>
        </w:rPr>
      </w:pPr>
      <w:r>
        <w:rPr>
          <w:bCs/>
          <w:color w:val="000000" w:themeColor="text1"/>
          <w:sz w:val="24"/>
          <w:szCs w:val="24"/>
          <w:lang w:val="zh-CN"/>
          <w14:textFill>
            <w14:solidFill>
              <w14:schemeClr w14:val="tx1"/>
            </w14:solidFill>
          </w14:textFill>
        </w:rPr>
        <w:t>也可以在法律规定时间内向采购代理机构提出质疑，采购代理机构就采购人委托授权范围内的事项作出答复。</w:t>
      </w:r>
    </w:p>
    <w:p w14:paraId="06D6C498">
      <w:pPr>
        <w:spacing w:line="360" w:lineRule="auto"/>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 xml:space="preserve">    </w:t>
      </w:r>
      <w:r>
        <w:rPr>
          <w:rFonts w:hint="eastAsia"/>
          <w:bCs/>
          <w:color w:val="000000" w:themeColor="text1"/>
          <w:sz w:val="24"/>
          <w:szCs w:val="24"/>
          <w14:textFill>
            <w14:solidFill>
              <w14:schemeClr w14:val="tx1"/>
            </w14:solidFill>
          </w14:textFill>
        </w:rPr>
        <w:t>29</w:t>
      </w:r>
      <w:r>
        <w:rPr>
          <w:bCs/>
          <w:color w:val="000000" w:themeColor="text1"/>
          <w:sz w:val="24"/>
          <w:szCs w:val="24"/>
          <w14:textFill>
            <w14:solidFill>
              <w14:schemeClr w14:val="tx1"/>
            </w14:solidFill>
          </w14:textFill>
        </w:rPr>
        <w:t xml:space="preserve">.3 </w:t>
      </w:r>
      <w:r>
        <w:rPr>
          <w:b/>
          <w:color w:val="000000" w:themeColor="text1"/>
          <w:sz w:val="24"/>
          <w:szCs w:val="24"/>
          <w14:textFill>
            <w14:solidFill>
              <w14:schemeClr w14:val="tx1"/>
            </w14:solidFill>
          </w14:textFill>
        </w:rPr>
        <w:t>质疑时效期间的起算</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p>
    <w:p w14:paraId="542B175C">
      <w:pPr>
        <w:spacing w:line="360" w:lineRule="auto"/>
        <w:ind w:firstLine="48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29</w:t>
      </w:r>
      <w:r>
        <w:rPr>
          <w:bCs/>
          <w:color w:val="000000" w:themeColor="text1"/>
          <w:sz w:val="24"/>
          <w:szCs w:val="24"/>
          <w14:textFill>
            <w14:solidFill>
              <w14:schemeClr w14:val="tx1"/>
            </w14:solidFill>
          </w14:textFill>
        </w:rPr>
        <w:t xml:space="preserve">.4 </w:t>
      </w:r>
      <w:r>
        <w:rPr>
          <w:bCs/>
          <w:color w:val="000000" w:themeColor="text1"/>
          <w:sz w:val="24"/>
          <w:szCs w:val="24"/>
          <w:lang w:val="zh-CN"/>
          <w14:textFill>
            <w14:solidFill>
              <w14:schemeClr w14:val="tx1"/>
            </w14:solidFill>
          </w14:textFill>
        </w:rPr>
        <w:t>对符合法定质疑条件的质疑，被质疑人在受理后的七个工作日内进行书面答复。</w:t>
      </w:r>
    </w:p>
    <w:p w14:paraId="339262C3">
      <w:pPr>
        <w:spacing w:line="360" w:lineRule="auto"/>
        <w:ind w:firstLine="480"/>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29</w:t>
      </w:r>
      <w:r>
        <w:rPr>
          <w:bCs/>
          <w:color w:val="000000" w:themeColor="text1"/>
          <w:sz w:val="24"/>
          <w:szCs w:val="24"/>
          <w14:textFill>
            <w14:solidFill>
              <w14:schemeClr w14:val="tx1"/>
            </w14:solidFill>
          </w14:textFill>
        </w:rPr>
        <w:t xml:space="preserve">.5 </w:t>
      </w:r>
      <w:r>
        <w:rPr>
          <w:bCs/>
          <w:color w:val="000000" w:themeColor="text1"/>
          <w:sz w:val="24"/>
          <w:szCs w:val="24"/>
          <w:lang w:val="zh-CN"/>
          <w14:textFill>
            <w14:solidFill>
              <w14:schemeClr w14:val="tx1"/>
            </w14:solidFill>
          </w14:textFill>
        </w:rPr>
        <w:t>恶意质疑或提交虚假质疑一经查实，被质疑人有权依据政府采购法的有关规定，报请政府采购监管部门对该质疑人进行相应的行政处罚。</w:t>
      </w:r>
    </w:p>
    <w:p w14:paraId="10DFD688">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w:t>
      </w:r>
      <w:r>
        <w:rPr>
          <w:rFonts w:hint="eastAsia"/>
          <w:bCs/>
          <w:color w:val="000000" w:themeColor="text1"/>
          <w:sz w:val="24"/>
          <w:szCs w:val="24"/>
          <w14:textFill>
            <w14:solidFill>
              <w14:schemeClr w14:val="tx1"/>
            </w14:solidFill>
          </w14:textFill>
        </w:rPr>
        <w:t>0</w:t>
      </w:r>
      <w:r>
        <w:rPr>
          <w:bCs/>
          <w:color w:val="000000" w:themeColor="text1"/>
          <w:sz w:val="24"/>
          <w:szCs w:val="24"/>
          <w14:textFill>
            <w14:solidFill>
              <w14:schemeClr w14:val="tx1"/>
            </w14:solidFill>
          </w14:textFill>
        </w:rPr>
        <w:t>.投诉</w:t>
      </w:r>
    </w:p>
    <w:p w14:paraId="61B24DBD">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w:t>
      </w:r>
      <w:r>
        <w:rPr>
          <w:rFonts w:hint="eastAsia"/>
          <w:bCs/>
          <w:color w:val="000000" w:themeColor="text1"/>
          <w:sz w:val="24"/>
          <w:szCs w:val="24"/>
          <w14:textFill>
            <w14:solidFill>
              <w14:schemeClr w14:val="tx1"/>
            </w14:solidFill>
          </w14:textFill>
        </w:rPr>
        <w:t>0</w:t>
      </w:r>
      <w:r>
        <w:rPr>
          <w:bCs/>
          <w:color w:val="000000" w:themeColor="text1"/>
          <w:sz w:val="24"/>
          <w:szCs w:val="24"/>
          <w14:textFill>
            <w14:solidFill>
              <w14:schemeClr w14:val="tx1"/>
            </w14:solidFill>
          </w14:textFill>
        </w:rPr>
        <w:t>.1</w:t>
      </w:r>
      <w:r>
        <w:rPr>
          <w:bCs/>
          <w:color w:val="000000" w:themeColor="text1"/>
          <w:sz w:val="24"/>
          <w:szCs w:val="24"/>
          <w:lang w:val="zh-CN"/>
          <w14:textFill>
            <w14:solidFill>
              <w14:schemeClr w14:val="tx1"/>
            </w14:solidFill>
          </w14:textFill>
        </w:rPr>
        <w:t>质疑供应商对采购人的答复不满意或者采购人未在规定的时间内作出答复的，可以在答复期满后十五个工作日内向本招标文件第一章投标邀请函中的</w:t>
      </w:r>
      <w:r>
        <w:rPr>
          <w:bCs/>
          <w:color w:val="000000" w:themeColor="text1"/>
          <w:sz w:val="24"/>
          <w:szCs w:val="24"/>
          <w14:textFill>
            <w14:solidFill>
              <w14:schemeClr w14:val="tx1"/>
            </w14:solidFill>
          </w14:textFill>
        </w:rPr>
        <w:t>财政监管部门</w:t>
      </w:r>
      <w:r>
        <w:rPr>
          <w:bCs/>
          <w:color w:val="000000" w:themeColor="text1"/>
          <w:sz w:val="24"/>
          <w:szCs w:val="24"/>
          <w:lang w:val="zh-CN"/>
          <w14:textFill>
            <w14:solidFill>
              <w14:schemeClr w14:val="tx1"/>
            </w14:solidFill>
          </w14:textFill>
        </w:rPr>
        <w:t>提出投诉。</w:t>
      </w:r>
    </w:p>
    <w:p w14:paraId="33E4F133">
      <w:pPr>
        <w:spacing w:line="360" w:lineRule="auto"/>
        <w:ind w:firstLine="480"/>
        <w:rPr>
          <w:bCs/>
          <w:color w:val="000000" w:themeColor="text1"/>
          <w:sz w:val="24"/>
          <w:szCs w:val="24"/>
          <w14:textFill>
            <w14:solidFill>
              <w14:schemeClr w14:val="tx1"/>
            </w14:solidFill>
          </w14:textFill>
        </w:rPr>
      </w:pPr>
    </w:p>
    <w:bookmarkEnd w:id="66"/>
    <w:p w14:paraId="09B0A350">
      <w:pPr>
        <w:spacing w:line="360" w:lineRule="auto"/>
        <w:jc w:val="center"/>
        <w:rPr>
          <w:b/>
          <w:bCs/>
          <w:color w:val="000000" w:themeColor="text1"/>
          <w:sz w:val="28"/>
          <w:szCs w:val="28"/>
          <w14:textFill>
            <w14:solidFill>
              <w14:schemeClr w14:val="tx1"/>
            </w14:solidFill>
          </w14:textFill>
        </w:rPr>
      </w:pPr>
      <w:bookmarkStart w:id="69" w:name="四．合同书"/>
      <w:bookmarkEnd w:id="69"/>
      <w:bookmarkStart w:id="70" w:name="三．项目技术配置和有关说明"/>
      <w:bookmarkEnd w:id="70"/>
      <w:r>
        <w:rPr>
          <w:b/>
          <w:bCs/>
          <w:color w:val="000000" w:themeColor="text1"/>
          <w:sz w:val="28"/>
          <w:szCs w:val="28"/>
          <w14:textFill>
            <w14:solidFill>
              <w14:schemeClr w14:val="tx1"/>
            </w14:solidFill>
          </w14:textFill>
        </w:rPr>
        <w:t>第三章 评标方法和标准</w:t>
      </w:r>
    </w:p>
    <w:p w14:paraId="26BD2707">
      <w:pPr>
        <w:spacing w:line="360" w:lineRule="auto"/>
        <w:ind w:firstLine="720"/>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一、评分项目（总分100分）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5"/>
        <w:gridCol w:w="6094"/>
      </w:tblGrid>
      <w:tr w14:paraId="25F5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21A2E2D8">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技术商务部分</w:t>
            </w:r>
          </w:p>
        </w:tc>
        <w:tc>
          <w:tcPr>
            <w:tcW w:w="6094" w:type="dxa"/>
            <w:tcBorders>
              <w:top w:val="single" w:color="auto" w:sz="4" w:space="0"/>
              <w:left w:val="single" w:color="auto" w:sz="4" w:space="0"/>
              <w:bottom w:val="single" w:color="auto" w:sz="4" w:space="0"/>
              <w:right w:val="single" w:color="auto" w:sz="4" w:space="0"/>
            </w:tcBorders>
            <w:vAlign w:val="center"/>
          </w:tcPr>
          <w:p w14:paraId="1DDADBB9">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100分</w:t>
            </w:r>
          </w:p>
        </w:tc>
      </w:tr>
      <w:tr w14:paraId="59341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0D699898">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价格部分</w:t>
            </w:r>
          </w:p>
        </w:tc>
        <w:tc>
          <w:tcPr>
            <w:tcW w:w="6094" w:type="dxa"/>
            <w:tcBorders>
              <w:top w:val="single" w:color="auto" w:sz="4" w:space="0"/>
              <w:left w:val="single" w:color="auto" w:sz="4" w:space="0"/>
              <w:bottom w:val="single" w:color="auto" w:sz="4" w:space="0"/>
              <w:right w:val="single" w:color="auto" w:sz="4" w:space="0"/>
            </w:tcBorders>
            <w:vAlign w:val="center"/>
          </w:tcPr>
          <w:p w14:paraId="062DC635">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执行统一定价标准，本项目价格不列为评审因素</w:t>
            </w:r>
          </w:p>
        </w:tc>
      </w:tr>
    </w:tbl>
    <w:p w14:paraId="7823B87D">
      <w:pPr>
        <w:spacing w:line="360" w:lineRule="auto"/>
        <w:ind w:firstLine="720"/>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二、评审内容</w:t>
      </w:r>
    </w:p>
    <w:tbl>
      <w:tblPr>
        <w:tblStyle w:val="45"/>
        <w:tblpPr w:leftFromText="180" w:rightFromText="180" w:vertAnchor="text" w:tblpXSpec="center" w:tblpY="1"/>
        <w:tblOverlap w:val="never"/>
        <w:tblW w:w="9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09"/>
        <w:gridCol w:w="1242"/>
        <w:gridCol w:w="817"/>
        <w:gridCol w:w="6069"/>
      </w:tblGrid>
      <w:tr w14:paraId="7632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trPr>
        <w:tc>
          <w:tcPr>
            <w:tcW w:w="567" w:type="dxa"/>
            <w:tcBorders>
              <w:top w:val="single" w:color="auto" w:sz="4" w:space="0"/>
              <w:left w:val="single" w:color="auto" w:sz="4" w:space="0"/>
              <w:bottom w:val="single" w:color="auto" w:sz="4" w:space="0"/>
              <w:right w:val="single" w:color="auto" w:sz="4" w:space="0"/>
            </w:tcBorders>
            <w:vAlign w:val="center"/>
          </w:tcPr>
          <w:p w14:paraId="73834842">
            <w:pPr>
              <w:jc w:val="center"/>
              <w:rPr>
                <w:rFonts w:ascii="宋体" w:hAnsi="宋体"/>
                <w:bCs/>
                <w:sz w:val="24"/>
                <w:szCs w:val="24"/>
              </w:rPr>
            </w:pPr>
            <w:r>
              <w:rPr>
                <w:rFonts w:hint="eastAsia" w:ascii="宋体" w:hAnsi="宋体"/>
                <w:bCs/>
                <w:sz w:val="24"/>
                <w:szCs w:val="24"/>
              </w:rPr>
              <w:t>序号</w:t>
            </w:r>
          </w:p>
        </w:tc>
        <w:tc>
          <w:tcPr>
            <w:tcW w:w="1951" w:type="dxa"/>
            <w:gridSpan w:val="2"/>
            <w:tcBorders>
              <w:top w:val="single" w:color="auto" w:sz="4" w:space="0"/>
              <w:left w:val="single" w:color="auto" w:sz="4" w:space="0"/>
              <w:bottom w:val="single" w:color="auto" w:sz="4" w:space="0"/>
              <w:right w:val="single" w:color="auto" w:sz="4" w:space="0"/>
            </w:tcBorders>
            <w:vAlign w:val="center"/>
          </w:tcPr>
          <w:p w14:paraId="70385FFB">
            <w:pPr>
              <w:jc w:val="center"/>
              <w:rPr>
                <w:rFonts w:ascii="宋体" w:hAnsi="宋体"/>
                <w:bCs/>
                <w:sz w:val="24"/>
                <w:szCs w:val="24"/>
              </w:rPr>
            </w:pPr>
            <w:r>
              <w:rPr>
                <w:rFonts w:hint="eastAsia" w:ascii="宋体" w:hAnsi="宋体"/>
                <w:bCs/>
                <w:sz w:val="24"/>
                <w:szCs w:val="24"/>
              </w:rPr>
              <w:t>评审项目</w:t>
            </w:r>
          </w:p>
        </w:tc>
        <w:tc>
          <w:tcPr>
            <w:tcW w:w="817" w:type="dxa"/>
            <w:tcBorders>
              <w:top w:val="single" w:color="auto" w:sz="4" w:space="0"/>
              <w:left w:val="single" w:color="auto" w:sz="4" w:space="0"/>
              <w:bottom w:val="single" w:color="auto" w:sz="4" w:space="0"/>
              <w:right w:val="single" w:color="auto" w:sz="4" w:space="0"/>
            </w:tcBorders>
            <w:vAlign w:val="center"/>
          </w:tcPr>
          <w:p w14:paraId="57970799">
            <w:pPr>
              <w:jc w:val="center"/>
              <w:rPr>
                <w:rFonts w:ascii="宋体" w:hAnsi="宋体"/>
                <w:bCs/>
                <w:sz w:val="24"/>
                <w:szCs w:val="24"/>
              </w:rPr>
            </w:pPr>
            <w:r>
              <w:rPr>
                <w:rFonts w:hint="eastAsia" w:ascii="宋体" w:hAnsi="宋体"/>
                <w:bCs/>
                <w:sz w:val="24"/>
                <w:szCs w:val="24"/>
              </w:rPr>
              <w:t>分值</w:t>
            </w:r>
          </w:p>
        </w:tc>
        <w:tc>
          <w:tcPr>
            <w:tcW w:w="6069" w:type="dxa"/>
            <w:tcBorders>
              <w:top w:val="single" w:color="auto" w:sz="4" w:space="0"/>
              <w:left w:val="single" w:color="auto" w:sz="4" w:space="0"/>
              <w:bottom w:val="single" w:color="auto" w:sz="4" w:space="0"/>
              <w:right w:val="single" w:color="auto" w:sz="4" w:space="0"/>
            </w:tcBorders>
            <w:vAlign w:val="center"/>
          </w:tcPr>
          <w:p w14:paraId="311B89E2">
            <w:pPr>
              <w:jc w:val="center"/>
              <w:rPr>
                <w:rFonts w:ascii="宋体" w:hAnsi="宋体"/>
                <w:bCs/>
                <w:sz w:val="24"/>
                <w:szCs w:val="24"/>
              </w:rPr>
            </w:pPr>
            <w:r>
              <w:rPr>
                <w:rFonts w:hint="eastAsia" w:ascii="宋体" w:hAnsi="宋体"/>
                <w:bCs/>
                <w:sz w:val="24"/>
                <w:szCs w:val="24"/>
              </w:rPr>
              <w:t>评审细则</w:t>
            </w:r>
          </w:p>
        </w:tc>
      </w:tr>
      <w:tr w14:paraId="1326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top w:val="single" w:color="auto" w:sz="4" w:space="0"/>
              <w:left w:val="single" w:color="auto" w:sz="4" w:space="0"/>
              <w:right w:val="single" w:color="auto" w:sz="4" w:space="0"/>
            </w:tcBorders>
            <w:vAlign w:val="center"/>
          </w:tcPr>
          <w:p w14:paraId="65F1ED3F">
            <w:pPr>
              <w:jc w:val="center"/>
              <w:rPr>
                <w:rFonts w:ascii="宋体" w:hAnsi="宋体"/>
                <w:bCs/>
                <w:sz w:val="24"/>
                <w:szCs w:val="24"/>
              </w:rPr>
            </w:pPr>
            <w:r>
              <w:rPr>
                <w:rFonts w:hint="eastAsia" w:ascii="宋体" w:hAnsi="宋体"/>
                <w:bCs/>
                <w:sz w:val="24"/>
                <w:szCs w:val="24"/>
              </w:rPr>
              <w:t>1</w:t>
            </w:r>
          </w:p>
        </w:tc>
        <w:tc>
          <w:tcPr>
            <w:tcW w:w="709" w:type="dxa"/>
            <w:vMerge w:val="restart"/>
            <w:tcBorders>
              <w:top w:val="single" w:color="auto" w:sz="4" w:space="0"/>
              <w:left w:val="single" w:color="auto" w:sz="4" w:space="0"/>
              <w:right w:val="single" w:color="auto" w:sz="4" w:space="0"/>
            </w:tcBorders>
            <w:vAlign w:val="center"/>
          </w:tcPr>
          <w:p w14:paraId="760C46EB">
            <w:pPr>
              <w:jc w:val="center"/>
              <w:rPr>
                <w:rFonts w:ascii="宋体" w:hAnsi="宋体"/>
                <w:bCs/>
                <w:sz w:val="24"/>
                <w:szCs w:val="24"/>
              </w:rPr>
            </w:pPr>
            <w:r>
              <w:rPr>
                <w:rFonts w:hint="eastAsia" w:ascii="宋体" w:hAnsi="宋体"/>
                <w:bCs/>
                <w:sz w:val="24"/>
                <w:szCs w:val="24"/>
              </w:rPr>
              <w:t>商务部分（40分）</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1F9C427C">
            <w:pPr>
              <w:jc w:val="center"/>
              <w:rPr>
                <w:rFonts w:ascii="宋体" w:hAnsi="宋体"/>
                <w:bCs/>
                <w:sz w:val="24"/>
                <w:szCs w:val="24"/>
              </w:rPr>
            </w:pPr>
            <w:r>
              <w:rPr>
                <w:rFonts w:hint="eastAsia" w:ascii="宋体" w:hAnsi="宋体"/>
                <w:bCs/>
                <w:sz w:val="24"/>
                <w:szCs w:val="24"/>
              </w:rPr>
              <w:t>偿付能力</w:t>
            </w: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14:paraId="36DF97CB">
            <w:pPr>
              <w:jc w:val="center"/>
              <w:rPr>
                <w:rFonts w:ascii="宋体" w:hAnsi="宋体"/>
                <w:bCs/>
                <w:sz w:val="24"/>
                <w:szCs w:val="24"/>
              </w:rPr>
            </w:pPr>
            <w:r>
              <w:rPr>
                <w:rFonts w:hint="eastAsia" w:ascii="宋体" w:hAnsi="宋体"/>
                <w:bCs/>
                <w:sz w:val="24"/>
                <w:szCs w:val="24"/>
              </w:rPr>
              <w:t>6分</w:t>
            </w:r>
          </w:p>
        </w:tc>
        <w:tc>
          <w:tcPr>
            <w:tcW w:w="6069" w:type="dxa"/>
            <w:tcBorders>
              <w:top w:val="single" w:color="auto" w:sz="4" w:space="0"/>
              <w:left w:val="single" w:color="auto" w:sz="4" w:space="0"/>
              <w:bottom w:val="single" w:color="auto" w:sz="4" w:space="0"/>
              <w:right w:val="single" w:color="auto" w:sz="4" w:space="0"/>
            </w:tcBorders>
            <w:shd w:val="clear" w:color="auto" w:fill="auto"/>
          </w:tcPr>
          <w:p w14:paraId="7E8BA83B">
            <w:pPr>
              <w:rPr>
                <w:rFonts w:ascii="宋体" w:hAnsi="宋体"/>
                <w:bCs/>
                <w:sz w:val="24"/>
                <w:szCs w:val="24"/>
              </w:rPr>
            </w:pPr>
            <w:r>
              <w:rPr>
                <w:rFonts w:hint="eastAsia" w:ascii="宋体" w:hAnsi="宋体"/>
                <w:bCs/>
                <w:sz w:val="24"/>
                <w:szCs w:val="24"/>
              </w:rPr>
              <w:t>总公司2024年四季度末综合偿付能力充足率（6分）：偿付能力﹤100%，不得分；100%≤偿付能力﹤200%，最高得3分；偿付能力≥200%，最高得6分。（提供相关证明材料复印件或扫描件，不提供不得分）</w:t>
            </w:r>
          </w:p>
        </w:tc>
      </w:tr>
      <w:tr w14:paraId="0CC45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top w:val="single" w:color="auto" w:sz="4" w:space="0"/>
              <w:left w:val="single" w:color="auto" w:sz="4" w:space="0"/>
              <w:right w:val="single" w:color="auto" w:sz="4" w:space="0"/>
            </w:tcBorders>
            <w:vAlign w:val="center"/>
          </w:tcPr>
          <w:p w14:paraId="287D8DF6">
            <w:pPr>
              <w:jc w:val="center"/>
              <w:rPr>
                <w:rFonts w:ascii="宋体" w:hAnsi="宋体"/>
                <w:bCs/>
                <w:sz w:val="24"/>
                <w:szCs w:val="24"/>
              </w:rPr>
            </w:pPr>
            <w:r>
              <w:rPr>
                <w:rFonts w:hint="eastAsia" w:ascii="宋体" w:hAnsi="宋体"/>
                <w:bCs/>
                <w:sz w:val="24"/>
                <w:szCs w:val="24"/>
              </w:rPr>
              <w:t>2</w:t>
            </w:r>
          </w:p>
        </w:tc>
        <w:tc>
          <w:tcPr>
            <w:tcW w:w="709" w:type="dxa"/>
            <w:vMerge w:val="continue"/>
            <w:tcBorders>
              <w:left w:val="single" w:color="auto" w:sz="4" w:space="0"/>
              <w:right w:val="single" w:color="auto" w:sz="4" w:space="0"/>
            </w:tcBorders>
            <w:vAlign w:val="center"/>
          </w:tcPr>
          <w:p w14:paraId="1A165C6A">
            <w:pPr>
              <w:jc w:val="center"/>
              <w:rPr>
                <w:rFonts w:ascii="宋体" w:hAnsi="宋体"/>
                <w:bCs/>
                <w:sz w:val="24"/>
                <w:szCs w:val="24"/>
              </w:rPr>
            </w:pPr>
          </w:p>
        </w:tc>
        <w:tc>
          <w:tcPr>
            <w:tcW w:w="1242" w:type="dxa"/>
            <w:vMerge w:val="restart"/>
            <w:tcBorders>
              <w:top w:val="single" w:color="auto" w:sz="4" w:space="0"/>
              <w:left w:val="single" w:color="auto" w:sz="4" w:space="0"/>
              <w:right w:val="single" w:color="auto" w:sz="4" w:space="0"/>
            </w:tcBorders>
            <w:shd w:val="clear" w:color="auto" w:fill="auto"/>
            <w:vAlign w:val="center"/>
          </w:tcPr>
          <w:p w14:paraId="5EB9543F">
            <w:pPr>
              <w:jc w:val="center"/>
              <w:rPr>
                <w:rFonts w:ascii="宋体" w:hAnsi="宋体"/>
                <w:bCs/>
                <w:sz w:val="24"/>
                <w:szCs w:val="24"/>
              </w:rPr>
            </w:pPr>
            <w:r>
              <w:rPr>
                <w:rFonts w:hint="eastAsia" w:ascii="宋体" w:hAnsi="宋体" w:cs="宋体"/>
                <w:sz w:val="24"/>
                <w:szCs w:val="24"/>
              </w:rPr>
              <w:t>业务经验</w:t>
            </w: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14:paraId="41CB332B">
            <w:pPr>
              <w:jc w:val="center"/>
              <w:rPr>
                <w:rFonts w:ascii="宋体" w:hAnsi="宋体"/>
                <w:bCs/>
                <w:sz w:val="24"/>
                <w:szCs w:val="24"/>
              </w:rPr>
            </w:pPr>
            <w:r>
              <w:rPr>
                <w:rFonts w:hint="eastAsia" w:ascii="宋体" w:hAnsi="宋体"/>
                <w:bCs/>
                <w:sz w:val="24"/>
                <w:szCs w:val="24"/>
              </w:rPr>
              <w:t>5分</w:t>
            </w:r>
          </w:p>
        </w:tc>
        <w:tc>
          <w:tcPr>
            <w:tcW w:w="6069" w:type="dxa"/>
            <w:tcBorders>
              <w:top w:val="single" w:color="auto" w:sz="4" w:space="0"/>
              <w:left w:val="single" w:color="auto" w:sz="4" w:space="0"/>
              <w:bottom w:val="single" w:color="auto" w:sz="4" w:space="0"/>
              <w:right w:val="single" w:color="auto" w:sz="4" w:space="0"/>
            </w:tcBorders>
            <w:shd w:val="clear" w:color="auto" w:fill="auto"/>
          </w:tcPr>
          <w:p w14:paraId="1BDAC2F9">
            <w:pPr>
              <w:rPr>
                <w:rFonts w:ascii="宋体" w:hAnsi="宋体"/>
                <w:bCs/>
                <w:sz w:val="24"/>
                <w:szCs w:val="24"/>
              </w:rPr>
            </w:pPr>
            <w:r>
              <w:rPr>
                <w:rFonts w:hint="eastAsia" w:ascii="宋体" w:hAnsi="宋体"/>
                <w:bCs/>
                <w:sz w:val="24"/>
                <w:szCs w:val="24"/>
              </w:rPr>
              <w:t>2022年1月1日以来，投标人已经完成或正在履行的类似保险类项目（5分）</w:t>
            </w:r>
          </w:p>
          <w:p w14:paraId="645BCB1E">
            <w:pPr>
              <w:rPr>
                <w:rFonts w:ascii="宋体" w:hAnsi="宋体"/>
                <w:bCs/>
                <w:sz w:val="24"/>
                <w:szCs w:val="24"/>
              </w:rPr>
            </w:pPr>
            <w:r>
              <w:rPr>
                <w:rFonts w:hint="eastAsia" w:ascii="宋体" w:hAnsi="宋体"/>
                <w:bCs/>
                <w:sz w:val="24"/>
                <w:szCs w:val="24"/>
              </w:rPr>
              <w:t>（每提供一个得1分，以中标通知书或保险合同复印件为准，最高得5分）</w:t>
            </w:r>
          </w:p>
        </w:tc>
      </w:tr>
      <w:tr w14:paraId="0AAE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5B473AC9">
            <w:pPr>
              <w:jc w:val="center"/>
              <w:rPr>
                <w:rFonts w:ascii="宋体" w:hAnsi="宋体"/>
                <w:bCs/>
                <w:sz w:val="24"/>
                <w:szCs w:val="24"/>
              </w:rPr>
            </w:pPr>
            <w:r>
              <w:rPr>
                <w:rFonts w:hint="eastAsia" w:ascii="宋体" w:hAnsi="宋体"/>
                <w:bCs/>
                <w:sz w:val="24"/>
                <w:szCs w:val="24"/>
              </w:rPr>
              <w:t>3</w:t>
            </w:r>
          </w:p>
        </w:tc>
        <w:tc>
          <w:tcPr>
            <w:tcW w:w="709" w:type="dxa"/>
            <w:vMerge w:val="continue"/>
            <w:tcBorders>
              <w:left w:val="single" w:color="auto" w:sz="4" w:space="0"/>
              <w:right w:val="single" w:color="auto" w:sz="4" w:space="0"/>
            </w:tcBorders>
            <w:vAlign w:val="center"/>
          </w:tcPr>
          <w:p w14:paraId="7505D560">
            <w:pPr>
              <w:jc w:val="center"/>
              <w:rPr>
                <w:rFonts w:ascii="宋体" w:hAnsi="宋体"/>
                <w:bCs/>
                <w:sz w:val="24"/>
                <w:szCs w:val="24"/>
              </w:rPr>
            </w:pPr>
          </w:p>
        </w:tc>
        <w:tc>
          <w:tcPr>
            <w:tcW w:w="1242" w:type="dxa"/>
            <w:vMerge w:val="continue"/>
            <w:tcBorders>
              <w:left w:val="single" w:color="auto" w:sz="4" w:space="0"/>
              <w:bottom w:val="single" w:color="auto" w:sz="4" w:space="0"/>
              <w:right w:val="single" w:color="auto" w:sz="4" w:space="0"/>
            </w:tcBorders>
            <w:vAlign w:val="center"/>
          </w:tcPr>
          <w:p w14:paraId="77D48938">
            <w:pPr>
              <w:jc w:val="center"/>
              <w:rPr>
                <w:rFonts w:ascii="宋体" w:hAnsi="宋体"/>
                <w:bCs/>
                <w:sz w:val="24"/>
                <w:szCs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70AE2AE4">
            <w:pPr>
              <w:jc w:val="center"/>
              <w:rPr>
                <w:rFonts w:ascii="宋体" w:hAnsi="宋体"/>
                <w:bCs/>
                <w:sz w:val="24"/>
                <w:szCs w:val="24"/>
              </w:rPr>
            </w:pPr>
            <w:r>
              <w:rPr>
                <w:rFonts w:hint="eastAsia" w:ascii="宋体" w:hAnsi="宋体"/>
                <w:bCs/>
                <w:sz w:val="24"/>
                <w:szCs w:val="24"/>
              </w:rPr>
              <w:t>5分</w:t>
            </w:r>
          </w:p>
        </w:tc>
        <w:tc>
          <w:tcPr>
            <w:tcW w:w="6069" w:type="dxa"/>
            <w:tcBorders>
              <w:top w:val="single" w:color="auto" w:sz="4" w:space="0"/>
              <w:left w:val="single" w:color="auto" w:sz="4" w:space="0"/>
              <w:bottom w:val="single" w:color="auto" w:sz="4" w:space="0"/>
              <w:right w:val="single" w:color="auto" w:sz="4" w:space="0"/>
            </w:tcBorders>
          </w:tcPr>
          <w:p w14:paraId="2C55F224">
            <w:pPr>
              <w:rPr>
                <w:rFonts w:ascii="宋体" w:hAnsi="宋体"/>
                <w:bCs/>
                <w:sz w:val="24"/>
                <w:szCs w:val="24"/>
              </w:rPr>
            </w:pPr>
            <w:r>
              <w:rPr>
                <w:rFonts w:hint="eastAsia" w:ascii="宋体" w:hAnsi="宋体"/>
                <w:bCs/>
                <w:sz w:val="24"/>
                <w:szCs w:val="24"/>
              </w:rPr>
              <w:t>2022年1月1日以来投标人参与类似的社会民生保障类项目（5分）（每提供一个得1分，以中标通知书或保险合同复印件为准，最高得5分）</w:t>
            </w:r>
          </w:p>
        </w:tc>
      </w:tr>
      <w:tr w14:paraId="72CAD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01DDFCB5">
            <w:pPr>
              <w:jc w:val="center"/>
              <w:rPr>
                <w:rFonts w:ascii="宋体" w:hAnsi="宋体"/>
                <w:bCs/>
                <w:sz w:val="24"/>
                <w:szCs w:val="24"/>
              </w:rPr>
            </w:pPr>
            <w:r>
              <w:rPr>
                <w:rFonts w:hint="eastAsia" w:ascii="宋体" w:hAnsi="宋体"/>
                <w:bCs/>
                <w:sz w:val="24"/>
                <w:szCs w:val="24"/>
              </w:rPr>
              <w:t>4</w:t>
            </w:r>
          </w:p>
        </w:tc>
        <w:tc>
          <w:tcPr>
            <w:tcW w:w="709" w:type="dxa"/>
            <w:vMerge w:val="continue"/>
            <w:tcBorders>
              <w:left w:val="single" w:color="auto" w:sz="4" w:space="0"/>
              <w:right w:val="single" w:color="auto" w:sz="4" w:space="0"/>
            </w:tcBorders>
            <w:vAlign w:val="center"/>
          </w:tcPr>
          <w:p w14:paraId="1323EBF1">
            <w:pPr>
              <w:jc w:val="center"/>
              <w:rPr>
                <w:rFonts w:ascii="宋体" w:hAnsi="宋体"/>
                <w:bCs/>
                <w:sz w:val="24"/>
                <w:szCs w:val="24"/>
              </w:rPr>
            </w:pPr>
          </w:p>
        </w:tc>
        <w:tc>
          <w:tcPr>
            <w:tcW w:w="1242" w:type="dxa"/>
            <w:tcBorders>
              <w:top w:val="single" w:color="auto" w:sz="4" w:space="0"/>
              <w:left w:val="single" w:color="auto" w:sz="4" w:space="0"/>
              <w:bottom w:val="single" w:color="auto" w:sz="4" w:space="0"/>
              <w:right w:val="single" w:color="auto" w:sz="4" w:space="0"/>
            </w:tcBorders>
            <w:vAlign w:val="center"/>
          </w:tcPr>
          <w:p w14:paraId="7D7E7E18">
            <w:pPr>
              <w:jc w:val="center"/>
              <w:rPr>
                <w:rFonts w:ascii="宋体" w:hAnsi="宋体" w:cs="宋体"/>
                <w:sz w:val="24"/>
                <w:szCs w:val="24"/>
              </w:rPr>
            </w:pPr>
            <w:r>
              <w:rPr>
                <w:rFonts w:hint="eastAsia" w:ascii="宋体" w:hAnsi="宋体" w:cs="宋体"/>
                <w:sz w:val="24"/>
                <w:szCs w:val="24"/>
              </w:rPr>
              <w:t>团队配置</w:t>
            </w:r>
          </w:p>
        </w:tc>
        <w:tc>
          <w:tcPr>
            <w:tcW w:w="817" w:type="dxa"/>
            <w:tcBorders>
              <w:top w:val="single" w:color="auto" w:sz="4" w:space="0"/>
              <w:left w:val="single" w:color="auto" w:sz="4" w:space="0"/>
              <w:bottom w:val="single" w:color="auto" w:sz="4" w:space="0"/>
              <w:right w:val="single" w:color="auto" w:sz="4" w:space="0"/>
            </w:tcBorders>
            <w:vAlign w:val="center"/>
          </w:tcPr>
          <w:p w14:paraId="767D58CB">
            <w:pPr>
              <w:jc w:val="center"/>
              <w:rPr>
                <w:rFonts w:ascii="宋体" w:hAnsi="宋体"/>
                <w:bCs/>
                <w:sz w:val="24"/>
                <w:szCs w:val="24"/>
              </w:rPr>
            </w:pPr>
            <w:r>
              <w:rPr>
                <w:rFonts w:hint="eastAsia" w:ascii="宋体" w:hAnsi="宋体"/>
                <w:bCs/>
                <w:sz w:val="24"/>
                <w:szCs w:val="24"/>
              </w:rPr>
              <w:t>5分</w:t>
            </w:r>
          </w:p>
        </w:tc>
        <w:tc>
          <w:tcPr>
            <w:tcW w:w="6069" w:type="dxa"/>
            <w:tcBorders>
              <w:top w:val="single" w:color="auto" w:sz="4" w:space="0"/>
              <w:left w:val="single" w:color="auto" w:sz="4" w:space="0"/>
              <w:bottom w:val="single" w:color="auto" w:sz="4" w:space="0"/>
              <w:right w:val="single" w:color="auto" w:sz="4" w:space="0"/>
            </w:tcBorders>
            <w:vAlign w:val="center"/>
          </w:tcPr>
          <w:p w14:paraId="0DF00D20">
            <w:pPr>
              <w:rPr>
                <w:rFonts w:ascii="宋体" w:hAnsi="宋体"/>
                <w:bCs/>
                <w:sz w:val="24"/>
                <w:szCs w:val="24"/>
              </w:rPr>
            </w:pPr>
            <w:r>
              <w:rPr>
                <w:rFonts w:hint="eastAsia" w:ascii="宋体" w:hAnsi="宋体"/>
                <w:bCs/>
                <w:sz w:val="24"/>
                <w:szCs w:val="24"/>
              </w:rPr>
              <w:t>投标人</w:t>
            </w:r>
            <w:r>
              <w:rPr>
                <w:rFonts w:hint="eastAsia" w:ascii="宋体" w:hAnsi="宋体" w:cs="宋体"/>
                <w:sz w:val="24"/>
                <w:szCs w:val="24"/>
              </w:rPr>
              <w:t>拟为本项目配备的专职人员从事保险服务工作满5年的，有一人得1分，本项共5分。（提供相关人员毕业证书及相关证明材料复印件或扫描件，并提供该人员与投标人签订的劳动合同及由有关部门出具的最近六个月中任意一个月的社保缴费证明，不提供或提供不全的不得分）</w:t>
            </w:r>
          </w:p>
        </w:tc>
      </w:tr>
      <w:tr w14:paraId="24DA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3EE5A5E9">
            <w:pPr>
              <w:jc w:val="center"/>
              <w:rPr>
                <w:rFonts w:ascii="宋体" w:hAnsi="宋体"/>
                <w:bCs/>
                <w:sz w:val="24"/>
                <w:szCs w:val="24"/>
              </w:rPr>
            </w:pPr>
            <w:r>
              <w:rPr>
                <w:rFonts w:hint="eastAsia" w:ascii="宋体" w:hAnsi="宋体"/>
                <w:bCs/>
                <w:sz w:val="24"/>
                <w:szCs w:val="24"/>
              </w:rPr>
              <w:t>5</w:t>
            </w:r>
          </w:p>
        </w:tc>
        <w:tc>
          <w:tcPr>
            <w:tcW w:w="709" w:type="dxa"/>
            <w:vMerge w:val="continue"/>
            <w:tcBorders>
              <w:left w:val="single" w:color="auto" w:sz="4" w:space="0"/>
              <w:right w:val="single" w:color="auto" w:sz="4" w:space="0"/>
            </w:tcBorders>
            <w:vAlign w:val="center"/>
          </w:tcPr>
          <w:p w14:paraId="1440D8B1">
            <w:pPr>
              <w:jc w:val="center"/>
              <w:rPr>
                <w:rFonts w:ascii="宋体" w:hAnsi="宋体"/>
                <w:bCs/>
                <w:sz w:val="24"/>
                <w:szCs w:val="24"/>
              </w:rPr>
            </w:pPr>
          </w:p>
        </w:tc>
        <w:tc>
          <w:tcPr>
            <w:tcW w:w="1242" w:type="dxa"/>
            <w:tcBorders>
              <w:top w:val="single" w:color="auto" w:sz="4" w:space="0"/>
              <w:left w:val="single" w:color="auto" w:sz="4" w:space="0"/>
              <w:bottom w:val="single" w:color="auto" w:sz="4" w:space="0"/>
              <w:right w:val="single" w:color="auto" w:sz="4" w:space="0"/>
            </w:tcBorders>
            <w:vAlign w:val="center"/>
          </w:tcPr>
          <w:p w14:paraId="49AEC945">
            <w:pPr>
              <w:jc w:val="center"/>
              <w:rPr>
                <w:rFonts w:ascii="宋体" w:hAnsi="宋体"/>
                <w:sz w:val="24"/>
                <w:szCs w:val="24"/>
              </w:rPr>
            </w:pPr>
            <w:r>
              <w:rPr>
                <w:rFonts w:hint="eastAsia" w:ascii="宋体" w:hAnsi="宋体" w:cs="宋体"/>
                <w:sz w:val="24"/>
                <w:szCs w:val="24"/>
              </w:rPr>
              <w:t>网点分布</w:t>
            </w:r>
          </w:p>
        </w:tc>
        <w:tc>
          <w:tcPr>
            <w:tcW w:w="817" w:type="dxa"/>
            <w:tcBorders>
              <w:top w:val="single" w:color="auto" w:sz="4" w:space="0"/>
              <w:left w:val="single" w:color="auto" w:sz="4" w:space="0"/>
              <w:bottom w:val="single" w:color="auto" w:sz="4" w:space="0"/>
              <w:right w:val="single" w:color="auto" w:sz="4" w:space="0"/>
            </w:tcBorders>
            <w:vAlign w:val="center"/>
          </w:tcPr>
          <w:p w14:paraId="72443CE1">
            <w:pPr>
              <w:jc w:val="center"/>
              <w:rPr>
                <w:rFonts w:ascii="宋体" w:hAnsi="宋体"/>
                <w:sz w:val="24"/>
                <w:szCs w:val="24"/>
              </w:rPr>
            </w:pPr>
            <w:r>
              <w:rPr>
                <w:rFonts w:hint="eastAsia" w:ascii="宋体" w:hAnsi="宋体" w:cs="宋体"/>
                <w:sz w:val="24"/>
                <w:szCs w:val="24"/>
              </w:rPr>
              <w:t>5分</w:t>
            </w:r>
          </w:p>
        </w:tc>
        <w:tc>
          <w:tcPr>
            <w:tcW w:w="6069" w:type="dxa"/>
            <w:tcBorders>
              <w:top w:val="single" w:color="auto" w:sz="4" w:space="0"/>
              <w:left w:val="single" w:color="auto" w:sz="4" w:space="0"/>
              <w:bottom w:val="single" w:color="auto" w:sz="4" w:space="0"/>
              <w:right w:val="single" w:color="auto" w:sz="4" w:space="0"/>
            </w:tcBorders>
            <w:vAlign w:val="center"/>
          </w:tcPr>
          <w:p w14:paraId="5D866225">
            <w:pPr>
              <w:rPr>
                <w:rFonts w:ascii="宋体" w:hAnsi="宋体" w:cs="宋体"/>
                <w:sz w:val="24"/>
                <w:szCs w:val="24"/>
              </w:rPr>
            </w:pPr>
            <w:r>
              <w:rPr>
                <w:rFonts w:hint="eastAsia" w:ascii="宋体" w:hAnsi="宋体"/>
                <w:bCs/>
                <w:sz w:val="24"/>
              </w:rPr>
              <w:t>投标人所属分支机构及经营部数量（5分）；（以营业执照副本复印件或扫描件为准，所属分支机构有1个得1分，经营部或服务网点有1个得0.5分，累计得5分）</w:t>
            </w:r>
          </w:p>
        </w:tc>
      </w:tr>
      <w:tr w14:paraId="0D52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1" w:hRule="atLeast"/>
        </w:trPr>
        <w:tc>
          <w:tcPr>
            <w:tcW w:w="567" w:type="dxa"/>
            <w:vMerge w:val="restart"/>
            <w:tcBorders>
              <w:left w:val="single" w:color="auto" w:sz="4" w:space="0"/>
              <w:right w:val="single" w:color="auto" w:sz="4" w:space="0"/>
            </w:tcBorders>
            <w:vAlign w:val="center"/>
          </w:tcPr>
          <w:p w14:paraId="133F5AAA">
            <w:pPr>
              <w:jc w:val="center"/>
              <w:rPr>
                <w:rFonts w:ascii="宋体" w:hAnsi="宋体"/>
                <w:bCs/>
                <w:sz w:val="24"/>
                <w:szCs w:val="24"/>
              </w:rPr>
            </w:pPr>
            <w:r>
              <w:rPr>
                <w:rFonts w:hint="eastAsia" w:ascii="宋体" w:hAnsi="宋体"/>
                <w:bCs/>
                <w:sz w:val="24"/>
                <w:szCs w:val="24"/>
              </w:rPr>
              <w:t>6</w:t>
            </w:r>
          </w:p>
        </w:tc>
        <w:tc>
          <w:tcPr>
            <w:tcW w:w="709" w:type="dxa"/>
            <w:vMerge w:val="continue"/>
            <w:tcBorders>
              <w:left w:val="single" w:color="auto" w:sz="4" w:space="0"/>
              <w:right w:val="single" w:color="auto" w:sz="4" w:space="0"/>
            </w:tcBorders>
            <w:vAlign w:val="center"/>
          </w:tcPr>
          <w:p w14:paraId="3238ABAA">
            <w:pPr>
              <w:jc w:val="center"/>
              <w:rPr>
                <w:rFonts w:ascii="宋体" w:hAnsi="宋体"/>
                <w:bCs/>
                <w:sz w:val="24"/>
                <w:szCs w:val="24"/>
              </w:rPr>
            </w:pPr>
          </w:p>
        </w:tc>
        <w:tc>
          <w:tcPr>
            <w:tcW w:w="1242" w:type="dxa"/>
            <w:vMerge w:val="restart"/>
            <w:tcBorders>
              <w:top w:val="single" w:color="auto" w:sz="4" w:space="0"/>
              <w:left w:val="single" w:color="auto" w:sz="4" w:space="0"/>
              <w:right w:val="single" w:color="auto" w:sz="4" w:space="0"/>
            </w:tcBorders>
            <w:vAlign w:val="center"/>
          </w:tcPr>
          <w:p w14:paraId="2CD769A5">
            <w:pPr>
              <w:jc w:val="center"/>
              <w:rPr>
                <w:rFonts w:ascii="宋体" w:hAnsi="宋体"/>
                <w:bCs/>
                <w:sz w:val="24"/>
                <w:szCs w:val="24"/>
              </w:rPr>
            </w:pPr>
            <w:r>
              <w:rPr>
                <w:rFonts w:hint="eastAsia" w:ascii="宋体" w:hAnsi="宋体" w:cs="宋体"/>
                <w:bCs/>
                <w:sz w:val="24"/>
                <w:szCs w:val="24"/>
              </w:rPr>
              <w:t>保障限额</w:t>
            </w:r>
          </w:p>
        </w:tc>
        <w:tc>
          <w:tcPr>
            <w:tcW w:w="817" w:type="dxa"/>
            <w:vMerge w:val="restart"/>
            <w:tcBorders>
              <w:top w:val="single" w:color="auto" w:sz="4" w:space="0"/>
              <w:left w:val="single" w:color="auto" w:sz="4" w:space="0"/>
              <w:right w:val="single" w:color="auto" w:sz="4" w:space="0"/>
            </w:tcBorders>
            <w:vAlign w:val="center"/>
          </w:tcPr>
          <w:p w14:paraId="4FF41A11">
            <w:pPr>
              <w:jc w:val="center"/>
              <w:rPr>
                <w:rFonts w:ascii="宋体" w:hAnsi="宋体"/>
                <w:bCs/>
                <w:sz w:val="24"/>
                <w:szCs w:val="24"/>
              </w:rPr>
            </w:pPr>
            <w:r>
              <w:rPr>
                <w:rFonts w:hint="eastAsia" w:ascii="宋体" w:hAnsi="宋体" w:cs="宋体"/>
                <w:bCs/>
                <w:sz w:val="24"/>
                <w:szCs w:val="24"/>
              </w:rPr>
              <w:t>14分</w:t>
            </w:r>
          </w:p>
        </w:tc>
        <w:tc>
          <w:tcPr>
            <w:tcW w:w="6069" w:type="dxa"/>
            <w:tcBorders>
              <w:top w:val="single" w:color="auto" w:sz="4" w:space="0"/>
              <w:left w:val="single" w:color="auto" w:sz="4" w:space="0"/>
              <w:bottom w:val="single" w:color="auto" w:sz="4" w:space="0"/>
              <w:right w:val="single" w:color="auto" w:sz="4" w:space="0"/>
            </w:tcBorders>
            <w:vAlign w:val="center"/>
          </w:tcPr>
          <w:p w14:paraId="4DCD43D9">
            <w:pPr>
              <w:rPr>
                <w:rFonts w:ascii="宋体" w:hAnsi="宋体"/>
                <w:b/>
                <w:sz w:val="24"/>
                <w:szCs w:val="24"/>
              </w:rPr>
            </w:pPr>
            <w:r>
              <w:rPr>
                <w:rFonts w:hint="eastAsia" w:ascii="宋体" w:hAnsi="宋体"/>
                <w:b/>
                <w:sz w:val="24"/>
                <w:szCs w:val="24"/>
              </w:rPr>
              <w:t>①养老机构综合责任保险（5分）</w:t>
            </w:r>
          </w:p>
          <w:p w14:paraId="442E4116">
            <w:pPr>
              <w:rPr>
                <w:rFonts w:ascii="宋体" w:hAnsi="宋体"/>
                <w:bCs/>
                <w:sz w:val="24"/>
                <w:szCs w:val="24"/>
              </w:rPr>
            </w:pPr>
            <w:r>
              <w:rPr>
                <w:rFonts w:hint="eastAsia" w:ascii="宋体" w:hAnsi="宋体"/>
                <w:bCs/>
                <w:sz w:val="24"/>
                <w:szCs w:val="24"/>
              </w:rPr>
              <w:t>投标人所报</w:t>
            </w:r>
            <w:r>
              <w:rPr>
                <w:rFonts w:hint="eastAsia" w:ascii="宋体" w:hAnsi="宋体" w:cs="宋体"/>
                <w:sz w:val="24"/>
                <w:szCs w:val="24"/>
              </w:rPr>
              <w:t>死亡、伤残赔偿限额和其他分项赔偿限额</w:t>
            </w:r>
            <w:r>
              <w:rPr>
                <w:rFonts w:hint="eastAsia" w:ascii="宋体" w:hAnsi="宋体"/>
                <w:bCs/>
                <w:sz w:val="24"/>
                <w:szCs w:val="24"/>
              </w:rPr>
              <w:t>等于本项目“第五章 保险方案”对应项赔偿限额的得对应项基本分1分；</w:t>
            </w:r>
            <w:r>
              <w:rPr>
                <w:rFonts w:hint="eastAsia" w:ascii="宋体" w:hAnsi="宋体" w:cs="宋体"/>
                <w:sz w:val="24"/>
                <w:szCs w:val="24"/>
              </w:rPr>
              <w:t>承诺所有分项赔偿限额每增加10%，得1分，本项最高得5分。</w:t>
            </w:r>
          </w:p>
        </w:tc>
      </w:tr>
      <w:tr w14:paraId="1A79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8" w:hRule="atLeast"/>
        </w:trPr>
        <w:tc>
          <w:tcPr>
            <w:tcW w:w="567" w:type="dxa"/>
            <w:vMerge w:val="continue"/>
            <w:tcBorders>
              <w:left w:val="single" w:color="auto" w:sz="4" w:space="0"/>
              <w:right w:val="single" w:color="auto" w:sz="4" w:space="0"/>
            </w:tcBorders>
            <w:vAlign w:val="center"/>
          </w:tcPr>
          <w:p w14:paraId="732A5ACF">
            <w:pPr>
              <w:jc w:val="center"/>
              <w:rPr>
                <w:rFonts w:ascii="宋体" w:hAnsi="宋体"/>
                <w:bCs/>
                <w:sz w:val="24"/>
                <w:szCs w:val="24"/>
              </w:rPr>
            </w:pPr>
          </w:p>
        </w:tc>
        <w:tc>
          <w:tcPr>
            <w:tcW w:w="709" w:type="dxa"/>
            <w:vMerge w:val="continue"/>
            <w:tcBorders>
              <w:left w:val="single" w:color="auto" w:sz="4" w:space="0"/>
              <w:right w:val="single" w:color="auto" w:sz="4" w:space="0"/>
            </w:tcBorders>
            <w:vAlign w:val="center"/>
          </w:tcPr>
          <w:p w14:paraId="18A3AC7A">
            <w:pPr>
              <w:jc w:val="center"/>
              <w:rPr>
                <w:rFonts w:ascii="宋体" w:hAnsi="宋体"/>
                <w:bCs/>
                <w:sz w:val="24"/>
                <w:szCs w:val="24"/>
              </w:rPr>
            </w:pPr>
          </w:p>
        </w:tc>
        <w:tc>
          <w:tcPr>
            <w:tcW w:w="1242" w:type="dxa"/>
            <w:vMerge w:val="continue"/>
            <w:tcBorders>
              <w:left w:val="single" w:color="auto" w:sz="4" w:space="0"/>
              <w:right w:val="single" w:color="auto" w:sz="4" w:space="0"/>
            </w:tcBorders>
            <w:vAlign w:val="center"/>
          </w:tcPr>
          <w:p w14:paraId="603C0D37">
            <w:pPr>
              <w:jc w:val="center"/>
              <w:rPr>
                <w:rFonts w:ascii="宋体" w:hAnsi="宋体" w:cs="宋体"/>
                <w:bCs/>
                <w:sz w:val="24"/>
                <w:szCs w:val="24"/>
              </w:rPr>
            </w:pPr>
          </w:p>
        </w:tc>
        <w:tc>
          <w:tcPr>
            <w:tcW w:w="817" w:type="dxa"/>
            <w:vMerge w:val="continue"/>
            <w:tcBorders>
              <w:left w:val="single" w:color="auto" w:sz="4" w:space="0"/>
              <w:right w:val="single" w:color="auto" w:sz="4" w:space="0"/>
            </w:tcBorders>
            <w:vAlign w:val="center"/>
          </w:tcPr>
          <w:p w14:paraId="4CFE28AB">
            <w:pPr>
              <w:jc w:val="center"/>
              <w:rPr>
                <w:rFonts w:ascii="宋体" w:hAnsi="宋体" w:cs="宋体"/>
                <w:bCs/>
                <w:sz w:val="24"/>
                <w:szCs w:val="24"/>
              </w:rPr>
            </w:pPr>
          </w:p>
        </w:tc>
        <w:tc>
          <w:tcPr>
            <w:tcW w:w="6069" w:type="dxa"/>
            <w:tcBorders>
              <w:top w:val="single" w:color="auto" w:sz="4" w:space="0"/>
              <w:left w:val="single" w:color="auto" w:sz="4" w:space="0"/>
              <w:bottom w:val="single" w:color="auto" w:sz="4" w:space="0"/>
              <w:right w:val="single" w:color="auto" w:sz="4" w:space="0"/>
            </w:tcBorders>
            <w:vAlign w:val="center"/>
          </w:tcPr>
          <w:p w14:paraId="354C6A96">
            <w:pPr>
              <w:rPr>
                <w:rFonts w:ascii="宋体" w:hAnsi="宋体"/>
                <w:b/>
                <w:sz w:val="24"/>
                <w:szCs w:val="24"/>
              </w:rPr>
            </w:pPr>
            <w:r>
              <w:rPr>
                <w:rFonts w:hint="eastAsia" w:ascii="宋体" w:hAnsi="宋体"/>
                <w:b/>
                <w:sz w:val="24"/>
                <w:szCs w:val="24"/>
              </w:rPr>
              <w:t>②养老机构入住老人意外伤害保险（5分）</w:t>
            </w:r>
          </w:p>
          <w:p w14:paraId="012D40DE">
            <w:pPr>
              <w:rPr>
                <w:rFonts w:ascii="宋体" w:hAnsi="宋体"/>
                <w:bCs/>
                <w:sz w:val="24"/>
                <w:szCs w:val="24"/>
              </w:rPr>
            </w:pPr>
            <w:r>
              <w:rPr>
                <w:rFonts w:hint="eastAsia" w:ascii="宋体" w:hAnsi="宋体"/>
                <w:bCs/>
                <w:sz w:val="24"/>
                <w:szCs w:val="24"/>
              </w:rPr>
              <w:t>投标人所报</w:t>
            </w:r>
            <w:r>
              <w:rPr>
                <w:rFonts w:hint="eastAsia" w:ascii="宋体" w:hAnsi="宋体" w:cs="宋体"/>
                <w:sz w:val="24"/>
                <w:szCs w:val="24"/>
              </w:rPr>
              <w:t>死亡、伤残赔偿限额和其他分项赔偿限额</w:t>
            </w:r>
            <w:r>
              <w:rPr>
                <w:rFonts w:hint="eastAsia" w:ascii="宋体" w:hAnsi="宋体"/>
                <w:bCs/>
                <w:sz w:val="24"/>
                <w:szCs w:val="24"/>
              </w:rPr>
              <w:t>等于本项目“第五章 保险方案”对应项赔偿限额的得对应项基本分1分；</w:t>
            </w:r>
            <w:r>
              <w:rPr>
                <w:rFonts w:hint="eastAsia" w:ascii="宋体" w:hAnsi="宋体" w:cs="宋体"/>
                <w:sz w:val="24"/>
                <w:szCs w:val="24"/>
              </w:rPr>
              <w:t>承诺所有分项赔偿限额每增加10%，得1分，本项最高得5分。</w:t>
            </w:r>
          </w:p>
        </w:tc>
      </w:tr>
      <w:tr w14:paraId="0F36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8" w:hRule="atLeast"/>
        </w:trPr>
        <w:tc>
          <w:tcPr>
            <w:tcW w:w="567" w:type="dxa"/>
            <w:vMerge w:val="continue"/>
            <w:tcBorders>
              <w:left w:val="single" w:color="auto" w:sz="4" w:space="0"/>
              <w:right w:val="single" w:color="auto" w:sz="4" w:space="0"/>
            </w:tcBorders>
            <w:vAlign w:val="center"/>
          </w:tcPr>
          <w:p w14:paraId="210867D8">
            <w:pPr>
              <w:jc w:val="center"/>
              <w:rPr>
                <w:rFonts w:ascii="宋体" w:hAnsi="宋体"/>
                <w:bCs/>
                <w:sz w:val="24"/>
                <w:szCs w:val="24"/>
              </w:rPr>
            </w:pPr>
          </w:p>
        </w:tc>
        <w:tc>
          <w:tcPr>
            <w:tcW w:w="709" w:type="dxa"/>
            <w:vMerge w:val="continue"/>
            <w:tcBorders>
              <w:left w:val="single" w:color="auto" w:sz="4" w:space="0"/>
              <w:right w:val="single" w:color="auto" w:sz="4" w:space="0"/>
            </w:tcBorders>
            <w:vAlign w:val="center"/>
          </w:tcPr>
          <w:p w14:paraId="49B46F6A">
            <w:pPr>
              <w:jc w:val="center"/>
              <w:rPr>
                <w:rFonts w:ascii="宋体" w:hAnsi="宋体"/>
                <w:bCs/>
                <w:sz w:val="24"/>
                <w:szCs w:val="24"/>
              </w:rPr>
            </w:pPr>
          </w:p>
        </w:tc>
        <w:tc>
          <w:tcPr>
            <w:tcW w:w="1242" w:type="dxa"/>
            <w:vMerge w:val="continue"/>
            <w:tcBorders>
              <w:left w:val="single" w:color="auto" w:sz="4" w:space="0"/>
              <w:bottom w:val="single" w:color="auto" w:sz="4" w:space="0"/>
              <w:right w:val="single" w:color="auto" w:sz="4" w:space="0"/>
            </w:tcBorders>
            <w:vAlign w:val="center"/>
          </w:tcPr>
          <w:p w14:paraId="5AAA5EF7">
            <w:pPr>
              <w:jc w:val="center"/>
              <w:rPr>
                <w:rFonts w:ascii="宋体" w:hAnsi="宋体" w:cs="宋体"/>
                <w:bCs/>
                <w:sz w:val="24"/>
                <w:szCs w:val="24"/>
              </w:rPr>
            </w:pPr>
          </w:p>
        </w:tc>
        <w:tc>
          <w:tcPr>
            <w:tcW w:w="817" w:type="dxa"/>
            <w:vMerge w:val="continue"/>
            <w:tcBorders>
              <w:left w:val="single" w:color="auto" w:sz="4" w:space="0"/>
              <w:bottom w:val="single" w:color="auto" w:sz="4" w:space="0"/>
              <w:right w:val="single" w:color="auto" w:sz="4" w:space="0"/>
            </w:tcBorders>
            <w:vAlign w:val="center"/>
          </w:tcPr>
          <w:p w14:paraId="6D6687D1">
            <w:pPr>
              <w:jc w:val="center"/>
              <w:rPr>
                <w:rFonts w:ascii="宋体" w:hAnsi="宋体" w:cs="宋体"/>
                <w:bCs/>
                <w:sz w:val="24"/>
                <w:szCs w:val="24"/>
              </w:rPr>
            </w:pPr>
          </w:p>
        </w:tc>
        <w:tc>
          <w:tcPr>
            <w:tcW w:w="6069" w:type="dxa"/>
            <w:tcBorders>
              <w:top w:val="single" w:color="auto" w:sz="4" w:space="0"/>
              <w:left w:val="single" w:color="auto" w:sz="4" w:space="0"/>
              <w:bottom w:val="single" w:color="auto" w:sz="4" w:space="0"/>
              <w:right w:val="single" w:color="auto" w:sz="4" w:space="0"/>
            </w:tcBorders>
            <w:vAlign w:val="center"/>
          </w:tcPr>
          <w:p w14:paraId="1BCAFF35">
            <w:pPr>
              <w:rPr>
                <w:rFonts w:ascii="宋体" w:hAnsi="宋体"/>
                <w:b/>
                <w:sz w:val="24"/>
                <w:szCs w:val="24"/>
              </w:rPr>
            </w:pPr>
            <w:r>
              <w:rPr>
                <w:rFonts w:hint="eastAsia" w:ascii="宋体" w:hAnsi="宋体"/>
                <w:b/>
                <w:sz w:val="24"/>
                <w:szCs w:val="24"/>
              </w:rPr>
              <w:t>③居家养老服务机构综合责任保险（4分）</w:t>
            </w:r>
          </w:p>
          <w:p w14:paraId="15C63987">
            <w:pPr>
              <w:rPr>
                <w:rFonts w:ascii="宋体" w:hAnsi="宋体"/>
                <w:bCs/>
                <w:sz w:val="24"/>
                <w:szCs w:val="24"/>
              </w:rPr>
            </w:pPr>
            <w:r>
              <w:rPr>
                <w:rFonts w:hint="eastAsia" w:ascii="宋体" w:hAnsi="宋体"/>
                <w:bCs/>
                <w:sz w:val="24"/>
                <w:szCs w:val="24"/>
              </w:rPr>
              <w:t>投标人所报</w:t>
            </w:r>
            <w:r>
              <w:rPr>
                <w:rFonts w:hint="eastAsia" w:ascii="宋体" w:hAnsi="宋体" w:cs="宋体"/>
                <w:sz w:val="24"/>
                <w:szCs w:val="24"/>
              </w:rPr>
              <w:t>死亡、伤残赔偿限额和其他分项赔偿限额</w:t>
            </w:r>
            <w:r>
              <w:rPr>
                <w:rFonts w:hint="eastAsia" w:ascii="宋体" w:hAnsi="宋体"/>
                <w:bCs/>
                <w:sz w:val="24"/>
                <w:szCs w:val="24"/>
              </w:rPr>
              <w:t>等于本项目“第五章 保险方案”对应项赔偿限额的得对应项基本分1分；</w:t>
            </w:r>
            <w:r>
              <w:rPr>
                <w:rFonts w:hint="eastAsia" w:ascii="宋体" w:hAnsi="宋体" w:cs="宋体"/>
                <w:sz w:val="24"/>
                <w:szCs w:val="24"/>
              </w:rPr>
              <w:t>承诺所有分项赔偿限额每增加10%，得1分，本项最高得4分。</w:t>
            </w:r>
          </w:p>
        </w:tc>
      </w:tr>
      <w:tr w14:paraId="643E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7910A357">
            <w:pPr>
              <w:jc w:val="center"/>
              <w:rPr>
                <w:rFonts w:ascii="宋体" w:hAnsi="宋体"/>
                <w:bCs/>
                <w:sz w:val="24"/>
                <w:szCs w:val="24"/>
              </w:rPr>
            </w:pPr>
            <w:r>
              <w:rPr>
                <w:rFonts w:hint="eastAsia" w:ascii="宋体" w:hAnsi="宋体"/>
                <w:bCs/>
                <w:sz w:val="24"/>
                <w:szCs w:val="24"/>
              </w:rPr>
              <w:t>7</w:t>
            </w:r>
          </w:p>
        </w:tc>
        <w:tc>
          <w:tcPr>
            <w:tcW w:w="709" w:type="dxa"/>
            <w:vMerge w:val="restart"/>
            <w:tcBorders>
              <w:left w:val="single" w:color="auto" w:sz="4" w:space="0"/>
              <w:right w:val="single" w:color="auto" w:sz="4" w:space="0"/>
            </w:tcBorders>
            <w:vAlign w:val="center"/>
          </w:tcPr>
          <w:p w14:paraId="4A6F30F4">
            <w:pPr>
              <w:rPr>
                <w:rFonts w:ascii="宋体" w:hAnsi="宋体"/>
                <w:bCs/>
                <w:sz w:val="24"/>
                <w:szCs w:val="24"/>
              </w:rPr>
            </w:pPr>
            <w:r>
              <w:rPr>
                <w:rFonts w:hint="eastAsia" w:ascii="宋体" w:hAnsi="宋体"/>
                <w:bCs/>
                <w:sz w:val="24"/>
                <w:szCs w:val="24"/>
              </w:rPr>
              <w:t>技术部分（60分）</w:t>
            </w:r>
          </w:p>
        </w:tc>
        <w:tc>
          <w:tcPr>
            <w:tcW w:w="1242" w:type="dxa"/>
            <w:tcBorders>
              <w:top w:val="single" w:color="auto" w:sz="4" w:space="0"/>
              <w:left w:val="single" w:color="auto" w:sz="4" w:space="0"/>
              <w:bottom w:val="single" w:color="auto" w:sz="4" w:space="0"/>
              <w:right w:val="single" w:color="auto" w:sz="4" w:space="0"/>
            </w:tcBorders>
            <w:vAlign w:val="center"/>
          </w:tcPr>
          <w:p w14:paraId="2067ECE5">
            <w:pPr>
              <w:jc w:val="center"/>
              <w:rPr>
                <w:rFonts w:ascii="宋体" w:hAnsi="宋体"/>
                <w:bCs/>
                <w:sz w:val="24"/>
                <w:szCs w:val="24"/>
              </w:rPr>
            </w:pPr>
            <w:r>
              <w:rPr>
                <w:rFonts w:hint="eastAsia" w:ascii="宋体" w:hAnsi="宋体" w:cs="宋体"/>
                <w:bCs/>
                <w:sz w:val="24"/>
                <w:szCs w:val="24"/>
              </w:rPr>
              <w:t>总体方案</w:t>
            </w:r>
          </w:p>
        </w:tc>
        <w:tc>
          <w:tcPr>
            <w:tcW w:w="817" w:type="dxa"/>
            <w:tcBorders>
              <w:top w:val="single" w:color="auto" w:sz="4" w:space="0"/>
              <w:left w:val="single" w:color="auto" w:sz="4" w:space="0"/>
              <w:bottom w:val="single" w:color="auto" w:sz="4" w:space="0"/>
              <w:right w:val="single" w:color="auto" w:sz="4" w:space="0"/>
            </w:tcBorders>
            <w:vAlign w:val="center"/>
          </w:tcPr>
          <w:p w14:paraId="47DC0737">
            <w:pPr>
              <w:jc w:val="center"/>
              <w:rPr>
                <w:rFonts w:ascii="宋体" w:hAnsi="宋体"/>
                <w:bCs/>
                <w:sz w:val="24"/>
                <w:szCs w:val="24"/>
              </w:rPr>
            </w:pPr>
            <w:r>
              <w:rPr>
                <w:rFonts w:hint="eastAsia" w:ascii="宋体" w:hAnsi="宋体" w:cs="宋体"/>
                <w:bCs/>
                <w:sz w:val="24"/>
                <w:szCs w:val="24"/>
              </w:rPr>
              <w:t>8分</w:t>
            </w:r>
          </w:p>
        </w:tc>
        <w:tc>
          <w:tcPr>
            <w:tcW w:w="6069" w:type="dxa"/>
            <w:tcBorders>
              <w:top w:val="single" w:color="auto" w:sz="4" w:space="0"/>
              <w:left w:val="single" w:color="auto" w:sz="4" w:space="0"/>
              <w:bottom w:val="single" w:color="auto" w:sz="4" w:space="0"/>
              <w:right w:val="single" w:color="auto" w:sz="4" w:space="0"/>
            </w:tcBorders>
            <w:vAlign w:val="center"/>
          </w:tcPr>
          <w:p w14:paraId="0E29DFF9">
            <w:pPr>
              <w:rPr>
                <w:rFonts w:ascii="宋体" w:hAnsi="宋体" w:cs="宋体"/>
                <w:bCs/>
                <w:sz w:val="24"/>
                <w:szCs w:val="24"/>
              </w:rPr>
            </w:pPr>
            <w:r>
              <w:rPr>
                <w:rFonts w:hint="eastAsia" w:ascii="宋体" w:hAnsi="宋体"/>
                <w:bCs/>
                <w:sz w:val="24"/>
                <w:szCs w:val="24"/>
              </w:rPr>
              <w:t>包括但不限于</w:t>
            </w:r>
            <w:r>
              <w:rPr>
                <w:rFonts w:hint="eastAsia" w:ascii="宋体" w:hAnsi="宋体" w:cs="宋体"/>
                <w:b/>
                <w:sz w:val="24"/>
                <w:szCs w:val="24"/>
              </w:rPr>
              <w:t>①三险的认识和分析</w:t>
            </w:r>
            <w:r>
              <w:rPr>
                <w:rFonts w:hint="eastAsia" w:ascii="宋体" w:hAnsi="宋体" w:cs="宋体"/>
                <w:bCs/>
                <w:sz w:val="24"/>
                <w:szCs w:val="24"/>
              </w:rPr>
              <w:t>（2分）</w:t>
            </w:r>
            <w:r>
              <w:rPr>
                <w:rFonts w:hint="eastAsia" w:ascii="宋体" w:hAnsi="宋体" w:cs="宋体"/>
                <w:b/>
                <w:sz w:val="24"/>
                <w:szCs w:val="24"/>
              </w:rPr>
              <w:t>②保险产品设计思路</w:t>
            </w:r>
            <w:r>
              <w:rPr>
                <w:rFonts w:hint="eastAsia" w:ascii="宋体" w:hAnsi="宋体" w:cs="宋体"/>
                <w:bCs/>
                <w:sz w:val="24"/>
                <w:szCs w:val="24"/>
              </w:rPr>
              <w:t>（2分）</w:t>
            </w:r>
            <w:r>
              <w:rPr>
                <w:rFonts w:hint="eastAsia" w:ascii="宋体" w:hAnsi="宋体" w:cs="宋体"/>
                <w:b/>
                <w:sz w:val="24"/>
                <w:szCs w:val="24"/>
              </w:rPr>
              <w:t>③保险采购模式</w:t>
            </w:r>
            <w:r>
              <w:rPr>
                <w:rFonts w:hint="eastAsia" w:ascii="宋体" w:hAnsi="宋体" w:cs="宋体"/>
                <w:bCs/>
                <w:sz w:val="24"/>
                <w:szCs w:val="24"/>
              </w:rPr>
              <w:t>（2分）</w:t>
            </w:r>
            <w:r>
              <w:rPr>
                <w:rFonts w:hint="eastAsia" w:ascii="宋体" w:hAnsi="宋体" w:cs="宋体"/>
                <w:b/>
                <w:sz w:val="24"/>
                <w:szCs w:val="24"/>
              </w:rPr>
              <w:t>④保障措施和分支机构落地服务方案</w:t>
            </w:r>
            <w:r>
              <w:rPr>
                <w:rFonts w:hint="eastAsia" w:ascii="宋体" w:hAnsi="宋体" w:cs="宋体"/>
                <w:bCs/>
                <w:sz w:val="24"/>
                <w:szCs w:val="24"/>
              </w:rPr>
              <w:t>（2分）</w:t>
            </w:r>
          </w:p>
          <w:p w14:paraId="1FF54A5F">
            <w:pPr>
              <w:rPr>
                <w:rFonts w:ascii="宋体" w:hAnsi="宋体"/>
                <w:bCs/>
                <w:sz w:val="24"/>
                <w:szCs w:val="24"/>
              </w:rPr>
            </w:pPr>
            <w:r>
              <w:rPr>
                <w:rFonts w:hint="eastAsia" w:ascii="宋体" w:hAnsi="宋体"/>
                <w:bCs/>
                <w:sz w:val="24"/>
                <w:szCs w:val="24"/>
              </w:rPr>
              <w:t>投标人须针对每条内容进行阐述，阐述内容须满足采购需求。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本项最高得8分。</w:t>
            </w:r>
          </w:p>
        </w:tc>
      </w:tr>
      <w:tr w14:paraId="695F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4700038F">
            <w:pPr>
              <w:jc w:val="center"/>
              <w:rPr>
                <w:rFonts w:ascii="宋体" w:hAnsi="宋体"/>
                <w:bCs/>
                <w:sz w:val="24"/>
                <w:szCs w:val="24"/>
              </w:rPr>
            </w:pPr>
            <w:r>
              <w:rPr>
                <w:rFonts w:hint="eastAsia" w:ascii="宋体" w:hAnsi="宋体"/>
                <w:bCs/>
                <w:sz w:val="24"/>
                <w:szCs w:val="24"/>
              </w:rPr>
              <w:t>8</w:t>
            </w:r>
          </w:p>
        </w:tc>
        <w:tc>
          <w:tcPr>
            <w:tcW w:w="709" w:type="dxa"/>
            <w:vMerge w:val="continue"/>
            <w:tcBorders>
              <w:left w:val="single" w:color="auto" w:sz="4" w:space="0"/>
              <w:right w:val="single" w:color="auto" w:sz="4" w:space="0"/>
            </w:tcBorders>
            <w:vAlign w:val="center"/>
          </w:tcPr>
          <w:p w14:paraId="57CD6F97">
            <w:pPr>
              <w:rPr>
                <w:rFonts w:ascii="宋体" w:hAnsi="宋体"/>
                <w:bCs/>
                <w:sz w:val="24"/>
                <w:szCs w:val="24"/>
              </w:rPr>
            </w:pPr>
          </w:p>
        </w:tc>
        <w:tc>
          <w:tcPr>
            <w:tcW w:w="1242" w:type="dxa"/>
            <w:tcBorders>
              <w:top w:val="single" w:color="auto" w:sz="4" w:space="0"/>
              <w:left w:val="single" w:color="auto" w:sz="4" w:space="0"/>
              <w:bottom w:val="single" w:color="auto" w:sz="4" w:space="0"/>
              <w:right w:val="single" w:color="auto" w:sz="4" w:space="0"/>
            </w:tcBorders>
            <w:vAlign w:val="center"/>
          </w:tcPr>
          <w:p w14:paraId="27C8D880">
            <w:pPr>
              <w:jc w:val="center"/>
              <w:rPr>
                <w:rFonts w:ascii="宋体" w:hAnsi="宋体"/>
                <w:bCs/>
                <w:sz w:val="24"/>
                <w:szCs w:val="24"/>
              </w:rPr>
            </w:pPr>
            <w:r>
              <w:rPr>
                <w:rFonts w:hint="eastAsia" w:ascii="宋体" w:hAnsi="宋体" w:cs="宋体"/>
                <w:bCs/>
                <w:sz w:val="24"/>
                <w:szCs w:val="24"/>
              </w:rPr>
              <w:t>承保服务方案</w:t>
            </w:r>
          </w:p>
        </w:tc>
        <w:tc>
          <w:tcPr>
            <w:tcW w:w="817" w:type="dxa"/>
            <w:tcBorders>
              <w:top w:val="single" w:color="auto" w:sz="4" w:space="0"/>
              <w:left w:val="single" w:color="auto" w:sz="4" w:space="0"/>
              <w:bottom w:val="single" w:color="auto" w:sz="4" w:space="0"/>
              <w:right w:val="single" w:color="auto" w:sz="4" w:space="0"/>
            </w:tcBorders>
            <w:vAlign w:val="center"/>
          </w:tcPr>
          <w:p w14:paraId="7B6BB934">
            <w:pPr>
              <w:jc w:val="center"/>
              <w:rPr>
                <w:rFonts w:ascii="宋体" w:hAnsi="宋体"/>
                <w:bCs/>
                <w:sz w:val="24"/>
                <w:szCs w:val="24"/>
              </w:rPr>
            </w:pPr>
            <w:r>
              <w:rPr>
                <w:rFonts w:hint="eastAsia" w:ascii="宋体" w:hAnsi="宋体" w:cs="宋体"/>
                <w:bCs/>
                <w:sz w:val="24"/>
                <w:szCs w:val="24"/>
              </w:rPr>
              <w:t>7分</w:t>
            </w:r>
          </w:p>
        </w:tc>
        <w:tc>
          <w:tcPr>
            <w:tcW w:w="6069" w:type="dxa"/>
            <w:tcBorders>
              <w:top w:val="single" w:color="auto" w:sz="4" w:space="0"/>
              <w:left w:val="single" w:color="auto" w:sz="4" w:space="0"/>
              <w:bottom w:val="single" w:color="auto" w:sz="4" w:space="0"/>
              <w:right w:val="single" w:color="auto" w:sz="4" w:space="0"/>
            </w:tcBorders>
            <w:vAlign w:val="center"/>
          </w:tcPr>
          <w:p w14:paraId="2CDC0036">
            <w:pPr>
              <w:rPr>
                <w:rFonts w:ascii="宋体" w:hAnsi="宋体" w:cs="宋体"/>
                <w:bCs/>
                <w:sz w:val="24"/>
                <w:szCs w:val="24"/>
              </w:rPr>
            </w:pPr>
            <w:r>
              <w:rPr>
                <w:rFonts w:hint="eastAsia" w:ascii="宋体" w:hAnsi="宋体"/>
                <w:bCs/>
                <w:sz w:val="24"/>
                <w:szCs w:val="24"/>
              </w:rPr>
              <w:t>包括但不限于</w:t>
            </w:r>
            <w:r>
              <w:rPr>
                <w:rFonts w:hint="eastAsia" w:ascii="宋体" w:hAnsi="宋体"/>
                <w:b/>
                <w:sz w:val="24"/>
                <w:szCs w:val="24"/>
              </w:rPr>
              <w:t>①</w:t>
            </w:r>
            <w:r>
              <w:rPr>
                <w:rFonts w:hint="eastAsia" w:ascii="宋体" w:hAnsi="宋体" w:cs="宋体"/>
                <w:b/>
                <w:sz w:val="24"/>
                <w:szCs w:val="24"/>
              </w:rPr>
              <w:t>承保服务范围和服务内容分析</w:t>
            </w:r>
            <w:r>
              <w:rPr>
                <w:rFonts w:hint="eastAsia" w:ascii="宋体" w:hAnsi="宋体" w:cs="宋体"/>
                <w:bCs/>
                <w:sz w:val="24"/>
                <w:szCs w:val="24"/>
              </w:rPr>
              <w:t>（3.5分）</w:t>
            </w:r>
            <w:r>
              <w:rPr>
                <w:rFonts w:hint="eastAsia" w:ascii="宋体" w:hAnsi="宋体" w:cs="宋体"/>
                <w:b/>
                <w:sz w:val="24"/>
                <w:szCs w:val="24"/>
              </w:rPr>
              <w:t>②服务对象分析</w:t>
            </w:r>
            <w:r>
              <w:rPr>
                <w:rFonts w:hint="eastAsia" w:ascii="宋体" w:hAnsi="宋体" w:cs="宋体"/>
                <w:bCs/>
                <w:sz w:val="24"/>
                <w:szCs w:val="24"/>
              </w:rPr>
              <w:t>（3.5分）。</w:t>
            </w:r>
          </w:p>
          <w:p w14:paraId="7E3C741D">
            <w:pPr>
              <w:rPr>
                <w:rFonts w:ascii="宋体" w:hAnsi="宋体" w:cs="宋体"/>
                <w:bCs/>
                <w:sz w:val="24"/>
                <w:szCs w:val="24"/>
              </w:rPr>
            </w:pPr>
            <w:r>
              <w:rPr>
                <w:rFonts w:hint="eastAsia" w:ascii="宋体" w:hAnsi="宋体"/>
                <w:bCs/>
                <w:sz w:val="24"/>
                <w:szCs w:val="24"/>
              </w:rPr>
              <w:t>投标人须针对每条内容进行阐述，阐述内容须满足采购需求。方案完整、内容详尽、针对性很强的，每条最高得3.5分；方案较完整、内容较详尽、针对性较强的，每条最高得2.5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本项最高得7分。</w:t>
            </w:r>
          </w:p>
        </w:tc>
      </w:tr>
      <w:tr w14:paraId="2E72D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0" w:hRule="atLeast"/>
        </w:trPr>
        <w:tc>
          <w:tcPr>
            <w:tcW w:w="567" w:type="dxa"/>
            <w:vMerge w:val="restart"/>
            <w:tcBorders>
              <w:left w:val="single" w:color="auto" w:sz="4" w:space="0"/>
              <w:right w:val="single" w:color="auto" w:sz="4" w:space="0"/>
            </w:tcBorders>
            <w:vAlign w:val="center"/>
          </w:tcPr>
          <w:p w14:paraId="3E7D8A86">
            <w:pPr>
              <w:jc w:val="center"/>
              <w:rPr>
                <w:rFonts w:ascii="宋体" w:hAnsi="宋体"/>
                <w:bCs/>
                <w:sz w:val="24"/>
                <w:szCs w:val="24"/>
              </w:rPr>
            </w:pPr>
            <w:r>
              <w:rPr>
                <w:rFonts w:hint="eastAsia" w:ascii="宋体" w:hAnsi="宋体"/>
                <w:bCs/>
                <w:sz w:val="24"/>
                <w:szCs w:val="24"/>
              </w:rPr>
              <w:t>9</w:t>
            </w:r>
          </w:p>
        </w:tc>
        <w:tc>
          <w:tcPr>
            <w:tcW w:w="709" w:type="dxa"/>
            <w:vMerge w:val="continue"/>
            <w:tcBorders>
              <w:left w:val="single" w:color="auto" w:sz="4" w:space="0"/>
              <w:right w:val="single" w:color="auto" w:sz="4" w:space="0"/>
            </w:tcBorders>
            <w:vAlign w:val="center"/>
          </w:tcPr>
          <w:p w14:paraId="2895B30F">
            <w:pPr>
              <w:rPr>
                <w:rFonts w:ascii="宋体" w:hAnsi="宋体"/>
                <w:bCs/>
                <w:sz w:val="24"/>
                <w:szCs w:val="24"/>
              </w:rPr>
            </w:pPr>
          </w:p>
        </w:tc>
        <w:tc>
          <w:tcPr>
            <w:tcW w:w="1242" w:type="dxa"/>
            <w:vMerge w:val="restart"/>
            <w:tcBorders>
              <w:top w:val="single" w:color="auto" w:sz="4" w:space="0"/>
              <w:left w:val="single" w:color="auto" w:sz="4" w:space="0"/>
              <w:right w:val="single" w:color="auto" w:sz="4" w:space="0"/>
            </w:tcBorders>
            <w:vAlign w:val="center"/>
          </w:tcPr>
          <w:p w14:paraId="032F803A">
            <w:pPr>
              <w:jc w:val="center"/>
              <w:rPr>
                <w:rFonts w:ascii="宋体" w:hAnsi="宋体"/>
                <w:bCs/>
                <w:sz w:val="24"/>
                <w:szCs w:val="24"/>
              </w:rPr>
            </w:pPr>
            <w:r>
              <w:rPr>
                <w:rFonts w:hint="eastAsia" w:ascii="宋体" w:hAnsi="宋体" w:cs="宋体"/>
                <w:bCs/>
                <w:sz w:val="24"/>
                <w:szCs w:val="24"/>
              </w:rPr>
              <w:t>理赔服务方案</w:t>
            </w:r>
          </w:p>
        </w:tc>
        <w:tc>
          <w:tcPr>
            <w:tcW w:w="817" w:type="dxa"/>
            <w:vMerge w:val="restart"/>
            <w:tcBorders>
              <w:top w:val="single" w:color="auto" w:sz="4" w:space="0"/>
              <w:left w:val="single" w:color="auto" w:sz="4" w:space="0"/>
              <w:right w:val="single" w:color="auto" w:sz="4" w:space="0"/>
            </w:tcBorders>
            <w:vAlign w:val="center"/>
          </w:tcPr>
          <w:p w14:paraId="279331FD">
            <w:pPr>
              <w:jc w:val="center"/>
              <w:rPr>
                <w:rFonts w:ascii="宋体" w:hAnsi="宋体"/>
                <w:bCs/>
                <w:sz w:val="24"/>
                <w:szCs w:val="24"/>
              </w:rPr>
            </w:pPr>
            <w:r>
              <w:rPr>
                <w:rFonts w:hint="eastAsia" w:ascii="宋体" w:hAnsi="宋体" w:cs="宋体"/>
                <w:bCs/>
                <w:sz w:val="24"/>
                <w:szCs w:val="24"/>
              </w:rPr>
              <w:t>18分</w:t>
            </w:r>
          </w:p>
        </w:tc>
        <w:tc>
          <w:tcPr>
            <w:tcW w:w="6069" w:type="dxa"/>
            <w:tcBorders>
              <w:top w:val="single" w:color="auto" w:sz="4" w:space="0"/>
              <w:left w:val="single" w:color="auto" w:sz="4" w:space="0"/>
              <w:bottom w:val="single" w:color="auto" w:sz="4" w:space="0"/>
              <w:right w:val="single" w:color="auto" w:sz="4" w:space="0"/>
            </w:tcBorders>
            <w:vAlign w:val="center"/>
          </w:tcPr>
          <w:p w14:paraId="6795872A">
            <w:pPr>
              <w:rPr>
                <w:rFonts w:ascii="宋体" w:hAnsi="宋体" w:cs="宋体"/>
                <w:b/>
                <w:sz w:val="24"/>
                <w:szCs w:val="24"/>
              </w:rPr>
            </w:pPr>
            <w:r>
              <w:rPr>
                <w:rFonts w:hint="eastAsia" w:ascii="宋体" w:hAnsi="宋体" w:cs="宋体"/>
                <w:b/>
                <w:sz w:val="24"/>
                <w:szCs w:val="24"/>
              </w:rPr>
              <w:t>①理赔制度设置（5分）</w:t>
            </w:r>
          </w:p>
          <w:p w14:paraId="05294355">
            <w:pPr>
              <w:pStyle w:val="18"/>
              <w:ind w:left="0"/>
              <w:rPr>
                <w:rFonts w:ascii="宋体" w:hAnsi="宋体" w:cs="宋体"/>
                <w:bCs/>
                <w:sz w:val="24"/>
                <w:szCs w:val="24"/>
              </w:rPr>
            </w:pPr>
            <w:r>
              <w:rPr>
                <w:rFonts w:hint="eastAsia" w:ascii="宋体" w:hAnsi="宋体" w:cs="宋体"/>
                <w:bCs/>
                <w:sz w:val="24"/>
                <w:szCs w:val="24"/>
              </w:rPr>
              <w:t>投标人须针对理赔制度设置进行阐述，阐述内容须满足采购需求。方案完整、内容详尽、针对性很强的，最高得5分；方案较完整、内容较详尽、针对性较强的，最高得4分；方案较完整、内容较详尽、但针对性一般的，最高得3分；方案不完整、内容简略、针对性不强的，最高得1分；不提供不得分；本项最高得5分。</w:t>
            </w:r>
          </w:p>
        </w:tc>
      </w:tr>
      <w:tr w14:paraId="5255B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81" w:hRule="atLeast"/>
        </w:trPr>
        <w:tc>
          <w:tcPr>
            <w:tcW w:w="567" w:type="dxa"/>
            <w:vMerge w:val="continue"/>
            <w:tcBorders>
              <w:left w:val="single" w:color="auto" w:sz="4" w:space="0"/>
              <w:right w:val="single" w:color="auto" w:sz="4" w:space="0"/>
            </w:tcBorders>
            <w:vAlign w:val="center"/>
          </w:tcPr>
          <w:p w14:paraId="4C6F85A9">
            <w:pPr>
              <w:jc w:val="center"/>
              <w:rPr>
                <w:rFonts w:ascii="宋体" w:hAnsi="宋体"/>
                <w:bCs/>
                <w:sz w:val="24"/>
                <w:szCs w:val="24"/>
              </w:rPr>
            </w:pPr>
          </w:p>
        </w:tc>
        <w:tc>
          <w:tcPr>
            <w:tcW w:w="709" w:type="dxa"/>
            <w:vMerge w:val="continue"/>
            <w:tcBorders>
              <w:left w:val="single" w:color="auto" w:sz="4" w:space="0"/>
              <w:right w:val="single" w:color="auto" w:sz="4" w:space="0"/>
            </w:tcBorders>
            <w:vAlign w:val="center"/>
          </w:tcPr>
          <w:p w14:paraId="52478453">
            <w:pPr>
              <w:rPr>
                <w:rFonts w:ascii="宋体" w:hAnsi="宋体"/>
                <w:bCs/>
                <w:sz w:val="24"/>
                <w:szCs w:val="24"/>
              </w:rPr>
            </w:pPr>
          </w:p>
        </w:tc>
        <w:tc>
          <w:tcPr>
            <w:tcW w:w="1242" w:type="dxa"/>
            <w:vMerge w:val="continue"/>
            <w:tcBorders>
              <w:left w:val="single" w:color="auto" w:sz="4" w:space="0"/>
              <w:right w:val="single" w:color="auto" w:sz="4" w:space="0"/>
            </w:tcBorders>
            <w:vAlign w:val="center"/>
          </w:tcPr>
          <w:p w14:paraId="5E762EE5">
            <w:pPr>
              <w:jc w:val="center"/>
              <w:rPr>
                <w:rFonts w:ascii="宋体" w:hAnsi="宋体" w:cs="宋体"/>
                <w:bCs/>
                <w:sz w:val="24"/>
                <w:szCs w:val="24"/>
              </w:rPr>
            </w:pPr>
          </w:p>
        </w:tc>
        <w:tc>
          <w:tcPr>
            <w:tcW w:w="817" w:type="dxa"/>
            <w:vMerge w:val="continue"/>
            <w:tcBorders>
              <w:left w:val="single" w:color="auto" w:sz="4" w:space="0"/>
              <w:right w:val="single" w:color="auto" w:sz="4" w:space="0"/>
            </w:tcBorders>
            <w:vAlign w:val="center"/>
          </w:tcPr>
          <w:p w14:paraId="3FFE286B">
            <w:pPr>
              <w:jc w:val="center"/>
              <w:rPr>
                <w:rFonts w:ascii="宋体" w:hAnsi="宋体" w:cs="宋体"/>
                <w:bCs/>
                <w:sz w:val="24"/>
                <w:szCs w:val="24"/>
              </w:rPr>
            </w:pPr>
          </w:p>
        </w:tc>
        <w:tc>
          <w:tcPr>
            <w:tcW w:w="6069" w:type="dxa"/>
            <w:tcBorders>
              <w:top w:val="single" w:color="auto" w:sz="4" w:space="0"/>
              <w:left w:val="single" w:color="auto" w:sz="4" w:space="0"/>
              <w:bottom w:val="single" w:color="auto" w:sz="4" w:space="0"/>
              <w:right w:val="single" w:color="auto" w:sz="4" w:space="0"/>
            </w:tcBorders>
            <w:vAlign w:val="center"/>
          </w:tcPr>
          <w:p w14:paraId="668AF229">
            <w:pPr>
              <w:tabs>
                <w:tab w:val="left" w:pos="840"/>
                <w:tab w:val="left" w:pos="1050"/>
              </w:tabs>
              <w:rPr>
                <w:rFonts w:ascii="宋体" w:hAnsi="宋体" w:cs="宋体"/>
                <w:b/>
                <w:sz w:val="24"/>
                <w:szCs w:val="24"/>
              </w:rPr>
            </w:pPr>
            <w:r>
              <w:rPr>
                <w:rFonts w:hint="eastAsia" w:ascii="宋体" w:hAnsi="宋体" w:cs="宋体"/>
                <w:b/>
                <w:sz w:val="24"/>
                <w:szCs w:val="24"/>
              </w:rPr>
              <w:t>②理赔服务团队配置（4分）</w:t>
            </w:r>
          </w:p>
          <w:p w14:paraId="4E3EAD3E">
            <w:pPr>
              <w:tabs>
                <w:tab w:val="left" w:pos="840"/>
                <w:tab w:val="left" w:pos="1050"/>
              </w:tabs>
              <w:rPr>
                <w:rFonts w:ascii="宋体" w:hAnsi="宋体" w:cs="宋体"/>
                <w:bCs/>
                <w:sz w:val="24"/>
                <w:szCs w:val="24"/>
              </w:rPr>
            </w:pPr>
            <w:r>
              <w:rPr>
                <w:rFonts w:hint="eastAsia" w:ascii="宋体" w:hAnsi="宋体" w:cs="宋体"/>
                <w:bCs/>
                <w:sz w:val="24"/>
                <w:szCs w:val="24"/>
              </w:rPr>
              <w:t>包括但不限于</w:t>
            </w:r>
            <w:r>
              <w:rPr>
                <w:rFonts w:hint="eastAsia" w:ascii="宋体" w:hAnsi="宋体" w:cs="宋体"/>
                <w:b/>
                <w:sz w:val="24"/>
                <w:szCs w:val="24"/>
              </w:rPr>
              <w:t>①团队配置合理性</w:t>
            </w:r>
            <w:r>
              <w:rPr>
                <w:rFonts w:hint="eastAsia" w:ascii="宋体" w:hAnsi="宋体" w:cs="宋体"/>
                <w:bCs/>
                <w:sz w:val="24"/>
                <w:szCs w:val="24"/>
              </w:rPr>
              <w:t>（2分）</w:t>
            </w:r>
            <w:r>
              <w:rPr>
                <w:rFonts w:hint="eastAsia" w:ascii="宋体" w:hAnsi="宋体" w:cs="宋体"/>
                <w:b/>
                <w:sz w:val="24"/>
                <w:szCs w:val="24"/>
              </w:rPr>
              <w:t>②人员配置及职责安排</w:t>
            </w:r>
            <w:r>
              <w:rPr>
                <w:rFonts w:hint="eastAsia" w:ascii="宋体" w:hAnsi="宋体" w:cs="宋体"/>
                <w:bCs/>
                <w:sz w:val="24"/>
                <w:szCs w:val="24"/>
              </w:rPr>
              <w:t>（2分）</w:t>
            </w:r>
          </w:p>
          <w:p w14:paraId="7C4BD2A3">
            <w:pPr>
              <w:tabs>
                <w:tab w:val="left" w:pos="840"/>
                <w:tab w:val="left" w:pos="1050"/>
              </w:tabs>
              <w:rPr>
                <w:rFonts w:ascii="宋体" w:hAnsi="宋体" w:cs="宋体"/>
                <w:bCs/>
                <w:sz w:val="24"/>
                <w:szCs w:val="24"/>
              </w:rPr>
            </w:pPr>
            <w:r>
              <w:rPr>
                <w:rFonts w:hint="eastAsia" w:ascii="宋体" w:hAnsi="宋体" w:cs="宋体"/>
                <w:bCs/>
                <w:sz w:val="24"/>
                <w:szCs w:val="24"/>
              </w:rPr>
              <w:t>投标人须针对每条内容进行阐述，阐述内容须满足采购需求。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本项最高得4分。</w:t>
            </w:r>
          </w:p>
        </w:tc>
      </w:tr>
      <w:tr w14:paraId="3E31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8" w:hRule="atLeast"/>
        </w:trPr>
        <w:tc>
          <w:tcPr>
            <w:tcW w:w="567" w:type="dxa"/>
            <w:vMerge w:val="continue"/>
            <w:tcBorders>
              <w:left w:val="single" w:color="auto" w:sz="4" w:space="0"/>
              <w:right w:val="single" w:color="auto" w:sz="4" w:space="0"/>
            </w:tcBorders>
            <w:vAlign w:val="center"/>
          </w:tcPr>
          <w:p w14:paraId="542189D7">
            <w:pPr>
              <w:jc w:val="center"/>
              <w:rPr>
                <w:rFonts w:ascii="宋体" w:hAnsi="宋体"/>
                <w:bCs/>
                <w:sz w:val="24"/>
                <w:szCs w:val="24"/>
              </w:rPr>
            </w:pPr>
          </w:p>
        </w:tc>
        <w:tc>
          <w:tcPr>
            <w:tcW w:w="709" w:type="dxa"/>
            <w:vMerge w:val="continue"/>
            <w:tcBorders>
              <w:left w:val="single" w:color="auto" w:sz="4" w:space="0"/>
              <w:right w:val="single" w:color="auto" w:sz="4" w:space="0"/>
            </w:tcBorders>
            <w:vAlign w:val="center"/>
          </w:tcPr>
          <w:p w14:paraId="63047812">
            <w:pPr>
              <w:rPr>
                <w:rFonts w:ascii="宋体" w:hAnsi="宋体"/>
                <w:bCs/>
                <w:sz w:val="24"/>
                <w:szCs w:val="24"/>
              </w:rPr>
            </w:pPr>
          </w:p>
        </w:tc>
        <w:tc>
          <w:tcPr>
            <w:tcW w:w="1242" w:type="dxa"/>
            <w:vMerge w:val="continue"/>
            <w:tcBorders>
              <w:left w:val="single" w:color="auto" w:sz="4" w:space="0"/>
              <w:right w:val="single" w:color="auto" w:sz="4" w:space="0"/>
            </w:tcBorders>
            <w:vAlign w:val="center"/>
          </w:tcPr>
          <w:p w14:paraId="137CB327">
            <w:pPr>
              <w:jc w:val="center"/>
              <w:rPr>
                <w:rFonts w:ascii="宋体" w:hAnsi="宋体" w:cs="宋体"/>
                <w:bCs/>
                <w:sz w:val="24"/>
                <w:szCs w:val="24"/>
              </w:rPr>
            </w:pPr>
          </w:p>
        </w:tc>
        <w:tc>
          <w:tcPr>
            <w:tcW w:w="817" w:type="dxa"/>
            <w:vMerge w:val="continue"/>
            <w:tcBorders>
              <w:left w:val="single" w:color="auto" w:sz="4" w:space="0"/>
              <w:right w:val="single" w:color="auto" w:sz="4" w:space="0"/>
            </w:tcBorders>
            <w:vAlign w:val="center"/>
          </w:tcPr>
          <w:p w14:paraId="2695A8E5">
            <w:pPr>
              <w:jc w:val="center"/>
              <w:rPr>
                <w:rFonts w:ascii="宋体" w:hAnsi="宋体" w:cs="宋体"/>
                <w:bCs/>
                <w:sz w:val="24"/>
                <w:szCs w:val="24"/>
              </w:rPr>
            </w:pPr>
          </w:p>
        </w:tc>
        <w:tc>
          <w:tcPr>
            <w:tcW w:w="6069" w:type="dxa"/>
            <w:tcBorders>
              <w:top w:val="single" w:color="auto" w:sz="4" w:space="0"/>
              <w:left w:val="single" w:color="auto" w:sz="4" w:space="0"/>
              <w:bottom w:val="single" w:color="auto" w:sz="4" w:space="0"/>
              <w:right w:val="single" w:color="auto" w:sz="4" w:space="0"/>
            </w:tcBorders>
            <w:vAlign w:val="center"/>
          </w:tcPr>
          <w:p w14:paraId="414ECBD3">
            <w:pPr>
              <w:tabs>
                <w:tab w:val="left" w:pos="840"/>
                <w:tab w:val="left" w:pos="1050"/>
              </w:tabs>
              <w:rPr>
                <w:rFonts w:ascii="宋体" w:hAnsi="宋体" w:cs="宋体"/>
                <w:b/>
                <w:sz w:val="24"/>
                <w:szCs w:val="24"/>
              </w:rPr>
            </w:pPr>
            <w:r>
              <w:rPr>
                <w:rFonts w:hint="eastAsia" w:ascii="宋体" w:hAnsi="宋体" w:cs="宋体"/>
                <w:b/>
                <w:sz w:val="24"/>
                <w:szCs w:val="24"/>
              </w:rPr>
              <w:t>③理赔服务承诺（5分）</w:t>
            </w:r>
          </w:p>
          <w:p w14:paraId="38B0FC70">
            <w:pPr>
              <w:pStyle w:val="18"/>
              <w:ind w:left="0"/>
              <w:rPr>
                <w:rFonts w:ascii="宋体" w:hAnsi="宋体" w:cs="宋体"/>
                <w:bCs/>
                <w:sz w:val="24"/>
                <w:szCs w:val="24"/>
              </w:rPr>
            </w:pPr>
            <w:r>
              <w:rPr>
                <w:rFonts w:hint="eastAsia" w:ascii="宋体" w:hAnsi="宋体" w:cs="宋体"/>
                <w:bCs/>
                <w:sz w:val="24"/>
                <w:szCs w:val="24"/>
              </w:rPr>
              <w:t>投标人须针对理赔服务承诺进行阐述，阐述内容须满足采购需求。方案完整、内容详尽、针对性很强的，最高得5分；方案较完整、内容较详尽、针对性较强的，最高得4分；方案较完整、内容较详尽、但针对性一般的，最高得3分；方案不完整、内容简略、针对性不强的，最高得1分；不提供不得分；本项最高得5分。</w:t>
            </w:r>
          </w:p>
        </w:tc>
      </w:tr>
      <w:tr w14:paraId="0872B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5" w:hRule="atLeast"/>
        </w:trPr>
        <w:tc>
          <w:tcPr>
            <w:tcW w:w="567" w:type="dxa"/>
            <w:vMerge w:val="continue"/>
            <w:tcBorders>
              <w:left w:val="single" w:color="auto" w:sz="4" w:space="0"/>
              <w:right w:val="single" w:color="auto" w:sz="4" w:space="0"/>
            </w:tcBorders>
            <w:vAlign w:val="center"/>
          </w:tcPr>
          <w:p w14:paraId="00128306">
            <w:pPr>
              <w:jc w:val="center"/>
              <w:rPr>
                <w:rFonts w:ascii="宋体" w:hAnsi="宋体"/>
                <w:bCs/>
                <w:sz w:val="24"/>
                <w:szCs w:val="24"/>
              </w:rPr>
            </w:pPr>
          </w:p>
        </w:tc>
        <w:tc>
          <w:tcPr>
            <w:tcW w:w="709" w:type="dxa"/>
            <w:vMerge w:val="continue"/>
            <w:tcBorders>
              <w:left w:val="single" w:color="auto" w:sz="4" w:space="0"/>
              <w:right w:val="single" w:color="auto" w:sz="4" w:space="0"/>
            </w:tcBorders>
            <w:vAlign w:val="center"/>
          </w:tcPr>
          <w:p w14:paraId="3AB66030">
            <w:pPr>
              <w:rPr>
                <w:rFonts w:ascii="宋体" w:hAnsi="宋体"/>
                <w:bCs/>
                <w:sz w:val="24"/>
                <w:szCs w:val="24"/>
              </w:rPr>
            </w:pPr>
          </w:p>
        </w:tc>
        <w:tc>
          <w:tcPr>
            <w:tcW w:w="1242" w:type="dxa"/>
            <w:vMerge w:val="continue"/>
            <w:tcBorders>
              <w:left w:val="single" w:color="auto" w:sz="4" w:space="0"/>
              <w:bottom w:val="single" w:color="auto" w:sz="4" w:space="0"/>
              <w:right w:val="single" w:color="auto" w:sz="4" w:space="0"/>
            </w:tcBorders>
            <w:vAlign w:val="center"/>
          </w:tcPr>
          <w:p w14:paraId="7DE6725A">
            <w:pPr>
              <w:jc w:val="center"/>
              <w:rPr>
                <w:rFonts w:ascii="宋体" w:hAnsi="宋体" w:cs="宋体"/>
                <w:bCs/>
                <w:sz w:val="24"/>
                <w:szCs w:val="24"/>
              </w:rPr>
            </w:pPr>
          </w:p>
        </w:tc>
        <w:tc>
          <w:tcPr>
            <w:tcW w:w="817" w:type="dxa"/>
            <w:vMerge w:val="continue"/>
            <w:tcBorders>
              <w:left w:val="single" w:color="auto" w:sz="4" w:space="0"/>
              <w:bottom w:val="single" w:color="auto" w:sz="4" w:space="0"/>
              <w:right w:val="single" w:color="auto" w:sz="4" w:space="0"/>
            </w:tcBorders>
            <w:vAlign w:val="center"/>
          </w:tcPr>
          <w:p w14:paraId="4AA49BF0">
            <w:pPr>
              <w:jc w:val="center"/>
              <w:rPr>
                <w:rFonts w:ascii="宋体" w:hAnsi="宋体" w:cs="宋体"/>
                <w:bCs/>
                <w:sz w:val="24"/>
                <w:szCs w:val="24"/>
              </w:rPr>
            </w:pPr>
          </w:p>
        </w:tc>
        <w:tc>
          <w:tcPr>
            <w:tcW w:w="6069" w:type="dxa"/>
            <w:tcBorders>
              <w:top w:val="single" w:color="auto" w:sz="4" w:space="0"/>
              <w:left w:val="single" w:color="auto" w:sz="4" w:space="0"/>
              <w:bottom w:val="single" w:color="auto" w:sz="4" w:space="0"/>
              <w:right w:val="single" w:color="auto" w:sz="4" w:space="0"/>
            </w:tcBorders>
            <w:vAlign w:val="center"/>
          </w:tcPr>
          <w:p w14:paraId="28FC7D61">
            <w:pPr>
              <w:pStyle w:val="18"/>
              <w:ind w:left="0"/>
              <w:rPr>
                <w:rFonts w:ascii="宋体" w:hAnsi="宋体" w:cs="宋体"/>
                <w:bCs/>
                <w:sz w:val="24"/>
                <w:szCs w:val="24"/>
              </w:rPr>
            </w:pPr>
            <w:r>
              <w:rPr>
                <w:rFonts w:hint="eastAsia" w:ascii="宋体" w:hAnsi="宋体" w:cs="宋体"/>
                <w:b/>
                <w:sz w:val="24"/>
                <w:szCs w:val="24"/>
              </w:rPr>
              <w:t>④理赔业务管理方案（4分）</w:t>
            </w:r>
          </w:p>
          <w:p w14:paraId="1774C922">
            <w:pPr>
              <w:rPr>
                <w:rFonts w:ascii="宋体" w:hAnsi="宋体" w:cs="宋体"/>
                <w:bCs/>
                <w:sz w:val="24"/>
                <w:szCs w:val="24"/>
              </w:rPr>
            </w:pPr>
            <w:r>
              <w:rPr>
                <w:rFonts w:hint="eastAsia" w:ascii="宋体" w:hAnsi="宋体" w:cs="宋体"/>
                <w:bCs/>
                <w:sz w:val="24"/>
                <w:szCs w:val="24"/>
              </w:rPr>
              <w:t>投标人须针对理赔业务管理方案进行阐述，阐述内容须满足采购需求。方案完整、内容详尽、针对性很强的，最高得4分；方案较完整、内容较详尽、针对性较强的，最高得3分；方案较完整、内容较详尽、但针对性一般的，最高得2分；方案不完整、内容简略、针对性不强的，最高得1分；不提供不得分；本项最高得4分。</w:t>
            </w:r>
          </w:p>
        </w:tc>
      </w:tr>
      <w:tr w14:paraId="18B9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9" w:hRule="atLeast"/>
        </w:trPr>
        <w:tc>
          <w:tcPr>
            <w:tcW w:w="567" w:type="dxa"/>
            <w:vMerge w:val="restart"/>
            <w:tcBorders>
              <w:left w:val="single" w:color="auto" w:sz="4" w:space="0"/>
              <w:right w:val="single" w:color="auto" w:sz="4" w:space="0"/>
            </w:tcBorders>
            <w:vAlign w:val="center"/>
          </w:tcPr>
          <w:p w14:paraId="5470DBE2">
            <w:pPr>
              <w:jc w:val="center"/>
              <w:rPr>
                <w:rFonts w:ascii="宋体" w:hAnsi="宋体"/>
                <w:bCs/>
                <w:sz w:val="24"/>
                <w:szCs w:val="24"/>
              </w:rPr>
            </w:pPr>
            <w:r>
              <w:rPr>
                <w:rFonts w:hint="eastAsia" w:ascii="宋体" w:hAnsi="宋体"/>
                <w:bCs/>
                <w:sz w:val="24"/>
                <w:szCs w:val="24"/>
              </w:rPr>
              <w:t>10</w:t>
            </w:r>
          </w:p>
        </w:tc>
        <w:tc>
          <w:tcPr>
            <w:tcW w:w="709" w:type="dxa"/>
            <w:vMerge w:val="continue"/>
            <w:tcBorders>
              <w:left w:val="single" w:color="auto" w:sz="4" w:space="0"/>
              <w:right w:val="single" w:color="auto" w:sz="4" w:space="0"/>
            </w:tcBorders>
            <w:vAlign w:val="center"/>
          </w:tcPr>
          <w:p w14:paraId="357479FF">
            <w:pPr>
              <w:rPr>
                <w:rFonts w:ascii="宋体" w:hAnsi="宋体"/>
                <w:bCs/>
                <w:sz w:val="24"/>
                <w:szCs w:val="24"/>
              </w:rPr>
            </w:pPr>
          </w:p>
        </w:tc>
        <w:tc>
          <w:tcPr>
            <w:tcW w:w="1242" w:type="dxa"/>
            <w:vMerge w:val="restart"/>
            <w:tcBorders>
              <w:top w:val="single" w:color="auto" w:sz="4" w:space="0"/>
              <w:left w:val="single" w:color="auto" w:sz="4" w:space="0"/>
              <w:right w:val="single" w:color="auto" w:sz="4" w:space="0"/>
            </w:tcBorders>
            <w:vAlign w:val="center"/>
          </w:tcPr>
          <w:p w14:paraId="45DFAFA8">
            <w:pPr>
              <w:jc w:val="center"/>
              <w:rPr>
                <w:rFonts w:ascii="宋体" w:hAnsi="宋体"/>
                <w:bCs/>
                <w:sz w:val="24"/>
                <w:szCs w:val="24"/>
              </w:rPr>
            </w:pPr>
            <w:r>
              <w:rPr>
                <w:rFonts w:hint="eastAsia" w:ascii="宋体" w:hAnsi="宋体" w:cs="宋体"/>
                <w:bCs/>
                <w:sz w:val="24"/>
                <w:szCs w:val="24"/>
              </w:rPr>
              <w:t>宣传培训服务方案</w:t>
            </w:r>
          </w:p>
        </w:tc>
        <w:tc>
          <w:tcPr>
            <w:tcW w:w="817" w:type="dxa"/>
            <w:vMerge w:val="restart"/>
            <w:tcBorders>
              <w:top w:val="single" w:color="auto" w:sz="4" w:space="0"/>
              <w:left w:val="single" w:color="auto" w:sz="4" w:space="0"/>
              <w:right w:val="single" w:color="auto" w:sz="4" w:space="0"/>
            </w:tcBorders>
            <w:vAlign w:val="center"/>
          </w:tcPr>
          <w:p w14:paraId="7BFE1BDC">
            <w:pPr>
              <w:jc w:val="center"/>
              <w:rPr>
                <w:rFonts w:ascii="宋体" w:hAnsi="宋体"/>
                <w:bCs/>
                <w:sz w:val="24"/>
                <w:szCs w:val="24"/>
              </w:rPr>
            </w:pPr>
            <w:r>
              <w:rPr>
                <w:rFonts w:hint="eastAsia" w:ascii="宋体" w:hAnsi="宋体" w:cs="宋体"/>
                <w:bCs/>
                <w:sz w:val="24"/>
                <w:szCs w:val="24"/>
              </w:rPr>
              <w:t>8分</w:t>
            </w:r>
          </w:p>
        </w:tc>
        <w:tc>
          <w:tcPr>
            <w:tcW w:w="6069" w:type="dxa"/>
            <w:tcBorders>
              <w:top w:val="single" w:color="auto" w:sz="4" w:space="0"/>
              <w:left w:val="single" w:color="auto" w:sz="4" w:space="0"/>
              <w:bottom w:val="single" w:color="auto" w:sz="4" w:space="0"/>
              <w:right w:val="single" w:color="auto" w:sz="4" w:space="0"/>
            </w:tcBorders>
            <w:vAlign w:val="center"/>
          </w:tcPr>
          <w:p w14:paraId="2C23F1C6">
            <w:pPr>
              <w:tabs>
                <w:tab w:val="left" w:pos="840"/>
                <w:tab w:val="left" w:pos="1050"/>
              </w:tabs>
              <w:rPr>
                <w:rFonts w:ascii="宋体" w:hAnsi="宋体" w:cs="宋体"/>
                <w:b/>
                <w:sz w:val="24"/>
                <w:szCs w:val="24"/>
              </w:rPr>
            </w:pPr>
            <w:r>
              <w:rPr>
                <w:rFonts w:hint="eastAsia" w:ascii="宋体" w:hAnsi="宋体" w:cs="宋体"/>
                <w:b/>
                <w:sz w:val="24"/>
                <w:szCs w:val="24"/>
              </w:rPr>
              <w:t>①宣传计划及措施（4分）</w:t>
            </w:r>
          </w:p>
          <w:p w14:paraId="138FB5F4">
            <w:pPr>
              <w:pStyle w:val="18"/>
              <w:tabs>
                <w:tab w:val="left" w:pos="840"/>
                <w:tab w:val="left" w:pos="1050"/>
              </w:tabs>
              <w:ind w:left="0"/>
              <w:rPr>
                <w:rFonts w:ascii="宋体" w:hAnsi="宋体" w:cs="宋体"/>
                <w:bCs/>
                <w:sz w:val="24"/>
                <w:szCs w:val="24"/>
              </w:rPr>
            </w:pPr>
            <w:r>
              <w:rPr>
                <w:rFonts w:hint="eastAsia" w:ascii="宋体" w:hAnsi="宋体" w:cs="宋体"/>
                <w:bCs/>
                <w:sz w:val="24"/>
                <w:szCs w:val="24"/>
              </w:rPr>
              <w:t xml:space="preserve">投标人须针对宣传计划及措施进行阐述，阐述内容须满足采购需求。方案完整、内容详尽、针对性很强的，最高得4分；方案较完整、内容较详尽、针对性较强的，最高得3分；方案较完整、内容较详尽、但针对性一般的，最高得2分；方案不完整、内容简略、针对性不强的，最高得1分；不提供不得分；本项最高得4分。             </w:t>
            </w:r>
          </w:p>
        </w:tc>
      </w:tr>
      <w:tr w14:paraId="252D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4" w:hRule="atLeast"/>
        </w:trPr>
        <w:tc>
          <w:tcPr>
            <w:tcW w:w="567" w:type="dxa"/>
            <w:vMerge w:val="continue"/>
            <w:tcBorders>
              <w:left w:val="single" w:color="auto" w:sz="4" w:space="0"/>
              <w:right w:val="single" w:color="auto" w:sz="4" w:space="0"/>
            </w:tcBorders>
            <w:vAlign w:val="center"/>
          </w:tcPr>
          <w:p w14:paraId="56C399E8">
            <w:pPr>
              <w:jc w:val="center"/>
              <w:rPr>
                <w:rFonts w:ascii="宋体" w:hAnsi="宋体"/>
                <w:bCs/>
                <w:sz w:val="24"/>
                <w:szCs w:val="24"/>
              </w:rPr>
            </w:pPr>
          </w:p>
        </w:tc>
        <w:tc>
          <w:tcPr>
            <w:tcW w:w="709" w:type="dxa"/>
            <w:vMerge w:val="continue"/>
            <w:tcBorders>
              <w:left w:val="single" w:color="auto" w:sz="4" w:space="0"/>
              <w:right w:val="single" w:color="auto" w:sz="4" w:space="0"/>
            </w:tcBorders>
            <w:vAlign w:val="center"/>
          </w:tcPr>
          <w:p w14:paraId="25CD7F85">
            <w:pPr>
              <w:rPr>
                <w:rFonts w:ascii="宋体" w:hAnsi="宋体"/>
                <w:bCs/>
                <w:sz w:val="24"/>
                <w:szCs w:val="24"/>
              </w:rPr>
            </w:pPr>
          </w:p>
        </w:tc>
        <w:tc>
          <w:tcPr>
            <w:tcW w:w="1242" w:type="dxa"/>
            <w:vMerge w:val="continue"/>
            <w:tcBorders>
              <w:left w:val="single" w:color="auto" w:sz="4" w:space="0"/>
              <w:bottom w:val="single" w:color="auto" w:sz="4" w:space="0"/>
              <w:right w:val="single" w:color="auto" w:sz="4" w:space="0"/>
            </w:tcBorders>
            <w:vAlign w:val="center"/>
          </w:tcPr>
          <w:p w14:paraId="07476263">
            <w:pPr>
              <w:jc w:val="center"/>
              <w:rPr>
                <w:rFonts w:ascii="宋体" w:hAnsi="宋体" w:cs="宋体"/>
                <w:bCs/>
                <w:sz w:val="24"/>
                <w:szCs w:val="24"/>
              </w:rPr>
            </w:pPr>
          </w:p>
        </w:tc>
        <w:tc>
          <w:tcPr>
            <w:tcW w:w="817" w:type="dxa"/>
            <w:vMerge w:val="continue"/>
            <w:tcBorders>
              <w:left w:val="single" w:color="auto" w:sz="4" w:space="0"/>
              <w:bottom w:val="single" w:color="auto" w:sz="4" w:space="0"/>
              <w:right w:val="single" w:color="auto" w:sz="4" w:space="0"/>
            </w:tcBorders>
            <w:vAlign w:val="center"/>
          </w:tcPr>
          <w:p w14:paraId="52A31730">
            <w:pPr>
              <w:jc w:val="center"/>
              <w:rPr>
                <w:rFonts w:ascii="宋体" w:hAnsi="宋体" w:cs="宋体"/>
                <w:bCs/>
                <w:sz w:val="24"/>
                <w:szCs w:val="24"/>
              </w:rPr>
            </w:pPr>
          </w:p>
        </w:tc>
        <w:tc>
          <w:tcPr>
            <w:tcW w:w="6069" w:type="dxa"/>
            <w:tcBorders>
              <w:top w:val="single" w:color="auto" w:sz="4" w:space="0"/>
              <w:left w:val="single" w:color="auto" w:sz="4" w:space="0"/>
              <w:bottom w:val="single" w:color="auto" w:sz="4" w:space="0"/>
              <w:right w:val="single" w:color="auto" w:sz="4" w:space="0"/>
            </w:tcBorders>
            <w:vAlign w:val="center"/>
          </w:tcPr>
          <w:p w14:paraId="4E017AED">
            <w:pPr>
              <w:tabs>
                <w:tab w:val="left" w:pos="840"/>
                <w:tab w:val="left" w:pos="1050"/>
              </w:tabs>
              <w:rPr>
                <w:rFonts w:ascii="宋体" w:hAnsi="宋体" w:cs="宋体"/>
                <w:b/>
                <w:sz w:val="24"/>
                <w:szCs w:val="24"/>
              </w:rPr>
            </w:pPr>
            <w:r>
              <w:rPr>
                <w:rFonts w:hint="eastAsia" w:ascii="宋体" w:hAnsi="宋体" w:cs="宋体"/>
                <w:b/>
                <w:sz w:val="24"/>
                <w:szCs w:val="24"/>
              </w:rPr>
              <w:t>②人员培训计划及实行方案（4分）</w:t>
            </w:r>
          </w:p>
          <w:p w14:paraId="57800926">
            <w:pPr>
              <w:tabs>
                <w:tab w:val="left" w:pos="840"/>
                <w:tab w:val="left" w:pos="1050"/>
              </w:tabs>
              <w:rPr>
                <w:rFonts w:ascii="宋体" w:hAnsi="宋体" w:cs="宋体"/>
                <w:bCs/>
                <w:sz w:val="24"/>
                <w:szCs w:val="24"/>
              </w:rPr>
            </w:pPr>
            <w:r>
              <w:rPr>
                <w:rFonts w:hint="eastAsia" w:ascii="宋体" w:hAnsi="宋体" w:cs="宋体"/>
                <w:bCs/>
                <w:sz w:val="24"/>
                <w:szCs w:val="24"/>
              </w:rPr>
              <w:t>包括但不限于①专业技术培训方案（2分）；②培训实施方案（2分）。</w:t>
            </w:r>
          </w:p>
          <w:p w14:paraId="7022AE56">
            <w:pPr>
              <w:tabs>
                <w:tab w:val="left" w:pos="840"/>
                <w:tab w:val="left" w:pos="1050"/>
              </w:tabs>
              <w:rPr>
                <w:rFonts w:ascii="宋体" w:hAnsi="宋体" w:cs="宋体"/>
                <w:bCs/>
                <w:sz w:val="24"/>
                <w:szCs w:val="24"/>
              </w:rPr>
            </w:pPr>
            <w:r>
              <w:rPr>
                <w:rFonts w:hint="eastAsia" w:ascii="宋体" w:hAnsi="宋体" w:cs="宋体"/>
                <w:bCs/>
                <w:sz w:val="24"/>
                <w:szCs w:val="24"/>
              </w:rPr>
              <w:t>投标人须针对每条内容进行阐述，阐述内容须满足采购需求。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本项最高得4分。</w:t>
            </w:r>
          </w:p>
        </w:tc>
      </w:tr>
      <w:tr w14:paraId="3425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42F52E9F">
            <w:pPr>
              <w:jc w:val="center"/>
              <w:rPr>
                <w:rFonts w:ascii="宋体" w:hAnsi="宋体"/>
                <w:bCs/>
                <w:sz w:val="24"/>
                <w:szCs w:val="24"/>
              </w:rPr>
            </w:pPr>
            <w:r>
              <w:rPr>
                <w:rFonts w:hint="eastAsia" w:ascii="宋体" w:hAnsi="宋体"/>
                <w:bCs/>
                <w:sz w:val="24"/>
                <w:szCs w:val="24"/>
              </w:rPr>
              <w:t>11</w:t>
            </w:r>
          </w:p>
        </w:tc>
        <w:tc>
          <w:tcPr>
            <w:tcW w:w="709" w:type="dxa"/>
            <w:vMerge w:val="continue"/>
            <w:tcBorders>
              <w:left w:val="single" w:color="auto" w:sz="4" w:space="0"/>
              <w:right w:val="single" w:color="auto" w:sz="4" w:space="0"/>
            </w:tcBorders>
            <w:vAlign w:val="center"/>
          </w:tcPr>
          <w:p w14:paraId="0C3CC3B9">
            <w:pPr>
              <w:rPr>
                <w:rFonts w:ascii="宋体" w:hAnsi="宋体"/>
                <w:bCs/>
                <w:sz w:val="24"/>
                <w:szCs w:val="24"/>
              </w:rPr>
            </w:pPr>
          </w:p>
        </w:tc>
        <w:tc>
          <w:tcPr>
            <w:tcW w:w="1242" w:type="dxa"/>
            <w:tcBorders>
              <w:top w:val="single" w:color="auto" w:sz="4" w:space="0"/>
              <w:left w:val="single" w:color="auto" w:sz="4" w:space="0"/>
              <w:bottom w:val="single" w:color="auto" w:sz="4" w:space="0"/>
              <w:right w:val="single" w:color="auto" w:sz="4" w:space="0"/>
            </w:tcBorders>
            <w:vAlign w:val="center"/>
          </w:tcPr>
          <w:p w14:paraId="69EAE981">
            <w:pPr>
              <w:jc w:val="center"/>
              <w:rPr>
                <w:rFonts w:ascii="宋体" w:hAnsi="宋体"/>
                <w:bCs/>
                <w:sz w:val="24"/>
                <w:szCs w:val="24"/>
              </w:rPr>
            </w:pPr>
            <w:r>
              <w:rPr>
                <w:rFonts w:hint="eastAsia" w:ascii="宋体" w:hAnsi="宋体" w:cs="宋体"/>
                <w:bCs/>
                <w:sz w:val="24"/>
                <w:szCs w:val="24"/>
              </w:rPr>
              <w:t>内部业务管理方案</w:t>
            </w:r>
          </w:p>
        </w:tc>
        <w:tc>
          <w:tcPr>
            <w:tcW w:w="817" w:type="dxa"/>
            <w:tcBorders>
              <w:top w:val="single" w:color="auto" w:sz="4" w:space="0"/>
              <w:left w:val="single" w:color="auto" w:sz="4" w:space="0"/>
              <w:bottom w:val="single" w:color="auto" w:sz="4" w:space="0"/>
              <w:right w:val="single" w:color="auto" w:sz="4" w:space="0"/>
            </w:tcBorders>
            <w:vAlign w:val="center"/>
          </w:tcPr>
          <w:p w14:paraId="37E2B8F9">
            <w:pPr>
              <w:jc w:val="center"/>
              <w:rPr>
                <w:rFonts w:ascii="宋体" w:hAnsi="宋体"/>
                <w:bCs/>
                <w:sz w:val="24"/>
                <w:szCs w:val="24"/>
              </w:rPr>
            </w:pPr>
            <w:r>
              <w:rPr>
                <w:rFonts w:hint="eastAsia" w:ascii="宋体" w:hAnsi="宋体" w:cs="宋体"/>
                <w:bCs/>
                <w:sz w:val="24"/>
                <w:szCs w:val="24"/>
              </w:rPr>
              <w:t>9分</w:t>
            </w:r>
          </w:p>
        </w:tc>
        <w:tc>
          <w:tcPr>
            <w:tcW w:w="6069" w:type="dxa"/>
            <w:tcBorders>
              <w:top w:val="single" w:color="auto" w:sz="4" w:space="0"/>
              <w:left w:val="single" w:color="auto" w:sz="4" w:space="0"/>
              <w:bottom w:val="single" w:color="auto" w:sz="4" w:space="0"/>
              <w:right w:val="single" w:color="auto" w:sz="4" w:space="0"/>
            </w:tcBorders>
            <w:vAlign w:val="center"/>
          </w:tcPr>
          <w:p w14:paraId="5098543A">
            <w:pPr>
              <w:tabs>
                <w:tab w:val="left" w:pos="840"/>
                <w:tab w:val="left" w:pos="1050"/>
              </w:tabs>
              <w:rPr>
                <w:rFonts w:ascii="宋体" w:hAnsi="宋体" w:cs="宋体"/>
                <w:bCs/>
                <w:sz w:val="24"/>
                <w:szCs w:val="24"/>
              </w:rPr>
            </w:pPr>
            <w:r>
              <w:rPr>
                <w:rFonts w:hint="eastAsia" w:ascii="宋体" w:hAnsi="宋体" w:cs="宋体"/>
                <w:bCs/>
                <w:sz w:val="24"/>
                <w:szCs w:val="24"/>
              </w:rPr>
              <w:t>包括但不限于</w:t>
            </w:r>
            <w:r>
              <w:rPr>
                <w:rFonts w:hint="eastAsia" w:ascii="宋体" w:hAnsi="宋体" w:cs="宋体"/>
                <w:b/>
                <w:sz w:val="24"/>
                <w:szCs w:val="24"/>
              </w:rPr>
              <w:t>①档案管理</w:t>
            </w:r>
            <w:r>
              <w:rPr>
                <w:rFonts w:hint="eastAsia" w:ascii="宋体" w:hAnsi="宋体" w:cs="宋体"/>
                <w:bCs/>
                <w:sz w:val="24"/>
                <w:szCs w:val="24"/>
              </w:rPr>
              <w:t>（3分）</w:t>
            </w:r>
            <w:r>
              <w:rPr>
                <w:rFonts w:hint="eastAsia" w:ascii="宋体" w:hAnsi="宋体" w:cs="宋体"/>
                <w:b/>
                <w:sz w:val="24"/>
                <w:szCs w:val="24"/>
              </w:rPr>
              <w:t>②资料报表报送方案</w:t>
            </w:r>
            <w:r>
              <w:rPr>
                <w:rFonts w:hint="eastAsia" w:ascii="宋体" w:hAnsi="宋体" w:cs="宋体"/>
                <w:bCs/>
                <w:sz w:val="24"/>
                <w:szCs w:val="24"/>
              </w:rPr>
              <w:t>（3分）</w:t>
            </w:r>
            <w:r>
              <w:rPr>
                <w:rFonts w:hint="eastAsia" w:ascii="宋体" w:hAnsi="宋体" w:cs="宋体"/>
                <w:b/>
                <w:sz w:val="24"/>
                <w:szCs w:val="24"/>
              </w:rPr>
              <w:t>③专业团队</w:t>
            </w:r>
            <w:r>
              <w:rPr>
                <w:rFonts w:hint="eastAsia" w:ascii="宋体" w:hAnsi="宋体" w:cs="宋体"/>
                <w:bCs/>
                <w:sz w:val="24"/>
                <w:szCs w:val="24"/>
              </w:rPr>
              <w:t>（3分）</w:t>
            </w:r>
          </w:p>
          <w:p w14:paraId="2AAEB8DD">
            <w:pPr>
              <w:tabs>
                <w:tab w:val="left" w:pos="840"/>
                <w:tab w:val="left" w:pos="1050"/>
              </w:tabs>
              <w:rPr>
                <w:rFonts w:ascii="宋体" w:hAnsi="宋体" w:cs="宋体"/>
                <w:bCs/>
                <w:sz w:val="24"/>
                <w:szCs w:val="24"/>
              </w:rPr>
            </w:pPr>
            <w:r>
              <w:rPr>
                <w:rFonts w:hint="eastAsia" w:ascii="宋体" w:hAnsi="宋体" w:cs="宋体"/>
                <w:bCs/>
                <w:sz w:val="24"/>
                <w:szCs w:val="24"/>
              </w:rPr>
              <w:t>投标人须针对每条内容进行阐述，阐述内容须满足采购需求。方案完整、内容详尽、针对性很强的，每条最高得3分；方案较完整、内容较详尽、针对性较强的，每条最高得2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本项最高得9分。</w:t>
            </w:r>
          </w:p>
        </w:tc>
      </w:tr>
      <w:tr w14:paraId="7A15D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14A0F6B0">
            <w:pPr>
              <w:jc w:val="center"/>
              <w:rPr>
                <w:rFonts w:ascii="宋体" w:hAnsi="宋体"/>
                <w:bCs/>
                <w:sz w:val="24"/>
                <w:szCs w:val="24"/>
              </w:rPr>
            </w:pPr>
            <w:r>
              <w:rPr>
                <w:rFonts w:hint="eastAsia" w:ascii="宋体" w:hAnsi="宋体"/>
                <w:bCs/>
                <w:sz w:val="24"/>
                <w:szCs w:val="24"/>
              </w:rPr>
              <w:t>12</w:t>
            </w:r>
          </w:p>
        </w:tc>
        <w:tc>
          <w:tcPr>
            <w:tcW w:w="709" w:type="dxa"/>
            <w:vMerge w:val="continue"/>
            <w:tcBorders>
              <w:left w:val="single" w:color="auto" w:sz="4" w:space="0"/>
              <w:right w:val="single" w:color="auto" w:sz="4" w:space="0"/>
            </w:tcBorders>
            <w:vAlign w:val="center"/>
          </w:tcPr>
          <w:p w14:paraId="6E047FE4">
            <w:pPr>
              <w:rPr>
                <w:rFonts w:ascii="宋体" w:hAnsi="宋体"/>
                <w:bCs/>
                <w:sz w:val="24"/>
                <w:szCs w:val="24"/>
              </w:rPr>
            </w:pPr>
          </w:p>
        </w:tc>
        <w:tc>
          <w:tcPr>
            <w:tcW w:w="1242" w:type="dxa"/>
            <w:tcBorders>
              <w:top w:val="single" w:color="auto" w:sz="4" w:space="0"/>
              <w:left w:val="single" w:color="auto" w:sz="4" w:space="0"/>
              <w:bottom w:val="single" w:color="auto" w:sz="4" w:space="0"/>
              <w:right w:val="single" w:color="auto" w:sz="4" w:space="0"/>
            </w:tcBorders>
            <w:vAlign w:val="center"/>
          </w:tcPr>
          <w:p w14:paraId="047902C1">
            <w:pPr>
              <w:jc w:val="center"/>
              <w:rPr>
                <w:rFonts w:ascii="宋体" w:hAnsi="宋体"/>
                <w:bCs/>
                <w:sz w:val="24"/>
                <w:szCs w:val="24"/>
              </w:rPr>
            </w:pPr>
            <w:r>
              <w:rPr>
                <w:rFonts w:hint="eastAsia" w:ascii="宋体" w:hAnsi="宋体" w:cs="宋体"/>
                <w:bCs/>
                <w:sz w:val="24"/>
                <w:szCs w:val="24"/>
              </w:rPr>
              <w:t>投标单位承保本项目的特色与优势</w:t>
            </w:r>
          </w:p>
        </w:tc>
        <w:tc>
          <w:tcPr>
            <w:tcW w:w="817" w:type="dxa"/>
            <w:tcBorders>
              <w:top w:val="single" w:color="auto" w:sz="4" w:space="0"/>
              <w:left w:val="single" w:color="auto" w:sz="4" w:space="0"/>
              <w:bottom w:val="single" w:color="auto" w:sz="4" w:space="0"/>
              <w:right w:val="single" w:color="auto" w:sz="4" w:space="0"/>
            </w:tcBorders>
            <w:vAlign w:val="center"/>
          </w:tcPr>
          <w:p w14:paraId="7DFF08CA">
            <w:pPr>
              <w:jc w:val="center"/>
              <w:rPr>
                <w:rFonts w:ascii="宋体" w:hAnsi="宋体"/>
                <w:bCs/>
                <w:sz w:val="24"/>
                <w:szCs w:val="24"/>
              </w:rPr>
            </w:pPr>
            <w:r>
              <w:rPr>
                <w:rFonts w:hint="eastAsia" w:ascii="宋体" w:hAnsi="宋体" w:cs="宋体"/>
                <w:bCs/>
                <w:sz w:val="24"/>
                <w:szCs w:val="24"/>
              </w:rPr>
              <w:t>5分</w:t>
            </w:r>
          </w:p>
        </w:tc>
        <w:tc>
          <w:tcPr>
            <w:tcW w:w="6069" w:type="dxa"/>
            <w:tcBorders>
              <w:top w:val="single" w:color="auto" w:sz="4" w:space="0"/>
              <w:left w:val="single" w:color="auto" w:sz="4" w:space="0"/>
              <w:bottom w:val="single" w:color="auto" w:sz="4" w:space="0"/>
              <w:right w:val="single" w:color="auto" w:sz="4" w:space="0"/>
            </w:tcBorders>
            <w:vAlign w:val="center"/>
          </w:tcPr>
          <w:p w14:paraId="2B471046">
            <w:pPr>
              <w:pStyle w:val="18"/>
              <w:tabs>
                <w:tab w:val="left" w:pos="840"/>
                <w:tab w:val="left" w:pos="1050"/>
              </w:tabs>
              <w:ind w:left="0"/>
              <w:rPr>
                <w:rFonts w:ascii="宋体" w:hAnsi="宋体" w:cs="宋体"/>
                <w:bCs/>
                <w:sz w:val="24"/>
                <w:szCs w:val="24"/>
              </w:rPr>
            </w:pPr>
            <w:r>
              <w:rPr>
                <w:rFonts w:hint="eastAsia" w:ascii="宋体" w:hAnsi="宋体" w:cs="宋体"/>
                <w:bCs/>
                <w:sz w:val="24"/>
                <w:szCs w:val="24"/>
              </w:rPr>
              <w:t>投标人须针对承保本项目的特色与优势进行阐述，阐述内容须满足采购需求。方案完整、内容详尽、针对性很强的，最高得5分；方案较完整、内容较详尽、针对性较强的，最高得4分；方案较完整、内容较详尽、但针对性一般的，最高得3分；方案不完整、内容简略、针对性不强的，最高得1分；不提供不得分；本项最高得5分。</w:t>
            </w:r>
          </w:p>
        </w:tc>
      </w:tr>
      <w:tr w14:paraId="35C0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567" w:type="dxa"/>
            <w:tcBorders>
              <w:left w:val="single" w:color="auto" w:sz="4" w:space="0"/>
              <w:right w:val="single" w:color="auto" w:sz="4" w:space="0"/>
            </w:tcBorders>
            <w:vAlign w:val="center"/>
          </w:tcPr>
          <w:p w14:paraId="534F47E8">
            <w:pPr>
              <w:jc w:val="center"/>
              <w:rPr>
                <w:rFonts w:ascii="宋体" w:hAnsi="宋体"/>
                <w:bCs/>
                <w:sz w:val="24"/>
                <w:szCs w:val="24"/>
              </w:rPr>
            </w:pPr>
            <w:r>
              <w:rPr>
                <w:rFonts w:hint="eastAsia" w:ascii="宋体" w:hAnsi="宋体"/>
                <w:bCs/>
                <w:sz w:val="24"/>
                <w:szCs w:val="24"/>
              </w:rPr>
              <w:t>13</w:t>
            </w:r>
          </w:p>
        </w:tc>
        <w:tc>
          <w:tcPr>
            <w:tcW w:w="709" w:type="dxa"/>
            <w:vMerge w:val="continue"/>
            <w:tcBorders>
              <w:left w:val="single" w:color="auto" w:sz="4" w:space="0"/>
              <w:right w:val="single" w:color="auto" w:sz="4" w:space="0"/>
            </w:tcBorders>
            <w:vAlign w:val="center"/>
          </w:tcPr>
          <w:p w14:paraId="1E0E6D51">
            <w:pPr>
              <w:rPr>
                <w:rFonts w:ascii="宋体" w:hAnsi="宋体"/>
                <w:bCs/>
                <w:sz w:val="24"/>
                <w:szCs w:val="24"/>
              </w:rPr>
            </w:pPr>
          </w:p>
        </w:tc>
        <w:tc>
          <w:tcPr>
            <w:tcW w:w="1242" w:type="dxa"/>
            <w:tcBorders>
              <w:top w:val="single" w:color="auto" w:sz="4" w:space="0"/>
              <w:left w:val="single" w:color="auto" w:sz="4" w:space="0"/>
              <w:bottom w:val="single" w:color="auto" w:sz="4" w:space="0"/>
              <w:right w:val="single" w:color="auto" w:sz="4" w:space="0"/>
            </w:tcBorders>
            <w:vAlign w:val="center"/>
          </w:tcPr>
          <w:p w14:paraId="1B22459F">
            <w:pPr>
              <w:jc w:val="center"/>
              <w:rPr>
                <w:rFonts w:ascii="宋体" w:hAnsi="宋体"/>
                <w:bCs/>
                <w:sz w:val="24"/>
                <w:szCs w:val="24"/>
              </w:rPr>
            </w:pPr>
            <w:r>
              <w:rPr>
                <w:rFonts w:hint="eastAsia" w:ascii="宋体" w:hAnsi="宋体" w:cs="宋体"/>
                <w:bCs/>
                <w:sz w:val="24"/>
                <w:szCs w:val="24"/>
              </w:rPr>
              <w:t>其他优惠服务方案</w:t>
            </w:r>
          </w:p>
        </w:tc>
        <w:tc>
          <w:tcPr>
            <w:tcW w:w="817" w:type="dxa"/>
            <w:tcBorders>
              <w:top w:val="single" w:color="auto" w:sz="4" w:space="0"/>
              <w:left w:val="single" w:color="auto" w:sz="4" w:space="0"/>
              <w:bottom w:val="single" w:color="auto" w:sz="4" w:space="0"/>
              <w:right w:val="single" w:color="auto" w:sz="4" w:space="0"/>
            </w:tcBorders>
            <w:vAlign w:val="center"/>
          </w:tcPr>
          <w:p w14:paraId="4CBCB6D1">
            <w:pPr>
              <w:jc w:val="center"/>
              <w:rPr>
                <w:rFonts w:ascii="宋体" w:hAnsi="宋体"/>
                <w:bCs/>
                <w:sz w:val="24"/>
                <w:szCs w:val="24"/>
              </w:rPr>
            </w:pPr>
            <w:r>
              <w:rPr>
                <w:rFonts w:hint="eastAsia" w:ascii="宋体" w:hAnsi="宋体" w:cs="宋体"/>
                <w:bCs/>
                <w:sz w:val="24"/>
                <w:szCs w:val="24"/>
              </w:rPr>
              <w:t>5分</w:t>
            </w:r>
          </w:p>
        </w:tc>
        <w:tc>
          <w:tcPr>
            <w:tcW w:w="6069" w:type="dxa"/>
            <w:tcBorders>
              <w:top w:val="single" w:color="auto" w:sz="4" w:space="0"/>
              <w:left w:val="single" w:color="auto" w:sz="4" w:space="0"/>
              <w:bottom w:val="single" w:color="auto" w:sz="4" w:space="0"/>
              <w:right w:val="single" w:color="auto" w:sz="4" w:space="0"/>
            </w:tcBorders>
            <w:vAlign w:val="center"/>
          </w:tcPr>
          <w:p w14:paraId="57E058F4">
            <w:pPr>
              <w:pStyle w:val="18"/>
              <w:tabs>
                <w:tab w:val="left" w:pos="840"/>
                <w:tab w:val="left" w:pos="1050"/>
              </w:tabs>
              <w:ind w:left="0"/>
              <w:rPr>
                <w:rFonts w:ascii="宋体" w:hAnsi="宋体" w:cs="宋体"/>
                <w:bCs/>
                <w:sz w:val="24"/>
                <w:szCs w:val="24"/>
              </w:rPr>
            </w:pPr>
            <w:r>
              <w:rPr>
                <w:rFonts w:hint="eastAsia" w:ascii="宋体" w:hAnsi="宋体" w:cs="宋体"/>
                <w:bCs/>
                <w:sz w:val="24"/>
                <w:szCs w:val="24"/>
              </w:rPr>
              <w:t>投标人须针对其他优惠服务方案进行阐述，阐述内容须满足采购需求。方案完整、内容详尽、针对性很强的，最高得5分；方案较完整、内容较详尽、针对性较强的，最高得4分；方案较完整、内容较详尽、但针对性一般的，最高得3分；方案不完整、内容简略、针对性不强的，最高得1分；不提供不得分；本项最高得5分。</w:t>
            </w:r>
          </w:p>
        </w:tc>
      </w:tr>
    </w:tbl>
    <w:p w14:paraId="61089A13">
      <w:pPr>
        <w:spacing w:line="360" w:lineRule="auto"/>
        <w:jc w:val="center"/>
        <w:rPr>
          <w:color w:val="000000" w:themeColor="text1"/>
          <w:szCs w:val="21"/>
          <w14:textFill>
            <w14:solidFill>
              <w14:schemeClr w14:val="tx1"/>
            </w14:solidFill>
          </w14:textFill>
        </w:rPr>
      </w:pPr>
    </w:p>
    <w:p w14:paraId="49DE851B">
      <w:pPr>
        <w:spacing w:line="360" w:lineRule="auto"/>
        <w:jc w:val="center"/>
        <w:rPr>
          <w:b/>
          <w:bCs/>
          <w:color w:val="000000" w:themeColor="text1"/>
          <w:sz w:val="28"/>
          <w:szCs w:val="28"/>
          <w14:textFill>
            <w14:solidFill>
              <w14:schemeClr w14:val="tx1"/>
            </w14:solidFill>
          </w14:textFill>
        </w:rPr>
      </w:pPr>
      <w:r>
        <w:rPr>
          <w:color w:val="000000" w:themeColor="text1"/>
          <w:szCs w:val="21"/>
          <w14:textFill>
            <w14:solidFill>
              <w14:schemeClr w14:val="tx1"/>
            </w14:solidFill>
          </w14:textFill>
        </w:rPr>
        <w:t>备注：评分过程中如出现小数点后三位，采用四舍五入法，最终保留两位小数；</w:t>
      </w:r>
    </w:p>
    <w:p w14:paraId="0F8AEC31">
      <w:pPr>
        <w:widowControl/>
        <w:jc w:val="left"/>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br w:type="page" w:clear="all"/>
      </w:r>
    </w:p>
    <w:p w14:paraId="18137DE3">
      <w:pPr>
        <w:spacing w:line="360" w:lineRule="auto"/>
        <w:jc w:val="center"/>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第四章 项目技术要求和有关说明</w:t>
      </w:r>
    </w:p>
    <w:p w14:paraId="5A46A759">
      <w:pPr>
        <w:spacing w:line="360" w:lineRule="auto"/>
        <w:ind w:left="-2" w:leftChars="-1" w:firstLine="422" w:firstLineChars="175"/>
        <w:outlineLvl w:val="0"/>
        <w:rPr>
          <w:rFonts w:ascii="黑体" w:hAnsi="宋体" w:eastAsia="黑体"/>
          <w:b/>
          <w:sz w:val="24"/>
          <w:szCs w:val="24"/>
        </w:rPr>
      </w:pPr>
      <w:r>
        <w:rPr>
          <w:rFonts w:hint="eastAsia" w:ascii="黑体" w:hAnsi="宋体" w:eastAsia="黑体"/>
          <w:b/>
          <w:sz w:val="24"/>
          <w:szCs w:val="24"/>
        </w:rPr>
        <w:t>（一）项目介绍</w:t>
      </w:r>
    </w:p>
    <w:p w14:paraId="01E8F33D">
      <w:pPr>
        <w:spacing w:line="360" w:lineRule="auto"/>
        <w:ind w:firstLine="480"/>
        <w:rPr>
          <w:rFonts w:ascii="宋体" w:hAnsi="宋体" w:cs="宋体"/>
          <w:b/>
          <w:sz w:val="24"/>
          <w:szCs w:val="24"/>
        </w:rPr>
      </w:pPr>
      <w:r>
        <w:rPr>
          <w:rFonts w:hint="eastAsia" w:ascii="宋体" w:hAnsi="宋体" w:cs="宋体"/>
          <w:b/>
          <w:sz w:val="24"/>
          <w:szCs w:val="24"/>
        </w:rPr>
        <w:t>1.项目背景</w:t>
      </w:r>
    </w:p>
    <w:p w14:paraId="47C70D23">
      <w:pPr>
        <w:spacing w:line="360" w:lineRule="auto"/>
        <w:ind w:firstLine="480"/>
        <w:rPr>
          <w:rFonts w:ascii="宋体" w:hAnsi="宋体" w:cs="宋体"/>
          <w:sz w:val="24"/>
          <w:szCs w:val="24"/>
        </w:rPr>
      </w:pPr>
      <w:r>
        <w:rPr>
          <w:rFonts w:hint="eastAsia" w:ascii="宋体" w:hAnsi="宋体" w:cs="宋体"/>
          <w:sz w:val="24"/>
          <w:szCs w:val="24"/>
        </w:rPr>
        <w:t>为全面推进养老服务高质量发展，不断增强养老服务机构和机构入住老年人风险防范能力，根据《无锡市市区养老机构综合责任保险、养老机构入住老年人意外伤害保险、居家养老服务机构综合责任保险实施办法》（锡民规〔2024〕2号）等文件要求，为了提高养老机构抵御意外风险及善后处置能力，减少涉诉涉访事件，更好地维护社会和谐稳定，提升老年人在养老服务中的获得感和安全感。经宜兴市民政局研究决定，对宜兴市养老机构综合责任保险、养老机构入住老人意外伤害保险和居家养老服务机构综合责任保险进行政府采购。</w:t>
      </w:r>
    </w:p>
    <w:p w14:paraId="4F4CDD66">
      <w:pPr>
        <w:spacing w:line="360" w:lineRule="auto"/>
        <w:ind w:firstLine="480"/>
        <w:rPr>
          <w:rFonts w:ascii="宋体" w:hAnsi="宋体" w:cs="宋体"/>
          <w:b/>
          <w:sz w:val="24"/>
          <w:szCs w:val="24"/>
        </w:rPr>
      </w:pPr>
      <w:r>
        <w:rPr>
          <w:rFonts w:hint="eastAsia" w:ascii="宋体" w:hAnsi="宋体" w:cs="宋体"/>
          <w:b/>
          <w:sz w:val="24"/>
          <w:szCs w:val="24"/>
        </w:rPr>
        <w:t>2.项目简介</w:t>
      </w:r>
    </w:p>
    <w:p w14:paraId="6124E3FA">
      <w:pPr>
        <w:spacing w:line="360" w:lineRule="auto"/>
        <w:ind w:firstLine="480"/>
        <w:rPr>
          <w:rFonts w:ascii="宋体" w:hAnsi="宋体" w:cs="宋体"/>
          <w:sz w:val="24"/>
          <w:szCs w:val="24"/>
        </w:rPr>
      </w:pPr>
      <w:r>
        <w:rPr>
          <w:bCs/>
          <w:sz w:val="24"/>
          <w:szCs w:val="24"/>
        </w:rPr>
        <w:t>（1）</w:t>
      </w:r>
      <w:r>
        <w:rPr>
          <w:rFonts w:hint="eastAsia" w:ascii="宋体" w:hAnsi="宋体" w:cs="宋体"/>
          <w:sz w:val="24"/>
          <w:szCs w:val="24"/>
        </w:rPr>
        <w:t>本项目属于准公共保险产品，享受政府财政部分补贴。</w:t>
      </w:r>
    </w:p>
    <w:p w14:paraId="4229D1B2">
      <w:pPr>
        <w:spacing w:line="360" w:lineRule="auto"/>
        <w:ind w:firstLine="480"/>
        <w:rPr>
          <w:rFonts w:ascii="宋体" w:hAnsi="宋体" w:cs="宋体"/>
          <w:sz w:val="24"/>
          <w:szCs w:val="24"/>
        </w:rPr>
      </w:pPr>
      <w:r>
        <w:rPr>
          <w:rFonts w:hint="eastAsia"/>
          <w:bCs/>
          <w:sz w:val="24"/>
          <w:szCs w:val="24"/>
        </w:rPr>
        <w:t>（2）</w:t>
      </w:r>
      <w:r>
        <w:rPr>
          <w:rFonts w:ascii="宋体" w:hAnsi="宋体" w:cs="宋体"/>
          <w:sz w:val="24"/>
          <w:szCs w:val="24"/>
        </w:rPr>
        <w:t>本项目</w:t>
      </w:r>
      <w:r>
        <w:rPr>
          <w:rFonts w:hint="eastAsia" w:ascii="宋体" w:hAnsi="宋体" w:cs="宋体"/>
          <w:sz w:val="24"/>
          <w:szCs w:val="24"/>
        </w:rPr>
        <w:t>适用宜兴市范围内经政府主管部门批准成立并依法运营的各种所有制养老机构和居家养老机构，实行</w:t>
      </w:r>
      <w:r>
        <w:rPr>
          <w:rFonts w:ascii="宋体" w:hAnsi="宋体" w:cs="宋体"/>
          <w:sz w:val="24"/>
          <w:szCs w:val="24"/>
        </w:rPr>
        <w:t>“统一条款、统一费率、统一管理、统一保险服务”的原则</w:t>
      </w:r>
      <w:r>
        <w:rPr>
          <w:rFonts w:hint="eastAsia" w:ascii="宋体" w:hAnsi="宋体" w:cs="宋体"/>
          <w:sz w:val="24"/>
          <w:szCs w:val="24"/>
        </w:rPr>
        <w:t>。</w:t>
      </w:r>
    </w:p>
    <w:p w14:paraId="228F3398">
      <w:pPr>
        <w:spacing w:line="360" w:lineRule="auto"/>
        <w:ind w:firstLine="480"/>
        <w:rPr>
          <w:rFonts w:ascii="宋体" w:hAnsi="宋体" w:cs="宋体"/>
          <w:b/>
          <w:sz w:val="24"/>
          <w:szCs w:val="24"/>
        </w:rPr>
      </w:pPr>
      <w:r>
        <w:rPr>
          <w:rFonts w:ascii="宋体" w:hAnsi="宋体" w:cs="宋体"/>
          <w:b/>
          <w:sz w:val="24"/>
          <w:szCs w:val="24"/>
        </w:rPr>
        <w:t>（</w:t>
      </w:r>
      <w:r>
        <w:rPr>
          <w:rFonts w:hint="eastAsia" w:ascii="宋体" w:hAnsi="宋体" w:cs="宋体"/>
          <w:b/>
          <w:sz w:val="24"/>
          <w:szCs w:val="24"/>
        </w:rPr>
        <w:t>3</w:t>
      </w:r>
      <w:r>
        <w:rPr>
          <w:rFonts w:ascii="宋体" w:hAnsi="宋体" w:cs="宋体"/>
          <w:b/>
          <w:sz w:val="24"/>
          <w:szCs w:val="24"/>
        </w:rPr>
        <w:t>）</w:t>
      </w:r>
      <w:r>
        <w:rPr>
          <w:rFonts w:hint="eastAsia" w:ascii="宋体" w:hAnsi="宋体" w:cs="宋体"/>
          <w:b/>
          <w:sz w:val="24"/>
          <w:szCs w:val="24"/>
        </w:rPr>
        <w:t>采购人、投保人、被保险人和保障对象</w:t>
      </w:r>
    </w:p>
    <w:p w14:paraId="1400B283">
      <w:pPr>
        <w:spacing w:line="360" w:lineRule="auto"/>
        <w:ind w:firstLine="480"/>
        <w:rPr>
          <w:rFonts w:ascii="宋体" w:hAnsi="宋体" w:cs="宋体"/>
          <w:sz w:val="24"/>
          <w:szCs w:val="24"/>
        </w:rPr>
      </w:pPr>
      <w:r>
        <w:rPr>
          <w:rFonts w:hint="eastAsia" w:ascii="宋体" w:hAnsi="宋体" w:cs="宋体"/>
          <w:sz w:val="24"/>
          <w:szCs w:val="24"/>
        </w:rPr>
        <w:t>1）采购人及投保人：宜兴市民政局</w:t>
      </w:r>
    </w:p>
    <w:p w14:paraId="750848DC">
      <w:pPr>
        <w:spacing w:line="360" w:lineRule="auto"/>
        <w:ind w:firstLine="480"/>
        <w:rPr>
          <w:rFonts w:ascii="宋体" w:hAnsi="宋体" w:cs="宋体"/>
          <w:sz w:val="24"/>
          <w:szCs w:val="24"/>
        </w:rPr>
      </w:pPr>
      <w:r>
        <w:rPr>
          <w:rFonts w:hint="eastAsia" w:ascii="宋体" w:hAnsi="宋体" w:cs="宋体"/>
          <w:sz w:val="24"/>
          <w:szCs w:val="24"/>
        </w:rPr>
        <w:t>2）投保人和被保险人</w:t>
      </w:r>
    </w:p>
    <w:p w14:paraId="4FF0298B">
      <w:pPr>
        <w:spacing w:line="360" w:lineRule="auto"/>
        <w:ind w:firstLine="480"/>
        <w:rPr>
          <w:rFonts w:ascii="宋体" w:hAnsi="宋体" w:cs="宋体"/>
          <w:sz w:val="24"/>
          <w:szCs w:val="24"/>
        </w:rPr>
      </w:pPr>
      <w:r>
        <w:rPr>
          <w:rFonts w:hint="eastAsia" w:ascii="宋体" w:hAnsi="宋体" w:cs="宋体"/>
          <w:sz w:val="24"/>
          <w:szCs w:val="24"/>
        </w:rPr>
        <w:t>①养老机构综合责任保险的投保人为取得合法资格并自愿参与本项保险的养老机构，同为被保险人。</w:t>
      </w:r>
    </w:p>
    <w:p w14:paraId="4AD3DB95">
      <w:pPr>
        <w:spacing w:line="360" w:lineRule="auto"/>
        <w:ind w:firstLine="480"/>
        <w:rPr>
          <w:rFonts w:ascii="宋体" w:hAnsi="宋体" w:cs="宋体"/>
          <w:sz w:val="24"/>
          <w:szCs w:val="24"/>
        </w:rPr>
      </w:pPr>
      <w:r>
        <w:rPr>
          <w:rFonts w:hint="eastAsia" w:ascii="宋体" w:hAnsi="宋体" w:cs="宋体"/>
          <w:sz w:val="24"/>
          <w:szCs w:val="24"/>
        </w:rPr>
        <w:t>②养老机构入住老年人意外伤害保险的投保人为自愿参与本项保险的入住老人，同为被保险人。</w:t>
      </w:r>
    </w:p>
    <w:p w14:paraId="761376AF">
      <w:pPr>
        <w:spacing w:line="360" w:lineRule="auto"/>
        <w:ind w:firstLine="480"/>
        <w:rPr>
          <w:rFonts w:ascii="宋体" w:hAnsi="宋体" w:cs="宋体"/>
          <w:sz w:val="24"/>
          <w:szCs w:val="24"/>
        </w:rPr>
      </w:pPr>
      <w:r>
        <w:rPr>
          <w:rFonts w:hint="eastAsia" w:ascii="宋体" w:hAnsi="宋体" w:cs="宋体"/>
          <w:sz w:val="24"/>
          <w:szCs w:val="24"/>
        </w:rPr>
        <w:t>③居家养老服务机构保险：依法成立、依法运营的街道（镇）、社区（村）居家养老服务机构</w:t>
      </w:r>
      <w:r>
        <w:rPr>
          <w:rFonts w:hint="eastAsia" w:ascii="宋体" w:hAnsi="宋体" w:cs="宋体"/>
          <w:bCs/>
          <w:sz w:val="24"/>
          <w:szCs w:val="24"/>
        </w:rPr>
        <w:t>、日间照料机构（以下简称“居家养老服务机构”）</w:t>
      </w:r>
      <w:r>
        <w:rPr>
          <w:rFonts w:hint="eastAsia" w:ascii="宋体" w:hAnsi="宋体" w:cs="宋体"/>
          <w:sz w:val="24"/>
          <w:szCs w:val="24"/>
        </w:rPr>
        <w:t>，为被保险人。</w:t>
      </w:r>
    </w:p>
    <w:p w14:paraId="772F1EC9">
      <w:pPr>
        <w:spacing w:line="360" w:lineRule="auto"/>
        <w:ind w:firstLine="480"/>
        <w:rPr>
          <w:rFonts w:ascii="宋体" w:hAnsi="宋体" w:cs="宋体"/>
          <w:sz w:val="24"/>
          <w:szCs w:val="24"/>
        </w:rPr>
      </w:pPr>
      <w:r>
        <w:rPr>
          <w:rFonts w:hint="eastAsia" w:ascii="宋体" w:hAnsi="宋体" w:cs="宋体"/>
          <w:sz w:val="24"/>
          <w:szCs w:val="24"/>
        </w:rPr>
        <w:t>3）保障对象</w:t>
      </w:r>
    </w:p>
    <w:p w14:paraId="504AB7D3">
      <w:pPr>
        <w:spacing w:line="360" w:lineRule="auto"/>
        <w:ind w:firstLine="480"/>
        <w:rPr>
          <w:rFonts w:ascii="宋体" w:hAnsi="宋体" w:cs="宋体"/>
          <w:sz w:val="24"/>
          <w:szCs w:val="24"/>
        </w:rPr>
      </w:pPr>
      <w:r>
        <w:rPr>
          <w:rFonts w:hint="eastAsia" w:ascii="宋体" w:hAnsi="宋体" w:cs="宋体"/>
          <w:sz w:val="24"/>
          <w:szCs w:val="24"/>
        </w:rPr>
        <w:t>①养老机构综合责任保险保障对象为自愿参加养老机构综合责任保险的养老机构。</w:t>
      </w:r>
    </w:p>
    <w:p w14:paraId="7D219834">
      <w:pPr>
        <w:spacing w:line="360" w:lineRule="auto"/>
        <w:ind w:firstLine="480"/>
        <w:rPr>
          <w:rFonts w:ascii="宋体" w:hAnsi="宋体" w:cs="宋体"/>
          <w:sz w:val="24"/>
          <w:szCs w:val="24"/>
        </w:rPr>
      </w:pPr>
      <w:r>
        <w:rPr>
          <w:rFonts w:hint="eastAsia" w:ascii="宋体" w:hAnsi="宋体" w:cs="宋体"/>
          <w:sz w:val="24"/>
          <w:szCs w:val="24"/>
        </w:rPr>
        <w:t>②养老机构入住老年人意外伤害保险保障对象为参加综合责任保险的养老机构中年满60周岁、与养老机构签订养老服务协议并自愿参保的老年人。</w:t>
      </w:r>
    </w:p>
    <w:p w14:paraId="416B245C">
      <w:pPr>
        <w:spacing w:line="360" w:lineRule="auto"/>
        <w:ind w:firstLine="480"/>
        <w:rPr>
          <w:rFonts w:ascii="宋体" w:hAnsi="宋体" w:cs="宋体"/>
          <w:sz w:val="24"/>
          <w:szCs w:val="24"/>
        </w:rPr>
      </w:pPr>
      <w:r>
        <w:rPr>
          <w:rFonts w:hint="eastAsia" w:ascii="宋体" w:hAnsi="宋体" w:cs="宋体"/>
          <w:sz w:val="24"/>
          <w:szCs w:val="24"/>
        </w:rPr>
        <w:t>③居家养老服务机构综合责任保险保障对象为在各居家养老服务机构接受服务的老年居民，以及各居家养老服务机构的工作人员。</w:t>
      </w:r>
    </w:p>
    <w:p w14:paraId="23826C95">
      <w:pPr>
        <w:spacing w:line="360" w:lineRule="auto"/>
        <w:ind w:firstLine="480"/>
        <w:rPr>
          <w:rFonts w:ascii="宋体" w:hAnsi="宋体" w:cs="宋体"/>
          <w:bCs/>
          <w:sz w:val="24"/>
          <w:szCs w:val="24"/>
        </w:rPr>
      </w:pPr>
      <w:r>
        <w:rPr>
          <w:rFonts w:hint="eastAsia" w:ascii="宋体" w:hAnsi="宋体" w:cs="宋体"/>
          <w:bCs/>
          <w:sz w:val="24"/>
          <w:szCs w:val="24"/>
        </w:rPr>
        <w:t>“接受服务的老年居民”：在各居家养老服务机构内接受服务的60周岁及以上的宜兴市户籍居民。</w:t>
      </w:r>
    </w:p>
    <w:p w14:paraId="65BAB810">
      <w:pPr>
        <w:spacing w:line="360" w:lineRule="auto"/>
        <w:ind w:firstLine="480"/>
        <w:rPr>
          <w:rFonts w:ascii="宋体" w:hAnsi="宋体" w:cs="宋体"/>
          <w:sz w:val="24"/>
          <w:szCs w:val="24"/>
        </w:rPr>
      </w:pPr>
      <w:r>
        <w:rPr>
          <w:rFonts w:hint="eastAsia" w:ascii="宋体" w:hAnsi="宋体" w:cs="宋体"/>
          <w:bCs/>
          <w:sz w:val="24"/>
          <w:szCs w:val="24"/>
        </w:rPr>
        <w:t>“工作人员”：各居家养老服务机构聘用的从事居家养老服务的专职人员。</w:t>
      </w:r>
    </w:p>
    <w:p w14:paraId="1E188A7F">
      <w:pPr>
        <w:spacing w:line="360" w:lineRule="auto"/>
        <w:ind w:firstLine="480"/>
        <w:rPr>
          <w:rFonts w:ascii="宋体" w:hAnsi="宋体" w:cs="宋体"/>
          <w:sz w:val="24"/>
          <w:szCs w:val="24"/>
        </w:rPr>
      </w:pPr>
      <w:r>
        <w:rPr>
          <w:rFonts w:hint="eastAsia" w:ascii="宋体" w:hAnsi="宋体" w:cs="宋体"/>
          <w:sz w:val="24"/>
          <w:szCs w:val="24"/>
        </w:rPr>
        <w:t>备注：养老机构综合责任险和养老机构入住老人意外伤害险合并购买，两个险种有从属关系，即购买了养老机构综合责任险才能购买入住老人意外伤害险。</w:t>
      </w:r>
    </w:p>
    <w:p w14:paraId="33E8AEF8">
      <w:pPr>
        <w:spacing w:line="360" w:lineRule="auto"/>
        <w:ind w:firstLine="480"/>
        <w:rPr>
          <w:rFonts w:ascii="宋体" w:hAnsi="宋体" w:cs="宋体"/>
          <w:b/>
          <w:sz w:val="24"/>
          <w:szCs w:val="24"/>
        </w:rPr>
      </w:pPr>
      <w:r>
        <w:rPr>
          <w:rFonts w:ascii="宋体" w:hAnsi="宋体" w:cs="宋体"/>
          <w:b/>
          <w:sz w:val="24"/>
          <w:szCs w:val="24"/>
        </w:rPr>
        <w:t>（</w:t>
      </w:r>
      <w:r>
        <w:rPr>
          <w:rFonts w:hint="eastAsia" w:ascii="宋体" w:hAnsi="宋体" w:cs="宋体"/>
          <w:b/>
          <w:sz w:val="24"/>
          <w:szCs w:val="24"/>
        </w:rPr>
        <w:t>4</w:t>
      </w:r>
      <w:r>
        <w:rPr>
          <w:rFonts w:ascii="宋体" w:hAnsi="宋体" w:cs="宋体"/>
          <w:b/>
          <w:sz w:val="24"/>
          <w:szCs w:val="24"/>
        </w:rPr>
        <w:t>）基础信息</w:t>
      </w:r>
    </w:p>
    <w:p w14:paraId="14D8DDB2">
      <w:pPr>
        <w:spacing w:line="360" w:lineRule="auto"/>
        <w:ind w:firstLine="480" w:firstLineChars="200"/>
        <w:rPr>
          <w:rFonts w:ascii="宋体" w:hAnsi="宋体" w:cs="宋体"/>
          <w:sz w:val="24"/>
          <w:szCs w:val="24"/>
        </w:rPr>
      </w:pPr>
      <w:r>
        <w:rPr>
          <w:rFonts w:hint="eastAsia" w:ascii="宋体" w:hAnsi="宋体" w:cs="宋体"/>
          <w:sz w:val="24"/>
          <w:szCs w:val="24"/>
        </w:rPr>
        <w:t>根据2025年2月初统计数据，全市依法登记运营的养老机构入住老人约3150人（实际人数以保险购买日入住的老人数为准），养老机构综合责任保险采购预算为31.50万元，入住老年人意外险采购预算为28.35万元，养老机构和入住人员数量由采购人在办理投保时将统计清单提供给中标保险公司，现有居家养老服务机构298家，采购预算为8.94万元，该项目采购预算合计为68.79万元。</w:t>
      </w:r>
    </w:p>
    <w:p w14:paraId="015A5E23">
      <w:pPr>
        <w:spacing w:line="360" w:lineRule="auto"/>
        <w:ind w:firstLine="480"/>
        <w:rPr>
          <w:rFonts w:ascii="宋体" w:hAnsi="宋体" w:cs="宋体"/>
          <w:b/>
          <w:sz w:val="24"/>
          <w:szCs w:val="24"/>
        </w:rPr>
      </w:pPr>
      <w:r>
        <w:rPr>
          <w:rFonts w:hint="eastAsia" w:ascii="宋体" w:hAnsi="宋体" w:cs="宋体"/>
          <w:b/>
          <w:sz w:val="24"/>
          <w:szCs w:val="24"/>
        </w:rPr>
        <w:t>（5）保险的基本内容</w:t>
      </w:r>
    </w:p>
    <w:p w14:paraId="45AD960D">
      <w:pPr>
        <w:spacing w:line="360" w:lineRule="auto"/>
        <w:ind w:firstLine="480"/>
        <w:rPr>
          <w:rFonts w:ascii="宋体" w:hAnsi="宋体" w:cs="宋体"/>
          <w:sz w:val="24"/>
          <w:szCs w:val="24"/>
        </w:rPr>
      </w:pPr>
      <w:r>
        <w:rPr>
          <w:rFonts w:hint="eastAsia" w:ascii="宋体" w:hAnsi="宋体" w:cs="宋体"/>
          <w:sz w:val="24"/>
          <w:szCs w:val="24"/>
        </w:rPr>
        <w:t>1）养老机构综合责任保险基本内容</w:t>
      </w:r>
    </w:p>
    <w:p w14:paraId="7CA694DB">
      <w:pPr>
        <w:spacing w:line="360" w:lineRule="auto"/>
        <w:ind w:firstLine="480"/>
        <w:rPr>
          <w:rFonts w:ascii="宋体" w:hAnsi="宋体" w:cs="宋体"/>
          <w:sz w:val="24"/>
          <w:szCs w:val="24"/>
        </w:rPr>
      </w:pPr>
      <w:r>
        <w:rPr>
          <w:rFonts w:hint="eastAsia" w:ascii="宋体" w:hAnsi="宋体" w:cs="宋体"/>
          <w:sz w:val="24"/>
          <w:szCs w:val="24"/>
        </w:rPr>
        <w:t>①保险险种：险种为“养老机构综合责任保险”，条款名称以最终中标保险公司向金融监管部门报备的条款名称为准。</w:t>
      </w:r>
    </w:p>
    <w:p w14:paraId="58BC5C3F">
      <w:pPr>
        <w:spacing w:line="360" w:lineRule="auto"/>
        <w:ind w:firstLine="480"/>
        <w:rPr>
          <w:rFonts w:ascii="宋体" w:hAnsi="宋体" w:cs="宋体"/>
          <w:sz w:val="24"/>
          <w:szCs w:val="24"/>
        </w:rPr>
      </w:pPr>
      <w:r>
        <w:rPr>
          <w:rFonts w:hint="eastAsia" w:ascii="宋体" w:hAnsi="宋体" w:cs="宋体"/>
          <w:sz w:val="24"/>
          <w:szCs w:val="24"/>
        </w:rPr>
        <w:t>②保险责任范围</w:t>
      </w:r>
    </w:p>
    <w:p w14:paraId="4BF1F922">
      <w:pPr>
        <w:spacing w:line="360" w:lineRule="auto"/>
        <w:ind w:firstLine="480"/>
        <w:rPr>
          <w:rFonts w:ascii="宋体" w:hAnsi="宋体" w:cs="宋体"/>
          <w:sz w:val="24"/>
          <w:szCs w:val="24"/>
        </w:rPr>
      </w:pPr>
      <w:r>
        <w:rPr>
          <w:rFonts w:hint="eastAsia" w:ascii="宋体" w:hAnsi="宋体" w:cs="宋体"/>
          <w:sz w:val="24"/>
          <w:szCs w:val="24"/>
        </w:rPr>
        <w:t>在保险责任有效期间内，被保险人在从事养老服务活动时，因过失导致意外事故造成服务对象遭受人身损害，承保保险公司依下列约定给付保险金：</w:t>
      </w:r>
    </w:p>
    <w:p w14:paraId="72A0A1E5">
      <w:pPr>
        <w:spacing w:line="360" w:lineRule="auto"/>
        <w:ind w:firstLine="480"/>
        <w:rPr>
          <w:rFonts w:ascii="宋体" w:hAnsi="宋体" w:cs="宋体"/>
          <w:sz w:val="24"/>
          <w:szCs w:val="24"/>
        </w:rPr>
      </w:pPr>
      <w:r>
        <w:rPr>
          <w:rFonts w:hint="eastAsia" w:ascii="宋体" w:hAnsi="宋体" w:cs="宋体"/>
          <w:sz w:val="24"/>
          <w:szCs w:val="24"/>
        </w:rPr>
        <w:t>a.被保险人在保单中列明的区域范围内依法从事养老服务活动时，因过失导致意外事故，造成服务对象遭受人身损害的。</w:t>
      </w:r>
    </w:p>
    <w:p w14:paraId="77BE9BD0">
      <w:pPr>
        <w:spacing w:line="360" w:lineRule="auto"/>
        <w:ind w:firstLine="480"/>
        <w:rPr>
          <w:rFonts w:ascii="宋体" w:hAnsi="宋体" w:cs="宋体"/>
          <w:sz w:val="24"/>
          <w:szCs w:val="24"/>
        </w:rPr>
      </w:pPr>
      <w:r>
        <w:rPr>
          <w:rFonts w:hint="eastAsia" w:ascii="宋体" w:hAnsi="宋体" w:cs="宋体"/>
          <w:sz w:val="24"/>
          <w:szCs w:val="24"/>
        </w:rPr>
        <w:t>b.在保单中列明的区域范围内，发生包括但不限于下列导致服务对象遭受人身损害的情形：火灾、爆炸、煤气中毒所造成的意外事故；高空物体坠落所造成的意外事故；非被保险人原因突发停电、停水造成的意外事故。尽管被保险人已经履行了相应义务，行为并无不当，但法院或仲裁机构仍判决或裁决被保险人需对受伤害服务对象给予经济补偿的。</w:t>
      </w:r>
    </w:p>
    <w:p w14:paraId="13CA1A7F">
      <w:pPr>
        <w:spacing w:line="360" w:lineRule="auto"/>
        <w:ind w:firstLine="480"/>
        <w:rPr>
          <w:rFonts w:ascii="宋体" w:hAnsi="宋体" w:cs="宋体"/>
          <w:sz w:val="24"/>
          <w:szCs w:val="24"/>
        </w:rPr>
      </w:pPr>
      <w:r>
        <w:rPr>
          <w:rFonts w:hint="eastAsia" w:ascii="宋体" w:hAnsi="宋体" w:cs="宋体"/>
          <w:sz w:val="24"/>
          <w:szCs w:val="24"/>
        </w:rPr>
        <w:t>c.施救费用</w:t>
      </w:r>
    </w:p>
    <w:p w14:paraId="3F4D9A29">
      <w:pPr>
        <w:spacing w:line="360" w:lineRule="auto"/>
        <w:ind w:firstLine="480"/>
        <w:rPr>
          <w:rFonts w:ascii="宋体" w:hAnsi="宋体" w:cs="宋体"/>
          <w:sz w:val="24"/>
          <w:szCs w:val="24"/>
        </w:rPr>
      </w:pPr>
      <w:r>
        <w:rPr>
          <w:rFonts w:hint="eastAsia" w:ascii="宋体" w:hAnsi="宋体" w:cs="宋体"/>
          <w:sz w:val="24"/>
          <w:szCs w:val="24"/>
        </w:rPr>
        <w:t>保险事故发生后，被保险人为防止或减少人身伤亡或财产损失所支付的合理的、必要的施救费用。</w:t>
      </w:r>
    </w:p>
    <w:p w14:paraId="1AB854F4">
      <w:pPr>
        <w:spacing w:line="360" w:lineRule="auto"/>
        <w:ind w:firstLine="480"/>
        <w:rPr>
          <w:rFonts w:ascii="宋体" w:hAnsi="宋体" w:cs="宋体"/>
          <w:sz w:val="24"/>
          <w:szCs w:val="24"/>
        </w:rPr>
      </w:pPr>
      <w:r>
        <w:rPr>
          <w:rFonts w:hint="eastAsia" w:ascii="宋体" w:hAnsi="宋体" w:cs="宋体"/>
          <w:sz w:val="24"/>
          <w:szCs w:val="24"/>
        </w:rPr>
        <w:t>d.相关法律费用</w:t>
      </w:r>
    </w:p>
    <w:p w14:paraId="5A4DA1C1">
      <w:pPr>
        <w:spacing w:line="360" w:lineRule="auto"/>
        <w:ind w:firstLine="480"/>
        <w:rPr>
          <w:rFonts w:ascii="宋体" w:hAnsi="宋体" w:cs="宋体"/>
          <w:sz w:val="24"/>
          <w:szCs w:val="24"/>
        </w:rPr>
      </w:pPr>
      <w:r>
        <w:rPr>
          <w:rFonts w:hint="eastAsia" w:ascii="宋体" w:hAnsi="宋体" w:cs="宋体"/>
          <w:sz w:val="24"/>
          <w:szCs w:val="24"/>
        </w:rPr>
        <w:t>保险事故发生后，被保险人因保险事故而被提起仲裁或诉讼的，对应由被保险人支付的仲裁或诉讼费用以及其他必要的、合理的费用，经保险人事先书面同意，保险人按照保险合同约定也负责赔偿。</w:t>
      </w:r>
    </w:p>
    <w:p w14:paraId="230C106B">
      <w:pPr>
        <w:spacing w:line="360" w:lineRule="auto"/>
        <w:ind w:firstLine="480"/>
        <w:rPr>
          <w:rFonts w:ascii="宋体" w:hAnsi="宋体" w:cs="宋体"/>
          <w:sz w:val="24"/>
          <w:szCs w:val="24"/>
        </w:rPr>
      </w:pPr>
      <w:r>
        <w:rPr>
          <w:rFonts w:hint="eastAsia" w:ascii="宋体" w:hAnsi="宋体" w:cs="宋体"/>
          <w:sz w:val="24"/>
          <w:szCs w:val="24"/>
        </w:rPr>
        <w:t>2）养老机构入住老年人意外伤害保险基本内容</w:t>
      </w:r>
    </w:p>
    <w:p w14:paraId="13A4DFFB">
      <w:pPr>
        <w:spacing w:line="360" w:lineRule="auto"/>
        <w:ind w:firstLine="480"/>
        <w:rPr>
          <w:rFonts w:ascii="宋体" w:hAnsi="宋体" w:cs="宋体"/>
          <w:sz w:val="24"/>
          <w:szCs w:val="24"/>
        </w:rPr>
      </w:pPr>
      <w:r>
        <w:rPr>
          <w:rFonts w:hint="eastAsia" w:ascii="宋体" w:hAnsi="宋体" w:cs="宋体"/>
          <w:sz w:val="24"/>
          <w:szCs w:val="24"/>
        </w:rPr>
        <w:t>保险险种：险种为“养老机构入住老年人意外伤害保险”，为“养老机构综合责任保险”的附加险，条款名称以最终中标保险公司向金融监管部门报备的条款名称为准。</w:t>
      </w:r>
    </w:p>
    <w:p w14:paraId="26BDC769">
      <w:pPr>
        <w:spacing w:line="360" w:lineRule="auto"/>
        <w:ind w:firstLine="480"/>
        <w:rPr>
          <w:rFonts w:ascii="宋体" w:hAnsi="宋体" w:cs="宋体"/>
          <w:sz w:val="24"/>
          <w:szCs w:val="24"/>
        </w:rPr>
      </w:pPr>
      <w:r>
        <w:rPr>
          <w:rFonts w:hint="eastAsia" w:ascii="宋体" w:hAnsi="宋体" w:cs="宋体"/>
          <w:sz w:val="24"/>
          <w:szCs w:val="24"/>
        </w:rPr>
        <w:t>3）居家养老服务机构综合责任保险基本内容</w:t>
      </w:r>
    </w:p>
    <w:p w14:paraId="449390C1">
      <w:pPr>
        <w:spacing w:line="360" w:lineRule="auto"/>
        <w:ind w:firstLine="480"/>
        <w:rPr>
          <w:rFonts w:ascii="宋体" w:hAnsi="宋体" w:cs="宋体"/>
          <w:sz w:val="24"/>
          <w:szCs w:val="24"/>
        </w:rPr>
      </w:pPr>
      <w:r>
        <w:rPr>
          <w:rFonts w:hint="eastAsia" w:ascii="宋体" w:hAnsi="宋体" w:cs="宋体"/>
          <w:sz w:val="24"/>
          <w:szCs w:val="24"/>
        </w:rPr>
        <w:t>①保险险种：险种为“居家养老服务机构综合责任保险”或“</w:t>
      </w:r>
      <w:r>
        <w:rPr>
          <w:rFonts w:hint="eastAsia" w:ascii="宋体" w:hAnsi="宋体"/>
          <w:bCs/>
          <w:sz w:val="24"/>
          <w:szCs w:val="24"/>
        </w:rPr>
        <w:t>养老服务机构综合责任保险”及“附加护理人员责任保险”</w:t>
      </w:r>
      <w:r>
        <w:rPr>
          <w:rFonts w:hint="eastAsia" w:ascii="宋体" w:hAnsi="宋体" w:cs="宋体"/>
          <w:sz w:val="24"/>
          <w:szCs w:val="24"/>
        </w:rPr>
        <w:t>，条款名称以最终中标保险公司向金融监管部门报备的条款名称为准。</w:t>
      </w:r>
    </w:p>
    <w:p w14:paraId="0715C09F">
      <w:pPr>
        <w:spacing w:line="360" w:lineRule="auto"/>
        <w:ind w:firstLine="480"/>
        <w:rPr>
          <w:rFonts w:ascii="宋体" w:hAnsi="宋体" w:cs="宋体"/>
          <w:sz w:val="24"/>
          <w:szCs w:val="24"/>
        </w:rPr>
      </w:pPr>
      <w:r>
        <w:rPr>
          <w:rFonts w:hint="eastAsia" w:ascii="宋体" w:hAnsi="宋体" w:cs="宋体"/>
          <w:sz w:val="24"/>
          <w:szCs w:val="24"/>
        </w:rPr>
        <w:t>②保险责任范围</w:t>
      </w:r>
    </w:p>
    <w:p w14:paraId="4418A9DF">
      <w:pPr>
        <w:spacing w:line="360" w:lineRule="auto"/>
        <w:ind w:firstLine="480"/>
        <w:rPr>
          <w:rFonts w:ascii="宋体" w:hAnsi="宋体" w:cs="宋体"/>
          <w:sz w:val="24"/>
          <w:szCs w:val="24"/>
        </w:rPr>
      </w:pPr>
      <w:r>
        <w:rPr>
          <w:rFonts w:hint="eastAsia" w:ascii="宋体" w:hAnsi="宋体" w:cs="宋体"/>
          <w:sz w:val="24"/>
          <w:szCs w:val="24"/>
        </w:rPr>
        <w:t>凡在居家养老服务机构内接受各种功能性服务及活动的老年人，因意外或由于居家养老服务机构的疏忽、过失或照护不当，造成老年人人身伤害，应由上述服务机构承担的经济赔偿责任，保险公司按照约定在载明的赔偿限额内负责赔偿。</w:t>
      </w:r>
    </w:p>
    <w:p w14:paraId="7DC24755">
      <w:pPr>
        <w:spacing w:line="360" w:lineRule="auto"/>
        <w:ind w:firstLine="480"/>
        <w:rPr>
          <w:rFonts w:ascii="宋体" w:hAnsi="宋体" w:cs="宋体"/>
          <w:sz w:val="24"/>
          <w:szCs w:val="24"/>
        </w:rPr>
      </w:pPr>
      <w:r>
        <w:rPr>
          <w:rFonts w:hint="eastAsia" w:ascii="宋体" w:hAnsi="宋体" w:cs="宋体"/>
          <w:sz w:val="24"/>
          <w:szCs w:val="24"/>
        </w:rPr>
        <w:t>居家养老服务机构的护理人员在从事护理服务过程中，因遭受意外事故造成人身损害，或在上下班途中由于发生意外事故导致其人身伤害，应由上述服务机构承担经济赔偿责任的，保险公司按照约定在载明的赔偿限额内负责赔偿。</w:t>
      </w:r>
    </w:p>
    <w:p w14:paraId="1D5920D0">
      <w:pPr>
        <w:spacing w:line="360" w:lineRule="auto"/>
        <w:ind w:firstLine="480"/>
        <w:rPr>
          <w:rFonts w:ascii="宋体" w:hAnsi="宋体" w:cs="宋体"/>
          <w:sz w:val="24"/>
          <w:szCs w:val="24"/>
        </w:rPr>
      </w:pPr>
      <w:r>
        <w:rPr>
          <w:rFonts w:hint="eastAsia" w:ascii="宋体" w:hAnsi="宋体" w:cs="宋体"/>
          <w:sz w:val="24"/>
          <w:szCs w:val="24"/>
        </w:rPr>
        <w:t>a.施救费用</w:t>
      </w:r>
    </w:p>
    <w:p w14:paraId="1D90D518">
      <w:pPr>
        <w:spacing w:line="360" w:lineRule="auto"/>
        <w:ind w:firstLine="480"/>
        <w:rPr>
          <w:rFonts w:ascii="宋体" w:hAnsi="宋体" w:cs="宋体"/>
          <w:sz w:val="24"/>
          <w:szCs w:val="24"/>
        </w:rPr>
      </w:pPr>
      <w:r>
        <w:rPr>
          <w:rFonts w:hint="eastAsia" w:ascii="宋体" w:hAnsi="宋体" w:cs="宋体"/>
          <w:sz w:val="24"/>
          <w:szCs w:val="24"/>
        </w:rPr>
        <w:t>保险事故发生后，被保险人为防止或减少服务对象的人身伤亡或财产损失所支付的合理的、必要的施救费用。</w:t>
      </w:r>
    </w:p>
    <w:p w14:paraId="0CEDC1D1">
      <w:pPr>
        <w:spacing w:line="360" w:lineRule="auto"/>
        <w:ind w:firstLine="480"/>
        <w:rPr>
          <w:rFonts w:ascii="宋体" w:hAnsi="宋体" w:cs="宋体"/>
          <w:sz w:val="24"/>
          <w:szCs w:val="24"/>
        </w:rPr>
      </w:pPr>
      <w:r>
        <w:rPr>
          <w:rFonts w:hint="eastAsia" w:ascii="宋体" w:hAnsi="宋体" w:cs="宋体"/>
          <w:sz w:val="24"/>
          <w:szCs w:val="24"/>
        </w:rPr>
        <w:t>b.相关法律费用</w:t>
      </w:r>
    </w:p>
    <w:p w14:paraId="1A4BBE34">
      <w:pPr>
        <w:spacing w:line="360" w:lineRule="auto"/>
        <w:ind w:firstLine="480"/>
        <w:rPr>
          <w:rFonts w:ascii="宋体" w:hAnsi="宋体" w:cs="宋体"/>
          <w:sz w:val="24"/>
          <w:szCs w:val="24"/>
        </w:rPr>
      </w:pPr>
      <w:r>
        <w:rPr>
          <w:rFonts w:hint="eastAsia" w:ascii="宋体" w:hAnsi="宋体" w:cs="宋体"/>
          <w:sz w:val="24"/>
          <w:szCs w:val="24"/>
        </w:rPr>
        <w:t>保险事故发生后，被保险人因保险事故而被提起仲裁或诉讼的，对应由被保险人支付的仲裁或诉讼费用以及其他必要的、合理的费用，经保险人事先书面同意，保险人按照保险合同约定也负责赔偿。</w:t>
      </w:r>
    </w:p>
    <w:p w14:paraId="5E89B512">
      <w:pPr>
        <w:spacing w:line="360" w:lineRule="auto"/>
        <w:ind w:firstLine="477" w:firstLineChars="198"/>
        <w:rPr>
          <w:rFonts w:ascii="宋体" w:hAnsi="宋体"/>
          <w:bCs/>
          <w:sz w:val="24"/>
          <w:szCs w:val="24"/>
        </w:rPr>
      </w:pPr>
      <w:r>
        <w:rPr>
          <w:rFonts w:hint="eastAsia" w:ascii="宋体" w:hAnsi="宋体"/>
          <w:b/>
          <w:bCs/>
          <w:sz w:val="24"/>
          <w:szCs w:val="24"/>
        </w:rPr>
        <w:t>4）每次事故及累计赔偿限额：</w:t>
      </w:r>
      <w:r>
        <w:rPr>
          <w:rFonts w:hint="eastAsia" w:ascii="宋体" w:hAnsi="宋体"/>
          <w:bCs/>
          <w:sz w:val="24"/>
          <w:szCs w:val="24"/>
        </w:rPr>
        <w:t>以上险种每次事故及累计赔偿限额不设上限</w:t>
      </w:r>
    </w:p>
    <w:p w14:paraId="7109A6C0">
      <w:pPr>
        <w:spacing w:line="360" w:lineRule="auto"/>
        <w:ind w:firstLine="480"/>
        <w:rPr>
          <w:rFonts w:ascii="宋体" w:hAnsi="宋体" w:cs="宋体"/>
          <w:sz w:val="24"/>
          <w:szCs w:val="24"/>
        </w:rPr>
      </w:pPr>
      <w:r>
        <w:rPr>
          <w:rFonts w:hint="eastAsia" w:ascii="宋体" w:hAnsi="宋体"/>
          <w:b/>
          <w:bCs/>
          <w:sz w:val="24"/>
          <w:szCs w:val="24"/>
        </w:rPr>
        <w:t>5）免赔额</w:t>
      </w:r>
      <w:r>
        <w:rPr>
          <w:rFonts w:hint="eastAsia" w:ascii="宋体" w:hAnsi="宋体"/>
          <w:bCs/>
          <w:sz w:val="24"/>
          <w:szCs w:val="24"/>
        </w:rPr>
        <w:t>：以上险种不设免赔额</w:t>
      </w:r>
    </w:p>
    <w:p w14:paraId="06DC72EF">
      <w:pPr>
        <w:spacing w:line="360" w:lineRule="auto"/>
        <w:ind w:firstLine="480"/>
        <w:rPr>
          <w:rFonts w:ascii="宋体" w:hAnsi="宋体" w:cs="宋体"/>
          <w:b/>
          <w:sz w:val="24"/>
          <w:szCs w:val="24"/>
        </w:rPr>
      </w:pPr>
      <w:r>
        <w:rPr>
          <w:rFonts w:hint="eastAsia" w:ascii="宋体" w:hAnsi="宋体" w:cs="宋体"/>
          <w:b/>
          <w:sz w:val="24"/>
          <w:szCs w:val="24"/>
        </w:rPr>
        <w:t>（6）保费标准、补贴办法及付款方式</w:t>
      </w:r>
    </w:p>
    <w:p w14:paraId="7468EC3C">
      <w:pPr>
        <w:spacing w:line="360" w:lineRule="auto"/>
        <w:ind w:firstLine="480"/>
        <w:rPr>
          <w:rFonts w:hint="eastAsia" w:ascii="宋体" w:hAnsi="宋体" w:cs="宋体"/>
          <w:b/>
          <w:sz w:val="24"/>
          <w:szCs w:val="24"/>
        </w:rPr>
      </w:pPr>
      <w:r>
        <w:rPr>
          <w:rFonts w:hint="eastAsia" w:ascii="宋体" w:hAnsi="宋体" w:cs="宋体"/>
          <w:b/>
          <w:sz w:val="24"/>
          <w:szCs w:val="24"/>
        </w:rPr>
        <w:t>1）保费标准及补贴办法</w:t>
      </w:r>
    </w:p>
    <w:p w14:paraId="4AE9AFF4">
      <w:pPr>
        <w:spacing w:line="360" w:lineRule="auto"/>
        <w:ind w:firstLine="480"/>
        <w:rPr>
          <w:rFonts w:hint="eastAsia" w:ascii="宋体" w:hAnsi="宋体" w:cs="宋体"/>
          <w:sz w:val="24"/>
          <w:szCs w:val="24"/>
        </w:rPr>
      </w:pPr>
      <w:r>
        <w:rPr>
          <w:rFonts w:hint="eastAsia" w:ascii="宋体" w:hAnsi="宋体" w:cs="宋体"/>
          <w:sz w:val="24"/>
          <w:szCs w:val="24"/>
        </w:rPr>
        <w:t>养老机构综合责任保险由采购人负责确定入住老年人的人口数量，入住老年人保费标准为每人100元/年，养老机构承担30元，采购人承担70元，未参加保险的养老机构不得享受财政补贴。</w:t>
      </w:r>
    </w:p>
    <w:p w14:paraId="44E5B85E">
      <w:pPr>
        <w:spacing w:line="360" w:lineRule="auto"/>
        <w:ind w:firstLine="480"/>
        <w:rPr>
          <w:rFonts w:ascii="宋体" w:hAnsi="宋体" w:cs="宋体"/>
          <w:sz w:val="24"/>
          <w:szCs w:val="24"/>
        </w:rPr>
      </w:pPr>
      <w:r>
        <w:rPr>
          <w:rFonts w:hint="eastAsia" w:ascii="宋体" w:hAnsi="宋体" w:cs="宋体"/>
          <w:sz w:val="24"/>
          <w:szCs w:val="24"/>
        </w:rPr>
        <w:t>养老机构入住老年人意外伤害保险保费标准为每人90元/年，入住的社会寄养老人承担70元，采购人承担20元，不满一年的，由老年人自行出资购买，保费为70元，采购人不再另行与保险人进行结算。</w:t>
      </w:r>
    </w:p>
    <w:p w14:paraId="251413CB">
      <w:pPr>
        <w:spacing w:line="360" w:lineRule="auto"/>
        <w:ind w:firstLine="480"/>
        <w:rPr>
          <w:rFonts w:ascii="宋体" w:hAnsi="宋体" w:cs="宋体"/>
          <w:sz w:val="24"/>
          <w:szCs w:val="24"/>
        </w:rPr>
      </w:pPr>
      <w:r>
        <w:rPr>
          <w:rFonts w:hint="eastAsia" w:ascii="宋体" w:hAnsi="宋体" w:cs="宋体"/>
          <w:sz w:val="24"/>
          <w:szCs w:val="24"/>
        </w:rPr>
        <w:t>居家养老服务机构综合责任保险保费标准为每家300元/年，由采购人全额承担。</w:t>
      </w:r>
    </w:p>
    <w:p w14:paraId="7C2DA64D">
      <w:pPr>
        <w:spacing w:line="360" w:lineRule="auto"/>
        <w:ind w:firstLine="480"/>
        <w:rPr>
          <w:rFonts w:hint="eastAsia" w:ascii="宋体" w:hAnsi="宋体" w:cs="宋体"/>
          <w:b/>
          <w:sz w:val="24"/>
          <w:szCs w:val="24"/>
        </w:rPr>
      </w:pPr>
      <w:r>
        <w:rPr>
          <w:rFonts w:hint="eastAsia" w:ascii="宋体" w:hAnsi="宋体" w:cs="宋体"/>
          <w:b/>
          <w:sz w:val="24"/>
          <w:szCs w:val="24"/>
        </w:rPr>
        <w:t>2）付款方式</w:t>
      </w:r>
    </w:p>
    <w:p w14:paraId="076314D6">
      <w:pPr>
        <w:spacing w:line="360" w:lineRule="auto"/>
        <w:ind w:firstLine="480"/>
        <w:rPr>
          <w:rFonts w:hint="eastAsia" w:ascii="宋体" w:hAnsi="宋体" w:cs="宋体"/>
          <w:sz w:val="24"/>
          <w:szCs w:val="24"/>
        </w:rPr>
      </w:pPr>
      <w:r>
        <w:rPr>
          <w:rFonts w:hint="eastAsia" w:ascii="宋体" w:hAnsi="宋体" w:cs="宋体"/>
          <w:sz w:val="24"/>
          <w:szCs w:val="24"/>
        </w:rPr>
        <w:t>养老机构综合责任保险：实行“先由机构缴保险费，后申请政府补贴”的办法，由采购人审核通过后，支付政府补贴部分。</w:t>
      </w:r>
      <w:r>
        <w:rPr>
          <w:rFonts w:ascii="宋体" w:hAnsi="宋体" w:cs="宋体"/>
          <w:sz w:val="24"/>
          <w:szCs w:val="24"/>
        </w:rPr>
        <w:t xml:space="preserve"> </w:t>
      </w:r>
    </w:p>
    <w:p w14:paraId="70ADFD8E">
      <w:pPr>
        <w:spacing w:line="360" w:lineRule="auto"/>
        <w:ind w:firstLine="480"/>
        <w:rPr>
          <w:rFonts w:ascii="宋体" w:hAnsi="宋体" w:cs="宋体"/>
          <w:sz w:val="24"/>
          <w:szCs w:val="24"/>
        </w:rPr>
      </w:pPr>
      <w:r>
        <w:rPr>
          <w:rFonts w:hint="eastAsia" w:ascii="宋体" w:hAnsi="宋体" w:cs="宋体"/>
          <w:sz w:val="24"/>
          <w:szCs w:val="24"/>
        </w:rPr>
        <w:t>养老机构入住老年人意外伤害保险：首批投保实行“先由机构统计投保人数和代收个人交费部分，后申请政府补贴”的办法，不满一年的，由老年人自行出资购买，保费为70元，采购人不再另行追加补贴。</w:t>
      </w:r>
    </w:p>
    <w:p w14:paraId="00EB5779">
      <w:pPr>
        <w:spacing w:line="360" w:lineRule="auto"/>
        <w:ind w:firstLine="480"/>
        <w:rPr>
          <w:rFonts w:hint="eastAsia" w:ascii="黑体" w:hAnsi="宋体" w:eastAsia="黑体"/>
          <w:b/>
          <w:sz w:val="24"/>
          <w:szCs w:val="24"/>
        </w:rPr>
      </w:pPr>
      <w:r>
        <w:rPr>
          <w:rFonts w:hint="eastAsia" w:ascii="宋体" w:hAnsi="宋体" w:cs="宋体"/>
          <w:sz w:val="24"/>
          <w:szCs w:val="24"/>
        </w:rPr>
        <w:t>居家养老服务机构综合责任保险：保险合同签订生效后，由采购人一次性向中标保险公司支付年度保费。</w:t>
      </w:r>
    </w:p>
    <w:p w14:paraId="27DAD2E0">
      <w:pPr>
        <w:spacing w:line="360" w:lineRule="auto"/>
        <w:ind w:left="-2" w:leftChars="-1" w:firstLine="422" w:firstLineChars="175"/>
        <w:outlineLvl w:val="0"/>
        <w:rPr>
          <w:rFonts w:ascii="黑体" w:hAnsi="宋体" w:eastAsia="黑体"/>
          <w:b/>
          <w:sz w:val="24"/>
          <w:szCs w:val="24"/>
        </w:rPr>
      </w:pPr>
      <w:r>
        <w:rPr>
          <w:rFonts w:hint="eastAsia" w:ascii="黑体" w:hAnsi="宋体" w:eastAsia="黑体"/>
          <w:b/>
          <w:sz w:val="24"/>
          <w:szCs w:val="24"/>
        </w:rPr>
        <w:t>（二）保险条款基本要求</w:t>
      </w:r>
    </w:p>
    <w:p w14:paraId="2AF5DFCE">
      <w:pPr>
        <w:spacing w:line="400" w:lineRule="exact"/>
        <w:jc w:val="center"/>
        <w:rPr>
          <w:rFonts w:ascii="宋体" w:hAnsi="宋体"/>
          <w:b/>
          <w:sz w:val="24"/>
          <w:szCs w:val="24"/>
        </w:rPr>
      </w:pPr>
      <w:r>
        <w:rPr>
          <w:rFonts w:hint="eastAsia" w:ascii="宋体" w:hAnsi="宋体"/>
          <w:b/>
          <w:sz w:val="24"/>
          <w:szCs w:val="24"/>
        </w:rPr>
        <w:t>主条款：养老机构综合责任保险</w:t>
      </w:r>
    </w:p>
    <w:p w14:paraId="27A01656">
      <w:pPr>
        <w:spacing w:line="400" w:lineRule="exact"/>
        <w:jc w:val="center"/>
        <w:rPr>
          <w:rFonts w:ascii="宋体" w:hAnsi="宋体"/>
          <w:b/>
          <w:sz w:val="24"/>
          <w:szCs w:val="24"/>
        </w:rPr>
      </w:pPr>
      <w:r>
        <w:rPr>
          <w:rFonts w:hint="eastAsia" w:ascii="宋体" w:hAnsi="宋体"/>
          <w:b/>
          <w:sz w:val="24"/>
          <w:szCs w:val="24"/>
        </w:rPr>
        <w:t>责任范围</w:t>
      </w:r>
    </w:p>
    <w:p w14:paraId="47550001">
      <w:pPr>
        <w:spacing w:line="360" w:lineRule="auto"/>
        <w:ind w:firstLine="480" w:firstLineChars="200"/>
        <w:rPr>
          <w:rFonts w:ascii="宋体" w:hAnsi="宋体"/>
          <w:bCs/>
          <w:sz w:val="24"/>
          <w:szCs w:val="24"/>
        </w:rPr>
      </w:pPr>
      <w:r>
        <w:rPr>
          <w:rFonts w:ascii="宋体" w:hAnsi="宋体"/>
          <w:bCs/>
          <w:sz w:val="24"/>
          <w:szCs w:val="24"/>
        </w:rPr>
        <w:t>在保险期间或保险合同载明的追溯期内，被保险人在保险单中列明的区域范围内依法从事养老服务活动时，因过失导致意外事故，造成服务对象遭受人身损害，由受害人或其代理人在保险期间内首次向被保险人提出损害赔偿请求，依照中华人民共和国法律应由被保险人承担的经济赔偿责任，保险人按照保险合同的约定负责赔偿。</w:t>
      </w:r>
    </w:p>
    <w:p w14:paraId="57AB9C10">
      <w:pPr>
        <w:spacing w:line="360" w:lineRule="auto"/>
        <w:ind w:left="-210" w:leftChars="-100" w:firstLine="480" w:firstLineChars="200"/>
        <w:rPr>
          <w:rFonts w:ascii="宋体" w:hAnsi="宋体"/>
          <w:bCs/>
          <w:sz w:val="24"/>
          <w:szCs w:val="24"/>
        </w:rPr>
      </w:pPr>
      <w:r>
        <w:rPr>
          <w:rFonts w:ascii="宋体" w:hAnsi="宋体"/>
          <w:bCs/>
          <w:sz w:val="24"/>
          <w:szCs w:val="24"/>
        </w:rPr>
        <w:t>在保险期间或保险合同载明的追溯期内，在保险单中列明的区域范围内，发生下列情形导致服务对象遭受人身损害，由受害人在保险期间内首次向被保险人提出损害赔偿请求，尽管被保险人已经履行了相应义务，行为并无不当，但法院或仲裁机构仍判决或裁决被保险人需对受伤害服务对象给予经济补偿时，保险人按照保险合同约定负责赔偿：火灾、爆炸、煤气中毒所造成的意外事故；高空物体坠落所造成的意外事故；非被保险人原因突发停电、停水造成的意外事故。</w:t>
      </w:r>
    </w:p>
    <w:p w14:paraId="31740815">
      <w:pPr>
        <w:spacing w:line="360" w:lineRule="auto"/>
        <w:ind w:left="-210" w:leftChars="-100" w:firstLine="480" w:firstLineChars="200"/>
        <w:rPr>
          <w:rFonts w:ascii="宋体" w:hAnsi="宋体"/>
          <w:bCs/>
          <w:sz w:val="24"/>
          <w:szCs w:val="24"/>
        </w:rPr>
      </w:pPr>
      <w:r>
        <w:rPr>
          <w:rFonts w:hint="eastAsia" w:ascii="宋体" w:hAnsi="宋体"/>
          <w:bCs/>
          <w:sz w:val="24"/>
          <w:szCs w:val="24"/>
        </w:rPr>
        <w:t>施救费用。保险事故发生后，被保险人为防止或减少服务对象的人身伤亡或财产损失所支付的合理的、必要的施救费用。</w:t>
      </w:r>
    </w:p>
    <w:p w14:paraId="30ACADBA">
      <w:pPr>
        <w:spacing w:line="360" w:lineRule="auto"/>
        <w:ind w:left="-210" w:leftChars="-100" w:firstLine="480" w:firstLineChars="200"/>
        <w:rPr>
          <w:rFonts w:ascii="宋体" w:hAnsi="宋体"/>
          <w:bCs/>
          <w:sz w:val="24"/>
          <w:szCs w:val="24"/>
        </w:rPr>
      </w:pPr>
      <w:r>
        <w:rPr>
          <w:rFonts w:hint="eastAsia" w:ascii="宋体" w:hAnsi="宋体"/>
          <w:bCs/>
          <w:sz w:val="24"/>
          <w:szCs w:val="24"/>
        </w:rPr>
        <w:t>相关法律费用。</w:t>
      </w:r>
      <w:r>
        <w:rPr>
          <w:rFonts w:ascii="宋体" w:hAnsi="宋体"/>
          <w:bCs/>
          <w:sz w:val="24"/>
          <w:szCs w:val="24"/>
        </w:rPr>
        <w:t>保险事故发生后，被保险人因保险事故而被提起仲裁或者诉讼的，对应由被保险人支付的仲裁或诉讼费用以及</w:t>
      </w:r>
      <w:r>
        <w:rPr>
          <w:rFonts w:hint="eastAsia" w:ascii="宋体" w:hAnsi="宋体"/>
          <w:bCs/>
          <w:sz w:val="24"/>
          <w:szCs w:val="24"/>
        </w:rPr>
        <w:t>其他必要的</w:t>
      </w:r>
      <w:r>
        <w:rPr>
          <w:rFonts w:ascii="宋体" w:hAnsi="宋体"/>
          <w:bCs/>
          <w:sz w:val="24"/>
          <w:szCs w:val="24"/>
        </w:rPr>
        <w:t>、合理的费用，经保险人事先书面同意，保险人按照保险合同约定也负责赔偿</w:t>
      </w:r>
      <w:r>
        <w:rPr>
          <w:rFonts w:hint="eastAsia" w:ascii="宋体" w:hAnsi="宋体"/>
          <w:bCs/>
          <w:sz w:val="24"/>
          <w:szCs w:val="24"/>
        </w:rPr>
        <w:t>。</w:t>
      </w:r>
    </w:p>
    <w:p w14:paraId="537525B2">
      <w:pPr>
        <w:spacing w:line="400" w:lineRule="exact"/>
        <w:jc w:val="center"/>
        <w:rPr>
          <w:rFonts w:ascii="宋体" w:hAnsi="宋体"/>
          <w:b/>
          <w:sz w:val="24"/>
          <w:szCs w:val="24"/>
        </w:rPr>
      </w:pPr>
      <w:r>
        <w:rPr>
          <w:rFonts w:hint="eastAsia" w:ascii="宋体" w:hAnsi="宋体"/>
          <w:b/>
          <w:sz w:val="24"/>
          <w:szCs w:val="24"/>
        </w:rPr>
        <w:t>责任免除</w:t>
      </w:r>
    </w:p>
    <w:p w14:paraId="1EDC7438">
      <w:pPr>
        <w:spacing w:line="360" w:lineRule="auto"/>
        <w:ind w:firstLine="240" w:firstLineChars="100"/>
        <w:rPr>
          <w:rFonts w:ascii="宋体" w:hAnsi="宋体"/>
          <w:bCs/>
          <w:sz w:val="24"/>
          <w:szCs w:val="24"/>
        </w:rPr>
      </w:pPr>
      <w:r>
        <w:rPr>
          <w:rFonts w:hint="eastAsia" w:ascii="宋体" w:hAnsi="宋体"/>
          <w:bCs/>
          <w:sz w:val="24"/>
          <w:szCs w:val="24"/>
        </w:rPr>
        <w:t>1.下列原因造成的损失、费用和责任，保险人不负责赔偿：</w:t>
      </w:r>
    </w:p>
    <w:p w14:paraId="02FDA200">
      <w:pPr>
        <w:spacing w:line="360" w:lineRule="auto"/>
        <w:ind w:firstLine="480" w:firstLineChars="200"/>
        <w:rPr>
          <w:rFonts w:ascii="宋体" w:hAnsi="宋体"/>
          <w:bCs/>
          <w:sz w:val="24"/>
          <w:szCs w:val="24"/>
        </w:rPr>
      </w:pPr>
      <w:r>
        <w:rPr>
          <w:rFonts w:hint="eastAsia" w:ascii="宋体" w:hAnsi="宋体"/>
          <w:bCs/>
          <w:sz w:val="24"/>
          <w:szCs w:val="24"/>
        </w:rPr>
        <w:t>（一）投保人、被保险人及其工作人员的故意行为；</w:t>
      </w:r>
    </w:p>
    <w:p w14:paraId="79209FED">
      <w:pPr>
        <w:spacing w:line="360" w:lineRule="auto"/>
        <w:ind w:firstLine="480" w:firstLineChars="200"/>
        <w:rPr>
          <w:rFonts w:ascii="宋体" w:hAnsi="宋体"/>
          <w:bCs/>
          <w:sz w:val="24"/>
          <w:szCs w:val="24"/>
        </w:rPr>
      </w:pPr>
      <w:r>
        <w:rPr>
          <w:rFonts w:hint="eastAsia" w:ascii="宋体" w:hAnsi="宋体"/>
          <w:bCs/>
          <w:sz w:val="24"/>
          <w:szCs w:val="24"/>
        </w:rPr>
        <w:t>（二）战争、敌对行动、军事行动、武装冲突、罢工、骚乱、暴动、恐怖活动；</w:t>
      </w:r>
    </w:p>
    <w:p w14:paraId="0AEBC0A7">
      <w:pPr>
        <w:spacing w:line="360" w:lineRule="auto"/>
        <w:ind w:left="-210" w:leftChars="-100" w:firstLine="720" w:firstLineChars="300"/>
        <w:rPr>
          <w:rFonts w:ascii="宋体" w:hAnsi="宋体"/>
          <w:bCs/>
          <w:sz w:val="24"/>
          <w:szCs w:val="24"/>
        </w:rPr>
      </w:pPr>
      <w:r>
        <w:rPr>
          <w:rFonts w:hint="eastAsia" w:ascii="宋体" w:hAnsi="宋体"/>
          <w:bCs/>
          <w:sz w:val="24"/>
          <w:szCs w:val="24"/>
        </w:rPr>
        <w:t>（三）核辐射、核爆炸、核污染及其他放射性污染；</w:t>
      </w:r>
    </w:p>
    <w:p w14:paraId="41EC4F3D">
      <w:pPr>
        <w:spacing w:line="360" w:lineRule="auto"/>
        <w:ind w:left="-210" w:leftChars="-100" w:firstLine="720" w:firstLineChars="300"/>
        <w:rPr>
          <w:rFonts w:ascii="宋体" w:hAnsi="宋体"/>
          <w:bCs/>
          <w:sz w:val="24"/>
          <w:szCs w:val="24"/>
        </w:rPr>
      </w:pPr>
      <w:r>
        <w:rPr>
          <w:rFonts w:hint="eastAsia" w:ascii="宋体" w:hAnsi="宋体"/>
          <w:bCs/>
          <w:sz w:val="24"/>
          <w:szCs w:val="24"/>
        </w:rPr>
        <w:t>（四）大气污染、土地污染、水污染及其他各种污染；</w:t>
      </w:r>
    </w:p>
    <w:p w14:paraId="45AFBD59">
      <w:pPr>
        <w:spacing w:line="360" w:lineRule="auto"/>
        <w:ind w:left="-210" w:leftChars="-100" w:firstLine="720" w:firstLineChars="300"/>
        <w:rPr>
          <w:rFonts w:ascii="宋体" w:hAnsi="宋体"/>
          <w:bCs/>
          <w:sz w:val="24"/>
          <w:szCs w:val="24"/>
        </w:rPr>
      </w:pPr>
      <w:r>
        <w:rPr>
          <w:rFonts w:hint="eastAsia" w:ascii="宋体" w:hAnsi="宋体"/>
          <w:bCs/>
          <w:sz w:val="24"/>
          <w:szCs w:val="24"/>
        </w:rPr>
        <w:t>（五）自然灾害及不可抗力；</w:t>
      </w:r>
    </w:p>
    <w:p w14:paraId="2B753EDE">
      <w:pPr>
        <w:spacing w:line="360" w:lineRule="auto"/>
        <w:ind w:left="-210" w:leftChars="-100" w:firstLine="720" w:firstLineChars="300"/>
        <w:rPr>
          <w:rFonts w:ascii="宋体" w:hAnsi="宋体"/>
          <w:bCs/>
          <w:sz w:val="24"/>
          <w:szCs w:val="24"/>
        </w:rPr>
      </w:pPr>
      <w:r>
        <w:rPr>
          <w:rFonts w:hint="eastAsia" w:ascii="宋体" w:hAnsi="宋体"/>
          <w:bCs/>
          <w:sz w:val="24"/>
          <w:szCs w:val="24"/>
        </w:rPr>
        <w:t>（六）行政行为或司法行为；</w:t>
      </w:r>
    </w:p>
    <w:p w14:paraId="5928B173">
      <w:pPr>
        <w:spacing w:line="360" w:lineRule="auto"/>
        <w:ind w:left="-210" w:leftChars="-100" w:firstLine="720" w:firstLineChars="300"/>
        <w:rPr>
          <w:rFonts w:ascii="宋体" w:hAnsi="宋体"/>
          <w:bCs/>
          <w:sz w:val="24"/>
          <w:szCs w:val="24"/>
        </w:rPr>
      </w:pPr>
      <w:r>
        <w:rPr>
          <w:rFonts w:hint="eastAsia" w:ascii="宋体" w:hAnsi="宋体"/>
          <w:bCs/>
          <w:sz w:val="24"/>
          <w:szCs w:val="24"/>
        </w:rPr>
        <w:t>（七）被保险人及其工作人员殴打、侮辱或虐待服务对象的行为。</w:t>
      </w:r>
    </w:p>
    <w:p w14:paraId="09BAF064">
      <w:pPr>
        <w:spacing w:line="360" w:lineRule="auto"/>
        <w:ind w:firstLine="240" w:firstLineChars="100"/>
        <w:rPr>
          <w:rFonts w:ascii="宋体" w:hAnsi="宋体"/>
          <w:bCs/>
          <w:sz w:val="24"/>
          <w:szCs w:val="24"/>
        </w:rPr>
      </w:pPr>
      <w:r>
        <w:rPr>
          <w:rFonts w:hint="eastAsia" w:ascii="宋体" w:hAnsi="宋体"/>
          <w:bCs/>
          <w:sz w:val="24"/>
          <w:szCs w:val="24"/>
        </w:rPr>
        <w:t>2.有下列情形之一的，保险人不负责赔偿：</w:t>
      </w:r>
    </w:p>
    <w:p w14:paraId="0B397DA1">
      <w:pPr>
        <w:spacing w:line="360" w:lineRule="auto"/>
        <w:ind w:left="-210" w:leftChars="-100" w:firstLine="720" w:firstLineChars="300"/>
        <w:rPr>
          <w:rFonts w:ascii="宋体" w:hAnsi="宋体"/>
          <w:bCs/>
          <w:sz w:val="24"/>
          <w:szCs w:val="24"/>
        </w:rPr>
      </w:pPr>
      <w:r>
        <w:rPr>
          <w:rFonts w:hint="eastAsia" w:ascii="宋体" w:hAnsi="宋体"/>
          <w:bCs/>
          <w:sz w:val="24"/>
          <w:szCs w:val="24"/>
        </w:rPr>
        <w:t>（一）被保险人知道或应该知道其服务设施不安全，仍继续使用的；</w:t>
      </w:r>
    </w:p>
    <w:p w14:paraId="0DCFAD08">
      <w:pPr>
        <w:spacing w:line="360" w:lineRule="auto"/>
        <w:ind w:left="-210" w:leftChars="-100" w:firstLine="720" w:firstLineChars="300"/>
        <w:rPr>
          <w:rFonts w:ascii="宋体" w:hAnsi="宋体"/>
          <w:bCs/>
          <w:sz w:val="24"/>
          <w:szCs w:val="24"/>
        </w:rPr>
      </w:pPr>
      <w:r>
        <w:rPr>
          <w:rFonts w:hint="eastAsia" w:ascii="宋体" w:hAnsi="宋体"/>
          <w:bCs/>
          <w:sz w:val="24"/>
          <w:szCs w:val="24"/>
        </w:rPr>
        <w:t>（二）被保险人与服务对象及其送养人未签订服务合同的；</w:t>
      </w:r>
    </w:p>
    <w:p w14:paraId="38EF9ED8">
      <w:pPr>
        <w:spacing w:line="360" w:lineRule="auto"/>
        <w:ind w:left="-210" w:leftChars="-100" w:firstLine="720" w:firstLineChars="300"/>
        <w:rPr>
          <w:rFonts w:ascii="宋体" w:hAnsi="宋体"/>
          <w:bCs/>
          <w:sz w:val="24"/>
          <w:szCs w:val="24"/>
        </w:rPr>
      </w:pPr>
      <w:r>
        <w:rPr>
          <w:rFonts w:hint="eastAsia" w:ascii="宋体" w:hAnsi="宋体"/>
          <w:bCs/>
          <w:sz w:val="24"/>
          <w:szCs w:val="24"/>
        </w:rPr>
        <w:t>（三）服务对象或其送养人不遵守养老服务机构的规章制度，不履行与被保险人签署的服务合同的义务的；</w:t>
      </w:r>
    </w:p>
    <w:p w14:paraId="0D4800DE">
      <w:pPr>
        <w:spacing w:line="360" w:lineRule="auto"/>
        <w:ind w:left="-210" w:leftChars="-100" w:firstLine="720" w:firstLineChars="300"/>
        <w:rPr>
          <w:rFonts w:ascii="宋体" w:hAnsi="宋体"/>
          <w:bCs/>
          <w:sz w:val="24"/>
          <w:szCs w:val="24"/>
        </w:rPr>
      </w:pPr>
      <w:r>
        <w:rPr>
          <w:rFonts w:hint="eastAsia" w:ascii="宋体" w:hAnsi="宋体"/>
          <w:bCs/>
          <w:sz w:val="24"/>
          <w:szCs w:val="24"/>
        </w:rPr>
        <w:t>（四）被保险人超出其服务范围提供服务的；</w:t>
      </w:r>
    </w:p>
    <w:p w14:paraId="1912E184">
      <w:pPr>
        <w:spacing w:line="360" w:lineRule="auto"/>
        <w:ind w:left="-210" w:leftChars="-100" w:firstLine="720" w:firstLineChars="300"/>
        <w:rPr>
          <w:rFonts w:ascii="宋体" w:hAnsi="宋体"/>
          <w:bCs/>
          <w:sz w:val="24"/>
          <w:szCs w:val="24"/>
        </w:rPr>
      </w:pPr>
      <w:r>
        <w:rPr>
          <w:rFonts w:hint="eastAsia" w:ascii="宋体" w:hAnsi="宋体"/>
          <w:bCs/>
          <w:sz w:val="24"/>
          <w:szCs w:val="24"/>
        </w:rPr>
        <w:t>（五）服务对象突发疾病，被保险人采取的救护措施并无不当的；</w:t>
      </w:r>
    </w:p>
    <w:p w14:paraId="0A3AEB9E">
      <w:pPr>
        <w:spacing w:line="360" w:lineRule="auto"/>
        <w:ind w:left="-210" w:leftChars="-100" w:firstLine="720" w:firstLineChars="300"/>
        <w:rPr>
          <w:rFonts w:ascii="宋体" w:hAnsi="宋体"/>
          <w:bCs/>
          <w:sz w:val="24"/>
          <w:szCs w:val="24"/>
        </w:rPr>
      </w:pPr>
      <w:r>
        <w:rPr>
          <w:rFonts w:hint="eastAsia" w:ascii="宋体" w:hAnsi="宋体"/>
          <w:bCs/>
          <w:sz w:val="24"/>
          <w:szCs w:val="24"/>
        </w:rPr>
        <w:t>（六）进入被保险人机构时服务对象及其送养人未如实告知情况，被保险人事先不知情的；</w:t>
      </w:r>
    </w:p>
    <w:p w14:paraId="37E6485A">
      <w:pPr>
        <w:spacing w:line="360" w:lineRule="auto"/>
        <w:ind w:left="-210" w:leftChars="-100" w:firstLine="720" w:firstLineChars="300"/>
        <w:rPr>
          <w:rFonts w:ascii="宋体" w:hAnsi="宋体"/>
          <w:bCs/>
          <w:sz w:val="24"/>
          <w:szCs w:val="24"/>
        </w:rPr>
      </w:pPr>
      <w:r>
        <w:rPr>
          <w:rFonts w:hint="eastAsia" w:ascii="宋体" w:hAnsi="宋体"/>
          <w:bCs/>
          <w:sz w:val="24"/>
          <w:szCs w:val="24"/>
        </w:rPr>
        <w:t>（七）因服务对象违背其身体特质的自主行为而发生意外事故的；</w:t>
      </w:r>
    </w:p>
    <w:p w14:paraId="776206BF">
      <w:pPr>
        <w:spacing w:line="360" w:lineRule="auto"/>
        <w:ind w:left="-210" w:leftChars="-100" w:firstLine="720" w:firstLineChars="300"/>
        <w:rPr>
          <w:rFonts w:ascii="宋体" w:hAnsi="宋体"/>
          <w:bCs/>
          <w:sz w:val="24"/>
          <w:szCs w:val="24"/>
        </w:rPr>
      </w:pPr>
      <w:r>
        <w:rPr>
          <w:rFonts w:hint="eastAsia" w:ascii="宋体" w:hAnsi="宋体"/>
          <w:bCs/>
          <w:sz w:val="24"/>
          <w:szCs w:val="24"/>
        </w:rPr>
        <w:t>（八）服务对象已达到不能自理状态，服务对象及其送养人拒绝转院或拒绝被保险人协助转院，仍坚持留在被保险人经营服务场所范围内发生意外的；</w:t>
      </w:r>
    </w:p>
    <w:p w14:paraId="21621C70">
      <w:pPr>
        <w:spacing w:line="360" w:lineRule="auto"/>
        <w:ind w:left="-210" w:leftChars="-100" w:firstLine="720" w:firstLineChars="300"/>
        <w:rPr>
          <w:rFonts w:ascii="宋体" w:hAnsi="宋体"/>
          <w:bCs/>
          <w:sz w:val="24"/>
          <w:szCs w:val="24"/>
        </w:rPr>
      </w:pPr>
      <w:r>
        <w:rPr>
          <w:rFonts w:hint="eastAsia" w:ascii="宋体" w:hAnsi="宋体"/>
          <w:bCs/>
          <w:sz w:val="24"/>
          <w:szCs w:val="24"/>
        </w:rPr>
        <w:t>（九）服务对象自然死亡、因病死亡或自伤、自杀，被保险人及其工作人员没有过错的。</w:t>
      </w:r>
    </w:p>
    <w:p w14:paraId="158C5F1C">
      <w:pPr>
        <w:spacing w:line="360" w:lineRule="auto"/>
        <w:ind w:firstLine="240" w:firstLineChars="100"/>
        <w:rPr>
          <w:rFonts w:ascii="宋体" w:hAnsi="宋体"/>
          <w:bCs/>
          <w:sz w:val="24"/>
          <w:szCs w:val="24"/>
        </w:rPr>
      </w:pPr>
      <w:r>
        <w:rPr>
          <w:rFonts w:hint="eastAsia" w:ascii="宋体" w:hAnsi="宋体"/>
          <w:bCs/>
          <w:sz w:val="24"/>
          <w:szCs w:val="24"/>
        </w:rPr>
        <w:t>3.下列损失、费用和责任，保险人不负责赔偿：</w:t>
      </w:r>
    </w:p>
    <w:p w14:paraId="634A81D2">
      <w:pPr>
        <w:spacing w:line="360" w:lineRule="auto"/>
        <w:ind w:left="-210" w:leftChars="-100" w:firstLine="720" w:firstLineChars="300"/>
        <w:rPr>
          <w:rFonts w:ascii="宋体" w:hAnsi="宋体"/>
          <w:bCs/>
          <w:sz w:val="24"/>
          <w:szCs w:val="24"/>
        </w:rPr>
      </w:pPr>
      <w:r>
        <w:rPr>
          <w:rFonts w:hint="eastAsia" w:ascii="宋体" w:hAnsi="宋体"/>
          <w:bCs/>
          <w:sz w:val="24"/>
          <w:szCs w:val="24"/>
        </w:rPr>
        <w:t>（一）被保险人及其工作人员的人身伤亡及其所有或管理的财产的损失；</w:t>
      </w:r>
    </w:p>
    <w:p w14:paraId="30DA6D3B">
      <w:pPr>
        <w:spacing w:line="360" w:lineRule="auto"/>
        <w:ind w:left="-210" w:leftChars="-100" w:firstLine="720" w:firstLineChars="300"/>
        <w:rPr>
          <w:rFonts w:ascii="宋体" w:hAnsi="宋体"/>
          <w:bCs/>
          <w:sz w:val="24"/>
          <w:szCs w:val="24"/>
        </w:rPr>
      </w:pPr>
      <w:r>
        <w:rPr>
          <w:rFonts w:hint="eastAsia" w:ascii="宋体" w:hAnsi="宋体"/>
          <w:bCs/>
          <w:sz w:val="24"/>
          <w:szCs w:val="24"/>
        </w:rPr>
        <w:t>（二）服务对象的任何财产损失；</w:t>
      </w:r>
    </w:p>
    <w:p w14:paraId="1025DFCD">
      <w:pPr>
        <w:spacing w:line="360" w:lineRule="auto"/>
        <w:ind w:left="-210" w:leftChars="-100" w:firstLine="720" w:firstLineChars="300"/>
        <w:rPr>
          <w:rFonts w:ascii="宋体" w:hAnsi="宋体"/>
          <w:bCs/>
          <w:sz w:val="24"/>
          <w:szCs w:val="24"/>
        </w:rPr>
      </w:pPr>
      <w:r>
        <w:rPr>
          <w:rFonts w:hint="eastAsia" w:ascii="宋体" w:hAnsi="宋体"/>
          <w:bCs/>
          <w:sz w:val="24"/>
          <w:szCs w:val="24"/>
        </w:rPr>
        <w:t>（三）被保险人依法应承担的合同责任，但无合同存在时仍然应由被保险人承担的法律责任不在此限；</w:t>
      </w:r>
    </w:p>
    <w:p w14:paraId="2578B037">
      <w:pPr>
        <w:spacing w:line="360" w:lineRule="auto"/>
        <w:ind w:left="-210" w:leftChars="-100" w:firstLine="720" w:firstLineChars="300"/>
        <w:rPr>
          <w:rFonts w:ascii="宋体" w:hAnsi="宋体"/>
          <w:bCs/>
          <w:sz w:val="24"/>
          <w:szCs w:val="24"/>
        </w:rPr>
      </w:pPr>
      <w:r>
        <w:rPr>
          <w:rFonts w:hint="eastAsia" w:ascii="宋体" w:hAnsi="宋体"/>
          <w:bCs/>
          <w:sz w:val="24"/>
          <w:szCs w:val="24"/>
        </w:rPr>
        <w:t>（四）罚款、罚金及惩罚性赔偿；</w:t>
      </w:r>
    </w:p>
    <w:p w14:paraId="69E7DB34">
      <w:pPr>
        <w:spacing w:line="360" w:lineRule="auto"/>
        <w:ind w:left="-210" w:leftChars="-100" w:firstLine="720" w:firstLineChars="300"/>
        <w:rPr>
          <w:rFonts w:ascii="宋体" w:hAnsi="宋体"/>
          <w:bCs/>
          <w:sz w:val="24"/>
          <w:szCs w:val="24"/>
        </w:rPr>
      </w:pPr>
      <w:r>
        <w:rPr>
          <w:rFonts w:hint="eastAsia" w:ascii="宋体" w:hAnsi="宋体"/>
          <w:bCs/>
          <w:sz w:val="24"/>
          <w:szCs w:val="24"/>
        </w:rPr>
        <w:t>（五）精神损害赔偿；</w:t>
      </w:r>
    </w:p>
    <w:p w14:paraId="1CD1FF4F">
      <w:pPr>
        <w:spacing w:line="360" w:lineRule="auto"/>
        <w:ind w:left="-210" w:leftChars="-100" w:firstLine="720" w:firstLineChars="300"/>
        <w:rPr>
          <w:rFonts w:ascii="宋体" w:hAnsi="宋体"/>
          <w:bCs/>
          <w:sz w:val="24"/>
          <w:szCs w:val="24"/>
        </w:rPr>
      </w:pPr>
      <w:r>
        <w:rPr>
          <w:rFonts w:hint="eastAsia" w:ascii="宋体" w:hAnsi="宋体"/>
          <w:bCs/>
          <w:sz w:val="24"/>
          <w:szCs w:val="24"/>
        </w:rPr>
        <w:t>（六）被保险人的任何间接损失；</w:t>
      </w:r>
    </w:p>
    <w:p w14:paraId="2DFEAB7F">
      <w:pPr>
        <w:spacing w:line="360" w:lineRule="auto"/>
        <w:ind w:left="-210" w:leftChars="-100" w:firstLine="720" w:firstLineChars="300"/>
        <w:rPr>
          <w:rFonts w:ascii="宋体" w:hAnsi="宋体"/>
          <w:bCs/>
          <w:sz w:val="24"/>
          <w:szCs w:val="24"/>
        </w:rPr>
      </w:pPr>
      <w:r>
        <w:rPr>
          <w:rFonts w:hint="eastAsia" w:ascii="宋体" w:hAnsi="宋体"/>
          <w:bCs/>
          <w:sz w:val="24"/>
          <w:szCs w:val="24"/>
        </w:rPr>
        <w:t>（七）保险责任范围内，被保险人依法应承担的经济赔偿责任低于或等于免赔额的事故造成的损失、费用和责任；</w:t>
      </w:r>
    </w:p>
    <w:p w14:paraId="707F59B4">
      <w:pPr>
        <w:spacing w:line="360" w:lineRule="auto"/>
        <w:ind w:left="-210" w:leftChars="-100" w:firstLine="720" w:firstLineChars="300"/>
        <w:rPr>
          <w:rFonts w:ascii="宋体" w:hAnsi="宋体"/>
          <w:bCs/>
          <w:sz w:val="24"/>
          <w:szCs w:val="24"/>
        </w:rPr>
      </w:pPr>
      <w:r>
        <w:rPr>
          <w:rFonts w:hint="eastAsia" w:ascii="宋体" w:hAnsi="宋体"/>
          <w:bCs/>
          <w:sz w:val="24"/>
          <w:szCs w:val="24"/>
        </w:rPr>
        <w:t>（八）保险合同中载明的免赔额。</w:t>
      </w:r>
    </w:p>
    <w:p w14:paraId="3B2E691C">
      <w:pPr>
        <w:spacing w:line="360" w:lineRule="auto"/>
        <w:ind w:firstLine="240" w:firstLineChars="100"/>
        <w:rPr>
          <w:rFonts w:ascii="宋体" w:hAnsi="宋体"/>
          <w:bCs/>
          <w:sz w:val="24"/>
          <w:szCs w:val="24"/>
        </w:rPr>
      </w:pPr>
      <w:r>
        <w:rPr>
          <w:rFonts w:hint="eastAsia" w:ascii="宋体" w:hAnsi="宋体"/>
          <w:bCs/>
          <w:sz w:val="24"/>
          <w:szCs w:val="24"/>
        </w:rPr>
        <w:t>4.其他不属于保险责任范围内的损失、费用和责任，保险人不负责赔偿。</w:t>
      </w:r>
    </w:p>
    <w:p w14:paraId="208CAA58">
      <w:pPr>
        <w:spacing w:line="360" w:lineRule="auto"/>
        <w:ind w:left="-2" w:leftChars="-1" w:firstLine="422" w:firstLineChars="175"/>
        <w:outlineLvl w:val="0"/>
        <w:rPr>
          <w:rFonts w:ascii="黑体" w:hAnsi="宋体" w:eastAsia="黑体"/>
          <w:b/>
          <w:sz w:val="24"/>
          <w:szCs w:val="24"/>
        </w:rPr>
      </w:pPr>
      <w:r>
        <w:rPr>
          <w:rFonts w:hint="eastAsia" w:ascii="黑体" w:hAnsi="宋体" w:eastAsia="黑体"/>
          <w:b/>
          <w:sz w:val="24"/>
          <w:szCs w:val="24"/>
        </w:rPr>
        <w:t>（三）特别约定</w:t>
      </w:r>
    </w:p>
    <w:p w14:paraId="177440C0">
      <w:pPr>
        <w:spacing w:line="360" w:lineRule="auto"/>
        <w:ind w:firstLine="480" w:firstLineChars="200"/>
        <w:jc w:val="left"/>
        <w:rPr>
          <w:rFonts w:ascii="宋体" w:hAnsi="宋体"/>
          <w:bCs/>
          <w:sz w:val="24"/>
          <w:szCs w:val="24"/>
        </w:rPr>
      </w:pPr>
      <w:r>
        <w:rPr>
          <w:rFonts w:hint="eastAsia" w:ascii="宋体" w:hAnsi="宋体"/>
          <w:bCs/>
          <w:sz w:val="24"/>
          <w:szCs w:val="24"/>
        </w:rPr>
        <w:t>1.服务对象</w:t>
      </w:r>
    </w:p>
    <w:p w14:paraId="4CEA66AF">
      <w:pPr>
        <w:spacing w:line="360" w:lineRule="auto"/>
        <w:ind w:firstLine="480" w:firstLineChars="200"/>
        <w:jc w:val="left"/>
        <w:rPr>
          <w:rFonts w:ascii="宋体" w:hAnsi="宋体"/>
          <w:bCs/>
          <w:sz w:val="24"/>
          <w:szCs w:val="24"/>
        </w:rPr>
      </w:pPr>
      <w:r>
        <w:rPr>
          <w:rFonts w:hint="eastAsia" w:ascii="宋体" w:hAnsi="宋体"/>
          <w:bCs/>
          <w:sz w:val="24"/>
          <w:szCs w:val="24"/>
        </w:rPr>
        <w:t>各养老机构和居家养老机构在投保时，保险人有告知投保人义务，即入住养老机构的下列“服务对象”不在保险责任范围之内，并在保险单上明确注明：不满60周岁的非特困供养入住人员。</w:t>
      </w:r>
    </w:p>
    <w:p w14:paraId="5BA4BC8A">
      <w:pPr>
        <w:spacing w:line="360" w:lineRule="auto"/>
        <w:ind w:firstLine="480" w:firstLineChars="200"/>
        <w:jc w:val="left"/>
        <w:rPr>
          <w:rFonts w:ascii="宋体" w:hAnsi="宋体"/>
          <w:bCs/>
          <w:sz w:val="24"/>
          <w:szCs w:val="24"/>
        </w:rPr>
      </w:pPr>
      <w:r>
        <w:rPr>
          <w:rFonts w:hint="eastAsia" w:ascii="宋体" w:hAnsi="宋体"/>
          <w:bCs/>
          <w:sz w:val="24"/>
          <w:szCs w:val="24"/>
        </w:rPr>
        <w:t>2.保险费交付与调整</w:t>
      </w:r>
    </w:p>
    <w:p w14:paraId="20E6722B">
      <w:pPr>
        <w:spacing w:line="360" w:lineRule="auto"/>
        <w:ind w:firstLine="480" w:firstLineChars="200"/>
        <w:jc w:val="left"/>
        <w:rPr>
          <w:rFonts w:ascii="宋体" w:hAnsi="宋体"/>
          <w:bCs/>
          <w:sz w:val="24"/>
          <w:szCs w:val="24"/>
        </w:rPr>
      </w:pPr>
      <w:r>
        <w:rPr>
          <w:rFonts w:hint="eastAsia" w:ascii="宋体" w:hAnsi="宋体"/>
          <w:bCs/>
          <w:sz w:val="24"/>
          <w:szCs w:val="24"/>
        </w:rPr>
        <w:t>（1）投标人同意：投保人未付清保险费之前，不影响保险合同的有效；</w:t>
      </w:r>
    </w:p>
    <w:p w14:paraId="2F1CB8C1">
      <w:pPr>
        <w:spacing w:line="360" w:lineRule="auto"/>
        <w:ind w:firstLine="480" w:firstLineChars="200"/>
        <w:jc w:val="left"/>
        <w:rPr>
          <w:rFonts w:ascii="宋体" w:hAnsi="宋体" w:cs="宋体"/>
          <w:sz w:val="24"/>
          <w:szCs w:val="24"/>
        </w:rPr>
      </w:pPr>
      <w:r>
        <w:rPr>
          <w:rFonts w:hint="eastAsia" w:ascii="宋体" w:hAnsi="宋体"/>
          <w:bCs/>
          <w:sz w:val="24"/>
          <w:szCs w:val="24"/>
        </w:rPr>
        <w:t>（2）</w:t>
      </w:r>
      <w:r>
        <w:rPr>
          <w:rFonts w:hint="eastAsia" w:ascii="宋体" w:hAnsi="宋体" w:cs="宋体"/>
          <w:sz w:val="24"/>
          <w:szCs w:val="24"/>
        </w:rPr>
        <w:t>投标人同意：养老机构综合责任保险，在保险年度内，无论养老机构的投保人数增减，保险费不作调整；</w:t>
      </w:r>
    </w:p>
    <w:p w14:paraId="24D87991">
      <w:pPr>
        <w:spacing w:line="360" w:lineRule="auto"/>
        <w:ind w:firstLine="480"/>
        <w:rPr>
          <w:rFonts w:ascii="宋体" w:hAnsi="宋体" w:cs="宋体"/>
          <w:sz w:val="24"/>
          <w:szCs w:val="24"/>
        </w:rPr>
      </w:pPr>
      <w:r>
        <w:rPr>
          <w:rFonts w:hint="eastAsia" w:ascii="宋体" w:hAnsi="宋体" w:cs="宋体"/>
          <w:sz w:val="24"/>
          <w:szCs w:val="24"/>
        </w:rPr>
        <w:t>（3）投标人同意：居家养老服务机构综合责任保险，在保险年度内，不论新增或注销机构数均不调整保险费。</w:t>
      </w:r>
    </w:p>
    <w:p w14:paraId="2C1EF3C6">
      <w:pPr>
        <w:spacing w:line="360" w:lineRule="auto"/>
        <w:ind w:firstLine="480"/>
        <w:rPr>
          <w:rFonts w:ascii="宋体" w:hAnsi="宋体" w:cs="宋体"/>
          <w:sz w:val="24"/>
          <w:szCs w:val="24"/>
        </w:rPr>
      </w:pPr>
      <w:r>
        <w:rPr>
          <w:rFonts w:hint="eastAsia" w:ascii="宋体" w:hAnsi="宋体" w:cs="宋体"/>
          <w:sz w:val="24"/>
          <w:szCs w:val="24"/>
        </w:rPr>
        <w:t>3.关于死亡、伤残、医疗费用等原始凭证复印件的认可</w:t>
      </w:r>
    </w:p>
    <w:p w14:paraId="2F4F0502">
      <w:pPr>
        <w:spacing w:line="360" w:lineRule="auto"/>
        <w:ind w:firstLine="480"/>
        <w:rPr>
          <w:rFonts w:ascii="宋体" w:hAnsi="宋体" w:cs="宋体"/>
          <w:sz w:val="24"/>
          <w:szCs w:val="24"/>
        </w:rPr>
      </w:pPr>
      <w:r>
        <w:rPr>
          <w:rFonts w:hint="eastAsia" w:ascii="宋体" w:hAnsi="宋体" w:cs="宋体"/>
          <w:sz w:val="24"/>
          <w:szCs w:val="24"/>
        </w:rPr>
        <w:t>投标人同意：死亡、伤残、医疗费用等原始凭证在社会医疗保险机构处理赔偿时已经留档不能分割的，该原始凭证复印件可用于本项目理赔时作为依据凭证。</w:t>
      </w:r>
    </w:p>
    <w:p w14:paraId="41EEF6EA">
      <w:pPr>
        <w:spacing w:line="360" w:lineRule="auto"/>
        <w:ind w:firstLine="480"/>
        <w:rPr>
          <w:rFonts w:ascii="宋体" w:hAnsi="宋体" w:cs="宋体"/>
          <w:sz w:val="24"/>
          <w:szCs w:val="24"/>
        </w:rPr>
      </w:pPr>
      <w:r>
        <w:rPr>
          <w:rFonts w:hint="eastAsia" w:ascii="宋体" w:hAnsi="宋体" w:cs="宋体"/>
          <w:sz w:val="24"/>
          <w:szCs w:val="24"/>
        </w:rPr>
        <w:t>4.关于养老服务机构停业</w:t>
      </w:r>
    </w:p>
    <w:p w14:paraId="60C7EB24">
      <w:pPr>
        <w:spacing w:line="360" w:lineRule="auto"/>
        <w:ind w:firstLine="480"/>
        <w:rPr>
          <w:rFonts w:ascii="宋体" w:hAnsi="宋体" w:cs="宋体"/>
          <w:sz w:val="24"/>
          <w:szCs w:val="24"/>
        </w:rPr>
      </w:pPr>
      <w:r>
        <w:rPr>
          <w:rFonts w:hint="eastAsia" w:ascii="宋体" w:hAnsi="宋体" w:cs="宋体"/>
          <w:sz w:val="24"/>
          <w:szCs w:val="24"/>
        </w:rPr>
        <w:t>保险期间内养老机构停业的，自停业之日起退保，保险生效期间保费按照承保公司短期费率计算，不足一月的按一月计算退给采购人和养老机构。</w:t>
      </w:r>
    </w:p>
    <w:p w14:paraId="50F09CFC">
      <w:pPr>
        <w:spacing w:line="360" w:lineRule="auto"/>
        <w:ind w:firstLine="480"/>
        <w:jc w:val="left"/>
        <w:rPr>
          <w:rFonts w:ascii="宋体" w:hAnsi="宋体"/>
          <w:bCs/>
          <w:sz w:val="24"/>
          <w:szCs w:val="24"/>
        </w:rPr>
      </w:pPr>
      <w:r>
        <w:rPr>
          <w:rFonts w:hint="eastAsia" w:ascii="宋体" w:hAnsi="宋体" w:cs="宋体"/>
          <w:sz w:val="24"/>
          <w:szCs w:val="24"/>
        </w:rPr>
        <w:t>5.</w:t>
      </w:r>
      <w:r>
        <w:rPr>
          <w:rFonts w:hint="eastAsia" w:ascii="宋体" w:hAnsi="宋体"/>
          <w:bCs/>
          <w:sz w:val="24"/>
          <w:szCs w:val="24"/>
        </w:rPr>
        <w:t>对因以下原因造成投保入住老人人身伤害的，保险公司不承担赔偿责任</w:t>
      </w:r>
    </w:p>
    <w:p w14:paraId="60839690">
      <w:pPr>
        <w:spacing w:line="360" w:lineRule="auto"/>
        <w:ind w:firstLine="360" w:firstLineChars="150"/>
        <w:jc w:val="left"/>
        <w:rPr>
          <w:rFonts w:ascii="宋体" w:hAnsi="宋体"/>
          <w:bCs/>
          <w:sz w:val="24"/>
          <w:szCs w:val="24"/>
        </w:rPr>
      </w:pPr>
      <w:r>
        <w:rPr>
          <w:rFonts w:hint="eastAsia" w:ascii="宋体" w:hAnsi="宋体"/>
          <w:bCs/>
          <w:sz w:val="24"/>
          <w:szCs w:val="24"/>
        </w:rPr>
        <w:t>（1）被保险人因使用的建筑存在安全问题接到有关部门出具的《危房通知书》，仍继续使用该建筑的；</w:t>
      </w:r>
    </w:p>
    <w:p w14:paraId="10D097F1">
      <w:pPr>
        <w:spacing w:line="360" w:lineRule="auto"/>
        <w:ind w:firstLine="360" w:firstLineChars="150"/>
        <w:jc w:val="left"/>
        <w:rPr>
          <w:rFonts w:ascii="宋体" w:hAnsi="宋体"/>
          <w:bCs/>
          <w:sz w:val="24"/>
          <w:szCs w:val="24"/>
        </w:rPr>
      </w:pPr>
      <w:r>
        <w:rPr>
          <w:rFonts w:hint="eastAsia" w:ascii="宋体" w:hAnsi="宋体"/>
          <w:bCs/>
          <w:sz w:val="24"/>
          <w:szCs w:val="24"/>
        </w:rPr>
        <w:t>（2）被保险人或住养人（家属）隐瞒住养人病情病史的，后因发病造成的意外事故；</w:t>
      </w:r>
    </w:p>
    <w:p w14:paraId="6D6C29C6">
      <w:pPr>
        <w:spacing w:line="360" w:lineRule="auto"/>
        <w:ind w:firstLine="360" w:firstLineChars="150"/>
        <w:jc w:val="left"/>
        <w:rPr>
          <w:rFonts w:ascii="宋体" w:hAnsi="宋体"/>
          <w:bCs/>
          <w:sz w:val="24"/>
          <w:szCs w:val="24"/>
        </w:rPr>
      </w:pPr>
      <w:r>
        <w:rPr>
          <w:rFonts w:hint="eastAsia" w:ascii="宋体" w:hAnsi="宋体"/>
          <w:bCs/>
          <w:sz w:val="24"/>
          <w:szCs w:val="24"/>
        </w:rPr>
        <w:t>（3）被保险人未与住养人签订协议、未将住养人信息输入采购人综合业务信息系统的；</w:t>
      </w:r>
    </w:p>
    <w:p w14:paraId="05AF8AC0">
      <w:pPr>
        <w:spacing w:line="360" w:lineRule="auto"/>
        <w:ind w:firstLine="360" w:firstLineChars="150"/>
        <w:jc w:val="left"/>
        <w:rPr>
          <w:rFonts w:ascii="宋体" w:hAnsi="宋体"/>
          <w:bCs/>
          <w:sz w:val="24"/>
          <w:szCs w:val="24"/>
        </w:rPr>
      </w:pPr>
      <w:r>
        <w:rPr>
          <w:rFonts w:hint="eastAsia" w:ascii="宋体" w:hAnsi="宋体"/>
          <w:bCs/>
          <w:sz w:val="24"/>
          <w:szCs w:val="24"/>
        </w:rPr>
        <w:t>（4）被保险人及其雇员的犯罪行为或者违法违规经营行为；</w:t>
      </w:r>
    </w:p>
    <w:p w14:paraId="42A71114">
      <w:pPr>
        <w:spacing w:line="360" w:lineRule="auto"/>
        <w:ind w:firstLine="360" w:firstLineChars="150"/>
        <w:jc w:val="left"/>
        <w:rPr>
          <w:rFonts w:ascii="宋体" w:hAnsi="宋体"/>
          <w:bCs/>
          <w:sz w:val="24"/>
          <w:szCs w:val="24"/>
        </w:rPr>
      </w:pPr>
      <w:r>
        <w:rPr>
          <w:rFonts w:hint="eastAsia" w:ascii="宋体" w:hAnsi="宋体"/>
          <w:bCs/>
          <w:sz w:val="24"/>
          <w:szCs w:val="24"/>
        </w:rPr>
        <w:t>（5）住养人的子女、其他监护人的主要过错导致住养人的人身伤亡或财产损失；</w:t>
      </w:r>
    </w:p>
    <w:p w14:paraId="7D47C24A">
      <w:pPr>
        <w:spacing w:line="360" w:lineRule="auto"/>
        <w:ind w:firstLine="360" w:firstLineChars="150"/>
        <w:jc w:val="left"/>
        <w:rPr>
          <w:rFonts w:ascii="宋体" w:hAnsi="宋体"/>
          <w:bCs/>
          <w:sz w:val="24"/>
          <w:szCs w:val="24"/>
        </w:rPr>
      </w:pPr>
      <w:r>
        <w:rPr>
          <w:rFonts w:hint="eastAsia" w:ascii="宋体" w:hAnsi="宋体"/>
          <w:bCs/>
          <w:sz w:val="24"/>
          <w:szCs w:val="24"/>
        </w:rPr>
        <w:t>（6）未经被保险人同意，被保险人的医务人员或者患方自行邀请进行会诊或执业的医务人员造成的损失、费用和责任，保险人不负责赔偿。</w:t>
      </w:r>
    </w:p>
    <w:p w14:paraId="4825C7CC">
      <w:pPr>
        <w:spacing w:line="360" w:lineRule="auto"/>
        <w:ind w:left="-210" w:leftChars="-100" w:firstLine="720" w:firstLineChars="300"/>
        <w:rPr>
          <w:rFonts w:ascii="宋体" w:hAnsi="宋体"/>
          <w:bCs/>
          <w:sz w:val="24"/>
          <w:szCs w:val="24"/>
        </w:rPr>
      </w:pPr>
      <w:r>
        <w:rPr>
          <w:rFonts w:hint="eastAsia" w:ascii="宋体" w:hAnsi="宋体" w:cs="宋体"/>
          <w:sz w:val="24"/>
          <w:szCs w:val="24"/>
        </w:rPr>
        <w:t>6.</w:t>
      </w:r>
      <w:r>
        <w:rPr>
          <w:rFonts w:hint="eastAsia" w:ascii="宋体" w:hAnsi="宋体"/>
          <w:bCs/>
          <w:sz w:val="24"/>
          <w:szCs w:val="24"/>
        </w:rPr>
        <w:t>其他事项</w:t>
      </w:r>
    </w:p>
    <w:p w14:paraId="72BBDE66">
      <w:pPr>
        <w:spacing w:line="360" w:lineRule="auto"/>
        <w:ind w:left="149" w:leftChars="71" w:firstLine="240" w:firstLineChars="100"/>
        <w:rPr>
          <w:rFonts w:ascii="宋体" w:hAnsi="宋体"/>
          <w:bCs/>
          <w:sz w:val="24"/>
          <w:szCs w:val="24"/>
        </w:rPr>
      </w:pPr>
      <w:r>
        <w:rPr>
          <w:rFonts w:hint="eastAsia" w:ascii="宋体" w:hAnsi="宋体"/>
          <w:bCs/>
          <w:sz w:val="24"/>
          <w:szCs w:val="24"/>
        </w:rPr>
        <w:t>（1）因保险责任范围内事故的入住老人医疗费用，其中已参加社会医疗保险人员的医疗费用赔偿，先按社会医疗保险规定结算，个人自负部分在本项目医疗费用赔偿限额中进行赔付；</w:t>
      </w:r>
    </w:p>
    <w:p w14:paraId="35661650">
      <w:pPr>
        <w:spacing w:line="360" w:lineRule="auto"/>
        <w:ind w:firstLine="480"/>
        <w:rPr>
          <w:rFonts w:ascii="宋体" w:hAnsi="宋体" w:cs="宋体"/>
          <w:sz w:val="24"/>
          <w:szCs w:val="24"/>
        </w:rPr>
      </w:pPr>
      <w:r>
        <w:rPr>
          <w:rFonts w:hint="eastAsia" w:ascii="宋体" w:hAnsi="宋体"/>
          <w:bCs/>
          <w:sz w:val="24"/>
          <w:szCs w:val="24"/>
        </w:rPr>
        <w:t>（2）未参加社会医疗保险人员的医疗费用赔偿，在本项目医疗费用赔偿限额内赔付。</w:t>
      </w:r>
    </w:p>
    <w:p w14:paraId="603838AE">
      <w:pPr>
        <w:spacing w:line="360" w:lineRule="auto"/>
        <w:ind w:left="-2" w:leftChars="-1" w:firstLine="422" w:firstLineChars="175"/>
        <w:outlineLvl w:val="0"/>
        <w:rPr>
          <w:rFonts w:ascii="黑体" w:hAnsi="宋体" w:eastAsia="黑体"/>
          <w:b/>
          <w:sz w:val="24"/>
          <w:szCs w:val="24"/>
        </w:rPr>
      </w:pPr>
      <w:r>
        <w:rPr>
          <w:rFonts w:hint="eastAsia" w:ascii="黑体" w:hAnsi="宋体" w:eastAsia="黑体"/>
          <w:b/>
          <w:sz w:val="24"/>
          <w:szCs w:val="24"/>
        </w:rPr>
        <w:t>（四）补充约定</w:t>
      </w:r>
    </w:p>
    <w:p w14:paraId="757D5EA8">
      <w:pPr>
        <w:spacing w:line="360" w:lineRule="auto"/>
        <w:ind w:firstLine="480"/>
        <w:rPr>
          <w:rFonts w:ascii="宋体" w:hAnsi="宋体" w:cs="宋体"/>
          <w:sz w:val="24"/>
          <w:szCs w:val="24"/>
        </w:rPr>
      </w:pPr>
      <w:r>
        <w:rPr>
          <w:rFonts w:hint="eastAsia" w:ascii="宋体" w:hAnsi="宋体" w:cs="宋体"/>
          <w:sz w:val="24"/>
          <w:szCs w:val="24"/>
        </w:rPr>
        <w:t>投标人理解，仅凭保险条款的约定并不能使得未来的被保险人获得完善的保险服务，为此投标人同意以下各条补充约定并将其视为未来保险合同的一部分，由保险双方共同遵守。</w:t>
      </w:r>
    </w:p>
    <w:p w14:paraId="25A487CA">
      <w:pPr>
        <w:spacing w:line="360" w:lineRule="auto"/>
        <w:ind w:firstLine="480"/>
        <w:rPr>
          <w:rFonts w:ascii="宋体" w:hAnsi="宋体" w:cs="宋体"/>
          <w:sz w:val="24"/>
          <w:szCs w:val="24"/>
        </w:rPr>
      </w:pPr>
      <w:r>
        <w:rPr>
          <w:rFonts w:hint="eastAsia" w:ascii="宋体" w:hAnsi="宋体" w:cs="宋体"/>
          <w:sz w:val="24"/>
          <w:szCs w:val="24"/>
        </w:rPr>
        <w:t>1</w:t>
      </w:r>
      <w:bookmarkStart w:id="71" w:name="OLE_LINK3"/>
      <w:r>
        <w:rPr>
          <w:rFonts w:hint="eastAsia" w:ascii="宋体" w:hAnsi="宋体" w:cs="宋体"/>
          <w:sz w:val="24"/>
          <w:szCs w:val="24"/>
        </w:rPr>
        <w:t>.</w:t>
      </w:r>
      <w:bookmarkEnd w:id="71"/>
      <w:r>
        <w:rPr>
          <w:rFonts w:hint="eastAsia" w:ascii="宋体" w:hAnsi="宋体" w:cs="宋体"/>
          <w:sz w:val="24"/>
          <w:szCs w:val="24"/>
        </w:rPr>
        <w:t>关于涉保信息披露</w:t>
      </w:r>
    </w:p>
    <w:p w14:paraId="08017B0F">
      <w:pPr>
        <w:spacing w:line="360" w:lineRule="auto"/>
        <w:ind w:firstLine="480"/>
        <w:rPr>
          <w:rFonts w:ascii="宋体" w:hAnsi="宋体" w:cs="宋体"/>
          <w:sz w:val="24"/>
          <w:szCs w:val="24"/>
        </w:rPr>
      </w:pPr>
      <w:r>
        <w:rPr>
          <w:rFonts w:hint="eastAsia" w:ascii="宋体" w:hAnsi="宋体" w:cs="宋体"/>
          <w:sz w:val="24"/>
          <w:szCs w:val="24"/>
        </w:rPr>
        <w:t>（1）投标人同意，采购代理机构在本招标文件中披露的所有足以影响投标人判断风险的涉保信息是真实的，投标人据此提出己方作为未来保险人保险服务条件及服务承诺。</w:t>
      </w:r>
    </w:p>
    <w:p w14:paraId="33666377">
      <w:pPr>
        <w:spacing w:line="360" w:lineRule="auto"/>
        <w:ind w:firstLine="480"/>
        <w:rPr>
          <w:rFonts w:ascii="宋体" w:hAnsi="宋体" w:cs="宋体"/>
          <w:sz w:val="24"/>
          <w:szCs w:val="24"/>
        </w:rPr>
      </w:pPr>
      <w:r>
        <w:rPr>
          <w:rFonts w:hint="eastAsia" w:ascii="宋体" w:hAnsi="宋体" w:cs="宋体"/>
          <w:sz w:val="24"/>
          <w:szCs w:val="24"/>
        </w:rPr>
        <w:t>（2）投标人同意，采购代理机构承诺，投标人对涉保信息的进一步了解都将获得采购代理机构的同意与配合</w:t>
      </w:r>
    </w:p>
    <w:p w14:paraId="1B5724DA">
      <w:pPr>
        <w:spacing w:line="360" w:lineRule="auto"/>
        <w:ind w:firstLine="480"/>
        <w:rPr>
          <w:rFonts w:ascii="宋体" w:hAnsi="宋体" w:cs="宋体"/>
          <w:sz w:val="24"/>
          <w:szCs w:val="24"/>
        </w:rPr>
      </w:pPr>
      <w:r>
        <w:rPr>
          <w:rFonts w:hint="eastAsia" w:ascii="宋体" w:hAnsi="宋体" w:cs="宋体"/>
          <w:sz w:val="24"/>
          <w:szCs w:val="24"/>
        </w:rPr>
        <w:t>（3）投标人承诺，若中标，所有涉及养老机构和居家养老服务机构的投保信息等都将严格保密，仅限内部操作使用，任何涉保信息的泄露，均为违约行为并承担相关法律责任。</w:t>
      </w:r>
    </w:p>
    <w:p w14:paraId="37908E00">
      <w:pPr>
        <w:spacing w:line="360" w:lineRule="auto"/>
        <w:ind w:firstLine="480"/>
        <w:rPr>
          <w:rFonts w:ascii="宋体" w:hAnsi="宋体" w:cs="宋体"/>
          <w:sz w:val="24"/>
          <w:szCs w:val="24"/>
        </w:rPr>
      </w:pPr>
      <w:r>
        <w:rPr>
          <w:rFonts w:hint="eastAsia" w:ascii="宋体" w:hAnsi="宋体" w:cs="宋体"/>
          <w:sz w:val="24"/>
          <w:szCs w:val="24"/>
        </w:rPr>
        <w:t>2．赔偿处理：保险公司接到保险对象的理赔申请后，对材料齐全、事实清楚，确属养老机构或居家养老服务机构责任范围的，应在30天内给付保险金；对需进一步调查的事故，按服务承诺作出理赔决定；对明显不属于保险责任范围的，应作出不予理赔的书面说明。保险公司同时将理赔情况报采购人备案。</w:t>
      </w:r>
    </w:p>
    <w:p w14:paraId="18887231">
      <w:pPr>
        <w:spacing w:line="360" w:lineRule="auto"/>
        <w:ind w:firstLine="480"/>
        <w:rPr>
          <w:rFonts w:ascii="宋体" w:hAnsi="宋体" w:cs="宋体"/>
          <w:sz w:val="24"/>
          <w:szCs w:val="24"/>
        </w:rPr>
      </w:pPr>
      <w:r>
        <w:rPr>
          <w:rFonts w:hint="eastAsia" w:ascii="宋体" w:hAnsi="宋体" w:cs="宋体"/>
          <w:sz w:val="24"/>
          <w:szCs w:val="24"/>
        </w:rPr>
        <w:t>（1）基本原则：除非有合理和足够的证据证明，保险人不得以任何理由推卸，拖延甚至拒绝被保险人索赔要求，否则其行为构成违约并须承担违约责任；</w:t>
      </w:r>
    </w:p>
    <w:p w14:paraId="7AA48E55">
      <w:pPr>
        <w:spacing w:line="360" w:lineRule="auto"/>
        <w:ind w:firstLine="480"/>
        <w:rPr>
          <w:rFonts w:ascii="宋体" w:hAnsi="宋体" w:cs="宋体"/>
          <w:sz w:val="24"/>
          <w:szCs w:val="24"/>
        </w:rPr>
      </w:pPr>
      <w:r>
        <w:rPr>
          <w:rFonts w:hint="eastAsia" w:ascii="宋体" w:hAnsi="宋体" w:cs="宋体"/>
          <w:sz w:val="24"/>
          <w:szCs w:val="24"/>
        </w:rPr>
        <w:t>（2）一旦接到被保险人通知，保险人代表应尽早赶赴事故现场开始初步调查并提出止损建议，被保险人应予以配合；</w:t>
      </w:r>
    </w:p>
    <w:p w14:paraId="44B2DA4E">
      <w:pPr>
        <w:spacing w:line="360" w:lineRule="auto"/>
        <w:ind w:firstLine="480"/>
        <w:rPr>
          <w:rFonts w:ascii="宋体" w:hAnsi="宋体" w:cs="宋体"/>
          <w:sz w:val="24"/>
          <w:szCs w:val="24"/>
        </w:rPr>
      </w:pPr>
      <w:r>
        <w:rPr>
          <w:rFonts w:hint="eastAsia" w:ascii="宋体" w:hAnsi="宋体" w:cs="宋体"/>
          <w:sz w:val="24"/>
          <w:szCs w:val="24"/>
        </w:rPr>
        <w:t>（3）发生事故后，保险人应于3个工作日内向被保险人提交一份针对本次事故完成理赔工作所需经过的程序及需要的事故/损失证明材料；</w:t>
      </w:r>
    </w:p>
    <w:p w14:paraId="09007506">
      <w:pPr>
        <w:spacing w:line="360" w:lineRule="auto"/>
        <w:ind w:firstLine="480"/>
        <w:rPr>
          <w:rFonts w:ascii="宋体" w:hAnsi="宋体" w:cs="宋体"/>
          <w:sz w:val="24"/>
          <w:szCs w:val="24"/>
        </w:rPr>
      </w:pPr>
      <w:r>
        <w:rPr>
          <w:rFonts w:hint="eastAsia" w:ascii="宋体" w:hAnsi="宋体" w:cs="宋体"/>
          <w:sz w:val="24"/>
          <w:szCs w:val="24"/>
        </w:rPr>
        <w:t>（4）当确定事故责任属于赔偿范围，且可以估计损失金额，保险人应在10个工作日内完成至少50%的预付赔款。</w:t>
      </w:r>
    </w:p>
    <w:p w14:paraId="19A8A799">
      <w:pPr>
        <w:spacing w:line="360" w:lineRule="auto"/>
        <w:ind w:firstLine="480"/>
        <w:rPr>
          <w:rFonts w:ascii="宋体" w:hAnsi="宋体" w:cs="宋体"/>
          <w:sz w:val="24"/>
          <w:szCs w:val="24"/>
        </w:rPr>
      </w:pPr>
      <w:r>
        <w:rPr>
          <w:rFonts w:hint="eastAsia" w:ascii="宋体" w:hAnsi="宋体" w:cs="宋体"/>
          <w:sz w:val="24"/>
          <w:szCs w:val="24"/>
        </w:rPr>
        <w:t>（5）对于虽经被保险人努力仍无法完成的证据/证明材料提交工作，保险人须予以帮助并不得以此为由推卸、拖延甚至拒绝履行合同责任。</w:t>
      </w:r>
    </w:p>
    <w:p w14:paraId="00B6449C">
      <w:pPr>
        <w:spacing w:line="360" w:lineRule="auto"/>
        <w:ind w:firstLine="480"/>
        <w:rPr>
          <w:rFonts w:ascii="宋体" w:hAnsi="宋体" w:cs="宋体"/>
          <w:sz w:val="24"/>
          <w:szCs w:val="24"/>
        </w:rPr>
      </w:pPr>
      <w:r>
        <w:rPr>
          <w:rFonts w:hint="eastAsia" w:ascii="宋体" w:hAnsi="宋体" w:cs="宋体"/>
          <w:sz w:val="24"/>
          <w:szCs w:val="24"/>
        </w:rPr>
        <w:t>3.报表</w:t>
      </w:r>
    </w:p>
    <w:p w14:paraId="2A0B905F">
      <w:pPr>
        <w:spacing w:line="360" w:lineRule="auto"/>
        <w:ind w:firstLine="480"/>
        <w:rPr>
          <w:rFonts w:ascii="宋体" w:hAnsi="宋体" w:cs="宋体"/>
          <w:sz w:val="24"/>
          <w:szCs w:val="24"/>
        </w:rPr>
      </w:pPr>
      <w:r>
        <w:rPr>
          <w:rFonts w:hint="eastAsia" w:ascii="宋体" w:hAnsi="宋体" w:cs="宋体"/>
          <w:sz w:val="24"/>
          <w:szCs w:val="24"/>
        </w:rPr>
        <w:t>中标保险公司按季度统计汇总理赔数据，及时提交理赔季报和年报，报表格式需报采购人审定。</w:t>
      </w:r>
    </w:p>
    <w:p w14:paraId="5E1FF365">
      <w:pPr>
        <w:spacing w:line="360" w:lineRule="auto"/>
        <w:ind w:firstLine="480"/>
        <w:rPr>
          <w:rFonts w:ascii="宋体" w:hAnsi="宋体" w:cs="宋体"/>
          <w:sz w:val="24"/>
          <w:szCs w:val="24"/>
        </w:rPr>
      </w:pPr>
      <w:r>
        <w:rPr>
          <w:rFonts w:hint="eastAsia" w:ascii="宋体" w:hAnsi="宋体" w:cs="宋体"/>
          <w:sz w:val="24"/>
          <w:szCs w:val="24"/>
        </w:rPr>
        <w:t>中标保险公司应于每季次月递交理赔资料，包括“保险理赔通知书”和“理赔调查报告”复印件。</w:t>
      </w:r>
    </w:p>
    <w:p w14:paraId="4BA650F4">
      <w:pPr>
        <w:spacing w:line="360" w:lineRule="auto"/>
        <w:ind w:firstLine="480"/>
        <w:rPr>
          <w:rFonts w:ascii="宋体" w:hAnsi="宋体" w:cs="宋体"/>
          <w:sz w:val="24"/>
          <w:szCs w:val="24"/>
        </w:rPr>
      </w:pPr>
      <w:r>
        <w:rPr>
          <w:rFonts w:hint="eastAsia" w:ascii="宋体" w:hAnsi="宋体" w:cs="宋体"/>
          <w:sz w:val="24"/>
          <w:szCs w:val="24"/>
        </w:rPr>
        <w:t>4.相关服务</w:t>
      </w:r>
    </w:p>
    <w:p w14:paraId="785EFB3B">
      <w:pPr>
        <w:spacing w:line="360" w:lineRule="auto"/>
        <w:ind w:firstLine="480"/>
        <w:rPr>
          <w:rFonts w:ascii="宋体" w:hAnsi="宋体" w:cs="宋体"/>
          <w:sz w:val="24"/>
          <w:szCs w:val="24"/>
        </w:rPr>
      </w:pPr>
      <w:r>
        <w:rPr>
          <w:rFonts w:hint="eastAsia" w:ascii="宋体" w:hAnsi="宋体" w:cs="宋体"/>
          <w:sz w:val="24"/>
          <w:szCs w:val="24"/>
        </w:rPr>
        <w:t>投标人需要建立专项的服务团队并由专职工作人员负责上门服务，实现被保险人享受保险服务不出门；</w:t>
      </w:r>
    </w:p>
    <w:p w14:paraId="548BF6F0">
      <w:pPr>
        <w:spacing w:line="360" w:lineRule="auto"/>
        <w:ind w:firstLine="480"/>
        <w:rPr>
          <w:rFonts w:ascii="宋体" w:hAnsi="宋体" w:cs="宋体"/>
          <w:sz w:val="24"/>
          <w:szCs w:val="24"/>
        </w:rPr>
      </w:pPr>
      <w:r>
        <w:rPr>
          <w:rFonts w:hint="eastAsia" w:ascii="宋体" w:hAnsi="宋体" w:cs="宋体"/>
          <w:sz w:val="24"/>
          <w:szCs w:val="24"/>
        </w:rPr>
        <w:t>制定并落实保险业务培训和宣传方案并做好业务指导。</w:t>
      </w:r>
    </w:p>
    <w:p w14:paraId="778F6199">
      <w:pPr>
        <w:spacing w:line="360" w:lineRule="auto"/>
        <w:ind w:firstLine="480"/>
        <w:rPr>
          <w:rFonts w:ascii="宋体" w:hAnsi="宋体" w:cs="宋体"/>
          <w:sz w:val="24"/>
          <w:szCs w:val="24"/>
        </w:rPr>
      </w:pPr>
      <w:r>
        <w:rPr>
          <w:rFonts w:hint="eastAsia" w:ascii="宋体" w:hAnsi="宋体" w:cs="宋体"/>
          <w:sz w:val="24"/>
          <w:szCs w:val="24"/>
        </w:rPr>
        <w:t>5.关于保险合同</w:t>
      </w:r>
    </w:p>
    <w:p w14:paraId="0CDFF773">
      <w:pPr>
        <w:spacing w:line="360" w:lineRule="auto"/>
        <w:ind w:firstLine="480"/>
        <w:rPr>
          <w:rFonts w:ascii="宋体" w:hAnsi="宋体" w:cs="宋体"/>
          <w:sz w:val="24"/>
          <w:szCs w:val="24"/>
        </w:rPr>
      </w:pPr>
      <w:r>
        <w:rPr>
          <w:rFonts w:hint="eastAsia" w:ascii="宋体" w:hAnsi="宋体" w:cs="宋体"/>
          <w:sz w:val="24"/>
          <w:szCs w:val="24"/>
        </w:rPr>
        <w:t>（1）本招标文件与保险单、今后可能产生的批单、书面询问/答疑问和双方往来函电等构成保险合同；构成保险合同的所有文件被认为是一个整体，相互说明、互为补充，如条文含义不明确时，按保险法有关规定办理，当文件间相互矛盾时，以保险合同及本招标文件为准；</w:t>
      </w:r>
    </w:p>
    <w:p w14:paraId="07498D29">
      <w:pPr>
        <w:spacing w:line="360" w:lineRule="auto"/>
        <w:ind w:firstLine="480"/>
        <w:rPr>
          <w:rFonts w:ascii="宋体" w:hAnsi="宋体" w:cs="宋体"/>
          <w:sz w:val="24"/>
          <w:szCs w:val="24"/>
        </w:rPr>
      </w:pPr>
      <w:r>
        <w:rPr>
          <w:rFonts w:hint="eastAsia" w:ascii="宋体" w:hAnsi="宋体" w:cs="宋体"/>
          <w:sz w:val="24"/>
          <w:szCs w:val="24"/>
        </w:rPr>
        <w:t>（2）保险人对保险条款进行解释时，只是合同一方的理解，对争议或歧义的裁决应按保险法规定做出有利于被保险人的解释，若仍有争议则以法院判决为准。</w:t>
      </w:r>
    </w:p>
    <w:p w14:paraId="60D26810">
      <w:pPr>
        <w:spacing w:line="360" w:lineRule="auto"/>
        <w:ind w:firstLine="480"/>
        <w:rPr>
          <w:rFonts w:ascii="宋体" w:hAnsi="宋体" w:cs="宋体"/>
          <w:sz w:val="24"/>
          <w:szCs w:val="24"/>
        </w:rPr>
      </w:pPr>
      <w:r>
        <w:rPr>
          <w:rFonts w:hint="eastAsia" w:ascii="宋体" w:hAnsi="宋体" w:cs="宋体"/>
          <w:sz w:val="24"/>
          <w:szCs w:val="24"/>
        </w:rPr>
        <w:t>6</w:t>
      </w:r>
      <w:r>
        <w:rPr>
          <w:rFonts w:hint="eastAsia" w:ascii="宋体" w:hAnsi="宋体" w:cs="宋体"/>
          <w:bCs/>
          <w:sz w:val="24"/>
          <w:szCs w:val="24"/>
        </w:rPr>
        <w:t>.退出机制</w:t>
      </w:r>
    </w:p>
    <w:p w14:paraId="1BE377A7">
      <w:pPr>
        <w:spacing w:line="360" w:lineRule="auto"/>
        <w:ind w:firstLine="480"/>
        <w:rPr>
          <w:rFonts w:ascii="宋体" w:hAnsi="宋体" w:cs="宋体"/>
          <w:sz w:val="24"/>
          <w:szCs w:val="24"/>
        </w:rPr>
      </w:pPr>
      <w:r>
        <w:rPr>
          <w:rFonts w:hint="eastAsia" w:ascii="宋体" w:hAnsi="宋体" w:cs="宋体"/>
          <w:sz w:val="24"/>
          <w:szCs w:val="24"/>
        </w:rPr>
        <w:t>本项目建立风险控制机制，因违反合同约定，或发生其他严重损害被保险人权益的情况，可以提前终止或解除合同，由下一名递补，并依法追究原中标单位责任，退出保险公司应及时做好相关交接手续。</w:t>
      </w:r>
    </w:p>
    <w:p w14:paraId="01892371">
      <w:pPr>
        <w:spacing w:line="360" w:lineRule="auto"/>
        <w:ind w:firstLine="482"/>
        <w:rPr>
          <w:rFonts w:ascii="宋体" w:hAnsi="宋体" w:cs="宋体"/>
          <w:sz w:val="24"/>
          <w:szCs w:val="24"/>
        </w:rPr>
      </w:pPr>
      <w:r>
        <w:rPr>
          <w:rFonts w:hint="eastAsia" w:ascii="宋体" w:hAnsi="宋体" w:cs="宋体"/>
          <w:bCs/>
          <w:sz w:val="24"/>
          <w:szCs w:val="24"/>
        </w:rPr>
        <w:t>7.重新启动招标程序</w:t>
      </w:r>
    </w:p>
    <w:p w14:paraId="46199C7C">
      <w:pPr>
        <w:spacing w:line="360" w:lineRule="auto"/>
        <w:ind w:firstLine="480"/>
        <w:rPr>
          <w:rFonts w:ascii="宋体" w:hAnsi="宋体" w:cs="宋体"/>
          <w:sz w:val="24"/>
          <w:szCs w:val="24"/>
        </w:rPr>
      </w:pPr>
      <w:r>
        <w:rPr>
          <w:rFonts w:hint="eastAsia" w:ascii="宋体" w:hAnsi="宋体" w:cs="宋体"/>
          <w:sz w:val="24"/>
          <w:szCs w:val="24"/>
        </w:rPr>
        <w:t>中标保险公司皆因违反合同约定，严重损害被保险人权益，合同的继续履行将损害国家利益和社会公共利益的，采购人有权终止合同，本项目重新启动招标程序。</w:t>
      </w:r>
    </w:p>
    <w:p w14:paraId="26A209D9">
      <w:pPr>
        <w:spacing w:line="360" w:lineRule="auto"/>
        <w:ind w:firstLine="480"/>
        <w:rPr>
          <w:rFonts w:ascii="宋体" w:hAnsi="宋体" w:cs="宋体"/>
          <w:b/>
          <w:sz w:val="24"/>
          <w:szCs w:val="24"/>
        </w:rPr>
      </w:pPr>
      <w:r>
        <w:rPr>
          <w:rFonts w:hint="eastAsia" w:ascii="宋体" w:hAnsi="宋体" w:cs="宋体"/>
          <w:b/>
          <w:sz w:val="24"/>
          <w:szCs w:val="24"/>
        </w:rPr>
        <w:t>（五）其他要求</w:t>
      </w:r>
    </w:p>
    <w:p w14:paraId="4A916677">
      <w:pPr>
        <w:spacing w:line="360" w:lineRule="auto"/>
        <w:ind w:firstLine="480"/>
        <w:rPr>
          <w:rFonts w:ascii="宋体" w:hAnsi="宋体" w:cs="宋体"/>
          <w:sz w:val="24"/>
          <w:szCs w:val="24"/>
        </w:rPr>
      </w:pPr>
      <w:r>
        <w:rPr>
          <w:rFonts w:hint="eastAsia" w:ascii="宋体" w:hAnsi="宋体" w:cs="宋体"/>
          <w:sz w:val="24"/>
          <w:szCs w:val="24"/>
        </w:rPr>
        <w:t>1.关于保障对象、保险内容和保费标准，如遇政策调整，按照新政策执行。</w:t>
      </w:r>
    </w:p>
    <w:p w14:paraId="2DD2732C">
      <w:pPr>
        <w:spacing w:line="360" w:lineRule="auto"/>
        <w:ind w:firstLine="425"/>
        <w:rPr>
          <w:rFonts w:ascii="宋体" w:hAnsi="宋体" w:cs="宋体"/>
          <w:sz w:val="24"/>
          <w:szCs w:val="24"/>
        </w:rPr>
      </w:pPr>
      <w:bookmarkStart w:id="72" w:name="_Hlk62691437"/>
      <w:r>
        <w:rPr>
          <w:rFonts w:hint="eastAsia" w:ascii="宋体" w:hAnsi="宋体" w:cs="宋体"/>
          <w:sz w:val="24"/>
          <w:szCs w:val="24"/>
        </w:rPr>
        <w:t>2.中标保险公司不得将项目整体或部分进行转包或分包，且不得让第三方公司采用挂靠中标保险公司的方式承担保险服务工作。</w:t>
      </w:r>
      <w:bookmarkEnd w:id="72"/>
    </w:p>
    <w:p w14:paraId="467F107D">
      <w:pPr>
        <w:spacing w:line="360" w:lineRule="auto"/>
        <w:ind w:firstLine="425"/>
        <w:rPr>
          <w:rFonts w:ascii="宋体" w:hAnsi="宋体" w:cs="宋体"/>
          <w:sz w:val="24"/>
          <w:szCs w:val="24"/>
        </w:rPr>
      </w:pPr>
    </w:p>
    <w:p w14:paraId="20F2E4FC">
      <w:pPr>
        <w:spacing w:line="360" w:lineRule="auto"/>
        <w:ind w:firstLine="720"/>
        <w:jc w:val="center"/>
        <w:rPr>
          <w:rFonts w:ascii="宋体" w:hAnsi="宋体"/>
          <w:b/>
          <w:sz w:val="24"/>
          <w:szCs w:val="24"/>
        </w:rPr>
      </w:pPr>
      <w:r>
        <w:rPr>
          <w:rFonts w:eastAsia="黑体"/>
          <w:color w:val="000000" w:themeColor="text1"/>
          <w:sz w:val="28"/>
          <w14:textFill>
            <w14:solidFill>
              <w14:schemeClr w14:val="tx1"/>
            </w14:solidFill>
          </w14:textFill>
        </w:rPr>
        <w:t xml:space="preserve">第五章 </w:t>
      </w:r>
      <w:r>
        <w:rPr>
          <w:rFonts w:hint="eastAsia" w:eastAsia="黑体"/>
          <w:color w:val="000000" w:themeColor="text1"/>
          <w:sz w:val="28"/>
          <w14:textFill>
            <w14:solidFill>
              <w14:schemeClr w14:val="tx1"/>
            </w14:solidFill>
          </w14:textFill>
        </w:rPr>
        <w:t>保险方案</w:t>
      </w:r>
    </w:p>
    <w:tbl>
      <w:tblPr>
        <w:tblStyle w:val="45"/>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6"/>
        <w:gridCol w:w="7736"/>
      </w:tblGrid>
      <w:tr w14:paraId="7847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789A61E9">
            <w:pPr>
              <w:spacing w:line="360" w:lineRule="auto"/>
              <w:jc w:val="center"/>
              <w:outlineLvl w:val="0"/>
              <w:rPr>
                <w:rFonts w:ascii="宋体" w:hAnsi="宋体"/>
                <w:b/>
                <w:bCs/>
                <w:sz w:val="22"/>
                <w:szCs w:val="21"/>
              </w:rPr>
            </w:pPr>
            <w:r>
              <w:rPr>
                <w:rFonts w:hint="eastAsia" w:ascii="宋体" w:hAnsi="宋体"/>
                <w:b/>
                <w:bCs/>
                <w:sz w:val="22"/>
                <w:szCs w:val="21"/>
              </w:rPr>
              <w:t>险种</w:t>
            </w:r>
          </w:p>
        </w:tc>
        <w:tc>
          <w:tcPr>
            <w:tcW w:w="7736" w:type="dxa"/>
          </w:tcPr>
          <w:p w14:paraId="5731BCBF">
            <w:pPr>
              <w:spacing w:line="360" w:lineRule="auto"/>
              <w:jc w:val="left"/>
              <w:outlineLvl w:val="0"/>
              <w:rPr>
                <w:rFonts w:ascii="宋体" w:hAnsi="宋体"/>
                <w:b/>
                <w:bCs/>
                <w:sz w:val="22"/>
                <w:szCs w:val="21"/>
              </w:rPr>
            </w:pPr>
            <w:r>
              <w:rPr>
                <w:rFonts w:hint="eastAsia" w:ascii="宋体" w:hAnsi="宋体"/>
                <w:b/>
                <w:bCs/>
                <w:sz w:val="22"/>
                <w:szCs w:val="21"/>
              </w:rPr>
              <w:t>养老机构综合责任保险</w:t>
            </w:r>
          </w:p>
        </w:tc>
      </w:tr>
      <w:tr w14:paraId="59B44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vAlign w:val="center"/>
          </w:tcPr>
          <w:p w14:paraId="6AED6F6F">
            <w:pPr>
              <w:spacing w:line="360" w:lineRule="auto"/>
              <w:jc w:val="center"/>
              <w:outlineLvl w:val="0"/>
              <w:rPr>
                <w:rFonts w:ascii="宋体" w:hAnsi="宋体"/>
                <w:bCs/>
                <w:sz w:val="22"/>
                <w:szCs w:val="21"/>
              </w:rPr>
            </w:pPr>
            <w:r>
              <w:rPr>
                <w:rFonts w:hint="eastAsia" w:ascii="宋体" w:hAnsi="宋体"/>
                <w:bCs/>
                <w:sz w:val="22"/>
                <w:szCs w:val="21"/>
              </w:rPr>
              <w:t>赔偿限额</w:t>
            </w:r>
          </w:p>
        </w:tc>
        <w:tc>
          <w:tcPr>
            <w:tcW w:w="7736" w:type="dxa"/>
          </w:tcPr>
          <w:p w14:paraId="5F1EBF69">
            <w:pPr>
              <w:spacing w:line="380" w:lineRule="atLeast"/>
              <w:rPr>
                <w:rFonts w:ascii="宋体" w:hAnsi="宋体"/>
                <w:bCs/>
                <w:sz w:val="22"/>
                <w:szCs w:val="21"/>
              </w:rPr>
            </w:pPr>
            <w:r>
              <w:rPr>
                <w:rFonts w:hint="eastAsia" w:ascii="宋体" w:hAnsi="宋体"/>
                <w:b/>
                <w:bCs/>
                <w:sz w:val="22"/>
                <w:szCs w:val="21"/>
              </w:rPr>
              <w:t xml:space="preserve">1.死亡、伤残赔偿限额 </w:t>
            </w:r>
          </w:p>
          <w:p w14:paraId="411D64E1">
            <w:pPr>
              <w:spacing w:line="380" w:lineRule="atLeast"/>
              <w:rPr>
                <w:rFonts w:ascii="宋体" w:hAnsi="宋体"/>
                <w:bCs/>
                <w:sz w:val="22"/>
                <w:szCs w:val="21"/>
              </w:rPr>
            </w:pPr>
            <w:r>
              <w:rPr>
                <w:rFonts w:ascii="宋体" w:hAnsi="宋体"/>
                <w:bCs/>
                <w:sz w:val="22"/>
                <w:szCs w:val="21"/>
              </w:rPr>
              <w:t>（1</w:t>
            </w:r>
            <w:r>
              <w:rPr>
                <w:rFonts w:hint="eastAsia" w:ascii="宋体" w:hAnsi="宋体"/>
                <w:bCs/>
                <w:sz w:val="22"/>
                <w:szCs w:val="21"/>
              </w:rPr>
              <w:t>）死亡、伤残赔偿限额分为三档：</w:t>
            </w:r>
            <w:bookmarkStart w:id="73" w:name="_Hlk197531078"/>
            <w:r>
              <w:rPr>
                <w:rFonts w:hint="eastAsia" w:ascii="宋体" w:hAnsi="宋体"/>
                <w:bCs/>
                <w:sz w:val="22"/>
                <w:szCs w:val="21"/>
              </w:rPr>
              <w:t>自理、半护理、全护理</w:t>
            </w:r>
            <w:bookmarkEnd w:id="73"/>
            <w:r>
              <w:rPr>
                <w:rFonts w:hint="eastAsia" w:ascii="宋体" w:hAnsi="宋体"/>
                <w:bCs/>
                <w:sz w:val="22"/>
                <w:szCs w:val="21"/>
              </w:rPr>
              <w:t>；</w:t>
            </w:r>
          </w:p>
          <w:p w14:paraId="1DB5B911">
            <w:pPr>
              <w:spacing w:line="380" w:lineRule="atLeast"/>
              <w:rPr>
                <w:rFonts w:ascii="宋体" w:hAnsi="宋体"/>
                <w:bCs/>
                <w:sz w:val="22"/>
                <w:szCs w:val="21"/>
              </w:rPr>
            </w:pPr>
            <w:r>
              <w:rPr>
                <w:rFonts w:ascii="宋体" w:hAnsi="宋体"/>
                <w:bCs/>
                <w:sz w:val="22"/>
                <w:szCs w:val="21"/>
              </w:rPr>
              <w:t>（</w:t>
            </w:r>
            <w:r>
              <w:rPr>
                <w:rFonts w:hint="eastAsia" w:ascii="宋体" w:hAnsi="宋体"/>
                <w:bCs/>
                <w:sz w:val="22"/>
                <w:szCs w:val="21"/>
              </w:rPr>
              <w:t>2）自理赔偿限额＞半护理赔偿限额＞全护理赔偿限额，档间差额均为2万元；</w:t>
            </w:r>
          </w:p>
          <w:p w14:paraId="578E620E">
            <w:pPr>
              <w:spacing w:line="380" w:lineRule="atLeast"/>
              <w:rPr>
                <w:rFonts w:ascii="宋体" w:hAnsi="宋体"/>
                <w:bCs/>
                <w:sz w:val="22"/>
                <w:szCs w:val="21"/>
              </w:rPr>
            </w:pPr>
            <w:r>
              <w:rPr>
                <w:rFonts w:ascii="宋体" w:hAnsi="宋体"/>
                <w:bCs/>
                <w:sz w:val="22"/>
                <w:szCs w:val="21"/>
              </w:rPr>
              <w:t>（</w:t>
            </w:r>
            <w:r>
              <w:rPr>
                <w:rFonts w:hint="eastAsia" w:ascii="宋体" w:hAnsi="宋体"/>
                <w:bCs/>
                <w:sz w:val="22"/>
                <w:szCs w:val="21"/>
              </w:rPr>
              <w:t>3）死亡、伤残赔偿</w:t>
            </w:r>
            <w:r>
              <w:rPr>
                <w:rFonts w:hint="eastAsia" w:ascii="宋体" w:hAnsi="宋体"/>
                <w:bCs/>
                <w:sz w:val="22"/>
                <w:szCs w:val="21"/>
                <w:shd w:val="clear" w:color="auto" w:fill="FFFFFF" w:themeFill="background1"/>
              </w:rPr>
              <w:t>限额基数：自理入住老人12万元/人。</w:t>
            </w:r>
          </w:p>
          <w:p w14:paraId="16BDDCD3">
            <w:pPr>
              <w:spacing w:line="380" w:lineRule="atLeast"/>
              <w:rPr>
                <w:rFonts w:ascii="宋体" w:hAnsi="宋体"/>
                <w:b/>
                <w:bCs/>
                <w:sz w:val="22"/>
                <w:szCs w:val="21"/>
              </w:rPr>
            </w:pPr>
            <w:r>
              <w:rPr>
                <w:rFonts w:hint="eastAsia" w:ascii="宋体" w:hAnsi="宋体"/>
                <w:b/>
                <w:bCs/>
                <w:sz w:val="22"/>
                <w:szCs w:val="21"/>
              </w:rPr>
              <w:t xml:space="preserve">2.其他分项不低于下列赔偿限额  </w:t>
            </w:r>
          </w:p>
          <w:p w14:paraId="0835B06C">
            <w:pPr>
              <w:tabs>
                <w:tab w:val="left" w:pos="840"/>
              </w:tabs>
              <w:spacing w:line="380" w:lineRule="atLeast"/>
              <w:rPr>
                <w:rFonts w:ascii="宋体" w:hAnsi="宋体"/>
                <w:bCs/>
                <w:sz w:val="22"/>
                <w:szCs w:val="21"/>
              </w:rPr>
            </w:pPr>
            <w:r>
              <w:rPr>
                <w:rFonts w:ascii="宋体" w:hAnsi="宋体"/>
                <w:bCs/>
                <w:sz w:val="22"/>
                <w:szCs w:val="21"/>
              </w:rPr>
              <w:t>（1</w:t>
            </w:r>
            <w:r>
              <w:rPr>
                <w:rFonts w:hint="eastAsia" w:ascii="宋体" w:hAnsi="宋体"/>
                <w:bCs/>
                <w:sz w:val="22"/>
                <w:szCs w:val="21"/>
              </w:rPr>
              <w:t xml:space="preserve">）残疾用具赔偿限额1.5万元（仅限于国产用品） </w:t>
            </w:r>
          </w:p>
          <w:p w14:paraId="3CF7CE4F">
            <w:pPr>
              <w:tabs>
                <w:tab w:val="left" w:pos="840"/>
              </w:tabs>
              <w:spacing w:line="380" w:lineRule="atLeast"/>
              <w:rPr>
                <w:rFonts w:ascii="宋体" w:hAnsi="宋体"/>
                <w:bCs/>
                <w:sz w:val="22"/>
                <w:szCs w:val="21"/>
              </w:rPr>
            </w:pPr>
            <w:r>
              <w:rPr>
                <w:rFonts w:ascii="宋体" w:hAnsi="宋体"/>
                <w:bCs/>
                <w:sz w:val="22"/>
                <w:szCs w:val="21"/>
              </w:rPr>
              <w:t>（</w:t>
            </w:r>
            <w:r>
              <w:rPr>
                <w:rFonts w:hint="eastAsia" w:ascii="宋体" w:hAnsi="宋体"/>
                <w:bCs/>
                <w:sz w:val="22"/>
                <w:szCs w:val="21"/>
              </w:rPr>
              <w:t>2）骨折赔偿限额5000元/人</w:t>
            </w:r>
          </w:p>
          <w:p w14:paraId="35EE7198">
            <w:pPr>
              <w:tabs>
                <w:tab w:val="left" w:pos="840"/>
              </w:tabs>
              <w:spacing w:line="380" w:lineRule="atLeast"/>
              <w:rPr>
                <w:rFonts w:ascii="宋体" w:hAnsi="宋体"/>
                <w:bCs/>
                <w:sz w:val="22"/>
                <w:szCs w:val="21"/>
              </w:rPr>
            </w:pPr>
            <w:r>
              <w:rPr>
                <w:rFonts w:ascii="宋体" w:hAnsi="宋体"/>
                <w:bCs/>
                <w:sz w:val="22"/>
                <w:szCs w:val="21"/>
              </w:rPr>
              <w:t>（</w:t>
            </w:r>
            <w:r>
              <w:rPr>
                <w:rFonts w:hint="eastAsia" w:ascii="宋体" w:hAnsi="宋体"/>
                <w:bCs/>
                <w:sz w:val="22"/>
                <w:szCs w:val="21"/>
              </w:rPr>
              <w:t>3）医疗费用赔偿限额4万元/人</w:t>
            </w:r>
          </w:p>
          <w:p w14:paraId="15C5A2DE">
            <w:pPr>
              <w:tabs>
                <w:tab w:val="left" w:pos="840"/>
              </w:tabs>
              <w:spacing w:line="380" w:lineRule="atLeast"/>
              <w:rPr>
                <w:rFonts w:ascii="宋体" w:hAnsi="宋体"/>
                <w:bCs/>
                <w:sz w:val="22"/>
                <w:szCs w:val="21"/>
              </w:rPr>
            </w:pPr>
            <w:r>
              <w:rPr>
                <w:rFonts w:ascii="宋体" w:hAnsi="宋体"/>
                <w:bCs/>
                <w:sz w:val="22"/>
                <w:szCs w:val="21"/>
              </w:rPr>
              <w:t>（</w:t>
            </w:r>
            <w:r>
              <w:rPr>
                <w:rFonts w:hint="eastAsia" w:ascii="宋体" w:hAnsi="宋体"/>
                <w:bCs/>
                <w:sz w:val="22"/>
                <w:szCs w:val="21"/>
              </w:rPr>
              <w:t>4）住院津贴支付限额每人30元/天， 累计不超过180天</w:t>
            </w:r>
          </w:p>
          <w:p w14:paraId="0332709D">
            <w:pPr>
              <w:tabs>
                <w:tab w:val="left" w:pos="840"/>
              </w:tabs>
              <w:spacing w:line="380" w:lineRule="atLeast"/>
              <w:rPr>
                <w:rFonts w:ascii="宋体" w:hAnsi="宋体"/>
                <w:bCs/>
                <w:sz w:val="22"/>
                <w:szCs w:val="21"/>
              </w:rPr>
            </w:pPr>
            <w:r>
              <w:rPr>
                <w:rFonts w:ascii="宋体" w:hAnsi="宋体"/>
                <w:bCs/>
                <w:sz w:val="22"/>
                <w:szCs w:val="21"/>
              </w:rPr>
              <w:t>（</w:t>
            </w:r>
            <w:r>
              <w:rPr>
                <w:rFonts w:hint="eastAsia" w:ascii="宋体" w:hAnsi="宋体"/>
                <w:bCs/>
                <w:sz w:val="22"/>
                <w:szCs w:val="21"/>
              </w:rPr>
              <w:t>5）死亡丧葬费赔偿限额每人3000元/次</w:t>
            </w:r>
          </w:p>
          <w:p w14:paraId="77F59B6F">
            <w:pPr>
              <w:tabs>
                <w:tab w:val="left" w:pos="840"/>
              </w:tabs>
              <w:spacing w:line="380" w:lineRule="atLeast"/>
              <w:rPr>
                <w:rFonts w:ascii="宋体" w:hAnsi="宋体"/>
                <w:bCs/>
                <w:sz w:val="22"/>
                <w:szCs w:val="21"/>
              </w:rPr>
            </w:pPr>
            <w:r>
              <w:rPr>
                <w:rFonts w:hint="eastAsia" w:ascii="宋体" w:hAnsi="宋体"/>
                <w:bCs/>
                <w:sz w:val="22"/>
                <w:szCs w:val="21"/>
              </w:rPr>
              <w:t>（6）施救费用：每次事故赔偿限额50万元</w:t>
            </w:r>
          </w:p>
          <w:p w14:paraId="365A7028">
            <w:pPr>
              <w:spacing w:line="380" w:lineRule="atLeast"/>
              <w:outlineLvl w:val="0"/>
              <w:rPr>
                <w:rFonts w:ascii="宋体" w:hAnsi="宋体"/>
                <w:b/>
                <w:bCs/>
                <w:sz w:val="22"/>
                <w:szCs w:val="21"/>
              </w:rPr>
            </w:pPr>
            <w:r>
              <w:rPr>
                <w:rFonts w:hint="eastAsia" w:ascii="宋体" w:hAnsi="宋体"/>
                <w:b/>
                <w:bCs/>
                <w:sz w:val="22"/>
                <w:szCs w:val="21"/>
              </w:rPr>
              <w:t>3.法律费用每次事故以实际赔偿金额的10%为上限</w:t>
            </w:r>
          </w:p>
          <w:p w14:paraId="2B1AF6C0">
            <w:pPr>
              <w:spacing w:line="380" w:lineRule="atLeast"/>
              <w:outlineLvl w:val="0"/>
              <w:rPr>
                <w:rFonts w:ascii="宋体" w:hAnsi="宋体"/>
                <w:b/>
                <w:bCs/>
                <w:sz w:val="22"/>
                <w:szCs w:val="21"/>
              </w:rPr>
            </w:pPr>
            <w:r>
              <w:rPr>
                <w:rFonts w:hint="eastAsia" w:ascii="宋体" w:hAnsi="宋体"/>
                <w:b/>
                <w:bCs/>
                <w:sz w:val="22"/>
                <w:szCs w:val="21"/>
              </w:rPr>
              <w:t>4.每次事故及累计赔偿限额：每次事故及累计赔偿限额不设上限</w:t>
            </w:r>
          </w:p>
        </w:tc>
      </w:tr>
      <w:tr w14:paraId="384D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02B07C25">
            <w:pPr>
              <w:spacing w:line="360" w:lineRule="auto"/>
              <w:jc w:val="center"/>
              <w:outlineLvl w:val="0"/>
              <w:rPr>
                <w:rFonts w:ascii="宋体" w:hAnsi="宋体"/>
                <w:bCs/>
                <w:sz w:val="22"/>
                <w:szCs w:val="21"/>
              </w:rPr>
            </w:pPr>
            <w:r>
              <w:rPr>
                <w:rFonts w:hint="eastAsia" w:ascii="宋体" w:hAnsi="宋体"/>
                <w:bCs/>
                <w:sz w:val="22"/>
                <w:szCs w:val="21"/>
              </w:rPr>
              <w:t>免赔额</w:t>
            </w:r>
          </w:p>
        </w:tc>
        <w:tc>
          <w:tcPr>
            <w:tcW w:w="7736" w:type="dxa"/>
          </w:tcPr>
          <w:p w14:paraId="3A36B626">
            <w:pPr>
              <w:spacing w:line="360" w:lineRule="auto"/>
              <w:outlineLvl w:val="0"/>
              <w:rPr>
                <w:rFonts w:ascii="宋体" w:hAnsi="宋体"/>
                <w:bCs/>
                <w:sz w:val="22"/>
                <w:szCs w:val="21"/>
              </w:rPr>
            </w:pPr>
            <w:r>
              <w:rPr>
                <w:rFonts w:hint="eastAsia" w:ascii="宋体" w:hAnsi="宋体"/>
                <w:bCs/>
                <w:sz w:val="22"/>
                <w:szCs w:val="21"/>
              </w:rPr>
              <w:t>无</w:t>
            </w:r>
          </w:p>
        </w:tc>
      </w:tr>
      <w:tr w14:paraId="3188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7367787C">
            <w:pPr>
              <w:spacing w:line="360" w:lineRule="auto"/>
              <w:outlineLvl w:val="0"/>
              <w:rPr>
                <w:rFonts w:ascii="宋体" w:hAnsi="宋体"/>
                <w:bCs/>
                <w:sz w:val="22"/>
                <w:szCs w:val="21"/>
              </w:rPr>
            </w:pPr>
            <w:r>
              <w:rPr>
                <w:rFonts w:hint="eastAsia" w:ascii="宋体" w:hAnsi="宋体"/>
                <w:bCs/>
                <w:sz w:val="22"/>
                <w:szCs w:val="21"/>
              </w:rPr>
              <w:t>附加、扩展条款</w:t>
            </w:r>
          </w:p>
        </w:tc>
        <w:tc>
          <w:tcPr>
            <w:tcW w:w="7736" w:type="dxa"/>
            <w:vAlign w:val="center"/>
          </w:tcPr>
          <w:p w14:paraId="44D76B5E">
            <w:pPr>
              <w:spacing w:line="360" w:lineRule="auto"/>
              <w:outlineLvl w:val="0"/>
              <w:rPr>
                <w:rFonts w:ascii="宋体" w:hAnsi="宋体"/>
                <w:bCs/>
                <w:sz w:val="22"/>
                <w:szCs w:val="21"/>
              </w:rPr>
            </w:pPr>
            <w:r>
              <w:rPr>
                <w:rFonts w:hint="eastAsia" w:ascii="宋体" w:hAnsi="宋体"/>
                <w:bCs/>
                <w:sz w:val="22"/>
                <w:szCs w:val="21"/>
              </w:rPr>
              <w:t>（参见第四章 项目技术要求和有关说明）</w:t>
            </w:r>
          </w:p>
        </w:tc>
      </w:tr>
      <w:tr w14:paraId="7130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3B6C1D7C">
            <w:pPr>
              <w:spacing w:line="360" w:lineRule="auto"/>
              <w:jc w:val="center"/>
              <w:outlineLvl w:val="0"/>
              <w:rPr>
                <w:rFonts w:ascii="宋体" w:hAnsi="宋体"/>
                <w:bCs/>
                <w:sz w:val="22"/>
                <w:szCs w:val="21"/>
              </w:rPr>
            </w:pPr>
            <w:r>
              <w:rPr>
                <w:rFonts w:hint="eastAsia" w:ascii="宋体" w:hAnsi="宋体"/>
                <w:bCs/>
                <w:sz w:val="22"/>
                <w:szCs w:val="21"/>
              </w:rPr>
              <w:t>特别约定</w:t>
            </w:r>
          </w:p>
        </w:tc>
        <w:tc>
          <w:tcPr>
            <w:tcW w:w="7736" w:type="dxa"/>
          </w:tcPr>
          <w:p w14:paraId="552089F8">
            <w:pPr>
              <w:spacing w:line="360" w:lineRule="auto"/>
              <w:outlineLvl w:val="0"/>
              <w:rPr>
                <w:rFonts w:ascii="宋体" w:hAnsi="宋体"/>
                <w:bCs/>
                <w:sz w:val="22"/>
                <w:szCs w:val="21"/>
              </w:rPr>
            </w:pPr>
            <w:r>
              <w:rPr>
                <w:rFonts w:hint="eastAsia" w:ascii="宋体" w:hAnsi="宋体"/>
                <w:bCs/>
                <w:sz w:val="22"/>
                <w:szCs w:val="21"/>
              </w:rPr>
              <w:t>（参见第四章 项目技术要求和有关说明）</w:t>
            </w:r>
          </w:p>
        </w:tc>
      </w:tr>
      <w:tr w14:paraId="0C3A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86" w:type="dxa"/>
            <w:vAlign w:val="center"/>
          </w:tcPr>
          <w:p w14:paraId="3C049081">
            <w:pPr>
              <w:spacing w:line="360" w:lineRule="auto"/>
              <w:jc w:val="center"/>
              <w:outlineLvl w:val="0"/>
              <w:rPr>
                <w:rFonts w:ascii="宋体" w:hAnsi="宋体"/>
                <w:bCs/>
                <w:sz w:val="22"/>
                <w:szCs w:val="21"/>
              </w:rPr>
            </w:pPr>
            <w:r>
              <w:rPr>
                <w:rFonts w:hint="eastAsia" w:ascii="宋体" w:hAnsi="宋体"/>
                <w:bCs/>
                <w:sz w:val="22"/>
                <w:szCs w:val="21"/>
              </w:rPr>
              <w:t>保险费</w:t>
            </w:r>
          </w:p>
        </w:tc>
        <w:tc>
          <w:tcPr>
            <w:tcW w:w="7736" w:type="dxa"/>
            <w:vAlign w:val="center"/>
          </w:tcPr>
          <w:p w14:paraId="42571997">
            <w:pPr>
              <w:spacing w:line="360" w:lineRule="auto"/>
              <w:jc w:val="left"/>
              <w:outlineLvl w:val="0"/>
              <w:rPr>
                <w:rFonts w:ascii="宋体" w:hAnsi="宋体"/>
                <w:bCs/>
                <w:sz w:val="22"/>
                <w:szCs w:val="21"/>
              </w:rPr>
            </w:pPr>
            <w:r>
              <w:rPr>
                <w:rFonts w:hint="eastAsia" w:ascii="宋体" w:hAnsi="宋体"/>
                <w:bCs/>
                <w:sz w:val="22"/>
                <w:szCs w:val="21"/>
              </w:rPr>
              <w:t>每人每年100元标准</w:t>
            </w:r>
          </w:p>
        </w:tc>
      </w:tr>
    </w:tbl>
    <w:p w14:paraId="31BD3D9C">
      <w:pPr>
        <w:spacing w:line="360" w:lineRule="auto"/>
        <w:ind w:firstLine="480"/>
        <w:rPr>
          <w:rFonts w:ascii="宋体" w:hAnsi="宋体" w:cs="宋体"/>
          <w:b/>
          <w:sz w:val="24"/>
          <w:szCs w:val="24"/>
        </w:rPr>
      </w:pPr>
    </w:p>
    <w:tbl>
      <w:tblPr>
        <w:tblStyle w:val="45"/>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6"/>
        <w:gridCol w:w="7736"/>
      </w:tblGrid>
      <w:tr w14:paraId="0C40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57F9BF13">
            <w:pPr>
              <w:spacing w:line="360" w:lineRule="auto"/>
              <w:jc w:val="center"/>
              <w:outlineLvl w:val="0"/>
              <w:rPr>
                <w:rFonts w:ascii="宋体" w:hAnsi="宋体"/>
                <w:b/>
                <w:bCs/>
                <w:sz w:val="22"/>
                <w:szCs w:val="21"/>
              </w:rPr>
            </w:pPr>
            <w:r>
              <w:rPr>
                <w:rFonts w:hint="eastAsia" w:ascii="宋体" w:hAnsi="宋体"/>
                <w:b/>
                <w:bCs/>
                <w:sz w:val="22"/>
                <w:szCs w:val="21"/>
              </w:rPr>
              <w:t>险种</w:t>
            </w:r>
          </w:p>
        </w:tc>
        <w:tc>
          <w:tcPr>
            <w:tcW w:w="7736" w:type="dxa"/>
          </w:tcPr>
          <w:p w14:paraId="59631D7D">
            <w:pPr>
              <w:spacing w:line="360" w:lineRule="auto"/>
              <w:jc w:val="left"/>
              <w:outlineLvl w:val="0"/>
              <w:rPr>
                <w:rFonts w:ascii="宋体" w:hAnsi="宋体"/>
                <w:b/>
                <w:bCs/>
                <w:sz w:val="22"/>
                <w:szCs w:val="21"/>
              </w:rPr>
            </w:pPr>
            <w:r>
              <w:rPr>
                <w:rFonts w:hint="eastAsia" w:ascii="宋体" w:hAnsi="宋体"/>
                <w:b/>
                <w:bCs/>
                <w:sz w:val="22"/>
                <w:szCs w:val="21"/>
              </w:rPr>
              <w:t>养老机构入住老年人意外伤害保险</w:t>
            </w:r>
          </w:p>
        </w:tc>
      </w:tr>
      <w:tr w14:paraId="2F9E3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vAlign w:val="center"/>
          </w:tcPr>
          <w:p w14:paraId="4AEF23B4">
            <w:pPr>
              <w:spacing w:line="360" w:lineRule="auto"/>
              <w:jc w:val="center"/>
              <w:outlineLvl w:val="0"/>
              <w:rPr>
                <w:rFonts w:ascii="宋体" w:hAnsi="宋体"/>
                <w:bCs/>
                <w:sz w:val="22"/>
                <w:szCs w:val="21"/>
              </w:rPr>
            </w:pPr>
            <w:r>
              <w:rPr>
                <w:rFonts w:hint="eastAsia" w:ascii="宋体" w:hAnsi="宋体"/>
                <w:bCs/>
                <w:sz w:val="22"/>
                <w:szCs w:val="21"/>
              </w:rPr>
              <w:t>赔偿限额</w:t>
            </w:r>
          </w:p>
        </w:tc>
        <w:tc>
          <w:tcPr>
            <w:tcW w:w="7736" w:type="dxa"/>
          </w:tcPr>
          <w:p w14:paraId="119B8D74">
            <w:pPr>
              <w:tabs>
                <w:tab w:val="left" w:pos="840"/>
              </w:tabs>
              <w:spacing w:line="380" w:lineRule="atLeast"/>
              <w:rPr>
                <w:rFonts w:ascii="宋体" w:hAnsi="宋体"/>
                <w:bCs/>
                <w:sz w:val="22"/>
                <w:szCs w:val="21"/>
              </w:rPr>
            </w:pPr>
            <w:r>
              <w:rPr>
                <w:rFonts w:hint="eastAsia" w:ascii="宋体" w:hAnsi="宋体"/>
                <w:bCs/>
                <w:sz w:val="22"/>
                <w:szCs w:val="21"/>
              </w:rPr>
              <w:t>1.死亡、伤残赔偿限额5万元/人</w:t>
            </w:r>
          </w:p>
          <w:p w14:paraId="5E2C9738">
            <w:pPr>
              <w:tabs>
                <w:tab w:val="left" w:pos="840"/>
              </w:tabs>
              <w:spacing w:line="380" w:lineRule="atLeast"/>
              <w:rPr>
                <w:rFonts w:ascii="宋体" w:hAnsi="宋体"/>
                <w:bCs/>
                <w:sz w:val="22"/>
                <w:szCs w:val="21"/>
              </w:rPr>
            </w:pPr>
            <w:r>
              <w:rPr>
                <w:rFonts w:hint="eastAsia" w:ascii="宋体" w:hAnsi="宋体"/>
                <w:bCs/>
                <w:sz w:val="22"/>
                <w:szCs w:val="21"/>
              </w:rPr>
              <w:t>2.医疗费用赔偿限额：每次事故门急诊限额500元，每次事故免赔额100元，最高限额3000元/人</w:t>
            </w:r>
          </w:p>
          <w:p w14:paraId="1199DE94">
            <w:pPr>
              <w:tabs>
                <w:tab w:val="left" w:pos="840"/>
              </w:tabs>
              <w:spacing w:line="380" w:lineRule="atLeast"/>
              <w:rPr>
                <w:rFonts w:ascii="宋体" w:hAnsi="宋体"/>
                <w:bCs/>
                <w:sz w:val="22"/>
                <w:szCs w:val="21"/>
              </w:rPr>
            </w:pPr>
            <w:r>
              <w:rPr>
                <w:rFonts w:hint="eastAsia" w:ascii="宋体" w:hAnsi="宋体"/>
                <w:bCs/>
                <w:sz w:val="22"/>
                <w:szCs w:val="21"/>
              </w:rPr>
              <w:t>3.住院津贴支付限额每人50元/天， 累计不超过30天</w:t>
            </w:r>
          </w:p>
          <w:p w14:paraId="65C76FD2">
            <w:pPr>
              <w:tabs>
                <w:tab w:val="left" w:pos="840"/>
              </w:tabs>
              <w:spacing w:line="380" w:lineRule="atLeast"/>
              <w:rPr>
                <w:rFonts w:ascii="宋体" w:hAnsi="宋体"/>
                <w:bCs/>
                <w:sz w:val="22"/>
                <w:szCs w:val="21"/>
              </w:rPr>
            </w:pPr>
            <w:r>
              <w:rPr>
                <w:rFonts w:hint="eastAsia" w:ascii="宋体" w:hAnsi="宋体"/>
                <w:bCs/>
                <w:sz w:val="22"/>
                <w:szCs w:val="21"/>
              </w:rPr>
              <w:t>4.意外看护津贴支付限额每人50元/天，累计不超过30天</w:t>
            </w:r>
          </w:p>
          <w:p w14:paraId="67B26D2C">
            <w:pPr>
              <w:tabs>
                <w:tab w:val="left" w:pos="840"/>
              </w:tabs>
              <w:spacing w:line="380" w:lineRule="atLeast"/>
              <w:rPr>
                <w:rFonts w:ascii="宋体" w:hAnsi="宋体"/>
                <w:bCs/>
                <w:sz w:val="22"/>
                <w:szCs w:val="21"/>
              </w:rPr>
            </w:pPr>
            <w:r>
              <w:rPr>
                <w:rFonts w:hint="eastAsia" w:ascii="宋体" w:hAnsi="宋体"/>
                <w:bCs/>
                <w:sz w:val="22"/>
                <w:szCs w:val="21"/>
              </w:rPr>
              <w:t>5.意外救护车费用补偿：累计支付限额不超过500元</w:t>
            </w:r>
          </w:p>
        </w:tc>
      </w:tr>
      <w:tr w14:paraId="7A7D6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34A1C59F">
            <w:pPr>
              <w:spacing w:line="360" w:lineRule="auto"/>
              <w:jc w:val="center"/>
              <w:outlineLvl w:val="0"/>
              <w:rPr>
                <w:rFonts w:ascii="宋体" w:hAnsi="宋体"/>
                <w:bCs/>
                <w:sz w:val="22"/>
                <w:szCs w:val="21"/>
              </w:rPr>
            </w:pPr>
            <w:r>
              <w:rPr>
                <w:rFonts w:hint="eastAsia" w:ascii="宋体" w:hAnsi="宋体"/>
                <w:bCs/>
                <w:sz w:val="22"/>
                <w:szCs w:val="21"/>
              </w:rPr>
              <w:t>免赔额</w:t>
            </w:r>
          </w:p>
        </w:tc>
        <w:tc>
          <w:tcPr>
            <w:tcW w:w="7736" w:type="dxa"/>
          </w:tcPr>
          <w:p w14:paraId="6131DA1B">
            <w:pPr>
              <w:spacing w:line="360" w:lineRule="auto"/>
              <w:outlineLvl w:val="0"/>
              <w:rPr>
                <w:rFonts w:ascii="宋体" w:hAnsi="宋体"/>
                <w:bCs/>
                <w:sz w:val="22"/>
                <w:szCs w:val="21"/>
              </w:rPr>
            </w:pPr>
            <w:r>
              <w:rPr>
                <w:rFonts w:hint="eastAsia" w:ascii="宋体" w:hAnsi="宋体"/>
                <w:bCs/>
                <w:sz w:val="22"/>
                <w:szCs w:val="21"/>
              </w:rPr>
              <w:t>无</w:t>
            </w:r>
          </w:p>
        </w:tc>
      </w:tr>
      <w:tr w14:paraId="673F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2F0973BF">
            <w:pPr>
              <w:spacing w:line="360" w:lineRule="auto"/>
              <w:outlineLvl w:val="0"/>
              <w:rPr>
                <w:rFonts w:ascii="宋体" w:hAnsi="宋体"/>
                <w:bCs/>
                <w:sz w:val="22"/>
                <w:szCs w:val="21"/>
              </w:rPr>
            </w:pPr>
            <w:r>
              <w:rPr>
                <w:rFonts w:hint="eastAsia" w:ascii="宋体" w:hAnsi="宋体"/>
                <w:bCs/>
                <w:sz w:val="22"/>
                <w:szCs w:val="21"/>
              </w:rPr>
              <w:t>附加、扩展条款</w:t>
            </w:r>
          </w:p>
        </w:tc>
        <w:tc>
          <w:tcPr>
            <w:tcW w:w="7736" w:type="dxa"/>
            <w:vAlign w:val="center"/>
          </w:tcPr>
          <w:p w14:paraId="63E573F6">
            <w:pPr>
              <w:spacing w:line="360" w:lineRule="auto"/>
              <w:outlineLvl w:val="0"/>
              <w:rPr>
                <w:rFonts w:ascii="宋体" w:hAnsi="宋体"/>
                <w:bCs/>
                <w:sz w:val="22"/>
                <w:szCs w:val="21"/>
              </w:rPr>
            </w:pPr>
            <w:r>
              <w:rPr>
                <w:rFonts w:hint="eastAsia" w:ascii="宋体" w:hAnsi="宋体"/>
                <w:bCs/>
                <w:sz w:val="22"/>
                <w:szCs w:val="21"/>
              </w:rPr>
              <w:t>（参见第四章 项目技术要求和有关说明）</w:t>
            </w:r>
          </w:p>
        </w:tc>
      </w:tr>
      <w:tr w14:paraId="5DA5B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6" w:type="dxa"/>
          </w:tcPr>
          <w:p w14:paraId="21CF8B83">
            <w:pPr>
              <w:spacing w:line="360" w:lineRule="auto"/>
              <w:jc w:val="center"/>
              <w:outlineLvl w:val="0"/>
              <w:rPr>
                <w:rFonts w:ascii="宋体" w:hAnsi="宋体"/>
                <w:bCs/>
                <w:sz w:val="22"/>
                <w:szCs w:val="21"/>
              </w:rPr>
            </w:pPr>
            <w:r>
              <w:rPr>
                <w:rFonts w:hint="eastAsia" w:ascii="宋体" w:hAnsi="宋体"/>
                <w:bCs/>
                <w:sz w:val="22"/>
                <w:szCs w:val="21"/>
              </w:rPr>
              <w:t>特别约定</w:t>
            </w:r>
          </w:p>
        </w:tc>
        <w:tc>
          <w:tcPr>
            <w:tcW w:w="7736" w:type="dxa"/>
          </w:tcPr>
          <w:p w14:paraId="174CB435">
            <w:pPr>
              <w:spacing w:line="360" w:lineRule="auto"/>
              <w:outlineLvl w:val="0"/>
              <w:rPr>
                <w:rFonts w:ascii="宋体" w:hAnsi="宋体"/>
                <w:bCs/>
                <w:sz w:val="22"/>
                <w:szCs w:val="21"/>
              </w:rPr>
            </w:pPr>
            <w:r>
              <w:rPr>
                <w:rFonts w:hint="eastAsia" w:ascii="宋体" w:hAnsi="宋体"/>
                <w:bCs/>
                <w:sz w:val="22"/>
                <w:szCs w:val="21"/>
              </w:rPr>
              <w:t>（参见第四章 项目技术要求和有关说明）</w:t>
            </w:r>
          </w:p>
        </w:tc>
      </w:tr>
      <w:tr w14:paraId="755D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86" w:type="dxa"/>
            <w:vAlign w:val="center"/>
          </w:tcPr>
          <w:p w14:paraId="4844EACF">
            <w:pPr>
              <w:spacing w:line="360" w:lineRule="auto"/>
              <w:jc w:val="center"/>
              <w:outlineLvl w:val="0"/>
              <w:rPr>
                <w:rFonts w:ascii="宋体" w:hAnsi="宋体"/>
                <w:bCs/>
                <w:sz w:val="22"/>
                <w:szCs w:val="21"/>
              </w:rPr>
            </w:pPr>
            <w:r>
              <w:rPr>
                <w:rFonts w:hint="eastAsia" w:ascii="宋体" w:hAnsi="宋体"/>
                <w:bCs/>
                <w:sz w:val="22"/>
                <w:szCs w:val="21"/>
              </w:rPr>
              <w:t>保险费</w:t>
            </w:r>
          </w:p>
        </w:tc>
        <w:tc>
          <w:tcPr>
            <w:tcW w:w="7736" w:type="dxa"/>
            <w:vAlign w:val="center"/>
          </w:tcPr>
          <w:p w14:paraId="1F6CB809">
            <w:pPr>
              <w:spacing w:line="360" w:lineRule="auto"/>
              <w:jc w:val="left"/>
              <w:outlineLvl w:val="0"/>
              <w:rPr>
                <w:rFonts w:ascii="宋体" w:hAnsi="宋体"/>
                <w:bCs/>
                <w:sz w:val="22"/>
                <w:szCs w:val="21"/>
              </w:rPr>
            </w:pPr>
            <w:r>
              <w:rPr>
                <w:rFonts w:hint="eastAsia" w:ascii="宋体" w:hAnsi="宋体"/>
                <w:bCs/>
                <w:sz w:val="22"/>
                <w:szCs w:val="21"/>
              </w:rPr>
              <w:t>每人每年90元标准</w:t>
            </w:r>
          </w:p>
        </w:tc>
      </w:tr>
    </w:tbl>
    <w:p w14:paraId="101ECD25">
      <w:pPr>
        <w:spacing w:line="360" w:lineRule="auto"/>
        <w:ind w:firstLine="480"/>
        <w:rPr>
          <w:rFonts w:ascii="宋体" w:hAnsi="宋体" w:cs="宋体"/>
          <w:b/>
          <w:sz w:val="24"/>
          <w:szCs w:val="24"/>
        </w:rPr>
      </w:pPr>
    </w:p>
    <w:tbl>
      <w:tblPr>
        <w:tblStyle w:val="45"/>
        <w:tblW w:w="9356" w:type="dxa"/>
        <w:tblInd w:w="-176" w:type="dxa"/>
        <w:tblLayout w:type="fixed"/>
        <w:tblCellMar>
          <w:top w:w="0" w:type="dxa"/>
          <w:left w:w="108" w:type="dxa"/>
          <w:bottom w:w="0" w:type="dxa"/>
          <w:right w:w="108" w:type="dxa"/>
        </w:tblCellMar>
      </w:tblPr>
      <w:tblGrid>
        <w:gridCol w:w="1276"/>
        <w:gridCol w:w="4536"/>
        <w:gridCol w:w="3544"/>
      </w:tblGrid>
      <w:tr w14:paraId="4B8ED11E">
        <w:tblPrEx>
          <w:tblCellMar>
            <w:top w:w="0" w:type="dxa"/>
            <w:left w:w="108" w:type="dxa"/>
            <w:bottom w:w="0" w:type="dxa"/>
            <w:right w:w="108" w:type="dxa"/>
          </w:tblCellMar>
        </w:tblPrEx>
        <w:trPr>
          <w:trHeight w:val="501" w:hRule="atLeast"/>
        </w:trPr>
        <w:tc>
          <w:tcPr>
            <w:tcW w:w="1276" w:type="dxa"/>
            <w:tcBorders>
              <w:top w:val="single" w:color="auto" w:sz="4" w:space="0"/>
              <w:left w:val="single" w:color="auto" w:sz="4" w:space="0"/>
              <w:bottom w:val="single" w:color="auto" w:sz="4" w:space="0"/>
              <w:right w:val="single" w:color="auto" w:sz="4" w:space="0"/>
            </w:tcBorders>
            <w:vAlign w:val="center"/>
          </w:tcPr>
          <w:p w14:paraId="2A004457">
            <w:pPr>
              <w:spacing w:line="360" w:lineRule="auto"/>
              <w:jc w:val="center"/>
              <w:outlineLvl w:val="0"/>
              <w:rPr>
                <w:rFonts w:ascii="宋体" w:hAnsi="宋体"/>
                <w:b/>
                <w:bCs/>
                <w:sz w:val="22"/>
                <w:szCs w:val="21"/>
              </w:rPr>
            </w:pPr>
            <w:r>
              <w:rPr>
                <w:rFonts w:hint="eastAsia" w:ascii="宋体" w:hAnsi="宋体"/>
                <w:b/>
                <w:bCs/>
                <w:sz w:val="22"/>
                <w:szCs w:val="21"/>
              </w:rPr>
              <w:t>险种</w:t>
            </w:r>
          </w:p>
        </w:tc>
        <w:tc>
          <w:tcPr>
            <w:tcW w:w="8080" w:type="dxa"/>
            <w:gridSpan w:val="2"/>
            <w:tcBorders>
              <w:top w:val="single" w:color="auto" w:sz="4" w:space="0"/>
              <w:left w:val="nil"/>
              <w:bottom w:val="single" w:color="auto" w:sz="4" w:space="0"/>
              <w:right w:val="single" w:color="auto" w:sz="4" w:space="0"/>
            </w:tcBorders>
            <w:vAlign w:val="center"/>
          </w:tcPr>
          <w:p w14:paraId="0BD5DFF6">
            <w:pPr>
              <w:spacing w:line="360" w:lineRule="auto"/>
              <w:jc w:val="left"/>
              <w:outlineLvl w:val="0"/>
              <w:rPr>
                <w:rFonts w:ascii="宋体" w:hAnsi="宋体"/>
                <w:b/>
                <w:bCs/>
                <w:sz w:val="22"/>
                <w:szCs w:val="21"/>
              </w:rPr>
            </w:pPr>
            <w:r>
              <w:rPr>
                <w:rFonts w:hint="eastAsia" w:ascii="宋体" w:hAnsi="宋体"/>
                <w:b/>
                <w:bCs/>
                <w:sz w:val="22"/>
                <w:szCs w:val="21"/>
              </w:rPr>
              <w:t>居家养老服务机构综合责任保险</w:t>
            </w:r>
          </w:p>
        </w:tc>
      </w:tr>
      <w:tr w14:paraId="1245A8F6">
        <w:tblPrEx>
          <w:tblCellMar>
            <w:top w:w="0" w:type="dxa"/>
            <w:left w:w="108" w:type="dxa"/>
            <w:bottom w:w="0" w:type="dxa"/>
            <w:right w:w="108" w:type="dxa"/>
          </w:tblCellMar>
        </w:tblPrEx>
        <w:trPr>
          <w:trHeight w:val="501" w:hRule="atLeast"/>
        </w:trPr>
        <w:tc>
          <w:tcPr>
            <w:tcW w:w="1276" w:type="dxa"/>
            <w:tcBorders>
              <w:top w:val="single" w:color="auto" w:sz="4" w:space="0"/>
              <w:left w:val="single" w:color="auto" w:sz="4" w:space="0"/>
              <w:bottom w:val="single" w:color="auto" w:sz="4" w:space="0"/>
              <w:right w:val="single" w:color="auto" w:sz="4" w:space="0"/>
            </w:tcBorders>
            <w:vAlign w:val="center"/>
          </w:tcPr>
          <w:p w14:paraId="668A75B8">
            <w:pPr>
              <w:spacing w:line="360" w:lineRule="auto"/>
              <w:jc w:val="center"/>
              <w:outlineLvl w:val="0"/>
              <w:rPr>
                <w:rFonts w:ascii="宋体" w:hAnsi="宋体"/>
                <w:b/>
                <w:bCs/>
                <w:sz w:val="22"/>
                <w:szCs w:val="21"/>
              </w:rPr>
            </w:pPr>
            <w:r>
              <w:rPr>
                <w:rFonts w:hint="eastAsia" w:ascii="宋体" w:hAnsi="宋体"/>
                <w:b/>
                <w:bCs/>
                <w:sz w:val="22"/>
                <w:szCs w:val="21"/>
              </w:rPr>
              <w:t>保险责任</w:t>
            </w:r>
          </w:p>
        </w:tc>
        <w:tc>
          <w:tcPr>
            <w:tcW w:w="4536" w:type="dxa"/>
            <w:tcBorders>
              <w:top w:val="single" w:color="auto" w:sz="4" w:space="0"/>
              <w:left w:val="nil"/>
              <w:bottom w:val="single" w:color="auto" w:sz="4" w:space="0"/>
              <w:right w:val="single" w:color="auto" w:sz="4" w:space="0"/>
            </w:tcBorders>
            <w:vAlign w:val="center"/>
          </w:tcPr>
          <w:p w14:paraId="7ED301BB">
            <w:pPr>
              <w:spacing w:line="360" w:lineRule="auto"/>
              <w:jc w:val="center"/>
              <w:outlineLvl w:val="0"/>
              <w:rPr>
                <w:rFonts w:ascii="宋体" w:hAnsi="宋体"/>
                <w:b/>
                <w:bCs/>
                <w:sz w:val="22"/>
                <w:szCs w:val="21"/>
              </w:rPr>
            </w:pPr>
            <w:r>
              <w:rPr>
                <w:rFonts w:hint="eastAsia" w:ascii="宋体" w:hAnsi="宋体"/>
                <w:b/>
                <w:bCs/>
                <w:sz w:val="22"/>
                <w:szCs w:val="21"/>
              </w:rPr>
              <w:t>被护理人员</w:t>
            </w:r>
          </w:p>
        </w:tc>
        <w:tc>
          <w:tcPr>
            <w:tcW w:w="3544" w:type="dxa"/>
            <w:tcBorders>
              <w:top w:val="single" w:color="auto" w:sz="4" w:space="0"/>
              <w:left w:val="nil"/>
              <w:bottom w:val="single" w:color="auto" w:sz="4" w:space="0"/>
              <w:right w:val="single" w:color="auto" w:sz="4" w:space="0"/>
            </w:tcBorders>
            <w:vAlign w:val="center"/>
          </w:tcPr>
          <w:p w14:paraId="65F7CD9A">
            <w:pPr>
              <w:spacing w:line="360" w:lineRule="auto"/>
              <w:jc w:val="center"/>
              <w:outlineLvl w:val="0"/>
              <w:rPr>
                <w:rFonts w:ascii="宋体" w:hAnsi="宋体"/>
                <w:b/>
                <w:bCs/>
                <w:sz w:val="22"/>
                <w:szCs w:val="21"/>
              </w:rPr>
            </w:pPr>
            <w:r>
              <w:rPr>
                <w:rFonts w:hint="eastAsia" w:ascii="宋体" w:hAnsi="宋体"/>
                <w:b/>
                <w:bCs/>
                <w:sz w:val="22"/>
                <w:szCs w:val="21"/>
              </w:rPr>
              <w:t>工作人员</w:t>
            </w:r>
          </w:p>
        </w:tc>
      </w:tr>
      <w:tr w14:paraId="1DCF1402">
        <w:tblPrEx>
          <w:tblCellMar>
            <w:top w:w="0" w:type="dxa"/>
            <w:left w:w="108" w:type="dxa"/>
            <w:bottom w:w="0" w:type="dxa"/>
            <w:right w:w="108" w:type="dxa"/>
          </w:tblCellMar>
        </w:tblPrEx>
        <w:trPr>
          <w:trHeight w:val="432" w:hRule="atLeast"/>
        </w:trPr>
        <w:tc>
          <w:tcPr>
            <w:tcW w:w="1276" w:type="dxa"/>
            <w:tcBorders>
              <w:top w:val="nil"/>
              <w:left w:val="single" w:color="auto" w:sz="4" w:space="0"/>
              <w:bottom w:val="single" w:color="auto" w:sz="4" w:space="0"/>
              <w:right w:val="single" w:color="auto" w:sz="4" w:space="0"/>
            </w:tcBorders>
            <w:vAlign w:val="center"/>
          </w:tcPr>
          <w:p w14:paraId="616C940C">
            <w:pPr>
              <w:widowControl/>
              <w:jc w:val="center"/>
              <w:rPr>
                <w:rFonts w:ascii="宋体" w:hAnsi="宋体"/>
                <w:bCs/>
                <w:sz w:val="22"/>
                <w:szCs w:val="21"/>
              </w:rPr>
            </w:pPr>
            <w:r>
              <w:rPr>
                <w:rFonts w:hint="eastAsia" w:ascii="宋体" w:hAnsi="宋体"/>
                <w:bCs/>
                <w:sz w:val="22"/>
                <w:szCs w:val="21"/>
              </w:rPr>
              <w:t>死亡、伤残</w:t>
            </w:r>
          </w:p>
        </w:tc>
        <w:tc>
          <w:tcPr>
            <w:tcW w:w="4536" w:type="dxa"/>
            <w:tcBorders>
              <w:top w:val="nil"/>
              <w:left w:val="nil"/>
              <w:bottom w:val="single" w:color="auto" w:sz="4" w:space="0"/>
              <w:right w:val="single" w:color="auto" w:sz="4" w:space="0"/>
            </w:tcBorders>
            <w:vAlign w:val="center"/>
          </w:tcPr>
          <w:p w14:paraId="0AD8A0EC">
            <w:pPr>
              <w:widowControl/>
              <w:jc w:val="center"/>
              <w:rPr>
                <w:rFonts w:ascii="宋体" w:hAnsi="宋体"/>
                <w:bCs/>
                <w:sz w:val="22"/>
                <w:szCs w:val="21"/>
              </w:rPr>
            </w:pPr>
            <w:r>
              <w:rPr>
                <w:rFonts w:hint="eastAsia" w:ascii="宋体" w:hAnsi="宋体"/>
                <w:bCs/>
                <w:sz w:val="22"/>
                <w:szCs w:val="21"/>
              </w:rPr>
              <w:t>10万/人/次</w:t>
            </w:r>
          </w:p>
        </w:tc>
        <w:tc>
          <w:tcPr>
            <w:tcW w:w="3544" w:type="dxa"/>
            <w:tcBorders>
              <w:top w:val="nil"/>
              <w:left w:val="nil"/>
              <w:bottom w:val="single" w:color="auto" w:sz="4" w:space="0"/>
              <w:right w:val="single" w:color="auto" w:sz="4" w:space="0"/>
            </w:tcBorders>
            <w:vAlign w:val="center"/>
          </w:tcPr>
          <w:p w14:paraId="37CE0250">
            <w:pPr>
              <w:widowControl/>
              <w:jc w:val="center"/>
              <w:rPr>
                <w:rFonts w:ascii="宋体" w:hAnsi="宋体"/>
                <w:bCs/>
                <w:sz w:val="22"/>
                <w:szCs w:val="21"/>
              </w:rPr>
            </w:pPr>
            <w:r>
              <w:rPr>
                <w:rFonts w:hint="eastAsia" w:ascii="宋体" w:hAnsi="宋体"/>
                <w:bCs/>
                <w:sz w:val="22"/>
                <w:szCs w:val="21"/>
              </w:rPr>
              <w:t>10万/人/次</w:t>
            </w:r>
          </w:p>
        </w:tc>
      </w:tr>
      <w:tr w14:paraId="2B4F629D">
        <w:tblPrEx>
          <w:tblCellMar>
            <w:top w:w="0" w:type="dxa"/>
            <w:left w:w="108" w:type="dxa"/>
            <w:bottom w:w="0" w:type="dxa"/>
            <w:right w:w="108" w:type="dxa"/>
          </w:tblCellMar>
        </w:tblPrEx>
        <w:trPr>
          <w:trHeight w:val="1133" w:hRule="atLeast"/>
        </w:trPr>
        <w:tc>
          <w:tcPr>
            <w:tcW w:w="1276" w:type="dxa"/>
            <w:tcBorders>
              <w:top w:val="nil"/>
              <w:left w:val="single" w:color="auto" w:sz="4" w:space="0"/>
              <w:bottom w:val="single" w:color="auto" w:sz="4" w:space="0"/>
              <w:right w:val="single" w:color="auto" w:sz="4" w:space="0"/>
            </w:tcBorders>
            <w:vAlign w:val="center"/>
          </w:tcPr>
          <w:p w14:paraId="3E3C9AC0">
            <w:pPr>
              <w:widowControl/>
              <w:jc w:val="center"/>
              <w:rPr>
                <w:rFonts w:ascii="宋体" w:hAnsi="宋体"/>
                <w:bCs/>
                <w:sz w:val="22"/>
                <w:szCs w:val="21"/>
              </w:rPr>
            </w:pPr>
            <w:r>
              <w:rPr>
                <w:rFonts w:hint="eastAsia" w:ascii="宋体" w:hAnsi="宋体"/>
                <w:bCs/>
                <w:sz w:val="22"/>
                <w:szCs w:val="21"/>
              </w:rPr>
              <w:t>医疗费用</w:t>
            </w:r>
          </w:p>
        </w:tc>
        <w:tc>
          <w:tcPr>
            <w:tcW w:w="4536" w:type="dxa"/>
            <w:tcBorders>
              <w:top w:val="nil"/>
              <w:left w:val="nil"/>
              <w:bottom w:val="single" w:color="auto" w:sz="4" w:space="0"/>
              <w:right w:val="single" w:color="auto" w:sz="4" w:space="0"/>
            </w:tcBorders>
            <w:vAlign w:val="center"/>
          </w:tcPr>
          <w:p w14:paraId="3B0FC3FB">
            <w:pPr>
              <w:widowControl/>
              <w:rPr>
                <w:rFonts w:ascii="宋体" w:hAnsi="宋体"/>
                <w:bCs/>
                <w:sz w:val="22"/>
                <w:szCs w:val="21"/>
              </w:rPr>
            </w:pPr>
            <w:r>
              <w:rPr>
                <w:rFonts w:hint="eastAsia" w:ascii="宋体" w:hAnsi="宋体"/>
                <w:bCs/>
                <w:sz w:val="22"/>
                <w:szCs w:val="21"/>
              </w:rPr>
              <w:t>每人每年累计赔偿限额4万元</w:t>
            </w:r>
          </w:p>
          <w:p w14:paraId="3A114D0E">
            <w:pPr>
              <w:spacing w:line="360" w:lineRule="auto"/>
              <w:outlineLvl w:val="0"/>
              <w:rPr>
                <w:rFonts w:ascii="宋体" w:hAnsi="宋体"/>
                <w:bCs/>
                <w:sz w:val="22"/>
                <w:szCs w:val="21"/>
              </w:rPr>
            </w:pPr>
            <w:r>
              <w:rPr>
                <w:rFonts w:hint="eastAsia" w:ascii="宋体" w:hAnsi="宋体"/>
                <w:bCs/>
                <w:sz w:val="22"/>
                <w:szCs w:val="21"/>
              </w:rPr>
              <w:t>（因骨折造成的伤害但未发生医疗费的，</w:t>
            </w:r>
          </w:p>
          <w:p w14:paraId="52997D3B">
            <w:pPr>
              <w:spacing w:line="360" w:lineRule="auto"/>
              <w:outlineLvl w:val="0"/>
              <w:rPr>
                <w:rFonts w:ascii="宋体" w:hAnsi="宋体"/>
                <w:bCs/>
                <w:sz w:val="22"/>
                <w:szCs w:val="21"/>
              </w:rPr>
            </w:pPr>
            <w:r>
              <w:rPr>
                <w:rFonts w:hint="eastAsia" w:ascii="宋体" w:hAnsi="宋体"/>
                <w:bCs/>
                <w:sz w:val="22"/>
                <w:szCs w:val="21"/>
              </w:rPr>
              <w:t>一次性补贴4000元）</w:t>
            </w:r>
          </w:p>
        </w:tc>
        <w:tc>
          <w:tcPr>
            <w:tcW w:w="3544" w:type="dxa"/>
            <w:tcBorders>
              <w:top w:val="nil"/>
              <w:left w:val="nil"/>
              <w:bottom w:val="single" w:color="auto" w:sz="4" w:space="0"/>
              <w:right w:val="single" w:color="auto" w:sz="4" w:space="0"/>
            </w:tcBorders>
            <w:vAlign w:val="center"/>
          </w:tcPr>
          <w:p w14:paraId="68B1FCB7">
            <w:pPr>
              <w:widowControl/>
              <w:jc w:val="left"/>
              <w:rPr>
                <w:rFonts w:ascii="宋体" w:hAnsi="宋体"/>
                <w:bCs/>
                <w:sz w:val="22"/>
                <w:szCs w:val="21"/>
              </w:rPr>
            </w:pPr>
            <w:r>
              <w:rPr>
                <w:rFonts w:hint="eastAsia" w:ascii="宋体" w:hAnsi="宋体"/>
                <w:bCs/>
                <w:sz w:val="22"/>
                <w:szCs w:val="21"/>
              </w:rPr>
              <w:t>每人每年累计赔偿限额4万元（因骨折造成的伤害但未发生医疗费的，一次性补贴4000元）</w:t>
            </w:r>
          </w:p>
        </w:tc>
      </w:tr>
      <w:tr w14:paraId="378BD5C4">
        <w:tblPrEx>
          <w:tblCellMar>
            <w:top w:w="0" w:type="dxa"/>
            <w:left w:w="108" w:type="dxa"/>
            <w:bottom w:w="0" w:type="dxa"/>
            <w:right w:w="108" w:type="dxa"/>
          </w:tblCellMar>
        </w:tblPrEx>
        <w:trPr>
          <w:trHeight w:val="486" w:hRule="atLeast"/>
        </w:trPr>
        <w:tc>
          <w:tcPr>
            <w:tcW w:w="1276" w:type="dxa"/>
            <w:tcBorders>
              <w:top w:val="nil"/>
              <w:left w:val="single" w:color="auto" w:sz="4" w:space="0"/>
              <w:bottom w:val="single" w:color="auto" w:sz="4" w:space="0"/>
              <w:right w:val="single" w:color="auto" w:sz="4" w:space="0"/>
            </w:tcBorders>
            <w:vAlign w:val="center"/>
          </w:tcPr>
          <w:p w14:paraId="290756B9">
            <w:pPr>
              <w:widowControl/>
              <w:jc w:val="center"/>
              <w:rPr>
                <w:rFonts w:ascii="宋体" w:hAnsi="宋体"/>
                <w:bCs/>
                <w:sz w:val="22"/>
                <w:szCs w:val="21"/>
              </w:rPr>
            </w:pPr>
            <w:r>
              <w:rPr>
                <w:rFonts w:hint="eastAsia" w:ascii="宋体" w:hAnsi="宋体"/>
                <w:bCs/>
                <w:sz w:val="22"/>
                <w:szCs w:val="21"/>
              </w:rPr>
              <w:t>残疾用具</w:t>
            </w:r>
          </w:p>
        </w:tc>
        <w:tc>
          <w:tcPr>
            <w:tcW w:w="8080" w:type="dxa"/>
            <w:gridSpan w:val="2"/>
            <w:tcBorders>
              <w:top w:val="nil"/>
              <w:left w:val="nil"/>
              <w:bottom w:val="single" w:color="auto" w:sz="4" w:space="0"/>
              <w:right w:val="single" w:color="auto" w:sz="4" w:space="0"/>
            </w:tcBorders>
            <w:vAlign w:val="center"/>
          </w:tcPr>
          <w:p w14:paraId="638FD1B7">
            <w:pPr>
              <w:widowControl/>
              <w:jc w:val="center"/>
              <w:rPr>
                <w:rFonts w:ascii="宋体" w:hAnsi="宋体"/>
                <w:bCs/>
                <w:sz w:val="22"/>
                <w:szCs w:val="21"/>
              </w:rPr>
            </w:pPr>
            <w:r>
              <w:rPr>
                <w:rFonts w:hint="eastAsia" w:ascii="宋体" w:hAnsi="宋体"/>
                <w:bCs/>
                <w:sz w:val="22"/>
                <w:szCs w:val="21"/>
              </w:rPr>
              <w:t>6000元/人</w:t>
            </w:r>
          </w:p>
        </w:tc>
      </w:tr>
      <w:tr w14:paraId="2E199D3E">
        <w:tblPrEx>
          <w:tblCellMar>
            <w:top w:w="0" w:type="dxa"/>
            <w:left w:w="108" w:type="dxa"/>
            <w:bottom w:w="0" w:type="dxa"/>
            <w:right w:w="108" w:type="dxa"/>
          </w:tblCellMar>
        </w:tblPrEx>
        <w:trPr>
          <w:trHeight w:val="428" w:hRule="atLeast"/>
        </w:trPr>
        <w:tc>
          <w:tcPr>
            <w:tcW w:w="1276" w:type="dxa"/>
            <w:tcBorders>
              <w:top w:val="nil"/>
              <w:left w:val="single" w:color="auto" w:sz="4" w:space="0"/>
              <w:bottom w:val="single" w:color="auto" w:sz="4" w:space="0"/>
              <w:right w:val="single" w:color="auto" w:sz="4" w:space="0"/>
            </w:tcBorders>
            <w:vAlign w:val="center"/>
          </w:tcPr>
          <w:p w14:paraId="1FE4981F">
            <w:pPr>
              <w:widowControl/>
              <w:jc w:val="center"/>
              <w:rPr>
                <w:rFonts w:ascii="宋体" w:hAnsi="宋体"/>
                <w:bCs/>
                <w:sz w:val="22"/>
                <w:szCs w:val="21"/>
              </w:rPr>
            </w:pPr>
            <w:r>
              <w:rPr>
                <w:rFonts w:hint="eastAsia" w:ascii="宋体" w:hAnsi="宋体"/>
                <w:bCs/>
                <w:sz w:val="22"/>
                <w:szCs w:val="21"/>
              </w:rPr>
              <w:t>住院补贴</w:t>
            </w:r>
          </w:p>
        </w:tc>
        <w:tc>
          <w:tcPr>
            <w:tcW w:w="8080" w:type="dxa"/>
            <w:gridSpan w:val="2"/>
            <w:tcBorders>
              <w:top w:val="nil"/>
              <w:left w:val="nil"/>
              <w:bottom w:val="single" w:color="auto" w:sz="4" w:space="0"/>
              <w:right w:val="single" w:color="auto" w:sz="4" w:space="0"/>
            </w:tcBorders>
            <w:vAlign w:val="center"/>
          </w:tcPr>
          <w:p w14:paraId="02049624">
            <w:pPr>
              <w:widowControl/>
              <w:jc w:val="center"/>
              <w:rPr>
                <w:rFonts w:ascii="宋体" w:hAnsi="宋体"/>
                <w:bCs/>
                <w:sz w:val="22"/>
                <w:szCs w:val="21"/>
              </w:rPr>
            </w:pPr>
            <w:r>
              <w:rPr>
                <w:rFonts w:hint="eastAsia" w:ascii="宋体" w:hAnsi="宋体"/>
                <w:bCs/>
                <w:sz w:val="22"/>
                <w:szCs w:val="21"/>
              </w:rPr>
              <w:t>每人每天73元，累计不超过90天，累计赔付限额6570元</w:t>
            </w:r>
          </w:p>
        </w:tc>
      </w:tr>
      <w:tr w14:paraId="58ABEC24">
        <w:tblPrEx>
          <w:tblCellMar>
            <w:top w:w="0" w:type="dxa"/>
            <w:left w:w="108" w:type="dxa"/>
            <w:bottom w:w="0" w:type="dxa"/>
            <w:right w:w="108" w:type="dxa"/>
          </w:tblCellMar>
        </w:tblPrEx>
        <w:trPr>
          <w:trHeight w:val="428" w:hRule="atLeast"/>
        </w:trPr>
        <w:tc>
          <w:tcPr>
            <w:tcW w:w="1276" w:type="dxa"/>
            <w:tcBorders>
              <w:top w:val="nil"/>
              <w:left w:val="single" w:color="auto" w:sz="4" w:space="0"/>
              <w:bottom w:val="single" w:color="auto" w:sz="4" w:space="0"/>
              <w:right w:val="single" w:color="auto" w:sz="4" w:space="0"/>
            </w:tcBorders>
            <w:vAlign w:val="center"/>
          </w:tcPr>
          <w:p w14:paraId="40D89E15">
            <w:pPr>
              <w:widowControl/>
              <w:jc w:val="center"/>
              <w:rPr>
                <w:rFonts w:ascii="宋体" w:hAnsi="宋体"/>
                <w:bCs/>
                <w:sz w:val="22"/>
                <w:szCs w:val="21"/>
              </w:rPr>
            </w:pPr>
            <w:r>
              <w:rPr>
                <w:rFonts w:hint="eastAsia" w:ascii="宋体" w:hAnsi="宋体"/>
                <w:bCs/>
                <w:sz w:val="22"/>
                <w:szCs w:val="21"/>
              </w:rPr>
              <w:t>死亡丧葬费</w:t>
            </w:r>
          </w:p>
        </w:tc>
        <w:tc>
          <w:tcPr>
            <w:tcW w:w="8080" w:type="dxa"/>
            <w:gridSpan w:val="2"/>
            <w:tcBorders>
              <w:top w:val="nil"/>
              <w:left w:val="nil"/>
              <w:bottom w:val="single" w:color="auto" w:sz="4" w:space="0"/>
              <w:right w:val="single" w:color="auto" w:sz="4" w:space="0"/>
            </w:tcBorders>
            <w:vAlign w:val="center"/>
          </w:tcPr>
          <w:p w14:paraId="5F0AA740">
            <w:pPr>
              <w:widowControl/>
              <w:jc w:val="center"/>
              <w:rPr>
                <w:rFonts w:ascii="宋体" w:hAnsi="宋体"/>
                <w:bCs/>
                <w:sz w:val="22"/>
                <w:szCs w:val="21"/>
              </w:rPr>
            </w:pPr>
            <w:r>
              <w:rPr>
                <w:rFonts w:hint="eastAsia" w:ascii="宋体" w:hAnsi="宋体"/>
                <w:bCs/>
                <w:sz w:val="22"/>
                <w:szCs w:val="21"/>
              </w:rPr>
              <w:t>赔偿限额每人4万元</w:t>
            </w:r>
          </w:p>
        </w:tc>
      </w:tr>
      <w:tr w14:paraId="3F4A4BAA">
        <w:tblPrEx>
          <w:tblCellMar>
            <w:top w:w="0" w:type="dxa"/>
            <w:left w:w="108" w:type="dxa"/>
            <w:bottom w:w="0" w:type="dxa"/>
            <w:right w:w="108" w:type="dxa"/>
          </w:tblCellMar>
        </w:tblPrEx>
        <w:trPr>
          <w:trHeight w:val="557" w:hRule="atLeast"/>
        </w:trPr>
        <w:tc>
          <w:tcPr>
            <w:tcW w:w="1276" w:type="dxa"/>
            <w:tcBorders>
              <w:top w:val="nil"/>
              <w:left w:val="single" w:color="auto" w:sz="4" w:space="0"/>
              <w:bottom w:val="single" w:color="auto" w:sz="4" w:space="0"/>
              <w:right w:val="single" w:color="auto" w:sz="4" w:space="0"/>
            </w:tcBorders>
            <w:vAlign w:val="center"/>
          </w:tcPr>
          <w:p w14:paraId="60DCA2C9">
            <w:pPr>
              <w:widowControl/>
              <w:jc w:val="center"/>
              <w:rPr>
                <w:rFonts w:ascii="宋体" w:hAnsi="宋体"/>
                <w:bCs/>
                <w:sz w:val="22"/>
                <w:szCs w:val="21"/>
              </w:rPr>
            </w:pPr>
            <w:r>
              <w:rPr>
                <w:rFonts w:hint="eastAsia" w:ascii="宋体" w:hAnsi="宋体"/>
                <w:bCs/>
                <w:sz w:val="22"/>
                <w:szCs w:val="21"/>
              </w:rPr>
              <w:t>法律费用</w:t>
            </w:r>
          </w:p>
        </w:tc>
        <w:tc>
          <w:tcPr>
            <w:tcW w:w="8080" w:type="dxa"/>
            <w:gridSpan w:val="2"/>
            <w:tcBorders>
              <w:top w:val="nil"/>
              <w:left w:val="nil"/>
              <w:bottom w:val="single" w:color="auto" w:sz="4" w:space="0"/>
              <w:right w:val="single" w:color="auto" w:sz="4" w:space="0"/>
            </w:tcBorders>
            <w:vAlign w:val="center"/>
          </w:tcPr>
          <w:p w14:paraId="034CAF4B">
            <w:pPr>
              <w:widowControl/>
              <w:jc w:val="center"/>
              <w:rPr>
                <w:rFonts w:ascii="宋体" w:hAnsi="宋体"/>
                <w:bCs/>
                <w:sz w:val="22"/>
                <w:szCs w:val="21"/>
              </w:rPr>
            </w:pPr>
            <w:r>
              <w:rPr>
                <w:rFonts w:hint="eastAsia" w:ascii="宋体" w:hAnsi="宋体"/>
                <w:bCs/>
                <w:sz w:val="22"/>
                <w:szCs w:val="21"/>
              </w:rPr>
              <w:t>每次事故以实际赔偿金额的10%为上限</w:t>
            </w:r>
          </w:p>
        </w:tc>
      </w:tr>
      <w:tr w14:paraId="3ED94866">
        <w:tblPrEx>
          <w:tblCellMar>
            <w:top w:w="0" w:type="dxa"/>
            <w:left w:w="108" w:type="dxa"/>
            <w:bottom w:w="0" w:type="dxa"/>
            <w:right w:w="108" w:type="dxa"/>
          </w:tblCellMar>
        </w:tblPrEx>
        <w:trPr>
          <w:trHeight w:val="418" w:hRule="atLeast"/>
        </w:trPr>
        <w:tc>
          <w:tcPr>
            <w:tcW w:w="1276" w:type="dxa"/>
            <w:tcBorders>
              <w:top w:val="nil"/>
              <w:left w:val="single" w:color="auto" w:sz="4" w:space="0"/>
              <w:bottom w:val="single" w:color="auto" w:sz="4" w:space="0"/>
              <w:right w:val="single" w:color="auto" w:sz="4" w:space="0"/>
            </w:tcBorders>
            <w:vAlign w:val="center"/>
          </w:tcPr>
          <w:p w14:paraId="4A132A01">
            <w:pPr>
              <w:widowControl/>
              <w:jc w:val="center"/>
              <w:rPr>
                <w:rFonts w:ascii="宋体" w:hAnsi="宋体"/>
                <w:bCs/>
                <w:sz w:val="22"/>
                <w:szCs w:val="21"/>
              </w:rPr>
            </w:pPr>
            <w:r>
              <w:rPr>
                <w:rFonts w:hint="eastAsia" w:ascii="宋体" w:hAnsi="宋体"/>
                <w:bCs/>
                <w:sz w:val="22"/>
                <w:szCs w:val="21"/>
              </w:rPr>
              <w:t>免赔额</w:t>
            </w:r>
          </w:p>
        </w:tc>
        <w:tc>
          <w:tcPr>
            <w:tcW w:w="8080" w:type="dxa"/>
            <w:gridSpan w:val="2"/>
            <w:tcBorders>
              <w:top w:val="nil"/>
              <w:left w:val="nil"/>
              <w:bottom w:val="single" w:color="auto" w:sz="4" w:space="0"/>
              <w:right w:val="single" w:color="auto" w:sz="4" w:space="0"/>
            </w:tcBorders>
            <w:vAlign w:val="center"/>
          </w:tcPr>
          <w:p w14:paraId="060C2169">
            <w:pPr>
              <w:widowControl/>
              <w:jc w:val="center"/>
              <w:rPr>
                <w:rFonts w:ascii="宋体" w:hAnsi="宋体"/>
                <w:bCs/>
                <w:sz w:val="22"/>
                <w:szCs w:val="21"/>
              </w:rPr>
            </w:pPr>
            <w:r>
              <w:rPr>
                <w:rFonts w:hint="eastAsia" w:ascii="宋体" w:hAnsi="宋体"/>
                <w:bCs/>
                <w:sz w:val="22"/>
                <w:szCs w:val="21"/>
              </w:rPr>
              <w:t>无</w:t>
            </w:r>
          </w:p>
        </w:tc>
      </w:tr>
      <w:tr w14:paraId="75BD2A47">
        <w:tblPrEx>
          <w:tblCellMar>
            <w:top w:w="0" w:type="dxa"/>
            <w:left w:w="108" w:type="dxa"/>
            <w:bottom w:w="0" w:type="dxa"/>
            <w:right w:w="108" w:type="dxa"/>
          </w:tblCellMar>
        </w:tblPrEx>
        <w:trPr>
          <w:trHeight w:val="474" w:hRule="atLeast"/>
        </w:trPr>
        <w:tc>
          <w:tcPr>
            <w:tcW w:w="1276" w:type="dxa"/>
            <w:tcBorders>
              <w:top w:val="nil"/>
              <w:left w:val="single" w:color="auto" w:sz="4" w:space="0"/>
              <w:bottom w:val="single" w:color="auto" w:sz="4" w:space="0"/>
              <w:right w:val="single" w:color="auto" w:sz="4" w:space="0"/>
            </w:tcBorders>
            <w:vAlign w:val="center"/>
          </w:tcPr>
          <w:p w14:paraId="6AC3AE8F">
            <w:pPr>
              <w:widowControl/>
              <w:jc w:val="center"/>
              <w:rPr>
                <w:rFonts w:ascii="宋体" w:hAnsi="宋体"/>
                <w:bCs/>
                <w:sz w:val="22"/>
                <w:szCs w:val="21"/>
              </w:rPr>
            </w:pPr>
            <w:r>
              <w:rPr>
                <w:rFonts w:hint="eastAsia" w:ascii="宋体" w:hAnsi="宋体"/>
                <w:bCs/>
                <w:sz w:val="22"/>
                <w:szCs w:val="21"/>
              </w:rPr>
              <w:t>保费</w:t>
            </w:r>
          </w:p>
        </w:tc>
        <w:tc>
          <w:tcPr>
            <w:tcW w:w="8080" w:type="dxa"/>
            <w:gridSpan w:val="2"/>
            <w:tcBorders>
              <w:top w:val="nil"/>
              <w:left w:val="nil"/>
              <w:bottom w:val="single" w:color="auto" w:sz="4" w:space="0"/>
              <w:right w:val="single" w:color="auto" w:sz="4" w:space="0"/>
            </w:tcBorders>
            <w:vAlign w:val="center"/>
          </w:tcPr>
          <w:p w14:paraId="2879EBDE">
            <w:pPr>
              <w:widowControl/>
              <w:jc w:val="center"/>
              <w:rPr>
                <w:rFonts w:ascii="宋体" w:hAnsi="宋体"/>
                <w:bCs/>
                <w:sz w:val="22"/>
                <w:szCs w:val="21"/>
              </w:rPr>
            </w:pPr>
            <w:r>
              <w:rPr>
                <w:rFonts w:hint="eastAsia" w:ascii="宋体" w:hAnsi="宋体"/>
                <w:bCs/>
                <w:sz w:val="22"/>
                <w:szCs w:val="21"/>
              </w:rPr>
              <w:t>每家机构保险费标准为300元/年</w:t>
            </w:r>
          </w:p>
        </w:tc>
      </w:tr>
    </w:tbl>
    <w:p w14:paraId="66E3723F">
      <w:pPr>
        <w:spacing w:line="360" w:lineRule="auto"/>
        <w:rPr>
          <w:rFonts w:ascii="宋体" w:hAnsi="宋体"/>
          <w:bCs/>
          <w:sz w:val="24"/>
          <w:szCs w:val="24"/>
        </w:rPr>
      </w:pPr>
      <w:r>
        <w:rPr>
          <w:rFonts w:hint="eastAsia" w:ascii="宋体" w:hAnsi="宋体"/>
          <w:bCs/>
          <w:sz w:val="24"/>
          <w:szCs w:val="24"/>
        </w:rPr>
        <w:t>说明：</w:t>
      </w:r>
    </w:p>
    <w:p w14:paraId="0224AAA9">
      <w:pPr>
        <w:spacing w:line="360" w:lineRule="auto"/>
        <w:rPr>
          <w:rFonts w:ascii="宋体" w:hAnsi="宋体"/>
          <w:bCs/>
          <w:sz w:val="24"/>
          <w:szCs w:val="24"/>
        </w:rPr>
      </w:pPr>
      <w:r>
        <w:rPr>
          <w:rFonts w:hint="eastAsia" w:ascii="宋体" w:hAnsi="宋体"/>
          <w:bCs/>
          <w:sz w:val="24"/>
          <w:szCs w:val="24"/>
        </w:rPr>
        <w:t>1.失能等级与自能能力对应：自理（能力完好）、半护理（轻度/中度失能）、全护理（重度/完全失能）</w:t>
      </w:r>
    </w:p>
    <w:p w14:paraId="7EF0000C">
      <w:pPr>
        <w:spacing w:line="360" w:lineRule="auto"/>
        <w:rPr>
          <w:bCs/>
          <w:sz w:val="24"/>
          <w:szCs w:val="24"/>
        </w:rPr>
      </w:pPr>
      <w:r>
        <w:rPr>
          <w:rFonts w:hint="eastAsia" w:ascii="宋体" w:hAnsi="宋体"/>
          <w:bCs/>
          <w:sz w:val="24"/>
          <w:szCs w:val="24"/>
        </w:rPr>
        <w:t>2.伤残赔付比例按照职工工伤与职业病致残程度鉴定标准（最新标准），保险公司按照</w:t>
      </w:r>
      <w:r>
        <w:rPr>
          <w:rFonts w:hint="eastAsia"/>
          <w:bCs/>
          <w:sz w:val="24"/>
          <w:szCs w:val="24"/>
        </w:rPr>
        <w:t>骨折部位与保险金给付比例表进行赔付。</w:t>
      </w:r>
    </w:p>
    <w:p w14:paraId="7F6F4BDD">
      <w:pPr>
        <w:spacing w:line="360" w:lineRule="auto"/>
        <w:rPr>
          <w:rFonts w:ascii="宋体" w:hAnsi="宋体" w:cs="宋体"/>
          <w:sz w:val="22"/>
          <w:szCs w:val="21"/>
        </w:rPr>
      </w:pPr>
    </w:p>
    <w:p w14:paraId="22950990">
      <w:pPr>
        <w:spacing w:line="360" w:lineRule="auto"/>
        <w:ind w:firstLine="425"/>
        <w:jc w:val="center"/>
        <w:rPr>
          <w:bCs/>
          <w:color w:val="000000" w:themeColor="text1"/>
          <w:sz w:val="24"/>
          <w:szCs w:val="24"/>
          <w14:textFill>
            <w14:solidFill>
              <w14:schemeClr w14:val="tx1"/>
            </w14:solidFill>
          </w14:textFill>
        </w:rPr>
      </w:pPr>
    </w:p>
    <w:p w14:paraId="42CBB660">
      <w:pPr>
        <w:spacing w:line="360" w:lineRule="auto"/>
        <w:ind w:firstLine="425"/>
        <w:rPr>
          <w:bCs/>
          <w:color w:val="000000" w:themeColor="text1"/>
          <w:sz w:val="24"/>
          <w:szCs w:val="24"/>
          <w14:textFill>
            <w14:solidFill>
              <w14:schemeClr w14:val="tx1"/>
            </w14:solidFill>
          </w14:textFill>
        </w:rPr>
      </w:pPr>
    </w:p>
    <w:p w14:paraId="5EA94799">
      <w:pPr>
        <w:spacing w:line="360" w:lineRule="auto"/>
        <w:ind w:firstLine="636"/>
        <w:jc w:val="center"/>
        <w:rPr>
          <w:rFonts w:eastAsia="黑体"/>
          <w:color w:val="000000" w:themeColor="text1"/>
          <w:sz w:val="28"/>
          <w14:textFill>
            <w14:solidFill>
              <w14:schemeClr w14:val="tx1"/>
            </w14:solidFill>
          </w14:textFill>
        </w:rPr>
      </w:pPr>
      <w:r>
        <w:rPr>
          <w:rFonts w:eastAsia="黑体"/>
          <w:color w:val="000000" w:themeColor="text1"/>
          <w:sz w:val="28"/>
          <w14:textFill>
            <w14:solidFill>
              <w14:schemeClr w14:val="tx1"/>
            </w14:solidFill>
          </w14:textFill>
        </w:rPr>
        <w:t>第</w:t>
      </w:r>
      <w:r>
        <w:rPr>
          <w:rFonts w:hint="eastAsia" w:eastAsia="黑体"/>
          <w:color w:val="000000" w:themeColor="text1"/>
          <w:sz w:val="28"/>
          <w14:textFill>
            <w14:solidFill>
              <w14:schemeClr w14:val="tx1"/>
            </w14:solidFill>
          </w14:textFill>
        </w:rPr>
        <w:t>六</w:t>
      </w:r>
      <w:r>
        <w:rPr>
          <w:rFonts w:eastAsia="黑体"/>
          <w:color w:val="000000" w:themeColor="text1"/>
          <w:sz w:val="28"/>
          <w14:textFill>
            <w14:solidFill>
              <w14:schemeClr w14:val="tx1"/>
            </w14:solidFill>
          </w14:textFill>
        </w:rPr>
        <w:t>章 政府采购合同（格式）</w:t>
      </w:r>
    </w:p>
    <w:p w14:paraId="495F1081">
      <w:pPr>
        <w:pStyle w:val="322"/>
        <w:ind w:firstLine="0"/>
        <w:rPr>
          <w:rFonts w:ascii="Times New Roman" w:hAnsi="Times New Roman"/>
          <w:b/>
          <w:color w:val="000000" w:themeColor="text1"/>
          <w:szCs w:val="24"/>
          <w14:textFill>
            <w14:solidFill>
              <w14:schemeClr w14:val="tx1"/>
            </w14:solidFill>
          </w14:textFill>
        </w:rPr>
      </w:pPr>
    </w:p>
    <w:p w14:paraId="31F2B19B">
      <w:pPr>
        <w:pStyle w:val="322"/>
        <w:ind w:firstLine="0"/>
        <w:jc w:val="center"/>
        <w:rPr>
          <w:rFonts w:ascii="Times New Roman" w:hAnsi="Times New Roman"/>
          <w:b/>
          <w:color w:val="000000" w:themeColor="text1"/>
          <w:szCs w:val="24"/>
          <w14:textFill>
            <w14:solidFill>
              <w14:schemeClr w14:val="tx1"/>
            </w14:solidFill>
          </w14:textFill>
        </w:rPr>
      </w:pPr>
      <w:r>
        <w:rPr>
          <w:rFonts w:ascii="Times New Roman" w:hAnsi="Times New Roman"/>
          <w:b/>
          <w:color w:val="000000" w:themeColor="text1"/>
          <w:szCs w:val="24"/>
          <w14:textFill>
            <w14:solidFill>
              <w14:schemeClr w14:val="tx1"/>
            </w14:solidFill>
          </w14:textFill>
        </w:rPr>
        <w:t>第一部分 合同书</w:t>
      </w:r>
    </w:p>
    <w:p w14:paraId="6EA155FB">
      <w:pPr>
        <w:pStyle w:val="322"/>
        <w:ind w:firstLine="0"/>
        <w:rPr>
          <w:rFonts w:ascii="Times New Roman" w:hAnsi="Times New Roman"/>
          <w:b/>
          <w:color w:val="000000" w:themeColor="text1"/>
          <w:szCs w:val="24"/>
          <w14:textFill>
            <w14:solidFill>
              <w14:schemeClr w14:val="tx1"/>
            </w14:solidFill>
          </w14:textFill>
        </w:rPr>
      </w:pPr>
    </w:p>
    <w:p w14:paraId="4DCE8BAA">
      <w:pPr>
        <w:widowControl/>
        <w:spacing w:line="360" w:lineRule="auto"/>
        <w:ind w:firstLine="1265"/>
        <w:rPr>
          <w:bCs/>
          <w:color w:val="000000" w:themeColor="text1"/>
          <w:sz w:val="24"/>
          <w:szCs w:val="24"/>
          <w14:textFill>
            <w14:solidFill>
              <w14:schemeClr w14:val="tx1"/>
            </w14:solidFill>
          </w14:textFill>
        </w:rPr>
      </w:pPr>
      <w:r>
        <w:rPr>
          <w:b/>
          <w:color w:val="000000" w:themeColor="text1"/>
          <w:szCs w:val="24"/>
          <w14:textFill>
            <w14:solidFill>
              <w14:schemeClr w14:val="tx1"/>
            </w14:solidFill>
          </w14:textFill>
        </w:rPr>
        <w:t xml:space="preserve">    </w:t>
      </w:r>
      <w:r>
        <w:rPr>
          <w:bCs/>
          <w:color w:val="000000" w:themeColor="text1"/>
          <w:sz w:val="24"/>
          <w:szCs w:val="24"/>
          <w14:textFill>
            <w14:solidFill>
              <w14:schemeClr w14:val="tx1"/>
            </w14:solidFill>
          </w14:textFill>
        </w:rPr>
        <w:t>甲方（投保人）：宜兴市民政局</w:t>
      </w:r>
    </w:p>
    <w:p w14:paraId="72D7BCFA">
      <w:pPr>
        <w:widowControl/>
        <w:spacing w:line="360" w:lineRule="auto"/>
        <w:ind w:firstLine="2520"/>
        <w:rPr>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地址：</w:t>
      </w:r>
      <w:r>
        <w:rPr>
          <w:bCs/>
          <w:color w:val="000000" w:themeColor="text1"/>
          <w:sz w:val="24"/>
          <w:szCs w:val="24"/>
          <w14:textFill>
            <w14:solidFill>
              <w14:schemeClr w14:val="tx1"/>
            </w14:solidFill>
          </w14:textFill>
        </w:rPr>
        <w:t>宜兴市氿滨南路10号宜城软件园10-12楼</w:t>
      </w:r>
    </w:p>
    <w:p w14:paraId="529BD671">
      <w:pPr>
        <w:widowControl/>
        <w:spacing w:line="360" w:lineRule="auto"/>
        <w:ind w:firstLine="22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联系人：</w:t>
      </w:r>
    </w:p>
    <w:p w14:paraId="6C8A8771">
      <w:pPr>
        <w:widowControl/>
        <w:spacing w:line="360" w:lineRule="auto"/>
        <w:ind w:firstLine="2040"/>
        <w:rPr>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联系电话：</w:t>
      </w:r>
    </w:p>
    <w:p w14:paraId="1F8EE5C1">
      <w:pPr>
        <w:widowControl/>
        <w:spacing w:line="360" w:lineRule="auto"/>
        <w:ind w:firstLine="144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乙方（保险人）：</w:t>
      </w:r>
    </w:p>
    <w:p w14:paraId="006DE8E3">
      <w:pPr>
        <w:widowControl/>
        <w:spacing w:line="360" w:lineRule="auto"/>
        <w:ind w:firstLine="144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地址：</w:t>
      </w:r>
    </w:p>
    <w:p w14:paraId="325C122E">
      <w:pPr>
        <w:widowControl/>
        <w:spacing w:line="360" w:lineRule="auto"/>
        <w:ind w:firstLine="22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联系人：</w:t>
      </w:r>
    </w:p>
    <w:p w14:paraId="753BD43D">
      <w:pPr>
        <w:widowControl/>
        <w:spacing w:line="360" w:lineRule="auto"/>
        <w:ind w:firstLine="2040"/>
        <w:rPr>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联系电话：</w:t>
      </w:r>
    </w:p>
    <w:p w14:paraId="1F63022C">
      <w:pPr>
        <w:widowControl/>
        <w:spacing w:line="360" w:lineRule="auto"/>
        <w:ind w:firstLine="144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丙方（见证方）：恒泰保险经纪有限公司</w:t>
      </w:r>
    </w:p>
    <w:p w14:paraId="2A0D33B0">
      <w:pPr>
        <w:widowControl/>
        <w:spacing w:line="360" w:lineRule="auto"/>
        <w:ind w:firstLine="252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地址：南京市中山北路30号益来国际广场12层</w:t>
      </w:r>
    </w:p>
    <w:p w14:paraId="285851F6">
      <w:pPr>
        <w:widowControl/>
        <w:spacing w:line="360" w:lineRule="auto"/>
        <w:ind w:firstLine="22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联系人：</w:t>
      </w:r>
    </w:p>
    <w:p w14:paraId="34A6D3D2">
      <w:pPr>
        <w:widowControl/>
        <w:spacing w:line="360" w:lineRule="auto"/>
        <w:ind w:firstLine="2040"/>
        <w:rPr>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联系电话：</w:t>
      </w:r>
    </w:p>
    <w:p w14:paraId="4E081F71">
      <w:pPr>
        <w:spacing w:line="360" w:lineRule="auto"/>
        <w:ind w:firstLine="54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根据《中华人民共和国政府采购法》《中华人民共和国民法典》的规定，以及本项目招标文件、投标文件的相关约定，经甲乙双方友好协商，本着诚实守信的原则，就养老机构综合责任保险、养老机构入住老人意外伤害保险和居家养老服务机构综合责任保险签订如下合同：</w:t>
      </w:r>
    </w:p>
    <w:p w14:paraId="354AC24C">
      <w:pPr>
        <w:spacing w:line="360" w:lineRule="auto"/>
        <w:ind w:firstLine="482" w:firstLineChars="200"/>
        <w:rPr>
          <w:b/>
          <w:bCs/>
          <w:sz w:val="24"/>
          <w:szCs w:val="24"/>
        </w:rPr>
      </w:pPr>
      <w:bookmarkStart w:id="74" w:name="_Toc474941404"/>
      <w:bookmarkStart w:id="75" w:name="_Toc474955002"/>
      <w:r>
        <w:rPr>
          <w:rFonts w:hint="eastAsia"/>
          <w:b/>
          <w:bCs/>
          <w:sz w:val="24"/>
          <w:szCs w:val="24"/>
        </w:rPr>
        <w:t>一、投保险种</w:t>
      </w:r>
    </w:p>
    <w:p w14:paraId="2EBC62F5">
      <w:pPr>
        <w:spacing w:line="360" w:lineRule="auto"/>
        <w:ind w:firstLine="425"/>
        <w:rPr>
          <w:b/>
          <w:bCs/>
          <w:sz w:val="24"/>
          <w:szCs w:val="24"/>
        </w:rPr>
      </w:pPr>
      <w:r>
        <w:rPr>
          <w:rFonts w:hint="eastAsia" w:ascii="宋体" w:hAnsi="宋体"/>
          <w:bCs/>
          <w:sz w:val="24"/>
          <w:szCs w:val="24"/>
        </w:rPr>
        <w:t>本项目的险种为“”，该险种已由乙方向</w:t>
      </w:r>
      <w:r>
        <w:rPr>
          <w:rFonts w:hint="eastAsia" w:ascii="宋体" w:hAnsi="宋体" w:cs="宋体"/>
          <w:sz w:val="24"/>
        </w:rPr>
        <w:t>国家金融监督管理总局</w:t>
      </w:r>
      <w:r>
        <w:rPr>
          <w:rFonts w:hint="eastAsia" w:ascii="宋体" w:hAnsi="宋体"/>
          <w:bCs/>
          <w:sz w:val="24"/>
          <w:szCs w:val="24"/>
        </w:rPr>
        <w:t>报备。</w:t>
      </w:r>
    </w:p>
    <w:p w14:paraId="7E9113F0">
      <w:pPr>
        <w:spacing w:line="360" w:lineRule="auto"/>
        <w:ind w:firstLine="482"/>
        <w:rPr>
          <w:b/>
          <w:bCs/>
          <w:sz w:val="24"/>
          <w:szCs w:val="24"/>
        </w:rPr>
      </w:pPr>
      <w:r>
        <w:rPr>
          <w:rFonts w:hint="eastAsia"/>
          <w:b/>
          <w:bCs/>
          <w:sz w:val="24"/>
          <w:szCs w:val="24"/>
        </w:rPr>
        <w:t>二、保险期限</w:t>
      </w:r>
    </w:p>
    <w:p w14:paraId="2B98E7D6">
      <w:pPr>
        <w:spacing w:line="360" w:lineRule="auto"/>
        <w:ind w:firstLine="482" w:firstLineChars="200"/>
        <w:rPr>
          <w:b/>
          <w:bCs/>
          <w:sz w:val="24"/>
          <w:szCs w:val="24"/>
        </w:rPr>
      </w:pPr>
      <w:r>
        <w:rPr>
          <w:rFonts w:hint="eastAsia"/>
          <w:b/>
          <w:bCs/>
          <w:sz w:val="24"/>
          <w:szCs w:val="24"/>
        </w:rPr>
        <w:t>三、保险费用及支付方式</w:t>
      </w:r>
    </w:p>
    <w:p w14:paraId="4A2AD398">
      <w:pPr>
        <w:spacing w:line="360" w:lineRule="auto"/>
        <w:ind w:firstLine="482"/>
        <w:rPr>
          <w:b/>
          <w:bCs/>
          <w:sz w:val="24"/>
          <w:szCs w:val="24"/>
        </w:rPr>
      </w:pPr>
      <w:r>
        <w:rPr>
          <w:rFonts w:hint="eastAsia"/>
          <w:b/>
          <w:bCs/>
          <w:sz w:val="24"/>
          <w:szCs w:val="24"/>
        </w:rPr>
        <w:t>四、保险责任</w:t>
      </w:r>
    </w:p>
    <w:p w14:paraId="3DCCCD5C">
      <w:pPr>
        <w:spacing w:line="360" w:lineRule="auto"/>
        <w:ind w:firstLine="482" w:firstLineChars="200"/>
        <w:rPr>
          <w:b/>
          <w:bCs/>
          <w:sz w:val="24"/>
          <w:szCs w:val="24"/>
        </w:rPr>
      </w:pPr>
      <w:r>
        <w:rPr>
          <w:rFonts w:hint="eastAsia"/>
          <w:b/>
          <w:bCs/>
          <w:sz w:val="24"/>
          <w:szCs w:val="24"/>
        </w:rPr>
        <w:t>五、保险服务</w:t>
      </w:r>
    </w:p>
    <w:p w14:paraId="2DFC8480">
      <w:pPr>
        <w:widowControl/>
        <w:spacing w:line="360" w:lineRule="auto"/>
        <w:ind w:right="25" w:firstLine="48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六、合同的变更与解除</w:t>
      </w:r>
    </w:p>
    <w:p w14:paraId="5E180308">
      <w:pPr>
        <w:spacing w:line="360" w:lineRule="auto"/>
        <w:ind w:firstLine="480"/>
        <w:outlineLvl w:val="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本合同如有未尽事宜，经甲乙双方协商后可随时以书面形式修改或补充，并作为本合同的组成部分。修改或补充部分的效力优于本合同相关内容。</w:t>
      </w:r>
    </w:p>
    <w:p w14:paraId="1693B2A0">
      <w:pPr>
        <w:widowControl/>
        <w:spacing w:line="360" w:lineRule="auto"/>
        <w:ind w:firstLine="482"/>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七、保密</w:t>
      </w:r>
    </w:p>
    <w:p w14:paraId="46119488">
      <w:pPr>
        <w:spacing w:line="360" w:lineRule="auto"/>
        <w:ind w:firstLine="480"/>
        <w:outlineLvl w:val="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自本合同生效之日起，甲乙各方不得将本合同涉及的所有有形、无形的信息及资料（包括但不限于双方的往来书面文字文件、电子邮件及信息、软盘资料等）泄露给其他方。</w:t>
      </w:r>
    </w:p>
    <w:p w14:paraId="4A2B7FE0">
      <w:pPr>
        <w:widowControl/>
        <w:spacing w:line="360" w:lineRule="auto"/>
        <w:ind w:right="25" w:firstLine="48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八、违约责任</w:t>
      </w:r>
    </w:p>
    <w:p w14:paraId="102075F1">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1.逾期不承担保险责任。</w:t>
      </w:r>
    </w:p>
    <w:p w14:paraId="0C60FF4D">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2.不履行如实告知义务。</w:t>
      </w:r>
    </w:p>
    <w:p w14:paraId="48AD379E">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3.保险合同期间，未经甲方和被保险人的同意擅自批单变更合同内容。</w:t>
      </w:r>
    </w:p>
    <w:p w14:paraId="27C81993">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4.保险事故发生后，不履行合同约定责任范围内的保险赔付，不在规定期限内核损支付赔款。</w:t>
      </w:r>
    </w:p>
    <w:p w14:paraId="52D11F32">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乙方出现以上违约责任的，除支付保险金外，应当赔偿被保险人因此受到的损失，甲方有权依照法律程序解除合同，并视违约情节轻重按该年度保费总金额1‰- 5％追究乙方的违约责任。</w:t>
      </w:r>
    </w:p>
    <w:p w14:paraId="16020D75">
      <w:pPr>
        <w:widowControl/>
        <w:spacing w:line="360" w:lineRule="auto"/>
        <w:ind w:right="25" w:firstLine="59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九、争议处理</w:t>
      </w:r>
      <w:bookmarkEnd w:id="74"/>
      <w:bookmarkEnd w:id="75"/>
    </w:p>
    <w:p w14:paraId="01B4AAA4">
      <w:pPr>
        <w:tabs>
          <w:tab w:val="left" w:pos="568"/>
        </w:tabs>
        <w:spacing w:line="560" w:lineRule="exact"/>
        <w:ind w:firstLine="56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甲乙双方之间的一切有关本合同的争议应通过友好协商解决，如协商不成的，应提交甲方所在地人民法院裁决。</w:t>
      </w:r>
    </w:p>
    <w:p w14:paraId="6427CD35">
      <w:pPr>
        <w:tabs>
          <w:tab w:val="left" w:pos="568"/>
        </w:tabs>
        <w:spacing w:line="560" w:lineRule="exact"/>
        <w:ind w:firstLine="56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十、其他</w:t>
      </w:r>
    </w:p>
    <w:p w14:paraId="7F5E883A">
      <w:pPr>
        <w:tabs>
          <w:tab w:val="left" w:pos="568"/>
        </w:tabs>
        <w:spacing w:line="560" w:lineRule="exact"/>
        <w:ind w:firstLine="56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0748002">
      <w:pPr>
        <w:tabs>
          <w:tab w:val="left" w:pos="568"/>
        </w:tabs>
        <w:spacing w:line="560" w:lineRule="exact"/>
        <w:ind w:firstLine="56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2.本合同作为正式保单的有效组成部分，正式保单与本合同冲突之处以本合同内容为准，甲乙双方另有明确约定的情况除外，其他未尽事宜以正式保单为准。</w:t>
      </w:r>
    </w:p>
    <w:p w14:paraId="08CBCF18">
      <w:pPr>
        <w:tabs>
          <w:tab w:val="left" w:pos="568"/>
        </w:tabs>
        <w:spacing w:line="560" w:lineRule="exact"/>
        <w:ind w:firstLine="56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3.本合同自签订之日起生效，并在保险有效期内持续有效，如果保险期限结束后，存在遗留问题，本合同将继续有效，直至保单涉及的各项遗留事宜最终处理完毕时为止。</w:t>
      </w:r>
    </w:p>
    <w:p w14:paraId="0C518D6F">
      <w:pPr>
        <w:tabs>
          <w:tab w:val="left" w:pos="568"/>
        </w:tabs>
        <w:spacing w:line="560" w:lineRule="exact"/>
        <w:ind w:firstLine="56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4.本合同壹式</w:t>
      </w:r>
      <w:r>
        <w:rPr>
          <w:rFonts w:hint="eastAsia"/>
          <w:bCs/>
          <w:color w:val="000000" w:themeColor="text1"/>
          <w:sz w:val="24"/>
          <w:szCs w:val="24"/>
          <w14:textFill>
            <w14:solidFill>
              <w14:schemeClr w14:val="tx1"/>
            </w14:solidFill>
          </w14:textFill>
        </w:rPr>
        <w:t>伍</w:t>
      </w:r>
      <w:r>
        <w:rPr>
          <w:bCs/>
          <w:color w:val="000000" w:themeColor="text1"/>
          <w:sz w:val="24"/>
          <w:szCs w:val="24"/>
          <w14:textFill>
            <w14:solidFill>
              <w14:schemeClr w14:val="tx1"/>
            </w14:solidFill>
          </w14:textFill>
        </w:rPr>
        <w:t>份，甲方贰份、乙方</w:t>
      </w:r>
      <w:r>
        <w:rPr>
          <w:rFonts w:hint="eastAsia"/>
          <w:bCs/>
          <w:color w:val="000000" w:themeColor="text1"/>
          <w:sz w:val="24"/>
          <w:szCs w:val="24"/>
          <w14:textFill>
            <w14:solidFill>
              <w14:schemeClr w14:val="tx1"/>
            </w14:solidFill>
          </w14:textFill>
        </w:rPr>
        <w:t>壹</w:t>
      </w:r>
      <w:r>
        <w:rPr>
          <w:bCs/>
          <w:color w:val="000000" w:themeColor="text1"/>
          <w:sz w:val="24"/>
          <w:szCs w:val="24"/>
          <w14:textFill>
            <w14:solidFill>
              <w14:schemeClr w14:val="tx1"/>
            </w14:solidFill>
          </w14:textFill>
        </w:rPr>
        <w:t>份、丙方</w:t>
      </w:r>
      <w:r>
        <w:rPr>
          <w:rFonts w:hint="eastAsia"/>
          <w:bCs/>
          <w:color w:val="000000" w:themeColor="text1"/>
          <w:sz w:val="24"/>
          <w:szCs w:val="24"/>
          <w14:textFill>
            <w14:solidFill>
              <w14:schemeClr w14:val="tx1"/>
            </w14:solidFill>
          </w14:textFill>
        </w:rPr>
        <w:t>壹</w:t>
      </w:r>
      <w:r>
        <w:rPr>
          <w:bCs/>
          <w:color w:val="000000" w:themeColor="text1"/>
          <w:sz w:val="24"/>
          <w:szCs w:val="24"/>
          <w14:textFill>
            <w14:solidFill>
              <w14:schemeClr w14:val="tx1"/>
            </w14:solidFill>
          </w14:textFill>
        </w:rPr>
        <w:t>份，宜兴市</w:t>
      </w:r>
      <w:r>
        <w:rPr>
          <w:rFonts w:hint="eastAsia"/>
          <w:bCs/>
          <w:color w:val="000000" w:themeColor="text1"/>
          <w:sz w:val="24"/>
          <w:szCs w:val="24"/>
          <w14:textFill>
            <w14:solidFill>
              <w14:schemeClr w14:val="tx1"/>
            </w14:solidFill>
          </w14:textFill>
        </w:rPr>
        <w:t>财政局</w:t>
      </w:r>
      <w:r>
        <w:rPr>
          <w:bCs/>
          <w:color w:val="000000" w:themeColor="text1"/>
          <w:sz w:val="24"/>
          <w:szCs w:val="24"/>
          <w14:textFill>
            <w14:solidFill>
              <w14:schemeClr w14:val="tx1"/>
            </w14:solidFill>
          </w14:textFill>
        </w:rPr>
        <w:t>备案壹份。</w:t>
      </w:r>
    </w:p>
    <w:p w14:paraId="2DE78035">
      <w:pPr>
        <w:tabs>
          <w:tab w:val="left" w:pos="568"/>
        </w:tabs>
        <w:spacing w:line="560" w:lineRule="exact"/>
        <w:ind w:firstLine="56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（以下无正文）</w:t>
      </w:r>
    </w:p>
    <w:p w14:paraId="654F525D">
      <w:pPr>
        <w:widowControl/>
        <w:spacing w:line="360" w:lineRule="auto"/>
        <w:ind w:firstLine="480"/>
        <w:rPr>
          <w:b/>
          <w:color w:val="000000" w:themeColor="text1"/>
          <w:sz w:val="24"/>
          <w:szCs w:val="24"/>
          <w14:textFill>
            <w14:solidFill>
              <w14:schemeClr w14:val="tx1"/>
            </w14:solidFill>
          </w14:textFill>
        </w:rPr>
      </w:pPr>
    </w:p>
    <w:p w14:paraId="183153E9">
      <w:pPr>
        <w:widowControl/>
        <w:spacing w:line="360" w:lineRule="auto"/>
        <w:ind w:firstLine="480"/>
        <w:rPr>
          <w:color w:val="000000" w:themeColor="text1"/>
          <w:sz w:val="24"/>
          <w:szCs w:val="24"/>
          <w14:textFill>
            <w14:solidFill>
              <w14:schemeClr w14:val="tx1"/>
            </w14:solidFill>
          </w14:textFill>
        </w:rPr>
      </w:pPr>
      <w:bookmarkStart w:id="76" w:name="OLE_LINK26"/>
      <w:r>
        <w:rPr>
          <w:bCs/>
          <w:color w:val="000000" w:themeColor="text1"/>
          <w:sz w:val="24"/>
          <w:szCs w:val="24"/>
          <w14:textFill>
            <w14:solidFill>
              <w14:schemeClr w14:val="tx1"/>
            </w14:solidFill>
          </w14:textFill>
        </w:rPr>
        <w:t>甲方：</w:t>
      </w:r>
      <w:bookmarkEnd w:id="76"/>
      <w:r>
        <w:rPr>
          <w:color w:val="000000" w:themeColor="text1"/>
          <w:sz w:val="24"/>
          <w:szCs w:val="24"/>
          <w14:textFill>
            <w14:solidFill>
              <w14:schemeClr w14:val="tx1"/>
            </w14:solidFill>
          </w14:textFill>
        </w:rPr>
        <w:t>（签章）</w:t>
      </w:r>
    </w:p>
    <w:p w14:paraId="71CA9B16">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代表（签字）：</w:t>
      </w:r>
    </w:p>
    <w:p w14:paraId="11E2EF77">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联系人：</w:t>
      </w:r>
    </w:p>
    <w:p w14:paraId="05AD46E7">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联系电话：</w:t>
      </w:r>
    </w:p>
    <w:p w14:paraId="4212E695">
      <w:pPr>
        <w:widowControl/>
        <w:spacing w:line="360" w:lineRule="auto"/>
        <w:ind w:firstLine="10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年   月   日</w:t>
      </w:r>
    </w:p>
    <w:p w14:paraId="7A88C5AB">
      <w:pPr>
        <w:widowControl/>
        <w:spacing w:line="360" w:lineRule="auto"/>
        <w:ind w:firstLine="1200"/>
        <w:rPr>
          <w:color w:val="000000" w:themeColor="text1"/>
          <w:sz w:val="24"/>
          <w:szCs w:val="24"/>
          <w14:textFill>
            <w14:solidFill>
              <w14:schemeClr w14:val="tx1"/>
            </w14:solidFill>
          </w14:textFill>
        </w:rPr>
      </w:pPr>
    </w:p>
    <w:p w14:paraId="1C5794B9">
      <w:pPr>
        <w:widowControl/>
        <w:spacing w:line="360" w:lineRule="auto"/>
        <w:ind w:firstLine="480"/>
        <w:rPr>
          <w:color w:val="000000" w:themeColor="text1"/>
          <w:sz w:val="24"/>
          <w:szCs w:val="24"/>
          <w14:textFill>
            <w14:solidFill>
              <w14:schemeClr w14:val="tx1"/>
            </w14:solidFill>
          </w14:textFill>
        </w:rPr>
      </w:pPr>
      <w:bookmarkStart w:id="77" w:name="OLE_LINK27"/>
      <w:bookmarkStart w:id="78" w:name="OLE_LINK17"/>
      <w:r>
        <w:rPr>
          <w:bCs/>
          <w:color w:val="000000" w:themeColor="text1"/>
          <w:sz w:val="24"/>
          <w:szCs w:val="24"/>
          <w14:textFill>
            <w14:solidFill>
              <w14:schemeClr w14:val="tx1"/>
            </w14:solidFill>
          </w14:textFill>
        </w:rPr>
        <w:t>乙方：</w:t>
      </w:r>
      <w:bookmarkEnd w:id="77"/>
      <w:r>
        <w:rPr>
          <w:color w:val="000000" w:themeColor="text1"/>
          <w:sz w:val="24"/>
          <w:szCs w:val="24"/>
          <w14:textFill>
            <w14:solidFill>
              <w14:schemeClr w14:val="tx1"/>
            </w14:solidFill>
          </w14:textFill>
        </w:rPr>
        <w:t>（签章）</w:t>
      </w:r>
    </w:p>
    <w:p w14:paraId="43C81D86">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代表（签字）：</w:t>
      </w:r>
    </w:p>
    <w:p w14:paraId="3A84B2E4">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联系人：</w:t>
      </w:r>
    </w:p>
    <w:p w14:paraId="1358089E">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联系电话：</w:t>
      </w:r>
    </w:p>
    <w:p w14:paraId="6F299872">
      <w:pPr>
        <w:widowControl/>
        <w:spacing w:line="360" w:lineRule="auto"/>
        <w:ind w:firstLine="10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年   月   日</w:t>
      </w:r>
    </w:p>
    <w:bookmarkEnd w:id="78"/>
    <w:p w14:paraId="4769AC2E">
      <w:pPr>
        <w:widowControl/>
        <w:spacing w:line="360" w:lineRule="auto"/>
        <w:ind w:firstLine="1200"/>
        <w:rPr>
          <w:color w:val="000000" w:themeColor="text1"/>
          <w:sz w:val="24"/>
          <w:szCs w:val="24"/>
          <w14:textFill>
            <w14:solidFill>
              <w14:schemeClr w14:val="tx1"/>
            </w14:solidFill>
          </w14:textFill>
        </w:rPr>
      </w:pPr>
    </w:p>
    <w:p w14:paraId="244F4B74">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丙方：（签章）</w:t>
      </w:r>
    </w:p>
    <w:p w14:paraId="52C8FDC8">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联系人：</w:t>
      </w:r>
    </w:p>
    <w:p w14:paraId="17419453">
      <w:pPr>
        <w:widowControl/>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联系电话：</w:t>
      </w:r>
    </w:p>
    <w:p w14:paraId="522ED73A">
      <w:pPr>
        <w:widowControl/>
        <w:spacing w:line="360" w:lineRule="auto"/>
        <w:ind w:firstLine="10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年   月   日</w:t>
      </w:r>
    </w:p>
    <w:p w14:paraId="05A8A46D">
      <w:pPr>
        <w:widowControl/>
        <w:spacing w:line="360" w:lineRule="auto"/>
        <w:rPr>
          <w:bCs/>
          <w:color w:val="000000" w:themeColor="text1"/>
          <w:sz w:val="24"/>
          <w:szCs w:val="24"/>
          <w14:textFill>
            <w14:solidFill>
              <w14:schemeClr w14:val="tx1"/>
            </w14:solidFill>
          </w14:textFill>
        </w:rPr>
      </w:pPr>
    </w:p>
    <w:p w14:paraId="2D079B55">
      <w:pPr>
        <w:spacing w:line="360" w:lineRule="auto"/>
        <w:ind w:firstLine="638"/>
        <w:jc w:val="center"/>
        <w:rPr>
          <w:b/>
          <w:bCs/>
          <w:color w:val="000000" w:themeColor="text1"/>
          <w:sz w:val="28"/>
          <w:szCs w:val="28"/>
          <w14:textFill>
            <w14:solidFill>
              <w14:schemeClr w14:val="tx1"/>
            </w14:solidFill>
          </w14:textFill>
        </w:rPr>
      </w:pPr>
    </w:p>
    <w:p w14:paraId="7035C61B">
      <w:pPr>
        <w:spacing w:line="360" w:lineRule="auto"/>
        <w:jc w:val="center"/>
        <w:rPr>
          <w:b/>
          <w:bCs/>
          <w:color w:val="000000" w:themeColor="text1"/>
          <w:sz w:val="28"/>
          <w:szCs w:val="28"/>
          <w14:textFill>
            <w14:solidFill>
              <w14:schemeClr w14:val="tx1"/>
            </w14:solidFill>
          </w14:textFill>
        </w:rPr>
      </w:pPr>
      <w:r>
        <w:rPr>
          <w:b/>
          <w:bCs/>
          <w:color w:val="000000" w:themeColor="text1"/>
          <w:sz w:val="24"/>
          <w:szCs w:val="24"/>
          <w14:textFill>
            <w14:solidFill>
              <w14:schemeClr w14:val="tx1"/>
            </w14:solidFill>
          </w14:textFill>
        </w:rPr>
        <w:br w:type="page" w:clear="all"/>
      </w:r>
      <w:r>
        <w:rPr>
          <w:rFonts w:eastAsia="黑体"/>
          <w:color w:val="000000" w:themeColor="text1"/>
          <w:sz w:val="28"/>
          <w14:textFill>
            <w14:solidFill>
              <w14:schemeClr w14:val="tx1"/>
            </w14:solidFill>
          </w14:textFill>
        </w:rPr>
        <w:t>第</w:t>
      </w:r>
      <w:r>
        <w:rPr>
          <w:rFonts w:hint="eastAsia" w:eastAsia="黑体"/>
          <w:color w:val="000000" w:themeColor="text1"/>
          <w:sz w:val="28"/>
          <w14:textFill>
            <w14:solidFill>
              <w14:schemeClr w14:val="tx1"/>
            </w14:solidFill>
          </w14:textFill>
        </w:rPr>
        <w:t>七</w:t>
      </w:r>
      <w:r>
        <w:rPr>
          <w:rFonts w:eastAsia="黑体"/>
          <w:color w:val="000000" w:themeColor="text1"/>
          <w:sz w:val="28"/>
          <w14:textFill>
            <w14:solidFill>
              <w14:schemeClr w14:val="tx1"/>
            </w14:solidFill>
          </w14:textFill>
        </w:rPr>
        <w:t xml:space="preserve">章 </w:t>
      </w:r>
      <w:r>
        <w:rPr>
          <w:b/>
          <w:bCs/>
          <w:color w:val="000000" w:themeColor="text1"/>
          <w:sz w:val="28"/>
          <w:szCs w:val="28"/>
          <w14:textFill>
            <w14:solidFill>
              <w14:schemeClr w14:val="tx1"/>
            </w14:solidFill>
          </w14:textFill>
        </w:rPr>
        <w:t>投标文件（格式）</w:t>
      </w:r>
    </w:p>
    <w:p w14:paraId="198A494E">
      <w:pPr>
        <w:spacing w:line="360" w:lineRule="auto"/>
        <w:jc w:val="center"/>
        <w:rPr>
          <w:b/>
          <w:bCs/>
          <w:color w:val="000000" w:themeColor="text1"/>
          <w:sz w:val="28"/>
          <w:szCs w:val="28"/>
          <w14:textFill>
            <w14:solidFill>
              <w14:schemeClr w14:val="tx1"/>
            </w14:solidFill>
          </w14:textFill>
        </w:rPr>
      </w:pPr>
    </w:p>
    <w:p w14:paraId="7C31F8D6">
      <w:pPr>
        <w:jc w:val="center"/>
        <w:rPr>
          <w:rFonts w:eastAsia="黑体"/>
          <w:bCs/>
          <w:color w:val="000000" w:themeColor="text1"/>
          <w:sz w:val="52"/>
          <w:szCs w:val="52"/>
          <w14:textFill>
            <w14:solidFill>
              <w14:schemeClr w14:val="tx1"/>
            </w14:solidFill>
          </w14:textFill>
        </w:rPr>
      </w:pPr>
      <w:r>
        <w:rPr>
          <w:rFonts w:eastAsia="黑体"/>
          <w:bCs/>
          <w:color w:val="000000" w:themeColor="text1"/>
          <w:sz w:val="52"/>
          <w:szCs w:val="52"/>
          <w14:textFill>
            <w14:solidFill>
              <w14:schemeClr w14:val="tx1"/>
            </w14:solidFill>
          </w14:textFill>
        </w:rPr>
        <w:t xml:space="preserve">     </w:t>
      </w:r>
    </w:p>
    <w:p w14:paraId="06337876">
      <w:pPr>
        <w:jc w:val="center"/>
        <w:rPr>
          <w:b/>
          <w:color w:val="000000" w:themeColor="text1"/>
          <w:sz w:val="120"/>
          <w:szCs w:val="120"/>
          <w14:textFill>
            <w14:solidFill>
              <w14:schemeClr w14:val="tx1"/>
            </w14:solidFill>
          </w14:textFill>
        </w:rPr>
      </w:pPr>
      <w:bookmarkStart w:id="79" w:name="_Toc29240"/>
      <w:r>
        <w:rPr>
          <w:b/>
          <w:color w:val="000000" w:themeColor="text1"/>
          <w:sz w:val="120"/>
          <w:szCs w:val="120"/>
          <w14:textFill>
            <w14:solidFill>
              <w14:schemeClr w14:val="tx1"/>
            </w14:solidFill>
          </w14:textFill>
        </w:rPr>
        <w:t>投</w:t>
      </w:r>
    </w:p>
    <w:p w14:paraId="72850CF8">
      <w:pPr>
        <w:jc w:val="center"/>
        <w:rPr>
          <w:b/>
          <w:color w:val="000000" w:themeColor="text1"/>
          <w:sz w:val="120"/>
          <w:szCs w:val="120"/>
          <w14:textFill>
            <w14:solidFill>
              <w14:schemeClr w14:val="tx1"/>
            </w14:solidFill>
          </w14:textFill>
        </w:rPr>
      </w:pPr>
      <w:r>
        <w:rPr>
          <w:b/>
          <w:color w:val="000000" w:themeColor="text1"/>
          <w:sz w:val="120"/>
          <w:szCs w:val="120"/>
          <w14:textFill>
            <w14:solidFill>
              <w14:schemeClr w14:val="tx1"/>
            </w14:solidFill>
          </w14:textFill>
        </w:rPr>
        <w:t>标</w:t>
      </w:r>
    </w:p>
    <w:p w14:paraId="087730FD">
      <w:pPr>
        <w:jc w:val="center"/>
        <w:rPr>
          <w:b/>
          <w:color w:val="000000" w:themeColor="text1"/>
          <w:sz w:val="120"/>
          <w:szCs w:val="120"/>
          <w14:textFill>
            <w14:solidFill>
              <w14:schemeClr w14:val="tx1"/>
            </w14:solidFill>
          </w14:textFill>
        </w:rPr>
      </w:pPr>
      <w:r>
        <w:rPr>
          <w:b/>
          <w:color w:val="000000" w:themeColor="text1"/>
          <w:sz w:val="120"/>
          <w:szCs w:val="120"/>
          <w14:textFill>
            <w14:solidFill>
              <w14:schemeClr w14:val="tx1"/>
            </w14:solidFill>
          </w14:textFill>
        </w:rPr>
        <w:t>文</w:t>
      </w:r>
    </w:p>
    <w:p w14:paraId="7BB8C687">
      <w:pPr>
        <w:jc w:val="center"/>
        <w:rPr>
          <w:b/>
          <w:color w:val="000000" w:themeColor="text1"/>
          <w:sz w:val="120"/>
          <w:szCs w:val="120"/>
          <w14:textFill>
            <w14:solidFill>
              <w14:schemeClr w14:val="tx1"/>
            </w14:solidFill>
          </w14:textFill>
        </w:rPr>
      </w:pPr>
      <w:r>
        <w:rPr>
          <w:b/>
          <w:color w:val="000000" w:themeColor="text1"/>
          <w:sz w:val="120"/>
          <w:szCs w:val="120"/>
          <w14:textFill>
            <w14:solidFill>
              <w14:schemeClr w14:val="tx1"/>
            </w14:solidFill>
          </w14:textFill>
        </w:rPr>
        <w:t>件</w:t>
      </w:r>
      <w:bookmarkEnd w:id="79"/>
    </w:p>
    <w:p w14:paraId="226C4A26">
      <w:pPr>
        <w:rPr>
          <w:rFonts w:eastAsia="仿宋"/>
          <w:bCs/>
          <w:color w:val="000000" w:themeColor="text1"/>
          <w:sz w:val="32"/>
          <w:szCs w:val="32"/>
          <w14:textFill>
            <w14:solidFill>
              <w14:schemeClr w14:val="tx1"/>
            </w14:solidFill>
          </w14:textFill>
        </w:rPr>
      </w:pPr>
    </w:p>
    <w:p w14:paraId="50992FC0">
      <w:pPr>
        <w:rPr>
          <w:rFonts w:eastAsia="仿宋"/>
          <w:bCs/>
          <w:color w:val="000000" w:themeColor="text1"/>
          <w:sz w:val="32"/>
          <w:szCs w:val="32"/>
          <w14:textFill>
            <w14:solidFill>
              <w14:schemeClr w14:val="tx1"/>
            </w14:solidFill>
          </w14:textFill>
        </w:rPr>
      </w:pPr>
    </w:p>
    <w:p w14:paraId="43574E38">
      <w:pPr>
        <w:ind w:firstLine="3451"/>
        <w:rPr>
          <w:rFonts w:eastAsia="黑体"/>
          <w:bCs/>
          <w:color w:val="000000" w:themeColor="text1"/>
          <w:sz w:val="44"/>
          <w:szCs w:val="44"/>
          <w14:textFill>
            <w14:solidFill>
              <w14:schemeClr w14:val="tx1"/>
            </w14:solidFill>
          </w14:textFill>
        </w:rPr>
      </w:pPr>
      <w:r>
        <w:rPr>
          <w:b/>
          <w:color w:val="000000" w:themeColor="text1"/>
          <w:sz w:val="30"/>
          <w:szCs w:val="30"/>
          <w14:textFill>
            <w14:solidFill>
              <w14:schemeClr w14:val="tx1"/>
            </w14:solidFill>
          </w14:textFill>
        </w:rPr>
        <w:t>编号：JSZC-320282-HTBX-G2025-0004</w:t>
      </w:r>
    </w:p>
    <w:p w14:paraId="765CE5E8">
      <w:pPr>
        <w:ind w:firstLine="1946"/>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t>项目名称：养老机构综合责任保险、养老机构入住老人意外伤害保险和居家养老服务机构综合责任保险</w:t>
      </w:r>
    </w:p>
    <w:p w14:paraId="2D9320E0">
      <w:pPr>
        <w:ind w:firstLine="3855"/>
        <w:rPr>
          <w:b/>
          <w:color w:val="000000" w:themeColor="text1"/>
          <w:sz w:val="30"/>
          <w:szCs w:val="30"/>
          <w14:textFill>
            <w14:solidFill>
              <w14:schemeClr w14:val="tx1"/>
            </w14:solidFill>
          </w14:textFill>
        </w:rPr>
      </w:pPr>
      <w:bookmarkStart w:id="80" w:name="_Toc8670"/>
      <w:r>
        <w:rPr>
          <w:b/>
          <w:color w:val="000000" w:themeColor="text1"/>
          <w:sz w:val="30"/>
          <w:szCs w:val="30"/>
          <w14:textFill>
            <w14:solidFill>
              <w14:schemeClr w14:val="tx1"/>
            </w14:solidFill>
          </w14:textFill>
        </w:rPr>
        <w:t xml:space="preserve">投标人（电子签章）：    </w:t>
      </w:r>
      <w:bookmarkEnd w:id="80"/>
    </w:p>
    <w:p w14:paraId="0BFC0B50">
      <w:pPr>
        <w:ind w:firstLine="3855"/>
        <w:rPr>
          <w:rFonts w:eastAsia="楷体_GB2312"/>
          <w:b/>
          <w:color w:val="000000" w:themeColor="text1"/>
          <w:sz w:val="32"/>
          <w:szCs w:val="32"/>
          <w14:textFill>
            <w14:solidFill>
              <w14:schemeClr w14:val="tx1"/>
            </w14:solidFill>
          </w14:textFill>
        </w:rPr>
      </w:pPr>
      <w:bookmarkStart w:id="81" w:name="_Toc24371"/>
      <w:r>
        <w:rPr>
          <w:b/>
          <w:color w:val="000000" w:themeColor="text1"/>
          <w:sz w:val="30"/>
          <w:szCs w:val="30"/>
          <w14:textFill>
            <w14:solidFill>
              <w14:schemeClr w14:val="tx1"/>
            </w14:solidFill>
          </w14:textFill>
        </w:rPr>
        <w:t>投标人（签名）：</w:t>
      </w:r>
      <w:bookmarkEnd w:id="81"/>
    </w:p>
    <w:p w14:paraId="0D5E19F1">
      <w:pPr>
        <w:rPr>
          <w:rFonts w:eastAsia="黑体"/>
          <w:bCs/>
          <w:color w:val="000000" w:themeColor="text1"/>
          <w:sz w:val="44"/>
          <w:szCs w:val="44"/>
          <w14:textFill>
            <w14:solidFill>
              <w14:schemeClr w14:val="tx1"/>
            </w14:solidFill>
          </w14:textFill>
        </w:rPr>
      </w:pPr>
    </w:p>
    <w:p w14:paraId="2E4A0AD8">
      <w:pPr>
        <w:jc w:val="center"/>
        <w:rPr>
          <w:rFonts w:eastAsia="仿宋"/>
          <w:bCs/>
          <w:color w:val="000000" w:themeColor="text1"/>
          <w:sz w:val="44"/>
          <w:szCs w:val="44"/>
          <w14:textFill>
            <w14:solidFill>
              <w14:schemeClr w14:val="tx1"/>
            </w14:solidFill>
          </w14:textFill>
        </w:rPr>
      </w:pPr>
      <w:r>
        <w:rPr>
          <w:rFonts w:eastAsia="黑体"/>
          <w:bCs/>
          <w:color w:val="000000" w:themeColor="text1"/>
          <w:sz w:val="44"/>
          <w:szCs w:val="44"/>
          <w14:textFill>
            <w14:solidFill>
              <w14:schemeClr w14:val="tx1"/>
            </w14:solidFill>
          </w14:textFill>
        </w:rPr>
        <w:t>二〇二五年  月  日</w:t>
      </w:r>
    </w:p>
    <w:p w14:paraId="3BEB7898">
      <w:pPr>
        <w:jc w:val="center"/>
        <w:rPr>
          <w:rFonts w:eastAsia="黑体"/>
          <w:bCs/>
          <w:color w:val="000000" w:themeColor="text1"/>
          <w:sz w:val="44"/>
          <w:szCs w:val="44"/>
          <w14:textFill>
            <w14:solidFill>
              <w14:schemeClr w14:val="tx1"/>
            </w14:solidFill>
          </w14:textFill>
        </w:rPr>
      </w:pPr>
    </w:p>
    <w:p w14:paraId="71EAB977">
      <w:pPr>
        <w:outlineLvl w:val="0"/>
        <w:rPr>
          <w:b/>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br w:type="page" w:clear="all"/>
      </w:r>
    </w:p>
    <w:p w14:paraId="2A822552">
      <w:pPr>
        <w:outlineLvl w:val="0"/>
        <w:rPr>
          <w:rFonts w:eastAsia="黑体"/>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t>（一）投标函（格式）</w:t>
      </w:r>
    </w:p>
    <w:p w14:paraId="415908F2">
      <w:pPr>
        <w:spacing w:line="360" w:lineRule="auto"/>
        <w:jc w:val="center"/>
        <w:rPr>
          <w:rFonts w:eastAsia="黑体"/>
          <w:bCs/>
          <w:color w:val="000000" w:themeColor="text1"/>
          <w:sz w:val="28"/>
          <w:szCs w:val="28"/>
          <w14:textFill>
            <w14:solidFill>
              <w14:schemeClr w14:val="tx1"/>
            </w14:solidFill>
          </w14:textFill>
        </w:rPr>
      </w:pPr>
      <w:r>
        <w:rPr>
          <w:rFonts w:eastAsia="黑体"/>
          <w:bCs/>
          <w:color w:val="000000" w:themeColor="text1"/>
          <w:sz w:val="28"/>
          <w:szCs w:val="28"/>
          <w14:textFill>
            <w14:solidFill>
              <w14:schemeClr w14:val="tx1"/>
            </w14:solidFill>
          </w14:textFill>
        </w:rPr>
        <w:t>投标函</w:t>
      </w:r>
    </w:p>
    <w:p w14:paraId="3D9157D8">
      <w:pPr>
        <w:spacing w:line="360" w:lineRule="auto"/>
        <w:jc w:val="center"/>
        <w:rPr>
          <w:bCs/>
          <w:color w:val="000000" w:themeColor="text1"/>
          <w:sz w:val="24"/>
          <w:szCs w:val="24"/>
          <w14:textFill>
            <w14:solidFill>
              <w14:schemeClr w14:val="tx1"/>
            </w14:solidFill>
          </w14:textFill>
        </w:rPr>
      </w:pPr>
    </w:p>
    <w:p w14:paraId="5609B6F5">
      <w:pPr>
        <w:spacing w:line="440" w:lineRule="exact"/>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致恒泰保险经纪有限公司：</w:t>
      </w:r>
    </w:p>
    <w:p w14:paraId="6B1CE4EF">
      <w:pPr>
        <w:spacing w:line="360" w:lineRule="auto"/>
        <w:ind w:firstLine="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我们收到你们JSZC-320282-HTBX-G2025-0004招标文件，经仔细阅读和研究，我们决定参加</w:t>
      </w:r>
      <w:r>
        <w:rPr>
          <w:bCs/>
          <w:color w:val="000000" w:themeColor="text1"/>
          <w:sz w:val="24"/>
          <w:szCs w:val="24"/>
          <w14:textFill>
            <w14:solidFill>
              <w14:schemeClr w14:val="tx1"/>
            </w14:solidFill>
          </w14:textFill>
        </w:rPr>
        <w:t>此次养老机构综合责任保险、养老机构入住老人意外伤害保险和居家养老服务机构综合责任保险的</w:t>
      </w:r>
      <w:r>
        <w:rPr>
          <w:bCs/>
          <w:color w:val="000000" w:themeColor="text1"/>
          <w:sz w:val="24"/>
          <w:lang w:val="zh-CN"/>
          <w14:textFill>
            <w14:solidFill>
              <w14:schemeClr w14:val="tx1"/>
            </w14:solidFill>
          </w14:textFill>
        </w:rPr>
        <w:t>投标。</w:t>
      </w:r>
    </w:p>
    <w:p w14:paraId="7223BC2E">
      <w:pPr>
        <w:spacing w:line="360" w:lineRule="auto"/>
        <w:ind w:left="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我们愿意按照招标文件的一切要求，提供服务。</w:t>
      </w:r>
    </w:p>
    <w:p w14:paraId="084D69E9">
      <w:pPr>
        <w:spacing w:line="360" w:lineRule="auto"/>
        <w:ind w:left="506"/>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1.我们同意按招标文件中的规定，本投标文件的有效期为提交投标文件的截止之日起90</w:t>
      </w:r>
    </w:p>
    <w:p w14:paraId="4C0AC1D2">
      <w:pPr>
        <w:spacing w:line="360" w:lineRule="auto"/>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天。</w:t>
      </w:r>
    </w:p>
    <w:p w14:paraId="5465DF9D">
      <w:pPr>
        <w:spacing w:line="360" w:lineRule="auto"/>
        <w:ind w:firstLine="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2.如果我们的投标文件被接受，我们将履行招投标文件中规定的每一项要求，按期、按质、按量履行服务。</w:t>
      </w:r>
    </w:p>
    <w:p w14:paraId="3FA4B78B">
      <w:pPr>
        <w:spacing w:line="360" w:lineRule="auto"/>
        <w:ind w:firstLine="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3.我们愿意根据贵方和评标委员会的要求，提供投标文件中所有材料的原件及相关证明性资料。</w:t>
      </w:r>
    </w:p>
    <w:p w14:paraId="7F62B1A2">
      <w:pPr>
        <w:spacing w:line="360" w:lineRule="auto"/>
        <w:ind w:firstLine="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4.我们认为采购人有权确定中标单位。</w:t>
      </w:r>
    </w:p>
    <w:p w14:paraId="39374EB0">
      <w:pPr>
        <w:spacing w:line="360" w:lineRule="auto"/>
        <w:ind w:firstLine="480"/>
        <w:rPr>
          <w:bCs/>
          <w:color w:val="000000" w:themeColor="text1"/>
          <w:sz w:val="24"/>
          <w14:textFill>
            <w14:solidFill>
              <w14:schemeClr w14:val="tx1"/>
            </w14:solidFill>
          </w14:textFill>
        </w:rPr>
      </w:pPr>
      <w:r>
        <w:rPr>
          <w:bCs/>
          <w:color w:val="000000" w:themeColor="text1"/>
          <w:sz w:val="24"/>
          <w:szCs w:val="24"/>
          <w14:textFill>
            <w14:solidFill>
              <w14:schemeClr w14:val="tx1"/>
            </w14:solidFill>
          </w14:textFill>
        </w:rPr>
        <w:t>5.我方愿意遵守相关法律法规和合同条款履行自己的全部责任。在合同履行过程中，双方如有争议，友好协商解决</w:t>
      </w:r>
      <w:r>
        <w:rPr>
          <w:bCs/>
          <w:color w:val="000000" w:themeColor="text1"/>
          <w:sz w:val="24"/>
          <w:lang w:val="zh-CN"/>
          <w14:textFill>
            <w14:solidFill>
              <w14:schemeClr w14:val="tx1"/>
            </w14:solidFill>
          </w14:textFill>
        </w:rPr>
        <w:t>。</w:t>
      </w:r>
    </w:p>
    <w:p w14:paraId="0402C80B">
      <w:pPr>
        <w:spacing w:line="360" w:lineRule="auto"/>
        <w:ind w:firstLine="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6.如果我们中标，我们愿意遵守招标文件和中标通知书的规定，在指定时间和地点与采购人签订合同。</w:t>
      </w:r>
    </w:p>
    <w:p w14:paraId="14F16218">
      <w:pPr>
        <w:spacing w:line="360" w:lineRule="auto"/>
        <w:ind w:firstLine="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7.我们决不提供虚假材料谋取中标，决不采取不正当手段诋毁、排挤其他投标人，决不与采购人、</w:t>
      </w:r>
      <w:r>
        <w:rPr>
          <w:rFonts w:hint="eastAsia"/>
          <w:bCs/>
          <w:color w:val="000000" w:themeColor="text1"/>
          <w:sz w:val="24"/>
          <w:lang w:val="zh-CN"/>
          <w14:textFill>
            <w14:solidFill>
              <w14:schemeClr w14:val="tx1"/>
            </w14:solidFill>
          </w14:textFill>
        </w:rPr>
        <w:t>其他</w:t>
      </w:r>
      <w:r>
        <w:rPr>
          <w:bCs/>
          <w:color w:val="000000" w:themeColor="text1"/>
          <w:sz w:val="24"/>
          <w:lang w:val="zh-CN"/>
          <w14:textFill>
            <w14:solidFill>
              <w14:schemeClr w14:val="tx1"/>
            </w14:solidFill>
          </w14:textFill>
        </w:rPr>
        <w:t>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384DC007">
      <w:pPr>
        <w:spacing w:line="360" w:lineRule="auto"/>
        <w:ind w:left="506"/>
        <w:rPr>
          <w:bCs/>
          <w:color w:val="000000" w:themeColor="text1"/>
          <w:sz w:val="24"/>
          <w14:textFill>
            <w14:solidFill>
              <w14:schemeClr w14:val="tx1"/>
            </w14:solidFill>
          </w14:textFill>
        </w:rPr>
      </w:pPr>
      <w:bookmarkStart w:id="82" w:name="OLE_LINK233"/>
      <w:bookmarkStart w:id="83" w:name="OLE_LINK281"/>
      <w:r>
        <w:rPr>
          <w:bCs/>
          <w:color w:val="000000" w:themeColor="text1"/>
          <w:sz w:val="24"/>
          <w:lang w:val="zh-CN"/>
          <w14:textFill>
            <w14:solidFill>
              <w14:schemeClr w14:val="tx1"/>
            </w14:solidFill>
          </w14:textFill>
        </w:rPr>
        <w:t>8.关联单位情况说明</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14:paraId="66C6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vAlign w:val="center"/>
          </w:tcPr>
          <w:p w14:paraId="720E1D8E">
            <w:pPr>
              <w:spacing w:line="360" w:lineRule="auto"/>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与我们</w:t>
            </w:r>
            <w:r>
              <w:rPr>
                <w:bCs/>
                <w:color w:val="000000" w:themeColor="text1"/>
                <w:sz w:val="24"/>
                <w14:textFill>
                  <w14:solidFill>
                    <w14:schemeClr w14:val="tx1"/>
                  </w14:solidFill>
                </w14:textFill>
              </w:rPr>
              <w:t>单位负责人为同一人的其他单位</w:t>
            </w:r>
          </w:p>
        </w:tc>
        <w:tc>
          <w:tcPr>
            <w:tcW w:w="4680" w:type="dxa"/>
            <w:vAlign w:val="center"/>
          </w:tcPr>
          <w:p w14:paraId="0816CD51">
            <w:pPr>
              <w:spacing w:line="360" w:lineRule="auto"/>
              <w:rPr>
                <w:bCs/>
                <w:color w:val="000000" w:themeColor="text1"/>
                <w:sz w:val="24"/>
                <w14:textFill>
                  <w14:solidFill>
                    <w14:schemeClr w14:val="tx1"/>
                  </w14:solidFill>
                </w14:textFill>
              </w:rPr>
            </w:pPr>
          </w:p>
        </w:tc>
      </w:tr>
      <w:tr w14:paraId="5331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vAlign w:val="center"/>
          </w:tcPr>
          <w:p w14:paraId="7D3C9BBE">
            <w:pPr>
              <w:spacing w:line="360" w:lineRule="auto"/>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与我们</w:t>
            </w:r>
            <w:r>
              <w:rPr>
                <w:bCs/>
                <w:color w:val="000000" w:themeColor="text1"/>
                <w:sz w:val="24"/>
                <w14:textFill>
                  <w14:solidFill>
                    <w14:schemeClr w14:val="tx1"/>
                  </w14:solidFill>
                </w14:textFill>
              </w:rPr>
              <w:t>存在直接控股、管理关系的其他单位</w:t>
            </w:r>
          </w:p>
        </w:tc>
        <w:tc>
          <w:tcPr>
            <w:tcW w:w="4680" w:type="dxa"/>
            <w:vAlign w:val="center"/>
          </w:tcPr>
          <w:p w14:paraId="732AF10E">
            <w:pPr>
              <w:spacing w:line="360" w:lineRule="auto"/>
              <w:rPr>
                <w:bCs/>
                <w:color w:val="000000" w:themeColor="text1"/>
                <w:sz w:val="24"/>
                <w14:textFill>
                  <w14:solidFill>
                    <w14:schemeClr w14:val="tx1"/>
                  </w14:solidFill>
                </w14:textFill>
              </w:rPr>
            </w:pPr>
          </w:p>
        </w:tc>
      </w:tr>
    </w:tbl>
    <w:p w14:paraId="64E64697">
      <w:pPr>
        <w:spacing w:line="360" w:lineRule="auto"/>
        <w:ind w:left="48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注：没有请填无。</w:t>
      </w:r>
    </w:p>
    <w:p w14:paraId="128CA6A9">
      <w:pPr>
        <w:spacing w:line="360" w:lineRule="auto"/>
        <w:ind w:left="426" w:firstLine="12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9.与本投标有关的一切正式往来函电，请联系：</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2928"/>
        <w:gridCol w:w="1252"/>
        <w:gridCol w:w="3675"/>
      </w:tblGrid>
      <w:tr w14:paraId="75F8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2" w:type="dxa"/>
            <w:vAlign w:val="center"/>
          </w:tcPr>
          <w:p w14:paraId="2743F75C">
            <w:pPr>
              <w:spacing w:line="360" w:lineRule="auto"/>
              <w:jc w:val="center"/>
              <w:rPr>
                <w:bCs/>
                <w:color w:val="000000" w:themeColor="text1"/>
                <w:sz w:val="24"/>
                <w14:textFill>
                  <w14:solidFill>
                    <w14:schemeClr w14:val="tx1"/>
                  </w14:solidFill>
                </w14:textFill>
              </w:rPr>
            </w:pPr>
            <w:bookmarkStart w:id="84" w:name="OLE_LINK249"/>
            <w:r>
              <w:rPr>
                <w:bCs/>
                <w:color w:val="000000" w:themeColor="text1"/>
                <w:sz w:val="24"/>
                <w:lang w:val="zh-CN"/>
                <w14:textFill>
                  <w14:solidFill>
                    <w14:schemeClr w14:val="tx1"/>
                  </w14:solidFill>
                </w14:textFill>
              </w:rPr>
              <w:t>地址</w:t>
            </w:r>
          </w:p>
        </w:tc>
        <w:tc>
          <w:tcPr>
            <w:tcW w:w="2928" w:type="dxa"/>
            <w:vAlign w:val="center"/>
          </w:tcPr>
          <w:p w14:paraId="1ED0637D">
            <w:pPr>
              <w:spacing w:line="360" w:lineRule="auto"/>
              <w:jc w:val="center"/>
              <w:rPr>
                <w:bCs/>
                <w:color w:val="000000" w:themeColor="text1"/>
                <w:sz w:val="24"/>
                <w14:textFill>
                  <w14:solidFill>
                    <w14:schemeClr w14:val="tx1"/>
                  </w14:solidFill>
                </w14:textFill>
              </w:rPr>
            </w:pPr>
          </w:p>
        </w:tc>
        <w:tc>
          <w:tcPr>
            <w:tcW w:w="1252" w:type="dxa"/>
            <w:vAlign w:val="center"/>
          </w:tcPr>
          <w:p w14:paraId="124D6415">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邮编</w:t>
            </w:r>
          </w:p>
        </w:tc>
        <w:tc>
          <w:tcPr>
            <w:tcW w:w="3675" w:type="dxa"/>
            <w:vAlign w:val="center"/>
          </w:tcPr>
          <w:p w14:paraId="73141572">
            <w:pPr>
              <w:spacing w:line="360" w:lineRule="auto"/>
              <w:jc w:val="center"/>
              <w:rPr>
                <w:bCs/>
                <w:color w:val="000000" w:themeColor="text1"/>
                <w:sz w:val="24"/>
                <w14:textFill>
                  <w14:solidFill>
                    <w14:schemeClr w14:val="tx1"/>
                  </w14:solidFill>
                </w14:textFill>
              </w:rPr>
            </w:pPr>
          </w:p>
        </w:tc>
      </w:tr>
      <w:tr w14:paraId="102C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2" w:type="dxa"/>
            <w:vAlign w:val="center"/>
          </w:tcPr>
          <w:p w14:paraId="40BACCD8">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传真</w:t>
            </w:r>
          </w:p>
        </w:tc>
        <w:tc>
          <w:tcPr>
            <w:tcW w:w="2928" w:type="dxa"/>
            <w:vAlign w:val="center"/>
          </w:tcPr>
          <w:p w14:paraId="09BFF2EC">
            <w:pPr>
              <w:spacing w:line="360" w:lineRule="auto"/>
              <w:jc w:val="center"/>
              <w:rPr>
                <w:bCs/>
                <w:color w:val="000000" w:themeColor="text1"/>
                <w:sz w:val="24"/>
                <w14:textFill>
                  <w14:solidFill>
                    <w14:schemeClr w14:val="tx1"/>
                  </w14:solidFill>
                </w14:textFill>
              </w:rPr>
            </w:pPr>
          </w:p>
        </w:tc>
        <w:tc>
          <w:tcPr>
            <w:tcW w:w="1252" w:type="dxa"/>
            <w:vAlign w:val="center"/>
          </w:tcPr>
          <w:p w14:paraId="23861CA6">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办公电话</w:t>
            </w:r>
          </w:p>
        </w:tc>
        <w:tc>
          <w:tcPr>
            <w:tcW w:w="3675" w:type="dxa"/>
            <w:vAlign w:val="center"/>
          </w:tcPr>
          <w:p w14:paraId="46E51E1E">
            <w:pPr>
              <w:spacing w:line="360" w:lineRule="auto"/>
              <w:jc w:val="center"/>
              <w:rPr>
                <w:bCs/>
                <w:color w:val="000000" w:themeColor="text1"/>
                <w:sz w:val="24"/>
                <w14:textFill>
                  <w14:solidFill>
                    <w14:schemeClr w14:val="tx1"/>
                  </w14:solidFill>
                </w14:textFill>
              </w:rPr>
            </w:pPr>
          </w:p>
        </w:tc>
      </w:tr>
      <w:tr w14:paraId="2C98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482" w:type="dxa"/>
            <w:vAlign w:val="center"/>
          </w:tcPr>
          <w:p w14:paraId="21215572">
            <w:pPr>
              <w:spacing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法定代表人</w:t>
            </w:r>
          </w:p>
        </w:tc>
        <w:tc>
          <w:tcPr>
            <w:tcW w:w="2928" w:type="dxa"/>
            <w:vAlign w:val="center"/>
          </w:tcPr>
          <w:p w14:paraId="187D0D98">
            <w:pPr>
              <w:spacing w:line="360" w:lineRule="auto"/>
              <w:jc w:val="center"/>
              <w:rPr>
                <w:bCs/>
                <w:color w:val="000000" w:themeColor="text1"/>
                <w:sz w:val="24"/>
                <w14:textFill>
                  <w14:solidFill>
                    <w14:schemeClr w14:val="tx1"/>
                  </w14:solidFill>
                </w14:textFill>
              </w:rPr>
            </w:pPr>
          </w:p>
        </w:tc>
        <w:tc>
          <w:tcPr>
            <w:tcW w:w="1252" w:type="dxa"/>
            <w:vAlign w:val="center"/>
          </w:tcPr>
          <w:p w14:paraId="51DDDF83">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手机号码</w:t>
            </w:r>
          </w:p>
        </w:tc>
        <w:tc>
          <w:tcPr>
            <w:tcW w:w="3675" w:type="dxa"/>
            <w:vAlign w:val="center"/>
          </w:tcPr>
          <w:p w14:paraId="4C2B04CD">
            <w:pPr>
              <w:spacing w:line="360" w:lineRule="auto"/>
              <w:jc w:val="center"/>
              <w:rPr>
                <w:bCs/>
                <w:color w:val="000000" w:themeColor="text1"/>
                <w:sz w:val="24"/>
                <w14:textFill>
                  <w14:solidFill>
                    <w14:schemeClr w14:val="tx1"/>
                  </w14:solidFill>
                </w14:textFill>
              </w:rPr>
            </w:pPr>
          </w:p>
        </w:tc>
      </w:tr>
      <w:tr w14:paraId="29360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2" w:type="dxa"/>
            <w:vAlign w:val="center"/>
          </w:tcPr>
          <w:p w14:paraId="50B58E13">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联系人</w:t>
            </w:r>
          </w:p>
        </w:tc>
        <w:tc>
          <w:tcPr>
            <w:tcW w:w="2928" w:type="dxa"/>
            <w:vAlign w:val="center"/>
          </w:tcPr>
          <w:p w14:paraId="73CF2F40">
            <w:pPr>
              <w:spacing w:line="360" w:lineRule="auto"/>
              <w:jc w:val="center"/>
              <w:rPr>
                <w:bCs/>
                <w:color w:val="000000" w:themeColor="text1"/>
                <w:sz w:val="24"/>
                <w14:textFill>
                  <w14:solidFill>
                    <w14:schemeClr w14:val="tx1"/>
                  </w14:solidFill>
                </w14:textFill>
              </w:rPr>
            </w:pPr>
          </w:p>
        </w:tc>
        <w:tc>
          <w:tcPr>
            <w:tcW w:w="1252" w:type="dxa"/>
            <w:vAlign w:val="center"/>
          </w:tcPr>
          <w:p w14:paraId="3625F11A">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手机号码</w:t>
            </w:r>
          </w:p>
        </w:tc>
        <w:tc>
          <w:tcPr>
            <w:tcW w:w="3675" w:type="dxa"/>
            <w:vAlign w:val="center"/>
          </w:tcPr>
          <w:p w14:paraId="48EA0387">
            <w:pPr>
              <w:spacing w:line="360" w:lineRule="auto"/>
              <w:jc w:val="center"/>
              <w:rPr>
                <w:bCs/>
                <w:color w:val="000000" w:themeColor="text1"/>
                <w:sz w:val="24"/>
                <w14:textFill>
                  <w14:solidFill>
                    <w14:schemeClr w14:val="tx1"/>
                  </w14:solidFill>
                </w14:textFill>
              </w:rPr>
            </w:pPr>
          </w:p>
        </w:tc>
      </w:tr>
      <w:tr w14:paraId="30DB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2" w:type="dxa"/>
            <w:vAlign w:val="center"/>
          </w:tcPr>
          <w:p w14:paraId="0F68027E">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开户名称</w:t>
            </w:r>
          </w:p>
        </w:tc>
        <w:tc>
          <w:tcPr>
            <w:tcW w:w="7855" w:type="dxa"/>
            <w:gridSpan w:val="3"/>
            <w:vAlign w:val="center"/>
          </w:tcPr>
          <w:p w14:paraId="7C9614C3">
            <w:pPr>
              <w:spacing w:line="360" w:lineRule="auto"/>
              <w:jc w:val="center"/>
              <w:rPr>
                <w:bCs/>
                <w:color w:val="000000" w:themeColor="text1"/>
                <w:sz w:val="24"/>
                <w14:textFill>
                  <w14:solidFill>
                    <w14:schemeClr w14:val="tx1"/>
                  </w14:solidFill>
                </w14:textFill>
              </w:rPr>
            </w:pPr>
          </w:p>
        </w:tc>
      </w:tr>
      <w:tr w14:paraId="39D3D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2" w:type="dxa"/>
            <w:vAlign w:val="center"/>
          </w:tcPr>
          <w:p w14:paraId="2532F4B4">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开户银行</w:t>
            </w:r>
          </w:p>
        </w:tc>
        <w:tc>
          <w:tcPr>
            <w:tcW w:w="2928" w:type="dxa"/>
            <w:vAlign w:val="center"/>
          </w:tcPr>
          <w:p w14:paraId="7E9A4C85">
            <w:pPr>
              <w:spacing w:line="360" w:lineRule="auto"/>
              <w:jc w:val="center"/>
              <w:rPr>
                <w:bCs/>
                <w:color w:val="000000" w:themeColor="text1"/>
                <w:sz w:val="24"/>
                <w14:textFill>
                  <w14:solidFill>
                    <w14:schemeClr w14:val="tx1"/>
                  </w14:solidFill>
                </w14:textFill>
              </w:rPr>
            </w:pPr>
          </w:p>
        </w:tc>
        <w:tc>
          <w:tcPr>
            <w:tcW w:w="1252" w:type="dxa"/>
            <w:vAlign w:val="center"/>
          </w:tcPr>
          <w:p w14:paraId="36ED5238">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开户账号</w:t>
            </w:r>
          </w:p>
          <w:bookmarkEnd w:id="84"/>
        </w:tc>
        <w:tc>
          <w:tcPr>
            <w:tcW w:w="3675" w:type="dxa"/>
            <w:vAlign w:val="center"/>
          </w:tcPr>
          <w:p w14:paraId="36E83E9B">
            <w:pPr>
              <w:spacing w:line="360" w:lineRule="auto"/>
              <w:jc w:val="center"/>
              <w:rPr>
                <w:bCs/>
                <w:color w:val="000000" w:themeColor="text1"/>
                <w:sz w:val="24"/>
                <w14:textFill>
                  <w14:solidFill>
                    <w14:schemeClr w14:val="tx1"/>
                  </w14:solidFill>
                </w14:textFill>
              </w:rPr>
            </w:pPr>
          </w:p>
        </w:tc>
      </w:tr>
    </w:tbl>
    <w:p w14:paraId="02F538DF">
      <w:pPr>
        <w:spacing w:line="360" w:lineRule="auto"/>
        <w:ind w:left="426" w:firstLine="120"/>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10.若我方中标，请将中标通知书邮寄到以下地址：</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9"/>
        <w:gridCol w:w="6469"/>
      </w:tblGrid>
      <w:tr w14:paraId="55D9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2879" w:type="dxa"/>
            <w:vAlign w:val="center"/>
          </w:tcPr>
          <w:p w14:paraId="45AE3701">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中标通知书邮寄地址</w:t>
            </w:r>
          </w:p>
        </w:tc>
        <w:tc>
          <w:tcPr>
            <w:tcW w:w="6469" w:type="dxa"/>
          </w:tcPr>
          <w:p w14:paraId="1497ED92">
            <w:pPr>
              <w:spacing w:line="360" w:lineRule="auto"/>
              <w:rPr>
                <w:bCs/>
                <w:color w:val="000000" w:themeColor="text1"/>
                <w:sz w:val="24"/>
                <w14:textFill>
                  <w14:solidFill>
                    <w14:schemeClr w14:val="tx1"/>
                  </w14:solidFill>
                </w14:textFill>
              </w:rPr>
            </w:pPr>
          </w:p>
        </w:tc>
      </w:tr>
      <w:tr w14:paraId="4CFF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2879" w:type="dxa"/>
            <w:vAlign w:val="center"/>
          </w:tcPr>
          <w:p w14:paraId="465806DF">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邮政编码</w:t>
            </w:r>
          </w:p>
        </w:tc>
        <w:tc>
          <w:tcPr>
            <w:tcW w:w="6469" w:type="dxa"/>
          </w:tcPr>
          <w:p w14:paraId="5F07CDE3">
            <w:pPr>
              <w:spacing w:line="360" w:lineRule="auto"/>
              <w:rPr>
                <w:bCs/>
                <w:color w:val="000000" w:themeColor="text1"/>
                <w:sz w:val="24"/>
                <w14:textFill>
                  <w14:solidFill>
                    <w14:schemeClr w14:val="tx1"/>
                  </w14:solidFill>
                </w14:textFill>
              </w:rPr>
            </w:pPr>
          </w:p>
        </w:tc>
      </w:tr>
      <w:tr w14:paraId="10135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2879" w:type="dxa"/>
            <w:vAlign w:val="center"/>
          </w:tcPr>
          <w:p w14:paraId="495272DC">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收件人姓名</w:t>
            </w:r>
          </w:p>
        </w:tc>
        <w:tc>
          <w:tcPr>
            <w:tcW w:w="6469" w:type="dxa"/>
          </w:tcPr>
          <w:p w14:paraId="786F263B">
            <w:pPr>
              <w:spacing w:line="360" w:lineRule="auto"/>
              <w:rPr>
                <w:bCs/>
                <w:color w:val="000000" w:themeColor="text1"/>
                <w:sz w:val="24"/>
                <w14:textFill>
                  <w14:solidFill>
                    <w14:schemeClr w14:val="tx1"/>
                  </w14:solidFill>
                </w14:textFill>
              </w:rPr>
            </w:pPr>
          </w:p>
        </w:tc>
      </w:tr>
      <w:tr w14:paraId="0977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879" w:type="dxa"/>
            <w:vAlign w:val="center"/>
          </w:tcPr>
          <w:p w14:paraId="12A750F5">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联系电话</w:t>
            </w:r>
          </w:p>
        </w:tc>
        <w:tc>
          <w:tcPr>
            <w:tcW w:w="6469" w:type="dxa"/>
          </w:tcPr>
          <w:p w14:paraId="39D360F1">
            <w:pPr>
              <w:spacing w:line="360" w:lineRule="auto"/>
              <w:rPr>
                <w:bCs/>
                <w:color w:val="000000" w:themeColor="text1"/>
                <w:sz w:val="24"/>
                <w14:textFill>
                  <w14:solidFill>
                    <w14:schemeClr w14:val="tx1"/>
                  </w14:solidFill>
                </w14:textFill>
              </w:rPr>
            </w:pPr>
          </w:p>
        </w:tc>
      </w:tr>
      <w:tr w14:paraId="0F5B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879" w:type="dxa"/>
            <w:vAlign w:val="center"/>
          </w:tcPr>
          <w:p w14:paraId="20A76A8C">
            <w:pPr>
              <w:spacing w:line="360" w:lineRule="auto"/>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备注</w:t>
            </w:r>
          </w:p>
        </w:tc>
        <w:tc>
          <w:tcPr>
            <w:tcW w:w="6469" w:type="dxa"/>
          </w:tcPr>
          <w:p w14:paraId="00E268D2">
            <w:pPr>
              <w:spacing w:line="360" w:lineRule="auto"/>
              <w:rPr>
                <w:bCs/>
                <w:color w:val="000000" w:themeColor="text1"/>
                <w:sz w:val="24"/>
                <w14:textFill>
                  <w14:solidFill>
                    <w14:schemeClr w14:val="tx1"/>
                  </w14:solidFill>
                </w14:textFill>
              </w:rPr>
            </w:pPr>
            <w:r>
              <w:rPr>
                <w:bCs/>
                <w:color w:val="000000" w:themeColor="text1"/>
                <w:sz w:val="24"/>
                <w:szCs w:val="24"/>
                <w14:textFill>
                  <w14:solidFill>
                    <w14:schemeClr w14:val="tx1"/>
                  </w14:solidFill>
                </w14:textFill>
              </w:rPr>
              <w:t>我方认可中标通知书以EMS到付的方式发出，并及时签收；若未填写邮寄地址，请将中标通知书邮寄到我方法定地址。因我方收件信息填写错误或未及时签收，造成的邮件丢失、延误或退回的，责任由我方全权承担。</w:t>
            </w:r>
          </w:p>
        </w:tc>
      </w:tr>
      <w:bookmarkEnd w:id="82"/>
      <w:bookmarkEnd w:id="83"/>
    </w:tbl>
    <w:p w14:paraId="32F0E7D4">
      <w:pPr>
        <w:spacing w:line="360" w:lineRule="auto"/>
        <w:ind w:left="480"/>
        <w:rPr>
          <w:bCs/>
          <w:color w:val="000000" w:themeColor="text1"/>
          <w:sz w:val="24"/>
          <w14:textFill>
            <w14:solidFill>
              <w14:schemeClr w14:val="tx1"/>
            </w14:solidFill>
          </w14:textFill>
        </w:rPr>
      </w:pPr>
    </w:p>
    <w:p w14:paraId="56FFCC25">
      <w:pPr>
        <w:spacing w:line="400" w:lineRule="exact"/>
        <w:rPr>
          <w:rFonts w:eastAsia="黑体"/>
          <w:bCs/>
          <w:color w:val="000000" w:themeColor="text1"/>
          <w:sz w:val="24"/>
          <w:szCs w:val="24"/>
          <w14:textFill>
            <w14:solidFill>
              <w14:schemeClr w14:val="tx1"/>
            </w14:solidFill>
          </w14:textFill>
        </w:rPr>
      </w:pPr>
    </w:p>
    <w:p w14:paraId="2BEC8C7B">
      <w:pPr>
        <w:spacing w:line="360" w:lineRule="auto"/>
        <w:ind w:firstLine="4800"/>
        <w:rPr>
          <w:bCs/>
          <w:color w:val="000000" w:themeColor="text1"/>
          <w:sz w:val="24"/>
          <w:szCs w:val="24"/>
          <w14:textFill>
            <w14:solidFill>
              <w14:schemeClr w14:val="tx1"/>
            </w14:solidFill>
          </w14:textFill>
        </w:rPr>
      </w:pPr>
      <w:r>
        <w:rPr>
          <w:bCs/>
          <w:color w:val="000000" w:themeColor="text1"/>
          <w:sz w:val="24"/>
          <w:lang w:val="zh-CN"/>
          <w14:textFill>
            <w14:solidFill>
              <w14:schemeClr w14:val="tx1"/>
            </w14:solidFill>
          </w14:textFill>
        </w:rPr>
        <w:t>投标人（电子签章）</w:t>
      </w:r>
      <w:r>
        <w:rPr>
          <w:bCs/>
          <w:color w:val="000000" w:themeColor="text1"/>
          <w:sz w:val="24"/>
          <w:szCs w:val="24"/>
          <w14:textFill>
            <w14:solidFill>
              <w14:schemeClr w14:val="tx1"/>
            </w14:solidFill>
          </w14:textFill>
        </w:rPr>
        <w:t>：</w:t>
      </w:r>
    </w:p>
    <w:p w14:paraId="2EB9774A">
      <w:pPr>
        <w:spacing w:line="360" w:lineRule="auto"/>
        <w:ind w:firstLine="4800"/>
        <w:rPr>
          <w:bCs/>
          <w:color w:val="000000" w:themeColor="text1"/>
          <w:sz w:val="24"/>
          <w:szCs w:val="24"/>
          <w14:textFill>
            <w14:solidFill>
              <w14:schemeClr w14:val="tx1"/>
            </w14:solidFill>
          </w14:textFill>
        </w:rPr>
      </w:pPr>
    </w:p>
    <w:p w14:paraId="1B92516D">
      <w:pPr>
        <w:spacing w:line="400" w:lineRule="exact"/>
        <w:rPr>
          <w:rFonts w:eastAsia="黑体"/>
          <w:bCs/>
          <w:color w:val="000000" w:themeColor="text1"/>
          <w:sz w:val="24"/>
          <w:szCs w:val="24"/>
          <w14:textFill>
            <w14:solidFill>
              <w14:schemeClr w14:val="tx1"/>
            </w14:solidFill>
          </w14:textFill>
        </w:rPr>
      </w:pPr>
    </w:p>
    <w:p w14:paraId="3149D275">
      <w:pPr>
        <w:widowControl/>
        <w:jc w:val="left"/>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br w:type="page" w:clear="all"/>
      </w:r>
    </w:p>
    <w:p w14:paraId="4BC8A4C0">
      <w:pPr>
        <w:rPr>
          <w:rFonts w:eastAsia="黑体"/>
          <w:bCs/>
          <w:color w:val="000000" w:themeColor="text1"/>
          <w:sz w:val="36"/>
          <w14:textFill>
            <w14:solidFill>
              <w14:schemeClr w14:val="tx1"/>
            </w14:solidFill>
          </w14:textFill>
        </w:rPr>
      </w:pPr>
      <w:r>
        <w:rPr>
          <w:rFonts w:eastAsia="黑体"/>
          <w:bCs/>
          <w:color w:val="000000" w:themeColor="text1"/>
          <w:sz w:val="24"/>
          <w:szCs w:val="24"/>
          <w14:textFill>
            <w14:solidFill>
              <w14:schemeClr w14:val="tx1"/>
            </w14:solidFill>
          </w14:textFill>
        </w:rPr>
        <w:t>（二）</w:t>
      </w:r>
      <w:bookmarkStart w:id="85" w:name="OLE_LINK150"/>
      <w:bookmarkStart w:id="86" w:name="OLE_LINK205"/>
      <w:r>
        <w:rPr>
          <w:rFonts w:eastAsia="黑体"/>
          <w:bCs/>
          <w:color w:val="000000" w:themeColor="text1"/>
          <w:sz w:val="24"/>
          <w:szCs w:val="24"/>
          <w14:textFill>
            <w14:solidFill>
              <w14:schemeClr w14:val="tx1"/>
            </w14:solidFill>
          </w14:textFill>
        </w:rPr>
        <w:t>关于资格的声明函（格式）</w:t>
      </w:r>
    </w:p>
    <w:p w14:paraId="4298BA3D">
      <w:pPr>
        <w:spacing w:before="156" w:after="156"/>
        <w:jc w:val="center"/>
        <w:rPr>
          <w:rFonts w:eastAsia="黑体"/>
          <w:bCs/>
          <w:color w:val="000000" w:themeColor="text1"/>
          <w:sz w:val="28"/>
          <w:szCs w:val="28"/>
          <w14:textFill>
            <w14:solidFill>
              <w14:schemeClr w14:val="tx1"/>
            </w14:solidFill>
          </w14:textFill>
        </w:rPr>
      </w:pPr>
      <w:bookmarkStart w:id="87" w:name="报价方关于资格的声明函（格式）"/>
      <w:bookmarkEnd w:id="87"/>
      <w:bookmarkStart w:id="88" w:name="_Toc24943"/>
    </w:p>
    <w:p w14:paraId="2135900B">
      <w:pPr>
        <w:spacing w:before="156" w:after="156"/>
        <w:jc w:val="center"/>
        <w:rPr>
          <w:rFonts w:eastAsia="黑体"/>
          <w:bCs/>
          <w:color w:val="000000" w:themeColor="text1"/>
          <w:sz w:val="28"/>
          <w:szCs w:val="28"/>
          <w14:textFill>
            <w14:solidFill>
              <w14:schemeClr w14:val="tx1"/>
            </w14:solidFill>
          </w14:textFill>
        </w:rPr>
      </w:pPr>
      <w:r>
        <w:rPr>
          <w:rFonts w:eastAsia="黑体"/>
          <w:bCs/>
          <w:color w:val="000000" w:themeColor="text1"/>
          <w:sz w:val="28"/>
          <w:szCs w:val="28"/>
          <w14:textFill>
            <w14:solidFill>
              <w14:schemeClr w14:val="tx1"/>
            </w14:solidFill>
          </w14:textFill>
        </w:rPr>
        <w:t>关于资格的声明函</w:t>
      </w:r>
      <w:bookmarkEnd w:id="88"/>
    </w:p>
    <w:p w14:paraId="30D7F092">
      <w:pPr>
        <w:spacing w:before="156" w:after="156"/>
        <w:jc w:val="center"/>
        <w:rPr>
          <w:rFonts w:eastAsia="黑体"/>
          <w:bCs/>
          <w:color w:val="000000" w:themeColor="text1"/>
          <w:sz w:val="32"/>
          <w14:textFill>
            <w14:solidFill>
              <w14:schemeClr w14:val="tx1"/>
            </w14:solidFill>
          </w14:textFill>
        </w:rPr>
      </w:pPr>
    </w:p>
    <w:p w14:paraId="27CDB1E8">
      <w:pPr>
        <w:jc w:val="left"/>
        <w:rPr>
          <w:bCs/>
          <w:color w:val="000000" w:themeColor="text1"/>
          <w:sz w:val="24"/>
          <w:szCs w:val="24"/>
          <w14:textFill>
            <w14:solidFill>
              <w14:schemeClr w14:val="tx1"/>
            </w14:solidFill>
          </w14:textFill>
        </w:rPr>
      </w:pPr>
    </w:p>
    <w:p w14:paraId="0ADC5B18">
      <w:pPr>
        <w:spacing w:line="48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恒泰保险经纪有限公司：</w:t>
      </w:r>
    </w:p>
    <w:p w14:paraId="54FF1CC2">
      <w:pPr>
        <w:spacing w:line="48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1.我公司参加贵单位</w:t>
      </w:r>
      <w:r>
        <w:rPr>
          <w:color w:val="000000" w:themeColor="text1"/>
          <w:sz w:val="24"/>
          <w:szCs w:val="24"/>
          <w14:textFill>
            <w14:solidFill>
              <w14:schemeClr w14:val="tx1"/>
            </w14:solidFill>
          </w14:textFill>
        </w:rPr>
        <w:t>养老机构综合责任保险、养老机构入住老人意外伤害保险和居家养老服务机构综合责任保险</w:t>
      </w:r>
      <w:r>
        <w:rPr>
          <w:bCs/>
          <w:color w:val="000000" w:themeColor="text1"/>
          <w:sz w:val="24"/>
          <w:szCs w:val="24"/>
          <w14:textFill>
            <w14:solidFill>
              <w14:schemeClr w14:val="tx1"/>
            </w14:solidFill>
          </w14:textFill>
        </w:rPr>
        <w:t>（JSZC-320282-HTBX-G2025-0004）政府采购活动前三年内在经营活动中没有重大违法记录；同时，投标时不存在</w:t>
      </w:r>
      <w:bookmarkStart w:id="89" w:name="OLE_LINK242"/>
      <w:r>
        <w:rPr>
          <w:bCs/>
          <w:color w:val="000000" w:themeColor="text1"/>
          <w:sz w:val="24"/>
          <w:szCs w:val="24"/>
          <w14:textFill>
            <w14:solidFill>
              <w14:schemeClr w14:val="tx1"/>
            </w14:solidFill>
          </w14:textFill>
        </w:rPr>
        <w:t>有效期限</w:t>
      </w:r>
      <w:bookmarkEnd w:id="89"/>
      <w:r>
        <w:rPr>
          <w:bCs/>
          <w:color w:val="000000" w:themeColor="text1"/>
          <w:sz w:val="24"/>
          <w:szCs w:val="24"/>
          <w14:textFill>
            <w14:solidFill>
              <w14:schemeClr w14:val="tx1"/>
            </w14:solidFill>
          </w14:textFill>
        </w:rPr>
        <w:t>内的政府采购严重违法失信行为的处罚记录，未被列入失信名单或重大税收违法案件当事人名单；且具备履行合同所必需的设备和专业技术能力。</w:t>
      </w:r>
    </w:p>
    <w:p w14:paraId="47A2EF7C">
      <w:pPr>
        <w:spacing w:line="48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我公司（单位）愿针对本次项目（JSZC-320282-HTBX-G2025-0004）进行投标，投标文件中所有关于投标资格的文件、证明、陈述均是真实的、准确的。若有违背，我公司（单位）同意监管部门做出的相关决定并承担由此而产生的一切后果。</w:t>
      </w:r>
    </w:p>
    <w:p w14:paraId="447FAB59">
      <w:pPr>
        <w:spacing w:line="480" w:lineRule="auto"/>
        <w:rPr>
          <w:bCs/>
          <w:color w:val="000000" w:themeColor="text1"/>
          <w:sz w:val="24"/>
          <w:szCs w:val="24"/>
          <w14:textFill>
            <w14:solidFill>
              <w14:schemeClr w14:val="tx1"/>
            </w14:solidFill>
          </w14:textFill>
        </w:rPr>
      </w:pPr>
    </w:p>
    <w:p w14:paraId="766CF4B8">
      <w:pPr>
        <w:spacing w:line="360" w:lineRule="auto"/>
        <w:ind w:left="5460" w:hanging="5460"/>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投标人（电子签章）：</w:t>
      </w:r>
    </w:p>
    <w:p w14:paraId="3D23A529">
      <w:pPr>
        <w:spacing w:line="360" w:lineRule="auto"/>
        <w:ind w:left="5460" w:hanging="5460"/>
        <w:jc w:val="center"/>
        <w:rPr>
          <w:bCs/>
          <w:color w:val="000000" w:themeColor="text1"/>
          <w:sz w:val="24"/>
          <w14:textFill>
            <w14:solidFill>
              <w14:schemeClr w14:val="tx1"/>
            </w14:solidFill>
          </w14:textFill>
        </w:rPr>
      </w:pPr>
    </w:p>
    <w:p w14:paraId="7A10DA91">
      <w:pPr>
        <w:spacing w:line="360" w:lineRule="auto"/>
        <w:ind w:firstLine="280"/>
        <w:rPr>
          <w:rFonts w:eastAsia="黑体"/>
          <w:bCs/>
          <w:color w:val="000000" w:themeColor="text1"/>
          <w:sz w:val="28"/>
          <w:szCs w:val="28"/>
          <w14:textFill>
            <w14:solidFill>
              <w14:schemeClr w14:val="tx1"/>
            </w14:solidFill>
          </w14:textFill>
        </w:rPr>
      </w:pPr>
      <w:r>
        <w:rPr>
          <w:rFonts w:eastAsia="楷体_GB2312"/>
          <w:color w:val="000000" w:themeColor="text1"/>
          <w:sz w:val="28"/>
          <w:szCs w:val="28"/>
          <w14:textFill>
            <w14:solidFill>
              <w14:schemeClr w14:val="tx1"/>
            </w14:solidFill>
          </w14:textFill>
        </w:rPr>
        <w:t>法定代表人身份证复印件反面          法定代表人身份证复印件正面</w:t>
      </w:r>
    </w:p>
    <w:p w14:paraId="0CC40C9A">
      <w:pPr>
        <w:spacing w:line="360" w:lineRule="auto"/>
        <w:rPr>
          <w:rFonts w:eastAsia="黑体"/>
          <w:bCs/>
          <w:color w:val="000000" w:themeColor="text1"/>
          <w:sz w:val="28"/>
          <w:szCs w:val="28"/>
          <w14:textFill>
            <w14:solidFill>
              <w14:schemeClr w14:val="tx1"/>
            </w14:solidFill>
          </w14:textFill>
        </w:rPr>
      </w:pPr>
      <w:r>
        <w:rPr>
          <w:rFonts w:eastAsia="楷体_GB2312"/>
          <w:bCs/>
          <w:color w:val="000000" w:themeColor="text1"/>
          <w:sz w:val="24"/>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-100965</wp:posOffset>
                </wp:positionH>
                <wp:positionV relativeFrom="paragraph">
                  <wp:posOffset>24765</wp:posOffset>
                </wp:positionV>
                <wp:extent cx="3065145" cy="20701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659C6455">
                            <w:pPr>
                              <w:jc w:val="left"/>
                              <w:rPr>
                                <w:rFonts w:ascii="黑体" w:eastAsia="黑体"/>
                                <w:sz w:val="32"/>
                                <w:szCs w:val="32"/>
                              </w:rPr>
                            </w:pPr>
                          </w:p>
                          <w:p w14:paraId="1B79CF79">
                            <w:pPr>
                              <w:jc w:val="center"/>
                              <w:rPr>
                                <w:rFonts w:ascii="楷体_GB2312" w:eastAsia="楷体_GB2312"/>
                                <w:sz w:val="28"/>
                                <w:szCs w:val="28"/>
                              </w:rPr>
                            </w:pPr>
                          </w:p>
                        </w:txbxContent>
                      </wps:txbx>
                      <wps:bodyPr wrap="square" upright="1"/>
                    </wps:wsp>
                  </a:graphicData>
                </a:graphic>
              </wp:anchor>
            </w:drawing>
          </mc:Choice>
          <mc:Fallback>
            <w:pict>
              <v:shape id="_x0000_s1026" o:spid="_x0000_s1026" o:spt="202" type="#_x0000_t202" style="position:absolute;left:0pt;margin-left:-7.95pt;margin-top:1.95pt;height:163pt;width:241.35pt;z-index:251662336;mso-width-relative:page;mso-height-relative:page;" fillcolor="#FFFFFF" filled="t" stroked="t" coordsize="21600,21600" o:gfxdata="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hhHZa9gAAAAJAQAADwAAAAAA&#10;AAABACAAAAAiAAAAZHJzL2Rvd25yZXYueG1sUEsBAhQAFAAAAAgAh07iQFbkE4LaAQAAvQMAAA4A&#10;AAAAAAAAAQAgAAAAJwEAAGRycy9lMm9Eb2MueG1sUEsFBgAAAAAGAAYAWQEAAHMFAAAAAA==&#10;">
                <v:fill on="t" focussize="0,0"/>
                <v:stroke color="#000000" joinstyle="round"/>
                <v:imagedata o:title=""/>
                <o:lock v:ext="edit" aspectratio="f"/>
                <v:textbox>
                  <w:txbxContent>
                    <w:p w14:paraId="659C6455">
                      <w:pPr>
                        <w:jc w:val="left"/>
                        <w:rPr>
                          <w:rFonts w:ascii="黑体" w:eastAsia="黑体"/>
                          <w:sz w:val="32"/>
                          <w:szCs w:val="32"/>
                        </w:rPr>
                      </w:pPr>
                    </w:p>
                    <w:p w14:paraId="1B79CF79">
                      <w:pPr>
                        <w:jc w:val="center"/>
                        <w:rPr>
                          <w:rFonts w:ascii="楷体_GB2312" w:eastAsia="楷体_GB2312"/>
                          <w:sz w:val="28"/>
                          <w:szCs w:val="28"/>
                        </w:rPr>
                      </w:pPr>
                    </w:p>
                  </w:txbxContent>
                </v:textbox>
              </v:shape>
            </w:pict>
          </mc:Fallback>
        </mc:AlternateContent>
      </w:r>
      <w:r>
        <w:rPr>
          <w:rFonts w:eastAsia="楷体_GB2312"/>
          <w:bCs/>
          <w:color w:val="000000" w:themeColor="text1"/>
          <w:sz w:val="24"/>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5E08CD53">
                            <w:pPr>
                              <w:jc w:val="left"/>
                              <w:rPr>
                                <w:rFonts w:ascii="黑体" w:eastAsia="黑体"/>
                                <w:sz w:val="32"/>
                                <w:szCs w:val="32"/>
                              </w:rPr>
                            </w:pPr>
                          </w:p>
                          <w:p w14:paraId="57D8246D">
                            <w:pPr>
                              <w:jc w:val="center"/>
                              <w:rPr>
                                <w:rFonts w:ascii="楷体_GB2312" w:eastAsia="楷体_GB2312"/>
                                <w:sz w:val="28"/>
                                <w:szCs w:val="28"/>
                              </w:rPr>
                            </w:pPr>
                          </w:p>
                        </w:txbxContent>
                      </wps:txbx>
                      <wps:bodyPr wrap="square" upright="1"/>
                    </wps:wsp>
                  </a:graphicData>
                </a:graphic>
              </wp:anchor>
            </w:drawing>
          </mc:Choice>
          <mc:Fallback>
            <w:pict>
              <v:shape id="_x0000_s1026" o:spid="_x0000_s1026" o:spt="202" type="#_x0000_t202" style="position:absolute;left:0pt;margin-left:245.9pt;margin-top:2.05pt;height:163pt;width:241.35pt;z-index:251659264;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LY5PknZAAAACQEAAA8AAAAA&#10;AAAAAQAgAAAAIgAAAGRycy9kb3ducmV2LnhtbFBLAQIUABQAAAAIAIdO4kCLU99V2gEAAL0DAAAO&#10;AAAAAAAAAAEAIAAAACgBAABkcnMvZTJvRG9jLnhtbFBLBQYAAAAABgAGAFkBAAB0BQAAAAA=&#10;">
                <v:fill on="t" focussize="0,0"/>
                <v:stroke color="#000000" joinstyle="round"/>
                <v:imagedata o:title=""/>
                <o:lock v:ext="edit" aspectratio="f"/>
                <v:textbox>
                  <w:txbxContent>
                    <w:p w14:paraId="5E08CD53">
                      <w:pPr>
                        <w:jc w:val="left"/>
                        <w:rPr>
                          <w:rFonts w:ascii="黑体" w:eastAsia="黑体"/>
                          <w:sz w:val="32"/>
                          <w:szCs w:val="32"/>
                        </w:rPr>
                      </w:pPr>
                    </w:p>
                    <w:p w14:paraId="57D8246D">
                      <w:pPr>
                        <w:jc w:val="center"/>
                        <w:rPr>
                          <w:rFonts w:ascii="楷体_GB2312" w:eastAsia="楷体_GB2312"/>
                          <w:sz w:val="28"/>
                          <w:szCs w:val="28"/>
                        </w:rPr>
                      </w:pPr>
                    </w:p>
                  </w:txbxContent>
                </v:textbox>
              </v:shape>
            </w:pict>
          </mc:Fallback>
        </mc:AlternateContent>
      </w:r>
    </w:p>
    <w:p w14:paraId="6086D81C">
      <w:pPr>
        <w:spacing w:line="360" w:lineRule="auto"/>
        <w:rPr>
          <w:rFonts w:eastAsia="黑体"/>
          <w:bCs/>
          <w:color w:val="000000" w:themeColor="text1"/>
          <w:sz w:val="28"/>
          <w:szCs w:val="28"/>
          <w14:textFill>
            <w14:solidFill>
              <w14:schemeClr w14:val="tx1"/>
            </w14:solidFill>
          </w14:textFill>
        </w:rPr>
      </w:pPr>
    </w:p>
    <w:p w14:paraId="714C2C3A">
      <w:pPr>
        <w:spacing w:line="360" w:lineRule="auto"/>
        <w:jc w:val="center"/>
        <w:rPr>
          <w:rFonts w:eastAsia="黑体"/>
          <w:bCs/>
          <w:color w:val="000000" w:themeColor="text1"/>
          <w:sz w:val="28"/>
          <w:szCs w:val="28"/>
          <w14:textFill>
            <w14:solidFill>
              <w14:schemeClr w14:val="tx1"/>
            </w14:solidFill>
          </w14:textFill>
        </w:rPr>
      </w:pPr>
    </w:p>
    <w:p w14:paraId="40674C87">
      <w:pPr>
        <w:spacing w:line="360" w:lineRule="auto"/>
        <w:jc w:val="center"/>
        <w:rPr>
          <w:rFonts w:eastAsia="黑体"/>
          <w:bCs/>
          <w:color w:val="000000" w:themeColor="text1"/>
          <w:sz w:val="28"/>
          <w:szCs w:val="28"/>
          <w14:textFill>
            <w14:solidFill>
              <w14:schemeClr w14:val="tx1"/>
            </w14:solidFill>
          </w14:textFill>
        </w:rPr>
      </w:pPr>
    </w:p>
    <w:p w14:paraId="26F9C4B1">
      <w:pPr>
        <w:spacing w:line="360" w:lineRule="auto"/>
        <w:jc w:val="center"/>
        <w:rPr>
          <w:rFonts w:eastAsia="黑体"/>
          <w:bCs/>
          <w:color w:val="000000" w:themeColor="text1"/>
          <w:sz w:val="28"/>
          <w:szCs w:val="28"/>
          <w14:textFill>
            <w14:solidFill>
              <w14:schemeClr w14:val="tx1"/>
            </w14:solidFill>
          </w14:textFill>
        </w:rPr>
      </w:pPr>
    </w:p>
    <w:p w14:paraId="75A3424B">
      <w:pPr>
        <w:rPr>
          <w:rFonts w:eastAsia="黑体"/>
          <w:bCs/>
          <w:color w:val="000000" w:themeColor="text1"/>
          <w:sz w:val="24"/>
          <w:szCs w:val="24"/>
          <w14:textFill>
            <w14:solidFill>
              <w14:schemeClr w14:val="tx1"/>
            </w14:solidFill>
          </w14:textFill>
        </w:rPr>
      </w:pPr>
      <w:bookmarkStart w:id="90" w:name="_Toc27231"/>
    </w:p>
    <w:p w14:paraId="7CA239C8">
      <w:pPr>
        <w:ind w:firstLine="480"/>
        <w:rPr>
          <w:color w:val="000000" w:themeColor="text1"/>
          <w:sz w:val="24"/>
          <w:szCs w:val="28"/>
          <w14:textFill>
            <w14:solidFill>
              <w14:schemeClr w14:val="tx1"/>
            </w14:solidFill>
          </w14:textFill>
        </w:rPr>
      </w:pPr>
      <w:r>
        <w:rPr>
          <w:rFonts w:eastAsia="黑体"/>
          <w:bCs/>
          <w:color w:val="000000" w:themeColor="text1"/>
          <w:sz w:val="24"/>
          <w:szCs w:val="24"/>
          <w14:textFill>
            <w14:solidFill>
              <w14:schemeClr w14:val="tx1"/>
            </w14:solidFill>
          </w14:textFill>
        </w:rPr>
        <w:br w:type="page" w:clear="all"/>
      </w:r>
      <w:r>
        <w:rPr>
          <w:rFonts w:eastAsia="黑体"/>
          <w:bCs/>
          <w:color w:val="000000" w:themeColor="text1"/>
          <w:sz w:val="24"/>
          <w:szCs w:val="24"/>
          <w14:textFill>
            <w14:solidFill>
              <w14:schemeClr w14:val="tx1"/>
            </w14:solidFill>
          </w14:textFill>
        </w:rPr>
        <w:t>2.</w:t>
      </w:r>
      <w:r>
        <w:rPr>
          <w:rFonts w:hint="eastAsia"/>
        </w:rPr>
        <w:t xml:space="preserve"> </w:t>
      </w:r>
      <w:r>
        <w:rPr>
          <w:rFonts w:hint="eastAsia" w:eastAsia="黑体"/>
          <w:bCs/>
          <w:color w:val="000000" w:themeColor="text1"/>
          <w:sz w:val="24"/>
          <w:szCs w:val="24"/>
          <w:lang w:val="zh-CN"/>
          <w14:textFill>
            <w14:solidFill>
              <w14:schemeClr w14:val="tx1"/>
            </w14:solidFill>
          </w14:textFill>
        </w:rPr>
        <w:t>法定代表人或投标机构负责人授权委托书</w:t>
      </w:r>
      <w:r>
        <w:rPr>
          <w:rFonts w:eastAsia="黑体"/>
          <w:bCs/>
          <w:color w:val="000000" w:themeColor="text1"/>
          <w:sz w:val="24"/>
          <w:szCs w:val="24"/>
          <w14:textFill>
            <w14:solidFill>
              <w14:schemeClr w14:val="tx1"/>
            </w14:solidFill>
          </w14:textFill>
        </w:rPr>
        <w:t>（格式）</w:t>
      </w:r>
    </w:p>
    <w:p w14:paraId="4509A00C">
      <w:pPr>
        <w:tabs>
          <w:tab w:val="center" w:pos="4819"/>
          <w:tab w:val="left" w:pos="6732"/>
        </w:tabs>
        <w:spacing w:before="156" w:after="156"/>
        <w:jc w:val="left"/>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ab/>
      </w:r>
    </w:p>
    <w:p w14:paraId="6F2E5AFF">
      <w:pPr>
        <w:tabs>
          <w:tab w:val="center" w:pos="4819"/>
          <w:tab w:val="left" w:pos="6732"/>
        </w:tabs>
        <w:spacing w:before="156" w:after="156"/>
        <w:jc w:val="center"/>
        <w:rPr>
          <w:rFonts w:eastAsia="黑体"/>
          <w:color w:val="000000" w:themeColor="text1"/>
          <w:sz w:val="28"/>
          <w:szCs w:val="28"/>
          <w14:textFill>
            <w14:solidFill>
              <w14:schemeClr w14:val="tx1"/>
            </w14:solidFill>
          </w14:textFill>
        </w:rPr>
      </w:pPr>
      <w:r>
        <w:rPr>
          <w:rFonts w:hint="eastAsia" w:eastAsia="黑体"/>
          <w:color w:val="000000" w:themeColor="text1"/>
          <w:sz w:val="28"/>
          <w:szCs w:val="28"/>
          <w14:textFill>
            <w14:solidFill>
              <w14:schemeClr w14:val="tx1"/>
            </w14:solidFill>
          </w14:textFill>
        </w:rPr>
        <w:t>法定代表人或投标机构负责人授权委托书</w:t>
      </w:r>
    </w:p>
    <w:p w14:paraId="7DE0F8DA">
      <w:pPr>
        <w:tabs>
          <w:tab w:val="center" w:pos="4819"/>
          <w:tab w:val="left" w:pos="6732"/>
        </w:tabs>
        <w:spacing w:before="156" w:after="156"/>
        <w:jc w:val="center"/>
        <w:rPr>
          <w:rFonts w:eastAsia="黑体"/>
          <w:color w:val="000000" w:themeColor="text1"/>
          <w:sz w:val="28"/>
          <w:szCs w:val="28"/>
          <w14:textFill>
            <w14:solidFill>
              <w14:schemeClr w14:val="tx1"/>
            </w14:solidFill>
          </w14:textFill>
        </w:rPr>
      </w:pPr>
    </w:p>
    <w:p w14:paraId="2C40DCC0">
      <w:pPr>
        <w:tabs>
          <w:tab w:val="left" w:pos="255"/>
        </w:tabs>
        <w:spacing w:line="360" w:lineRule="auto"/>
        <w:ind w:left="420"/>
        <w:rPr>
          <w:color w:val="000000" w:themeColor="text1"/>
          <w:sz w:val="24"/>
          <w:szCs w:val="21"/>
          <w14:textFill>
            <w14:solidFill>
              <w14:schemeClr w14:val="tx1"/>
            </w14:solidFill>
          </w14:textFill>
        </w:rPr>
      </w:pPr>
    </w:p>
    <w:p w14:paraId="13DDBA34">
      <w:pPr>
        <w:tabs>
          <w:tab w:val="left" w:pos="255"/>
        </w:tabs>
        <w:spacing w:line="360" w:lineRule="auto"/>
        <w:ind w:left="420"/>
        <w:rPr>
          <w:color w:val="000000" w:themeColor="text1"/>
          <w:sz w:val="24"/>
          <w:szCs w:val="21"/>
          <w14:textFill>
            <w14:solidFill>
              <w14:schemeClr w14:val="tx1"/>
            </w14:solidFill>
          </w14:textFill>
        </w:rPr>
      </w:pPr>
      <w:r>
        <w:rPr>
          <w:bCs/>
          <w:color w:val="000000" w:themeColor="text1"/>
          <w:sz w:val="24"/>
          <w:szCs w:val="24"/>
          <w14:textFill>
            <w14:solidFill>
              <w14:schemeClr w14:val="tx1"/>
            </w14:solidFill>
          </w14:textFill>
        </w:rPr>
        <w:t>恒泰保险经纪</w:t>
      </w:r>
      <w:r>
        <w:rPr>
          <w:color w:val="000000" w:themeColor="text1"/>
          <w:sz w:val="24"/>
          <w:szCs w:val="21"/>
          <w:lang w:val="zh-CN"/>
          <w14:textFill>
            <w14:solidFill>
              <w14:schemeClr w14:val="tx1"/>
            </w14:solidFill>
          </w14:textFill>
        </w:rPr>
        <w:t>有限公司：</w:t>
      </w:r>
    </w:p>
    <w:p w14:paraId="4E90B53E">
      <w:pPr>
        <w:tabs>
          <w:tab w:val="left" w:pos="255"/>
        </w:tabs>
        <w:spacing w:line="360" w:lineRule="auto"/>
        <w:ind w:left="420" w:firstLine="720"/>
        <w:rPr>
          <w:color w:val="000000" w:themeColor="text1"/>
          <w:sz w:val="24"/>
          <w:szCs w:val="21"/>
          <w14:textFill>
            <w14:solidFill>
              <w14:schemeClr w14:val="tx1"/>
            </w14:solidFill>
          </w14:textFill>
        </w:rPr>
      </w:pPr>
      <w:r>
        <w:rPr>
          <w:color w:val="000000" w:themeColor="text1"/>
          <w:sz w:val="24"/>
          <w:szCs w:val="21"/>
          <w:u w:val="single"/>
          <w:lang w:val="zh-CN"/>
          <w14:textFill>
            <w14:solidFill>
              <w14:schemeClr w14:val="tx1"/>
            </w14:solidFill>
          </w14:textFill>
        </w:rPr>
        <w:t xml:space="preserve">        </w:t>
      </w:r>
      <w:r>
        <w:rPr>
          <w:color w:val="000000" w:themeColor="text1"/>
          <w:sz w:val="24"/>
          <w:szCs w:val="21"/>
          <w:lang w:val="zh-CN"/>
          <w14:textFill>
            <w14:solidFill>
              <w14:schemeClr w14:val="tx1"/>
            </w14:solidFill>
          </w14:textFill>
        </w:rPr>
        <w:t>系中华人民共和国合法企业。法定地址：</w:t>
      </w:r>
      <w:r>
        <w:rPr>
          <w:color w:val="000000" w:themeColor="text1"/>
          <w:sz w:val="24"/>
          <w:szCs w:val="21"/>
          <w:u w:val="single"/>
          <w:lang w:val="zh-CN"/>
          <w14:textFill>
            <w14:solidFill>
              <w14:schemeClr w14:val="tx1"/>
            </w14:solidFill>
          </w14:textFill>
        </w:rPr>
        <w:t xml:space="preserve">        ，</w:t>
      </w:r>
      <w:r>
        <w:rPr>
          <w:color w:val="000000" w:themeColor="text1"/>
          <w:sz w:val="24"/>
          <w:szCs w:val="21"/>
          <w:lang w:val="zh-CN"/>
          <w14:textFill>
            <w14:solidFill>
              <w14:schemeClr w14:val="tx1"/>
            </w14:solidFill>
          </w14:textFill>
        </w:rPr>
        <w:t>特授权</w:t>
      </w:r>
      <w:r>
        <w:rPr>
          <w:color w:val="000000" w:themeColor="text1"/>
          <w:sz w:val="24"/>
          <w:szCs w:val="21"/>
          <w:u w:val="single"/>
          <w:lang w:val="zh-CN"/>
          <w14:textFill>
            <w14:solidFill>
              <w14:schemeClr w14:val="tx1"/>
            </w14:solidFill>
          </w14:textFill>
        </w:rPr>
        <w:t xml:space="preserve">     </w:t>
      </w:r>
      <w:r>
        <w:rPr>
          <w:color w:val="000000" w:themeColor="text1"/>
          <w:sz w:val="24"/>
          <w:szCs w:val="21"/>
          <w:lang w:val="zh-CN"/>
          <w14:textFill>
            <w14:solidFill>
              <w14:schemeClr w14:val="tx1"/>
            </w14:solidFill>
          </w14:textFill>
        </w:rPr>
        <w:t>代表我公司（单位）全权办理针对</w:t>
      </w:r>
      <w:r>
        <w:rPr>
          <w:color w:val="000000" w:themeColor="text1"/>
          <w:sz w:val="24"/>
          <w:szCs w:val="24"/>
          <w14:textFill>
            <w14:solidFill>
              <w14:schemeClr w14:val="tx1"/>
            </w14:solidFill>
          </w14:textFill>
        </w:rPr>
        <w:t>养老机构综合责任保险、养老机构入住老人意外伤害保险和居家养老服务机构综合责任保险</w:t>
      </w:r>
      <w:r>
        <w:rPr>
          <w:color w:val="000000" w:themeColor="text1"/>
          <w:sz w:val="24"/>
          <w:szCs w:val="21"/>
          <w:lang w:val="zh-CN"/>
          <w14:textFill>
            <w14:solidFill>
              <w14:schemeClr w14:val="tx1"/>
            </w14:solidFill>
          </w14:textFill>
        </w:rPr>
        <w:t>（</w:t>
      </w:r>
      <w:r>
        <w:rPr>
          <w:bCs/>
          <w:color w:val="000000" w:themeColor="text1"/>
          <w:sz w:val="24"/>
          <w:szCs w:val="24"/>
          <w14:textFill>
            <w14:solidFill>
              <w14:schemeClr w14:val="tx1"/>
            </w14:solidFill>
          </w14:textFill>
        </w:rPr>
        <w:t>JSZC-320282-HTBX-G2025-0004</w:t>
      </w:r>
      <w:r>
        <w:rPr>
          <w:color w:val="000000" w:themeColor="text1"/>
          <w:sz w:val="24"/>
          <w:szCs w:val="21"/>
          <w:lang w:val="zh-CN"/>
          <w14:textFill>
            <w14:solidFill>
              <w14:schemeClr w14:val="tx1"/>
            </w14:solidFill>
          </w14:textFill>
        </w:rPr>
        <w:t>）的投标、参与开标、谈判、签约等具体工作，并签署全部有关的文件、协议及合同。</w:t>
      </w:r>
    </w:p>
    <w:p w14:paraId="7D454C3B">
      <w:pPr>
        <w:tabs>
          <w:tab w:val="left" w:pos="255"/>
        </w:tabs>
        <w:spacing w:line="360" w:lineRule="auto"/>
        <w:ind w:left="420" w:firstLine="48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我公司（单位）对被授权代表的签名负全部责任。</w:t>
      </w:r>
    </w:p>
    <w:p w14:paraId="19459EFE">
      <w:pPr>
        <w:tabs>
          <w:tab w:val="left" w:pos="255"/>
        </w:tabs>
        <w:spacing w:line="360" w:lineRule="auto"/>
        <w:ind w:left="420" w:firstLine="48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在撤销授权的书面通知送达你处以前，本授权书一直有效，被授权代表签署的所有文件（在授权书有效期内签署的）不因授权的撤销而失效。</w:t>
      </w:r>
    </w:p>
    <w:p w14:paraId="5AAE79CD">
      <w:pPr>
        <w:tabs>
          <w:tab w:val="left" w:pos="255"/>
        </w:tabs>
        <w:spacing w:line="360" w:lineRule="auto"/>
        <w:ind w:left="420" w:firstLine="48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被授权代表情况：</w:t>
      </w:r>
    </w:p>
    <w:p w14:paraId="25D30385">
      <w:pPr>
        <w:tabs>
          <w:tab w:val="left" w:pos="255"/>
        </w:tabs>
        <w:spacing w:line="360" w:lineRule="auto"/>
        <w:ind w:left="420" w:firstLine="48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姓名：           性别：        年龄：         职务：</w:t>
      </w:r>
    </w:p>
    <w:p w14:paraId="3CBEE9BA">
      <w:pPr>
        <w:tabs>
          <w:tab w:val="left" w:pos="255"/>
        </w:tabs>
        <w:spacing w:line="360" w:lineRule="auto"/>
        <w:ind w:left="420" w:firstLine="48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身份证号码：                   手机号码：</w:t>
      </w:r>
    </w:p>
    <w:p w14:paraId="699AB5A8">
      <w:pPr>
        <w:tabs>
          <w:tab w:val="left" w:pos="255"/>
        </w:tabs>
        <w:spacing w:line="360" w:lineRule="auto"/>
        <w:ind w:left="420" w:firstLine="48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办公电话：                     传真：</w:t>
      </w:r>
    </w:p>
    <w:p w14:paraId="4A37C11E">
      <w:pPr>
        <w:tabs>
          <w:tab w:val="left" w:pos="255"/>
        </w:tabs>
        <w:spacing w:line="360" w:lineRule="auto"/>
        <w:ind w:left="420" w:firstLine="480"/>
        <w:rPr>
          <w:color w:val="000000" w:themeColor="text1"/>
          <w:sz w:val="24"/>
          <w:szCs w:val="21"/>
          <w14:textFill>
            <w14:solidFill>
              <w14:schemeClr w14:val="tx1"/>
            </w14:solidFill>
          </w14:textFill>
        </w:rPr>
      </w:pPr>
      <w:r>
        <w:rPr>
          <w:color w:val="000000" w:themeColor="text1"/>
          <w:sz w:val="24"/>
          <w:szCs w:val="21"/>
          <w:lang w:val="zh-CN"/>
          <w14:textFill>
            <w14:solidFill>
              <w14:schemeClr w14:val="tx1"/>
            </w14:solidFill>
          </w14:textFill>
        </w:rPr>
        <w:t>通讯地址：</w:t>
      </w:r>
    </w:p>
    <w:p w14:paraId="5F6814AA">
      <w:pPr>
        <w:tabs>
          <w:tab w:val="left" w:pos="255"/>
        </w:tabs>
        <w:spacing w:line="360" w:lineRule="auto"/>
        <w:ind w:left="420" w:firstLine="480"/>
        <w:rPr>
          <w:b/>
          <w:bCs/>
          <w:color w:val="000000" w:themeColor="text1"/>
          <w:sz w:val="24"/>
          <w:szCs w:val="21"/>
          <w:lang w:val="zh-CN"/>
          <w14:textFill>
            <w14:solidFill>
              <w14:schemeClr w14:val="tx1"/>
            </w14:solidFill>
          </w14:textFill>
        </w:rPr>
      </w:pPr>
      <w:r>
        <w:rPr>
          <w:b/>
          <w:bCs/>
          <w:color w:val="000000" w:themeColor="text1"/>
          <w:sz w:val="24"/>
          <w:szCs w:val="21"/>
          <w:lang w:val="zh-CN"/>
          <w14:textFill>
            <w14:solidFill>
              <w14:schemeClr w14:val="tx1"/>
            </w14:solidFill>
          </w14:textFill>
        </w:rPr>
        <w:t>被授权代表签</w:t>
      </w:r>
      <w:r>
        <w:rPr>
          <w:rFonts w:hint="eastAsia"/>
          <w:b/>
          <w:bCs/>
          <w:color w:val="000000" w:themeColor="text1"/>
          <w:sz w:val="24"/>
          <w:szCs w:val="21"/>
          <w:lang w:val="zh-CN"/>
          <w14:textFill>
            <w14:solidFill>
              <w14:schemeClr w14:val="tx1"/>
            </w14:solidFill>
          </w14:textFill>
        </w:rPr>
        <w:t>字</w:t>
      </w:r>
      <w:r>
        <w:rPr>
          <w:b/>
          <w:bCs/>
          <w:color w:val="000000" w:themeColor="text1"/>
          <w:sz w:val="24"/>
          <w:szCs w:val="21"/>
          <w:lang w:val="zh-CN"/>
          <w14:textFill>
            <w14:solidFill>
              <w14:schemeClr w14:val="tx1"/>
            </w14:solidFill>
          </w14:textFill>
        </w:rPr>
        <w:t>：</w:t>
      </w:r>
    </w:p>
    <w:p w14:paraId="3318941C">
      <w:pPr>
        <w:tabs>
          <w:tab w:val="left" w:pos="255"/>
        </w:tabs>
        <w:spacing w:line="360" w:lineRule="auto"/>
        <w:ind w:left="420" w:firstLine="480"/>
        <w:rPr>
          <w:color w:val="000000" w:themeColor="text1"/>
          <w:sz w:val="24"/>
          <w:szCs w:val="21"/>
          <w14:textFill>
            <w14:solidFill>
              <w14:schemeClr w14:val="tx1"/>
            </w14:solidFill>
          </w14:textFill>
        </w:rPr>
      </w:pPr>
      <w:r>
        <w:rPr>
          <w:rFonts w:hint="eastAsia"/>
          <w:b/>
          <w:bCs/>
          <w:color w:val="000000" w:themeColor="text1"/>
          <w:sz w:val="24"/>
          <w:szCs w:val="21"/>
          <w14:textFill>
            <w14:solidFill>
              <w14:schemeClr w14:val="tx1"/>
            </w14:solidFill>
          </w14:textFill>
        </w:rPr>
        <w:t>法定代表人或机构负责人（签字或盖章）：</w:t>
      </w:r>
    </w:p>
    <w:p w14:paraId="2B56659B">
      <w:pPr>
        <w:tabs>
          <w:tab w:val="left" w:pos="255"/>
        </w:tabs>
        <w:spacing w:line="360" w:lineRule="auto"/>
        <w:ind w:left="420" w:firstLine="480"/>
        <w:rPr>
          <w:color w:val="000000" w:themeColor="text1"/>
          <w:sz w:val="24"/>
          <w:szCs w:val="21"/>
          <w14:textFill>
            <w14:solidFill>
              <w14:schemeClr w14:val="tx1"/>
            </w14:solidFill>
          </w14:textFill>
        </w:rPr>
      </w:pPr>
    </w:p>
    <w:p w14:paraId="37CAA61E">
      <w:pPr>
        <w:spacing w:line="360" w:lineRule="auto"/>
        <w:ind w:left="5460" w:hanging="5460"/>
        <w:jc w:val="center"/>
        <w:rPr>
          <w:b/>
          <w:color w:val="000000" w:themeColor="text1"/>
          <w:sz w:val="24"/>
          <w14:textFill>
            <w14:solidFill>
              <w14:schemeClr w14:val="tx1"/>
            </w14:solidFill>
          </w14:textFill>
        </w:rPr>
      </w:pPr>
      <w:r>
        <w:rPr>
          <w:b/>
          <w:color w:val="000000" w:themeColor="text1"/>
          <w:sz w:val="24"/>
          <w:lang w:val="zh-CN"/>
          <w14:textFill>
            <w14:solidFill>
              <w14:schemeClr w14:val="tx1"/>
            </w14:solidFill>
          </w14:textFill>
        </w:rPr>
        <w:t>投标人（电子签章）：</w:t>
      </w:r>
    </w:p>
    <w:p w14:paraId="7C90D8B4">
      <w:pPr>
        <w:spacing w:line="360" w:lineRule="auto"/>
        <w:rPr>
          <w:rFonts w:eastAsia="黑体"/>
          <w:bCs/>
          <w:color w:val="000000" w:themeColor="text1"/>
          <w:sz w:val="28"/>
          <w:szCs w:val="28"/>
          <w14:textFill>
            <w14:solidFill>
              <w14:schemeClr w14:val="tx1"/>
            </w14:solidFill>
          </w14:textFill>
        </w:rPr>
      </w:pPr>
      <w:r>
        <w:rPr>
          <w:rFonts w:eastAsia="楷体_GB2312"/>
          <w:color w:val="000000" w:themeColor="text1"/>
          <w:sz w:val="28"/>
          <w:szCs w:val="28"/>
          <w14:textFill>
            <w14:solidFill>
              <w14:schemeClr w14:val="tx1"/>
            </w14:solidFill>
          </w14:textFill>
        </w:rPr>
        <w:t>被授权代表身份证复印件正面          被授权代表身份证复印件反面</w:t>
      </w:r>
    </w:p>
    <w:p w14:paraId="1CAF9210">
      <w:pPr>
        <w:spacing w:line="360" w:lineRule="auto"/>
        <w:rPr>
          <w:rFonts w:eastAsia="黑体"/>
          <w:bCs/>
          <w:color w:val="000000" w:themeColor="text1"/>
          <w:sz w:val="28"/>
          <w:szCs w:val="28"/>
          <w14:textFill>
            <w14:solidFill>
              <w14:schemeClr w14:val="tx1"/>
            </w14:solidFill>
          </w14:textFill>
        </w:rPr>
      </w:pPr>
      <w:r>
        <w:rPr>
          <w:rFonts w:eastAsia="楷体_GB2312"/>
          <w:bCs/>
          <w:color w:val="000000" w:themeColor="text1"/>
          <w:sz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4D153DA3">
                            <w:pPr>
                              <w:jc w:val="left"/>
                              <w:rPr>
                                <w:rFonts w:ascii="黑体" w:eastAsia="黑体"/>
                                <w:sz w:val="32"/>
                                <w:szCs w:val="32"/>
                              </w:rPr>
                            </w:pPr>
                          </w:p>
                          <w:p w14:paraId="352C3463">
                            <w:pPr>
                              <w:jc w:val="center"/>
                              <w:rPr>
                                <w:rFonts w:ascii="楷体_GB2312" w:eastAsia="楷体_GB2312"/>
                                <w:sz w:val="28"/>
                                <w:szCs w:val="28"/>
                              </w:rPr>
                            </w:pPr>
                          </w:p>
                          <w:p w14:paraId="51EC7623">
                            <w:pPr>
                              <w:jc w:val="center"/>
                              <w:rPr>
                                <w:rFonts w:ascii="楷体_GB2312" w:eastAsia="楷体_GB2312"/>
                                <w:sz w:val="28"/>
                                <w:szCs w:val="28"/>
                              </w:rPr>
                            </w:pPr>
                          </w:p>
                        </w:txbxContent>
                      </wps:txbx>
                      <wps:bodyPr wrap="square" upright="1"/>
                    </wps:wsp>
                  </a:graphicData>
                </a:graphic>
              </wp:anchor>
            </w:drawing>
          </mc:Choice>
          <mc:Fallback>
            <w:pict>
              <v:shape id="_x0000_s1026"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LY5PknZAAAACQEAAA8AAAAA&#10;AAAAAQAgAAAAIgAAAGRycy9kb3ducmV2LnhtbFBLAQIUABQAAAAIAIdO4kDAPpsY2gEAAL0DAAAO&#10;AAAAAAAAAAEAIAAAACgBAABkcnMvZTJvRG9jLnhtbFBLBQYAAAAABgAGAFkBAAB0BQAAAAA=&#10;">
                <v:fill on="t" focussize="0,0"/>
                <v:stroke color="#000000" joinstyle="round"/>
                <v:imagedata o:title=""/>
                <o:lock v:ext="edit" aspectratio="f"/>
                <v:textbox>
                  <w:txbxContent>
                    <w:p w14:paraId="4D153DA3">
                      <w:pPr>
                        <w:jc w:val="left"/>
                        <w:rPr>
                          <w:rFonts w:ascii="黑体" w:eastAsia="黑体"/>
                          <w:sz w:val="32"/>
                          <w:szCs w:val="32"/>
                        </w:rPr>
                      </w:pPr>
                    </w:p>
                    <w:p w14:paraId="352C3463">
                      <w:pPr>
                        <w:jc w:val="center"/>
                        <w:rPr>
                          <w:rFonts w:ascii="楷体_GB2312" w:eastAsia="楷体_GB2312"/>
                          <w:sz w:val="28"/>
                          <w:szCs w:val="28"/>
                        </w:rPr>
                      </w:pPr>
                    </w:p>
                    <w:p w14:paraId="51EC7623">
                      <w:pPr>
                        <w:jc w:val="center"/>
                        <w:rPr>
                          <w:rFonts w:ascii="楷体_GB2312" w:eastAsia="楷体_GB2312"/>
                          <w:sz w:val="28"/>
                          <w:szCs w:val="28"/>
                        </w:rPr>
                      </w:pPr>
                    </w:p>
                  </w:txbxContent>
                </v:textbox>
              </v:shape>
            </w:pict>
          </mc:Fallback>
        </mc:AlternateContent>
      </w:r>
      <w:r>
        <w:rPr>
          <w:rFonts w:eastAsia="楷体_GB2312"/>
          <w:bCs/>
          <w:color w:val="000000" w:themeColor="text1"/>
          <w:sz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2F6DAD65">
                            <w:pPr>
                              <w:jc w:val="left"/>
                              <w:rPr>
                                <w:rFonts w:ascii="黑体" w:eastAsia="黑体"/>
                                <w:sz w:val="32"/>
                                <w:szCs w:val="32"/>
                              </w:rPr>
                            </w:pPr>
                          </w:p>
                          <w:p w14:paraId="3B33F5DE">
                            <w:pPr>
                              <w:jc w:val="center"/>
                              <w:rPr>
                                <w:rFonts w:ascii="楷体_GB2312" w:eastAsia="楷体_GB2312"/>
                                <w:sz w:val="28"/>
                                <w:szCs w:val="28"/>
                              </w:rPr>
                            </w:pPr>
                          </w:p>
                          <w:p w14:paraId="25B3850F">
                            <w:pPr>
                              <w:jc w:val="center"/>
                              <w:rPr>
                                <w:rFonts w:ascii="楷体_GB2312" w:eastAsia="楷体_GB2312"/>
                                <w:sz w:val="28"/>
                                <w:szCs w:val="28"/>
                              </w:rPr>
                            </w:pPr>
                          </w:p>
                        </w:txbxContent>
                      </wps:txbx>
                      <wps:bodyPr wrap="square" upright="1"/>
                    </wps:wsp>
                  </a:graphicData>
                </a:graphic>
              </wp:anchor>
            </w:drawing>
          </mc:Choice>
          <mc:Fallback>
            <w:pict>
              <v:shape id="_x0000_s1026" o:spid="_x0000_s1026" o:spt="202" type="#_x0000_t202" style="position:absolute;left:0pt;margin-left:-3.05pt;margin-top:2.3pt;height:163.05pt;width:236.15pt;z-index:251661312;mso-width-relative:page;mso-height-relative:page;" fillcolor="#FFFFFF" filled="t" stroked="t" coordsize="21600,21600" o:gfxdata="UEsDBAoAAAAAAIdO4kAAAAAAAAAAAAAAAAAEAAAAZHJzL1BLAwQUAAAACACHTuJAIg7FO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g7FOdgAAAAIAQAADwAAAAAA&#10;AAABACAAAAAiAAAAZHJzL2Rvd25yZXYueG1sUEsBAhQAFAAAAAgAh07iQFMQwNPaAQAAvQMAAA4A&#10;AAAAAAAAAQAgAAAAJwEAAGRycy9lMm9Eb2MueG1sUEsFBgAAAAAGAAYAWQEAAHMFAAAAAA==&#10;">
                <v:fill on="t" focussize="0,0"/>
                <v:stroke color="#000000" joinstyle="round"/>
                <v:imagedata o:title=""/>
                <o:lock v:ext="edit" aspectratio="f"/>
                <v:textbox>
                  <w:txbxContent>
                    <w:p w14:paraId="2F6DAD65">
                      <w:pPr>
                        <w:jc w:val="left"/>
                        <w:rPr>
                          <w:rFonts w:ascii="黑体" w:eastAsia="黑体"/>
                          <w:sz w:val="32"/>
                          <w:szCs w:val="32"/>
                        </w:rPr>
                      </w:pPr>
                    </w:p>
                    <w:p w14:paraId="3B33F5DE">
                      <w:pPr>
                        <w:jc w:val="center"/>
                        <w:rPr>
                          <w:rFonts w:ascii="楷体_GB2312" w:eastAsia="楷体_GB2312"/>
                          <w:sz w:val="28"/>
                          <w:szCs w:val="28"/>
                        </w:rPr>
                      </w:pPr>
                    </w:p>
                    <w:p w14:paraId="25B3850F">
                      <w:pPr>
                        <w:jc w:val="center"/>
                        <w:rPr>
                          <w:rFonts w:ascii="楷体_GB2312" w:eastAsia="楷体_GB2312"/>
                          <w:sz w:val="28"/>
                          <w:szCs w:val="28"/>
                        </w:rPr>
                      </w:pPr>
                    </w:p>
                  </w:txbxContent>
                </v:textbox>
              </v:shape>
            </w:pict>
          </mc:Fallback>
        </mc:AlternateContent>
      </w:r>
    </w:p>
    <w:p w14:paraId="4EF64860">
      <w:pPr>
        <w:spacing w:line="360" w:lineRule="auto"/>
        <w:rPr>
          <w:rFonts w:eastAsia="黑体"/>
          <w:bCs/>
          <w:color w:val="000000" w:themeColor="text1"/>
          <w:sz w:val="28"/>
          <w:szCs w:val="28"/>
          <w14:textFill>
            <w14:solidFill>
              <w14:schemeClr w14:val="tx1"/>
            </w14:solidFill>
          </w14:textFill>
        </w:rPr>
      </w:pPr>
    </w:p>
    <w:p w14:paraId="225E84F1">
      <w:pPr>
        <w:spacing w:line="360" w:lineRule="auto"/>
        <w:jc w:val="center"/>
        <w:rPr>
          <w:rFonts w:eastAsia="黑体"/>
          <w:bCs/>
          <w:color w:val="000000" w:themeColor="text1"/>
          <w:sz w:val="28"/>
          <w:szCs w:val="28"/>
          <w14:textFill>
            <w14:solidFill>
              <w14:schemeClr w14:val="tx1"/>
            </w14:solidFill>
          </w14:textFill>
        </w:rPr>
      </w:pPr>
    </w:p>
    <w:p w14:paraId="631B19DE">
      <w:pPr>
        <w:spacing w:line="360" w:lineRule="auto"/>
        <w:jc w:val="center"/>
        <w:rPr>
          <w:rFonts w:eastAsia="黑体"/>
          <w:bCs/>
          <w:color w:val="000000" w:themeColor="text1"/>
          <w:sz w:val="28"/>
          <w:szCs w:val="28"/>
          <w14:textFill>
            <w14:solidFill>
              <w14:schemeClr w14:val="tx1"/>
            </w14:solidFill>
          </w14:textFill>
        </w:rPr>
      </w:pPr>
    </w:p>
    <w:p w14:paraId="2627E911">
      <w:pPr>
        <w:spacing w:line="360" w:lineRule="auto"/>
        <w:ind w:firstLine="480"/>
        <w:rPr>
          <w:rFonts w:eastAsia="黑体"/>
          <w:bCs/>
          <w:color w:val="000000" w:themeColor="text1"/>
          <w:sz w:val="24"/>
          <w:szCs w:val="24"/>
          <w14:textFill>
            <w14:solidFill>
              <w14:schemeClr w14:val="tx1"/>
            </w14:solidFill>
          </w14:textFill>
        </w:rPr>
      </w:pPr>
    </w:p>
    <w:p w14:paraId="58605C25">
      <w:pPr>
        <w:rPr>
          <w:rFonts w:eastAsia="黑体"/>
          <w:bCs/>
          <w:color w:val="000000" w:themeColor="text1"/>
          <w:sz w:val="24"/>
          <w:szCs w:val="24"/>
          <w14:textFill>
            <w14:solidFill>
              <w14:schemeClr w14:val="tx1"/>
            </w14:solidFill>
          </w14:textFill>
        </w:rPr>
      </w:pPr>
    </w:p>
    <w:p w14:paraId="45873991">
      <w:pPr>
        <w:ind w:firstLine="480"/>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br w:type="page" w:clear="all"/>
      </w:r>
      <w:r>
        <w:rPr>
          <w:rFonts w:eastAsia="黑体"/>
          <w:bCs/>
          <w:color w:val="000000" w:themeColor="text1"/>
          <w:sz w:val="24"/>
          <w:szCs w:val="24"/>
          <w14:textFill>
            <w14:solidFill>
              <w14:schemeClr w14:val="tx1"/>
            </w14:solidFill>
          </w14:textFill>
        </w:rPr>
        <w:t>3.资格性证明材料复印件</w:t>
      </w:r>
      <w:bookmarkEnd w:id="90"/>
    </w:p>
    <w:p w14:paraId="215414C8">
      <w:pPr>
        <w:spacing w:before="156" w:after="156" w:line="480" w:lineRule="auto"/>
        <w:jc w:val="center"/>
        <w:rPr>
          <w:rFonts w:eastAsia="黑体"/>
          <w:bCs/>
          <w:color w:val="000000" w:themeColor="text1"/>
          <w:sz w:val="28"/>
          <w:szCs w:val="24"/>
          <w14:textFill>
            <w14:solidFill>
              <w14:schemeClr w14:val="tx1"/>
            </w14:solidFill>
          </w14:textFill>
        </w:rPr>
      </w:pPr>
      <w:r>
        <w:rPr>
          <w:rFonts w:eastAsia="黑体"/>
          <w:bCs/>
          <w:color w:val="000000" w:themeColor="text1"/>
          <w:sz w:val="28"/>
          <w:szCs w:val="24"/>
          <w14:textFill>
            <w14:solidFill>
              <w14:schemeClr w14:val="tx1"/>
            </w14:solidFill>
          </w14:textFill>
        </w:rPr>
        <w:t>资格性证明材料</w:t>
      </w:r>
    </w:p>
    <w:p w14:paraId="278E048D">
      <w:pPr>
        <w:spacing w:before="156" w:after="156" w:line="480" w:lineRule="auto"/>
        <w:jc w:val="center"/>
        <w:rPr>
          <w:bCs/>
          <w:color w:val="000000" w:themeColor="text1"/>
          <w:sz w:val="24"/>
          <w:szCs w:val="24"/>
          <w14:textFill>
            <w14:solidFill>
              <w14:schemeClr w14:val="tx1"/>
            </w14:solidFill>
          </w14:textFill>
        </w:rPr>
      </w:pPr>
    </w:p>
    <w:p w14:paraId="402170B0">
      <w:pPr>
        <w:spacing w:line="48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投标人应按以下顺序提供相关材料复印件：</w:t>
      </w:r>
    </w:p>
    <w:p w14:paraId="68108C11">
      <w:pPr>
        <w:tabs>
          <w:tab w:val="left" w:pos="0"/>
          <w:tab w:val="left" w:pos="255"/>
        </w:tabs>
        <w:spacing w:line="360" w:lineRule="auto"/>
        <w:ind w:firstLine="480"/>
        <w:rPr>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1.投标人有效期内营业执照副本复印件或扫描件</w:t>
      </w:r>
      <w:r>
        <w:rPr>
          <w:bCs/>
          <w:color w:val="000000" w:themeColor="text1"/>
          <w:sz w:val="24"/>
          <w:szCs w:val="24"/>
          <w14:textFill>
            <w14:solidFill>
              <w14:schemeClr w14:val="tx1"/>
            </w14:solidFill>
          </w14:textFill>
        </w:rPr>
        <w:t>。</w:t>
      </w:r>
    </w:p>
    <w:p w14:paraId="375A69A0">
      <w:pPr>
        <w:tabs>
          <w:tab w:val="left" w:pos="0"/>
          <w:tab w:val="left" w:pos="25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2.法定代表人或投标机构负责人授权委托书（法定代表人亲自参加的除外）。</w:t>
      </w:r>
    </w:p>
    <w:p w14:paraId="142AB9B4">
      <w:pPr>
        <w:tabs>
          <w:tab w:val="left" w:pos="0"/>
          <w:tab w:val="left" w:pos="25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3.投标人的法定代表人身份证复印件及被授权代</w:t>
      </w:r>
      <w:r>
        <w:rPr>
          <w:rFonts w:hint="eastAsia"/>
          <w:bCs/>
          <w:color w:val="000000" w:themeColor="text1"/>
          <w:sz w:val="24"/>
          <w:szCs w:val="24"/>
          <w14:textFill>
            <w14:solidFill>
              <w14:schemeClr w14:val="tx1"/>
            </w14:solidFill>
          </w14:textFill>
        </w:rPr>
        <w:t>表人</w:t>
      </w:r>
      <w:r>
        <w:rPr>
          <w:bCs/>
          <w:color w:val="000000" w:themeColor="text1"/>
          <w:sz w:val="24"/>
          <w:szCs w:val="24"/>
          <w14:textFill>
            <w14:solidFill>
              <w14:schemeClr w14:val="tx1"/>
            </w14:solidFill>
          </w14:textFill>
        </w:rPr>
        <w:t>身份证复印件或扫描件正反面。</w:t>
      </w:r>
    </w:p>
    <w:p w14:paraId="78DBE411">
      <w:pPr>
        <w:tabs>
          <w:tab w:val="left" w:pos="0"/>
          <w:tab w:val="left" w:pos="255"/>
        </w:tabs>
        <w:spacing w:line="360" w:lineRule="auto"/>
        <w:ind w:firstLine="480"/>
        <w:rPr>
          <w:bCs/>
          <w:color w:val="000000" w:themeColor="text1"/>
          <w:sz w:val="24"/>
          <w:szCs w:val="24"/>
          <w14:textFill>
            <w14:solidFill>
              <w14:schemeClr w14:val="tx1"/>
            </w14:solidFill>
          </w14:textFill>
        </w:rPr>
      </w:pPr>
      <w:r>
        <w:rPr>
          <w:color w:val="000000" w:themeColor="text1"/>
          <w:sz w:val="24"/>
          <w:szCs w:val="24"/>
          <w:lang w:val="zh-CN"/>
          <w14:textFill>
            <w14:solidFill>
              <w14:schemeClr w14:val="tx1"/>
            </w14:solidFill>
          </w14:textFill>
        </w:rPr>
        <w:t>4.</w:t>
      </w:r>
      <w:r>
        <w:rPr>
          <w:bCs/>
          <w:color w:val="000000" w:themeColor="text1"/>
          <w:sz w:val="24"/>
          <w:szCs w:val="24"/>
          <w:lang w:val="zh-CN"/>
          <w14:textFill>
            <w14:solidFill>
              <w14:schemeClr w14:val="tx1"/>
            </w14:solidFill>
          </w14:textFill>
        </w:rPr>
        <w:t>投标人为本项目被授权代表在近六个月内任意一个月份的社保证明复印件或扫描件（提供相关主管部门证明或银行代扣证明，法定代表人亲自参加的除外）</w:t>
      </w:r>
      <w:r>
        <w:rPr>
          <w:bCs/>
          <w:color w:val="000000" w:themeColor="text1"/>
          <w:sz w:val="24"/>
          <w:szCs w:val="24"/>
          <w14:textFill>
            <w14:solidFill>
              <w14:schemeClr w14:val="tx1"/>
            </w14:solidFill>
          </w14:textFill>
        </w:rPr>
        <w:t xml:space="preserve">。   </w:t>
      </w:r>
    </w:p>
    <w:p w14:paraId="671971F3">
      <w:pPr>
        <w:tabs>
          <w:tab w:val="left" w:pos="0"/>
          <w:tab w:val="left" w:pos="25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5.投标人的《中华人民共和国保险许可证》</w:t>
      </w:r>
      <w:r>
        <w:rPr>
          <w:b/>
          <w:color w:val="000000" w:themeColor="text1"/>
          <w:sz w:val="24"/>
          <w:szCs w:val="24"/>
          <w14:textFill>
            <w14:solidFill>
              <w14:schemeClr w14:val="tx1"/>
            </w14:solidFill>
          </w14:textFill>
        </w:rPr>
        <w:t>复印件或扫描件</w:t>
      </w:r>
      <w:r>
        <w:rPr>
          <w:color w:val="000000" w:themeColor="text1"/>
          <w:sz w:val="24"/>
          <w:szCs w:val="24"/>
          <w14:textFill>
            <w14:solidFill>
              <w14:schemeClr w14:val="tx1"/>
            </w14:solidFill>
          </w14:textFill>
        </w:rPr>
        <w:t>。</w:t>
      </w:r>
    </w:p>
    <w:p w14:paraId="092D80DD">
      <w:pPr>
        <w:tabs>
          <w:tab w:val="left" w:pos="0"/>
          <w:tab w:val="left" w:pos="25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6.经第三方专业机构审计的总公司202</w:t>
      </w:r>
      <w:r>
        <w:rPr>
          <w:rFonts w:hint="eastAsia"/>
          <w:bCs/>
          <w:color w:val="000000" w:themeColor="text1"/>
          <w:sz w:val="24"/>
          <w:szCs w:val="24"/>
          <w14:textFill>
            <w14:solidFill>
              <w14:schemeClr w14:val="tx1"/>
            </w14:solidFill>
          </w14:textFill>
        </w:rPr>
        <w:t>3</w:t>
      </w:r>
      <w:r>
        <w:rPr>
          <w:bCs/>
          <w:color w:val="000000" w:themeColor="text1"/>
          <w:sz w:val="24"/>
          <w:szCs w:val="24"/>
          <w14:textFill>
            <w14:solidFill>
              <w14:schemeClr w14:val="tx1"/>
            </w14:solidFill>
          </w14:textFill>
        </w:rPr>
        <w:t>年度审计报告和所附的资产负债表、利润表和偿付能力状况表（</w:t>
      </w:r>
      <w:r>
        <w:rPr>
          <w:b/>
          <w:bCs/>
          <w:color w:val="000000" w:themeColor="text1"/>
          <w:sz w:val="24"/>
          <w:szCs w:val="24"/>
          <w14:textFill>
            <w14:solidFill>
              <w14:schemeClr w14:val="tx1"/>
            </w14:solidFill>
          </w14:textFill>
        </w:rPr>
        <w:t>复印件或扫描件</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w:t>
      </w:r>
      <w:r>
        <w:rPr>
          <w:bCs/>
          <w:color w:val="000000" w:themeColor="text1"/>
          <w:sz w:val="24"/>
          <w:szCs w:val="24"/>
          <w14:textFill>
            <w14:solidFill>
              <w14:schemeClr w14:val="tx1"/>
            </w14:solidFill>
          </w14:textFill>
        </w:rPr>
        <w:t>投标人的法人或投标人基本账户开户许可证或基本存款信息复印件或扫描件。</w:t>
      </w:r>
    </w:p>
    <w:p w14:paraId="13E05234">
      <w:pPr>
        <w:tabs>
          <w:tab w:val="left" w:pos="0"/>
          <w:tab w:val="left" w:pos="255"/>
        </w:tabs>
        <w:spacing w:line="360" w:lineRule="auto"/>
        <w:ind w:firstLine="482"/>
        <w:rPr>
          <w:bCs/>
          <w:color w:val="000000" w:themeColor="text1"/>
          <w:sz w:val="24"/>
          <w:szCs w:val="24"/>
          <w14:textFill>
            <w14:solidFill>
              <w14:schemeClr w14:val="tx1"/>
            </w14:solidFill>
          </w14:textFill>
        </w:rPr>
      </w:pPr>
      <w:r>
        <w:rPr>
          <w:b/>
          <w:color w:val="000000" w:themeColor="text1"/>
          <w:sz w:val="24"/>
          <w:szCs w:val="24"/>
          <w:lang w:val="zh-CN"/>
          <w14:textFill>
            <w14:solidFill>
              <w14:schemeClr w14:val="tx1"/>
            </w14:solidFill>
          </w14:textFill>
        </w:rPr>
        <w:t>7.</w:t>
      </w:r>
      <w:r>
        <w:rPr>
          <w:bCs/>
          <w:color w:val="000000" w:themeColor="text1"/>
          <w:sz w:val="24"/>
          <w:szCs w:val="24"/>
          <w:lang w:val="zh-CN"/>
          <w14:textFill>
            <w14:solidFill>
              <w14:schemeClr w14:val="tx1"/>
            </w14:solidFill>
          </w14:textFill>
        </w:rPr>
        <w:t>投标人依法缴纳近十二个月中任意一个月份税收的相关材料（提供相关主管部门证明或银行代扣证明）复印件或扫描件。</w:t>
      </w:r>
    </w:p>
    <w:p w14:paraId="15F89585">
      <w:pPr>
        <w:tabs>
          <w:tab w:val="left" w:pos="0"/>
          <w:tab w:val="left" w:pos="25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8.投标人依法缴纳近十二个月中任意一个月份社会保障资金的相关材料（提供相关主管部门证明或银行代扣证明）复印件</w:t>
      </w:r>
      <w:r>
        <w:rPr>
          <w:bCs/>
          <w:color w:val="000000" w:themeColor="text1"/>
          <w:sz w:val="24"/>
          <w:szCs w:val="24"/>
          <w14:textFill>
            <w14:solidFill>
              <w14:schemeClr w14:val="tx1"/>
            </w14:solidFill>
          </w14:textFill>
        </w:rPr>
        <w:t>。</w:t>
      </w:r>
    </w:p>
    <w:p w14:paraId="54C91C22">
      <w:pPr>
        <w:tabs>
          <w:tab w:val="left" w:pos="0"/>
          <w:tab w:val="left" w:pos="25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9.未被“</w:t>
      </w:r>
      <w:r>
        <w:rPr>
          <w:bCs/>
          <w:color w:val="000000" w:themeColor="text1"/>
          <w:sz w:val="24"/>
          <w:szCs w:val="24"/>
          <w:lang w:val="zh-CN"/>
          <w14:textFill>
            <w14:solidFill>
              <w14:schemeClr w14:val="tx1"/>
            </w14:solidFill>
          </w14:textFill>
        </w:rPr>
        <w:t>信用中国</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网站</w:t>
      </w:r>
      <w:r>
        <w:rPr>
          <w:bCs/>
          <w:color w:val="000000" w:themeColor="text1"/>
          <w:sz w:val="24"/>
          <w:szCs w:val="24"/>
          <w14:textFill>
            <w14:solidFill>
              <w14:schemeClr w14:val="tx1"/>
            </w14:solidFill>
          </w14:textFill>
        </w:rPr>
        <w:t>（www.creditchina.gov.cn）</w:t>
      </w:r>
      <w:r>
        <w:rPr>
          <w:bCs/>
          <w:color w:val="000000" w:themeColor="text1"/>
          <w:sz w:val="24"/>
          <w:szCs w:val="24"/>
          <w:lang w:val="zh-CN"/>
          <w14:textFill>
            <w14:solidFill>
              <w14:schemeClr w14:val="tx1"/>
            </w14:solidFill>
          </w14:textFill>
        </w:rPr>
        <w:t>列入失信执行人、重大税收违法案件当事人名单、政府采购严重违法失信名单</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或未在</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中国政府采购网</w:t>
      </w:r>
      <w:r>
        <w:rPr>
          <w:bCs/>
          <w:color w:val="000000" w:themeColor="text1"/>
          <w:sz w:val="24"/>
          <w:szCs w:val="24"/>
          <w14:textFill>
            <w14:solidFill>
              <w14:schemeClr w14:val="tx1"/>
            </w14:solidFill>
          </w14:textFill>
        </w:rPr>
        <w:t>”</w:t>
      </w:r>
      <w:r>
        <w:rPr>
          <w:bCs/>
          <w:color w:val="000000" w:themeColor="text1"/>
          <w:sz w:val="24"/>
          <w:szCs w:val="24"/>
          <w:lang w:val="zh-CN"/>
          <w14:textFill>
            <w14:solidFill>
              <w14:schemeClr w14:val="tx1"/>
            </w14:solidFill>
          </w14:textFill>
        </w:rPr>
        <w:t>网站</w:t>
      </w:r>
      <w:r>
        <w:rPr>
          <w:bCs/>
          <w:color w:val="000000" w:themeColor="text1"/>
          <w:sz w:val="24"/>
          <w:szCs w:val="24"/>
          <w14:textFill>
            <w14:solidFill>
              <w14:schemeClr w14:val="tx1"/>
            </w14:solidFill>
          </w14:textFill>
        </w:rPr>
        <w:t>（www.ccgp.gov.cn）</w:t>
      </w:r>
      <w:r>
        <w:rPr>
          <w:bCs/>
          <w:color w:val="000000" w:themeColor="text1"/>
          <w:sz w:val="24"/>
          <w:szCs w:val="24"/>
          <w:lang w:val="zh-CN"/>
          <w14:textFill>
            <w14:solidFill>
              <w14:schemeClr w14:val="tx1"/>
            </w14:solidFill>
          </w14:textFill>
        </w:rPr>
        <w:t>被列入政府采购严重违法失信行为记录名单</w:t>
      </w:r>
      <w:r>
        <w:rPr>
          <w:bCs/>
          <w:color w:val="000000" w:themeColor="text1"/>
          <w:sz w:val="24"/>
          <w:szCs w:val="24"/>
          <w14:textFill>
            <w14:solidFill>
              <w14:schemeClr w14:val="tx1"/>
            </w14:solidFill>
          </w14:textFill>
        </w:rPr>
        <w:t>；</w:t>
      </w:r>
      <w:r>
        <w:rPr>
          <w:b/>
          <w:color w:val="000000" w:themeColor="text1"/>
          <w:sz w:val="24"/>
          <w:szCs w:val="24"/>
          <w14:textFill>
            <w14:solidFill>
              <w14:schemeClr w14:val="tx1"/>
            </w14:solidFill>
          </w14:textFill>
        </w:rPr>
        <w:t>（若投标人企业信息已录入以上网站的，</w:t>
      </w:r>
      <w:r>
        <w:rPr>
          <w:b/>
          <w:color w:val="000000" w:themeColor="text1"/>
          <w:sz w:val="24"/>
          <w:szCs w:val="24"/>
          <w:lang w:val="zh-CN"/>
          <w14:textFill>
            <w14:solidFill>
              <w14:schemeClr w14:val="tx1"/>
            </w14:solidFill>
          </w14:textFill>
        </w:rPr>
        <w:t>无需提供相关证明材料</w:t>
      </w:r>
      <w:r>
        <w:rPr>
          <w:b/>
          <w:color w:val="000000" w:themeColor="text1"/>
          <w:sz w:val="24"/>
          <w:szCs w:val="24"/>
          <w14:textFill>
            <w14:solidFill>
              <w14:schemeClr w14:val="tx1"/>
            </w14:solidFill>
          </w14:textFill>
        </w:rPr>
        <w:t>；若投标人企业信息未录入以上网站的，须在投标文件中提供无不良信用记录承诺书）</w:t>
      </w:r>
      <w:r>
        <w:rPr>
          <w:color w:val="000000" w:themeColor="text1"/>
          <w:sz w:val="24"/>
          <w:szCs w:val="24"/>
          <w14:textFill>
            <w14:solidFill>
              <w14:schemeClr w14:val="tx1"/>
            </w14:solidFill>
          </w14:textFill>
        </w:rPr>
        <w:t>注：以上“近十二个月”是指投标截止日之前近十二个月（不含投标当月）。</w:t>
      </w:r>
    </w:p>
    <w:p w14:paraId="7C3231C4">
      <w:pPr>
        <w:tabs>
          <w:tab w:val="left" w:pos="0"/>
          <w:tab w:val="left" w:pos="255"/>
        </w:tabs>
        <w:spacing w:line="360" w:lineRule="auto"/>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10.</w:t>
      </w:r>
      <w:r>
        <w:rPr>
          <w:bCs/>
          <w:color w:val="000000" w:themeColor="text1"/>
          <w:sz w:val="24"/>
          <w:szCs w:val="24"/>
          <w14:textFill>
            <w14:solidFill>
              <w14:schemeClr w14:val="tx1"/>
            </w14:solidFill>
          </w14:textFill>
        </w:rPr>
        <w:t>经第三方专业机构核实的2023年度投标人或上级公司的《履约能力调查报告书》精简版复印件或扫描件</w:t>
      </w:r>
      <w:r>
        <w:rPr>
          <w:b/>
          <w:bCs/>
          <w:color w:val="000000" w:themeColor="text1"/>
          <w:sz w:val="24"/>
          <w:szCs w:val="24"/>
          <w14:textFill>
            <w14:solidFill>
              <w14:schemeClr w14:val="tx1"/>
            </w14:solidFill>
          </w14:textFill>
        </w:rPr>
        <w:t>（投标时必须提供原件备查）</w:t>
      </w:r>
      <w:r>
        <w:rPr>
          <w:color w:val="000000" w:themeColor="text1"/>
          <w:sz w:val="24"/>
          <w:szCs w:val="24"/>
          <w14:textFill>
            <w14:solidFill>
              <w14:schemeClr w14:val="tx1"/>
            </w14:solidFill>
          </w14:textFill>
        </w:rPr>
        <w:t>。</w:t>
      </w:r>
    </w:p>
    <w:p w14:paraId="22474D5A">
      <w:pPr>
        <w:spacing w:line="360" w:lineRule="auto"/>
        <w:ind w:left="5460" w:hanging="546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          </w:t>
      </w:r>
      <w:r>
        <w:rPr>
          <w:bCs/>
          <w:color w:val="000000" w:themeColor="text1"/>
          <w:sz w:val="24"/>
          <w:lang w:val="zh-CN"/>
          <w14:textFill>
            <w14:solidFill>
              <w14:schemeClr w14:val="tx1"/>
            </w14:solidFill>
          </w14:textFill>
        </w:rPr>
        <w:t>投标人（电子签章）：</w:t>
      </w:r>
    </w:p>
    <w:p w14:paraId="76ACE91F">
      <w:pPr>
        <w:spacing w:line="360" w:lineRule="auto"/>
        <w:ind w:left="5460" w:hanging="5460"/>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 xml:space="preserve">         </w:t>
      </w:r>
    </w:p>
    <w:p w14:paraId="18B01F4F">
      <w:pPr>
        <w:ind w:firstLine="480"/>
        <w:jc w:val="left"/>
        <w:rPr>
          <w:color w:val="000000" w:themeColor="text1"/>
          <w:sz w:val="24"/>
          <w:szCs w:val="21"/>
          <w14:textFill>
            <w14:solidFill>
              <w14:schemeClr w14:val="tx1"/>
            </w14:solidFill>
          </w14:textFill>
        </w:rPr>
      </w:pPr>
      <w:r>
        <w:rPr>
          <w:bCs/>
          <w:color w:val="000000" w:themeColor="text1"/>
          <w:sz w:val="24"/>
          <w:szCs w:val="24"/>
          <w14:textFill>
            <w14:solidFill>
              <w14:schemeClr w14:val="tx1"/>
            </w14:solidFill>
          </w14:textFill>
        </w:rPr>
        <w:br w:type="page" w:clear="all"/>
      </w:r>
      <w:r>
        <w:rPr>
          <w:rFonts w:eastAsia="黑体"/>
          <w:bCs/>
          <w:color w:val="000000" w:themeColor="text1"/>
          <w:sz w:val="24"/>
          <w:szCs w:val="24"/>
          <w14:textFill>
            <w14:solidFill>
              <w14:schemeClr w14:val="tx1"/>
            </w14:solidFill>
          </w14:textFill>
        </w:rPr>
        <w:t>（三）技术商务部分评分导读表（格式）</w:t>
      </w:r>
    </w:p>
    <w:p w14:paraId="2AFEF27B">
      <w:pPr>
        <w:tabs>
          <w:tab w:val="left" w:pos="255"/>
        </w:tabs>
        <w:spacing w:before="156" w:after="156" w:line="360" w:lineRule="auto"/>
        <w:jc w:val="center"/>
        <w:rPr>
          <w:rFonts w:eastAsia="黑体"/>
          <w:color w:val="000000" w:themeColor="text1"/>
          <w:sz w:val="28"/>
          <w:szCs w:val="21"/>
          <w14:textFill>
            <w14:solidFill>
              <w14:schemeClr w14:val="tx1"/>
            </w14:solidFill>
          </w14:textFill>
        </w:rPr>
      </w:pPr>
      <w:r>
        <w:rPr>
          <w:rFonts w:eastAsia="黑体"/>
          <w:color w:val="000000" w:themeColor="text1"/>
          <w:sz w:val="28"/>
          <w:szCs w:val="21"/>
          <w:lang w:val="zh-CN"/>
          <w14:textFill>
            <w14:solidFill>
              <w14:schemeClr w14:val="tx1"/>
            </w14:solidFill>
          </w14:textFill>
        </w:rPr>
        <w:t xml:space="preserve"> 技术商务部分评分导读表</w:t>
      </w:r>
    </w:p>
    <w:p w14:paraId="1FEB87E2">
      <w:pPr>
        <w:tabs>
          <w:tab w:val="left" w:pos="255"/>
        </w:tabs>
        <w:spacing w:before="156" w:after="156" w:line="360" w:lineRule="auto"/>
        <w:jc w:val="center"/>
        <w:rPr>
          <w:rFonts w:eastAsia="黑体"/>
          <w:color w:val="000000" w:themeColor="text1"/>
          <w:sz w:val="28"/>
          <w:szCs w:val="21"/>
          <w14:textFill>
            <w14:solidFill>
              <w14:schemeClr w14:val="tx1"/>
            </w14:solidFill>
          </w14:textFill>
        </w:rPr>
      </w:pPr>
    </w:p>
    <w:p w14:paraId="4A7DA9AF">
      <w:pPr>
        <w:spacing w:after="156"/>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项目名称：养老机构综合责任保险、养老机构入住老人意外伤害保险和居家养老服务机构综合责任保险                                     </w:t>
      </w:r>
    </w:p>
    <w:p w14:paraId="097AE714">
      <w:pPr>
        <w:spacing w:after="156"/>
        <w:ind w:firstLine="480"/>
        <w:rPr>
          <w:color w:val="000000" w:themeColor="text1"/>
          <w:sz w:val="24"/>
          <w:szCs w:val="21"/>
          <w14:textFill>
            <w14:solidFill>
              <w14:schemeClr w14:val="tx1"/>
            </w14:solidFill>
          </w14:textFill>
        </w:rPr>
      </w:pPr>
      <w:r>
        <w:rPr>
          <w:color w:val="000000" w:themeColor="text1"/>
          <w:sz w:val="24"/>
          <w:szCs w:val="24"/>
          <w14:textFill>
            <w14:solidFill>
              <w14:schemeClr w14:val="tx1"/>
            </w14:solidFill>
          </w14:textFill>
        </w:rPr>
        <w:t>项目编号：</w:t>
      </w:r>
      <w:r>
        <w:rPr>
          <w:bCs/>
          <w:color w:val="000000" w:themeColor="text1"/>
          <w:sz w:val="24"/>
          <w:szCs w:val="24"/>
          <w14:textFill>
            <w14:solidFill>
              <w14:schemeClr w14:val="tx1"/>
            </w14:solidFill>
          </w14:textFill>
        </w:rPr>
        <w:t>JSZC-320282-HTBX-G2025-0004</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3960"/>
        <w:gridCol w:w="1253"/>
        <w:gridCol w:w="1231"/>
      </w:tblGrid>
      <w:tr w14:paraId="1C24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77E3071">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序号</w:t>
            </w:r>
          </w:p>
        </w:tc>
        <w:tc>
          <w:tcPr>
            <w:tcW w:w="1260" w:type="dxa"/>
            <w:tcBorders>
              <w:top w:val="single" w:color="auto" w:sz="4" w:space="0"/>
              <w:left w:val="single" w:color="auto" w:sz="4" w:space="0"/>
              <w:right w:val="single" w:color="auto" w:sz="4" w:space="0"/>
            </w:tcBorders>
            <w:vAlign w:val="center"/>
          </w:tcPr>
          <w:p w14:paraId="1940EBB2">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评审项目</w:t>
            </w:r>
          </w:p>
        </w:tc>
        <w:tc>
          <w:tcPr>
            <w:tcW w:w="3960" w:type="dxa"/>
            <w:tcBorders>
              <w:top w:val="single" w:color="auto" w:sz="4" w:space="0"/>
              <w:left w:val="single" w:color="auto" w:sz="4" w:space="0"/>
              <w:bottom w:val="single" w:color="auto" w:sz="4" w:space="0"/>
              <w:right w:val="single" w:color="auto" w:sz="4" w:space="0"/>
            </w:tcBorders>
            <w:vAlign w:val="center"/>
          </w:tcPr>
          <w:p w14:paraId="6842588C">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响应情况</w:t>
            </w:r>
          </w:p>
        </w:tc>
        <w:tc>
          <w:tcPr>
            <w:tcW w:w="1253" w:type="dxa"/>
            <w:tcBorders>
              <w:top w:val="single" w:color="auto" w:sz="4" w:space="0"/>
              <w:left w:val="single" w:color="auto" w:sz="4" w:space="0"/>
              <w:bottom w:val="single" w:color="auto" w:sz="4" w:space="0"/>
              <w:right w:val="single" w:color="auto" w:sz="4" w:space="0"/>
            </w:tcBorders>
            <w:vAlign w:val="center"/>
          </w:tcPr>
          <w:p w14:paraId="7C4AA94B">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自评分值</w:t>
            </w:r>
          </w:p>
        </w:tc>
        <w:tc>
          <w:tcPr>
            <w:tcW w:w="1231" w:type="dxa"/>
            <w:tcBorders>
              <w:top w:val="single" w:color="auto" w:sz="4" w:space="0"/>
              <w:left w:val="single" w:color="auto" w:sz="4" w:space="0"/>
              <w:bottom w:val="single" w:color="auto" w:sz="4" w:space="0"/>
              <w:right w:val="single" w:color="auto" w:sz="4" w:space="0"/>
            </w:tcBorders>
            <w:vAlign w:val="center"/>
          </w:tcPr>
          <w:p w14:paraId="264F3EBD">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投标文件对应页码</w:t>
            </w:r>
          </w:p>
        </w:tc>
      </w:tr>
      <w:tr w14:paraId="58047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6040A45F">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1260" w:type="dxa"/>
            <w:tcBorders>
              <w:top w:val="single" w:color="auto" w:sz="4" w:space="0"/>
              <w:left w:val="single" w:color="auto" w:sz="4" w:space="0"/>
              <w:right w:val="single" w:color="auto" w:sz="4" w:space="0"/>
            </w:tcBorders>
            <w:vAlign w:val="center"/>
          </w:tcPr>
          <w:p w14:paraId="68D76B81">
            <w:pPr>
              <w:jc w:val="center"/>
              <w:rPr>
                <w:color w:val="000000" w:themeColor="text1"/>
                <w:sz w:val="24"/>
                <w:szCs w:val="24"/>
                <w14:textFill>
                  <w14:solidFill>
                    <w14:schemeClr w14:val="tx1"/>
                  </w14:solidFill>
                </w14:textFill>
              </w:rPr>
            </w:pPr>
          </w:p>
        </w:tc>
        <w:tc>
          <w:tcPr>
            <w:tcW w:w="3960" w:type="dxa"/>
            <w:tcBorders>
              <w:top w:val="single" w:color="auto" w:sz="4" w:space="0"/>
              <w:left w:val="single" w:color="auto" w:sz="4" w:space="0"/>
              <w:bottom w:val="single" w:color="auto" w:sz="4" w:space="0"/>
              <w:right w:val="single" w:color="auto" w:sz="4" w:space="0"/>
            </w:tcBorders>
            <w:vAlign w:val="center"/>
          </w:tcPr>
          <w:p w14:paraId="60BD7A98">
            <w:pPr>
              <w:jc w:val="center"/>
              <w:rPr>
                <w:color w:val="000000" w:themeColor="text1"/>
                <w:sz w:val="24"/>
                <w:szCs w:val="24"/>
                <w14:textFill>
                  <w14:solidFill>
                    <w14:schemeClr w14:val="tx1"/>
                  </w14:solidFill>
                </w14:textFill>
              </w:rPr>
            </w:pPr>
          </w:p>
        </w:tc>
        <w:tc>
          <w:tcPr>
            <w:tcW w:w="1253" w:type="dxa"/>
            <w:tcBorders>
              <w:top w:val="single" w:color="auto" w:sz="4" w:space="0"/>
              <w:left w:val="single" w:color="auto" w:sz="4" w:space="0"/>
              <w:bottom w:val="single" w:color="auto" w:sz="4" w:space="0"/>
              <w:right w:val="single" w:color="auto" w:sz="4" w:space="0"/>
            </w:tcBorders>
            <w:vAlign w:val="center"/>
          </w:tcPr>
          <w:p w14:paraId="416A7B22">
            <w:pPr>
              <w:jc w:val="center"/>
              <w:rPr>
                <w:color w:val="000000" w:themeColor="text1"/>
                <w:sz w:val="24"/>
                <w:szCs w:val="24"/>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2C835F13">
            <w:pPr>
              <w:jc w:val="center"/>
              <w:rPr>
                <w:color w:val="000000" w:themeColor="text1"/>
                <w:sz w:val="24"/>
                <w:szCs w:val="24"/>
                <w14:textFill>
                  <w14:solidFill>
                    <w14:schemeClr w14:val="tx1"/>
                  </w14:solidFill>
                </w14:textFill>
              </w:rPr>
            </w:pPr>
          </w:p>
        </w:tc>
      </w:tr>
      <w:tr w14:paraId="1EFA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8019CC8">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1260" w:type="dxa"/>
            <w:tcBorders>
              <w:top w:val="single" w:color="auto" w:sz="4" w:space="0"/>
              <w:left w:val="single" w:color="auto" w:sz="4" w:space="0"/>
              <w:right w:val="single" w:color="auto" w:sz="4" w:space="0"/>
            </w:tcBorders>
            <w:vAlign w:val="center"/>
          </w:tcPr>
          <w:p w14:paraId="031A876B">
            <w:pPr>
              <w:jc w:val="center"/>
              <w:rPr>
                <w:color w:val="000000" w:themeColor="text1"/>
                <w:sz w:val="24"/>
                <w:szCs w:val="24"/>
                <w14:textFill>
                  <w14:solidFill>
                    <w14:schemeClr w14:val="tx1"/>
                  </w14:solidFill>
                </w14:textFill>
              </w:rPr>
            </w:pPr>
          </w:p>
        </w:tc>
        <w:tc>
          <w:tcPr>
            <w:tcW w:w="3960" w:type="dxa"/>
            <w:tcBorders>
              <w:top w:val="single" w:color="auto" w:sz="4" w:space="0"/>
              <w:left w:val="single" w:color="auto" w:sz="4" w:space="0"/>
              <w:bottom w:val="single" w:color="auto" w:sz="4" w:space="0"/>
              <w:right w:val="single" w:color="auto" w:sz="4" w:space="0"/>
            </w:tcBorders>
            <w:vAlign w:val="center"/>
          </w:tcPr>
          <w:p w14:paraId="71FB3C6A">
            <w:pPr>
              <w:jc w:val="center"/>
              <w:rPr>
                <w:color w:val="000000" w:themeColor="text1"/>
                <w:sz w:val="24"/>
                <w:szCs w:val="24"/>
                <w14:textFill>
                  <w14:solidFill>
                    <w14:schemeClr w14:val="tx1"/>
                  </w14:solidFill>
                </w14:textFill>
              </w:rPr>
            </w:pPr>
          </w:p>
        </w:tc>
        <w:tc>
          <w:tcPr>
            <w:tcW w:w="1253" w:type="dxa"/>
            <w:tcBorders>
              <w:top w:val="single" w:color="auto" w:sz="4" w:space="0"/>
              <w:left w:val="single" w:color="auto" w:sz="4" w:space="0"/>
              <w:bottom w:val="single" w:color="auto" w:sz="4" w:space="0"/>
              <w:right w:val="single" w:color="auto" w:sz="4" w:space="0"/>
            </w:tcBorders>
            <w:vAlign w:val="center"/>
          </w:tcPr>
          <w:p w14:paraId="5472DCEA">
            <w:pPr>
              <w:jc w:val="center"/>
              <w:rPr>
                <w:color w:val="000000" w:themeColor="text1"/>
                <w:sz w:val="24"/>
                <w:szCs w:val="24"/>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04BFDCD8">
            <w:pPr>
              <w:jc w:val="center"/>
              <w:rPr>
                <w:color w:val="000000" w:themeColor="text1"/>
                <w:sz w:val="24"/>
                <w:szCs w:val="24"/>
                <w14:textFill>
                  <w14:solidFill>
                    <w14:schemeClr w14:val="tx1"/>
                  </w14:solidFill>
                </w14:textFill>
              </w:rPr>
            </w:pPr>
          </w:p>
        </w:tc>
      </w:tr>
      <w:tr w14:paraId="0291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26686D96">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1260" w:type="dxa"/>
            <w:tcBorders>
              <w:top w:val="single" w:color="auto" w:sz="4" w:space="0"/>
              <w:left w:val="single" w:color="auto" w:sz="4" w:space="0"/>
              <w:right w:val="single" w:color="auto" w:sz="4" w:space="0"/>
            </w:tcBorders>
            <w:vAlign w:val="center"/>
          </w:tcPr>
          <w:p w14:paraId="21D19258">
            <w:pPr>
              <w:jc w:val="center"/>
              <w:rPr>
                <w:color w:val="000000" w:themeColor="text1"/>
                <w:sz w:val="24"/>
                <w:szCs w:val="24"/>
                <w14:textFill>
                  <w14:solidFill>
                    <w14:schemeClr w14:val="tx1"/>
                  </w14:solidFill>
                </w14:textFill>
              </w:rPr>
            </w:pPr>
          </w:p>
        </w:tc>
        <w:tc>
          <w:tcPr>
            <w:tcW w:w="3960" w:type="dxa"/>
            <w:tcBorders>
              <w:top w:val="single" w:color="auto" w:sz="4" w:space="0"/>
              <w:left w:val="single" w:color="auto" w:sz="4" w:space="0"/>
              <w:bottom w:val="single" w:color="auto" w:sz="4" w:space="0"/>
              <w:right w:val="single" w:color="auto" w:sz="4" w:space="0"/>
            </w:tcBorders>
            <w:vAlign w:val="center"/>
          </w:tcPr>
          <w:p w14:paraId="0451A251">
            <w:pPr>
              <w:jc w:val="left"/>
              <w:rPr>
                <w:color w:val="000000" w:themeColor="text1"/>
                <w:sz w:val="24"/>
                <w:szCs w:val="24"/>
                <w14:textFill>
                  <w14:solidFill>
                    <w14:schemeClr w14:val="tx1"/>
                  </w14:solidFill>
                </w14:textFill>
              </w:rPr>
            </w:pPr>
          </w:p>
        </w:tc>
        <w:tc>
          <w:tcPr>
            <w:tcW w:w="1253" w:type="dxa"/>
            <w:tcBorders>
              <w:top w:val="single" w:color="auto" w:sz="4" w:space="0"/>
              <w:left w:val="single" w:color="auto" w:sz="4" w:space="0"/>
              <w:bottom w:val="single" w:color="auto" w:sz="4" w:space="0"/>
              <w:right w:val="single" w:color="auto" w:sz="4" w:space="0"/>
            </w:tcBorders>
            <w:vAlign w:val="center"/>
          </w:tcPr>
          <w:p w14:paraId="4A8446A8">
            <w:pPr>
              <w:jc w:val="left"/>
              <w:rPr>
                <w:color w:val="000000" w:themeColor="text1"/>
                <w:sz w:val="24"/>
                <w:szCs w:val="24"/>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2B521EBA">
            <w:pPr>
              <w:jc w:val="center"/>
              <w:rPr>
                <w:color w:val="000000" w:themeColor="text1"/>
                <w:sz w:val="24"/>
                <w:szCs w:val="24"/>
                <w14:textFill>
                  <w14:solidFill>
                    <w14:schemeClr w14:val="tx1"/>
                  </w14:solidFill>
                </w14:textFill>
              </w:rPr>
            </w:pPr>
          </w:p>
        </w:tc>
      </w:tr>
    </w:tbl>
    <w:p w14:paraId="3BBEB81E">
      <w:pPr>
        <w:spacing w:line="360" w:lineRule="auto"/>
        <w:ind w:left="5460" w:hanging="5460"/>
        <w:jc w:val="center"/>
        <w:rPr>
          <w:bCs/>
          <w:color w:val="000000" w:themeColor="text1"/>
          <w:sz w:val="24"/>
          <w14:textFill>
            <w14:solidFill>
              <w14:schemeClr w14:val="tx1"/>
            </w14:solidFill>
          </w14:textFill>
        </w:rPr>
      </w:pPr>
    </w:p>
    <w:p w14:paraId="26FD9F47">
      <w:pPr>
        <w:spacing w:line="360" w:lineRule="auto"/>
        <w:ind w:left="5460" w:hanging="5460"/>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 xml:space="preserve">                              投标人（电子签章）：</w:t>
      </w:r>
    </w:p>
    <w:p w14:paraId="286A8588">
      <w:pPr>
        <w:spacing w:line="360" w:lineRule="auto"/>
        <w:ind w:left="5460" w:hanging="5460"/>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 xml:space="preserve">                          </w:t>
      </w:r>
    </w:p>
    <w:p w14:paraId="57EE8B17">
      <w:pPr>
        <w:spacing w:line="580" w:lineRule="exact"/>
        <w:ind w:firstLine="480"/>
        <w:rPr>
          <w:bCs/>
          <w:color w:val="000000" w:themeColor="text1"/>
          <w:sz w:val="24"/>
          <w:szCs w:val="24"/>
          <w14:textFill>
            <w14:solidFill>
              <w14:schemeClr w14:val="tx1"/>
            </w14:solidFill>
          </w14:textFill>
        </w:rPr>
      </w:pPr>
    </w:p>
    <w:p w14:paraId="398F650D">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lang w:val="zh-CN"/>
          <w14:textFill>
            <w14:solidFill>
              <w14:schemeClr w14:val="tx1"/>
            </w14:solidFill>
          </w14:textFill>
        </w:rPr>
        <w:t>注：投标人应对照招标文件“第</w:t>
      </w:r>
      <w:r>
        <w:rPr>
          <w:bCs/>
          <w:color w:val="000000" w:themeColor="text1"/>
          <w:sz w:val="24"/>
          <w:szCs w:val="24"/>
          <w14:textFill>
            <w14:solidFill>
              <w14:schemeClr w14:val="tx1"/>
            </w14:solidFill>
          </w14:textFill>
        </w:rPr>
        <w:t>三</w:t>
      </w:r>
      <w:r>
        <w:rPr>
          <w:bCs/>
          <w:color w:val="000000" w:themeColor="text1"/>
          <w:sz w:val="24"/>
          <w:szCs w:val="24"/>
          <w:lang w:val="zh-CN"/>
          <w14:textFill>
            <w14:solidFill>
              <w14:schemeClr w14:val="tx1"/>
            </w14:solidFill>
          </w14:textFill>
        </w:rPr>
        <w:t>章评标方法和标准”的相关要求，根据自身响应情况填写上表；并在“</w:t>
      </w:r>
      <w:r>
        <w:rPr>
          <w:color w:val="000000" w:themeColor="text1"/>
          <w:sz w:val="24"/>
          <w:szCs w:val="24"/>
          <w14:textFill>
            <w14:solidFill>
              <w14:schemeClr w14:val="tx1"/>
            </w14:solidFill>
          </w14:textFill>
        </w:rPr>
        <w:t>响应情况</w:t>
      </w:r>
      <w:r>
        <w:rPr>
          <w:bCs/>
          <w:color w:val="000000" w:themeColor="text1"/>
          <w:sz w:val="24"/>
          <w:szCs w:val="24"/>
          <w:lang w:val="zh-CN"/>
          <w14:textFill>
            <w14:solidFill>
              <w14:schemeClr w14:val="tx1"/>
            </w14:solidFill>
          </w14:textFill>
        </w:rPr>
        <w:t>”栏填入所提供的证明材料清单，</w:t>
      </w:r>
      <w:r>
        <w:rPr>
          <w:bCs/>
          <w:color w:val="000000" w:themeColor="text1"/>
          <w:sz w:val="24"/>
          <w:szCs w:val="24"/>
          <w14:textFill>
            <w14:solidFill>
              <w14:schemeClr w14:val="tx1"/>
            </w14:solidFill>
          </w14:textFill>
        </w:rPr>
        <w:t>没有证明材料的此栏填“无”</w:t>
      </w:r>
      <w:r>
        <w:rPr>
          <w:bCs/>
          <w:color w:val="000000" w:themeColor="text1"/>
          <w:sz w:val="24"/>
          <w:szCs w:val="24"/>
          <w:lang w:val="zh-CN"/>
          <w14:textFill>
            <w14:solidFill>
              <w14:schemeClr w14:val="tx1"/>
            </w14:solidFill>
          </w14:textFill>
        </w:rPr>
        <w:t>。</w:t>
      </w:r>
    </w:p>
    <w:p w14:paraId="2B0803FA">
      <w:pPr>
        <w:spacing w:line="580" w:lineRule="exact"/>
        <w:rPr>
          <w:rFonts w:eastAsia="黑体"/>
          <w:bCs/>
          <w:color w:val="000000" w:themeColor="text1"/>
          <w:sz w:val="24"/>
          <w:szCs w:val="24"/>
          <w14:textFill>
            <w14:solidFill>
              <w14:schemeClr w14:val="tx1"/>
            </w14:solidFill>
          </w14:textFill>
        </w:rPr>
      </w:pPr>
    </w:p>
    <w:p w14:paraId="6319E16A">
      <w:pPr>
        <w:spacing w:line="580" w:lineRule="exact"/>
        <w:rPr>
          <w:rFonts w:eastAsia="黑体"/>
          <w:bCs/>
          <w:color w:val="000000" w:themeColor="text1"/>
          <w:sz w:val="24"/>
          <w:szCs w:val="24"/>
          <w14:textFill>
            <w14:solidFill>
              <w14:schemeClr w14:val="tx1"/>
            </w14:solidFill>
          </w14:textFill>
        </w:rPr>
      </w:pPr>
    </w:p>
    <w:p w14:paraId="6E041F19">
      <w:pPr>
        <w:spacing w:line="580" w:lineRule="exact"/>
        <w:rPr>
          <w:rFonts w:eastAsia="黑体"/>
          <w:bCs/>
          <w:color w:val="000000" w:themeColor="text1"/>
          <w:sz w:val="24"/>
          <w:szCs w:val="24"/>
          <w14:textFill>
            <w14:solidFill>
              <w14:schemeClr w14:val="tx1"/>
            </w14:solidFill>
          </w14:textFill>
        </w:rPr>
      </w:pPr>
    </w:p>
    <w:p w14:paraId="2987C0E6">
      <w:pPr>
        <w:spacing w:line="580" w:lineRule="exact"/>
        <w:rPr>
          <w:rFonts w:eastAsia="黑体"/>
          <w:bCs/>
          <w:color w:val="000000" w:themeColor="text1"/>
          <w:sz w:val="24"/>
          <w:szCs w:val="24"/>
          <w14:textFill>
            <w14:solidFill>
              <w14:schemeClr w14:val="tx1"/>
            </w14:solidFill>
          </w14:textFill>
        </w:rPr>
      </w:pPr>
    </w:p>
    <w:p w14:paraId="2FBAC56E">
      <w:pPr>
        <w:spacing w:line="580" w:lineRule="exact"/>
        <w:rPr>
          <w:rFonts w:eastAsia="黑体"/>
          <w:bCs/>
          <w:color w:val="000000" w:themeColor="text1"/>
          <w:sz w:val="24"/>
          <w:szCs w:val="24"/>
          <w14:textFill>
            <w14:solidFill>
              <w14:schemeClr w14:val="tx1"/>
            </w14:solidFill>
          </w14:textFill>
        </w:rPr>
      </w:pPr>
    </w:p>
    <w:p w14:paraId="08C008A9">
      <w:pPr>
        <w:spacing w:line="580" w:lineRule="exact"/>
        <w:rPr>
          <w:rFonts w:eastAsia="黑体"/>
          <w:bCs/>
          <w:color w:val="000000" w:themeColor="text1"/>
          <w:sz w:val="24"/>
          <w:szCs w:val="24"/>
          <w14:textFill>
            <w14:solidFill>
              <w14:schemeClr w14:val="tx1"/>
            </w14:solidFill>
          </w14:textFill>
        </w:rPr>
      </w:pPr>
    </w:p>
    <w:p w14:paraId="230917AC">
      <w:pPr>
        <w:spacing w:line="400" w:lineRule="exact"/>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t>（四）服务团队人员配置一览表（格式）</w:t>
      </w:r>
    </w:p>
    <w:p w14:paraId="368A9B28">
      <w:pPr>
        <w:spacing w:line="400" w:lineRule="exact"/>
        <w:rPr>
          <w:rFonts w:eastAsia="黑体"/>
          <w:bCs/>
          <w:color w:val="000000" w:themeColor="text1"/>
          <w:sz w:val="24"/>
          <w:szCs w:val="24"/>
          <w14:textFill>
            <w14:solidFill>
              <w14:schemeClr w14:val="tx1"/>
            </w14:solidFill>
          </w14:textFill>
        </w:rPr>
      </w:pPr>
    </w:p>
    <w:p w14:paraId="1284BCB3">
      <w:pPr>
        <w:spacing w:line="400" w:lineRule="exact"/>
        <w:rPr>
          <w:rFonts w:eastAsia="黑体"/>
          <w:bCs/>
          <w:color w:val="000000" w:themeColor="text1"/>
          <w:sz w:val="24"/>
          <w:szCs w:val="24"/>
          <w14:textFill>
            <w14:solidFill>
              <w14:schemeClr w14:val="tx1"/>
            </w14:solidFill>
          </w14:textFill>
        </w:rPr>
      </w:pPr>
    </w:p>
    <w:p w14:paraId="62122937">
      <w:pPr>
        <w:spacing w:line="400" w:lineRule="exact"/>
        <w:rPr>
          <w:rFonts w:eastAsia="黑体"/>
          <w:bCs/>
          <w:color w:val="000000" w:themeColor="text1"/>
          <w:sz w:val="24"/>
          <w:szCs w:val="24"/>
          <w14:textFill>
            <w14:solidFill>
              <w14:schemeClr w14:val="tx1"/>
            </w14:solidFill>
          </w14:textFill>
        </w:rPr>
      </w:pPr>
    </w:p>
    <w:p w14:paraId="2E82B421">
      <w:pPr>
        <w:jc w:val="center"/>
        <w:rPr>
          <w:rFonts w:eastAsia="黑体"/>
          <w:bCs/>
          <w:color w:val="000000" w:themeColor="text1"/>
          <w:sz w:val="28"/>
          <w:szCs w:val="28"/>
          <w14:textFill>
            <w14:solidFill>
              <w14:schemeClr w14:val="tx1"/>
            </w14:solidFill>
          </w14:textFill>
        </w:rPr>
      </w:pPr>
      <w:r>
        <w:rPr>
          <w:rFonts w:eastAsia="黑体"/>
          <w:bCs/>
          <w:color w:val="000000" w:themeColor="text1"/>
          <w:sz w:val="28"/>
          <w:szCs w:val="28"/>
          <w14:textFill>
            <w14:solidFill>
              <w14:schemeClr w14:val="tx1"/>
            </w14:solidFill>
          </w14:textFill>
        </w:rPr>
        <w:t>服务团队人员配置一览表</w:t>
      </w:r>
    </w:p>
    <w:p w14:paraId="16F67860">
      <w:pPr>
        <w:jc w:val="center"/>
        <w:rPr>
          <w:rFonts w:eastAsia="黑体"/>
          <w:bCs/>
          <w:color w:val="000000" w:themeColor="text1"/>
          <w:sz w:val="28"/>
          <w:szCs w:val="28"/>
          <w14:textFill>
            <w14:solidFill>
              <w14:schemeClr w14:val="tx1"/>
            </w14:solidFill>
          </w14:textFill>
        </w:rPr>
      </w:pPr>
    </w:p>
    <w:p w14:paraId="52DC4B13">
      <w:pPr>
        <w:jc w:val="center"/>
        <w:rPr>
          <w:rFonts w:eastAsia="黑体"/>
          <w:bCs/>
          <w:color w:val="000000" w:themeColor="text1"/>
          <w:sz w:val="28"/>
          <w:szCs w:val="28"/>
          <w14:textFill>
            <w14:solidFill>
              <w14:schemeClr w14:val="tx1"/>
            </w14:solidFill>
          </w14:textFill>
        </w:rPr>
      </w:pPr>
    </w:p>
    <w:tbl>
      <w:tblPr>
        <w:tblStyle w:val="45"/>
        <w:tblW w:w="10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60"/>
        <w:gridCol w:w="1008"/>
        <w:gridCol w:w="1555"/>
        <w:gridCol w:w="708"/>
        <w:gridCol w:w="1560"/>
        <w:gridCol w:w="2268"/>
        <w:gridCol w:w="1280"/>
      </w:tblGrid>
      <w:tr w14:paraId="6924A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770" w:type="dxa"/>
            <w:vAlign w:val="center"/>
          </w:tcPr>
          <w:p w14:paraId="42540351">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260" w:type="dxa"/>
            <w:vAlign w:val="center"/>
          </w:tcPr>
          <w:p w14:paraId="7137E94F">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岗位</w:t>
            </w:r>
          </w:p>
        </w:tc>
        <w:tc>
          <w:tcPr>
            <w:tcW w:w="1008" w:type="dxa"/>
            <w:vAlign w:val="center"/>
          </w:tcPr>
          <w:p w14:paraId="24F0884B">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姓名</w:t>
            </w:r>
          </w:p>
        </w:tc>
        <w:tc>
          <w:tcPr>
            <w:tcW w:w="1555" w:type="dxa"/>
            <w:vAlign w:val="center"/>
          </w:tcPr>
          <w:p w14:paraId="7F71FBF8">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身份证号码</w:t>
            </w:r>
          </w:p>
        </w:tc>
        <w:tc>
          <w:tcPr>
            <w:tcW w:w="708" w:type="dxa"/>
            <w:vAlign w:val="center"/>
          </w:tcPr>
          <w:p w14:paraId="4B9469D6">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学历</w:t>
            </w:r>
          </w:p>
        </w:tc>
        <w:tc>
          <w:tcPr>
            <w:tcW w:w="1560" w:type="dxa"/>
            <w:vAlign w:val="center"/>
          </w:tcPr>
          <w:p w14:paraId="2956FE03">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职称（或资格证书）</w:t>
            </w:r>
          </w:p>
        </w:tc>
        <w:tc>
          <w:tcPr>
            <w:tcW w:w="2268" w:type="dxa"/>
            <w:vAlign w:val="center"/>
          </w:tcPr>
          <w:p w14:paraId="07C0E77B">
            <w:pPr>
              <w:widowControl/>
              <w:spacing w:before="4" w:line="0" w:lineRule="atLeas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主要承担过的项目经验</w:t>
            </w:r>
          </w:p>
        </w:tc>
        <w:tc>
          <w:tcPr>
            <w:tcW w:w="1280" w:type="dxa"/>
          </w:tcPr>
          <w:p w14:paraId="7A78E4EB">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保险工作年限</w:t>
            </w:r>
          </w:p>
        </w:tc>
      </w:tr>
      <w:tr w14:paraId="456C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70" w:type="dxa"/>
          </w:tcPr>
          <w:p w14:paraId="14260488">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260" w:type="dxa"/>
          </w:tcPr>
          <w:p w14:paraId="68E5DDF2">
            <w:pPr>
              <w:spacing w:line="400" w:lineRule="exact"/>
              <w:jc w:val="center"/>
              <w:rPr>
                <w:color w:val="000000" w:themeColor="text1"/>
                <w:sz w:val="24"/>
                <w14:textFill>
                  <w14:solidFill>
                    <w14:schemeClr w14:val="tx1"/>
                  </w14:solidFill>
                </w14:textFill>
              </w:rPr>
            </w:pPr>
          </w:p>
        </w:tc>
        <w:tc>
          <w:tcPr>
            <w:tcW w:w="1008" w:type="dxa"/>
          </w:tcPr>
          <w:p w14:paraId="2A92C5F0">
            <w:pPr>
              <w:spacing w:line="400" w:lineRule="exact"/>
              <w:rPr>
                <w:color w:val="000000" w:themeColor="text1"/>
                <w:sz w:val="24"/>
                <w14:textFill>
                  <w14:solidFill>
                    <w14:schemeClr w14:val="tx1"/>
                  </w14:solidFill>
                </w14:textFill>
              </w:rPr>
            </w:pPr>
          </w:p>
        </w:tc>
        <w:tc>
          <w:tcPr>
            <w:tcW w:w="1555" w:type="dxa"/>
          </w:tcPr>
          <w:p w14:paraId="6E799E0B">
            <w:pPr>
              <w:spacing w:line="400" w:lineRule="exact"/>
              <w:rPr>
                <w:color w:val="000000" w:themeColor="text1"/>
                <w:sz w:val="24"/>
                <w14:textFill>
                  <w14:solidFill>
                    <w14:schemeClr w14:val="tx1"/>
                  </w14:solidFill>
                </w14:textFill>
              </w:rPr>
            </w:pPr>
          </w:p>
        </w:tc>
        <w:tc>
          <w:tcPr>
            <w:tcW w:w="708" w:type="dxa"/>
            <w:vAlign w:val="center"/>
          </w:tcPr>
          <w:p w14:paraId="6D2CFC48">
            <w:pPr>
              <w:spacing w:line="400" w:lineRule="exact"/>
              <w:rPr>
                <w:color w:val="000000" w:themeColor="text1"/>
                <w:sz w:val="24"/>
                <w14:textFill>
                  <w14:solidFill>
                    <w14:schemeClr w14:val="tx1"/>
                  </w14:solidFill>
                </w14:textFill>
              </w:rPr>
            </w:pPr>
          </w:p>
        </w:tc>
        <w:tc>
          <w:tcPr>
            <w:tcW w:w="1560" w:type="dxa"/>
          </w:tcPr>
          <w:p w14:paraId="3F9AC721">
            <w:pPr>
              <w:spacing w:line="400" w:lineRule="exact"/>
              <w:rPr>
                <w:color w:val="000000" w:themeColor="text1"/>
                <w:sz w:val="24"/>
                <w14:textFill>
                  <w14:solidFill>
                    <w14:schemeClr w14:val="tx1"/>
                  </w14:solidFill>
                </w14:textFill>
              </w:rPr>
            </w:pPr>
          </w:p>
        </w:tc>
        <w:tc>
          <w:tcPr>
            <w:tcW w:w="2268" w:type="dxa"/>
            <w:vAlign w:val="center"/>
          </w:tcPr>
          <w:p w14:paraId="05EDE8C2">
            <w:pPr>
              <w:spacing w:line="400" w:lineRule="exact"/>
              <w:rPr>
                <w:color w:val="000000" w:themeColor="text1"/>
                <w:sz w:val="24"/>
                <w14:textFill>
                  <w14:solidFill>
                    <w14:schemeClr w14:val="tx1"/>
                  </w14:solidFill>
                </w14:textFill>
              </w:rPr>
            </w:pPr>
          </w:p>
        </w:tc>
        <w:tc>
          <w:tcPr>
            <w:tcW w:w="1280" w:type="dxa"/>
          </w:tcPr>
          <w:p w14:paraId="1EE9EF71">
            <w:pPr>
              <w:spacing w:line="400" w:lineRule="exact"/>
              <w:rPr>
                <w:color w:val="000000" w:themeColor="text1"/>
                <w:sz w:val="24"/>
                <w14:textFill>
                  <w14:solidFill>
                    <w14:schemeClr w14:val="tx1"/>
                  </w14:solidFill>
                </w14:textFill>
              </w:rPr>
            </w:pPr>
          </w:p>
        </w:tc>
      </w:tr>
      <w:tr w14:paraId="4A22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70" w:type="dxa"/>
          </w:tcPr>
          <w:p w14:paraId="0FECB749">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260" w:type="dxa"/>
            <w:vAlign w:val="center"/>
          </w:tcPr>
          <w:p w14:paraId="33C61EB6">
            <w:pPr>
              <w:spacing w:line="400" w:lineRule="exact"/>
              <w:jc w:val="center"/>
              <w:rPr>
                <w:color w:val="000000" w:themeColor="text1"/>
                <w:sz w:val="24"/>
                <w14:textFill>
                  <w14:solidFill>
                    <w14:schemeClr w14:val="tx1"/>
                  </w14:solidFill>
                </w14:textFill>
              </w:rPr>
            </w:pPr>
          </w:p>
        </w:tc>
        <w:tc>
          <w:tcPr>
            <w:tcW w:w="1008" w:type="dxa"/>
            <w:vAlign w:val="center"/>
          </w:tcPr>
          <w:p w14:paraId="31E5C837">
            <w:pPr>
              <w:spacing w:line="400" w:lineRule="exact"/>
              <w:rPr>
                <w:color w:val="000000" w:themeColor="text1"/>
                <w:sz w:val="24"/>
                <w14:textFill>
                  <w14:solidFill>
                    <w14:schemeClr w14:val="tx1"/>
                  </w14:solidFill>
                </w14:textFill>
              </w:rPr>
            </w:pPr>
          </w:p>
        </w:tc>
        <w:tc>
          <w:tcPr>
            <w:tcW w:w="1555" w:type="dxa"/>
            <w:vAlign w:val="center"/>
          </w:tcPr>
          <w:p w14:paraId="12393DAA">
            <w:pPr>
              <w:spacing w:line="400" w:lineRule="exact"/>
              <w:rPr>
                <w:color w:val="000000" w:themeColor="text1"/>
                <w:sz w:val="24"/>
                <w14:textFill>
                  <w14:solidFill>
                    <w14:schemeClr w14:val="tx1"/>
                  </w14:solidFill>
                </w14:textFill>
              </w:rPr>
            </w:pPr>
          </w:p>
        </w:tc>
        <w:tc>
          <w:tcPr>
            <w:tcW w:w="708" w:type="dxa"/>
            <w:vAlign w:val="center"/>
          </w:tcPr>
          <w:p w14:paraId="49D5295A">
            <w:pPr>
              <w:spacing w:line="400" w:lineRule="exact"/>
              <w:rPr>
                <w:color w:val="000000" w:themeColor="text1"/>
                <w:sz w:val="24"/>
                <w14:textFill>
                  <w14:solidFill>
                    <w14:schemeClr w14:val="tx1"/>
                  </w14:solidFill>
                </w14:textFill>
              </w:rPr>
            </w:pPr>
          </w:p>
        </w:tc>
        <w:tc>
          <w:tcPr>
            <w:tcW w:w="1560" w:type="dxa"/>
          </w:tcPr>
          <w:p w14:paraId="550EADD6">
            <w:pPr>
              <w:spacing w:line="400" w:lineRule="exact"/>
              <w:rPr>
                <w:color w:val="000000" w:themeColor="text1"/>
                <w:sz w:val="24"/>
                <w14:textFill>
                  <w14:solidFill>
                    <w14:schemeClr w14:val="tx1"/>
                  </w14:solidFill>
                </w14:textFill>
              </w:rPr>
            </w:pPr>
          </w:p>
        </w:tc>
        <w:tc>
          <w:tcPr>
            <w:tcW w:w="2268" w:type="dxa"/>
            <w:vAlign w:val="center"/>
          </w:tcPr>
          <w:p w14:paraId="0A5EAF64">
            <w:pPr>
              <w:spacing w:line="400" w:lineRule="exact"/>
              <w:rPr>
                <w:color w:val="000000" w:themeColor="text1"/>
                <w:sz w:val="24"/>
                <w14:textFill>
                  <w14:solidFill>
                    <w14:schemeClr w14:val="tx1"/>
                  </w14:solidFill>
                </w14:textFill>
              </w:rPr>
            </w:pPr>
          </w:p>
        </w:tc>
        <w:tc>
          <w:tcPr>
            <w:tcW w:w="1280" w:type="dxa"/>
          </w:tcPr>
          <w:p w14:paraId="089D5007">
            <w:pPr>
              <w:spacing w:line="400" w:lineRule="exact"/>
              <w:rPr>
                <w:color w:val="000000" w:themeColor="text1"/>
                <w:sz w:val="24"/>
                <w14:textFill>
                  <w14:solidFill>
                    <w14:schemeClr w14:val="tx1"/>
                  </w14:solidFill>
                </w14:textFill>
              </w:rPr>
            </w:pPr>
          </w:p>
        </w:tc>
      </w:tr>
      <w:tr w14:paraId="7F23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70" w:type="dxa"/>
          </w:tcPr>
          <w:p w14:paraId="22DAAA5A">
            <w:pPr>
              <w:spacing w:line="4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260" w:type="dxa"/>
            <w:vAlign w:val="center"/>
          </w:tcPr>
          <w:p w14:paraId="092C3F77">
            <w:pPr>
              <w:spacing w:line="400" w:lineRule="exact"/>
              <w:jc w:val="center"/>
              <w:rPr>
                <w:color w:val="000000" w:themeColor="text1"/>
                <w:sz w:val="24"/>
                <w14:textFill>
                  <w14:solidFill>
                    <w14:schemeClr w14:val="tx1"/>
                  </w14:solidFill>
                </w14:textFill>
              </w:rPr>
            </w:pPr>
          </w:p>
        </w:tc>
        <w:tc>
          <w:tcPr>
            <w:tcW w:w="1008" w:type="dxa"/>
            <w:vAlign w:val="center"/>
          </w:tcPr>
          <w:p w14:paraId="7809B5A2">
            <w:pPr>
              <w:spacing w:line="400" w:lineRule="exact"/>
              <w:rPr>
                <w:color w:val="000000" w:themeColor="text1"/>
                <w:sz w:val="24"/>
                <w14:textFill>
                  <w14:solidFill>
                    <w14:schemeClr w14:val="tx1"/>
                  </w14:solidFill>
                </w14:textFill>
              </w:rPr>
            </w:pPr>
          </w:p>
        </w:tc>
        <w:tc>
          <w:tcPr>
            <w:tcW w:w="1555" w:type="dxa"/>
            <w:vAlign w:val="center"/>
          </w:tcPr>
          <w:p w14:paraId="73C7BDB9">
            <w:pPr>
              <w:spacing w:line="400" w:lineRule="exact"/>
              <w:rPr>
                <w:color w:val="000000" w:themeColor="text1"/>
                <w:sz w:val="24"/>
                <w14:textFill>
                  <w14:solidFill>
                    <w14:schemeClr w14:val="tx1"/>
                  </w14:solidFill>
                </w14:textFill>
              </w:rPr>
            </w:pPr>
          </w:p>
        </w:tc>
        <w:tc>
          <w:tcPr>
            <w:tcW w:w="708" w:type="dxa"/>
            <w:vAlign w:val="center"/>
          </w:tcPr>
          <w:p w14:paraId="123122A7">
            <w:pPr>
              <w:spacing w:line="400" w:lineRule="exact"/>
              <w:rPr>
                <w:color w:val="000000" w:themeColor="text1"/>
                <w:sz w:val="24"/>
                <w14:textFill>
                  <w14:solidFill>
                    <w14:schemeClr w14:val="tx1"/>
                  </w14:solidFill>
                </w14:textFill>
              </w:rPr>
            </w:pPr>
          </w:p>
        </w:tc>
        <w:tc>
          <w:tcPr>
            <w:tcW w:w="1560" w:type="dxa"/>
          </w:tcPr>
          <w:p w14:paraId="11BD9CBE">
            <w:pPr>
              <w:spacing w:line="400" w:lineRule="exact"/>
              <w:rPr>
                <w:color w:val="000000" w:themeColor="text1"/>
                <w:sz w:val="24"/>
                <w14:textFill>
                  <w14:solidFill>
                    <w14:schemeClr w14:val="tx1"/>
                  </w14:solidFill>
                </w14:textFill>
              </w:rPr>
            </w:pPr>
          </w:p>
        </w:tc>
        <w:tc>
          <w:tcPr>
            <w:tcW w:w="2268" w:type="dxa"/>
            <w:vAlign w:val="center"/>
          </w:tcPr>
          <w:p w14:paraId="1FCB379A">
            <w:pPr>
              <w:spacing w:line="400" w:lineRule="exact"/>
              <w:rPr>
                <w:color w:val="000000" w:themeColor="text1"/>
                <w:sz w:val="24"/>
                <w14:textFill>
                  <w14:solidFill>
                    <w14:schemeClr w14:val="tx1"/>
                  </w14:solidFill>
                </w14:textFill>
              </w:rPr>
            </w:pPr>
          </w:p>
        </w:tc>
        <w:tc>
          <w:tcPr>
            <w:tcW w:w="1280" w:type="dxa"/>
          </w:tcPr>
          <w:p w14:paraId="30BFDB3D">
            <w:pPr>
              <w:spacing w:line="400" w:lineRule="exact"/>
              <w:rPr>
                <w:color w:val="000000" w:themeColor="text1"/>
                <w:sz w:val="24"/>
                <w14:textFill>
                  <w14:solidFill>
                    <w14:schemeClr w14:val="tx1"/>
                  </w14:solidFill>
                </w14:textFill>
              </w:rPr>
            </w:pPr>
          </w:p>
        </w:tc>
      </w:tr>
      <w:tr w14:paraId="37FA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70" w:type="dxa"/>
          </w:tcPr>
          <w:p w14:paraId="10A7DD6D">
            <w:pPr>
              <w:spacing w:line="40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4</w:t>
            </w:r>
          </w:p>
        </w:tc>
        <w:tc>
          <w:tcPr>
            <w:tcW w:w="1260" w:type="dxa"/>
            <w:vAlign w:val="center"/>
          </w:tcPr>
          <w:p w14:paraId="4548E0B9">
            <w:pPr>
              <w:spacing w:line="400" w:lineRule="exact"/>
              <w:jc w:val="center"/>
              <w:rPr>
                <w:color w:val="000000" w:themeColor="text1"/>
                <w:szCs w:val="21"/>
                <w14:textFill>
                  <w14:solidFill>
                    <w14:schemeClr w14:val="tx1"/>
                  </w14:solidFill>
                </w14:textFill>
              </w:rPr>
            </w:pPr>
          </w:p>
        </w:tc>
        <w:tc>
          <w:tcPr>
            <w:tcW w:w="1008" w:type="dxa"/>
            <w:vAlign w:val="center"/>
          </w:tcPr>
          <w:p w14:paraId="7E6A11B0">
            <w:pPr>
              <w:spacing w:line="400" w:lineRule="exact"/>
              <w:rPr>
                <w:color w:val="000000" w:themeColor="text1"/>
                <w:szCs w:val="21"/>
                <w14:textFill>
                  <w14:solidFill>
                    <w14:schemeClr w14:val="tx1"/>
                  </w14:solidFill>
                </w14:textFill>
              </w:rPr>
            </w:pPr>
          </w:p>
        </w:tc>
        <w:tc>
          <w:tcPr>
            <w:tcW w:w="1555" w:type="dxa"/>
            <w:vAlign w:val="center"/>
          </w:tcPr>
          <w:p w14:paraId="6C8927FA">
            <w:pPr>
              <w:spacing w:line="400" w:lineRule="exact"/>
              <w:rPr>
                <w:color w:val="000000" w:themeColor="text1"/>
                <w:szCs w:val="21"/>
                <w14:textFill>
                  <w14:solidFill>
                    <w14:schemeClr w14:val="tx1"/>
                  </w14:solidFill>
                </w14:textFill>
              </w:rPr>
            </w:pPr>
          </w:p>
        </w:tc>
        <w:tc>
          <w:tcPr>
            <w:tcW w:w="708" w:type="dxa"/>
            <w:vAlign w:val="center"/>
          </w:tcPr>
          <w:p w14:paraId="0CAC9FF4">
            <w:pPr>
              <w:spacing w:line="400" w:lineRule="exact"/>
              <w:rPr>
                <w:color w:val="000000" w:themeColor="text1"/>
                <w:szCs w:val="21"/>
                <w14:textFill>
                  <w14:solidFill>
                    <w14:schemeClr w14:val="tx1"/>
                  </w14:solidFill>
                </w14:textFill>
              </w:rPr>
            </w:pPr>
          </w:p>
        </w:tc>
        <w:tc>
          <w:tcPr>
            <w:tcW w:w="1560" w:type="dxa"/>
          </w:tcPr>
          <w:p w14:paraId="1F444B3A">
            <w:pPr>
              <w:spacing w:line="400" w:lineRule="exact"/>
              <w:rPr>
                <w:color w:val="000000" w:themeColor="text1"/>
                <w:szCs w:val="21"/>
                <w14:textFill>
                  <w14:solidFill>
                    <w14:schemeClr w14:val="tx1"/>
                  </w14:solidFill>
                </w14:textFill>
              </w:rPr>
            </w:pPr>
          </w:p>
        </w:tc>
        <w:tc>
          <w:tcPr>
            <w:tcW w:w="2268" w:type="dxa"/>
            <w:vAlign w:val="center"/>
          </w:tcPr>
          <w:p w14:paraId="5061F5EB">
            <w:pPr>
              <w:spacing w:line="400" w:lineRule="exact"/>
              <w:rPr>
                <w:color w:val="000000" w:themeColor="text1"/>
                <w:szCs w:val="21"/>
                <w14:textFill>
                  <w14:solidFill>
                    <w14:schemeClr w14:val="tx1"/>
                  </w14:solidFill>
                </w14:textFill>
              </w:rPr>
            </w:pPr>
          </w:p>
        </w:tc>
        <w:tc>
          <w:tcPr>
            <w:tcW w:w="1280" w:type="dxa"/>
          </w:tcPr>
          <w:p w14:paraId="55FE9CDA">
            <w:pPr>
              <w:spacing w:line="400" w:lineRule="exact"/>
              <w:rPr>
                <w:color w:val="000000" w:themeColor="text1"/>
                <w:szCs w:val="21"/>
                <w14:textFill>
                  <w14:solidFill>
                    <w14:schemeClr w14:val="tx1"/>
                  </w14:solidFill>
                </w14:textFill>
              </w:rPr>
            </w:pPr>
          </w:p>
        </w:tc>
      </w:tr>
      <w:tr w14:paraId="5753B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70" w:type="dxa"/>
          </w:tcPr>
          <w:p w14:paraId="1AE103DF">
            <w:pPr>
              <w:spacing w:line="40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5</w:t>
            </w:r>
          </w:p>
        </w:tc>
        <w:tc>
          <w:tcPr>
            <w:tcW w:w="1260" w:type="dxa"/>
            <w:vAlign w:val="center"/>
          </w:tcPr>
          <w:p w14:paraId="097D1C2C">
            <w:pPr>
              <w:spacing w:line="400" w:lineRule="exact"/>
              <w:jc w:val="center"/>
              <w:rPr>
                <w:color w:val="000000" w:themeColor="text1"/>
                <w:szCs w:val="21"/>
                <w14:textFill>
                  <w14:solidFill>
                    <w14:schemeClr w14:val="tx1"/>
                  </w14:solidFill>
                </w14:textFill>
              </w:rPr>
            </w:pPr>
          </w:p>
        </w:tc>
        <w:tc>
          <w:tcPr>
            <w:tcW w:w="1008" w:type="dxa"/>
            <w:vAlign w:val="center"/>
          </w:tcPr>
          <w:p w14:paraId="1058CD04">
            <w:pPr>
              <w:spacing w:line="400" w:lineRule="exact"/>
              <w:rPr>
                <w:color w:val="000000" w:themeColor="text1"/>
                <w:szCs w:val="21"/>
                <w14:textFill>
                  <w14:solidFill>
                    <w14:schemeClr w14:val="tx1"/>
                  </w14:solidFill>
                </w14:textFill>
              </w:rPr>
            </w:pPr>
          </w:p>
        </w:tc>
        <w:tc>
          <w:tcPr>
            <w:tcW w:w="1555" w:type="dxa"/>
            <w:vAlign w:val="center"/>
          </w:tcPr>
          <w:p w14:paraId="0B66AC04">
            <w:pPr>
              <w:spacing w:line="400" w:lineRule="exact"/>
              <w:rPr>
                <w:color w:val="000000" w:themeColor="text1"/>
                <w:szCs w:val="21"/>
                <w14:textFill>
                  <w14:solidFill>
                    <w14:schemeClr w14:val="tx1"/>
                  </w14:solidFill>
                </w14:textFill>
              </w:rPr>
            </w:pPr>
          </w:p>
        </w:tc>
        <w:tc>
          <w:tcPr>
            <w:tcW w:w="708" w:type="dxa"/>
            <w:vAlign w:val="center"/>
          </w:tcPr>
          <w:p w14:paraId="544F0FA2">
            <w:pPr>
              <w:spacing w:line="400" w:lineRule="exact"/>
              <w:rPr>
                <w:color w:val="000000" w:themeColor="text1"/>
                <w:szCs w:val="21"/>
                <w14:textFill>
                  <w14:solidFill>
                    <w14:schemeClr w14:val="tx1"/>
                  </w14:solidFill>
                </w14:textFill>
              </w:rPr>
            </w:pPr>
          </w:p>
        </w:tc>
        <w:tc>
          <w:tcPr>
            <w:tcW w:w="1560" w:type="dxa"/>
          </w:tcPr>
          <w:p w14:paraId="12FE4FFA">
            <w:pPr>
              <w:spacing w:line="400" w:lineRule="exact"/>
              <w:rPr>
                <w:color w:val="000000" w:themeColor="text1"/>
                <w:szCs w:val="21"/>
                <w14:textFill>
                  <w14:solidFill>
                    <w14:schemeClr w14:val="tx1"/>
                  </w14:solidFill>
                </w14:textFill>
              </w:rPr>
            </w:pPr>
          </w:p>
        </w:tc>
        <w:tc>
          <w:tcPr>
            <w:tcW w:w="2268" w:type="dxa"/>
            <w:vAlign w:val="center"/>
          </w:tcPr>
          <w:p w14:paraId="64F430F5">
            <w:pPr>
              <w:spacing w:line="400" w:lineRule="exact"/>
              <w:rPr>
                <w:color w:val="000000" w:themeColor="text1"/>
                <w:szCs w:val="21"/>
                <w14:textFill>
                  <w14:solidFill>
                    <w14:schemeClr w14:val="tx1"/>
                  </w14:solidFill>
                </w14:textFill>
              </w:rPr>
            </w:pPr>
          </w:p>
        </w:tc>
        <w:tc>
          <w:tcPr>
            <w:tcW w:w="1280" w:type="dxa"/>
          </w:tcPr>
          <w:p w14:paraId="64CF4495">
            <w:pPr>
              <w:spacing w:line="400" w:lineRule="exact"/>
              <w:rPr>
                <w:color w:val="000000" w:themeColor="text1"/>
                <w:szCs w:val="21"/>
                <w14:textFill>
                  <w14:solidFill>
                    <w14:schemeClr w14:val="tx1"/>
                  </w14:solidFill>
                </w14:textFill>
              </w:rPr>
            </w:pPr>
          </w:p>
        </w:tc>
      </w:tr>
    </w:tbl>
    <w:p w14:paraId="63480F6E">
      <w:pPr>
        <w:pStyle w:val="17"/>
        <w:rPr>
          <w:color w:val="000000" w:themeColor="text1"/>
          <w14:textFill>
            <w14:solidFill>
              <w14:schemeClr w14:val="tx1"/>
            </w14:solidFill>
          </w14:textFill>
        </w:rPr>
      </w:pPr>
    </w:p>
    <w:p w14:paraId="6C679301">
      <w:pPr>
        <w:spacing w:line="400" w:lineRule="exact"/>
        <w:ind w:right="775" w:firstLine="945"/>
        <w:rPr>
          <w:color w:val="000000" w:themeColor="text1"/>
          <w:szCs w:val="21"/>
          <w14:textFill>
            <w14:solidFill>
              <w14:schemeClr w14:val="tx1"/>
            </w14:solidFill>
          </w14:textFill>
        </w:rPr>
      </w:pPr>
    </w:p>
    <w:p w14:paraId="2782B945">
      <w:pPr>
        <w:spacing w:line="400" w:lineRule="exact"/>
        <w:ind w:right="775" w:firstLine="945"/>
        <w:rPr>
          <w:color w:val="000000" w:themeColor="text1"/>
          <w:szCs w:val="21"/>
          <w14:textFill>
            <w14:solidFill>
              <w14:schemeClr w14:val="tx1"/>
            </w14:solidFill>
          </w14:textFill>
        </w:rPr>
      </w:pPr>
    </w:p>
    <w:p w14:paraId="7B2D610B">
      <w:pPr>
        <w:spacing w:line="400" w:lineRule="exact"/>
        <w:ind w:right="775"/>
        <w:rPr>
          <w:color w:val="000000" w:themeColor="text1"/>
          <w:sz w:val="24"/>
          <w14:textFill>
            <w14:solidFill>
              <w14:schemeClr w14:val="tx1"/>
            </w14:solidFill>
          </w14:textFill>
        </w:rPr>
      </w:pPr>
      <w:r>
        <w:rPr>
          <w:color w:val="000000" w:themeColor="text1"/>
          <w:sz w:val="24"/>
          <w14:textFill>
            <w14:solidFill>
              <w14:schemeClr w14:val="tx1"/>
            </w14:solidFill>
          </w14:textFill>
        </w:rPr>
        <w:t>条目不限于此，可自行添加。</w:t>
      </w:r>
    </w:p>
    <w:p w14:paraId="40F3F7F2">
      <w:pPr>
        <w:spacing w:line="400" w:lineRule="exact"/>
        <w:rPr>
          <w:color w:val="000000" w:themeColor="text1"/>
          <w:sz w:val="24"/>
          <w14:textFill>
            <w14:solidFill>
              <w14:schemeClr w14:val="tx1"/>
            </w14:solidFill>
          </w14:textFill>
        </w:rPr>
      </w:pPr>
      <w:r>
        <w:rPr>
          <w:bCs/>
          <w:color w:val="000000" w:themeColor="text1"/>
          <w:sz w:val="24"/>
          <w14:textFill>
            <w14:solidFill>
              <w14:schemeClr w14:val="tx1"/>
            </w14:solidFill>
          </w14:textFill>
        </w:rPr>
        <w:t>1.</w:t>
      </w:r>
      <w:r>
        <w:rPr>
          <w:color w:val="000000" w:themeColor="text1"/>
          <w:sz w:val="24"/>
          <w14:textFill>
            <w14:solidFill>
              <w14:schemeClr w14:val="tx1"/>
            </w14:solidFill>
          </w14:textFill>
        </w:rPr>
        <w:t>人员须提供经社保部门盖章的连续3个月以上的缴费记录证明的复印件；</w:t>
      </w:r>
    </w:p>
    <w:p w14:paraId="09853CC6">
      <w:pPr>
        <w:spacing w:line="4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bCs/>
          <w:color w:val="000000" w:themeColor="text1"/>
          <w:sz w:val="24"/>
          <w14:textFill>
            <w14:solidFill>
              <w14:schemeClr w14:val="tx1"/>
            </w14:solidFill>
          </w14:textFill>
        </w:rPr>
        <w:t>.</w:t>
      </w:r>
      <w:r>
        <w:rPr>
          <w:color w:val="000000" w:themeColor="text1"/>
          <w:sz w:val="24"/>
          <w14:textFill>
            <w14:solidFill>
              <w14:schemeClr w14:val="tx1"/>
            </w14:solidFill>
          </w14:textFill>
        </w:rPr>
        <w:t>请提供上述人员职称证书、学历证书（或资格证书）复印件。</w:t>
      </w:r>
    </w:p>
    <w:p w14:paraId="1B86642D">
      <w:pPr>
        <w:spacing w:line="4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3.我们郑重承诺，若我们中标，将派出以上人员承担相应工作。</w:t>
      </w:r>
    </w:p>
    <w:p w14:paraId="1E7BCB50">
      <w:pPr>
        <w:spacing w:line="400" w:lineRule="exact"/>
        <w:rPr>
          <w:b/>
          <w:color w:val="000000" w:themeColor="text1"/>
          <w:sz w:val="24"/>
          <w14:textFill>
            <w14:solidFill>
              <w14:schemeClr w14:val="tx1"/>
            </w14:solidFill>
          </w14:textFill>
        </w:rPr>
      </w:pPr>
      <w:r>
        <w:rPr>
          <w:b/>
          <w:color w:val="000000" w:themeColor="text1"/>
          <w:sz w:val="24"/>
          <w14:textFill>
            <w14:solidFill>
              <w14:schemeClr w14:val="tx1"/>
            </w14:solidFill>
          </w14:textFill>
        </w:rPr>
        <w:t>4.该表须报采购人备案，并不得随意更改。</w:t>
      </w:r>
    </w:p>
    <w:p w14:paraId="7A16A88D">
      <w:pPr>
        <w:spacing w:line="400" w:lineRule="exact"/>
        <w:rPr>
          <w:b/>
          <w:color w:val="000000" w:themeColor="text1"/>
          <w:sz w:val="24"/>
          <w14:textFill>
            <w14:solidFill>
              <w14:schemeClr w14:val="tx1"/>
            </w14:solidFill>
          </w14:textFill>
        </w:rPr>
      </w:pPr>
    </w:p>
    <w:p w14:paraId="484B281A">
      <w:pPr>
        <w:spacing w:line="400" w:lineRule="exact"/>
        <w:rPr>
          <w:b/>
          <w:color w:val="000000" w:themeColor="text1"/>
          <w:sz w:val="24"/>
          <w14:textFill>
            <w14:solidFill>
              <w14:schemeClr w14:val="tx1"/>
            </w14:solidFill>
          </w14:textFill>
        </w:rPr>
      </w:pPr>
    </w:p>
    <w:p w14:paraId="7F0939BE">
      <w:pPr>
        <w:spacing w:line="360" w:lineRule="auto"/>
        <w:ind w:left="5481" w:hanging="5481"/>
        <w:jc w:val="center"/>
        <w:rPr>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                                       </w:t>
      </w:r>
      <w:r>
        <w:rPr>
          <w:bCs/>
          <w:color w:val="000000" w:themeColor="text1"/>
          <w:sz w:val="24"/>
          <w:lang w:val="zh-CN"/>
          <w14:textFill>
            <w14:solidFill>
              <w14:schemeClr w14:val="tx1"/>
            </w14:solidFill>
          </w14:textFill>
        </w:rPr>
        <w:t>投标人（电子签章）：</w:t>
      </w:r>
    </w:p>
    <w:p w14:paraId="1C192129">
      <w:pPr>
        <w:spacing w:line="360" w:lineRule="auto"/>
        <w:ind w:left="5460" w:hanging="5460"/>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 xml:space="preserve">                                     </w:t>
      </w:r>
    </w:p>
    <w:p w14:paraId="6BF0A3B9">
      <w:pPr>
        <w:spacing w:line="400" w:lineRule="exact"/>
        <w:rPr>
          <w:b/>
          <w:color w:val="000000" w:themeColor="text1"/>
          <w:sz w:val="24"/>
          <w14:textFill>
            <w14:solidFill>
              <w14:schemeClr w14:val="tx1"/>
            </w14:solidFill>
          </w14:textFill>
        </w:rPr>
      </w:pPr>
    </w:p>
    <w:p w14:paraId="1B2FB41D">
      <w:pPr>
        <w:spacing w:line="400" w:lineRule="exact"/>
        <w:rPr>
          <w:rFonts w:eastAsia="黑体"/>
          <w:bCs/>
          <w:color w:val="000000" w:themeColor="text1"/>
          <w:sz w:val="24"/>
          <w:szCs w:val="24"/>
          <w14:textFill>
            <w14:solidFill>
              <w14:schemeClr w14:val="tx1"/>
            </w14:solidFill>
          </w14:textFill>
        </w:rPr>
      </w:pPr>
    </w:p>
    <w:p w14:paraId="7C9D42C8">
      <w:pPr>
        <w:spacing w:line="400" w:lineRule="exact"/>
        <w:rPr>
          <w:rFonts w:eastAsia="黑体"/>
          <w:bCs/>
          <w:color w:val="000000" w:themeColor="text1"/>
          <w:sz w:val="24"/>
          <w:szCs w:val="24"/>
          <w14:textFill>
            <w14:solidFill>
              <w14:schemeClr w14:val="tx1"/>
            </w14:solidFill>
          </w14:textFill>
        </w:rPr>
      </w:pPr>
    </w:p>
    <w:p w14:paraId="2063BA9A">
      <w:pPr>
        <w:spacing w:line="400" w:lineRule="exact"/>
        <w:rPr>
          <w:rFonts w:eastAsia="黑体"/>
          <w:bCs/>
          <w:color w:val="000000" w:themeColor="text1"/>
          <w:sz w:val="24"/>
          <w:szCs w:val="24"/>
          <w14:textFill>
            <w14:solidFill>
              <w14:schemeClr w14:val="tx1"/>
            </w14:solidFill>
          </w14:textFill>
        </w:rPr>
      </w:pPr>
    </w:p>
    <w:p w14:paraId="6EA93EA2">
      <w:pPr>
        <w:spacing w:line="400" w:lineRule="exact"/>
        <w:rPr>
          <w:rFonts w:eastAsia="黑体"/>
          <w:bCs/>
          <w:color w:val="000000" w:themeColor="text1"/>
          <w:sz w:val="24"/>
          <w:szCs w:val="24"/>
          <w14:textFill>
            <w14:solidFill>
              <w14:schemeClr w14:val="tx1"/>
            </w14:solidFill>
          </w14:textFill>
        </w:rPr>
      </w:pPr>
    </w:p>
    <w:p w14:paraId="565DA88A">
      <w:pPr>
        <w:spacing w:line="400" w:lineRule="exact"/>
        <w:rPr>
          <w:rFonts w:eastAsia="黑体"/>
          <w:color w:val="000000" w:themeColor="text1"/>
          <w:sz w:val="24"/>
          <w:szCs w:val="24"/>
          <w14:textFill>
            <w14:solidFill>
              <w14:schemeClr w14:val="tx1"/>
            </w14:solidFill>
          </w14:textFill>
        </w:rPr>
      </w:pPr>
    </w:p>
    <w:p w14:paraId="41D470B5">
      <w:pPr>
        <w:spacing w:line="400" w:lineRule="exact"/>
        <w:rPr>
          <w:rFonts w:eastAsia="黑体"/>
          <w:color w:val="000000" w:themeColor="text1"/>
          <w:sz w:val="24"/>
          <w:szCs w:val="24"/>
          <w14:textFill>
            <w14:solidFill>
              <w14:schemeClr w14:val="tx1"/>
            </w14:solidFill>
          </w14:textFill>
        </w:rPr>
      </w:pPr>
    </w:p>
    <w:p w14:paraId="5F1037D6">
      <w:pPr>
        <w:widowControl/>
        <w:jc w:val="left"/>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br w:type="page"/>
      </w:r>
    </w:p>
    <w:p w14:paraId="4C4E59EF">
      <w:pPr>
        <w:spacing w:line="400" w:lineRule="exact"/>
        <w:rPr>
          <w:rFonts w:eastAsia="黑体"/>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t>（六）投标人基本状况一览表（格式）</w:t>
      </w:r>
    </w:p>
    <w:p w14:paraId="43DA506E">
      <w:pPr>
        <w:ind w:firstLine="720"/>
        <w:jc w:val="center"/>
        <w:rPr>
          <w:rFonts w:eastAsia="仿宋"/>
          <w:bCs/>
          <w:color w:val="000000" w:themeColor="text1"/>
          <w:sz w:val="24"/>
          <w:szCs w:val="24"/>
          <w14:textFill>
            <w14:solidFill>
              <w14:schemeClr w14:val="tx1"/>
            </w14:solidFill>
          </w14:textFill>
        </w:rPr>
      </w:pPr>
    </w:p>
    <w:p w14:paraId="5E8642A9">
      <w:pPr>
        <w:jc w:val="center"/>
        <w:rPr>
          <w:rFonts w:eastAsia="黑体"/>
          <w:bCs/>
          <w:color w:val="000000" w:themeColor="text1"/>
          <w:sz w:val="28"/>
          <w:szCs w:val="28"/>
          <w14:textFill>
            <w14:solidFill>
              <w14:schemeClr w14:val="tx1"/>
            </w14:solidFill>
          </w14:textFill>
        </w:rPr>
      </w:pPr>
      <w:r>
        <w:rPr>
          <w:rFonts w:eastAsia="黑体"/>
          <w:bCs/>
          <w:color w:val="000000" w:themeColor="text1"/>
          <w:sz w:val="28"/>
          <w:szCs w:val="28"/>
          <w14:textFill>
            <w14:solidFill>
              <w14:schemeClr w14:val="tx1"/>
            </w14:solidFill>
          </w14:textFill>
        </w:rPr>
        <w:t>投标人基本状况一览表</w:t>
      </w:r>
    </w:p>
    <w:p w14:paraId="1778D08D">
      <w:pPr>
        <w:jc w:val="center"/>
        <w:rPr>
          <w:rFonts w:eastAsia="黑体"/>
          <w:bCs/>
          <w:color w:val="000000" w:themeColor="text1"/>
          <w:sz w:val="28"/>
          <w:szCs w:val="28"/>
          <w14:textFill>
            <w14:solidFill>
              <w14:schemeClr w14:val="tx1"/>
            </w14:solidFill>
          </w14:textFill>
        </w:rPr>
      </w:pPr>
    </w:p>
    <w:p w14:paraId="61A74FAE">
      <w:pPr>
        <w:ind w:firstLine="720"/>
        <w:jc w:val="center"/>
        <w:rPr>
          <w:rFonts w:eastAsia="仿宋"/>
          <w:bCs/>
          <w:color w:val="000000" w:themeColor="text1"/>
          <w:sz w:val="24"/>
          <w:szCs w:val="24"/>
          <w14:textFill>
            <w14:solidFill>
              <w14:schemeClr w14:val="tx1"/>
            </w14:solidFill>
          </w14:textFill>
        </w:rPr>
      </w:pPr>
    </w:p>
    <w:p w14:paraId="2C964F50">
      <w:pPr>
        <w:spacing w:line="360" w:lineRule="auto"/>
        <w:rPr>
          <w:bCs/>
          <w:color w:val="000000" w:themeColor="text1"/>
          <w:sz w:val="24"/>
          <w:szCs w:val="24"/>
          <w14:textFill>
            <w14:solidFill>
              <w14:schemeClr w14:val="tx1"/>
            </w14:solidFill>
          </w14:textFill>
        </w:rPr>
      </w:pPr>
    </w:p>
    <w:tbl>
      <w:tblPr>
        <w:tblStyle w:val="45"/>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4"/>
        <w:gridCol w:w="1575"/>
        <w:gridCol w:w="1276"/>
        <w:gridCol w:w="2007"/>
        <w:gridCol w:w="1074"/>
        <w:gridCol w:w="1194"/>
      </w:tblGrid>
      <w:tr w14:paraId="0A70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594" w:type="dxa"/>
            <w:vAlign w:val="center"/>
          </w:tcPr>
          <w:p w14:paraId="77455047">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投标人名称</w:t>
            </w:r>
          </w:p>
        </w:tc>
        <w:tc>
          <w:tcPr>
            <w:tcW w:w="7126" w:type="dxa"/>
            <w:gridSpan w:val="5"/>
            <w:vAlign w:val="center"/>
          </w:tcPr>
          <w:p w14:paraId="0C77866B">
            <w:pPr>
              <w:spacing w:line="360" w:lineRule="auto"/>
              <w:jc w:val="center"/>
              <w:rPr>
                <w:color w:val="000000" w:themeColor="text1"/>
                <w:szCs w:val="21"/>
                <w14:textFill>
                  <w14:solidFill>
                    <w14:schemeClr w14:val="tx1"/>
                  </w14:solidFill>
                </w14:textFill>
              </w:rPr>
            </w:pPr>
          </w:p>
        </w:tc>
      </w:tr>
      <w:tr w14:paraId="2F14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594" w:type="dxa"/>
            <w:vAlign w:val="center"/>
          </w:tcPr>
          <w:p w14:paraId="200682E0">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投标人地址</w:t>
            </w:r>
          </w:p>
        </w:tc>
        <w:tc>
          <w:tcPr>
            <w:tcW w:w="4858" w:type="dxa"/>
            <w:gridSpan w:val="3"/>
            <w:vAlign w:val="center"/>
          </w:tcPr>
          <w:p w14:paraId="437A2FF7">
            <w:pPr>
              <w:spacing w:line="360" w:lineRule="auto"/>
              <w:jc w:val="center"/>
              <w:rPr>
                <w:color w:val="000000" w:themeColor="text1"/>
                <w:szCs w:val="21"/>
                <w14:textFill>
                  <w14:solidFill>
                    <w14:schemeClr w14:val="tx1"/>
                  </w14:solidFill>
                </w14:textFill>
              </w:rPr>
            </w:pPr>
          </w:p>
        </w:tc>
        <w:tc>
          <w:tcPr>
            <w:tcW w:w="1074" w:type="dxa"/>
            <w:vAlign w:val="center"/>
          </w:tcPr>
          <w:p w14:paraId="71F78189">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电 话</w:t>
            </w:r>
          </w:p>
        </w:tc>
        <w:tc>
          <w:tcPr>
            <w:tcW w:w="1194" w:type="dxa"/>
            <w:vAlign w:val="center"/>
          </w:tcPr>
          <w:p w14:paraId="36824D7C">
            <w:pPr>
              <w:spacing w:line="360" w:lineRule="auto"/>
              <w:jc w:val="center"/>
              <w:rPr>
                <w:color w:val="000000" w:themeColor="text1"/>
                <w:szCs w:val="21"/>
                <w14:textFill>
                  <w14:solidFill>
                    <w14:schemeClr w14:val="tx1"/>
                  </w14:solidFill>
                </w14:textFill>
              </w:rPr>
            </w:pPr>
          </w:p>
        </w:tc>
      </w:tr>
      <w:tr w14:paraId="1657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594" w:type="dxa"/>
            <w:vAlign w:val="center"/>
          </w:tcPr>
          <w:p w14:paraId="7E9DFF38">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投标人负责人</w:t>
            </w:r>
          </w:p>
        </w:tc>
        <w:tc>
          <w:tcPr>
            <w:tcW w:w="4858" w:type="dxa"/>
            <w:gridSpan w:val="3"/>
            <w:vAlign w:val="center"/>
          </w:tcPr>
          <w:p w14:paraId="46C3A176">
            <w:pPr>
              <w:spacing w:line="360" w:lineRule="auto"/>
              <w:jc w:val="center"/>
              <w:rPr>
                <w:color w:val="000000" w:themeColor="text1"/>
                <w:szCs w:val="21"/>
                <w14:textFill>
                  <w14:solidFill>
                    <w14:schemeClr w14:val="tx1"/>
                  </w14:solidFill>
                </w14:textFill>
              </w:rPr>
            </w:pPr>
          </w:p>
        </w:tc>
        <w:tc>
          <w:tcPr>
            <w:tcW w:w="1074" w:type="dxa"/>
            <w:vAlign w:val="center"/>
          </w:tcPr>
          <w:p w14:paraId="643BA6FF">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企业性质</w:t>
            </w:r>
          </w:p>
        </w:tc>
        <w:tc>
          <w:tcPr>
            <w:tcW w:w="1194" w:type="dxa"/>
            <w:vAlign w:val="center"/>
          </w:tcPr>
          <w:p w14:paraId="6D052EBC">
            <w:pPr>
              <w:spacing w:line="360" w:lineRule="auto"/>
              <w:jc w:val="center"/>
              <w:rPr>
                <w:color w:val="000000" w:themeColor="text1"/>
                <w:szCs w:val="21"/>
                <w14:textFill>
                  <w14:solidFill>
                    <w14:schemeClr w14:val="tx1"/>
                  </w14:solidFill>
                </w14:textFill>
              </w:rPr>
            </w:pPr>
          </w:p>
        </w:tc>
      </w:tr>
      <w:tr w14:paraId="0EF2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0" w:hRule="atLeast"/>
          <w:jc w:val="center"/>
        </w:trPr>
        <w:tc>
          <w:tcPr>
            <w:tcW w:w="2594" w:type="dxa"/>
            <w:vAlign w:val="center"/>
          </w:tcPr>
          <w:p w14:paraId="76EB827A">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总公司注册资本</w:t>
            </w:r>
          </w:p>
        </w:tc>
        <w:tc>
          <w:tcPr>
            <w:tcW w:w="2851" w:type="dxa"/>
            <w:gridSpan w:val="2"/>
            <w:vAlign w:val="center"/>
          </w:tcPr>
          <w:p w14:paraId="55328106">
            <w:pPr>
              <w:spacing w:line="360" w:lineRule="auto"/>
              <w:ind w:firstLine="1995"/>
              <w:rPr>
                <w:color w:val="000000" w:themeColor="text1"/>
                <w:szCs w:val="21"/>
                <w14:textFill>
                  <w14:solidFill>
                    <w14:schemeClr w14:val="tx1"/>
                  </w14:solidFill>
                </w14:textFill>
              </w:rPr>
            </w:pPr>
            <w:r>
              <w:rPr>
                <w:color w:val="000000" w:themeColor="text1"/>
                <w:szCs w:val="21"/>
                <w14:textFill>
                  <w14:solidFill>
                    <w14:schemeClr w14:val="tx1"/>
                  </w14:solidFill>
                </w14:textFill>
              </w:rPr>
              <w:t>万元</w:t>
            </w:r>
          </w:p>
        </w:tc>
        <w:tc>
          <w:tcPr>
            <w:tcW w:w="2007" w:type="dxa"/>
            <w:vAlign w:val="center"/>
          </w:tcPr>
          <w:p w14:paraId="7ABAA7C7">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宜兴机构职工总数</w:t>
            </w:r>
          </w:p>
          <w:p w14:paraId="471C9BB9">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（以缴纳社保金的人数为准） </w:t>
            </w:r>
          </w:p>
        </w:tc>
        <w:tc>
          <w:tcPr>
            <w:tcW w:w="2268" w:type="dxa"/>
            <w:gridSpan w:val="2"/>
            <w:vAlign w:val="center"/>
          </w:tcPr>
          <w:p w14:paraId="08ED315E">
            <w:pPr>
              <w:spacing w:line="360" w:lineRule="auto"/>
              <w:ind w:firstLine="1470"/>
              <w:rPr>
                <w:color w:val="000000" w:themeColor="text1"/>
                <w:szCs w:val="21"/>
                <w14:textFill>
                  <w14:solidFill>
                    <w14:schemeClr w14:val="tx1"/>
                  </w14:solidFill>
                </w14:textFill>
              </w:rPr>
            </w:pPr>
            <w:r>
              <w:rPr>
                <w:color w:val="000000" w:themeColor="text1"/>
                <w:szCs w:val="21"/>
                <w14:textFill>
                  <w14:solidFill>
                    <w14:schemeClr w14:val="tx1"/>
                  </w14:solidFill>
                </w14:textFill>
              </w:rPr>
              <w:t>人</w:t>
            </w:r>
          </w:p>
        </w:tc>
      </w:tr>
      <w:tr w14:paraId="743B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0" w:hRule="atLeast"/>
          <w:jc w:val="center"/>
        </w:trPr>
        <w:tc>
          <w:tcPr>
            <w:tcW w:w="2594" w:type="dxa"/>
            <w:vAlign w:val="center"/>
          </w:tcPr>
          <w:p w14:paraId="3AAD50EF">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2023年总公司资产总额</w:t>
            </w:r>
          </w:p>
        </w:tc>
        <w:tc>
          <w:tcPr>
            <w:tcW w:w="2851" w:type="dxa"/>
            <w:gridSpan w:val="2"/>
            <w:vAlign w:val="center"/>
          </w:tcPr>
          <w:p w14:paraId="1727B0F7">
            <w:pPr>
              <w:spacing w:line="360" w:lineRule="auto"/>
              <w:ind w:firstLine="1995"/>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万元</w:t>
            </w:r>
          </w:p>
        </w:tc>
        <w:tc>
          <w:tcPr>
            <w:tcW w:w="2007" w:type="dxa"/>
            <w:vAlign w:val="center"/>
          </w:tcPr>
          <w:p w14:paraId="57352897">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2023年度总公司</w:t>
            </w:r>
          </w:p>
          <w:p w14:paraId="325E6109">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营业收入</w:t>
            </w:r>
          </w:p>
        </w:tc>
        <w:tc>
          <w:tcPr>
            <w:tcW w:w="2268" w:type="dxa"/>
            <w:gridSpan w:val="2"/>
            <w:vAlign w:val="center"/>
          </w:tcPr>
          <w:p w14:paraId="3CD43AA3">
            <w:pPr>
              <w:spacing w:line="360" w:lineRule="auto"/>
              <w:ind w:firstLine="1470"/>
              <w:rPr>
                <w:color w:val="000000" w:themeColor="text1"/>
                <w:szCs w:val="21"/>
                <w14:textFill>
                  <w14:solidFill>
                    <w14:schemeClr w14:val="tx1"/>
                  </w14:solidFill>
                </w14:textFill>
              </w:rPr>
            </w:pPr>
            <w:r>
              <w:rPr>
                <w:color w:val="000000" w:themeColor="text1"/>
                <w:szCs w:val="21"/>
                <w14:textFill>
                  <w14:solidFill>
                    <w14:schemeClr w14:val="tx1"/>
                  </w14:solidFill>
                </w14:textFill>
              </w:rPr>
              <w:t>万元</w:t>
            </w:r>
          </w:p>
        </w:tc>
      </w:tr>
      <w:tr w14:paraId="3CA1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jc w:val="center"/>
        </w:trPr>
        <w:tc>
          <w:tcPr>
            <w:tcW w:w="2594" w:type="dxa"/>
            <w:tcBorders>
              <w:bottom w:val="single" w:color="auto" w:sz="4" w:space="0"/>
            </w:tcBorders>
            <w:shd w:val="clear" w:color="auto" w:fill="auto"/>
            <w:vAlign w:val="center"/>
          </w:tcPr>
          <w:p w14:paraId="4DA85ACA">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年度</w:t>
            </w:r>
          </w:p>
        </w:tc>
        <w:tc>
          <w:tcPr>
            <w:tcW w:w="1575" w:type="dxa"/>
            <w:tcBorders>
              <w:bottom w:val="single" w:color="auto" w:sz="4" w:space="0"/>
            </w:tcBorders>
            <w:vAlign w:val="center"/>
          </w:tcPr>
          <w:p w14:paraId="6067EB8A">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无锡市全辖</w:t>
            </w:r>
          </w:p>
          <w:p w14:paraId="671A4A4D">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保险费收入</w:t>
            </w:r>
          </w:p>
          <w:p w14:paraId="5FD5EE3D">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总额</w:t>
            </w:r>
          </w:p>
        </w:tc>
        <w:tc>
          <w:tcPr>
            <w:tcW w:w="1276" w:type="dxa"/>
            <w:tcBorders>
              <w:bottom w:val="single" w:color="auto" w:sz="4" w:space="0"/>
            </w:tcBorders>
            <w:vAlign w:val="center"/>
          </w:tcPr>
          <w:p w14:paraId="5EB10570">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无锡市全辖</w:t>
            </w:r>
          </w:p>
          <w:p w14:paraId="30E9E51C">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保险费</w:t>
            </w:r>
          </w:p>
          <w:p w14:paraId="7788731A">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占比%</w:t>
            </w:r>
          </w:p>
        </w:tc>
        <w:tc>
          <w:tcPr>
            <w:tcW w:w="2007" w:type="dxa"/>
            <w:shd w:val="clear" w:color="auto" w:fill="auto"/>
            <w:vAlign w:val="center"/>
          </w:tcPr>
          <w:p w14:paraId="20F87034">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无锡市全辖</w:t>
            </w:r>
          </w:p>
          <w:p w14:paraId="7101F95F">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责任</w:t>
            </w:r>
            <w:r>
              <w:rPr>
                <w:color w:val="000000" w:themeColor="text1"/>
                <w:szCs w:val="21"/>
                <w14:textFill>
                  <w14:solidFill>
                    <w14:schemeClr w14:val="tx1"/>
                  </w14:solidFill>
                </w14:textFill>
              </w:rPr>
              <w:t>保险费</w:t>
            </w:r>
          </w:p>
          <w:p w14:paraId="4A75B827">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收入总额</w:t>
            </w:r>
          </w:p>
        </w:tc>
        <w:tc>
          <w:tcPr>
            <w:tcW w:w="2268" w:type="dxa"/>
            <w:gridSpan w:val="2"/>
            <w:shd w:val="clear" w:color="auto" w:fill="auto"/>
            <w:vAlign w:val="center"/>
          </w:tcPr>
          <w:p w14:paraId="618F4323">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无锡市全辖</w:t>
            </w:r>
            <w:r>
              <w:rPr>
                <w:rFonts w:hint="eastAsia"/>
                <w:color w:val="000000" w:themeColor="text1"/>
                <w:szCs w:val="21"/>
                <w14:textFill>
                  <w14:solidFill>
                    <w14:schemeClr w14:val="tx1"/>
                  </w14:solidFill>
                </w14:textFill>
              </w:rPr>
              <w:t>责任</w:t>
            </w:r>
            <w:r>
              <w:rPr>
                <w:color w:val="000000" w:themeColor="text1"/>
                <w:szCs w:val="21"/>
                <w14:textFill>
                  <w14:solidFill>
                    <w14:schemeClr w14:val="tx1"/>
                  </w14:solidFill>
                </w14:textFill>
              </w:rPr>
              <w:t xml:space="preserve">险占比% </w:t>
            </w:r>
          </w:p>
        </w:tc>
      </w:tr>
      <w:tr w14:paraId="505CB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2594" w:type="dxa"/>
            <w:shd w:val="clear" w:color="auto" w:fill="auto"/>
            <w:vAlign w:val="center"/>
          </w:tcPr>
          <w:p w14:paraId="30C0ED41">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202</w:t>
            </w:r>
            <w:r>
              <w:rPr>
                <w:rFonts w:hint="eastAsia"/>
                <w:color w:val="000000" w:themeColor="text1"/>
                <w:szCs w:val="21"/>
                <w14:textFill>
                  <w14:solidFill>
                    <w14:schemeClr w14:val="tx1"/>
                  </w14:solidFill>
                </w14:textFill>
              </w:rPr>
              <w:t>4</w:t>
            </w:r>
          </w:p>
        </w:tc>
        <w:tc>
          <w:tcPr>
            <w:tcW w:w="1575" w:type="dxa"/>
            <w:vAlign w:val="center"/>
          </w:tcPr>
          <w:p w14:paraId="10F1ABB6">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万元</w:t>
            </w:r>
          </w:p>
        </w:tc>
        <w:tc>
          <w:tcPr>
            <w:tcW w:w="1276" w:type="dxa"/>
            <w:vAlign w:val="center"/>
          </w:tcPr>
          <w:p w14:paraId="5DE7BE8F">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tc>
        <w:tc>
          <w:tcPr>
            <w:tcW w:w="2007" w:type="dxa"/>
            <w:shd w:val="clear" w:color="auto" w:fill="auto"/>
            <w:vAlign w:val="center"/>
          </w:tcPr>
          <w:p w14:paraId="06BD5CA4">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万元</w:t>
            </w:r>
          </w:p>
        </w:tc>
        <w:tc>
          <w:tcPr>
            <w:tcW w:w="2268" w:type="dxa"/>
            <w:gridSpan w:val="2"/>
            <w:shd w:val="clear" w:color="auto" w:fill="auto"/>
            <w:vAlign w:val="center"/>
          </w:tcPr>
          <w:p w14:paraId="6A1227C7">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tc>
      </w:tr>
    </w:tbl>
    <w:p w14:paraId="6D551D6C">
      <w:pPr>
        <w:spacing w:line="360" w:lineRule="auto"/>
        <w:ind w:left="720" w:hanging="720"/>
        <w:rPr>
          <w:bCs/>
          <w:color w:val="000000" w:themeColor="text1"/>
          <w:sz w:val="24"/>
          <w:szCs w:val="24"/>
          <w14:textFill>
            <w14:solidFill>
              <w14:schemeClr w14:val="tx1"/>
            </w14:solidFill>
          </w14:textFill>
        </w:rPr>
      </w:pPr>
    </w:p>
    <w:p w14:paraId="47389671">
      <w:pPr>
        <w:spacing w:line="360" w:lineRule="auto"/>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注：无锡市全辖202</w:t>
      </w:r>
      <w:r>
        <w:rPr>
          <w:rFonts w:hint="eastAsia"/>
          <w:bCs/>
          <w:color w:val="000000" w:themeColor="text1"/>
          <w:sz w:val="24"/>
          <w:szCs w:val="24"/>
          <w14:textFill>
            <w14:solidFill>
              <w14:schemeClr w14:val="tx1"/>
            </w14:solidFill>
          </w14:textFill>
        </w:rPr>
        <w:t>4</w:t>
      </w:r>
      <w:r>
        <w:rPr>
          <w:bCs/>
          <w:color w:val="000000" w:themeColor="text1"/>
          <w:sz w:val="24"/>
          <w:szCs w:val="24"/>
          <w14:textFill>
            <w14:solidFill>
              <w14:schemeClr w14:val="tx1"/>
            </w14:solidFill>
          </w14:textFill>
        </w:rPr>
        <w:t>年度保险费收入及相应比例、202</w:t>
      </w:r>
      <w:r>
        <w:rPr>
          <w:rFonts w:hint="eastAsia"/>
          <w:bCs/>
          <w:color w:val="000000" w:themeColor="text1"/>
          <w:sz w:val="24"/>
          <w:szCs w:val="24"/>
          <w14:textFill>
            <w14:solidFill>
              <w14:schemeClr w14:val="tx1"/>
            </w14:solidFill>
          </w14:textFill>
        </w:rPr>
        <w:t>4</w:t>
      </w:r>
      <w:r>
        <w:rPr>
          <w:bCs/>
          <w:color w:val="000000" w:themeColor="text1"/>
          <w:sz w:val="24"/>
          <w:szCs w:val="24"/>
          <w14:textFill>
            <w14:solidFill>
              <w14:schemeClr w14:val="tx1"/>
            </w14:solidFill>
          </w14:textFill>
        </w:rPr>
        <w:t>年度无锡全辖</w:t>
      </w:r>
      <w:r>
        <w:rPr>
          <w:rFonts w:hint="eastAsia"/>
          <w:bCs/>
          <w:color w:val="000000" w:themeColor="text1"/>
          <w:sz w:val="24"/>
          <w:szCs w:val="24"/>
          <w14:textFill>
            <w14:solidFill>
              <w14:schemeClr w14:val="tx1"/>
            </w14:solidFill>
          </w14:textFill>
        </w:rPr>
        <w:t>责任</w:t>
      </w:r>
      <w:r>
        <w:rPr>
          <w:bCs/>
          <w:color w:val="000000" w:themeColor="text1"/>
          <w:sz w:val="24"/>
          <w:szCs w:val="24"/>
          <w14:textFill>
            <w14:solidFill>
              <w14:schemeClr w14:val="tx1"/>
            </w14:solidFill>
          </w14:textFill>
        </w:rPr>
        <w:t>保险费收入总额及占比以无锡市保险行业协会公布的数据为准。</w:t>
      </w:r>
    </w:p>
    <w:p w14:paraId="4315723B">
      <w:pPr>
        <w:ind w:firstLine="240"/>
        <w:rPr>
          <w:rFonts w:eastAsia="黑体"/>
          <w:bCs/>
          <w:color w:val="000000" w:themeColor="text1"/>
          <w:sz w:val="24"/>
          <w:szCs w:val="24"/>
          <w14:textFill>
            <w14:solidFill>
              <w14:schemeClr w14:val="tx1"/>
            </w14:solidFill>
          </w14:textFill>
        </w:rPr>
      </w:pPr>
    </w:p>
    <w:p w14:paraId="3361D40D">
      <w:pPr>
        <w:ind w:firstLine="240"/>
        <w:rPr>
          <w:rFonts w:eastAsia="黑体"/>
          <w:bCs/>
          <w:color w:val="000000" w:themeColor="text1"/>
          <w:sz w:val="24"/>
          <w:szCs w:val="24"/>
          <w14:textFill>
            <w14:solidFill>
              <w14:schemeClr w14:val="tx1"/>
            </w14:solidFill>
          </w14:textFill>
        </w:rPr>
      </w:pPr>
    </w:p>
    <w:p w14:paraId="515D716F">
      <w:pPr>
        <w:ind w:firstLine="240"/>
        <w:rPr>
          <w:rFonts w:eastAsia="黑体"/>
          <w:bCs/>
          <w:color w:val="000000" w:themeColor="text1"/>
          <w:sz w:val="24"/>
          <w:szCs w:val="24"/>
          <w14:textFill>
            <w14:solidFill>
              <w14:schemeClr w14:val="tx1"/>
            </w14:solidFill>
          </w14:textFill>
        </w:rPr>
      </w:pPr>
    </w:p>
    <w:p w14:paraId="08781B83">
      <w:pPr>
        <w:ind w:firstLine="240"/>
        <w:rPr>
          <w:rFonts w:eastAsia="黑体"/>
          <w:bCs/>
          <w:color w:val="000000" w:themeColor="text1"/>
          <w:sz w:val="24"/>
          <w:szCs w:val="24"/>
          <w14:textFill>
            <w14:solidFill>
              <w14:schemeClr w14:val="tx1"/>
            </w14:solidFill>
          </w14:textFill>
        </w:rPr>
      </w:pPr>
    </w:p>
    <w:p w14:paraId="1D2DAE00">
      <w:pPr>
        <w:spacing w:line="360" w:lineRule="auto"/>
        <w:ind w:left="5460" w:hanging="5460"/>
        <w:jc w:val="center"/>
        <w:rPr>
          <w:bCs/>
          <w:color w:val="000000" w:themeColor="text1"/>
          <w:sz w:val="24"/>
          <w14:textFill>
            <w14:solidFill>
              <w14:schemeClr w14:val="tx1"/>
            </w14:solidFill>
          </w14:textFill>
        </w:rPr>
      </w:pPr>
      <w:r>
        <w:rPr>
          <w:rFonts w:eastAsia="黑体"/>
          <w:bCs/>
          <w:color w:val="000000" w:themeColor="text1"/>
          <w:sz w:val="24"/>
          <w:szCs w:val="24"/>
          <w14:textFill>
            <w14:solidFill>
              <w14:schemeClr w14:val="tx1"/>
            </w14:solidFill>
          </w14:textFill>
        </w:rPr>
        <w:t xml:space="preserve">                                     </w:t>
      </w:r>
      <w:r>
        <w:rPr>
          <w:b/>
          <w:color w:val="000000" w:themeColor="text1"/>
          <w:sz w:val="24"/>
          <w14:textFill>
            <w14:solidFill>
              <w14:schemeClr w14:val="tx1"/>
            </w14:solidFill>
          </w14:textFill>
        </w:rPr>
        <w:t xml:space="preserve">     </w:t>
      </w:r>
      <w:r>
        <w:rPr>
          <w:bCs/>
          <w:color w:val="000000" w:themeColor="text1"/>
          <w:sz w:val="24"/>
          <w:lang w:val="zh-CN"/>
          <w14:textFill>
            <w14:solidFill>
              <w14:schemeClr w14:val="tx1"/>
            </w14:solidFill>
          </w14:textFill>
        </w:rPr>
        <w:t>投标人（电子签章）：</w:t>
      </w:r>
    </w:p>
    <w:p w14:paraId="33671EC4">
      <w:pPr>
        <w:spacing w:line="360" w:lineRule="auto"/>
        <w:ind w:left="5460" w:hanging="5460"/>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 xml:space="preserve">                                      </w:t>
      </w:r>
    </w:p>
    <w:p w14:paraId="5F1F5E31">
      <w:pPr>
        <w:ind w:firstLine="240"/>
        <w:rPr>
          <w:rFonts w:eastAsia="黑体"/>
          <w:bCs/>
          <w:color w:val="000000" w:themeColor="text1"/>
          <w:sz w:val="24"/>
          <w:szCs w:val="24"/>
          <w14:textFill>
            <w14:solidFill>
              <w14:schemeClr w14:val="tx1"/>
            </w14:solidFill>
          </w14:textFill>
        </w:rPr>
      </w:pPr>
    </w:p>
    <w:p w14:paraId="4C836496">
      <w:pPr>
        <w:ind w:firstLine="240"/>
        <w:rPr>
          <w:rFonts w:eastAsia="黑体"/>
          <w:bCs/>
          <w:color w:val="000000" w:themeColor="text1"/>
          <w:sz w:val="24"/>
          <w:szCs w:val="24"/>
          <w14:textFill>
            <w14:solidFill>
              <w14:schemeClr w14:val="tx1"/>
            </w14:solidFill>
          </w14:textFill>
        </w:rPr>
      </w:pPr>
    </w:p>
    <w:p w14:paraId="784AC0A3">
      <w:pPr>
        <w:ind w:firstLine="240"/>
        <w:rPr>
          <w:rFonts w:eastAsia="黑体"/>
          <w:bCs/>
          <w:color w:val="000000" w:themeColor="text1"/>
          <w:sz w:val="24"/>
          <w:szCs w:val="24"/>
          <w14:textFill>
            <w14:solidFill>
              <w14:schemeClr w14:val="tx1"/>
            </w14:solidFill>
          </w14:textFill>
        </w:rPr>
      </w:pPr>
    </w:p>
    <w:p w14:paraId="5B032122">
      <w:pPr>
        <w:widowControl/>
        <w:jc w:val="left"/>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br w:type="page" w:clear="all"/>
      </w:r>
    </w:p>
    <w:p w14:paraId="32E8AC61">
      <w:pPr>
        <w:ind w:firstLine="240"/>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t>（七）中小企业声明函（格式）</w:t>
      </w:r>
    </w:p>
    <w:p w14:paraId="18A03E9E">
      <w:pPr>
        <w:jc w:val="center"/>
        <w:rPr>
          <w:rFonts w:eastAsia="黑体"/>
          <w:bCs/>
          <w:color w:val="000000" w:themeColor="text1"/>
          <w:sz w:val="28"/>
          <w:szCs w:val="28"/>
          <w14:textFill>
            <w14:solidFill>
              <w14:schemeClr w14:val="tx1"/>
            </w14:solidFill>
          </w14:textFill>
        </w:rPr>
      </w:pPr>
    </w:p>
    <w:p w14:paraId="22F50957">
      <w:pPr>
        <w:jc w:val="center"/>
        <w:rPr>
          <w:rFonts w:eastAsia="黑体"/>
          <w:bCs/>
          <w:color w:val="000000" w:themeColor="text1"/>
          <w:sz w:val="28"/>
          <w:szCs w:val="28"/>
          <w14:textFill>
            <w14:solidFill>
              <w14:schemeClr w14:val="tx1"/>
            </w14:solidFill>
          </w14:textFill>
        </w:rPr>
      </w:pPr>
      <w:r>
        <w:rPr>
          <w:rFonts w:eastAsia="黑体"/>
          <w:bCs/>
          <w:color w:val="000000" w:themeColor="text1"/>
          <w:sz w:val="28"/>
          <w:szCs w:val="28"/>
          <w14:textFill>
            <w14:solidFill>
              <w14:schemeClr w14:val="tx1"/>
            </w14:solidFill>
          </w14:textFill>
        </w:rPr>
        <w:t>中小企业声明函（服务）</w:t>
      </w:r>
    </w:p>
    <w:p w14:paraId="76C299E5">
      <w:pPr>
        <w:jc w:val="center"/>
        <w:rPr>
          <w:rFonts w:eastAsia="黑体"/>
          <w:bCs/>
          <w:color w:val="000000" w:themeColor="text1"/>
          <w:sz w:val="28"/>
          <w:szCs w:val="28"/>
          <w14:textFill>
            <w14:solidFill>
              <w14:schemeClr w14:val="tx1"/>
            </w14:solidFill>
          </w14:textFill>
        </w:rPr>
      </w:pPr>
    </w:p>
    <w:p w14:paraId="1A3BA65E">
      <w:pPr>
        <w:rPr>
          <w:color w:val="000000" w:themeColor="text1"/>
          <w14:textFill>
            <w14:solidFill>
              <w14:schemeClr w14:val="tx1"/>
            </w14:solidFill>
          </w14:textFill>
        </w:rPr>
      </w:pPr>
    </w:p>
    <w:p w14:paraId="20741342">
      <w:pPr>
        <w:rPr>
          <w:color w:val="000000" w:themeColor="text1"/>
          <w14:textFill>
            <w14:solidFill>
              <w14:schemeClr w14:val="tx1"/>
            </w14:solidFill>
          </w14:textFill>
        </w:rPr>
      </w:pPr>
    </w:p>
    <w:p w14:paraId="137BF17A">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本公司（联合体）郑重声明，根据《政府采购促进中小企业发展管理办法》（财库﹝2021﹞46 号）的规定，本公司（联合体）参加</w:t>
      </w:r>
      <w:r>
        <w:rPr>
          <w:bCs/>
          <w:color w:val="000000" w:themeColor="text1"/>
          <w:sz w:val="24"/>
          <w:szCs w:val="24"/>
          <w:u w:val="single"/>
          <w14:textFill>
            <w14:solidFill>
              <w14:schemeClr w14:val="tx1"/>
            </w14:solidFill>
          </w14:textFill>
        </w:rPr>
        <w:t>（单位名称）</w:t>
      </w:r>
      <w:r>
        <w:rPr>
          <w:bCs/>
          <w:color w:val="000000" w:themeColor="text1"/>
          <w:sz w:val="24"/>
          <w:szCs w:val="24"/>
          <w14:textFill>
            <w14:solidFill>
              <w14:schemeClr w14:val="tx1"/>
            </w14:solidFill>
          </w14:textFill>
        </w:rPr>
        <w:t>的</w:t>
      </w:r>
      <w:r>
        <w:rPr>
          <w:bCs/>
          <w:color w:val="000000" w:themeColor="text1"/>
          <w:sz w:val="24"/>
          <w:szCs w:val="24"/>
          <w:u w:val="single"/>
          <w14:textFill>
            <w14:solidFill>
              <w14:schemeClr w14:val="tx1"/>
            </w14:solidFill>
          </w14:textFill>
        </w:rPr>
        <w:t>（项目名称）</w:t>
      </w:r>
      <w:r>
        <w:rPr>
          <w:bCs/>
          <w:color w:val="000000" w:themeColor="text1"/>
          <w:sz w:val="24"/>
          <w:szCs w:val="24"/>
          <w14:textFill>
            <w14:solidFill>
              <w14:schemeClr w14:val="tx1"/>
            </w14:solidFill>
          </w14:textFill>
        </w:rPr>
        <w:t>采购活动，</w:t>
      </w:r>
      <w:r>
        <w:rPr>
          <w:b/>
          <w:bCs/>
          <w:color w:val="000000" w:themeColor="text1"/>
          <w:sz w:val="24"/>
          <w:szCs w:val="24"/>
          <w14:textFill>
            <w14:solidFill>
              <w14:schemeClr w14:val="tx1"/>
            </w14:solidFill>
          </w14:textFill>
        </w:rPr>
        <w:t>服务全部由符合政策要求的中小企业承接</w:t>
      </w:r>
      <w:r>
        <w:rPr>
          <w:bCs/>
          <w:color w:val="000000" w:themeColor="text1"/>
          <w:sz w:val="24"/>
          <w:szCs w:val="24"/>
          <w14:textFill>
            <w14:solidFill>
              <w14:schemeClr w14:val="tx1"/>
            </w14:solidFill>
          </w14:textFill>
        </w:rPr>
        <w:t>。相关企业（含联合体中的中小企业、签订分包意向协议的中小企业）的具体情况如下：</w:t>
      </w:r>
    </w:p>
    <w:p w14:paraId="71BB6D70">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1.</w:t>
      </w:r>
      <w:r>
        <w:rPr>
          <w:bCs/>
          <w:color w:val="000000" w:themeColor="text1"/>
          <w:sz w:val="24"/>
          <w:szCs w:val="24"/>
          <w:u w:val="single"/>
          <w14:textFill>
            <w14:solidFill>
              <w14:schemeClr w14:val="tx1"/>
            </w14:solidFill>
          </w14:textFill>
        </w:rPr>
        <w:t>（标的名称）</w:t>
      </w:r>
      <w:r>
        <w:rPr>
          <w:bCs/>
          <w:color w:val="000000" w:themeColor="text1"/>
          <w:sz w:val="24"/>
          <w:szCs w:val="24"/>
          <w14:textFill>
            <w14:solidFill>
              <w14:schemeClr w14:val="tx1"/>
            </w14:solidFill>
          </w14:textFill>
        </w:rPr>
        <w:t>，属于</w:t>
      </w:r>
      <w:r>
        <w:rPr>
          <w:bCs/>
          <w:color w:val="000000" w:themeColor="text1"/>
          <w:sz w:val="24"/>
          <w:szCs w:val="24"/>
          <w:u w:val="single"/>
          <w14:textFill>
            <w14:solidFill>
              <w14:schemeClr w14:val="tx1"/>
            </w14:solidFill>
          </w14:textFill>
        </w:rPr>
        <w:t>（采购文件中明确的所属行业）</w:t>
      </w:r>
      <w:r>
        <w:rPr>
          <w:bCs/>
          <w:color w:val="000000" w:themeColor="text1"/>
          <w:sz w:val="24"/>
          <w:szCs w:val="24"/>
          <w14:textFill>
            <w14:solidFill>
              <w14:schemeClr w14:val="tx1"/>
            </w14:solidFill>
          </w14:textFill>
        </w:rPr>
        <w:t>；承接企业为</w:t>
      </w:r>
      <w:r>
        <w:rPr>
          <w:bCs/>
          <w:color w:val="000000" w:themeColor="text1"/>
          <w:sz w:val="24"/>
          <w:szCs w:val="24"/>
          <w:u w:val="single"/>
          <w14:textFill>
            <w14:solidFill>
              <w14:schemeClr w14:val="tx1"/>
            </w14:solidFill>
          </w14:textFill>
        </w:rPr>
        <w:t>（企业名称）</w:t>
      </w:r>
      <w:r>
        <w:rPr>
          <w:bCs/>
          <w:color w:val="000000" w:themeColor="text1"/>
          <w:sz w:val="24"/>
          <w:szCs w:val="24"/>
          <w14:textFill>
            <w14:solidFill>
              <w14:schemeClr w14:val="tx1"/>
            </w14:solidFill>
          </w14:textFill>
        </w:rPr>
        <w:t>，从业人员</w:t>
      </w:r>
      <w:r>
        <w:rPr>
          <w:bCs/>
          <w:color w:val="000000" w:themeColor="text1"/>
          <w:sz w:val="24"/>
          <w:szCs w:val="24"/>
          <w:u w:val="single"/>
          <w14:textFill>
            <w14:solidFill>
              <w14:schemeClr w14:val="tx1"/>
            </w14:solidFill>
          </w14:textFill>
        </w:rPr>
        <w:tab/>
      </w:r>
      <w:r>
        <w:rPr>
          <w:bCs/>
          <w:color w:val="000000" w:themeColor="text1"/>
          <w:sz w:val="24"/>
          <w:szCs w:val="24"/>
          <w14:textFill>
            <w14:solidFill>
              <w14:schemeClr w14:val="tx1"/>
            </w14:solidFill>
          </w14:textFill>
        </w:rPr>
        <w:t>人，营业收入为</w:t>
      </w:r>
      <w:r>
        <w:rPr>
          <w:bCs/>
          <w:color w:val="000000" w:themeColor="text1"/>
          <w:sz w:val="24"/>
          <w:szCs w:val="24"/>
          <w:u w:val="single"/>
          <w14:textFill>
            <w14:solidFill>
              <w14:schemeClr w14:val="tx1"/>
            </w14:solidFill>
          </w14:textFill>
        </w:rPr>
        <w:tab/>
      </w:r>
      <w:r>
        <w:rPr>
          <w:bCs/>
          <w:color w:val="000000" w:themeColor="text1"/>
          <w:sz w:val="24"/>
          <w:szCs w:val="24"/>
          <w14:textFill>
            <w14:solidFill>
              <w14:schemeClr w14:val="tx1"/>
            </w14:solidFill>
          </w14:textFill>
        </w:rPr>
        <w:t>万元，资产总额为万元，属于</w:t>
      </w:r>
      <w:r>
        <w:rPr>
          <w:bCs/>
          <w:color w:val="000000" w:themeColor="text1"/>
          <w:sz w:val="24"/>
          <w:szCs w:val="24"/>
          <w:u w:val="single"/>
          <w14:textFill>
            <w14:solidFill>
              <w14:schemeClr w14:val="tx1"/>
            </w14:solidFill>
          </w14:textFill>
        </w:rPr>
        <w:t>（中型企业、小型企业、微型企业）</w:t>
      </w:r>
      <w:r>
        <w:rPr>
          <w:bCs/>
          <w:color w:val="000000" w:themeColor="text1"/>
          <w:sz w:val="24"/>
          <w:szCs w:val="24"/>
          <w14:textFill>
            <w14:solidFill>
              <w14:schemeClr w14:val="tx1"/>
            </w14:solidFill>
          </w14:textFill>
        </w:rPr>
        <w:t>；</w:t>
      </w:r>
    </w:p>
    <w:p w14:paraId="02EA911A">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w:t>
      </w:r>
      <w:r>
        <w:rPr>
          <w:bCs/>
          <w:color w:val="000000" w:themeColor="text1"/>
          <w:sz w:val="24"/>
          <w:szCs w:val="24"/>
          <w:u w:val="single"/>
          <w14:textFill>
            <w14:solidFill>
              <w14:schemeClr w14:val="tx1"/>
            </w14:solidFill>
          </w14:textFill>
        </w:rPr>
        <w:t>（标的名称）</w:t>
      </w:r>
      <w:r>
        <w:rPr>
          <w:bCs/>
          <w:color w:val="000000" w:themeColor="text1"/>
          <w:sz w:val="24"/>
          <w:szCs w:val="24"/>
          <w14:textFill>
            <w14:solidFill>
              <w14:schemeClr w14:val="tx1"/>
            </w14:solidFill>
          </w14:textFill>
        </w:rPr>
        <w:t>，属于</w:t>
      </w:r>
      <w:r>
        <w:rPr>
          <w:bCs/>
          <w:color w:val="000000" w:themeColor="text1"/>
          <w:sz w:val="24"/>
          <w:szCs w:val="24"/>
          <w:u w:val="single"/>
          <w14:textFill>
            <w14:solidFill>
              <w14:schemeClr w14:val="tx1"/>
            </w14:solidFill>
          </w14:textFill>
        </w:rPr>
        <w:t>（采购文件中明确的所属行业）</w:t>
      </w:r>
      <w:r>
        <w:rPr>
          <w:bCs/>
          <w:color w:val="000000" w:themeColor="text1"/>
          <w:sz w:val="24"/>
          <w:szCs w:val="24"/>
          <w14:textFill>
            <w14:solidFill>
              <w14:schemeClr w14:val="tx1"/>
            </w14:solidFill>
          </w14:textFill>
        </w:rPr>
        <w:t>；承接企业为</w:t>
      </w:r>
      <w:r>
        <w:rPr>
          <w:bCs/>
          <w:color w:val="000000" w:themeColor="text1"/>
          <w:sz w:val="24"/>
          <w:szCs w:val="24"/>
          <w:u w:val="single"/>
          <w14:textFill>
            <w14:solidFill>
              <w14:schemeClr w14:val="tx1"/>
            </w14:solidFill>
          </w14:textFill>
        </w:rPr>
        <w:t>（企业名称）</w:t>
      </w:r>
      <w:r>
        <w:rPr>
          <w:bCs/>
          <w:color w:val="000000" w:themeColor="text1"/>
          <w:sz w:val="24"/>
          <w:szCs w:val="24"/>
          <w14:textFill>
            <w14:solidFill>
              <w14:schemeClr w14:val="tx1"/>
            </w14:solidFill>
          </w14:textFill>
        </w:rPr>
        <w:t>，从业人员</w:t>
      </w:r>
      <w:r>
        <w:rPr>
          <w:bCs/>
          <w:color w:val="000000" w:themeColor="text1"/>
          <w:sz w:val="24"/>
          <w:szCs w:val="24"/>
          <w:u w:val="single"/>
          <w14:textFill>
            <w14:solidFill>
              <w14:schemeClr w14:val="tx1"/>
            </w14:solidFill>
          </w14:textFill>
        </w:rPr>
        <w:tab/>
      </w:r>
      <w:r>
        <w:rPr>
          <w:bCs/>
          <w:color w:val="000000" w:themeColor="text1"/>
          <w:sz w:val="24"/>
          <w:szCs w:val="24"/>
          <w14:textFill>
            <w14:solidFill>
              <w14:schemeClr w14:val="tx1"/>
            </w14:solidFill>
          </w14:textFill>
        </w:rPr>
        <w:t>人，营业收入为</w:t>
      </w:r>
      <w:r>
        <w:rPr>
          <w:bCs/>
          <w:color w:val="000000" w:themeColor="text1"/>
          <w:sz w:val="24"/>
          <w:szCs w:val="24"/>
          <w:u w:val="single"/>
          <w14:textFill>
            <w14:solidFill>
              <w14:schemeClr w14:val="tx1"/>
            </w14:solidFill>
          </w14:textFill>
        </w:rPr>
        <w:tab/>
      </w:r>
      <w:r>
        <w:rPr>
          <w:bCs/>
          <w:color w:val="000000" w:themeColor="text1"/>
          <w:sz w:val="24"/>
          <w:szCs w:val="24"/>
          <w14:textFill>
            <w14:solidFill>
              <w14:schemeClr w14:val="tx1"/>
            </w14:solidFill>
          </w14:textFill>
        </w:rPr>
        <w:t>万元，资产总额为万元，属于</w:t>
      </w:r>
      <w:r>
        <w:rPr>
          <w:bCs/>
          <w:color w:val="000000" w:themeColor="text1"/>
          <w:sz w:val="24"/>
          <w:szCs w:val="24"/>
          <w:u w:val="single"/>
          <w14:textFill>
            <w14:solidFill>
              <w14:schemeClr w14:val="tx1"/>
            </w14:solidFill>
          </w14:textFill>
        </w:rPr>
        <w:t>（中型企业、小型企业、微型企业）</w:t>
      </w:r>
      <w:r>
        <w:rPr>
          <w:bCs/>
          <w:color w:val="000000" w:themeColor="text1"/>
          <w:sz w:val="24"/>
          <w:szCs w:val="24"/>
          <w14:textFill>
            <w14:solidFill>
              <w14:schemeClr w14:val="tx1"/>
            </w14:solidFill>
          </w14:textFill>
        </w:rPr>
        <w:t>；</w:t>
      </w:r>
    </w:p>
    <w:p w14:paraId="3DCC5DB9">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w:t>
      </w:r>
    </w:p>
    <w:p w14:paraId="2197E418">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00A2CDAC">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本企业对上述声明内容的真实性负责。如有虚假，将依 法承担相应责任。</w:t>
      </w:r>
    </w:p>
    <w:p w14:paraId="687DE26B">
      <w:pPr>
        <w:spacing w:line="360" w:lineRule="auto"/>
        <w:rPr>
          <w:bCs/>
          <w:color w:val="000000" w:themeColor="text1"/>
          <w:sz w:val="24"/>
          <w:szCs w:val="24"/>
          <w14:textFill>
            <w14:solidFill>
              <w14:schemeClr w14:val="tx1"/>
            </w14:solidFill>
          </w14:textFill>
        </w:rPr>
      </w:pPr>
    </w:p>
    <w:p w14:paraId="7F756EA8">
      <w:pPr>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投标人（电子签章）：</w:t>
      </w:r>
    </w:p>
    <w:p w14:paraId="41EECC58">
      <w:pPr>
        <w:ind w:firstLine="480"/>
        <w:jc w:val="left"/>
        <w:rPr>
          <w:color w:val="000000" w:themeColor="text1"/>
          <w:sz w:val="24"/>
          <w:szCs w:val="21"/>
          <w14:textFill>
            <w14:solidFill>
              <w14:schemeClr w14:val="tx1"/>
            </w14:solidFill>
          </w14:textFill>
        </w:rPr>
      </w:pPr>
    </w:p>
    <w:p w14:paraId="787A23B9">
      <w:pPr>
        <w:ind w:firstLine="48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注：</w:t>
      </w:r>
    </w:p>
    <w:p w14:paraId="0FD8B6E7">
      <w:pPr>
        <w:spacing w:line="360" w:lineRule="auto"/>
        <w:ind w:firstLine="421"/>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（1）从业人员、营业收入、资产总额填报上一年度数据，无上一年度数据的新成立企业可不填报。</w:t>
      </w:r>
    </w:p>
    <w:p w14:paraId="0947B6D1">
      <w:pPr>
        <w:spacing w:line="360" w:lineRule="auto"/>
        <w:ind w:firstLine="421"/>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（2）本声明为承诺制，若中标后中小企业声明函随中标公告一起挂网公示。</w:t>
      </w:r>
    </w:p>
    <w:p w14:paraId="0B13747F">
      <w:pPr>
        <w:spacing w:line="360" w:lineRule="auto"/>
        <w:ind w:firstLine="421"/>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（3）投标人按照本办法规定提供声明函内容不实的，属于提供虚假材料谋取中标，依照《中华人民共和国政府采购法》等国家有关规定追究相应责任。</w:t>
      </w:r>
    </w:p>
    <w:p w14:paraId="54F21916">
      <w:pPr>
        <w:ind w:firstLine="480"/>
        <w:jc w:val="left"/>
        <w:rPr>
          <w:rFonts w:eastAsia="黑体"/>
          <w:bCs/>
          <w:color w:val="000000" w:themeColor="text1"/>
          <w:sz w:val="24"/>
          <w:szCs w:val="24"/>
          <w14:textFill>
            <w14:solidFill>
              <w14:schemeClr w14:val="tx1"/>
            </w14:solidFill>
          </w14:textFill>
        </w:rPr>
      </w:pPr>
      <w:r>
        <w:rPr>
          <w:color w:val="000000" w:themeColor="text1"/>
          <w:sz w:val="24"/>
          <w:szCs w:val="21"/>
          <w14:textFill>
            <w14:solidFill>
              <w14:schemeClr w14:val="tx1"/>
            </w14:solidFill>
          </w14:textFill>
        </w:rPr>
        <w:br w:type="page" w:clear="all"/>
      </w:r>
      <w:bookmarkEnd w:id="85"/>
      <w:bookmarkEnd w:id="86"/>
      <w:r>
        <w:rPr>
          <w:rFonts w:eastAsia="黑体"/>
          <w:bCs/>
          <w:color w:val="000000" w:themeColor="text1"/>
          <w:sz w:val="24"/>
          <w:szCs w:val="24"/>
          <w14:textFill>
            <w14:solidFill>
              <w14:schemeClr w14:val="tx1"/>
            </w14:solidFill>
          </w14:textFill>
        </w:rPr>
        <w:t>（八）残疾人福利性单位声明函（格式）</w:t>
      </w:r>
    </w:p>
    <w:p w14:paraId="52C2574A">
      <w:pPr>
        <w:spacing w:line="360" w:lineRule="auto"/>
        <w:rPr>
          <w:color w:val="000000" w:themeColor="text1"/>
          <w:sz w:val="28"/>
          <w14:textFill>
            <w14:solidFill>
              <w14:schemeClr w14:val="tx1"/>
            </w14:solidFill>
          </w14:textFill>
        </w:rPr>
      </w:pPr>
    </w:p>
    <w:p w14:paraId="147CDB68">
      <w:pPr>
        <w:jc w:val="center"/>
        <w:rPr>
          <w:rFonts w:eastAsia="黑体"/>
          <w:bCs/>
          <w:color w:val="000000" w:themeColor="text1"/>
          <w:sz w:val="28"/>
          <w:szCs w:val="28"/>
          <w14:textFill>
            <w14:solidFill>
              <w14:schemeClr w14:val="tx1"/>
            </w14:solidFill>
          </w14:textFill>
        </w:rPr>
      </w:pPr>
      <w:bookmarkStart w:id="91" w:name="OLE_LINK64"/>
      <w:bookmarkStart w:id="92" w:name="OLE_LINK33"/>
      <w:r>
        <w:rPr>
          <w:rFonts w:eastAsia="黑体"/>
          <w:bCs/>
          <w:color w:val="000000" w:themeColor="text1"/>
          <w:sz w:val="28"/>
          <w:szCs w:val="28"/>
          <w14:textFill>
            <w14:solidFill>
              <w14:schemeClr w14:val="tx1"/>
            </w14:solidFill>
          </w14:textFill>
        </w:rPr>
        <w:t>残疾人福利性单位</w:t>
      </w:r>
      <w:bookmarkEnd w:id="91"/>
      <w:r>
        <w:rPr>
          <w:rFonts w:eastAsia="黑体"/>
          <w:bCs/>
          <w:color w:val="000000" w:themeColor="text1"/>
          <w:sz w:val="28"/>
          <w:szCs w:val="28"/>
          <w14:textFill>
            <w14:solidFill>
              <w14:schemeClr w14:val="tx1"/>
            </w14:solidFill>
          </w14:textFill>
        </w:rPr>
        <w:t>声明函</w:t>
      </w:r>
      <w:bookmarkEnd w:id="92"/>
    </w:p>
    <w:p w14:paraId="372568EA">
      <w:pPr>
        <w:jc w:val="center"/>
        <w:rPr>
          <w:rFonts w:eastAsia="黑体"/>
          <w:bCs/>
          <w:color w:val="000000" w:themeColor="text1"/>
          <w:sz w:val="28"/>
          <w:szCs w:val="28"/>
          <w14:textFill>
            <w14:solidFill>
              <w14:schemeClr w14:val="tx1"/>
            </w14:solidFill>
          </w14:textFill>
        </w:rPr>
      </w:pPr>
    </w:p>
    <w:p w14:paraId="68CE8816">
      <w:pPr>
        <w:spacing w:line="588" w:lineRule="exact"/>
        <w:rPr>
          <w:rFonts w:eastAsia="仿宋_GB2312"/>
          <w:b/>
          <w:color w:val="000000" w:themeColor="text1"/>
          <w:spacing w:val="6"/>
          <w:sz w:val="30"/>
          <w:szCs w:val="30"/>
          <w14:textFill>
            <w14:solidFill>
              <w14:schemeClr w14:val="tx1"/>
            </w14:solidFill>
          </w14:textFill>
        </w:rPr>
      </w:pPr>
    </w:p>
    <w:p w14:paraId="5EACCAA8">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本单位郑重声明，根据《财政部 民政部 中国残疾人联合会关于促进残疾人就业政府采购政策的通知》（财库</w:t>
      </w:r>
      <w:r>
        <w:rPr>
          <w:rFonts w:hint="eastAsia"/>
          <w:bCs/>
          <w:color w:val="000000" w:themeColor="text1"/>
          <w:sz w:val="24"/>
          <w:szCs w:val="24"/>
          <w14:textFill>
            <w14:solidFill>
              <w14:schemeClr w14:val="tx1"/>
            </w14:solidFill>
          </w14:textFill>
        </w:rPr>
        <w:t>〔2017〕141号</w:t>
      </w:r>
      <w:r>
        <w:rPr>
          <w:bCs/>
          <w:color w:val="000000" w:themeColor="text1"/>
          <w:sz w:val="24"/>
          <w:szCs w:val="24"/>
          <w14:textFill>
            <w14:solidFill>
              <w14:schemeClr w14:val="tx1"/>
            </w14:solidFill>
          </w14:textFill>
        </w:rPr>
        <w:t>）的规定，本单位为符合条件的残疾人福利性单位，且本单位参加______单位的______项目采购活动（项目编号：JSZC-320282-HTBX-G2025-0004）提供本单位制造的货物，或者提供其他残疾人福利性单位制造的货物（不包括使用非残疾人福利性单位注册商标的货物）。</w:t>
      </w:r>
    </w:p>
    <w:p w14:paraId="7CA8BF52">
      <w:pPr>
        <w:spacing w:line="580" w:lineRule="exact"/>
        <w:ind w:firstLine="480"/>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本单位对上述声明的真实性负责。如有虚假，将依法承担相应责任。</w:t>
      </w:r>
    </w:p>
    <w:p w14:paraId="1E970AE3">
      <w:pPr>
        <w:spacing w:line="580" w:lineRule="exact"/>
        <w:ind w:firstLine="480"/>
        <w:rPr>
          <w:bCs/>
          <w:color w:val="000000" w:themeColor="text1"/>
          <w:sz w:val="24"/>
          <w:szCs w:val="24"/>
          <w14:textFill>
            <w14:solidFill>
              <w14:schemeClr w14:val="tx1"/>
            </w14:solidFill>
          </w14:textFill>
        </w:rPr>
      </w:pPr>
    </w:p>
    <w:p w14:paraId="11F22C01">
      <w:pPr>
        <w:spacing w:line="580" w:lineRule="exact"/>
        <w:ind w:firstLine="480"/>
        <w:rPr>
          <w:bCs/>
          <w:color w:val="000000" w:themeColor="text1"/>
          <w:sz w:val="24"/>
          <w:szCs w:val="24"/>
          <w14:textFill>
            <w14:solidFill>
              <w14:schemeClr w14:val="tx1"/>
            </w14:solidFill>
          </w14:textFill>
        </w:rPr>
      </w:pPr>
    </w:p>
    <w:p w14:paraId="7D6E7684">
      <w:pPr>
        <w:spacing w:line="580" w:lineRule="exact"/>
        <w:ind w:firstLine="480"/>
        <w:rPr>
          <w:bCs/>
          <w:color w:val="000000" w:themeColor="text1"/>
          <w:sz w:val="24"/>
          <w:szCs w:val="24"/>
          <w14:textFill>
            <w14:solidFill>
              <w14:schemeClr w14:val="tx1"/>
            </w14:solidFill>
          </w14:textFill>
        </w:rPr>
      </w:pPr>
    </w:p>
    <w:p w14:paraId="32A3934F">
      <w:pPr>
        <w:spacing w:line="580" w:lineRule="exact"/>
        <w:ind w:firstLine="480"/>
        <w:rPr>
          <w:bCs/>
          <w:color w:val="000000" w:themeColor="text1"/>
          <w:sz w:val="24"/>
          <w:szCs w:val="24"/>
          <w14:textFill>
            <w14:solidFill>
              <w14:schemeClr w14:val="tx1"/>
            </w14:solidFill>
          </w14:textFill>
        </w:rPr>
      </w:pPr>
    </w:p>
    <w:p w14:paraId="28FD410A">
      <w:pPr>
        <w:spacing w:line="580" w:lineRule="exact"/>
        <w:ind w:firstLine="480"/>
        <w:rPr>
          <w:bCs/>
          <w:color w:val="000000" w:themeColor="text1"/>
          <w:sz w:val="24"/>
          <w:szCs w:val="24"/>
          <w14:textFill>
            <w14:solidFill>
              <w14:schemeClr w14:val="tx1"/>
            </w14:solidFill>
          </w14:textFill>
        </w:rPr>
      </w:pPr>
    </w:p>
    <w:p w14:paraId="5B756F9A">
      <w:pPr>
        <w:spacing w:line="580" w:lineRule="exact"/>
        <w:ind w:firstLine="480"/>
        <w:rPr>
          <w:bCs/>
          <w:color w:val="000000" w:themeColor="text1"/>
          <w:sz w:val="24"/>
          <w:szCs w:val="24"/>
          <w14:textFill>
            <w14:solidFill>
              <w14:schemeClr w14:val="tx1"/>
            </w14:solidFill>
          </w14:textFill>
        </w:rPr>
      </w:pPr>
    </w:p>
    <w:p w14:paraId="4F1B75C8">
      <w:pPr>
        <w:spacing w:line="580" w:lineRule="exact"/>
        <w:ind w:firstLine="480"/>
        <w:rPr>
          <w:bCs/>
          <w:color w:val="000000" w:themeColor="text1"/>
          <w:sz w:val="24"/>
          <w:szCs w:val="24"/>
          <w14:textFill>
            <w14:solidFill>
              <w14:schemeClr w14:val="tx1"/>
            </w14:solidFill>
          </w14:textFill>
        </w:rPr>
      </w:pPr>
    </w:p>
    <w:p w14:paraId="0A0C54EE">
      <w:pPr>
        <w:spacing w:line="580" w:lineRule="exact"/>
        <w:ind w:firstLine="480"/>
        <w:rPr>
          <w:bCs/>
          <w:color w:val="000000" w:themeColor="text1"/>
          <w:sz w:val="24"/>
          <w:szCs w:val="24"/>
          <w14:textFill>
            <w14:solidFill>
              <w14:schemeClr w14:val="tx1"/>
            </w14:solidFill>
          </w14:textFill>
        </w:rPr>
      </w:pPr>
    </w:p>
    <w:p w14:paraId="38547B9B">
      <w:pPr>
        <w:spacing w:line="580" w:lineRule="exact"/>
        <w:ind w:firstLine="480"/>
        <w:rPr>
          <w:bCs/>
          <w:color w:val="000000" w:themeColor="text1"/>
          <w:sz w:val="24"/>
          <w:szCs w:val="24"/>
          <w14:textFill>
            <w14:solidFill>
              <w14:schemeClr w14:val="tx1"/>
            </w14:solidFill>
          </w14:textFill>
        </w:rPr>
      </w:pPr>
    </w:p>
    <w:p w14:paraId="248DEF74">
      <w:pPr>
        <w:jc w:val="center"/>
        <w:rPr>
          <w:bCs/>
          <w:color w:val="000000" w:themeColor="text1"/>
          <w:sz w:val="24"/>
          <w14:textFill>
            <w14:solidFill>
              <w14:schemeClr w14:val="tx1"/>
            </w14:solidFill>
          </w14:textFill>
        </w:rPr>
      </w:pPr>
      <w:r>
        <w:rPr>
          <w:bCs/>
          <w:color w:val="000000" w:themeColor="text1"/>
          <w:sz w:val="24"/>
          <w:lang w:val="zh-CN"/>
          <w14:textFill>
            <w14:solidFill>
              <w14:schemeClr w14:val="tx1"/>
            </w14:solidFill>
          </w14:textFill>
        </w:rPr>
        <w:t xml:space="preserve">                       投标人（电子签章）：</w:t>
      </w:r>
    </w:p>
    <w:p w14:paraId="35A39864">
      <w:pPr>
        <w:jc w:val="center"/>
        <w:rPr>
          <w:rFonts w:eastAsia="黑体"/>
          <w:bCs/>
          <w:color w:val="000000" w:themeColor="text1"/>
          <w:sz w:val="24"/>
          <w:szCs w:val="24"/>
          <w14:textFill>
            <w14:solidFill>
              <w14:schemeClr w14:val="tx1"/>
            </w14:solidFill>
          </w14:textFill>
        </w:rPr>
      </w:pPr>
      <w:r>
        <w:rPr>
          <w:bCs/>
          <w:color w:val="000000" w:themeColor="text1"/>
          <w:sz w:val="24"/>
          <w:lang w:val="zh-CN"/>
          <w14:textFill>
            <w14:solidFill>
              <w14:schemeClr w14:val="tx1"/>
            </w14:solidFill>
          </w14:textFill>
        </w:rPr>
        <w:t xml:space="preserve">                  </w:t>
      </w:r>
    </w:p>
    <w:p w14:paraId="0C02E995">
      <w:pPr>
        <w:spacing w:line="400" w:lineRule="exact"/>
        <w:rPr>
          <w:rFonts w:eastAsia="黑体"/>
          <w:bCs/>
          <w:color w:val="000000" w:themeColor="text1"/>
          <w:sz w:val="24"/>
          <w:szCs w:val="24"/>
          <w14:textFill>
            <w14:solidFill>
              <w14:schemeClr w14:val="tx1"/>
            </w14:solidFill>
          </w14:textFill>
        </w:rPr>
      </w:pPr>
    </w:p>
    <w:p w14:paraId="59198BE9">
      <w:pPr>
        <w:spacing w:line="400" w:lineRule="exact"/>
        <w:rPr>
          <w:rFonts w:eastAsia="黑体"/>
          <w:bCs/>
          <w:color w:val="000000" w:themeColor="text1"/>
          <w:sz w:val="24"/>
          <w:szCs w:val="24"/>
          <w14:textFill>
            <w14:solidFill>
              <w14:schemeClr w14:val="tx1"/>
            </w14:solidFill>
          </w14:textFill>
        </w:rPr>
      </w:pPr>
    </w:p>
    <w:p w14:paraId="323BF165">
      <w:pPr>
        <w:spacing w:line="400" w:lineRule="exact"/>
        <w:rPr>
          <w:rFonts w:eastAsia="黑体"/>
          <w:bCs/>
          <w:color w:val="000000" w:themeColor="text1"/>
          <w:sz w:val="24"/>
          <w:szCs w:val="24"/>
          <w14:textFill>
            <w14:solidFill>
              <w14:schemeClr w14:val="tx1"/>
            </w14:solidFill>
          </w14:textFill>
        </w:rPr>
      </w:pPr>
    </w:p>
    <w:sectPr>
      <w:footerReference r:id="rId9" w:type="first"/>
      <w:pgSz w:w="11906" w:h="16838"/>
      <w:pgMar w:top="1384" w:right="1077" w:bottom="1440" w:left="1077" w:header="851" w:footer="992"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MS Gothic">
    <w:panose1 w:val="020B0609070205080204"/>
    <w:charset w:val="80"/>
    <w:family w:val="auto"/>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華康中楷體">
    <w:altName w:val="Microsoft JhengHei"/>
    <w:panose1 w:val="00000000000000000000"/>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6596B">
    <w:pPr>
      <w:pStyle w:val="27"/>
      <w:framePr w:wrap="around" w:vAnchor="text" w:hAnchor="margin" w:xAlign="center" w:y="1"/>
      <w:rPr>
        <w:rStyle w:val="50"/>
      </w:rPr>
    </w:pPr>
    <w:r>
      <w:fldChar w:fldCharType="begin"/>
    </w:r>
    <w:r>
      <w:rPr>
        <w:rStyle w:val="50"/>
      </w:rPr>
      <w:instrText xml:space="preserve">PAGE  </w:instrText>
    </w:r>
    <w:r>
      <w:fldChar w:fldCharType="separate"/>
    </w:r>
    <w:r>
      <w:rPr>
        <w:rStyle w:val="50"/>
      </w:rPr>
      <w:t>25</w:t>
    </w:r>
    <w:r>
      <w:fldChar w:fldCharType="end"/>
    </w:r>
  </w:p>
  <w:p w14:paraId="134C4AC4">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B799D">
    <w:pPr>
      <w:pStyle w:val="27"/>
      <w:framePr w:wrap="around" w:vAnchor="text" w:hAnchor="margin" w:xAlign="center" w:y="1"/>
      <w:rPr>
        <w:rStyle w:val="50"/>
      </w:rPr>
    </w:pPr>
    <w:r>
      <w:fldChar w:fldCharType="begin"/>
    </w:r>
    <w:r>
      <w:rPr>
        <w:rStyle w:val="50"/>
      </w:rPr>
      <w:instrText xml:space="preserve">PAGE  </w:instrText>
    </w:r>
    <w:r>
      <w:fldChar w:fldCharType="end"/>
    </w:r>
  </w:p>
  <w:p w14:paraId="6A8FC479">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5D2BF">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8F998">
    <w:pPr>
      <w:pStyle w:val="27"/>
      <w:jc w:val="center"/>
      <w:rPr>
        <w:rFonts w:ascii="宋体" w:hAnsi="宋体"/>
      </w:rPr>
    </w:pPr>
    <w:r>
      <w:rPr>
        <w:rFonts w:hint="eastAsia" w:ascii="宋体" w:hAnsi="宋体"/>
      </w:rPr>
      <w:t>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B1A17">
    <w:pPr>
      <w:pStyle w:val="28"/>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C05A1">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95B1E">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333012"/>
    <w:multiLevelType w:val="multilevel"/>
    <w:tmpl w:val="0C333012"/>
    <w:lvl w:ilvl="0" w:tentative="0">
      <w:start w:val="1"/>
      <w:numFmt w:val="decimal"/>
      <w:suff w:val="nothing"/>
      <w:lvlText w:val="（%1）"/>
      <w:lvlJc w:val="left"/>
      <w:pPr>
        <w:ind w:left="6" w:firstLine="420"/>
      </w:pPr>
      <w:rPr>
        <w:rFonts w:hint="default"/>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F887A81"/>
    <w:multiLevelType w:val="multilevel"/>
    <w:tmpl w:val="3F887A81"/>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905"/>
    <w:rsid w:val="00040601"/>
    <w:rsid w:val="0009051C"/>
    <w:rsid w:val="000A6905"/>
    <w:rsid w:val="000B5967"/>
    <w:rsid w:val="000C1013"/>
    <w:rsid w:val="000C18B5"/>
    <w:rsid w:val="000C24C4"/>
    <w:rsid w:val="000E52A8"/>
    <w:rsid w:val="00124816"/>
    <w:rsid w:val="0013467B"/>
    <w:rsid w:val="001737AE"/>
    <w:rsid w:val="001A7347"/>
    <w:rsid w:val="001B28C9"/>
    <w:rsid w:val="001D2509"/>
    <w:rsid w:val="001D7B61"/>
    <w:rsid w:val="00235405"/>
    <w:rsid w:val="002624E9"/>
    <w:rsid w:val="00263C1A"/>
    <w:rsid w:val="00287E4E"/>
    <w:rsid w:val="00301AF7"/>
    <w:rsid w:val="00320E75"/>
    <w:rsid w:val="00350E41"/>
    <w:rsid w:val="003E4603"/>
    <w:rsid w:val="0043405C"/>
    <w:rsid w:val="00457A3C"/>
    <w:rsid w:val="004667F3"/>
    <w:rsid w:val="004C5B33"/>
    <w:rsid w:val="004E6E47"/>
    <w:rsid w:val="004F65F2"/>
    <w:rsid w:val="005A08B9"/>
    <w:rsid w:val="005B0D51"/>
    <w:rsid w:val="005E0A5B"/>
    <w:rsid w:val="005F315B"/>
    <w:rsid w:val="006730AF"/>
    <w:rsid w:val="00676E50"/>
    <w:rsid w:val="006C2E8F"/>
    <w:rsid w:val="006E52D7"/>
    <w:rsid w:val="00727DA7"/>
    <w:rsid w:val="00761DCC"/>
    <w:rsid w:val="007817A0"/>
    <w:rsid w:val="007843F1"/>
    <w:rsid w:val="007922E8"/>
    <w:rsid w:val="007C111F"/>
    <w:rsid w:val="007C3BE3"/>
    <w:rsid w:val="007E4077"/>
    <w:rsid w:val="0081557A"/>
    <w:rsid w:val="0086020E"/>
    <w:rsid w:val="0087422D"/>
    <w:rsid w:val="00885416"/>
    <w:rsid w:val="008E30BF"/>
    <w:rsid w:val="009227E2"/>
    <w:rsid w:val="00937000"/>
    <w:rsid w:val="0095774C"/>
    <w:rsid w:val="00961746"/>
    <w:rsid w:val="009A47CA"/>
    <w:rsid w:val="009C6A4D"/>
    <w:rsid w:val="00A71DEB"/>
    <w:rsid w:val="00AC1D5E"/>
    <w:rsid w:val="00AC29CA"/>
    <w:rsid w:val="00AD7D2B"/>
    <w:rsid w:val="00AF0BB3"/>
    <w:rsid w:val="00B3213E"/>
    <w:rsid w:val="00B43C28"/>
    <w:rsid w:val="00B95BD8"/>
    <w:rsid w:val="00BA0CE2"/>
    <w:rsid w:val="00BA4831"/>
    <w:rsid w:val="00BF4B10"/>
    <w:rsid w:val="00C25595"/>
    <w:rsid w:val="00C4442D"/>
    <w:rsid w:val="00C62644"/>
    <w:rsid w:val="00C967F7"/>
    <w:rsid w:val="00CB1539"/>
    <w:rsid w:val="00CE181D"/>
    <w:rsid w:val="00D44B57"/>
    <w:rsid w:val="00D77CCA"/>
    <w:rsid w:val="00DA42E2"/>
    <w:rsid w:val="00E13082"/>
    <w:rsid w:val="00E53850"/>
    <w:rsid w:val="00E57E7A"/>
    <w:rsid w:val="00EB7DA1"/>
    <w:rsid w:val="00ED4581"/>
    <w:rsid w:val="00F01B0C"/>
    <w:rsid w:val="00F728F0"/>
    <w:rsid w:val="00F81173"/>
    <w:rsid w:val="00FE6DE1"/>
    <w:rsid w:val="05FA6093"/>
    <w:rsid w:val="0B7E6A6D"/>
    <w:rsid w:val="36275D02"/>
    <w:rsid w:val="3FA528C1"/>
    <w:rsid w:val="59ED4439"/>
    <w:rsid w:val="5BC76C1A"/>
    <w:rsid w:val="6F412A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24"/>
    <w:qFormat/>
    <w:uiPriority w:val="99"/>
    <w:pPr>
      <w:keepNext/>
      <w:jc w:val="center"/>
      <w:outlineLvl w:val="0"/>
    </w:pPr>
    <w:rPr>
      <w:rFonts w:ascii="楷体_GB2312" w:eastAsia="楷体_GB2312"/>
      <w:b/>
      <w:sz w:val="20"/>
    </w:rPr>
  </w:style>
  <w:style w:type="paragraph" w:styleId="3">
    <w:name w:val="heading 2"/>
    <w:basedOn w:val="1"/>
    <w:next w:val="1"/>
    <w:link w:val="228"/>
    <w:qFormat/>
    <w:uiPriority w:val="99"/>
    <w:pPr>
      <w:keepNext/>
      <w:jc w:val="center"/>
      <w:outlineLvl w:val="1"/>
    </w:pPr>
    <w:rPr>
      <w:rFonts w:ascii="楷体_GB2312" w:eastAsia="楷体_GB2312"/>
      <w:b/>
      <w:bCs/>
      <w:sz w:val="20"/>
    </w:rPr>
  </w:style>
  <w:style w:type="paragraph" w:styleId="4">
    <w:name w:val="heading 3"/>
    <w:basedOn w:val="1"/>
    <w:next w:val="1"/>
    <w:link w:val="220"/>
    <w:qFormat/>
    <w:uiPriority w:val="99"/>
    <w:pPr>
      <w:keepNext/>
      <w:jc w:val="center"/>
      <w:outlineLvl w:val="2"/>
    </w:pPr>
    <w:rPr>
      <w:rFonts w:eastAsia="楷体_GB2312"/>
      <w:b/>
      <w:bCs/>
      <w:sz w:val="20"/>
    </w:rPr>
  </w:style>
  <w:style w:type="paragraph" w:styleId="5">
    <w:name w:val="heading 4"/>
    <w:basedOn w:val="1"/>
    <w:next w:val="1"/>
    <w:link w:val="216"/>
    <w:qFormat/>
    <w:uiPriority w:val="99"/>
    <w:pPr>
      <w:keepNext/>
      <w:jc w:val="center"/>
      <w:outlineLvl w:val="3"/>
    </w:pPr>
    <w:rPr>
      <w:rFonts w:eastAsia="楷体_GB2312"/>
      <w:b/>
      <w:bCs/>
      <w:sz w:val="20"/>
    </w:rPr>
  </w:style>
  <w:style w:type="paragraph" w:styleId="6">
    <w:name w:val="heading 5"/>
    <w:basedOn w:val="1"/>
    <w:next w:val="1"/>
    <w:link w:val="229"/>
    <w:qFormat/>
    <w:uiPriority w:val="99"/>
    <w:pPr>
      <w:keepNext/>
      <w:tabs>
        <w:tab w:val="left" w:pos="360"/>
      </w:tabs>
      <w:ind w:left="360" w:hanging="360"/>
      <w:outlineLvl w:val="4"/>
    </w:pPr>
    <w:rPr>
      <w:rFonts w:ascii="楷体_GB2312" w:eastAsia="楷体_GB2312"/>
      <w:bCs/>
      <w:sz w:val="20"/>
    </w:rPr>
  </w:style>
  <w:style w:type="paragraph" w:styleId="7">
    <w:name w:val="heading 6"/>
    <w:basedOn w:val="1"/>
    <w:next w:val="1"/>
    <w:link w:val="316"/>
    <w:semiHidden/>
    <w:unhideWhenUsed/>
    <w:qFormat/>
    <w:uiPriority w:val="0"/>
    <w:pPr>
      <w:keepNext/>
      <w:keepLines/>
      <w:spacing w:before="240" w:after="64" w:line="320" w:lineRule="auto"/>
      <w:outlineLvl w:val="5"/>
    </w:pPr>
    <w:rPr>
      <w:rFonts w:ascii="Cambria" w:hAnsi="Cambria"/>
      <w:b/>
      <w:bCs/>
      <w:sz w:val="24"/>
      <w:szCs w:val="24"/>
    </w:rPr>
  </w:style>
  <w:style w:type="paragraph" w:styleId="8">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5"/>
    <w:unhideWhenUsed/>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44"/>
    <w:qFormat/>
    <w:uiPriority w:val="99"/>
    <w:pPr>
      <w:shd w:val="clear" w:color="auto" w:fill="000080"/>
    </w:pPr>
    <w:rPr>
      <w:rFonts w:ascii="宋体"/>
      <w:sz w:val="18"/>
      <w:szCs w:val="18"/>
      <w:shd w:val="clear" w:color="auto" w:fill="000080"/>
    </w:rPr>
  </w:style>
  <w:style w:type="paragraph" w:styleId="15">
    <w:name w:val="annotation text"/>
    <w:basedOn w:val="1"/>
    <w:link w:val="212"/>
    <w:qFormat/>
    <w:uiPriority w:val="99"/>
    <w:pPr>
      <w:jc w:val="left"/>
    </w:pPr>
    <w:rPr>
      <w:sz w:val="20"/>
    </w:rPr>
  </w:style>
  <w:style w:type="paragraph" w:styleId="16">
    <w:name w:val="Body Text"/>
    <w:basedOn w:val="1"/>
    <w:link w:val="243"/>
    <w:qFormat/>
    <w:uiPriority w:val="99"/>
    <w:rPr>
      <w:sz w:val="20"/>
    </w:rPr>
  </w:style>
  <w:style w:type="paragraph" w:styleId="17">
    <w:name w:val="Body Text Indent"/>
    <w:basedOn w:val="1"/>
    <w:link w:val="251"/>
    <w:qFormat/>
    <w:uiPriority w:val="99"/>
    <w:pPr>
      <w:ind w:firstLine="576"/>
    </w:pPr>
    <w:rPr>
      <w:sz w:val="20"/>
    </w:rPr>
  </w:style>
  <w:style w:type="paragraph" w:styleId="18">
    <w:name w:val="index 4"/>
    <w:basedOn w:val="1"/>
    <w:next w:val="1"/>
    <w:qFormat/>
    <w:uiPriority w:val="0"/>
    <w:pPr>
      <w:ind w:left="600"/>
    </w:pPr>
    <w:rPr>
      <w:rFonts w:ascii="Calibri" w:hAnsi="Calibri"/>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248"/>
    <w:qFormat/>
    <w:uiPriority w:val="99"/>
    <w:rPr>
      <w:rFonts w:ascii="宋体" w:hAnsi="Courier New"/>
      <w:szCs w:val="21"/>
    </w:rPr>
  </w:style>
  <w:style w:type="paragraph" w:styleId="22">
    <w:name w:val="toc 8"/>
    <w:basedOn w:val="1"/>
    <w:next w:val="1"/>
    <w:unhideWhenUsed/>
    <w:qFormat/>
    <w:uiPriority w:val="39"/>
    <w:pPr>
      <w:spacing w:after="57"/>
      <w:ind w:left="1984"/>
    </w:pPr>
  </w:style>
  <w:style w:type="paragraph" w:styleId="23">
    <w:name w:val="Date"/>
    <w:basedOn w:val="1"/>
    <w:next w:val="1"/>
    <w:link w:val="245"/>
    <w:qFormat/>
    <w:uiPriority w:val="0"/>
    <w:rPr>
      <w:sz w:val="20"/>
    </w:rPr>
  </w:style>
  <w:style w:type="paragraph" w:styleId="24">
    <w:name w:val="Body Text Indent 2"/>
    <w:basedOn w:val="1"/>
    <w:link w:val="252"/>
    <w:qFormat/>
    <w:uiPriority w:val="99"/>
    <w:pPr>
      <w:ind w:left="900"/>
    </w:pPr>
    <w:rPr>
      <w:sz w:val="20"/>
    </w:rPr>
  </w:style>
  <w:style w:type="paragraph" w:styleId="25">
    <w:name w:val="endnote text"/>
    <w:basedOn w:val="1"/>
    <w:link w:val="202"/>
    <w:semiHidden/>
    <w:unhideWhenUsed/>
    <w:qFormat/>
    <w:uiPriority w:val="99"/>
    <w:rPr>
      <w:sz w:val="20"/>
    </w:rPr>
  </w:style>
  <w:style w:type="paragraph" w:styleId="26">
    <w:name w:val="Balloon Text"/>
    <w:basedOn w:val="1"/>
    <w:link w:val="246"/>
    <w:qFormat/>
    <w:uiPriority w:val="99"/>
    <w:rPr>
      <w:sz w:val="18"/>
      <w:szCs w:val="18"/>
    </w:rPr>
  </w:style>
  <w:style w:type="paragraph" w:styleId="27">
    <w:name w:val="footer"/>
    <w:basedOn w:val="1"/>
    <w:link w:val="223"/>
    <w:qFormat/>
    <w:uiPriority w:val="99"/>
    <w:pPr>
      <w:tabs>
        <w:tab w:val="center" w:pos="4153"/>
        <w:tab w:val="right" w:pos="8306"/>
      </w:tabs>
      <w:jc w:val="left"/>
    </w:pPr>
    <w:rPr>
      <w:rFonts w:ascii="Calibri" w:hAnsi="Calibri"/>
      <w:sz w:val="18"/>
      <w:szCs w:val="18"/>
    </w:rPr>
  </w:style>
  <w:style w:type="paragraph" w:styleId="28">
    <w:name w:val="header"/>
    <w:basedOn w:val="1"/>
    <w:link w:val="205"/>
    <w:qFormat/>
    <w:uiPriority w:val="99"/>
    <w:pPr>
      <w:pBdr>
        <w:bottom w:val="single" w:color="auto" w:sz="6" w:space="1"/>
      </w:pBdr>
      <w:tabs>
        <w:tab w:val="center" w:pos="4153"/>
        <w:tab w:val="right" w:pos="8306"/>
      </w:tabs>
      <w:jc w:val="center"/>
    </w:pPr>
    <w:rPr>
      <w:rFonts w:ascii="Calibri" w:hAnsi="Calibri"/>
      <w:sz w:val="18"/>
      <w:szCs w:val="18"/>
    </w:rPr>
  </w:style>
  <w:style w:type="paragraph" w:styleId="29">
    <w:name w:val="toc 1"/>
    <w:basedOn w:val="1"/>
    <w:next w:val="1"/>
    <w:semiHidden/>
    <w:unhideWhenUsed/>
    <w:qFormat/>
    <w:uiPriority w:val="39"/>
  </w:style>
  <w:style w:type="paragraph" w:styleId="30">
    <w:name w:val="toc 4"/>
    <w:basedOn w:val="1"/>
    <w:next w:val="1"/>
    <w:unhideWhenUsed/>
    <w:qFormat/>
    <w:uiPriority w:val="39"/>
    <w:pPr>
      <w:spacing w:after="57"/>
      <w:ind w:left="850"/>
    </w:pPr>
  </w:style>
  <w:style w:type="paragraph" w:styleId="31">
    <w:name w:val="Subtitle"/>
    <w:basedOn w:val="1"/>
    <w:next w:val="1"/>
    <w:link w:val="68"/>
    <w:qFormat/>
    <w:uiPriority w:val="11"/>
    <w:pPr>
      <w:spacing w:before="200" w:after="200"/>
    </w:pPr>
    <w:rPr>
      <w:sz w:val="24"/>
      <w:szCs w:val="24"/>
    </w:rPr>
  </w:style>
  <w:style w:type="paragraph" w:styleId="32">
    <w:name w:val="footnote text"/>
    <w:basedOn w:val="1"/>
    <w:link w:val="201"/>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Body Text Indent 3"/>
    <w:basedOn w:val="1"/>
    <w:link w:val="247"/>
    <w:qFormat/>
    <w:uiPriority w:val="99"/>
    <w:pPr>
      <w:ind w:left="359" w:firstLine="359"/>
    </w:pPr>
    <w:rPr>
      <w:sz w:val="16"/>
      <w:szCs w:val="16"/>
    </w:r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link w:val="250"/>
    <w:qFormat/>
    <w:uiPriority w:val="99"/>
    <w:pPr>
      <w:spacing w:after="120" w:line="480" w:lineRule="auto"/>
    </w:pPr>
    <w:rPr>
      <w:sz w:val="20"/>
    </w:rPr>
  </w:style>
  <w:style w:type="paragraph" w:styleId="39">
    <w:name w:val="HTML Preformatted"/>
    <w:basedOn w:val="1"/>
    <w:link w:val="20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Courier New" w:hAnsi="Courier New"/>
      <w:sz w:val="20"/>
    </w:rPr>
  </w:style>
  <w:style w:type="paragraph" w:styleId="40">
    <w:name w:val="Normal (Web)"/>
    <w:basedOn w:val="1"/>
    <w:qFormat/>
    <w:uiPriority w:val="99"/>
    <w:pPr>
      <w:widowControl/>
      <w:spacing w:before="100" w:beforeAutospacing="1" w:after="100" w:afterAutospacing="1"/>
      <w:jc w:val="left"/>
    </w:pPr>
    <w:rPr>
      <w:rFonts w:ascii="Arial Unicode MS" w:hAnsi="Arial Unicode MS"/>
      <w:color w:val="000000"/>
      <w:sz w:val="24"/>
      <w:szCs w:val="24"/>
      <w:lang w:eastAsia="en-US"/>
    </w:rPr>
  </w:style>
  <w:style w:type="paragraph" w:styleId="41">
    <w:name w:val="Title"/>
    <w:basedOn w:val="1"/>
    <w:next w:val="1"/>
    <w:link w:val="318"/>
    <w:qFormat/>
    <w:uiPriority w:val="10"/>
    <w:pPr>
      <w:spacing w:before="240" w:after="60" w:line="360" w:lineRule="auto"/>
      <w:jc w:val="center"/>
      <w:outlineLvl w:val="0"/>
    </w:pPr>
    <w:rPr>
      <w:rFonts w:ascii="宋体" w:hAnsi="宋体" w:cs="Arial"/>
      <w:b/>
      <w:bCs/>
      <w:sz w:val="32"/>
      <w:szCs w:val="32"/>
    </w:rPr>
  </w:style>
  <w:style w:type="paragraph" w:styleId="42">
    <w:name w:val="annotation subject"/>
    <w:basedOn w:val="15"/>
    <w:next w:val="15"/>
    <w:link w:val="242"/>
    <w:qFormat/>
    <w:uiPriority w:val="99"/>
    <w:rPr>
      <w:b/>
      <w:bCs/>
    </w:rPr>
  </w:style>
  <w:style w:type="paragraph" w:styleId="43">
    <w:name w:val="Body Text First Indent"/>
    <w:basedOn w:val="16"/>
    <w:link w:val="249"/>
    <w:qFormat/>
    <w:uiPriority w:val="99"/>
    <w:pPr>
      <w:spacing w:after="120"/>
      <w:ind w:firstLine="420"/>
    </w:pPr>
    <w:rPr>
      <w:rFonts w:eastAsia="华文中宋"/>
      <w:bCs/>
    </w:rPr>
  </w:style>
  <w:style w:type="paragraph" w:styleId="44">
    <w:name w:val="Body Text First Indent 2"/>
    <w:basedOn w:val="17"/>
    <w:link w:val="320"/>
    <w:semiHidden/>
    <w:unhideWhenUsed/>
    <w:qFormat/>
    <w:uiPriority w:val="99"/>
    <w:pPr>
      <w:spacing w:after="120"/>
      <w:ind w:left="420" w:firstLine="420"/>
    </w:pPr>
    <w:rPr>
      <w:sz w:val="21"/>
    </w:rPr>
  </w:style>
  <w:style w:type="table" w:styleId="46">
    <w:name w:val="Table Grid"/>
    <w:basedOn w:val="45"/>
    <w:qFormat/>
    <w:uiPriority w:val="59"/>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99"/>
    <w:rPr>
      <w:rFonts w:cs="Times New Roman"/>
      <w:b/>
      <w:bCs/>
    </w:rPr>
  </w:style>
  <w:style w:type="character" w:styleId="49">
    <w:name w:val="endnote reference"/>
    <w:basedOn w:val="47"/>
    <w:semiHidden/>
    <w:unhideWhenUsed/>
    <w:qFormat/>
    <w:uiPriority w:val="99"/>
    <w:rPr>
      <w:vertAlign w:val="superscript"/>
    </w:rPr>
  </w:style>
  <w:style w:type="character" w:styleId="50">
    <w:name w:val="page number"/>
    <w:qFormat/>
    <w:uiPriority w:val="99"/>
    <w:rPr>
      <w:rFonts w:cs="Times New Roman"/>
    </w:rPr>
  </w:style>
  <w:style w:type="character" w:styleId="51">
    <w:name w:val="FollowedHyperlink"/>
    <w:qFormat/>
    <w:uiPriority w:val="99"/>
    <w:rPr>
      <w:rFonts w:cs="Times New Roman"/>
      <w:color w:val="auto"/>
      <w:u w:val="none"/>
    </w:rPr>
  </w:style>
  <w:style w:type="character" w:styleId="52">
    <w:name w:val="Emphasis"/>
    <w:qFormat/>
    <w:uiPriority w:val="20"/>
    <w:rPr>
      <w:i/>
      <w:iCs/>
    </w:rPr>
  </w:style>
  <w:style w:type="character" w:styleId="53">
    <w:name w:val="HTML Typewriter"/>
    <w:qFormat/>
    <w:uiPriority w:val="0"/>
    <w:rPr>
      <w:rFonts w:ascii="宋体" w:hAnsi="宋体" w:eastAsia="宋体" w:cs="宋体"/>
      <w:sz w:val="24"/>
      <w:szCs w:val="24"/>
    </w:rPr>
  </w:style>
  <w:style w:type="character" w:styleId="54">
    <w:name w:val="Hyperlink"/>
    <w:qFormat/>
    <w:uiPriority w:val="99"/>
    <w:rPr>
      <w:rFonts w:cs="Times New Roman"/>
      <w:color w:val="auto"/>
      <w:u w:val="none"/>
    </w:rPr>
  </w:style>
  <w:style w:type="character" w:styleId="55">
    <w:name w:val="annotation reference"/>
    <w:qFormat/>
    <w:uiPriority w:val="99"/>
    <w:rPr>
      <w:rFonts w:cs="Times New Roman"/>
      <w:sz w:val="21"/>
      <w:szCs w:val="21"/>
    </w:rPr>
  </w:style>
  <w:style w:type="character" w:styleId="56">
    <w:name w:val="footnote reference"/>
    <w:basedOn w:val="47"/>
    <w:unhideWhenUsed/>
    <w:qFormat/>
    <w:uiPriority w:val="99"/>
    <w:rPr>
      <w:vertAlign w:val="superscript"/>
    </w:rPr>
  </w:style>
  <w:style w:type="character" w:customStyle="1" w:styleId="57">
    <w:name w:val="Heading 1 Char"/>
    <w:basedOn w:val="47"/>
    <w:qFormat/>
    <w:uiPriority w:val="9"/>
    <w:rPr>
      <w:rFonts w:ascii="Arial" w:hAnsi="Arial" w:eastAsia="Arial" w:cs="Arial"/>
      <w:sz w:val="40"/>
      <w:szCs w:val="40"/>
    </w:rPr>
  </w:style>
  <w:style w:type="character" w:customStyle="1" w:styleId="58">
    <w:name w:val="Heading 2 Char"/>
    <w:basedOn w:val="47"/>
    <w:qFormat/>
    <w:uiPriority w:val="9"/>
    <w:rPr>
      <w:rFonts w:ascii="Arial" w:hAnsi="Arial" w:eastAsia="Arial" w:cs="Arial"/>
      <w:sz w:val="34"/>
    </w:rPr>
  </w:style>
  <w:style w:type="character" w:customStyle="1" w:styleId="59">
    <w:name w:val="Heading 3 Char"/>
    <w:basedOn w:val="47"/>
    <w:qFormat/>
    <w:uiPriority w:val="9"/>
    <w:rPr>
      <w:rFonts w:ascii="Arial" w:hAnsi="Arial" w:eastAsia="Arial" w:cs="Arial"/>
      <w:sz w:val="30"/>
      <w:szCs w:val="30"/>
    </w:rPr>
  </w:style>
  <w:style w:type="character" w:customStyle="1" w:styleId="60">
    <w:name w:val="Heading 4 Char"/>
    <w:basedOn w:val="47"/>
    <w:qFormat/>
    <w:uiPriority w:val="9"/>
    <w:rPr>
      <w:rFonts w:ascii="Arial" w:hAnsi="Arial" w:eastAsia="Arial" w:cs="Arial"/>
      <w:b/>
      <w:bCs/>
      <w:sz w:val="26"/>
      <w:szCs w:val="26"/>
    </w:rPr>
  </w:style>
  <w:style w:type="character" w:customStyle="1" w:styleId="61">
    <w:name w:val="Heading 5 Char"/>
    <w:basedOn w:val="47"/>
    <w:qFormat/>
    <w:uiPriority w:val="9"/>
    <w:rPr>
      <w:rFonts w:ascii="Arial" w:hAnsi="Arial" w:eastAsia="Arial" w:cs="Arial"/>
      <w:b/>
      <w:bCs/>
      <w:sz w:val="24"/>
      <w:szCs w:val="24"/>
    </w:rPr>
  </w:style>
  <w:style w:type="character" w:customStyle="1" w:styleId="62">
    <w:name w:val="Heading 6 Char"/>
    <w:basedOn w:val="47"/>
    <w:uiPriority w:val="9"/>
    <w:rPr>
      <w:rFonts w:ascii="Arial" w:hAnsi="Arial" w:eastAsia="Arial" w:cs="Arial"/>
      <w:b/>
      <w:bCs/>
      <w:sz w:val="22"/>
      <w:szCs w:val="22"/>
    </w:rPr>
  </w:style>
  <w:style w:type="character" w:customStyle="1" w:styleId="63">
    <w:name w:val="标题 7 Char"/>
    <w:basedOn w:val="47"/>
    <w:link w:val="8"/>
    <w:qFormat/>
    <w:uiPriority w:val="9"/>
    <w:rPr>
      <w:rFonts w:ascii="Arial" w:hAnsi="Arial" w:eastAsia="Arial" w:cs="Arial"/>
      <w:b/>
      <w:bCs/>
      <w:i/>
      <w:iCs/>
      <w:sz w:val="22"/>
      <w:szCs w:val="22"/>
    </w:rPr>
  </w:style>
  <w:style w:type="character" w:customStyle="1" w:styleId="64">
    <w:name w:val="标题 8 Char"/>
    <w:basedOn w:val="47"/>
    <w:link w:val="9"/>
    <w:qFormat/>
    <w:uiPriority w:val="9"/>
    <w:rPr>
      <w:rFonts w:ascii="Arial" w:hAnsi="Arial" w:eastAsia="Arial" w:cs="Arial"/>
      <w:i/>
      <w:iCs/>
      <w:sz w:val="22"/>
      <w:szCs w:val="22"/>
    </w:rPr>
  </w:style>
  <w:style w:type="character" w:customStyle="1" w:styleId="65">
    <w:name w:val="标题 9 Char"/>
    <w:basedOn w:val="47"/>
    <w:link w:val="10"/>
    <w:qFormat/>
    <w:uiPriority w:val="9"/>
    <w:rPr>
      <w:rFonts w:ascii="Arial" w:hAnsi="Arial" w:eastAsia="Arial" w:cs="Arial"/>
      <w:i/>
      <w:iCs/>
      <w:sz w:val="21"/>
      <w:szCs w:val="21"/>
    </w:rPr>
  </w:style>
  <w:style w:type="paragraph" w:styleId="66">
    <w:name w:val="No Spacing"/>
    <w:qFormat/>
    <w:uiPriority w:val="1"/>
    <w:rPr>
      <w:rFonts w:asciiTheme="minorHAnsi" w:hAnsiTheme="minorHAnsi" w:eastAsiaTheme="minorEastAsia" w:cstheme="minorBidi"/>
      <w:lang w:val="en-US" w:eastAsia="zh-CN" w:bidi="ar-SA"/>
    </w:rPr>
  </w:style>
  <w:style w:type="character" w:customStyle="1" w:styleId="67">
    <w:name w:val="Title Char"/>
    <w:basedOn w:val="47"/>
    <w:uiPriority w:val="10"/>
    <w:rPr>
      <w:sz w:val="48"/>
      <w:szCs w:val="48"/>
    </w:rPr>
  </w:style>
  <w:style w:type="character" w:customStyle="1" w:styleId="68">
    <w:name w:val="副标题 Char"/>
    <w:basedOn w:val="47"/>
    <w:link w:val="31"/>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引用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2">
    <w:name w:val="明显引用 Char"/>
    <w:link w:val="71"/>
    <w:qFormat/>
    <w:uiPriority w:val="30"/>
    <w:rPr>
      <w:i/>
    </w:rPr>
  </w:style>
  <w:style w:type="character" w:customStyle="1" w:styleId="73">
    <w:name w:val="Header Char"/>
    <w:basedOn w:val="47"/>
    <w:qFormat/>
    <w:uiPriority w:val="99"/>
  </w:style>
  <w:style w:type="character" w:customStyle="1" w:styleId="74">
    <w:name w:val="Footer Char"/>
    <w:basedOn w:val="47"/>
    <w:qFormat/>
    <w:uiPriority w:val="99"/>
  </w:style>
  <w:style w:type="character" w:customStyle="1" w:styleId="75">
    <w:name w:val="Caption Char"/>
    <w:qFormat/>
    <w:uiPriority w:val="99"/>
  </w:style>
  <w:style w:type="table" w:customStyle="1" w:styleId="76">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4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basedOn w:val="4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basedOn w:val="4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5"/>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5"/>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清单表 1 浅色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5"/>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5"/>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5"/>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5"/>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5"/>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5"/>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5"/>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5"/>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5"/>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5"/>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5"/>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5"/>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5"/>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5"/>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5"/>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5"/>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5"/>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basedOn w:val="4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5"/>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5"/>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5"/>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5"/>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5"/>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5"/>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清单表 7 彩色1"/>
    <w:basedOn w:val="4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5"/>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5"/>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5"/>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5"/>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5"/>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5"/>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脚注文本 Char"/>
    <w:link w:val="32"/>
    <w:qFormat/>
    <w:uiPriority w:val="99"/>
    <w:rPr>
      <w:sz w:val="18"/>
    </w:rPr>
  </w:style>
  <w:style w:type="character" w:customStyle="1" w:styleId="202">
    <w:name w:val="尾注文本 Char"/>
    <w:link w:val="25"/>
    <w:qFormat/>
    <w:uiPriority w:val="99"/>
    <w:rPr>
      <w:sz w:val="20"/>
    </w:rPr>
  </w:style>
  <w:style w:type="paragraph" w:customStyle="1" w:styleId="203">
    <w:name w:val="TOC 标题1"/>
    <w:unhideWhenUsed/>
    <w:qFormat/>
    <w:uiPriority w:val="39"/>
    <w:rPr>
      <w:rFonts w:asciiTheme="minorHAnsi" w:hAnsiTheme="minorHAnsi" w:eastAsiaTheme="minorEastAsia" w:cstheme="minorBidi"/>
      <w:lang w:val="en-US" w:eastAsia="zh-CN" w:bidi="ar-SA"/>
    </w:rPr>
  </w:style>
  <w:style w:type="character" w:customStyle="1" w:styleId="204">
    <w:name w:val="HTML 预设格式 Char"/>
    <w:link w:val="39"/>
    <w:qFormat/>
    <w:uiPriority w:val="99"/>
    <w:rPr>
      <w:rFonts w:ascii="Courier New" w:hAnsi="Courier New" w:eastAsia="宋体" w:cs="Courier New"/>
      <w:sz w:val="20"/>
      <w:szCs w:val="20"/>
    </w:rPr>
  </w:style>
  <w:style w:type="character" w:customStyle="1" w:styleId="205">
    <w:name w:val="页眉 Char"/>
    <w:link w:val="28"/>
    <w:qFormat/>
    <w:uiPriority w:val="99"/>
    <w:rPr>
      <w:rFonts w:cs="Times New Roman"/>
      <w:sz w:val="18"/>
      <w:szCs w:val="18"/>
    </w:rPr>
  </w:style>
  <w:style w:type="character" w:customStyle="1" w:styleId="206">
    <w:name w:val="Body Text Char"/>
    <w:qFormat/>
    <w:uiPriority w:val="99"/>
    <w:rPr>
      <w:rFonts w:ascii="华文中宋" w:hAnsi="Times New Roman" w:eastAsia="华文中宋"/>
      <w:sz w:val="20"/>
    </w:rPr>
  </w:style>
  <w:style w:type="character" w:customStyle="1" w:styleId="207">
    <w:name w:val="Plain Text Char1"/>
    <w:qFormat/>
    <w:uiPriority w:val="99"/>
    <w:rPr>
      <w:rFonts w:ascii="宋体" w:hAnsi="Courier New" w:cs="Courier New"/>
      <w:sz w:val="21"/>
      <w:szCs w:val="21"/>
    </w:rPr>
  </w:style>
  <w:style w:type="character" w:customStyle="1" w:styleId="208">
    <w:name w:val="Body Text Char1"/>
    <w:qFormat/>
    <w:uiPriority w:val="99"/>
    <w:rPr>
      <w:rFonts w:ascii="Times New Roman" w:hAnsi="Times New Roman" w:cs="Times New Roman"/>
      <w:sz w:val="20"/>
      <w:szCs w:val="20"/>
    </w:rPr>
  </w:style>
  <w:style w:type="character" w:customStyle="1" w:styleId="209">
    <w:name w:val="Body Text 2 Char1"/>
    <w:qFormat/>
    <w:uiPriority w:val="99"/>
    <w:rPr>
      <w:rFonts w:ascii="Times New Roman" w:hAnsi="Times New Roman" w:cs="Times New Roman"/>
      <w:sz w:val="20"/>
      <w:szCs w:val="20"/>
    </w:rPr>
  </w:style>
  <w:style w:type="character" w:customStyle="1" w:styleId="210">
    <w:name w:val="Body Text Indent Char1"/>
    <w:qFormat/>
    <w:uiPriority w:val="99"/>
    <w:rPr>
      <w:rFonts w:ascii="Times New Roman" w:hAnsi="Times New Roman" w:cs="Times New Roman"/>
      <w:sz w:val="20"/>
      <w:szCs w:val="20"/>
    </w:rPr>
  </w:style>
  <w:style w:type="character" w:customStyle="1" w:styleId="211">
    <w:name w:val="HTML Preformatted Char1"/>
    <w:qFormat/>
    <w:uiPriority w:val="99"/>
    <w:rPr>
      <w:rFonts w:ascii="Courier New" w:hAnsi="Courier New" w:cs="Courier New"/>
      <w:sz w:val="20"/>
      <w:szCs w:val="20"/>
    </w:rPr>
  </w:style>
  <w:style w:type="character" w:customStyle="1" w:styleId="212">
    <w:name w:val="批注文字 Char"/>
    <w:link w:val="15"/>
    <w:qFormat/>
    <w:uiPriority w:val="99"/>
    <w:rPr>
      <w:rFonts w:ascii="Times New Roman" w:hAnsi="Times New Roman" w:eastAsia="宋体" w:cs="Times New Roman"/>
      <w:sz w:val="20"/>
      <w:szCs w:val="20"/>
    </w:rPr>
  </w:style>
  <w:style w:type="character" w:customStyle="1" w:styleId="213">
    <w:name w:val="Body Text Indent 2 Char"/>
    <w:qFormat/>
    <w:uiPriority w:val="99"/>
    <w:rPr>
      <w:rFonts w:ascii="楷体_GB2312" w:hAnsi="Times New Roman" w:eastAsia="楷体_GB2312"/>
      <w:b/>
      <w:sz w:val="20"/>
    </w:rPr>
  </w:style>
  <w:style w:type="character" w:customStyle="1" w:styleId="214">
    <w:name w:val="Body Text Indent Char"/>
    <w:qFormat/>
    <w:uiPriority w:val="99"/>
    <w:rPr>
      <w:rFonts w:ascii="Times New Roman" w:hAnsi="Times New Roman" w:eastAsia="宋体"/>
      <w:b/>
      <w:sz w:val="20"/>
    </w:rPr>
  </w:style>
  <w:style w:type="character" w:customStyle="1" w:styleId="215">
    <w:name w:val="HTML Preformatted Char"/>
    <w:qFormat/>
    <w:uiPriority w:val="99"/>
    <w:rPr>
      <w:rFonts w:ascii="Arial" w:hAnsi="Arial" w:eastAsia="宋体"/>
      <w:sz w:val="21"/>
    </w:rPr>
  </w:style>
  <w:style w:type="character" w:customStyle="1" w:styleId="216">
    <w:name w:val="标题 4 Char"/>
    <w:link w:val="5"/>
    <w:qFormat/>
    <w:uiPriority w:val="99"/>
    <w:rPr>
      <w:rFonts w:ascii="Times New Roman" w:hAnsi="Times New Roman" w:eastAsia="楷体_GB2312" w:cs="Times New Roman"/>
      <w:b/>
      <w:bCs/>
      <w:sz w:val="20"/>
      <w:szCs w:val="20"/>
    </w:rPr>
  </w:style>
  <w:style w:type="character" w:customStyle="1" w:styleId="217">
    <w:name w:val="Body Text Indent 2 Char1"/>
    <w:qFormat/>
    <w:uiPriority w:val="99"/>
    <w:rPr>
      <w:rFonts w:ascii="Times New Roman" w:hAnsi="Times New Roman" w:cs="Times New Roman"/>
      <w:sz w:val="20"/>
      <w:szCs w:val="20"/>
    </w:rPr>
  </w:style>
  <w:style w:type="character" w:customStyle="1" w:styleId="218">
    <w:name w:val="Plain Text Char"/>
    <w:qFormat/>
    <w:uiPriority w:val="99"/>
    <w:rPr>
      <w:rFonts w:ascii="宋体" w:hAnsi="Courier New" w:eastAsia="宋体"/>
      <w:sz w:val="20"/>
    </w:rPr>
  </w:style>
  <w:style w:type="character" w:customStyle="1" w:styleId="219">
    <w:name w:val="批注文字 Char Char"/>
    <w:qFormat/>
    <w:uiPriority w:val="99"/>
    <w:rPr>
      <w:rFonts w:ascii="Times New Roman" w:hAnsi="Times New Roman" w:eastAsia="宋体" w:cs="Times New Roman"/>
      <w:sz w:val="24"/>
      <w:szCs w:val="24"/>
    </w:rPr>
  </w:style>
  <w:style w:type="character" w:customStyle="1" w:styleId="220">
    <w:name w:val="标题 3 Char"/>
    <w:link w:val="4"/>
    <w:qFormat/>
    <w:uiPriority w:val="99"/>
    <w:rPr>
      <w:rFonts w:ascii="Times New Roman" w:hAnsi="Times New Roman" w:eastAsia="楷体_GB2312" w:cs="Times New Roman"/>
      <w:b/>
      <w:bCs/>
      <w:sz w:val="20"/>
      <w:szCs w:val="20"/>
    </w:rPr>
  </w:style>
  <w:style w:type="character" w:customStyle="1" w:styleId="221">
    <w:name w:val="Comment Subject Char"/>
    <w:qFormat/>
    <w:uiPriority w:val="99"/>
    <w:rPr>
      <w:rFonts w:ascii="Times New Roman" w:hAnsi="Times New Roman" w:eastAsia="宋体"/>
      <w:b/>
      <w:sz w:val="20"/>
    </w:rPr>
  </w:style>
  <w:style w:type="character" w:customStyle="1" w:styleId="222">
    <w:name w:val="Comment Subject Char1"/>
    <w:qFormat/>
    <w:uiPriority w:val="99"/>
    <w:rPr>
      <w:rFonts w:ascii="Times New Roman" w:hAnsi="Times New Roman" w:eastAsia="宋体" w:cs="Times New Roman"/>
      <w:b/>
      <w:bCs/>
      <w:sz w:val="20"/>
      <w:szCs w:val="20"/>
    </w:rPr>
  </w:style>
  <w:style w:type="character" w:customStyle="1" w:styleId="223">
    <w:name w:val="页脚 Char"/>
    <w:link w:val="27"/>
    <w:qFormat/>
    <w:uiPriority w:val="99"/>
    <w:rPr>
      <w:rFonts w:cs="Times New Roman"/>
      <w:sz w:val="18"/>
      <w:szCs w:val="18"/>
    </w:rPr>
  </w:style>
  <w:style w:type="character" w:customStyle="1" w:styleId="224">
    <w:name w:val="标题 1 Char"/>
    <w:link w:val="2"/>
    <w:qFormat/>
    <w:uiPriority w:val="99"/>
    <w:rPr>
      <w:rFonts w:ascii="楷体_GB2312" w:hAnsi="Times New Roman" w:eastAsia="楷体_GB2312" w:cs="Times New Roman"/>
      <w:b/>
      <w:sz w:val="20"/>
      <w:szCs w:val="20"/>
    </w:rPr>
  </w:style>
  <w:style w:type="character" w:customStyle="1" w:styleId="225">
    <w:name w:val="case31"/>
    <w:qFormat/>
    <w:uiPriority w:val="99"/>
    <w:rPr>
      <w:rFonts w:cs="Times New Roman"/>
      <w:spacing w:val="390"/>
      <w:sz w:val="21"/>
      <w:szCs w:val="21"/>
    </w:rPr>
  </w:style>
  <w:style w:type="character" w:customStyle="1" w:styleId="226">
    <w:name w:val="Date Char1"/>
    <w:qFormat/>
    <w:uiPriority w:val="99"/>
    <w:rPr>
      <w:rFonts w:ascii="Times New Roman" w:hAnsi="Times New Roman" w:cs="Times New Roman"/>
      <w:sz w:val="20"/>
      <w:szCs w:val="20"/>
    </w:rPr>
  </w:style>
  <w:style w:type="character" w:customStyle="1" w:styleId="227">
    <w:name w:val="Date Char"/>
    <w:qFormat/>
    <w:uiPriority w:val="99"/>
    <w:rPr>
      <w:rFonts w:ascii="Times New Roman" w:hAnsi="Times New Roman" w:eastAsia="黑体"/>
      <w:b/>
      <w:sz w:val="20"/>
    </w:rPr>
  </w:style>
  <w:style w:type="character" w:customStyle="1" w:styleId="228">
    <w:name w:val="标题 2 Char"/>
    <w:link w:val="3"/>
    <w:qFormat/>
    <w:uiPriority w:val="99"/>
    <w:rPr>
      <w:rFonts w:ascii="楷体_GB2312" w:hAnsi="Times New Roman" w:eastAsia="楷体_GB2312" w:cs="Times New Roman"/>
      <w:b/>
      <w:bCs/>
      <w:sz w:val="20"/>
      <w:szCs w:val="20"/>
    </w:rPr>
  </w:style>
  <w:style w:type="character" w:customStyle="1" w:styleId="229">
    <w:name w:val="标题 5 Char"/>
    <w:link w:val="6"/>
    <w:qFormat/>
    <w:uiPriority w:val="99"/>
    <w:rPr>
      <w:rFonts w:ascii="楷体_GB2312" w:hAnsi="Times New Roman" w:eastAsia="楷体_GB2312"/>
      <w:bCs/>
    </w:rPr>
  </w:style>
  <w:style w:type="character" w:customStyle="1" w:styleId="230">
    <w:name w:val="apple-converted-space"/>
    <w:qFormat/>
    <w:uiPriority w:val="99"/>
    <w:rPr>
      <w:rFonts w:cs="Times New Roman"/>
    </w:rPr>
  </w:style>
  <w:style w:type="character" w:customStyle="1" w:styleId="231">
    <w:name w:val="Body Text 2 Char"/>
    <w:qFormat/>
    <w:uiPriority w:val="99"/>
    <w:rPr>
      <w:rFonts w:ascii="Times New Roman" w:hAnsi="Times New Roman" w:eastAsia="宋体"/>
      <w:sz w:val="20"/>
    </w:rPr>
  </w:style>
  <w:style w:type="character" w:customStyle="1" w:styleId="232">
    <w:name w:val="style151"/>
    <w:qFormat/>
    <w:uiPriority w:val="99"/>
    <w:rPr>
      <w:rFonts w:cs="Times New Roman"/>
      <w:sz w:val="18"/>
      <w:szCs w:val="18"/>
    </w:rPr>
  </w:style>
  <w:style w:type="character" w:customStyle="1" w:styleId="233">
    <w:name w:val="apple-style-span"/>
    <w:qFormat/>
    <w:uiPriority w:val="99"/>
    <w:rPr>
      <w:rFonts w:cs="Times New Roman"/>
    </w:rPr>
  </w:style>
  <w:style w:type="character" w:customStyle="1" w:styleId="234">
    <w:name w:val="Body Text First Indent Char"/>
    <w:qFormat/>
    <w:uiPriority w:val="99"/>
    <w:rPr>
      <w:rFonts w:ascii="Times New Roman" w:hAnsi="Times New Roman" w:eastAsia="宋体"/>
      <w:sz w:val="20"/>
    </w:rPr>
  </w:style>
  <w:style w:type="character" w:customStyle="1" w:styleId="235">
    <w:name w:val="Body Text First Indent Char1"/>
    <w:qFormat/>
    <w:uiPriority w:val="99"/>
    <w:rPr>
      <w:rFonts w:ascii="Times New Roman" w:hAnsi="Times New Roman" w:eastAsia="华文中宋" w:cs="Times New Roman"/>
      <w:bCs/>
      <w:sz w:val="20"/>
      <w:szCs w:val="20"/>
    </w:rPr>
  </w:style>
  <w:style w:type="character" w:customStyle="1" w:styleId="236">
    <w:name w:val="Body Text Indent 3 Char"/>
    <w:qFormat/>
    <w:uiPriority w:val="99"/>
    <w:rPr>
      <w:rFonts w:ascii="Times New Roman" w:hAnsi="Times New Roman" w:eastAsia="宋体"/>
      <w:sz w:val="20"/>
    </w:rPr>
  </w:style>
  <w:style w:type="character" w:customStyle="1" w:styleId="237">
    <w:name w:val="Body Text Indent 3 Char1"/>
    <w:qFormat/>
    <w:uiPriority w:val="99"/>
    <w:rPr>
      <w:rFonts w:ascii="Times New Roman" w:hAnsi="Times New Roman" w:cs="Times New Roman"/>
      <w:sz w:val="16"/>
      <w:szCs w:val="16"/>
    </w:rPr>
  </w:style>
  <w:style w:type="character" w:customStyle="1" w:styleId="238">
    <w:name w:val="Balloon Text Char"/>
    <w:qFormat/>
    <w:uiPriority w:val="99"/>
    <w:rPr>
      <w:rFonts w:ascii="Times New Roman" w:hAnsi="Times New Roman" w:eastAsia="宋体"/>
      <w:sz w:val="18"/>
    </w:rPr>
  </w:style>
  <w:style w:type="character" w:customStyle="1" w:styleId="239">
    <w:name w:val="Balloon Text Char1"/>
    <w:qFormat/>
    <w:uiPriority w:val="99"/>
    <w:rPr>
      <w:rFonts w:ascii="Times New Roman" w:hAnsi="Times New Roman" w:cs="Times New Roman"/>
      <w:sz w:val="2"/>
    </w:rPr>
  </w:style>
  <w:style w:type="character" w:customStyle="1" w:styleId="240">
    <w:name w:val="Document Map Char"/>
    <w:qFormat/>
    <w:uiPriority w:val="99"/>
    <w:rPr>
      <w:rFonts w:ascii="Times New Roman" w:hAnsi="Times New Roman" w:eastAsia="宋体"/>
      <w:sz w:val="20"/>
      <w:shd w:val="clear" w:color="auto" w:fill="000080"/>
    </w:rPr>
  </w:style>
  <w:style w:type="character" w:customStyle="1" w:styleId="241">
    <w:name w:val="Document Map Char1"/>
    <w:qFormat/>
    <w:uiPriority w:val="99"/>
    <w:rPr>
      <w:rFonts w:ascii="Times New Roman" w:hAnsi="Times New Roman" w:cs="Times New Roman"/>
      <w:sz w:val="2"/>
    </w:rPr>
  </w:style>
  <w:style w:type="character" w:customStyle="1" w:styleId="242">
    <w:name w:val="批注主题 Char"/>
    <w:link w:val="42"/>
    <w:qFormat/>
    <w:uiPriority w:val="99"/>
    <w:rPr>
      <w:rFonts w:ascii="Times New Roman" w:hAnsi="Times New Roman" w:eastAsia="宋体" w:cs="Times New Roman"/>
      <w:b/>
      <w:bCs/>
      <w:sz w:val="20"/>
      <w:szCs w:val="20"/>
    </w:rPr>
  </w:style>
  <w:style w:type="character" w:customStyle="1" w:styleId="243">
    <w:name w:val="正文文本 Char"/>
    <w:link w:val="16"/>
    <w:qFormat/>
    <w:uiPriority w:val="99"/>
    <w:rPr>
      <w:rFonts w:ascii="Times New Roman" w:hAnsi="Times New Roman" w:eastAsia="宋体" w:cs="Times New Roman"/>
      <w:sz w:val="20"/>
      <w:szCs w:val="20"/>
    </w:rPr>
  </w:style>
  <w:style w:type="character" w:customStyle="1" w:styleId="244">
    <w:name w:val="文档结构图 Char"/>
    <w:link w:val="14"/>
    <w:qFormat/>
    <w:uiPriority w:val="99"/>
    <w:rPr>
      <w:rFonts w:ascii="宋体" w:hAnsi="Times New Roman" w:eastAsia="宋体" w:cs="Times New Roman"/>
      <w:sz w:val="18"/>
      <w:szCs w:val="18"/>
    </w:rPr>
  </w:style>
  <w:style w:type="character" w:customStyle="1" w:styleId="245">
    <w:name w:val="日期 Char"/>
    <w:link w:val="23"/>
    <w:qFormat/>
    <w:uiPriority w:val="0"/>
    <w:rPr>
      <w:rFonts w:ascii="Times New Roman" w:hAnsi="Times New Roman" w:eastAsia="宋体" w:cs="Times New Roman"/>
      <w:sz w:val="20"/>
      <w:szCs w:val="20"/>
    </w:rPr>
  </w:style>
  <w:style w:type="character" w:customStyle="1" w:styleId="246">
    <w:name w:val="批注框文本 Char"/>
    <w:link w:val="26"/>
    <w:qFormat/>
    <w:uiPriority w:val="99"/>
    <w:rPr>
      <w:rFonts w:ascii="Times New Roman" w:hAnsi="Times New Roman" w:eastAsia="宋体" w:cs="Times New Roman"/>
      <w:sz w:val="18"/>
      <w:szCs w:val="18"/>
    </w:rPr>
  </w:style>
  <w:style w:type="character" w:customStyle="1" w:styleId="247">
    <w:name w:val="正文文本缩进 3 Char"/>
    <w:link w:val="34"/>
    <w:qFormat/>
    <w:uiPriority w:val="99"/>
    <w:rPr>
      <w:rFonts w:ascii="Times New Roman" w:hAnsi="Times New Roman" w:eastAsia="宋体" w:cs="Times New Roman"/>
      <w:sz w:val="16"/>
      <w:szCs w:val="16"/>
    </w:rPr>
  </w:style>
  <w:style w:type="character" w:customStyle="1" w:styleId="248">
    <w:name w:val="纯文本 Char"/>
    <w:link w:val="21"/>
    <w:qFormat/>
    <w:uiPriority w:val="99"/>
    <w:rPr>
      <w:rFonts w:ascii="宋体" w:hAnsi="Courier New" w:eastAsia="宋体" w:cs="Courier New"/>
      <w:sz w:val="21"/>
      <w:szCs w:val="21"/>
    </w:rPr>
  </w:style>
  <w:style w:type="character" w:customStyle="1" w:styleId="249">
    <w:name w:val="正文首行缩进 Char"/>
    <w:basedOn w:val="243"/>
    <w:link w:val="43"/>
    <w:qFormat/>
    <w:uiPriority w:val="99"/>
    <w:rPr>
      <w:rFonts w:ascii="Times New Roman" w:hAnsi="Times New Roman" w:eastAsia="宋体" w:cs="Times New Roman"/>
      <w:sz w:val="20"/>
      <w:szCs w:val="20"/>
    </w:rPr>
  </w:style>
  <w:style w:type="character" w:customStyle="1" w:styleId="250">
    <w:name w:val="正文文本 2 Char"/>
    <w:link w:val="38"/>
    <w:qFormat/>
    <w:uiPriority w:val="99"/>
    <w:rPr>
      <w:rFonts w:ascii="Times New Roman" w:hAnsi="Times New Roman" w:eastAsia="宋体" w:cs="Times New Roman"/>
      <w:sz w:val="20"/>
      <w:szCs w:val="20"/>
    </w:rPr>
  </w:style>
  <w:style w:type="character" w:customStyle="1" w:styleId="251">
    <w:name w:val="正文文本缩进 Char"/>
    <w:link w:val="17"/>
    <w:qFormat/>
    <w:uiPriority w:val="99"/>
    <w:rPr>
      <w:rFonts w:ascii="Times New Roman" w:hAnsi="Times New Roman" w:eastAsia="宋体" w:cs="Times New Roman"/>
      <w:sz w:val="20"/>
      <w:szCs w:val="20"/>
    </w:rPr>
  </w:style>
  <w:style w:type="character" w:customStyle="1" w:styleId="252">
    <w:name w:val="正文文本缩进 2 Char"/>
    <w:link w:val="24"/>
    <w:qFormat/>
    <w:uiPriority w:val="99"/>
    <w:rPr>
      <w:rFonts w:ascii="Times New Roman" w:hAnsi="Times New Roman" w:eastAsia="宋体" w:cs="Times New Roman"/>
      <w:sz w:val="20"/>
      <w:szCs w:val="20"/>
    </w:rPr>
  </w:style>
  <w:style w:type="paragraph" w:customStyle="1" w:styleId="253">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54">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255">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56">
    <w:name w:val="Char"/>
    <w:basedOn w:val="1"/>
    <w:qFormat/>
    <w:uiPriority w:val="99"/>
    <w:pPr>
      <w:widowControl/>
      <w:spacing w:after="160" w:line="240" w:lineRule="exact"/>
      <w:jc w:val="left"/>
    </w:pPr>
    <w:rPr>
      <w:rFonts w:ascii="Verdana" w:hAnsi="Verdana" w:eastAsia="仿宋_GB2312"/>
      <w:sz w:val="24"/>
      <w:lang w:eastAsia="en-US"/>
    </w:rPr>
  </w:style>
  <w:style w:type="paragraph" w:customStyle="1" w:styleId="257">
    <w:name w:val="缺省文本"/>
    <w:basedOn w:val="1"/>
    <w:qFormat/>
    <w:uiPriority w:val="99"/>
    <w:pPr>
      <w:jc w:val="left"/>
    </w:pPr>
    <w:rPr>
      <w:sz w:val="24"/>
    </w:rPr>
  </w:style>
  <w:style w:type="paragraph" w:customStyle="1" w:styleId="258">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9">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60">
    <w:name w:val="灿"/>
    <w:basedOn w:val="1"/>
    <w:qFormat/>
    <w:uiPriority w:val="99"/>
    <w:pPr>
      <w:tabs>
        <w:tab w:val="left" w:pos="2160"/>
        <w:tab w:val="left" w:pos="2520"/>
        <w:tab w:val="left" w:pos="2880"/>
        <w:tab w:val="left" w:pos="3240"/>
      </w:tabs>
    </w:pPr>
    <w:rPr>
      <w:rFonts w:ascii="華康中楷體" w:hAnsi="Arial" w:eastAsia="華康中楷體"/>
      <w:sz w:val="24"/>
      <w:lang w:eastAsia="en-US"/>
    </w:rPr>
  </w:style>
  <w:style w:type="paragraph" w:customStyle="1" w:styleId="261">
    <w:name w:val="font6"/>
    <w:basedOn w:val="1"/>
    <w:qFormat/>
    <w:uiPriority w:val="99"/>
    <w:pPr>
      <w:widowControl/>
      <w:spacing w:before="100" w:beforeAutospacing="1" w:after="100" w:afterAutospacing="1"/>
      <w:jc w:val="left"/>
    </w:pPr>
    <w:rPr>
      <w:rFonts w:ascii="宋体" w:hAnsi="宋体"/>
      <w:b/>
      <w:bCs/>
      <w:sz w:val="20"/>
    </w:rPr>
  </w:style>
  <w:style w:type="paragraph" w:customStyle="1" w:styleId="262">
    <w:name w:val="font8"/>
    <w:basedOn w:val="1"/>
    <w:qFormat/>
    <w:uiPriority w:val="99"/>
    <w:pPr>
      <w:widowControl/>
      <w:spacing w:before="100" w:beforeAutospacing="1" w:after="100" w:afterAutospacing="1"/>
      <w:jc w:val="left"/>
    </w:pPr>
    <w:rPr>
      <w:rFonts w:ascii="宋体" w:hAnsi="宋体"/>
      <w:b/>
      <w:bCs/>
      <w:i/>
      <w:iCs/>
      <w:sz w:val="20"/>
    </w:rPr>
  </w:style>
  <w:style w:type="paragraph" w:customStyle="1" w:styleId="263">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64">
    <w:name w:val="font9"/>
    <w:basedOn w:val="1"/>
    <w:qFormat/>
    <w:uiPriority w:val="99"/>
    <w:pPr>
      <w:widowControl/>
      <w:spacing w:before="100" w:beforeAutospacing="1" w:after="100" w:afterAutospacing="1"/>
      <w:jc w:val="left"/>
    </w:pPr>
    <w:rPr>
      <w:b/>
      <w:bCs/>
      <w:sz w:val="20"/>
    </w:rPr>
  </w:style>
  <w:style w:type="paragraph" w:customStyle="1" w:styleId="265">
    <w:name w:val="font13"/>
    <w:basedOn w:val="1"/>
    <w:qFormat/>
    <w:uiPriority w:val="99"/>
    <w:pPr>
      <w:widowControl/>
      <w:spacing w:before="100" w:beforeAutospacing="1" w:after="100" w:afterAutospacing="1"/>
      <w:jc w:val="left"/>
    </w:pPr>
    <w:rPr>
      <w:i/>
      <w:iCs/>
      <w:sz w:val="36"/>
      <w:szCs w:val="36"/>
    </w:rPr>
  </w:style>
  <w:style w:type="paragraph" w:customStyle="1" w:styleId="266">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67">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68">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269">
    <w:name w:val="font7"/>
    <w:basedOn w:val="1"/>
    <w:qFormat/>
    <w:uiPriority w:val="99"/>
    <w:pPr>
      <w:widowControl/>
      <w:spacing w:before="100" w:beforeAutospacing="1" w:after="100" w:afterAutospacing="1"/>
      <w:jc w:val="left"/>
    </w:pPr>
    <w:rPr>
      <w:b/>
      <w:bCs/>
      <w:i/>
      <w:iCs/>
      <w:sz w:val="20"/>
    </w:rPr>
  </w:style>
  <w:style w:type="paragraph" w:customStyle="1" w:styleId="270">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71">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272">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273">
    <w:name w:val="Char Char Char Char1"/>
    <w:basedOn w:val="1"/>
    <w:qFormat/>
    <w:uiPriority w:val="99"/>
    <w:pPr>
      <w:tabs>
        <w:tab w:val="left" w:pos="360"/>
      </w:tabs>
      <w:ind w:firstLine="420"/>
    </w:pPr>
    <w:rPr>
      <w:rFonts w:ascii="Arial" w:hAnsi="Arial" w:cs="Arial"/>
      <w:sz w:val="20"/>
    </w:rPr>
  </w:style>
  <w:style w:type="paragraph" w:customStyle="1" w:styleId="274">
    <w:name w:val="纯文本1"/>
    <w:basedOn w:val="1"/>
    <w:qFormat/>
    <w:uiPriority w:val="0"/>
    <w:rPr>
      <w:rFonts w:ascii="宋体" w:hAnsi="Courier New" w:eastAsia="楷体_GB2312"/>
      <w:sz w:val="26"/>
    </w:rPr>
  </w:style>
  <w:style w:type="paragraph" w:customStyle="1" w:styleId="275">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7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77">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78">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79">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80">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281">
    <w:name w:val="Char Char Char Char"/>
    <w:basedOn w:val="1"/>
    <w:qFormat/>
    <w:uiPriority w:val="99"/>
    <w:pPr>
      <w:tabs>
        <w:tab w:val="left" w:pos="360"/>
      </w:tabs>
      <w:ind w:firstLine="420"/>
    </w:pPr>
    <w:rPr>
      <w:rFonts w:ascii="Arial" w:hAnsi="Arial" w:cs="Arial"/>
      <w:sz w:val="20"/>
    </w:rPr>
  </w:style>
  <w:style w:type="paragraph" w:customStyle="1" w:styleId="28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3">
    <w:name w:val="xl49"/>
    <w:basedOn w:val="1"/>
    <w:qFormat/>
    <w:uiPriority w:val="99"/>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284">
    <w:name w:val="列出段落1"/>
    <w:basedOn w:val="1"/>
    <w:qFormat/>
    <w:uiPriority w:val="99"/>
    <w:pPr>
      <w:ind w:firstLine="420"/>
    </w:pPr>
    <w:rPr>
      <w:rFonts w:ascii="Calibri" w:hAnsi="Calibri"/>
      <w:szCs w:val="22"/>
    </w:rPr>
  </w:style>
  <w:style w:type="paragraph" w:customStyle="1" w:styleId="285">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6">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87">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8">
    <w:name w:val="Char1 Char Char Char Char Char Char"/>
    <w:basedOn w:val="1"/>
    <w:next w:val="1"/>
    <w:qFormat/>
    <w:uiPriority w:val="99"/>
    <w:pPr>
      <w:keepNext/>
      <w:keepLines/>
      <w:pageBreakBefore/>
    </w:pPr>
    <w:rPr>
      <w:rFonts w:ascii="Tahoma" w:hAnsi="Tahoma"/>
      <w:sz w:val="24"/>
    </w:rPr>
  </w:style>
  <w:style w:type="paragraph" w:customStyle="1" w:styleId="289">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290">
    <w:name w:val="普通文字"/>
    <w:basedOn w:val="1"/>
    <w:next w:val="1"/>
    <w:qFormat/>
    <w:uiPriority w:val="0"/>
    <w:rPr>
      <w:rFonts w:ascii="宋体"/>
      <w:sz w:val="24"/>
    </w:rPr>
  </w:style>
  <w:style w:type="paragraph" w:customStyle="1" w:styleId="291">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2">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9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294">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6">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97">
    <w:name w:val="font5"/>
    <w:basedOn w:val="1"/>
    <w:qFormat/>
    <w:uiPriority w:val="99"/>
    <w:pPr>
      <w:widowControl/>
      <w:spacing w:before="100" w:beforeAutospacing="1" w:after="100" w:afterAutospacing="1"/>
      <w:jc w:val="left"/>
    </w:pPr>
    <w:rPr>
      <w:rFonts w:ascii="宋体" w:hAnsi="宋体"/>
      <w:sz w:val="18"/>
      <w:szCs w:val="18"/>
    </w:rPr>
  </w:style>
  <w:style w:type="paragraph" w:customStyle="1" w:styleId="29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0">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1">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2">
    <w:name w:val="Char Char3 Char Char Char1 Char Char Char Char"/>
    <w:basedOn w:val="1"/>
    <w:qFormat/>
    <w:uiPriority w:val="99"/>
    <w:rPr>
      <w:szCs w:val="24"/>
    </w:rPr>
  </w:style>
  <w:style w:type="paragraph" w:customStyle="1" w:styleId="303">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4">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styleId="305">
    <w:name w:val="List Paragraph"/>
    <w:basedOn w:val="1"/>
    <w:qFormat/>
    <w:uiPriority w:val="34"/>
    <w:pPr>
      <w:ind w:firstLine="420"/>
    </w:pPr>
  </w:style>
  <w:style w:type="paragraph" w:customStyle="1" w:styleId="306">
    <w:name w:val="2 Char"/>
    <w:basedOn w:val="1"/>
    <w:qFormat/>
    <w:uiPriority w:val="99"/>
    <w:pPr>
      <w:widowControl/>
      <w:spacing w:after="160" w:line="240" w:lineRule="exact"/>
      <w:jc w:val="left"/>
    </w:pPr>
    <w:rPr>
      <w:rFonts w:ascii="Verdana" w:hAnsi="Verdana" w:eastAsia="仿宋_GB2312"/>
      <w:sz w:val="24"/>
      <w:lang w:eastAsia="en-US"/>
    </w:rPr>
  </w:style>
  <w:style w:type="paragraph" w:customStyle="1" w:styleId="307">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08">
    <w:name w:val="xl58"/>
    <w:basedOn w:val="1"/>
    <w:qFormat/>
    <w:uiPriority w:val="99"/>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309">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10">
    <w:name w:val="font11"/>
    <w:basedOn w:val="1"/>
    <w:qFormat/>
    <w:uiPriority w:val="99"/>
    <w:pPr>
      <w:widowControl/>
      <w:spacing w:before="100" w:beforeAutospacing="1" w:after="100" w:afterAutospacing="1"/>
      <w:jc w:val="left"/>
    </w:pPr>
    <w:rPr>
      <w:b/>
      <w:bCs/>
      <w:sz w:val="18"/>
      <w:szCs w:val="18"/>
    </w:rPr>
  </w:style>
  <w:style w:type="paragraph" w:customStyle="1" w:styleId="311">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12">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3">
    <w:name w:val="font14"/>
    <w:basedOn w:val="1"/>
    <w:qFormat/>
    <w:uiPriority w:val="99"/>
    <w:pPr>
      <w:widowControl/>
      <w:spacing w:before="100" w:beforeAutospacing="1" w:after="100" w:afterAutospacing="1"/>
      <w:jc w:val="left"/>
    </w:pPr>
    <w:rPr>
      <w:sz w:val="36"/>
      <w:szCs w:val="36"/>
    </w:rPr>
  </w:style>
  <w:style w:type="paragraph" w:customStyle="1" w:styleId="314">
    <w:name w:val="默认段落字体 Para Char"/>
    <w:basedOn w:val="1"/>
    <w:qFormat/>
    <w:uiPriority w:val="99"/>
    <w:pPr>
      <w:tabs>
        <w:tab w:val="left" w:pos="552"/>
      </w:tabs>
      <w:ind w:left="552" w:hanging="420"/>
    </w:pPr>
    <w:rPr>
      <w:sz w:val="24"/>
      <w:szCs w:val="24"/>
    </w:rPr>
  </w:style>
  <w:style w:type="paragraph" w:customStyle="1" w:styleId="315">
    <w:name w:val="font12"/>
    <w:basedOn w:val="1"/>
    <w:qFormat/>
    <w:uiPriority w:val="99"/>
    <w:pPr>
      <w:widowControl/>
      <w:spacing w:before="100" w:beforeAutospacing="1" w:after="100" w:afterAutospacing="1"/>
      <w:jc w:val="left"/>
    </w:pPr>
    <w:rPr>
      <w:rFonts w:ascii="宋体" w:hAnsi="宋体"/>
      <w:sz w:val="36"/>
      <w:szCs w:val="36"/>
    </w:rPr>
  </w:style>
  <w:style w:type="character" w:customStyle="1" w:styleId="316">
    <w:name w:val="标题 6 Char"/>
    <w:link w:val="7"/>
    <w:semiHidden/>
    <w:qFormat/>
    <w:uiPriority w:val="0"/>
    <w:rPr>
      <w:rFonts w:ascii="Cambria" w:hAnsi="Cambria" w:eastAsia="宋体" w:cs="Times New Roman"/>
      <w:b/>
      <w:bCs/>
      <w:sz w:val="24"/>
      <w:szCs w:val="24"/>
    </w:rPr>
  </w:style>
  <w:style w:type="paragraph" w:customStyle="1" w:styleId="317">
    <w:name w:val="Default"/>
    <w:qFormat/>
    <w:uiPriority w:val="0"/>
    <w:pPr>
      <w:widowControl w:val="0"/>
    </w:pPr>
    <w:rPr>
      <w:rFonts w:ascii="宋体" w:hAnsi="Calibri" w:eastAsia="宋体" w:cs="宋体"/>
      <w:color w:val="000000"/>
      <w:sz w:val="24"/>
      <w:szCs w:val="24"/>
      <w:lang w:val="en-US" w:eastAsia="zh-CN" w:bidi="ar-SA"/>
    </w:rPr>
  </w:style>
  <w:style w:type="character" w:customStyle="1" w:styleId="318">
    <w:name w:val="标题 Char"/>
    <w:link w:val="41"/>
    <w:qFormat/>
    <w:uiPriority w:val="10"/>
    <w:rPr>
      <w:rFonts w:ascii="宋体" w:hAnsi="宋体" w:cs="Arial"/>
      <w:b/>
      <w:bCs/>
      <w:sz w:val="32"/>
      <w:szCs w:val="32"/>
    </w:rPr>
  </w:style>
  <w:style w:type="character" w:customStyle="1" w:styleId="319">
    <w:name w:val="标题 Char1"/>
    <w:basedOn w:val="47"/>
    <w:qFormat/>
    <w:uiPriority w:val="0"/>
    <w:rPr>
      <w:rFonts w:asciiTheme="majorHAnsi" w:hAnsiTheme="majorHAnsi" w:cstheme="majorBidi"/>
      <w:b/>
      <w:bCs/>
      <w:sz w:val="32"/>
      <w:szCs w:val="32"/>
    </w:rPr>
  </w:style>
  <w:style w:type="character" w:customStyle="1" w:styleId="320">
    <w:name w:val="正文首行缩进 2 Char"/>
    <w:basedOn w:val="251"/>
    <w:link w:val="44"/>
    <w:semiHidden/>
    <w:qFormat/>
    <w:uiPriority w:val="99"/>
    <w:rPr>
      <w:rFonts w:ascii="Times New Roman" w:hAnsi="Times New Roman" w:eastAsia="宋体" w:cs="Times New Roman"/>
      <w:sz w:val="21"/>
      <w:szCs w:val="20"/>
    </w:rPr>
  </w:style>
  <w:style w:type="paragraph" w:customStyle="1" w:styleId="321">
    <w:name w:val="索引 11"/>
    <w:basedOn w:val="1"/>
    <w:next w:val="1"/>
    <w:qFormat/>
    <w:uiPriority w:val="0"/>
    <w:pPr>
      <w:spacing w:line="360" w:lineRule="auto"/>
    </w:pPr>
    <w:rPr>
      <w:rFonts w:ascii="仿宋_GB2312" w:hAnsi="Calibri" w:eastAsia="仿宋_GB2312"/>
      <w:sz w:val="24"/>
    </w:rPr>
  </w:style>
  <w:style w:type="paragraph" w:customStyle="1" w:styleId="322">
    <w:name w:val="正文缩进1"/>
    <w:basedOn w:val="1"/>
    <w:qFormat/>
    <w:uiPriority w:val="0"/>
    <w:pPr>
      <w:ind w:firstLine="420"/>
      <w:jc w:val="left"/>
    </w:pPr>
    <w:rPr>
      <w:rFonts w:ascii="宋体" w:hAnsi="Calibri"/>
      <w:sz w:val="24"/>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6C4362-3E0F-4ACC-9D79-62A30EDD89C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45</Pages>
  <Words>21431</Words>
  <Characters>22366</Characters>
  <Lines>37</Lines>
  <Paragraphs>61</Paragraphs>
  <TotalTime>15</TotalTime>
  <ScaleCrop>false</ScaleCrop>
  <LinksUpToDate>false</LinksUpToDate>
  <CharactersWithSpaces>22649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2025-05-07T10:11:00Z</dcterms:created>
  <dc:creator>朱晨</dc:creator>
  <cp:lastModifiedBy>维苑</cp:lastModifiedBy>
  <dcterms:modified xsi:type="dcterms:W3CDTF">2025-05-09T02:07:43Z</dcterms:modified>
  <dc:title>宜兴市区政策性农业保险承保机构遴选项目公开招标文件20211020</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062A9CB888DA4098A7A72855C5E34BAE_12</vt:lpwstr>
  </property>
  <property fmtid="{D5CDD505-2E9C-101B-9397-08002B2CF9AE}" pid="4" name="KSOTemplateDocerSaveRecord">
    <vt:lpwstr>eyJoZGlkIjoiMDEyOWI1MzhmODBhZmIyMDc0OGMxMTk0Yjk5MmVlY2MiLCJ1c2VySWQiOiI1MzgxNzcxMTAifQ==</vt:lpwstr>
  </property>
</Properties>
</file>