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auto"/>
          <w:sz w:val="72"/>
          <w:szCs w:val="72"/>
          <w:highlight w:val="none"/>
        </w:rPr>
      </w:pPr>
      <w:r>
        <w:rPr>
          <w:rFonts w:hint="eastAsia" w:eastAsia="隶书"/>
          <w:b/>
          <w:bCs/>
          <w:color w:val="auto"/>
          <w:sz w:val="72"/>
          <w:szCs w:val="72"/>
          <w:highlight w:val="none"/>
        </w:rPr>
        <w:t xml:space="preserve"> </w:t>
      </w:r>
      <w:r>
        <w:rPr>
          <w:rFonts w:eastAsia="隶书"/>
          <w:b/>
          <w:bCs/>
          <w:color w:val="auto"/>
          <w:sz w:val="72"/>
          <w:szCs w:val="72"/>
          <w:highlight w:val="none"/>
        </w:rPr>
        <w:t xml:space="preserve">       </w:t>
      </w:r>
      <w:r/>
    </w:p>
    <w:p>
      <w:pPr>
        <w:jc w:val="center"/>
        <w:spacing w:line="360" w:lineRule="auto"/>
        <w:rPr>
          <w:rFonts w:eastAsia="隶书"/>
          <w:color w:val="auto"/>
          <w:sz w:val="72"/>
          <w:highlight w:val="none"/>
        </w:rPr>
      </w:pPr>
      <w:r>
        <w:rPr>
          <w:rFonts w:hint="eastAsia" w:eastAsia="隶书"/>
          <w:color w:val="auto"/>
          <w:sz w:val="72"/>
          <w:highlight w:val="none"/>
        </w:rPr>
        <w:t xml:space="preserve">江苏省医疗器械检验所     </w:t>
      </w:r>
      <w:r/>
    </w:p>
    <w:p>
      <w:pPr>
        <w:jc w:val="center"/>
        <w:spacing w:line="360" w:lineRule="auto"/>
        <w:rPr>
          <w:rFonts w:hint="eastAsia" w:eastAsia="隶书"/>
          <w:color w:val="auto"/>
          <w:sz w:val="72"/>
          <w:highlight w:val="none"/>
          <w:lang w:eastAsia="zh-CN"/>
        </w:rPr>
      </w:pPr>
      <w:r>
        <w:rPr>
          <w:rFonts w:hint="eastAsia" w:eastAsia="隶书"/>
          <w:color w:val="auto"/>
          <w:sz w:val="72"/>
          <w:highlight w:val="none"/>
          <w:lang w:eastAsia="zh-CN"/>
        </w:rPr>
        <w:t xml:space="preserve">采购超声兼容试验装置等项目</w:t>
      </w:r>
      <w:r/>
    </w:p>
    <w:p>
      <w:pPr>
        <w:jc w:val="center"/>
        <w:spacing w:line="360" w:lineRule="auto"/>
        <w:rPr>
          <w:rFonts w:eastAsia="隶书"/>
          <w:color w:val="auto"/>
          <w:sz w:val="72"/>
          <w:highlight w:val="none"/>
        </w:rPr>
      </w:pPr>
      <w:r>
        <w:rPr>
          <w:rFonts w:hint="eastAsia" w:eastAsia="隶书"/>
          <w:color w:val="auto"/>
          <w:sz w:val="72"/>
          <w:highlight w:val="none"/>
        </w:rPr>
        <w:t xml:space="preserve"> </w:t>
      </w:r>
      <w:r/>
    </w:p>
    <w:p>
      <w:pPr>
        <w:jc w:val="center"/>
        <w:spacing w:line="360" w:lineRule="auto"/>
        <w:rPr>
          <w:rFonts w:eastAsia="隶书"/>
          <w:color w:val="auto"/>
          <w:sz w:val="72"/>
          <w:highlight w:val="none"/>
        </w:rPr>
      </w:pPr>
      <w:r>
        <w:rPr>
          <w:rFonts w:eastAsia="隶书"/>
          <w:color w:val="auto"/>
          <w:sz w:val="72"/>
          <w:highlight w:val="none"/>
        </w:rPr>
      </w:r>
      <w:r/>
    </w:p>
    <w:p>
      <w:pPr>
        <w:jc w:val="center"/>
        <w:spacing w:line="360" w:lineRule="auto"/>
        <w:rPr>
          <w:color w:val="auto"/>
          <w:sz w:val="96"/>
          <w:szCs w:val="96"/>
          <w:highlight w:val="none"/>
        </w:rPr>
      </w:pPr>
      <w:r>
        <w:rPr>
          <w:rFonts w:hint="eastAsia" w:eastAsia="隶书"/>
          <w:color w:val="auto"/>
          <w:sz w:val="96"/>
          <w:szCs w:val="96"/>
          <w:highlight w:val="none"/>
        </w:rPr>
        <w:t xml:space="preserve">招 标 文 件</w:t>
      </w:r>
      <w:r/>
    </w:p>
    <w:p>
      <w:pPr>
        <w:jc w:val="center"/>
        <w:spacing w:line="360" w:lineRule="auto"/>
        <w:rPr>
          <w:rFonts w:hint="eastAsia" w:eastAsia="隶书"/>
          <w:b/>
          <w:color w:val="auto"/>
          <w:sz w:val="36"/>
          <w:szCs w:val="22"/>
          <w:highlight w:val="none"/>
          <w:lang w:eastAsia="zh-CN"/>
        </w:rPr>
      </w:pPr>
      <w:r>
        <w:rPr>
          <w:rFonts w:hint="eastAsia" w:eastAsia="隶书"/>
          <w:b/>
          <w:color w:val="auto"/>
          <w:sz w:val="36"/>
          <w:szCs w:val="22"/>
          <w:highlight w:val="none"/>
        </w:rPr>
        <w:t xml:space="preserve">招标编号：</w:t>
      </w:r>
      <w:r>
        <w:rPr>
          <w:rFonts w:hint="eastAsia" w:eastAsia="隶书"/>
          <w:b/>
          <w:color w:val="auto"/>
          <w:sz w:val="36"/>
          <w:szCs w:val="22"/>
          <w:highlight w:val="none"/>
          <w:lang w:eastAsia="zh-CN"/>
        </w:rPr>
        <w:t xml:space="preserve">JSZC-320000-SMDG-G2025-0111</w:t>
      </w:r>
      <w:r/>
    </w:p>
    <w:p>
      <w:pPr>
        <w:jc w:val="center"/>
        <w:spacing w:line="360" w:lineRule="auto"/>
        <w:rPr>
          <w:rFonts w:eastAsia="隶书"/>
          <w:b/>
          <w:color w:val="auto"/>
          <w:sz w:val="36"/>
          <w:szCs w:val="22"/>
          <w:highlight w:val="none"/>
        </w:rPr>
      </w:pPr>
      <w:r>
        <w:rPr>
          <w:rFonts w:hint="eastAsia" w:eastAsia="隶书"/>
          <w:b/>
          <w:color w:val="auto"/>
          <w:sz w:val="36"/>
          <w:szCs w:val="22"/>
          <w:highlight w:val="none"/>
        </w:rPr>
        <w:tab/>
      </w:r>
      <w:r/>
    </w:p>
    <w:p>
      <w:pPr>
        <w:jc w:val="center"/>
        <w:spacing w:line="440" w:lineRule="exact"/>
        <w:rPr>
          <w:rFonts w:ascii="黑体" w:eastAsia="黑体"/>
          <w:b/>
          <w:color w:val="auto"/>
          <w:sz w:val="52"/>
          <w:highlight w:val="none"/>
        </w:rPr>
      </w:pPr>
      <w:r>
        <w:rPr>
          <w:rFonts w:ascii="黑体" w:eastAsia="黑体"/>
          <w:b/>
          <w:color w:val="auto"/>
          <w:sz w:val="52"/>
          <w:highlight w:val="none"/>
        </w:rPr>
      </w:r>
      <w:r/>
    </w:p>
    <w:p>
      <w:pPr>
        <w:jc w:val="center"/>
        <w:spacing w:line="440" w:lineRule="exact"/>
        <w:rPr>
          <w:rFonts w:ascii="黑体" w:eastAsia="黑体"/>
          <w:b/>
          <w:color w:val="auto"/>
          <w:sz w:val="52"/>
          <w:highlight w:val="none"/>
        </w:rPr>
      </w:pPr>
      <w:r>
        <w:rPr>
          <w:rFonts w:ascii="黑体" w:eastAsia="黑体"/>
          <w:b/>
          <w:color w:val="auto"/>
          <w:sz w:val="52"/>
          <w:highlight w:val="none"/>
        </w:rPr>
      </w:r>
      <w:r/>
    </w:p>
    <w:p>
      <w:pPr>
        <w:jc w:val="center"/>
        <w:spacing w:line="440" w:lineRule="exact"/>
        <w:rPr>
          <w:rFonts w:ascii="黑体" w:eastAsia="黑体"/>
          <w:b/>
          <w:color w:val="auto"/>
          <w:sz w:val="52"/>
          <w:highlight w:val="none"/>
        </w:rPr>
      </w:pPr>
      <w:r>
        <w:rPr>
          <w:rFonts w:ascii="黑体" w:eastAsia="黑体"/>
          <w:b/>
          <w:color w:val="auto"/>
          <w:sz w:val="52"/>
          <w:highlight w:val="none"/>
        </w:rPr>
      </w:r>
      <w:r/>
    </w:p>
    <w:p>
      <w:pPr>
        <w:spacing w:line="440" w:lineRule="exact"/>
        <w:rPr>
          <w:rFonts w:ascii="楷体_GB2312" w:eastAsia="楷体_GB2312"/>
          <w:b/>
          <w:color w:val="auto"/>
          <w:sz w:val="32"/>
          <w:highlight w:val="none"/>
        </w:rPr>
      </w:pPr>
      <w:r>
        <w:rPr>
          <w:rFonts w:ascii="楷体_GB2312" w:eastAsia="楷体_GB2312"/>
          <w:b/>
          <w:color w:val="auto"/>
          <w:sz w:val="32"/>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bookmarkStart w:id="309" w:name="_GoBack"/>
      <w:r/>
      <w:bookmarkEnd w:id="309"/>
      <w:r/>
      <w:r/>
    </w:p>
    <w:p>
      <w:pPr>
        <w:jc w:val="center"/>
        <w:spacing w:line="360" w:lineRule="auto"/>
        <w:rPr>
          <w:rFonts w:ascii="楷体_GB2312" w:eastAsia="楷体_GB2312"/>
          <w:b/>
          <w:color w:val="auto"/>
          <w:sz w:val="32"/>
          <w:highlight w:val="none"/>
        </w:rPr>
      </w:pPr>
      <w:r>
        <w:rPr>
          <w:rFonts w:hint="eastAsia"/>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8pt;height:23.2pt;mso-wrap-distance-left:0.0pt;mso-wrap-distance-top:0.0pt;mso-wrap-distance-right:0.0pt;mso-wrap-distance-bottom:0.0pt;" filled="f" stroked="f">
            <v:path textboxrect="0,0,0,0"/>
            <v:imagedata r:id="rId24" o:title=""/>
          </v:shape>
          <o:OLEObject DrawAspect="Content" r:id="rId25" ObjectID="_1525049" ProgID="PBrush" ShapeID="_x0000_i9" Type="Embed"/>
        </w:object>
      </w:r>
      <w:r/>
    </w:p>
    <w:p>
      <w:pPr>
        <w:jc w:val="center"/>
        <w:spacing w:line="360" w:lineRule="auto"/>
        <w:rPr>
          <w:rFonts w:eastAsia="隶书"/>
          <w:b/>
          <w:color w:val="auto"/>
          <w:sz w:val="32"/>
          <w:highlight w:val="none"/>
        </w:rPr>
      </w:pPr>
      <w:r>
        <w:rPr>
          <w:rFonts w:hint="eastAsia" w:eastAsia="隶书"/>
          <w:b/>
          <w:color w:val="auto"/>
          <w:sz w:val="32"/>
          <w:highlight w:val="none"/>
        </w:rPr>
        <w:t xml:space="preserve">招标代理机构：苏美达国际技术贸易有限公司</w:t>
      </w:r>
      <w:r/>
    </w:p>
    <w:p>
      <w:pPr>
        <w:jc w:val="center"/>
        <w:spacing w:line="360" w:lineRule="auto"/>
        <w:rPr>
          <w:rFonts w:hint="eastAsia" w:ascii="隶书" w:eastAsia="隶书"/>
          <w:b/>
          <w:color w:val="auto"/>
          <w:sz w:val="32"/>
          <w:highlight w:val="none"/>
          <w:lang w:eastAsia="zh-CN"/>
        </w:rPr>
      </w:pPr>
      <w:r>
        <w:rPr>
          <w:rFonts w:hint="eastAsia" w:ascii="隶书" w:eastAsia="隶书"/>
          <w:b/>
          <w:color w:val="auto"/>
          <w:sz w:val="32"/>
          <w:highlight w:val="none"/>
          <w:lang w:eastAsia="zh-CN"/>
        </w:rPr>
        <w:t xml:space="preserve">2025年</w:t>
      </w:r>
      <w:r>
        <w:rPr>
          <w:rFonts w:hint="eastAsia" w:ascii="隶书" w:eastAsia="隶书"/>
          <w:b/>
          <w:color w:val="auto"/>
          <w:sz w:val="32"/>
          <w:highlight w:val="none"/>
          <w:lang w:val="en-US" w:eastAsia="zh-CN"/>
        </w:rPr>
        <w:t xml:space="preserve">8</w:t>
      </w:r>
      <w:r>
        <w:rPr>
          <w:rFonts w:hint="eastAsia" w:ascii="隶书" w:eastAsia="隶书"/>
          <w:b/>
          <w:color w:val="auto"/>
          <w:sz w:val="32"/>
          <w:highlight w:val="none"/>
          <w:lang w:eastAsia="zh-CN"/>
        </w:rPr>
        <w:t xml:space="preserve">月</w:t>
      </w:r>
      <w:r/>
    </w:p>
    <w:p>
      <w:pPr>
        <w:jc w:val="center"/>
        <w:spacing w:line="440" w:lineRule="exact"/>
        <w:rPr>
          <w:rFonts w:eastAsia="黑体"/>
          <w:b/>
          <w:color w:val="auto"/>
          <w:sz w:val="32"/>
          <w:highlight w:val="none"/>
        </w:rPr>
        <w:sectPr>
          <w:headerReference w:type="default" r:id="rId9"/>
          <w:headerReference w:type="even" r:id="rId10"/>
          <w:footerReference w:type="default" r:id="rId12"/>
          <w:footerReference w:type="even"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
          <w:color w:val="auto"/>
          <w:sz w:val="32"/>
          <w:highlight w:val="none"/>
        </w:rPr>
      </w:r>
      <w:r/>
    </w:p>
    <w:p>
      <w:pPr>
        <w:jc w:val="center"/>
        <w:spacing w:line="440" w:lineRule="exact"/>
        <w:rPr>
          <w:rFonts w:ascii="黑体" w:eastAsia="黑体"/>
          <w:b/>
          <w:color w:val="auto"/>
          <w:sz w:val="44"/>
          <w:highlight w:val="none"/>
        </w:rPr>
        <w:outlineLvl w:val="0"/>
      </w:pPr>
      <w:r/>
      <w:bookmarkStart w:id="0" w:name="_Toc32648"/>
      <w:r/>
      <w:bookmarkStart w:id="1" w:name="_Toc27166"/>
      <w:r/>
      <w:bookmarkStart w:id="2" w:name="_Toc1"/>
      <w:r/>
      <w:bookmarkStart w:id="3" w:name="_Toc9986"/>
      <w:r/>
      <w:bookmarkStart w:id="4" w:name="_Toc6262"/>
      <w:r>
        <w:rPr>
          <w:rFonts w:hint="eastAsia" w:ascii="黑体" w:eastAsia="黑体"/>
          <w:b/>
          <w:color w:val="auto"/>
          <w:sz w:val="28"/>
          <w:szCs w:val="28"/>
          <w:highlight w:val="none"/>
        </w:rPr>
        <w:t xml:space="preserve">第一章 招标公告</w:t>
      </w:r>
      <w:bookmarkEnd w:id="0"/>
      <w:r/>
      <w:bookmarkEnd w:id="1"/>
      <w:r/>
      <w:bookmarkEnd w:id="2"/>
      <w:r/>
      <w:bookmarkEnd w:id="3"/>
      <w:r/>
      <w:bookmarkEnd w:id="4"/>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江苏省医疗器械检验所采购超声兼容试验装置等项目</w:t>
      </w:r>
      <w:r>
        <w:rPr>
          <w:rFonts w:hint="eastAsia" w:ascii="宋体" w:hAnsi="宋体" w:eastAsia="宋体" w:cs="宋体"/>
          <w:color w:val="auto"/>
          <w:sz w:val="21"/>
          <w:szCs w:val="21"/>
          <w:highlight w:val="none"/>
        </w:rPr>
        <w:t xml:space="preserve">的潜在投标人应在微信公众号“苏美达达天下”</w:t>
      </w:r>
      <w:r>
        <w:rPr>
          <w:rFonts w:hint="eastAsia" w:ascii="宋体" w:hAnsi="宋体" w:cs="宋体"/>
          <w:color w:val="auto"/>
          <w:szCs w:val="21"/>
          <w:highlight w:val="none"/>
        </w:rPr>
        <w:t xml:space="preserve">或</w:t>
      </w:r>
      <w:r>
        <w:rPr>
          <w:rFonts w:hint="eastAsia" w:ascii="宋体" w:hAnsi="宋体" w:cs="宋体"/>
          <w:color w:val="auto"/>
          <w:szCs w:val="21"/>
          <w:highlight w:val="none"/>
        </w:rPr>
        <w:t xml:space="preserve">苏美达</w:t>
      </w:r>
      <w:r>
        <w:rPr>
          <w:rFonts w:hint="eastAsia" w:ascii="宋体" w:hAnsi="宋体" w:cs="宋体"/>
          <w:color w:val="auto"/>
          <w:szCs w:val="21"/>
          <w:highlight w:val="none"/>
        </w:rPr>
        <w:t xml:space="preserve">国际</w:t>
      </w:r>
      <w:r>
        <w:rPr>
          <w:rFonts w:hint="eastAsia" w:ascii="宋体" w:hAnsi="宋体" w:cs="宋体"/>
          <w:color w:val="auto"/>
          <w:szCs w:val="21"/>
          <w:highlight w:val="none"/>
        </w:rPr>
        <w:t xml:space="preserve">技术</w:t>
      </w:r>
      <w:r>
        <w:rPr>
          <w:rFonts w:hint="eastAsia" w:ascii="宋体" w:hAnsi="宋体" w:cs="宋体"/>
          <w:color w:val="auto"/>
          <w:szCs w:val="21"/>
          <w:highlight w:val="none"/>
        </w:rPr>
        <w:t xml:space="preserve">贸易</w:t>
      </w:r>
      <w:r>
        <w:rPr>
          <w:rFonts w:hint="eastAsia" w:ascii="宋体" w:hAnsi="宋体" w:cs="宋体"/>
          <w:color w:val="auto"/>
          <w:szCs w:val="21"/>
          <w:highlight w:val="none"/>
        </w:rPr>
        <w:t xml:space="preserve">有限</w:t>
      </w:r>
      <w:r>
        <w:rPr>
          <w:rFonts w:hint="eastAsia" w:ascii="宋体" w:hAnsi="宋体" w:cs="宋体"/>
          <w:color w:val="auto"/>
          <w:szCs w:val="21"/>
          <w:highlight w:val="none"/>
        </w:rPr>
        <w:t xml:space="preserve">公司</w:t>
      </w:r>
      <w:r>
        <w:rPr>
          <w:rFonts w:hint="eastAsia" w:ascii="宋体" w:hAnsi="宋体" w:eastAsia="宋体" w:cs="宋体"/>
          <w:color w:val="auto"/>
          <w:sz w:val="21"/>
          <w:szCs w:val="21"/>
          <w:highlight w:val="none"/>
        </w:rPr>
        <w:t xml:space="preserve">获取招标文件，并于</w:t>
      </w:r>
      <w:r>
        <w:rPr>
          <w:rFonts w:hint="eastAsia" w:ascii="宋体" w:hAnsi="宋体" w:cs="宋体"/>
          <w:color w:val="auto"/>
          <w:sz w:val="21"/>
          <w:szCs w:val="21"/>
          <w:highlight w:val="none"/>
          <w:lang w:eastAsia="zh-CN"/>
        </w:rPr>
        <w:t xml:space="preserve">2025年8月28日14点00分</w:t>
      </w:r>
      <w:r>
        <w:rPr>
          <w:rFonts w:hint="eastAsia" w:ascii="宋体" w:hAnsi="宋体" w:eastAsia="宋体" w:cs="宋体"/>
          <w:color w:val="auto"/>
          <w:sz w:val="21"/>
          <w:szCs w:val="21"/>
          <w:highlight w:val="none"/>
        </w:rPr>
        <w:t xml:space="preserve">（北京时间）前递交投标文件。</w:t>
      </w:r>
      <w:r/>
    </w:p>
    <w:p>
      <w:pPr>
        <w:ind w:firstLine="422"/>
        <w:spacing w:line="400" w:lineRule="exact"/>
        <w:rPr>
          <w:rFonts w:hint="eastAsia" w:ascii="宋体" w:hAnsi="宋体" w:eastAsia="宋体" w:cs="宋体"/>
          <w:b/>
          <w:bCs/>
          <w:color w:val="auto"/>
          <w:sz w:val="21"/>
          <w:szCs w:val="21"/>
          <w:highlight w:val="none"/>
        </w:rPr>
      </w:pPr>
      <w:r/>
      <w:bookmarkStart w:id="5" w:name="_Toc5907"/>
      <w:r/>
      <w:bookmarkStart w:id="6" w:name="_Toc8862"/>
      <w:r>
        <w:rPr>
          <w:rFonts w:hint="eastAsia" w:ascii="宋体" w:hAnsi="宋体" w:eastAsia="宋体" w:cs="宋体"/>
          <w:b/>
          <w:bCs/>
          <w:color w:val="auto"/>
          <w:sz w:val="21"/>
          <w:szCs w:val="21"/>
          <w:highlight w:val="none"/>
        </w:rPr>
        <w:t xml:space="preserve">一、项目基本情况</w:t>
      </w:r>
      <w:bookmarkEnd w:id="5"/>
      <w:r/>
      <w:bookmarkEnd w:id="6"/>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JSZC-320000-SMDG-G2025-0111</w:t>
      </w:r>
      <w:r/>
    </w:p>
    <w:p>
      <w:pPr>
        <w:ind w:firstLine="420"/>
        <w:keepLines w:val="0"/>
        <w:keepNext w:val="0"/>
        <w:pageBreakBefore w:val="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江苏省医疗器械检验所采购超声兼容试验装置等项目</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预算金额：人民币</w:t>
      </w:r>
      <w:r>
        <w:rPr>
          <w:rFonts w:hint="eastAsia" w:ascii="宋体" w:hAnsi="宋体" w:cs="宋体"/>
          <w:color w:val="auto"/>
          <w:szCs w:val="21"/>
          <w:highlight w:val="none"/>
          <w:lang w:val="en-US" w:eastAsia="zh-CN"/>
        </w:rPr>
        <w:t xml:space="preserve">193.4</w:t>
      </w:r>
      <w:r>
        <w:rPr>
          <w:rFonts w:hint="eastAsia" w:ascii="宋体" w:hAnsi="宋体" w:cs="宋体"/>
          <w:color w:val="auto"/>
          <w:szCs w:val="21"/>
          <w:highlight w:val="none"/>
        </w:rPr>
        <w:t xml:space="preserve">万元整</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val="en-US" w:eastAsia="zh-CN"/>
        </w:rPr>
        <w:t xml:space="preserve">193.4万元</w:t>
      </w:r>
      <w:r>
        <w:rPr>
          <w:rFonts w:hint="eastAsia" w:ascii="宋体" w:hAnsi="宋体" w:cs="宋体"/>
          <w:color w:val="auto"/>
          <w:szCs w:val="21"/>
          <w:highlight w:val="none"/>
        </w:rPr>
        <w:t xml:space="preserve">整</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采购需求：</w:t>
      </w:r>
      <w:r/>
    </w:p>
    <w:tbl>
      <w:tblPr>
        <w:tblStyle w:val="1225"/>
        <w:tblW w:w="4996" w:type="pct"/>
        <w:tblInd w:w="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2027"/>
        <w:gridCol w:w="723"/>
        <w:gridCol w:w="1607"/>
        <w:gridCol w:w="2192"/>
        <w:gridCol w:w="1205"/>
        <w:gridCol w:w="1206"/>
      </w:tblGrid>
      <w:tr>
        <w:trPr>
          <w:trHeight w:val="764"/>
        </w:trPr>
        <w:tc>
          <w:tcPr>
            <w:shd w:val="clear" w:color="auto" w:fill="ffffff"/>
            <w:tcW w:w="450"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W w:w="1029"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shd w:val="clear" w:color="auto" w:fill="ffffff"/>
            <w:tcW w:w="367"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ffffff"/>
            <w:tcW w:w="816"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价格条件</w:t>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★合同履行期限（交货期）</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预算金额</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是否接受进口产品</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X光显影设备</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用户地交货价</w:t>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专用电荷测量程序</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老化箱桌面型42升</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盖革计数器</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0.5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电池循环机</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经皮能量传递测试系统</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合同签订后60天内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氦气测漏仪</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气相色谱</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体内器械模拟除颤仪</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合同签订后90天内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超声兼容试验装置</w:t>
            </w:r>
            <w:r>
              <w:rPr>
                <w:rFonts w:hint="eastAsia" w:ascii="宋体" w:hAnsi="宋体" w:cs="宋体"/>
                <w:b/>
                <w:bCs/>
                <w:color w:val="auto"/>
                <w:szCs w:val="21"/>
                <w:highlight w:val="none"/>
                <w:lang w:bidi="ar"/>
              </w:rPr>
              <w:t xml:space="preserve">（核心产品）</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合同签订后90天内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56.8</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大气压试验系统</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合同签订后60天内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超级恒温水浴水循环老化系统</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特斯拉计</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0.5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头部体模</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0.2</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50mT赫姆霍兹线圈</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合同签订后60天内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大功率直流源</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219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gridSpan w:val="5"/>
            <w:shd w:val="clear" w:color="auto" w:fill="ffffff"/>
            <w:tcW w:w="3775" w:type="pct"/>
            <w:vAlign w:val="center"/>
            <w:textDirection w:val="lrTb"/>
            <w:noWrap w:val="false"/>
          </w:tcPr>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193.4</w:t>
            </w:r>
            <w:r/>
          </w:p>
        </w:tc>
        <w:tc>
          <w:tcPr>
            <w:shd w:val="clear" w:color="auto" w:fill="ffffff"/>
            <w:tcW w:w="612" w:type="pct"/>
            <w:vAlign w:val="center"/>
            <w:textDirection w:val="lrTb"/>
            <w:noWrap w:val="false"/>
          </w:tcPr>
          <w:p>
            <w:pPr>
              <w:ind w:firstLine="420"/>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20"/>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投标人必须对以上所有产品进行投标，不得漏项，其</w:t>
      </w:r>
      <w:r>
        <w:rPr>
          <w:rFonts w:hint="eastAsia" w:ascii="宋体" w:hAnsi="宋体" w:cs="宋体"/>
          <w:color w:val="auto"/>
          <w:szCs w:val="21"/>
          <w:highlight w:val="none"/>
        </w:rPr>
        <w:t xml:space="preserve">所投产品报价均不得超过其对应的预算金额，否则将导致</w:t>
      </w:r>
      <w:r>
        <w:rPr>
          <w:rFonts w:hint="eastAsia" w:ascii="宋体" w:hAnsi="宋体" w:cs="宋体"/>
          <w:color w:val="auto"/>
          <w:szCs w:val="21"/>
          <w:highlight w:val="none"/>
          <w:lang w:eastAsia="zh-CN"/>
        </w:rPr>
        <w:t xml:space="preserve">投标被否决</w:t>
      </w:r>
      <w:r>
        <w:rPr>
          <w:rFonts w:hint="eastAsia" w:ascii="宋体" w:hAnsi="宋体" w:cs="宋体"/>
          <w:color w:val="auto"/>
          <w:szCs w:val="21"/>
          <w:highlight w:val="none"/>
        </w:rPr>
        <w:t xml:space="preserve">。</w:t>
      </w:r>
      <w:r/>
    </w:p>
    <w:p>
      <w:pPr>
        <w:ind w:firstLine="420"/>
        <w:jc w:val="left"/>
        <w:keepLines w:val="0"/>
        <w:keepNext w:val="0"/>
        <w:pageBreakBefore w:val="0"/>
        <w:spacing w:line="400" w:lineRule="exact"/>
        <w:widowControl/>
        <w:rPr>
          <w:rFonts w:hint="eastAsia" w:ascii="宋体" w:hAnsi="宋体" w:cs="宋体"/>
          <w:color w:val="auto"/>
          <w:szCs w:val="21"/>
          <w:highlight w:val="none"/>
        </w:rPr>
      </w:pPr>
      <w:r/>
      <w:bookmarkStart w:id="7" w:name="_Toc35393791"/>
      <w:r/>
      <w:bookmarkStart w:id="8" w:name="_Toc28359080"/>
      <w:r/>
      <w:bookmarkStart w:id="9" w:name="_Toc17133"/>
      <w:r/>
      <w:bookmarkStart w:id="10" w:name="_Toc28359003"/>
      <w:r/>
      <w:bookmarkStart w:id="11" w:name="_Toc35393622"/>
      <w:r>
        <w:rPr>
          <w:rFonts w:hint="eastAsia" w:ascii="宋体" w:hAnsi="宋体" w:cs="宋体"/>
          <w:color w:val="auto"/>
          <w:szCs w:val="21"/>
          <w:highlight w:val="none"/>
        </w:rPr>
        <w:t xml:space="preserve">本招标项目</w:t>
      </w:r>
      <w:r>
        <w:rPr>
          <w:rFonts w:hint="eastAsia" w:ascii="宋体" w:hAnsi="宋体" w:cs="宋体"/>
          <w:b/>
          <w:bCs/>
          <w:color w:val="auto"/>
          <w:szCs w:val="21"/>
          <w:highlight w:val="none"/>
        </w:rPr>
        <w:t xml:space="preserve">不接受</w:t>
      </w:r>
      <w:r>
        <w:rPr>
          <w:rFonts w:hint="eastAsia" w:ascii="宋体" w:hAnsi="宋体" w:cs="宋体"/>
          <w:color w:val="auto"/>
          <w:szCs w:val="21"/>
          <w:highlight w:val="none"/>
        </w:rPr>
        <w:t xml:space="preserve">联合体投标</w:t>
      </w:r>
      <w:r/>
    </w:p>
    <w:p>
      <w:pPr>
        <w:ind w:firstLine="422"/>
        <w:jc w:val="left"/>
        <w:keepLines w:val="0"/>
        <w:keepNext w:val="0"/>
        <w:pageBreakBefore w:val="0"/>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本项目非专门面向中小企业采购项目</w:t>
      </w:r>
      <w:r/>
    </w:p>
    <w:p>
      <w:pPr>
        <w:ind w:firstLine="420"/>
        <w:jc w:val="left"/>
        <w:keepLines w:val="0"/>
        <w:keepNext w:val="0"/>
        <w:pageBreakBefore w:val="0"/>
        <w:spacing w:line="400" w:lineRule="exact"/>
        <w:widowControl/>
        <w:rPr>
          <w:rFonts w:hint="eastAsia" w:ascii="宋体" w:hAnsi="宋体" w:cs="宋体"/>
          <w:b w:val="0"/>
          <w:iCs w:val="0"/>
          <w:color w:val="auto"/>
          <w:szCs w:val="21"/>
          <w:highlight w:val="none"/>
        </w:rPr>
      </w:pPr>
      <w:r>
        <w:rPr>
          <w:rFonts w:hint="eastAsia" w:ascii="宋体" w:hAnsi="宋体" w:cs="宋体"/>
          <w:color w:val="auto"/>
          <w:szCs w:val="21"/>
          <w:highlight w:val="none"/>
        </w:rPr>
        <w:t xml:space="preserve">本项目所属行业：工业。</w:t>
      </w:r>
      <w:r/>
    </w:p>
    <w:p>
      <w:pPr>
        <w:ind w:firstLine="422"/>
        <w:spacing w:line="400" w:lineRule="exact"/>
        <w:rPr>
          <w:rFonts w:hint="eastAsia" w:ascii="宋体" w:hAnsi="宋体" w:eastAsia="宋体" w:cs="宋体"/>
          <w:b/>
          <w:bCs/>
          <w:color w:val="auto"/>
          <w:sz w:val="21"/>
          <w:szCs w:val="21"/>
          <w:highlight w:val="none"/>
        </w:rPr>
      </w:pPr>
      <w:r/>
      <w:bookmarkStart w:id="12" w:name="_Toc10097"/>
      <w:r>
        <w:rPr>
          <w:rFonts w:hint="eastAsia" w:ascii="宋体" w:hAnsi="宋体" w:eastAsia="宋体" w:cs="宋体"/>
          <w:b/>
          <w:bCs/>
          <w:color w:val="auto"/>
          <w:sz w:val="21"/>
          <w:szCs w:val="21"/>
          <w:highlight w:val="none"/>
        </w:rPr>
        <w:t xml:space="preserve">二、申请人的资格要求：</w:t>
      </w:r>
      <w:bookmarkEnd w:id="7"/>
      <w:r/>
      <w:bookmarkEnd w:id="8"/>
      <w:r/>
      <w:bookmarkEnd w:id="9"/>
      <w:r/>
      <w:bookmarkEnd w:id="10"/>
      <w:r/>
      <w:bookmarkEnd w:id="11"/>
      <w:r/>
      <w:bookmarkEnd w:id="12"/>
      <w:r/>
      <w:r/>
    </w:p>
    <w:p>
      <w:pPr>
        <w:ind w:firstLine="420"/>
        <w:keepLines w:val="0"/>
        <w:keepNext w:val="0"/>
        <w:pageBreakBefore w:val="0"/>
        <w:spacing w:line="400" w:lineRule="exact"/>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1.满足《中华人民共和国政府采购法》第二十二条规定：</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（1）具有独立承担民事责任的能力（提供法人或者其他组织的营业执照，自然人的身份证明）；</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距开标时间半年内任意一月份的财务状况报告（至少包括资产负债表和利润表）（法人或者其他组织成立未满三个月的可以不提供），或其银行出具的资信证书（复印件）（开标前半年内），或</w:t>
      </w:r>
      <w:r>
        <w:rPr>
          <w:rFonts w:hint="eastAsia" w:ascii="宋体" w:hAnsi="宋体" w:cs="宋体"/>
          <w:color w:val="auto"/>
          <w:szCs w:val="21"/>
          <w:highlight w:val="none"/>
          <w:lang w:val="en-US" w:eastAsia="zh-CN"/>
        </w:rPr>
        <w:t xml:space="preserve">2023年度或2024年度</w:t>
      </w:r>
      <w:r>
        <w:rPr>
          <w:rFonts w:hint="eastAsia" w:ascii="宋体" w:hAnsi="宋体" w:cs="宋体"/>
          <w:color w:val="auto"/>
          <w:szCs w:val="21"/>
          <w:highlight w:val="none"/>
          <w:lang w:val="zh-CN"/>
        </w:rPr>
        <w:t xml:space="preserve">经审计的财务报告复印件加盖公章；</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（3）具有履行合同所必需的设备和专业技术能力（根据项目需求提供履行合同所必需的设备和专业技术能力的证明材料）； </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w:t>
      </w:r>
      <w:r>
        <w:rPr>
          <w:rFonts w:hint="eastAsia" w:ascii="宋体" w:hAnsi="宋体" w:cs="宋体"/>
          <w:color w:val="auto"/>
          <w:szCs w:val="21"/>
          <w:highlight w:val="none"/>
          <w:lang w:val="en-US" w:eastAsia="zh-CN"/>
        </w:rPr>
        <w:t xml:space="preserve">距开标时间</w:t>
      </w:r>
      <w:r>
        <w:rPr>
          <w:rFonts w:hint="eastAsia" w:ascii="宋体" w:hAnsi="宋体" w:cs="宋体"/>
          <w:color w:val="auto"/>
          <w:szCs w:val="21"/>
          <w:highlight w:val="none"/>
          <w:lang w:val="zh-CN"/>
        </w:rPr>
        <w:t xml:space="preserve">半年内（至少一个月）依法缴纳税收和社会保障资金的相关材料）</w:t>
      </w:r>
      <w:r>
        <w:rPr>
          <w:rFonts w:hint="eastAsia" w:ascii="宋体" w:hAnsi="宋体" w:cs="宋体"/>
          <w:color w:val="auto"/>
          <w:szCs w:val="21"/>
          <w:highlight w:val="none"/>
        </w:rPr>
        <w:t xml:space="preserve">（依法免税的应提供相应文件说明）</w:t>
      </w:r>
      <w:r>
        <w:rPr>
          <w:rFonts w:hint="eastAsia" w:ascii="宋体" w:hAnsi="宋体" w:cs="宋体"/>
          <w:color w:val="auto"/>
          <w:szCs w:val="21"/>
          <w:highlight w:val="none"/>
          <w:lang w:val="zh-CN"/>
        </w:rPr>
        <w:t xml:space="preserve">；</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（5）参加政府采购活动前三年内，在经营活动中没有重大违法记录（提供参加本次政府采购活动前3年内在经营活动中没有重大违法记录的书面声明）（格式见后附件）。</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b w:val="0"/>
          <w:bCs w:val="0"/>
          <w:color w:val="auto"/>
          <w:szCs w:val="21"/>
          <w:highlight w:val="none"/>
          <w:lang w:val="zh-CN"/>
        </w:rPr>
        <w:t xml:space="preserve">2.落实政府采购政策需满足的资格要求：</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lang w:val="zh-CN"/>
        </w:rPr>
        <w:t xml:space="preserve">。</w:t>
      </w:r>
      <w:r/>
    </w:p>
    <w:p>
      <w:pPr>
        <w:ind w:firstLine="420"/>
        <w:keepLines w:val="0"/>
        <w:keepNext w:val="0"/>
        <w:pageBreakBefore w:val="0"/>
        <w:spacing w:line="40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zh-CN"/>
        </w:rPr>
        <w:t xml:space="preserve">3.本项目的特定资格要求：</w:t>
      </w:r>
      <w:r>
        <w:rPr>
          <w:rFonts w:hint="eastAsia" w:ascii="宋体" w:hAnsi="宋体" w:cs="宋体"/>
          <w:b w:val="0"/>
          <w:bCs w:val="0"/>
          <w:color w:val="auto"/>
          <w:szCs w:val="21"/>
          <w:highlight w:val="none"/>
          <w:lang w:val="en-US" w:eastAsia="zh-CN"/>
        </w:rPr>
        <w:t xml:space="preserve">无</w:t>
      </w:r>
      <w:r/>
    </w:p>
    <w:p>
      <w:pPr>
        <w:ind w:firstLine="420"/>
        <w:keepLines w:val="0"/>
        <w:keepNext w:val="0"/>
        <w:pageBreakBefore w:val="0"/>
        <w:spacing w:line="400" w:lineRule="exact"/>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4.拒绝下述供应商参加本次采购活动：</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（1）供应商单位负责人为同一人或者存在直接控股、管理关系的不同供应商，不得参加同一合同项下的政府采购活动。</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（2）凡为采购项目提供整体设计、规范编制或者项目管理、监理、检测等服务的供应商，不得再参加本项目的采购活动。</w:t>
      </w:r>
      <w:r/>
    </w:p>
    <w:p>
      <w:pPr>
        <w:ind w:firstLine="420"/>
        <w:keepLines w:val="0"/>
        <w:keepNext w:val="0"/>
        <w:pageBreakBefore w:val="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（3）供应商被“信用中国”网站（www.creditchina.gov.cn）、“中国政府采购网"(www.ccgp.gov.cn)列入失信被执行人、税收违法黑名单、政府采购严重违法失信行为记录名单。</w:t>
      </w:r>
      <w:r/>
    </w:p>
    <w:p>
      <w:pPr>
        <w:ind w:firstLine="422"/>
        <w:spacing w:line="400" w:lineRule="exact"/>
        <w:rPr>
          <w:rFonts w:hint="eastAsia" w:ascii="宋体" w:hAnsi="宋体" w:eastAsia="宋体" w:cs="宋体"/>
          <w:b/>
          <w:bCs/>
          <w:color w:val="auto"/>
          <w:sz w:val="21"/>
          <w:szCs w:val="21"/>
          <w:highlight w:val="none"/>
        </w:rPr>
      </w:pPr>
      <w:r/>
      <w:bookmarkStart w:id="13" w:name="_Toc35393792"/>
      <w:r/>
      <w:bookmarkStart w:id="14" w:name="_Toc35393623"/>
      <w:r/>
      <w:bookmarkStart w:id="15" w:name="_Toc14041"/>
      <w:r/>
      <w:bookmarkStart w:id="16" w:name="_Toc32741"/>
      <w:r>
        <w:rPr>
          <w:rFonts w:hint="eastAsia" w:ascii="宋体" w:hAnsi="宋体" w:eastAsia="宋体" w:cs="宋体"/>
          <w:b/>
          <w:bCs/>
          <w:color w:val="auto"/>
          <w:sz w:val="21"/>
          <w:szCs w:val="21"/>
          <w:highlight w:val="none"/>
        </w:rPr>
        <w:t xml:space="preserve">三、获取招标文件</w:t>
      </w:r>
      <w:bookmarkEnd w:id="13"/>
      <w:r/>
      <w:bookmarkEnd w:id="14"/>
      <w:r/>
      <w:bookmarkEnd w:id="15"/>
      <w:r/>
      <w:bookmarkEnd w:id="16"/>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lang w:eastAsia="zh-CN"/>
        </w:rPr>
        <w:t xml:space="preserve">2025年8月7日至2025年8月13日</w:t>
      </w:r>
      <w:r>
        <w:rPr>
          <w:rFonts w:hint="eastAsia" w:ascii="宋体" w:hAnsi="宋体" w:cs="宋体"/>
          <w:color w:val="auto"/>
          <w:szCs w:val="21"/>
          <w:highlight w:val="none"/>
        </w:rPr>
        <w:t xml:space="preserve">，每天上午09：00至11：00，下午14:00至17:00（北京时间，法定节假日除外）</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微信</w:t>
      </w:r>
      <w:r>
        <w:rPr>
          <w:rFonts w:hint="eastAsia" w:ascii="宋体" w:hAnsi="宋体" w:cs="宋体"/>
          <w:color w:val="auto"/>
          <w:szCs w:val="21"/>
          <w:highlight w:val="none"/>
        </w:rPr>
        <w:t xml:space="preserve">公众号</w:t>
      </w:r>
      <w:r>
        <w:rPr>
          <w:rFonts w:hint="eastAsia" w:ascii="宋体" w:hAnsi="宋体" w:cs="宋体"/>
          <w:color w:val="auto"/>
          <w:szCs w:val="21"/>
          <w:highlight w:val="none"/>
        </w:rPr>
        <w:t xml:space="preserve">苏美达</w:t>
      </w:r>
      <w:r>
        <w:rPr>
          <w:rFonts w:hint="eastAsia" w:ascii="宋体" w:hAnsi="宋体" w:cs="宋体"/>
          <w:color w:val="auto"/>
          <w:szCs w:val="21"/>
          <w:highlight w:val="none"/>
        </w:rPr>
        <w:t xml:space="preserve">达天下</w:t>
      </w:r>
      <w:r>
        <w:rPr>
          <w:rFonts w:hint="eastAsia" w:ascii="宋体" w:hAnsi="宋体" w:cs="宋体"/>
          <w:color w:val="auto"/>
          <w:szCs w:val="21"/>
          <w:highlight w:val="none"/>
        </w:rPr>
        <w:t xml:space="preserve">或</w:t>
      </w:r>
      <w:r>
        <w:rPr>
          <w:rFonts w:hint="eastAsia" w:ascii="宋体" w:hAnsi="宋体" w:cs="宋体"/>
          <w:color w:val="auto"/>
          <w:szCs w:val="21"/>
          <w:highlight w:val="none"/>
        </w:rPr>
        <w:t xml:space="preserve">苏美达</w:t>
      </w:r>
      <w:r>
        <w:rPr>
          <w:rFonts w:hint="eastAsia" w:ascii="宋体" w:hAnsi="宋体" w:cs="宋体"/>
          <w:color w:val="auto"/>
          <w:szCs w:val="21"/>
          <w:highlight w:val="none"/>
        </w:rPr>
        <w:t xml:space="preserve">国际</w:t>
      </w:r>
      <w:r>
        <w:rPr>
          <w:rFonts w:hint="eastAsia" w:ascii="宋体" w:hAnsi="宋体" w:cs="宋体"/>
          <w:color w:val="auto"/>
          <w:szCs w:val="21"/>
          <w:highlight w:val="none"/>
        </w:rPr>
        <w:t xml:space="preserve">技术</w:t>
      </w:r>
      <w:r>
        <w:rPr>
          <w:rFonts w:hint="eastAsia" w:ascii="宋体" w:hAnsi="宋体" w:cs="宋体"/>
          <w:color w:val="auto"/>
          <w:szCs w:val="21"/>
          <w:highlight w:val="none"/>
        </w:rPr>
        <w:t xml:space="preserve">贸易</w:t>
      </w:r>
      <w:r>
        <w:rPr>
          <w:rFonts w:hint="eastAsia" w:ascii="宋体" w:hAnsi="宋体" w:cs="宋体"/>
          <w:color w:val="auto"/>
          <w:szCs w:val="21"/>
          <w:highlight w:val="none"/>
        </w:rPr>
        <w:t xml:space="preserve">有限</w:t>
      </w:r>
      <w:r>
        <w:rPr>
          <w:rFonts w:hint="eastAsia" w:ascii="宋体" w:hAnsi="宋体" w:cs="宋体"/>
          <w:color w:val="auto"/>
          <w:szCs w:val="21"/>
          <w:highlight w:val="none"/>
        </w:rPr>
        <w:t xml:space="preserve">公司</w:t>
      </w:r>
      <w:r>
        <w:rPr>
          <w:rFonts w:hint="eastAsia" w:ascii="宋体" w:hAnsi="宋体" w:cs="宋体"/>
          <w:color w:val="auto"/>
          <w:szCs w:val="21"/>
          <w:highlight w:val="none"/>
        </w:rPr>
        <w:t xml:space="preserve">。</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3、方式：</w:t>
      </w:r>
      <w:r>
        <w:rPr>
          <w:rFonts w:hint="eastAsia" w:ascii="宋体" w:hAnsi="宋体" w:cs="宋体"/>
          <w:color w:val="auto"/>
          <w:szCs w:val="21"/>
          <w:highlight w:val="none"/>
        </w:rPr>
        <w:t xml:space="preserve">详见</w:t>
      </w:r>
      <w:r>
        <w:rPr>
          <w:rFonts w:hint="eastAsia" w:ascii="宋体" w:hAnsi="宋体" w:cs="宋体"/>
          <w:color w:val="auto"/>
          <w:szCs w:val="21"/>
          <w:highlight w:val="none"/>
        </w:rPr>
        <w:t xml:space="preserve">其他</w:t>
      </w:r>
      <w:r>
        <w:rPr>
          <w:rFonts w:hint="eastAsia" w:ascii="宋体" w:hAnsi="宋体" w:cs="宋体"/>
          <w:color w:val="auto"/>
          <w:szCs w:val="21"/>
          <w:highlight w:val="none"/>
        </w:rPr>
        <w:t xml:space="preserve">补充</w:t>
      </w:r>
      <w:r>
        <w:rPr>
          <w:rFonts w:hint="eastAsia" w:ascii="宋体" w:hAnsi="宋体" w:cs="宋体"/>
          <w:color w:val="auto"/>
          <w:szCs w:val="21"/>
          <w:highlight w:val="none"/>
        </w:rPr>
        <w:t xml:space="preserve">事宜</w:t>
      </w:r>
      <w:r>
        <w:rPr>
          <w:rFonts w:hint="eastAsia" w:ascii="宋体" w:hAnsi="宋体" w:cs="宋体"/>
          <w:color w:val="auto"/>
          <w:szCs w:val="21"/>
          <w:highlight w:val="none"/>
        </w:rPr>
        <w:tab/>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采购文件获取</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每套</w:t>
      </w:r>
      <w:r>
        <w:rPr>
          <w:rFonts w:hint="eastAsia" w:ascii="宋体" w:hAnsi="宋体" w:cs="宋体"/>
          <w:color w:val="auto"/>
          <w:szCs w:val="21"/>
          <w:highlight w:val="none"/>
        </w:rPr>
        <w:t xml:space="preserve">500</w:t>
      </w:r>
      <w:r>
        <w:rPr>
          <w:rFonts w:hint="eastAsia" w:ascii="宋体" w:hAnsi="宋体" w:cs="宋体"/>
          <w:color w:val="auto"/>
          <w:szCs w:val="21"/>
          <w:highlight w:val="none"/>
          <w:lang w:val="en-US" w:eastAsia="zh-CN"/>
        </w:rPr>
        <w:t xml:space="preserve">元</w:t>
      </w:r>
      <w:r/>
    </w:p>
    <w:p>
      <w:pPr>
        <w:ind w:firstLine="422"/>
        <w:spacing w:line="400" w:lineRule="exact"/>
        <w:rPr>
          <w:rFonts w:hint="eastAsia" w:ascii="宋体" w:hAnsi="宋体" w:eastAsia="宋体" w:cs="宋体"/>
          <w:b/>
          <w:bCs/>
          <w:color w:val="auto"/>
          <w:sz w:val="21"/>
          <w:szCs w:val="21"/>
          <w:highlight w:val="none"/>
        </w:rPr>
      </w:pPr>
      <w:r/>
      <w:bookmarkStart w:id="17" w:name="_Toc28359005"/>
      <w:r/>
      <w:bookmarkStart w:id="18" w:name="_Toc28359082"/>
      <w:r/>
      <w:bookmarkStart w:id="19" w:name="_Toc35393793"/>
      <w:r/>
      <w:bookmarkStart w:id="20" w:name="_Toc35393624"/>
      <w:r/>
      <w:bookmarkStart w:id="21" w:name="_Toc3919"/>
      <w:r/>
      <w:bookmarkStart w:id="22" w:name="_Toc767"/>
      <w:r>
        <w:rPr>
          <w:rFonts w:hint="eastAsia" w:ascii="宋体" w:hAnsi="宋体" w:eastAsia="宋体" w:cs="宋体"/>
          <w:b/>
          <w:bCs/>
          <w:color w:val="auto"/>
          <w:sz w:val="21"/>
          <w:szCs w:val="21"/>
          <w:highlight w:val="none"/>
        </w:rPr>
        <w:t xml:space="preserve">四、提交投标文件</w:t>
      </w:r>
      <w:bookmarkEnd w:id="17"/>
      <w:r/>
      <w:bookmarkEnd w:id="18"/>
      <w:r>
        <w:rPr>
          <w:rFonts w:hint="eastAsia" w:ascii="宋体" w:hAnsi="宋体" w:eastAsia="宋体" w:cs="宋体"/>
          <w:b/>
          <w:bCs/>
          <w:color w:val="auto"/>
          <w:sz w:val="21"/>
          <w:szCs w:val="21"/>
          <w:highlight w:val="none"/>
        </w:rPr>
        <w:t xml:space="preserve">截止时间、开标时间和地点</w:t>
      </w:r>
      <w:bookmarkEnd w:id="19"/>
      <w:r/>
      <w:bookmarkEnd w:id="20"/>
      <w:r/>
      <w:bookmarkEnd w:id="21"/>
      <w:r/>
      <w:bookmarkEnd w:id="22"/>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1、投标截止时间：</w:t>
      </w:r>
      <w:r>
        <w:rPr>
          <w:rFonts w:hint="eastAsia" w:ascii="宋体" w:hAnsi="宋体" w:cs="宋体"/>
          <w:color w:val="auto"/>
          <w:szCs w:val="21"/>
          <w:highlight w:val="none"/>
          <w:lang w:eastAsia="zh-CN"/>
        </w:rPr>
        <w:t xml:space="preserve">2025年8月28日14点00分</w:t>
      </w:r>
      <w:r>
        <w:rPr>
          <w:rFonts w:hint="eastAsia" w:ascii="宋体" w:hAnsi="宋体" w:cs="宋体"/>
          <w:color w:val="auto"/>
          <w:szCs w:val="21"/>
          <w:highlight w:val="none"/>
        </w:rPr>
        <w:t xml:space="preserve">（北京时间）</w:t>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2、开标时间：</w:t>
      </w:r>
      <w:r>
        <w:rPr>
          <w:rFonts w:hint="eastAsia" w:ascii="宋体" w:hAnsi="宋体" w:cs="宋体"/>
          <w:color w:val="auto"/>
          <w:szCs w:val="21"/>
          <w:highlight w:val="none"/>
          <w:lang w:eastAsia="zh-CN"/>
        </w:rPr>
        <w:t xml:space="preserve">2025年8月28日14点00分</w:t>
      </w:r>
      <w:r>
        <w:rPr>
          <w:rFonts w:hint="eastAsia" w:ascii="宋体" w:hAnsi="宋体" w:cs="宋体"/>
          <w:color w:val="auto"/>
          <w:szCs w:val="21"/>
          <w:highlight w:val="none"/>
        </w:rPr>
        <w:t xml:space="preserve">（北京时间）</w:t>
      </w:r>
      <w:r/>
    </w:p>
    <w:p>
      <w:pPr>
        <w:ind w:firstLine="420"/>
        <w:keepLines w:val="0"/>
        <w:keepNext w:val="0"/>
        <w:pageBreakBefore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3、地点：南京市长江路198号苏美达大厦辅楼30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会议室</w:t>
      </w:r>
      <w:r/>
    </w:p>
    <w:p>
      <w:pPr>
        <w:ind w:firstLine="422"/>
        <w:spacing w:line="400" w:lineRule="exact"/>
        <w:rPr>
          <w:rFonts w:hint="eastAsia" w:ascii="宋体" w:hAnsi="宋体" w:eastAsia="宋体" w:cs="宋体"/>
          <w:b/>
          <w:bCs/>
          <w:color w:val="auto"/>
          <w:sz w:val="21"/>
          <w:szCs w:val="21"/>
          <w:highlight w:val="none"/>
        </w:rPr>
      </w:pPr>
      <w:r/>
      <w:bookmarkStart w:id="23" w:name="_Toc35393625"/>
      <w:r/>
      <w:bookmarkStart w:id="24" w:name="_Toc35393794"/>
      <w:r/>
      <w:bookmarkStart w:id="25" w:name="_Toc28359007"/>
      <w:r/>
      <w:bookmarkStart w:id="26" w:name="_Toc28359084"/>
      <w:r/>
      <w:bookmarkStart w:id="27" w:name="_Toc29562"/>
      <w:r/>
      <w:bookmarkStart w:id="28" w:name="_Toc13939"/>
      <w:r>
        <w:rPr>
          <w:rFonts w:hint="eastAsia" w:ascii="宋体" w:hAnsi="宋体" w:eastAsia="宋体" w:cs="宋体"/>
          <w:b/>
          <w:bCs/>
          <w:color w:val="auto"/>
          <w:sz w:val="21"/>
          <w:szCs w:val="21"/>
          <w:highlight w:val="none"/>
        </w:rPr>
        <w:t xml:space="preserve">五、公告期限</w:t>
      </w:r>
      <w:bookmarkEnd w:id="23"/>
      <w:r/>
      <w:bookmarkEnd w:id="24"/>
      <w:r/>
      <w:bookmarkEnd w:id="25"/>
      <w:r/>
      <w:bookmarkEnd w:id="26"/>
      <w:r/>
      <w:bookmarkEnd w:id="27"/>
      <w:r/>
      <w:bookmarkEnd w:id="28"/>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400" w:lineRule="exact"/>
        <w:rPr>
          <w:rFonts w:hint="eastAsia" w:ascii="宋体" w:hAnsi="宋体" w:cs="宋体"/>
          <w:b/>
          <w:bCs/>
          <w:color w:val="auto"/>
          <w:highlight w:val="none"/>
        </w:rPr>
      </w:pPr>
      <w:r/>
      <w:bookmarkStart w:id="29" w:name="_Toc32050"/>
      <w:r/>
      <w:bookmarkStart w:id="30" w:name="_Toc8654"/>
      <w:r/>
      <w:bookmarkStart w:id="31" w:name="_Toc35393795"/>
      <w:r/>
      <w:bookmarkStart w:id="32" w:name="_Toc35393626"/>
      <w:r>
        <w:rPr>
          <w:rFonts w:hint="eastAsia" w:ascii="宋体" w:hAnsi="宋体" w:eastAsia="宋体" w:cs="宋体"/>
          <w:b/>
          <w:bCs/>
          <w:color w:val="auto"/>
          <w:sz w:val="21"/>
          <w:szCs w:val="21"/>
          <w:highlight w:val="none"/>
        </w:rPr>
        <w:t xml:space="preserve">六、其他补充事宜</w:t>
      </w:r>
      <w:bookmarkEnd w:id="29"/>
      <w:r/>
      <w:bookmarkEnd w:id="30"/>
      <w:r/>
      <w:bookmarkEnd w:id="31"/>
      <w:r/>
      <w:bookmarkEnd w:id="32"/>
      <w:r>
        <w:rPr>
          <w:rFonts w:hint="eastAsia" w:ascii="宋体" w:hAnsi="宋体" w:cs="宋体"/>
          <w:b/>
          <w:bCs/>
          <w:color w:val="auto"/>
          <w:sz w:val="21"/>
          <w:szCs w:val="21"/>
          <w:highlight w:val="none"/>
          <w:lang w:eastAsia="zh-CN"/>
        </w:rPr>
        <w:t xml:space="preserve">：</w:t>
      </w:r>
      <w:r>
        <w:rPr>
          <w:rFonts w:hint="eastAsia" w:ascii="宋体" w:hAnsi="宋体" w:cs="宋体"/>
          <w:b/>
          <w:bCs/>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、在线获取采购文件操作流程如下：</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（1）用微信关注我司公众号“苏美达达天下”。</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（2）进入公众号-“在线服务”-“在线购标”。</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（3）输入本项目的项目编号</w:t>
      </w:r>
      <w:r>
        <w:rPr>
          <w:rFonts w:hint="eastAsia" w:ascii="宋体" w:hAnsi="宋体" w:cs="宋体"/>
          <w:color w:val="auto"/>
          <w:szCs w:val="21"/>
          <w:highlight w:val="none"/>
          <w:lang w:eastAsia="zh-CN"/>
        </w:rPr>
        <w:t xml:space="preserve">JSZC-320000-SMDG-G2025-0111</w:t>
      </w:r>
      <w:r>
        <w:rPr>
          <w:rFonts w:hint="eastAsia" w:ascii="宋体" w:hAnsi="宋体" w:cs="宋体"/>
          <w:color w:val="auto"/>
          <w:szCs w:val="21"/>
          <w:highlight w:val="none"/>
        </w:rPr>
        <w:t xml:space="preserve">，点击查询。添加您所要获取的采购文件到购物车，输入投标单位名称、领购人信息以及发票信息，提交订单并确认微信支付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经确认信息无误后采购文件电子版将发送至领购人邮箱。</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注意事项：</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（1）确保领购人邮箱真实准确无误，电子版采购文件将发送到此邮箱。</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（2）采购文件发票仅提供增值税（电子）发票，开出后发送至领购人邮箱。</w:t>
      </w:r>
      <w:r>
        <w:rPr>
          <w:rFonts w:ascii="宋体" w:hAnsi="宋体" w:cs="宋体"/>
          <w:color w:val="auto"/>
          <w:szCs w:val="21"/>
          <w:highlight w:val="none"/>
        </w:rPr>
      </w:r>
      <w:r/>
    </w:p>
    <w:p>
      <w:pPr>
        <w:ind w:firstLine="420"/>
        <w:keepLines w:val="0"/>
        <w:keepNext w:val="0"/>
        <w:pageBreakBefore w:val="0"/>
        <w:spacing w:line="400" w:lineRule="exact"/>
      </w:pPr>
      <w:r>
        <w:rPr>
          <w:rFonts w:hint="eastAsia" w:ascii="宋体" w:hAnsi="宋体" w:cs="宋体"/>
          <w:color w:val="auto"/>
          <w:szCs w:val="21"/>
          <w:highlight w:val="none"/>
        </w:rPr>
        <w:t xml:space="preserve">（3）“苏美达达天下”付款平台填写的投标单位名称必须与开票信息一致。如不一致投标人自行承担后果。请认真填写领购人信息及发票信息。</w:t>
      </w:r>
      <w:r>
        <w:rPr>
          <w:rFonts w:ascii="宋体" w:hAnsi="宋体" w:cs="宋体"/>
          <w:color w:val="auto"/>
          <w:szCs w:val="21"/>
          <w:highlight w:val="none"/>
        </w:rPr>
      </w:r>
      <w:r/>
    </w:p>
    <w:p>
      <w:pPr>
        <w:ind w:firstLine="422"/>
        <w:spacing w:line="400" w:lineRule="exact"/>
        <w:rPr>
          <w:rFonts w:hint="eastAsia" w:ascii="宋体" w:hAnsi="宋体" w:cs="宋体"/>
          <w:b/>
          <w:bCs/>
          <w:color w:val="auto"/>
          <w:highlight w:val="none"/>
        </w:rPr>
      </w:pPr>
      <w:r>
        <w:rPr>
          <w:rFonts w:hint="eastAsia" w:ascii="宋体" w:hAnsi="宋体" w:cs="宋体"/>
          <w:color w:val="auto"/>
          <w:szCs w:val="21"/>
          <w:highlight w:val="none"/>
        </w:rPr>
        <w:t xml:space="preserve">（4）非采购代理机构或平台公司原因，采购文件发票一经开具不予退换，请谨慎填写。</w:t>
      </w:r>
      <w:r>
        <w:rPr>
          <w:rFonts w:hint="eastAsia" w:ascii="宋体" w:hAnsi="宋体" w:cs="宋体"/>
          <w:b/>
          <w:bCs/>
          <w:color w:val="auto"/>
          <w:szCs w:val="21"/>
          <w:highlight w:val="none"/>
        </w:rPr>
      </w:r>
      <w:r/>
    </w:p>
    <w:p>
      <w:pPr>
        <w:ind w:firstLine="422"/>
        <w:spacing w:line="400" w:lineRule="exact"/>
        <w:rPr>
          <w:rFonts w:ascii="宋体" w:hAnsi="宋体" w:cs="宋体"/>
          <w:b/>
          <w:bCs/>
          <w:color w:val="auto"/>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招标</w:t>
      </w:r>
      <w:r>
        <w:rPr>
          <w:rFonts w:hint="eastAsia" w:ascii="宋体" w:hAnsi="宋体" w:cs="宋体"/>
          <w:b/>
          <w:bCs/>
          <w:color w:val="auto"/>
          <w:szCs w:val="21"/>
          <w:highlight w:val="none"/>
        </w:rPr>
        <w:t xml:space="preserve">文件</w:t>
      </w:r>
      <w:r>
        <w:rPr>
          <w:rFonts w:hint="eastAsia" w:ascii="宋体" w:hAnsi="宋体" w:cs="宋体"/>
          <w:b/>
          <w:bCs/>
          <w:color w:val="auto"/>
          <w:szCs w:val="21"/>
          <w:highlight w:val="none"/>
        </w:rPr>
        <w:t xml:space="preserve">售后</w:t>
      </w:r>
      <w:r>
        <w:rPr>
          <w:rFonts w:hint="eastAsia" w:ascii="宋体" w:hAnsi="宋体" w:cs="宋体"/>
          <w:b/>
          <w:bCs/>
          <w:color w:val="auto"/>
          <w:szCs w:val="21"/>
          <w:highlight w:val="none"/>
        </w:rPr>
        <w:t xml:space="preserve">不退</w:t>
      </w:r>
      <w:r>
        <w:rPr>
          <w:rFonts w:hint="eastAsia" w:ascii="宋体" w:hAnsi="宋体" w:cs="宋体"/>
          <w:b/>
          <w:bCs/>
          <w:color w:val="auto"/>
          <w:szCs w:val="21"/>
          <w:highlight w:val="none"/>
        </w:rPr>
      </w:r>
      <w:r/>
    </w:p>
    <w:p>
      <w:pPr>
        <w:ind w:firstLine="422"/>
        <w:spacing w:line="400" w:lineRule="exact"/>
        <w:rPr>
          <w:rFonts w:hint="eastAsia" w:ascii="宋体" w:hAnsi="宋体" w:eastAsia="宋体" w:cs="宋体"/>
          <w:b/>
          <w:bCs/>
          <w:color w:val="auto"/>
          <w:sz w:val="21"/>
          <w:szCs w:val="21"/>
          <w:highlight w:val="none"/>
        </w:rPr>
      </w:pPr>
      <w:r/>
      <w:bookmarkStart w:id="33" w:name="_Toc28359085"/>
      <w:r/>
      <w:bookmarkStart w:id="34" w:name="_Toc35393796"/>
      <w:r/>
      <w:bookmarkStart w:id="35" w:name="_Toc35393627"/>
      <w:r/>
      <w:bookmarkStart w:id="36" w:name="_Toc28359008"/>
      <w:r/>
      <w:bookmarkStart w:id="37" w:name="_Toc196"/>
      <w:r/>
      <w:bookmarkStart w:id="38" w:name="_Toc23196"/>
      <w:r>
        <w:rPr>
          <w:rFonts w:hint="eastAsia" w:ascii="宋体" w:hAnsi="宋体" w:eastAsia="宋体" w:cs="宋体"/>
          <w:b/>
          <w:bCs/>
          <w:color w:val="auto"/>
          <w:sz w:val="21"/>
          <w:szCs w:val="21"/>
          <w:highlight w:val="none"/>
        </w:rPr>
        <w:t xml:space="preserve">七、对本次招标提出询问，请按以下方式联系。</w:t>
      </w:r>
      <w:bookmarkEnd w:id="33"/>
      <w:r/>
      <w:bookmarkEnd w:id="34"/>
      <w:r/>
      <w:bookmarkEnd w:id="35"/>
      <w:r/>
      <w:bookmarkEnd w:id="36"/>
      <w:r/>
      <w:bookmarkEnd w:id="37"/>
      <w:r/>
      <w:bookmarkEnd w:id="38"/>
      <w:r/>
      <w:r/>
    </w:p>
    <w:p>
      <w:pPr>
        <w:ind w:left="0" w:firstLine="420"/>
        <w:jc w:val="left"/>
        <w:keepLines w:val="0"/>
        <w:keepNext w:val="0"/>
        <w:pageBreakBefore w:val="0"/>
        <w:spacing w:line="400" w:lineRule="exact"/>
        <w:rPr>
          <w:rFonts w:ascii="宋体" w:hAnsi="宋体" w:cs="宋体"/>
          <w:color w:val="auto"/>
          <w:szCs w:val="21"/>
          <w:highlight w:val="none"/>
        </w:rPr>
      </w:pPr>
      <w:r/>
      <w:bookmarkStart w:id="39" w:name="_Toc35393637"/>
      <w:r/>
      <w:bookmarkStart w:id="40" w:name="_Toc28359019"/>
      <w:r/>
      <w:bookmarkStart w:id="41" w:name="_Toc35393806"/>
      <w:r/>
      <w:bookmarkStart w:id="42" w:name="_Toc28359096"/>
      <w:r>
        <w:rPr>
          <w:rFonts w:hint="eastAsia" w:ascii="宋体" w:hAnsi="宋体" w:cs="宋体"/>
          <w:color w:val="auto"/>
          <w:szCs w:val="21"/>
          <w:highlight w:val="none"/>
        </w:rPr>
        <w:t xml:space="preserve">1.采购人信息</w:t>
      </w:r>
      <w:bookmarkEnd w:id="39"/>
      <w:r/>
      <w:bookmarkEnd w:id="40"/>
      <w:r/>
      <w:bookmarkEnd w:id="41"/>
      <w:r/>
      <w:bookmarkEnd w:id="42"/>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名    称：江苏省医疗器械检验所</w:t>
      </w:r>
      <w:r/>
    </w:p>
    <w:p>
      <w:pPr>
        <w:ind w:left="0" w:firstLine="420"/>
        <w:jc w:val="left"/>
        <w:keepLines w:val="0"/>
        <w:keepNext w:val="0"/>
        <w:pageBreakBefore w:val="0"/>
        <w:spacing w:line="400" w:lineRule="exact"/>
        <w:rPr>
          <w:rFonts w:hint="eastAsia" w:ascii="宋体" w:hAnsi="宋体" w:eastAsia="宋体" w:cs="宋体"/>
          <w:color w:val="auto"/>
          <w:szCs w:val="21"/>
          <w:highlight w:val="none"/>
          <w:lang w:eastAsia="zh-CN"/>
        </w:rPr>
      </w:pPr>
      <w:r/>
      <w:bookmarkStart w:id="43" w:name="_Toc35393807"/>
      <w:r/>
      <w:bookmarkStart w:id="44" w:name="_Toc28359097"/>
      <w:r/>
      <w:bookmarkStart w:id="45" w:name="_Toc35393638"/>
      <w:r/>
      <w:bookmarkStart w:id="46" w:name="_Toc28359020"/>
      <w:r>
        <w:rPr>
          <w:rFonts w:hint="eastAsia" w:ascii="宋体" w:hAnsi="宋体" w:cs="宋体"/>
          <w:color w:val="auto"/>
          <w:szCs w:val="21"/>
          <w:highlight w:val="none"/>
        </w:rPr>
        <w:t xml:space="preserve">联系人：肖潇</w:t>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联系地址：南京市建邺区康文路17号</w:t>
      </w:r>
      <w:r/>
    </w:p>
    <w:p>
      <w:pPr>
        <w:ind w:left="0" w:firstLine="420"/>
        <w:jc w:val="left"/>
        <w:keepLines w:val="0"/>
        <w:keepNext w:val="0"/>
        <w:pageBreakBefore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联系电话：025-69655656</w:t>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43"/>
      <w:r/>
      <w:bookmarkEnd w:id="44"/>
      <w:r/>
      <w:bookmarkEnd w:id="45"/>
      <w:r/>
      <w:bookmarkEnd w:id="46"/>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w:t>
      </w:r>
      <w:r/>
    </w:p>
    <w:p>
      <w:pPr>
        <w:ind w:left="0" w:firstLine="420"/>
        <w:jc w:val="left"/>
        <w:keepLines w:val="0"/>
        <w:keepNext w:val="0"/>
        <w:pageBreakBefore w:val="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025-</w:t>
      </w:r>
      <w:r>
        <w:rPr>
          <w:rFonts w:hint="eastAsia" w:ascii="宋体" w:hAnsi="宋体" w:cs="宋体"/>
          <w:color w:val="auto"/>
          <w:szCs w:val="21"/>
          <w:highlight w:val="none"/>
          <w:lang w:eastAsia="zh-CN"/>
        </w:rPr>
        <w:t xml:space="preserve">84531040</w:t>
      </w:r>
      <w:r>
        <w:rPr>
          <w:rFonts w:hint="eastAsia" w:ascii="宋体" w:hAnsi="宋体" w:cs="宋体"/>
          <w:color w:val="auto"/>
          <w:szCs w:val="21"/>
          <w:highlight w:val="none"/>
          <w:lang w:eastAsia="zh-CN"/>
        </w:rPr>
      </w:r>
      <w:r/>
    </w:p>
    <w:p>
      <w:pPr>
        <w:ind w:left="0" w:firstLine="420"/>
        <w:jc w:val="left"/>
        <w:keepLines w:val="0"/>
        <w:keepNext w:val="0"/>
        <w:pageBreakBefore w:val="0"/>
        <w:spacing w:line="400" w:lineRule="exact"/>
        <w:rPr>
          <w:rFonts w:ascii="宋体" w:hAnsi="宋体" w:cs="宋体"/>
          <w:color w:val="auto"/>
          <w:szCs w:val="21"/>
          <w:highlight w:val="none"/>
        </w:rPr>
      </w:pPr>
      <w:r/>
      <w:bookmarkStart w:id="47" w:name="_Toc28359021"/>
      <w:r/>
      <w:bookmarkStart w:id="48" w:name="_Toc28359098"/>
      <w:r/>
      <w:bookmarkStart w:id="49" w:name="_Toc35393639"/>
      <w:r/>
      <w:bookmarkStart w:id="50" w:name="_Toc35393808"/>
      <w:r>
        <w:rPr>
          <w:rFonts w:hint="eastAsia" w:ascii="宋体" w:hAnsi="宋体" w:cs="宋体"/>
          <w:color w:val="auto"/>
          <w:szCs w:val="21"/>
          <w:highlight w:val="none"/>
        </w:rPr>
        <w:t xml:space="preserve">3.项目联系方式</w:t>
      </w:r>
      <w:bookmarkEnd w:id="47"/>
      <w:r/>
      <w:bookmarkEnd w:id="48"/>
      <w:r/>
      <w:bookmarkEnd w:id="49"/>
      <w:r/>
      <w:bookmarkEnd w:id="50"/>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王丹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高雅婧、</w:t>
      </w:r>
      <w:r>
        <w:rPr>
          <w:rFonts w:hint="eastAsia" w:ascii="宋体" w:hAnsi="宋体" w:cs="宋体"/>
          <w:color w:val="auto"/>
          <w:szCs w:val="21"/>
          <w:highlight w:val="none"/>
        </w:rPr>
        <w:t xml:space="preserve">杨扬</w:t>
      </w:r>
      <w:r/>
    </w:p>
    <w:p>
      <w:pPr>
        <w:ind w:left="0" w:firstLine="420"/>
        <w:jc w:val="left"/>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025-84531040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84532452、</w:t>
      </w:r>
      <w:r>
        <w:rPr>
          <w:rFonts w:hint="eastAsia" w:ascii="宋体" w:hAnsi="宋体" w:cs="宋体"/>
          <w:color w:val="auto"/>
          <w:szCs w:val="21"/>
          <w:highlight w:val="none"/>
        </w:rPr>
        <w:t xml:space="preserve">84532455</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1264"/>
        <w:rPr>
          <w:rFonts w:ascii="宋体" w:hAnsi="宋体" w:cs="宋体"/>
          <w:color w:val="auto"/>
          <w:szCs w:val="21"/>
          <w:highlight w:val="none"/>
        </w:rPr>
      </w:pPr>
      <w:r>
        <w:rPr>
          <w:rFonts w:ascii="宋体" w:hAnsi="宋体" w:cs="宋体"/>
          <w:color w:val="auto"/>
          <w:szCs w:val="21"/>
          <w:highlight w:val="none"/>
        </w:rPr>
      </w:r>
      <w:r/>
    </w:p>
    <w:p>
      <w:pPr>
        <w:jc w:val="left"/>
        <w:spacing w:line="240" w:lineRule="auto"/>
        <w:rPr>
          <w:rFonts w:hint="eastAsia" w:ascii="黑体" w:eastAsia="黑体"/>
          <w:b/>
          <w:color w:val="auto"/>
          <w:sz w:val="28"/>
          <w:szCs w:val="28"/>
          <w:highlight w:val="none"/>
        </w:rPr>
        <w:outlineLvl w:val="9"/>
      </w:pPr>
      <w:r/>
      <w:bookmarkStart w:id="51" w:name="_Toc10244"/>
      <w:r/>
      <w:bookmarkStart w:id="52" w:name="_Toc13391"/>
      <w:r/>
      <w:bookmarkStart w:id="53" w:name="_Toc21732"/>
      <w:r/>
      <w:bookmarkStart w:id="54" w:name="_Toc519"/>
      <w:r/>
      <w:bookmarkStart w:id="55" w:name="_Toc28996"/>
      <w:r>
        <w:rPr>
          <w:rFonts w:hint="eastAsia" w:ascii="黑体" w:eastAsia="黑体"/>
          <w:b/>
          <w:color w:val="auto"/>
          <w:sz w:val="28"/>
          <w:szCs w:val="28"/>
          <w:highlight w:val="none"/>
        </w:rPr>
        <w:br w:type="page" w:clear="all"/>
      </w:r>
      <w:r/>
    </w:p>
    <w:p>
      <w:pPr>
        <w:jc w:val="center"/>
        <w:spacing w:line="440" w:lineRule="exact"/>
        <w:rPr>
          <w:rFonts w:ascii="黑体" w:eastAsia="黑体"/>
          <w:b/>
          <w:color w:val="auto"/>
          <w:sz w:val="28"/>
          <w:szCs w:val="28"/>
          <w:highlight w:val="none"/>
        </w:rPr>
        <w:outlineLvl w:val="0"/>
      </w:pPr>
      <w:r>
        <w:rPr>
          <w:rFonts w:hint="eastAsia" w:ascii="黑体" w:eastAsia="黑体"/>
          <w:b/>
          <w:color w:val="auto"/>
          <w:sz w:val="28"/>
          <w:szCs w:val="28"/>
          <w:highlight w:val="none"/>
        </w:rPr>
        <w:t xml:space="preserve">第二章 投标人须知</w:t>
      </w:r>
      <w:bookmarkEnd w:id="51"/>
      <w:r/>
      <w:bookmarkEnd w:id="52"/>
      <w:r/>
      <w:bookmarkEnd w:id="53"/>
      <w:r/>
      <w:bookmarkEnd w:id="54"/>
      <w:r/>
      <w:bookmarkEnd w:id="55"/>
      <w:r/>
      <w:r/>
    </w:p>
    <w:p>
      <w:pPr>
        <w:spacing w:line="440" w:lineRule="exact"/>
        <w:shd w:val="clear" w:color="auto" w:fill="ffffff"/>
        <w:widowControl/>
        <w:rPr>
          <w:rFonts w:ascii="宋体" w:hAnsi="宋体"/>
          <w:b/>
          <w:bCs/>
          <w:color w:val="auto"/>
          <w:sz w:val="24"/>
          <w:highlight w:val="none"/>
        </w:rPr>
      </w:pPr>
      <w:r>
        <w:rPr>
          <w:rFonts w:hint="eastAsia" w:ascii="宋体" w:hAnsi="宋体"/>
          <w:b/>
          <w:bCs/>
          <w:color w:val="auto"/>
          <w:sz w:val="24"/>
          <w:highlight w:val="none"/>
        </w:rPr>
        <w:t xml:space="preserve">投标人须知前附表</w:t>
      </w:r>
      <w:r/>
    </w:p>
    <w:tbl>
      <w:tblPr>
        <w:tblStyle w:val="1225"/>
        <w:tblW w:w="97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8310"/>
      </w:tblGrid>
      <w:tr>
        <w:trPr>
          <w:trHeight w:val="240"/>
        </w:trPr>
        <w:tc>
          <w:tcPr>
            <w:tcW w:w="1437"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8310"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主要内容</w:t>
            </w:r>
            <w:r/>
          </w:p>
        </w:tc>
      </w:tr>
      <w:tr>
        <w:trPr>
          <w:trHeight w:val="240"/>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1</w:t>
            </w:r>
            <w:r/>
          </w:p>
        </w:tc>
        <w:tc>
          <w:tcPr>
            <w:tcW w:w="8310" w:type="dxa"/>
            <w:vAlign w:val="center"/>
            <w:textDirection w:val="lrTb"/>
            <w:noWrap w:val="false"/>
          </w:tcPr>
          <w:p>
            <w:pPr>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江苏省医疗器械检验所采购超声兼容试验装置等项目</w:t>
            </w:r>
            <w:r>
              <w:rPr>
                <w:rFonts w:hint="eastAsia" w:ascii="宋体" w:hAnsi="宋体"/>
                <w:color w:val="auto"/>
                <w:szCs w:val="21"/>
                <w:highlight w:val="none"/>
              </w:rPr>
              <w:t xml:space="preserve">           </w:t>
            </w:r>
            <w:r/>
          </w:p>
          <w:p>
            <w:pPr>
              <w:spacing w:line="440" w:lineRule="exact"/>
              <w:shd w:val="clear" w:color="auto" w:fill="ffffff"/>
              <w:widowControl/>
              <w:rPr>
                <w:rFonts w:ascii="宋体" w:hAnsi="宋体"/>
                <w:b/>
                <w:color w:val="auto"/>
                <w:szCs w:val="21"/>
                <w:highlight w:val="none"/>
              </w:rPr>
            </w:pP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JSZC-320000-SMDG-G2025-0111</w:t>
            </w:r>
            <w:r/>
          </w:p>
        </w:tc>
      </w:tr>
      <w:tr>
        <w:trPr>
          <w:trHeight w:val="240"/>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2</w:t>
            </w:r>
            <w:r/>
          </w:p>
        </w:tc>
        <w:tc>
          <w:tcPr>
            <w:tcW w:w="8310" w:type="dxa"/>
            <w:vAlign w:val="center"/>
            <w:textDirection w:val="lrTb"/>
            <w:noWrap w:val="false"/>
          </w:tcPr>
          <w:p>
            <w:pPr>
              <w:spacing w:line="440" w:lineRule="exact"/>
              <w:shd w:val="clear" w:color="auto" w:fill="ffffff"/>
              <w:widowControl/>
              <w:rPr>
                <w:color w:val="auto"/>
                <w:szCs w:val="21"/>
                <w:highlight w:val="none"/>
              </w:rPr>
            </w:pPr>
            <w:r>
              <w:rPr>
                <w:rFonts w:hint="eastAsia"/>
                <w:b/>
                <w:bCs/>
                <w:color w:val="auto"/>
                <w:szCs w:val="21"/>
                <w:highlight w:val="none"/>
              </w:rPr>
              <w:t xml:space="preserve">投标有效期</w:t>
            </w:r>
            <w:r>
              <w:rPr>
                <w:rFonts w:hint="eastAsia"/>
                <w:color w:val="auto"/>
                <w:szCs w:val="21"/>
                <w:highlight w:val="none"/>
              </w:rPr>
              <w:t xml:space="preserve">：开标之日起90天</w:t>
            </w:r>
            <w:r/>
          </w:p>
        </w:tc>
      </w:tr>
      <w:tr>
        <w:trPr>
          <w:trHeight w:val="699"/>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3</w:t>
            </w:r>
            <w:r/>
          </w:p>
        </w:tc>
        <w:tc>
          <w:tcPr>
            <w:tcW w:w="8310" w:type="dxa"/>
            <w:vAlign w:val="center"/>
            <w:textDirection w:val="lrTb"/>
            <w:noWrap w:val="false"/>
          </w:tcPr>
          <w:p>
            <w:pPr>
              <w:jc w:val="left"/>
              <w:spacing w:line="440" w:lineRule="exact"/>
              <w:shd w:val="clear" w:color="auto" w:fill="ffffff"/>
              <w:widowControl/>
              <w:rPr>
                <w:rFonts w:ascii="宋体" w:hAnsi="宋体"/>
                <w:b/>
                <w:color w:val="auto"/>
                <w:szCs w:val="21"/>
                <w:highlight w:val="none"/>
              </w:rPr>
            </w:pPr>
            <w:r>
              <w:rPr>
                <w:rFonts w:hint="eastAsia" w:ascii="宋体" w:hAnsi="宋体"/>
                <w:b/>
                <w:bCs/>
                <w:color w:val="auto"/>
                <w:szCs w:val="21"/>
                <w:highlight w:val="none"/>
              </w:rPr>
              <w:t xml:space="preserve">投标保证金金额：本项目无需缴纳投标保证金。</w:t>
            </w:r>
            <w:r/>
          </w:p>
        </w:tc>
      </w:tr>
      <w:tr>
        <w:trPr>
          <w:trHeight w:val="621"/>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4</w:t>
            </w:r>
            <w:r/>
          </w:p>
        </w:tc>
        <w:tc>
          <w:tcPr>
            <w:tcW w:w="8310" w:type="dxa"/>
            <w:vAlign w:val="center"/>
            <w:textDirection w:val="lrTb"/>
            <w:noWrap w:val="false"/>
          </w:tcPr>
          <w:p>
            <w:pPr>
              <w:jc w:val="left"/>
              <w:spacing w:line="440" w:lineRule="exact"/>
              <w:rPr>
                <w:rFonts w:hint="default" w:ascii="宋体" w:hAnsi="宋体" w:eastAsia="宋体"/>
                <w:b/>
                <w:bCs/>
                <w:color w:val="auto"/>
                <w:szCs w:val="21"/>
                <w:highlight w:val="none"/>
                <w:lang w:val="en-US" w:eastAsia="zh-CN"/>
              </w:rPr>
            </w:pPr>
            <w:r>
              <w:rPr>
                <w:rFonts w:hint="eastAsia" w:ascii="宋体" w:hAnsi="宋体"/>
                <w:b/>
                <w:bCs/>
                <w:color w:val="auto"/>
                <w:szCs w:val="21"/>
                <w:highlight w:val="none"/>
              </w:rPr>
              <w:t xml:space="preserve">投标文件份数：一式陆份（壹份正本、伍份副本），电子版响应文件壹份（投标文件电子版须为投标文件盖公章（红章）正本的PDF扫描件，扫描件内容应与纸质文件完全一致。U盘形式、随纸质版文件一并提交。电子文件命名要求：单位名称+项目编号+项目名称）。每份响应文件须清楚标明“正本”或“副本”字样。</w:t>
            </w:r>
            <w:r>
              <w:rPr>
                <w:rFonts w:hint="eastAsia" w:ascii="宋体" w:hAnsi="宋体"/>
                <w:b/>
                <w:bCs/>
                <w:color w:val="auto"/>
                <w:szCs w:val="21"/>
                <w:highlight w:val="none"/>
                <w:lang w:val="en-US" w:eastAsia="zh-CN"/>
              </w:rPr>
              <w:t xml:space="preserve">内容不一致以纸质正本为准。</w:t>
            </w:r>
            <w:r/>
          </w:p>
          <w:p>
            <w:pPr>
              <w:jc w:val="left"/>
              <w:spacing w:line="440" w:lineRule="exact"/>
              <w:rPr>
                <w:rFonts w:ascii="宋体"/>
                <w:b/>
                <w:bCs/>
                <w:color w:val="auto"/>
                <w:szCs w:val="21"/>
                <w:highlight w:val="none"/>
              </w:rPr>
            </w:pPr>
            <w:r>
              <w:rPr>
                <w:rFonts w:hint="eastAsia" w:ascii="宋体" w:hAnsi="宋体"/>
                <w:b/>
                <w:bCs/>
                <w:color w:val="auto"/>
                <w:szCs w:val="21"/>
                <w:highlight w:val="none"/>
              </w:rPr>
              <w:t xml:space="preserve">注：如提交的电子版和纸质版不一致导致的后果由投标人自负。</w:t>
            </w:r>
            <w:r/>
          </w:p>
        </w:tc>
      </w:tr>
      <w:tr>
        <w:trPr>
          <w:trHeight w:val="559"/>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5</w:t>
            </w:r>
            <w:r/>
          </w:p>
        </w:tc>
        <w:tc>
          <w:tcPr>
            <w:tcW w:w="8310" w:type="dxa"/>
            <w:vAlign w:val="center"/>
            <w:textDirection w:val="lrTb"/>
            <w:noWrap w:val="false"/>
          </w:tcPr>
          <w:p>
            <w:pPr>
              <w:jc w:val="left"/>
              <w:spacing w:line="440" w:lineRule="exact"/>
              <w:rPr>
                <w:rFonts w:ascii="宋体"/>
                <w:color w:val="auto"/>
                <w:szCs w:val="21"/>
                <w:highlight w:val="none"/>
              </w:rPr>
            </w:pPr>
            <w:r>
              <w:rPr>
                <w:rFonts w:hint="eastAsia" w:ascii="宋体" w:hAnsi="宋体"/>
                <w:color w:val="auto"/>
                <w:szCs w:val="21"/>
                <w:highlight w:val="none"/>
              </w:rPr>
              <w:t xml:space="preserve">递交投标文件开始时间</w:t>
            </w:r>
            <w:r>
              <w:rPr>
                <w:rFonts w:hint="eastAsia" w:ascii="宋体"/>
                <w:color w:val="auto"/>
                <w:szCs w:val="21"/>
                <w:highlight w:val="none"/>
              </w:rPr>
              <w:t xml:space="preserve">：详见招标公告</w:t>
            </w:r>
            <w:r/>
          </w:p>
          <w:p>
            <w:pPr>
              <w:jc w:val="left"/>
              <w:spacing w:line="440" w:lineRule="exact"/>
              <w:rPr>
                <w:rFonts w:ascii="宋体"/>
                <w:color w:val="auto"/>
                <w:szCs w:val="21"/>
                <w:highlight w:val="none"/>
              </w:rPr>
            </w:pPr>
            <w:r>
              <w:rPr>
                <w:rFonts w:hint="eastAsia" w:ascii="宋体"/>
                <w:color w:val="auto"/>
                <w:szCs w:val="21"/>
                <w:highlight w:val="none"/>
              </w:rPr>
              <w:t xml:space="preserve">递交投标文件截止时间：详见招标公告</w:t>
            </w:r>
            <w:r/>
          </w:p>
          <w:p>
            <w:pPr>
              <w:jc w:val="left"/>
              <w:spacing w:line="440" w:lineRule="exact"/>
              <w:rPr>
                <w:rFonts w:ascii="宋体"/>
                <w:color w:val="auto"/>
                <w:szCs w:val="21"/>
                <w:highlight w:val="none"/>
              </w:rPr>
            </w:pPr>
            <w:r>
              <w:rPr>
                <w:rFonts w:hint="eastAsia" w:ascii="宋体"/>
                <w:color w:val="auto"/>
                <w:szCs w:val="21"/>
                <w:highlight w:val="none"/>
              </w:rPr>
              <w:t xml:space="preserve">地点：详见招标公告 </w:t>
            </w:r>
            <w:r/>
          </w:p>
          <w:p>
            <w:pPr>
              <w:jc w:val="left"/>
              <w:spacing w:line="440" w:lineRule="exact"/>
              <w:rPr>
                <w:rFonts w:ascii="宋体"/>
                <w:color w:val="auto"/>
                <w:szCs w:val="21"/>
                <w:highlight w:val="none"/>
              </w:rPr>
            </w:pPr>
            <w:r>
              <w:rPr>
                <w:rFonts w:hint="eastAsia" w:ascii="宋体"/>
                <w:color w:val="auto"/>
                <w:szCs w:val="21"/>
                <w:highlight w:val="none"/>
              </w:rPr>
              <w:t xml:space="preserve">开标时间：详见招标公告</w:t>
            </w:r>
            <w:r/>
          </w:p>
          <w:p>
            <w:pPr>
              <w:jc w:val="left"/>
              <w:spacing w:line="440" w:lineRule="exact"/>
              <w:rPr>
                <w:rFonts w:ascii="宋体" w:hAnsi="宋体"/>
                <w:color w:val="auto"/>
                <w:szCs w:val="21"/>
                <w:highlight w:val="none"/>
              </w:rPr>
            </w:pPr>
            <w:r>
              <w:rPr>
                <w:rFonts w:hint="eastAsia" w:ascii="宋体" w:hAnsi="宋体"/>
                <w:color w:val="auto"/>
                <w:szCs w:val="21"/>
                <w:highlight w:val="none"/>
              </w:rPr>
              <w:t xml:space="preserve">地点：</w:t>
            </w:r>
            <w:r>
              <w:rPr>
                <w:rFonts w:hint="eastAsia" w:ascii="宋体"/>
                <w:color w:val="auto"/>
                <w:szCs w:val="21"/>
                <w:highlight w:val="none"/>
              </w:rPr>
              <w:t xml:space="preserve">详见招标公告</w:t>
            </w:r>
            <w:r/>
          </w:p>
        </w:tc>
      </w:tr>
      <w:tr>
        <w:trPr>
          <w:trHeight w:val="792"/>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6</w:t>
            </w:r>
            <w:r/>
          </w:p>
        </w:tc>
        <w:tc>
          <w:tcPr>
            <w:tcW w:w="8310" w:type="dxa"/>
            <w:vAlign w:val="center"/>
            <w:textDirection w:val="lrTb"/>
            <w:noWrap w:val="false"/>
          </w:tcPr>
          <w:p>
            <w:pPr>
              <w:jc w:val="left"/>
              <w:spacing w:line="440" w:lineRule="exact"/>
              <w:rPr>
                <w:rFonts w:hint="eastAsia" w:ascii="宋体" w:hAnsi="宋体"/>
                <w:b/>
                <w:bCs/>
                <w:color w:val="auto"/>
                <w:szCs w:val="21"/>
                <w:highlight w:val="none"/>
              </w:rPr>
            </w:pPr>
            <w:r>
              <w:rPr>
                <w:rFonts w:hint="eastAsia" w:ascii="宋体" w:hAnsi="宋体"/>
                <w:b/>
                <w:bCs/>
                <w:color w:val="auto"/>
                <w:szCs w:val="21"/>
                <w:highlight w:val="none"/>
              </w:rPr>
              <w:t xml:space="preserve">投标报价：</w:t>
            </w:r>
            <w:r/>
          </w:p>
          <w:p>
            <w:pPr>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1、报用户指定地点现场交货人民币价，包含一切费用； </w:t>
            </w:r>
            <w:r/>
          </w:p>
          <w:p>
            <w:pPr>
              <w:jc w:val="left"/>
              <w:spacing w:line="440" w:lineRule="exact"/>
              <w:rPr>
                <w:rFonts w:ascii="宋体" w:hAnsi="宋体"/>
                <w:color w:val="auto"/>
                <w:szCs w:val="21"/>
                <w:highlight w:val="none"/>
              </w:rPr>
            </w:pPr>
            <w:r>
              <w:rPr>
                <w:rFonts w:hint="eastAsia" w:ascii="宋体" w:hAnsi="宋体"/>
                <w:color w:val="auto"/>
                <w:szCs w:val="21"/>
                <w:highlight w:val="none"/>
              </w:rPr>
              <w:t xml:space="preserve">2、投标报价既要有投标总价和分项报价，也要有每种型号规格设备的单价及明细报价；</w:t>
            </w:r>
            <w:r/>
          </w:p>
        </w:tc>
      </w:tr>
      <w:tr>
        <w:trPr>
          <w:trHeight w:val="1179"/>
        </w:trPr>
        <w:tc>
          <w:tcPr>
            <w:tcW w:w="1437" w:type="dxa"/>
            <w:vAlign w:val="center"/>
            <w:textDirection w:val="lrTb"/>
            <w:noWrap w:val="false"/>
          </w:tcPr>
          <w:p>
            <w:pPr>
              <w:jc w:val="center"/>
              <w:spacing w:line="440" w:lineRule="exact"/>
              <w:rPr>
                <w:rFonts w:ascii="宋体" w:hAnsi="宋体"/>
                <w:b/>
                <w:color w:val="auto"/>
                <w:szCs w:val="21"/>
                <w:highlight w:val="none"/>
              </w:rPr>
            </w:pPr>
            <w:r>
              <w:rPr>
                <w:rFonts w:hint="eastAsia" w:ascii="宋体" w:hAnsi="宋体"/>
                <w:b/>
                <w:color w:val="auto"/>
                <w:szCs w:val="21"/>
                <w:highlight w:val="none"/>
              </w:rPr>
              <w:t xml:space="preserve">7</w:t>
            </w:r>
            <w:r/>
          </w:p>
        </w:tc>
        <w:tc>
          <w:tcPr>
            <w:tcW w:w="8310" w:type="dxa"/>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采购人：江苏省医疗器械检验所           </w:t>
            </w:r>
            <w:r/>
          </w:p>
          <w:p>
            <w:pPr>
              <w:pStyle w:val="1252"/>
              <w:spacing w:before="0" w:beforeAutospacing="0" w:after="0" w:afterAutospacing="0" w:line="44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 </w:t>
            </w:r>
            <w:r>
              <w:rPr>
                <w:rFonts w:hint="eastAsia" w:ascii="宋体" w:hAnsi="宋体" w:eastAsia="宋体"/>
                <w:color w:val="auto"/>
                <w:sz w:val="21"/>
                <w:szCs w:val="21"/>
                <w:highlight w:val="none"/>
                <w:lang w:eastAsia="zh-CN"/>
              </w:rPr>
              <w:t xml:space="preserve">肖潇</w:t>
            </w:r>
            <w:r/>
          </w:p>
          <w:p>
            <w:pPr>
              <w:pStyle w:val="1252"/>
              <w:spacing w:before="0" w:beforeAutospacing="0" w:after="0" w:afterAutospacing="0"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联系地址：南京市建邺区康文路17号</w:t>
            </w:r>
            <w:r/>
          </w:p>
          <w:p>
            <w:pPr>
              <w:pStyle w:val="1252"/>
              <w:spacing w:before="0" w:beforeAutospacing="0" w:after="0" w:afterAutospacing="0"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联系电话：025-69655656</w:t>
            </w:r>
            <w:r/>
          </w:p>
          <w:p>
            <w:pPr>
              <w:pStyle w:val="1252"/>
              <w:spacing w:before="0" w:beforeAutospacing="0" w:after="0" w:afterAutospacing="0"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招标代理机构：苏美达国际技术贸易有限公司</w:t>
            </w:r>
            <w:r/>
          </w:p>
          <w:p>
            <w:pPr>
              <w:pStyle w:val="1252"/>
              <w:spacing w:before="0" w:beforeAutospacing="0" w:after="0" w:afterAutospacing="0" w:line="44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 系 人：</w:t>
            </w:r>
            <w:r>
              <w:rPr>
                <w:rFonts w:hint="eastAsia" w:ascii="宋体" w:hAnsi="宋体" w:eastAsia="宋体"/>
                <w:color w:val="auto"/>
                <w:sz w:val="21"/>
                <w:szCs w:val="21"/>
                <w:highlight w:val="none"/>
                <w:lang w:eastAsia="zh-CN"/>
              </w:rPr>
              <w:t xml:space="preserve">王丹</w:t>
            </w:r>
            <w:r>
              <w:rPr>
                <w:rFonts w:hint="eastAsia" w:ascii="宋体" w:hAnsi="宋体" w:eastAsia="宋体"/>
                <w:color w:val="auto"/>
                <w:sz w:val="21"/>
                <w:szCs w:val="21"/>
                <w:highlight w:val="none"/>
                <w:lang w:eastAsia="zh-CN"/>
              </w:rPr>
            </w:r>
            <w:r/>
          </w:p>
          <w:p>
            <w:pPr>
              <w:pStyle w:val="1252"/>
              <w:spacing w:before="0" w:beforeAutospacing="0" w:after="0" w:afterAutospacing="0" w:line="44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eastAsia="zh-CN"/>
              </w:rPr>
              <w:t xml:space="preserve">025-84531040</w:t>
            </w:r>
            <w:r/>
          </w:p>
          <w:p>
            <w:pPr>
              <w:pStyle w:val="1252"/>
              <w:spacing w:before="0" w:beforeAutospacing="0" w:after="0" w:afterAutospacing="0" w:line="440" w:lineRule="exact"/>
              <w:rPr>
                <w:rFonts w:ascii="宋体" w:hAnsi="宋体"/>
                <w:color w:val="auto"/>
                <w:szCs w:val="21"/>
                <w:highlight w:val="none"/>
              </w:rPr>
            </w:pPr>
            <w:r>
              <w:rPr>
                <w:rFonts w:hint="eastAsia" w:ascii="宋体" w:hAnsi="宋体" w:eastAsia="宋体"/>
                <w:color w:val="auto"/>
                <w:sz w:val="21"/>
                <w:szCs w:val="21"/>
                <w:highlight w:val="none"/>
              </w:rPr>
              <w:t xml:space="preserve">联系地址：南京市长江路198号</w:t>
            </w:r>
            <w:r/>
          </w:p>
        </w:tc>
      </w:tr>
      <w:tr>
        <w:trPr>
          <w:trHeight w:val="659"/>
        </w:trPr>
        <w:tc>
          <w:tcPr>
            <w:tcW w:w="1437" w:type="dxa"/>
            <w:vAlign w:val="center"/>
            <w:textDirection w:val="lrTb"/>
            <w:noWrap w:val="false"/>
          </w:tcPr>
          <w:p>
            <w:pPr>
              <w:jc w:val="center"/>
              <w:spacing w:line="440" w:lineRule="exact"/>
              <w:shd w:val="clear" w:color="auto" w:fill="ffffff"/>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W w:w="8310" w:type="dxa"/>
            <w:vAlign w:val="center"/>
            <w:textDirection w:val="lrTb"/>
            <w:noWrap w:val="false"/>
          </w:tcPr>
          <w:p>
            <w:pPr>
              <w:spacing w:line="440" w:lineRule="exact"/>
              <w:shd w:val="clear" w:color="auto" w:fill="ffffff"/>
              <w:widowControl/>
              <w:rPr>
                <w:rFonts w:ascii="宋体" w:hAnsi="宋体"/>
                <w:b/>
                <w:bCs/>
                <w:color w:val="auto"/>
                <w:szCs w:val="21"/>
                <w:highlight w:val="none"/>
              </w:rPr>
            </w:pPr>
            <w:r>
              <w:rPr>
                <w:rFonts w:ascii="宋体" w:hAnsi="宋体"/>
                <w:b/>
                <w:bCs/>
                <w:color w:val="auto"/>
                <w:szCs w:val="21"/>
                <w:highlight w:val="none"/>
              </w:rPr>
              <w:t xml:space="preserve">投标报价中的投标价不得超过招标公告、招标文件规定的预算价，超过规定的预算价的投标文件，按无效投标处理。</w:t>
            </w:r>
            <w:r/>
          </w:p>
        </w:tc>
      </w:tr>
    </w:tbl>
    <w:p>
      <w:pPr>
        <w:ind w:firstLine="420"/>
        <w:spacing w:line="440" w:lineRule="exact"/>
        <w:shd w:val="clear" w:color="auto" w:fill="ffffff"/>
        <w:widowControl/>
        <w:rPr>
          <w:rFonts w:ascii="宋体" w:hAnsi="宋体"/>
          <w:b/>
          <w:bCs/>
          <w:color w:val="auto"/>
          <w:sz w:val="24"/>
          <w:highlight w:val="none"/>
        </w:rPr>
      </w:pPr>
      <w:r>
        <w:rPr>
          <w:rFonts w:hint="eastAsia" w:ascii="宋体" w:hAnsi="宋体"/>
          <w:b/>
          <w:bCs/>
          <w:color w:val="auto"/>
          <w:sz w:val="24"/>
          <w:highlight w:val="none"/>
        </w:rPr>
        <w:t xml:space="preserve"> </w:t>
      </w:r>
      <w:r/>
    </w:p>
    <w:p>
      <w:pPr>
        <w:ind w:firstLine="420"/>
        <w:spacing w:line="440" w:lineRule="exact"/>
        <w:shd w:val="clear" w:color="auto" w:fill="ffffff"/>
        <w:widowControl/>
        <w:rPr>
          <w:rFonts w:ascii="宋体" w:hAnsi="宋体"/>
          <w:color w:val="auto"/>
          <w:sz w:val="24"/>
          <w:highlight w:val="none"/>
        </w:rPr>
        <w:outlineLvl w:val="1"/>
      </w:pPr>
      <w:r/>
      <w:bookmarkStart w:id="56" w:name="_Toc19726"/>
      <w:r/>
      <w:bookmarkStart w:id="57" w:name="_Toc25444"/>
      <w:r/>
      <w:bookmarkStart w:id="58" w:name="_Toc24327"/>
      <w:r/>
      <w:bookmarkStart w:id="59" w:name="_Toc2287"/>
      <w:r/>
      <w:bookmarkStart w:id="60" w:name="_Toc29004"/>
      <w:r>
        <w:rPr>
          <w:rFonts w:hint="eastAsia" w:ascii="宋体" w:hAnsi="宋体"/>
          <w:b/>
          <w:bCs/>
          <w:color w:val="auto"/>
          <w:sz w:val="24"/>
          <w:highlight w:val="none"/>
        </w:rPr>
        <w:t xml:space="preserve">一、总 则</w:t>
      </w:r>
      <w:bookmarkEnd w:id="56"/>
      <w:r/>
      <w:bookmarkEnd w:id="57"/>
      <w:r/>
      <w:bookmarkEnd w:id="58"/>
      <w:r/>
      <w:bookmarkEnd w:id="59"/>
      <w:r/>
      <w:bookmarkEnd w:id="60"/>
      <w:r/>
      <w:r/>
    </w:p>
    <w:p>
      <w:pPr>
        <w:pStyle w:val="1222"/>
        <w:ind w:left="0" w:firstLine="482"/>
        <w:jc w:val="both"/>
        <w:spacing w:line="440" w:lineRule="exact"/>
        <w:rPr>
          <w:rFonts w:ascii="宋体" w:hAnsi="宋体" w:eastAsia="宋体"/>
          <w:b/>
          <w:bCs/>
          <w:color w:val="auto"/>
          <w:sz w:val="24"/>
          <w:highlight w:val="none"/>
        </w:rPr>
      </w:pPr>
      <w:r/>
      <w:bookmarkStart w:id="61" w:name="_Toc458694821"/>
      <w:r/>
      <w:bookmarkStart w:id="62" w:name="_Toc2111"/>
      <w:r/>
      <w:bookmarkStart w:id="63" w:name="_Toc513029204"/>
      <w:r/>
      <w:bookmarkStart w:id="64" w:name="_Toc16938520"/>
      <w:r/>
      <w:bookmarkStart w:id="65" w:name="_Toc29450"/>
      <w:r/>
      <w:bookmarkStart w:id="66" w:name="_Toc24947"/>
      <w:r/>
      <w:bookmarkStart w:id="67" w:name="_Toc17048"/>
      <w:r/>
      <w:bookmarkStart w:id="68" w:name="_Toc20823276"/>
      <w:r/>
      <w:bookmarkStart w:id="69" w:name="_Toc24318"/>
      <w:r>
        <w:rPr>
          <w:rFonts w:hint="eastAsia" w:ascii="宋体" w:hAnsi="宋体" w:eastAsia="宋体"/>
          <w:b/>
          <w:bCs/>
          <w:color w:val="auto"/>
          <w:sz w:val="24"/>
          <w:highlight w:val="none"/>
        </w:rPr>
        <w:t xml:space="preserve">1</w:t>
      </w:r>
      <w:bookmarkEnd w:id="61"/>
      <w:r>
        <w:rPr>
          <w:rFonts w:hint="eastAsia" w:ascii="宋体" w:hAnsi="宋体" w:eastAsia="宋体"/>
          <w:b/>
          <w:bCs/>
          <w:color w:val="auto"/>
          <w:sz w:val="24"/>
          <w:highlight w:val="none"/>
        </w:rPr>
        <w:t xml:space="preserve">.招标方式</w:t>
      </w:r>
      <w:bookmarkEnd w:id="62"/>
      <w:r/>
      <w:bookmarkEnd w:id="63"/>
      <w:r/>
      <w:bookmarkEnd w:id="64"/>
      <w:r/>
      <w:bookmarkEnd w:id="65"/>
      <w:r/>
      <w:bookmarkEnd w:id="66"/>
      <w:r/>
      <w:bookmarkEnd w:id="67"/>
      <w:r/>
      <w:bookmarkEnd w:id="68"/>
      <w:r/>
      <w:bookmarkEnd w:id="69"/>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1.1 本次招标采取公开招标方式。</w:t>
      </w:r>
      <w:r/>
    </w:p>
    <w:p>
      <w:pPr>
        <w:pStyle w:val="1222"/>
        <w:ind w:left="0" w:firstLine="482"/>
        <w:jc w:val="both"/>
        <w:spacing w:line="440" w:lineRule="exact"/>
        <w:rPr>
          <w:rFonts w:ascii="宋体" w:hAnsi="宋体" w:eastAsia="宋体"/>
          <w:b/>
          <w:bCs/>
          <w:color w:val="auto"/>
          <w:sz w:val="24"/>
          <w:highlight w:val="none"/>
        </w:rPr>
      </w:pPr>
      <w:r/>
      <w:bookmarkStart w:id="70" w:name="_Toc20823277"/>
      <w:r/>
      <w:bookmarkStart w:id="71" w:name="_Toc513029205"/>
      <w:r/>
      <w:bookmarkStart w:id="72" w:name="_Toc16938521"/>
      <w:r/>
      <w:bookmarkStart w:id="73" w:name="_Toc24067"/>
      <w:r/>
      <w:bookmarkStart w:id="74" w:name="_Toc10095"/>
      <w:r/>
      <w:bookmarkStart w:id="75" w:name="_Toc9116"/>
      <w:r/>
      <w:bookmarkStart w:id="76" w:name="_Toc26283"/>
      <w:r/>
      <w:bookmarkStart w:id="77" w:name="_Toc24401"/>
      <w:r>
        <w:rPr>
          <w:rFonts w:hint="eastAsia" w:ascii="宋体" w:hAnsi="宋体" w:eastAsia="宋体"/>
          <w:b/>
          <w:bCs/>
          <w:color w:val="auto"/>
          <w:sz w:val="24"/>
          <w:highlight w:val="none"/>
        </w:rPr>
        <w:t xml:space="preserve">2</w:t>
      </w:r>
      <w:bookmarkEnd w:id="70"/>
      <w:r/>
      <w:bookmarkEnd w:id="71"/>
      <w:r/>
      <w:bookmarkEnd w:id="72"/>
      <w:r>
        <w:rPr>
          <w:rFonts w:hint="eastAsia" w:ascii="宋体" w:hAnsi="宋体" w:eastAsia="宋体"/>
          <w:b/>
          <w:bCs/>
          <w:color w:val="auto"/>
          <w:sz w:val="24"/>
          <w:highlight w:val="none"/>
        </w:rPr>
        <w:t xml:space="preserve">.定义</w:t>
      </w:r>
      <w:bookmarkEnd w:id="73"/>
      <w:r/>
      <w:bookmarkEnd w:id="74"/>
      <w:r/>
      <w:bookmarkEnd w:id="75"/>
      <w:r/>
      <w:bookmarkEnd w:id="76"/>
      <w:r/>
      <w:bookmarkEnd w:id="77"/>
      <w:r/>
      <w:r/>
    </w:p>
    <w:p>
      <w:pPr>
        <w:ind w:firstLine="420"/>
        <w:spacing w:line="440" w:lineRule="exact"/>
        <w:rPr>
          <w:rFonts w:ascii="宋体" w:hAnsi="宋体"/>
          <w:color w:val="auto"/>
          <w:sz w:val="24"/>
          <w:szCs w:val="24"/>
          <w:highlight w:val="none"/>
        </w:rPr>
      </w:pPr>
      <w:r>
        <w:rPr>
          <w:rFonts w:hint="eastAsia" w:ascii="宋体" w:hAnsi="宋体"/>
          <w:color w:val="auto"/>
          <w:szCs w:val="21"/>
          <w:highlight w:val="none"/>
        </w:rPr>
        <w:t xml:space="preserve">2.1本文件</w:t>
      </w:r>
      <w:r>
        <w:rPr>
          <w:rFonts w:hint="eastAsia" w:ascii="宋体"/>
          <w:bCs/>
          <w:color w:val="auto"/>
          <w:highlight w:val="none"/>
        </w:rPr>
        <w:t xml:space="preserve">中招标代理机构为 </w:t>
      </w:r>
      <w:r>
        <w:rPr>
          <w:rFonts w:hint="eastAsia" w:ascii="宋体"/>
          <w:b/>
          <w:color w:val="auto"/>
          <w:highlight w:val="none"/>
          <w:u w:val="single"/>
        </w:rPr>
        <w:t xml:space="preserve">苏美达国际技术贸易有限公司</w:t>
      </w:r>
      <w:r>
        <w:rPr>
          <w:rFonts w:hint="eastAsia" w:ascii="宋体"/>
          <w:bCs/>
          <w:color w:val="auto"/>
          <w:highlight w:val="none"/>
        </w:rPr>
        <w:t xml:space="preserve">；</w:t>
      </w:r>
      <w:r>
        <w:rPr>
          <w:rFonts w:hint="eastAsia" w:ascii="宋体"/>
          <w:bCs/>
          <w:color w:val="auto"/>
          <w:highlight w:val="none"/>
          <w:lang w:eastAsia="zh-CN"/>
        </w:rPr>
        <w:t xml:space="preserve">采购人</w:t>
      </w:r>
      <w:r>
        <w:rPr>
          <w:rFonts w:hint="eastAsia" w:ascii="宋体"/>
          <w:bCs/>
          <w:color w:val="auto"/>
          <w:highlight w:val="none"/>
        </w:rPr>
        <w:t xml:space="preserve">为</w:t>
      </w:r>
      <w:r>
        <w:rPr>
          <w:rFonts w:hint="eastAsia" w:ascii="宋体"/>
          <w:b/>
          <w:color w:val="auto"/>
          <w:highlight w:val="none"/>
          <w:u w:val="single"/>
        </w:rPr>
        <w:t xml:space="preserve"> 江苏省医疗器械检验所</w:t>
      </w:r>
      <w:r>
        <w:rPr>
          <w:rFonts w:hint="eastAsia" w:ascii="宋体"/>
          <w:bCs/>
          <w:color w:val="auto"/>
          <w:highlight w:val="none"/>
        </w:rPr>
        <w:t xml:space="preserve">；投标人（亦称供应商）系指参加投标竞争并满足招标文件资格要求规定的法人、其他组织或者自然人；中标人系指最后中标的投标人。</w:t>
      </w:r>
      <w:r/>
    </w:p>
    <w:p>
      <w:pPr>
        <w:pStyle w:val="1222"/>
        <w:ind w:left="0" w:firstLine="482"/>
        <w:jc w:val="both"/>
        <w:spacing w:line="440" w:lineRule="exact"/>
        <w:rPr>
          <w:rFonts w:ascii="宋体" w:hAnsi="宋体" w:eastAsia="宋体"/>
          <w:b/>
          <w:bCs/>
          <w:color w:val="auto"/>
          <w:sz w:val="24"/>
          <w:highlight w:val="none"/>
        </w:rPr>
      </w:pPr>
      <w:r/>
      <w:bookmarkStart w:id="78" w:name="_Toc20823278"/>
      <w:r/>
      <w:bookmarkStart w:id="79" w:name="_Toc16938522"/>
      <w:r/>
      <w:bookmarkStart w:id="80" w:name="_Toc513029206"/>
      <w:r/>
      <w:bookmarkStart w:id="81" w:name="_Toc4279"/>
      <w:r/>
      <w:bookmarkStart w:id="82" w:name="_Toc29665"/>
      <w:r/>
      <w:bookmarkStart w:id="83" w:name="_Toc3442"/>
      <w:r/>
      <w:bookmarkStart w:id="84" w:name="_Toc2777"/>
      <w:r/>
      <w:bookmarkStart w:id="85" w:name="_Toc8890"/>
      <w:r>
        <w:rPr>
          <w:rFonts w:hint="eastAsia" w:ascii="宋体" w:hAnsi="宋体" w:eastAsia="宋体"/>
          <w:b/>
          <w:bCs/>
          <w:color w:val="auto"/>
          <w:sz w:val="24"/>
          <w:highlight w:val="none"/>
        </w:rPr>
        <w:t xml:space="preserve">3.</w:t>
      </w:r>
      <w:r>
        <w:rPr>
          <w:rFonts w:hint="eastAsia" w:ascii="宋体" w:hAnsi="宋体" w:eastAsia="宋体"/>
          <w:b/>
          <w:bCs/>
          <w:color w:val="auto"/>
          <w:sz w:val="24"/>
          <w:highlight w:val="none"/>
          <w:lang w:val="en-US" w:eastAsia="zh-CN"/>
        </w:rPr>
        <w:t xml:space="preserve">适用</w:t>
      </w:r>
      <w:r>
        <w:rPr>
          <w:rFonts w:hint="eastAsia" w:ascii="宋体" w:hAnsi="宋体" w:eastAsia="宋体"/>
          <w:b/>
          <w:bCs/>
          <w:color w:val="auto"/>
          <w:sz w:val="24"/>
          <w:highlight w:val="none"/>
        </w:rPr>
        <w:t xml:space="preserve">法律</w:t>
      </w:r>
      <w:bookmarkEnd w:id="78"/>
      <w:r/>
      <w:bookmarkEnd w:id="79"/>
      <w:r/>
      <w:bookmarkEnd w:id="80"/>
      <w:r/>
      <w:bookmarkEnd w:id="81"/>
      <w:r/>
      <w:bookmarkEnd w:id="82"/>
      <w:r/>
      <w:bookmarkEnd w:id="83"/>
      <w:r/>
      <w:bookmarkEnd w:id="84"/>
      <w:r/>
      <w:bookmarkEnd w:id="85"/>
      <w:r/>
      <w:r/>
    </w:p>
    <w:p>
      <w:pPr>
        <w:ind w:firstLine="420"/>
        <w:spacing w:line="440" w:lineRule="exact"/>
        <w:rPr>
          <w:rFonts w:ascii="仿宋_GB2312" w:eastAsia="仿宋_GB2312"/>
          <w:color w:val="auto"/>
          <w:sz w:val="24"/>
          <w:highlight w:val="none"/>
        </w:rPr>
      </w:pPr>
      <w:r>
        <w:rPr>
          <w:rFonts w:hint="eastAsia" w:ascii="宋体" w:hAnsi="宋体"/>
          <w:color w:val="auto"/>
          <w:szCs w:val="21"/>
          <w:highlight w:val="none"/>
        </w:rPr>
        <w:t xml:space="preserve">3.1 《中华人民共和国招标投标法》、《中华人民共和国政府采购法》、《政府采购货物和服务招标投标管理办法》等有关法律、规章和规定等。</w:t>
      </w:r>
      <w:r/>
    </w:p>
    <w:p>
      <w:pPr>
        <w:pStyle w:val="1222"/>
        <w:ind w:left="0" w:firstLine="482"/>
        <w:jc w:val="both"/>
        <w:spacing w:line="440" w:lineRule="exact"/>
        <w:rPr>
          <w:rFonts w:ascii="宋体" w:hAnsi="宋体" w:eastAsia="宋体"/>
          <w:b/>
          <w:bCs/>
          <w:color w:val="auto"/>
          <w:sz w:val="24"/>
          <w:highlight w:val="none"/>
        </w:rPr>
      </w:pPr>
      <w:r/>
      <w:bookmarkStart w:id="86" w:name="_Toc513029207"/>
      <w:r/>
      <w:bookmarkStart w:id="87" w:name="_Toc2677"/>
      <w:r/>
      <w:bookmarkStart w:id="88" w:name="_Toc16938523"/>
      <w:r/>
      <w:bookmarkStart w:id="89" w:name="_Toc12569"/>
      <w:r/>
      <w:bookmarkStart w:id="90" w:name="_Toc462564067"/>
      <w:r/>
      <w:bookmarkStart w:id="91" w:name="_Toc4759"/>
      <w:r/>
      <w:bookmarkStart w:id="92" w:name="_Toc11362"/>
      <w:r/>
      <w:bookmarkStart w:id="93" w:name="_Toc32726"/>
      <w:r/>
      <w:bookmarkStart w:id="94" w:name="_Toc20823279"/>
      <w:r>
        <w:rPr>
          <w:rFonts w:hint="eastAsia" w:ascii="宋体" w:hAnsi="宋体" w:eastAsia="宋体"/>
          <w:b/>
          <w:bCs/>
          <w:color w:val="auto"/>
          <w:sz w:val="24"/>
          <w:highlight w:val="none"/>
        </w:rPr>
        <w:t xml:space="preserve">4.投标费用</w:t>
      </w:r>
      <w:bookmarkEnd w:id="86"/>
      <w:r/>
      <w:bookmarkEnd w:id="87"/>
      <w:r/>
      <w:bookmarkEnd w:id="88"/>
      <w:r/>
      <w:bookmarkEnd w:id="89"/>
      <w:r/>
      <w:bookmarkEnd w:id="90"/>
      <w:r/>
      <w:bookmarkEnd w:id="91"/>
      <w:r/>
      <w:bookmarkEnd w:id="92"/>
      <w:r/>
      <w:bookmarkEnd w:id="93"/>
      <w:r/>
      <w:bookmarkEnd w:id="94"/>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4.1 投标人应自行承担所有与参加投标有关的费用。</w:t>
      </w:r>
      <w:r/>
    </w:p>
    <w:p>
      <w:pPr>
        <w:pStyle w:val="1222"/>
        <w:ind w:left="0" w:firstLine="482"/>
        <w:jc w:val="both"/>
        <w:spacing w:line="440" w:lineRule="exact"/>
        <w:rPr>
          <w:rFonts w:ascii="宋体" w:hAnsi="宋体" w:eastAsia="宋体"/>
          <w:b/>
          <w:bCs/>
          <w:color w:val="auto"/>
          <w:sz w:val="24"/>
          <w:highlight w:val="none"/>
        </w:rPr>
      </w:pPr>
      <w:r/>
      <w:bookmarkStart w:id="95" w:name="_Toc9507"/>
      <w:r/>
      <w:bookmarkStart w:id="96" w:name="_Toc21020"/>
      <w:r/>
      <w:bookmarkStart w:id="97" w:name="_Toc21520"/>
      <w:r/>
      <w:bookmarkStart w:id="98" w:name="_Toc31233"/>
      <w:r/>
      <w:bookmarkStart w:id="99" w:name="_Toc344"/>
      <w:r>
        <w:rPr>
          <w:rFonts w:hint="eastAsia" w:ascii="宋体" w:hAnsi="宋体" w:eastAsia="宋体"/>
          <w:b/>
          <w:bCs/>
          <w:color w:val="auto"/>
          <w:sz w:val="24"/>
          <w:highlight w:val="none"/>
        </w:rPr>
        <w:t xml:space="preserve">5.招标文件的约束力</w:t>
      </w:r>
      <w:bookmarkEnd w:id="95"/>
      <w:r/>
      <w:bookmarkEnd w:id="96"/>
      <w:r/>
      <w:bookmarkEnd w:id="97"/>
      <w:r/>
      <w:bookmarkEnd w:id="98"/>
      <w:r/>
      <w:bookmarkEnd w:id="99"/>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5.1 投标人一旦参加本项目采购活动，即被认为接受了本招标文件的规定和约束。</w:t>
      </w:r>
      <w:r/>
    </w:p>
    <w:p>
      <w:pPr>
        <w:ind w:firstLine="420"/>
        <w:spacing w:line="440" w:lineRule="exact"/>
        <w:shd w:val="clear" w:color="auto" w:fill="ffffff"/>
        <w:widowControl/>
        <w:rPr>
          <w:rFonts w:ascii="宋体" w:hAnsi="宋体"/>
          <w:b/>
          <w:bCs/>
          <w:color w:val="auto"/>
          <w:sz w:val="24"/>
          <w:highlight w:val="none"/>
        </w:rPr>
        <w:outlineLvl w:val="1"/>
      </w:pPr>
      <w:r/>
      <w:bookmarkStart w:id="100" w:name="_Toc16938525"/>
      <w:r/>
      <w:bookmarkStart w:id="101" w:name="_Toc19237"/>
      <w:r/>
      <w:bookmarkStart w:id="102" w:name="_Toc2495"/>
      <w:r/>
      <w:bookmarkStart w:id="103" w:name="_Toc120614215"/>
      <w:r/>
      <w:bookmarkStart w:id="104" w:name="_Toc15035"/>
      <w:r/>
      <w:bookmarkStart w:id="105" w:name="_Toc17677"/>
      <w:r/>
      <w:bookmarkStart w:id="106" w:name="_Toc513029209"/>
      <w:r/>
      <w:bookmarkStart w:id="107" w:name="_Toc20911"/>
      <w:r/>
      <w:bookmarkStart w:id="108" w:name="_Toc20823281"/>
      <w:r>
        <w:rPr>
          <w:rFonts w:hint="eastAsia" w:ascii="宋体" w:hAnsi="宋体"/>
          <w:b/>
          <w:bCs/>
          <w:color w:val="auto"/>
          <w:sz w:val="24"/>
          <w:highlight w:val="none"/>
        </w:rPr>
        <w:t xml:space="preserve">二、招标文件</w:t>
      </w:r>
      <w:bookmarkEnd w:id="100"/>
      <w:r/>
      <w:bookmarkEnd w:id="101"/>
      <w:r/>
      <w:bookmarkEnd w:id="102"/>
      <w:r/>
      <w:bookmarkEnd w:id="103"/>
      <w:r/>
      <w:bookmarkEnd w:id="104"/>
      <w:r/>
      <w:bookmarkEnd w:id="105"/>
      <w:r/>
      <w:bookmarkEnd w:id="106"/>
      <w:r/>
      <w:bookmarkEnd w:id="107"/>
      <w:r/>
      <w:bookmarkEnd w:id="108"/>
      <w:r/>
      <w:r/>
    </w:p>
    <w:p>
      <w:pPr>
        <w:pStyle w:val="1222"/>
        <w:ind w:left="0" w:firstLine="482"/>
        <w:jc w:val="both"/>
        <w:spacing w:line="440" w:lineRule="exact"/>
        <w:rPr>
          <w:rFonts w:ascii="宋体" w:hAnsi="宋体" w:eastAsia="宋体"/>
          <w:b/>
          <w:bCs/>
          <w:color w:val="auto"/>
          <w:sz w:val="24"/>
          <w:highlight w:val="none"/>
        </w:rPr>
      </w:pPr>
      <w:r/>
      <w:bookmarkStart w:id="109" w:name="_Toc722"/>
      <w:r/>
      <w:bookmarkStart w:id="110" w:name="_Toc16938526"/>
      <w:r/>
      <w:bookmarkStart w:id="111" w:name="_Toc26832"/>
      <w:r/>
      <w:bookmarkStart w:id="112" w:name="_Toc13281"/>
      <w:r/>
      <w:bookmarkStart w:id="113" w:name="_Toc513029210"/>
      <w:r/>
      <w:bookmarkStart w:id="114" w:name="_Toc12256"/>
      <w:r/>
      <w:bookmarkStart w:id="115" w:name="_Toc31631"/>
      <w:r/>
      <w:bookmarkStart w:id="116" w:name="_Toc20823282"/>
      <w:r>
        <w:rPr>
          <w:rFonts w:hint="eastAsia" w:ascii="宋体" w:hAnsi="宋体" w:eastAsia="宋体"/>
          <w:b/>
          <w:bCs/>
          <w:color w:val="auto"/>
          <w:sz w:val="24"/>
          <w:highlight w:val="none"/>
        </w:rPr>
        <w:t xml:space="preserve">6.招标文件构成</w:t>
      </w:r>
      <w:bookmarkEnd w:id="109"/>
      <w:r/>
      <w:bookmarkEnd w:id="110"/>
      <w:r/>
      <w:bookmarkEnd w:id="111"/>
      <w:r/>
      <w:bookmarkEnd w:id="112"/>
      <w:r/>
      <w:bookmarkEnd w:id="113"/>
      <w:r/>
      <w:bookmarkEnd w:id="114"/>
      <w:r/>
      <w:bookmarkEnd w:id="115"/>
      <w:r/>
      <w:bookmarkEnd w:id="116"/>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6.1 招标文件有以下部分组成：</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（1）招标公告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（2）投标人须知</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（3）评标标准</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（4）招标产品清单及有关说明</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（5）合同条款的主要内容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（6）投标文件格式及附件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40" w:lineRule="exact"/>
        <w:rPr>
          <w:rFonts w:ascii="宋体"/>
          <w:bCs/>
          <w:color w:val="auto"/>
          <w:highlight w:val="none"/>
        </w:rPr>
      </w:pPr>
      <w:r>
        <w:rPr>
          <w:rFonts w:hint="eastAsia" w:ascii="宋体"/>
          <w:bCs/>
          <w:color w:val="auto"/>
          <w:highlight w:val="none"/>
        </w:rPr>
        <w:t xml:space="preserve">6.3投标人被视为充分熟悉本招标项目的各种情况以及与履行合同有关的一切其他情况。</w:t>
      </w:r>
      <w:r/>
    </w:p>
    <w:p>
      <w:pPr>
        <w:ind w:firstLine="420"/>
        <w:spacing w:line="440" w:lineRule="exact"/>
        <w:rPr>
          <w:rFonts w:ascii="宋体"/>
          <w:bCs/>
          <w:color w:val="auto"/>
          <w:sz w:val="30"/>
          <w:highlight w:val="none"/>
        </w:rPr>
      </w:pPr>
      <w:r>
        <w:rPr>
          <w:rFonts w:hint="eastAsia" w:ascii="宋体"/>
          <w:bCs/>
          <w:color w:val="auto"/>
          <w:highlight w:val="none"/>
        </w:rPr>
        <w:t xml:space="preserve">6</w:t>
      </w:r>
      <w:r>
        <w:rPr>
          <w:rFonts w:ascii="宋体"/>
          <w:bCs/>
          <w:color w:val="auto"/>
          <w:highlight w:val="none"/>
        </w:rPr>
        <w:t xml:space="preserve">.</w:t>
      </w:r>
      <w:r>
        <w:rPr>
          <w:rFonts w:hint="eastAsia" w:ascii="宋体"/>
          <w:bCs/>
          <w:color w:val="auto"/>
          <w:highlight w:val="none"/>
        </w:rPr>
        <w:t xml:space="preserve">4招标文件以中文书写。</w:t>
      </w:r>
      <w:r/>
    </w:p>
    <w:p>
      <w:pPr>
        <w:pStyle w:val="1222"/>
        <w:ind w:left="0" w:firstLine="482"/>
        <w:jc w:val="both"/>
        <w:spacing w:line="440" w:lineRule="exact"/>
        <w:rPr>
          <w:rFonts w:ascii="宋体" w:hAnsi="宋体" w:eastAsia="宋体"/>
          <w:b/>
          <w:bCs/>
          <w:color w:val="auto"/>
          <w:sz w:val="24"/>
          <w:highlight w:val="none"/>
        </w:rPr>
      </w:pPr>
      <w:r/>
      <w:bookmarkStart w:id="117" w:name="_Toc12544"/>
      <w:r/>
      <w:bookmarkStart w:id="118" w:name="_Toc14415"/>
      <w:r/>
      <w:bookmarkStart w:id="119" w:name="_Toc10146"/>
      <w:r/>
      <w:bookmarkStart w:id="120" w:name="_Toc24672"/>
      <w:r/>
      <w:bookmarkStart w:id="121" w:name="_Toc11390"/>
      <w:r>
        <w:rPr>
          <w:rFonts w:hint="eastAsia" w:ascii="宋体" w:hAnsi="宋体" w:eastAsia="宋体"/>
          <w:b/>
          <w:bCs/>
          <w:color w:val="auto"/>
          <w:sz w:val="24"/>
          <w:highlight w:val="none"/>
        </w:rPr>
        <w:t xml:space="preserve">7.招标文件的澄清、补充或修改</w:t>
      </w:r>
      <w:bookmarkEnd w:id="117"/>
      <w:r/>
      <w:bookmarkEnd w:id="118"/>
      <w:r/>
      <w:bookmarkEnd w:id="119"/>
      <w:r/>
      <w:bookmarkEnd w:id="120"/>
      <w:r/>
      <w:bookmarkEnd w:id="121"/>
      <w:r/>
      <w:r/>
    </w:p>
    <w:p>
      <w:pPr>
        <w:ind w:firstLine="441"/>
        <w:spacing w:line="440" w:lineRule="exact"/>
        <w:rPr>
          <w:rFonts w:ascii="宋体"/>
          <w:bCs/>
          <w:color w:val="auto"/>
          <w:highlight w:val="none"/>
        </w:rPr>
      </w:pPr>
      <w:r>
        <w:rPr>
          <w:rFonts w:hint="eastAsia" w:ascii="宋体" w:hAnsi="宋体"/>
          <w:color w:val="auto"/>
          <w:szCs w:val="21"/>
          <w:highlight w:val="none"/>
        </w:rPr>
        <w:t xml:space="preserve">7.1 </w:t>
      </w:r>
      <w:r>
        <w:rPr>
          <w:rFonts w:hint="eastAsia" w:ascii="宋体"/>
          <w:bCs/>
          <w:color w:val="auto"/>
          <w:highlight w:val="none"/>
        </w:rPr>
        <w:t xml:space="preserve">投标人应仔细阅读和检查招标文件的全部内容。如发现缺页或附件不全，应及时向招标代理机构提出，以便补齐。投标人如须澄清招标文件的疑点，可用信函或传真等书面形式通知招标代理机构，具体通知时间须按政府采购相关规定执行，如投标人须澄清的疑点超出</w:t>
      </w:r>
      <w:r>
        <w:rPr>
          <w:rFonts w:hint="eastAsia" w:ascii="宋体"/>
          <w:bCs/>
          <w:color w:val="auto"/>
          <w:highlight w:val="none"/>
          <w:lang w:eastAsia="zh-CN"/>
        </w:rPr>
        <w:t xml:space="preserve">采购人</w:t>
      </w:r>
      <w:r>
        <w:rPr>
          <w:rFonts w:hint="eastAsia" w:ascii="宋体"/>
          <w:bCs/>
          <w:color w:val="auto"/>
          <w:highlight w:val="none"/>
        </w:rPr>
        <w:t xml:space="preserve">对招标代理机构委托授权范围的，招标代理机构应当告知投标人向</w:t>
      </w:r>
      <w:r>
        <w:rPr>
          <w:rFonts w:hint="eastAsia" w:ascii="宋体"/>
          <w:bCs/>
          <w:color w:val="auto"/>
          <w:highlight w:val="none"/>
          <w:lang w:eastAsia="zh-CN"/>
        </w:rPr>
        <w:t xml:space="preserve">采购人</w:t>
      </w:r>
      <w:r>
        <w:rPr>
          <w:rFonts w:hint="eastAsia" w:ascii="宋体"/>
          <w:bCs/>
          <w:color w:val="auto"/>
          <w:highlight w:val="none"/>
        </w:rPr>
        <w:t xml:space="preserve">提出。招标代理机构将用信函或传真等书面形式作出答复。招标代理机构认为有必要时可将答复内容（包括原提出的问题，但不包括问题的来源）分发给所有取得同一招标文件的投标人。</w:t>
      </w:r>
      <w:r/>
    </w:p>
    <w:p>
      <w:pPr>
        <w:ind w:firstLine="441"/>
        <w:spacing w:line="440" w:lineRule="exact"/>
        <w:rPr>
          <w:rFonts w:ascii="宋体"/>
          <w:bCs/>
          <w:color w:val="auto"/>
          <w:highlight w:val="none"/>
        </w:rPr>
      </w:pPr>
      <w:r>
        <w:rPr>
          <w:rFonts w:hint="eastAsia" w:ascii="宋体"/>
          <w:bCs/>
          <w:color w:val="auto"/>
          <w:highlight w:val="none"/>
        </w:rPr>
        <w:t xml:space="preserve">7.2 招标代理机构对已发出的招标文件进行必要的澄清或者修改，将在投标截止时间15日前，以书面形式通知所有报名投标人，并同时在</w:t>
      </w:r>
      <w:bookmarkStart w:id="122" w:name="OLE_LINK1"/>
      <w:r>
        <w:rPr>
          <w:rFonts w:hint="eastAsia" w:ascii="宋体"/>
          <w:bCs/>
          <w:color w:val="auto"/>
          <w:highlight w:val="none"/>
        </w:rPr>
        <w:t xml:space="preserve">原招标公告媒体</w:t>
      </w:r>
      <w:bookmarkEnd w:id="122"/>
      <w:r>
        <w:rPr>
          <w:rFonts w:hint="eastAsia" w:ascii="宋体"/>
          <w:bCs/>
          <w:color w:val="auto"/>
          <w:highlight w:val="none"/>
        </w:rPr>
        <w:t xml:space="preserve">上发布更正公告。</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7.3 招标代理机构在招标文件要求提交投标文件截止时间前，有权决定延长投标截止时间和开标时间，并在</w:t>
      </w:r>
      <w:r>
        <w:rPr>
          <w:rFonts w:hint="eastAsia" w:ascii="宋体"/>
          <w:bCs/>
          <w:color w:val="auto"/>
          <w:highlight w:val="none"/>
        </w:rPr>
        <w:t xml:space="preserve">原招标公告</w:t>
      </w:r>
      <w:r>
        <w:rPr>
          <w:rFonts w:hint="eastAsia" w:ascii="宋体" w:hAnsi="宋体"/>
          <w:color w:val="auto"/>
          <w:szCs w:val="21"/>
          <w:highlight w:val="none"/>
        </w:rPr>
        <w:t xml:space="preserve">媒体上发布变更公告。</w:t>
      </w:r>
      <w:r/>
    </w:p>
    <w:p>
      <w:pPr>
        <w:ind w:firstLine="441"/>
        <w:spacing w:line="440" w:lineRule="exact"/>
        <w:rPr>
          <w:rFonts w:ascii="宋体" w:hAnsi="宋体"/>
          <w:color w:val="auto"/>
          <w:szCs w:val="21"/>
          <w:highlight w:val="none"/>
        </w:rPr>
      </w:pPr>
      <w:r>
        <w:rPr>
          <w:rFonts w:hint="eastAsia" w:ascii="宋体" w:hAnsi="宋体"/>
          <w:color w:val="auto"/>
          <w:szCs w:val="21"/>
          <w:highlight w:val="none"/>
        </w:rPr>
        <w:t xml:space="preserve">7.4 </w:t>
      </w:r>
      <w:r>
        <w:rPr>
          <w:rFonts w:hint="eastAsia" w:ascii="宋体" w:hAnsi="宋体"/>
          <w:color w:val="auto"/>
          <w:szCs w:val="21"/>
          <w:highlight w:val="none"/>
        </w:rPr>
        <w:t xml:space="preserve">为使投标人在准备投标时，有合理的时间考虑招标文件的补充或修改，招标代理机构将视情况可能推迟投标截止时间和开标时间，并将此变更以</w:t>
      </w:r>
      <w:r>
        <w:rPr>
          <w:rFonts w:hint="eastAsia" w:ascii="宋体"/>
          <w:bCs/>
          <w:color w:val="auto"/>
          <w:highlight w:val="none"/>
        </w:rPr>
        <w:t xml:space="preserve">信函或传真等形式</w:t>
      </w:r>
      <w:r>
        <w:rPr>
          <w:rFonts w:hint="eastAsia" w:ascii="宋体" w:hAnsi="宋体"/>
          <w:color w:val="auto"/>
          <w:szCs w:val="21"/>
          <w:highlight w:val="none"/>
        </w:rPr>
        <w:t xml:space="preserve">通知所有的投标人。</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7.5 招标代理机构发出的所有补充、修改和变更文件均作为招标文件的组成部分，与招标文件具有同等法律效力。</w:t>
      </w:r>
      <w:r/>
    </w:p>
    <w:p>
      <w:pPr>
        <w:ind w:firstLine="420"/>
        <w:spacing w:line="440" w:lineRule="exact"/>
        <w:shd w:val="clear" w:color="auto" w:fill="ffffff"/>
        <w:widowControl/>
        <w:rPr>
          <w:rFonts w:ascii="宋体" w:hAnsi="宋体"/>
          <w:b/>
          <w:bCs/>
          <w:color w:val="auto"/>
          <w:sz w:val="24"/>
          <w:highlight w:val="none"/>
        </w:rPr>
        <w:outlineLvl w:val="1"/>
      </w:pPr>
      <w:r/>
      <w:bookmarkStart w:id="123" w:name="_Toc479"/>
      <w:r/>
      <w:bookmarkStart w:id="124" w:name="_Toc29128"/>
      <w:r/>
      <w:bookmarkStart w:id="125" w:name="_Toc23314"/>
      <w:r/>
      <w:bookmarkStart w:id="126" w:name="_Toc823"/>
      <w:r/>
      <w:bookmarkStart w:id="127" w:name="_Toc11850"/>
      <w:r>
        <w:rPr>
          <w:rFonts w:hint="eastAsia" w:ascii="宋体" w:hAnsi="宋体"/>
          <w:b/>
          <w:bCs/>
          <w:color w:val="auto"/>
          <w:sz w:val="24"/>
          <w:highlight w:val="none"/>
        </w:rPr>
        <w:t xml:space="preserve">三、投标文件的编制</w:t>
      </w:r>
      <w:bookmarkEnd w:id="123"/>
      <w:r/>
      <w:bookmarkEnd w:id="124"/>
      <w:r/>
      <w:bookmarkEnd w:id="125"/>
      <w:r/>
      <w:bookmarkEnd w:id="126"/>
      <w:r/>
      <w:bookmarkEnd w:id="127"/>
      <w:r/>
      <w:r/>
    </w:p>
    <w:p>
      <w:pPr>
        <w:pStyle w:val="1222"/>
        <w:ind w:left="0" w:firstLine="482"/>
        <w:jc w:val="both"/>
        <w:spacing w:line="440" w:lineRule="exact"/>
        <w:rPr>
          <w:rFonts w:ascii="宋体" w:hAnsi="宋体" w:eastAsia="宋体"/>
          <w:b/>
          <w:bCs/>
          <w:color w:val="auto"/>
          <w:sz w:val="24"/>
          <w:highlight w:val="none"/>
        </w:rPr>
      </w:pPr>
      <w:r/>
      <w:bookmarkStart w:id="128" w:name="_Toc20921"/>
      <w:r/>
      <w:bookmarkStart w:id="129" w:name="_Toc2934"/>
      <w:r/>
      <w:bookmarkStart w:id="130" w:name="_Toc13160"/>
      <w:r/>
      <w:bookmarkStart w:id="131" w:name="_Toc28127"/>
      <w:r/>
      <w:bookmarkStart w:id="132" w:name="_Toc12955"/>
      <w:r>
        <w:rPr>
          <w:rFonts w:hint="eastAsia" w:ascii="宋体" w:hAnsi="宋体" w:eastAsia="宋体"/>
          <w:b/>
          <w:bCs/>
          <w:color w:val="auto"/>
          <w:sz w:val="24"/>
          <w:highlight w:val="none"/>
        </w:rPr>
        <w:t xml:space="preserve">8.投标文件的语言</w:t>
      </w:r>
      <w:bookmarkEnd w:id="128"/>
      <w:r/>
      <w:bookmarkEnd w:id="129"/>
      <w:r/>
      <w:bookmarkEnd w:id="130"/>
      <w:r/>
      <w:bookmarkEnd w:id="131"/>
      <w:r/>
      <w:bookmarkEnd w:id="132"/>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8.1投标文件以及投标人与招标代理机构之间函、电、文件和资料往来，都应以中文书写。</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8.2投标人已印刷好的产品说明书等可以用其他语言，但其中要点应附有中文译文。</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8.3任何不符合8.1至8.2项目规定的投标文件和资料，将被拒绝接受或视为无效。</w:t>
      </w:r>
      <w:r/>
    </w:p>
    <w:p>
      <w:pPr>
        <w:pStyle w:val="1222"/>
        <w:ind w:left="0" w:firstLine="482"/>
        <w:jc w:val="both"/>
        <w:spacing w:line="440" w:lineRule="exact"/>
        <w:rPr>
          <w:rFonts w:ascii="宋体" w:hAnsi="宋体"/>
          <w:color w:val="auto"/>
          <w:sz w:val="21"/>
          <w:szCs w:val="21"/>
          <w:highlight w:val="none"/>
        </w:rPr>
      </w:pPr>
      <w:r/>
      <w:bookmarkStart w:id="133" w:name="_Toc28472"/>
      <w:r/>
      <w:bookmarkStart w:id="134" w:name="_Toc1266"/>
      <w:r/>
      <w:bookmarkStart w:id="135" w:name="_Toc556"/>
      <w:r/>
      <w:bookmarkStart w:id="136" w:name="_Toc19298"/>
      <w:r/>
      <w:bookmarkStart w:id="137" w:name="_Toc22790"/>
      <w:r>
        <w:rPr>
          <w:rFonts w:hint="eastAsia" w:ascii="宋体" w:hAnsi="宋体" w:eastAsia="宋体"/>
          <w:b/>
          <w:bCs/>
          <w:color w:val="auto"/>
          <w:sz w:val="24"/>
          <w:highlight w:val="none"/>
        </w:rPr>
        <w:t xml:space="preserve">9.投标文件的编制</w:t>
      </w:r>
      <w:bookmarkEnd w:id="133"/>
      <w:r/>
      <w:bookmarkEnd w:id="134"/>
      <w:r/>
      <w:bookmarkEnd w:id="135"/>
      <w:r/>
      <w:bookmarkEnd w:id="136"/>
      <w:r/>
      <w:bookmarkEnd w:id="137"/>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9.1投标人须按招标文件第六章“投标文件格式及附件”编制投标文件。</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9.2投标人应在投标文件中写清相应的招标文件编号、投标人全称、地址、电话、传真，并由授权代表签字或盖章。</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9.3不允许投标人就招标项目清单中单独一个分包的一部分进行投标。</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9.4投标一览表须按填表说明详细填写,价格、数量均按此表为准；如有优惠条件须在此表中详细说明。</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9.5投标产品规格及技术参数偏离表，投标人须按表填明对招标产品在规格及参数等方面的响应情况，并由授权代表逐页签字或盖章。未按上述要求制作投标文件，其投标文件将被拒绝接受。</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9.6投标人应按照招标文件所规定的内容顺序，统一编制目录，逐页编码。由于编排混乱导致投标文件被误读或查找不到，责任由投标人承担。</w:t>
      </w:r>
      <w:r/>
    </w:p>
    <w:p>
      <w:pPr>
        <w:pStyle w:val="1222"/>
        <w:ind w:left="0" w:firstLine="482"/>
        <w:jc w:val="both"/>
        <w:spacing w:line="440" w:lineRule="exact"/>
        <w:rPr>
          <w:rFonts w:ascii="宋体" w:hAnsi="宋体" w:eastAsia="宋体"/>
          <w:b/>
          <w:bCs/>
          <w:color w:val="auto"/>
          <w:sz w:val="24"/>
          <w:highlight w:val="none"/>
        </w:rPr>
      </w:pPr>
      <w:r/>
      <w:bookmarkStart w:id="138" w:name="_Toc18911"/>
      <w:r/>
      <w:bookmarkStart w:id="139" w:name="_Toc9747"/>
      <w:r/>
      <w:bookmarkStart w:id="140" w:name="_Toc30963"/>
      <w:r/>
      <w:bookmarkStart w:id="141" w:name="_Toc11903"/>
      <w:r/>
      <w:bookmarkStart w:id="142" w:name="_Toc1148"/>
      <w:r>
        <w:rPr>
          <w:rFonts w:hint="eastAsia" w:ascii="宋体" w:hAnsi="宋体" w:eastAsia="宋体"/>
          <w:b/>
          <w:bCs/>
          <w:color w:val="auto"/>
          <w:sz w:val="24"/>
          <w:highlight w:val="none"/>
        </w:rPr>
        <w:t xml:space="preserve">10.投标文件的组成</w:t>
      </w:r>
      <w:bookmarkEnd w:id="138"/>
      <w:r/>
      <w:bookmarkEnd w:id="139"/>
      <w:r/>
      <w:bookmarkEnd w:id="140"/>
      <w:r/>
      <w:bookmarkEnd w:id="141"/>
      <w:r/>
      <w:bookmarkEnd w:id="142"/>
      <w:r/>
      <w:r/>
    </w:p>
    <w:p>
      <w:pPr>
        <w:ind w:firstLine="420"/>
        <w:spacing w:line="440" w:lineRule="exact"/>
        <w:rPr>
          <w:rFonts w:ascii="宋体"/>
          <w:bCs/>
          <w:color w:val="auto"/>
          <w:highlight w:val="none"/>
        </w:rPr>
      </w:pPr>
      <w:r>
        <w:rPr>
          <w:rFonts w:hint="eastAsia" w:ascii="宋体"/>
          <w:bCs/>
          <w:color w:val="auto"/>
          <w:highlight w:val="none"/>
        </w:rPr>
        <w:t xml:space="preserve">10</w:t>
      </w:r>
      <w:r>
        <w:rPr>
          <w:rFonts w:ascii="宋体"/>
          <w:bCs/>
          <w:color w:val="auto"/>
          <w:highlight w:val="none"/>
        </w:rPr>
        <w:t xml:space="preserve">.</w:t>
      </w:r>
      <w:r>
        <w:rPr>
          <w:rFonts w:hint="eastAsia" w:ascii="宋体"/>
          <w:bCs/>
          <w:color w:val="auto"/>
          <w:highlight w:val="none"/>
        </w:rPr>
        <w:t xml:space="preserve">1投标人的投标文件应包括下列部分：</w:t>
      </w:r>
      <w:r/>
    </w:p>
    <w:p>
      <w:pPr>
        <w:spacing w:line="440" w:lineRule="exact"/>
        <w:rPr>
          <w:rFonts w:ascii="宋体"/>
          <w:bCs/>
          <w:color w:val="auto"/>
          <w:highlight w:val="none"/>
        </w:rPr>
      </w:pPr>
      <w:r>
        <w:rPr>
          <w:rFonts w:hint="eastAsia" w:ascii="宋体"/>
          <w:bCs/>
          <w:color w:val="auto"/>
          <w:highlight w:val="none"/>
        </w:rPr>
        <w:t xml:space="preserve">  </w:t>
      </w:r>
      <w:r>
        <w:rPr>
          <w:rFonts w:ascii="宋体"/>
          <w:bCs/>
          <w:color w:val="auto"/>
          <w:highlight w:val="none"/>
        </w:rPr>
        <w:t xml:space="preserve">(1)</w:t>
      </w:r>
      <w:r>
        <w:rPr>
          <w:rFonts w:hint="eastAsia" w:ascii="宋体"/>
          <w:bCs/>
          <w:color w:val="auto"/>
          <w:highlight w:val="none"/>
        </w:rPr>
        <w:t xml:space="preserve">按第11项规定，提供证明投标人是合法的，有投标资格的并在中标后有能力执行合同的证明文件。</w:t>
      </w:r>
      <w:r/>
    </w:p>
    <w:p>
      <w:pPr>
        <w:spacing w:line="440" w:lineRule="exact"/>
        <w:rPr>
          <w:rFonts w:ascii="宋体"/>
          <w:bCs/>
          <w:color w:val="auto"/>
          <w:highlight w:val="none"/>
        </w:rPr>
      </w:pPr>
      <w:r>
        <w:rPr>
          <w:rFonts w:hint="eastAsia" w:ascii="宋体"/>
          <w:bCs/>
          <w:color w:val="auto"/>
          <w:highlight w:val="none"/>
        </w:rPr>
        <w:t xml:space="preserve">  </w:t>
      </w:r>
      <w:r>
        <w:rPr>
          <w:rFonts w:ascii="宋体"/>
          <w:bCs/>
          <w:color w:val="auto"/>
          <w:highlight w:val="none"/>
        </w:rPr>
        <w:t xml:space="preserve">(2)</w:t>
      </w:r>
      <w:r>
        <w:rPr>
          <w:rFonts w:hint="eastAsia" w:ascii="宋体"/>
          <w:bCs/>
          <w:color w:val="auto"/>
          <w:highlight w:val="none"/>
        </w:rPr>
        <w:t xml:space="preserve">按第12项规定，投标人提供的产品是合格的并符合招标文件要求的证明文件。</w:t>
      </w:r>
      <w:r/>
    </w:p>
    <w:p>
      <w:pPr>
        <w:spacing w:line="440" w:lineRule="exact"/>
        <w:rPr>
          <w:rFonts w:ascii="宋体"/>
          <w:bCs/>
          <w:color w:val="auto"/>
          <w:highlight w:val="none"/>
        </w:rPr>
      </w:pPr>
      <w:r>
        <w:rPr>
          <w:rFonts w:hint="eastAsia" w:ascii="宋体"/>
          <w:bCs/>
          <w:color w:val="auto"/>
          <w:highlight w:val="none"/>
        </w:rPr>
        <w:t xml:space="preserve">  </w:t>
      </w:r>
      <w:r>
        <w:rPr>
          <w:rFonts w:ascii="宋体"/>
          <w:bCs/>
          <w:color w:val="auto"/>
          <w:highlight w:val="none"/>
        </w:rPr>
        <w:t xml:space="preserve">(3)</w:t>
      </w:r>
      <w:r>
        <w:rPr>
          <w:rFonts w:hint="eastAsia" w:ascii="宋体"/>
          <w:bCs/>
          <w:color w:val="auto"/>
          <w:highlight w:val="none"/>
        </w:rPr>
        <w:t xml:space="preserve">按第8和第13项规定，提供投标函、投标一览表、投标产品技术参数偏离表等。</w:t>
      </w:r>
      <w:r/>
    </w:p>
    <w:p>
      <w:pPr>
        <w:jc w:val="left"/>
        <w:spacing w:line="440" w:lineRule="exact"/>
        <w:rPr>
          <w:rFonts w:ascii="宋体"/>
          <w:bCs/>
          <w:color w:val="auto"/>
          <w:highlight w:val="none"/>
        </w:rPr>
      </w:pPr>
      <w:r>
        <w:rPr>
          <w:rFonts w:hint="eastAsia" w:ascii="宋体"/>
          <w:bCs/>
          <w:color w:val="auto"/>
          <w:highlight w:val="none"/>
        </w:rPr>
        <w:t xml:space="preserve">  </w:t>
      </w:r>
      <w:r>
        <w:rPr>
          <w:rFonts w:ascii="宋体"/>
          <w:bCs/>
          <w:color w:val="auto"/>
          <w:highlight w:val="none"/>
        </w:rPr>
        <w:t xml:space="preserve">(</w:t>
      </w:r>
      <w:r>
        <w:rPr>
          <w:rFonts w:hint="eastAsia" w:ascii="宋体"/>
          <w:bCs/>
          <w:color w:val="auto"/>
          <w:highlight w:val="none"/>
        </w:rPr>
        <w:t xml:space="preserve">4</w:t>
      </w:r>
      <w:r>
        <w:rPr>
          <w:rFonts w:ascii="宋体"/>
          <w:bCs/>
          <w:color w:val="auto"/>
          <w:highlight w:val="none"/>
        </w:rPr>
        <w:t xml:space="preserve">)</w:t>
      </w:r>
      <w:r>
        <w:rPr>
          <w:rFonts w:hint="eastAsia" w:ascii="宋体"/>
          <w:bCs/>
          <w:color w:val="auto"/>
          <w:highlight w:val="none"/>
        </w:rPr>
        <w:t xml:space="preserve">投标单位可自报优惠条件，供评标时参考。</w:t>
      </w:r>
      <w:r/>
    </w:p>
    <w:p>
      <w:pPr>
        <w:spacing w:line="440" w:lineRule="exact"/>
        <w:rPr>
          <w:rFonts w:ascii="宋体"/>
          <w:bCs/>
          <w:color w:val="auto"/>
          <w:highlight w:val="none"/>
        </w:rPr>
      </w:pPr>
      <w:r>
        <w:rPr>
          <w:rFonts w:hint="eastAsia" w:ascii="宋体"/>
          <w:bCs/>
          <w:color w:val="auto"/>
          <w:highlight w:val="none"/>
        </w:rPr>
        <w:t xml:space="preserve">  </w:t>
      </w:r>
      <w:r>
        <w:rPr>
          <w:rFonts w:ascii="宋体"/>
          <w:bCs/>
          <w:color w:val="auto"/>
          <w:highlight w:val="none"/>
        </w:rPr>
        <w:t xml:space="preserve">(</w:t>
      </w:r>
      <w:r>
        <w:rPr>
          <w:rFonts w:hint="eastAsia" w:ascii="宋体"/>
          <w:bCs/>
          <w:color w:val="auto"/>
          <w:highlight w:val="none"/>
        </w:rPr>
        <w:t xml:space="preserve">5</w:t>
      </w:r>
      <w:r>
        <w:rPr>
          <w:rFonts w:ascii="宋体"/>
          <w:bCs/>
          <w:color w:val="auto"/>
          <w:highlight w:val="none"/>
        </w:rPr>
        <w:t xml:space="preserve">)</w:t>
      </w:r>
      <w:r>
        <w:rPr>
          <w:rFonts w:hint="eastAsia" w:ascii="宋体"/>
          <w:bCs/>
          <w:color w:val="auto"/>
          <w:highlight w:val="none"/>
        </w:rPr>
        <w:t xml:space="preserve">其他说明</w:t>
      </w:r>
      <w:r/>
    </w:p>
    <w:p>
      <w:pPr>
        <w:pStyle w:val="1222"/>
        <w:ind w:left="0" w:firstLine="482"/>
        <w:jc w:val="both"/>
        <w:spacing w:line="440" w:lineRule="exact"/>
        <w:rPr>
          <w:rFonts w:ascii="宋体" w:hAnsi="宋体" w:eastAsia="宋体"/>
          <w:b/>
          <w:bCs/>
          <w:color w:val="auto"/>
          <w:sz w:val="24"/>
          <w:highlight w:val="none"/>
        </w:rPr>
      </w:pPr>
      <w:r/>
      <w:bookmarkStart w:id="143" w:name="_Toc18037"/>
      <w:r/>
      <w:bookmarkStart w:id="144" w:name="_Toc2491"/>
      <w:r/>
      <w:bookmarkStart w:id="145" w:name="_Toc6640"/>
      <w:r/>
      <w:bookmarkStart w:id="146" w:name="_Toc8008"/>
      <w:r/>
      <w:bookmarkStart w:id="147" w:name="_Toc31874"/>
      <w:r>
        <w:rPr>
          <w:rFonts w:hint="eastAsia" w:ascii="宋体" w:hAnsi="宋体" w:eastAsia="宋体"/>
          <w:b/>
          <w:bCs/>
          <w:color w:val="auto"/>
          <w:sz w:val="24"/>
          <w:highlight w:val="none"/>
        </w:rPr>
        <w:t xml:space="preserve">11.投标资格文件（投标资格不符合，将被拒绝接受或视为无效）</w:t>
      </w:r>
      <w:bookmarkEnd w:id="143"/>
      <w:r/>
      <w:bookmarkEnd w:id="144"/>
      <w:r/>
      <w:bookmarkEnd w:id="145"/>
      <w:r/>
      <w:bookmarkEnd w:id="146"/>
      <w:r/>
      <w:bookmarkEnd w:id="147"/>
      <w:r/>
      <w:r/>
    </w:p>
    <w:p>
      <w:pPr>
        <w:ind w:firstLine="420"/>
        <w:spacing w:line="440" w:lineRule="exact"/>
        <w:shd w:val="clear" w:color="auto" w:fill="ffffff"/>
        <w:widowControl/>
        <w:rPr>
          <w:rFonts w:ascii="宋体" w:hAnsi="宋体"/>
          <w:color w:val="auto"/>
          <w:szCs w:val="21"/>
          <w:highlight w:val="none"/>
        </w:rPr>
      </w:pPr>
      <w:r/>
      <w:bookmarkStart w:id="148" w:name="OLE_LINK4"/>
      <w:r>
        <w:rPr>
          <w:rFonts w:hint="eastAsia" w:ascii="宋体" w:hAnsi="宋体"/>
          <w:color w:val="auto"/>
          <w:szCs w:val="21"/>
          <w:highlight w:val="none"/>
        </w:rPr>
        <w:t xml:space="preserve">投标需要根据下列几项要求作资格介绍，这些文件应作为投标文件的一部分一起递交给招标代理机构。</w:t>
      </w:r>
      <w:r/>
    </w:p>
    <w:p>
      <w:pPr>
        <w:ind w:firstLine="284"/>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highlight w:val="none"/>
        </w:rPr>
        <w:t xml:space="preserve">具有独立承担民事责任的能力，提供法人或其他组织的营业执照等证明文件，复印件加盖公章</w:t>
      </w:r>
      <w:r>
        <w:rPr>
          <w:rFonts w:hint="eastAsia"/>
          <w:color w:val="auto"/>
          <w:szCs w:val="21"/>
          <w:highlight w:val="none"/>
        </w:rPr>
        <w:t xml:space="preserve">；</w:t>
      </w:r>
      <w:r/>
    </w:p>
    <w:p>
      <w:pPr>
        <w:ind w:firstLine="284"/>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2)法人代表授权书（原件）及法定代表人、授权代表身份证复印件</w:t>
      </w:r>
      <w:r>
        <w:rPr>
          <w:rFonts w:hint="eastAsia" w:ascii="Arial" w:hAnsi="Arial" w:cs="Arial"/>
          <w:color w:val="auto"/>
          <w:szCs w:val="21"/>
          <w:highlight w:val="none"/>
        </w:rPr>
        <w:t xml:space="preserve">（如果是法定代表人直接参与投标的可以不提供授权书）；</w:t>
      </w:r>
      <w:r/>
    </w:p>
    <w:p>
      <w:pPr>
        <w:ind w:firstLine="284"/>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3</w:t>
      </w:r>
      <w:r>
        <w:rPr>
          <w:rFonts w:ascii="Arial" w:hAnsi="Arial" w:cs="Arial"/>
          <w:color w:val="auto"/>
          <w:szCs w:val="21"/>
          <w:highlight w:val="none"/>
        </w:rPr>
        <w:t xml:space="preserve">)</w:t>
      </w:r>
      <w:r>
        <w:rPr>
          <w:rFonts w:hint="eastAsia" w:ascii="Arial" w:hAnsi="Arial" w:cs="Arial"/>
          <w:color w:val="auto"/>
          <w:szCs w:val="21"/>
          <w:highlight w:val="none"/>
        </w:rPr>
        <w:t xml:space="preserve">具有良好的商业信誉和健全的财务会计制度，提供</w:t>
      </w:r>
      <w:r>
        <w:rPr>
          <w:rFonts w:hint="eastAsia" w:ascii="Arial" w:hAnsi="Arial" w:cs="Arial"/>
          <w:color w:val="auto"/>
          <w:highlight w:val="none"/>
        </w:rPr>
        <w:t xml:space="preserve">距开标时间半年内任意一月份的</w:t>
      </w:r>
      <w:r>
        <w:rPr>
          <w:rFonts w:hint="eastAsia" w:ascii="Arial" w:hAnsi="Arial" w:cs="Arial"/>
          <w:color w:val="auto"/>
          <w:szCs w:val="21"/>
          <w:highlight w:val="none"/>
        </w:rPr>
        <w:t xml:space="preserve">财务状况报告（至少包括资产负债表和利润表）（法人或者其他组织成立未满三个月的可以不提供），或其银行出具的资信证书（复印件）（开标前半年内），或其</w:t>
      </w:r>
      <w:r>
        <w:rPr>
          <w:rFonts w:hint="eastAsia" w:ascii="Arial" w:hAnsi="Arial" w:cs="Arial"/>
          <w:color w:val="auto"/>
          <w:szCs w:val="21"/>
          <w:highlight w:val="none"/>
          <w:lang w:eastAsia="zh-CN"/>
        </w:rPr>
        <w:t xml:space="preserve">2023年度或2024年度</w:t>
      </w:r>
      <w:r>
        <w:rPr>
          <w:rFonts w:hint="eastAsia" w:ascii="Arial" w:hAnsi="Arial" w:cs="Arial"/>
          <w:color w:val="auto"/>
          <w:szCs w:val="21"/>
          <w:highlight w:val="none"/>
        </w:rPr>
        <w:t xml:space="preserve">经审计的财务报告复印件加盖公章；</w:t>
      </w:r>
      <w:r/>
    </w:p>
    <w:p>
      <w:pPr>
        <w:ind w:firstLine="284"/>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4</w:t>
      </w:r>
      <w:r>
        <w:rPr>
          <w:rFonts w:ascii="Arial" w:hAnsi="Arial" w:cs="Arial"/>
          <w:color w:val="auto"/>
          <w:szCs w:val="21"/>
          <w:highlight w:val="none"/>
        </w:rPr>
        <w:t xml:space="preserve">)参加政府采购活动近三年内</w:t>
      </w:r>
      <w:r>
        <w:rPr>
          <w:rFonts w:hint="eastAsia" w:ascii="Arial" w:hAnsi="Arial" w:cs="Arial"/>
          <w:color w:val="auto"/>
          <w:highlight w:val="none"/>
        </w:rPr>
        <w:t xml:space="preserve">（成立时间不足三年的、自成立时间起）</w:t>
      </w:r>
      <w:r>
        <w:rPr>
          <w:rFonts w:ascii="Arial" w:hAnsi="Arial" w:cs="Arial"/>
          <w:color w:val="auto"/>
          <w:szCs w:val="21"/>
          <w:highlight w:val="none"/>
        </w:rPr>
        <w:t xml:space="preserve">，在经营活动中没有重大违法记录（提供承诺书，格式自拟</w:t>
      </w:r>
      <w:r>
        <w:rPr>
          <w:rFonts w:hint="eastAsia" w:ascii="Arial" w:hAnsi="Arial" w:cs="Arial"/>
          <w:color w:val="auto"/>
          <w:szCs w:val="21"/>
          <w:highlight w:val="none"/>
        </w:rPr>
        <w:t xml:space="preserve">，</w:t>
      </w:r>
      <w:r>
        <w:rPr>
          <w:rFonts w:hint="eastAsia" w:ascii="Arial" w:hAnsi="Arial" w:cs="Arial"/>
          <w:color w:val="auto"/>
          <w:highlight w:val="none"/>
        </w:rPr>
        <w:t xml:space="preserve">重大违法记录是指供应商因违法经营受到刑事处罚或责令停产停业、吊销许可证或者执照、较大数额等行政处罚</w:t>
      </w:r>
      <w:r>
        <w:rPr>
          <w:rFonts w:ascii="Arial" w:hAnsi="Arial" w:cs="Arial"/>
          <w:color w:val="auto"/>
          <w:szCs w:val="21"/>
          <w:highlight w:val="none"/>
        </w:rPr>
        <w:t xml:space="preserve">）</w:t>
      </w:r>
      <w:r>
        <w:rPr>
          <w:rFonts w:hint="eastAsia" w:ascii="Arial" w:hAnsi="Arial" w:cs="Arial"/>
          <w:color w:val="auto"/>
          <w:szCs w:val="21"/>
          <w:highlight w:val="none"/>
        </w:rPr>
        <w:t xml:space="preserve">；</w:t>
      </w:r>
      <w:r/>
    </w:p>
    <w:p>
      <w:pPr>
        <w:ind w:firstLine="284"/>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color w:val="auto"/>
          <w:highlight w:val="none"/>
        </w:rPr>
        <w:t xml:space="preserve">有依法缴纳税收的良好记录</w:t>
      </w:r>
      <w:r>
        <w:rPr>
          <w:rFonts w:hint="eastAsia" w:ascii="Arial" w:hAnsi="Arial" w:cs="Arial"/>
          <w:color w:val="auto"/>
          <w:szCs w:val="21"/>
          <w:highlight w:val="none"/>
        </w:rPr>
        <w:t xml:space="preserve">，</w:t>
      </w:r>
      <w:r>
        <w:rPr>
          <w:rFonts w:hint="eastAsia" w:ascii="Arial" w:hAnsi="Arial" w:cs="Arial"/>
          <w:color w:val="auto"/>
          <w:highlight w:val="none"/>
        </w:rPr>
        <w:t xml:space="preserve">提供距开标时间半年内任意一月份的纳税凭据复印件加盖公章（依法免税的应提供相应文件说明）；</w:t>
      </w:r>
      <w:r/>
    </w:p>
    <w:p>
      <w:pPr>
        <w:ind w:firstLine="284"/>
        <w:spacing w:line="360" w:lineRule="auto"/>
        <w:shd w:val="clear" w:color="auto" w:fill="ffffff"/>
        <w:widowControl/>
        <w:rPr>
          <w:rFonts w:ascii="Arial" w:hAnsi="Arial" w:cs="Arial"/>
          <w:color w:val="auto"/>
          <w:highlight w:val="none"/>
        </w:rPr>
      </w:pPr>
      <w:r>
        <w:rPr>
          <w:rFonts w:hint="eastAsia" w:ascii="Arial" w:hAnsi="Arial" w:cs="Arial"/>
          <w:color w:val="auto"/>
          <w:szCs w:val="21"/>
          <w:highlight w:val="none"/>
          <w:lang w:val="en-US" w:eastAsia="zh-CN"/>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有依法缴纳</w:t>
      </w:r>
      <w:r>
        <w:rPr>
          <w:rFonts w:hint="eastAsia"/>
          <w:color w:val="auto"/>
          <w:highlight w:val="none"/>
        </w:rPr>
        <w:t xml:space="preserve">社会保障资金的良好记录</w:t>
      </w:r>
      <w:r>
        <w:rPr>
          <w:rFonts w:hint="eastAsia" w:ascii="Arial" w:hAnsi="Arial" w:cs="Arial"/>
          <w:color w:val="auto"/>
          <w:szCs w:val="21"/>
          <w:highlight w:val="none"/>
        </w:rPr>
        <w:t xml:space="preserve">，</w:t>
      </w:r>
      <w:r>
        <w:rPr>
          <w:rFonts w:hint="eastAsia" w:ascii="Arial" w:hAnsi="Arial" w:cs="Arial"/>
          <w:color w:val="auto"/>
          <w:highlight w:val="none"/>
        </w:rPr>
        <w:t xml:space="preserve">提供距开标时间半年内内任意一月份的依法缴纳社会保障资金的凭据复印件加盖公章</w:t>
      </w:r>
      <w:r/>
    </w:p>
    <w:p>
      <w:pPr>
        <w:ind w:firstLine="284"/>
        <w:spacing w:line="360" w:lineRule="auto"/>
        <w:shd w:val="clear" w:color="auto" w:fill="ffffff"/>
        <w:widowControl/>
        <w:rPr>
          <w:rFonts w:ascii="Arial" w:hAnsi="Arial" w:cs="Arial"/>
          <w:color w:val="auto"/>
          <w:highlight w:val="none"/>
        </w:rPr>
      </w:pPr>
      <w:r>
        <w:rPr>
          <w:rFonts w:hint="eastAsia" w:ascii="Arial" w:hAnsi="Arial" w:cs="Arial"/>
          <w:color w:val="auto"/>
          <w:highlight w:val="none"/>
          <w:lang w:val="en-US" w:eastAsia="zh-CN"/>
        </w:rPr>
        <w:t xml:space="preserve">7</w:t>
      </w:r>
      <w:r>
        <w:rPr>
          <w:rFonts w:hint="eastAsia" w:ascii="Arial" w:hAnsi="Arial" w:cs="Arial"/>
          <w:color w:val="auto"/>
          <w:highlight w:val="none"/>
        </w:rPr>
        <w:t xml:space="preserve">）本次项目不接受联合体投标。</w:t>
      </w:r>
      <w:bookmarkEnd w:id="148"/>
      <w:r/>
      <w:r/>
    </w:p>
    <w:p>
      <w:pPr>
        <w:pStyle w:val="1222"/>
        <w:ind w:left="0" w:firstLine="482"/>
        <w:jc w:val="both"/>
        <w:spacing w:line="440" w:lineRule="exact"/>
        <w:rPr>
          <w:rFonts w:ascii="宋体" w:hAnsi="宋体" w:eastAsia="宋体"/>
          <w:b/>
          <w:bCs/>
          <w:color w:val="auto"/>
          <w:sz w:val="24"/>
          <w:highlight w:val="none"/>
        </w:rPr>
      </w:pPr>
      <w:r/>
      <w:bookmarkStart w:id="149" w:name="_Toc15946"/>
      <w:r/>
      <w:bookmarkStart w:id="150" w:name="_Toc19912"/>
      <w:r/>
      <w:bookmarkStart w:id="151" w:name="_Toc17342"/>
      <w:r/>
      <w:bookmarkStart w:id="152" w:name="_Toc148"/>
      <w:r/>
      <w:bookmarkStart w:id="153" w:name="_Toc30523"/>
      <w:r>
        <w:rPr>
          <w:rFonts w:hint="eastAsia" w:ascii="宋体" w:hAnsi="宋体" w:eastAsia="宋体"/>
          <w:b/>
          <w:bCs/>
          <w:color w:val="auto"/>
          <w:sz w:val="24"/>
          <w:highlight w:val="none"/>
        </w:rPr>
        <w:t xml:space="preserve">12.产品合格文件</w:t>
      </w:r>
      <w:bookmarkEnd w:id="149"/>
      <w:r/>
      <w:bookmarkEnd w:id="150"/>
      <w:r/>
      <w:bookmarkEnd w:id="151"/>
      <w:r/>
      <w:bookmarkEnd w:id="152"/>
      <w:r/>
      <w:bookmarkEnd w:id="153"/>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12.1作为投标文件的一部分，投标人必须提供所供应的产品是合格的、并符合招标文件要求的证明文件。</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12.2证明产品和服务都符合招标文件要求的文件可以是说明书、图样和资料，并须提供：</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（1）有关制造情况和近三年供应同类或相似产品用户名单，以及设备质量保证书复印件；</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（2）产品的主要技术数据和性能的详细描述；</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（3）根据招标文件的技术要求逐条说明产品对技术要求的适合性，如有不符之处，应说明其差别之所在；</w:t>
      </w:r>
      <w:r/>
    </w:p>
    <w:p>
      <w:pPr>
        <w:pStyle w:val="1222"/>
        <w:ind w:left="0" w:firstLine="482"/>
        <w:jc w:val="both"/>
        <w:spacing w:line="440" w:lineRule="exact"/>
        <w:rPr>
          <w:rFonts w:ascii="宋体" w:hAnsi="宋体" w:eastAsia="宋体"/>
          <w:b/>
          <w:bCs/>
          <w:color w:val="auto"/>
          <w:sz w:val="24"/>
          <w:highlight w:val="none"/>
        </w:rPr>
      </w:pPr>
      <w:r/>
      <w:bookmarkStart w:id="154" w:name="_Toc74"/>
      <w:r/>
      <w:bookmarkStart w:id="155" w:name="_Toc1330"/>
      <w:r/>
      <w:bookmarkStart w:id="156" w:name="_Toc22944"/>
      <w:r/>
      <w:bookmarkStart w:id="157" w:name="_Toc22143"/>
      <w:r/>
      <w:bookmarkStart w:id="158" w:name="_Toc13534"/>
      <w:r>
        <w:rPr>
          <w:rFonts w:hint="eastAsia" w:ascii="宋体" w:hAnsi="宋体" w:eastAsia="宋体"/>
          <w:b/>
          <w:bCs/>
          <w:color w:val="auto"/>
          <w:sz w:val="24"/>
          <w:highlight w:val="none"/>
        </w:rPr>
        <w:t xml:space="preserve">13.所供产品的价格</w:t>
      </w:r>
      <w:bookmarkEnd w:id="154"/>
      <w:r/>
      <w:bookmarkEnd w:id="155"/>
      <w:r/>
      <w:bookmarkEnd w:id="156"/>
      <w:r/>
      <w:bookmarkEnd w:id="157"/>
      <w:r/>
      <w:bookmarkEnd w:id="158"/>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13.1招标代理机构对每一项产品仅接受一个价格。</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13.2投标人的投标一览表，应由授权代表签署。</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13.3投标人在填写投标一览表时，币制、金额、单位要统一；数字、文字要清晰，不应涂改。</w:t>
      </w:r>
      <w:r/>
    </w:p>
    <w:p>
      <w:pPr>
        <w:pStyle w:val="1222"/>
        <w:ind w:left="0" w:firstLine="482"/>
        <w:jc w:val="both"/>
        <w:spacing w:line="440" w:lineRule="exact"/>
        <w:rPr>
          <w:rFonts w:ascii="宋体" w:hAnsi="宋体" w:eastAsia="宋体"/>
          <w:b/>
          <w:bCs/>
          <w:color w:val="auto"/>
          <w:sz w:val="24"/>
          <w:highlight w:val="none"/>
        </w:rPr>
      </w:pPr>
      <w:r/>
      <w:bookmarkStart w:id="159" w:name="_Toc30182"/>
      <w:r/>
      <w:bookmarkStart w:id="160" w:name="_Toc22830"/>
      <w:r/>
      <w:bookmarkStart w:id="161" w:name="_Toc12309"/>
      <w:r/>
      <w:bookmarkStart w:id="162" w:name="_Toc32514"/>
      <w:r/>
      <w:bookmarkStart w:id="163" w:name="_Toc21900"/>
      <w:r>
        <w:rPr>
          <w:rFonts w:hint="eastAsia" w:ascii="宋体" w:hAnsi="宋体" w:eastAsia="宋体"/>
          <w:b/>
          <w:bCs/>
          <w:color w:val="auto"/>
          <w:sz w:val="24"/>
          <w:highlight w:val="none"/>
        </w:rPr>
        <w:t xml:space="preserve">14.报价的币制</w:t>
      </w:r>
      <w:bookmarkEnd w:id="159"/>
      <w:r/>
      <w:bookmarkEnd w:id="160"/>
      <w:r/>
      <w:bookmarkEnd w:id="161"/>
      <w:r/>
      <w:bookmarkEnd w:id="162"/>
      <w:r/>
      <w:bookmarkEnd w:id="163"/>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14.1 国内产品报用户指定地点现场交货人民币价，包含一切费用； </w:t>
      </w:r>
      <w:r/>
    </w:p>
    <w:p>
      <w:pPr>
        <w:ind w:firstLine="210"/>
        <w:spacing w:line="440" w:lineRule="exact"/>
        <w:rPr>
          <w:rFonts w:ascii="宋体" w:hAnsi="宋体"/>
          <w:color w:val="auto"/>
          <w:szCs w:val="21"/>
          <w:highlight w:val="none"/>
        </w:rPr>
      </w:pPr>
      <w:r>
        <w:rPr>
          <w:rFonts w:hint="eastAsia" w:ascii="宋体" w:hAnsi="宋体"/>
          <w:color w:val="auto"/>
          <w:szCs w:val="21"/>
          <w:highlight w:val="none"/>
        </w:rPr>
        <w:t xml:space="preserve">  14.2</w:t>
      </w:r>
      <w:r>
        <w:rPr>
          <w:rFonts w:hint="eastAsia" w:ascii="宋体"/>
          <w:bCs/>
          <w:color w:val="auto"/>
          <w:highlight w:val="none"/>
        </w:rPr>
        <w:t xml:space="preserve">进口产品投标报价应包含货款及进口环节的各种费用（包括税款）（折算汇率以投标截止时间前一个工作日10：00中国银行外汇卖出价为准），进口代理公司由采购人指定。</w:t>
      </w:r>
      <w:r/>
    </w:p>
    <w:p>
      <w:pPr>
        <w:pStyle w:val="1222"/>
        <w:ind w:left="0" w:firstLine="482"/>
        <w:jc w:val="both"/>
        <w:spacing w:line="440" w:lineRule="exact"/>
        <w:rPr>
          <w:rFonts w:ascii="宋体" w:hAnsi="宋体" w:eastAsia="宋体"/>
          <w:b/>
          <w:bCs/>
          <w:color w:val="auto"/>
          <w:sz w:val="24"/>
          <w:highlight w:val="none"/>
        </w:rPr>
      </w:pPr>
      <w:r/>
      <w:bookmarkStart w:id="164" w:name="_Toc24741"/>
      <w:r/>
      <w:bookmarkStart w:id="165" w:name="_Toc19122"/>
      <w:r/>
      <w:bookmarkStart w:id="166" w:name="_Toc8627"/>
      <w:r/>
      <w:bookmarkStart w:id="167" w:name="_Toc12595"/>
      <w:r/>
      <w:bookmarkStart w:id="168" w:name="_Toc18250"/>
      <w:r>
        <w:rPr>
          <w:rFonts w:hint="eastAsia" w:ascii="宋体" w:hAnsi="宋体" w:eastAsia="宋体"/>
          <w:b/>
          <w:bCs/>
          <w:color w:val="auto"/>
          <w:sz w:val="24"/>
          <w:highlight w:val="none"/>
        </w:rPr>
        <w:t xml:space="preserve">15.投标保证金</w:t>
      </w:r>
      <w:bookmarkEnd w:id="164"/>
      <w:r/>
      <w:bookmarkEnd w:id="165"/>
      <w:r/>
      <w:bookmarkEnd w:id="166"/>
      <w:r/>
      <w:bookmarkEnd w:id="167"/>
      <w:r/>
      <w:bookmarkEnd w:id="168"/>
      <w:r/>
      <w:r/>
    </w:p>
    <w:p>
      <w:pPr>
        <w:ind w:firstLine="420"/>
        <w:spacing w:line="440" w:lineRule="exact"/>
        <w:shd w:val="clear" w:color="auto" w:fill="ffffff"/>
        <w:widowControl/>
        <w:rPr>
          <w:rFonts w:ascii="宋体" w:hAnsi="宋体"/>
          <w:b/>
          <w:bCs/>
          <w:color w:val="auto"/>
          <w:szCs w:val="21"/>
          <w:highlight w:val="none"/>
        </w:rPr>
      </w:pPr>
      <w:r>
        <w:rPr>
          <w:rFonts w:hint="eastAsia" w:ascii="宋体" w:hAnsi="宋体"/>
          <w:b/>
          <w:bCs/>
          <w:color w:val="auto"/>
          <w:szCs w:val="21"/>
          <w:highlight w:val="none"/>
        </w:rPr>
        <w:t xml:space="preserve">本项目无需缴纳投标保证金。</w:t>
      </w:r>
      <w:r/>
    </w:p>
    <w:p>
      <w:pPr>
        <w:pStyle w:val="1222"/>
        <w:ind w:left="0" w:firstLine="482"/>
        <w:jc w:val="both"/>
        <w:spacing w:line="440" w:lineRule="exact"/>
        <w:rPr>
          <w:rFonts w:ascii="宋体" w:hAnsi="宋体" w:eastAsia="宋体"/>
          <w:b/>
          <w:bCs/>
          <w:color w:val="auto"/>
          <w:sz w:val="24"/>
          <w:highlight w:val="none"/>
        </w:rPr>
      </w:pPr>
      <w:r/>
      <w:bookmarkStart w:id="169" w:name="_Toc30833"/>
      <w:r/>
      <w:bookmarkStart w:id="170" w:name="_Toc19349"/>
      <w:r/>
      <w:bookmarkStart w:id="171" w:name="_Toc1336"/>
      <w:r/>
      <w:bookmarkStart w:id="172" w:name="_Toc31617"/>
      <w:r/>
      <w:bookmarkStart w:id="173" w:name="_Toc31206"/>
      <w:r>
        <w:rPr>
          <w:rFonts w:hint="eastAsia" w:ascii="宋体" w:hAnsi="宋体" w:eastAsia="宋体"/>
          <w:b/>
          <w:bCs/>
          <w:color w:val="auto"/>
          <w:sz w:val="24"/>
          <w:highlight w:val="none"/>
        </w:rPr>
        <w:t xml:space="preserve">16.投标文件的有效期</w:t>
      </w:r>
      <w:bookmarkEnd w:id="169"/>
      <w:r/>
      <w:bookmarkEnd w:id="170"/>
      <w:r/>
      <w:bookmarkEnd w:id="171"/>
      <w:r/>
      <w:bookmarkEnd w:id="172"/>
      <w:r/>
      <w:bookmarkEnd w:id="173"/>
      <w:r/>
      <w:r/>
    </w:p>
    <w:p>
      <w:pPr>
        <w:ind w:firstLine="420"/>
        <w:jc w:val="left"/>
        <w:spacing w:line="440" w:lineRule="exact"/>
        <w:rPr>
          <w:rFonts w:ascii="宋体"/>
          <w:bCs/>
          <w:color w:val="auto"/>
          <w:highlight w:val="none"/>
        </w:rPr>
      </w:pPr>
      <w:r>
        <w:rPr>
          <w:rFonts w:hint="eastAsia" w:ascii="宋体"/>
          <w:bCs/>
          <w:color w:val="auto"/>
          <w:highlight w:val="none"/>
        </w:rPr>
        <w:t xml:space="preserve">16.1自开标之日起90天内，投标文件应保持有效，有效期短于此规定的投标文件将视为无效。</w:t>
      </w:r>
      <w:r/>
    </w:p>
    <w:p>
      <w:pPr>
        <w:pStyle w:val="1222"/>
        <w:ind w:left="0" w:firstLine="482"/>
        <w:jc w:val="both"/>
        <w:spacing w:line="440" w:lineRule="exact"/>
        <w:rPr>
          <w:rFonts w:ascii="宋体" w:hAnsi="宋体" w:eastAsia="宋体"/>
          <w:b/>
          <w:bCs/>
          <w:color w:val="auto"/>
          <w:sz w:val="24"/>
          <w:highlight w:val="none"/>
        </w:rPr>
      </w:pPr>
      <w:r/>
      <w:bookmarkStart w:id="174" w:name="_Toc24074"/>
      <w:r/>
      <w:bookmarkStart w:id="175" w:name="_Toc21499"/>
      <w:r/>
      <w:bookmarkStart w:id="176" w:name="_Toc6811"/>
      <w:r/>
      <w:bookmarkStart w:id="177" w:name="_Toc17360"/>
      <w:r/>
      <w:bookmarkStart w:id="178" w:name="_Toc4518"/>
      <w:r>
        <w:rPr>
          <w:rFonts w:hint="eastAsia" w:ascii="宋体" w:hAnsi="宋体" w:eastAsia="宋体"/>
          <w:b/>
          <w:bCs/>
          <w:color w:val="auto"/>
          <w:sz w:val="24"/>
          <w:highlight w:val="none"/>
        </w:rPr>
        <w:t xml:space="preserve">17.投标文件的签署及其形式</w:t>
      </w:r>
      <w:bookmarkEnd w:id="174"/>
      <w:r/>
      <w:bookmarkEnd w:id="175"/>
      <w:r/>
      <w:bookmarkEnd w:id="176"/>
      <w:r/>
      <w:bookmarkEnd w:id="177"/>
      <w:r/>
      <w:bookmarkEnd w:id="178"/>
      <w:r/>
      <w:r/>
    </w:p>
    <w:p>
      <w:pPr>
        <w:ind w:firstLine="420"/>
        <w:spacing w:line="440" w:lineRule="exact"/>
        <w:rPr>
          <w:rFonts w:ascii="宋体"/>
          <w:bCs/>
          <w:color w:val="auto"/>
          <w:highlight w:val="none"/>
        </w:rPr>
      </w:pPr>
      <w:r>
        <w:rPr>
          <w:rFonts w:hint="eastAsia" w:ascii="宋体"/>
          <w:bCs/>
          <w:color w:val="auto"/>
          <w:highlight w:val="none"/>
        </w:rPr>
        <w:t xml:space="preserve">17</w:t>
      </w:r>
      <w:r>
        <w:rPr>
          <w:rFonts w:ascii="宋体"/>
          <w:bCs/>
          <w:color w:val="auto"/>
          <w:highlight w:val="none"/>
        </w:rPr>
        <w:t xml:space="preserve">.</w:t>
      </w:r>
      <w:r>
        <w:rPr>
          <w:rFonts w:hint="eastAsia" w:ascii="宋体"/>
          <w:bCs/>
          <w:color w:val="auto"/>
          <w:highlight w:val="none"/>
        </w:rPr>
        <w:t xml:space="preserve">1投标人对投标文件须准备一式6份，并分别标以“正本”1份和“副本”5份，如果它们之间有差异，则以正本为准。</w:t>
      </w:r>
      <w:r/>
    </w:p>
    <w:p>
      <w:pPr>
        <w:ind w:firstLine="420"/>
        <w:spacing w:line="440" w:lineRule="exact"/>
        <w:rPr>
          <w:rFonts w:ascii="宋体"/>
          <w:bCs/>
          <w:color w:val="auto"/>
          <w:highlight w:val="none"/>
        </w:rPr>
      </w:pPr>
      <w:r>
        <w:rPr>
          <w:rFonts w:hint="eastAsia" w:ascii="宋体"/>
          <w:bCs/>
          <w:color w:val="auto"/>
          <w:highlight w:val="none"/>
        </w:rPr>
        <w:t xml:space="preserve">17.2投标文件的正本应用打印机或不褪色墨水书写，且经授权代表签署，副本可以为正本的复印件。</w:t>
      </w:r>
      <w:r>
        <w:rPr>
          <w:rFonts w:hint="eastAsia" w:ascii="宋体" w:hAnsi="宋体"/>
          <w:color w:val="auto"/>
          <w:sz w:val="24"/>
          <w:highlight w:val="none"/>
        </w:rPr>
        <w:t xml:space="preserve"> </w:t>
      </w:r>
      <w:r/>
    </w:p>
    <w:p>
      <w:pPr>
        <w:ind w:firstLine="420"/>
        <w:spacing w:line="440" w:lineRule="exact"/>
        <w:rPr>
          <w:rFonts w:ascii="宋体"/>
          <w:bCs/>
          <w:color w:val="auto"/>
          <w:highlight w:val="none"/>
        </w:rPr>
      </w:pPr>
      <w:r>
        <w:rPr>
          <w:rFonts w:hint="eastAsia" w:ascii="宋体"/>
          <w:bCs/>
          <w:color w:val="auto"/>
          <w:highlight w:val="none"/>
        </w:rPr>
        <w:t xml:space="preserve">17.3投标文件不应有涂改、增删之处。但如有错误必须修改时，修改处必须由原授权代表签署。</w:t>
      </w:r>
      <w:r/>
    </w:p>
    <w:p>
      <w:pPr>
        <w:ind w:firstLine="420"/>
        <w:spacing w:line="440" w:lineRule="exact"/>
        <w:shd w:val="clear" w:color="auto" w:fill="ffffff"/>
        <w:widowControl/>
        <w:rPr>
          <w:rFonts w:ascii="宋体" w:hAnsi="宋体"/>
          <w:b/>
          <w:bCs/>
          <w:color w:val="auto"/>
          <w:sz w:val="24"/>
          <w:highlight w:val="none"/>
        </w:rPr>
        <w:outlineLvl w:val="1"/>
      </w:pPr>
      <w:r/>
      <w:bookmarkStart w:id="179" w:name="_Toc27455"/>
      <w:r/>
      <w:bookmarkStart w:id="180" w:name="_Toc13545"/>
      <w:r/>
      <w:bookmarkStart w:id="181" w:name="_Toc22948"/>
      <w:r/>
      <w:bookmarkStart w:id="182" w:name="_Toc12110"/>
      <w:r/>
      <w:bookmarkStart w:id="183" w:name="_Toc29429"/>
      <w:r>
        <w:rPr>
          <w:rFonts w:hint="eastAsia" w:ascii="宋体" w:hAnsi="宋体"/>
          <w:b/>
          <w:bCs/>
          <w:color w:val="auto"/>
          <w:sz w:val="24"/>
          <w:highlight w:val="none"/>
        </w:rPr>
        <w:t xml:space="preserve">四、投标文件的递交</w:t>
      </w:r>
      <w:bookmarkEnd w:id="179"/>
      <w:r/>
      <w:bookmarkEnd w:id="180"/>
      <w:r/>
      <w:bookmarkEnd w:id="181"/>
      <w:r/>
      <w:bookmarkEnd w:id="182"/>
      <w:r/>
      <w:bookmarkEnd w:id="183"/>
      <w:r/>
      <w:r/>
    </w:p>
    <w:p>
      <w:pPr>
        <w:pStyle w:val="1222"/>
        <w:ind w:left="0" w:firstLine="482"/>
        <w:jc w:val="both"/>
        <w:spacing w:line="440" w:lineRule="exact"/>
        <w:rPr>
          <w:rFonts w:ascii="宋体" w:hAnsi="宋体" w:eastAsia="宋体"/>
          <w:b/>
          <w:bCs/>
          <w:color w:val="auto"/>
          <w:sz w:val="24"/>
          <w:highlight w:val="none"/>
        </w:rPr>
      </w:pPr>
      <w:r/>
      <w:bookmarkStart w:id="184" w:name="_Toc1942"/>
      <w:r/>
      <w:bookmarkStart w:id="185" w:name="_Toc13810"/>
      <w:r/>
      <w:bookmarkStart w:id="186" w:name="_Toc25011"/>
      <w:r/>
      <w:bookmarkStart w:id="187" w:name="_Toc14201"/>
      <w:r/>
      <w:bookmarkStart w:id="188" w:name="_Toc30850"/>
      <w:r>
        <w:rPr>
          <w:rFonts w:hint="eastAsia" w:ascii="宋体" w:hAnsi="宋体" w:eastAsia="宋体"/>
          <w:b/>
          <w:bCs/>
          <w:color w:val="auto"/>
          <w:sz w:val="24"/>
          <w:highlight w:val="none"/>
        </w:rPr>
        <w:t xml:space="preserve">18.投标文件的密封及标记</w:t>
      </w:r>
      <w:bookmarkEnd w:id="184"/>
      <w:r/>
      <w:bookmarkEnd w:id="185"/>
      <w:r/>
      <w:bookmarkEnd w:id="186"/>
      <w:r/>
      <w:bookmarkEnd w:id="187"/>
      <w:r/>
      <w:bookmarkEnd w:id="188"/>
      <w:r/>
      <w:r/>
    </w:p>
    <w:p>
      <w:pPr>
        <w:ind w:firstLine="420"/>
        <w:spacing w:line="440" w:lineRule="exact"/>
        <w:rPr>
          <w:rFonts w:ascii="宋体"/>
          <w:b/>
          <w:color w:val="auto"/>
          <w:sz w:val="30"/>
          <w:highlight w:val="none"/>
        </w:rPr>
      </w:pPr>
      <w:r>
        <w:rPr>
          <w:rFonts w:hint="eastAsia" w:ascii="宋体"/>
          <w:bCs/>
          <w:color w:val="auto"/>
          <w:highlight w:val="none"/>
        </w:rPr>
        <w:t xml:space="preserve">18.1投标人应分别把正本和副本投标文件都用封套加以密封，并在封套上标明“正本”和“副本”。</w:t>
      </w:r>
      <w:r>
        <w:rPr>
          <w:rFonts w:hint="eastAsia" w:ascii="仿宋_GB2312" w:eastAsia="仿宋_GB2312"/>
          <w:b/>
          <w:color w:val="auto"/>
          <w:sz w:val="28"/>
          <w:szCs w:val="28"/>
          <w:highlight w:val="none"/>
        </w:rPr>
        <w:t xml:space="preserve"> </w:t>
      </w:r>
      <w:r/>
    </w:p>
    <w:p>
      <w:pPr>
        <w:ind w:firstLine="422"/>
        <w:spacing w:line="440" w:lineRule="exact"/>
        <w:rPr>
          <w:rFonts w:ascii="宋体"/>
          <w:b/>
          <w:bCs w:val="0"/>
          <w:color w:val="auto"/>
          <w:highlight w:val="none"/>
        </w:rPr>
      </w:pPr>
      <w:r>
        <w:rPr>
          <w:rFonts w:hint="eastAsia" w:ascii="宋体"/>
          <w:b/>
          <w:bCs w:val="0"/>
          <w:color w:val="auto"/>
          <w:highlight w:val="none"/>
        </w:rPr>
        <w:t xml:space="preserve">18</w:t>
      </w:r>
      <w:r>
        <w:rPr>
          <w:rFonts w:ascii="宋体"/>
          <w:b/>
          <w:bCs w:val="0"/>
          <w:color w:val="auto"/>
          <w:highlight w:val="none"/>
        </w:rPr>
        <w:t xml:space="preserve">.</w:t>
      </w:r>
      <w:r>
        <w:rPr>
          <w:rFonts w:hint="eastAsia" w:ascii="宋体"/>
          <w:b/>
          <w:bCs w:val="0"/>
          <w:color w:val="auto"/>
          <w:highlight w:val="none"/>
        </w:rPr>
        <w:t xml:space="preserve">2 “投标一览表”除应装订在投标文件中，还必须另用内封套加以密封，放在投标文件正本封套之内。</w:t>
      </w:r>
      <w:r/>
    </w:p>
    <w:p>
      <w:pPr>
        <w:ind w:firstLine="420"/>
        <w:spacing w:line="440" w:lineRule="exact"/>
        <w:rPr>
          <w:rFonts w:ascii="宋体"/>
          <w:bCs/>
          <w:color w:val="auto"/>
          <w:highlight w:val="none"/>
        </w:rPr>
      </w:pPr>
      <w:r>
        <w:rPr>
          <w:rFonts w:hint="eastAsia" w:ascii="宋体"/>
          <w:bCs/>
          <w:color w:val="auto"/>
          <w:highlight w:val="none"/>
        </w:rPr>
        <w:t xml:space="preserve">18.3外封套和内封套上均须按招标代理机构提供的格式写明：</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招标代理机构：苏美达国际技术贸易有限公司</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招标代理机构地址：南京市长江路198号</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招标文件编号：</w:t>
      </w:r>
      <w:r>
        <w:rPr>
          <w:rFonts w:hint="eastAsia" w:ascii="宋体" w:hAnsi="宋体"/>
          <w:color w:val="auto"/>
          <w:szCs w:val="21"/>
          <w:highlight w:val="none"/>
          <w:lang w:eastAsia="zh-CN"/>
        </w:rPr>
        <w:t xml:space="preserve">JSZC-320000-SMDG-G2025-0111</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招标项目包号：第XX包</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招标项目名称：</w:t>
      </w:r>
      <w:r>
        <w:rPr>
          <w:rFonts w:hint="eastAsia" w:ascii="宋体"/>
          <w:bCs/>
          <w:color w:val="auto"/>
          <w:highlight w:val="none"/>
          <w:lang w:val="en-US" w:eastAsia="zh-CN"/>
        </w:rPr>
        <w:t xml:space="preserve">XXX</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投标人的全称、地址、电话和传真。</w:t>
      </w:r>
      <w:r/>
    </w:p>
    <w:p>
      <w:pPr>
        <w:numPr>
          <w:ilvl w:val="0"/>
          <w:numId w:val="1"/>
        </w:numPr>
        <w:ind w:firstLine="420"/>
        <w:spacing w:line="440" w:lineRule="exact"/>
        <w:rPr>
          <w:rFonts w:ascii="宋体"/>
          <w:bCs/>
          <w:color w:val="auto"/>
          <w:highlight w:val="none"/>
        </w:rPr>
      </w:pPr>
      <w:r>
        <w:rPr>
          <w:rFonts w:hint="eastAsia" w:ascii="宋体"/>
          <w:bCs/>
          <w:color w:val="auto"/>
          <w:highlight w:val="none"/>
        </w:rPr>
        <w:t xml:space="preserve">写明开标时启封。</w:t>
      </w:r>
      <w:r/>
    </w:p>
    <w:p>
      <w:pPr>
        <w:ind w:firstLine="422"/>
        <w:spacing w:line="440" w:lineRule="exact"/>
        <w:rPr>
          <w:rFonts w:ascii="宋体"/>
          <w:bCs/>
          <w:color w:val="auto"/>
          <w:highlight w:val="none"/>
        </w:rPr>
      </w:pPr>
      <w:r>
        <w:rPr>
          <w:rFonts w:hint="eastAsia" w:ascii="宋体"/>
          <w:b/>
          <w:bCs w:val="0"/>
          <w:color w:val="auto"/>
          <w:highlight w:val="none"/>
        </w:rPr>
        <w:t xml:space="preserve">18.4投标文件的封套未按第18.1,18.2项规定密封者,其投标文件将被视为无效投标。</w:t>
      </w:r>
      <w:r/>
    </w:p>
    <w:p>
      <w:pPr>
        <w:pStyle w:val="1222"/>
        <w:ind w:left="0" w:firstLine="482"/>
        <w:jc w:val="both"/>
        <w:spacing w:line="440" w:lineRule="exact"/>
        <w:rPr>
          <w:rFonts w:ascii="宋体" w:hAnsi="宋体" w:eastAsia="宋体"/>
          <w:b/>
          <w:bCs/>
          <w:color w:val="auto"/>
          <w:sz w:val="24"/>
          <w:highlight w:val="none"/>
        </w:rPr>
      </w:pPr>
      <w:r/>
      <w:bookmarkStart w:id="189" w:name="_Toc21766"/>
      <w:r/>
      <w:bookmarkStart w:id="190" w:name="_Toc28003"/>
      <w:r/>
      <w:bookmarkStart w:id="191" w:name="_Toc20685"/>
      <w:r/>
      <w:bookmarkStart w:id="192" w:name="_Toc4828"/>
      <w:r/>
      <w:bookmarkStart w:id="193" w:name="_Toc17073"/>
      <w:r>
        <w:rPr>
          <w:rFonts w:hint="eastAsia" w:ascii="宋体" w:hAnsi="宋体" w:eastAsia="宋体"/>
          <w:b/>
          <w:bCs/>
          <w:color w:val="auto"/>
          <w:sz w:val="24"/>
          <w:highlight w:val="none"/>
        </w:rPr>
        <w:t xml:space="preserve">19.投标的截止日期</w:t>
      </w:r>
      <w:bookmarkEnd w:id="189"/>
      <w:r/>
      <w:bookmarkEnd w:id="190"/>
      <w:r/>
      <w:bookmarkEnd w:id="191"/>
      <w:r/>
      <w:bookmarkEnd w:id="192"/>
      <w:r/>
      <w:bookmarkEnd w:id="193"/>
      <w:r/>
      <w:r/>
    </w:p>
    <w:p>
      <w:pPr>
        <w:ind w:firstLine="420"/>
        <w:spacing w:line="440" w:lineRule="exact"/>
        <w:rPr>
          <w:rFonts w:ascii="宋体"/>
          <w:bCs/>
          <w:color w:val="auto"/>
          <w:highlight w:val="none"/>
        </w:rPr>
      </w:pPr>
      <w:r>
        <w:rPr>
          <w:rFonts w:hint="eastAsia" w:ascii="宋体"/>
          <w:bCs/>
          <w:color w:val="auto"/>
          <w:highlight w:val="none"/>
        </w:rPr>
        <w:t xml:space="preserve">19</w:t>
      </w:r>
      <w:r>
        <w:rPr>
          <w:rFonts w:ascii="宋体"/>
          <w:bCs/>
          <w:color w:val="auto"/>
          <w:highlight w:val="none"/>
        </w:rPr>
        <w:t xml:space="preserve">.</w:t>
      </w:r>
      <w:r>
        <w:rPr>
          <w:rFonts w:hint="eastAsia" w:ascii="宋体"/>
          <w:bCs/>
          <w:color w:val="auto"/>
          <w:highlight w:val="none"/>
        </w:rPr>
        <w:t xml:space="preserve">1投标文件须在招标代理机构规定的投标截止时间前递交到指定地点。</w:t>
      </w:r>
      <w:r/>
    </w:p>
    <w:p>
      <w:pPr>
        <w:ind w:firstLine="420"/>
        <w:spacing w:line="440" w:lineRule="exact"/>
        <w:rPr>
          <w:rFonts w:ascii="宋体"/>
          <w:bCs/>
          <w:color w:val="auto"/>
          <w:highlight w:val="none"/>
        </w:rPr>
      </w:pPr>
      <w:r>
        <w:rPr>
          <w:rFonts w:hint="eastAsia" w:ascii="宋体"/>
          <w:bCs/>
          <w:color w:val="auto"/>
          <w:highlight w:val="none"/>
        </w:rPr>
        <w:t xml:space="preserve">19.2招标代理机构可以按第7项的规定，以补充招标文件的形式推迟投标的截止时间，在这种情况下，招标代理机构或投标人的权利和义务都以新的截止时间为准。</w:t>
      </w:r>
      <w:r/>
    </w:p>
    <w:p>
      <w:pPr>
        <w:ind w:firstLine="420"/>
        <w:spacing w:line="440" w:lineRule="exact"/>
        <w:rPr>
          <w:rFonts w:ascii="宋体"/>
          <w:bCs/>
          <w:color w:val="auto"/>
          <w:highlight w:val="none"/>
        </w:rPr>
      </w:pPr>
      <w:r>
        <w:rPr>
          <w:rFonts w:hint="eastAsia" w:ascii="宋体"/>
          <w:bCs/>
          <w:color w:val="auto"/>
          <w:highlight w:val="none"/>
        </w:rPr>
        <w:t xml:space="preserve">19</w:t>
      </w:r>
      <w:r>
        <w:rPr>
          <w:rFonts w:ascii="宋体"/>
          <w:bCs/>
          <w:color w:val="auto"/>
          <w:highlight w:val="none"/>
        </w:rPr>
        <w:t xml:space="preserve">.</w:t>
      </w:r>
      <w:r>
        <w:rPr>
          <w:rFonts w:hint="eastAsia" w:ascii="宋体"/>
          <w:bCs/>
          <w:color w:val="auto"/>
          <w:highlight w:val="none"/>
        </w:rPr>
        <w:t xml:space="preserve">3投标文件由于不可抗力的原因遗失和损坏，招标代理机构不负任何责任。</w:t>
      </w:r>
      <w:r/>
    </w:p>
    <w:p>
      <w:pPr>
        <w:pStyle w:val="1222"/>
        <w:ind w:left="0" w:firstLine="482"/>
        <w:jc w:val="both"/>
        <w:spacing w:line="440" w:lineRule="exact"/>
        <w:rPr>
          <w:rFonts w:ascii="宋体" w:hAnsi="宋体" w:eastAsia="宋体"/>
          <w:b/>
          <w:bCs/>
          <w:color w:val="auto"/>
          <w:sz w:val="24"/>
          <w:highlight w:val="none"/>
        </w:rPr>
      </w:pPr>
      <w:r/>
      <w:bookmarkStart w:id="194" w:name="_Toc3327"/>
      <w:r/>
      <w:bookmarkStart w:id="195" w:name="_Toc18956"/>
      <w:r/>
      <w:bookmarkStart w:id="196" w:name="_Toc32673"/>
      <w:r/>
      <w:bookmarkStart w:id="197" w:name="_Toc14422"/>
      <w:r/>
      <w:bookmarkStart w:id="198" w:name="_Toc29061"/>
      <w:r>
        <w:rPr>
          <w:rFonts w:hint="eastAsia" w:ascii="宋体" w:hAnsi="宋体" w:eastAsia="宋体"/>
          <w:b/>
          <w:bCs/>
          <w:color w:val="auto"/>
          <w:sz w:val="24"/>
          <w:highlight w:val="none"/>
        </w:rPr>
        <w:t xml:space="preserve">20.过期投标文件</w:t>
      </w:r>
      <w:bookmarkEnd w:id="194"/>
      <w:r/>
      <w:bookmarkEnd w:id="195"/>
      <w:r/>
      <w:bookmarkEnd w:id="196"/>
      <w:r/>
      <w:bookmarkEnd w:id="197"/>
      <w:r/>
      <w:bookmarkEnd w:id="198"/>
      <w:r/>
      <w:r/>
    </w:p>
    <w:p>
      <w:pPr>
        <w:spacing w:line="440" w:lineRule="exact"/>
        <w:rPr>
          <w:rFonts w:ascii="宋体"/>
          <w:bCs/>
          <w:color w:val="auto"/>
          <w:highlight w:val="none"/>
        </w:rPr>
      </w:pPr>
      <w:r>
        <w:rPr>
          <w:rFonts w:hint="eastAsia" w:ascii="宋体"/>
          <w:bCs/>
          <w:color w:val="auto"/>
          <w:highlight w:val="none"/>
        </w:rPr>
        <w:t xml:space="preserve"> 在投标截止时间以后收到的投标文件，招标代理机构拒绝接收。</w:t>
      </w:r>
      <w:r/>
    </w:p>
    <w:p>
      <w:pPr>
        <w:pStyle w:val="1222"/>
        <w:ind w:left="0" w:firstLine="482"/>
        <w:jc w:val="both"/>
        <w:spacing w:line="440" w:lineRule="exact"/>
        <w:rPr>
          <w:rFonts w:ascii="宋体" w:hAnsi="宋体" w:eastAsia="宋体"/>
          <w:b/>
          <w:bCs/>
          <w:color w:val="auto"/>
          <w:sz w:val="24"/>
          <w:highlight w:val="none"/>
        </w:rPr>
      </w:pPr>
      <w:r/>
      <w:bookmarkStart w:id="199" w:name="_Toc23947"/>
      <w:r/>
      <w:bookmarkStart w:id="200" w:name="_Toc21963"/>
      <w:r/>
      <w:bookmarkStart w:id="201" w:name="_Toc7141"/>
      <w:r/>
      <w:bookmarkStart w:id="202" w:name="_Toc27692"/>
      <w:r/>
      <w:bookmarkStart w:id="203" w:name="_Toc6201"/>
      <w:r>
        <w:rPr>
          <w:rFonts w:hint="eastAsia" w:ascii="宋体" w:hAnsi="宋体" w:eastAsia="宋体"/>
          <w:b/>
          <w:bCs/>
          <w:color w:val="auto"/>
          <w:sz w:val="24"/>
          <w:highlight w:val="none"/>
        </w:rPr>
        <w:t xml:space="preserve">21.投标文件的修改或撤回</w:t>
      </w:r>
      <w:bookmarkEnd w:id="199"/>
      <w:r/>
      <w:bookmarkEnd w:id="200"/>
      <w:r/>
      <w:bookmarkEnd w:id="201"/>
      <w:r/>
      <w:bookmarkEnd w:id="202"/>
      <w:r/>
      <w:bookmarkEnd w:id="203"/>
      <w:r/>
      <w:r/>
    </w:p>
    <w:p>
      <w:pPr>
        <w:ind w:firstLine="420"/>
        <w:spacing w:line="440" w:lineRule="exact"/>
        <w:rPr>
          <w:rFonts w:ascii="宋体"/>
          <w:bCs/>
          <w:color w:val="auto"/>
          <w:highlight w:val="none"/>
        </w:rPr>
      </w:pPr>
      <w:r>
        <w:rPr>
          <w:rFonts w:hint="eastAsia" w:ascii="宋体"/>
          <w:bCs/>
          <w:color w:val="auto"/>
          <w:highlight w:val="none"/>
        </w:rPr>
        <w:t xml:space="preserve">21</w:t>
      </w:r>
      <w:r>
        <w:rPr>
          <w:rFonts w:ascii="宋体"/>
          <w:bCs/>
          <w:color w:val="auto"/>
          <w:highlight w:val="none"/>
        </w:rPr>
        <w:t xml:space="preserve">.</w:t>
      </w:r>
      <w:r>
        <w:rPr>
          <w:rFonts w:hint="eastAsia" w:ascii="宋体"/>
          <w:bCs/>
          <w:color w:val="auto"/>
          <w:highlight w:val="none"/>
        </w:rPr>
        <w:t xml:space="preserve">1投标以后，如果投标人书面的修改或撤回要求，使招标代理机构能在投标截止时间前（不考虑不可抗力原因）收到，那么招标代理机构可以接受投标人对投标文件的修改或撤回。</w:t>
      </w:r>
      <w:r/>
    </w:p>
    <w:p>
      <w:pPr>
        <w:ind w:firstLine="420"/>
        <w:spacing w:line="440" w:lineRule="exact"/>
        <w:rPr>
          <w:rFonts w:ascii="宋体"/>
          <w:bCs/>
          <w:color w:val="auto"/>
          <w:highlight w:val="none"/>
        </w:rPr>
      </w:pPr>
      <w:r>
        <w:rPr>
          <w:rFonts w:hint="eastAsia" w:ascii="宋体"/>
          <w:bCs/>
          <w:color w:val="auto"/>
          <w:highlight w:val="none"/>
        </w:rPr>
        <w:t xml:space="preserve">21</w:t>
      </w:r>
      <w:r>
        <w:rPr>
          <w:rFonts w:ascii="宋体"/>
          <w:bCs/>
          <w:color w:val="auto"/>
          <w:highlight w:val="none"/>
        </w:rPr>
        <w:t xml:space="preserve">.</w:t>
      </w:r>
      <w:r>
        <w:rPr>
          <w:rFonts w:hint="eastAsia" w:ascii="宋体"/>
          <w:bCs/>
          <w:color w:val="auto"/>
          <w:highlight w:val="none"/>
        </w:rPr>
        <w:t xml:space="preserve">2投标人的修改或撤回通知必须按第18项的规定并在封套上注明：“修改”或“撤回”字样封送给招标代理机构。</w:t>
      </w:r>
      <w:r/>
    </w:p>
    <w:p>
      <w:pPr>
        <w:ind w:firstLine="420"/>
        <w:spacing w:line="440" w:lineRule="exact"/>
        <w:rPr>
          <w:rFonts w:ascii="宋体"/>
          <w:bCs/>
          <w:color w:val="auto"/>
          <w:sz w:val="32"/>
          <w:highlight w:val="none"/>
        </w:rPr>
      </w:pPr>
      <w:r>
        <w:rPr>
          <w:rFonts w:hint="eastAsia" w:ascii="宋体"/>
          <w:bCs/>
          <w:color w:val="auto"/>
          <w:highlight w:val="none"/>
        </w:rPr>
        <w:t xml:space="preserve">21.3在投标截止时间之后和投标文件有效期内，任何投标文件不得撤回，在这段期间撤回投标文件，信用分将被扣除。</w:t>
      </w:r>
      <w:r/>
    </w:p>
    <w:p>
      <w:pPr>
        <w:ind w:firstLine="420"/>
        <w:spacing w:line="440" w:lineRule="exact"/>
        <w:shd w:val="clear" w:color="auto" w:fill="ffffff"/>
        <w:widowControl/>
        <w:rPr>
          <w:rFonts w:ascii="宋体" w:hAnsi="宋体"/>
          <w:b/>
          <w:bCs/>
          <w:color w:val="auto"/>
          <w:sz w:val="24"/>
          <w:highlight w:val="none"/>
        </w:rPr>
        <w:outlineLvl w:val="1"/>
      </w:pPr>
      <w:r/>
      <w:bookmarkStart w:id="204" w:name="_Toc16938545"/>
      <w:r/>
      <w:bookmarkStart w:id="205" w:name="_Toc9766"/>
      <w:r/>
      <w:bookmarkStart w:id="206" w:name="_Toc7757"/>
      <w:r/>
      <w:bookmarkStart w:id="207" w:name="_Toc24233"/>
      <w:r/>
      <w:bookmarkStart w:id="208" w:name="_Toc20823301"/>
      <w:r/>
      <w:bookmarkStart w:id="209" w:name="_Toc513029229"/>
      <w:r/>
      <w:bookmarkStart w:id="210" w:name="_Toc3395"/>
      <w:r/>
      <w:bookmarkStart w:id="211" w:name="_Toc120614218"/>
      <w:r/>
      <w:bookmarkStart w:id="212" w:name="_Toc17333"/>
      <w:r>
        <w:rPr>
          <w:rFonts w:hint="eastAsia" w:ascii="宋体" w:hAnsi="宋体"/>
          <w:b/>
          <w:bCs/>
          <w:color w:val="auto"/>
          <w:sz w:val="24"/>
          <w:highlight w:val="none"/>
        </w:rPr>
        <w:t xml:space="preserve">五、开标与评标</w:t>
      </w:r>
      <w:bookmarkEnd w:id="204"/>
      <w:r/>
      <w:bookmarkEnd w:id="205"/>
      <w:r/>
      <w:bookmarkEnd w:id="206"/>
      <w:r/>
      <w:bookmarkEnd w:id="207"/>
      <w:r/>
      <w:bookmarkEnd w:id="208"/>
      <w:r/>
      <w:bookmarkEnd w:id="209"/>
      <w:r/>
      <w:bookmarkEnd w:id="210"/>
      <w:r/>
      <w:bookmarkEnd w:id="211"/>
      <w:r/>
      <w:bookmarkEnd w:id="212"/>
      <w:r/>
      <w:r/>
    </w:p>
    <w:p>
      <w:pPr>
        <w:pStyle w:val="1222"/>
        <w:ind w:left="0" w:firstLine="482"/>
        <w:jc w:val="both"/>
        <w:spacing w:line="440" w:lineRule="exact"/>
        <w:rPr>
          <w:rFonts w:ascii="宋体" w:hAnsi="宋体" w:eastAsia="宋体"/>
          <w:b/>
          <w:bCs/>
          <w:color w:val="auto"/>
          <w:sz w:val="24"/>
          <w:highlight w:val="none"/>
        </w:rPr>
      </w:pPr>
      <w:r/>
      <w:bookmarkStart w:id="213" w:name="_Toc15345"/>
      <w:r/>
      <w:bookmarkStart w:id="214" w:name="_Toc21296"/>
      <w:r/>
      <w:bookmarkStart w:id="215" w:name="_Toc30784"/>
      <w:r/>
      <w:bookmarkStart w:id="216" w:name="_Toc13547"/>
      <w:r/>
      <w:bookmarkStart w:id="217" w:name="_Toc3679"/>
      <w:r/>
      <w:bookmarkStart w:id="218" w:name="OLE_LINK3"/>
      <w:r/>
      <w:bookmarkStart w:id="219" w:name="OLE_LINK7"/>
      <w:r>
        <w:rPr>
          <w:rFonts w:hint="eastAsia" w:ascii="宋体" w:hAnsi="宋体" w:eastAsia="宋体"/>
          <w:b/>
          <w:bCs/>
          <w:color w:val="auto"/>
          <w:sz w:val="24"/>
          <w:highlight w:val="none"/>
        </w:rPr>
        <w:t xml:space="preserve">22.开标</w:t>
      </w:r>
      <w:bookmarkEnd w:id="213"/>
      <w:r/>
      <w:bookmarkEnd w:id="214"/>
      <w:r/>
      <w:bookmarkEnd w:id="215"/>
      <w:r/>
      <w:bookmarkEnd w:id="216"/>
      <w:r/>
      <w:bookmarkEnd w:id="217"/>
      <w:r/>
      <w:bookmarkEnd w:id="218"/>
      <w:r/>
      <w:r/>
    </w:p>
    <w:p>
      <w:pPr>
        <w:ind w:firstLine="420"/>
        <w:spacing w:line="440" w:lineRule="exact"/>
        <w:rPr>
          <w:rFonts w:ascii="宋体"/>
          <w:bCs/>
          <w:color w:val="auto"/>
          <w:highlight w:val="none"/>
        </w:rPr>
      </w:pPr>
      <w:r>
        <w:rPr>
          <w:rFonts w:hint="eastAsia" w:ascii="宋体"/>
          <w:bCs/>
          <w:color w:val="auto"/>
          <w:highlight w:val="none"/>
        </w:rPr>
        <w:t xml:space="preserve">22.1招标代理机构按规定的时间和地点进行公开开标，投标人可派代表参加。</w:t>
      </w:r>
      <w:r/>
    </w:p>
    <w:p>
      <w:pPr>
        <w:ind w:firstLine="420"/>
        <w:spacing w:line="440" w:lineRule="exact"/>
        <w:rPr>
          <w:rFonts w:ascii="宋体"/>
          <w:bCs/>
          <w:color w:val="auto"/>
          <w:highlight w:val="none"/>
        </w:rPr>
      </w:pPr>
      <w:r>
        <w:rPr>
          <w:rFonts w:hint="eastAsia" w:ascii="宋体"/>
          <w:bCs/>
          <w:color w:val="auto"/>
          <w:highlight w:val="none"/>
        </w:rPr>
        <w:t xml:space="preserve">21.2 开</w:t>
      </w:r>
      <w:bookmarkEnd w:id="219"/>
      <w:r>
        <w:rPr>
          <w:rFonts w:hint="eastAsia" w:ascii="宋体"/>
          <w:bCs/>
          <w:color w:val="auto"/>
          <w:highlight w:val="none"/>
        </w:rPr>
        <w:t xml:space="preserve">标时，代理机构将邀请公证人员或投标人代表检查投标文件的密封情况。经确认无误后，由代理机构工作人员当众拆封宣读每份投标文件中“投标一览表”的内容，未列入投标一览表的内容一律不在开标时宣读。开标时未宣读的投标报价信息，评标时不予承认</w:t>
      </w:r>
      <w:r>
        <w:rPr>
          <w:rFonts w:hint="eastAsia" w:ascii="宋体" w:hAnsi="宋体"/>
          <w:color w:val="auto"/>
          <w:sz w:val="24"/>
          <w:szCs w:val="24"/>
          <w:highlight w:val="none"/>
        </w:rPr>
        <w:t xml:space="preserve">。</w:t>
      </w:r>
      <w:r/>
    </w:p>
    <w:p>
      <w:pPr>
        <w:ind w:firstLine="420"/>
        <w:spacing w:line="440" w:lineRule="exact"/>
        <w:rPr>
          <w:rFonts w:ascii="宋体"/>
          <w:bCs/>
          <w:color w:val="auto"/>
          <w:highlight w:val="none"/>
        </w:rPr>
      </w:pPr>
      <w:r>
        <w:rPr>
          <w:rFonts w:hint="eastAsia" w:ascii="宋体"/>
          <w:bCs/>
          <w:color w:val="auto"/>
          <w:highlight w:val="none"/>
        </w:rPr>
        <w:t xml:space="preserve">21.3 开标时，《投标一览表》内容与投标文件中明细表内容不一致的，以《投标一览表》为准。</w:t>
      </w:r>
      <w:r/>
    </w:p>
    <w:p>
      <w:pPr>
        <w:ind w:firstLine="420"/>
        <w:spacing w:line="440" w:lineRule="exact"/>
        <w:rPr>
          <w:rFonts w:ascii="宋体"/>
          <w:bCs/>
          <w:color w:val="auto"/>
          <w:highlight w:val="none"/>
        </w:rPr>
      </w:pPr>
      <w:r>
        <w:rPr>
          <w:rFonts w:hint="eastAsia" w:ascii="宋体"/>
          <w:bCs/>
          <w:color w:val="auto"/>
          <w:highlight w:val="none"/>
        </w:rPr>
        <w:t xml:space="preserve">21.4投标文件的大写金额与小写金额不一致的，以大写金额为准；总价金额与单项金额不一致的，以单项金额计算为准；单项金额小数点有明显错位的，应以总价金额为准，并修改单项金额；对不同文字文本投标文件的解释发生异议的，以中文文本为准；如果正本投标文件和副本投标文件之间有差异，则以正本投标文件为准。</w:t>
      </w:r>
      <w:r/>
    </w:p>
    <w:p>
      <w:pPr>
        <w:ind w:firstLine="420"/>
        <w:spacing w:line="440" w:lineRule="exact"/>
        <w:rPr>
          <w:rFonts w:ascii="宋体"/>
          <w:bCs/>
          <w:color w:val="auto"/>
          <w:highlight w:val="none"/>
        </w:rPr>
      </w:pPr>
      <w:r>
        <w:rPr>
          <w:rFonts w:hint="eastAsia" w:ascii="宋体"/>
          <w:bCs/>
          <w:color w:val="auto"/>
          <w:highlight w:val="none"/>
        </w:rPr>
        <w:t xml:space="preserve">21.5</w:t>
      </w:r>
      <w:r>
        <w:rPr>
          <w:rFonts w:hint="eastAsia" w:ascii="宋体" w:hAnsi="宋体" w:cs="宋体"/>
          <w:color w:val="auto"/>
          <w:szCs w:val="21"/>
          <w:highlight w:val="none"/>
          <w:lang w:val="zh-CN"/>
        </w:rPr>
        <w:t xml:space="preserve">投标截止时间结束后参加投标的供应商不足三家的，除采购</w:t>
      </w:r>
      <w:r>
        <w:rPr>
          <w:rFonts w:hint="eastAsia" w:ascii="宋体" w:hAnsi="宋体" w:cs="宋体"/>
          <w:color w:val="auto"/>
          <w:szCs w:val="21"/>
          <w:highlight w:val="none"/>
          <w:lang w:val="zh-CN"/>
        </w:rPr>
        <w:t xml:space="preserve">任务取消情形外，代理机构报经监管部门批准后，可变更为竞争性谈判、磋商或者单一来源方式采购，或者终止采购活动。本次招标文件中对供应商资格条件要求、技术要求和商务等要求，将作为竞争性谈判、磋商或者单一来源方式采购的基本要求和谈判依据。原评标委员会改为谈判小组，并根据政府采购法等法律法规进行谈判或者磋商，改为竞争性谈判的，按照“符合采购需求，质量服务相等且报价最低”的原则确定成交供应商，改为竞争性磋商的，按照原评标方法及评分标准进行评审。参加投标的供应商，根据自愿原则，选择参加竞争性谈判、磋商或单一来源方式采购。</w:t>
      </w:r>
      <w:r/>
    </w:p>
    <w:p>
      <w:pPr>
        <w:pStyle w:val="1222"/>
        <w:ind w:left="0" w:firstLine="482"/>
        <w:jc w:val="both"/>
        <w:spacing w:line="440" w:lineRule="exact"/>
        <w:rPr>
          <w:rFonts w:ascii="宋体" w:hAnsi="宋体" w:eastAsia="宋体"/>
          <w:b/>
          <w:bCs/>
          <w:color w:val="auto"/>
          <w:sz w:val="24"/>
          <w:highlight w:val="none"/>
        </w:rPr>
      </w:pPr>
      <w:r/>
      <w:bookmarkStart w:id="220" w:name="_Toc18524"/>
      <w:r/>
      <w:bookmarkStart w:id="221" w:name="_Toc1824"/>
      <w:r/>
      <w:bookmarkStart w:id="222" w:name="_Toc12315"/>
      <w:r/>
      <w:bookmarkStart w:id="223" w:name="_Toc6944"/>
      <w:r/>
      <w:bookmarkStart w:id="224" w:name="_Toc13513"/>
      <w:r>
        <w:rPr>
          <w:rFonts w:hint="eastAsia" w:ascii="宋体" w:hAnsi="宋体" w:eastAsia="宋体"/>
          <w:b/>
          <w:bCs/>
          <w:color w:val="auto"/>
          <w:sz w:val="24"/>
          <w:highlight w:val="none"/>
        </w:rPr>
        <w:t xml:space="preserve">23.评标委员会</w:t>
      </w:r>
      <w:bookmarkEnd w:id="220"/>
      <w:r/>
      <w:bookmarkEnd w:id="221"/>
      <w:r/>
      <w:bookmarkEnd w:id="222"/>
      <w:r/>
      <w:bookmarkEnd w:id="223"/>
      <w:r/>
      <w:bookmarkEnd w:id="224"/>
      <w:r/>
      <w:r/>
    </w:p>
    <w:p>
      <w:pPr>
        <w:ind w:firstLine="420"/>
        <w:spacing w:line="440" w:lineRule="exact"/>
        <w:rPr>
          <w:rFonts w:ascii="宋体"/>
          <w:bCs/>
          <w:color w:val="auto"/>
          <w:highlight w:val="none"/>
        </w:rPr>
      </w:pPr>
      <w:r>
        <w:rPr>
          <w:rFonts w:hint="eastAsia" w:ascii="宋体"/>
          <w:bCs/>
          <w:color w:val="auto"/>
          <w:highlight w:val="none"/>
        </w:rPr>
        <w:t xml:space="preserve">23.1开标后，代理机构负责组织评标委员会进行评标。</w:t>
      </w:r>
      <w:r/>
    </w:p>
    <w:p>
      <w:pPr>
        <w:ind w:firstLine="420"/>
        <w:spacing w:line="440" w:lineRule="exact"/>
        <w:rPr>
          <w:rFonts w:ascii="宋体"/>
          <w:bCs/>
          <w:color w:val="auto"/>
          <w:highlight w:val="none"/>
        </w:rPr>
      </w:pPr>
      <w:r>
        <w:rPr>
          <w:rFonts w:hint="eastAsia" w:ascii="宋体"/>
          <w:bCs/>
          <w:color w:val="auto"/>
          <w:highlight w:val="none"/>
        </w:rPr>
        <w:t xml:space="preserve">23.2 评标委员会由</w:t>
      </w:r>
      <w:r>
        <w:rPr>
          <w:rFonts w:hint="eastAsia" w:ascii="宋体"/>
          <w:bCs/>
          <w:color w:val="auto"/>
          <w:highlight w:val="none"/>
          <w:lang w:eastAsia="zh-CN"/>
        </w:rPr>
        <w:t xml:space="preserve">采购人</w:t>
      </w:r>
      <w:r>
        <w:rPr>
          <w:rFonts w:hint="eastAsia" w:ascii="宋体"/>
          <w:bCs/>
          <w:color w:val="auto"/>
          <w:highlight w:val="none"/>
        </w:rPr>
        <w:t xml:space="preserve">代表和有关技术、经济等方面的专家组成，独立开展评审工作且评标委员会人员构成符合政府采购有关规定。</w:t>
      </w:r>
      <w:r/>
    </w:p>
    <w:p>
      <w:pPr>
        <w:ind w:firstLine="420"/>
        <w:spacing w:line="440" w:lineRule="exact"/>
        <w:rPr>
          <w:rFonts w:ascii="宋体"/>
          <w:bCs/>
          <w:color w:val="auto"/>
          <w:highlight w:val="none"/>
        </w:rPr>
      </w:pPr>
      <w:r/>
      <w:bookmarkStart w:id="225" w:name="_Toc16938547"/>
      <w:r/>
      <w:bookmarkStart w:id="226" w:name="_Toc20823303"/>
      <w:r/>
      <w:bookmarkStart w:id="227" w:name="_Toc513029231"/>
      <w:r>
        <w:rPr>
          <w:rFonts w:hint="eastAsia" w:ascii="宋体"/>
          <w:bCs/>
          <w:color w:val="auto"/>
          <w:highlight w:val="none"/>
        </w:rPr>
        <w:t xml:space="preserve">23.3评委会独立工作，负责评审所有投标文件并确定中标、成交侯选人。</w:t>
      </w:r>
      <w:r/>
    </w:p>
    <w:p>
      <w:pPr>
        <w:pStyle w:val="1222"/>
        <w:ind w:left="0" w:firstLine="482"/>
        <w:jc w:val="both"/>
        <w:spacing w:line="440" w:lineRule="exact"/>
        <w:rPr>
          <w:rFonts w:ascii="宋体" w:hAnsi="宋体" w:eastAsia="宋体"/>
          <w:b/>
          <w:bCs/>
          <w:color w:val="auto"/>
          <w:sz w:val="24"/>
          <w:highlight w:val="none"/>
        </w:rPr>
      </w:pPr>
      <w:r/>
      <w:bookmarkStart w:id="228" w:name="_Toc26172"/>
      <w:r/>
      <w:bookmarkStart w:id="229" w:name="_Toc21081"/>
      <w:r/>
      <w:bookmarkStart w:id="230" w:name="_Toc29284"/>
      <w:r/>
      <w:bookmarkStart w:id="231" w:name="_Toc14875"/>
      <w:r/>
      <w:bookmarkStart w:id="232" w:name="_Toc28875"/>
      <w:r>
        <w:rPr>
          <w:rFonts w:hint="eastAsia" w:ascii="宋体" w:hAnsi="宋体" w:eastAsia="宋体"/>
          <w:b/>
          <w:bCs/>
          <w:color w:val="auto"/>
          <w:sz w:val="24"/>
          <w:highlight w:val="none"/>
        </w:rPr>
        <w:t xml:space="preserve">24.评标过程的保密与公正</w:t>
      </w:r>
      <w:bookmarkEnd w:id="228"/>
      <w:r/>
      <w:bookmarkEnd w:id="229"/>
      <w:r/>
      <w:bookmarkEnd w:id="230"/>
      <w:r/>
      <w:bookmarkEnd w:id="231"/>
      <w:r/>
      <w:bookmarkEnd w:id="232"/>
      <w:r/>
      <w:bookmarkEnd w:id="225"/>
      <w:r/>
      <w:bookmarkEnd w:id="226"/>
      <w:r/>
      <w:bookmarkEnd w:id="227"/>
      <w:r/>
      <w:r/>
    </w:p>
    <w:p>
      <w:pPr>
        <w:ind w:firstLine="420"/>
        <w:spacing w:line="440" w:lineRule="exact"/>
        <w:rPr>
          <w:rFonts w:ascii="宋体"/>
          <w:bCs/>
          <w:color w:val="auto"/>
          <w:highlight w:val="none"/>
        </w:rPr>
      </w:pPr>
      <w:r>
        <w:rPr>
          <w:rFonts w:hint="eastAsia" w:ascii="宋体"/>
          <w:bCs/>
          <w:color w:val="auto"/>
          <w:highlight w:val="none"/>
        </w:rPr>
        <w:t xml:space="preserve">24.1公开开标后，直至向中标的投标人授予合同时止，凡是与审查、澄清、评价和比较投标的有关资料以及授标建议等，采购人、评委、招标代理机构均不得向投标人或与评标无关的其他人员透露。</w:t>
      </w:r>
      <w:r/>
    </w:p>
    <w:p>
      <w:pPr>
        <w:ind w:firstLine="420"/>
        <w:spacing w:line="440" w:lineRule="exact"/>
        <w:rPr>
          <w:rFonts w:ascii="宋体"/>
          <w:bCs/>
          <w:color w:val="auto"/>
          <w:highlight w:val="none"/>
        </w:rPr>
      </w:pPr>
      <w:r>
        <w:rPr>
          <w:rFonts w:hint="eastAsia" w:ascii="宋体"/>
          <w:bCs/>
          <w:color w:val="auto"/>
          <w:highlight w:val="none"/>
        </w:rPr>
        <w:t xml:space="preserve">24.2在评标过程中，投标人不得以任何行为影响评标过程，否则其投标文件将被作为无效投标文件。</w:t>
      </w:r>
      <w:r/>
    </w:p>
    <w:p>
      <w:pPr>
        <w:ind w:firstLine="420"/>
        <w:spacing w:line="440" w:lineRule="exact"/>
        <w:rPr>
          <w:rFonts w:ascii="宋体"/>
          <w:bCs/>
          <w:color w:val="auto"/>
          <w:highlight w:val="none"/>
        </w:rPr>
      </w:pPr>
      <w:r>
        <w:rPr>
          <w:rFonts w:hint="eastAsia" w:ascii="宋体"/>
          <w:bCs/>
          <w:color w:val="auto"/>
          <w:highlight w:val="none"/>
        </w:rPr>
        <w:t xml:space="preserve">24.3 招标代理机构和评标委员会不得向落标的投标人解释未中标原因，也不公布评标过程中的相关细节。</w:t>
      </w:r>
      <w:r/>
    </w:p>
    <w:p>
      <w:pPr>
        <w:ind w:firstLine="420"/>
        <w:spacing w:line="440" w:lineRule="exact"/>
        <w:rPr>
          <w:rFonts w:ascii="宋体"/>
          <w:bCs/>
          <w:color w:val="auto"/>
          <w:highlight w:val="none"/>
        </w:rPr>
      </w:pPr>
      <w:r>
        <w:rPr>
          <w:rFonts w:hint="eastAsia" w:ascii="宋体"/>
          <w:bCs/>
          <w:color w:val="auto"/>
          <w:highlight w:val="none"/>
        </w:rPr>
        <w:t xml:space="preserve">24</w:t>
      </w:r>
      <w:r>
        <w:rPr>
          <w:rFonts w:ascii="宋体"/>
          <w:bCs/>
          <w:color w:val="auto"/>
          <w:highlight w:val="none"/>
        </w:rPr>
        <w:t xml:space="preserve">.</w:t>
      </w:r>
      <w:r>
        <w:rPr>
          <w:rFonts w:hint="eastAsia" w:ascii="宋体"/>
          <w:bCs/>
          <w:color w:val="auto"/>
          <w:highlight w:val="none"/>
        </w:rPr>
        <w:t xml:space="preserve">4</w:t>
      </w:r>
      <w:r>
        <w:rPr>
          <w:rFonts w:ascii="宋体"/>
          <w:bCs/>
          <w:color w:val="auto"/>
          <w:highlight w:val="none"/>
        </w:rPr>
        <w:t xml:space="preserve"> </w:t>
      </w:r>
      <w:r>
        <w:rPr>
          <w:rFonts w:hint="eastAsia" w:ascii="宋体"/>
          <w:bCs/>
          <w:color w:val="auto"/>
          <w:highlight w:val="none"/>
        </w:rPr>
        <w:t xml:space="preserve">在评标期间，招标代理机构将指定联络员与投标人进行联络。</w:t>
      </w:r>
      <w:r/>
    </w:p>
    <w:p>
      <w:pPr>
        <w:pStyle w:val="1222"/>
        <w:ind w:left="0" w:firstLine="482"/>
        <w:jc w:val="both"/>
        <w:spacing w:line="440" w:lineRule="exact"/>
        <w:rPr>
          <w:rFonts w:ascii="宋体" w:hAnsi="宋体" w:eastAsia="宋体"/>
          <w:b/>
          <w:bCs/>
          <w:color w:val="auto"/>
          <w:sz w:val="24"/>
          <w:highlight w:val="none"/>
        </w:rPr>
      </w:pPr>
      <w:r/>
      <w:bookmarkStart w:id="233" w:name="_Toc32179"/>
      <w:r/>
      <w:bookmarkStart w:id="234" w:name="_Toc21754"/>
      <w:r/>
      <w:bookmarkStart w:id="235" w:name="_Toc16496"/>
      <w:r/>
      <w:bookmarkStart w:id="236" w:name="_Toc2532"/>
      <w:r/>
      <w:bookmarkStart w:id="237" w:name="_Toc6941"/>
      <w:r>
        <w:rPr>
          <w:rFonts w:hint="eastAsia" w:ascii="宋体" w:hAnsi="宋体" w:eastAsia="宋体"/>
          <w:b/>
          <w:bCs/>
          <w:color w:val="auto"/>
          <w:sz w:val="24"/>
          <w:highlight w:val="none"/>
        </w:rPr>
        <w:t xml:space="preserve">25.投标文件的澄清</w:t>
      </w:r>
      <w:bookmarkEnd w:id="233"/>
      <w:r/>
      <w:bookmarkEnd w:id="234"/>
      <w:r/>
      <w:bookmarkEnd w:id="235"/>
      <w:r/>
      <w:bookmarkEnd w:id="236"/>
      <w:r/>
      <w:bookmarkEnd w:id="237"/>
      <w:r/>
      <w:r/>
    </w:p>
    <w:p>
      <w:pPr>
        <w:spacing w:line="440" w:lineRule="exact"/>
        <w:rPr>
          <w:rFonts w:ascii="宋体"/>
          <w:bCs/>
          <w:color w:val="auto"/>
          <w:highlight w:val="none"/>
        </w:rPr>
      </w:pPr>
      <w:r>
        <w:rPr>
          <w:rFonts w:hint="eastAsia" w:ascii="宋体"/>
          <w:bCs/>
          <w:color w:val="auto"/>
          <w:highlight w:val="none"/>
        </w:rPr>
        <w:t xml:space="preserve">    为有利于评标，评标委员会认为需要投标人作出必要澄清、说明的，可随时请投标人对其投标文件中含义不明确的内容、明显文字或者计算错误加以书面澄清、说明。这些资料经评标委员会认可后，可作为投标文件的一部分参与评标。</w:t>
      </w:r>
      <w:r/>
    </w:p>
    <w:p>
      <w:pPr>
        <w:pStyle w:val="1222"/>
        <w:ind w:left="0" w:firstLine="482"/>
        <w:jc w:val="both"/>
        <w:spacing w:line="440" w:lineRule="exact"/>
        <w:rPr>
          <w:rFonts w:ascii="宋体" w:hAnsi="宋体" w:eastAsia="宋体"/>
          <w:b/>
          <w:bCs/>
          <w:color w:val="auto"/>
          <w:sz w:val="24"/>
          <w:highlight w:val="none"/>
        </w:rPr>
      </w:pPr>
      <w:r/>
      <w:bookmarkStart w:id="238" w:name="_Toc18520"/>
      <w:r/>
      <w:bookmarkStart w:id="239" w:name="_Toc20732"/>
      <w:r/>
      <w:bookmarkStart w:id="240" w:name="_Toc21772"/>
      <w:r/>
      <w:bookmarkStart w:id="241" w:name="_Toc12710"/>
      <w:r/>
      <w:bookmarkStart w:id="242" w:name="_Toc13685"/>
      <w:r>
        <w:rPr>
          <w:rFonts w:hint="eastAsia" w:ascii="宋体" w:hAnsi="宋体" w:eastAsia="宋体"/>
          <w:b/>
          <w:bCs/>
          <w:color w:val="auto"/>
          <w:sz w:val="24"/>
          <w:highlight w:val="none"/>
        </w:rPr>
        <w:t xml:space="preserve">26.初步审查</w:t>
      </w:r>
      <w:bookmarkEnd w:id="238"/>
      <w:r/>
      <w:bookmarkEnd w:id="239"/>
      <w:r/>
      <w:bookmarkEnd w:id="240"/>
      <w:r/>
      <w:bookmarkEnd w:id="241"/>
      <w:r/>
      <w:bookmarkEnd w:id="242"/>
      <w:r/>
      <w:r/>
    </w:p>
    <w:p>
      <w:pPr>
        <w:ind w:firstLine="420"/>
        <w:spacing w:line="440" w:lineRule="exact"/>
        <w:rPr>
          <w:rFonts w:ascii="宋体"/>
          <w:bCs/>
          <w:color w:val="auto"/>
          <w:highlight w:val="none"/>
        </w:rPr>
      </w:pPr>
      <w:r>
        <w:rPr>
          <w:rFonts w:hint="eastAsia" w:ascii="宋体"/>
          <w:bCs/>
          <w:color w:val="auto"/>
          <w:highlight w:val="none"/>
        </w:rPr>
        <w:t xml:space="preserve">26.1投标文件初审分为资格性检查和符合性检查。</w:t>
      </w:r>
      <w:r/>
    </w:p>
    <w:p>
      <w:pPr>
        <w:ind w:firstLine="420"/>
        <w:spacing w:line="440" w:lineRule="exact"/>
        <w:shd w:val="clear" w:color="auto" w:fill="ffffff"/>
        <w:widowControl/>
        <w:rPr>
          <w:rFonts w:ascii="宋体" w:hAnsi="宋体"/>
          <w:color w:val="auto"/>
          <w:szCs w:val="21"/>
          <w:highlight w:val="none"/>
        </w:rPr>
      </w:pPr>
      <w:r>
        <w:rPr>
          <w:rFonts w:hint="eastAsia" w:ascii="宋体"/>
          <w:bCs/>
          <w:color w:val="auto"/>
          <w:highlight w:val="none"/>
        </w:rPr>
        <w:t xml:space="preserve">资格性检查：依据法律法规和招标文件的规定，对投标文件中的资格证明文件等进行审查，以确定投标人是否具备投标资格。</w:t>
      </w:r>
      <w:r/>
    </w:p>
    <w:p>
      <w:pPr>
        <w:ind w:firstLine="420"/>
        <w:spacing w:line="440" w:lineRule="exact"/>
        <w:rPr>
          <w:rFonts w:ascii="宋体"/>
          <w:bCs/>
          <w:color w:val="auto"/>
          <w:highlight w:val="none"/>
        </w:rPr>
      </w:pPr>
      <w:r>
        <w:rPr>
          <w:rFonts w:hint="eastAsia" w:ascii="宋体"/>
          <w:bCs/>
          <w:color w:val="auto"/>
          <w:highlight w:val="none"/>
        </w:rPr>
        <w:t xml:space="preserve">符合性检查：依据招标文件的规定，从投标文件的有效性、完整性和对招标文件的响应程度进行审查，以确定是否对招标文件的实质性要求作出响应。</w:t>
      </w:r>
      <w:r/>
    </w:p>
    <w:p>
      <w:pPr>
        <w:ind w:firstLine="420"/>
        <w:spacing w:line="440" w:lineRule="exact"/>
        <w:rPr>
          <w:rFonts w:ascii="宋体"/>
          <w:bCs/>
          <w:color w:val="auto"/>
          <w:highlight w:val="none"/>
        </w:rPr>
      </w:pPr>
      <w:r>
        <w:rPr>
          <w:rFonts w:hint="eastAsia" w:ascii="宋体"/>
          <w:bCs/>
          <w:color w:val="auto"/>
          <w:highlight w:val="none"/>
        </w:rPr>
        <w:t xml:space="preserve">26.2在详细评标之前，评标委员会将首先审查每份投标文件是否实质性响应了招标文件的要求，凡投标文件的实质性内容和关键格式严重不符合招标文件规定或不响应招标文件要求的，经评审委员会认定作无效投标文件处理。投标人不得通过修改或撤销不合要求的偏离或保留而使其投标成为实质性响应的投标。评委决定投标文件的响应性只根据投标文件本身的内容，而不寻求外部的证据。</w:t>
      </w:r>
      <w:r/>
    </w:p>
    <w:p>
      <w:pPr>
        <w:ind w:firstLine="420"/>
        <w:spacing w:line="440" w:lineRule="exact"/>
        <w:rPr>
          <w:rFonts w:ascii="宋体"/>
          <w:bCs/>
          <w:color w:val="auto"/>
          <w:highlight w:val="none"/>
        </w:rPr>
      </w:pPr>
      <w:r>
        <w:rPr>
          <w:rFonts w:hint="eastAsia" w:ascii="宋体"/>
          <w:bCs/>
          <w:color w:val="auto"/>
          <w:highlight w:val="none"/>
        </w:rPr>
        <w:t xml:space="preserve">26.</w:t>
      </w:r>
      <w:r>
        <w:rPr>
          <w:rFonts w:hint="eastAsia" w:ascii="宋体"/>
          <w:bCs/>
          <w:color w:val="auto"/>
          <w:highlight w:val="none"/>
          <w:lang w:val="en-US" w:eastAsia="zh-CN"/>
        </w:rPr>
        <w:t xml:space="preserve">3</w:t>
      </w:r>
      <w:r>
        <w:rPr>
          <w:rFonts w:hint="eastAsia" w:ascii="宋体"/>
          <w:bCs/>
          <w:color w:val="auto"/>
          <w:highlight w:val="none"/>
        </w:rPr>
        <w:t xml:space="preserve">评标委员会根据投标人的有效报价,计算各投标人的报价得分。</w:t>
      </w:r>
      <w:r/>
    </w:p>
    <w:p>
      <w:pPr>
        <w:ind w:firstLine="420"/>
        <w:spacing w:line="440" w:lineRule="exact"/>
        <w:rPr>
          <w:rFonts w:ascii="宋体"/>
          <w:bCs/>
          <w:color w:val="auto"/>
          <w:highlight w:val="none"/>
        </w:rPr>
      </w:pPr>
      <w:r>
        <w:rPr>
          <w:rFonts w:hint="eastAsia" w:ascii="宋体"/>
          <w:bCs/>
          <w:color w:val="auto"/>
          <w:highlight w:val="none"/>
        </w:rPr>
        <w:t xml:space="preserve">26.</w:t>
      </w:r>
      <w:r>
        <w:rPr>
          <w:rFonts w:hint="eastAsia" w:ascii="宋体"/>
          <w:bCs/>
          <w:color w:val="auto"/>
          <w:highlight w:val="none"/>
          <w:lang w:val="en-US" w:eastAsia="zh-CN"/>
        </w:rPr>
        <w:t xml:space="preserve">4</w:t>
      </w:r>
      <w:r>
        <w:rPr>
          <w:rFonts w:hint="eastAsia" w:ascii="宋体"/>
          <w:bCs/>
          <w:color w:val="auto"/>
          <w:highlight w:val="none"/>
        </w:rPr>
        <w:t xml:space="preserve">评标委员会完成评审后,评审专家对各部分得分进行汇总,计算各投标人的最终得分,推荐中标候选人，并制作评标报告。</w:t>
      </w:r>
      <w:r/>
    </w:p>
    <w:p>
      <w:pPr>
        <w:ind w:firstLine="420"/>
        <w:spacing w:line="440" w:lineRule="exact"/>
        <w:rPr>
          <w:rFonts w:hint="eastAsia" w:ascii="宋体" w:hAnsi="宋体"/>
          <w:color w:val="auto"/>
          <w:szCs w:val="21"/>
          <w:highlight w:val="none"/>
        </w:rPr>
      </w:pPr>
      <w:r>
        <w:rPr>
          <w:rFonts w:hint="eastAsia" w:ascii="宋体"/>
          <w:bCs/>
          <w:color w:val="auto"/>
          <w:highlight w:val="none"/>
        </w:rPr>
        <w:t xml:space="preserve">26.</w:t>
      </w:r>
      <w:r>
        <w:rPr>
          <w:rFonts w:hint="eastAsia" w:ascii="宋体"/>
          <w:bCs/>
          <w:color w:val="auto"/>
          <w:highlight w:val="none"/>
          <w:lang w:val="en-US" w:eastAsia="zh-CN"/>
        </w:rPr>
        <w:t xml:space="preserve">5</w:t>
      </w:r>
      <w:r>
        <w:rPr>
          <w:rFonts w:hint="eastAsia" w:ascii="宋体" w:hAnsi="宋体"/>
          <w:color w:val="auto"/>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spacing w:line="440" w:lineRule="exact"/>
        <w:rPr>
          <w:rFonts w:ascii="宋体"/>
          <w:bCs/>
          <w:color w:val="auto"/>
          <w:highlight w:val="none"/>
        </w:rPr>
      </w:pPr>
      <w:r>
        <w:rPr>
          <w:rFonts w:hint="eastAsia" w:ascii="宋体" w:hAnsi="宋体"/>
          <w:color w:val="auto"/>
          <w:szCs w:val="21"/>
          <w:highlight w:val="none"/>
        </w:rPr>
        <w:t xml:space="preserve">非单一产品采购项目，确定核心产品。多家投标人提供的核心产品品牌相同的，按前两款规定处理</w:t>
      </w:r>
      <w:r>
        <w:rPr>
          <w:rFonts w:hint="eastAsia" w:ascii="宋体"/>
          <w:bCs/>
          <w:color w:val="auto"/>
          <w:highlight w:val="none"/>
        </w:rPr>
        <w:t xml:space="preserve">。</w:t>
      </w:r>
      <w:r/>
    </w:p>
    <w:p>
      <w:pPr>
        <w:ind w:firstLine="422"/>
        <w:spacing w:line="440" w:lineRule="exact"/>
        <w:rPr>
          <w:rFonts w:ascii="Arial" w:hAnsi="Arial" w:cs="Arial"/>
          <w:b/>
          <w:strike w:val="0"/>
          <w:color w:val="auto"/>
          <w:highlight w:val="none"/>
        </w:rPr>
      </w:pPr>
      <w:r>
        <w:rPr>
          <w:rFonts w:hint="eastAsia" w:ascii="宋体"/>
          <w:b/>
          <w:color w:val="auto"/>
          <w:highlight w:val="none"/>
        </w:rPr>
        <w:t xml:space="preserve">26.</w:t>
      </w:r>
      <w:r>
        <w:rPr>
          <w:rFonts w:hint="eastAsia" w:ascii="宋体"/>
          <w:b/>
          <w:color w:val="auto"/>
          <w:highlight w:val="none"/>
          <w:lang w:val="en-US" w:eastAsia="zh-CN"/>
        </w:rPr>
        <w:t xml:space="preserve">6</w:t>
      </w:r>
      <w:r>
        <w:rPr>
          <w:rFonts w:ascii="Arial" w:hAnsi="Arial" w:cs="Arial"/>
          <w:b/>
          <w:color w:val="auto"/>
          <w:highlight w:val="none"/>
        </w:rPr>
        <w:t xml:space="preserve">招标文件中</w:t>
      </w:r>
      <w:r>
        <w:rPr>
          <w:rFonts w:hint="eastAsia" w:hAnsi="Arial"/>
          <w:b/>
          <w:color w:val="auto"/>
          <w:highlight w:val="none"/>
        </w:rPr>
        <w:t xml:space="preserve">标</w:t>
      </w:r>
      <w:r>
        <w:rPr>
          <w:rFonts w:hint="eastAsia" w:ascii="Arial" w:hAnsi="Arial" w:cs="Arial"/>
          <w:b/>
          <w:color w:val="auto"/>
          <w:highlight w:val="none"/>
        </w:rPr>
        <w:t xml:space="preserve">注“▲”的为否决项，不满足的</w:t>
      </w:r>
      <w:r>
        <w:rPr>
          <w:rFonts w:hint="eastAsia" w:ascii="Arial" w:hAnsi="Arial" w:cs="Arial"/>
          <w:b/>
          <w:color w:val="auto"/>
          <w:highlight w:val="none"/>
          <w:lang w:val="en-US" w:eastAsia="zh-CN"/>
        </w:rPr>
        <w:t xml:space="preserve">其</w:t>
      </w:r>
      <w:r>
        <w:rPr>
          <w:rFonts w:hint="eastAsia" w:ascii="Arial" w:hAnsi="Arial" w:cs="Arial"/>
          <w:b/>
          <w:color w:val="auto"/>
          <w:highlight w:val="none"/>
          <w:lang w:eastAsia="zh-CN"/>
        </w:rPr>
        <w:t xml:space="preserve">投标</w:t>
      </w:r>
      <w:r>
        <w:rPr>
          <w:rFonts w:hint="eastAsia" w:ascii="Arial" w:hAnsi="Arial" w:cs="Arial"/>
          <w:b/>
          <w:color w:val="auto"/>
          <w:highlight w:val="none"/>
          <w:lang w:val="en-US" w:eastAsia="zh-CN"/>
        </w:rPr>
        <w:t xml:space="preserve">将</w:t>
      </w:r>
      <w:r>
        <w:rPr>
          <w:rFonts w:hint="eastAsia" w:ascii="Arial" w:hAnsi="Arial" w:cs="Arial"/>
          <w:b/>
          <w:color w:val="auto"/>
          <w:highlight w:val="none"/>
          <w:lang w:eastAsia="zh-CN"/>
        </w:rPr>
        <w:t xml:space="preserve">被否决</w:t>
      </w:r>
      <w:r>
        <w:rPr>
          <w:rFonts w:hint="eastAsia" w:ascii="Arial" w:hAnsi="Arial" w:cs="Arial"/>
          <w:b/>
          <w:color w:val="auto"/>
          <w:highlight w:val="none"/>
        </w:rPr>
        <w:t xml:space="preserve">，</w:t>
      </w:r>
      <w:r>
        <w:rPr>
          <w:rFonts w:ascii="Arial" w:hAnsi="Arial" w:cs="Arial"/>
          <w:b/>
          <w:strike w:val="0"/>
          <w:color w:val="auto"/>
          <w:highlight w:val="none"/>
        </w:rPr>
        <w:t xml:space="preserve">标注“</w:t>
      </w:r>
      <w:r>
        <w:rPr>
          <w:rFonts w:hint="eastAsia" w:ascii="Arial" w:hAnsi="Arial" w:cs="Arial"/>
          <w:b/>
          <w:strike w:val="0"/>
          <w:color w:val="auto"/>
          <w:highlight w:val="none"/>
        </w:rPr>
        <w:t xml:space="preserve">★</w:t>
      </w:r>
      <w:r>
        <w:rPr>
          <w:rFonts w:ascii="Arial" w:hAnsi="Arial" w:cs="Arial"/>
          <w:b/>
          <w:strike w:val="0"/>
          <w:color w:val="auto"/>
          <w:highlight w:val="none"/>
        </w:rPr>
        <w:t xml:space="preserve">”的内容为</w:t>
      </w:r>
      <w:r>
        <w:rPr>
          <w:rFonts w:hint="eastAsia" w:ascii="Arial" w:hAnsi="Arial" w:cs="Arial"/>
          <w:b/>
          <w:strike w:val="0"/>
          <w:color w:val="auto"/>
          <w:highlight w:val="none"/>
        </w:rPr>
        <w:t xml:space="preserve">重要</w:t>
      </w:r>
      <w:r>
        <w:rPr>
          <w:rFonts w:ascii="Arial" w:hAnsi="Arial" w:cs="Arial"/>
          <w:b/>
          <w:strike w:val="0"/>
          <w:color w:val="auto"/>
          <w:highlight w:val="none"/>
        </w:rPr>
        <w:t xml:space="preserve">参数，有一项不符合的</w:t>
      </w:r>
      <w:r>
        <w:rPr>
          <w:rFonts w:hint="eastAsia" w:ascii="Arial" w:hAnsi="Arial" w:cs="Arial"/>
          <w:b/>
          <w:strike w:val="0"/>
          <w:color w:val="auto"/>
          <w:highlight w:val="none"/>
        </w:rPr>
        <w:t xml:space="preserve">按照</w:t>
      </w:r>
      <w:r>
        <w:rPr>
          <w:rFonts w:ascii="Arial" w:hAnsi="Arial" w:cs="Arial"/>
          <w:b/>
          <w:strike w:val="0"/>
          <w:color w:val="auto"/>
          <w:highlight w:val="none"/>
        </w:rPr>
        <w:t xml:space="preserve">评分标准扣除相应分值</w:t>
      </w:r>
      <w:r>
        <w:rPr>
          <w:rFonts w:hint="eastAsia" w:ascii="Arial" w:hAnsi="Arial" w:cs="Arial"/>
          <w:b/>
          <w:strike w:val="0"/>
          <w:color w:val="auto"/>
          <w:highlight w:val="none"/>
        </w:rPr>
        <w:t xml:space="preserve">。</w:t>
      </w:r>
      <w:r/>
    </w:p>
    <w:p>
      <w:pPr>
        <w:ind w:firstLine="422"/>
        <w:spacing w:line="440" w:lineRule="exact"/>
        <w:rPr>
          <w:rFonts w:hint="eastAsia" w:ascii="宋体"/>
          <w:b/>
          <w:color w:val="auto"/>
          <w:highlight w:val="none"/>
        </w:rPr>
      </w:pPr>
      <w:r>
        <w:rPr>
          <w:rFonts w:hint="eastAsia" w:ascii="宋体"/>
          <w:b/>
          <w:color w:val="auto"/>
          <w:highlight w:val="none"/>
        </w:rPr>
        <w:t xml:space="preserve">26.7.1评审过程中出现下列情形之一的，评审委员会应当启动异常低价投标（响应）审查程序：</w:t>
      </w:r>
      <w:r/>
    </w:p>
    <w:p>
      <w:pPr>
        <w:ind w:firstLine="422"/>
        <w:spacing w:line="440" w:lineRule="exact"/>
        <w:rPr>
          <w:rFonts w:hint="eastAsia" w:ascii="宋体"/>
          <w:b/>
          <w:color w:val="auto"/>
          <w:highlight w:val="none"/>
        </w:rPr>
      </w:pPr>
      <w:r>
        <w:rPr>
          <w:rFonts w:hint="eastAsia" w:ascii="宋体"/>
          <w:b/>
          <w:color w:val="auto"/>
          <w:highlight w:val="none"/>
        </w:rPr>
        <w:t xml:space="preserve">1）投标（响应）报价低于采购项目预算 50% 的，即投标（响应）报价&lt;采购项目预算×50% ；</w:t>
      </w:r>
      <w:r/>
    </w:p>
    <w:p>
      <w:pPr>
        <w:ind w:firstLine="422"/>
        <w:spacing w:line="440" w:lineRule="exact"/>
        <w:rPr>
          <w:rFonts w:hint="eastAsia" w:ascii="宋体"/>
          <w:b/>
          <w:color w:val="auto"/>
          <w:highlight w:val="none"/>
        </w:rPr>
      </w:pPr>
      <w:r>
        <w:rPr>
          <w:rFonts w:hint="eastAsia" w:ascii="宋体"/>
          <w:b/>
          <w:color w:val="auto"/>
          <w:highlight w:val="none"/>
        </w:rPr>
        <w:t xml:space="preserve">2）投标（响应）报价低于采购项目最高限价 45% 的，即投标（响应）报价&lt;采购项目最高限价×45% ；</w:t>
      </w:r>
      <w:r/>
    </w:p>
    <w:p>
      <w:pPr>
        <w:ind w:firstLine="422"/>
        <w:spacing w:line="440" w:lineRule="exact"/>
        <w:rPr>
          <w:rFonts w:hint="eastAsia" w:ascii="宋体"/>
          <w:b/>
          <w:color w:val="auto"/>
          <w:highlight w:val="none"/>
        </w:rPr>
      </w:pPr>
      <w:r>
        <w:rPr>
          <w:rFonts w:hint="eastAsia" w:ascii="宋体"/>
          <w:b/>
          <w:color w:val="auto"/>
          <w:highlight w:val="none"/>
        </w:rPr>
        <w:t xml:space="preserve">3）评审委员会认定的供应商报价过低、有可能影响产品质量或者不能诚信履约的其他情形。</w:t>
      </w:r>
      <w:r/>
    </w:p>
    <w:p>
      <w:pPr>
        <w:ind w:firstLine="422"/>
        <w:spacing w:line="440" w:lineRule="exact"/>
        <w:rPr>
          <w:rFonts w:ascii="Arial" w:hAnsi="Arial" w:cs="Arial"/>
          <w:b/>
          <w:color w:val="auto"/>
          <w:highlight w:val="none"/>
        </w:rPr>
      </w:pPr>
      <w:r>
        <w:rPr>
          <w:rFonts w:hint="eastAsia" w:ascii="宋体"/>
          <w:b/>
          <w:color w:val="auto"/>
          <w:highlight w:val="none"/>
        </w:rPr>
        <w:t xml:space="preserve">26.7.2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40" w:lineRule="exact"/>
        <w:rPr>
          <w:bCs/>
          <w:color w:val="auto"/>
          <w:highlight w:val="none"/>
        </w:rPr>
      </w:pPr>
      <w:r>
        <w:rPr>
          <w:rFonts w:hint="eastAsia"/>
          <w:b/>
          <w:bCs w:val="0"/>
          <w:color w:val="auto"/>
          <w:highlight w:val="none"/>
        </w:rPr>
        <w:t xml:space="preserve">26.</w:t>
      </w:r>
      <w:r>
        <w:rPr>
          <w:rFonts w:hint="eastAsia"/>
          <w:b/>
          <w:bCs w:val="0"/>
          <w:color w:val="auto"/>
          <w:highlight w:val="none"/>
          <w:lang w:val="en-US" w:eastAsia="zh-CN"/>
        </w:rPr>
        <w:t xml:space="preserve">8</w:t>
      </w:r>
      <w:r>
        <w:rPr>
          <w:rFonts w:hint="eastAsia"/>
          <w:b/>
          <w:bCs w:val="0"/>
          <w:color w:val="auto"/>
          <w:highlight w:val="none"/>
        </w:rPr>
        <w:t xml:space="preserve">技术参数偏离表中未作出响应的视为负偏离。</w:t>
      </w:r>
      <w:r/>
    </w:p>
    <w:p>
      <w:pPr>
        <w:pStyle w:val="1222"/>
        <w:ind w:left="0" w:firstLine="482"/>
        <w:jc w:val="both"/>
        <w:spacing w:line="440" w:lineRule="exact"/>
        <w:rPr>
          <w:rFonts w:ascii="宋体" w:hAnsi="宋体" w:eastAsia="宋体"/>
          <w:b/>
          <w:bCs/>
          <w:color w:val="auto"/>
          <w:sz w:val="24"/>
          <w:highlight w:val="none"/>
        </w:rPr>
      </w:pPr>
      <w:r/>
      <w:bookmarkStart w:id="243" w:name="_Toc30824"/>
      <w:r/>
      <w:bookmarkStart w:id="244" w:name="_Toc26838"/>
      <w:r/>
      <w:bookmarkStart w:id="245" w:name="_Toc843"/>
      <w:r/>
      <w:bookmarkStart w:id="246" w:name="_Toc17401"/>
      <w:r/>
      <w:bookmarkStart w:id="247" w:name="_Toc23547"/>
      <w:r>
        <w:rPr>
          <w:rFonts w:hint="eastAsia" w:ascii="宋体" w:hAnsi="宋体" w:eastAsia="宋体"/>
          <w:b/>
          <w:bCs/>
          <w:color w:val="auto"/>
          <w:sz w:val="24"/>
          <w:highlight w:val="none"/>
        </w:rPr>
        <w:t xml:space="preserve">27.无效投标条款和废标条款</w:t>
      </w:r>
      <w:bookmarkEnd w:id="243"/>
      <w:r/>
      <w:bookmarkEnd w:id="244"/>
      <w:r/>
      <w:bookmarkEnd w:id="245"/>
      <w:r/>
      <w:bookmarkEnd w:id="246"/>
      <w:r/>
      <w:bookmarkEnd w:id="247"/>
      <w:r/>
      <w:r/>
    </w:p>
    <w:p>
      <w:pPr>
        <w:ind w:firstLine="420"/>
        <w:spacing w:line="360" w:lineRule="auto"/>
        <w:rPr>
          <w:rFonts w:ascii="宋体"/>
          <w:bCs/>
          <w:color w:val="auto"/>
          <w:highlight w:val="none"/>
        </w:rPr>
      </w:pPr>
      <w:r>
        <w:rPr>
          <w:rFonts w:hint="eastAsia" w:ascii="宋体"/>
          <w:bCs/>
          <w:color w:val="auto"/>
          <w:highlight w:val="none"/>
        </w:rPr>
        <w:t xml:space="preserve">27.1无效投标条款</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未按照招标文件规定要求密封、签署</w:t>
      </w:r>
      <w:r>
        <w:rPr>
          <w:rFonts w:hint="eastAsia" w:ascii="宋体" w:hAnsi="宋体" w:cs="宋体"/>
          <w:color w:val="auto"/>
          <w:szCs w:val="21"/>
          <w:highlight w:val="none"/>
          <w:lang w:val="zh-CN"/>
        </w:rPr>
        <w:t xml:space="preserve">、盖章的，以及没有《开标一览表》或《开标一览表》没有按照招标文件要求单独封装、盖章的；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）投标总价超出采购预算限额的；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）不具备招标文件中规定资格要求的；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（4）不同供应商的投标文件由同一单位或者个人编制；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（5）不同供应商委托同一单位或者个人办理投标事宜；</w:t>
      </w:r>
      <w:r/>
    </w:p>
    <w:p>
      <w:pPr>
        <w:ind w:firstLine="42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（6）不同供应商的投标文件载明的项目管理成员为同一人；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（7）不同供应商的投标文件异常一致或者投标报价呈规律性差异；</w:t>
      </w:r>
      <w:r/>
    </w:p>
    <w:p>
      <w:pPr>
        <w:ind w:firstLine="42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（8）不同供应商的投标文件相互混装；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）不同供应商的负责人为同一人或者存在控股、管理关系的；</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val="zh-CN"/>
        </w:rPr>
        <w:t xml:space="preserve">）没有逐一说明投标产品和服务响应，而是直接拷贝招标文件技术要求的；</w:t>
      </w:r>
      <w:r/>
    </w:p>
    <w:p>
      <w:pPr>
        <w:ind w:firstLine="420"/>
        <w:jc w:val="left"/>
        <w:spacing w:line="360" w:lineRule="auto"/>
        <w:widowControl/>
        <w:rPr>
          <w:rFonts w:ascii="宋体" w:hAnsi="宋体" w:cs="宋体"/>
          <w:i/>
          <w:iCs/>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不同供应商的委托代理人(或法定代表人、项目经理、项目总监、项目负责人等)在采购文件发布日上月至投标截止日当月在同一单位缴纳社会保险的；</w:t>
      </w:r>
      <w:r/>
    </w:p>
    <w:p>
      <w:pPr>
        <w:ind w:firstLine="422"/>
        <w:spacing w:line="360" w:lineRule="auto"/>
        <w:rPr>
          <w:rFonts w:hint="eastAsia" w:ascii="宋体" w:hAnsi="宋体"/>
          <w:b/>
          <w:bCs/>
          <w:i/>
          <w:iCs/>
          <w:color w:val="auto"/>
          <w:szCs w:val="21"/>
          <w:highlight w:val="none"/>
          <w:lang w:val="zh-CN"/>
        </w:rPr>
      </w:pPr>
      <w:r>
        <w:rPr>
          <w:rFonts w:hint="eastAsia" w:ascii="宋体" w:hAnsi="宋体"/>
          <w:b/>
          <w:bCs/>
          <w:i/>
          <w:iCs/>
          <w:color w:val="auto"/>
          <w:szCs w:val="21"/>
          <w:highlight w:val="none"/>
          <w:lang w:val="zh-CN"/>
        </w:rPr>
        <w:t xml:space="preserve">（</w:t>
      </w:r>
      <w:r>
        <w:rPr>
          <w:rFonts w:hint="eastAsia" w:ascii="宋体" w:hAnsi="宋体"/>
          <w:b/>
          <w:bCs/>
          <w:i/>
          <w:iCs/>
          <w:color w:val="auto"/>
          <w:szCs w:val="21"/>
          <w:highlight w:val="none"/>
          <w:lang w:val="en-US" w:eastAsia="zh-CN"/>
        </w:rPr>
        <w:t xml:space="preserve">12</w:t>
      </w:r>
      <w:r>
        <w:rPr>
          <w:rFonts w:hint="eastAsia" w:ascii="宋体" w:hAnsi="宋体"/>
          <w:b/>
          <w:bCs/>
          <w:i/>
          <w:iCs/>
          <w:color w:val="auto"/>
          <w:szCs w:val="21"/>
          <w:highlight w:val="none"/>
          <w:lang w:val="zh-CN"/>
        </w:rPr>
        <w:t xml:space="preserve">）</w:t>
      </w:r>
      <w:r>
        <w:rPr>
          <w:rFonts w:hint="eastAsia" w:ascii="宋体" w:hAnsi="宋体"/>
          <w:b/>
          <w:bCs/>
          <w:i/>
          <w:iCs/>
          <w:color w:val="auto"/>
          <w:szCs w:val="21"/>
          <w:highlight w:val="none"/>
          <w:lang w:val="en-US" w:eastAsia="zh-CN"/>
        </w:rPr>
        <w:t xml:space="preserve">质保期、</w:t>
      </w:r>
      <w:r>
        <w:rPr>
          <w:rFonts w:hint="eastAsia" w:ascii="宋体" w:hAnsi="宋体"/>
          <w:b/>
          <w:bCs/>
          <w:i/>
          <w:iCs/>
          <w:color w:val="auto"/>
          <w:szCs w:val="21"/>
          <w:highlight w:val="none"/>
          <w:lang w:val="zh-CN"/>
        </w:rPr>
        <w:t xml:space="preserve">服务承诺和付款条件未响应招标要求的；</w:t>
      </w:r>
      <w:r/>
    </w:p>
    <w:p>
      <w:pPr>
        <w:ind w:firstLine="420"/>
        <w:spacing w:line="360" w:lineRule="auto"/>
        <w:rPr>
          <w:rFonts w:hint="eastAsia" w:ascii="宋体" w:hAnsi="宋体"/>
          <w:b w:val="0"/>
          <w:bCs w:val="0"/>
          <w:i w:val="0"/>
          <w:iCs w:val="0"/>
          <w:color w:val="auto"/>
          <w:szCs w:val="21"/>
          <w:highlight w:val="none"/>
          <w:lang w:val="en-US" w:eastAsia="zh-CN"/>
        </w:rPr>
      </w:pPr>
      <w:r>
        <w:rPr>
          <w:rFonts w:hint="eastAsia" w:ascii="宋体" w:hAnsi="宋体"/>
          <w:b w:val="0"/>
          <w:bCs w:val="0"/>
          <w:i w:val="0"/>
          <w:iCs w:val="0"/>
          <w:color w:val="auto"/>
          <w:szCs w:val="21"/>
          <w:highlight w:val="none"/>
          <w:lang w:val="en-US" w:eastAsia="zh-CN"/>
        </w:rPr>
        <w:t xml:space="preserve">(13)实质性响应的投标应该是与招标文件要求的全部条款、条件和规格相符，没有重大偏离或保留的投标。</w:t>
      </w:r>
      <w:r/>
    </w:p>
    <w:p>
      <w:pPr>
        <w:ind w:firstLine="420"/>
        <w:spacing w:line="360" w:lineRule="auto"/>
        <w:rPr>
          <w:rFonts w:hint="default" w:ascii="宋体" w:hAnsi="宋体" w:eastAsia="宋体"/>
          <w:b w:val="0"/>
          <w:bCs w:val="0"/>
          <w:i w:val="0"/>
          <w:iCs w:val="0"/>
          <w:color w:val="auto"/>
          <w:szCs w:val="21"/>
          <w:highlight w:val="none"/>
          <w:lang w:val="en-US" w:eastAsia="zh-CN"/>
        </w:rPr>
      </w:pPr>
      <w:r>
        <w:rPr>
          <w:rFonts w:hint="eastAsia" w:ascii="宋体" w:hAnsi="宋体"/>
          <w:b w:val="0"/>
          <w:bCs w:val="0"/>
          <w:i w:val="0"/>
          <w:iCs w:val="0"/>
          <w:color w:val="auto"/>
          <w:szCs w:val="21"/>
          <w:highlight w:val="none"/>
          <w:lang w:val="en-US"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14</w:t>
      </w:r>
      <w:r>
        <w:rPr>
          <w:rFonts w:hint="eastAsia" w:ascii="宋体" w:hAnsi="宋体"/>
          <w:color w:val="auto"/>
          <w:szCs w:val="21"/>
          <w:highlight w:val="none"/>
          <w:lang w:val="zh-CN"/>
        </w:rPr>
        <w:t xml:space="preserve">）不符合法律、法规和招标文件规定的其他实质性要求的等。</w:t>
      </w:r>
      <w:r/>
    </w:p>
    <w:p>
      <w:pPr>
        <w:ind w:firstLine="420"/>
        <w:spacing w:line="440" w:lineRule="exact"/>
        <w:rPr>
          <w:rFonts w:ascii="宋体"/>
          <w:bCs/>
          <w:color w:val="auto"/>
          <w:highlight w:val="none"/>
        </w:rPr>
      </w:pPr>
      <w:r>
        <w:rPr>
          <w:rFonts w:hint="eastAsia" w:ascii="宋体"/>
          <w:bCs/>
          <w:color w:val="auto"/>
          <w:highlight w:val="none"/>
        </w:rPr>
        <w:t xml:space="preserve">27.2废标条款：</w:t>
      </w:r>
      <w:r/>
    </w:p>
    <w:p>
      <w:pPr>
        <w:ind w:firstLine="420"/>
        <w:spacing w:line="440" w:lineRule="exact"/>
        <w:rPr>
          <w:rFonts w:ascii="宋体"/>
          <w:bCs/>
          <w:color w:val="auto"/>
          <w:highlight w:val="none"/>
        </w:rPr>
      </w:pPr>
      <w:r>
        <w:rPr>
          <w:rFonts w:hint="eastAsia" w:ascii="宋体"/>
          <w:bCs/>
          <w:color w:val="auto"/>
          <w:highlight w:val="none"/>
        </w:rPr>
        <w:t xml:space="preserve">（1）符合专业条件的投标人或者对招标文件作实质响应的投标人不足三家的；</w:t>
      </w:r>
      <w:r/>
    </w:p>
    <w:p>
      <w:pPr>
        <w:ind w:firstLine="420"/>
        <w:spacing w:line="440" w:lineRule="exact"/>
        <w:rPr>
          <w:rFonts w:ascii="宋体"/>
          <w:bCs/>
          <w:color w:val="auto"/>
          <w:highlight w:val="none"/>
        </w:rPr>
      </w:pPr>
      <w:r>
        <w:rPr>
          <w:rFonts w:hint="eastAsia" w:ascii="宋体"/>
          <w:bCs/>
          <w:color w:val="auto"/>
          <w:highlight w:val="none"/>
        </w:rPr>
        <w:t xml:space="preserve">（2）出现影响采购公正的违法、违规行为的；</w:t>
      </w:r>
      <w:r/>
    </w:p>
    <w:p>
      <w:pPr>
        <w:ind w:firstLine="420"/>
        <w:spacing w:line="440" w:lineRule="exact"/>
        <w:rPr>
          <w:rFonts w:ascii="宋体"/>
          <w:bCs/>
          <w:color w:val="auto"/>
          <w:highlight w:val="none"/>
        </w:rPr>
      </w:pPr>
      <w:r>
        <w:rPr>
          <w:rFonts w:hint="eastAsia" w:ascii="宋体"/>
          <w:bCs/>
          <w:color w:val="auto"/>
          <w:highlight w:val="none"/>
        </w:rPr>
        <w:t xml:space="preserve">（3）因重大变故，采购任务取消的；</w:t>
      </w:r>
      <w:r/>
    </w:p>
    <w:p>
      <w:pPr>
        <w:ind w:firstLine="420"/>
        <w:spacing w:line="440" w:lineRule="exact"/>
        <w:rPr>
          <w:rFonts w:ascii="宋体"/>
          <w:bCs/>
          <w:color w:val="auto"/>
          <w:highlight w:val="none"/>
        </w:rPr>
      </w:pPr>
      <w:r>
        <w:rPr>
          <w:rFonts w:hint="eastAsia" w:ascii="宋体"/>
          <w:bCs/>
          <w:color w:val="auto"/>
          <w:highlight w:val="none"/>
        </w:rPr>
        <w:t xml:space="preserve">（4）评标委员会认定招标文件存在歧义、 重大缺陷导致评审工作无法进行的。</w:t>
      </w:r>
      <w:r/>
    </w:p>
    <w:p>
      <w:pPr>
        <w:ind w:firstLine="420"/>
        <w:spacing w:line="440" w:lineRule="exact"/>
        <w:shd w:val="clear" w:color="auto" w:fill="ffffff"/>
        <w:widowControl/>
        <w:rPr>
          <w:rFonts w:ascii="宋体" w:hAnsi="宋体"/>
          <w:b/>
          <w:bCs/>
          <w:color w:val="auto"/>
          <w:sz w:val="24"/>
          <w:highlight w:val="none"/>
        </w:rPr>
        <w:outlineLvl w:val="1"/>
      </w:pPr>
      <w:r/>
      <w:bookmarkStart w:id="248" w:name="_Toc10969"/>
      <w:r/>
      <w:bookmarkStart w:id="249" w:name="_Toc4573"/>
      <w:r/>
      <w:bookmarkStart w:id="250" w:name="_Toc26441"/>
      <w:r/>
      <w:bookmarkStart w:id="251" w:name="_Toc18327"/>
      <w:r/>
      <w:bookmarkStart w:id="252" w:name="_Toc15437"/>
      <w:r>
        <w:rPr>
          <w:rFonts w:hint="eastAsia" w:ascii="宋体" w:hAnsi="宋体"/>
          <w:b/>
          <w:bCs/>
          <w:color w:val="auto"/>
          <w:sz w:val="24"/>
          <w:highlight w:val="none"/>
        </w:rPr>
        <w:t xml:space="preserve">六、授标</w:t>
      </w:r>
      <w:bookmarkEnd w:id="248"/>
      <w:r/>
      <w:bookmarkEnd w:id="249"/>
      <w:r/>
      <w:bookmarkEnd w:id="250"/>
      <w:r/>
      <w:bookmarkEnd w:id="251"/>
      <w:r/>
      <w:bookmarkEnd w:id="252"/>
      <w:r/>
      <w:r/>
    </w:p>
    <w:p>
      <w:pPr>
        <w:pStyle w:val="1222"/>
        <w:ind w:left="0" w:firstLine="482"/>
        <w:jc w:val="both"/>
        <w:spacing w:line="440" w:lineRule="exact"/>
        <w:rPr>
          <w:rFonts w:ascii="宋体" w:hAnsi="宋体" w:eastAsia="宋体"/>
          <w:b/>
          <w:bCs/>
          <w:color w:val="auto"/>
          <w:sz w:val="24"/>
          <w:highlight w:val="none"/>
        </w:rPr>
      </w:pPr>
      <w:r/>
      <w:bookmarkStart w:id="253" w:name="_Toc25636"/>
      <w:r/>
      <w:bookmarkStart w:id="254" w:name="_Toc6515"/>
      <w:r/>
      <w:bookmarkStart w:id="255" w:name="_Toc28693"/>
      <w:r/>
      <w:bookmarkStart w:id="256" w:name="_Toc5511"/>
      <w:r/>
      <w:bookmarkStart w:id="257" w:name="_Toc6178"/>
      <w:r>
        <w:rPr>
          <w:rFonts w:hint="eastAsia" w:ascii="宋体" w:hAnsi="宋体" w:eastAsia="宋体"/>
          <w:b/>
          <w:bCs/>
          <w:color w:val="auto"/>
          <w:sz w:val="24"/>
          <w:highlight w:val="none"/>
        </w:rPr>
        <w:t xml:space="preserve">28.确定中标人</w:t>
      </w:r>
      <w:bookmarkEnd w:id="253"/>
      <w:r/>
      <w:bookmarkEnd w:id="254"/>
      <w:r/>
      <w:bookmarkEnd w:id="255"/>
      <w:r/>
      <w:bookmarkEnd w:id="256"/>
      <w:r/>
      <w:bookmarkEnd w:id="257"/>
      <w:r/>
      <w:r/>
    </w:p>
    <w:p>
      <w:pPr>
        <w:ind w:firstLine="420"/>
        <w:spacing w:line="440" w:lineRule="exact"/>
        <w:rPr>
          <w:color w:val="auto"/>
          <w:highlight w:val="none"/>
        </w:rPr>
      </w:pPr>
      <w:r>
        <w:rPr>
          <w:rFonts w:hint="eastAsia" w:ascii="宋体" w:hAnsi="宋体"/>
          <w:color w:val="auto"/>
          <w:szCs w:val="21"/>
          <w:highlight w:val="none"/>
        </w:rPr>
        <w:t xml:space="preserve">28.1评标委员会根据招标文件规定的评分办法与评分标准的</w:t>
      </w:r>
      <w:r>
        <w:rPr>
          <w:rFonts w:hint="eastAsia"/>
          <w:color w:val="auto"/>
          <w:highlight w:val="none"/>
        </w:rPr>
        <w:t xml:space="preserve">各项因素综合评价每份投标文件，综合比较与评价后按照得分高低顺序对供应商进行排列。得分相同的，按投标报价由低到高顺序排列。得分且投标报价相同的，按技术指标优劣顺序排列。评标委员会根据最终排名</w:t>
      </w:r>
      <w:r>
        <w:rPr>
          <w:rFonts w:hint="eastAsia" w:ascii="宋体" w:hAnsi="宋体"/>
          <w:color w:val="auto"/>
          <w:szCs w:val="21"/>
          <w:highlight w:val="none"/>
        </w:rPr>
        <w:t xml:space="preserve">向</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推荐中标候选人。</w:t>
      </w:r>
      <w:r>
        <w:rPr>
          <w:rFonts w:hint="eastAsia"/>
          <w:color w:val="auto"/>
          <w:highlight w:val="none"/>
        </w:rPr>
        <w:t xml:space="preserve">最低投标价等任何单项因素的最优不是中标的必要条件。</w:t>
      </w:r>
      <w:r/>
    </w:p>
    <w:p>
      <w:pPr>
        <w:ind w:firstLine="420"/>
        <w:spacing w:line="440" w:lineRule="exac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28.2 采购人应根据评标委员会推荐的中标候选人确定中标人。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28.3评审结束后，招标代理机构应当自评审结束之日起2个工作日内将评审报告送交</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应当自收到评审报告之日起5个工作日内在评审报告推荐的中标或者成交候选人中按顺序确定中标或者成交供应商。招标代理机构应当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28.4 中标供应商因不可抗力或者自身原因不能履行政府采购合同的，</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可以与排位在中标供应商之后第一位的中标候选供应商签订政府采购合同，以此类推；</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也可以重新开展政府采购活动。</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28.5 若评标委员会发现投标人的投标文件中有弄虚作假行为，则该投标人将失去投标资格。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28.6 招标代理机构对未中标的投标人不作未中标原因的解释。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28.7所有投标文件都将作为档案保存，不论中标与否，代理机构均不退回。</w:t>
      </w:r>
      <w:r/>
    </w:p>
    <w:p>
      <w:pPr>
        <w:pStyle w:val="1222"/>
        <w:ind w:left="0" w:firstLine="482"/>
        <w:jc w:val="both"/>
        <w:spacing w:line="440" w:lineRule="exact"/>
        <w:rPr>
          <w:rFonts w:ascii="宋体" w:hAnsi="宋体" w:eastAsia="宋体"/>
          <w:b/>
          <w:bCs/>
          <w:color w:val="auto"/>
          <w:sz w:val="24"/>
          <w:highlight w:val="none"/>
        </w:rPr>
      </w:pPr>
      <w:r/>
      <w:bookmarkStart w:id="258" w:name="_Toc11937"/>
      <w:r/>
      <w:bookmarkStart w:id="259" w:name="_Toc23774"/>
      <w:r/>
      <w:bookmarkStart w:id="260" w:name="_Toc7377"/>
      <w:r/>
      <w:bookmarkStart w:id="261" w:name="_Toc7418"/>
      <w:r/>
      <w:bookmarkStart w:id="262" w:name="_Toc3786"/>
      <w:r>
        <w:rPr>
          <w:rFonts w:hint="eastAsia" w:ascii="宋体" w:hAnsi="宋体" w:eastAsia="宋体"/>
          <w:b/>
          <w:bCs/>
          <w:color w:val="auto"/>
          <w:sz w:val="24"/>
          <w:highlight w:val="none"/>
        </w:rPr>
        <w:t xml:space="preserve">29.</w:t>
      </w:r>
      <w:bookmarkEnd w:id="258"/>
      <w:r/>
      <w:bookmarkEnd w:id="259"/>
      <w:r/>
      <w:bookmarkEnd w:id="260"/>
      <w:r/>
      <w:bookmarkStart w:id="263" w:name="_Toc21146"/>
      <w:r/>
      <w:bookmarkStart w:id="264" w:name="_Toc4002"/>
      <w:r/>
      <w:bookmarkStart w:id="265" w:name="_Toc4537"/>
      <w:r>
        <w:rPr>
          <w:rFonts w:hint="eastAsia" w:ascii="宋体" w:hAnsi="宋体" w:eastAsia="宋体"/>
          <w:b/>
          <w:bCs/>
          <w:color w:val="auto"/>
          <w:sz w:val="24"/>
          <w:highlight w:val="none"/>
        </w:rPr>
        <w:t xml:space="preserve">最后审定</w:t>
      </w:r>
      <w:bookmarkEnd w:id="261"/>
      <w:r/>
      <w:bookmarkEnd w:id="262"/>
      <w:r/>
      <w:bookmarkEnd w:id="263"/>
      <w:r/>
      <w:bookmarkEnd w:id="264"/>
      <w:r/>
      <w:bookmarkEnd w:id="265"/>
      <w:r/>
      <w:r/>
    </w:p>
    <w:p>
      <w:pPr>
        <w:ind w:firstLine="420"/>
        <w:spacing w:line="440" w:lineRule="exact"/>
        <w:rPr>
          <w:rFonts w:ascii="宋体"/>
          <w:bCs/>
          <w:color w:val="auto"/>
          <w:highlight w:val="none"/>
        </w:rPr>
      </w:pPr>
      <w:r>
        <w:rPr>
          <w:rFonts w:hint="eastAsia" w:ascii="宋体"/>
          <w:bCs/>
          <w:color w:val="auto"/>
          <w:highlight w:val="none"/>
        </w:rPr>
        <w:t xml:space="preserve">通过评标并进一步检查投标人按第9项规定提供的各类文件资料，检查的结果必须是肯定的，才是授予中标通知书的先决条件。</w:t>
      </w:r>
      <w:r/>
    </w:p>
    <w:p>
      <w:pPr>
        <w:pStyle w:val="1222"/>
        <w:ind w:left="0" w:firstLine="482"/>
        <w:jc w:val="both"/>
        <w:spacing w:line="440" w:lineRule="exact"/>
        <w:rPr>
          <w:rFonts w:ascii="宋体" w:hAnsi="宋体" w:eastAsia="宋体"/>
          <w:b/>
          <w:bCs/>
          <w:color w:val="auto"/>
          <w:sz w:val="24"/>
          <w:highlight w:val="none"/>
        </w:rPr>
      </w:pPr>
      <w:r/>
      <w:bookmarkStart w:id="266" w:name="_Toc32182"/>
      <w:r/>
      <w:bookmarkStart w:id="267" w:name="_Toc21169"/>
      <w:r/>
      <w:bookmarkStart w:id="268" w:name="_Toc31148"/>
      <w:r/>
      <w:bookmarkStart w:id="269" w:name="_Toc2913"/>
      <w:r/>
      <w:bookmarkStart w:id="270" w:name="_Toc20747"/>
      <w:r>
        <w:rPr>
          <w:rFonts w:hint="eastAsia" w:ascii="宋体" w:hAnsi="宋体" w:eastAsia="宋体"/>
          <w:b/>
          <w:bCs/>
          <w:color w:val="auto"/>
          <w:sz w:val="24"/>
          <w:highlight w:val="none"/>
        </w:rPr>
        <w:t xml:space="preserve">30.中标的通知</w:t>
      </w:r>
      <w:bookmarkEnd w:id="266"/>
      <w:r/>
      <w:bookmarkEnd w:id="267"/>
      <w:r/>
      <w:bookmarkEnd w:id="268"/>
      <w:r/>
      <w:bookmarkEnd w:id="269"/>
      <w:r/>
      <w:bookmarkEnd w:id="270"/>
      <w:r/>
      <w:r/>
    </w:p>
    <w:p>
      <w:pPr>
        <w:ind w:firstLine="420"/>
        <w:spacing w:line="440" w:lineRule="exact"/>
        <w:rPr>
          <w:rFonts w:ascii="宋体"/>
          <w:bCs/>
          <w:color w:val="auto"/>
          <w:highlight w:val="none"/>
        </w:rPr>
      </w:pPr>
      <w:r>
        <w:rPr>
          <w:rFonts w:hint="eastAsia" w:ascii="宋体"/>
          <w:bCs/>
          <w:color w:val="auto"/>
          <w:highlight w:val="none"/>
        </w:rPr>
        <w:t xml:space="preserve">30</w:t>
      </w:r>
      <w:r>
        <w:rPr>
          <w:rFonts w:ascii="宋体"/>
          <w:bCs/>
          <w:color w:val="auto"/>
          <w:highlight w:val="none"/>
        </w:rPr>
        <w:t xml:space="preserve">.1</w:t>
      </w:r>
      <w:r>
        <w:rPr>
          <w:rFonts w:hint="eastAsia" w:ascii="宋体"/>
          <w:bCs/>
          <w:color w:val="auto"/>
          <w:highlight w:val="none"/>
        </w:rPr>
        <w:t xml:space="preserve">在投标文件有效期内，招标代理机构以书面通知所选定的中标人。</w:t>
      </w:r>
      <w:r/>
    </w:p>
    <w:p>
      <w:pPr>
        <w:ind w:firstLine="420"/>
        <w:spacing w:line="440" w:lineRule="exact"/>
        <w:rPr>
          <w:rFonts w:ascii="宋体"/>
          <w:bCs/>
          <w:color w:val="auto"/>
          <w:highlight w:val="none"/>
        </w:rPr>
      </w:pPr>
      <w:r>
        <w:rPr>
          <w:rFonts w:hint="eastAsia" w:ascii="宋体"/>
          <w:bCs/>
          <w:color w:val="auto"/>
          <w:highlight w:val="none"/>
        </w:rPr>
        <w:t xml:space="preserve">30</w:t>
      </w:r>
      <w:r>
        <w:rPr>
          <w:rFonts w:ascii="宋体"/>
          <w:bCs/>
          <w:color w:val="auto"/>
          <w:highlight w:val="none"/>
        </w:rPr>
        <w:t xml:space="preserve">.2</w:t>
      </w:r>
      <w:r>
        <w:rPr>
          <w:rFonts w:hint="eastAsia" w:ascii="宋体"/>
          <w:bCs/>
          <w:color w:val="auto"/>
          <w:highlight w:val="none"/>
        </w:rPr>
        <w:t xml:space="preserve">中标人在收到中标通知书后，应郑重保证履行中标人应履行的，含中标服务费在内的一切义务和责任。</w:t>
      </w:r>
      <w:r/>
    </w:p>
    <w:p>
      <w:pPr>
        <w:pStyle w:val="1222"/>
        <w:ind w:left="0" w:firstLine="482"/>
        <w:jc w:val="both"/>
        <w:spacing w:line="440" w:lineRule="exact"/>
        <w:rPr>
          <w:rFonts w:ascii="宋体" w:hAnsi="宋体" w:eastAsia="宋体"/>
          <w:b/>
          <w:bCs/>
          <w:color w:val="auto"/>
          <w:sz w:val="24"/>
          <w:highlight w:val="none"/>
        </w:rPr>
      </w:pPr>
      <w:r/>
      <w:bookmarkStart w:id="271" w:name="_Toc11988"/>
      <w:r/>
      <w:bookmarkStart w:id="272" w:name="_Toc15484"/>
      <w:r/>
      <w:bookmarkStart w:id="273" w:name="_Toc4684"/>
      <w:r/>
      <w:bookmarkStart w:id="274" w:name="_Toc19128"/>
      <w:r/>
      <w:bookmarkStart w:id="275" w:name="_Toc13054"/>
      <w:r>
        <w:rPr>
          <w:rFonts w:hint="eastAsia" w:ascii="宋体" w:hAnsi="宋体" w:eastAsia="宋体"/>
          <w:b/>
          <w:bCs/>
          <w:color w:val="auto"/>
          <w:sz w:val="24"/>
          <w:highlight w:val="none"/>
        </w:rPr>
        <w:t xml:space="preserve">31.签订合同</w:t>
      </w:r>
      <w:bookmarkEnd w:id="271"/>
      <w:r/>
      <w:bookmarkEnd w:id="272"/>
      <w:r/>
      <w:bookmarkEnd w:id="273"/>
      <w:r/>
      <w:bookmarkEnd w:id="274"/>
      <w:r/>
      <w:bookmarkEnd w:id="275"/>
      <w:r/>
      <w:r/>
    </w:p>
    <w:p>
      <w:pPr>
        <w:ind w:firstLine="420"/>
        <w:spacing w:line="440" w:lineRule="exact"/>
        <w:rPr>
          <w:rFonts w:ascii="宋体"/>
          <w:bCs/>
          <w:color w:val="auto"/>
          <w:highlight w:val="none"/>
        </w:rPr>
      </w:pPr>
      <w:r>
        <w:rPr>
          <w:rFonts w:hint="eastAsia" w:ascii="宋体"/>
          <w:bCs/>
          <w:color w:val="auto"/>
          <w:highlight w:val="none"/>
        </w:rPr>
        <w:t xml:space="preserve">31.1中标人应当自中标通知书发出之日起三十日内，按照招标文件和中标人投标文件的约定与采购人签订政府采购合同，所签订的合同不得对招标文件和中标人投标文件作实质性修改。</w:t>
      </w:r>
      <w:r/>
    </w:p>
    <w:p>
      <w:pPr>
        <w:ind w:firstLine="420"/>
        <w:spacing w:line="440" w:lineRule="exact"/>
        <w:rPr>
          <w:rFonts w:ascii="宋体"/>
          <w:bCs/>
          <w:color w:val="auto"/>
          <w:highlight w:val="none"/>
        </w:rPr>
      </w:pPr>
      <w:r>
        <w:rPr>
          <w:rFonts w:hint="eastAsia" w:ascii="宋体"/>
          <w:bCs/>
          <w:color w:val="auto"/>
          <w:highlight w:val="none"/>
        </w:rPr>
        <w:t xml:space="preserve">31</w:t>
      </w:r>
      <w:r>
        <w:rPr>
          <w:rFonts w:ascii="宋体"/>
          <w:bCs/>
          <w:color w:val="auto"/>
          <w:highlight w:val="none"/>
        </w:rPr>
        <w:t xml:space="preserve">.2</w:t>
      </w:r>
      <w:r>
        <w:rPr>
          <w:rFonts w:hint="eastAsia" w:ascii="宋体"/>
          <w:bCs/>
          <w:color w:val="auto"/>
          <w:highlight w:val="none"/>
        </w:rPr>
        <w:t xml:space="preserve">招标文件中招标产品清单和技术要求及说明、合同条款、投标函、投标一览表，投标产品技术条款偏离表、有关图表和说明等，均应作为合同附件。</w:t>
      </w:r>
      <w:r/>
    </w:p>
    <w:p>
      <w:pPr>
        <w:ind w:firstLine="420"/>
        <w:spacing w:line="440" w:lineRule="exact"/>
        <w:rPr>
          <w:rFonts w:ascii="宋体"/>
          <w:bCs/>
          <w:color w:val="auto"/>
          <w:highlight w:val="none"/>
        </w:rPr>
      </w:pPr>
      <w:r>
        <w:rPr>
          <w:rFonts w:hint="eastAsia" w:ascii="宋体"/>
          <w:bCs/>
          <w:color w:val="auto"/>
          <w:highlight w:val="none"/>
        </w:rPr>
        <w:t xml:space="preserve">31</w:t>
      </w:r>
      <w:r>
        <w:rPr>
          <w:rFonts w:ascii="宋体"/>
          <w:bCs/>
          <w:color w:val="auto"/>
          <w:highlight w:val="none"/>
        </w:rPr>
        <w:t xml:space="preserve">.3</w:t>
      </w:r>
      <w:r>
        <w:rPr>
          <w:rFonts w:hint="eastAsia" w:ascii="宋体"/>
          <w:bCs/>
          <w:color w:val="auto"/>
          <w:highlight w:val="none"/>
        </w:rPr>
        <w:t xml:space="preserve">若中标人未能按规定签约，中标将被撤销，在这种情况下</w:t>
      </w:r>
      <w:r>
        <w:rPr>
          <w:rFonts w:hint="eastAsia" w:ascii="宋体"/>
          <w:bCs/>
          <w:color w:val="auto"/>
          <w:highlight w:val="none"/>
          <w:lang w:eastAsia="zh-CN"/>
        </w:rPr>
        <w:t xml:space="preserve">采购人</w:t>
      </w:r>
      <w:r>
        <w:rPr>
          <w:rFonts w:hint="eastAsia" w:ascii="宋体"/>
          <w:bCs/>
          <w:color w:val="auto"/>
          <w:highlight w:val="none"/>
        </w:rPr>
        <w:t xml:space="preserve">可以另选中标人或重新招标。</w:t>
      </w:r>
      <w:r/>
    </w:p>
    <w:p>
      <w:pPr>
        <w:ind w:firstLine="420"/>
        <w:spacing w:line="440" w:lineRule="exact"/>
        <w:rPr>
          <w:rFonts w:ascii="宋体"/>
          <w:bCs/>
          <w:color w:val="auto"/>
          <w:highlight w:val="none"/>
        </w:rPr>
      </w:pPr>
      <w:r>
        <w:rPr>
          <w:rFonts w:hint="eastAsia" w:ascii="宋体"/>
          <w:bCs/>
          <w:color w:val="auto"/>
          <w:highlight w:val="none"/>
        </w:rPr>
        <w:t xml:space="preserve">31.4 政府采购合同履行中，采购人需追加与合同标的相同的货物的，在不改变合同其他条款的前提下，可以与供应商协商签订补充合同，但所有补充合同的采购金额不得超过原合同采购金额的百分之十。</w:t>
      </w:r>
      <w:r/>
    </w:p>
    <w:p>
      <w:pPr>
        <w:pStyle w:val="1222"/>
        <w:ind w:left="0" w:firstLine="482"/>
        <w:jc w:val="both"/>
        <w:spacing w:line="440" w:lineRule="exact"/>
        <w:rPr>
          <w:rFonts w:ascii="宋体" w:hAnsi="宋体" w:eastAsia="宋体"/>
          <w:b/>
          <w:bCs/>
          <w:color w:val="auto"/>
          <w:sz w:val="24"/>
          <w:highlight w:val="none"/>
        </w:rPr>
      </w:pPr>
      <w:r/>
      <w:bookmarkStart w:id="276" w:name="_Toc22298"/>
      <w:r/>
      <w:bookmarkStart w:id="277" w:name="_Toc227"/>
      <w:r/>
      <w:bookmarkStart w:id="278" w:name="_Toc8556"/>
      <w:r/>
      <w:bookmarkStart w:id="279" w:name="_Toc24788"/>
      <w:r/>
      <w:bookmarkStart w:id="280" w:name="_Toc26522"/>
      <w:r>
        <w:rPr>
          <w:rFonts w:hint="eastAsia" w:ascii="宋体" w:hAnsi="宋体" w:eastAsia="宋体"/>
          <w:b/>
          <w:bCs/>
          <w:color w:val="auto"/>
          <w:sz w:val="24"/>
          <w:highlight w:val="none"/>
        </w:rPr>
        <w:t xml:space="preserve">32.中标服务费</w:t>
      </w:r>
      <w:bookmarkEnd w:id="276"/>
      <w:r/>
      <w:bookmarkEnd w:id="277"/>
      <w:r/>
      <w:bookmarkEnd w:id="278"/>
      <w:r/>
      <w:bookmarkEnd w:id="279"/>
      <w:r/>
      <w:bookmarkEnd w:id="280"/>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中标服务费采用差额定率累进计费方式。合同签订后一周内，每包中标人按照“国家计委关于印发《招标代理服务收费管理暂行办法》的通知《招标代理服务收费管理暂行办法》（计价格[2002]1980 号）”中规定的收费标准的80%向采购代理机构交付招标代理服务费。</w:t>
      </w:r>
      <w:r>
        <w:rPr>
          <w:rFonts w:hint="eastAsia" w:hAnsi="宋体" w:cs="宋体"/>
          <w:color w:val="auto"/>
          <w:szCs w:val="21"/>
          <w:highlight w:val="none"/>
          <w:lang w:val="en-US" w:eastAsia="zh-CN"/>
        </w:rPr>
        <w:t xml:space="preserve">不足5000按5000元收取。</w:t>
      </w:r>
      <w:r>
        <w:rPr>
          <w:rFonts w:hint="eastAsia" w:hAnsi="宋体" w:cs="宋体"/>
          <w:color w:val="auto"/>
          <w:szCs w:val="21"/>
          <w:highlight w:val="none"/>
        </w:rPr>
        <w:t xml:space="preserve">服务费由中标人在领取中标通知书前向招标代理机构支付。该费用一次付清。</w:t>
      </w:r>
      <w:r/>
    </w:p>
    <w:p>
      <w:pPr>
        <w:ind w:firstLine="422"/>
        <w:spacing w:line="400" w:lineRule="exact"/>
        <w:rPr>
          <w:rFonts w:hAnsi="宋体" w:cs="宋体"/>
          <w:b/>
          <w:bCs/>
          <w:color w:val="auto"/>
          <w:szCs w:val="21"/>
          <w:highlight w:val="none"/>
        </w:rPr>
      </w:pPr>
      <w:r>
        <w:rPr>
          <w:rFonts w:hint="eastAsia" w:hAnsi="宋体" w:cs="宋体"/>
          <w:b/>
          <w:bCs/>
          <w:color w:val="auto"/>
          <w:szCs w:val="21"/>
          <w:highlight w:val="none"/>
        </w:rPr>
        <w:t xml:space="preserve">服务费受理单位：</w:t>
      </w:r>
      <w:r/>
    </w:p>
    <w:p>
      <w:pPr>
        <w:ind w:firstLine="422"/>
        <w:spacing w:line="400" w:lineRule="exact"/>
        <w:rPr>
          <w:rFonts w:hAnsi="宋体" w:cs="宋体"/>
          <w:b/>
          <w:bCs/>
          <w:color w:val="auto"/>
          <w:szCs w:val="21"/>
          <w:highlight w:val="none"/>
        </w:rPr>
      </w:pPr>
      <w:r>
        <w:rPr>
          <w:rFonts w:hint="eastAsia" w:hAnsi="宋体" w:cs="宋体"/>
          <w:b/>
          <w:bCs/>
          <w:color w:val="auto"/>
          <w:szCs w:val="21"/>
          <w:highlight w:val="none"/>
        </w:rPr>
        <w:t xml:space="preserve">单位名称：苏美达国际技术贸易有限公司</w:t>
      </w:r>
      <w:r/>
    </w:p>
    <w:p>
      <w:pPr>
        <w:ind w:firstLine="422"/>
        <w:spacing w:line="400" w:lineRule="exact"/>
        <w:rPr>
          <w:rFonts w:hAnsi="宋体" w:cs="宋体"/>
          <w:b/>
          <w:bCs/>
          <w:color w:val="auto"/>
          <w:szCs w:val="21"/>
          <w:highlight w:val="none"/>
        </w:rPr>
      </w:pPr>
      <w:r>
        <w:rPr>
          <w:rFonts w:hint="eastAsia" w:hAnsi="宋体" w:cs="宋体"/>
          <w:b/>
          <w:bCs/>
          <w:color w:val="auto"/>
          <w:szCs w:val="21"/>
          <w:highlight w:val="none"/>
        </w:rPr>
        <w:t xml:space="preserve">开户银行：中信南京分行营业部</w:t>
      </w:r>
      <w:r/>
    </w:p>
    <w:p>
      <w:pPr>
        <w:ind w:firstLine="422"/>
        <w:spacing w:line="400" w:lineRule="exact"/>
        <w:rPr>
          <w:rFonts w:hAnsi="宋体" w:cs="宋体"/>
          <w:b/>
          <w:bCs/>
          <w:color w:val="auto"/>
          <w:szCs w:val="21"/>
          <w:highlight w:val="none"/>
        </w:rPr>
      </w:pPr>
      <w:r>
        <w:rPr>
          <w:rFonts w:hint="eastAsia" w:hAnsi="宋体" w:cs="宋体"/>
          <w:b/>
          <w:bCs/>
          <w:color w:val="auto"/>
          <w:szCs w:val="21"/>
          <w:highlight w:val="none"/>
        </w:rPr>
        <w:t xml:space="preserve">账号：7321010182300013675</w:t>
      </w:r>
      <w:r/>
    </w:p>
    <w:p>
      <w:pPr>
        <w:pStyle w:val="1230"/>
        <w:ind w:left="0" w:firstLine="0"/>
        <w:spacing w:before="2"/>
        <w:rPr>
          <w:rFonts w:hint="default" w:hAnsi="宋体" w:eastAsia="宋体" w:cs="宋体"/>
          <w:color w:val="auto"/>
          <w:sz w:val="24"/>
          <w:highlight w:val="none"/>
          <w:lang w:val="en-US" w:eastAsia="zh-CN"/>
        </w:rPr>
      </w:pPr>
      <w:r>
        <w:rPr>
          <w:rFonts w:hint="eastAsia" w:hAnsi="宋体" w:cs="宋体"/>
          <w:color w:val="auto"/>
          <w:sz w:val="24"/>
          <w:highlight w:val="none"/>
          <w:lang w:val="en-US" w:eastAsia="zh-CN"/>
        </w:rPr>
        <w:t xml:space="preserve">   </w:t>
      </w:r>
      <w:r>
        <w:rPr>
          <w:rFonts w:hint="eastAsia" w:ascii="Calibri" w:hAnsi="宋体" w:cs="宋体"/>
          <w:b/>
          <w:bCs/>
          <w:color w:val="auto"/>
          <w:sz w:val="21"/>
          <w:szCs w:val="21"/>
          <w:highlight w:val="none"/>
          <w:lang w:val="en-US" w:eastAsia="zh-CN"/>
        </w:rPr>
        <w:t xml:space="preserve">行号：302301003210</w:t>
      </w:r>
      <w:r/>
    </w:p>
    <w:p>
      <w:pPr>
        <w:ind w:firstLine="420"/>
        <w:spacing w:line="440" w:lineRule="exact"/>
        <w:shd w:val="clear" w:color="auto" w:fill="ffffff"/>
        <w:widowControl/>
        <w:rPr>
          <w:rFonts w:ascii="宋体" w:hAnsi="宋体"/>
          <w:b/>
          <w:bCs/>
          <w:color w:val="auto"/>
          <w:sz w:val="24"/>
          <w:highlight w:val="none"/>
        </w:rPr>
        <w:outlineLvl w:val="1"/>
      </w:pPr>
      <w:r/>
      <w:bookmarkStart w:id="281" w:name="_Toc762"/>
      <w:r/>
      <w:bookmarkStart w:id="282" w:name="_Toc31918"/>
      <w:r/>
      <w:bookmarkStart w:id="283" w:name="_Toc20112"/>
      <w:r/>
      <w:bookmarkStart w:id="284" w:name="_Toc12649"/>
      <w:r/>
      <w:bookmarkStart w:id="285" w:name="_Toc24152"/>
      <w:r>
        <w:rPr>
          <w:rFonts w:hint="eastAsia" w:ascii="宋体" w:hAnsi="宋体"/>
          <w:b/>
          <w:bCs/>
          <w:color w:val="auto"/>
          <w:sz w:val="24"/>
          <w:highlight w:val="none"/>
        </w:rPr>
        <w:t xml:space="preserve">七、质疑</w:t>
      </w:r>
      <w:bookmarkEnd w:id="281"/>
      <w:r/>
      <w:bookmarkEnd w:id="282"/>
      <w:r/>
      <w:bookmarkEnd w:id="283"/>
      <w:r/>
      <w:bookmarkEnd w:id="284"/>
      <w:r/>
      <w:bookmarkEnd w:id="285"/>
      <w:r/>
      <w:r/>
    </w:p>
    <w:p>
      <w:pPr>
        <w:pStyle w:val="1222"/>
        <w:ind w:left="0" w:firstLine="482"/>
        <w:jc w:val="both"/>
        <w:spacing w:line="440" w:lineRule="exact"/>
        <w:rPr>
          <w:rFonts w:ascii="宋体" w:hAnsi="宋体" w:eastAsia="宋体"/>
          <w:b/>
          <w:bCs/>
          <w:color w:val="auto"/>
          <w:sz w:val="24"/>
          <w:highlight w:val="none"/>
        </w:rPr>
      </w:pPr>
      <w:r/>
      <w:bookmarkStart w:id="286" w:name="_Toc16085"/>
      <w:r/>
      <w:bookmarkStart w:id="287" w:name="_Toc9152"/>
      <w:r/>
      <w:bookmarkStart w:id="288" w:name="_Toc14238"/>
      <w:r/>
      <w:bookmarkStart w:id="289" w:name="_Toc29529"/>
      <w:r/>
      <w:bookmarkStart w:id="290" w:name="_Toc12523"/>
      <w:r>
        <w:rPr>
          <w:rFonts w:hint="eastAsia" w:ascii="宋体" w:hAnsi="宋体" w:eastAsia="宋体"/>
          <w:b/>
          <w:bCs/>
          <w:color w:val="auto"/>
          <w:sz w:val="24"/>
          <w:highlight w:val="none"/>
        </w:rPr>
        <w:t xml:space="preserve">33、质疑</w:t>
      </w:r>
      <w:bookmarkEnd w:id="286"/>
      <w:r/>
      <w:bookmarkEnd w:id="287"/>
      <w:r/>
      <w:bookmarkEnd w:id="288"/>
      <w:r/>
      <w:bookmarkEnd w:id="289"/>
      <w:r/>
      <w:bookmarkEnd w:id="290"/>
      <w:r/>
      <w:r/>
    </w:p>
    <w:p>
      <w:pPr>
        <w:ind w:firstLine="420"/>
        <w:spacing w:line="440" w:lineRule="exact"/>
        <w:rPr>
          <w:rFonts w:ascii="宋体"/>
          <w:bCs/>
          <w:color w:val="auto"/>
          <w:highlight w:val="none"/>
        </w:rPr>
      </w:pPr>
      <w:r>
        <w:rPr>
          <w:rFonts w:hint="eastAsia" w:ascii="宋体"/>
          <w:bCs/>
          <w:color w:val="auto"/>
          <w:highlight w:val="none"/>
        </w:rPr>
        <w:t xml:space="preserve">33.1 投标人对招标活动事项有疑问的，可以向代理机构提出询问，代理机构将依法作出答复，但答复的内容不涉及商业秘密。</w:t>
      </w:r>
      <w:r/>
    </w:p>
    <w:p>
      <w:pPr>
        <w:ind w:firstLine="420"/>
        <w:spacing w:line="440" w:lineRule="exact"/>
        <w:rPr>
          <w:rFonts w:hint="eastAsia" w:ascii="宋体"/>
          <w:bCs/>
          <w:color w:val="auto"/>
          <w:highlight w:val="none"/>
        </w:rPr>
      </w:pPr>
      <w:r>
        <w:rPr>
          <w:rFonts w:hint="eastAsia" w:ascii="宋体"/>
          <w:bCs/>
          <w:color w:val="auto"/>
          <w:highlight w:val="none"/>
        </w:rPr>
        <w:t xml:space="preserve">33.2 投标人认为采购文件、采购过程和中标结果使自己的合法权益受到损害的，可以在知道或者应当知道其权益受到损害之日起七个工作日内，一次性针对同一采购程序环节提出质疑，并将质疑文件</w:t>
      </w:r>
      <w:r>
        <w:rPr>
          <w:rFonts w:hint="eastAsia" w:ascii="宋体"/>
          <w:b/>
          <w:color w:val="auto"/>
          <w:highlight w:val="none"/>
        </w:rPr>
        <w:t xml:space="preserve">原件</w:t>
      </w:r>
      <w:r>
        <w:rPr>
          <w:rFonts w:hint="eastAsia" w:ascii="宋体"/>
          <w:bCs/>
          <w:color w:val="auto"/>
          <w:highlight w:val="none"/>
        </w:rPr>
        <w:t xml:space="preserve">送达代理机构。</w:t>
      </w:r>
      <w:r>
        <w:rPr>
          <w:rFonts w:hint="eastAsia" w:ascii="宋体" w:hAnsi="宋体" w:eastAsia="宋体"/>
          <w:color w:val="auto"/>
          <w:szCs w:val="21"/>
          <w:highlight w:val="none"/>
          <w:lang w:val="zh-CN"/>
        </w:rPr>
        <w:t xml:space="preserve">供应商如在法定期限内对同一采购程序环节提出多次质疑的，采购代理机构、采购人将只对供应商第一次质疑作出答复。</w:t>
      </w:r>
      <w:r/>
    </w:p>
    <w:p>
      <w:pPr>
        <w:ind w:firstLine="420"/>
        <w:spacing w:line="440" w:lineRule="exact"/>
        <w:rPr>
          <w:rFonts w:hint="eastAsia" w:ascii="宋体"/>
          <w:bCs/>
          <w:color w:val="auto"/>
          <w:highlight w:val="none"/>
        </w:rPr>
      </w:pPr>
      <w:r>
        <w:rPr>
          <w:rFonts w:hint="eastAsia" w:ascii="宋体"/>
          <w:bCs/>
          <w:color w:val="auto"/>
          <w:highlight w:val="none"/>
        </w:rPr>
        <w:t xml:space="preserve">联系部门：苏美达国际技术贸易有限公司</w:t>
      </w:r>
      <w:r/>
    </w:p>
    <w:p>
      <w:pPr>
        <w:ind w:firstLine="420"/>
        <w:spacing w:line="440" w:lineRule="exact"/>
        <w:rPr>
          <w:rFonts w:hint="eastAsia" w:ascii="宋体" w:eastAsia="宋体"/>
          <w:bCs/>
          <w:color w:val="auto"/>
          <w:highlight w:val="none"/>
          <w:lang w:eastAsia="zh-CN"/>
        </w:rPr>
      </w:pPr>
      <w:r>
        <w:rPr>
          <w:rFonts w:hint="eastAsia" w:ascii="宋体"/>
          <w:bCs/>
          <w:color w:val="auto"/>
          <w:highlight w:val="none"/>
        </w:rPr>
        <w:t xml:space="preserve">联系人：</w:t>
      </w:r>
      <w:r>
        <w:rPr>
          <w:rFonts w:hint="eastAsia" w:ascii="宋体"/>
          <w:bCs/>
          <w:color w:val="auto"/>
          <w:highlight w:val="none"/>
          <w:lang w:eastAsia="zh-CN"/>
        </w:rPr>
        <w:t xml:space="preserve">徐慧慧</w:t>
      </w:r>
      <w:r/>
    </w:p>
    <w:p>
      <w:pPr>
        <w:ind w:firstLine="420"/>
        <w:spacing w:line="440" w:lineRule="exact"/>
        <w:rPr>
          <w:rFonts w:hint="eastAsia" w:ascii="宋体" w:eastAsia="宋体"/>
          <w:bCs/>
          <w:color w:val="auto"/>
          <w:highlight w:val="none"/>
          <w:lang w:eastAsia="zh-CN"/>
        </w:rPr>
      </w:pPr>
      <w:r>
        <w:rPr>
          <w:rFonts w:hint="eastAsia" w:ascii="宋体"/>
          <w:bCs/>
          <w:color w:val="auto"/>
          <w:highlight w:val="none"/>
        </w:rPr>
        <w:t xml:space="preserve">联系电话：</w:t>
      </w:r>
      <w:r>
        <w:rPr>
          <w:rFonts w:hint="eastAsia" w:ascii="宋体"/>
          <w:bCs/>
          <w:color w:val="auto"/>
          <w:highlight w:val="none"/>
          <w:lang w:eastAsia="zh-CN"/>
        </w:rPr>
        <w:t xml:space="preserve">025-84531537</w:t>
      </w:r>
      <w:r/>
    </w:p>
    <w:p>
      <w:pPr>
        <w:ind w:firstLine="420"/>
        <w:spacing w:line="440" w:lineRule="exact"/>
        <w:rPr>
          <w:rFonts w:hint="default" w:ascii="宋体" w:eastAsia="宋体"/>
          <w:bCs/>
          <w:color w:val="auto"/>
          <w:highlight w:val="none"/>
          <w:lang w:val="en-US" w:eastAsia="zh-CN"/>
        </w:rPr>
      </w:pPr>
      <w:r>
        <w:rPr>
          <w:rFonts w:hint="eastAsia" w:ascii="宋体"/>
          <w:bCs/>
          <w:color w:val="auto"/>
          <w:highlight w:val="none"/>
        </w:rPr>
        <w:t xml:space="preserve">通讯地址：南京市长江路198号苏美达大厦</w:t>
      </w:r>
      <w:r>
        <w:rPr>
          <w:rFonts w:hint="eastAsia" w:ascii="宋体"/>
          <w:bCs/>
          <w:color w:val="auto"/>
          <w:highlight w:val="none"/>
          <w:lang w:val="en-US" w:eastAsia="zh-CN"/>
        </w:rPr>
        <w:t xml:space="preserve">9楼</w:t>
      </w:r>
      <w:r/>
    </w:p>
    <w:p>
      <w:pPr>
        <w:ind w:firstLine="409"/>
        <w:spacing w:line="440" w:lineRule="exact"/>
        <w:rPr>
          <w:rFonts w:ascii="宋体"/>
          <w:bCs/>
          <w:color w:val="auto"/>
          <w:highlight w:val="none"/>
        </w:rPr>
      </w:pPr>
      <w:r>
        <w:rPr>
          <w:rFonts w:hint="eastAsia" w:ascii="宋体"/>
          <w:bCs/>
          <w:color w:val="auto"/>
          <w:highlight w:val="none"/>
        </w:rPr>
        <w:t xml:space="preserve">33.3 质疑文件应包括以下主要内容，并按照“谁主张、谁举证”的原则，附上相关证明材料。否则，代理机构不予受理：</w:t>
      </w:r>
      <w:r/>
    </w:p>
    <w:p>
      <w:pPr>
        <w:ind w:firstLine="420"/>
        <w:spacing w:line="440" w:lineRule="exact"/>
        <w:rPr>
          <w:rFonts w:ascii="宋体"/>
          <w:bCs/>
          <w:color w:val="auto"/>
          <w:highlight w:val="none"/>
        </w:rPr>
      </w:pPr>
      <w:r>
        <w:rPr>
          <w:rFonts w:hint="eastAsia" w:ascii="宋体"/>
          <w:bCs/>
          <w:color w:val="auto"/>
          <w:highlight w:val="none"/>
        </w:rPr>
        <w:t xml:space="preserve">（1）质疑项目名称、项目编号、包号、招标公告发布时间、开标时间；</w:t>
      </w:r>
      <w:r/>
    </w:p>
    <w:p>
      <w:pPr>
        <w:ind w:firstLine="420"/>
        <w:spacing w:line="440" w:lineRule="exact"/>
        <w:rPr>
          <w:rFonts w:ascii="宋体"/>
          <w:bCs/>
          <w:color w:val="auto"/>
          <w:highlight w:val="none"/>
        </w:rPr>
      </w:pPr>
      <w:r>
        <w:rPr>
          <w:rFonts w:hint="eastAsia" w:ascii="宋体"/>
          <w:bCs/>
          <w:color w:val="auto"/>
          <w:highlight w:val="none"/>
        </w:rPr>
        <w:t xml:space="preserve">（2）具体的质疑事项及法律依据（具体条款）；</w:t>
      </w:r>
      <w:r/>
    </w:p>
    <w:p>
      <w:pPr>
        <w:ind w:firstLine="420"/>
        <w:spacing w:line="440" w:lineRule="exact"/>
        <w:rPr>
          <w:rFonts w:ascii="宋体"/>
          <w:bCs/>
          <w:color w:val="auto"/>
          <w:highlight w:val="none"/>
        </w:rPr>
      </w:pPr>
      <w:r>
        <w:rPr>
          <w:rFonts w:hint="eastAsia" w:ascii="宋体"/>
          <w:bCs/>
          <w:color w:val="auto"/>
          <w:highlight w:val="none"/>
        </w:rPr>
        <w:t xml:space="preserve">（3）质疑相关证明文件或证明材料；</w:t>
      </w:r>
      <w:r/>
    </w:p>
    <w:p>
      <w:pPr>
        <w:ind w:firstLine="420"/>
        <w:spacing w:line="440" w:lineRule="exact"/>
        <w:rPr>
          <w:rFonts w:ascii="宋体"/>
          <w:bCs/>
          <w:color w:val="auto"/>
          <w:highlight w:val="none"/>
        </w:rPr>
      </w:pPr>
      <w:r>
        <w:rPr>
          <w:rFonts w:hint="eastAsia" w:ascii="宋体"/>
          <w:bCs/>
          <w:color w:val="auto"/>
          <w:highlight w:val="none"/>
        </w:rPr>
        <w:t xml:space="preserve">（4）质疑投标人名称、地址、联系方式；</w:t>
      </w:r>
      <w:r/>
    </w:p>
    <w:p>
      <w:pPr>
        <w:ind w:firstLine="420"/>
        <w:spacing w:line="440" w:lineRule="exact"/>
        <w:rPr>
          <w:rFonts w:ascii="宋体"/>
          <w:bCs/>
          <w:color w:val="auto"/>
          <w:highlight w:val="none"/>
        </w:rPr>
      </w:pPr>
      <w:r>
        <w:rPr>
          <w:rFonts w:hint="eastAsia" w:ascii="宋体"/>
          <w:bCs/>
          <w:color w:val="auto"/>
          <w:highlight w:val="none"/>
        </w:rPr>
        <w:t xml:space="preserve">（5）提起质疑的日期</w:t>
      </w:r>
      <w:r/>
    </w:p>
    <w:p>
      <w:pPr>
        <w:ind w:firstLine="420"/>
        <w:spacing w:line="440" w:lineRule="exact"/>
        <w:rPr>
          <w:rFonts w:ascii="宋体"/>
          <w:bCs/>
          <w:color w:val="auto"/>
          <w:highlight w:val="none"/>
        </w:rPr>
      </w:pPr>
      <w:r>
        <w:rPr>
          <w:rFonts w:hint="eastAsia" w:ascii="宋体"/>
          <w:bCs/>
          <w:color w:val="auto"/>
          <w:highlight w:val="none"/>
        </w:rPr>
        <w:t xml:space="preserve">（6）质疑函应当署名：质疑人为自然人的，应当由本人签字并附有效身份证明；质疑人为法人或其他组织的，应当由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440" w:lineRule="exact"/>
        <w:rPr>
          <w:rFonts w:ascii="宋体"/>
          <w:bCs/>
          <w:color w:val="auto"/>
          <w:highlight w:val="none"/>
        </w:rPr>
      </w:pPr>
      <w:r>
        <w:rPr>
          <w:rFonts w:hint="eastAsia" w:ascii="宋体"/>
          <w:bCs/>
          <w:color w:val="auto"/>
          <w:highlight w:val="none"/>
        </w:rPr>
        <w:t xml:space="preserve">33.4质疑投标人是指直接参加本项目采购活动的投标人，未参加投标活动的投标人或在投标活动中自身权益未受到损害的投标人所提出的质疑不予受理。对采购文件提出质疑的，为投标人收到采购文件之日起或招标文件公告期限届满之日计算；对采购过程提出质疑的，自采购程序环节结束之日起计算；对中标结果提出质疑的，自中标结果公告之日起计算。</w:t>
      </w:r>
      <w:r/>
    </w:p>
    <w:p>
      <w:pPr>
        <w:ind w:firstLine="420"/>
        <w:spacing w:line="440" w:lineRule="exact"/>
        <w:rPr>
          <w:rFonts w:ascii="宋体"/>
          <w:bCs/>
          <w:color w:val="auto"/>
          <w:highlight w:val="none"/>
        </w:rPr>
      </w:pPr>
      <w:r>
        <w:rPr>
          <w:rFonts w:hint="eastAsia" w:ascii="宋体"/>
          <w:bCs/>
          <w:color w:val="auto"/>
          <w:highlight w:val="none"/>
        </w:rPr>
        <w:t xml:space="preserve">33.5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hint="eastAsia" w:ascii="宋体" w:eastAsia="宋体"/>
          <w:b w:val="0"/>
          <w:bCs/>
          <w:color w:val="auto"/>
          <w:sz w:val="21"/>
          <w:szCs w:val="20"/>
          <w:highlight w:val="none"/>
        </w:rPr>
      </w:pPr>
      <w:r>
        <w:rPr>
          <w:rFonts w:hint="eastAsia" w:ascii="宋体"/>
          <w:bCs/>
          <w:color w:val="auto"/>
          <w:highlight w:val="none"/>
        </w:rPr>
        <w:t xml:space="preserve">33.6 代理机构在收到投标人的书面质疑后七个工作日内作出答复，并以书面或在网站公告形式通知质疑投标人和其他有关投标人，答复的内容不涉及商业秘密。</w:t>
      </w:r>
      <w:bookmarkStart w:id="291" w:name="_Toc20799"/>
      <w:r/>
      <w:bookmarkStart w:id="292" w:name="_Toc16918"/>
      <w:r/>
      <w:bookmarkStart w:id="293" w:name="_Toc12622"/>
      <w:r/>
      <w:r/>
    </w:p>
    <w:p>
      <w:pPr>
        <w:jc w:val="left"/>
        <w:spacing w:line="240" w:lineRule="auto"/>
        <w:rPr>
          <w:rFonts w:hint="eastAsia" w:ascii="黑体" w:eastAsia="黑体"/>
          <w:b/>
          <w:color w:val="auto"/>
          <w:sz w:val="28"/>
          <w:szCs w:val="28"/>
          <w:highlight w:val="none"/>
        </w:rPr>
        <w:outlineLvl w:val="9"/>
      </w:pPr>
      <w:r/>
      <w:bookmarkStart w:id="294" w:name="_Toc19920"/>
      <w:r/>
      <w:bookmarkStart w:id="295" w:name="_Toc8218"/>
      <w:r>
        <w:rPr>
          <w:rFonts w:hint="eastAsia" w:ascii="黑体" w:eastAsia="黑体"/>
          <w:b/>
          <w:color w:val="auto"/>
          <w:sz w:val="28"/>
          <w:szCs w:val="28"/>
          <w:highlight w:val="none"/>
        </w:rPr>
        <w:br w:type="page" w:clear="all"/>
      </w:r>
      <w:r/>
    </w:p>
    <w:p>
      <w:pPr>
        <w:jc w:val="center"/>
        <w:spacing w:line="440" w:lineRule="exact"/>
        <w:rPr>
          <w:rFonts w:ascii="黑体" w:eastAsia="黑体"/>
          <w:b/>
          <w:color w:val="auto"/>
          <w:sz w:val="28"/>
          <w:szCs w:val="28"/>
          <w:highlight w:val="none"/>
        </w:rPr>
        <w:outlineLvl w:val="0"/>
      </w:pPr>
      <w:r>
        <w:rPr>
          <w:rFonts w:hint="eastAsia" w:ascii="黑体" w:eastAsia="黑体"/>
          <w:b/>
          <w:color w:val="auto"/>
          <w:sz w:val="28"/>
          <w:szCs w:val="28"/>
          <w:highlight w:val="none"/>
        </w:rPr>
        <w:t xml:space="preserve">第三章</w:t>
      </w:r>
      <w:r>
        <w:rPr>
          <w:rFonts w:ascii="黑体" w:eastAsia="黑体"/>
          <w:b/>
          <w:color w:val="auto"/>
          <w:sz w:val="28"/>
          <w:szCs w:val="28"/>
          <w:highlight w:val="none"/>
        </w:rPr>
        <w:t xml:space="preserve"> </w:t>
      </w:r>
      <w:r>
        <w:rPr>
          <w:rFonts w:hint="eastAsia" w:ascii="黑体" w:eastAsia="黑体"/>
          <w:b/>
          <w:color w:val="auto"/>
          <w:sz w:val="28"/>
          <w:szCs w:val="28"/>
          <w:highlight w:val="none"/>
        </w:rPr>
        <w:t xml:space="preserve">评标标准</w:t>
      </w:r>
      <w:bookmarkEnd w:id="291"/>
      <w:r/>
      <w:bookmarkEnd w:id="292"/>
      <w:r/>
      <w:bookmarkEnd w:id="293"/>
      <w:r/>
      <w:bookmarkEnd w:id="294"/>
      <w:r/>
      <w:bookmarkEnd w:id="295"/>
      <w:r/>
      <w:r/>
    </w:p>
    <w:p>
      <w:pPr>
        <w:spacing w:line="440" w:lineRule="exact"/>
        <w:rPr>
          <w:color w:val="auto"/>
          <w:szCs w:val="21"/>
          <w:highlight w:val="none"/>
        </w:rPr>
      </w:pPr>
      <w:r>
        <w:rPr>
          <w:color w:val="auto"/>
          <w:szCs w:val="21"/>
          <w:highlight w:val="none"/>
        </w:rPr>
        <w:t xml:space="preserve">  本项目采用综合评分法确定中标候选人。评标委员会将按以下评标办法和标准进行评分。总分值为100分，小数点后保留两位</w:t>
      </w:r>
      <w:r>
        <w:rPr>
          <w:rFonts w:hint="eastAsia"/>
          <w:color w:val="auto"/>
          <w:szCs w:val="21"/>
          <w:highlight w:val="none"/>
        </w:rPr>
        <w:t xml:space="preserve">。</w:t>
      </w:r>
      <w:r/>
    </w:p>
    <w:tbl>
      <w:tblPr>
        <w:tblStyle w:val="1225"/>
        <w:tblW w:w="9728" w:type="dxa"/>
        <w:tblInd w:w="0" w:type="dxa"/>
        <w:tblLayout w:type="fixed"/>
        <w:tblCellMar>
          <w:left w:w="108" w:type="dxa"/>
          <w:top w:w="0" w:type="dxa"/>
          <w:right w:w="108" w:type="dxa"/>
          <w:bottom w:w="0" w:type="dxa"/>
        </w:tblCellMar>
        <w:tblLook w:val="04A0" w:firstRow="1" w:lastRow="0" w:firstColumn="1" w:lastColumn="0" w:noHBand="0" w:noVBand="1"/>
      </w:tblPr>
      <w:tblGrid>
        <w:gridCol w:w="607"/>
        <w:gridCol w:w="919"/>
        <w:gridCol w:w="7495"/>
        <w:gridCol w:w="707"/>
      </w:tblGrid>
      <w:tr>
        <w:trPr>
          <w:trHeight w:val="705"/>
          <w:tblHeader/>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rPr>
                <w:rFonts w:hAnsi="Arial"/>
                <w:bCs/>
                <w:color w:val="auto"/>
                <w:highlight w:val="none"/>
              </w:rPr>
            </w:pPr>
            <w:r>
              <w:rPr>
                <w:rFonts w:hint="eastAsia" w:hAnsi="Arial"/>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rPr>
                <w:rFonts w:hAnsi="Arial"/>
                <w:bCs/>
                <w:color w:val="auto"/>
                <w:highlight w:val="none"/>
              </w:rPr>
            </w:pPr>
            <w:r>
              <w:rPr>
                <w:rFonts w:hint="eastAsia" w:hAnsi="Arial"/>
                <w:bCs/>
                <w:color w:val="auto"/>
                <w:highlight w:val="none"/>
              </w:rPr>
              <w:t xml:space="preserve">评分因素</w:t>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ind w:firstLine="420"/>
              <w:jc w:val="center"/>
              <w:rPr>
                <w:rFonts w:hAnsi="Arial"/>
                <w:bCs/>
                <w:color w:val="auto"/>
                <w:highlight w:val="none"/>
              </w:rPr>
            </w:pPr>
            <w:r>
              <w:rPr>
                <w:rFonts w:hint="eastAsia" w:hAnsi="Arial"/>
                <w:bCs/>
                <w:color w:val="auto"/>
                <w:highlight w:val="none"/>
              </w:rPr>
              <w:t xml:space="preserve">评分细则</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rPr>
                <w:rFonts w:hAnsi="Arial"/>
                <w:bCs/>
                <w:color w:val="auto"/>
                <w:highlight w:val="none"/>
              </w:rPr>
            </w:pPr>
            <w:r>
              <w:rPr>
                <w:rFonts w:hint="eastAsia" w:hAnsi="Arial"/>
                <w:bCs/>
                <w:color w:val="auto"/>
                <w:highlight w:val="none"/>
              </w:rPr>
              <w:t xml:space="preserve">分值</w:t>
            </w:r>
            <w:r/>
          </w:p>
        </w:tc>
      </w:tr>
      <w:tr>
        <w:trPr>
          <w:trHeight w:val="705"/>
          <w:tblHeader/>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价格</w:t>
            </w:r>
            <w:r/>
          </w:p>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（35分）</w:t>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价格分采用低价优先法计算，即满足招标文件要求且投标价格最低的投标报价为评标基准价，其价格分为满分。其他投标人的价格分统一按照下列公式计算：</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投标报价得分=(评标基准价／投标报价)×35（小数点保留两位）。</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总报价或单设备价格超过预算的，均按无效处理。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35</w:t>
            </w:r>
            <w:r/>
          </w:p>
        </w:tc>
      </w:tr>
      <w:tr>
        <w:trPr>
          <w:trHeight w:val="1862"/>
          <w:tblHeader/>
        </w:trPr>
        <w:tc>
          <w:tcPr>
            <w:tcBorders>
              <w:top w:val="single" w:color="auto" w:sz="4" w:space="0"/>
              <w:left w:val="single" w:color="auto" w:sz="4" w:space="0"/>
              <w:right w:val="single" w:color="auto" w:sz="4" w:space="0"/>
            </w:tcBorders>
            <w:tcW w:w="607" w:type="dxa"/>
            <w:vAlign w:val="center"/>
            <w:vMerge w:val="restart"/>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Borders>
              <w:top w:val="single" w:color="auto" w:sz="4" w:space="0"/>
              <w:left w:val="none" w:color="000000" w:sz="4" w:space="0"/>
              <w:right w:val="single" w:color="auto" w:sz="4" w:space="0"/>
            </w:tcBorders>
            <w:tcW w:w="919" w:type="dxa"/>
            <w:vAlign w:val="center"/>
            <w:vMerge w:val="restart"/>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采购需求响应（45分）</w:t>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投标产品对招标文件具体需求响应程度能够满足招标文件要求的得39分，其中标注“▲”的为否决项，不满足</w:t>
            </w:r>
            <w:r>
              <w:rPr>
                <w:rFonts w:hint="eastAsia" w:ascii="宋体" w:hAnsi="宋体" w:cs="宋体"/>
                <w:bCs/>
                <w:color w:val="auto"/>
                <w:highlight w:val="none"/>
                <w:lang w:val="en-US" w:eastAsia="zh-CN"/>
              </w:rPr>
              <w:t xml:space="preserve">的</w:t>
            </w:r>
            <w:r>
              <w:rPr>
                <w:rFonts w:hint="eastAsia" w:ascii="宋体" w:hAnsi="宋体" w:eastAsia="宋体" w:cs="宋体"/>
                <w:bCs/>
                <w:color w:val="auto"/>
                <w:highlight w:val="none"/>
              </w:rPr>
              <w:t xml:space="preserve">作无效投标处理；</w:t>
            </w:r>
            <w:r>
              <w:rPr>
                <w:rFonts w:hint="eastAsia" w:ascii="宋体" w:hAnsi="宋体" w:eastAsia="宋体" w:cs="宋体"/>
                <w:bCs/>
                <w:strike w:val="0"/>
                <w:color w:val="auto"/>
                <w:highlight w:val="none"/>
              </w:rPr>
              <w:t xml:space="preserve">标注“★”的为重要指标，不满足的每项扣2分，</w:t>
            </w:r>
            <w:r>
              <w:rPr>
                <w:rFonts w:hint="eastAsia" w:ascii="宋体" w:hAnsi="宋体" w:eastAsia="宋体" w:cs="宋体"/>
                <w:bCs/>
                <w:color w:val="auto"/>
                <w:highlight w:val="none"/>
              </w:rPr>
              <w:t xml:space="preserve">其他一般</w:t>
            </w:r>
            <w:r>
              <w:rPr>
                <w:rFonts w:hint="eastAsia" w:ascii="宋体" w:hAnsi="宋体" w:cs="宋体"/>
                <w:bCs/>
                <w:color w:val="auto"/>
                <w:highlight w:val="none"/>
                <w:lang w:val="en-US" w:eastAsia="zh-CN"/>
              </w:rPr>
              <w:t xml:space="preserve">条款</w:t>
            </w:r>
            <w:r>
              <w:rPr>
                <w:rFonts w:hint="eastAsia" w:ascii="宋体" w:hAnsi="宋体" w:eastAsia="宋体" w:cs="宋体"/>
                <w:bCs/>
                <w:color w:val="auto"/>
                <w:highlight w:val="none"/>
              </w:rPr>
              <w:t xml:space="preserve">有负偏离的每项扣</w:t>
            </w:r>
            <w:r>
              <w:rPr>
                <w:rFonts w:hint="eastAsia" w:ascii="宋体" w:hAnsi="宋体" w:cs="宋体"/>
                <w:bCs/>
                <w:color w:val="auto"/>
                <w:highlight w:val="none"/>
                <w:lang w:val="en-US" w:eastAsia="zh-CN"/>
              </w:rPr>
              <w:t xml:space="preserve">0.3</w:t>
            </w:r>
            <w:r>
              <w:rPr>
                <w:rFonts w:hint="eastAsia" w:ascii="宋体" w:hAnsi="宋体" w:eastAsia="宋体" w:cs="宋体"/>
                <w:bCs/>
                <w:color w:val="auto"/>
                <w:highlight w:val="none"/>
              </w:rPr>
              <w:t xml:space="preserve">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备注:对于招标文件中标注“▲”“★”的参数需提供相应技术支持资料（如彩页、白皮书、检测报告</w:t>
            </w:r>
            <w:r>
              <w:rPr>
                <w:rFonts w:hint="eastAsia" w:ascii="宋体" w:hAnsi="宋体" w:cs="宋体"/>
                <w:bCs/>
                <w:color w:val="auto"/>
                <w:highlight w:val="none"/>
                <w:lang w:val="en-US" w:eastAsia="zh-CN"/>
              </w:rPr>
              <w:t xml:space="preserve">或招标需求中要求的作证材料</w:t>
            </w:r>
            <w:r>
              <w:rPr>
                <w:rFonts w:hint="eastAsia" w:ascii="宋体" w:hAnsi="宋体" w:eastAsia="宋体" w:cs="宋体"/>
                <w:bCs/>
                <w:color w:val="auto"/>
                <w:highlight w:val="none"/>
              </w:rPr>
              <w:t xml:space="preserve">）并在《技术参数响应表》中详细标明技术支持资料在投标文件中的页码和位置。未提供技术支持资料的作负偏离处理。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39</w:t>
            </w:r>
            <w:r/>
          </w:p>
        </w:tc>
      </w:tr>
      <w:tr>
        <w:trPr>
          <w:trHeight w:val="565"/>
          <w:tblHeader/>
        </w:trPr>
        <w:tc>
          <w:tcPr>
            <w:tcBorders>
              <w:left w:val="single" w:color="auto" w:sz="4" w:space="0"/>
              <w:bottom w:val="single" w:color="auto" w:sz="4" w:space="0"/>
              <w:right w:val="single" w:color="auto" w:sz="4" w:space="0"/>
            </w:tcBorders>
            <w:tcW w:w="607" w:type="dxa"/>
            <w:vAlign w:val="center"/>
            <w:vMerge w:val="continue"/>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left w:val="none" w:color="000000" w:sz="4" w:space="0"/>
              <w:bottom w:val="single" w:color="auto" w:sz="4" w:space="0"/>
              <w:right w:val="single" w:color="auto" w:sz="4" w:space="0"/>
            </w:tcBorders>
            <w:tcW w:w="919" w:type="dxa"/>
            <w:vAlign w:val="center"/>
            <w:vMerge w:val="continue"/>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产品匹配性（6分）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1）供应商提供的产品功能完全匹配采购需求得 6 分； </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2）供应商提供的产品功能较匹配采购需求得 4 分； </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3）供应商提供的产品功能基本匹配采购需求得 2 分； </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4）较差或不提供的不得分。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6</w:t>
            </w:r>
            <w:r/>
          </w:p>
        </w:tc>
      </w:tr>
      <w:tr>
        <w:trPr>
          <w:trHeight w:val="705"/>
          <w:tblHeader/>
        </w:trPr>
        <w:tc>
          <w:tcPr>
            <w:tcBorders>
              <w:top w:val="single" w:color="auto" w:sz="4" w:space="0"/>
              <w:left w:val="single" w:color="auto" w:sz="4" w:space="0"/>
              <w:right w:val="single" w:color="auto" w:sz="4" w:space="0"/>
            </w:tcBorders>
            <w:tcW w:w="607" w:type="dxa"/>
            <w:vAlign w:val="center"/>
            <w:vMerge w:val="restart"/>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Borders>
              <w:top w:val="single" w:color="auto" w:sz="4" w:space="0"/>
              <w:left w:val="none" w:color="000000" w:sz="4" w:space="0"/>
              <w:right w:val="single" w:color="auto" w:sz="4" w:space="0"/>
            </w:tcBorders>
            <w:tcW w:w="919" w:type="dxa"/>
            <w:vAlign w:val="center"/>
            <w:vMerge w:val="restart"/>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服务</w:t>
            </w:r>
            <w:r/>
          </w:p>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（14分）</w:t>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售后服务：售后服务体系、固定的售后服务机构及人员、售后服务承诺、售后服务应答及处理时间，质保期内的售后服务范围、质保期满后的售后服务范围和收费情况进行评分。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售后服务体系完善、人员配合合理、售后承诺完善、售后服务应答及时、服务范围广、质保期满后收费合理得3分；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售后服务体系基本完善、人员配合基本合理、售后承诺基本完善、售后服务应答基本及时、服务范围较广、质保期满后收费基本合理得1分；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售后服务体系不完善、人员配合不合理、售后承诺不完善、售后服务应答不及时、服务范围窄、质保期满后收费不合理得0分；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p>
        </w:tc>
      </w:tr>
      <w:tr>
        <w:trPr>
          <w:trHeight w:val="705"/>
          <w:tblHeader/>
        </w:trPr>
        <w:tc>
          <w:tcPr>
            <w:tcBorders>
              <w:left w:val="single" w:color="auto" w:sz="4" w:space="0"/>
              <w:right w:val="single" w:color="auto" w:sz="4" w:space="0"/>
            </w:tcBorders>
            <w:tcW w:w="607" w:type="dxa"/>
            <w:vAlign w:val="center"/>
            <w:vMerge w:val="continue"/>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left w:val="none" w:color="000000" w:sz="4" w:space="0"/>
              <w:right w:val="single" w:color="auto" w:sz="4" w:space="0"/>
            </w:tcBorders>
            <w:tcW w:w="919" w:type="dxa"/>
            <w:vAlign w:val="center"/>
            <w:vMerge w:val="continue"/>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满足招标文件免费质保期（</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年）的基础上，</w:t>
            </w:r>
            <w:r>
              <w:rPr>
                <w:rFonts w:hint="eastAsia" w:ascii="宋体" w:hAnsi="宋体" w:eastAsia="宋体" w:cs="宋体"/>
                <w:b/>
                <w:bCs w:val="0"/>
                <w:color w:val="auto"/>
                <w:highlight w:val="none"/>
              </w:rPr>
              <w:t xml:space="preserve">所有产品</w:t>
            </w:r>
            <w:r>
              <w:rPr>
                <w:rFonts w:hint="eastAsia" w:ascii="宋体" w:hAnsi="宋体" w:eastAsia="宋体" w:cs="宋体"/>
                <w:bCs/>
                <w:color w:val="auto"/>
                <w:highlight w:val="none"/>
              </w:rPr>
              <w:t xml:space="preserve">同步每增加1年免费质保加1分，本项最多得6分。需提供售后服务承诺书（原件）（若投标文件中出现前后不一致的情况，以最低免费质保期作为评分依据）。</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6</w:t>
            </w:r>
            <w:r/>
          </w:p>
        </w:tc>
      </w:tr>
      <w:tr>
        <w:trPr>
          <w:trHeight w:val="705"/>
          <w:tblHeader/>
        </w:trPr>
        <w:tc>
          <w:tcPr>
            <w:tcBorders>
              <w:left w:val="single" w:color="auto" w:sz="4" w:space="0"/>
              <w:bottom w:val="single" w:color="auto" w:sz="4" w:space="0"/>
              <w:right w:val="single" w:color="auto" w:sz="4" w:space="0"/>
            </w:tcBorders>
            <w:tcW w:w="607" w:type="dxa"/>
            <w:vAlign w:val="center"/>
            <w:vMerge w:val="continue"/>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left w:val="none" w:color="000000" w:sz="4" w:space="0"/>
              <w:bottom w:val="single" w:color="auto" w:sz="4" w:space="0"/>
              <w:right w:val="single" w:color="auto" w:sz="4" w:space="0"/>
            </w:tcBorders>
            <w:tcW w:w="919" w:type="dxa"/>
            <w:vAlign w:val="center"/>
            <w:vMerge w:val="continue"/>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培训：对买方操作、维护人员的培训方案及计划。</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方案及计划详细，安排合理性好的得5分；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方案及计划较详细，安排合理性较好的得3分；</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方案计划不清，安排合理性一般的得1分。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p>
        </w:tc>
      </w:tr>
      <w:tr>
        <w:trPr>
          <w:trHeight w:val="705"/>
          <w:tblHeader/>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业绩</w:t>
            </w:r>
            <w:r/>
          </w:p>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（4分）</w:t>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所投</w:t>
            </w:r>
            <w:r>
              <w:rPr>
                <w:rFonts w:hint="eastAsia" w:ascii="宋体" w:hAnsi="宋体" w:eastAsia="宋体" w:cs="宋体"/>
                <w:b/>
                <w:bCs w:val="0"/>
                <w:color w:val="auto"/>
                <w:highlight w:val="none"/>
              </w:rPr>
              <w:t xml:space="preserve">核心产品</w:t>
            </w:r>
            <w:r>
              <w:rPr>
                <w:rFonts w:hint="eastAsia" w:ascii="宋体" w:hAnsi="宋体" w:eastAsia="宋体" w:cs="宋体"/>
                <w:bCs/>
                <w:color w:val="auto"/>
                <w:highlight w:val="none"/>
              </w:rPr>
              <w:t xml:space="preserve">同品牌同类产品近3年（2022年1月1日-投标截止时间前）在国内的销售业绩。每提供一份有效合同得2分，最多得4分。（业绩中的型号须不低于所投核心产品型号，提供所投产品在全国的销售合同复印件，其他代理公司的销售合同也可，原件备查。）  </w:t>
            </w:r>
            <w:r/>
          </w:p>
          <w:p>
            <w:pPr>
              <w:jc w:val="left"/>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注：不低于所投核心产品型号，需提供相关证明材料，由评委会认可。合同按照签订时间计算。</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w:t>
            </w:r>
            <w:r/>
          </w:p>
        </w:tc>
      </w:tr>
      <w:tr>
        <w:trPr>
          <w:trHeight w:val="938"/>
          <w:tblHeader/>
        </w:trPr>
        <w:tc>
          <w:tcPr>
            <w:tcBorders>
              <w:top w:val="single" w:color="auto" w:sz="4" w:space="0"/>
              <w:left w:val="single" w:color="auto" w:sz="4" w:space="0"/>
              <w:right w:val="single" w:color="auto" w:sz="4" w:space="0"/>
            </w:tcBorders>
            <w:tcW w:w="607" w:type="dxa"/>
            <w:vAlign w:val="center"/>
            <w:vMerge w:val="restart"/>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Borders>
              <w:top w:val="single" w:color="auto" w:sz="4" w:space="0"/>
              <w:left w:val="none" w:color="000000" w:sz="4" w:space="0"/>
              <w:right w:val="single" w:color="auto" w:sz="4" w:space="0"/>
            </w:tcBorders>
            <w:tcW w:w="919" w:type="dxa"/>
            <w:vAlign w:val="center"/>
            <w:vMerge w:val="restart"/>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国家政策导向</w:t>
            </w:r>
            <w:r/>
          </w:p>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（2分）</w:t>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p>
        </w:tc>
      </w:tr>
      <w:tr>
        <w:trPr>
          <w:trHeight w:val="705"/>
          <w:tblHeader/>
        </w:trPr>
        <w:tc>
          <w:tcPr>
            <w:tcBorders>
              <w:left w:val="single" w:color="auto" w:sz="4" w:space="0"/>
              <w:bottom w:val="single" w:color="auto" w:sz="4" w:space="0"/>
              <w:right w:val="single" w:color="auto" w:sz="4" w:space="0"/>
            </w:tcBorders>
            <w:tcW w:w="607" w:type="dxa"/>
            <w:vAlign w:val="center"/>
            <w:vMerge w:val="continue"/>
            <w:textDirection w:val="lrTb"/>
            <w:noWrap w:val="false"/>
          </w:tcPr>
          <w:p>
            <w:pP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left w:val="none" w:color="000000" w:sz="4" w:space="0"/>
              <w:bottom w:val="single" w:color="auto" w:sz="4" w:space="0"/>
              <w:right w:val="single" w:color="auto" w:sz="4" w:space="0"/>
            </w:tcBorders>
            <w:tcW w:w="919" w:type="dxa"/>
            <w:vAlign w:val="center"/>
            <w:vMerge w:val="continue"/>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none" w:color="000000" w:sz="4" w:space="0"/>
              <w:bottom w:val="single" w:color="auto" w:sz="4" w:space="0"/>
              <w:right w:val="single" w:color="auto" w:sz="4" w:space="0"/>
            </w:tcBorders>
            <w:tcW w:w="7495" w:type="dxa"/>
            <w:vAlign w:val="center"/>
            <w:textDirection w:val="lrTb"/>
            <w:noWrap w:val="false"/>
          </w:tcPr>
          <w:p>
            <w:pPr>
              <w:jc w:val="left"/>
              <w:spacing w:line="360" w:lineRule="exact"/>
              <w:widowControl/>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p>
        </w:tc>
      </w:tr>
    </w:tbl>
    <w:p>
      <w:pPr>
        <w:pStyle w:val="1264"/>
        <w:ind w:firstLine="0"/>
        <w:rPr>
          <w:b/>
          <w:bCs/>
          <w:color w:val="auto"/>
          <w:szCs w:val="21"/>
          <w:highlight w:val="none"/>
        </w:rPr>
      </w:pPr>
      <w:r>
        <w:rPr>
          <w:b/>
          <w:bCs/>
          <w:color w:val="auto"/>
          <w:szCs w:val="21"/>
          <w:highlight w:val="none"/>
        </w:rPr>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说明：</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1、评审标准中涉及的证明材料均需附入投标文件内（复印件加盖红章）。</w:t>
      </w:r>
      <w:r/>
    </w:p>
    <w:p>
      <w:pPr>
        <w:spacing w:line="44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rPr>
        <w:t xml:space="preserve">2、政府采购政策功能落实</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2.1、小微型企业价格扣除</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（1）本项目对小型和微型企业产品给予10%的扣除价格，用扣除后的价格参与评审。</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（2）供应商需按照采购文件的要求提供相应的《企业声明函》。</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（3）企业标准请参照《关于印发中小企业划型标准规定的通知》（工信部联企业[2011]300号）文件规定自行填写。</w:t>
      </w:r>
      <w:r/>
    </w:p>
    <w:p>
      <w:pPr>
        <w:spacing w:line="440" w:lineRule="exact"/>
        <w:rPr>
          <w:rFonts w:hint="eastAsia" w:ascii="宋体" w:hAnsi="宋体" w:eastAsia="宋体"/>
          <w:b/>
          <w:color w:val="auto"/>
          <w:szCs w:val="21"/>
          <w:highlight w:val="none"/>
          <w:lang w:val="en-US" w:eastAsia="zh-CN"/>
        </w:rPr>
      </w:pPr>
      <w:r>
        <w:rPr>
          <w:rFonts w:hint="eastAsia" w:ascii="宋体" w:hAnsi="宋体"/>
          <w:b/>
          <w:color w:val="auto"/>
          <w:szCs w:val="21"/>
          <w:highlight w:val="none"/>
        </w:rPr>
        <w:t xml:space="preserve">2.2、残疾人福利单位价格扣除</w:t>
      </w:r>
      <w:r>
        <w:rPr>
          <w:rFonts w:hint="eastAsia" w:ascii="宋体" w:hAnsi="宋体"/>
          <w:b/>
          <w:color w:val="auto"/>
          <w:szCs w:val="21"/>
          <w:highlight w:val="none"/>
          <w:lang w:val="en-US" w:eastAsia="zh-CN"/>
        </w:rPr>
        <w:t xml:space="preserve"> </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（1）本项目对残疾人福利性单位视同小型、微型企业，给予10%的价格扣除，用扣除后的价格参与评审。</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（2）残疾人福利单位需按照采购文件的要求提供《残疾人福利性单位声明函》。</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（3）残疾人福利单位标准请参照《关于促进残疾人就业政府采购政策的通知》（财库〔2017〕141号）。</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2.3、监狱和戒毒企业价格扣除</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（1）本项目对监狱和戒毒企业（简称监狱企业）视同小型、微型企业，给予10%的价格扣除，用扣除后的价格参与评审。</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（3）监狱企业标准请参照《关于政府采购支持监狱企业发展有关问题的通知》（财库[2014]68号）。</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2.4、残疾人福利单位、监狱企业属于小型、微型企业的，不重复享受政策。</w:t>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2.5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%的价格扣除，用扣除后的价格参与评审。</w:t>
      </w:r>
      <w:r/>
    </w:p>
    <w:p>
      <w:pPr>
        <w:spacing w:line="440" w:lineRule="exact"/>
        <w:rPr>
          <w:b/>
          <w:color w:val="auto"/>
          <w:sz w:val="36"/>
          <w:highlight w:val="none"/>
        </w:rPr>
      </w:pPr>
      <w:r>
        <w:rPr>
          <w:rFonts w:hint="eastAsia" w:ascii="宋体" w:hAnsi="宋体"/>
          <w:b/>
          <w:color w:val="auto"/>
          <w:szCs w:val="21"/>
          <w:highlight w:val="none"/>
        </w:rPr>
        <w:t xml:space="preserve">2.6、联合体各方均为小型、微型企业（残疾人福利单位、监狱企业）的，联合体享受10%价格扣除，用扣除后的价格参与评审。</w:t>
      </w:r>
      <w:r/>
    </w:p>
    <w:p>
      <w:pPr>
        <w:jc w:val="center"/>
        <w:spacing w:line="440" w:lineRule="exact"/>
        <w:rPr>
          <w:rFonts w:ascii="黑体" w:eastAsia="黑体"/>
          <w:b/>
          <w:color w:val="auto"/>
          <w:sz w:val="28"/>
          <w:szCs w:val="28"/>
          <w:highlight w:val="none"/>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titlePg/>
        </w:sectPr>
        <w:outlineLvl w:val="0"/>
      </w:pPr>
      <w:r>
        <w:rPr>
          <w:rFonts w:ascii="黑体" w:eastAsia="黑体"/>
          <w:b/>
          <w:color w:val="auto"/>
          <w:sz w:val="28"/>
          <w:szCs w:val="28"/>
          <w:highlight w:val="none"/>
        </w:rPr>
      </w:r>
      <w:r/>
    </w:p>
    <w:p>
      <w:pPr>
        <w:jc w:val="center"/>
        <w:spacing w:line="440" w:lineRule="exact"/>
        <w:rPr>
          <w:rFonts w:ascii="黑体" w:eastAsia="黑体"/>
          <w:b/>
          <w:color w:val="auto"/>
          <w:sz w:val="28"/>
          <w:szCs w:val="28"/>
          <w:highlight w:val="none"/>
        </w:rPr>
        <w:outlineLvl w:val="0"/>
      </w:pPr>
      <w:r/>
      <w:bookmarkStart w:id="296" w:name="_Toc252"/>
      <w:r/>
      <w:bookmarkStart w:id="297" w:name="_Toc17106"/>
      <w:r/>
      <w:bookmarkStart w:id="298" w:name="_Toc14897"/>
      <w:r/>
      <w:bookmarkStart w:id="299" w:name="_Toc21610"/>
      <w:r/>
      <w:bookmarkStart w:id="300" w:name="_Toc26267"/>
      <w:r>
        <w:rPr>
          <w:rFonts w:hint="eastAsia" w:ascii="黑体" w:eastAsia="黑体"/>
          <w:b/>
          <w:color w:val="auto"/>
          <w:sz w:val="28"/>
          <w:szCs w:val="28"/>
          <w:highlight w:val="none"/>
        </w:rPr>
        <w:t xml:space="preserve">第四章  招标产品清单及有关说明</w:t>
      </w:r>
      <w:bookmarkEnd w:id="296"/>
      <w:r/>
      <w:bookmarkEnd w:id="297"/>
      <w:r/>
      <w:bookmarkEnd w:id="298"/>
      <w:r/>
      <w:bookmarkEnd w:id="299"/>
      <w:r/>
      <w:bookmarkEnd w:id="300"/>
      <w:r/>
      <w:r/>
    </w:p>
    <w:p>
      <w:pPr>
        <w:numPr>
          <w:ilvl w:val="255"/>
          <w:numId w:val="0"/>
        </w:numPr>
        <w:spacing w:line="440" w:lineRule="exact"/>
        <w:rPr>
          <w:rFonts w:ascii="宋体"/>
          <w:b/>
          <w:bCs/>
          <w:color w:val="auto"/>
          <w:sz w:val="24"/>
          <w:szCs w:val="24"/>
          <w:highlight w:val="none"/>
        </w:rPr>
      </w:pPr>
      <w:r>
        <w:rPr>
          <w:rFonts w:hint="eastAsia" w:ascii="宋体"/>
          <w:b/>
          <w:bCs/>
          <w:color w:val="auto"/>
          <w:sz w:val="24"/>
          <w:szCs w:val="24"/>
          <w:highlight w:val="none"/>
        </w:rPr>
        <w:t xml:space="preserve">一、招标产品清单</w:t>
      </w:r>
      <w:r/>
    </w:p>
    <w:tbl>
      <w:tblPr>
        <w:tblStyle w:val="1225"/>
        <w:tblW w:w="4996" w:type="pct"/>
        <w:tblInd w:w="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2027"/>
        <w:gridCol w:w="723"/>
        <w:gridCol w:w="1607"/>
        <w:gridCol w:w="2192"/>
        <w:gridCol w:w="1205"/>
        <w:gridCol w:w="1206"/>
      </w:tblGrid>
      <w:tr>
        <w:trPr>
          <w:trHeight w:val="764"/>
        </w:trPr>
        <w:tc>
          <w:tcPr>
            <w:shd w:val="clear" w:color="auto" w:fill="ffffff"/>
            <w:tcW w:w="450"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W w:w="1029"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shd w:val="clear" w:color="auto" w:fill="ffffff"/>
            <w:tcW w:w="367"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ffffff"/>
            <w:tcW w:w="816"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价格条件</w:t>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★合同履行期限（交货期）</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预算金额</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是否接受进口产品</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X光显影设备</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用户地交货价</w:t>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专用电荷测量程序</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老化箱桌面型42升</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盖革计数器</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0.5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电池循环机</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经皮能量传递测试系统</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合同签订后60天内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氦气测漏仪</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气相色谱</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体内器械模拟除颤仪</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合同签订后90天内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超声兼容试验装置</w:t>
            </w:r>
            <w:r>
              <w:rPr>
                <w:rFonts w:hint="eastAsia" w:ascii="宋体" w:hAnsi="宋体" w:cs="宋体"/>
                <w:b/>
                <w:bCs/>
                <w:color w:val="auto"/>
                <w:szCs w:val="21"/>
                <w:highlight w:val="none"/>
                <w:lang w:bidi="ar"/>
              </w:rPr>
              <w:t xml:space="preserve">（核心产品）</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合同签订后90天内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56.8</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大气压试验系统</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合同签订后60天内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超级恒温水浴水循环老化系统</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特斯拉计</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0.5</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头部体模</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0.2</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50mT赫姆霍兹线圈</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合同签订后60天内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shd w:val="clear" w:color="auto" w:fill="ffffff"/>
            <w:tcW w:w="45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ffffff"/>
            <w:tcW w:w="102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大功率直流源</w:t>
            </w:r>
            <w:r/>
          </w:p>
        </w:tc>
        <w:tc>
          <w:tcPr>
            <w:shd w:val="clear" w:color="auto" w:fill="ffffff"/>
            <w:tcW w:w="36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816" w:type="pct"/>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11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天内</w:t>
            </w:r>
            <w:r/>
          </w:p>
        </w:tc>
        <w:tc>
          <w:tcPr>
            <w:shd w:val="clear" w:color="auto" w:fill="ffffff"/>
            <w:tcW w:w="61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trHeight w:val="410"/>
        </w:trPr>
        <w:tc>
          <w:tcPr>
            <w:gridSpan w:val="5"/>
            <w:shd w:val="clear" w:color="auto" w:fill="ffffff"/>
            <w:tcW w:w="3775" w:type="pct"/>
            <w:vAlign w:val="center"/>
            <w:textDirection w:val="lrTb"/>
            <w:noWrap w:val="false"/>
          </w:tcPr>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ffffff"/>
            <w:tcW w:w="6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193.4</w:t>
            </w:r>
            <w:r/>
          </w:p>
        </w:tc>
        <w:tc>
          <w:tcPr>
            <w:shd w:val="clear" w:color="auto" w:fill="ffffff"/>
            <w:tcW w:w="612" w:type="pct"/>
            <w:vAlign w:val="center"/>
            <w:textDirection w:val="lrTb"/>
            <w:noWrap w:val="false"/>
          </w:tcPr>
          <w:p>
            <w:pPr>
              <w:ind w:firstLine="420"/>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22"/>
        <w:jc w:val="left"/>
        <w:spacing w:line="440" w:lineRule="exact"/>
        <w:widowControl/>
        <w:rPr>
          <w:rFonts w:ascii="宋体" w:hAnsi="宋体"/>
          <w:color w:val="auto"/>
          <w:szCs w:val="21"/>
          <w:highlight w:val="none"/>
        </w:rPr>
      </w:pPr>
      <w:r>
        <w:rPr>
          <w:rFonts w:hint="eastAsia" w:ascii="宋体" w:hAnsi="宋体" w:cs="宋体"/>
          <w:b/>
          <w:bCs/>
          <w:color w:val="auto"/>
          <w:szCs w:val="21"/>
          <w:highlight w:val="none"/>
        </w:rPr>
        <w:t xml:space="preserve">注：投标人必须对以上所有产品进行投标，不得漏项，其所投产品报价均不得超过其对应的预算金额，否则将导致投标被否决。</w:t>
      </w:r>
      <w:r>
        <w:rPr>
          <w:rFonts w:hint="eastAsia" w:ascii="宋体" w:hAnsi="宋体"/>
          <w:color w:val="auto"/>
          <w:szCs w:val="21"/>
          <w:highlight w:val="none"/>
        </w:rPr>
        <w:t xml:space="preserve">  </w:t>
      </w:r>
      <w:r/>
    </w:p>
    <w:p>
      <w:pPr>
        <w:numPr>
          <w:ilvl w:val="255"/>
          <w:numId w:val="0"/>
        </w:numPr>
        <w:spacing w:line="360" w:lineRule="auto"/>
        <w:rPr>
          <w:rFonts w:ascii="宋体"/>
          <w:color w:val="auto"/>
          <w:sz w:val="24"/>
          <w:szCs w:val="24"/>
          <w:highlight w:val="none"/>
        </w:rPr>
      </w:pPr>
      <w:r>
        <w:rPr>
          <w:rFonts w:ascii="宋体"/>
          <w:color w:val="auto"/>
          <w:sz w:val="24"/>
          <w:szCs w:val="24"/>
          <w:highlight w:val="none"/>
        </w:rPr>
      </w:r>
      <w:r/>
    </w:p>
    <w:p>
      <w:pPr>
        <w:numPr>
          <w:ilvl w:val="255"/>
          <w:numId w:val="0"/>
        </w:numPr>
        <w:spacing w:line="360" w:lineRule="auto"/>
        <w:rPr>
          <w:rFonts w:ascii="宋体"/>
          <w:b/>
          <w:bCs/>
          <w:color w:val="auto"/>
          <w:sz w:val="24"/>
          <w:szCs w:val="24"/>
          <w:highlight w:val="none"/>
        </w:rPr>
      </w:pPr>
      <w:r>
        <w:rPr>
          <w:rFonts w:hint="eastAsia" w:ascii="宋体"/>
          <w:b/>
          <w:bCs/>
          <w:color w:val="auto"/>
          <w:sz w:val="24"/>
          <w:szCs w:val="24"/>
          <w:highlight w:val="none"/>
        </w:rPr>
        <w:t xml:space="preserve">二、技术参数</w:t>
      </w:r>
      <w:r/>
    </w:p>
    <w:p>
      <w:pPr>
        <w:spacing w:line="360" w:lineRule="auto"/>
        <w:rPr>
          <w:rFonts w:hint="eastAsia" w:ascii="宋体" w:hAnsi="宋体" w:cs="宋体"/>
          <w:b/>
          <w:bCs w:val="0"/>
          <w:color w:val="auto"/>
          <w:szCs w:val="21"/>
          <w:highlight w:val="none"/>
          <w:lang w:eastAsia="zh-CN"/>
        </w:rPr>
        <w:outlineLvl w:val="1"/>
      </w:pP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一</w:t>
      </w:r>
      <w:r>
        <w:rPr>
          <w:rFonts w:hint="eastAsia" w:ascii="宋体" w:hAnsi="宋体" w:cs="宋体"/>
          <w:b/>
          <w:bCs w:val="0"/>
          <w:color w:val="auto"/>
          <w:szCs w:val="21"/>
          <w:highlight w:val="none"/>
          <w:lang w:eastAsia="zh-CN"/>
        </w:rPr>
        <w:t xml:space="preserve">）X光显影设备</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1.技术指标：</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1. 被测物厚度:0-300mm</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.2. 稳压精度:≤±10%</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漏射线：&lt;0.5mGy/h</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.4. 稳流精度:x≤±20%</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.5.输出亮度：&gt;100cd/•m2</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.6.分辨率：≥2.5lp/mm</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eastAsia="宋体" w:cs="宋体"/>
          <w:color w:val="auto"/>
          <w:sz w:val="21"/>
          <w:szCs w:val="21"/>
          <w:highlight w:val="none"/>
        </w:rPr>
        <w:t xml:space="preserve">.7. 有效视场:φ50mm</w:t>
      </w:r>
      <w:r>
        <w:rPr>
          <w:rFonts w:hint="eastAsia" w:ascii="宋体" w:hAnsi="宋体" w:cs="宋体"/>
          <w:color w:val="auto"/>
          <w:sz w:val="21"/>
          <w:szCs w:val="21"/>
          <w:highlight w:val="none"/>
          <w:lang w:eastAsia="zh-CN"/>
        </w:rPr>
        <w:t xml:space="preserve">。</w:t>
      </w:r>
      <w:r/>
    </w:p>
    <w:p>
      <w:pPr>
        <w:numPr>
          <w:ilvl w:val="-1"/>
          <w:numId w:val="0"/>
        </w:numPr>
        <w:spacing w:line="360" w:lineRule="auto"/>
        <w:rPr>
          <w:rFonts w:hint="eastAsia" w:ascii="宋体" w:hAnsi="宋体" w:cs="宋体"/>
          <w:b/>
          <w:bCs w:val="0"/>
          <w:color w:val="auto"/>
          <w:szCs w:val="21"/>
          <w:highlight w:val="none"/>
        </w:rPr>
        <w:outlineLvl w:val="9"/>
      </w:pPr>
      <w:r>
        <w:rPr>
          <w:rFonts w:hint="eastAsia" w:ascii="宋体" w:hAnsi="宋体" w:cs="宋体"/>
          <w:b/>
          <w:bCs w:val="0"/>
          <w:color w:val="auto"/>
          <w:szCs w:val="21"/>
          <w:highlight w:val="none"/>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（二）专用电荷测量程序</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1.技术指标：</w:t>
      </w:r>
      <w:r/>
    </w:p>
    <w:p>
      <w:pPr>
        <w:pStyle w:val="1295"/>
        <w:numPr>
          <w:ilvl w:val="-1"/>
          <w:numId w:val="0"/>
        </w:numPr>
        <w:ind w:left="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测量分辨率：6½位</w:t>
      </w:r>
      <w:r>
        <w:rPr>
          <w:rFonts w:hint="eastAsia" w:ascii="宋体" w:hAnsi="宋体" w:cs="宋体"/>
          <w:color w:val="auto"/>
          <w:sz w:val="21"/>
          <w:szCs w:val="21"/>
          <w:highlight w:val="none"/>
          <w:lang w:eastAsia="zh-CN"/>
        </w:rPr>
        <w:t xml:space="preserve">；</w:t>
      </w:r>
      <w:r/>
    </w:p>
    <w:p>
      <w:pPr>
        <w:pStyle w:val="1295"/>
        <w:numPr>
          <w:ilvl w:val="-1"/>
          <w:numId w:val="0"/>
        </w:numPr>
        <w:ind w:left="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电流分辨率：1fA</w:t>
      </w:r>
      <w:r>
        <w:rPr>
          <w:rFonts w:hint="eastAsia" w:ascii="宋体" w:hAnsi="宋体" w:cs="宋体"/>
          <w:color w:val="auto"/>
          <w:sz w:val="21"/>
          <w:szCs w:val="21"/>
          <w:highlight w:val="none"/>
          <w:lang w:eastAsia="zh-CN"/>
        </w:rPr>
        <w:t xml:space="preserve">；</w:t>
      </w:r>
      <w:r/>
    </w:p>
    <w:p>
      <w:pPr>
        <w:numPr>
          <w:ilvl w:val="-1"/>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电流量程：20pA-20mA</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1.4 可实现人工耳蜗刺激信号电中性特性自动计算</w:t>
      </w:r>
      <w:r>
        <w:rPr>
          <w:rFonts w:hint="eastAsia" w:ascii="宋体" w:hAnsi="宋体" w:cs="宋体"/>
          <w:color w:val="auto"/>
          <w:szCs w:val="21"/>
          <w:highlight w:val="none"/>
          <w:lang w:eastAsia="zh-CN"/>
        </w:rPr>
        <w:t xml:space="preserve">。</w:t>
      </w:r>
      <w:r/>
    </w:p>
    <w:p>
      <w:pPr>
        <w:numPr>
          <w:ilvl w:val="0"/>
          <w:numId w:val="0"/>
        </w:numPr>
        <w:spacing w:line="360" w:lineRule="auto"/>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（三）老化箱桌面型42升</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1.技术指标：</w:t>
      </w:r>
      <w:r/>
    </w:p>
    <w:p>
      <w:pPr>
        <w:numPr>
          <w:ilvl w:val="-1"/>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 容量：≥40L</w:t>
      </w:r>
      <w:r>
        <w:rPr>
          <w:rFonts w:hint="eastAsia" w:ascii="宋体" w:hAnsi="宋体" w:cs="宋体"/>
          <w:color w:val="auto"/>
          <w:sz w:val="21"/>
          <w:szCs w:val="21"/>
          <w:highlight w:val="none"/>
          <w:lang w:eastAsia="zh-CN"/>
        </w:rPr>
        <w:t xml:space="preserve">；</w:t>
      </w:r>
      <w:r/>
    </w:p>
    <w:p>
      <w:pPr>
        <w:numPr>
          <w:ilvl w:val="-1"/>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 温度：</w:t>
      </w:r>
      <w:r>
        <w:rPr>
          <w:rFonts w:hint="eastAsia" w:ascii="宋体" w:hAnsi="宋体" w:cs="宋体"/>
          <w:color w:val="auto"/>
          <w:szCs w:val="21"/>
          <w:highlight w:val="none"/>
        </w:rPr>
        <w:t xml:space="preserve">包含室温</w:t>
      </w:r>
      <w:r>
        <w:rPr>
          <w:rFonts w:hint="eastAsia" w:ascii="宋体" w:hAnsi="宋体" w:eastAsia="宋体" w:cs="宋体"/>
          <w:color w:val="auto"/>
          <w:sz w:val="21"/>
          <w:szCs w:val="21"/>
          <w:highlight w:val="none"/>
        </w:rPr>
        <w:t xml:space="preserve">-250℃</w:t>
      </w:r>
      <w:r>
        <w:rPr>
          <w:rFonts w:hint="eastAsia" w:ascii="宋体" w:hAnsi="宋体" w:cs="宋体"/>
          <w:color w:val="auto"/>
          <w:sz w:val="21"/>
          <w:szCs w:val="21"/>
          <w:highlight w:val="none"/>
          <w:lang w:eastAsia="zh-CN"/>
        </w:rPr>
        <w:t xml:space="preserve">；</w:t>
      </w:r>
      <w:r/>
    </w:p>
    <w:p>
      <w:pPr>
        <w:numPr>
          <w:ilvl w:val="-1"/>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 温控精度：±</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p>
    <w:p>
      <w:pPr>
        <w:numPr>
          <w:ilvl w:val="-1"/>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1.4 温度</w:t>
      </w:r>
      <w:r>
        <w:rPr>
          <w:rFonts w:hint="eastAsia" w:ascii="宋体" w:hAnsi="宋体" w:cs="宋体"/>
          <w:color w:val="auto"/>
          <w:szCs w:val="21"/>
          <w:highlight w:val="none"/>
        </w:rPr>
        <w:t xml:space="preserve">分辨率：1℃</w:t>
      </w:r>
      <w:r>
        <w:rPr>
          <w:rFonts w:hint="eastAsia" w:ascii="宋体" w:hAnsi="宋体" w:cs="宋体"/>
          <w:color w:val="auto"/>
          <w:szCs w:val="21"/>
          <w:highlight w:val="none"/>
          <w:lang w:eastAsia="zh-CN"/>
        </w:rPr>
        <w:t xml:space="preserve">。</w:t>
      </w:r>
      <w:r/>
    </w:p>
    <w:p>
      <w:pPr>
        <w:numPr>
          <w:ilvl w:val="-1"/>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（四）盖革计数器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1.技术指标：</w:t>
      </w:r>
      <w:r/>
    </w:p>
    <w:p>
      <w:pPr>
        <w:pStyle w:val="1295"/>
        <w:numPr>
          <w:ilvl w:val="-1"/>
          <w:numId w:val="0"/>
        </w:numPr>
        <w:ind w:left="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rPr>
        <w:t xml:space="preserve">1.</w:t>
      </w:r>
      <w:r>
        <w:rPr>
          <w:rFonts w:hint="eastAsia" w:ascii="宋体" w:hAnsi="宋体" w:eastAsia="宋体" w:cs="宋体"/>
          <w:color w:val="auto"/>
          <w:sz w:val="21"/>
          <w:szCs w:val="21"/>
          <w:highlight w:val="none"/>
          <w:lang w:val="en-US" w:eastAsia="zh-CN"/>
        </w:rPr>
        <w:t xml:space="preserve">1、剂量当前率：0.00-1000uSv/h</w:t>
      </w:r>
      <w:r>
        <w:rPr>
          <w:rFonts w:hint="eastAsia" w:ascii="宋体" w:hAnsi="宋体" w:cs="宋体"/>
          <w:color w:val="auto"/>
          <w:sz w:val="21"/>
          <w:szCs w:val="21"/>
          <w:highlight w:val="none"/>
          <w:lang w:val="en-US" w:eastAsia="zh-CN"/>
        </w:rPr>
        <w:t xml:space="preserve">；</w:t>
      </w:r>
      <w:r/>
    </w:p>
    <w:p>
      <w:pPr>
        <w:pStyle w:val="1295"/>
        <w:numPr>
          <w:ilvl w:val="-1"/>
          <w:numId w:val="0"/>
        </w:numPr>
        <w:ind w:left="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rPr>
        <w:t xml:space="preserve">1.</w:t>
      </w:r>
      <w:r>
        <w:rPr>
          <w:rFonts w:hint="eastAsia" w:ascii="宋体" w:hAnsi="宋体" w:eastAsia="宋体" w:cs="宋体"/>
          <w:color w:val="auto"/>
          <w:sz w:val="21"/>
          <w:szCs w:val="21"/>
          <w:highlight w:val="none"/>
          <w:lang w:val="en-US" w:eastAsia="zh-CN"/>
        </w:rPr>
        <w:t xml:space="preserve">2、积累剂量当：0.00uSv-5000mSv</w:t>
      </w:r>
      <w:r>
        <w:rPr>
          <w:rFonts w:hint="eastAsia" w:ascii="宋体" w:hAnsi="宋体" w:cs="宋体"/>
          <w:color w:val="auto"/>
          <w:sz w:val="21"/>
          <w:szCs w:val="21"/>
          <w:highlight w:val="none"/>
          <w:lang w:val="en-US" w:eastAsia="zh-CN"/>
        </w:rPr>
        <w:t xml:space="preserve">；</w:t>
      </w:r>
      <w:r/>
    </w:p>
    <w:p>
      <w:pPr>
        <w:pStyle w:val="1295"/>
        <w:numPr>
          <w:ilvl w:val="-1"/>
          <w:numId w:val="0"/>
        </w:numPr>
        <w:ind w:left="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rPr>
        <w:t xml:space="preserve">1.</w:t>
      </w:r>
      <w:r>
        <w:rPr>
          <w:rFonts w:hint="eastAsia" w:ascii="宋体" w:hAnsi="宋体" w:eastAsia="宋体" w:cs="宋体"/>
          <w:color w:val="auto"/>
          <w:sz w:val="21"/>
          <w:szCs w:val="21"/>
          <w:highlight w:val="none"/>
          <w:lang w:val="en-US" w:eastAsia="zh-CN"/>
        </w:rPr>
        <w:t xml:space="preserve">3、探测射线种类：电离辐射（X射线、γ射线、硬β射线）</w:t>
      </w:r>
      <w:r>
        <w:rPr>
          <w:rFonts w:hint="eastAsia" w:ascii="宋体" w:hAnsi="宋体" w:cs="宋体"/>
          <w:color w:val="auto"/>
          <w:sz w:val="21"/>
          <w:szCs w:val="21"/>
          <w:highlight w:val="none"/>
          <w:lang w:val="en-US" w:eastAsia="zh-CN"/>
        </w:rPr>
        <w:t xml:space="preserve">；</w:t>
      </w:r>
      <w:r/>
    </w:p>
    <w:p>
      <w:pPr>
        <w:numPr>
          <w:ilvl w:val="0"/>
          <w:numId w:val="0"/>
        </w:numPr>
        <w:spacing w:line="360" w:lineRule="auto"/>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r>
      <w:r/>
    </w:p>
    <w:p>
      <w:pPr>
        <w:numPr>
          <w:ilvl w:val="0"/>
          <w:numId w:val="0"/>
        </w:numPr>
        <w:spacing w:line="360" w:lineRule="auto"/>
        <w:rPr>
          <w:rFonts w:hint="default"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（五）电池循环机</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1.技术指标：</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1.1 ≥8通道；</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1.2 精度：±0.1% of FS;</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1.3 单通道输出功率：15W；</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1.4 稳定度：0.2% of FS；</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1.5 电流响应时间≤10ms;</w:t>
      </w:r>
      <w:r/>
    </w:p>
    <w:p>
      <w:pPr>
        <w:numPr>
          <w:ilvl w:val="0"/>
          <w:numId w:val="0"/>
        </w:numPr>
        <w:spacing w:line="360" w:lineRule="auto"/>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（六）经皮能量传递测试系统</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技术指标：</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1.1供电/充电器和植入体的相对关系自由度包括3D距离偏移、转角4个自由度，3D偏移范围不小于5cm，转角范围包含±30°；</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1.2可测量经皮能量传递时候的样品的温升； </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1.3测温范围：包含-20℃~100℃；</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1.4温度传感器通道数≥9；</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1.5温度分辨率不大于0.1℃；</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1.6温度响应速度不慢于1秒/通道；</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1.7温度精度：±0.3℃；</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1.8能完成ISO 14708-7:2019中条款19.6的试验。</w:t>
      </w:r>
      <w:r/>
    </w:p>
    <w:p>
      <w:pPr>
        <w:numPr>
          <w:ilvl w:val="0"/>
          <w:numId w:val="0"/>
        </w:numPr>
        <w:spacing w:line="360" w:lineRule="auto"/>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t xml:space="preserve">2、配件要求</w:t>
      </w:r>
      <w:r/>
    </w:p>
    <w:p>
      <w:pPr>
        <w:numPr>
          <w:ilvl w:val="0"/>
          <w:numId w:val="0"/>
        </w:numPr>
        <w:spacing w:line="360" w:lineRule="auto"/>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2.1测温</w:t>
      </w:r>
      <w:r>
        <w:rPr>
          <w:rFonts w:hint="eastAsia" w:ascii="宋体" w:hAnsi="宋体" w:cs="宋体"/>
          <w:bCs/>
          <w:color w:val="auto"/>
          <w:szCs w:val="21"/>
          <w:highlight w:val="none"/>
        </w:rPr>
        <w:t xml:space="preserve">探头</w:t>
      </w:r>
      <w:r>
        <w:rPr>
          <w:rFonts w:hint="eastAsia" w:ascii="宋体" w:hAnsi="宋体" w:cs="宋体"/>
          <w:b w:val="0"/>
          <w:bCs/>
          <w:color w:val="auto"/>
          <w:szCs w:val="21"/>
          <w:highlight w:val="none"/>
          <w:lang w:val="en-US" w:eastAsia="zh-CN"/>
        </w:rPr>
        <w:t xml:space="preserve">：9个；</w:t>
      </w:r>
      <w:r/>
    </w:p>
    <w:p>
      <w:pPr>
        <w:numPr>
          <w:ilvl w:val="-1"/>
          <w:numId w:val="0"/>
        </w:numPr>
        <w:spacing w:line="360" w:lineRule="auto"/>
        <w:rPr>
          <w:rFonts w:hint="eastAsia" w:ascii="宋体" w:hAnsi="宋体" w:cs="宋体"/>
          <w:b/>
          <w:bCs w:val="0"/>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2.2 测温探头提供有效计量校准报告。</w:t>
      </w:r>
      <w:r/>
    </w:p>
    <w:p>
      <w:pPr>
        <w:numPr>
          <w:ilvl w:val="-1"/>
          <w:numId w:val="0"/>
        </w:numPr>
        <w:spacing w:line="360" w:lineRule="auto"/>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r>
      <w:r/>
    </w:p>
    <w:p>
      <w:pPr>
        <w:numPr>
          <w:ilvl w:val="0"/>
          <w:numId w:val="2"/>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氦气测漏仪</w:t>
      </w:r>
      <w:r/>
    </w:p>
    <w:p>
      <w:pPr>
        <w:numPr>
          <w:ilvl w:val="-1"/>
          <w:numId w:val="0"/>
        </w:numPr>
        <w:spacing w:line="360" w:lineRule="auto"/>
        <w:rPr>
          <w:rFonts w:hint="default"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最小可检漏率（真空模式）：5×10-13Pa·m3/s</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2.最小可检漏率（吸枪模式）：5×10-9Pa·m3/s</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3.检漏口最大压力：Gross:1500 Pa; Fine:200 Pa; Ultra:40 Pa</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spacing w:line="360" w:lineRule="auto"/>
        <w:rPr>
          <w:rFonts w:hint="eastAsia" w:ascii="宋体" w:hAnsi="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1.4.粗抽能力：≥16m</w:t>
      </w:r>
      <w:r>
        <w:rPr>
          <w:rFonts w:hint="eastAsia" w:ascii="宋体" w:hAnsi="宋体" w:cs="宋体"/>
          <w:i w:val="0"/>
          <w:iCs w:val="0"/>
          <w:color w:val="auto"/>
          <w:sz w:val="21"/>
          <w:szCs w:val="21"/>
          <w:highlight w:val="none"/>
          <w:u w:val="none"/>
          <w:vertAlign w:val="superscript"/>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/h；</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5.检漏口规格：DN 25 ISO-KF</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6.启动时间：≤3min</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7.响应时间:＜1s</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spacing w:line="360" w:lineRule="auto"/>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8. 能完成ISO 14708-7:2019中条款19.8的试验。</w:t>
      </w:r>
      <w:r/>
    </w:p>
    <w:p>
      <w:pPr>
        <w:numPr>
          <w:ilvl w:val="-1"/>
          <w:numId w:val="0"/>
        </w:numPr>
        <w:spacing w:line="360" w:lineRule="auto"/>
        <w:rPr>
          <w:rFonts w:hint="eastAsia" w:ascii="宋体" w:hAnsi="宋体" w:cs="宋体"/>
          <w:b/>
          <w:bCs/>
          <w:i w:val="0"/>
          <w:iCs w:val="0"/>
          <w:color w:val="auto"/>
          <w:sz w:val="21"/>
          <w:szCs w:val="21"/>
          <w:highlight w:val="none"/>
          <w:u w:val="none"/>
          <w:lang w:val="en-US" w:eastAsia="zh-CN" w:bidi="ar"/>
        </w:rPr>
        <w:outlineLvl w:val="9"/>
      </w:pPr>
      <w:r>
        <w:rPr>
          <w:rFonts w:hint="eastAsia" w:ascii="宋体" w:hAnsi="宋体" w:cs="宋体"/>
          <w:b/>
          <w:bCs/>
          <w:i w:val="0"/>
          <w:iCs w:val="0"/>
          <w:color w:val="auto"/>
          <w:sz w:val="21"/>
          <w:szCs w:val="21"/>
          <w:highlight w:val="none"/>
          <w:u w:val="none"/>
          <w:lang w:val="en-US" w:eastAsia="zh-CN" w:bidi="ar"/>
        </w:rPr>
        <w:t xml:space="preserve">2、配件要求</w:t>
      </w:r>
      <w:r/>
    </w:p>
    <w:p>
      <w:pPr>
        <w:numPr>
          <w:ilvl w:val="-1"/>
          <w:numId w:val="0"/>
        </w:numPr>
        <w:spacing w:line="360" w:lineRule="auto"/>
        <w:rPr>
          <w:rFonts w:hint="eastAsia" w:ascii="宋体" w:hAnsi="宋体" w:cs="宋体"/>
          <w:i w:val="0"/>
          <w:iCs w:val="0"/>
          <w:color w:val="auto"/>
          <w:sz w:val="21"/>
          <w:szCs w:val="21"/>
          <w:highlight w:val="none"/>
          <w:u w:val="none"/>
          <w:lang w:val="en-US" w:eastAsia="zh-CN" w:bidi="ar"/>
        </w:rPr>
        <w:outlineLvl w:val="9"/>
      </w:pPr>
      <w:r>
        <w:rPr>
          <w:rFonts w:hint="eastAsia" w:ascii="宋体" w:hAnsi="宋体" w:cs="宋体"/>
          <w:i w:val="0"/>
          <w:iCs w:val="0"/>
          <w:color w:val="auto"/>
          <w:sz w:val="21"/>
          <w:szCs w:val="21"/>
          <w:highlight w:val="none"/>
          <w:u w:val="none"/>
          <w:lang w:val="en-US" w:eastAsia="zh-CN" w:bidi="ar"/>
        </w:rPr>
        <w:t xml:space="preserve">2.1氦气测漏仪数量1台、检漏罐一个；</w:t>
      </w:r>
      <w:r/>
    </w:p>
    <w:p>
      <w:pPr>
        <w:numPr>
          <w:ilvl w:val="-1"/>
          <w:numId w:val="0"/>
        </w:numPr>
        <w:spacing w:line="360" w:lineRule="auto"/>
        <w:rPr>
          <w:rFonts w:hint="eastAsia" w:ascii="宋体" w:hAnsi="宋体" w:cs="宋体"/>
          <w:color w:val="auto"/>
          <w:szCs w:val="21"/>
          <w:highlight w:val="none"/>
          <w:u w:val="none"/>
          <w:lang w:val="en-US" w:eastAsia="zh-CN" w:bidi="ar"/>
        </w:rPr>
        <w:outlineLvl w:val="9"/>
      </w:pPr>
      <w:r>
        <w:rPr>
          <w:rFonts w:hint="eastAsia" w:ascii="宋体" w:hAnsi="宋体" w:cs="宋体"/>
          <w:color w:val="auto"/>
          <w:szCs w:val="21"/>
          <w:highlight w:val="none"/>
          <w:u w:val="none"/>
          <w:lang w:val="en-US" w:eastAsia="zh-CN" w:bidi="ar"/>
        </w:rPr>
        <w:t xml:space="preserve">2.2 标准漏孔提供国内有效计量校准报告。</w:t>
      </w:r>
      <w:r/>
    </w:p>
    <w:p>
      <w:pPr>
        <w:numPr>
          <w:ilvl w:val="-1"/>
          <w:numId w:val="0"/>
        </w:numPr>
        <w:spacing w:line="360" w:lineRule="auto"/>
        <w:rPr>
          <w:rFonts w:hint="eastAsia" w:ascii="宋体" w:hAnsi="宋体" w:cs="宋体"/>
          <w:color w:val="auto"/>
          <w:szCs w:val="21"/>
          <w:highlight w:val="none"/>
          <w:u w:val="none"/>
          <w:lang w:val="en-US" w:eastAsia="zh-CN" w:bidi="ar"/>
        </w:rPr>
        <w:outlineLvl w:val="9"/>
      </w:pPr>
      <w:r>
        <w:rPr>
          <w:rFonts w:hint="eastAsia" w:ascii="宋体" w:hAnsi="宋体" w:cs="宋体"/>
          <w:color w:val="auto"/>
          <w:szCs w:val="21"/>
          <w:highlight w:val="none"/>
          <w:u w:val="none"/>
          <w:lang w:val="en-US" w:eastAsia="zh-CN" w:bidi="ar"/>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（八）气相色谱</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1.1.柱温箱操作温度：最高不低于420℃，最低室温以上10℃；</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1.2.升温速率±250℃/min；</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1.3.程序升温的阶数:20 段；</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1.4.控温准确性0.01℃；</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1.5.具有柱箱温度的自动保护功能；</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1.6.热导检测器（TCD）：最高使用温度420℃，具有过热保护功能，灵敏度: 40000mv.ml/mg (癸烷)；</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1.6.氢火焰离子化检测器（FID）：最高使用温度：420℃检测限: 3pg/s ( 十二烷 )；</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1.7.全自动流量控制可实现“载气恒线速度”控制方式；</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1.8. 能完成ISO 14708-7:2019中条款19.9的试验。 </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2、配件要求</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2.1气相色谱仪主机，SPL分流不分流进样口+双填充柱进样口FID+TCD检测器，原装色谱工作站</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（九）体内器械模拟除颤仪</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1.1满足YY 0989.7标准中20.2章即标准GB16174.1-2024中20.2章节的要求，产生试验1和试验2的试验波形；</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1.2可提供快速上升并指数衰减的电压测试波形；</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1.3测试输出电压Vm最大为140-147V；</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1.4测试电压高于最大输出电压Vm最大值的50%的时间间隔T=3 ms-5.5 ms；</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1.5可提供(10±0.5)ms脉冲持续时间的截断指数除颤波形；</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1.6能完成ISO 14708-7:2019中条款20.2的试验。</w:t>
      </w:r>
      <w:r/>
    </w:p>
    <w:p>
      <w:pPr>
        <w:spacing w:line="360" w:lineRule="auto"/>
        <w:rPr>
          <w:rFonts w:hint="eastAsia"/>
          <w:color w:val="auto"/>
          <w:highlight w:val="none"/>
          <w:lang w:val="en-US" w:eastAsia="zh-CN"/>
        </w:rPr>
      </w:pPr>
      <w:r>
        <w:rPr>
          <w:rFonts w:hint="eastAsia"/>
          <w:color w:val="auto"/>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（十）超声兼容试验装置（核心产品）</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1.1中心频率:包含(3.5±0.175)MHz;</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1.2超声输出占空比:至少包含50%和20%;</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1.3</w:t>
      </w:r>
      <w:r>
        <w:rPr>
          <w:rFonts w:hint="eastAsia" w:ascii="宋体" w:hAnsi="宋体" w:eastAsia="宋体" w:cs="宋体"/>
          <w:color w:val="auto"/>
          <w:sz w:val="21"/>
          <w:szCs w:val="21"/>
          <w:highlight w:val="none"/>
        </w:rPr>
        <w:t xml:space="preserve">超声空间峰值时间最大平均声强(I</w:t>
      </w:r>
      <w:r>
        <w:rPr>
          <w:rFonts w:hint="eastAsia" w:ascii="宋体" w:hAnsi="宋体" w:eastAsia="宋体" w:cs="宋体"/>
          <w:color w:val="auto"/>
          <w:sz w:val="21"/>
          <w:szCs w:val="21"/>
          <w:highlight w:val="none"/>
          <w:vertAlign w:val="subscript"/>
        </w:rPr>
        <w:t xml:space="preserve">SPTA</w:t>
      </w:r>
      <w:r>
        <w:rPr>
          <w:rFonts w:hint="eastAsia" w:ascii="宋体" w:hAnsi="宋体" w:eastAsia="宋体" w:cs="宋体"/>
          <w:color w:val="auto"/>
          <w:sz w:val="21"/>
          <w:szCs w:val="21"/>
          <w:highlight w:val="none"/>
        </w:rPr>
        <w:t xml:space="preserve">)&gt;1500(mW/cm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w:t>
      </w:r>
      <w:r>
        <w:rPr>
          <w:rFonts w:hint="eastAsia" w:ascii="宋体" w:hAnsi="宋体" w:cs="宋体"/>
          <w:b w:val="0"/>
          <w:bCs/>
          <w:color w:val="auto"/>
          <w:szCs w:val="21"/>
          <w:highlight w:val="none"/>
          <w:lang w:val="en-US" w:eastAsia="zh-CN"/>
        </w:rPr>
        <w:t xml:space="preserve">；</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1.4能完成ISO 14708-7:2019中条款22.1的试验。</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（十一）大气压试验系统</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1.1.高压:最小 304 kPa，最少40 次环境压力到高压循环，每次最多2分钟的上升和下降时间，即压力变化率应至少可达152kPa/min；</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1.2.高压停留时间最少2分钟；</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1.3.可在150kPa±7.5kPa绝对压强维持至少1h；</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1.4.人工耳蜗可置于不小于500mL容积的水压箱中；</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val="0"/>
          <w:bCs/>
          <w:color w:val="auto"/>
          <w:szCs w:val="21"/>
          <w:highlight w:val="none"/>
          <w:lang w:val="en-US" w:eastAsia="zh-CN"/>
        </w:rPr>
        <w:t xml:space="preserve">1.5.能完成ISO 14708-7:2019中第25章的试验。</w:t>
      </w:r>
      <w:r/>
    </w:p>
    <w:p>
      <w:pPr>
        <w:numPr>
          <w:ilvl w:val="-1"/>
          <w:numId w:val="0"/>
        </w:numPr>
        <w:spacing w:line="360" w:lineRule="auto"/>
        <w:rPr>
          <w:rFonts w:hint="eastAsia"/>
          <w:color w:val="auto"/>
          <w:highlight w:val="none"/>
          <w:lang w:val="en-US" w:eastAsia="zh-CN"/>
        </w:rPr>
      </w:pPr>
      <w:r>
        <w:rPr>
          <w:rFonts w:hint="eastAsia"/>
          <w:color w:val="auto"/>
          <w:highlight w:val="none"/>
          <w:lang w:val="en-US" w:eastAsia="zh-CN"/>
        </w:rPr>
      </w:r>
      <w:r/>
    </w:p>
    <w:p>
      <w:pPr>
        <w:numPr>
          <w:ilvl w:val="-1"/>
          <w:numId w:val="0"/>
        </w:numPr>
        <w:spacing w:line="360" w:lineRule="auto"/>
        <w:rPr>
          <w:rFonts w:hint="eastAsia"/>
          <w:color w:val="auto"/>
          <w:highlight w:val="none"/>
          <w:lang w:val="en-US" w:eastAsia="zh-CN"/>
        </w:rPr>
      </w:pPr>
      <w:r>
        <w:rPr>
          <w:rFonts w:hint="eastAsia" w:ascii="宋体" w:hAnsi="宋体" w:cs="宋体"/>
          <w:b/>
          <w:bCs w:val="0"/>
          <w:color w:val="auto"/>
          <w:szCs w:val="21"/>
          <w:highlight w:val="none"/>
          <w:lang w:val="en-US" w:eastAsia="zh-CN"/>
        </w:rPr>
        <w:t xml:space="preserve">（十二）超级恒温水浴水循环老化系统</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1.1.温度波动(℃)＜2℃；</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1.2.温度分辨率：不大于0.1℃；</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1.3.温度范围(℃)：包括室温+8 ~ 90℃；</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1.4.液体循环容积：不小于15L；</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1.5.加热功率：不小于1kW；</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1.6.样品恒温水浴烧杯：不小于500mL，预计每个烧杯可同时对两个人工耳蜗开展测试；</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1.7.同时可恒温烧杯数量：不低于5个；</w:t>
      </w:r>
      <w:r/>
    </w:p>
    <w:p>
      <w:pPr>
        <w:numPr>
          <w:ilvl w:val="-1"/>
          <w:numId w:val="0"/>
        </w:num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1.8.能完成ISO 14708-7:2019中条款19.1的试验；</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（十三）特斯拉计</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 w:val="0"/>
          <w:bCs/>
          <w:color w:val="auto"/>
          <w:szCs w:val="21"/>
          <w:highlight w:val="none"/>
          <w:lang w:val="en-US" w:eastAsia="zh-CN"/>
        </w:rPr>
        <w:t xml:space="preserve">1.1量程：不小于±1T；</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1.2最小分辨率：0.1mT；</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1.3精度：直流：读数的±1%±0.005%量程；</w:t>
      </w:r>
      <w:r/>
    </w:p>
    <w:p>
      <w:pPr>
        <w:numPr>
          <w:ilvl w:val="-1"/>
          <w:numId w:val="0"/>
        </w:numPr>
        <w:ind w:firstLine="1050"/>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交流：读数的±1%±0.5%量程；</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val="0"/>
          <w:bCs/>
          <w:color w:val="auto"/>
          <w:szCs w:val="21"/>
          <w:highlight w:val="none"/>
          <w:lang w:val="en-US" w:eastAsia="zh-CN"/>
        </w:rPr>
        <w:t xml:space="preserve">1.4响应频率：DC-2KHz；</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（十四）头部体模</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1.1尺寸： 15 cm 宽，15 cm 长和 12 cm 高；</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1.2含抗腐蚀电极采集接口；</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1.3含人工耳蜗测试固定支架；</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1.4体模热阻特性符合YY/T 0987.4-2016中8.3的要求；</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val="0"/>
          <w:bCs/>
          <w:color w:val="auto"/>
          <w:szCs w:val="21"/>
          <w:highlight w:val="none"/>
          <w:lang w:val="en-US" w:eastAsia="zh-CN"/>
        </w:rPr>
        <w:t xml:space="preserve">1.5体模电特性符合YY 0989.7中附录C.2的要求；</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1"/>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（十五）50mT赫姆霍兹线圈</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1.1磁场要求：1-50mT可调；</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1.2均匀度均匀区要求：5%均匀度均匀区可覆盖直径150mm*高度50mm体积；</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1.3最强磁场下满足工作时长至少30min。</w:t>
      </w:r>
      <w:r/>
    </w:p>
    <w:p>
      <w:pPr>
        <w:numPr>
          <w:ilvl w:val="-1"/>
          <w:numId w:val="0"/>
        </w:numPr>
        <w:spacing w:line="360" w:lineRule="auto"/>
        <w:rPr>
          <w:rFonts w:hint="default" w:ascii="宋体" w:hAnsi="宋体" w:cs="宋体"/>
          <w:b/>
          <w:bCs w:val="0"/>
          <w:color w:val="auto"/>
          <w:szCs w:val="21"/>
          <w:highlight w:val="none"/>
          <w:lang w:val="en-US" w:eastAsia="zh-CN"/>
        </w:rPr>
      </w:pPr>
      <w:r>
        <w:rPr>
          <w:rFonts w:hint="default" w:ascii="宋体" w:hAnsi="宋体" w:cs="宋体"/>
          <w:b/>
          <w:bCs w:val="0"/>
          <w:color w:val="auto"/>
          <w:szCs w:val="21"/>
          <w:highlight w:val="none"/>
          <w:lang w:val="en-US" w:eastAsia="zh-CN"/>
        </w:rPr>
      </w:r>
      <w:r/>
    </w:p>
    <w:p>
      <w:pPr>
        <w:numPr>
          <w:ilvl w:val="-1"/>
          <w:numId w:val="0"/>
        </w:numPr>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(十六)大功率直流源</w:t>
      </w:r>
      <w:r/>
    </w:p>
    <w:p>
      <w:pPr>
        <w:numPr>
          <w:ilvl w:val="-1"/>
          <w:numId w:val="0"/>
        </w:numPr>
        <w:spacing w:line="360" w:lineRule="auto"/>
        <w:rPr>
          <w:rFonts w:hint="default"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1、技术参数</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1.1.输出电流：包括0.01A-10A；</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1.2.高步进分辨率：不大于1mA；</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1.3.输出功率：≥1300W；</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1.4.准确度：±(0.2%设置值+5mA)；</w:t>
      </w:r>
      <w:r/>
    </w:p>
    <w:p>
      <w:pPr>
        <w:numPr>
          <w:ilvl w:val="-1"/>
          <w:numId w:val="0"/>
        </w:numPr>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1.5.稳定度≤+0.1% @10A；</w:t>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val="0"/>
          <w:bCs/>
          <w:color w:val="auto"/>
          <w:szCs w:val="21"/>
          <w:highlight w:val="none"/>
          <w:lang w:val="en-US" w:eastAsia="zh-CN"/>
        </w:rPr>
        <w:t xml:space="preserve">1.6.有效输出电压：±130V；</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以上设备除另有要求外，每台设备供货时均需提供有效的计量校准报告</w:t>
      </w:r>
      <w:r>
        <w:rPr>
          <w:rFonts w:hint="eastAsia" w:ascii="宋体" w:hAnsi="宋体" w:cs="宋体"/>
          <w:b/>
          <w:color w:val="auto"/>
          <w:szCs w:val="21"/>
          <w:highlight w:val="none"/>
          <w:lang w:eastAsia="zh-CN"/>
        </w:rPr>
        <w:t xml:space="preserve">）</w:t>
      </w:r>
      <w:r/>
    </w:p>
    <w:p>
      <w:pPr>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r>
      <w:r/>
    </w:p>
    <w:p>
      <w:pPr>
        <w:rPr>
          <w:rFonts w:ascii="宋体" w:hAnsi="宋体" w:cs="宋体"/>
          <w:b/>
          <w:color w:val="auto"/>
          <w:szCs w:val="21"/>
          <w:highlight w:val="none"/>
        </w:rPr>
      </w:pPr>
      <w:r>
        <w:rPr>
          <w:rFonts w:hint="eastAsia" w:ascii="宋体" w:hAnsi="宋体" w:eastAsia="宋体" w:cs="宋体"/>
          <w:bCs/>
          <w:color w:val="auto"/>
          <w:highlight w:val="none"/>
        </w:rPr>
        <w:t xml:space="preserve">▲</w:t>
      </w:r>
      <w:r>
        <w:rPr>
          <w:rFonts w:hint="eastAsia" w:ascii="宋体" w:hAnsi="宋体" w:cs="宋体"/>
          <w:b/>
          <w:color w:val="auto"/>
          <w:szCs w:val="21"/>
          <w:highlight w:val="none"/>
        </w:rPr>
        <w:t xml:space="preserve">三、质保期</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详见技术参数要求，如技术参数中未明确质保期的，整机免费原厂保修壹年，自愿延长不限。</w:t>
      </w:r>
      <w:r/>
    </w:p>
    <w:p>
      <w:pPr>
        <w:rPr>
          <w:rFonts w:ascii="宋体" w:hAnsi="宋体" w:cs="宋体"/>
          <w:b/>
          <w:color w:val="auto"/>
          <w:szCs w:val="21"/>
          <w:highlight w:val="none"/>
        </w:rPr>
      </w:pPr>
      <w:r>
        <w:rPr>
          <w:rFonts w:ascii="宋体" w:hAnsi="宋体" w:cs="宋体"/>
          <w:b/>
          <w:color w:val="auto"/>
          <w:szCs w:val="21"/>
          <w:highlight w:val="none"/>
        </w:rPr>
      </w:r>
      <w:r/>
    </w:p>
    <w:p>
      <w:pPr>
        <w:numPr>
          <w:ilvl w:val="-1"/>
          <w:numId w:val="0"/>
        </w:numPr>
        <w:rPr>
          <w:rFonts w:hint="eastAsia" w:ascii="宋体" w:hAnsi="宋体" w:cs="宋体"/>
          <w:b/>
          <w:color w:val="auto"/>
          <w:szCs w:val="21"/>
          <w:highlight w:val="none"/>
          <w:lang w:val="en-US" w:eastAsia="zh-CN"/>
        </w:rPr>
      </w:pPr>
      <w:r>
        <w:rPr>
          <w:rFonts w:hint="eastAsia" w:ascii="宋体" w:hAnsi="宋体" w:eastAsia="宋体" w:cs="宋体"/>
          <w:bCs/>
          <w:color w:val="auto"/>
          <w:highlight w:val="none"/>
        </w:rPr>
        <w:t xml:space="preserve">▲</w:t>
      </w:r>
      <w:r>
        <w:rPr>
          <w:rFonts w:hint="eastAsia" w:ascii="宋体" w:hAnsi="宋体" w:cs="宋体"/>
          <w:b/>
          <w:color w:val="auto"/>
          <w:szCs w:val="21"/>
          <w:highlight w:val="none"/>
          <w:lang w:val="en-US" w:eastAsia="zh-CN"/>
        </w:rPr>
        <w:t xml:space="preserve">四、交货地点</w:t>
      </w:r>
      <w:r/>
    </w:p>
    <w:p>
      <w:pPr>
        <w:numPr>
          <w:ilvl w:val="-1"/>
          <w:numId w:val="0"/>
        </w:numPr>
        <w:rPr>
          <w:rFonts w:hint="default" w:ascii="宋体" w:hAnsi="宋体" w:cs="宋体"/>
          <w:b/>
          <w:color w:val="auto"/>
          <w:szCs w:val="21"/>
          <w:highlight w:val="none"/>
          <w:lang w:val="en-US" w:eastAsia="zh-CN"/>
        </w:rPr>
      </w:pPr>
      <w:r>
        <w:rPr>
          <w:rFonts w:hint="eastAsia" w:ascii="宋体" w:hAnsi="宋体" w:cs="宋体"/>
          <w:b/>
          <w:bCs w:val="0"/>
          <w:color w:val="auto"/>
          <w:szCs w:val="21"/>
          <w:highlight w:val="none"/>
          <w:lang w:val="en-US" w:eastAsia="zh-CN"/>
        </w:rPr>
        <w:t xml:space="preserve">苏州市高新区科技城锦峰路8号1号楼1楼江苏省医疗器械检验所苏州检验室</w:t>
      </w:r>
      <w:r/>
    </w:p>
    <w:p>
      <w:pPr>
        <w:numPr>
          <w:ilvl w:val="-1"/>
          <w:numId w:val="0"/>
        </w:numPr>
        <w:rPr>
          <w:rFonts w:hint="default" w:ascii="宋体" w:hAnsi="宋体" w:cs="宋体"/>
          <w:b/>
          <w:color w:val="auto"/>
          <w:szCs w:val="21"/>
          <w:highlight w:val="none"/>
          <w:lang w:val="en-US" w:eastAsia="zh-CN"/>
        </w:rPr>
      </w:pPr>
      <w:r>
        <w:rPr>
          <w:rFonts w:hint="default" w:ascii="宋体" w:hAnsi="宋体" w:cs="宋体"/>
          <w:b/>
          <w:color w:val="auto"/>
          <w:szCs w:val="21"/>
          <w:highlight w:val="none"/>
          <w:lang w:val="en-US" w:eastAsia="zh-CN"/>
        </w:rPr>
      </w:r>
      <w:r/>
    </w:p>
    <w:p>
      <w:pPr>
        <w:rPr>
          <w:rFonts w:ascii="宋体" w:hAnsi="宋体" w:cs="宋体"/>
          <w:b/>
          <w:color w:val="auto"/>
          <w:szCs w:val="21"/>
          <w:highlight w:val="none"/>
        </w:rPr>
      </w:pPr>
      <w:r>
        <w:rPr>
          <w:rFonts w:hint="eastAsia" w:ascii="宋体" w:hAnsi="宋体" w:eastAsia="宋体" w:cs="宋体"/>
          <w:bCs/>
          <w:color w:val="auto"/>
          <w:highlight w:val="none"/>
        </w:rPr>
        <w:t xml:space="preserve">▲</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、付款方式</w:t>
      </w:r>
      <w:r/>
    </w:p>
    <w:p>
      <w:pPr>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（1）合同签订生效后30天内，买方向卖方支付合同总价40%的预付款</w:t>
      </w:r>
      <w:r/>
    </w:p>
    <w:p>
      <w:pPr>
        <w:ind w:firstLine="420"/>
        <w:jc w:val="left"/>
        <w:rPr>
          <w:rFonts w:ascii="宋体" w:hAnsi="宋体" w:cs="宋体"/>
          <w:bCs/>
          <w:color w:val="auto"/>
          <w:szCs w:val="21"/>
          <w:highlight w:val="none"/>
        </w:rPr>
      </w:pPr>
      <w:r>
        <w:rPr>
          <w:rFonts w:hint="eastAsia" w:ascii="宋体" w:hAnsi="宋体" w:cs="宋体"/>
          <w:bCs/>
          <w:color w:val="auto"/>
          <w:szCs w:val="21"/>
          <w:highlight w:val="none"/>
        </w:rPr>
        <w:t xml:space="preserve">（2）设备、材料全部运抵交货地点，并安装结束，调试完毕，验收合格后30天内，买方向卖方支付合同总价60%的货款。</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、报价</w:t>
      </w:r>
      <w:r/>
    </w:p>
    <w:p>
      <w:pPr>
        <w:ind w:firstLine="420"/>
        <w:rPr>
          <w:rFonts w:ascii="宋体" w:hAnsi="宋体" w:cs="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报价人供应的产品和服务报价货币为人民币或者其他货币，若为其他货币需包含所有进口费用（包括税款）。报价应是唯一的，采购单位不接受有选择的报价。当数量和单价之积不等于总价时，以单价为准重新计算总价。</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2、一次性报价，包括卖方完成本项目服务工作期间所需的人工、材料、交通、差旅、保险、利润、税金、通讯、办公设备、政策性文件规定及合同包含的所有风险、责任等各项应有费用。</w:t>
      </w:r>
      <w:bookmarkStart w:id="301" w:name="_Toc11085"/>
      <w:r/>
      <w:bookmarkStart w:id="302" w:name="_Toc2516"/>
      <w:r/>
      <w:bookmarkStart w:id="303" w:name="_Toc10810"/>
      <w:r/>
      <w:r/>
    </w:p>
    <w:p>
      <w:pPr>
        <w:ind w:firstLine="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numPr>
          <w:ilvl w:val="-1"/>
          <w:numId w:val="0"/>
        </w:numPr>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七、安装调试及售后服务</w:t>
      </w:r>
      <w:r/>
    </w:p>
    <w:p>
      <w:pPr>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3.1.安装调试：提供安装调试，及使用培训至少一次。投标人负责到采购人使用地点现场安装调试，培训不少于1天。</w:t>
      </w:r>
      <w:r/>
    </w:p>
    <w:p>
      <w:pPr>
        <w:numPr>
          <w:ilvl w:val="-1"/>
          <w:numId w:val="0"/>
        </w:numPr>
        <w:rPr>
          <w:rFonts w:hint="eastAsia" w:ascii="宋体" w:hAnsi="宋体" w:cs="宋体"/>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3.2</w:t>
      </w:r>
      <w:r>
        <w:rPr>
          <w:rFonts w:hint="eastAsia" w:ascii="宋体" w:hAnsi="宋体" w:cs="宋体"/>
          <w:bCs/>
          <w:color w:val="auto"/>
          <w:szCs w:val="21"/>
          <w:highlight w:val="none"/>
          <w:lang w:val="en-US" w:eastAsia="zh-CN"/>
        </w:rPr>
        <w:t xml:space="preserve">售后技术支持：提供售后技术服务电话，使用方提出技术问题在4h内提供远程线上视频技术服务，若无法解决，1个工作日内到使用方现场提供技术服务。</w:t>
      </w:r>
      <w:r/>
    </w:p>
    <w:p>
      <w:pPr>
        <w:numPr>
          <w:ilvl w:val="-1"/>
          <w:numId w:val="0"/>
        </w:numP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numPr>
          <w:ilvl w:val="0"/>
          <w:numId w:val="0"/>
        </w:numPr>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八、验收要求</w:t>
      </w:r>
      <w:r/>
    </w:p>
    <w:p>
      <w:pPr>
        <w:ind w:firstLine="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8.1</w:t>
      </w:r>
      <w:r>
        <w:rPr>
          <w:rFonts w:hint="eastAsia" w:ascii="宋体" w:hAnsi="宋体" w:cs="宋体"/>
          <w:bCs/>
          <w:color w:val="auto"/>
          <w:szCs w:val="21"/>
          <w:highlight w:val="none"/>
        </w:rPr>
        <w:t xml:space="preserve">场地准备阶段验收</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为确保仪器能够顺利安装，在仪器进场前，应与工程师到使用科室实验室进行场地确认，确认外界环境的准备工作，核实安装地点的环境条件满足制造商的规定、符合仪器使用要求，安装位置和空间满足仪器操作、维护的需要。实验室可根据仪器大小准备合适的场所，并满足温度、湿度、洁净度、防震等的要求，电源方面的要求应考虑电压、电流、功率、插头、意外停电应急措施等，还考虑水、气、排水、排风以及安全、网络连接等因素。</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安装及调试：仪器到达用户现场并且安装条件合格后，在接到用户通知后安排工程技术人员在7日内进行安装调试；</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8.2</w:t>
      </w:r>
      <w:r>
        <w:rPr>
          <w:rFonts w:hint="eastAsia" w:ascii="宋体" w:hAnsi="宋体" w:cs="宋体"/>
          <w:bCs/>
          <w:color w:val="auto"/>
          <w:szCs w:val="21"/>
          <w:highlight w:val="none"/>
        </w:rPr>
        <w:t xml:space="preserve">培训阶段验收</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1）培训形式</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培训可以采用三种方式进行，并可多种培训同时进行。</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a由专业工程师授课培训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b采购人技术人员与工程师共同工作，在设备的安装调试过程中接受实际操作的培训。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c由专业工程师对操作人员进行现场培训。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2）具体内容</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为达到上述目标，需要进行三个层次的培训。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a管理员的培训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着重于技术、硬件设备的原理、安装、测试，使之能够对仪器进行日常管理；对发生的故障进行分析和确认；对设备进行保养和检测。</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b主要管理人员的培训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主要是如何使用本软件系统和相关设备，实现功能等。</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c操作人员的培训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对操作人员的培训重点在操作和作用、常见问题的判断、误操作的处理等。</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3）时间安排</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对用户的培训工作分以下两个阶段：</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a完成设备安装与调试后，进行网络及硬件设备、软件两个方面的培训。</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b使用一阶段后，进行针对性的培训。为确保项目能按时按质按量完成，特制定项目质量保证措施。</w:t>
      </w:r>
      <w:r/>
    </w:p>
    <w:p>
      <w:pPr>
        <w:ind w:firstLine="0"/>
        <w:spacing w:line="36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8.3</w:t>
      </w:r>
      <w:r>
        <w:rPr>
          <w:rFonts w:hint="eastAsia" w:ascii="宋体" w:hAnsi="宋体" w:cs="宋体"/>
          <w:bCs/>
          <w:color w:val="auto"/>
          <w:szCs w:val="21"/>
          <w:highlight w:val="none"/>
        </w:rPr>
        <w:t xml:space="preserve">设备合格证、技术文档验收</w:t>
      </w:r>
      <w:r/>
    </w:p>
    <w:p>
      <w:pPr>
        <w:numPr>
          <w:ilvl w:val="-1"/>
          <w:numId w:val="0"/>
        </w:numPr>
        <w:ind w:firstLine="0"/>
        <w:spacing w:line="360" w:lineRule="exact"/>
        <w:rPr>
          <w:rFonts w:hint="eastAsia" w:ascii="宋体" w:hAnsi="宋体" w:eastAsia="宋体" w:cs="宋体"/>
          <w:b/>
          <w:color w:val="auto"/>
          <w:szCs w:val="21"/>
          <w:highlight w:val="none"/>
          <w:lang w:val="en-US" w:eastAsia="zh-CN"/>
        </w:rPr>
      </w:pPr>
      <w:r>
        <w:rPr>
          <w:rFonts w:hint="eastAsia" w:ascii="宋体" w:hAnsi="宋体" w:cs="宋体"/>
          <w:bCs/>
          <w:color w:val="auto"/>
          <w:szCs w:val="21"/>
          <w:highlight w:val="none"/>
        </w:rPr>
        <w:t xml:space="preserve">采购人在设备验收时应至少获取以下文档：1.产品验收标准；2.技术说明书；3.使用说明书；4.安装手册；5.维修手册；6.操作手册；7.装箱单；8.软件介质;9.产品合格证书。</w:t>
      </w:r>
      <w:r>
        <w:rPr>
          <w:rFonts w:hint="eastAsia" w:ascii="宋体" w:hAnsi="宋体" w:eastAsia="宋体" w:cs="宋体"/>
          <w:b/>
          <w:color w:val="auto"/>
          <w:szCs w:val="21"/>
          <w:highlight w:val="none"/>
          <w:lang w:val="en-US" w:eastAsia="zh-CN"/>
        </w:rPr>
        <w:br w:type="page" w:clear="all"/>
      </w:r>
      <w:bookmarkEnd w:id="301"/>
      <w:r/>
      <w:bookmarkEnd w:id="302"/>
      <w:r/>
      <w:bookmarkEnd w:id="303"/>
      <w:r/>
      <w:r/>
    </w:p>
    <w:p>
      <w:pPr>
        <w:jc w:val="center"/>
        <w:spacing w:line="440" w:lineRule="exact"/>
        <w:rPr>
          <w:rFonts w:hint="eastAsia" w:ascii="黑体" w:eastAsia="黑体"/>
          <w:b/>
          <w:color w:val="auto"/>
          <w:sz w:val="28"/>
          <w:szCs w:val="28"/>
          <w:highlight w:val="none"/>
        </w:rPr>
        <w:outlineLvl w:val="0"/>
      </w:pPr>
      <w:r>
        <w:rPr>
          <w:rFonts w:hint="eastAsia" w:ascii="黑体" w:eastAsia="黑体"/>
          <w:b/>
          <w:color w:val="auto"/>
          <w:sz w:val="28"/>
          <w:szCs w:val="28"/>
          <w:highlight w:val="none"/>
        </w:rPr>
        <w:t xml:space="preserve">第五章  合同条款的主要内容</w:t>
      </w:r>
      <w:r/>
    </w:p>
    <w:p>
      <w:pPr>
        <w:jc w:val="center"/>
        <w:rPr>
          <w:rFonts w:ascii="宋体" w:hAnsi="宋体"/>
          <w:color w:val="auto"/>
          <w:sz w:val="32"/>
          <w:szCs w:val="32"/>
          <w:highlight w:val="none"/>
        </w:rPr>
      </w:pPr>
      <w:r>
        <w:rPr>
          <w:rFonts w:ascii="宋体" w:hAnsi="宋体"/>
          <w:color w:val="auto"/>
          <w:sz w:val="32"/>
          <w:szCs w:val="32"/>
          <w:highlight w:val="none"/>
        </w:rPr>
        <w:t xml:space="preserve">江苏省医疗器械检验所</w:t>
      </w:r>
      <w:r/>
    </w:p>
    <w:p>
      <w:pPr>
        <w:jc w:val="center"/>
        <w:rPr>
          <w:rFonts w:ascii="宋体" w:hAnsi="宋体"/>
          <w:b/>
          <w:color w:val="auto"/>
          <w:sz w:val="36"/>
          <w:szCs w:val="36"/>
          <w:highlight w:val="none"/>
        </w:rPr>
      </w:pPr>
      <w:r>
        <w:rPr>
          <w:rFonts w:hint="eastAsia" w:ascii="宋体" w:hAnsi="宋体"/>
          <w:b/>
          <w:color w:val="auto"/>
          <w:sz w:val="36"/>
          <w:szCs w:val="36"/>
          <w:highlight w:val="none"/>
        </w:rPr>
        <w:t xml:space="preserve">采 购 </w:t>
      </w:r>
      <w:r>
        <w:rPr>
          <w:rFonts w:ascii="宋体" w:hAnsi="宋体"/>
          <w:b/>
          <w:color w:val="auto"/>
          <w:sz w:val="36"/>
          <w:szCs w:val="36"/>
          <w:highlight w:val="none"/>
        </w:rPr>
        <w:t xml:space="preserve">合</w:t>
      </w:r>
      <w:r>
        <w:rPr>
          <w:rFonts w:hint="eastAsia" w:ascii="宋体" w:hAnsi="宋体"/>
          <w:b/>
          <w:color w:val="auto"/>
          <w:sz w:val="36"/>
          <w:szCs w:val="36"/>
          <w:highlight w:val="none"/>
        </w:rPr>
        <w:t xml:space="preserve"> </w:t>
      </w:r>
      <w:r>
        <w:rPr>
          <w:rFonts w:ascii="宋体" w:hAnsi="宋体"/>
          <w:b/>
          <w:color w:val="auto"/>
          <w:sz w:val="36"/>
          <w:szCs w:val="36"/>
          <w:highlight w:val="none"/>
        </w:rPr>
        <w:t xml:space="preserve">同</w:t>
      </w:r>
      <w:r/>
    </w:p>
    <w:p>
      <w:pPr>
        <w:ind w:right="480"/>
        <w:jc w:val="center"/>
        <w:spacing w:line="400" w:lineRule="exact"/>
        <w:rPr>
          <w:rFonts w:ascii="宋体" w:hAnsi="宋体"/>
          <w:color w:val="auto"/>
          <w:highlight w:val="none"/>
        </w:rPr>
      </w:pPr>
      <w:r>
        <w:rPr>
          <w:rFonts w:hint="eastAsia" w:ascii="宋体" w:hAnsi="宋体"/>
          <w:color w:val="auto"/>
          <w:highlight w:val="none"/>
        </w:rPr>
        <w:t xml:space="preserve">                                           合同编号：</w:t>
      </w:r>
      <w:r>
        <w:rPr>
          <w:rFonts w:hint="eastAsia" w:eastAsia="隶书"/>
          <w:color w:val="auto"/>
          <w:sz w:val="28"/>
          <w:szCs w:val="28"/>
          <w:highlight w:val="none"/>
          <w:u w:val="single"/>
        </w:rPr>
        <w:t xml:space="preserve"> </w:t>
      </w:r>
      <w:r/>
    </w:p>
    <w:p>
      <w:pPr>
        <w:spacing w:line="400" w:lineRule="exact"/>
        <w:rPr>
          <w:rFonts w:ascii="宋体" w:hAnsi="宋体"/>
          <w:color w:val="auto"/>
          <w:highlight w:val="none"/>
        </w:rPr>
      </w:pPr>
      <w:r>
        <w:rPr>
          <w:rFonts w:ascii="宋体" w:hAnsi="宋体"/>
          <w:color w:val="auto"/>
          <w:highlight w:val="none"/>
        </w:rPr>
        <w:t xml:space="preserve">采购人:江苏省医疗器械检验所(以下称</w:t>
      </w:r>
      <w:r>
        <w:rPr>
          <w:rFonts w:hint="eastAsia" w:ascii="宋体" w:hAnsi="宋体"/>
          <w:color w:val="auto"/>
          <w:highlight w:val="none"/>
        </w:rPr>
        <w:t xml:space="preserve">“</w:t>
      </w:r>
      <w:r>
        <w:rPr>
          <w:rFonts w:ascii="宋体" w:hAnsi="宋体"/>
          <w:color w:val="auto"/>
          <w:highlight w:val="none"/>
        </w:rPr>
        <w:t xml:space="preserve">买方</w:t>
      </w:r>
      <w:r>
        <w:rPr>
          <w:rFonts w:hint="eastAsia" w:ascii="宋体" w:hAnsi="宋体"/>
          <w:color w:val="auto"/>
          <w:highlight w:val="none"/>
        </w:rPr>
        <w:t xml:space="preserve">”</w:t>
      </w:r>
      <w:r>
        <w:rPr>
          <w:rFonts w:ascii="宋体" w:hAnsi="宋体"/>
          <w:color w:val="auto"/>
          <w:highlight w:val="none"/>
        </w:rPr>
        <w:t xml:space="preserve">)</w:t>
      </w:r>
      <w:r>
        <w:rPr>
          <w:rFonts w:ascii="宋体" w:hAnsi="宋体"/>
          <w:color w:val="auto"/>
          <w:highlight w:val="none"/>
        </w:rPr>
        <w:br/>
      </w:r>
      <w:r>
        <w:rPr>
          <w:rFonts w:ascii="宋体" w:hAnsi="宋体"/>
          <w:color w:val="auto"/>
          <w:highlight w:val="none"/>
        </w:rPr>
        <w:t xml:space="preserve">供应商:</w:t>
      </w:r>
      <w:r>
        <w:rPr>
          <w:rFonts w:hint="eastAsia" w:ascii="宋体" w:hAnsi="宋体"/>
          <w:color w:val="auto"/>
          <w:highlight w:val="none"/>
        </w:rPr>
        <w:t xml:space="preserve">                    </w:t>
      </w:r>
      <w:r>
        <w:rPr>
          <w:rFonts w:ascii="宋体" w:hAnsi="宋体"/>
          <w:color w:val="auto"/>
          <w:highlight w:val="none"/>
        </w:rPr>
        <w:t xml:space="preserve">(以下称</w:t>
      </w:r>
      <w:r>
        <w:rPr>
          <w:rFonts w:hint="eastAsia" w:ascii="宋体" w:hAnsi="宋体"/>
          <w:color w:val="auto"/>
          <w:highlight w:val="none"/>
        </w:rPr>
        <w:t xml:space="preserve">“</w:t>
      </w:r>
      <w:r>
        <w:rPr>
          <w:rFonts w:ascii="宋体" w:hAnsi="宋体"/>
          <w:color w:val="auto"/>
          <w:highlight w:val="none"/>
        </w:rPr>
        <w:t xml:space="preserve">卖方</w:t>
      </w:r>
      <w:r>
        <w:rPr>
          <w:rFonts w:hint="eastAsia" w:ascii="宋体" w:hAnsi="宋体"/>
          <w:color w:val="auto"/>
          <w:highlight w:val="none"/>
        </w:rPr>
        <w:t xml:space="preserve">”</w:t>
      </w:r>
      <w:r>
        <w:rPr>
          <w:rFonts w:ascii="宋体" w:hAnsi="宋体"/>
          <w:color w:val="auto"/>
          <w:highlight w:val="none"/>
        </w:rPr>
        <w:t xml:space="preserve">)</w:t>
      </w:r>
      <w:r/>
    </w:p>
    <w:p>
      <w:pPr>
        <w:spacing w:line="400" w:lineRule="exact"/>
        <w:rPr>
          <w:rFonts w:ascii="宋体" w:hAnsi="宋体"/>
          <w:color w:val="auto"/>
          <w:highlight w:val="none"/>
        </w:rPr>
      </w:pPr>
      <w:r>
        <w:rPr>
          <w:rFonts w:ascii="宋体" w:hAnsi="宋体"/>
          <w:color w:val="auto"/>
          <w:highlight w:val="none"/>
        </w:rPr>
        <w:t xml:space="preserve">招标代理机构:</w:t>
      </w:r>
      <w:r>
        <w:rPr>
          <w:rFonts w:hint="eastAsia"/>
          <w:color w:val="auto"/>
          <w:highlight w:val="none"/>
        </w:rPr>
        <w:t xml:space="preserve"> </w:t>
      </w:r>
      <w:r>
        <w:rPr>
          <w:rFonts w:hint="eastAsia" w:ascii="宋体" w:hAnsi="宋体"/>
          <w:color w:val="auto"/>
          <w:highlight w:val="none"/>
        </w:rPr>
        <w:t xml:space="preserve">苏美达国际技术贸易有限公司</w:t>
      </w:r>
      <w:r/>
    </w:p>
    <w:p>
      <w:pPr>
        <w:spacing w:before="156" w:line="400" w:lineRule="exact"/>
        <w:rPr>
          <w:rFonts w:ascii="宋体" w:hAnsi="宋体"/>
          <w:color w:val="auto"/>
          <w:highlight w:val="none"/>
        </w:rPr>
      </w:pPr>
      <w:r>
        <w:rPr>
          <w:rFonts w:hint="eastAsia" w:ascii="宋体" w:hAnsi="宋体"/>
          <w:b/>
          <w:color w:val="auto"/>
          <w:highlight w:val="none"/>
        </w:rPr>
        <w:t xml:space="preserve">第一条  </w:t>
      </w:r>
      <w:r>
        <w:rPr>
          <w:rFonts w:hint="eastAsia" w:ascii="宋体" w:hAnsi="宋体"/>
          <w:color w:val="auto"/>
          <w:highlight w:val="none"/>
        </w:rPr>
        <w:t xml:space="preserve">合同目的描述</w:t>
      </w:r>
      <w:r/>
    </w:p>
    <w:p>
      <w:pPr>
        <w:spacing w:line="400" w:lineRule="exact"/>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、鉴于</w:t>
      </w:r>
      <w:r>
        <w:rPr>
          <w:rFonts w:ascii="宋体" w:hAnsi="宋体"/>
          <w:color w:val="auto"/>
          <w:highlight w:val="none"/>
        </w:rPr>
        <w:t xml:space="preserve">:</w:t>
      </w:r>
      <w:r>
        <w:rPr>
          <w:rFonts w:ascii="宋体" w:hAnsi="宋体"/>
          <w:color w:val="auto"/>
          <w:highlight w:val="none"/>
        </w:rPr>
        <w:br/>
      </w:r>
      <w:r>
        <w:rPr>
          <w:rFonts w:ascii="宋体" w:hAnsi="宋体"/>
          <w:color w:val="auto"/>
          <w:highlight w:val="none"/>
        </w:rPr>
        <w:t xml:space="preserve">    受买方委托，招标代理机构于</w:t>
      </w:r>
      <w:r>
        <w:rPr>
          <w:rFonts w:hint="eastAsia" w:ascii="宋体" w:hAnsi="宋体"/>
          <w:color w:val="auto"/>
          <w:highlight w:val="none"/>
          <w:u w:val="single"/>
        </w:rPr>
        <w:t xml:space="preserve">  </w:t>
      </w:r>
      <w:r>
        <w:rPr>
          <w:rFonts w:ascii="宋体" w:hAnsi="宋体"/>
          <w:color w:val="auto"/>
          <w:highlight w:val="none"/>
        </w:rPr>
        <w:t xml:space="preserve">年</w:t>
      </w:r>
      <w:r>
        <w:rPr>
          <w:rFonts w:hint="eastAsia" w:ascii="宋体" w:hAnsi="宋体"/>
          <w:color w:val="auto"/>
          <w:highlight w:val="none"/>
          <w:u w:val="single"/>
        </w:rPr>
        <w:t xml:space="preserve">  </w:t>
      </w:r>
      <w:r>
        <w:rPr>
          <w:rFonts w:ascii="宋体" w:hAnsi="宋体"/>
          <w:color w:val="auto"/>
          <w:highlight w:val="none"/>
        </w:rPr>
        <w:t xml:space="preserve">月</w:t>
      </w:r>
      <w:r>
        <w:rPr>
          <w:rFonts w:hint="eastAsia" w:ascii="宋体" w:hAnsi="宋体"/>
          <w:color w:val="auto"/>
          <w:highlight w:val="none"/>
          <w:u w:val="single"/>
        </w:rPr>
        <w:t xml:space="preserve">  </w:t>
      </w:r>
      <w:r>
        <w:rPr>
          <w:rFonts w:ascii="宋体" w:hAnsi="宋体"/>
          <w:color w:val="auto"/>
          <w:highlight w:val="none"/>
        </w:rPr>
        <w:t xml:space="preserve">日组织了江苏省医疗器械检验所所需检测设备项目的招标，经评委认真严格地评审，确定由卖方中标。</w:t>
      </w:r>
      <w:r/>
    </w:p>
    <w:p>
      <w:pPr>
        <w:spacing w:line="400" w:lineRule="exact"/>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w:t>
      </w:r>
      <w:r>
        <w:rPr>
          <w:rFonts w:ascii="宋体" w:hAnsi="宋体"/>
          <w:color w:val="auto"/>
          <w:highlight w:val="none"/>
        </w:rPr>
        <w:t xml:space="preserve">依据《中华人民共和国</w:t>
      </w:r>
      <w:r>
        <w:rPr>
          <w:rFonts w:hint="eastAsia" w:ascii="宋体" w:hAnsi="宋体"/>
          <w:color w:val="auto"/>
          <w:highlight w:val="none"/>
        </w:rPr>
        <w:t xml:space="preserve">民法典</w:t>
      </w:r>
      <w:r>
        <w:rPr>
          <w:rFonts w:ascii="宋体" w:hAnsi="宋体"/>
          <w:color w:val="auto"/>
          <w:highlight w:val="none"/>
        </w:rPr>
        <w:t xml:space="preserve">》及相关法律法规的规定，并依据</w:t>
      </w:r>
      <w:r>
        <w:rPr>
          <w:rFonts w:hint="eastAsia" w:ascii="宋体" w:hAnsi="宋体"/>
          <w:color w:val="auto"/>
          <w:highlight w:val="none"/>
          <w:u w:val="single"/>
        </w:rPr>
        <w:t xml:space="preserve">【</w:t>
      </w:r>
      <w:r>
        <w:rPr>
          <w:rFonts w:hint="eastAsia" w:ascii="宋体" w:hAnsi="宋体"/>
          <w:color w:val="auto"/>
          <w:sz w:val="24"/>
          <w:szCs w:val="24"/>
          <w:highlight w:val="none"/>
          <w:u w:val="single"/>
          <w:lang w:eastAsia="zh-CN"/>
        </w:rPr>
        <w:t xml:space="preserve">JSZC-320000-SMDG-G2025-0111</w:t>
      </w:r>
      <w:r>
        <w:rPr>
          <w:rFonts w:hint="eastAsia" w:ascii="宋体" w:hAnsi="宋体"/>
          <w:color w:val="auto"/>
          <w:highlight w:val="none"/>
          <w:u w:val="single"/>
        </w:rPr>
        <w:t xml:space="preserve">】</w:t>
      </w:r>
      <w:r>
        <w:rPr>
          <w:rFonts w:hint="eastAsia" w:ascii="宋体" w:hAnsi="宋体"/>
          <w:color w:val="auto"/>
          <w:highlight w:val="none"/>
        </w:rPr>
        <w:t xml:space="preserve">招</w:t>
      </w:r>
      <w:r>
        <w:rPr>
          <w:rFonts w:ascii="宋体" w:hAnsi="宋体"/>
          <w:color w:val="auto"/>
          <w:highlight w:val="none"/>
        </w:rPr>
        <w:t xml:space="preserve">标文件规定</w:t>
      </w:r>
      <w:r>
        <w:rPr>
          <w:rFonts w:hint="eastAsia" w:ascii="宋体" w:hAnsi="宋体"/>
          <w:color w:val="auto"/>
          <w:highlight w:val="none"/>
        </w:rPr>
        <w:t xml:space="preserve">，</w:t>
      </w:r>
      <w:r>
        <w:rPr>
          <w:rFonts w:ascii="宋体" w:hAnsi="宋体"/>
          <w:color w:val="auto"/>
          <w:highlight w:val="none"/>
        </w:rPr>
        <w:t xml:space="preserve">买卖双方在平等、互利的基础上，经充分协商，一致同意就以下条款订立本合同，共同信守执行。</w:t>
      </w:r>
      <w:r/>
    </w:p>
    <w:p>
      <w:pPr>
        <w:spacing w:before="156" w:line="400" w:lineRule="exact"/>
        <w:rPr>
          <w:rFonts w:ascii="宋体" w:hAnsi="宋体"/>
          <w:color w:val="auto"/>
          <w:highlight w:val="none"/>
        </w:rPr>
      </w:pPr>
      <w:r>
        <w:rPr>
          <w:rFonts w:hint="eastAsia" w:ascii="宋体" w:hAnsi="宋体"/>
          <w:b/>
          <w:color w:val="auto"/>
          <w:highlight w:val="none"/>
        </w:rPr>
        <w:t xml:space="preserve">第二条  </w:t>
      </w:r>
      <w:r>
        <w:rPr>
          <w:rFonts w:hint="eastAsia" w:ascii="宋体" w:hAnsi="宋体"/>
          <w:color w:val="auto"/>
          <w:highlight w:val="none"/>
        </w:rPr>
        <w:t xml:space="preserve">合同术语定义与解释</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 “技术资料”指与</w:t>
      </w:r>
      <w:r>
        <w:rPr>
          <w:rFonts w:hint="eastAsia" w:ascii="宋体" w:hAnsi="宋体"/>
          <w:color w:val="auto"/>
          <w:highlight w:val="none"/>
        </w:rPr>
        <w:t xml:space="preserve">本</w:t>
      </w:r>
      <w:r>
        <w:rPr>
          <w:rFonts w:ascii="宋体" w:hAnsi="宋体"/>
          <w:color w:val="auto"/>
          <w:highlight w:val="none"/>
        </w:rPr>
        <w:t xml:space="preserve">合同</w:t>
      </w:r>
      <w:r>
        <w:rPr>
          <w:rFonts w:hint="eastAsia" w:ascii="宋体" w:hAnsi="宋体"/>
          <w:color w:val="auto"/>
          <w:highlight w:val="none"/>
        </w:rPr>
        <w:t xml:space="preserve">设备</w:t>
      </w:r>
      <w:r>
        <w:rPr>
          <w:rFonts w:ascii="宋体" w:hAnsi="宋体"/>
          <w:color w:val="auto"/>
          <w:highlight w:val="none"/>
        </w:rPr>
        <w:t xml:space="preserve">相关的制造检验、安装、调试、验收、性能验收试验、技术指导和运行维护等文件(包括图纸、各种说明、标准、电子文档等)。</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 “技术服务”指由卖方提供的本合同</w:t>
      </w:r>
      <w:r>
        <w:rPr>
          <w:rFonts w:hint="eastAsia" w:ascii="宋体" w:hAnsi="宋体"/>
          <w:color w:val="auto"/>
          <w:highlight w:val="none"/>
        </w:rPr>
        <w:t xml:space="preserve">项下设备的</w:t>
      </w:r>
      <w:r>
        <w:rPr>
          <w:rFonts w:ascii="宋体" w:hAnsi="宋体"/>
          <w:color w:val="auto"/>
          <w:highlight w:val="none"/>
        </w:rPr>
        <w:t xml:space="preserve">安装、调试、验收、性能试验、运行、检修有关的技术指导、技术配合、技术培训等全过程的服务。</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3. “现场”指将要进行</w:t>
      </w:r>
      <w:r>
        <w:rPr>
          <w:rFonts w:hint="eastAsia" w:ascii="宋体" w:hAnsi="宋体"/>
          <w:color w:val="auto"/>
          <w:highlight w:val="none"/>
        </w:rPr>
        <w:t xml:space="preserve">本</w:t>
      </w:r>
      <w:r>
        <w:rPr>
          <w:rFonts w:ascii="宋体" w:hAnsi="宋体"/>
          <w:color w:val="auto"/>
          <w:highlight w:val="none"/>
        </w:rPr>
        <w:t xml:space="preserve">合同货物安装和运行的地点</w:t>
      </w:r>
      <w:r>
        <w:rPr>
          <w:rFonts w:hint="eastAsia" w:ascii="宋体" w:hAnsi="宋体"/>
          <w:color w:val="auto"/>
          <w:highlight w:val="none"/>
        </w:rPr>
        <w:t xml:space="preserve">，一般是指买方地点。</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4. “验收”指为证明</w:t>
      </w:r>
      <w:r>
        <w:rPr>
          <w:rFonts w:hint="eastAsia" w:ascii="宋体" w:hAnsi="宋体"/>
          <w:color w:val="auto"/>
          <w:highlight w:val="none"/>
        </w:rPr>
        <w:t xml:space="preserve">本</w:t>
      </w:r>
      <w:r>
        <w:rPr>
          <w:rFonts w:ascii="宋体" w:hAnsi="宋体"/>
          <w:color w:val="auto"/>
          <w:highlight w:val="none"/>
        </w:rPr>
        <w:t xml:space="preserve">合同货物已完成安装、调试和性能试验且试运行合格而按照合同规定进行的活动。</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5. “法律”指中华人民共和国现行的法律、行政法规、部门规章、地方性法规、地方政府规章及其他对本合同履行可能产生影响的规范性文件。</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hint="eastAsia" w:ascii="宋体" w:hAnsi="宋体"/>
          <w:color w:val="auto"/>
          <w:highlight w:val="none"/>
        </w:rPr>
        <w:t xml:space="preserve"> </w:t>
      </w:r>
      <w:r>
        <w:rPr>
          <w:rFonts w:hint="eastAsia" w:ascii="宋体" w:hAnsi="宋体"/>
          <w:b/>
          <w:color w:val="auto"/>
          <w:highlight w:val="none"/>
        </w:rPr>
        <w:t xml:space="preserve">第三条  </w:t>
      </w:r>
      <w:r>
        <w:rPr>
          <w:rFonts w:hint="eastAsia" w:ascii="宋体" w:hAnsi="宋体"/>
          <w:color w:val="auto"/>
          <w:highlight w:val="none"/>
        </w:rPr>
        <w:t xml:space="preserve">设备及技术服务之本体描述</w:t>
      </w:r>
      <w:r/>
    </w:p>
    <w:p>
      <w:pPr>
        <w:spacing w:line="400" w:lineRule="exact"/>
        <w:rPr>
          <w:rFonts w:eastAsia="等线"/>
          <w:color w:val="auto"/>
          <w:highlight w:val="none"/>
        </w:rPr>
      </w:pPr>
      <w:r>
        <w:rPr>
          <w:rFonts w:hint="eastAsia" w:ascii="宋体" w:hAnsi="宋体"/>
          <w:color w:val="auto"/>
          <w:highlight w:val="none"/>
        </w:rPr>
        <w:t xml:space="preserve">3</w:t>
      </w:r>
      <w:r>
        <w:rPr>
          <w:rFonts w:ascii="宋体" w:hAnsi="宋体"/>
          <w:color w:val="auto"/>
          <w:highlight w:val="none"/>
        </w:rPr>
        <w:t xml:space="preserve">.1</w:t>
      </w:r>
      <w:r>
        <w:rPr>
          <w:rFonts w:hint="eastAsia" w:ascii="宋体" w:hAnsi="宋体"/>
          <w:color w:val="auto"/>
          <w:highlight w:val="none"/>
        </w:rPr>
        <w:t xml:space="preserve"> 设备名称、技术参数、数量及要求：</w:t>
      </w:r>
      <w:r/>
    </w:p>
    <w:tbl>
      <w:tblPr>
        <w:tblStyle w:val="125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574"/>
        <w:gridCol w:w="2318"/>
        <w:gridCol w:w="1489"/>
        <w:gridCol w:w="741"/>
        <w:gridCol w:w="1401"/>
      </w:tblGrid>
      <w:tr>
        <w:trPr>
          <w:trHeight w:val="402"/>
        </w:trPr>
        <w:tc>
          <w:tcPr>
            <w:tcW w:w="754" w:type="dxa"/>
            <w:vAlign w:val="center"/>
            <w:textDirection w:val="lrTb"/>
            <w:noWrap w:val="false"/>
          </w:tcPr>
          <w:p>
            <w:pPr>
              <w:jc w:val="center"/>
              <w:spacing w:line="4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分包</w:t>
            </w:r>
            <w:r/>
          </w:p>
        </w:tc>
        <w:tc>
          <w:tcPr>
            <w:tcW w:w="2574" w:type="dxa"/>
            <w:vAlign w:val="center"/>
            <w:textDirection w:val="lrTb"/>
            <w:noWrap w:val="false"/>
          </w:tcPr>
          <w:p>
            <w:pPr>
              <w:jc w:val="center"/>
              <w:spacing w:line="4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货物名称</w:t>
            </w:r>
            <w:r/>
          </w:p>
        </w:tc>
        <w:tc>
          <w:tcPr>
            <w:tcW w:w="2318" w:type="dxa"/>
            <w:vAlign w:val="center"/>
            <w:textDirection w:val="lrTb"/>
            <w:noWrap w:val="false"/>
          </w:tcPr>
          <w:p>
            <w:pPr>
              <w:jc w:val="center"/>
              <w:spacing w:line="4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型号</w:t>
            </w:r>
            <w:r/>
          </w:p>
        </w:tc>
        <w:tc>
          <w:tcPr>
            <w:tcW w:w="1489" w:type="dxa"/>
            <w:vAlign w:val="center"/>
            <w:textDirection w:val="lrTb"/>
            <w:noWrap w:val="false"/>
          </w:tcPr>
          <w:p>
            <w:pPr>
              <w:jc w:val="center"/>
              <w:spacing w:line="4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品牌</w:t>
            </w:r>
            <w:r/>
          </w:p>
        </w:tc>
        <w:tc>
          <w:tcPr>
            <w:tcW w:w="741" w:type="dxa"/>
            <w:vAlign w:val="center"/>
            <w:textDirection w:val="lrTb"/>
            <w:noWrap w:val="false"/>
          </w:tcPr>
          <w:p>
            <w:pPr>
              <w:jc w:val="center"/>
              <w:spacing w:line="4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数量</w:t>
            </w:r>
            <w:r/>
          </w:p>
        </w:tc>
        <w:tc>
          <w:tcPr>
            <w:tcW w:w="1401" w:type="dxa"/>
            <w:vAlign w:val="center"/>
            <w:textDirection w:val="lrTb"/>
            <w:noWrap w:val="false"/>
          </w:tcPr>
          <w:p>
            <w:pPr>
              <w:spacing w:line="400" w:lineRule="exact"/>
              <w:rPr>
                <w:rFonts w:ascii="宋体" w:hAnsi="宋体" w:cstheme="minorBidi"/>
                <w:color w:val="auto"/>
                <w:szCs w:val="21"/>
                <w:highlight w:val="none"/>
              </w:rPr>
            </w:pPr>
            <w:r>
              <w:rPr>
                <w:rFonts w:hint="eastAsia" w:ascii="宋体" w:hAnsi="宋体" w:cstheme="minorBidi"/>
                <w:color w:val="auto"/>
                <w:szCs w:val="21"/>
                <w:highlight w:val="none"/>
              </w:rPr>
              <w:t xml:space="preserve">单价（万元）</w:t>
            </w:r>
            <w:r/>
          </w:p>
        </w:tc>
      </w:tr>
      <w:tr>
        <w:trPr>
          <w:trHeight w:val="727"/>
        </w:trPr>
        <w:tc>
          <w:tcPr>
            <w:tcW w:w="754" w:type="dxa"/>
            <w:vAlign w:val="center"/>
            <w:vMerge w:val="restart"/>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2574" w:type="dxa"/>
            <w:vAlign w:val="center"/>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2318" w:type="dxa"/>
            <w:vAlign w:val="center"/>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1489" w:type="dxa"/>
            <w:vAlign w:val="center"/>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741" w:type="dxa"/>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1401" w:type="dxa"/>
            <w:textDirection w:val="lrTb"/>
            <w:noWrap w:val="false"/>
          </w:tcPr>
          <w:p>
            <w:pPr>
              <w:pStyle w:val="1250"/>
              <w:rPr>
                <w:rFonts w:ascii="宋体" w:hAnsi="宋体" w:cstheme="minorBidi"/>
                <w:color w:val="auto"/>
                <w:szCs w:val="21"/>
                <w:highlight w:val="none"/>
              </w:rPr>
            </w:pPr>
            <w:r>
              <w:rPr>
                <w:rFonts w:ascii="宋体" w:hAnsi="宋体" w:cstheme="minorBidi"/>
                <w:color w:val="auto"/>
                <w:szCs w:val="21"/>
                <w:highlight w:val="none"/>
              </w:rPr>
            </w:r>
            <w:r/>
          </w:p>
        </w:tc>
      </w:tr>
      <w:tr>
        <w:trPr>
          <w:trHeight w:val="878"/>
        </w:trPr>
        <w:tc>
          <w:tcPr>
            <w:tcW w:w="754" w:type="dxa"/>
            <w:vMerge w:val="continue"/>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2574" w:type="dxa"/>
            <w:vAlign w:val="center"/>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2318" w:type="dxa"/>
            <w:vAlign w:val="center"/>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1489" w:type="dxa"/>
            <w:vAlign w:val="center"/>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741" w:type="dxa"/>
            <w:textDirection w:val="lrTb"/>
            <w:noWrap w:val="false"/>
          </w:tcPr>
          <w:p>
            <w:pPr>
              <w:jc w:val="center"/>
              <w:spacing w:line="400" w:lineRule="exact"/>
              <w:rPr>
                <w:rFonts w:ascii="宋体" w:hAnsi="宋体" w:cstheme="minorBidi"/>
                <w:color w:val="auto"/>
                <w:szCs w:val="21"/>
                <w:highlight w:val="none"/>
              </w:rPr>
            </w:pPr>
            <w:r>
              <w:rPr>
                <w:rFonts w:ascii="宋体" w:hAnsi="宋体" w:cstheme="minorBidi"/>
                <w:color w:val="auto"/>
                <w:szCs w:val="21"/>
                <w:highlight w:val="none"/>
              </w:rPr>
            </w:r>
            <w:r/>
          </w:p>
        </w:tc>
        <w:tc>
          <w:tcPr>
            <w:tcW w:w="1401" w:type="dxa"/>
            <w:textDirection w:val="lrTb"/>
            <w:noWrap w:val="false"/>
          </w:tcPr>
          <w:p>
            <w:pPr>
              <w:pStyle w:val="1250"/>
              <w:rPr>
                <w:rFonts w:ascii="宋体" w:hAnsi="宋体" w:cstheme="minorBidi"/>
                <w:color w:val="auto"/>
                <w:szCs w:val="21"/>
                <w:highlight w:val="none"/>
              </w:rPr>
            </w:pPr>
            <w:r>
              <w:rPr>
                <w:rFonts w:ascii="宋体" w:hAnsi="宋体" w:cstheme="minorBidi"/>
                <w:color w:val="auto"/>
                <w:szCs w:val="21"/>
                <w:highlight w:val="none"/>
              </w:rPr>
            </w:r>
            <w:r/>
          </w:p>
        </w:tc>
      </w:tr>
    </w:tbl>
    <w:p>
      <w:pPr>
        <w:spacing w:line="400" w:lineRule="exact"/>
        <w:rPr>
          <w:rFonts w:ascii="宋体" w:hAnsi="宋体"/>
          <w:color w:val="auto"/>
          <w:highlight w:val="none"/>
        </w:rPr>
      </w:pPr>
      <w:r>
        <w:rPr>
          <w:rFonts w:hint="eastAsia" w:ascii="宋体" w:hAnsi="宋体"/>
          <w:color w:val="auto"/>
          <w:highlight w:val="none"/>
        </w:rPr>
        <w:t xml:space="preserve">合同总额：小写：</w:t>
      </w:r>
      <w:r>
        <w:rPr>
          <w:rFonts w:ascii="宋体" w:hAnsi="宋体"/>
          <w:color w:val="auto"/>
          <w:highlight w:val="none"/>
        </w:rPr>
        <w:t xml:space="preserve">￥</w:t>
      </w:r>
      <w:r>
        <w:rPr>
          <w:rFonts w:hint="eastAsia" w:ascii="宋体" w:hAnsi="宋体"/>
          <w:color w:val="auto"/>
          <w:highlight w:val="none"/>
        </w:rPr>
        <w:t xml:space="preserve">       元          大写：      元整</w:t>
      </w:r>
      <w:r/>
    </w:p>
    <w:p>
      <w:pPr>
        <w:spacing w:line="400" w:lineRule="exact"/>
        <w:rPr>
          <w:rFonts w:ascii="宋体" w:hAnsi="宋体"/>
          <w:bCs/>
          <w:color w:val="auto"/>
          <w:highlight w:val="none"/>
        </w:rPr>
      </w:pPr>
      <w:r>
        <w:rPr>
          <w:rFonts w:hint="eastAsia" w:ascii="宋体" w:hAnsi="宋体"/>
          <w:b/>
          <w:bCs/>
          <w:color w:val="auto"/>
          <w:highlight w:val="none"/>
        </w:rPr>
        <w:t xml:space="preserve">备注：无</w:t>
      </w:r>
      <w:r/>
    </w:p>
    <w:p>
      <w:pPr>
        <w:spacing w:line="400" w:lineRule="exact"/>
        <w:rPr>
          <w:rFonts w:ascii="宋体" w:hAnsi="宋体"/>
          <w:color w:val="auto"/>
          <w:highlight w:val="none"/>
        </w:rPr>
      </w:pPr>
      <w:r>
        <w:rPr>
          <w:rFonts w:ascii="宋体" w:hAnsi="宋体"/>
          <w:color w:val="auto"/>
          <w:highlight w:val="none"/>
        </w:rPr>
        <w:t xml:space="preserve">3.2 </w:t>
      </w:r>
      <w:r>
        <w:rPr>
          <w:rFonts w:hint="eastAsia" w:ascii="宋体" w:hAnsi="宋体"/>
          <w:color w:val="auto"/>
          <w:highlight w:val="none"/>
        </w:rPr>
        <w:t xml:space="preserve"> 设备</w:t>
      </w:r>
      <w:r>
        <w:rPr>
          <w:rFonts w:ascii="宋体" w:hAnsi="宋体"/>
          <w:color w:val="auto"/>
          <w:highlight w:val="none"/>
        </w:rPr>
        <w:t xml:space="preserve">的技术标准(包括质量要求)，按下列</w:t>
      </w:r>
      <w:r>
        <w:rPr>
          <w:rFonts w:hint="eastAsia" w:ascii="宋体" w:hAnsi="宋体"/>
          <w:color w:val="auto"/>
          <w:highlight w:val="none"/>
        </w:rPr>
        <w:t xml:space="preserve">标准</w:t>
      </w:r>
      <w:r>
        <w:rPr>
          <w:rFonts w:ascii="宋体" w:hAnsi="宋体"/>
          <w:color w:val="auto"/>
          <w:highlight w:val="none"/>
        </w:rPr>
        <w:t xml:space="preserve">执行：</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（1）按国家标准</w:t>
      </w:r>
      <w:r>
        <w:rPr>
          <w:rFonts w:hint="eastAsia" w:ascii="宋体" w:hAnsi="宋体"/>
          <w:color w:val="auto"/>
          <w:highlight w:val="none"/>
        </w:rPr>
        <w:t xml:space="preserve">、行业标准、</w:t>
      </w:r>
      <w:r>
        <w:rPr>
          <w:rFonts w:ascii="宋体" w:hAnsi="宋体"/>
          <w:color w:val="auto"/>
          <w:highlight w:val="none"/>
        </w:rPr>
        <w:t xml:space="preserve">部颁标准</w:t>
      </w:r>
      <w:r>
        <w:rPr>
          <w:rFonts w:hint="eastAsia" w:ascii="宋体" w:hAnsi="宋体"/>
          <w:color w:val="auto"/>
          <w:highlight w:val="none"/>
        </w:rPr>
        <w:t xml:space="preserve">、</w:t>
      </w:r>
      <w:r>
        <w:rPr>
          <w:rFonts w:ascii="宋体" w:hAnsi="宋体"/>
          <w:color w:val="auto"/>
          <w:highlight w:val="none"/>
        </w:rPr>
        <w:t xml:space="preserve">企业标准</w:t>
      </w:r>
      <w:r>
        <w:rPr>
          <w:rFonts w:hint="eastAsia" w:ascii="宋体" w:hAnsi="宋体"/>
          <w:color w:val="auto"/>
          <w:highlight w:val="none"/>
        </w:rPr>
        <w:t xml:space="preserve">的顺序在前的标准执</w:t>
      </w:r>
      <w:r>
        <w:rPr>
          <w:rFonts w:ascii="宋体" w:hAnsi="宋体"/>
          <w:color w:val="auto"/>
          <w:highlight w:val="none"/>
        </w:rPr>
        <w:t xml:space="preserve">行；</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w:t>
      </w:r>
      <w:r>
        <w:rPr>
          <w:rFonts w:hint="eastAsia" w:ascii="宋体" w:hAnsi="宋体"/>
          <w:color w:val="auto"/>
          <w:highlight w:val="none"/>
        </w:rPr>
        <w:t xml:space="preserve">同时应当符合招标要求，</w:t>
      </w:r>
      <w:r>
        <w:rPr>
          <w:rFonts w:ascii="宋体" w:hAnsi="宋体"/>
          <w:color w:val="auto"/>
          <w:highlight w:val="none"/>
        </w:rPr>
        <w:t xml:space="preserve">按买卖双方在合同中商定的技术条件、样品或补充的技术要求执行。</w:t>
      </w:r>
      <w:r/>
    </w:p>
    <w:p>
      <w:pPr>
        <w:spacing w:before="156" w:line="400" w:lineRule="exact"/>
        <w:rPr>
          <w:rFonts w:ascii="宋体" w:hAnsi="宋体"/>
          <w:color w:val="auto"/>
          <w:highlight w:val="none"/>
        </w:rPr>
      </w:pPr>
      <w:r>
        <w:rPr>
          <w:rFonts w:hint="eastAsia" w:ascii="宋体" w:hAnsi="宋体"/>
          <w:b/>
          <w:color w:val="auto"/>
          <w:highlight w:val="none"/>
        </w:rPr>
        <w:t xml:space="preserve">第四条  </w:t>
      </w:r>
      <w:r>
        <w:rPr>
          <w:rFonts w:hint="eastAsia" w:ascii="宋体" w:hAnsi="宋体"/>
          <w:color w:val="auto"/>
          <w:highlight w:val="none"/>
        </w:rPr>
        <w:t xml:space="preserve">交付方式</w:t>
      </w:r>
      <w:r/>
    </w:p>
    <w:p>
      <w:pPr>
        <w:spacing w:line="400" w:lineRule="exact"/>
        <w:rPr>
          <w:rFonts w:ascii="宋体" w:hAnsi="宋体"/>
          <w:color w:val="auto"/>
          <w:highlight w:val="none"/>
        </w:rPr>
      </w:pPr>
      <w:r>
        <w:rPr>
          <w:rFonts w:ascii="宋体" w:hAnsi="宋体"/>
          <w:color w:val="auto"/>
          <w:highlight w:val="none"/>
        </w:rPr>
        <w:t xml:space="preserve">4.1 交付地点：</w:t>
      </w:r>
      <w:r>
        <w:rPr>
          <w:rFonts w:hint="eastAsia" w:ascii="宋体" w:hAnsi="宋体"/>
          <w:color w:val="auto"/>
          <w:highlight w:val="none"/>
        </w:rPr>
        <w:t xml:space="preserve">为</w:t>
      </w:r>
      <w:r>
        <w:rPr>
          <w:rFonts w:ascii="宋体" w:hAnsi="宋体"/>
          <w:color w:val="auto"/>
          <w:highlight w:val="none"/>
        </w:rPr>
        <w:t xml:space="preserve">买方指定其他地点，买方应承担卖方为改变交付地点而增加的全部费用，包括但不限于运输费、安装调试费及人工费等。</w:t>
      </w:r>
      <w:r/>
    </w:p>
    <w:p>
      <w:pPr>
        <w:spacing w:line="400" w:lineRule="exact"/>
        <w:rPr>
          <w:rFonts w:ascii="宋体" w:hAnsi="宋体"/>
          <w:color w:val="auto"/>
          <w:highlight w:val="none"/>
        </w:rPr>
      </w:pPr>
      <w:r>
        <w:rPr>
          <w:rFonts w:ascii="宋体" w:hAnsi="宋体"/>
          <w:color w:val="auto"/>
          <w:highlight w:val="none"/>
        </w:rPr>
        <w:t xml:space="preserve">4.2 交</w:t>
      </w:r>
      <w:r>
        <w:rPr>
          <w:rFonts w:hint="eastAsia" w:ascii="宋体" w:hAnsi="宋体"/>
          <w:color w:val="auto"/>
          <w:highlight w:val="none"/>
        </w:rPr>
        <w:t xml:space="preserve">付</w:t>
      </w:r>
      <w:r>
        <w:rPr>
          <w:rFonts w:ascii="宋体" w:hAnsi="宋体"/>
          <w:color w:val="auto"/>
          <w:highlight w:val="none"/>
        </w:rPr>
        <w:t xml:space="preserve">方法</w:t>
      </w:r>
      <w:r>
        <w:rPr>
          <w:rFonts w:hint="eastAsia" w:ascii="宋体" w:hAnsi="宋体"/>
          <w:color w:val="auto"/>
          <w:highlight w:val="none"/>
        </w:rPr>
        <w:t xml:space="preserve">：</w:t>
      </w:r>
      <w:r>
        <w:rPr>
          <w:rFonts w:ascii="宋体" w:hAnsi="宋体"/>
          <w:color w:val="auto"/>
          <w:highlight w:val="none"/>
        </w:rPr>
        <w:t xml:space="preserve">卖方</w:t>
      </w:r>
      <w:r>
        <w:rPr>
          <w:rFonts w:hint="eastAsia" w:ascii="宋体" w:hAnsi="宋体"/>
          <w:color w:val="auto"/>
          <w:highlight w:val="none"/>
        </w:rPr>
        <w:t xml:space="preserve">承担运费及相关费用并</w:t>
      </w:r>
      <w:r>
        <w:rPr>
          <w:rFonts w:ascii="宋体" w:hAnsi="宋体"/>
          <w:color w:val="auto"/>
          <w:highlight w:val="none"/>
        </w:rPr>
        <w:t xml:space="preserve">送货；</w:t>
      </w:r>
      <w:r>
        <w:rPr>
          <w:rFonts w:hint="eastAsia" w:ascii="宋体" w:hAnsi="宋体"/>
          <w:color w:val="auto"/>
          <w:highlight w:val="none"/>
        </w:rPr>
        <w:t xml:space="preserve">设备运抵买方现场后，供货商、设备采购部门及相关使用科室根据货物清单，共同派员签收，如货物齐全双方共同签字完成交接。如发生数量短少、外观缺损等问题，由卖方负责免费补齐、调换。</w:t>
      </w:r>
      <w:r/>
    </w:p>
    <w:p>
      <w:pPr>
        <w:spacing w:before="156" w:line="400" w:lineRule="exact"/>
        <w:rPr>
          <w:rFonts w:ascii="宋体" w:hAnsi="宋体"/>
          <w:color w:val="auto"/>
          <w:highlight w:val="none"/>
        </w:rPr>
      </w:pPr>
      <w:r>
        <w:rPr>
          <w:rFonts w:hint="eastAsia" w:ascii="宋体" w:hAnsi="宋体"/>
          <w:b/>
          <w:color w:val="auto"/>
          <w:highlight w:val="none"/>
        </w:rPr>
        <w:t xml:space="preserve">第五条  </w:t>
      </w:r>
      <w:r>
        <w:rPr>
          <w:rFonts w:hint="eastAsia" w:ascii="宋体" w:hAnsi="宋体"/>
          <w:color w:val="auto"/>
          <w:highlight w:val="none"/>
        </w:rPr>
        <w:t xml:space="preserve">交付期限</w:t>
      </w:r>
      <w:r/>
    </w:p>
    <w:p>
      <w:pPr>
        <w:ind w:left="630" w:hanging="630"/>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全部设备现场安装调试</w:t>
      </w:r>
      <w:r>
        <w:rPr>
          <w:rFonts w:hint="eastAsia" w:ascii="宋体" w:hAnsi="宋体"/>
          <w:color w:val="auto"/>
          <w:highlight w:val="none"/>
        </w:rPr>
        <w:t xml:space="preserve">，</w:t>
      </w:r>
      <w:r>
        <w:rPr>
          <w:rFonts w:ascii="宋体" w:hAnsi="宋体"/>
          <w:color w:val="auto"/>
          <w:highlight w:val="none"/>
        </w:rPr>
        <w:t xml:space="preserve">时间</w:t>
      </w:r>
      <w:r>
        <w:rPr>
          <w:rFonts w:hint="eastAsia" w:ascii="宋体" w:hAnsi="宋体"/>
          <w:color w:val="auto"/>
          <w:highlight w:val="none"/>
        </w:rPr>
        <w:t xml:space="preserve">本合同签订之日起，进口设备</w:t>
      </w:r>
      <w:r>
        <w:rPr>
          <w:rFonts w:hint="eastAsia" w:ascii="宋体" w:hAnsi="宋体"/>
          <w:color w:val="auto"/>
          <w:highlight w:val="none"/>
          <w:u w:val="single"/>
        </w:rPr>
        <w:t xml:space="preserve">  </w:t>
      </w:r>
      <w:r>
        <w:rPr>
          <w:rFonts w:hint="eastAsia" w:ascii="宋体" w:hAnsi="宋体"/>
          <w:color w:val="auto"/>
          <w:highlight w:val="none"/>
        </w:rPr>
        <w:t xml:space="preserve">天国产设备为</w:t>
      </w:r>
      <w:r>
        <w:rPr>
          <w:rFonts w:hint="eastAsia" w:ascii="宋体" w:hAnsi="宋体"/>
          <w:color w:val="auto"/>
          <w:highlight w:val="none"/>
          <w:u w:val="single"/>
        </w:rPr>
        <w:t xml:space="preserve">   </w:t>
      </w:r>
      <w:r>
        <w:rPr>
          <w:rFonts w:hint="eastAsia" w:ascii="宋体" w:hAnsi="宋体"/>
          <w:color w:val="auto"/>
          <w:highlight w:val="none"/>
        </w:rPr>
        <w:t xml:space="preserve">天之内。</w:t>
      </w:r>
      <w:r/>
    </w:p>
    <w:p>
      <w:pPr>
        <w:spacing w:before="156" w:line="400" w:lineRule="exact"/>
        <w:rPr>
          <w:rFonts w:ascii="宋体" w:hAnsi="宋体"/>
          <w:color w:val="auto"/>
          <w:highlight w:val="none"/>
        </w:rPr>
      </w:pPr>
      <w:r>
        <w:rPr>
          <w:rFonts w:hint="eastAsia" w:ascii="宋体" w:hAnsi="宋体"/>
          <w:b/>
          <w:color w:val="auto"/>
          <w:highlight w:val="none"/>
        </w:rPr>
        <w:t xml:space="preserve">第六条  </w:t>
      </w:r>
      <w:r>
        <w:rPr>
          <w:rFonts w:hint="eastAsia" w:ascii="宋体" w:hAnsi="宋体"/>
          <w:color w:val="auto"/>
          <w:highlight w:val="none"/>
        </w:rPr>
        <w:t xml:space="preserve">货物的包装、运输与标记</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6.1 卖方负责办理发运合同货物所需要的运输手续及合同货物交付前的运输，合同货物运抵并卸至合同约定交货地点前的一切质量和安全方面的风险责任由卖方承担。卖方应负责尽快对丢失的合同货物补充供货，修理和/或更换损坏的合同货物，并承担由于补充和/或修理和/或更换损坏的合同货物而发生的一切费用。</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6.2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6.3 卖方对包装箱内的各散装部件在装配图中的部件号、零件号应标记清楚。</w:t>
      </w:r>
      <w:r>
        <w:rPr>
          <w:rFonts w:hint="eastAsia" w:ascii="宋体" w:hAnsi="宋体"/>
          <w:color w:val="auto"/>
          <w:highlight w:val="none"/>
        </w:rPr>
        <w:t xml:space="preserve"> </w:t>
      </w:r>
      <w:r>
        <w:rPr>
          <w:rFonts w:ascii="宋体" w:hAnsi="宋体"/>
          <w:color w:val="auto"/>
          <w:highlight w:val="none"/>
        </w:rPr>
        <w:t xml:space="preserve">备品备件及专用工具应分别包装，标记清楚并与主设备一起发货。</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6.4 合同附件【 </w:t>
      </w:r>
      <w:r>
        <w:rPr>
          <w:rFonts w:hint="eastAsia" w:ascii="宋体" w:hAnsi="宋体"/>
          <w:color w:val="auto"/>
          <w:highlight w:val="none"/>
        </w:rPr>
        <w:t xml:space="preserve">一</w:t>
      </w:r>
      <w:r>
        <w:rPr>
          <w:rFonts w:ascii="宋体" w:hAnsi="宋体"/>
          <w:color w:val="auto"/>
          <w:highlight w:val="none"/>
        </w:rPr>
        <w:t xml:space="preserve"> 】中列明的备品备件及专用工具应按每台/套货物分别包装并在包装箱外加以注明，一同发货。小件货物及松散零星的部件应采用适当的包装方式，装入尽可能小的完好的包装箱内，并尽可能整车发运。</w:t>
      </w:r>
      <w:r/>
    </w:p>
    <w:p>
      <w:pPr>
        <w:spacing w:before="156" w:line="400" w:lineRule="exact"/>
        <w:rPr>
          <w:rFonts w:ascii="宋体" w:hAnsi="宋体"/>
          <w:color w:val="auto"/>
          <w:highlight w:val="none"/>
        </w:rPr>
      </w:pPr>
      <w:r>
        <w:rPr>
          <w:rFonts w:hint="eastAsia" w:ascii="宋体" w:hAnsi="宋体"/>
          <w:b/>
          <w:color w:val="auto"/>
          <w:highlight w:val="none"/>
        </w:rPr>
        <w:t xml:space="preserve">第七条  </w:t>
      </w:r>
      <w:r>
        <w:rPr>
          <w:rFonts w:hint="eastAsia" w:ascii="宋体" w:hAnsi="宋体"/>
          <w:color w:val="auto"/>
          <w:highlight w:val="none"/>
        </w:rPr>
        <w:t xml:space="preserve">设备的验收与异议</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7.1</w:t>
      </w:r>
      <w:r>
        <w:rPr>
          <w:rFonts w:hint="eastAsia" w:ascii="宋体" w:hAnsi="宋体"/>
          <w:color w:val="auto"/>
          <w:highlight w:val="none"/>
        </w:rPr>
        <w:t xml:space="preserve"> 买方在验收完成</w:t>
      </w:r>
      <w:r>
        <w:rPr>
          <w:rFonts w:ascii="宋体" w:hAnsi="宋体"/>
          <w:color w:val="auto"/>
          <w:highlight w:val="none"/>
        </w:rPr>
        <w:t xml:space="preserve">之日起【</w:t>
      </w:r>
      <w:r>
        <w:rPr>
          <w:rFonts w:hint="eastAsia" w:ascii="宋体" w:hAnsi="宋体"/>
          <w:color w:val="auto"/>
          <w:highlight w:val="none"/>
        </w:rPr>
        <w:t xml:space="preserve">7</w:t>
      </w:r>
      <w:r>
        <w:rPr>
          <w:rFonts w:ascii="宋体" w:hAnsi="宋体"/>
          <w:color w:val="auto"/>
          <w:highlight w:val="none"/>
        </w:rPr>
        <w:t xml:space="preserve">】个工作日内，有权对货物出现的任何缺陷或不足向供应商</w:t>
      </w:r>
      <w:r>
        <w:rPr>
          <w:rFonts w:hint="eastAsia" w:ascii="宋体" w:hAnsi="宋体"/>
          <w:color w:val="auto"/>
          <w:highlight w:val="none"/>
        </w:rPr>
        <w:t xml:space="preserve">卖方</w:t>
      </w:r>
      <w:r>
        <w:rPr>
          <w:rFonts w:ascii="宋体" w:hAnsi="宋体"/>
          <w:color w:val="auto"/>
          <w:highlight w:val="none"/>
        </w:rPr>
        <w:t xml:space="preserve">提出异议，</w:t>
      </w:r>
      <w:r>
        <w:rPr>
          <w:rFonts w:hint="eastAsia" w:ascii="宋体" w:hAnsi="宋体"/>
          <w:color w:val="auto"/>
          <w:highlight w:val="none"/>
        </w:rPr>
        <w:t xml:space="preserve">卖方</w:t>
      </w:r>
      <w:r>
        <w:rPr>
          <w:rFonts w:ascii="宋体" w:hAnsi="宋体"/>
          <w:color w:val="auto"/>
          <w:highlight w:val="none"/>
        </w:rPr>
        <w:t xml:space="preserve">应在</w:t>
      </w:r>
      <w:r>
        <w:rPr>
          <w:rFonts w:hint="eastAsia" w:ascii="宋体" w:hAnsi="宋体"/>
          <w:color w:val="auto"/>
          <w:highlight w:val="none"/>
        </w:rPr>
        <w:t xml:space="preserve">买方</w:t>
      </w:r>
      <w:r>
        <w:rPr>
          <w:rFonts w:ascii="宋体" w:hAnsi="宋体"/>
          <w:color w:val="auto"/>
          <w:highlight w:val="none"/>
        </w:rPr>
        <w:t xml:space="preserve">要求期限内对有缺陷或不足的货物进行调换、修理、补充或退货，并承担相关费用。若产品存在隐性缺陷、瑕疵在当时无法发现的，</w:t>
      </w:r>
      <w:r>
        <w:rPr>
          <w:rFonts w:hint="eastAsia" w:ascii="宋体" w:hAnsi="宋体"/>
          <w:color w:val="auto"/>
          <w:highlight w:val="none"/>
        </w:rPr>
        <w:t xml:space="preserve">买方</w:t>
      </w:r>
      <w:r>
        <w:rPr>
          <w:rFonts w:ascii="宋体" w:hAnsi="宋体"/>
          <w:color w:val="auto"/>
          <w:highlight w:val="none"/>
        </w:rPr>
        <w:t xml:space="preserve">有权于日后发现货物问题时要求</w:t>
      </w:r>
      <w:r>
        <w:rPr>
          <w:rFonts w:hint="eastAsia" w:ascii="宋体" w:hAnsi="宋体"/>
          <w:color w:val="auto"/>
          <w:highlight w:val="none"/>
        </w:rPr>
        <w:t xml:space="preserve">卖方</w:t>
      </w:r>
      <w:r>
        <w:rPr>
          <w:rFonts w:ascii="宋体" w:hAnsi="宋体"/>
          <w:color w:val="auto"/>
          <w:highlight w:val="none"/>
        </w:rPr>
        <w:t xml:space="preserve">维修、更换、退货并承担相应费用。</w:t>
      </w:r>
      <w:r/>
    </w:p>
    <w:p>
      <w:pPr>
        <w:spacing w:line="400" w:lineRule="exact"/>
        <w:rPr>
          <w:rFonts w:ascii="宋体" w:hAnsi="宋体"/>
          <w:color w:val="auto"/>
          <w:highlight w:val="none"/>
        </w:rPr>
      </w:pPr>
      <w:r>
        <w:rPr>
          <w:rFonts w:hint="eastAsia" w:ascii="宋体" w:hAnsi="宋体"/>
          <w:color w:val="auto"/>
          <w:highlight w:val="none"/>
        </w:rPr>
        <w:t xml:space="preserve"> 7</w:t>
      </w:r>
      <w:r>
        <w:rPr>
          <w:rFonts w:ascii="宋体" w:hAnsi="宋体"/>
          <w:color w:val="auto"/>
          <w:highlight w:val="none"/>
        </w:rPr>
        <w:t xml:space="preserve">.2 如果现场</w:t>
      </w:r>
      <w:r>
        <w:rPr>
          <w:rFonts w:hint="eastAsia" w:ascii="宋体" w:hAnsi="宋体"/>
          <w:color w:val="auto"/>
          <w:highlight w:val="none"/>
        </w:rPr>
        <w:t xml:space="preserve">验收</w:t>
      </w:r>
      <w:r>
        <w:rPr>
          <w:rFonts w:ascii="宋体" w:hAnsi="宋体"/>
          <w:color w:val="auto"/>
          <w:highlight w:val="none"/>
        </w:rPr>
        <w:t xml:space="preserve">时，发现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r/>
    </w:p>
    <w:p>
      <w:pPr>
        <w:spacing w:line="400" w:lineRule="exact"/>
        <w:rPr>
          <w:rFonts w:ascii="宋体" w:hAnsi="宋体"/>
          <w:color w:val="auto"/>
          <w:highlight w:val="none"/>
        </w:rPr>
      </w:pPr>
      <w:r>
        <w:rPr>
          <w:rFonts w:hint="eastAsia" w:ascii="宋体" w:hAnsi="宋体"/>
          <w:color w:val="auto"/>
          <w:highlight w:val="none"/>
        </w:rPr>
        <w:t xml:space="preserve">7.3 满足招标文件及投标文件中响应的各项验收要求</w:t>
      </w:r>
      <w:r/>
    </w:p>
    <w:p>
      <w:pPr>
        <w:spacing w:line="400" w:lineRule="exact"/>
        <w:rPr>
          <w:rFonts w:ascii="宋体" w:hAnsi="宋体"/>
          <w:color w:val="auto"/>
          <w:highlight w:val="none"/>
        </w:rPr>
      </w:pPr>
      <w:r>
        <w:rPr>
          <w:rFonts w:ascii="宋体" w:hAnsi="宋体"/>
          <w:color w:val="auto"/>
          <w:highlight w:val="none"/>
        </w:rPr>
      </w:r>
      <w:r/>
    </w:p>
    <w:p>
      <w:pPr>
        <w:spacing w:before="156" w:line="400" w:lineRule="exact"/>
        <w:rPr>
          <w:rFonts w:ascii="宋体" w:hAnsi="宋体"/>
          <w:color w:val="auto"/>
          <w:highlight w:val="none"/>
        </w:rPr>
      </w:pPr>
      <w:r>
        <w:rPr>
          <w:rFonts w:hint="eastAsia" w:ascii="宋体" w:hAnsi="宋体"/>
          <w:b/>
          <w:color w:val="auto"/>
          <w:highlight w:val="none"/>
        </w:rPr>
        <w:t xml:space="preserve">第八条  </w:t>
      </w:r>
      <w:r>
        <w:rPr>
          <w:rFonts w:hint="eastAsia" w:ascii="宋体" w:hAnsi="宋体"/>
          <w:color w:val="auto"/>
          <w:highlight w:val="none"/>
        </w:rPr>
        <w:t xml:space="preserve">货款结算规则</w:t>
      </w:r>
      <w:r/>
    </w:p>
    <w:p>
      <w:pPr>
        <w:spacing w:line="400" w:lineRule="exact"/>
        <w:rPr>
          <w:rFonts w:ascii="宋体" w:hAnsi="宋体"/>
          <w:color w:val="auto"/>
          <w:highlight w:val="none"/>
        </w:rPr>
      </w:pPr>
      <w:r>
        <w:rPr>
          <w:rFonts w:ascii="宋体" w:hAnsi="宋体"/>
          <w:color w:val="auto"/>
          <w:highlight w:val="none"/>
        </w:rPr>
        <w:t xml:space="preserve">8.1 设备部分</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合同签订生效后30天内，买方向卖方支付合同总价40%的预付款</w:t>
      </w:r>
      <w:r/>
    </w:p>
    <w:p>
      <w:pPr>
        <w:spacing w:line="400" w:lineRule="exact"/>
        <w:rPr>
          <w:rFonts w:ascii="宋体" w:hAnsi="宋体"/>
          <w:color w:val="auto"/>
          <w:highlight w:val="none"/>
        </w:rPr>
      </w:pPr>
      <w:r>
        <w:rPr>
          <w:rFonts w:hint="eastAsia" w:ascii="宋体" w:hAnsi="宋体"/>
          <w:color w:val="auto"/>
          <w:highlight w:val="none"/>
        </w:rPr>
        <w:t xml:space="preserve">（2）设备、材料全部运抵交货地点，并安装结束，调试完毕，验收合格后30天内，买方向卖方支付合同总价60%的货款。</w:t>
      </w:r>
      <w:r/>
    </w:p>
    <w:p>
      <w:pPr>
        <w:spacing w:before="156" w:line="400" w:lineRule="exact"/>
        <w:rPr>
          <w:rFonts w:ascii="宋体" w:hAnsi="宋体"/>
          <w:color w:val="auto"/>
          <w:highlight w:val="none"/>
        </w:rPr>
      </w:pPr>
      <w:r>
        <w:rPr>
          <w:rFonts w:hint="eastAsia" w:ascii="宋体" w:hAnsi="宋体"/>
          <w:b/>
          <w:color w:val="auto"/>
          <w:highlight w:val="none"/>
        </w:rPr>
        <w:t xml:space="preserve">第九条 </w:t>
      </w:r>
      <w:r>
        <w:rPr>
          <w:rFonts w:hint="eastAsia" w:ascii="宋体" w:hAnsi="宋体"/>
          <w:color w:val="auto"/>
          <w:highlight w:val="none"/>
        </w:rPr>
        <w:t xml:space="preserve">运输、卸装、仓储等费用的承担</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本合同项下全部产品由卖方负责运输，运输过程中产生的一切风险、费用由卖方承担。产品送抵后由卖方负责产品的卸货，相关风险和费用由卖方承担。</w:t>
      </w:r>
      <w:r>
        <w:rPr>
          <w:rFonts w:hint="eastAsia" w:ascii="宋体" w:hAnsi="宋体"/>
          <w:color w:val="auto"/>
          <w:highlight w:val="none"/>
        </w:rPr>
        <w:t xml:space="preserve"> </w:t>
      </w:r>
      <w:r/>
    </w:p>
    <w:p>
      <w:pPr>
        <w:spacing w:before="156" w:line="400" w:lineRule="exact"/>
        <w:rPr>
          <w:rFonts w:ascii="宋体" w:hAnsi="宋体"/>
          <w:color w:val="auto"/>
          <w:highlight w:val="none"/>
        </w:rPr>
      </w:pPr>
      <w:r>
        <w:rPr>
          <w:rFonts w:hint="eastAsia" w:ascii="宋体" w:hAnsi="宋体"/>
          <w:b/>
          <w:color w:val="auto"/>
          <w:highlight w:val="none"/>
        </w:rPr>
        <w:t xml:space="preserve">第十条  </w:t>
      </w:r>
      <w:r>
        <w:rPr>
          <w:rFonts w:hint="eastAsia" w:ascii="宋体" w:hAnsi="宋体"/>
          <w:color w:val="auto"/>
          <w:highlight w:val="none"/>
        </w:rPr>
        <w:t xml:space="preserve">质保期、售后服务等质量瑕疵担保</w:t>
      </w:r>
      <w:r/>
    </w:p>
    <w:p>
      <w:pPr>
        <w:spacing w:line="400" w:lineRule="exact"/>
        <w:rPr>
          <w:rFonts w:ascii="宋体" w:hAnsi="宋体"/>
          <w:color w:val="auto"/>
          <w:highlight w:val="none"/>
        </w:rPr>
      </w:pPr>
      <w:r>
        <w:rPr>
          <w:rFonts w:hint="eastAsia" w:ascii="宋体" w:hAnsi="宋体"/>
          <w:color w:val="auto"/>
          <w:highlight w:val="none"/>
        </w:rPr>
        <w:t xml:space="preserve">10</w:t>
      </w:r>
      <w:r>
        <w:rPr>
          <w:rFonts w:ascii="宋体" w:hAnsi="宋体"/>
          <w:color w:val="auto"/>
          <w:highlight w:val="none"/>
        </w:rPr>
        <w:t xml:space="preserve">.1 </w:t>
      </w:r>
      <w:r>
        <w:rPr>
          <w:rFonts w:hint="eastAsia" w:ascii="宋体" w:hAnsi="宋体"/>
          <w:color w:val="auto"/>
          <w:highlight w:val="none"/>
        </w:rPr>
        <w:t xml:space="preserve">卖方所供设备、材料及安装的质量保证期为</w:t>
      </w: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个月，自买方验收合格之日起计算。</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0</w:t>
      </w:r>
      <w:r>
        <w:rPr>
          <w:rFonts w:ascii="宋体" w:hAnsi="宋体"/>
          <w:color w:val="auto"/>
          <w:highlight w:val="none"/>
        </w:rPr>
        <w:t xml:space="preserve">.2</w:t>
      </w:r>
      <w:r>
        <w:rPr>
          <w:rFonts w:hint="eastAsia" w:ascii="宋体" w:hAnsi="宋体"/>
          <w:color w:val="auto"/>
          <w:highlight w:val="none"/>
        </w:rPr>
        <w:t xml:space="preserve"> </w:t>
      </w:r>
      <w:r>
        <w:rPr>
          <w:rFonts w:ascii="宋体" w:hAnsi="宋体"/>
          <w:color w:val="auto"/>
          <w:highlight w:val="none"/>
        </w:rPr>
        <w:t xml:space="preserve">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0</w:t>
      </w:r>
      <w:r>
        <w:rPr>
          <w:rFonts w:ascii="宋体" w:hAnsi="宋体"/>
          <w:color w:val="auto"/>
          <w:highlight w:val="none"/>
        </w:rPr>
        <w:t xml:space="preserve">.3 本合同执行期间，如果发现卖方提供的合同</w:t>
      </w:r>
      <w:r>
        <w:rPr>
          <w:rFonts w:hint="eastAsia" w:ascii="宋体" w:hAnsi="宋体"/>
          <w:color w:val="auto"/>
          <w:highlight w:val="none"/>
        </w:rPr>
        <w:t xml:space="preserve">设备</w:t>
      </w:r>
      <w:r>
        <w:rPr>
          <w:rFonts w:ascii="宋体" w:hAnsi="宋体"/>
          <w:color w:val="auto"/>
          <w:highlight w:val="none"/>
        </w:rPr>
        <w:t xml:space="preserve">有缺陷或技术资料有错误，或者由于卖方技术人员指导错误，造成工程返工、</w:t>
      </w:r>
      <w:r>
        <w:rPr>
          <w:rFonts w:hint="eastAsia" w:ascii="宋体" w:hAnsi="宋体"/>
          <w:color w:val="auto"/>
          <w:highlight w:val="none"/>
        </w:rPr>
        <w:t xml:space="preserve">设备</w:t>
      </w:r>
      <w:r>
        <w:rPr>
          <w:rFonts w:ascii="宋体" w:hAnsi="宋体"/>
          <w:color w:val="auto"/>
          <w:highlight w:val="none"/>
        </w:rPr>
        <w:t xml:space="preserve">报废，卖方应立即无偿进行修理或更换。需更换货物的，卖方应承担由此产生的到安装现场换货的一切费用，包括但不限于新货物的费用、将新</w:t>
      </w:r>
      <w:r>
        <w:rPr>
          <w:rFonts w:hint="eastAsia" w:ascii="宋体" w:hAnsi="宋体"/>
          <w:color w:val="auto"/>
          <w:highlight w:val="none"/>
        </w:rPr>
        <w:t xml:space="preserve">设备</w:t>
      </w:r>
      <w:r>
        <w:rPr>
          <w:rFonts w:ascii="宋体" w:hAnsi="宋体"/>
          <w:color w:val="auto"/>
          <w:highlight w:val="none"/>
        </w:rPr>
        <w:t xml:space="preserve">运至安装现场的费用及处理被更换货物的费用等。卖方更换或修理合同货物的期限按专用条款规定执行，如逾期未完成更换或修理工作的，按延迟交货处理。</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0</w:t>
      </w:r>
      <w:r>
        <w:rPr>
          <w:rFonts w:ascii="宋体" w:hAnsi="宋体"/>
          <w:color w:val="auto"/>
          <w:highlight w:val="none"/>
        </w:rPr>
        <w:t xml:space="preserve">.4 售后服务：若产品在保修期限内发生任何质量问题，买方有权要求卖方予以及时维修，卖方应在接到买方维修通知书/电话</w:t>
      </w:r>
      <w:r>
        <w:rPr>
          <w:rFonts w:hint="eastAsia" w:ascii="宋体" w:hAnsi="宋体"/>
          <w:color w:val="auto"/>
          <w:highlight w:val="none"/>
        </w:rPr>
        <w:t xml:space="preserve">4个小时</w:t>
      </w:r>
      <w:r>
        <w:rPr>
          <w:rFonts w:ascii="宋体" w:hAnsi="宋体"/>
          <w:color w:val="auto"/>
          <w:highlight w:val="none"/>
        </w:rPr>
        <w:t xml:space="preserve">内</w:t>
      </w:r>
      <w:r>
        <w:rPr>
          <w:rFonts w:hint="eastAsia" w:ascii="宋体" w:hAnsi="宋体"/>
          <w:color w:val="auto"/>
          <w:highlight w:val="none"/>
        </w:rPr>
        <w:t xml:space="preserve">回复，并在2</w:t>
      </w:r>
      <w:r>
        <w:rPr>
          <w:rFonts w:ascii="宋体" w:hAnsi="宋体"/>
          <w:color w:val="auto"/>
          <w:highlight w:val="none"/>
        </w:rPr>
        <w:t xml:space="preserve">4</w:t>
      </w:r>
      <w:r>
        <w:rPr>
          <w:rFonts w:hint="eastAsia" w:ascii="宋体" w:hAnsi="宋体"/>
          <w:color w:val="auto"/>
          <w:highlight w:val="none"/>
        </w:rPr>
        <w:t xml:space="preserve">小时内派</w:t>
      </w:r>
      <w:r>
        <w:rPr>
          <w:rFonts w:ascii="宋体" w:hAnsi="宋体"/>
          <w:color w:val="auto"/>
          <w:highlight w:val="none"/>
        </w:rPr>
        <w:t xml:space="preserve">相关工作人员</w:t>
      </w:r>
      <w:r>
        <w:rPr>
          <w:rFonts w:hint="eastAsia" w:ascii="宋体" w:hAnsi="宋体"/>
          <w:color w:val="auto"/>
          <w:highlight w:val="none"/>
        </w:rPr>
        <w:t xml:space="preserve">到达买方现场，</w:t>
      </w:r>
      <w:r>
        <w:rPr>
          <w:rFonts w:ascii="宋体" w:hAnsi="宋体"/>
          <w:color w:val="auto"/>
          <w:highlight w:val="none"/>
        </w:rPr>
        <w:t xml:space="preserve">免费予以排除故障、修复或更换零部件。若经维修仍不能保证产品持续正常使用或经过多次使用的，买方有权选择采取下列措施：</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（1）要求卖方更换同种型号的同类新产品，相关一切费用由卖方承担；或</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（2）要求退货退款，所涉相关费用（如运输费、税费等）由卖方承担。</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0</w:t>
      </w:r>
      <w:r>
        <w:rPr>
          <w:rFonts w:ascii="宋体" w:hAnsi="宋体"/>
          <w:color w:val="auto"/>
          <w:highlight w:val="none"/>
        </w:rPr>
        <w:t xml:space="preserve">.5</w:t>
      </w:r>
      <w:r>
        <w:rPr>
          <w:rFonts w:hint="eastAsia" w:ascii="宋体" w:hAnsi="宋体"/>
          <w:color w:val="auto"/>
          <w:highlight w:val="none"/>
        </w:rPr>
        <w:t xml:space="preserve"> </w:t>
      </w:r>
      <w:r>
        <w:rPr>
          <w:rFonts w:ascii="宋体" w:hAnsi="宋体"/>
          <w:color w:val="auto"/>
          <w:highlight w:val="none"/>
        </w:rPr>
        <w:t xml:space="preserve">在质保期内，因买方使用不当原因出现设备故障时，卖方在接买方通知后，应在3条款中所述的时限内赶到买方现场，帮助排除故障、修复或更换零部件，需购买零部件时，酌情收取成本费。</w:t>
      </w:r>
      <w:r>
        <w:rPr>
          <w:rFonts w:ascii="宋体" w:hAnsi="宋体"/>
          <w:color w:val="auto"/>
          <w:highlight w:val="none"/>
        </w:rPr>
        <w:br/>
      </w:r>
      <w:r>
        <w:rPr>
          <w:rFonts w:ascii="宋体" w:hAnsi="宋体"/>
          <w:color w:val="auto"/>
          <w:highlight w:val="none"/>
        </w:rPr>
        <w:t xml:space="preserve">质保期满后，如设备出现故障，卖方在接买方通知后，仍应在上述时间内响应、派人赶到买方现场，帮助排除故障、修复或更换零部件，需购买零部件时，酌情收取成本费。</w:t>
      </w:r>
      <w:r/>
    </w:p>
    <w:p>
      <w:pPr>
        <w:spacing w:before="156" w:line="400" w:lineRule="exact"/>
        <w:rPr>
          <w:rFonts w:ascii="宋体" w:hAnsi="宋体"/>
          <w:color w:val="auto"/>
          <w:highlight w:val="none"/>
        </w:rPr>
      </w:pPr>
      <w:r>
        <w:rPr>
          <w:rFonts w:hint="eastAsia" w:ascii="宋体" w:hAnsi="宋体"/>
          <w:b/>
          <w:color w:val="auto"/>
          <w:highlight w:val="none"/>
        </w:rPr>
        <w:t xml:space="preserve">第十一条  </w:t>
      </w:r>
      <w:r>
        <w:rPr>
          <w:rFonts w:hint="eastAsia" w:ascii="宋体" w:hAnsi="宋体"/>
          <w:color w:val="auto"/>
          <w:highlight w:val="none"/>
        </w:rPr>
        <w:t xml:space="preserve">保密</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在合同执行过程中,双方可能让对方了解到不为公众所知的有关对方的过去、现在和将来的研究、发展、商务活动、产品、服务、经济事件、技术信息、经营管理信息和其他信息。有鉴于此，特制定以下细则：</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（1）卖方有对买方技术方案及数据进行保密的义务，不得泄露给第三方；</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（2）卖方必须采取措施保证其雇员、工作人员、代理商及分包商遵守此条款，承担保密义务。</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（3）所有保密信息在（A）合同服务一经结束或 (B)买方要求归还或销毁的情况下，包括复印件在内的所有现有保密信息应归还或销毁，并不得保留任何形式的副本。</w:t>
      </w:r>
      <w:r/>
    </w:p>
    <w:p>
      <w:pPr>
        <w:spacing w:before="156" w:line="400" w:lineRule="exact"/>
        <w:rPr>
          <w:rFonts w:ascii="宋体" w:hAnsi="宋体"/>
          <w:color w:val="auto"/>
          <w:highlight w:val="none"/>
        </w:rPr>
      </w:pPr>
      <w:r>
        <w:rPr>
          <w:rFonts w:hint="eastAsia" w:ascii="宋体" w:hAnsi="宋体"/>
          <w:b/>
          <w:color w:val="auto"/>
          <w:highlight w:val="none"/>
        </w:rPr>
        <w:t xml:space="preserve">第十二条</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知识产权保证</w:t>
      </w:r>
      <w:r/>
    </w:p>
    <w:p>
      <w:pPr>
        <w:spacing w:line="400" w:lineRule="exact"/>
        <w:rPr>
          <w:rFonts w:ascii="宋体" w:hAnsi="宋体"/>
          <w:color w:val="auto"/>
          <w:highlight w:val="none"/>
        </w:rPr>
      </w:pPr>
      <w:r>
        <w:rPr>
          <w:rFonts w:hint="eastAsia" w:ascii="宋体" w:hAnsi="宋体"/>
          <w:color w:val="auto"/>
          <w:highlight w:val="none"/>
        </w:rPr>
        <w:t xml:space="preserve">卖方保本合同项下产品不侵犯任何第三方知识产权的权利，买方因使用本合同项下产品，被任何第三方主张知识产权侵权的，卖方应当承担由此造成全部费用及损失，包括：诉讼费、律师费、交通费、生效判决认定的赔偿责任等。</w:t>
      </w:r>
      <w:r/>
    </w:p>
    <w:p>
      <w:pPr>
        <w:spacing w:before="156" w:line="400" w:lineRule="exact"/>
        <w:rPr>
          <w:rFonts w:ascii="宋体" w:hAnsi="宋体"/>
          <w:color w:val="auto"/>
          <w:highlight w:val="none"/>
        </w:rPr>
      </w:pPr>
      <w:r>
        <w:rPr>
          <w:rFonts w:hint="eastAsia" w:ascii="宋体" w:hAnsi="宋体"/>
          <w:b/>
          <w:color w:val="auto"/>
          <w:highlight w:val="none"/>
        </w:rPr>
        <w:t xml:space="preserve">第十三条  </w:t>
      </w:r>
      <w:r>
        <w:rPr>
          <w:rFonts w:hint="eastAsia" w:ascii="宋体" w:hAnsi="宋体"/>
          <w:color w:val="auto"/>
          <w:highlight w:val="none"/>
        </w:rPr>
        <w:t xml:space="preserve">通知</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3</w:t>
      </w:r>
      <w:r>
        <w:rPr>
          <w:rFonts w:ascii="宋体" w:hAnsi="宋体"/>
          <w:color w:val="auto"/>
          <w:highlight w:val="none"/>
        </w:rPr>
        <w:t xml:space="preserve">.1 任何为本合同所要求或允许的通知或其他通讯，应以书面形式做出，并应以快递、EMS、挂号信函的方式发出</w:t>
      </w:r>
      <w:r>
        <w:rPr>
          <w:rFonts w:hint="eastAsia" w:ascii="宋体" w:hAnsi="宋体"/>
          <w:color w:val="auto"/>
          <w:highlight w:val="none"/>
        </w:rPr>
        <w:t xml:space="preserve">，按本合同尾页的联系方式通知。任</w:t>
      </w:r>
      <w:r>
        <w:rPr>
          <w:rFonts w:ascii="宋体" w:hAnsi="宋体"/>
          <w:color w:val="auto"/>
          <w:highlight w:val="none"/>
        </w:rPr>
        <w:t xml:space="preserve">何该等通知应发至下列地址：  </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（1）若发往</w:t>
      </w:r>
      <w:r>
        <w:rPr>
          <w:rFonts w:hint="eastAsia" w:ascii="宋体" w:hAnsi="宋体"/>
          <w:color w:val="auto"/>
          <w:highlight w:val="none"/>
        </w:rPr>
        <w:t xml:space="preserve">买方</w:t>
      </w:r>
      <w:r>
        <w:rPr>
          <w:rFonts w:ascii="宋体" w:hAnsi="宋体"/>
          <w:color w:val="auto"/>
          <w:highlight w:val="none"/>
        </w:rPr>
        <w:t xml:space="preserve">：  </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地址：</w:t>
      </w:r>
      <w:r/>
    </w:p>
    <w:p>
      <w:pPr>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联系人：</w:t>
      </w:r>
      <w:r/>
    </w:p>
    <w:p>
      <w:pPr>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电话：</w:t>
      </w:r>
      <w:r/>
    </w:p>
    <w:p>
      <w:pPr>
        <w:spacing w:line="400" w:lineRule="exact"/>
        <w:rPr>
          <w:rFonts w:ascii="宋体" w:hAnsi="宋体"/>
          <w:color w:val="auto"/>
          <w:highlight w:val="none"/>
        </w:rPr>
      </w:pPr>
      <w:r>
        <w:rPr>
          <w:rFonts w:ascii="宋体" w:hAnsi="宋体"/>
          <w:color w:val="auto"/>
          <w:highlight w:val="none"/>
        </w:rPr>
        <w:t xml:space="preserve">（2）若发往</w:t>
      </w:r>
      <w:r>
        <w:rPr>
          <w:rFonts w:hint="eastAsia" w:ascii="宋体" w:hAnsi="宋体"/>
          <w:color w:val="auto"/>
          <w:highlight w:val="none"/>
        </w:rPr>
        <w:t xml:space="preserve">卖方</w:t>
      </w:r>
      <w:r>
        <w:rPr>
          <w:rFonts w:ascii="宋体" w:hAnsi="宋体"/>
          <w:color w:val="auto"/>
          <w:highlight w:val="none"/>
        </w:rPr>
        <w:t xml:space="preserve">：</w:t>
      </w:r>
      <w:r/>
    </w:p>
    <w:p>
      <w:pPr>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地址：</w:t>
      </w:r>
      <w:r/>
    </w:p>
    <w:p>
      <w:pPr>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联系人：</w:t>
      </w:r>
      <w:r/>
    </w:p>
    <w:p>
      <w:pPr>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电话：</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3</w:t>
      </w:r>
      <w:r>
        <w:rPr>
          <w:rFonts w:ascii="宋体" w:hAnsi="宋体"/>
          <w:color w:val="auto"/>
          <w:highlight w:val="none"/>
        </w:rPr>
        <w:t xml:space="preserve">.2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r/>
    </w:p>
    <w:p>
      <w:pPr>
        <w:spacing w:before="156" w:line="400" w:lineRule="exact"/>
        <w:rPr>
          <w:rFonts w:ascii="宋体" w:hAnsi="宋体"/>
          <w:color w:val="auto"/>
          <w:highlight w:val="none"/>
        </w:rPr>
      </w:pPr>
      <w:r>
        <w:rPr>
          <w:rFonts w:hint="eastAsia" w:ascii="宋体" w:hAnsi="宋体"/>
          <w:b/>
          <w:color w:val="auto"/>
          <w:highlight w:val="none"/>
        </w:rPr>
        <w:t xml:space="preserve">第十四条  </w:t>
      </w:r>
      <w:r>
        <w:rPr>
          <w:rFonts w:hint="eastAsia" w:ascii="宋体" w:hAnsi="宋体"/>
          <w:color w:val="auto"/>
          <w:highlight w:val="none"/>
        </w:rPr>
        <w:t xml:space="preserve">技术资料与服务</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4</w:t>
      </w:r>
      <w:r>
        <w:rPr>
          <w:rFonts w:ascii="宋体" w:hAnsi="宋体"/>
          <w:color w:val="auto"/>
          <w:highlight w:val="none"/>
        </w:rPr>
        <w:t xml:space="preserve">.1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r/>
    </w:p>
    <w:p>
      <w:pPr>
        <w:spacing w:line="400" w:lineRule="exact"/>
        <w:rPr>
          <w:rFonts w:ascii="宋体" w:hAnsi="宋体"/>
          <w:color w:val="auto"/>
          <w:highlight w:val="none"/>
        </w:rPr>
      </w:pPr>
      <w:r>
        <w:rPr>
          <w:rFonts w:hint="eastAsia" w:ascii="宋体" w:hAnsi="宋体"/>
          <w:color w:val="auto"/>
          <w:highlight w:val="none"/>
        </w:rPr>
        <w:t xml:space="preserve">14</w:t>
      </w:r>
      <w:r>
        <w:rPr>
          <w:rFonts w:ascii="宋体" w:hAnsi="宋体"/>
          <w:color w:val="auto"/>
          <w:highlight w:val="none"/>
        </w:rPr>
        <w:t xml:space="preserve">.2 卖方供给买方的设备、材料及卖方自己的施工用具，进入买方工地现场后的保管，由卖方负责</w:t>
      </w:r>
      <w:r>
        <w:rPr>
          <w:rFonts w:hint="eastAsia" w:ascii="宋体" w:hAnsi="宋体"/>
          <w:color w:val="auto"/>
          <w:highlight w:val="none"/>
        </w:rPr>
        <w:t xml:space="preserve">；</w:t>
      </w:r>
      <w:r>
        <w:rPr>
          <w:rFonts w:ascii="宋体" w:hAnsi="宋体"/>
          <w:color w:val="auto"/>
          <w:highlight w:val="none"/>
        </w:rPr>
        <w:t xml:space="preserve">卖方在买方工地现场安装、调试、验收人员的安全、保险、食宿、交通由卖方负责。</w:t>
      </w:r>
      <w:r>
        <w:rPr>
          <w:rFonts w:ascii="宋体" w:hAnsi="宋体"/>
          <w:color w:val="auto"/>
          <w:highlight w:val="none"/>
        </w:rPr>
        <w:br/>
      </w:r>
      <w:r>
        <w:rPr>
          <w:rFonts w:ascii="宋体" w:hAnsi="宋体"/>
          <w:color w:val="auto"/>
          <w:highlight w:val="none"/>
        </w:rPr>
        <w:t xml:space="preserve">1</w:t>
      </w:r>
      <w:r>
        <w:rPr>
          <w:rFonts w:hint="eastAsia" w:ascii="宋体" w:hAnsi="宋体"/>
          <w:color w:val="auto"/>
          <w:highlight w:val="none"/>
        </w:rPr>
        <w:t xml:space="preserve">4</w:t>
      </w:r>
      <w:r>
        <w:rPr>
          <w:rFonts w:ascii="宋体" w:hAnsi="宋体"/>
          <w:color w:val="auto"/>
          <w:highlight w:val="none"/>
        </w:rPr>
        <w:t xml:space="preserve">.3 卖方在设备安装、调试、验收过程中，买方提供下列条件和配合，超出下列范围的由卖方自理;设备送至指定地点后，</w:t>
      </w:r>
      <w:r>
        <w:rPr>
          <w:rFonts w:hint="eastAsia" w:ascii="宋体" w:hAnsi="宋体"/>
          <w:color w:val="auto"/>
          <w:highlight w:val="none"/>
        </w:rPr>
        <w:t xml:space="preserve">卖方</w:t>
      </w:r>
      <w:r>
        <w:rPr>
          <w:rFonts w:ascii="宋体" w:hAnsi="宋体"/>
          <w:color w:val="auto"/>
          <w:highlight w:val="none"/>
        </w:rPr>
        <w:t xml:space="preserve">安排</w:t>
      </w:r>
      <w:r>
        <w:rPr>
          <w:rFonts w:hint="eastAsia" w:ascii="宋体" w:hAnsi="宋体"/>
          <w:color w:val="auto"/>
          <w:highlight w:val="none"/>
        </w:rPr>
        <w:t xml:space="preserve">人员</w:t>
      </w:r>
      <w:r>
        <w:rPr>
          <w:rFonts w:ascii="宋体" w:hAnsi="宋体"/>
          <w:color w:val="auto"/>
          <w:highlight w:val="none"/>
        </w:rPr>
        <w:t xml:space="preserve">现场查看安装条件，</w:t>
      </w:r>
      <w:r>
        <w:rPr>
          <w:rFonts w:hint="eastAsia" w:ascii="宋体" w:hAnsi="宋体"/>
          <w:color w:val="auto"/>
          <w:highlight w:val="none"/>
        </w:rPr>
        <w:t xml:space="preserve">买</w:t>
      </w:r>
      <w:r>
        <w:rPr>
          <w:rFonts w:ascii="宋体" w:hAnsi="宋体"/>
          <w:color w:val="auto"/>
          <w:highlight w:val="none"/>
        </w:rPr>
        <w:t xml:space="preserve">方应根据</w:t>
      </w:r>
      <w:r>
        <w:rPr>
          <w:rFonts w:hint="eastAsia" w:ascii="宋体" w:hAnsi="宋体"/>
          <w:color w:val="auto"/>
          <w:highlight w:val="none"/>
        </w:rPr>
        <w:t xml:space="preserve">设备</w:t>
      </w:r>
      <w:r>
        <w:rPr>
          <w:rFonts w:ascii="宋体" w:hAnsi="宋体"/>
          <w:color w:val="auto"/>
          <w:highlight w:val="none"/>
        </w:rPr>
        <w:t xml:space="preserve">需要进行相应的场地及水电改造。</w:t>
      </w:r>
      <w:r/>
    </w:p>
    <w:p>
      <w:pPr>
        <w:spacing w:before="156" w:line="400" w:lineRule="exact"/>
        <w:rPr>
          <w:rFonts w:ascii="宋体" w:hAnsi="宋体"/>
          <w:color w:val="auto"/>
          <w:highlight w:val="none"/>
        </w:rPr>
      </w:pPr>
      <w:r>
        <w:rPr>
          <w:rFonts w:hint="eastAsia" w:ascii="宋体" w:hAnsi="宋体"/>
          <w:b/>
          <w:color w:val="auto"/>
          <w:highlight w:val="none"/>
        </w:rPr>
        <w:t xml:space="preserve">第十五条  </w:t>
      </w:r>
      <w:r>
        <w:rPr>
          <w:rFonts w:hint="eastAsia" w:ascii="宋体" w:hAnsi="宋体"/>
          <w:color w:val="auto"/>
          <w:highlight w:val="none"/>
        </w:rPr>
        <w:t xml:space="preserve">一般违约责任及承担方式</w:t>
      </w:r>
      <w:r/>
    </w:p>
    <w:p>
      <w:pPr>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5</w:t>
      </w:r>
      <w:r>
        <w:rPr>
          <w:rFonts w:ascii="宋体" w:hAnsi="宋体"/>
          <w:color w:val="auto"/>
          <w:highlight w:val="none"/>
        </w:rPr>
        <w:t xml:space="preserve">.1 本合同所有货物的制造及安装，都必须由卖方自己或投标文件中明确的单位承担，不得分包给其他单位。否则，买方有权按卖方不能交付或不能完成合同处理。</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5</w:t>
      </w:r>
      <w:r>
        <w:rPr>
          <w:rFonts w:ascii="宋体" w:hAnsi="宋体"/>
          <w:color w:val="auto"/>
          <w:highlight w:val="none"/>
        </w:rPr>
        <w:t xml:space="preserve">.2  买方有权从到期应向卖方支付的价款或履约保证金</w:t>
      </w:r>
      <w:r>
        <w:rPr>
          <w:rFonts w:hint="eastAsia" w:ascii="宋体" w:hAnsi="宋体"/>
          <w:color w:val="auto"/>
          <w:highlight w:val="none"/>
        </w:rPr>
        <w:t xml:space="preserve">、尾款</w:t>
      </w:r>
      <w:r>
        <w:rPr>
          <w:rFonts w:ascii="宋体" w:hAnsi="宋体"/>
          <w:color w:val="auto"/>
          <w:highlight w:val="none"/>
        </w:rPr>
        <w:t xml:space="preserve">中扣除卖方应支付的违约金或赔偿金。</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5</w:t>
      </w:r>
      <w:r>
        <w:rPr>
          <w:rFonts w:ascii="宋体" w:hAnsi="宋体"/>
          <w:color w:val="auto"/>
          <w:highlight w:val="none"/>
        </w:rPr>
        <w:t xml:space="preserve">.3  非卖方原因，买方延期付款，经卖方书面告知后</w:t>
      </w:r>
      <w:r>
        <w:rPr>
          <w:rFonts w:hint="eastAsia" w:ascii="宋体" w:hAnsi="宋体"/>
          <w:color w:val="auto"/>
          <w:highlight w:val="none"/>
        </w:rPr>
        <w:t xml:space="preserve">3</w:t>
      </w:r>
      <w:r>
        <w:rPr>
          <w:rFonts w:ascii="宋体" w:hAnsi="宋体"/>
          <w:color w:val="auto"/>
          <w:highlight w:val="none"/>
        </w:rPr>
        <w:t xml:space="preserve">个工作日内仍未付款的，每迟延一日，买方应向卖方支付迟延付款金额的</w:t>
      </w:r>
      <w:r>
        <w:rPr>
          <w:rFonts w:hint="eastAsia" w:ascii="宋体" w:hAnsi="宋体"/>
          <w:color w:val="auto"/>
          <w:highlight w:val="none"/>
        </w:rPr>
        <w:t xml:space="preserve">0</w:t>
      </w:r>
      <w:r>
        <w:rPr>
          <w:rFonts w:ascii="宋体" w:hAnsi="宋体"/>
          <w:color w:val="auto"/>
          <w:highlight w:val="none"/>
        </w:rPr>
        <w:t xml:space="preserve">.5%的违约金，直至款项付清之日，但卖方不得以此为由迟延交付货物。</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5</w:t>
      </w:r>
      <w:r>
        <w:rPr>
          <w:rFonts w:ascii="宋体" w:hAnsi="宋体"/>
          <w:color w:val="auto"/>
          <w:highlight w:val="none"/>
        </w:rPr>
        <w:t xml:space="preserve">.4 </w:t>
      </w:r>
      <w:r>
        <w:rPr>
          <w:rFonts w:hint="eastAsia" w:ascii="宋体" w:hAnsi="宋体"/>
          <w:color w:val="auto"/>
          <w:highlight w:val="none"/>
        </w:rPr>
        <w:t xml:space="preserve">卖方逾期交付</w:t>
      </w:r>
      <w:r/>
    </w:p>
    <w:p>
      <w:pPr>
        <w:spacing w:line="40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若卖方未能按本合同约定时间及方式将全部产品交付至买方指定地点，每迟延一日，应向买方支付该批货物总价的5‰的违约金</w:t>
      </w:r>
      <w:r>
        <w:rPr>
          <w:rFonts w:hint="eastAsia" w:ascii="宋体" w:hAnsi="宋体"/>
          <w:color w:val="auto"/>
          <w:highlight w:val="none"/>
        </w:rPr>
        <w:t xml:space="preserve">；</w:t>
      </w:r>
      <w:r/>
    </w:p>
    <w:p>
      <w:pPr>
        <w:spacing w:line="40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若卖方迟延交货超过15</w:t>
      </w:r>
      <w:r>
        <w:rPr>
          <w:rFonts w:hint="eastAsia" w:ascii="宋体" w:hAnsi="宋体"/>
          <w:color w:val="auto"/>
          <w:highlight w:val="none"/>
        </w:rPr>
        <w:t xml:space="preserve">个工作日的</w:t>
      </w:r>
      <w:r>
        <w:rPr>
          <w:rFonts w:ascii="宋体" w:hAnsi="宋体"/>
          <w:color w:val="auto"/>
          <w:highlight w:val="none"/>
        </w:rPr>
        <w:t xml:space="preserve">，</w:t>
      </w:r>
      <w:r>
        <w:rPr>
          <w:rFonts w:hint="eastAsia" w:ascii="宋体" w:hAnsi="宋体"/>
          <w:color w:val="auto"/>
          <w:highlight w:val="none"/>
        </w:rPr>
        <w:t xml:space="preserve">视为卖方不具备履约能力，卖方应当全部返还买方已支付的货款，</w:t>
      </w:r>
      <w:r>
        <w:rPr>
          <w:rFonts w:ascii="宋体" w:hAnsi="宋体"/>
          <w:color w:val="auto"/>
          <w:highlight w:val="none"/>
        </w:rPr>
        <w:t xml:space="preserve">买方有权书面通知卖方单方面解除本合同，</w:t>
      </w:r>
      <w:r>
        <w:rPr>
          <w:rFonts w:hint="eastAsia" w:ascii="宋体" w:hAnsi="宋体"/>
          <w:color w:val="auto"/>
          <w:highlight w:val="none"/>
        </w:rPr>
        <w:t xml:space="preserve">扣除履约保证金，</w:t>
      </w:r>
      <w:r>
        <w:rPr>
          <w:rFonts w:ascii="宋体" w:hAnsi="宋体"/>
          <w:color w:val="auto"/>
          <w:highlight w:val="none"/>
        </w:rPr>
        <w:t xml:space="preserve">且有权要求卖方赔偿相当于合同总额</w:t>
      </w:r>
      <w:r>
        <w:rPr>
          <w:rFonts w:hint="eastAsia" w:ascii="宋体" w:hAnsi="宋体"/>
          <w:color w:val="auto"/>
          <w:highlight w:val="none"/>
        </w:rPr>
        <w:t xml:space="preserve">3</w:t>
      </w:r>
      <w:r>
        <w:rPr>
          <w:rFonts w:ascii="宋体" w:hAnsi="宋体"/>
          <w:color w:val="auto"/>
          <w:highlight w:val="none"/>
        </w:rPr>
        <w:t xml:space="preserve">0%的违约金，若该违约金不足以补偿给买方造成的损失，则卖方还应当补足差额部分。</w:t>
      </w:r>
      <w:r/>
    </w:p>
    <w:p>
      <w:pPr>
        <w:spacing w:line="400" w:lineRule="exact"/>
        <w:rPr>
          <w:rFonts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.5 卖方</w:t>
      </w:r>
      <w:r>
        <w:rPr>
          <w:rFonts w:hint="eastAsia" w:ascii="宋体" w:hAnsi="宋体"/>
          <w:color w:val="auto"/>
          <w:highlight w:val="none"/>
        </w:rPr>
        <w:t xml:space="preserve">交付设备后，履</w:t>
      </w:r>
      <w:r>
        <w:rPr>
          <w:rFonts w:ascii="宋体" w:hAnsi="宋体"/>
          <w:color w:val="auto"/>
          <w:highlight w:val="none"/>
        </w:rPr>
        <w:t xml:space="preserve">行义务不符合合同约定时，</w:t>
      </w:r>
      <w:r>
        <w:rPr>
          <w:rFonts w:hint="eastAsia" w:ascii="宋体" w:hAnsi="宋体"/>
          <w:color w:val="auto"/>
          <w:highlight w:val="none"/>
        </w:rPr>
        <w:t xml:space="preserve">包括技术服务、售后服务、</w:t>
      </w:r>
      <w:r>
        <w:rPr>
          <w:rFonts w:ascii="宋体" w:hAnsi="宋体"/>
          <w:color w:val="auto"/>
          <w:highlight w:val="none"/>
        </w:rPr>
        <w:t xml:space="preserve">整修、返工、补交或由买方提出更改、卖方承诺，但未在承诺的工期内完成等</w:t>
      </w:r>
      <w:r>
        <w:rPr>
          <w:rFonts w:hint="eastAsia" w:ascii="宋体" w:hAnsi="宋体"/>
          <w:color w:val="auto"/>
          <w:highlight w:val="none"/>
        </w:rPr>
        <w:t xml:space="preserve">卖方的义务，买</w:t>
      </w:r>
      <w:r>
        <w:rPr>
          <w:rFonts w:ascii="宋体" w:hAnsi="宋体"/>
          <w:color w:val="auto"/>
          <w:highlight w:val="none"/>
        </w:rPr>
        <w:t xml:space="preserve">方</w:t>
      </w:r>
      <w:r>
        <w:rPr>
          <w:rFonts w:hint="eastAsia" w:ascii="宋体" w:hAnsi="宋体"/>
          <w:color w:val="auto"/>
          <w:highlight w:val="none"/>
        </w:rPr>
        <w:t xml:space="preserve">有权</w:t>
      </w:r>
      <w:r>
        <w:rPr>
          <w:rFonts w:ascii="宋体" w:hAnsi="宋体"/>
          <w:color w:val="auto"/>
          <w:highlight w:val="none"/>
        </w:rPr>
        <w:t xml:space="preserve">扣减10%尾款。</w:t>
      </w:r>
      <w:r>
        <w:rPr>
          <w:rFonts w:ascii="宋体" w:hAnsi="宋体"/>
          <w:color w:val="auto"/>
          <w:highlight w:val="none"/>
        </w:rPr>
        <w:br/>
      </w:r>
      <w:r>
        <w:rPr>
          <w:rFonts w:hint="eastAsia" w:ascii="宋体" w:hAnsi="宋体"/>
          <w:color w:val="auto"/>
          <w:highlight w:val="none"/>
        </w:rPr>
        <w:t xml:space="preserve">15</w:t>
      </w:r>
      <w:r>
        <w:rPr>
          <w:rFonts w:ascii="宋体" w:hAnsi="宋体"/>
          <w:color w:val="auto"/>
          <w:highlight w:val="none"/>
        </w:rPr>
        <w:t xml:space="preserve">.6 买方的违约责任:买方未按合同规定的时间和要求向卖方提供相关安装条件等，卖方交付时间顺延。</w:t>
      </w:r>
      <w:r/>
    </w:p>
    <w:p>
      <w:pPr>
        <w:spacing w:before="156" w:line="400" w:lineRule="exact"/>
        <w:rPr>
          <w:rFonts w:ascii="宋体" w:hAnsi="宋体"/>
          <w:color w:val="auto"/>
          <w:highlight w:val="none"/>
        </w:rPr>
      </w:pPr>
      <w:r>
        <w:rPr>
          <w:rFonts w:hint="eastAsia" w:ascii="宋体" w:hAnsi="宋体"/>
          <w:b/>
          <w:color w:val="auto"/>
          <w:highlight w:val="none"/>
        </w:rPr>
        <w:t xml:space="preserve">第十六条  </w:t>
      </w:r>
      <w:r>
        <w:rPr>
          <w:rFonts w:hint="eastAsia" w:ascii="宋体" w:hAnsi="宋体"/>
          <w:color w:val="auto"/>
          <w:highlight w:val="none"/>
        </w:rPr>
        <w:t xml:space="preserve">特殊违约责任及承担方式</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6</w:t>
      </w:r>
      <w:r>
        <w:rPr>
          <w:rFonts w:ascii="宋体" w:hAnsi="宋体"/>
          <w:color w:val="auto"/>
          <w:highlight w:val="none"/>
        </w:rPr>
        <w:t xml:space="preserve">.1 卖方不能交付部分设备，应向买方</w:t>
      </w:r>
      <w:r>
        <w:rPr>
          <w:rFonts w:hint="eastAsia" w:ascii="宋体" w:hAnsi="宋体"/>
          <w:color w:val="auto"/>
          <w:highlight w:val="none"/>
        </w:rPr>
        <w:t xml:space="preserve">双倍返</w:t>
      </w:r>
      <w:r>
        <w:rPr>
          <w:rFonts w:ascii="宋体" w:hAnsi="宋体"/>
          <w:color w:val="auto"/>
          <w:highlight w:val="none"/>
        </w:rPr>
        <w:t xml:space="preserve">还买方已支付给卖方的该部分不能交付设备的任何款项</w:t>
      </w:r>
      <w:r>
        <w:rPr>
          <w:rFonts w:hint="eastAsia" w:ascii="宋体" w:hAnsi="宋体"/>
          <w:color w:val="auto"/>
          <w:highlight w:val="none"/>
        </w:rPr>
        <w:t xml:space="preserve">，及</w:t>
      </w:r>
      <w:r>
        <w:rPr>
          <w:rFonts w:ascii="宋体" w:hAnsi="宋体"/>
          <w:color w:val="auto"/>
          <w:highlight w:val="none"/>
        </w:rPr>
        <w:t xml:space="preserve">支付不能交付设备总价百分之</w:t>
      </w:r>
      <w:r>
        <w:rPr>
          <w:rFonts w:hint="eastAsia" w:ascii="宋体" w:hAnsi="宋体"/>
          <w:color w:val="auto"/>
          <w:highlight w:val="none"/>
        </w:rPr>
        <w:t xml:space="preserve">三</w:t>
      </w:r>
      <w:r>
        <w:rPr>
          <w:rFonts w:ascii="宋体" w:hAnsi="宋体"/>
          <w:color w:val="auto"/>
          <w:highlight w:val="none"/>
        </w:rPr>
        <w:t xml:space="preserve">十（30％）的违约金。</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6</w:t>
      </w:r>
      <w:r>
        <w:rPr>
          <w:rFonts w:ascii="宋体" w:hAnsi="宋体"/>
          <w:color w:val="auto"/>
          <w:highlight w:val="none"/>
        </w:rPr>
        <w:t xml:space="preserve">.2 经验收，由于卖方责任，合同货物的主要技术参数不能够满足合同附件中规定的保证值（或技术参数）时，卖方应按专用条款的规定向买方支付违约金。</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w:t>
      </w:r>
      <w:r>
        <w:rPr>
          <w:rFonts w:hint="eastAsia" w:ascii="宋体" w:hAnsi="宋体"/>
          <w:color w:val="auto"/>
          <w:highlight w:val="none"/>
        </w:rPr>
        <w:t xml:space="preserve">6</w:t>
      </w:r>
      <w:r>
        <w:rPr>
          <w:rFonts w:ascii="宋体" w:hAnsi="宋体"/>
          <w:color w:val="auto"/>
          <w:highlight w:val="none"/>
        </w:rPr>
        <w:t xml:space="preserve">.3 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r/>
    </w:p>
    <w:p>
      <w:pPr>
        <w:ind w:firstLine="105"/>
        <w:spacing w:line="4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6</w:t>
      </w:r>
      <w:r>
        <w:rPr>
          <w:rFonts w:ascii="宋体" w:hAnsi="宋体"/>
          <w:color w:val="auto"/>
          <w:highlight w:val="none"/>
        </w:rPr>
        <w:t xml:space="preserve">.4</w:t>
      </w:r>
      <w:r>
        <w:rPr>
          <w:rFonts w:hint="eastAsia" w:ascii="宋体" w:hAnsi="宋体"/>
          <w:color w:val="auto"/>
          <w:highlight w:val="none"/>
        </w:rPr>
        <w:t xml:space="preserve">买方承担着特殊职能，卖方交付全部设备后，因部分设备发生严重质量问题买方退货的，视为卖方不能完成履行义务，卖方应当就该设备双倍返还货款，</w:t>
      </w:r>
      <w:r>
        <w:rPr>
          <w:rFonts w:ascii="宋体" w:hAnsi="宋体"/>
          <w:color w:val="auto"/>
          <w:highlight w:val="none"/>
        </w:rPr>
        <w:t xml:space="preserve">且</w:t>
      </w:r>
      <w:r>
        <w:rPr>
          <w:rFonts w:hint="eastAsia" w:ascii="宋体" w:hAnsi="宋体"/>
          <w:color w:val="auto"/>
          <w:highlight w:val="none"/>
        </w:rPr>
        <w:t xml:space="preserve">买方</w:t>
      </w:r>
      <w:r>
        <w:rPr>
          <w:rFonts w:ascii="宋体" w:hAnsi="宋体"/>
          <w:color w:val="auto"/>
          <w:highlight w:val="none"/>
        </w:rPr>
        <w:t xml:space="preserve">有权要求卖方赔偿相当于合同总额</w:t>
      </w:r>
      <w:r>
        <w:rPr>
          <w:rFonts w:hint="eastAsia" w:ascii="宋体" w:hAnsi="宋体"/>
          <w:color w:val="auto"/>
          <w:highlight w:val="none"/>
        </w:rPr>
        <w:t xml:space="preserve">3</w:t>
      </w:r>
      <w:r>
        <w:rPr>
          <w:rFonts w:ascii="宋体" w:hAnsi="宋体"/>
          <w:color w:val="auto"/>
          <w:highlight w:val="none"/>
        </w:rPr>
        <w:t xml:space="preserve">0%的违约金</w:t>
      </w:r>
      <w:r>
        <w:rPr>
          <w:rFonts w:hint="eastAsia" w:ascii="宋体" w:hAnsi="宋体"/>
          <w:color w:val="auto"/>
          <w:highlight w:val="none"/>
        </w:rPr>
        <w:t xml:space="preserve">。</w:t>
      </w:r>
      <w:r/>
    </w:p>
    <w:p>
      <w:pPr>
        <w:spacing w:before="156" w:line="400" w:lineRule="exact"/>
        <w:rPr>
          <w:rFonts w:ascii="宋体" w:hAnsi="宋体"/>
          <w:color w:val="auto"/>
          <w:highlight w:val="none"/>
        </w:rPr>
      </w:pPr>
      <w:r>
        <w:rPr>
          <w:rFonts w:hint="eastAsia" w:ascii="宋体" w:hAnsi="宋体"/>
          <w:b/>
          <w:color w:val="auto"/>
          <w:highlight w:val="none"/>
        </w:rPr>
        <w:t xml:space="preserve">第十七条  </w:t>
      </w:r>
      <w:r>
        <w:rPr>
          <w:rFonts w:hint="eastAsia" w:ascii="宋体" w:hAnsi="宋体"/>
          <w:color w:val="auto"/>
          <w:highlight w:val="none"/>
        </w:rPr>
        <w:t xml:space="preserve">不可抗力</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因出现不可预见、不可避免、不可克服的事件，导致本合同无法有效及时履行时，遭遇不可抗力方应立即用电话、传真、电子邮件等尽可能迅速的通讯方式通知对方，并在通知后的【</w:t>
      </w:r>
      <w:r>
        <w:rPr>
          <w:rFonts w:hint="eastAsia" w:ascii="宋体" w:hAnsi="宋体"/>
          <w:color w:val="auto"/>
          <w:highlight w:val="none"/>
        </w:rPr>
        <w:t xml:space="preserve">7</w:t>
      </w:r>
      <w:r>
        <w:rPr>
          <w:rFonts w:ascii="宋体" w:hAnsi="宋体"/>
          <w:color w:val="auto"/>
          <w:highlight w:val="none"/>
        </w:rPr>
        <w:t xml:space="preserve">】日内将不可抗力的书面有效证明及本合同无法有效及时履行的书面理由提交给对方确认。遭受不可抗力的一方凭此证明免除全部或部分违约责任，具体免除范围和方式由双方另行协商。</w:t>
      </w:r>
      <w:r/>
    </w:p>
    <w:p>
      <w:pPr>
        <w:spacing w:before="156" w:line="400" w:lineRule="exact"/>
        <w:rPr>
          <w:rFonts w:ascii="宋体" w:hAnsi="宋体"/>
          <w:color w:val="auto"/>
          <w:highlight w:val="none"/>
        </w:rPr>
      </w:pPr>
      <w:r>
        <w:rPr>
          <w:rFonts w:hint="eastAsia" w:ascii="宋体" w:hAnsi="宋体"/>
          <w:b/>
          <w:color w:val="auto"/>
          <w:highlight w:val="none"/>
        </w:rPr>
        <w:t xml:space="preserve">第十八条 </w:t>
      </w:r>
      <w:r>
        <w:rPr>
          <w:rFonts w:ascii="宋体" w:hAnsi="宋体"/>
          <w:color w:val="auto"/>
          <w:highlight w:val="none"/>
        </w:rPr>
        <w:t xml:space="preserve">下列文件为合同的组成部分:</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（1）合同协议书；</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w:t>
      </w:r>
      <w:r>
        <w:rPr>
          <w:rFonts w:hint="eastAsia" w:ascii="宋体" w:hAnsi="宋体"/>
          <w:color w:val="auto"/>
          <w:highlight w:val="none"/>
        </w:rPr>
        <w:t xml:space="preserve">招标文件</w:t>
      </w:r>
      <w:r>
        <w:rPr>
          <w:rFonts w:ascii="宋体" w:hAnsi="宋体"/>
          <w:color w:val="auto"/>
          <w:highlight w:val="none"/>
        </w:rPr>
        <w:t xml:space="preserve">；</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（3）中标通知书；</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（4）合同附件；</w:t>
      </w:r>
      <w:r/>
    </w:p>
    <w:p>
      <w:pPr>
        <w:spacing w:line="400" w:lineRule="exact"/>
        <w:rPr>
          <w:rFonts w:ascii="宋体" w:hAnsi="宋体"/>
          <w:color w:val="auto"/>
          <w:highlight w:val="none"/>
        </w:rPr>
      </w:pPr>
      <w:r>
        <w:rPr>
          <w:rFonts w:hint="eastAsia" w:ascii="宋体" w:hAnsi="宋体"/>
          <w:color w:val="auto"/>
          <w:highlight w:val="none"/>
        </w:rPr>
        <w:t xml:space="preserve"> （5）</w:t>
      </w:r>
      <w:r>
        <w:rPr>
          <w:rFonts w:ascii="宋体" w:hAnsi="宋体"/>
          <w:color w:val="auto"/>
          <w:highlight w:val="none"/>
        </w:rPr>
        <w:t xml:space="preserve">形成合同的其他文件。</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上述文件应互为补充和解释，如有不清或互相矛盾之处，以上面所列顺序在前的为准</w:t>
      </w:r>
      <w:r>
        <w:rPr>
          <w:rFonts w:hint="eastAsia" w:ascii="宋体" w:hAnsi="宋体"/>
          <w:color w:val="auto"/>
          <w:highlight w:val="none"/>
        </w:rPr>
        <w:t xml:space="preserve">，由买方负责解释</w:t>
      </w:r>
      <w:r>
        <w:rPr>
          <w:rFonts w:ascii="宋体" w:hAnsi="宋体"/>
          <w:color w:val="auto"/>
          <w:highlight w:val="none"/>
        </w:rPr>
        <w:t xml:space="preserve">。</w:t>
      </w:r>
      <w:r/>
    </w:p>
    <w:p>
      <w:pPr>
        <w:spacing w:before="156" w:line="400" w:lineRule="exact"/>
        <w:rPr>
          <w:rFonts w:ascii="宋体" w:hAnsi="宋体"/>
          <w:color w:val="auto"/>
          <w:highlight w:val="none"/>
        </w:rPr>
      </w:pPr>
      <w:r>
        <w:rPr>
          <w:rFonts w:hint="eastAsia" w:ascii="宋体" w:hAnsi="宋体"/>
          <w:b/>
          <w:color w:val="auto"/>
          <w:highlight w:val="none"/>
        </w:rPr>
        <w:t xml:space="preserve">第十九条  </w:t>
      </w:r>
      <w:r>
        <w:rPr>
          <w:rFonts w:hint="eastAsia" w:ascii="宋体" w:hAnsi="宋体"/>
          <w:color w:val="auto"/>
          <w:highlight w:val="none"/>
        </w:rPr>
        <w:t xml:space="preserve">纠纷解决程序与管辖</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本合同如发生纠纷，当事人双方应当及时协商解决，协商不成时，任何一方均可请业务主管机关调解，调解不成，则任何一方均可将争议提交</w:t>
      </w:r>
      <w:r>
        <w:rPr>
          <w:rFonts w:hint="eastAsia" w:ascii="宋体" w:hAnsi="宋体"/>
          <w:color w:val="auto"/>
          <w:highlight w:val="none"/>
        </w:rPr>
        <w:t xml:space="preserve">买方所在地人</w:t>
      </w:r>
      <w:r>
        <w:rPr>
          <w:rFonts w:ascii="宋体" w:hAnsi="宋体"/>
          <w:color w:val="auto"/>
          <w:highlight w:val="none"/>
        </w:rPr>
        <w:t xml:space="preserve">民法院诉讼解决。</w:t>
      </w:r>
      <w:r/>
    </w:p>
    <w:p>
      <w:pPr>
        <w:spacing w:before="156" w:line="400" w:lineRule="exact"/>
        <w:rPr>
          <w:rFonts w:ascii="宋体" w:hAnsi="宋体"/>
          <w:color w:val="auto"/>
          <w:highlight w:val="none"/>
        </w:rPr>
      </w:pPr>
      <w:r>
        <w:rPr>
          <w:rFonts w:hint="eastAsia" w:ascii="宋体" w:hAnsi="宋体"/>
          <w:b/>
          <w:color w:val="auto"/>
          <w:highlight w:val="none"/>
        </w:rPr>
        <w:t xml:space="preserve">第二十条  </w:t>
      </w:r>
      <w:r>
        <w:rPr>
          <w:rFonts w:hint="eastAsia" w:ascii="宋体" w:hAnsi="宋体"/>
          <w:color w:val="auto"/>
          <w:highlight w:val="none"/>
        </w:rPr>
        <w:t xml:space="preserve">其他特殊条款</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1. 转让：  </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任何一方在未征得另一方书面同意之前，不得将本合同所约定的任何权利义务转让给第三方。任何转让，未经另一方书面明确同意，均属无效。</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 未经买方</w:t>
      </w:r>
      <w:r>
        <w:rPr>
          <w:rFonts w:hint="eastAsia" w:ascii="宋体" w:hAnsi="宋体"/>
          <w:color w:val="auto"/>
          <w:highlight w:val="none"/>
        </w:rPr>
        <w:t xml:space="preserve">书面</w:t>
      </w:r>
      <w:r>
        <w:rPr>
          <w:rFonts w:ascii="宋体" w:hAnsi="宋体"/>
          <w:color w:val="auto"/>
          <w:highlight w:val="none"/>
        </w:rPr>
        <w:t xml:space="preserve">同意，卖方不得将本合同供货范围中的采购事项对外分包。确需分包的，应事先将供货商的名单提交买方确认，并从经买方确认的供货商名单中选定分包商。卖方擅自向未经买方确认的供货商分包合同货物的，买方有权拒付分包部分货物的价款，并部分或全部终止合同。</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3. 卖方应对所有分包货物承担本合同项下的全部责任。买方对分包商的确认与否并不免除卖方根据本合同所应承担的任何责任，也不增加买方的责任。</w:t>
      </w:r>
      <w:r/>
    </w:p>
    <w:p>
      <w:pPr>
        <w:spacing w:before="156" w:line="400" w:lineRule="exact"/>
        <w:rPr>
          <w:rFonts w:ascii="宋体" w:hAnsi="宋体"/>
          <w:color w:val="auto"/>
          <w:highlight w:val="none"/>
        </w:rPr>
      </w:pPr>
      <w:r>
        <w:rPr>
          <w:rFonts w:hint="eastAsia" w:ascii="宋体" w:hAnsi="宋体"/>
          <w:b/>
          <w:color w:val="auto"/>
          <w:highlight w:val="none"/>
        </w:rPr>
        <w:t xml:space="preserve">第二十一条  </w:t>
      </w:r>
      <w:r>
        <w:rPr>
          <w:rFonts w:hint="eastAsia" w:ascii="宋体" w:hAnsi="宋体"/>
          <w:color w:val="auto"/>
          <w:highlight w:val="none"/>
        </w:rPr>
        <w:t xml:space="preserve">合同的生效</w:t>
      </w:r>
      <w:r/>
    </w:p>
    <w:p>
      <w:pPr>
        <w:spacing w:line="4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本合同一式</w:t>
      </w:r>
      <w:r>
        <w:rPr>
          <w:rFonts w:hint="eastAsia" w:ascii="宋体" w:hAnsi="宋体"/>
          <w:color w:val="auto"/>
          <w:highlight w:val="none"/>
        </w:rPr>
        <w:t xml:space="preserve">四</w:t>
      </w:r>
      <w:r>
        <w:rPr>
          <w:rFonts w:ascii="宋体" w:hAnsi="宋体"/>
          <w:color w:val="auto"/>
          <w:highlight w:val="none"/>
        </w:rPr>
        <w:t xml:space="preserve">份，自买卖双方签字盖章之日起生效</w:t>
      </w:r>
      <w:r>
        <w:rPr>
          <w:rFonts w:hint="eastAsia" w:ascii="宋体" w:hAnsi="宋体"/>
          <w:color w:val="auto"/>
          <w:highlight w:val="none"/>
        </w:rPr>
        <w:t xml:space="preserve">，买方持两份，卖方持两份，均具有相同的法律效力。</w:t>
      </w:r>
      <w:r/>
    </w:p>
    <w:p>
      <w:pPr>
        <w:spacing w:line="400" w:lineRule="exact"/>
        <w:rPr>
          <w:rFonts w:ascii="宋体" w:hAnsi="宋体"/>
          <w:color w:val="auto"/>
          <w:highlight w:val="none"/>
        </w:rPr>
      </w:pPr>
      <w:r>
        <w:rPr>
          <w:rFonts w:hint="eastAsia" w:ascii="宋体" w:hAnsi="宋体"/>
          <w:color w:val="auto"/>
          <w:highlight w:val="none"/>
        </w:rPr>
        <w:t xml:space="preserve">（以下无正文，代理人签名和日期手写）</w:t>
      </w:r>
      <w:r/>
    </w:p>
    <w:p>
      <w:pPr>
        <w:rPr>
          <w:rFonts w:ascii="宋体" w:hAnsi="宋体"/>
          <w:color w:val="auto"/>
          <w:highlight w:val="none"/>
        </w:rPr>
      </w:pPr>
      <w:r>
        <w:rPr>
          <w:rFonts w:hint="eastAsia" w:ascii="宋体" w:hAnsi="宋体"/>
          <w:color w:val="auto"/>
          <w:highlight w:val="none"/>
        </w:rPr>
        <w:br w:type="page" w:clear="all"/>
      </w:r>
      <w:r/>
    </w:p>
    <w:tbl>
      <w:tblPr>
        <w:tblStyle w:val="1257"/>
        <w:tblW w:w="91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2764"/>
        <w:gridCol w:w="1436"/>
        <w:gridCol w:w="3486"/>
      </w:tblGrid>
      <w:tr>
        <w:trPr>
          <w:trHeight w:val="260"/>
        </w:trPr>
        <w:tc>
          <w:tcPr>
            <w:shd w:val="clear" w:color="auto" w:fill="d8d8d8" w:themeFill="background1" w:themeFillShade="D9"/>
            <w:tcW w:w="1494"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买     方</w:t>
            </w:r>
            <w:r/>
          </w:p>
        </w:tc>
        <w:tc>
          <w:tcPr>
            <w:tcW w:w="2764" w:type="dxa"/>
            <w:vAlign w:val="center"/>
            <w:textDirection w:val="lrTb"/>
            <w:noWrap w:val="false"/>
          </w:tcPr>
          <w:p>
            <w:pPr>
              <w:spacing w:line="600" w:lineRule="exact"/>
              <w:rPr>
                <w:rFonts w:ascii="宋体" w:hAnsi="宋体" w:cstheme="minorBidi"/>
                <w:color w:val="auto"/>
                <w:highlight w:val="none"/>
              </w:rPr>
            </w:pPr>
            <w:r>
              <w:rPr>
                <w:rFonts w:hint="eastAsia" w:ascii="宋体" w:hAnsi="宋体" w:cstheme="minorBidi"/>
                <w:color w:val="auto"/>
                <w:highlight w:val="none"/>
              </w:rPr>
              <w:t xml:space="preserve">江苏省医疗器械检验所</w:t>
            </w:r>
            <w:r/>
          </w:p>
        </w:tc>
        <w:tc>
          <w:tcPr>
            <w:shd w:val="clear" w:color="auto" w:fill="d8d8d8" w:themeFill="background1" w:themeFillShade="D9"/>
            <w:tcW w:w="1436"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卖方</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8d8d8" w:themeFill="background1" w:themeFillShade="D9"/>
            <w:tcW w:w="1494"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法定代表人</w:t>
            </w:r>
            <w:r/>
          </w:p>
        </w:tc>
        <w:tc>
          <w:tcPr>
            <w:tcW w:w="2764"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c>
          <w:tcPr>
            <w:shd w:val="clear" w:color="auto" w:fill="d8d8d8" w:themeFill="background1" w:themeFillShade="D9"/>
            <w:tcW w:w="1436"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法定代表人</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be5f1" w:themeFill="accent1" w:themeFillTint="33"/>
            <w:tcW w:w="1494"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委托代理人</w:t>
            </w:r>
            <w:r/>
          </w:p>
        </w:tc>
        <w:tc>
          <w:tcPr>
            <w:tcW w:w="2764"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c>
          <w:tcPr>
            <w:shd w:val="clear" w:color="auto" w:fill="dbe5f1" w:themeFill="accent1" w:themeFillTint="33"/>
            <w:tcW w:w="1436"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委托代理人</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be5f1" w:themeFill="accent1" w:themeFillTint="33"/>
            <w:tcW w:w="1494"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签订日期</w:t>
            </w:r>
            <w:r/>
          </w:p>
        </w:tc>
        <w:tc>
          <w:tcPr>
            <w:tcW w:w="2764"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c>
          <w:tcPr>
            <w:shd w:val="clear" w:color="auto" w:fill="dbe5f1" w:themeFill="accent1" w:themeFillTint="33"/>
            <w:tcW w:w="1436"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签订日期</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8d8d8" w:themeFill="background1" w:themeFillShade="D9"/>
            <w:tcW w:w="1494"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住 </w:t>
            </w:r>
            <w:r>
              <w:rPr>
                <w:rFonts w:hint="eastAsia" w:ascii="宋体" w:hAnsi="宋体" w:cstheme="minorBidi"/>
                <w:color w:val="auto"/>
                <w:highlight w:val="none"/>
              </w:rPr>
              <w:t xml:space="preserve">     </w:t>
            </w:r>
            <w:r>
              <w:rPr>
                <w:rFonts w:ascii="宋体" w:hAnsi="宋体" w:cstheme="minorBidi"/>
                <w:color w:val="auto"/>
                <w:highlight w:val="none"/>
              </w:rPr>
              <w:t xml:space="preserve">所</w:t>
            </w:r>
            <w:r/>
          </w:p>
        </w:tc>
        <w:tc>
          <w:tcPr>
            <w:tcW w:w="2764" w:type="dxa"/>
            <w:vAlign w:val="center"/>
            <w:textDirection w:val="lrTb"/>
            <w:noWrap w:val="false"/>
          </w:tcPr>
          <w:p>
            <w:pPr>
              <w:spacing w:line="600" w:lineRule="exact"/>
              <w:rPr>
                <w:rFonts w:ascii="宋体" w:hAnsi="宋体" w:cstheme="minorBidi"/>
                <w:color w:val="auto"/>
                <w:highlight w:val="none"/>
              </w:rPr>
            </w:pPr>
            <w:r>
              <w:rPr>
                <w:rFonts w:hint="eastAsia" w:ascii="宋体" w:hAnsi="宋体" w:cstheme="minorBidi"/>
                <w:color w:val="auto"/>
                <w:highlight w:val="none"/>
              </w:rPr>
              <w:t xml:space="preserve">江苏省南京市建邺区康文路17号</w:t>
            </w:r>
            <w:r/>
          </w:p>
        </w:tc>
        <w:tc>
          <w:tcPr>
            <w:shd w:val="clear" w:color="auto" w:fill="d8d8d8" w:themeFill="background1" w:themeFillShade="D9"/>
            <w:tcW w:w="1436"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住所</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8d8d8" w:themeFill="background1" w:themeFillShade="D9"/>
            <w:tcW w:w="1494"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电  </w:t>
            </w:r>
            <w:r>
              <w:rPr>
                <w:rFonts w:hint="eastAsia" w:ascii="宋体" w:hAnsi="宋体" w:cstheme="minorBidi"/>
                <w:color w:val="auto"/>
                <w:highlight w:val="none"/>
              </w:rPr>
              <w:t xml:space="preserve">   </w:t>
            </w:r>
            <w:r>
              <w:rPr>
                <w:rFonts w:ascii="宋体" w:hAnsi="宋体" w:cstheme="minorBidi"/>
                <w:color w:val="auto"/>
                <w:highlight w:val="none"/>
              </w:rPr>
              <w:t xml:space="preserve"> 话</w:t>
            </w:r>
            <w:r/>
          </w:p>
        </w:tc>
        <w:tc>
          <w:tcPr>
            <w:tcW w:w="2764" w:type="dxa"/>
            <w:vAlign w:val="center"/>
            <w:textDirection w:val="lrTb"/>
            <w:noWrap w:val="false"/>
          </w:tcPr>
          <w:p>
            <w:pPr>
              <w:spacing w:line="600" w:lineRule="exact"/>
              <w:rPr>
                <w:rFonts w:ascii="宋体" w:hAnsi="宋体" w:cstheme="minorBidi"/>
                <w:color w:val="auto"/>
                <w:highlight w:val="none"/>
              </w:rPr>
            </w:pPr>
            <w:r>
              <w:rPr>
                <w:rFonts w:hint="eastAsia" w:ascii="宋体" w:hAnsi="宋体" w:cstheme="minorBidi"/>
                <w:color w:val="auto"/>
                <w:highlight w:val="none"/>
              </w:rPr>
              <w:t xml:space="preserve">025-69655655</w:t>
            </w:r>
            <w:r/>
          </w:p>
        </w:tc>
        <w:tc>
          <w:tcPr>
            <w:shd w:val="clear" w:color="auto" w:fill="d8d8d8" w:themeFill="background1" w:themeFillShade="D9"/>
            <w:tcW w:w="1436"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电话</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be5f1" w:themeFill="accent1" w:themeFillTint="33"/>
            <w:tcW w:w="1494"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开户银行</w:t>
            </w:r>
            <w:r/>
          </w:p>
        </w:tc>
        <w:tc>
          <w:tcPr>
            <w:tcW w:w="2764" w:type="dxa"/>
            <w:vAlign w:val="center"/>
            <w:textDirection w:val="lrTb"/>
            <w:noWrap w:val="false"/>
          </w:tcPr>
          <w:p>
            <w:pPr>
              <w:spacing w:line="600" w:lineRule="exact"/>
              <w:rPr>
                <w:rFonts w:ascii="宋体" w:hAnsi="宋体" w:cstheme="minorBidi"/>
                <w:color w:val="auto"/>
                <w:highlight w:val="none"/>
              </w:rPr>
            </w:pPr>
            <w:r>
              <w:rPr>
                <w:rFonts w:hint="eastAsia" w:ascii="宋体" w:hAnsi="宋体" w:cstheme="minorBidi"/>
                <w:color w:val="auto"/>
                <w:highlight w:val="none"/>
              </w:rPr>
              <w:t xml:space="preserve">工行宁南支行</w:t>
            </w:r>
            <w:r/>
          </w:p>
        </w:tc>
        <w:tc>
          <w:tcPr>
            <w:shd w:val="clear" w:color="auto" w:fill="dbe5f1" w:themeFill="accent1" w:themeFillTint="33"/>
            <w:tcW w:w="1436"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开户银行</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be5f1" w:themeFill="accent1" w:themeFillTint="33"/>
            <w:tcW w:w="1494"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银行帐号</w:t>
            </w:r>
            <w:r/>
          </w:p>
        </w:tc>
        <w:tc>
          <w:tcPr>
            <w:tcW w:w="2764"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t xml:space="preserve">4301018319100075728</w:t>
            </w:r>
            <w:r/>
          </w:p>
        </w:tc>
        <w:tc>
          <w:tcPr>
            <w:shd w:val="clear" w:color="auto" w:fill="dbe5f1" w:themeFill="accent1" w:themeFillTint="33"/>
            <w:tcW w:w="1436" w:type="dxa"/>
            <w:vAlign w:val="center"/>
            <w:textDirection w:val="lrTb"/>
            <w:noWrap w:val="false"/>
          </w:tcPr>
          <w:p>
            <w:pPr>
              <w:jc w:val="both"/>
              <w:spacing w:line="600" w:lineRule="exact"/>
              <w:rPr>
                <w:rFonts w:ascii="宋体" w:hAnsi="宋体" w:cstheme="minorBidi"/>
                <w:color w:val="auto"/>
                <w:highlight w:val="none"/>
              </w:rPr>
            </w:pPr>
            <w:r>
              <w:rPr>
                <w:rFonts w:ascii="宋体" w:hAnsi="宋体" w:cstheme="minorBidi"/>
                <w:color w:val="auto"/>
                <w:highlight w:val="none"/>
              </w:rPr>
              <w:t xml:space="preserve">银行帐号</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r>
        <w:trPr/>
        <w:tc>
          <w:tcPr>
            <w:shd w:val="clear" w:color="auto" w:fill="dbe5f1" w:themeFill="accent1" w:themeFillTint="33"/>
            <w:tcW w:w="1494" w:type="dxa"/>
            <w:vAlign w:val="center"/>
            <w:textDirection w:val="lrTb"/>
            <w:noWrap w:val="false"/>
          </w:tcPr>
          <w:p>
            <w:pPr>
              <w:jc w:val="both"/>
              <w:spacing w:line="400" w:lineRule="exact"/>
              <w:rPr>
                <w:rFonts w:ascii="宋体" w:hAnsi="宋体" w:cstheme="minorBidi"/>
                <w:color w:val="auto"/>
                <w:highlight w:val="none"/>
              </w:rPr>
            </w:pPr>
            <w:r>
              <w:rPr>
                <w:rFonts w:hint="eastAsia" w:ascii="宋体" w:hAnsi="宋体" w:cstheme="minorBidi"/>
                <w:color w:val="auto"/>
                <w:highlight w:val="none"/>
              </w:rPr>
              <w:t xml:space="preserve">税号（三合一代码）</w:t>
            </w:r>
            <w:r/>
          </w:p>
        </w:tc>
        <w:tc>
          <w:tcPr>
            <w:tcW w:w="2764"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t xml:space="preserve">1232000046600779XH</w:t>
            </w:r>
            <w:r/>
          </w:p>
        </w:tc>
        <w:tc>
          <w:tcPr>
            <w:shd w:val="clear" w:color="auto" w:fill="dbe5f1" w:themeFill="accent1" w:themeFillTint="33"/>
            <w:tcW w:w="1436" w:type="dxa"/>
            <w:vAlign w:val="center"/>
            <w:textDirection w:val="lrTb"/>
            <w:noWrap w:val="false"/>
          </w:tcPr>
          <w:p>
            <w:pPr>
              <w:jc w:val="both"/>
              <w:spacing w:line="600" w:lineRule="exact"/>
              <w:rPr>
                <w:rFonts w:ascii="宋体" w:hAnsi="宋体" w:cstheme="minorBidi"/>
                <w:color w:val="auto"/>
                <w:highlight w:val="none"/>
              </w:rPr>
            </w:pPr>
            <w:r>
              <w:rPr>
                <w:rFonts w:hint="eastAsia" w:ascii="宋体" w:hAnsi="宋体" w:cstheme="minorBidi"/>
                <w:color w:val="auto"/>
                <w:highlight w:val="none"/>
              </w:rPr>
              <w:t xml:space="preserve">税号</w:t>
            </w:r>
            <w:r/>
          </w:p>
        </w:tc>
        <w:tc>
          <w:tcPr>
            <w:tcW w:w="3486" w:type="dxa"/>
            <w:vAlign w:val="center"/>
            <w:textDirection w:val="lrTb"/>
            <w:noWrap w:val="false"/>
          </w:tcPr>
          <w:p>
            <w:pPr>
              <w:spacing w:line="600" w:lineRule="exact"/>
              <w:rPr>
                <w:rFonts w:ascii="宋体" w:hAnsi="宋体" w:cstheme="minorBidi"/>
                <w:color w:val="auto"/>
                <w:highlight w:val="none"/>
              </w:rPr>
            </w:pPr>
            <w:r>
              <w:rPr>
                <w:rFonts w:ascii="宋体" w:hAnsi="宋体" w:cstheme="minorBidi"/>
                <w:color w:val="auto"/>
                <w:highlight w:val="none"/>
              </w:rPr>
            </w:r>
            <w:r/>
          </w:p>
        </w:tc>
      </w:tr>
    </w:tbl>
    <w:p>
      <w:pPr>
        <w:spacing w:line="360" w:lineRule="auto"/>
        <w:rPr>
          <w:color w:val="auto"/>
          <w:highlight w:val="none"/>
        </w:rPr>
      </w:pPr>
      <w:r>
        <w:rPr>
          <w:color w:val="auto"/>
          <w:highlight w:val="none"/>
        </w:rPr>
      </w:r>
      <w:r/>
    </w:p>
    <w:p>
      <w:pPr>
        <w:spacing w:before="156" w:line="360" w:lineRule="auto"/>
        <w:rPr>
          <w:rFonts w:ascii="宋体" w:hAnsi="宋体"/>
          <w:color w:val="auto"/>
          <w:highlight w:val="none"/>
        </w:rPr>
      </w:pPr>
      <w:r>
        <w:rPr>
          <w:rFonts w:ascii="宋体" w:hAnsi="宋体"/>
          <w:color w:val="auto"/>
          <w:highlight w:val="none"/>
        </w:rPr>
      </w:r>
      <w:r/>
    </w:p>
    <w:p>
      <w:pPr>
        <w:spacing w:line="360" w:lineRule="auto"/>
        <w:rPr>
          <w:color w:val="auto"/>
          <w:highlight w:val="none"/>
        </w:rPr>
      </w:pPr>
      <w:r>
        <w:rPr>
          <w:color w:val="auto"/>
          <w:highlight w:val="none"/>
        </w:rPr>
      </w:r>
      <w:r/>
    </w:p>
    <w:p>
      <w:pPr>
        <w:keepLines w:val="0"/>
        <w:keepNext w:val="0"/>
        <w:pageBreakBefore w:val="0"/>
        <w:spacing w:line="360" w:lineRule="auto"/>
        <w:widowControl w:val="off"/>
        <w:rPr>
          <w:rFonts w:ascii="宋体" w:hAnsi="宋体" w:eastAsia="宋体"/>
          <w:color w:val="auto"/>
          <w:highlight w:val="none"/>
        </w:rPr>
      </w:pPr>
      <w:r>
        <w:rPr>
          <w:rFonts w:ascii="宋体" w:hAnsi="宋体" w:eastAsia="宋体"/>
          <w:color w:val="auto"/>
          <w:highlight w:val="none"/>
        </w:rPr>
      </w:r>
      <w:r/>
    </w:p>
    <w:p>
      <w:pPr>
        <w:ind w:firstLine="540"/>
        <w:spacing w:line="360" w:lineRule="auto"/>
        <w:rPr>
          <w:rFonts w:eastAsia="华文新魏"/>
          <w:b/>
          <w:bCs/>
          <w:color w:val="auto"/>
          <w:sz w:val="84"/>
          <w:highlight w:val="none"/>
        </w:rPr>
      </w:pPr>
      <w:r>
        <w:rPr>
          <w:rFonts w:eastAsia="华文新魏"/>
          <w:b/>
          <w:bCs/>
          <w:color w:val="auto"/>
          <w:sz w:val="84"/>
          <w:highlight w:val="none"/>
        </w:rPr>
      </w:r>
      <w:r/>
    </w:p>
    <w:p>
      <w:pPr>
        <w:spacing w:line="360" w:lineRule="auto"/>
        <w:rPr>
          <w:rFonts w:eastAsia="华文新魏"/>
          <w:b/>
          <w:bCs/>
          <w:color w:val="auto"/>
          <w:sz w:val="84"/>
          <w:highlight w:val="none"/>
        </w:rPr>
      </w:pPr>
      <w:r>
        <w:rPr>
          <w:rFonts w:eastAsia="华文新魏"/>
          <w:b/>
          <w:bCs/>
          <w:color w:val="auto"/>
          <w:sz w:val="84"/>
          <w:highlight w:val="none"/>
        </w:rPr>
      </w:r>
      <w:r/>
    </w:p>
    <w:p>
      <w:pPr>
        <w:spacing w:line="440" w:lineRule="exact"/>
        <w:rPr>
          <w:rFonts w:eastAsia="华文新魏"/>
          <w:b/>
          <w:bCs/>
          <w:color w:val="auto"/>
          <w:sz w:val="84"/>
          <w:highlight w:val="none"/>
        </w:rPr>
      </w:pPr>
      <w:r>
        <w:rPr>
          <w:rFonts w:eastAsia="华文新魏"/>
          <w:b/>
          <w:bCs/>
          <w:color w:val="auto"/>
          <w:sz w:val="84"/>
          <w:highlight w:val="none"/>
        </w:rPr>
      </w:r>
      <w:r/>
    </w:p>
    <w:p>
      <w:pPr>
        <w:spacing w:line="440" w:lineRule="exact"/>
        <w:rPr>
          <w:rFonts w:eastAsia="华文新魏"/>
          <w:b/>
          <w:bCs/>
          <w:color w:val="auto"/>
          <w:sz w:val="84"/>
          <w:highlight w:val="none"/>
        </w:rPr>
      </w:pPr>
      <w:r>
        <w:rPr>
          <w:rFonts w:eastAsia="华文新魏"/>
          <w:b/>
          <w:bCs/>
          <w:color w:val="auto"/>
          <w:sz w:val="84"/>
          <w:highlight w:val="none"/>
        </w:rPr>
      </w:r>
      <w:r/>
    </w:p>
    <w:p>
      <w:pPr>
        <w:ind w:firstLine="841"/>
        <w:jc w:val="center"/>
        <w:spacing w:line="440" w:lineRule="exact"/>
        <w:rPr>
          <w:rFonts w:eastAsia="华文新魏"/>
          <w:b/>
          <w:bCs/>
          <w:color w:val="auto"/>
          <w:sz w:val="84"/>
          <w:highlight w:val="none"/>
        </w:rPr>
      </w:pPr>
      <w:r>
        <w:rPr>
          <w:rFonts w:eastAsia="华文新魏"/>
          <w:b/>
          <w:bCs/>
          <w:color w:val="auto"/>
          <w:sz w:val="84"/>
          <w:highlight w:val="none"/>
        </w:rPr>
      </w:r>
      <w:r/>
    </w:p>
    <w:p>
      <w:pPr>
        <w:spacing w:line="440" w:lineRule="exact"/>
        <w:rPr>
          <w:rFonts w:eastAsia="华文新魏"/>
          <w:b/>
          <w:bCs/>
          <w:color w:val="auto"/>
          <w:sz w:val="84"/>
          <w:highlight w:val="none"/>
        </w:rPr>
      </w:pPr>
      <w:r>
        <w:rPr>
          <w:rFonts w:eastAsia="华文新魏"/>
          <w:b/>
          <w:bCs/>
          <w:color w:val="auto"/>
          <w:sz w:val="84"/>
          <w:highlight w:val="none"/>
        </w:rPr>
      </w:r>
      <w:r/>
    </w:p>
    <w:p>
      <w:pPr>
        <w:jc w:val="center"/>
        <w:spacing w:line="440" w:lineRule="exact"/>
        <w:rPr>
          <w:rFonts w:ascii="黑体" w:eastAsia="黑体"/>
          <w:b/>
          <w:color w:val="auto"/>
          <w:sz w:val="28"/>
          <w:szCs w:val="28"/>
          <w:highlight w:val="none"/>
        </w:rPr>
        <w:sectPr>
          <w:headerReference w:type="default" r:id="rId11"/>
          <w:footerReference w:type="default" r:id="rId17"/>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outlineLvl w:val="0"/>
      </w:pPr>
      <w:r>
        <w:rPr>
          <w:rFonts w:ascii="黑体" w:eastAsia="黑体"/>
          <w:b/>
          <w:color w:val="auto"/>
          <w:sz w:val="28"/>
          <w:szCs w:val="28"/>
          <w:highlight w:val="none"/>
        </w:rPr>
      </w:r>
      <w:r/>
    </w:p>
    <w:p>
      <w:pPr>
        <w:jc w:val="center"/>
        <w:spacing w:line="440" w:lineRule="exact"/>
        <w:rPr>
          <w:rFonts w:ascii="黑体" w:eastAsia="黑体"/>
          <w:b/>
          <w:color w:val="auto"/>
          <w:sz w:val="28"/>
          <w:szCs w:val="28"/>
          <w:highlight w:val="none"/>
        </w:rPr>
        <w:outlineLvl w:val="0"/>
      </w:pPr>
      <w:r/>
      <w:bookmarkStart w:id="304" w:name="_Toc32603"/>
      <w:r/>
      <w:bookmarkStart w:id="305" w:name="_Toc26078"/>
      <w:r/>
      <w:bookmarkStart w:id="306" w:name="_Toc29803"/>
      <w:r/>
      <w:bookmarkStart w:id="307" w:name="_Toc11219"/>
      <w:r/>
      <w:bookmarkStart w:id="308" w:name="_Toc19"/>
      <w:r>
        <w:rPr>
          <w:rFonts w:hint="eastAsia" w:ascii="黑体" w:eastAsia="黑体"/>
          <w:b/>
          <w:color w:val="auto"/>
          <w:sz w:val="28"/>
          <w:szCs w:val="28"/>
          <w:highlight w:val="none"/>
        </w:rPr>
        <w:t xml:space="preserve">第六章  投标文件格式及附件</w:t>
      </w:r>
      <w:bookmarkEnd w:id="304"/>
      <w:r/>
      <w:bookmarkEnd w:id="305"/>
      <w:r/>
      <w:bookmarkEnd w:id="306"/>
      <w:r/>
      <w:bookmarkEnd w:id="307"/>
      <w:r/>
      <w:bookmarkEnd w:id="308"/>
      <w:r/>
      <w:r/>
    </w:p>
    <w:p>
      <w:pPr>
        <w:jc w:val="center"/>
        <w:spacing w:line="440" w:lineRule="exact"/>
        <w:rPr>
          <w:rFonts w:eastAsia="黑体"/>
          <w:b/>
          <w:color w:val="auto"/>
          <w:sz w:val="32"/>
          <w:highlight w:val="none"/>
        </w:rPr>
      </w:pPr>
      <w:r>
        <w:rPr>
          <w:rFonts w:eastAsia="黑体"/>
          <w:b/>
          <w:color w:val="auto"/>
          <w:sz w:val="32"/>
          <w:highlight w:val="none"/>
        </w:rPr>
      </w:r>
      <w:r/>
    </w:p>
    <w:p>
      <w:pPr>
        <w:jc w:val="center"/>
        <w:spacing w:line="440" w:lineRule="exact"/>
        <w:rPr>
          <w:rFonts w:eastAsia="黑体"/>
          <w:b/>
          <w:color w:val="auto"/>
          <w:sz w:val="32"/>
          <w:highlight w:val="none"/>
        </w:rPr>
      </w:pPr>
      <w:r>
        <w:rPr>
          <w:rFonts w:hint="eastAsia" w:eastAsia="黑体"/>
          <w:b/>
          <w:color w:val="auto"/>
          <w:sz w:val="32"/>
          <w:highlight w:val="none"/>
        </w:rPr>
        <w:t xml:space="preserve">目</w:t>
      </w:r>
      <w:r>
        <w:rPr>
          <w:rFonts w:eastAsia="黑体"/>
          <w:b/>
          <w:color w:val="auto"/>
          <w:sz w:val="32"/>
          <w:highlight w:val="none"/>
        </w:rPr>
        <w:t xml:space="preserve">       </w:t>
      </w:r>
      <w:r>
        <w:rPr>
          <w:rFonts w:hint="eastAsia" w:eastAsia="黑体"/>
          <w:b/>
          <w:color w:val="auto"/>
          <w:sz w:val="32"/>
          <w:highlight w:val="none"/>
        </w:rPr>
        <w:t xml:space="preserve">录</w:t>
      </w:r>
      <w:r/>
    </w:p>
    <w:p>
      <w:pPr>
        <w:jc w:val="center"/>
        <w:spacing w:line="440" w:lineRule="exact"/>
        <w:rPr>
          <w:b/>
          <w:color w:val="auto"/>
          <w:sz w:val="28"/>
          <w:highlight w:val="none"/>
        </w:rPr>
      </w:pPr>
      <w:r>
        <w:rPr>
          <w:b/>
          <w:color w:val="auto"/>
          <w:sz w:val="28"/>
          <w:highlight w:val="none"/>
        </w:rPr>
      </w:r>
      <w:r/>
    </w:p>
    <w:p>
      <w:pPr>
        <w:spacing w:line="440" w:lineRule="exact"/>
        <w:rPr>
          <w:rFonts w:ascii="宋体"/>
          <w:color w:val="auto"/>
          <w:sz w:val="24"/>
          <w:highlight w:val="none"/>
        </w:rPr>
      </w:pPr>
      <w:r>
        <w:rPr>
          <w:rFonts w:hint="eastAsia" w:ascii="宋体"/>
          <w:color w:val="auto"/>
          <w:sz w:val="24"/>
          <w:highlight w:val="none"/>
        </w:rPr>
        <w:t xml:space="preserve">格式一：投标函</w:t>
      </w:r>
      <w:r/>
    </w:p>
    <w:p>
      <w:pPr>
        <w:spacing w:line="440" w:lineRule="exact"/>
        <w:rPr>
          <w:rFonts w:ascii="宋体"/>
          <w:color w:val="auto"/>
          <w:sz w:val="24"/>
          <w:highlight w:val="none"/>
        </w:rPr>
      </w:pPr>
      <w:r>
        <w:rPr>
          <w:rFonts w:hint="eastAsia" w:ascii="宋体"/>
          <w:color w:val="auto"/>
          <w:sz w:val="24"/>
          <w:highlight w:val="none"/>
        </w:rPr>
        <w:t xml:space="preserve">格式二：投标一览表</w:t>
      </w:r>
      <w:r/>
    </w:p>
    <w:p>
      <w:pPr>
        <w:spacing w:line="440" w:lineRule="exact"/>
        <w:rPr>
          <w:rFonts w:ascii="宋体"/>
          <w:color w:val="auto"/>
          <w:sz w:val="24"/>
          <w:highlight w:val="none"/>
        </w:rPr>
      </w:pPr>
      <w:r>
        <w:rPr>
          <w:rFonts w:hint="eastAsia" w:ascii="宋体"/>
          <w:color w:val="auto"/>
          <w:sz w:val="24"/>
          <w:highlight w:val="none"/>
        </w:rPr>
        <w:t xml:space="preserve">附件1. 投标分项报价表</w:t>
      </w:r>
      <w:r/>
    </w:p>
    <w:p>
      <w:pPr>
        <w:spacing w:line="440" w:lineRule="exact"/>
        <w:rPr>
          <w:rFonts w:hint="eastAsia" w:ascii="宋体"/>
          <w:color w:val="auto"/>
          <w:sz w:val="24"/>
          <w:highlight w:val="none"/>
        </w:rPr>
      </w:pPr>
      <w:r>
        <w:rPr>
          <w:rFonts w:hint="eastAsia" w:ascii="宋体"/>
          <w:color w:val="auto"/>
          <w:sz w:val="24"/>
          <w:highlight w:val="none"/>
        </w:rPr>
        <w:t xml:space="preserve">附件2. 投标项目核心产品及主要产品一览表</w:t>
      </w:r>
      <w:r/>
    </w:p>
    <w:p>
      <w:pPr>
        <w:spacing w:line="440" w:lineRule="exact"/>
        <w:rPr>
          <w:rFonts w:ascii="宋体"/>
          <w:color w:val="auto"/>
          <w:sz w:val="24"/>
          <w:highlight w:val="none"/>
        </w:rPr>
      </w:pPr>
      <w:r>
        <w:rPr>
          <w:rFonts w:hint="eastAsia" w:ascii="宋体"/>
          <w:color w:val="auto"/>
          <w:sz w:val="24"/>
          <w:highlight w:val="none"/>
          <w:lang w:val="en-US" w:eastAsia="zh-CN"/>
        </w:rPr>
        <w:t xml:space="preserve">附件3. </w:t>
      </w:r>
      <w:r>
        <w:rPr>
          <w:rFonts w:hint="eastAsia" w:ascii="宋体"/>
          <w:color w:val="auto"/>
          <w:sz w:val="24"/>
          <w:highlight w:val="none"/>
        </w:rPr>
        <w:t xml:space="preserve">商务条款偏离表</w:t>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4</w:t>
      </w:r>
      <w:r>
        <w:rPr>
          <w:rFonts w:hint="eastAsia" w:ascii="宋体"/>
          <w:color w:val="auto"/>
          <w:sz w:val="24"/>
          <w:highlight w:val="none"/>
        </w:rPr>
        <w:t xml:space="preserve">. 技术参数偏离表</w:t>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5</w:t>
      </w:r>
      <w:r>
        <w:rPr>
          <w:rFonts w:hint="eastAsia" w:ascii="宋体"/>
          <w:color w:val="auto"/>
          <w:sz w:val="24"/>
          <w:highlight w:val="none"/>
        </w:rPr>
        <w:t xml:space="preserve">. </w:t>
      </w:r>
      <w:r>
        <w:rPr>
          <w:rFonts w:hint="eastAsia" w:ascii="Arial" w:hAnsi="Arial" w:cs="Arial"/>
          <w:color w:val="auto"/>
          <w:sz w:val="24"/>
          <w:highlight w:val="none"/>
        </w:rPr>
        <w:t xml:space="preserve">投标产品配置清单及技术说明</w:t>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6</w:t>
      </w:r>
      <w:r>
        <w:rPr>
          <w:rFonts w:hint="eastAsia" w:ascii="宋体"/>
          <w:color w:val="auto"/>
          <w:sz w:val="24"/>
          <w:highlight w:val="none"/>
        </w:rPr>
        <w:t xml:space="preserve">. 公开招标设备质保期内的随机备品备件明细表</w:t>
      </w:r>
      <w:r/>
    </w:p>
    <w:p>
      <w:pPr>
        <w:ind w:left="1080" w:hanging="1080"/>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7</w:t>
      </w:r>
      <w:r>
        <w:rPr>
          <w:rFonts w:hint="eastAsia" w:ascii="宋体"/>
          <w:color w:val="auto"/>
          <w:sz w:val="24"/>
          <w:highlight w:val="none"/>
        </w:rPr>
        <w:t xml:space="preserve">. 随机提供的文件、资料、图纸等（文件资料名称、份数）</w:t>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8</w:t>
      </w:r>
      <w:r>
        <w:rPr>
          <w:rFonts w:hint="eastAsia" w:ascii="宋体"/>
          <w:color w:val="auto"/>
          <w:sz w:val="24"/>
          <w:highlight w:val="none"/>
        </w:rPr>
        <w:t xml:space="preserve">. 培训计划及方案（人数、时间、内容、地点）</w:t>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9</w:t>
      </w:r>
      <w:r>
        <w:rPr>
          <w:rFonts w:hint="eastAsia" w:ascii="宋体"/>
          <w:color w:val="auto"/>
          <w:sz w:val="24"/>
          <w:highlight w:val="none"/>
        </w:rPr>
        <w:t xml:space="preserve">. 供货及安装日期和质量保证期及售后服务承诺</w:t>
      </w:r>
      <w:r/>
    </w:p>
    <w:p>
      <w:pPr>
        <w:spacing w:line="440" w:lineRule="exact"/>
        <w:rPr>
          <w:rFonts w:hint="eastAsia" w:ascii="Arial" w:hAnsi="Arial" w:eastAsia="宋体" w:cs="Arial"/>
          <w:color w:val="auto"/>
          <w:sz w:val="24"/>
          <w:highlight w:val="none"/>
          <w:lang w:eastAsia="zh-CN"/>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10</w:t>
      </w:r>
      <w:r>
        <w:rPr>
          <w:rFonts w:hint="eastAsia" w:ascii="宋体"/>
          <w:color w:val="auto"/>
          <w:sz w:val="24"/>
          <w:highlight w:val="none"/>
        </w:rPr>
        <w:t xml:space="preserve">.《中小企业声明函》</w:t>
      </w:r>
      <w:r>
        <w:rPr>
          <w:rFonts w:hint="eastAsia" w:ascii="宋体"/>
          <w:color w:val="auto"/>
          <w:sz w:val="24"/>
          <w:highlight w:val="none"/>
          <w:lang w:eastAsia="zh-CN"/>
        </w:rPr>
        <w:t xml:space="preserve">（</w:t>
      </w:r>
      <w:r>
        <w:rPr>
          <w:rFonts w:hint="eastAsia" w:ascii="宋体"/>
          <w:color w:val="auto"/>
          <w:sz w:val="24"/>
          <w:highlight w:val="none"/>
          <w:lang w:val="en-US" w:eastAsia="zh-CN"/>
        </w:rPr>
        <w:t xml:space="preserve">本次不适用</w:t>
      </w:r>
      <w:r>
        <w:rPr>
          <w:rFonts w:hint="eastAsia" w:ascii="宋体"/>
          <w:color w:val="auto"/>
          <w:sz w:val="24"/>
          <w:highlight w:val="none"/>
          <w:lang w:eastAsia="zh-CN"/>
        </w:rPr>
        <w:t xml:space="preserve">）</w:t>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rFonts w:ascii="宋体"/>
          <w:color w:val="auto"/>
          <w:sz w:val="24"/>
          <w:highlight w:val="none"/>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spacing w:line="440" w:lineRule="exact"/>
        <w:rPr>
          <w:rFonts w:ascii="宋体"/>
          <w:color w:val="auto"/>
          <w:sz w:val="24"/>
          <w:highlight w:val="none"/>
        </w:rPr>
      </w:pPr>
      <w:r>
        <w:rPr>
          <w:rFonts w:hint="eastAsia" w:ascii="宋体"/>
          <w:color w:val="auto"/>
          <w:sz w:val="24"/>
          <w:highlight w:val="none"/>
        </w:rPr>
        <w:t xml:space="preserve">格式一</w:t>
      </w:r>
      <w:r>
        <w:rPr>
          <w:rFonts w:ascii="宋体"/>
          <w:color w:val="auto"/>
          <w:sz w:val="24"/>
          <w:highlight w:val="none"/>
        </w:rPr>
        <w:t xml:space="preserve">    </w:t>
      </w:r>
      <w:r>
        <w:rPr>
          <w:rFonts w:hint="eastAsia" w:ascii="宋体"/>
          <w:color w:val="auto"/>
          <w:sz w:val="24"/>
          <w:highlight w:val="none"/>
        </w:rPr>
        <w:t xml:space="preserve">投标函格式</w:t>
      </w:r>
      <w:r/>
    </w:p>
    <w:p>
      <w:pPr>
        <w:spacing w:line="440" w:lineRule="exact"/>
        <w:rPr>
          <w:rFonts w:eastAsia="黑体"/>
          <w:color w:val="auto"/>
          <w:sz w:val="44"/>
          <w:highlight w:val="none"/>
        </w:rPr>
      </w:pPr>
      <w:r>
        <w:rPr>
          <w:rFonts w:eastAsia="黑体"/>
          <w:color w:val="auto"/>
          <w:sz w:val="44"/>
          <w:highlight w:val="none"/>
        </w:rPr>
      </w:r>
      <w:r/>
    </w:p>
    <w:p>
      <w:pPr>
        <w:jc w:val="center"/>
        <w:spacing w:line="440" w:lineRule="exact"/>
        <w:rPr>
          <w:rFonts w:eastAsia="黑体"/>
          <w:color w:val="auto"/>
          <w:sz w:val="44"/>
          <w:highlight w:val="none"/>
        </w:rPr>
      </w:pPr>
      <w:r>
        <w:rPr>
          <w:rFonts w:hint="eastAsia" w:eastAsia="黑体"/>
          <w:color w:val="auto"/>
          <w:sz w:val="44"/>
          <w:highlight w:val="none"/>
        </w:rPr>
        <w:t xml:space="preserve">投标函</w:t>
      </w:r>
      <w:r/>
    </w:p>
    <w:p>
      <w:pPr>
        <w:spacing w:line="440" w:lineRule="exact"/>
        <w:rPr>
          <w:rFonts w:ascii="宋体"/>
          <w:color w:val="auto"/>
          <w:sz w:val="24"/>
          <w:highlight w:val="none"/>
        </w:rPr>
      </w:pPr>
      <w:r>
        <w:rPr>
          <w:rFonts w:hint="eastAsia" w:ascii="宋体"/>
          <w:color w:val="auto"/>
          <w:sz w:val="24"/>
          <w:highlight w:val="none"/>
        </w:rPr>
        <w:t xml:space="preserve">致：苏美达国际技术贸易有限公司</w:t>
      </w:r>
      <w:r/>
    </w:p>
    <w:p>
      <w:pPr>
        <w:jc w:val="left"/>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对贵单位招标文件，编号</w:t>
      </w:r>
      <w:r>
        <w:rPr>
          <w:rFonts w:hint="eastAsia" w:ascii="宋体" w:hAnsi="宋体"/>
          <w:color w:val="auto"/>
          <w:szCs w:val="21"/>
          <w:highlight w:val="none"/>
          <w:lang w:eastAsia="zh-CN"/>
        </w:rPr>
        <w:t xml:space="preserve">JSZC-320000-SMDG-G2025-0111</w:t>
      </w:r>
      <w:r>
        <w:rPr>
          <w:rFonts w:hint="eastAsia" w:ascii="宋体"/>
          <w:color w:val="auto"/>
          <w:sz w:val="24"/>
          <w:highlight w:val="none"/>
        </w:rPr>
        <w:t xml:space="preserve">，我方经仔细研究，现决定参加本次投标。据此函，签字人兹宣布声明和承诺如下：</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1．我方愿意遵照招标文件规定的各项要求，向采购人提供招标所需产品及服务。</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2．我方已详细审核全部招标文件及有效补充文件，我方放弃对招标文件任何误解的权利。提交投标文件后，不再对招标文件本身提出质疑。</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3．我方同意从规定的开标日期起遵循本投标文件，并在规定的投标有效期期满之前均具有约束力。</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4．我方愿意向招标代理机构提供任何与本次公开招标有关的其他资料，并保证已提供和将要提供的文件是真实的、准确的。</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5．我方愿意履行自己在投标文件中的全部承诺和责任。并遵守招标文件中对投标人的所有规定。</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6．一旦我方中标，本次招标文件和本投标文件（含承诺书）将作为采购合同的附件。我方将根据招标文件的规定严格履行合同，在</w:t>
      </w:r>
      <w:r>
        <w:rPr>
          <w:rFonts w:hint="eastAsia" w:ascii="宋体"/>
          <w:color w:val="auto"/>
          <w:sz w:val="24"/>
          <w:highlight w:val="none"/>
          <w:lang w:eastAsia="zh-CN"/>
        </w:rPr>
        <w:t xml:space="preserve">采购人</w:t>
      </w:r>
      <w:r>
        <w:rPr>
          <w:rFonts w:hint="eastAsia" w:ascii="宋体"/>
          <w:color w:val="auto"/>
          <w:sz w:val="24"/>
          <w:highlight w:val="none"/>
        </w:rPr>
        <w:t xml:space="preserve">要求的时间内将产品运至指定地点，经验收合格直至交付买方使用。</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7．其它说明：</w:t>
      </w:r>
      <w:r/>
    </w:p>
    <w:p>
      <w:pPr>
        <w:spacing w:line="440" w:lineRule="exact"/>
        <w:rPr>
          <w:rFonts w:ascii="宋体"/>
          <w:color w:val="auto"/>
          <w:sz w:val="24"/>
          <w:highlight w:val="none"/>
        </w:rPr>
      </w:pPr>
      <w:r>
        <w:rPr>
          <w:rFonts w:hint="eastAsia" w:ascii="宋体"/>
          <w:color w:val="auto"/>
          <w:sz w:val="24"/>
          <w:highlight w:val="none"/>
        </w:rPr>
        <w:t xml:space="preserve">投标人全称：</w:t>
      </w:r>
      <w:r>
        <w:rPr>
          <w:rFonts w:ascii="宋体"/>
          <w:color w:val="auto"/>
          <w:sz w:val="24"/>
          <w:highlight w:val="none"/>
        </w:rPr>
        <w:t xml:space="preserve">                               </w:t>
      </w:r>
      <w:r>
        <w:rPr>
          <w:rFonts w:hint="eastAsia" w:ascii="宋体"/>
          <w:color w:val="auto"/>
          <w:sz w:val="24"/>
          <w:highlight w:val="none"/>
        </w:rPr>
        <w:t xml:space="preserve">（盖章）</w:t>
      </w:r>
      <w:r/>
    </w:p>
    <w:p>
      <w:pPr>
        <w:spacing w:line="440" w:lineRule="exact"/>
        <w:rPr>
          <w:rFonts w:ascii="宋体"/>
          <w:color w:val="auto"/>
          <w:sz w:val="24"/>
          <w:highlight w:val="none"/>
        </w:rPr>
      </w:pPr>
      <w:r>
        <w:rPr>
          <w:rFonts w:hint="eastAsia" w:ascii="宋体"/>
          <w:color w:val="auto"/>
          <w:sz w:val="24"/>
          <w:highlight w:val="none"/>
        </w:rPr>
        <w:t xml:space="preserve">授权代表签字或盖章：</w:t>
      </w:r>
      <w:r/>
    </w:p>
    <w:p>
      <w:pPr>
        <w:spacing w:line="440" w:lineRule="exact"/>
        <w:rPr>
          <w:rFonts w:ascii="宋体"/>
          <w:color w:val="auto"/>
          <w:sz w:val="24"/>
          <w:highlight w:val="none"/>
        </w:rPr>
      </w:pPr>
      <w:r>
        <w:rPr>
          <w:rFonts w:hint="eastAsia" w:ascii="宋体"/>
          <w:color w:val="auto"/>
          <w:sz w:val="24"/>
          <w:highlight w:val="none"/>
        </w:rPr>
        <w:t xml:space="preserve">职务：</w:t>
      </w:r>
      <w:r/>
    </w:p>
    <w:p>
      <w:pPr>
        <w:spacing w:line="440" w:lineRule="exact"/>
        <w:rPr>
          <w:rFonts w:ascii="宋体"/>
          <w:color w:val="auto"/>
          <w:sz w:val="24"/>
          <w:highlight w:val="none"/>
        </w:rPr>
      </w:pPr>
      <w:r>
        <w:rPr>
          <w:rFonts w:hint="eastAsia" w:ascii="宋体"/>
          <w:color w:val="auto"/>
          <w:sz w:val="24"/>
          <w:highlight w:val="none"/>
        </w:rPr>
        <w:t xml:space="preserve">日期：</w:t>
      </w:r>
      <w:r/>
    </w:p>
    <w:p>
      <w:pPr>
        <w:spacing w:line="440" w:lineRule="exact"/>
        <w:rPr>
          <w:rFonts w:ascii="宋体"/>
          <w:color w:val="auto"/>
          <w:sz w:val="24"/>
          <w:highlight w:val="none"/>
        </w:rPr>
      </w:pPr>
      <w:r>
        <w:rPr>
          <w:rFonts w:hint="eastAsia" w:ascii="宋体"/>
          <w:color w:val="auto"/>
          <w:sz w:val="24"/>
          <w:highlight w:val="none"/>
        </w:rPr>
        <w:t xml:space="preserve">地址：</w:t>
      </w:r>
      <w:r>
        <w:rPr>
          <w:rFonts w:ascii="宋体"/>
          <w:color w:val="auto"/>
          <w:sz w:val="24"/>
          <w:highlight w:val="none"/>
        </w:rPr>
        <w:t xml:space="preserve">                                      </w:t>
      </w:r>
      <w:r>
        <w:rPr>
          <w:rFonts w:hint="eastAsia" w:ascii="宋体"/>
          <w:color w:val="auto"/>
          <w:sz w:val="24"/>
          <w:highlight w:val="none"/>
        </w:rPr>
        <w:t xml:space="preserve">邮编：</w:t>
      </w:r>
      <w:r/>
    </w:p>
    <w:p>
      <w:pPr>
        <w:spacing w:line="440" w:lineRule="exact"/>
        <w:rPr>
          <w:rFonts w:ascii="宋体"/>
          <w:color w:val="auto"/>
          <w:sz w:val="24"/>
          <w:highlight w:val="none"/>
        </w:rPr>
      </w:pPr>
      <w:r>
        <w:rPr>
          <w:rFonts w:hint="eastAsia" w:ascii="宋体"/>
          <w:color w:val="auto"/>
          <w:sz w:val="24"/>
          <w:highlight w:val="none"/>
        </w:rPr>
        <w:t xml:space="preserve">电话：</w:t>
      </w:r>
      <w:r>
        <w:rPr>
          <w:rFonts w:ascii="宋体"/>
          <w:color w:val="auto"/>
          <w:sz w:val="24"/>
          <w:highlight w:val="none"/>
        </w:rPr>
        <w:t xml:space="preserve">                                      </w:t>
      </w:r>
      <w:r>
        <w:rPr>
          <w:rFonts w:hint="eastAsia" w:ascii="宋体"/>
          <w:color w:val="auto"/>
          <w:sz w:val="24"/>
          <w:highlight w:val="none"/>
        </w:rPr>
        <w:t xml:space="preserve">传真：</w:t>
      </w:r>
      <w:r>
        <w:rPr>
          <w:rFonts w:ascii="宋体"/>
          <w:color w:val="auto"/>
          <w:sz w:val="24"/>
          <w:highlight w:val="none"/>
        </w:rPr>
        <w:t xml:space="preserve"> </w:t>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spacing w:line="440" w:lineRule="exact"/>
        <w:rPr>
          <w:rFonts w:ascii="宋体"/>
          <w:color w:val="auto"/>
          <w:sz w:val="24"/>
          <w:highlight w:val="none"/>
        </w:rPr>
      </w:pPr>
      <w:r>
        <w:rPr>
          <w:rFonts w:hint="eastAsia" w:ascii="宋体"/>
          <w:color w:val="auto"/>
          <w:sz w:val="24"/>
          <w:highlight w:val="none"/>
        </w:rPr>
        <w:t xml:space="preserve">格式二：投标一览表</w:t>
      </w:r>
      <w:r/>
    </w:p>
    <w:p>
      <w:pPr>
        <w:jc w:val="center"/>
        <w:spacing w:line="440" w:lineRule="exact"/>
        <w:rPr>
          <w:rFonts w:ascii="宋体"/>
          <w:b/>
          <w:color w:val="auto"/>
          <w:sz w:val="28"/>
          <w:highlight w:val="none"/>
        </w:rPr>
      </w:pPr>
      <w:r>
        <w:rPr>
          <w:rFonts w:hint="eastAsia" w:ascii="宋体"/>
          <w:b/>
          <w:color w:val="auto"/>
          <w:sz w:val="28"/>
          <w:highlight w:val="none"/>
        </w:rPr>
        <w:t xml:space="preserve">投标一览表</w:t>
      </w:r>
      <w:r/>
    </w:p>
    <w:p>
      <w:pPr>
        <w:spacing w:line="440" w:lineRule="exact"/>
        <w:rPr>
          <w:color w:val="auto"/>
          <w:highlight w:val="none"/>
        </w:rPr>
      </w:pPr>
      <w:r>
        <w:rPr>
          <w:color w:val="auto"/>
          <w:highlight w:val="none"/>
        </w:rPr>
      </w:r>
      <w:r/>
    </w:p>
    <w:p>
      <w:pPr>
        <w:spacing w:line="440" w:lineRule="exact"/>
        <w:rPr>
          <w:color w:val="auto"/>
          <w:sz w:val="24"/>
          <w:highlight w:val="none"/>
          <w:u w:val="single"/>
        </w:rPr>
      </w:pPr>
      <w:r>
        <w:rPr>
          <w:color w:val="auto"/>
          <w:highlight w:val="none"/>
        </w:rPr>
        <w:t xml:space="preserve"> </w:t>
      </w:r>
      <w:r>
        <w:rPr>
          <w:color w:val="auto"/>
          <w:sz w:val="24"/>
          <w:highlight w:val="none"/>
        </w:rPr>
        <w:t xml:space="preserve"> </w:t>
      </w:r>
      <w:r>
        <w:rPr>
          <w:rFonts w:hint="eastAsia"/>
          <w:color w:val="auto"/>
          <w:sz w:val="24"/>
          <w:highlight w:val="none"/>
        </w:rPr>
        <w:t xml:space="preserve">投标人名称：</w:t>
      </w:r>
      <w:r>
        <w:rPr>
          <w:color w:val="auto"/>
          <w:sz w:val="24"/>
          <w:highlight w:val="none"/>
          <w:u w:val="single"/>
        </w:rPr>
        <w:t xml:space="preserve">                   </w:t>
      </w:r>
      <w:r>
        <w:rPr>
          <w:rFonts w:hint="eastAsia"/>
          <w:color w:val="auto"/>
          <w:sz w:val="24"/>
          <w:highlight w:val="none"/>
          <w:u w:val="single"/>
        </w:rPr>
        <w:t xml:space="preserve">（盖章）</w:t>
      </w:r>
      <w:r>
        <w:rPr>
          <w:color w:val="auto"/>
          <w:sz w:val="24"/>
          <w:highlight w:val="none"/>
        </w:rPr>
        <w:t xml:space="preserve"> </w:t>
      </w:r>
      <w:r>
        <w:rPr>
          <w:rFonts w:hint="eastAsia"/>
          <w:color w:val="auto"/>
          <w:sz w:val="24"/>
          <w:highlight w:val="none"/>
        </w:rPr>
        <w:t xml:space="preserve">国别：</w:t>
      </w:r>
      <w:r>
        <w:rPr>
          <w:color w:val="auto"/>
          <w:sz w:val="24"/>
          <w:highlight w:val="none"/>
          <w:u w:val="single"/>
        </w:rPr>
        <w:t xml:space="preserve">          </w:t>
      </w:r>
      <w:r>
        <w:rPr>
          <w:rFonts w:hint="eastAsia"/>
          <w:color w:val="auto"/>
          <w:sz w:val="24"/>
          <w:highlight w:val="none"/>
        </w:rPr>
        <w:t xml:space="preserve">招标编号：</w:t>
      </w:r>
      <w:r>
        <w:rPr>
          <w:color w:val="auto"/>
          <w:sz w:val="24"/>
          <w:highlight w:val="none"/>
          <w:u w:val="single"/>
        </w:rPr>
        <w:t xml:space="preserve">                    </w:t>
      </w:r>
      <w:r/>
    </w:p>
    <w:p>
      <w:pPr>
        <w:spacing w:line="440" w:lineRule="exact"/>
        <w:rPr>
          <w:color w:val="auto"/>
          <w:sz w:val="24"/>
          <w:highlight w:val="none"/>
          <w:u w:val="single"/>
        </w:rPr>
      </w:pPr>
      <w:r>
        <w:rPr>
          <w:color w:val="auto"/>
          <w:sz w:val="24"/>
          <w:highlight w:val="none"/>
          <w:u w:val="single"/>
        </w:rPr>
      </w:r>
      <w:r/>
    </w:p>
    <w:tbl>
      <w:tblPr>
        <w:tblStyle w:val="1225"/>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5"/>
        <w:gridCol w:w="904"/>
        <w:gridCol w:w="678"/>
        <w:gridCol w:w="1018"/>
        <w:gridCol w:w="792"/>
        <w:gridCol w:w="1472"/>
        <w:gridCol w:w="792"/>
        <w:gridCol w:w="904"/>
        <w:gridCol w:w="1018"/>
        <w:gridCol w:w="904"/>
        <w:gridCol w:w="801"/>
      </w:tblGrid>
      <w:tr>
        <w:trPr>
          <w:trHeight w:val="1397"/>
        </w:trPr>
        <w:tc>
          <w:tcPr>
            <w:tcBorders>
              <w:top w:val="single" w:color="auto" w:sz="4" w:space="0"/>
              <w:left w:val="single" w:color="auto" w:sz="4" w:space="0"/>
              <w:bottom w:val="single" w:color="auto" w:sz="4" w:space="0"/>
              <w:right w:val="single" w:color="auto" w:sz="4" w:space="0"/>
            </w:tcBorders>
            <w:tcW w:w="552" w:type="dxa"/>
            <w:textDirection w:val="lrTb"/>
            <w:noWrap w:val="false"/>
          </w:tcPr>
          <w:p>
            <w:pPr>
              <w:jc w:val="center"/>
              <w:spacing w:line="440" w:lineRule="exact"/>
              <w:rPr>
                <w:color w:val="auto"/>
                <w:sz w:val="18"/>
                <w:highlight w:val="none"/>
              </w:rPr>
            </w:pPr>
            <w:r>
              <w:rPr>
                <w:rFonts w:hint="eastAsia"/>
                <w:color w:val="auto"/>
                <w:sz w:val="18"/>
                <w:highlight w:val="none"/>
              </w:rPr>
              <w:t xml:space="preserve">序号</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rFonts w:hint="eastAsia"/>
                <w:color w:val="auto"/>
                <w:sz w:val="18"/>
                <w:highlight w:val="none"/>
              </w:rPr>
              <w:t xml:space="preserve">包号</w:t>
            </w:r>
            <w:r>
              <w:rPr>
                <w:color w:val="auto"/>
                <w:sz w:val="18"/>
                <w:highlight w:val="none"/>
              </w:rPr>
              <w:t xml:space="preserve">/</w:t>
            </w:r>
            <w:r/>
          </w:p>
          <w:p>
            <w:pPr>
              <w:jc w:val="center"/>
              <w:spacing w:line="440" w:lineRule="exact"/>
              <w:rPr>
                <w:color w:val="auto"/>
                <w:sz w:val="18"/>
                <w:highlight w:val="none"/>
              </w:rPr>
            </w:pPr>
            <w:r>
              <w:rPr>
                <w:rFonts w:hint="eastAsia"/>
                <w:color w:val="auto"/>
                <w:sz w:val="18"/>
                <w:highlight w:val="none"/>
              </w:rPr>
              <w:t xml:space="preserve">品目号</w:t>
            </w:r>
            <w:r/>
          </w:p>
        </w:tc>
        <w:tc>
          <w:tcPr>
            <w:tcBorders>
              <w:top w:val="single" w:color="auto" w:sz="4" w:space="0"/>
              <w:left w:val="single" w:color="auto" w:sz="4" w:space="0"/>
              <w:bottom w:val="single" w:color="auto" w:sz="4" w:space="0"/>
              <w:right w:val="single" w:color="auto" w:sz="4" w:space="0"/>
            </w:tcBorders>
            <w:tcW w:w="662" w:type="dxa"/>
            <w:textDirection w:val="lrTb"/>
            <w:noWrap w:val="false"/>
          </w:tcPr>
          <w:p>
            <w:pPr>
              <w:jc w:val="center"/>
              <w:spacing w:line="440" w:lineRule="exact"/>
              <w:rPr>
                <w:color w:val="auto"/>
                <w:sz w:val="18"/>
                <w:highlight w:val="none"/>
              </w:rPr>
            </w:pPr>
            <w:r>
              <w:rPr>
                <w:rFonts w:hint="eastAsia"/>
                <w:color w:val="auto"/>
                <w:sz w:val="18"/>
                <w:highlight w:val="none"/>
              </w:rPr>
              <w:t xml:space="preserve">产品</w:t>
            </w:r>
            <w:r/>
          </w:p>
          <w:p>
            <w:pPr>
              <w:jc w:val="center"/>
              <w:spacing w:line="440" w:lineRule="exact"/>
              <w:rPr>
                <w:color w:val="auto"/>
                <w:sz w:val="18"/>
                <w:highlight w:val="none"/>
              </w:rPr>
            </w:pPr>
            <w:r>
              <w:rPr>
                <w:rFonts w:hint="eastAsia"/>
                <w:color w:val="auto"/>
                <w:sz w:val="18"/>
                <w:highlight w:val="none"/>
              </w:rPr>
              <w:t xml:space="preserve">名称</w:t>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pStyle w:val="1243"/>
              <w:spacing w:line="440" w:lineRule="exact"/>
              <w:tabs>
                <w:tab w:val="left" w:pos="420" w:leader="none"/>
              </w:tabs>
              <w:rPr>
                <w:color w:val="auto"/>
                <w:highlight w:val="none"/>
              </w:rPr>
              <w:pBdr>
                <w:bottom w:val="none" w:color="auto" w:sz="0" w:space="0"/>
              </w:pBdr>
            </w:pPr>
            <w:r>
              <w:rPr>
                <w:rFonts w:hint="eastAsia"/>
                <w:color w:val="auto"/>
                <w:highlight w:val="none"/>
              </w:rPr>
              <w:t xml:space="preserve">型号和</w:t>
            </w:r>
            <w:r/>
          </w:p>
          <w:p>
            <w:pPr>
              <w:pStyle w:val="1243"/>
              <w:spacing w:line="440" w:lineRule="exact"/>
              <w:tabs>
                <w:tab w:val="left" w:pos="420" w:leader="none"/>
              </w:tabs>
              <w:rPr>
                <w:color w:val="auto"/>
                <w:highlight w:val="none"/>
              </w:rPr>
              <w:pBdr>
                <w:bottom w:val="none" w:color="auto" w:sz="0" w:space="0"/>
              </w:pBdr>
            </w:pPr>
            <w:r>
              <w:rPr>
                <w:rFonts w:hint="eastAsia"/>
                <w:color w:val="auto"/>
                <w:highlight w:val="none"/>
              </w:rPr>
              <w:t xml:space="preserve">规格</w:t>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jc w:val="center"/>
              <w:spacing w:line="440" w:lineRule="exact"/>
              <w:rPr>
                <w:color w:val="auto"/>
                <w:sz w:val="18"/>
                <w:highlight w:val="none"/>
              </w:rPr>
            </w:pPr>
            <w:r>
              <w:rPr>
                <w:rFonts w:hint="eastAsia"/>
                <w:color w:val="auto"/>
                <w:sz w:val="18"/>
                <w:highlight w:val="none"/>
              </w:rPr>
              <w:t xml:space="preserve">数量</w:t>
            </w:r>
            <w:r/>
          </w:p>
        </w:tc>
        <w:tc>
          <w:tcPr>
            <w:tcBorders>
              <w:top w:val="single" w:color="auto" w:sz="4" w:space="0"/>
              <w:left w:val="single" w:color="auto" w:sz="4" w:space="0"/>
              <w:bottom w:val="single" w:color="auto" w:sz="4" w:space="0"/>
              <w:right w:val="single" w:color="auto" w:sz="4" w:space="0"/>
            </w:tcBorders>
            <w:tcW w:w="1438" w:type="dxa"/>
            <w:textDirection w:val="lrTb"/>
            <w:noWrap w:val="false"/>
          </w:tcPr>
          <w:p>
            <w:pPr>
              <w:jc w:val="center"/>
              <w:spacing w:line="440" w:lineRule="exact"/>
              <w:rPr>
                <w:color w:val="auto"/>
                <w:sz w:val="18"/>
                <w:highlight w:val="none"/>
              </w:rPr>
            </w:pPr>
            <w:r>
              <w:rPr>
                <w:rFonts w:hint="eastAsia"/>
                <w:color w:val="auto"/>
                <w:sz w:val="18"/>
                <w:highlight w:val="none"/>
              </w:rPr>
              <w:t xml:space="preserve">制造商名称</w:t>
            </w:r>
            <w:r/>
          </w:p>
          <w:p>
            <w:pPr>
              <w:jc w:val="center"/>
              <w:spacing w:line="440" w:lineRule="exact"/>
              <w:rPr>
                <w:color w:val="auto"/>
                <w:sz w:val="18"/>
                <w:highlight w:val="none"/>
              </w:rPr>
            </w:pPr>
            <w:r>
              <w:rPr>
                <w:rFonts w:hint="eastAsia"/>
                <w:color w:val="auto"/>
                <w:sz w:val="18"/>
                <w:highlight w:val="none"/>
              </w:rPr>
              <w:t xml:space="preserve">和国籍</w:t>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jc w:val="center"/>
              <w:spacing w:line="440" w:lineRule="exact"/>
              <w:rPr>
                <w:color w:val="auto"/>
                <w:sz w:val="18"/>
                <w:highlight w:val="none"/>
              </w:rPr>
            </w:pPr>
            <w:r>
              <w:rPr>
                <w:rFonts w:hint="eastAsia"/>
                <w:color w:val="auto"/>
                <w:sz w:val="18"/>
                <w:highlight w:val="none"/>
              </w:rPr>
              <w:t xml:space="preserve">投标</w:t>
            </w:r>
            <w:r/>
          </w:p>
          <w:p>
            <w:pPr>
              <w:jc w:val="center"/>
              <w:spacing w:line="440" w:lineRule="exact"/>
              <w:rPr>
                <w:color w:val="auto"/>
                <w:sz w:val="18"/>
                <w:highlight w:val="none"/>
              </w:rPr>
            </w:pPr>
            <w:r>
              <w:rPr>
                <w:rFonts w:hint="eastAsia"/>
                <w:color w:val="auto"/>
                <w:sz w:val="18"/>
                <w:highlight w:val="none"/>
              </w:rPr>
              <w:t xml:space="preserve">货币</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rFonts w:hint="eastAsia"/>
                <w:color w:val="auto"/>
                <w:sz w:val="18"/>
                <w:highlight w:val="none"/>
              </w:rPr>
              <w:t xml:space="preserve">投标</w:t>
            </w:r>
            <w:r/>
          </w:p>
          <w:p>
            <w:pPr>
              <w:jc w:val="center"/>
              <w:spacing w:line="440" w:lineRule="exact"/>
              <w:rPr>
                <w:color w:val="auto"/>
                <w:sz w:val="18"/>
                <w:highlight w:val="none"/>
              </w:rPr>
            </w:pPr>
            <w:r>
              <w:rPr>
                <w:rFonts w:hint="eastAsia"/>
                <w:color w:val="auto"/>
                <w:sz w:val="18"/>
                <w:highlight w:val="none"/>
              </w:rPr>
              <w:t xml:space="preserve">总价</w:t>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jc w:val="center"/>
              <w:spacing w:line="440" w:lineRule="exact"/>
              <w:rPr>
                <w:color w:val="auto"/>
                <w:sz w:val="18"/>
                <w:highlight w:val="none"/>
              </w:rPr>
            </w:pPr>
            <w:r>
              <w:rPr>
                <w:rFonts w:hint="eastAsia"/>
                <w:color w:val="auto"/>
                <w:sz w:val="18"/>
                <w:highlight w:val="none"/>
              </w:rPr>
              <w:t xml:space="preserve">投标</w:t>
            </w:r>
            <w:r/>
          </w:p>
          <w:p>
            <w:pPr>
              <w:jc w:val="center"/>
              <w:spacing w:line="440" w:lineRule="exact"/>
              <w:rPr>
                <w:color w:val="auto"/>
                <w:sz w:val="18"/>
                <w:highlight w:val="none"/>
              </w:rPr>
            </w:pPr>
            <w:r>
              <w:rPr>
                <w:rFonts w:hint="eastAsia"/>
                <w:color w:val="auto"/>
                <w:sz w:val="18"/>
                <w:highlight w:val="none"/>
              </w:rPr>
              <w:t xml:space="preserve">保证金</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rFonts w:hint="eastAsia"/>
                <w:color w:val="auto"/>
                <w:sz w:val="18"/>
                <w:highlight w:val="none"/>
              </w:rPr>
              <w:t xml:space="preserve">交货期</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jc w:val="center"/>
              <w:spacing w:line="440" w:lineRule="exact"/>
              <w:rPr>
                <w:color w:val="auto"/>
                <w:sz w:val="18"/>
                <w:highlight w:val="none"/>
              </w:rPr>
            </w:pPr>
            <w:r>
              <w:rPr>
                <w:rFonts w:hint="eastAsia"/>
                <w:color w:val="auto"/>
                <w:sz w:val="18"/>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55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66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38"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jc w:val="center"/>
              <w:spacing w:line="440" w:lineRule="exact"/>
              <w:rPr>
                <w:color w:val="auto"/>
                <w:sz w:val="18"/>
                <w:highlight w:val="none"/>
              </w:rPr>
            </w:pPr>
            <w:r>
              <w:rPr>
                <w:rFonts w:hint="eastAsia"/>
                <w:color w:val="auto"/>
                <w:sz w:val="18"/>
                <w:highlight w:val="none"/>
              </w:rPr>
              <w:t xml:space="preserve">/</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440" w:lineRule="exact"/>
              <w:rPr>
                <w:color w:val="auto"/>
                <w:sz w:val="18"/>
                <w:highlight w:val="none"/>
              </w:rPr>
            </w:pPr>
            <w:r>
              <w:rPr>
                <w:color w:val="auto"/>
                <w:sz w:val="18"/>
                <w:highlight w:val="none"/>
              </w:rPr>
            </w:r>
            <w:r/>
          </w:p>
        </w:tc>
      </w:tr>
      <w:tr>
        <w:trPr/>
        <w:tc>
          <w:tcPr>
            <w:tcBorders>
              <w:top w:val="single" w:color="auto" w:sz="4" w:space="0"/>
              <w:left w:val="single" w:color="auto" w:sz="4" w:space="0"/>
              <w:bottom w:val="single" w:color="auto" w:sz="4" w:space="0"/>
              <w:right w:val="single" w:color="auto" w:sz="4" w:space="0"/>
            </w:tcBorders>
            <w:tcW w:w="55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66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38"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jc w:val="center"/>
              <w:spacing w:line="440" w:lineRule="exact"/>
              <w:rPr>
                <w:color w:val="auto"/>
                <w:sz w:val="18"/>
                <w:highlight w:val="none"/>
              </w:rPr>
            </w:pPr>
            <w:r>
              <w:rPr>
                <w:rFonts w:hint="eastAsia"/>
                <w:color w:val="auto"/>
                <w:sz w:val="18"/>
                <w:highlight w:val="none"/>
              </w:rPr>
              <w:t xml:space="preserve">/</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440" w:lineRule="exact"/>
              <w:rPr>
                <w:color w:val="auto"/>
                <w:sz w:val="18"/>
                <w:highlight w:val="none"/>
              </w:rPr>
            </w:pPr>
            <w:r>
              <w:rPr>
                <w:color w:val="auto"/>
                <w:sz w:val="18"/>
                <w:highlight w:val="none"/>
              </w:rPr>
            </w:r>
            <w:r/>
          </w:p>
        </w:tc>
      </w:tr>
      <w:tr>
        <w:trPr/>
        <w:tc>
          <w:tcPr>
            <w:tcBorders>
              <w:top w:val="single" w:color="auto" w:sz="4" w:space="0"/>
              <w:left w:val="single" w:color="auto" w:sz="4" w:space="0"/>
              <w:bottom w:val="single" w:color="auto" w:sz="4" w:space="0"/>
              <w:right w:val="single" w:color="auto" w:sz="4" w:space="0"/>
            </w:tcBorders>
            <w:tcW w:w="55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66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38"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jc w:val="center"/>
              <w:spacing w:line="440" w:lineRule="exact"/>
              <w:rPr>
                <w:color w:val="auto"/>
                <w:sz w:val="18"/>
                <w:highlight w:val="none"/>
              </w:rPr>
            </w:pPr>
            <w:r>
              <w:rPr>
                <w:rFonts w:hint="eastAsia"/>
                <w:color w:val="auto"/>
                <w:sz w:val="18"/>
                <w:highlight w:val="none"/>
              </w:rPr>
              <w:t xml:space="preserve">/</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440" w:lineRule="exact"/>
              <w:rPr>
                <w:color w:val="auto"/>
                <w:sz w:val="18"/>
                <w:highlight w:val="none"/>
              </w:rPr>
            </w:pPr>
            <w:r>
              <w:rPr>
                <w:color w:val="auto"/>
                <w:sz w:val="18"/>
                <w:highlight w:val="none"/>
              </w:rPr>
            </w:r>
            <w:r/>
          </w:p>
        </w:tc>
      </w:tr>
      <w:tr>
        <w:trPr/>
        <w:tc>
          <w:tcPr>
            <w:tcBorders>
              <w:top w:val="single" w:color="auto" w:sz="4" w:space="0"/>
              <w:left w:val="single" w:color="auto" w:sz="4" w:space="0"/>
              <w:bottom w:val="single" w:color="auto" w:sz="4" w:space="0"/>
              <w:right w:val="single" w:color="auto" w:sz="4" w:space="0"/>
            </w:tcBorders>
            <w:tcW w:w="55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662"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38"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995" w:type="dxa"/>
            <w:textDirection w:val="lrTb"/>
            <w:noWrap w:val="false"/>
          </w:tcPr>
          <w:p>
            <w:pPr>
              <w:jc w:val="center"/>
              <w:spacing w:line="440" w:lineRule="exact"/>
              <w:rPr>
                <w:color w:val="auto"/>
                <w:sz w:val="18"/>
                <w:highlight w:val="none"/>
              </w:rPr>
            </w:pPr>
            <w:r>
              <w:rPr>
                <w:rFonts w:hint="eastAsia"/>
                <w:color w:val="auto"/>
                <w:sz w:val="18"/>
                <w:highlight w:val="none"/>
              </w:rPr>
              <w:t xml:space="preserve">/</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440" w:lineRule="exact"/>
              <w:rPr>
                <w:color w:val="auto"/>
                <w:sz w:val="18"/>
                <w:highlight w:val="none"/>
              </w:rPr>
            </w:pPr>
            <w:r>
              <w:rPr>
                <w:color w:val="auto"/>
                <w:sz w:val="18"/>
                <w:highlight w:val="none"/>
              </w:rPr>
            </w:r>
            <w:r/>
          </w:p>
        </w:tc>
      </w:tr>
      <w:tr>
        <w:trPr/>
        <w:tc>
          <w:tcPr>
            <w:gridSpan w:val="11"/>
            <w:tcBorders>
              <w:top w:val="single" w:color="auto" w:sz="4" w:space="0"/>
              <w:left w:val="single" w:color="auto" w:sz="4" w:space="0"/>
              <w:bottom w:val="single" w:color="auto" w:sz="4" w:space="0"/>
              <w:right w:val="single" w:color="auto" w:sz="4" w:space="0"/>
            </w:tcBorders>
            <w:tcW w:w="9622" w:type="dxa"/>
            <w:textDirection w:val="lrTb"/>
            <w:noWrap w:val="false"/>
          </w:tcPr>
          <w:p>
            <w:pPr>
              <w:spacing w:line="440" w:lineRule="exact"/>
              <w:rPr>
                <w:color w:val="auto"/>
                <w:sz w:val="18"/>
                <w:highlight w:val="none"/>
              </w:rPr>
            </w:pPr>
            <w:r>
              <w:rPr>
                <w:rFonts w:hint="eastAsia"/>
                <w:color w:val="auto"/>
                <w:sz w:val="18"/>
                <w:highlight w:val="none"/>
              </w:rPr>
              <w:t xml:space="preserve">投标总价合计：</w:t>
            </w:r>
            <w:r/>
          </w:p>
        </w:tc>
      </w:tr>
    </w:tbl>
    <w:p>
      <w:pPr>
        <w:spacing w:line="440" w:lineRule="exact"/>
        <w:rPr>
          <w:color w:val="auto"/>
          <w:sz w:val="24"/>
          <w:highlight w:val="none"/>
        </w:rPr>
      </w:pPr>
      <w:r>
        <w:rPr>
          <w:color w:val="auto"/>
          <w:sz w:val="24"/>
          <w:highlight w:val="none"/>
        </w:rPr>
      </w:r>
      <w:r/>
    </w:p>
    <w:p>
      <w:pPr>
        <w:spacing w:line="440" w:lineRule="exact"/>
        <w:rPr>
          <w:color w:val="auto"/>
          <w:sz w:val="24"/>
          <w:highlight w:val="none"/>
          <w:u w:val="single"/>
        </w:rPr>
      </w:pPr>
      <w:r>
        <w:rPr>
          <w:rFonts w:hint="eastAsia"/>
          <w:color w:val="auto"/>
          <w:sz w:val="24"/>
          <w:highlight w:val="none"/>
        </w:rPr>
        <w:t xml:space="preserve">投标人授权代表签字</w:t>
      </w:r>
      <w:r>
        <w:rPr>
          <w:color w:val="auto"/>
          <w:sz w:val="24"/>
          <w:highlight w:val="none"/>
          <w:u w:val="single"/>
        </w:rPr>
        <w:t xml:space="preserve">                         </w:t>
      </w:r>
      <w:r/>
    </w:p>
    <w:p>
      <w:pPr>
        <w:spacing w:line="440" w:lineRule="exact"/>
        <w:rPr>
          <w:color w:val="auto"/>
          <w:sz w:val="24"/>
          <w:highlight w:val="none"/>
        </w:rPr>
      </w:pPr>
      <w:r>
        <w:rPr>
          <w:rFonts w:hint="eastAsia"/>
          <w:color w:val="auto"/>
          <w:sz w:val="24"/>
          <w:highlight w:val="none"/>
        </w:rPr>
        <w:t xml:space="preserve">注：此表应按“投标人须知”的规定密封标记并密封单独提交。</w:t>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spacing w:line="440" w:lineRule="exact"/>
        <w:rPr>
          <w:rFonts w:ascii="宋体"/>
          <w:color w:val="auto"/>
          <w:sz w:val="24"/>
          <w:highlight w:val="none"/>
        </w:rPr>
      </w:pPr>
      <w:r>
        <w:rPr>
          <w:rFonts w:hint="eastAsia" w:ascii="宋体"/>
          <w:color w:val="auto"/>
          <w:sz w:val="24"/>
          <w:highlight w:val="none"/>
        </w:rPr>
        <w:t xml:space="preserve">附件1.投标分项报价表</w:t>
      </w:r>
      <w:r/>
    </w:p>
    <w:p>
      <w:pPr>
        <w:jc w:val="center"/>
        <w:spacing w:line="440" w:lineRule="exact"/>
        <w:rPr>
          <w:i/>
          <w:color w:val="auto"/>
          <w:highlight w:val="none"/>
        </w:rPr>
      </w:pPr>
      <w:r>
        <w:rPr>
          <w:rFonts w:hint="eastAsia" w:ascii="宋体"/>
          <w:b/>
          <w:color w:val="auto"/>
          <w:sz w:val="28"/>
          <w:highlight w:val="none"/>
        </w:rPr>
        <w:t xml:space="preserve">投标分项报价表</w:t>
      </w:r>
      <w:r/>
    </w:p>
    <w:p>
      <w:pPr>
        <w:spacing w:line="440" w:lineRule="exact"/>
        <w:rPr>
          <w:color w:val="auto"/>
          <w:highlight w:val="none"/>
          <w:u w:val="single"/>
        </w:rPr>
      </w:pPr>
      <w:r>
        <w:rPr>
          <w:color w:val="auto"/>
          <w:highlight w:val="none"/>
        </w:rPr>
        <w:t xml:space="preserve">  </w:t>
      </w:r>
      <w:r>
        <w:rPr>
          <w:rFonts w:hint="eastAsia"/>
          <w:color w:val="auto"/>
          <w:highlight w:val="none"/>
        </w:rPr>
        <w:t xml:space="preserve">投标人名称：</w:t>
      </w:r>
      <w:r>
        <w:rPr>
          <w:color w:val="auto"/>
          <w:highlight w:val="none"/>
          <w:u w:val="single"/>
        </w:rPr>
        <w:t xml:space="preserve">                    </w:t>
      </w:r>
      <w:r>
        <w:rPr>
          <w:rFonts w:hint="eastAsia"/>
          <w:color w:val="auto"/>
          <w:highlight w:val="none"/>
        </w:rPr>
        <w:t xml:space="preserve">招标编号：</w:t>
      </w:r>
      <w:r>
        <w:rPr>
          <w:color w:val="auto"/>
          <w:highlight w:val="none"/>
          <w:u w:val="single"/>
        </w:rPr>
        <w:t xml:space="preserve">                     </w:t>
      </w:r>
      <w:r>
        <w:rPr>
          <w:color w:val="auto"/>
          <w:highlight w:val="none"/>
        </w:rPr>
        <w:t xml:space="preserve"> </w:t>
      </w:r>
      <w:r>
        <w:rPr>
          <w:rFonts w:hint="eastAsia"/>
          <w:color w:val="auto"/>
          <w:highlight w:val="none"/>
        </w:rPr>
        <w:t xml:space="preserve">包号：</w:t>
      </w:r>
      <w:r>
        <w:rPr>
          <w:color w:val="auto"/>
          <w:highlight w:val="none"/>
          <w:u w:val="single"/>
        </w:rPr>
        <w:t xml:space="preserve">                     </w:t>
      </w:r>
      <w:r/>
    </w:p>
    <w:tbl>
      <w:tblPr>
        <w:tblStyle w:val="122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1310"/>
        <w:gridCol w:w="1641"/>
        <w:gridCol w:w="1440"/>
        <w:gridCol w:w="2762"/>
        <w:gridCol w:w="2049"/>
      </w:tblGrid>
      <w:tr>
        <w:trPr>
          <w:jc w:val="center"/>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440" w:lineRule="exact"/>
              <w:rPr>
                <w:color w:val="auto"/>
                <w:sz w:val="18"/>
                <w:highlight w:val="none"/>
              </w:rPr>
            </w:pPr>
            <w:r>
              <w:rPr>
                <w:rFonts w:hint="eastAsia"/>
                <w:color w:val="auto"/>
                <w:sz w:val="18"/>
                <w:highlight w:val="none"/>
              </w:rPr>
              <w:t xml:space="preserve">序号</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40" w:lineRule="exact"/>
              <w:rPr>
                <w:color w:val="auto"/>
                <w:sz w:val="18"/>
                <w:highlight w:val="none"/>
              </w:rPr>
            </w:pPr>
            <w:r>
              <w:rPr>
                <w:rFonts w:hint="eastAsia"/>
                <w:color w:val="auto"/>
                <w:sz w:val="18"/>
                <w:highlight w:val="none"/>
              </w:rPr>
              <w:t xml:space="preserve">名</w:t>
            </w:r>
            <w:r>
              <w:rPr>
                <w:color w:val="auto"/>
                <w:sz w:val="18"/>
                <w:highlight w:val="none"/>
              </w:rPr>
              <w:t xml:space="preserve"> </w:t>
            </w:r>
            <w:r>
              <w:rPr>
                <w:rFonts w:hint="eastAsia"/>
                <w:color w:val="auto"/>
                <w:sz w:val="18"/>
                <w:highlight w:val="none"/>
              </w:rPr>
              <w:t xml:space="preserve">称</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40" w:lineRule="exact"/>
              <w:rPr>
                <w:color w:val="auto"/>
                <w:sz w:val="18"/>
                <w:highlight w:val="none"/>
              </w:rPr>
            </w:pPr>
            <w:r>
              <w:rPr>
                <w:rFonts w:hint="eastAsia"/>
                <w:color w:val="auto"/>
                <w:sz w:val="18"/>
                <w:highlight w:val="none"/>
              </w:rPr>
              <w:t xml:space="preserve">型号</w:t>
            </w:r>
            <w:r/>
          </w:p>
          <w:p>
            <w:pPr>
              <w:jc w:val="center"/>
              <w:spacing w:line="440" w:lineRule="exact"/>
              <w:rPr>
                <w:color w:val="auto"/>
                <w:sz w:val="18"/>
                <w:highlight w:val="none"/>
              </w:rPr>
            </w:pPr>
            <w:r>
              <w:rPr>
                <w:rFonts w:hint="eastAsia"/>
                <w:color w:val="auto"/>
                <w:sz w:val="18"/>
                <w:highlight w:val="none"/>
              </w:rPr>
              <w:t xml:space="preserve">规格</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440" w:lineRule="exact"/>
              <w:rPr>
                <w:color w:val="auto"/>
                <w:sz w:val="18"/>
                <w:highlight w:val="none"/>
              </w:rPr>
            </w:pPr>
            <w:r>
              <w:rPr>
                <w:rFonts w:hint="eastAsia"/>
                <w:color w:val="auto"/>
                <w:sz w:val="18"/>
                <w:highlight w:val="none"/>
              </w:rPr>
              <w:t xml:space="preserve">数量</w:t>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jc w:val="center"/>
              <w:spacing w:line="440" w:lineRule="exact"/>
              <w:rPr>
                <w:color w:val="auto"/>
                <w:sz w:val="18"/>
                <w:highlight w:val="none"/>
              </w:rPr>
            </w:pPr>
            <w:r>
              <w:rPr>
                <w:rFonts w:hint="eastAsia"/>
                <w:color w:val="auto"/>
                <w:sz w:val="18"/>
                <w:highlight w:val="none"/>
              </w:rPr>
              <w:t xml:space="preserve">原产地和</w:t>
            </w:r>
            <w:r/>
          </w:p>
          <w:p>
            <w:pPr>
              <w:jc w:val="center"/>
              <w:spacing w:line="440" w:lineRule="exact"/>
              <w:rPr>
                <w:color w:val="auto"/>
                <w:sz w:val="18"/>
                <w:highlight w:val="none"/>
              </w:rPr>
            </w:pPr>
            <w:r>
              <w:rPr>
                <w:rFonts w:hint="eastAsia"/>
                <w:color w:val="auto"/>
                <w:sz w:val="18"/>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val="false"/>
          </w:tcPr>
          <w:p>
            <w:pPr>
              <w:jc w:val="center"/>
              <w:spacing w:line="440" w:lineRule="exact"/>
              <w:rPr>
                <w:color w:val="auto"/>
                <w:sz w:val="18"/>
                <w:highlight w:val="none"/>
              </w:rPr>
            </w:pPr>
            <w:r>
              <w:rPr>
                <w:rFonts w:hint="eastAsia"/>
                <w:color w:val="auto"/>
                <w:sz w:val="18"/>
                <w:highlight w:val="none"/>
              </w:rPr>
              <w:t xml:space="preserve">单项金额</w:t>
            </w:r>
            <w:r/>
          </w:p>
        </w:tc>
      </w:tr>
      <w:tr>
        <w:trPr>
          <w:jc w:val="center"/>
        </w:trPr>
        <w:tc>
          <w:tcPr>
            <w:tcBorders>
              <w:top w:val="single" w:color="auto" w:sz="4" w:space="0"/>
              <w:left w:val="single" w:color="auto" w:sz="4" w:space="0"/>
              <w:bottom w:val="single" w:color="auto" w:sz="4" w:space="0"/>
              <w:right w:val="single" w:color="auto" w:sz="4" w:space="0"/>
            </w:tcBorders>
            <w:tcW w:w="633" w:type="dxa"/>
            <w:textDirection w:val="lrTb"/>
            <w:noWrap w:val="false"/>
          </w:tcPr>
          <w:p>
            <w:pPr>
              <w:jc w:val="center"/>
              <w:spacing w:line="440" w:lineRule="exact"/>
              <w:rPr>
                <w:color w:val="auto"/>
                <w:sz w:val="18"/>
                <w:highlight w:val="none"/>
              </w:rPr>
            </w:pPr>
            <w:r>
              <w:rPr>
                <w:color w:val="auto"/>
                <w:sz w:val="18"/>
                <w:highlight w:val="none"/>
              </w:rPr>
              <w:t xml:space="preserve">1</w:t>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60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002" w:type="dxa"/>
            <w:textDirection w:val="lrTb"/>
            <w:noWrap w:val="false"/>
          </w:tcPr>
          <w:p>
            <w:pPr>
              <w:spacing w:line="440" w:lineRule="exact"/>
              <w:rPr>
                <w:color w:val="auto"/>
                <w:sz w:val="18"/>
                <w:highlight w:val="none"/>
              </w:rPr>
            </w:pPr>
            <w:r>
              <w:rPr>
                <w:color w:val="auto"/>
                <w:sz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3" w:type="dxa"/>
            <w:textDirection w:val="lrTb"/>
            <w:noWrap w:val="false"/>
          </w:tcPr>
          <w:p>
            <w:pPr>
              <w:jc w:val="center"/>
              <w:spacing w:line="440" w:lineRule="exact"/>
              <w:rPr>
                <w:color w:val="auto"/>
                <w:sz w:val="18"/>
                <w:highlight w:val="none"/>
              </w:rPr>
            </w:pPr>
            <w:r>
              <w:rPr>
                <w:color w:val="auto"/>
                <w:sz w:val="18"/>
                <w:highlight w:val="none"/>
              </w:rPr>
              <w:t xml:space="preserve">2</w:t>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60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002" w:type="dxa"/>
            <w:textDirection w:val="lrTb"/>
            <w:noWrap w:val="false"/>
          </w:tcPr>
          <w:p>
            <w:pPr>
              <w:spacing w:line="440" w:lineRule="exact"/>
              <w:rPr>
                <w:color w:val="auto"/>
                <w:sz w:val="18"/>
                <w:highlight w:val="none"/>
              </w:rPr>
            </w:pPr>
            <w:r>
              <w:rPr>
                <w:color w:val="auto"/>
                <w:sz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3" w:type="dxa"/>
            <w:textDirection w:val="lrTb"/>
            <w:noWrap w:val="false"/>
          </w:tcPr>
          <w:p>
            <w:pPr>
              <w:jc w:val="center"/>
              <w:spacing w:line="440" w:lineRule="exact"/>
              <w:rPr>
                <w:color w:val="auto"/>
                <w:sz w:val="18"/>
                <w:highlight w:val="none"/>
              </w:rPr>
            </w:pPr>
            <w:r>
              <w:rPr>
                <w:color w:val="auto"/>
                <w:sz w:val="18"/>
                <w:highlight w:val="none"/>
              </w:rPr>
              <w:t xml:space="preserve">3</w:t>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ind w:left="-827" w:firstLine="827"/>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60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002" w:type="dxa"/>
            <w:textDirection w:val="lrTb"/>
            <w:noWrap w:val="false"/>
          </w:tcPr>
          <w:p>
            <w:pPr>
              <w:spacing w:line="440" w:lineRule="exact"/>
              <w:rPr>
                <w:color w:val="auto"/>
                <w:sz w:val="18"/>
                <w:highlight w:val="none"/>
              </w:rPr>
            </w:pPr>
            <w:r>
              <w:rPr>
                <w:color w:val="auto"/>
                <w:sz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3" w:type="dxa"/>
            <w:textDirection w:val="lrTb"/>
            <w:noWrap w:val="false"/>
          </w:tcPr>
          <w:p>
            <w:pPr>
              <w:jc w:val="center"/>
              <w:spacing w:line="440" w:lineRule="exact"/>
              <w:rPr>
                <w:color w:val="auto"/>
                <w:sz w:val="18"/>
                <w:highlight w:val="none"/>
              </w:rPr>
            </w:pPr>
            <w:r>
              <w:rPr>
                <w:color w:val="auto"/>
                <w:sz w:val="18"/>
                <w:highlight w:val="none"/>
              </w:rPr>
              <w:t xml:space="preserve">4</w:t>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60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002" w:type="dxa"/>
            <w:textDirection w:val="lrTb"/>
            <w:noWrap w:val="false"/>
          </w:tcPr>
          <w:p>
            <w:pPr>
              <w:spacing w:line="440" w:lineRule="exact"/>
              <w:rPr>
                <w:color w:val="auto"/>
                <w:sz w:val="18"/>
                <w:highlight w:val="none"/>
              </w:rPr>
            </w:pPr>
            <w:r>
              <w:rPr>
                <w:color w:val="auto"/>
                <w:sz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3" w:type="dxa"/>
            <w:textDirection w:val="lrTb"/>
            <w:noWrap w:val="false"/>
          </w:tcPr>
          <w:p>
            <w:pPr>
              <w:jc w:val="center"/>
              <w:spacing w:line="440" w:lineRule="exact"/>
              <w:rPr>
                <w:color w:val="auto"/>
                <w:sz w:val="18"/>
                <w:highlight w:val="none"/>
              </w:rPr>
            </w:pPr>
            <w:r>
              <w:rPr>
                <w:color w:val="auto"/>
                <w:sz w:val="18"/>
                <w:highlight w:val="none"/>
              </w:rPr>
              <w:t xml:space="preserve">5</w:t>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60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002" w:type="dxa"/>
            <w:textDirection w:val="lrTb"/>
            <w:noWrap w:val="false"/>
          </w:tcPr>
          <w:p>
            <w:pPr>
              <w:spacing w:line="440" w:lineRule="exact"/>
              <w:rPr>
                <w:color w:val="auto"/>
                <w:sz w:val="18"/>
                <w:highlight w:val="none"/>
              </w:rPr>
            </w:pPr>
            <w:r>
              <w:rPr>
                <w:color w:val="auto"/>
                <w:sz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3" w:type="dxa"/>
            <w:textDirection w:val="lrTb"/>
            <w:noWrap w:val="false"/>
          </w:tcPr>
          <w:p>
            <w:pPr>
              <w:jc w:val="center"/>
              <w:spacing w:line="440" w:lineRule="exact"/>
              <w:rPr>
                <w:color w:val="auto"/>
                <w:sz w:val="18"/>
                <w:highlight w:val="none"/>
              </w:rPr>
            </w:pPr>
            <w:r>
              <w:rPr>
                <w:color w:val="auto"/>
                <w:sz w:val="18"/>
                <w:highlight w:val="none"/>
              </w:rPr>
              <w:t xml:space="preserve">6</w:t>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603"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699" w:type="dxa"/>
            <w:textDirection w:val="lrTb"/>
            <w:noWrap w:val="false"/>
          </w:tcPr>
          <w:p>
            <w:pPr>
              <w:spacing w:line="440" w:lineRule="exact"/>
              <w:rPr>
                <w:color w:val="auto"/>
                <w:sz w:val="18"/>
                <w:highlight w:val="none"/>
              </w:rPr>
            </w:pPr>
            <w:r>
              <w:rPr>
                <w:color w:val="auto"/>
                <w:sz w:val="18"/>
                <w:highlight w:val="none"/>
              </w:rPr>
            </w:r>
            <w:r/>
          </w:p>
        </w:tc>
        <w:tc>
          <w:tcPr>
            <w:tcBorders>
              <w:top w:val="single" w:color="auto" w:sz="4" w:space="0"/>
              <w:left w:val="single" w:color="auto" w:sz="4" w:space="0"/>
              <w:bottom w:val="single" w:color="auto" w:sz="4" w:space="0"/>
              <w:right w:val="single" w:color="auto" w:sz="4" w:space="0"/>
            </w:tcBorders>
            <w:tcW w:w="2002" w:type="dxa"/>
            <w:textDirection w:val="lrTb"/>
            <w:noWrap w:val="false"/>
          </w:tcPr>
          <w:p>
            <w:pPr>
              <w:spacing w:line="440" w:lineRule="exact"/>
              <w:rPr>
                <w:color w:val="auto"/>
                <w:highlight w:val="none"/>
              </w:rPr>
            </w:pPr>
            <w:r>
              <w:rPr>
                <w:color w:val="auto"/>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9624" w:type="dxa"/>
            <w:textDirection w:val="lrTb"/>
            <w:noWrap w:val="false"/>
          </w:tcPr>
          <w:p>
            <w:pPr>
              <w:spacing w:line="440" w:lineRule="exact"/>
              <w:rPr>
                <w:color w:val="auto"/>
                <w:highlight w:val="none"/>
              </w:rPr>
            </w:pPr>
            <w:r>
              <w:rPr>
                <w:rFonts w:hint="eastAsia"/>
                <w:color w:val="auto"/>
                <w:highlight w:val="none"/>
              </w:rPr>
              <w:t xml:space="preserve">总计：</w:t>
            </w:r>
            <w:r/>
          </w:p>
        </w:tc>
      </w:tr>
    </w:tbl>
    <w:p>
      <w:pPr>
        <w:spacing w:line="440" w:lineRule="exact"/>
        <w:rPr>
          <w:color w:val="auto"/>
          <w:highlight w:val="none"/>
          <w:u w:val="single"/>
        </w:rPr>
      </w:pPr>
      <w:r>
        <w:rPr>
          <w:rFonts w:hint="eastAsia"/>
          <w:color w:val="auto"/>
          <w:highlight w:val="none"/>
        </w:rPr>
        <w:t xml:space="preserve">投标人授权代表签字</w:t>
      </w:r>
      <w:r>
        <w:rPr>
          <w:color w:val="auto"/>
          <w:highlight w:val="none"/>
          <w:u w:val="single"/>
        </w:rPr>
        <w:t xml:space="preserve">                            </w:t>
      </w:r>
      <w:r/>
    </w:p>
    <w:p>
      <w:pPr>
        <w:spacing w:line="440" w:lineRule="exact"/>
        <w:rPr>
          <w:color w:val="auto"/>
          <w:highlight w:val="none"/>
        </w:rPr>
      </w:pPr>
      <w:r>
        <w:rPr>
          <w:rFonts w:hint="eastAsia"/>
          <w:color w:val="auto"/>
          <w:highlight w:val="none"/>
        </w:rPr>
        <w:t xml:space="preserve">注：</w:t>
      </w:r>
      <w:r>
        <w:rPr>
          <w:color w:val="auto"/>
          <w:highlight w:val="none"/>
        </w:rPr>
        <w:t xml:space="preserve">1</w:t>
      </w:r>
      <w:r>
        <w:rPr>
          <w:rFonts w:hint="eastAsia"/>
          <w:color w:val="auto"/>
          <w:highlight w:val="none"/>
        </w:rPr>
        <w:t xml:space="preserve">、如果按单项金额计算的结果与总价不一致，以单项金额为准修正总价。</w:t>
      </w:r>
      <w:r/>
    </w:p>
    <w:p>
      <w:pPr>
        <w:spacing w:line="440" w:lineRule="exact"/>
        <w:rPr>
          <w:b/>
          <w:color w:val="auto"/>
          <w:highlight w:val="none"/>
        </w:rPr>
      </w:pPr>
      <w:r>
        <w:rPr>
          <w:color w:val="auto"/>
          <w:highlight w:val="none"/>
        </w:rPr>
        <w:t xml:space="preserve">    </w:t>
      </w:r>
      <w:r>
        <w:rPr>
          <w:b/>
          <w:bCs/>
          <w:color w:val="auto"/>
          <w:highlight w:val="none"/>
        </w:rPr>
        <w:t xml:space="preserve">2</w:t>
      </w:r>
      <w:r>
        <w:rPr>
          <w:rFonts w:hint="eastAsia"/>
          <w:b/>
          <w:bCs/>
          <w:color w:val="auto"/>
          <w:highlight w:val="none"/>
        </w:rPr>
        <w:t xml:space="preserve">、如果不提供详细分项报价将视为没有实质性响应招标文件。</w:t>
      </w:r>
      <w:r/>
    </w:p>
    <w:p>
      <w:pPr>
        <w:jc w:val="center"/>
        <w:spacing w:line="440" w:lineRule="exact"/>
        <w:rPr>
          <w:b/>
          <w:color w:val="auto"/>
          <w:highlight w:val="none"/>
        </w:rPr>
      </w:pPr>
      <w:r>
        <w:rPr>
          <w:b/>
          <w:color w:val="auto"/>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jc w:val="left"/>
        <w:spacing w:line="240" w:lineRule="auto"/>
        <w:widowControl/>
        <w:rPr>
          <w:rFonts w:ascii="宋体" w:hAnsi="宋体" w:eastAsia="宋体"/>
          <w:b/>
          <w:color w:val="auto"/>
          <w:szCs w:val="21"/>
          <w:highlight w:val="none"/>
          <w:lang w:val="zh-CN"/>
        </w:rPr>
      </w:pPr>
      <w:r>
        <w:rPr>
          <w:rFonts w:hint="eastAsia" w:ascii="宋体"/>
          <w:color w:val="auto"/>
          <w:sz w:val="24"/>
          <w:highlight w:val="none"/>
        </w:rPr>
        <w:t xml:space="preserve">附件2：</w:t>
      </w:r>
      <w:r>
        <w:rPr>
          <w:rFonts w:hint="eastAsia" w:ascii="宋体" w:hAnsi="宋体" w:eastAsia="宋体"/>
          <w:b/>
          <w:color w:val="auto"/>
          <w:szCs w:val="21"/>
          <w:highlight w:val="none"/>
          <w:lang w:val="zh-CN"/>
        </w:rPr>
        <w:t xml:space="preserve">投标项目核心产品及主要产品一览表格式</w:t>
      </w:r>
      <w:r/>
    </w:p>
    <w:p>
      <w:pPr>
        <w:jc w:val="center"/>
        <w:spacing w:line="240" w:lineRule="auto"/>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投标项目核心产品及主要产品一览表</w:t>
      </w:r>
      <w:r/>
    </w:p>
    <w:p>
      <w:pPr>
        <w:jc w:val="center"/>
        <w:spacing w:line="240" w:lineRule="auto"/>
        <w:rPr>
          <w:rFonts w:ascii="宋体" w:hAnsi="宋体" w:eastAsia="宋体"/>
          <w:color w:val="auto"/>
          <w:sz w:val="22"/>
          <w:szCs w:val="22"/>
          <w:highlight w:val="none"/>
        </w:rPr>
      </w:pPr>
      <w:r>
        <w:rPr>
          <w:rFonts w:ascii="宋体" w:hAnsi="宋体" w:eastAsia="宋体"/>
          <w:color w:val="auto"/>
          <w:sz w:val="22"/>
          <w:szCs w:val="22"/>
          <w:highlight w:val="none"/>
        </w:rPr>
      </w:r>
      <w:r/>
    </w:p>
    <w:tbl>
      <w:tblPr>
        <w:tblStyle w:val="1225"/>
        <w:tblpPr w:horzAnchor="margin" w:tblpXSpec="left" w:vertAnchor="text" w:tblpY="133" w:leftFromText="180" w:topFromText="0" w:rightFromText="180" w:bottomFromText="0"/>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1486"/>
        <w:gridCol w:w="1626"/>
        <w:gridCol w:w="728"/>
        <w:gridCol w:w="716"/>
        <w:gridCol w:w="1247"/>
        <w:gridCol w:w="1635"/>
        <w:gridCol w:w="2036"/>
      </w:tblGrid>
      <w:tr>
        <w:trPr>
          <w:trHeight w:val="284"/>
        </w:trPr>
        <w:tc>
          <w:tcPr>
            <w:gridSpan w:val="4"/>
            <w:tcBorders>
              <w:top w:val="none" w:color="000000" w:sz="4" w:space="0"/>
              <w:left w:val="none" w:color="000000" w:sz="4" w:space="0"/>
              <w:bottom w:val="single" w:color="auto" w:sz="4" w:space="0"/>
              <w:right w:val="none" w:color="000000" w:sz="4" w:space="0"/>
            </w:tcBorders>
            <w:tcW w:w="4345" w:type="dxa"/>
            <w:vAlign w:val="center"/>
            <w:textDirection w:val="lrTb"/>
            <w:noWrap w:val="false"/>
          </w:tcPr>
          <w:p>
            <w:pP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项目名称：</w:t>
            </w:r>
            <w:r/>
          </w:p>
        </w:tc>
        <w:tc>
          <w:tcPr>
            <w:gridSpan w:val="3"/>
            <w:tcBorders>
              <w:top w:val="none" w:color="000000" w:sz="4" w:space="0"/>
              <w:left w:val="none" w:color="000000" w:sz="4" w:space="0"/>
              <w:right w:val="none" w:color="000000" w:sz="4" w:space="0"/>
            </w:tcBorders>
            <w:tcW w:w="3598" w:type="dxa"/>
            <w:vAlign w:val="center"/>
            <w:textDirection w:val="lrTb"/>
            <w:noWrap w:val="false"/>
          </w:tcPr>
          <w:p>
            <w:pP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项目编号：</w:t>
            </w:r>
            <w:r>
              <w:rPr>
                <w:rFonts w:hint="eastAsia" w:ascii="宋体" w:hAnsi="宋体" w:eastAsia="宋体"/>
                <w:b/>
                <w:color w:val="auto"/>
                <w:szCs w:val="21"/>
                <w:highlight w:val="none"/>
                <w:u w:val="single"/>
                <w:lang w:val="zh-CN"/>
              </w:rPr>
              <w:t xml:space="preserve">                     </w:t>
            </w:r>
            <w:r/>
          </w:p>
        </w:tc>
        <w:tc>
          <w:tcPr>
            <w:tcBorders>
              <w:top w:val="none" w:color="000000" w:sz="4" w:space="0"/>
              <w:left w:val="none" w:color="000000" w:sz="4" w:space="0"/>
              <w:right w:val="none" w:color="000000" w:sz="4" w:space="0"/>
            </w:tcBorders>
            <w:tcW w:w="2036" w:type="dxa"/>
            <w:vAlign w:val="center"/>
            <w:textDirection w:val="lrTb"/>
            <w:noWrap w:val="false"/>
          </w:tcPr>
          <w:p>
            <w:pPr>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序号</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名称</w:t>
            </w:r>
            <w:r/>
          </w:p>
        </w:tc>
        <w:tc>
          <w:tcPr>
            <w:tcBorders>
              <w:top w:val="single" w:color="auto" w:sz="4" w:space="0"/>
              <w:left w:val="single" w:color="auto" w:sz="4" w:space="0"/>
              <w:right w:val="single" w:color="auto" w:sz="4" w:space="0"/>
            </w:tcBorders>
            <w:tcW w:w="1626"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品牌、规格或型号</w:t>
            </w:r>
            <w:r/>
          </w:p>
        </w:tc>
        <w:tc>
          <w:tcPr>
            <w:tcBorders>
              <w:top w:val="single" w:color="auto" w:sz="4" w:space="0"/>
              <w:left w:val="single" w:color="auto" w:sz="4" w:space="0"/>
              <w:right w:val="single" w:color="auto" w:sz="4" w:space="0"/>
            </w:tcBorders>
            <w:tcW w:w="728"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rPr>
              <w:t xml:space="preserve">数量</w:t>
            </w:r>
            <w:r/>
          </w:p>
        </w:tc>
        <w:tc>
          <w:tcPr>
            <w:tcBorders>
              <w:top w:val="single" w:color="auto" w:sz="4" w:space="0"/>
              <w:left w:val="single" w:color="auto" w:sz="4" w:space="0"/>
              <w:right w:val="single" w:color="auto" w:sz="4" w:space="0"/>
            </w:tcBorders>
            <w:tcW w:w="716" w:type="dxa"/>
            <w:vAlign w:val="center"/>
            <w:textDirection w:val="lrTb"/>
            <w:noWrap w:val="false"/>
          </w:tcPr>
          <w:p>
            <w:pPr>
              <w:jc w:val="center"/>
              <w:spacing w:line="24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币种</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质保年限</w:t>
            </w:r>
            <w:r/>
          </w:p>
        </w:tc>
      </w:tr>
      <w:tr>
        <w:trPr>
          <w:trHeight w:val="28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jc w:val="center"/>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1</w:t>
            </w:r>
            <w:r/>
          </w:p>
        </w:tc>
        <w:tc>
          <w:tcPr>
            <w:tcBorders>
              <w:left w:val="single" w:color="auto" w:sz="4" w:space="0"/>
              <w:right w:val="single" w:color="auto" w:sz="4" w:space="0"/>
            </w:tcBorders>
            <w:tcW w:w="148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62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728"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71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247"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5"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03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jc w:val="center"/>
              <w:spacing w:line="24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2</w:t>
            </w:r>
            <w:r/>
          </w:p>
        </w:tc>
        <w:tc>
          <w:tcPr>
            <w:tcBorders>
              <w:left w:val="single" w:color="auto" w:sz="4" w:space="0"/>
              <w:right w:val="single" w:color="auto" w:sz="4" w:space="0"/>
            </w:tcBorders>
            <w:tcW w:w="148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62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728"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71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247"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5"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03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jc w:val="center"/>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48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62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728"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71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left w:val="single" w:color="auto" w:sz="4" w:space="0"/>
              <w:right w:val="single" w:color="auto" w:sz="4" w:space="0"/>
            </w:tcBorders>
            <w:tcW w:w="1247"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5"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036" w:type="dxa"/>
            <w:textDirection w:val="lrTb"/>
            <w:noWrap w:val="false"/>
          </w:tcPr>
          <w:p>
            <w:pPr>
              <w:jc w:val="left"/>
              <w:spacing w:line="240" w:lineRule="auto"/>
              <w:widowControl/>
              <w:rPr>
                <w:rFonts w:ascii="宋体" w:hAnsi="宋体" w:eastAsia="宋体"/>
                <w:color w:val="auto"/>
                <w:szCs w:val="21"/>
                <w:highlight w:val="none"/>
                <w:lang w:val="zh-CN"/>
              </w:rPr>
            </w:pPr>
            <w:r>
              <w:rPr>
                <w:rFonts w:ascii="宋体" w:hAnsi="宋体" w:eastAsia="宋体"/>
                <w:color w:val="auto"/>
                <w:szCs w:val="21"/>
                <w:highlight w:val="none"/>
                <w:lang w:val="zh-CN"/>
              </w:rPr>
            </w:r>
            <w:r/>
          </w:p>
        </w:tc>
      </w:tr>
    </w:tbl>
    <w:p>
      <w:pPr>
        <w:jc w:val="left"/>
        <w:spacing w:line="240" w:lineRule="auto"/>
        <w:widowControl/>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供应商名称:</w:t>
      </w:r>
      <w:r>
        <w:rPr>
          <w:rFonts w:hint="eastAsia" w:ascii="宋体" w:hAnsi="宋体" w:eastAsia="宋体"/>
          <w:color w:val="auto"/>
          <w:szCs w:val="21"/>
          <w:highlight w:val="none"/>
          <w:u w:val="single"/>
          <w:lang w:val="zh-CN"/>
        </w:rPr>
        <w:t xml:space="preserve">                                                  </w:t>
      </w:r>
      <w:r>
        <w:rPr>
          <w:rFonts w:hint="eastAsia" w:ascii="宋体" w:hAnsi="宋体" w:eastAsia="宋体"/>
          <w:color w:val="auto"/>
          <w:szCs w:val="21"/>
          <w:highlight w:val="none"/>
          <w:lang w:val="zh-CN"/>
        </w:rPr>
        <w:t xml:space="preserve">（公章）</w:t>
      </w:r>
      <w:r/>
    </w:p>
    <w:p>
      <w:pPr>
        <w:jc w:val="left"/>
        <w:spacing w:line="240" w:lineRule="auto"/>
        <w:widowControl/>
        <w:rPr>
          <w:rFonts w:ascii="宋体" w:hAnsi="宋体" w:eastAsia="宋体"/>
          <w:b/>
          <w:color w:val="auto"/>
          <w:szCs w:val="21"/>
          <w:highlight w:val="none"/>
          <w:lang w:val="zh-CN"/>
        </w:rPr>
      </w:pPr>
      <w:r>
        <w:rPr>
          <w:rFonts w:ascii="宋体" w:hAnsi="宋体" w:eastAsia="宋体"/>
          <w:b/>
          <w:color w:val="auto"/>
          <w:szCs w:val="21"/>
          <w:highlight w:val="none"/>
          <w:lang w:val="zh-CN"/>
        </w:rPr>
      </w:r>
      <w:r/>
    </w:p>
    <w:p>
      <w:pPr>
        <w:jc w:val="left"/>
        <w:spacing w:line="240" w:lineRule="auto"/>
        <w:widowControl/>
        <w:rPr>
          <w:rFonts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投标人根据投标品牌填写，不得擅自更改核心设备。</w:t>
      </w:r>
      <w:r/>
    </w:p>
    <w:p>
      <w:pPr>
        <w:spacing w:line="440" w:lineRule="exact"/>
        <w:rPr>
          <w:rFonts w:hint="eastAsia" w:ascii="宋体"/>
          <w:color w:val="auto"/>
          <w:sz w:val="24"/>
          <w:highlight w:val="none"/>
        </w:rPr>
      </w:pPr>
      <w:r>
        <w:rPr>
          <w:rFonts w:hint="eastAsia" w:ascii="宋体"/>
          <w:color w:val="auto"/>
          <w:sz w:val="24"/>
          <w:highlight w:val="none"/>
        </w:rPr>
      </w:r>
      <w:r/>
    </w:p>
    <w:p>
      <w:pPr>
        <w:spacing w:line="440" w:lineRule="exact"/>
        <w:rPr>
          <w:rFonts w:hint="eastAsia" w:ascii="宋体"/>
          <w:color w:val="auto"/>
          <w:sz w:val="24"/>
          <w:highlight w:val="none"/>
        </w:rPr>
      </w:pPr>
      <w:r>
        <w:rPr>
          <w:rFonts w:hint="eastAsia" w:ascii="宋体"/>
          <w:color w:val="auto"/>
          <w:sz w:val="24"/>
          <w:highlight w:val="none"/>
        </w:rPr>
      </w:r>
      <w:r/>
    </w:p>
    <w:p>
      <w:pPr>
        <w:spacing w:line="240" w:lineRule="auto"/>
        <w:rPr>
          <w:rFonts w:hint="eastAsia" w:ascii="宋体"/>
          <w:color w:val="auto"/>
          <w:sz w:val="24"/>
          <w:highlight w:val="none"/>
          <w:lang w:val="en-US" w:eastAsia="zh-CN"/>
        </w:rPr>
      </w:pPr>
      <w:r>
        <w:rPr>
          <w:rFonts w:hint="eastAsia" w:ascii="宋体"/>
          <w:color w:val="auto"/>
          <w:sz w:val="24"/>
          <w:highlight w:val="none"/>
          <w:lang w:val="en-US" w:eastAsia="zh-CN"/>
        </w:rPr>
        <w:br w:type="page" w:clear="all"/>
      </w:r>
      <w:r/>
    </w:p>
    <w:p>
      <w:pPr>
        <w:spacing w:line="440" w:lineRule="exact"/>
        <w:rPr>
          <w:rFonts w:ascii="宋体"/>
          <w:color w:val="auto"/>
          <w:sz w:val="24"/>
          <w:highlight w:val="none"/>
        </w:rPr>
      </w:pPr>
      <w:r>
        <w:rPr>
          <w:rFonts w:hint="eastAsia" w:ascii="宋体"/>
          <w:color w:val="auto"/>
          <w:sz w:val="24"/>
          <w:highlight w:val="none"/>
          <w:lang w:val="en-US" w:eastAsia="zh-CN"/>
        </w:rPr>
        <w:t xml:space="preserve">附件3：</w:t>
      </w:r>
      <w:r>
        <w:rPr>
          <w:rFonts w:hint="eastAsia" w:ascii="宋体"/>
          <w:color w:val="auto"/>
          <w:sz w:val="24"/>
          <w:highlight w:val="none"/>
        </w:rPr>
        <w:t xml:space="preserve">商务条款偏离表（招标文件与投标文件的偏离）</w:t>
      </w:r>
      <w:r/>
    </w:p>
    <w:tbl>
      <w:tblPr>
        <w:tblStyle w:val="12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jc w:val="cente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color w:val="auto"/>
                <w:sz w:val="24"/>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color w:val="auto"/>
                <w:sz w:val="24"/>
                <w:highlight w:val="none"/>
              </w:rPr>
              <w:t xml:space="preserve">交货期</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合同签订后</w:t>
            </w:r>
            <w:r>
              <w:rPr>
                <w:rFonts w:hint="eastAsia" w:ascii="仿宋_GB2312" w:hAnsi="宋体"/>
                <w:color w:val="auto"/>
                <w:sz w:val="24"/>
                <w:highlight w:val="none"/>
                <w:u w:val="single"/>
              </w:rPr>
              <w:t xml:space="preserve">     </w:t>
            </w:r>
            <w:r>
              <w:rPr>
                <w:rFonts w:ascii="仿宋_GB2312" w:hAnsi="宋体"/>
                <w:color w:val="auto"/>
                <w:sz w:val="24"/>
                <w:highlight w:val="none"/>
              </w:rPr>
              <w:t xml:space="preserve">天内</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color w:val="auto"/>
                <w:sz w:val="24"/>
                <w:highlight w:val="none"/>
              </w:rPr>
            </w:pPr>
            <w:r>
              <w:rPr>
                <w:rFonts w:hint="eastAsia" w:ascii="仿宋_GB2312"/>
                <w:color w:val="auto"/>
                <w:sz w:val="24"/>
                <w:highlight w:val="none"/>
              </w:rPr>
              <w:t xml:space="preserve">交货方式</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color w:val="auto"/>
                <w:sz w:val="24"/>
                <w:highlight w:val="none"/>
              </w:rPr>
            </w:pPr>
            <w:r>
              <w:rPr>
                <w:rFonts w:ascii="仿宋_GB2312" w:hAnsi="宋体"/>
                <w:color w:val="auto"/>
                <w:sz w:val="24"/>
                <w:highlight w:val="none"/>
              </w:rPr>
            </w:r>
            <w:r/>
          </w:p>
          <w:p>
            <w:pPr>
              <w:spacing w:before="156" w:line="440" w:lineRule="exact"/>
              <w:rPr>
                <w:rFonts w:ascii="仿宋_GB2312" w:hAnsi="宋体"/>
                <w:color w:val="auto"/>
                <w:sz w:val="24"/>
                <w:highlight w:val="none"/>
              </w:rPr>
            </w:pPr>
            <w:r>
              <w:rPr>
                <w:rFonts w:ascii="仿宋_GB2312"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color w:val="auto"/>
                <w:sz w:val="24"/>
                <w:highlight w:val="none"/>
              </w:rPr>
            </w:pPr>
            <w:r>
              <w:rPr>
                <w:rFonts w:hint="eastAsia" w:ascii="仿宋_GB2312"/>
                <w:color w:val="auto"/>
                <w:sz w:val="24"/>
                <w:highlight w:val="none"/>
              </w:rPr>
              <w:t xml:space="preserve">交货地点</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color w:val="auto"/>
                <w:sz w:val="24"/>
                <w:highlight w:val="none"/>
              </w:rPr>
            </w:pPr>
            <w:r>
              <w:rPr>
                <w:rFonts w:ascii="仿宋_GB2312" w:hAnsi="宋体"/>
                <w:color w:val="auto"/>
                <w:sz w:val="24"/>
                <w:highlight w:val="none"/>
              </w:rPr>
            </w:r>
            <w:r/>
          </w:p>
          <w:p>
            <w:pPr>
              <w:spacing w:before="156" w:line="440" w:lineRule="exact"/>
              <w:rPr>
                <w:rFonts w:ascii="仿宋_GB2312" w:hAnsi="宋体"/>
                <w:color w:val="auto"/>
                <w:sz w:val="24"/>
                <w:highlight w:val="none"/>
              </w:rPr>
            </w:pPr>
            <w:r>
              <w:rPr>
                <w:rFonts w:ascii="仿宋_GB2312"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r>
        <w:trPr>
          <w:jc w:val="center"/>
          <w:trHeight w:val="82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仿宋_GB2312" w:hAnsi="宋体" w:eastAsia="仿宋_GB2312"/>
                <w:color w:val="auto"/>
                <w:sz w:val="24"/>
                <w:highlight w:val="none"/>
              </w:rPr>
            </w:pPr>
            <w:r>
              <w:rPr>
                <w:rFonts w:hint="eastAsia" w:ascii="仿宋_GB2312" w:hAnsi="宋体"/>
                <w:color w:val="auto"/>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eastAsia="仿宋_GB2312"/>
                <w:strike/>
                <w:color w:val="auto"/>
                <w:sz w:val="24"/>
                <w:highlight w:val="none"/>
              </w:rPr>
            </w:pPr>
            <w:r>
              <w:rPr>
                <w:rFonts w:ascii="仿宋_GB2312" w:hAnsi="宋体" w:eastAsia="仿宋_GB2312"/>
                <w:strike/>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olor w:val="auto"/>
                <w:sz w:val="24"/>
                <w:highlight w:val="none"/>
              </w:rPr>
            </w:pPr>
            <w:r>
              <w:rPr>
                <w:rFonts w:hint="eastAsia" w:ascii="仿宋_GB2312" w:hAnsi="宋体"/>
                <w:color w:val="auto"/>
                <w:sz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r>
    </w:tbl>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hint="eastAsia" w:ascii="宋体"/>
          <w:color w:val="auto"/>
          <w:sz w:val="24"/>
          <w:highlight w:val="none"/>
        </w:rPr>
        <w:t xml:space="preserve">注：1、请逐条应答，若无应答则视为全部响应。</w:t>
      </w:r>
      <w:r/>
    </w:p>
    <w:p>
      <w:pPr>
        <w:ind w:firstLine="480"/>
        <w:spacing w:line="440" w:lineRule="exact"/>
        <w:rPr>
          <w:rFonts w:ascii="宋体"/>
          <w:color w:val="auto"/>
          <w:sz w:val="24"/>
          <w:highlight w:val="none"/>
        </w:rPr>
      </w:pPr>
      <w:r>
        <w:rPr>
          <w:rFonts w:hint="eastAsia" w:ascii="宋体"/>
          <w:color w:val="auto"/>
          <w:sz w:val="24"/>
          <w:highlight w:val="none"/>
        </w:rPr>
        <w:t xml:space="preserve">2、“说明”栏请注明“响应/正偏离/负偏离”。</w:t>
      </w:r>
      <w:r/>
    </w:p>
    <w:p>
      <w:pPr>
        <w:ind w:firstLine="5494"/>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ind w:firstLine="5494"/>
        <w:spacing w:line="440" w:lineRule="exact"/>
        <w:rPr>
          <w:rFonts w:ascii="宋体"/>
          <w:color w:val="auto"/>
          <w:sz w:val="24"/>
          <w:highlight w:val="none"/>
        </w:rPr>
      </w:pPr>
      <w:r>
        <w:rPr>
          <w:rFonts w:hint="eastAsia" w:ascii="宋体"/>
          <w:color w:val="auto"/>
          <w:sz w:val="24"/>
          <w:highlight w:val="none"/>
        </w:rPr>
        <w:t xml:space="preserve">投标人授权代表（签字）</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日期：</w:t>
      </w:r>
      <w:r/>
    </w:p>
    <w:p>
      <w:pPr>
        <w:ind w:right="-334"/>
        <w:spacing w:line="440" w:lineRule="exact"/>
        <w:rPr>
          <w:rFonts w:ascii="宋体"/>
          <w:color w:val="auto"/>
          <w:sz w:val="24"/>
          <w:highlight w:val="none"/>
        </w:rPr>
      </w:pPr>
      <w:r>
        <w:rPr>
          <w:rFonts w:ascii="宋体"/>
          <w:color w:val="auto"/>
          <w:sz w:val="24"/>
          <w:highlight w:val="none"/>
        </w:rPr>
      </w:r>
      <w:r/>
    </w:p>
    <w:p>
      <w:pPr>
        <w:ind w:right="-334"/>
        <w:spacing w:line="440" w:lineRule="exact"/>
        <w:rPr>
          <w:rFonts w:ascii="宋体"/>
          <w:color w:val="auto"/>
          <w:sz w:val="24"/>
          <w:highlight w:val="none"/>
        </w:rPr>
      </w:pPr>
      <w:r>
        <w:rPr>
          <w:rFonts w:ascii="宋体"/>
          <w:color w:val="auto"/>
          <w:sz w:val="24"/>
          <w:highlight w:val="none"/>
        </w:rPr>
      </w:r>
      <w:r/>
    </w:p>
    <w:p>
      <w:pPr>
        <w:ind w:right="-334"/>
        <w:spacing w:line="440" w:lineRule="exact"/>
        <w:rPr>
          <w:rFonts w:ascii="宋体"/>
          <w:color w:val="auto"/>
          <w:sz w:val="24"/>
          <w:highlight w:val="none"/>
        </w:rPr>
      </w:pPr>
      <w:r>
        <w:rPr>
          <w:rFonts w:ascii="宋体"/>
          <w:color w:val="auto"/>
          <w:sz w:val="24"/>
          <w:highlight w:val="none"/>
        </w:rPr>
      </w:r>
      <w:r/>
    </w:p>
    <w:p>
      <w:pPr>
        <w:ind w:right="-334"/>
        <w:spacing w:line="440" w:lineRule="exact"/>
        <w:rPr>
          <w:rFonts w:ascii="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ind w:right="-334"/>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4</w:t>
      </w:r>
      <w:r>
        <w:rPr>
          <w:rFonts w:hint="eastAsia" w:ascii="宋体"/>
          <w:color w:val="auto"/>
          <w:sz w:val="24"/>
          <w:highlight w:val="none"/>
        </w:rPr>
        <w:t xml:space="preserve">：技术参数偏离表（招标文件与投标文件的偏离）</w:t>
      </w:r>
      <w:r/>
    </w:p>
    <w:tbl>
      <w:tblPr>
        <w:tblStyle w:val="12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8"/>
        <w:gridCol w:w="1273"/>
        <w:gridCol w:w="2070"/>
        <w:gridCol w:w="2070"/>
        <w:gridCol w:w="2070"/>
      </w:tblGrid>
      <w:tr>
        <w:trPr>
          <w:cantSplit/>
          <w:jc w:val="center"/>
          <w:trHeight w:val="441"/>
        </w:trPr>
        <w:tc>
          <w:tcPr>
            <w:tcBorders>
              <w:top w:val="single" w:color="auto" w:sz="4" w:space="0"/>
              <w:left w:val="single" w:color="auto" w:sz="4" w:space="0"/>
              <w:bottom w:val="single" w:color="auto" w:sz="4" w:space="0"/>
              <w:right w:val="single" w:color="auto" w:sz="4" w:space="0"/>
            </w:tcBorders>
            <w:tcW w:w="758" w:type="dxa"/>
            <w:vMerge w:val="restart"/>
            <w:textDirection w:val="lrTb"/>
            <w:noWrap w:val="false"/>
          </w:tcPr>
          <w:p>
            <w:pPr>
              <w:jc w:val="center"/>
              <w:spacing w:line="440" w:lineRule="exact"/>
              <w:rPr>
                <w:rFonts w:ascii="宋体"/>
                <w:color w:val="auto"/>
                <w:sz w:val="24"/>
                <w:highlight w:val="none"/>
              </w:rPr>
            </w:pPr>
            <w:r>
              <w:rPr>
                <w:rFonts w:hint="eastAsia" w:ascii="宋体"/>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343" w:type="dxa"/>
            <w:textDirection w:val="lrTb"/>
            <w:noWrap w:val="false"/>
          </w:tcPr>
          <w:p>
            <w:pPr>
              <w:jc w:val="center"/>
              <w:spacing w:line="440" w:lineRule="exact"/>
              <w:rPr>
                <w:rFonts w:ascii="宋体"/>
                <w:color w:val="auto"/>
                <w:sz w:val="24"/>
                <w:highlight w:val="none"/>
              </w:rPr>
            </w:pPr>
            <w:r>
              <w:rPr>
                <w:rFonts w:hint="eastAsia" w:ascii="宋体"/>
                <w:color w:val="auto"/>
                <w:sz w:val="24"/>
                <w:highlight w:val="none"/>
              </w:rPr>
              <w:t xml:space="preserve">招标文件</w:t>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jc w:val="center"/>
              <w:spacing w:line="440" w:lineRule="exact"/>
              <w:rPr>
                <w:rFonts w:ascii="宋体"/>
                <w:color w:val="auto"/>
                <w:sz w:val="24"/>
                <w:highlight w:val="none"/>
              </w:rPr>
            </w:pPr>
            <w:r>
              <w:rPr>
                <w:rFonts w:hint="eastAsia" w:ascii="宋体"/>
                <w:color w:val="auto"/>
                <w:sz w:val="24"/>
                <w:highlight w:val="none"/>
              </w:rPr>
              <w:t xml:space="preserve">投标文件</w:t>
            </w:r>
            <w:r/>
          </w:p>
        </w:tc>
        <w:tc>
          <w:tcPr>
            <w:tcBorders>
              <w:top w:val="single" w:color="auto" w:sz="4" w:space="0"/>
              <w:left w:val="single" w:color="auto" w:sz="4" w:space="0"/>
              <w:right w:val="single" w:color="auto" w:sz="4" w:space="0"/>
            </w:tcBorders>
            <w:tcW w:w="2070" w:type="dxa"/>
            <w:vMerge w:val="restart"/>
            <w:textDirection w:val="lrTb"/>
            <w:noWrap w:val="false"/>
          </w:tcPr>
          <w:p>
            <w:pPr>
              <w:jc w:val="center"/>
              <w:spacing w:line="440" w:lineRule="exact"/>
              <w:rPr>
                <w:rFonts w:ascii="宋体"/>
                <w:color w:val="auto"/>
                <w:sz w:val="24"/>
                <w:highlight w:val="none"/>
              </w:rPr>
            </w:pPr>
            <w:r>
              <w:rPr>
                <w:rFonts w:ascii="宋体"/>
                <w:color w:val="auto"/>
                <w:sz w:val="24"/>
                <w:highlight w:val="none"/>
              </w:rPr>
            </w:r>
            <w:r/>
          </w:p>
          <w:p>
            <w:pPr>
              <w:jc w:val="center"/>
              <w:spacing w:line="440" w:lineRule="exact"/>
              <w:rPr>
                <w:rFonts w:ascii="宋体"/>
                <w:color w:val="auto"/>
                <w:sz w:val="24"/>
                <w:highlight w:val="none"/>
              </w:rPr>
            </w:pPr>
            <w:r>
              <w:rPr>
                <w:rFonts w:hint="eastAsia" w:ascii="宋体"/>
                <w:color w:val="auto"/>
                <w:sz w:val="24"/>
                <w:highlight w:val="none"/>
              </w:rPr>
              <w:t xml:space="preserve">说明</w:t>
            </w:r>
            <w:r/>
          </w:p>
        </w:tc>
      </w:tr>
      <w:tr>
        <w:trPr>
          <w:cantSplit/>
          <w:jc w:val="center"/>
          <w:trHeight w:val="146"/>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jc w:val="left"/>
              <w:spacing w:line="440" w:lineRule="exact"/>
              <w:widowControl/>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spacing w:line="440" w:lineRule="exact"/>
              <w:rPr>
                <w:rFonts w:ascii="宋体"/>
                <w:color w:val="auto"/>
                <w:sz w:val="24"/>
                <w:highlight w:val="none"/>
              </w:rPr>
            </w:pPr>
            <w:r>
              <w:rPr>
                <w:rFonts w:hint="eastAsia" w:ascii="宋体"/>
                <w:color w:val="auto"/>
                <w:sz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jc w:val="center"/>
              <w:spacing w:line="440" w:lineRule="exact"/>
              <w:rPr>
                <w:rFonts w:ascii="宋体"/>
                <w:color w:val="auto"/>
                <w:sz w:val="24"/>
                <w:highlight w:val="none"/>
              </w:rPr>
            </w:pPr>
            <w:r>
              <w:rPr>
                <w:rFonts w:hint="eastAsia" w:ascii="宋体"/>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jc w:val="center"/>
              <w:spacing w:line="440" w:lineRule="exact"/>
              <w:rPr>
                <w:rFonts w:ascii="宋体"/>
                <w:color w:val="auto"/>
                <w:sz w:val="24"/>
                <w:highlight w:val="none"/>
              </w:rPr>
            </w:pPr>
            <w:r>
              <w:rPr>
                <w:rFonts w:hint="eastAsia" w:ascii="宋体"/>
                <w:color w:val="auto"/>
                <w:sz w:val="24"/>
                <w:highlight w:val="none"/>
              </w:rPr>
              <w:t xml:space="preserve">响应具体情况</w:t>
            </w:r>
            <w:r/>
          </w:p>
        </w:tc>
        <w:tc>
          <w:tcPr>
            <w:tcBorders>
              <w:left w:val="single" w:color="auto" w:sz="4" w:space="0"/>
              <w:bottom w:val="single" w:color="auto" w:sz="4" w:space="0"/>
              <w:right w:val="single" w:color="auto" w:sz="4" w:space="0"/>
            </w:tcBorders>
            <w:tcW w:w="2070" w:type="dxa"/>
            <w:vMerge w:val="continue"/>
            <w:textDirection w:val="lrTb"/>
            <w:noWrap w:val="false"/>
          </w:tcPr>
          <w:p>
            <w:pPr>
              <w:jc w:val="cente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r>
        <w:trPr>
          <w:jc w:val="center"/>
          <w:trHeight w:val="45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color w:val="auto"/>
                <w:sz w:val="24"/>
                <w:highlight w:val="none"/>
              </w:rPr>
            </w:pPr>
            <w:r>
              <w:rPr>
                <w:rFonts w:ascii="宋体"/>
                <w:color w:val="auto"/>
                <w:sz w:val="24"/>
                <w:highlight w:val="none"/>
              </w:rPr>
            </w:r>
            <w:r/>
          </w:p>
        </w:tc>
      </w:tr>
    </w:tbl>
    <w:p>
      <w:pPr>
        <w:spacing w:line="440" w:lineRule="exact"/>
        <w:rPr>
          <w:rFonts w:ascii="宋体"/>
          <w:color w:val="auto"/>
          <w:sz w:val="24"/>
          <w:highlight w:val="none"/>
        </w:rPr>
      </w:pPr>
      <w:r>
        <w:rPr>
          <w:rFonts w:hint="eastAsia" w:ascii="宋体"/>
          <w:color w:val="auto"/>
          <w:sz w:val="24"/>
          <w:highlight w:val="none"/>
        </w:rPr>
        <w:t xml:space="preserve">注：1、请逐条应答，若无应答则视为偏离。</w:t>
      </w:r>
      <w:r/>
    </w:p>
    <w:p>
      <w:pPr>
        <w:spacing w:line="440" w:lineRule="exact"/>
        <w:rPr>
          <w:rFonts w:ascii="宋体"/>
          <w:color w:val="auto"/>
          <w:sz w:val="24"/>
          <w:highlight w:val="none"/>
        </w:rPr>
      </w:pPr>
      <w:r>
        <w:rPr>
          <w:rFonts w:hint="eastAsia" w:ascii="宋体"/>
          <w:color w:val="auto"/>
          <w:sz w:val="24"/>
          <w:highlight w:val="none"/>
        </w:rPr>
        <w:t xml:space="preserve">    2、投标文件“响应具体情况",指所投产品的技术应答情况。</w:t>
      </w:r>
      <w:r/>
    </w:p>
    <w:p>
      <w:pPr>
        <w:ind w:firstLine="480"/>
        <w:spacing w:line="440" w:lineRule="exact"/>
        <w:rPr>
          <w:rFonts w:ascii="宋体"/>
          <w:color w:val="auto"/>
          <w:sz w:val="24"/>
          <w:highlight w:val="none"/>
        </w:rPr>
      </w:pPr>
      <w:r>
        <w:rPr>
          <w:rFonts w:hint="eastAsia" w:ascii="宋体"/>
          <w:color w:val="auto"/>
          <w:sz w:val="24"/>
          <w:highlight w:val="none"/>
        </w:rPr>
        <w:t xml:space="preserve">2、“说明”栏请注明“响应/正偏离/负偏离”，并且标注针对重要技术参数响应的证明文件在投标文件中的页码及具体位置。</w:t>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ind w:firstLine="5494"/>
        <w:spacing w:line="440" w:lineRule="exact"/>
        <w:rPr>
          <w:rFonts w:ascii="宋体"/>
          <w:color w:val="auto"/>
          <w:sz w:val="24"/>
          <w:highlight w:val="none"/>
        </w:rPr>
      </w:pPr>
      <w:r>
        <w:rPr>
          <w:rFonts w:hint="eastAsia" w:ascii="宋体"/>
          <w:color w:val="auto"/>
          <w:sz w:val="24"/>
          <w:highlight w:val="none"/>
        </w:rPr>
        <w:t xml:space="preserve">投标人授权代表（签字）</w:t>
      </w:r>
      <w:r/>
    </w:p>
    <w:p>
      <w:pPr>
        <w:spacing w:line="440" w:lineRule="exact"/>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 xml:space="preserve">日期：</w:t>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pPr>
      <w:r>
        <w:rPr>
          <w:rFonts w:ascii="宋体"/>
          <w:color w:val="auto"/>
          <w:sz w:val="24"/>
          <w:highlight w:val="none"/>
        </w:rPr>
      </w:r>
      <w:r/>
    </w:p>
    <w:p>
      <w:pPr>
        <w:spacing w:line="440" w:lineRule="exact"/>
        <w:rPr>
          <w:rFonts w:ascii="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5</w:t>
      </w:r>
      <w:r>
        <w:rPr>
          <w:rFonts w:hint="eastAsia" w:ascii="宋体"/>
          <w:color w:val="auto"/>
          <w:sz w:val="24"/>
          <w:highlight w:val="none"/>
        </w:rPr>
        <w:t xml:space="preserve">：</w:t>
      </w:r>
      <w:r>
        <w:rPr>
          <w:rFonts w:hint="eastAsia" w:ascii="Arial" w:hAnsi="Arial" w:cs="Arial"/>
          <w:color w:val="auto"/>
          <w:sz w:val="24"/>
          <w:highlight w:val="none"/>
        </w:rPr>
        <w:t xml:space="preserve">投标产品配置清单及技术说明</w:t>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宋体"/>
          <w:color w:val="auto"/>
          <w:sz w:val="24"/>
          <w:highlight w:val="none"/>
        </w:rPr>
      </w:pPr>
      <w:r>
        <w:rPr>
          <w:rFonts w:ascii="仿宋_GB2312" w:eastAsia="仿宋_GB2312"/>
          <w:b/>
          <w:color w:val="auto"/>
          <w:highlight w:val="none"/>
        </w:rPr>
        <w:t xml:space="preserve">                                        </w:t>
      </w:r>
      <w:r>
        <w:rPr>
          <w:rFonts w:hint="eastAsia" w:ascii="宋体"/>
          <w:color w:val="auto"/>
          <w:sz w:val="24"/>
          <w:highlight w:val="none"/>
        </w:rPr>
        <w:t xml:space="preserve">投标人授权代表（签字）</w:t>
      </w:r>
      <w:r>
        <w:rPr>
          <w:rFonts w:ascii="宋体"/>
          <w:color w:val="auto"/>
          <w:sz w:val="24"/>
          <w:highlight w:val="none"/>
        </w:rPr>
        <w:t xml:space="preserve"> </w:t>
      </w:r>
      <w:r/>
    </w:p>
    <w:p>
      <w:pPr>
        <w:ind w:right="-5"/>
        <w:spacing w:line="440" w:lineRule="exact"/>
        <w:rPr>
          <w:rFonts w:ascii="仿宋_GB2312" w:eastAsia="仿宋_GB2312"/>
          <w:b/>
          <w:color w:val="auto"/>
          <w:highlight w:val="none"/>
        </w:rPr>
      </w:pPr>
      <w:r>
        <w:rPr>
          <w:rFonts w:ascii="宋体"/>
          <w:color w:val="auto"/>
          <w:sz w:val="24"/>
          <w:highlight w:val="none"/>
        </w:rPr>
        <w:t xml:space="preserve">                                   </w:t>
      </w:r>
      <w:r>
        <w:rPr>
          <w:rFonts w:hint="eastAsia" w:ascii="宋体"/>
          <w:color w:val="auto"/>
          <w:sz w:val="24"/>
          <w:highlight w:val="none"/>
        </w:rPr>
        <w:t xml:space="preserve">日期：</w:t>
      </w:r>
      <w:r>
        <w:rPr>
          <w:rFonts w:ascii="宋体"/>
          <w:color w:val="auto"/>
          <w:sz w:val="24"/>
          <w:highlight w:val="none"/>
        </w:rPr>
        <w:t xml:space="preserve">    </w:t>
      </w:r>
      <w:r/>
    </w:p>
    <w:p>
      <w:pPr>
        <w:ind w:right="-5"/>
        <w:spacing w:line="440" w:lineRule="exact"/>
        <w:rPr>
          <w:rFonts w:ascii="仿宋_GB2312" w:eastAsia="仿宋_GB2312"/>
          <w:b/>
          <w:color w:val="auto"/>
          <w:highlight w:val="none"/>
        </w:rPr>
      </w:pPr>
      <w:r>
        <w:rPr>
          <w:rFonts w:ascii="仿宋_GB2312" w:eastAsia="仿宋_GB2312"/>
          <w:b/>
          <w:color w:val="auto"/>
          <w:highlight w:val="none"/>
        </w:rPr>
        <w:t xml:space="preserve">   </w:t>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仿宋_GB2312" w:eastAsia="仿宋_GB2312"/>
          <w:b/>
          <w:color w:val="auto"/>
          <w:highlight w:val="none"/>
        </w:rPr>
      </w:pPr>
      <w:r>
        <w:rPr>
          <w:rFonts w:ascii="仿宋_GB2312" w:eastAsia="仿宋_GB2312"/>
          <w:b/>
          <w:color w:val="auto"/>
          <w:highlight w:val="none"/>
        </w:rPr>
      </w:r>
      <w:r/>
    </w:p>
    <w:p>
      <w:pPr>
        <w:ind w:right="-5"/>
        <w:spacing w:line="440" w:lineRule="exact"/>
        <w:rPr>
          <w:rFonts w:ascii="宋体"/>
          <w:color w:val="auto"/>
          <w:sz w:val="24"/>
          <w:highlight w:val="none"/>
        </w:rPr>
      </w:pPr>
      <w:r>
        <w:rPr>
          <w:rFonts w:ascii="宋体"/>
          <w:color w:val="auto"/>
          <w:sz w:val="24"/>
          <w:highlight w:val="none"/>
        </w:rPr>
      </w:r>
      <w:r/>
    </w:p>
    <w:p>
      <w:pPr>
        <w:ind w:right="-5"/>
        <w:spacing w:line="440" w:lineRule="exact"/>
        <w:rPr>
          <w:rFonts w:ascii="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spacing w:line="440" w:lineRule="exact"/>
        <w:rPr>
          <w:rFonts w:ascii="宋体"/>
          <w:color w:val="auto"/>
          <w:sz w:val="24"/>
          <w:highlight w:val="none"/>
        </w:rPr>
      </w:pPr>
      <w:r>
        <w:rPr>
          <w:rFonts w:ascii="仿宋_GB2312" w:eastAsia="仿宋_GB2312"/>
          <w:b/>
          <w:color w:val="auto"/>
          <w:highlight w:val="none"/>
        </w:rPr>
        <w:t xml:space="preserve">  </w:t>
      </w:r>
      <w:r>
        <w:rPr>
          <w:rFonts w:hint="eastAsia" w:ascii="宋体"/>
          <w:color w:val="auto"/>
          <w:sz w:val="24"/>
          <w:highlight w:val="none"/>
        </w:rPr>
        <w:t xml:space="preserve">附件</w:t>
      </w:r>
      <w:r>
        <w:rPr>
          <w:rFonts w:hint="eastAsia" w:ascii="宋体"/>
          <w:color w:val="auto"/>
          <w:sz w:val="24"/>
          <w:highlight w:val="none"/>
          <w:lang w:val="en-US" w:eastAsia="zh-CN"/>
        </w:rPr>
        <w:t xml:space="preserve">6</w:t>
      </w:r>
      <w:r>
        <w:rPr>
          <w:rFonts w:hint="eastAsia" w:ascii="宋体"/>
          <w:color w:val="auto"/>
          <w:sz w:val="24"/>
          <w:highlight w:val="none"/>
        </w:rPr>
        <w:t xml:space="preserve">：公开招标设备质保期内的随机备品备件明细表</w:t>
      </w:r>
      <w:r/>
    </w:p>
    <w:p>
      <w:pPr>
        <w:jc w:val="left"/>
        <w:widowControl/>
        <w:rPr>
          <w:rFonts w:ascii="宋体"/>
          <w:color w:val="auto"/>
          <w:sz w:val="24"/>
          <w:highlight w:val="none"/>
        </w:rPr>
      </w:pPr>
      <w:r>
        <w:rPr>
          <w:rFonts w:ascii="宋体"/>
          <w:color w:val="auto"/>
          <w:sz w:val="24"/>
          <w:highlight w:val="none"/>
        </w:rPr>
        <w:br w:type="page" w:clear="all"/>
      </w:r>
      <w:r/>
    </w:p>
    <w:p>
      <w:pPr>
        <w:spacing w:line="440" w:lineRule="exact"/>
        <w:rPr>
          <w:rFonts w:ascii="宋体"/>
          <w:color w:val="auto"/>
          <w:sz w:val="24"/>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7</w:t>
      </w:r>
      <w:r>
        <w:rPr>
          <w:rFonts w:hint="eastAsia" w:ascii="宋体"/>
          <w:color w:val="auto"/>
          <w:sz w:val="24"/>
          <w:highlight w:val="none"/>
        </w:rPr>
        <w:t xml:space="preserve">. 随机提供的文件、资料、图纸等（文件资料名称、份数）</w:t>
      </w:r>
      <w:r/>
    </w:p>
    <w:p>
      <w:pPr>
        <w:jc w:val="center"/>
        <w:spacing w:line="440" w:lineRule="exact"/>
        <w:rPr>
          <w:rFonts w:ascii="宋体"/>
          <w:color w:val="auto"/>
          <w:sz w:val="24"/>
          <w:highlight w:val="none"/>
        </w:rPr>
      </w:pPr>
      <w:r>
        <w:rPr>
          <w:rFonts w:ascii="宋体"/>
          <w:color w:val="auto"/>
          <w:sz w:val="24"/>
          <w:highlight w:val="none"/>
        </w:rPr>
      </w:r>
      <w:r/>
    </w:p>
    <w:p>
      <w:pPr>
        <w:ind w:left="199" w:firstLine="5224"/>
        <w:spacing w:line="440" w:lineRule="exact"/>
        <w:rPr>
          <w:rFonts w:eastAsia="黑体"/>
          <w:b/>
          <w:color w:val="auto"/>
          <w:highlight w:val="none"/>
        </w:rPr>
      </w:pPr>
      <w:r>
        <w:rPr>
          <w:rFonts w:eastAsia="黑体"/>
          <w:b/>
          <w:color w:val="auto"/>
          <w:highlight w:val="none"/>
        </w:rPr>
      </w:r>
      <w:r/>
    </w:p>
    <w:p>
      <w:pPr>
        <w:ind w:left="5100" w:right="-5" w:firstLine="425"/>
        <w:spacing w:line="440" w:lineRule="exact"/>
        <w:rPr>
          <w:rFonts w:ascii="仿宋_GB2312" w:eastAsia="仿宋_GB2312"/>
          <w:b/>
          <w:color w:val="auto"/>
          <w:highlight w:val="none"/>
        </w:rPr>
      </w:pPr>
      <w:r>
        <w:rPr>
          <w:rFonts w:ascii="仿宋_GB2312" w:eastAsia="仿宋_GB2312"/>
          <w:b/>
          <w:color w:val="auto"/>
          <w:highlight w:val="none"/>
        </w:rPr>
        <w:t xml:space="preserve">       </w:t>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ind w:left="5100" w:firstLine="425"/>
        <w:spacing w:line="440" w:lineRule="exact"/>
        <w:rPr>
          <w:rFonts w:ascii="宋体"/>
          <w:color w:val="auto"/>
          <w:sz w:val="24"/>
          <w:highlight w:val="none"/>
        </w:rPr>
      </w:pPr>
      <w:r>
        <w:rPr>
          <w:rFonts w:ascii="Arial" w:hAnsi="Arial" w:cs="Arial"/>
          <w:color w:val="auto"/>
          <w:sz w:val="24"/>
          <w:highlight w:val="none"/>
        </w:rPr>
        <w:t xml:space="preserve">投标人授权代表</w:t>
      </w:r>
      <w:r>
        <w:rPr>
          <w:rFonts w:hint="eastAsia" w:ascii="宋体"/>
          <w:color w:val="auto"/>
          <w:sz w:val="24"/>
          <w:highlight w:val="none"/>
        </w:rPr>
        <w:t xml:space="preserve">（签字）</w:t>
      </w:r>
      <w:r/>
    </w:p>
    <w:p>
      <w:pPr>
        <w:spacing w:line="440" w:lineRule="exact"/>
        <w:rPr>
          <w:b/>
          <w:color w:val="auto"/>
          <w:highlight w:val="none"/>
        </w:rPr>
      </w:pPr>
      <w:r>
        <w:rPr>
          <w:rFonts w:ascii="宋体"/>
          <w:color w:val="auto"/>
          <w:sz w:val="24"/>
          <w:highlight w:val="none"/>
        </w:rPr>
        <w:t xml:space="preserve">                                </w:t>
      </w:r>
      <w:r>
        <w:rPr>
          <w:rFonts w:ascii="宋体"/>
          <w:color w:val="auto"/>
          <w:sz w:val="24"/>
          <w:highlight w:val="none"/>
        </w:rPr>
        <w:tab/>
      </w:r>
      <w:r>
        <w:rPr>
          <w:rFonts w:ascii="宋体"/>
          <w:color w:val="auto"/>
          <w:sz w:val="24"/>
          <w:highlight w:val="none"/>
        </w:rPr>
        <w:tab/>
      </w:r>
      <w:r>
        <w:rPr>
          <w:rFonts w:ascii="宋体"/>
          <w:color w:val="auto"/>
          <w:sz w:val="24"/>
          <w:highlight w:val="none"/>
        </w:rPr>
        <w:tab/>
      </w:r>
      <w:r>
        <w:rPr>
          <w:rFonts w:ascii="宋体"/>
          <w:color w:val="auto"/>
          <w:sz w:val="24"/>
          <w:highlight w:val="none"/>
        </w:rPr>
        <w:tab/>
      </w:r>
      <w:r>
        <w:rPr>
          <w:rFonts w:hint="eastAsia" w:ascii="宋体"/>
          <w:color w:val="auto"/>
          <w:sz w:val="24"/>
          <w:highlight w:val="none"/>
        </w:rPr>
        <w:t xml:space="preserve">日期：</w:t>
      </w:r>
      <w:r>
        <w:rPr>
          <w:rFonts w:ascii="宋体"/>
          <w:color w:val="auto"/>
          <w:sz w:val="24"/>
          <w:highlight w:val="none"/>
        </w:rPr>
        <w:t xml:space="preserve">  </w:t>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ind w:right="-5"/>
        <w:spacing w:line="440" w:lineRule="exact"/>
        <w:rPr>
          <w:rFonts w:ascii="宋体"/>
          <w:color w:val="auto"/>
          <w:sz w:val="24"/>
          <w:highlight w:val="none"/>
        </w:rPr>
      </w:pPr>
      <w:r>
        <w:rPr>
          <w:rFonts w:ascii="宋体"/>
          <w:color w:val="auto"/>
          <w:sz w:val="24"/>
          <w:highlight w:val="none"/>
        </w:rPr>
      </w:r>
      <w:r/>
    </w:p>
    <w:p>
      <w:pPr>
        <w:ind w:right="-5"/>
        <w:spacing w:line="440" w:lineRule="exact"/>
        <w:rPr>
          <w:rFonts w:ascii="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color w:val="auto"/>
          <w:sz w:val="24"/>
          <w:highlight w:val="none"/>
        </w:rPr>
      </w:r>
      <w:r/>
    </w:p>
    <w:p>
      <w:pPr>
        <w:ind w:right="-5"/>
        <w:spacing w:line="440" w:lineRule="exact"/>
        <w:rPr>
          <w:b/>
          <w:color w:val="auto"/>
          <w:highlight w:val="none"/>
        </w:rPr>
      </w:pPr>
      <w:r>
        <w:rPr>
          <w:rFonts w:hint="eastAsia" w:ascii="宋体"/>
          <w:color w:val="auto"/>
          <w:sz w:val="24"/>
          <w:highlight w:val="none"/>
        </w:rPr>
        <w:t xml:space="preserve">附件</w:t>
      </w:r>
      <w:r>
        <w:rPr>
          <w:rFonts w:hint="eastAsia" w:ascii="宋体"/>
          <w:color w:val="auto"/>
          <w:sz w:val="24"/>
          <w:highlight w:val="none"/>
          <w:lang w:val="en-US" w:eastAsia="zh-CN"/>
        </w:rPr>
        <w:t xml:space="preserve">8</w:t>
      </w:r>
      <w:r>
        <w:rPr>
          <w:rFonts w:hint="eastAsia" w:ascii="宋体"/>
          <w:color w:val="auto"/>
          <w:sz w:val="24"/>
          <w:highlight w:val="none"/>
        </w:rPr>
        <w:t xml:space="preserve">：培训计划及方案（人数、时间、内容、地点）</w:t>
      </w:r>
      <w:r/>
    </w:p>
    <w:p>
      <w:pPr>
        <w:spacing w:line="440" w:lineRule="exact"/>
        <w:rPr>
          <w:b/>
          <w:color w:val="auto"/>
          <w:highlight w:val="none"/>
        </w:rPr>
      </w:pPr>
      <w:r>
        <w:rPr>
          <w:b/>
          <w:color w:val="auto"/>
          <w:highlight w:val="none"/>
        </w:rPr>
      </w:r>
      <w:r/>
    </w:p>
    <w:p>
      <w:pPr>
        <w:ind w:left="5100" w:firstLine="425"/>
        <w:spacing w:line="440" w:lineRule="exact"/>
        <w:rPr>
          <w:rFonts w:ascii="宋体"/>
          <w:color w:val="auto"/>
          <w:sz w:val="24"/>
          <w:highlight w:val="none"/>
        </w:rPr>
      </w:pPr>
      <w:r>
        <w:rPr>
          <w:rFonts w:ascii="宋体"/>
          <w:color w:val="auto"/>
          <w:sz w:val="24"/>
          <w:highlight w:val="none"/>
        </w:rPr>
      </w:r>
      <w:r/>
    </w:p>
    <w:p>
      <w:pPr>
        <w:ind w:left="5100" w:firstLine="425"/>
        <w:spacing w:line="440" w:lineRule="exact"/>
        <w:rPr>
          <w:rFonts w:ascii="宋体"/>
          <w:color w:val="auto"/>
          <w:sz w:val="24"/>
          <w:highlight w:val="none"/>
        </w:rPr>
      </w:pPr>
      <w:r>
        <w:rPr>
          <w:rFonts w:ascii="宋体"/>
          <w:color w:val="auto"/>
          <w:sz w:val="24"/>
          <w:highlight w:val="none"/>
        </w:rPr>
      </w:r>
      <w:r/>
    </w:p>
    <w:p>
      <w:pPr>
        <w:ind w:left="5100" w:firstLine="425"/>
        <w:spacing w:line="440" w:lineRule="exact"/>
        <w:rPr>
          <w:rFonts w:ascii="宋体"/>
          <w:color w:val="auto"/>
          <w:sz w:val="24"/>
          <w:highlight w:val="none"/>
        </w:rPr>
      </w:pPr>
      <w:r>
        <w:rPr>
          <w:rFonts w:ascii="宋体"/>
          <w:color w:val="auto"/>
          <w:sz w:val="24"/>
          <w:highlight w:val="none"/>
        </w:rPr>
      </w:r>
      <w:r/>
    </w:p>
    <w:p>
      <w:pPr>
        <w:ind w:left="5100" w:firstLine="425"/>
        <w:spacing w:line="440" w:lineRule="exact"/>
        <w:rPr>
          <w:rFonts w:ascii="宋体"/>
          <w:color w:val="auto"/>
          <w:sz w:val="24"/>
          <w:highlight w:val="none"/>
        </w:rPr>
      </w:pPr>
      <w:r>
        <w:rPr>
          <w:rFonts w:ascii="宋体"/>
          <w:color w:val="auto"/>
          <w:sz w:val="24"/>
          <w:highlight w:val="none"/>
        </w:rPr>
      </w:r>
      <w:r/>
    </w:p>
    <w:p>
      <w:pPr>
        <w:ind w:left="5100" w:firstLine="425"/>
        <w:spacing w:line="440" w:lineRule="exact"/>
        <w:rPr>
          <w:rFonts w:ascii="宋体"/>
          <w:color w:val="auto"/>
          <w:sz w:val="24"/>
          <w:highlight w:val="none"/>
        </w:rPr>
      </w:pPr>
      <w:r>
        <w:rPr>
          <w:rFonts w:ascii="宋体"/>
          <w:color w:val="auto"/>
          <w:sz w:val="24"/>
          <w:highlight w:val="none"/>
        </w:rPr>
      </w:r>
      <w:r/>
    </w:p>
    <w:p>
      <w:pPr>
        <w:ind w:left="5100" w:firstLine="425"/>
        <w:spacing w:line="440" w:lineRule="exact"/>
        <w:rPr>
          <w:rFonts w:ascii="宋体"/>
          <w:color w:val="auto"/>
          <w:sz w:val="24"/>
          <w:highlight w:val="none"/>
        </w:rPr>
      </w:pPr>
      <w:r>
        <w:rPr>
          <w:rFonts w:ascii="Arial" w:hAnsi="Arial" w:cs="Arial"/>
          <w:color w:val="auto"/>
          <w:sz w:val="24"/>
          <w:highlight w:val="none"/>
        </w:rPr>
        <w:t xml:space="preserve">投标人授权代表</w:t>
      </w:r>
      <w:r>
        <w:rPr>
          <w:rFonts w:hint="eastAsia" w:ascii="宋体"/>
          <w:color w:val="auto"/>
          <w:sz w:val="24"/>
          <w:highlight w:val="none"/>
        </w:rPr>
        <w:t xml:space="preserve">（签字）</w:t>
      </w:r>
      <w:r/>
    </w:p>
    <w:p>
      <w:pPr>
        <w:ind w:left="5100" w:firstLine="425"/>
        <w:spacing w:line="440" w:lineRule="exact"/>
        <w:rPr>
          <w:rFonts w:ascii="宋体"/>
          <w:color w:val="auto"/>
          <w:sz w:val="24"/>
          <w:highlight w:val="none"/>
        </w:rPr>
      </w:pPr>
      <w:r>
        <w:rPr>
          <w:rFonts w:hint="eastAsia" w:ascii="宋体"/>
          <w:color w:val="auto"/>
          <w:sz w:val="24"/>
          <w:highlight w:val="none"/>
        </w:rPr>
        <w:t xml:space="preserve">日期：</w:t>
      </w:r>
      <w:r>
        <w:rPr>
          <w:rFonts w:ascii="宋体"/>
          <w:color w:val="auto"/>
          <w:sz w:val="24"/>
          <w:highlight w:val="none"/>
        </w:rPr>
        <w:t xml:space="preserve">  </w:t>
      </w:r>
      <w:r/>
    </w:p>
    <w:p>
      <w:pPr>
        <w:ind w:right="-5"/>
        <w:spacing w:line="440" w:lineRule="exact"/>
        <w:rPr>
          <w:rFonts w:ascii="仿宋_GB2312" w:eastAsia="仿宋_GB2312"/>
          <w:b/>
          <w:color w:val="auto"/>
          <w:highlight w:val="none"/>
        </w:rPr>
      </w:pPr>
      <w:r>
        <w:rPr>
          <w:rFonts w:ascii="宋体"/>
          <w:color w:val="auto"/>
          <w:sz w:val="24"/>
          <w:highlight w:val="none"/>
        </w:rPr>
        <w:t xml:space="preserve">                                </w:t>
      </w:r>
      <w:r>
        <w:rPr>
          <w:rFonts w:ascii="宋体"/>
          <w:color w:val="auto"/>
          <w:sz w:val="24"/>
          <w:highlight w:val="none"/>
        </w:rPr>
        <w:tab/>
      </w:r>
      <w:r>
        <w:rPr>
          <w:rFonts w:ascii="宋体"/>
          <w:color w:val="auto"/>
          <w:sz w:val="24"/>
          <w:highlight w:val="none"/>
        </w:rPr>
        <w:tab/>
      </w:r>
      <w:r>
        <w:rPr>
          <w:rFonts w:ascii="宋体"/>
          <w:color w:val="auto"/>
          <w:sz w:val="24"/>
          <w:highlight w:val="none"/>
        </w:rPr>
        <w:t xml:space="preserve">     </w:t>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color w:val="auto"/>
          <w:sz w:val="24"/>
          <w:highlight w:val="none"/>
        </w:rPr>
      </w:r>
      <w:r/>
    </w:p>
    <w:p>
      <w:pPr>
        <w:spacing w:line="440" w:lineRule="exact"/>
        <w:rPr>
          <w:rFonts w:ascii="Arial" w:hAnsi="Arial" w:cs="Arial"/>
          <w:color w:val="auto"/>
          <w:sz w:val="24"/>
          <w:highlight w:val="none"/>
        </w:rPr>
      </w:pPr>
      <w:r>
        <w:rPr>
          <w:rFonts w:hint="eastAsia" w:ascii="Arial" w:hAnsi="Arial" w:eastAsia="宋体" w:cs="Arial"/>
          <w:color w:val="auto"/>
          <w:sz w:val="24"/>
          <w:highlight w:val="none"/>
        </w:rPr>
        <w:t xml:space="preserve">附件</w:t>
      </w:r>
      <w:r>
        <w:rPr>
          <w:rFonts w:hint="eastAsia" w:ascii="Arial" w:hAnsi="Arial" w:eastAsia="宋体" w:cs="Arial"/>
          <w:color w:val="auto"/>
          <w:sz w:val="24"/>
          <w:highlight w:val="none"/>
          <w:lang w:val="en-US" w:eastAsia="zh-CN"/>
        </w:rPr>
        <w:t xml:space="preserve">9</w:t>
      </w:r>
      <w:r>
        <w:rPr>
          <w:rFonts w:hint="eastAsia" w:ascii="Arial" w:hAnsi="Arial" w:eastAsia="宋体" w:cs="Arial"/>
          <w:color w:val="auto"/>
          <w:sz w:val="24"/>
          <w:highlight w:val="none"/>
        </w:rPr>
        <w:t xml:space="preserve"> .供货及安装日期</w:t>
      </w:r>
      <w:r>
        <w:rPr>
          <w:rFonts w:hint="eastAsia" w:ascii="Arial" w:hAnsi="Arial" w:cs="Arial"/>
          <w:color w:val="auto"/>
          <w:sz w:val="24"/>
          <w:highlight w:val="none"/>
        </w:rPr>
        <w:t xml:space="preserve">和质量保证期及售后服务承诺</w:t>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t xml:space="preserve">投标人授权代表（签字）</w:t>
      </w:r>
      <w:r>
        <w:rPr>
          <w:rFonts w:hint="eastAsia" w:ascii="Arial" w:hAnsi="Arial" w:cs="Arial"/>
          <w:color w:val="auto"/>
          <w:sz w:val="24"/>
          <w:highlight w:val="none"/>
        </w:rPr>
        <w:t xml:space="preserve">：</w:t>
      </w:r>
      <w:r/>
    </w:p>
    <w:p>
      <w:pPr>
        <w:ind w:firstLine="5494"/>
        <w:spacing w:line="440" w:lineRule="exact"/>
        <w:rPr>
          <w:rFonts w:ascii="Arial" w:hAnsi="Arial" w:cs="Arial"/>
          <w:color w:val="auto"/>
          <w:sz w:val="24"/>
          <w:highlight w:val="none"/>
        </w:rPr>
      </w:pPr>
      <w:r>
        <w:rPr>
          <w:rFonts w:ascii="Arial" w:hAnsi="Arial" w:cs="Arial"/>
          <w:color w:val="auto"/>
          <w:sz w:val="24"/>
          <w:highlight w:val="none"/>
        </w:rPr>
        <w:t xml:space="preserve">日期：</w:t>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color w:val="auto"/>
          <w:sz w:val="24"/>
          <w:highlight w:val="none"/>
        </w:rPr>
      </w:r>
      <w:r/>
    </w:p>
    <w:p>
      <w:pPr>
        <w:spacing w:line="440" w:lineRule="exact"/>
        <w:rPr>
          <w:rFonts w:hint="eastAsia" w:ascii="宋体" w:eastAsia="宋体"/>
          <w:color w:val="auto"/>
          <w:sz w:val="24"/>
          <w:highlight w:val="none"/>
          <w:lang w:eastAsia="zh-CN"/>
        </w:rPr>
      </w:pPr>
      <w:r>
        <w:rPr>
          <w:rFonts w:hint="eastAsia" w:ascii="Arial" w:hAnsi="Arial" w:cs="Arial"/>
          <w:color w:val="auto"/>
          <w:sz w:val="24"/>
          <w:highlight w:val="none"/>
        </w:rPr>
        <w:t xml:space="preserve">附件</w:t>
      </w:r>
      <w:r>
        <w:rPr>
          <w:rFonts w:hint="eastAsia" w:ascii="Arial" w:hAnsi="Arial" w:cs="Arial"/>
          <w:color w:val="auto"/>
          <w:sz w:val="24"/>
          <w:highlight w:val="none"/>
          <w:lang w:val="en-US" w:eastAsia="zh-CN"/>
        </w:rPr>
        <w:t xml:space="preserve">10</w:t>
      </w:r>
      <w:r>
        <w:rPr>
          <w:rFonts w:hint="eastAsia" w:ascii="Arial" w:hAnsi="Arial" w:cs="Arial"/>
          <w:color w:val="auto"/>
          <w:sz w:val="24"/>
          <w:highlight w:val="none"/>
        </w:rPr>
        <w:t xml:space="preserve">.</w:t>
      </w:r>
      <w:r>
        <w:rPr>
          <w:rFonts w:hint="eastAsia" w:ascii="宋体"/>
          <w:color w:val="auto"/>
          <w:sz w:val="24"/>
          <w:highlight w:val="none"/>
        </w:rPr>
        <w:t xml:space="preserve"> 《中小企业声明函》</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中小企业声明函（货物）</w:t>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i/>
          <w:iCs/>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i/>
          <w:iCs/>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i/>
          <w:i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（工业）行业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 </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i/>
          <w:iCs/>
          <w:color w:val="auto"/>
          <w:sz w:val="24"/>
          <w:szCs w:val="24"/>
          <w:highlight w:val="none"/>
          <w:u w:val="single"/>
        </w:rPr>
        <w:t xml:space="preserve">（标的名称）</w:t>
      </w:r>
      <w:r>
        <w:rPr>
          <w:rFonts w:hint="eastAsia" w:ascii="宋体" w:hAnsi="宋体" w:cs="宋体"/>
          <w:color w:val="auto"/>
          <w:sz w:val="24"/>
          <w:szCs w:val="24"/>
          <w:highlight w:val="none"/>
        </w:rPr>
        <w:t xml:space="preserve"> ，属于</w:t>
      </w:r>
      <w:r>
        <w:rPr>
          <w:rFonts w:hint="eastAsia" w:ascii="宋体" w:hAnsi="宋体" w:cs="宋体"/>
          <w:i/>
          <w:iCs/>
          <w:color w:val="auto"/>
          <w:sz w:val="24"/>
          <w:szCs w:val="24"/>
          <w:highlight w:val="none"/>
          <w:u w:val="single"/>
        </w:rPr>
        <w:t xml:space="preserve">（工业）行业</w:t>
      </w:r>
      <w:r>
        <w:rPr>
          <w:rFonts w:hint="eastAsia" w:ascii="宋体" w:hAnsi="宋体" w:cs="宋体"/>
          <w:color w:val="auto"/>
          <w:sz w:val="24"/>
          <w:szCs w:val="24"/>
          <w:highlight w:val="none"/>
        </w:rPr>
        <w:t xml:space="preserve">；制造商为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本企业对上述声明内容的真实性负责。如有虚假，将依法承担响应责任。</w:t>
      </w:r>
      <w:r/>
    </w:p>
    <w:p>
      <w:pPr>
        <w:ind w:firstLine="441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 期：      </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5"/>
        <w:spacing w:line="440" w:lineRule="exact"/>
        <w:rPr>
          <w:rFonts w:ascii="宋体" w:hAnsi="宋体"/>
          <w:b/>
          <w:color w:val="auto"/>
          <w:sz w:val="24"/>
          <w:szCs w:val="24"/>
          <w:highlight w:val="none"/>
        </w:rPr>
      </w:pPr>
      <w:r>
        <w:rPr>
          <w:rFonts w:hint="eastAsia" w:ascii="宋体" w:hAnsi="宋体"/>
          <w:color w:val="auto"/>
          <w:spacing w:val="6"/>
          <w:sz w:val="24"/>
          <w:szCs w:val="24"/>
          <w:highlight w:val="none"/>
        </w:rPr>
        <w:t xml:space="preserve">      </w:t>
      </w:r>
      <w:r/>
    </w:p>
    <w:p>
      <w:pPr>
        <w:ind w:right="-5"/>
        <w:spacing w:line="440" w:lineRule="exact"/>
        <w:rPr>
          <w:rFonts w:ascii="宋体" w:hAnsi="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
          <w:color w:val="auto"/>
          <w:sz w:val="24"/>
          <w:szCs w:val="24"/>
          <w:highlight w:val="none"/>
        </w:rPr>
      </w:r>
      <w:r/>
    </w:p>
    <w:p>
      <w:pPr>
        <w:ind w:right="-5"/>
        <w:spacing w:line="440" w:lineRule="exact"/>
        <w:rPr>
          <w:rFonts w:eastAsia="黑体"/>
          <w:b/>
          <w:color w:val="auto"/>
          <w:sz w:val="36"/>
          <w:highlight w:val="none"/>
        </w:rPr>
      </w:pPr>
      <w:r>
        <w:rPr>
          <w:rFonts w:eastAsia="黑体"/>
          <w:b/>
          <w:color w:val="auto"/>
          <w:sz w:val="36"/>
          <w:highlight w:val="none"/>
        </w:rPr>
        <w:t xml:space="preserve"> </w:t>
      </w:r>
      <w:r>
        <w:rPr>
          <w:rFonts w:hint="eastAsia" w:eastAsia="黑体"/>
          <w:b/>
          <w:color w:val="auto"/>
          <w:sz w:val="36"/>
          <w:highlight w:val="none"/>
        </w:rPr>
        <w:t xml:space="preserve">资格证明文件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目   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供参考、以招标文件第一章（申请人资格要求为准）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  具有独立承担民事责任的能力，提供法人或其他组织的营业执照等证明文件，复印件加盖公章。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   法人代表授权书（原件）及法定代表人、授权代表身份证复印件（如果是法定代表人直接参与投标的可以不提供授权书）。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rPr>
          <w:rFonts w:ascii="SimSun" w:hAnsi="SimSun" w:eastAsia="SimSun" w:cs="SimSun"/>
          <w:b/>
          <w:color w:val="000000"/>
          <w:sz w:val="24"/>
        </w:rPr>
        <w:t xml:space="preserve">供应商必须是所投产品的制造商或代理商，若投标人不是投标产品制造商的，投标人必须提供有效的产品授权书（本条只适用于进口产品）)。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具有良好的商业信誉和健全的财务会计制度，提供距开标时间半年内任意一月份的财务状况报告（至少包括资产负债表和利润表）（法人或者其他组织成立未满三个月的可以不提供），或其银行出具的资信证书（复印件）（开标前半年内），或其2023年度或2024年度经审计的财务报告复印件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   参加政府采购活动近三年内（成立时间不足三年的、自成立时间起），在经营活动中没有重大违法记录（提供承诺书，格式见后附件）。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   有依法缴纳税收的良好记录，提供距开标时间半年内任意一月份的纳税凭据复印件加盖公章（依法免税的应提供相应文件说明）。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格式七有依法缴纳社会保障资金的良好记录，提供距开标时间半年内内任意一月份的依法缴纳社会保障资金的凭据复印件加盖公章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 供应商必须具有下列文件（本条只适用于医疗器械产品）：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a.提供涵盖此次产品范围的医疗器械经营许可证（生产企业参与投标不需提供)(原件扫描件)；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b.提供医疗器械生产许可证、医疗器械注册证（原件扫描件)(国产产品必须具备两证、进口产品只需医疗器械注册证)。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格式九 具有履行合同所必需的设备和专业技术能力（根据项目需求提供履行合同所必需的设备和专业技术能力的证明材料）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格式十供应商认为需要提供的其他证明文件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备注：对本章所有的投标文件格式，投标单位可根据自身情况进行补充和修改，但补充和修改不得造成与本格式内容有实质性的违背。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 具有独立承担民事责任的能力，提供法人或其他组织的营业执照等证明文件，复印件加盖公章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5"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法人代表授权书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rPr>
          <w:rFonts w:ascii="SimSun" w:hAnsi="SimSun" w:eastAsia="SimSun" w:cs="SimSun"/>
          <w:color w:val="000000"/>
          <w:sz w:val="24"/>
        </w:rPr>
        <w:t xml:space="preserve">本授权委托书声明：我</w:t>
      </w:r>
      <w:r>
        <w:rPr>
          <w:rFonts w:ascii="Calibri" w:hAnsi="Calibri" w:eastAsia="Calibri" w:cs="Calibri"/>
          <w:b/>
          <w:color w:val="000000"/>
          <w:sz w:val="21"/>
          <w:u w:val="single"/>
        </w:rPr>
        <w:t xml:space="preserve">          </w:t>
      </w:r>
      <w:r>
        <w:rPr>
          <w:rFonts w:ascii="SimSun" w:hAnsi="SimSun" w:eastAsia="SimSun" w:cs="SimSun"/>
          <w:color w:val="000000"/>
          <w:sz w:val="24"/>
        </w:rPr>
        <w:t xml:space="preserve">（姓名）系 </w:t>
      </w:r>
      <w:r>
        <w:rPr>
          <w:rFonts w:ascii="Calibri" w:hAnsi="Calibri" w:eastAsia="Calibri" w:cs="Calibri"/>
          <w:b/>
          <w:color w:val="000000"/>
          <w:sz w:val="21"/>
          <w:u w:val="single"/>
        </w:rPr>
        <w:t xml:space="preserve">          </w:t>
      </w:r>
      <w:r>
        <w:rPr>
          <w:rFonts w:ascii="SimSun" w:hAnsi="SimSun" w:eastAsia="SimSun" w:cs="SimSun"/>
          <w:color w:val="000000"/>
          <w:sz w:val="24"/>
        </w:rPr>
        <w:t xml:space="preserve">（单位名称）的法定代表人，现授权委托   </w:t>
      </w:r>
      <w:r>
        <w:rPr>
          <w:rFonts w:ascii="Calibri" w:hAnsi="Calibri" w:eastAsia="Calibri" w:cs="Calibri"/>
          <w:b/>
          <w:color w:val="000000"/>
          <w:sz w:val="21"/>
          <w:u w:val="single"/>
        </w:rPr>
        <w:t xml:space="preserve">             </w:t>
      </w:r>
      <w:r>
        <w:rPr>
          <w:rFonts w:ascii="SimSun" w:hAnsi="SimSun" w:eastAsia="SimSun" w:cs="SimSun"/>
          <w:color w:val="000000"/>
          <w:sz w:val="24"/>
        </w:rPr>
        <w:t xml:space="preserve">（单位名称） </w:t>
      </w:r>
      <w:r>
        <w:rPr>
          <w:rFonts w:ascii="Calibri" w:hAnsi="Calibri" w:eastAsia="Calibri" w:cs="Calibri"/>
          <w:b/>
          <w:color w:val="000000"/>
          <w:sz w:val="21"/>
          <w:u w:val="single"/>
        </w:rPr>
        <w:t xml:space="preserve">           </w:t>
      </w:r>
      <w:r>
        <w:rPr>
          <w:rFonts w:ascii="SimSun" w:hAnsi="SimSun" w:eastAsia="SimSun" w:cs="SimSun"/>
          <w:color w:val="000000"/>
          <w:sz w:val="24"/>
        </w:rPr>
        <w:t xml:space="preserve">（姓名）为我的授权委托人，以 </w:t>
      </w:r>
      <w:r>
        <w:rPr>
          <w:rFonts w:ascii="Calibri" w:hAnsi="Calibri" w:eastAsia="Calibri" w:cs="Calibri"/>
          <w:b/>
          <w:color w:val="000000"/>
          <w:sz w:val="21"/>
          <w:u w:val="single"/>
        </w:rPr>
        <w:t xml:space="preserve">              </w:t>
      </w:r>
      <w:r>
        <w:rPr>
          <w:rFonts w:ascii="SimSun" w:hAnsi="SimSun" w:eastAsia="SimSun" w:cs="SimSun"/>
          <w:color w:val="000000"/>
          <w:sz w:val="24"/>
        </w:rPr>
        <w:t xml:space="preserve">（单位名称）的名义参加</w:t>
      </w:r>
      <w:r>
        <w:rPr>
          <w:rFonts w:ascii="Calibri" w:hAnsi="Calibri" w:eastAsia="Calibri" w:cs="Calibri"/>
          <w:b/>
          <w:color w:val="000000"/>
          <w:sz w:val="21"/>
          <w:u w:val="single"/>
        </w:rPr>
        <w:t xml:space="preserve">           </w:t>
      </w:r>
      <w:r>
        <w:rPr>
          <w:rFonts w:ascii="SimSun" w:hAnsi="SimSun" w:eastAsia="SimSun" w:cs="SimSun"/>
          <w:color w:val="000000"/>
          <w:sz w:val="24"/>
        </w:rPr>
        <w:t xml:space="preserve"> （招标代理机构名称）的  </w:t>
      </w:r>
      <w:r>
        <w:rPr>
          <w:rFonts w:ascii="Calibri" w:hAnsi="Calibri" w:eastAsia="Calibri" w:cs="Calibri"/>
          <w:b/>
          <w:color w:val="000000"/>
          <w:sz w:val="21"/>
          <w:u w:val="single"/>
        </w:rPr>
        <w:t xml:space="preserve">                   </w:t>
      </w:r>
      <w:r>
        <w:rPr>
          <w:rFonts w:ascii="Calibri" w:hAnsi="Calibri" w:eastAsia="Calibri" w:cs="Calibri"/>
          <w:b/>
          <w:color w:val="000000"/>
          <w:sz w:val="21"/>
        </w:rPr>
        <w:t xml:space="preserve"> </w:t>
      </w:r>
      <w:r>
        <w:rPr>
          <w:rFonts w:ascii="SimSun" w:hAnsi="SimSun" w:eastAsia="SimSun" w:cs="SimSun"/>
          <w:color w:val="000000"/>
          <w:sz w:val="24"/>
        </w:rPr>
        <w:t xml:space="preserve">项目的投标活动。授权委托人签署的一切文件和处理与之有关的一切事务，我均予以承认。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rPr>
          <w:rFonts w:ascii="SimSun" w:hAnsi="SimSun" w:eastAsia="SimSun" w:cs="SimSun"/>
          <w:color w:val="000000"/>
          <w:sz w:val="24"/>
        </w:rPr>
        <w:t xml:space="preserve"> 授权委托人无权再委权，特此委托。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 </w:t>
      </w:r>
      <w:r>
        <w:rPr>
          <w:rFonts w:ascii="Calibri" w:hAnsi="Calibri" w:eastAsia="Calibri" w:cs="Calibri"/>
          <w:b/>
          <w:color w:val="000000"/>
          <w:sz w:val="21"/>
          <w:u w:val="single"/>
        </w:rPr>
        <w:t xml:space="preserve">           </w:t>
      </w:r>
      <w:r>
        <w:rPr>
          <w:rFonts w:ascii="SimSun" w:hAnsi="SimSun" w:eastAsia="SimSun" w:cs="SimSun"/>
          <w:color w:val="000000"/>
          <w:sz w:val="24"/>
        </w:rPr>
        <w:t xml:space="preserve"> 性别：</w:t>
      </w:r>
      <w:r>
        <w:rPr>
          <w:rFonts w:ascii="Calibri" w:hAnsi="Calibri" w:eastAsia="Calibri" w:cs="Calibri"/>
          <w:b/>
          <w:color w:val="000000"/>
          <w:sz w:val="21"/>
          <w:u w:val="single"/>
        </w:rPr>
        <w:t xml:space="preserve">  </w:t>
      </w:r>
      <w:r>
        <w:rPr>
          <w:rFonts w:ascii="SimSun" w:hAnsi="SimSun" w:eastAsia="SimSun" w:cs="SimSun"/>
          <w:b/>
          <w:color w:val="000000"/>
          <w:sz w:val="21"/>
          <w:u w:val="single"/>
        </w:rPr>
        <w:t xml:space="preserve">     </w:t>
      </w:r>
      <w:r>
        <w:rPr>
          <w:rFonts w:ascii="Calibri" w:hAnsi="Calibri" w:eastAsia="Calibri" w:cs="Calibri"/>
          <w:b/>
          <w:color w:val="000000"/>
          <w:sz w:val="21"/>
          <w:u w:val="single"/>
        </w:rPr>
        <w:t xml:space="preserve">  </w:t>
      </w:r>
      <w:r>
        <w:rPr>
          <w:rFonts w:ascii="SimSun" w:hAnsi="SimSun" w:eastAsia="SimSun" w:cs="SimSun"/>
          <w:color w:val="000000"/>
          <w:sz w:val="24"/>
        </w:rPr>
        <w:t xml:space="preserve">年龄： </w:t>
      </w:r>
      <w:r>
        <w:rPr>
          <w:rFonts w:ascii="Calibri" w:hAnsi="Calibri" w:eastAsia="Calibri" w:cs="Calibri"/>
          <w:b/>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w:t>
      </w:r>
      <w:r>
        <w:rPr>
          <w:rFonts w:ascii="Calibri" w:hAnsi="Calibri" w:eastAsia="Calibri" w:cs="Calibri"/>
          <w:b/>
          <w:color w:val="000000"/>
          <w:sz w:val="21"/>
          <w:u w:val="single"/>
        </w:rPr>
        <w:t xml:space="preserve">                    </w:t>
      </w:r>
      <w:r>
        <w:rPr>
          <w:rFonts w:ascii="SimSun" w:hAnsi="SimSun" w:eastAsia="SimSun" w:cs="SimSun"/>
          <w:color w:val="000000"/>
          <w:sz w:val="24"/>
        </w:rPr>
        <w:t xml:space="preserve">部门：</w:t>
      </w:r>
      <w:r>
        <w:rPr>
          <w:rFonts w:ascii="Calibri" w:hAnsi="Calibri" w:eastAsia="Calibri" w:cs="Calibri"/>
          <w:b/>
          <w:color w:val="000000"/>
          <w:sz w:val="21"/>
          <w:u w:val="single"/>
        </w:rPr>
        <w:t xml:space="preserve">  </w:t>
      </w:r>
      <w:r>
        <w:rPr>
          <w:rFonts w:ascii="SimSun" w:hAnsi="SimSun" w:eastAsia="SimSun" w:cs="SimSun"/>
          <w:b/>
          <w:color w:val="000000"/>
          <w:sz w:val="21"/>
          <w:u w:val="single"/>
        </w:rPr>
        <w:t xml:space="preserve"> </w:t>
      </w:r>
      <w:r>
        <w:rPr>
          <w:rFonts w:ascii="Calibri" w:hAnsi="Calibri" w:eastAsia="Calibri" w:cs="Calibri"/>
          <w:b/>
          <w:color w:val="000000"/>
          <w:sz w:val="21"/>
          <w:u w:val="single"/>
        </w:rPr>
        <w:t xml:space="preserve">      </w:t>
      </w:r>
      <w:r>
        <w:rPr>
          <w:rFonts w:ascii="SimSun" w:hAnsi="SimSun" w:eastAsia="SimSun" w:cs="SimSun"/>
          <w:color w:val="000000"/>
          <w:sz w:val="24"/>
        </w:rPr>
        <w:t xml:space="preserve">职务： </w:t>
      </w:r>
      <w:r>
        <w:rPr>
          <w:rFonts w:ascii="Calibri" w:hAnsi="Calibri" w:eastAsia="Calibri" w:cs="Calibri"/>
          <w:b/>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344" w:right="0" w:hanging="344"/>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rPr>
          <w:rFonts w:ascii="SimSun" w:hAnsi="SimSun" w:eastAsia="SimSun" w:cs="SimSun"/>
          <w:color w:val="000000"/>
          <w:sz w:val="24"/>
        </w:rPr>
        <w:t xml:space="preserve">法定代表人（签字或盖章）：</w:t>
      </w:r>
      <w:r>
        <w:rPr>
          <w:rFonts w:ascii="Calibri" w:hAnsi="Calibri" w:eastAsia="Calibri" w:cs="Calibri"/>
          <w:b/>
          <w:color w:val="000000"/>
          <w:sz w:val="21"/>
          <w:u w:val="single"/>
        </w:rPr>
        <w:t xml:space="preserve">                        </w:t>
      </w:r>
      <w:r/>
    </w:p>
    <w:p>
      <w:pPr>
        <w:ind w:left="1275" w:right="0" w:firstLine="179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附：法定代表人、投标人授权代表的身份证复印件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制造商授权书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rPr>
          <w:rFonts w:ascii="SimSun" w:hAnsi="SimSun" w:eastAsia="SimSun" w:cs="SimSun"/>
          <w:color w:val="000000"/>
          <w:sz w:val="24"/>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代表我方在中华人民共和国办理贵方第</w:t>
      </w:r>
      <w:r>
        <w:rPr>
          <w:rFonts w:ascii="SimSun" w:hAnsi="SimSun" w:eastAsia="SimSun" w:cs="SimSun"/>
          <w:color w:val="000000"/>
          <w:sz w:val="24"/>
          <w:u w:val="single"/>
        </w:rPr>
        <w:t xml:space="preserve">    </w:t>
      </w:r>
      <w:r>
        <w:rPr>
          <w:rFonts w:ascii="SimSun" w:hAnsi="SimSun" w:eastAsia="SimSun" w:cs="SimSun"/>
          <w:color w:val="000000"/>
          <w:sz w:val="24"/>
        </w:rPr>
        <w:t xml:space="preserve">号公开招标要求提供的由我方制造的产品的有关事宜，并对我方具有约束力。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作为制造商，我方保证以公开投标合作者来约束自己，并对该公开投标共同和分别承担投标文件中所规定的义务。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我方兹授予（贸易公司名称）全权办理和履行上述我方为完成上述各点所必须的事宜，具有替换或撤消的全权。兹确认（贸易公司名称）或其正式授权代表依此合法地办理一切事宜。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我方于  年  月  日签署本文件，（贸易公司名称）于  年  月  日接受此件，以此为证。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rPr>
          <w:rFonts w:ascii="SimSun" w:hAnsi="SimSun" w:eastAsia="SimSun" w:cs="SimSun"/>
          <w:b/>
          <w:color w:val="000000"/>
          <w:sz w:val="21"/>
          <w:u w:val="single"/>
        </w:rPr>
        <w:t xml:space="preserve">（盖章）</w:t>
      </w:r>
      <w:r>
        <w:rPr>
          <w:rFonts w:ascii="SimSun" w:hAnsi="SimSun" w:eastAsia="SimSun" w:cs="SimSun"/>
          <w:color w:val="000000"/>
          <w:sz w:val="24"/>
          <w:u w:val="single"/>
        </w:rPr>
        <w:t xml:space="preserve">  </w:t>
      </w:r>
      <w:r>
        <w:rPr>
          <w:rFonts w:ascii="Calibri" w:hAnsi="Calibri" w:eastAsia="Calibri" w:cs="Calibri"/>
          <w:b/>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签字人姓名 </w:t>
      </w:r>
      <w:r>
        <w:rPr>
          <w:rFonts w:ascii="Calibri" w:hAnsi="Calibri" w:eastAsia="Calibri" w:cs="Calibri"/>
          <w:b/>
          <w:color w:val="000000"/>
          <w:sz w:val="21"/>
          <w:u w:val="single"/>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签字人签名  </w:t>
      </w:r>
      <w:r>
        <w:rPr>
          <w:rFonts w:ascii="Calibri" w:hAnsi="Calibri" w:eastAsia="Calibri" w:cs="Calibri"/>
          <w:b/>
          <w:color w:val="000000"/>
          <w:sz w:val="21"/>
        </w:rPr>
        <w:t xml:space="preserve">                           </w:t>
      </w:r>
      <w:r>
        <w:rPr>
          <w:rFonts w:ascii="SimSun" w:hAnsi="SimSun" w:eastAsia="SimSun" w:cs="SimSun"/>
          <w:color w:val="000000"/>
          <w:sz w:val="24"/>
        </w:rPr>
        <w:t xml:space="preserve"> </w:t>
      </w:r>
      <w:r>
        <w:rPr>
          <w:rFonts w:ascii="Calibri" w:hAnsi="Calibri" w:eastAsia="Calibri" w:cs="Calibri"/>
          <w:b/>
          <w:color w:val="000000"/>
          <w:sz w:val="21"/>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 具有良好的商业信誉和健全的财务会计制度，提供距开标时间半年内任意一月份的财务状况报告（至少包括资产负债表和利润表）（法人或者其他组织成立未满三个月的可以不提供），或其银行出具的资信证书（复印件）（开标前半年内），或其2023年度或2024年度经审计的财务报告复印件加盖公章</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格式五参加采购活动近三年内（成立时间不足三年的、自成立时间起），在经营活动中没有重大违法记录（提供承诺书）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3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483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br/>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格式六有依法缴纳税收的良好记录，提供距开标时间半年内任意一月份的纳税凭据复印件加盖公章（依法免税的应提供相应文件说明）。</w:t>
      </w:r>
      <w:r/>
    </w:p>
    <w:p>
      <w:pPr>
        <w:ind w:left="483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格式七有依法缴纳社会保障资金的良好记录，提供距开标时间半年内任意一月份的依法缴纳社会保障资金的凭据复印件加盖公章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格式八投标人认为其需要提供的其他资格证明文件。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供应商必须具有下列文件（本条只适用于医疗器械产品）：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a.提供涵盖此次产品范围的医疗器械经营许可证（生产企业参与投标不需提供)(原件扫描件)；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b.提供医疗器械生产许可证、医疗器械注册证（原件扫描件)(国产产品必须具备两证、进口产品只需医疗器械注册证)。</w:t>
      </w:r>
      <w:r>
        <w:rPr>
          <w:rFonts w:ascii="Arial" w:hAnsi="Arial" w:eastAsia="Arial" w:cs="Arial"/>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54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格式九 具有履行合同所必需的设备和专业技术能力（根据项目需求提供履行合同所必需的设备和专业技术能力的证明材料）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苏美达国际技术贸易有限公司：</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。(若有)</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。(若有)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其他证明材料及文件：（如果投标人认为需要提供的话）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格式十供应商认为需要提供的其他证明文件</w:t>
      </w:r>
      <w:r/>
    </w:p>
    <w:p>
      <w:pPr>
        <w:rPr>
          <w:color w:val="auto"/>
          <w:highlight w:val="none"/>
        </w:rPr>
      </w:pPr>
      <w:r>
        <w:rPr>
          <w:color w:val="auto"/>
          <w:highlight w:val="none"/>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Formata">
    <w:panose1 w:val="020B0503020202020204"/>
  </w:font>
  <w:font w:name="Tahoma">
    <w:panose1 w:val="020B0604030504040204"/>
  </w:font>
  <w:font w:name="华文新魏">
    <w:panose1 w:val="0201080004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Style w:val="1259"/>
      </w:rPr>
      <w:framePr w:wrap="around" w:vAnchor="text" w:hAnchor="margin" w:xAlign="center" w:y="1"/>
    </w:pPr>
    <w:r>
      <w:rPr>
        <w:rStyle w:val="1259"/>
        <w:rFonts w:hint="eastAsia"/>
      </w:rPr>
      <w:t xml:space="preserve">            </w:t>
    </w:r>
    <w:r/>
  </w:p>
  <w:p>
    <w:pPr>
      <w:pStyle w:val="1242"/>
      <w:rPr>
        <w:rStyle w:val="1259"/>
      </w:rPr>
      <w:framePr w:wrap="around" w:vAnchor="text" w:hAnchor="page" w:x="6104" w:y="52"/>
    </w:pPr>
    <w:r>
      <w:rPr>
        <w:rStyle w:val="1259"/>
        <w:rFonts w:hint="eastAsia"/>
      </w:rPr>
      <w:t xml:space="preserve">                   </w:t>
    </w:r>
    <w:r/>
  </w:p>
  <w:p>
    <w:pPr>
      <w:pStyle w:val="124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rPr>
                        <w:rFonts w:hint="eastAsia"/>
                        <w:sz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2"/>
                            <w:jc w:val="center"/>
                          </w:pPr>
                          <w:r>
                            <w:fldChar w:fldCharType="begin"/>
                          </w:r>
                          <w:r>
                            <w:instrText xml:space="preserve"> PAGE   \* MERGEFORMAT </w:instrText>
                          </w:r>
                          <w:r>
                            <w:fldChar w:fldCharType="separate"/>
                          </w:r>
                          <w:r>
                            <w:rPr>
                              <w:lang w:val="zh-CN"/>
                            </w:rPr>
                            <w:t xml:space="preserve">18</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rPr>
                        <w:lang w:val="zh-CN"/>
                      </w:rPr>
                      <w:t xml:space="preserve">18</w:t>
                    </w:r>
                    <w:r>
                      <w:rPr>
                        <w:lang w:val="zh-CN"/>
                      </w:rPr>
                      <w:fldChar w:fldCharType="end"/>
                    </w:r>
                    <w:r/>
                  </w:p>
                </w:txbxContent>
              </v:textbox>
            </v:shape>
          </w:pict>
        </mc:Fallback>
      </mc:AlternateContent>
    </w:r>
    <w:r/>
  </w:p>
  <w:p>
    <w:pPr>
      <w:pStyle w:val="1242"/>
      <w:jc w:val="center"/>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2"/>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v:textbox>
            </v:shape>
          </w:pict>
        </mc:Fallback>
      </mc:AlternateContent>
    </w:r>
    <w:r/>
  </w:p>
  <w:p>
    <w:pPr>
      <w:pStyle w:val="124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255" cy="16256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35255" cy="16256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24</w:t>
                          </w:r>
                          <w:r>
                            <w:rPr>
                              <w:rFonts w:hint="eastAsia"/>
                              <w:sz w:val="18"/>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24</w:t>
                    </w:r>
                    <w:r>
                      <w:rPr>
                        <w:rFonts w:hint="eastAsia"/>
                        <w:sz w:val="18"/>
                      </w:rPr>
                      <w:fldChar w:fldCharType="end"/>
                    </w:r>
                    <w:r/>
                  </w:p>
                </w:txbxContent>
              </v:textbox>
            </v:shape>
          </w:pict>
        </mc:Fallback>
      </mc:AlternateContent>
    </w:r>
    <w:r>
      <w:rPr>
        <w:rFonts w:hint="eastAsia"/>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2"/>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v:textbox>
            </v:shape>
          </w:pict>
        </mc:Fallback>
      </mc:AlternateContent>
    </w:r>
    <w:r/>
  </w:p>
  <w:p>
    <w:pPr>
      <w:pStyle w:val="124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Style w:val="1259"/>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50</w:t>
                          </w:r>
                          <w:r>
                            <w:rPr>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50</w:t>
                    </w:r>
                    <w:r>
                      <w:rPr>
                        <w:sz w:val="18"/>
                      </w:rPr>
                      <w:fldChar w:fldCharType="end"/>
                    </w:r>
                    <w:r>
                      <w:rPr>
                        <w:rFonts w:hint="eastAsia"/>
                        <w:sz w:val="18"/>
                      </w:rPr>
                      <w:t xml:space="preserve"> 页</w:t>
                    </w:r>
                    <w:r/>
                  </w:p>
                </w:txbxContent>
              </v:textbox>
            </v:shape>
          </w:pict>
        </mc:Fallback>
      </mc:AlternateContent>
    </w:r>
    <w:r>
      <w:rPr>
        <w:rStyle w:val="1259"/>
        <w:rFonts w:hint="eastAsia"/>
      </w:rPr>
      <w:t xml:space="preserve">            </w:t>
    </w:r>
    <w:r/>
  </w:p>
  <w:p>
    <w:pPr>
      <w:pStyle w:val="1242"/>
      <w:rPr>
        <w:rStyle w:val="1259"/>
      </w:rPr>
      <w:framePr w:wrap="around" w:vAnchor="text" w:hAnchor="page" w:x="6104" w:y="52"/>
    </w:pPr>
    <w:r>
      <w:rPr>
        <w:rStyle w:val="1259"/>
        <w:rFonts w:hint="eastAsia"/>
      </w:rPr>
      <w:t xml:space="preserve">                   </w:t>
    </w:r>
    <w:r/>
  </w:p>
  <w:p>
    <w:pPr>
      <w:pStyle w:val="1242"/>
      <w:jc w:val="center"/>
      <w:rPr>
        <w:sz w:val="24"/>
        <w:szCs w:val="21"/>
      </w:rPr>
    </w:pPr>
    <w:r>
      <w:rPr>
        <w:sz w:val="24"/>
        <w:szCs w:val="21"/>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2"/>
                            <w:jc w:val="center"/>
                          </w:pPr>
                          <w:r>
                            <w:fldChar w:fldCharType="begin"/>
                          </w:r>
                          <w:r>
                            <w:instrText xml:space="preserve"> PAGE   \* MERGEFORMAT </w:instrText>
                          </w:r>
                          <w:r>
                            <w:fldChar w:fldCharType="separate"/>
                          </w:r>
                          <w:r>
                            <w:rPr>
                              <w:lang w:val="zh-CN"/>
                            </w:rPr>
                            <w:t xml:space="preserve">25</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rPr>
                        <w:lang w:val="zh-CN"/>
                      </w:rPr>
                      <w:t xml:space="preserve">25</w:t>
                    </w:r>
                    <w:r>
                      <w:rPr>
                        <w:lang w:val="zh-CN"/>
                      </w:rPr>
                      <w:fldChar w:fldCharType="end"/>
                    </w:r>
                    <w:r/>
                  </w:p>
                </w:txbxContent>
              </v:textbox>
            </v:shape>
          </w:pict>
        </mc:Fallback>
      </mc:AlternateContent>
    </w:r>
    <w:r/>
  </w:p>
  <w:p>
    <w:pPr>
      <w:pStyle w:val="124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Style w:val="1259"/>
      </w:rPr>
      <w:framePr w:wrap="around" w:vAnchor="text" w:hAnchor="margin" w:xAlign="center" w:y="1"/>
    </w:pPr>
    <w:r>
      <w:rPr>
        <w:rStyle w:val="1259"/>
        <w:rFonts w:hint="eastAsia"/>
      </w:rPr>
      <w:t xml:space="preserve">            </w:t>
    </w:r>
    <w:r/>
  </w:p>
  <w:p>
    <w:pPr>
      <w:pStyle w:val="1242"/>
      <w:rPr>
        <w:rStyle w:val="1259"/>
      </w:rPr>
      <w:framePr w:wrap="around" w:vAnchor="text" w:hAnchor="page" w:x="6104" w:y="52"/>
    </w:pPr>
    <w:r>
      <w:rPr>
        <w:rStyle w:val="1259"/>
        <w:rFonts w:hint="eastAsia"/>
      </w:rPr>
      <w:t xml:space="preserve">                   </w:t>
    </w:r>
    <w:r/>
  </w:p>
  <w:p>
    <w:pPr>
      <w:pStyle w:val="1242"/>
      <w:jc w:val="center"/>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4725" cy="147955"/>
              <wp:effectExtent l="0" t="0" r="0" b="0"/>
              <wp:wrapNone/>
              <wp:docPr id="8" name="文本框 1027"/>
              <wp:cNvGraphicFramePr/>
              <a:graphic xmlns:a="http://schemas.openxmlformats.org/drawingml/2006/main">
                <a:graphicData uri="http://schemas.microsoft.com/office/word/2010/wordprocessingShape">
                  <wps:wsp>
                    <wps:cNvPr id="0" name=""/>
                    <wps:cNvSpPr txBox="1"/>
                    <wps:spPr bwMode="auto">
                      <a:xfrm>
                        <a:off x="0" y="0"/>
                        <a:ext cx="974725" cy="147955"/>
                      </a:xfrm>
                      <a:prstGeom prst="rect">
                        <a:avLst/>
                      </a:prstGeom>
                      <a:noFill/>
                      <a:ln w="15875">
                        <a:noFill/>
                      </a:ln>
                    </wps:spPr>
                    <wps:txbx>
                      <w:txbxContent>
                        <w:p>
                          <w:pPr>
                            <w:pStyle w:val="1242"/>
                            <w:jc w:val="center"/>
                          </w:pPr>
                          <w:r>
                            <w:rPr>
                              <w:rFonts w:hint="eastAsia"/>
                            </w:rPr>
                            <w:t xml:space="preserve">第 </w:t>
                          </w:r>
                          <w:r>
                            <w:fldChar w:fldCharType="begin"/>
                          </w:r>
                          <w:r>
                            <w:instrText xml:space="preserve"> PAGE  \* MERGEFORMAT </w:instrText>
                          </w:r>
                          <w:r>
                            <w:fldChar w:fldCharType="separate"/>
                          </w:r>
                          <w:r>
                            <w:t xml:space="preserve">33</w:t>
                          </w:r>
                          <w:r>
                            <w:fldChar w:fldCharType="end"/>
                          </w:r>
                          <w:r>
                            <w:rPr>
                              <w:rFonts w:hint="eastAsia"/>
                            </w:rPr>
                            <w:t xml:space="preserve"> 页 共 43 页</w:t>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76.8pt;height:11.6pt;mso-wrap-distance-left:9.0pt;mso-wrap-distance-top:0.0pt;mso-wrap-distance-right:9.0pt;mso-wrap-distance-bottom:0.0pt;visibility:visible;" filled="f" stroked="f" strokeweight="1.25pt">
              <v:textbox inset="0,0,0,0">
                <w:txbxContent>
                  <w:p>
                    <w:pPr>
                      <w:pStyle w:val="1242"/>
                      <w:jc w:val="center"/>
                    </w:pPr>
                    <w:r>
                      <w:rPr>
                        <w:rFonts w:hint="eastAsia"/>
                      </w:rPr>
                      <w:t xml:space="preserve">第 </w:t>
                    </w:r>
                    <w:r>
                      <w:fldChar w:fldCharType="begin"/>
                    </w:r>
                    <w:r>
                      <w:instrText xml:space="preserve"> PAGE  \* MERGEFORMAT </w:instrText>
                    </w:r>
                    <w:r>
                      <w:fldChar w:fldCharType="separate"/>
                    </w:r>
                    <w:r>
                      <w:t xml:space="preserve">33</w:t>
                    </w:r>
                    <w:r>
                      <w:fldChar w:fldCharType="end"/>
                    </w:r>
                    <w:r>
                      <w:rPr>
                        <w:rFonts w:hint="eastAsia"/>
                      </w:rPr>
                      <w:t xml:space="preserve"> 页 共 43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2"/>
                            <w:jc w:val="center"/>
                          </w:pPr>
                          <w:r>
                            <w:fldChar w:fldCharType="begin"/>
                          </w:r>
                          <w:r>
                            <w:instrText xml:space="preserve"> PAGE   \* MERGEFORMAT </w:instrText>
                          </w:r>
                          <w:r>
                            <w:fldChar w:fldCharType="separate"/>
                          </w:r>
                          <w:r>
                            <w:rPr>
                              <w:lang w:val="zh-CN"/>
                            </w:rPr>
                            <w:t xml:space="preserve">29</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2"/>
                      <w:jc w:val="center"/>
                    </w:pPr>
                    <w:r>
                      <w:fldChar w:fldCharType="begin"/>
                    </w:r>
                    <w:r>
                      <w:instrText xml:space="preserve"> PAGE   \* MERGEFORMAT </w:instrText>
                    </w:r>
                    <w:r>
                      <w:fldChar w:fldCharType="separate"/>
                    </w:r>
                    <w:r>
                      <w:rPr>
                        <w:lang w:val="zh-CN"/>
                      </w:rPr>
                      <w:t xml:space="preserve">29</w:t>
                    </w:r>
                    <w:r>
                      <w:rPr>
                        <w:lang w:val="zh-CN"/>
                      </w:rPr>
                      <w:fldChar w:fldCharType="end"/>
                    </w:r>
                    <w:r/>
                  </w:p>
                </w:txbxContent>
              </v:textbox>
            </v:shape>
          </w:pict>
        </mc:Fallback>
      </mc:AlternateContent>
    </w:r>
    <w:r/>
  </w:p>
  <w:p>
    <w:pPr>
      <w:pStyle w:val="12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both"/>
      <w:rPr>
        <w:sz w:val="21"/>
      </w:rPr>
    </w:pPr>
    <w:r>
      <w:rPr>
        <w:rFonts w:hint="eastAsia"/>
      </w:rPr>
      <w:t xml:space="preserve">苏美达国际技术贸易有限公司</w:t>
    </w:r>
    <w:r>
      <w:t xml:space="preserve">                              </w:t>
    </w:r>
    <w:r>
      <w:rPr>
        <w:rFonts w:hint="eastAsia"/>
      </w:rPr>
      <w:t xml:space="preserve">                          </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0">
    <w:name w:val="Heading 1 Char"/>
    <w:basedOn w:val="1224"/>
    <w:link w:val="1220"/>
    <w:uiPriority w:val="9"/>
    <w:rPr>
      <w:rFonts w:ascii="Arial" w:hAnsi="Arial" w:eastAsia="Arial" w:cs="Arial"/>
      <w:sz w:val="40"/>
      <w:szCs w:val="40"/>
    </w:rPr>
  </w:style>
  <w:style w:type="character" w:styleId="1061">
    <w:name w:val="Heading 2 Char"/>
    <w:basedOn w:val="1224"/>
    <w:link w:val="1221"/>
    <w:uiPriority w:val="9"/>
    <w:rPr>
      <w:rFonts w:ascii="Arial" w:hAnsi="Arial" w:eastAsia="Arial" w:cs="Arial"/>
      <w:sz w:val="34"/>
    </w:rPr>
  </w:style>
  <w:style w:type="character" w:styleId="1062">
    <w:name w:val="Heading 3 Char"/>
    <w:basedOn w:val="1224"/>
    <w:link w:val="1222"/>
    <w:uiPriority w:val="9"/>
    <w:rPr>
      <w:rFonts w:ascii="Arial" w:hAnsi="Arial" w:eastAsia="Arial" w:cs="Arial"/>
      <w:sz w:val="30"/>
      <w:szCs w:val="30"/>
    </w:rPr>
  </w:style>
  <w:style w:type="character" w:styleId="1063">
    <w:name w:val="Heading 4 Char"/>
    <w:basedOn w:val="1224"/>
    <w:link w:val="1223"/>
    <w:uiPriority w:val="9"/>
    <w:rPr>
      <w:rFonts w:ascii="Arial" w:hAnsi="Arial" w:eastAsia="Arial" w:cs="Arial"/>
      <w:b/>
      <w:bCs/>
      <w:sz w:val="26"/>
      <w:szCs w:val="26"/>
    </w:rPr>
  </w:style>
  <w:style w:type="paragraph" w:styleId="1064">
    <w:name w:val="Heading 5"/>
    <w:basedOn w:val="1219"/>
    <w:next w:val="1219"/>
    <w:link w:val="1065"/>
    <w:uiPriority w:val="9"/>
    <w:unhideWhenUsed/>
    <w:qFormat/>
    <w:pPr>
      <w:keepLines/>
      <w:keepNext/>
      <w:spacing w:before="320" w:after="200"/>
      <w:outlineLvl w:val="4"/>
    </w:pPr>
    <w:rPr>
      <w:rFonts w:ascii="Arial" w:hAnsi="Arial" w:eastAsia="Arial" w:cs="Arial"/>
      <w:b/>
      <w:bCs/>
      <w:sz w:val="24"/>
      <w:szCs w:val="24"/>
    </w:rPr>
  </w:style>
  <w:style w:type="character" w:styleId="1065">
    <w:name w:val="Heading 5 Char"/>
    <w:basedOn w:val="1224"/>
    <w:link w:val="1064"/>
    <w:uiPriority w:val="9"/>
    <w:rPr>
      <w:rFonts w:ascii="Arial" w:hAnsi="Arial" w:eastAsia="Arial" w:cs="Arial"/>
      <w:b/>
      <w:bCs/>
      <w:sz w:val="24"/>
      <w:szCs w:val="24"/>
    </w:rPr>
  </w:style>
  <w:style w:type="paragraph" w:styleId="1066">
    <w:name w:val="Heading 6"/>
    <w:basedOn w:val="1219"/>
    <w:next w:val="1219"/>
    <w:link w:val="1067"/>
    <w:uiPriority w:val="9"/>
    <w:unhideWhenUsed/>
    <w:qFormat/>
    <w:pPr>
      <w:keepLines/>
      <w:keepNext/>
      <w:spacing w:before="320" w:after="200"/>
      <w:outlineLvl w:val="5"/>
    </w:pPr>
    <w:rPr>
      <w:rFonts w:ascii="Arial" w:hAnsi="Arial" w:eastAsia="Arial" w:cs="Arial"/>
      <w:b/>
      <w:bCs/>
      <w:sz w:val="22"/>
      <w:szCs w:val="22"/>
    </w:rPr>
  </w:style>
  <w:style w:type="character" w:styleId="1067">
    <w:name w:val="Heading 6 Char"/>
    <w:basedOn w:val="1224"/>
    <w:link w:val="1066"/>
    <w:uiPriority w:val="9"/>
    <w:rPr>
      <w:rFonts w:ascii="Arial" w:hAnsi="Arial" w:eastAsia="Arial" w:cs="Arial"/>
      <w:b/>
      <w:bCs/>
      <w:sz w:val="22"/>
      <w:szCs w:val="22"/>
    </w:rPr>
  </w:style>
  <w:style w:type="paragraph" w:styleId="1068">
    <w:name w:val="Heading 7"/>
    <w:basedOn w:val="1219"/>
    <w:next w:val="1219"/>
    <w:link w:val="1069"/>
    <w:uiPriority w:val="9"/>
    <w:unhideWhenUsed/>
    <w:qFormat/>
    <w:pPr>
      <w:keepLines/>
      <w:keepNext/>
      <w:spacing w:before="320" w:after="200"/>
      <w:outlineLvl w:val="6"/>
    </w:pPr>
    <w:rPr>
      <w:rFonts w:ascii="Arial" w:hAnsi="Arial" w:eastAsia="Arial" w:cs="Arial"/>
      <w:b/>
      <w:bCs/>
      <w:i/>
      <w:iCs/>
      <w:sz w:val="22"/>
      <w:szCs w:val="22"/>
    </w:rPr>
  </w:style>
  <w:style w:type="character" w:styleId="1069">
    <w:name w:val="Heading 7 Char"/>
    <w:basedOn w:val="1224"/>
    <w:link w:val="1068"/>
    <w:uiPriority w:val="9"/>
    <w:rPr>
      <w:rFonts w:ascii="Arial" w:hAnsi="Arial" w:eastAsia="Arial" w:cs="Arial"/>
      <w:b/>
      <w:bCs/>
      <w:i/>
      <w:iCs/>
      <w:sz w:val="22"/>
      <w:szCs w:val="22"/>
    </w:rPr>
  </w:style>
  <w:style w:type="paragraph" w:styleId="1070">
    <w:name w:val="Heading 8"/>
    <w:basedOn w:val="1219"/>
    <w:next w:val="1219"/>
    <w:link w:val="1071"/>
    <w:uiPriority w:val="9"/>
    <w:unhideWhenUsed/>
    <w:qFormat/>
    <w:pPr>
      <w:keepLines/>
      <w:keepNext/>
      <w:spacing w:before="320" w:after="200"/>
      <w:outlineLvl w:val="7"/>
    </w:pPr>
    <w:rPr>
      <w:rFonts w:ascii="Arial" w:hAnsi="Arial" w:eastAsia="Arial" w:cs="Arial"/>
      <w:i/>
      <w:iCs/>
      <w:sz w:val="22"/>
      <w:szCs w:val="22"/>
    </w:rPr>
  </w:style>
  <w:style w:type="character" w:styleId="1071">
    <w:name w:val="Heading 8 Char"/>
    <w:basedOn w:val="1224"/>
    <w:link w:val="1070"/>
    <w:uiPriority w:val="9"/>
    <w:rPr>
      <w:rFonts w:ascii="Arial" w:hAnsi="Arial" w:eastAsia="Arial" w:cs="Arial"/>
      <w:i/>
      <w:iCs/>
      <w:sz w:val="22"/>
      <w:szCs w:val="22"/>
    </w:rPr>
  </w:style>
  <w:style w:type="paragraph" w:styleId="1072">
    <w:name w:val="Heading 9"/>
    <w:basedOn w:val="1219"/>
    <w:next w:val="1219"/>
    <w:link w:val="1073"/>
    <w:uiPriority w:val="9"/>
    <w:unhideWhenUsed/>
    <w:qFormat/>
    <w:pPr>
      <w:keepLines/>
      <w:keepNext/>
      <w:spacing w:before="320" w:after="200"/>
      <w:outlineLvl w:val="8"/>
    </w:pPr>
    <w:rPr>
      <w:rFonts w:ascii="Arial" w:hAnsi="Arial" w:eastAsia="Arial" w:cs="Arial"/>
      <w:i/>
      <w:iCs/>
      <w:sz w:val="21"/>
      <w:szCs w:val="21"/>
    </w:rPr>
  </w:style>
  <w:style w:type="character" w:styleId="1073">
    <w:name w:val="Heading 9 Char"/>
    <w:basedOn w:val="1224"/>
    <w:link w:val="1072"/>
    <w:uiPriority w:val="9"/>
    <w:rPr>
      <w:rFonts w:ascii="Arial" w:hAnsi="Arial" w:eastAsia="Arial" w:cs="Arial"/>
      <w:i/>
      <w:iCs/>
      <w:sz w:val="21"/>
      <w:szCs w:val="21"/>
    </w:rPr>
  </w:style>
  <w:style w:type="paragraph" w:styleId="1074">
    <w:name w:val="No Spacing"/>
    <w:uiPriority w:val="1"/>
    <w:qFormat/>
    <w:pPr>
      <w:spacing w:before="0" w:after="0" w:line="240" w:lineRule="auto"/>
    </w:pPr>
  </w:style>
  <w:style w:type="character" w:styleId="1075">
    <w:name w:val="Title Char"/>
    <w:basedOn w:val="1224"/>
    <w:link w:val="1253"/>
    <w:uiPriority w:val="10"/>
    <w:rPr>
      <w:sz w:val="48"/>
      <w:szCs w:val="48"/>
    </w:rPr>
  </w:style>
  <w:style w:type="paragraph" w:styleId="1076">
    <w:name w:val="Subtitle"/>
    <w:basedOn w:val="1219"/>
    <w:next w:val="1219"/>
    <w:link w:val="1077"/>
    <w:uiPriority w:val="11"/>
    <w:qFormat/>
    <w:pPr>
      <w:spacing w:before="200" w:after="200"/>
    </w:pPr>
    <w:rPr>
      <w:sz w:val="24"/>
      <w:szCs w:val="24"/>
    </w:rPr>
  </w:style>
  <w:style w:type="character" w:styleId="1077">
    <w:name w:val="Subtitle Char"/>
    <w:basedOn w:val="1224"/>
    <w:link w:val="1076"/>
    <w:uiPriority w:val="11"/>
    <w:rPr>
      <w:sz w:val="24"/>
      <w:szCs w:val="24"/>
    </w:rPr>
  </w:style>
  <w:style w:type="paragraph" w:styleId="1078">
    <w:name w:val="Quote"/>
    <w:basedOn w:val="1219"/>
    <w:next w:val="1219"/>
    <w:link w:val="1079"/>
    <w:uiPriority w:val="29"/>
    <w:qFormat/>
    <w:pPr>
      <w:ind w:left="720" w:right="720"/>
    </w:pPr>
    <w:rPr>
      <w:i/>
    </w:rPr>
  </w:style>
  <w:style w:type="character" w:styleId="1079">
    <w:name w:val="Quote Char"/>
    <w:link w:val="1078"/>
    <w:uiPriority w:val="29"/>
    <w:rPr>
      <w:i/>
    </w:rPr>
  </w:style>
  <w:style w:type="paragraph" w:styleId="1080">
    <w:name w:val="Intense Quote"/>
    <w:basedOn w:val="1219"/>
    <w:next w:val="1219"/>
    <w:link w:val="10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1">
    <w:name w:val="Intense Quote Char"/>
    <w:link w:val="1080"/>
    <w:uiPriority w:val="30"/>
    <w:rPr>
      <w:i/>
    </w:rPr>
  </w:style>
  <w:style w:type="character" w:styleId="1082">
    <w:name w:val="Header Char"/>
    <w:basedOn w:val="1224"/>
    <w:link w:val="1243"/>
    <w:uiPriority w:val="99"/>
  </w:style>
  <w:style w:type="character" w:styleId="1083">
    <w:name w:val="Footer Char"/>
    <w:basedOn w:val="1224"/>
    <w:link w:val="1242"/>
    <w:uiPriority w:val="99"/>
  </w:style>
  <w:style w:type="paragraph" w:styleId="1084">
    <w:name w:val="Caption"/>
    <w:basedOn w:val="1219"/>
    <w:next w:val="1219"/>
    <w:uiPriority w:val="35"/>
    <w:semiHidden/>
    <w:unhideWhenUsed/>
    <w:qFormat/>
    <w:pPr>
      <w:spacing w:line="276" w:lineRule="auto"/>
    </w:pPr>
    <w:rPr>
      <w:b/>
      <w:bCs/>
      <w:color w:val="4f81bd" w:themeColor="accent1"/>
      <w:sz w:val="18"/>
      <w:szCs w:val="18"/>
    </w:rPr>
  </w:style>
  <w:style w:type="character" w:styleId="1085">
    <w:name w:val="Caption Char"/>
    <w:basedOn w:val="1084"/>
    <w:link w:val="1242"/>
    <w:uiPriority w:val="99"/>
  </w:style>
  <w:style w:type="table" w:styleId="1086">
    <w:name w:val="Table Grid Light"/>
    <w:basedOn w:val="12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7">
    <w:name w:val="Plain Table 1"/>
    <w:basedOn w:val="12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8">
    <w:name w:val="Plain Table 2"/>
    <w:basedOn w:val="12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9">
    <w:name w:val="Plain Table 3"/>
    <w:basedOn w:val="12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0">
    <w:name w:val="Plain Table 4"/>
    <w:basedOn w:val="12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1">
    <w:name w:val="Plain Table 5"/>
    <w:basedOn w:val="12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2">
    <w:name w:val="Grid Table 1 Light"/>
    <w:basedOn w:val="12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3">
    <w:name w:val="Grid Table 1 Light - Accent 1"/>
    <w:basedOn w:val="12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4">
    <w:name w:val="Grid Table 1 Light - Accent 2"/>
    <w:basedOn w:val="12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5">
    <w:name w:val="Grid Table 1 Light - Accent 3"/>
    <w:basedOn w:val="12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6">
    <w:name w:val="Grid Table 1 Light - Accent 4"/>
    <w:basedOn w:val="12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7">
    <w:name w:val="Grid Table 1 Light - Accent 5"/>
    <w:basedOn w:val="12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8">
    <w:name w:val="Grid Table 1 Light - Accent 6"/>
    <w:basedOn w:val="12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9">
    <w:name w:val="Grid Table 2"/>
    <w:basedOn w:val="12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0">
    <w:name w:val="Grid Table 2 - Accent 1"/>
    <w:basedOn w:val="12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1">
    <w:name w:val="Grid Table 2 - Accent 2"/>
    <w:basedOn w:val="12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2">
    <w:name w:val="Grid Table 2 - Accent 3"/>
    <w:basedOn w:val="12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3">
    <w:name w:val="Grid Table 2 - Accent 4"/>
    <w:basedOn w:val="12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4">
    <w:name w:val="Grid Table 2 - Accent 5"/>
    <w:basedOn w:val="12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5">
    <w:name w:val="Grid Table 2 - Accent 6"/>
    <w:basedOn w:val="12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6">
    <w:name w:val="Grid Table 3"/>
    <w:basedOn w:val="12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1"/>
    <w:basedOn w:val="12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2"/>
    <w:basedOn w:val="12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3 - Accent 3"/>
    <w:basedOn w:val="12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4"/>
    <w:basedOn w:val="12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3 - Accent 5"/>
    <w:basedOn w:val="12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2">
    <w:name w:val="Grid Table 3 - Accent 6"/>
    <w:basedOn w:val="12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4"/>
    <w:basedOn w:val="12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name w:val="Grid Table 4 - Accent 1"/>
    <w:basedOn w:val="12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5">
    <w:name w:val="Grid Table 4 - Accent 2"/>
    <w:basedOn w:val="12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6">
    <w:name w:val="Grid Table 4 - Accent 3"/>
    <w:basedOn w:val="12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7">
    <w:name w:val="Grid Table 4 - Accent 4"/>
    <w:basedOn w:val="12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8">
    <w:name w:val="Grid Table 4 - Accent 5"/>
    <w:basedOn w:val="12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9">
    <w:name w:val="Grid Table 4 - Accent 6"/>
    <w:basedOn w:val="12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0">
    <w:name w:val="Grid Table 5 Dark"/>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1">
    <w:name w:val="Grid Table 5 Dark- Accent 1"/>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2">
    <w:name w:val="Grid Table 5 Dark - Accent 2"/>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3">
    <w:name w:val="Grid Table 5 Dark - Accent 3"/>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4">
    <w:name w:val="Grid Table 5 Dark- Accent 4"/>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5">
    <w:name w:val="Grid Table 5 Dark - Accent 5"/>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6">
    <w:name w:val="Grid Table 5 Dark - Accent 6"/>
    <w:basedOn w:val="12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7">
    <w:name w:val="Grid Table 6 Colorful"/>
    <w:basedOn w:val="12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8">
    <w:name w:val="Grid Table 6 Colorful - Accent 1"/>
    <w:basedOn w:val="12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9">
    <w:name w:val="Grid Table 6 Colorful - Accent 2"/>
    <w:basedOn w:val="12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30">
    <w:name w:val="Grid Table 6 Colorful - Accent 3"/>
    <w:basedOn w:val="12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31">
    <w:name w:val="Grid Table 6 Colorful - Accent 4"/>
    <w:basedOn w:val="12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2">
    <w:name w:val="Grid Table 6 Colorful - Accent 5"/>
    <w:basedOn w:val="12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3">
    <w:name w:val="Grid Table 6 Colorful - Accent 6"/>
    <w:basedOn w:val="12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4">
    <w:name w:val="Grid Table 7 Colorful"/>
    <w:basedOn w:val="12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5">
    <w:name w:val="Grid Table 7 Colorful - Accent 1"/>
    <w:basedOn w:val="12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6">
    <w:name w:val="Grid Table 7 Colorful - Accent 2"/>
    <w:basedOn w:val="12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7">
    <w:name w:val="Grid Table 7 Colorful - Accent 3"/>
    <w:basedOn w:val="12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8">
    <w:name w:val="Grid Table 7 Colorful - Accent 4"/>
    <w:basedOn w:val="12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9">
    <w:name w:val="Grid Table 7 Colorful - Accent 5"/>
    <w:basedOn w:val="12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0">
    <w:name w:val="Grid Table 7 Colorful - Accent 6"/>
    <w:basedOn w:val="12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1">
    <w:name w:val="List Table 1 Light"/>
    <w:basedOn w:val="12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name w:val="List Table 1 Light - Accent 1"/>
    <w:basedOn w:val="12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3">
    <w:name w:val="List Table 1 Light - Accent 2"/>
    <w:basedOn w:val="12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4">
    <w:name w:val="List Table 1 Light - Accent 3"/>
    <w:basedOn w:val="12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5">
    <w:name w:val="List Table 1 Light - Accent 4"/>
    <w:basedOn w:val="12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6">
    <w:name w:val="List Table 1 Light - Accent 5"/>
    <w:basedOn w:val="12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7">
    <w:name w:val="List Table 1 Light - Accent 6"/>
    <w:basedOn w:val="12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8">
    <w:name w:val="List Table 2"/>
    <w:basedOn w:val="12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9">
    <w:name w:val="List Table 2 - Accent 1"/>
    <w:basedOn w:val="12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0">
    <w:name w:val="List Table 2 - Accent 2"/>
    <w:basedOn w:val="12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1">
    <w:name w:val="List Table 2 - Accent 3"/>
    <w:basedOn w:val="12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2">
    <w:name w:val="List Table 2 - Accent 4"/>
    <w:basedOn w:val="12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3">
    <w:name w:val="List Table 2 - Accent 5"/>
    <w:basedOn w:val="12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4">
    <w:name w:val="List Table 2 - Accent 6"/>
    <w:basedOn w:val="12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5">
    <w:name w:val="List Table 3"/>
    <w:basedOn w:val="12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6">
    <w:name w:val="List Table 3 - Accent 1"/>
    <w:basedOn w:val="12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7">
    <w:name w:val="List Table 3 - Accent 2"/>
    <w:basedOn w:val="12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8">
    <w:name w:val="List Table 3 - Accent 3"/>
    <w:basedOn w:val="12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9">
    <w:name w:val="List Table 3 - Accent 4"/>
    <w:basedOn w:val="12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60">
    <w:name w:val="List Table 3 - Accent 5"/>
    <w:basedOn w:val="12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61">
    <w:name w:val="List Table 3 - Accent 6"/>
    <w:basedOn w:val="12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2">
    <w:name w:val="List Table 4"/>
    <w:basedOn w:val="12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3">
    <w:name w:val="List Table 4 - Accent 1"/>
    <w:basedOn w:val="12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4">
    <w:name w:val="List Table 4 - Accent 2"/>
    <w:basedOn w:val="12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5">
    <w:name w:val="List Table 4 - Accent 3"/>
    <w:basedOn w:val="12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6">
    <w:name w:val="List Table 4 - Accent 4"/>
    <w:basedOn w:val="12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7">
    <w:name w:val="List Table 4 - Accent 5"/>
    <w:basedOn w:val="12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8">
    <w:name w:val="List Table 4 - Accent 6"/>
    <w:basedOn w:val="12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9">
    <w:name w:val="List Table 5 Dark"/>
    <w:basedOn w:val="12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1"/>
    <w:basedOn w:val="12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2"/>
    <w:basedOn w:val="12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5 Dark - Accent 3"/>
    <w:basedOn w:val="12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4"/>
    <w:basedOn w:val="12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5 Dark - Accent 5"/>
    <w:basedOn w:val="12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5">
    <w:name w:val="List Table 5 Dark - Accent 6"/>
    <w:basedOn w:val="12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6 Colorful"/>
    <w:basedOn w:val="12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7">
    <w:name w:val="List Table 6 Colorful - Accent 1"/>
    <w:basedOn w:val="12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8">
    <w:name w:val="List Table 6 Colorful - Accent 2"/>
    <w:basedOn w:val="12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9">
    <w:name w:val="List Table 6 Colorful - Accent 3"/>
    <w:basedOn w:val="12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80">
    <w:name w:val="List Table 6 Colorful - Accent 4"/>
    <w:basedOn w:val="12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81">
    <w:name w:val="List Table 6 Colorful - Accent 5"/>
    <w:basedOn w:val="12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2">
    <w:name w:val="List Table 6 Colorful - Accent 6"/>
    <w:basedOn w:val="12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3">
    <w:name w:val="List Table 7 Colorful"/>
    <w:basedOn w:val="12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4">
    <w:name w:val="List Table 7 Colorful - Accent 1"/>
    <w:basedOn w:val="12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5">
    <w:name w:val="List Table 7 Colorful - Accent 2"/>
    <w:basedOn w:val="12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6">
    <w:name w:val="List Table 7 Colorful - Accent 3"/>
    <w:basedOn w:val="12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7">
    <w:name w:val="List Table 7 Colorful - Accent 4"/>
    <w:basedOn w:val="12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8">
    <w:name w:val="List Table 7 Colorful - Accent 5"/>
    <w:basedOn w:val="12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9">
    <w:name w:val="List Table 7 Colorful - Accent 6"/>
    <w:basedOn w:val="12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90">
    <w:name w:val="Lined - Accent"/>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1">
    <w:name w:val="Lined - Accent 1"/>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2">
    <w:name w:val="Lined - Accent 2"/>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3">
    <w:name w:val="Lined - Accent 3"/>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4">
    <w:name w:val="Lined - Accent 4"/>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5">
    <w:name w:val="Lined - Accent 5"/>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6">
    <w:name w:val="Lined - Accent 6"/>
    <w:basedOn w:val="12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7">
    <w:name w:val="Bordered &amp; Lined - Accent"/>
    <w:basedOn w:val="12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8">
    <w:name w:val="Bordered &amp; Lined - Accent 1"/>
    <w:basedOn w:val="12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9">
    <w:name w:val="Bordered &amp; Lined - Accent 2"/>
    <w:basedOn w:val="12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0">
    <w:name w:val="Bordered &amp; Lined - Accent 3"/>
    <w:basedOn w:val="12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1">
    <w:name w:val="Bordered &amp; Lined - Accent 4"/>
    <w:basedOn w:val="12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2">
    <w:name w:val="Bordered &amp; Lined - Accent 5"/>
    <w:basedOn w:val="12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3">
    <w:name w:val="Bordered &amp; Lined - Accent 6"/>
    <w:basedOn w:val="12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4">
    <w:name w:val="Bordered"/>
    <w:basedOn w:val="12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5">
    <w:name w:val="Bordered - Accent 1"/>
    <w:basedOn w:val="12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6">
    <w:name w:val="Bordered - Accent 2"/>
    <w:basedOn w:val="12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7">
    <w:name w:val="Bordered - Accent 3"/>
    <w:basedOn w:val="12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8">
    <w:name w:val="Bordered - Accent 4"/>
    <w:basedOn w:val="12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9">
    <w:name w:val="Bordered - Accent 5"/>
    <w:basedOn w:val="12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0">
    <w:name w:val="Bordered - Accent 6"/>
    <w:basedOn w:val="12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11">
    <w:name w:val="footnote text"/>
    <w:basedOn w:val="1219"/>
    <w:link w:val="1212"/>
    <w:uiPriority w:val="99"/>
    <w:semiHidden/>
    <w:unhideWhenUsed/>
    <w:pPr>
      <w:spacing w:after="40" w:line="240" w:lineRule="auto"/>
    </w:pPr>
    <w:rPr>
      <w:sz w:val="18"/>
    </w:rPr>
  </w:style>
  <w:style w:type="character" w:styleId="1212">
    <w:name w:val="Footnote Text Char"/>
    <w:link w:val="1211"/>
    <w:uiPriority w:val="99"/>
    <w:rPr>
      <w:sz w:val="18"/>
    </w:rPr>
  </w:style>
  <w:style w:type="character" w:styleId="1213">
    <w:name w:val="footnote reference"/>
    <w:basedOn w:val="1224"/>
    <w:uiPriority w:val="99"/>
    <w:unhideWhenUsed/>
    <w:rPr>
      <w:vertAlign w:val="superscript"/>
    </w:rPr>
  </w:style>
  <w:style w:type="paragraph" w:styleId="1214">
    <w:name w:val="endnote text"/>
    <w:basedOn w:val="1219"/>
    <w:link w:val="1215"/>
    <w:uiPriority w:val="99"/>
    <w:semiHidden/>
    <w:unhideWhenUsed/>
    <w:pPr>
      <w:spacing w:after="0" w:line="240" w:lineRule="auto"/>
    </w:pPr>
    <w:rPr>
      <w:sz w:val="20"/>
    </w:rPr>
  </w:style>
  <w:style w:type="character" w:styleId="1215">
    <w:name w:val="Endnote Text Char"/>
    <w:link w:val="1214"/>
    <w:uiPriority w:val="99"/>
    <w:rPr>
      <w:sz w:val="20"/>
    </w:rPr>
  </w:style>
  <w:style w:type="character" w:styleId="1216">
    <w:name w:val="endnote reference"/>
    <w:basedOn w:val="1224"/>
    <w:uiPriority w:val="99"/>
    <w:semiHidden/>
    <w:unhideWhenUsed/>
    <w:rPr>
      <w:vertAlign w:val="superscript"/>
    </w:rPr>
  </w:style>
  <w:style w:type="paragraph" w:styleId="1217">
    <w:name w:val="TOC Heading"/>
    <w:uiPriority w:val="39"/>
    <w:unhideWhenUsed/>
  </w:style>
  <w:style w:type="paragraph" w:styleId="1218">
    <w:name w:val="table of figures"/>
    <w:basedOn w:val="1219"/>
    <w:next w:val="1219"/>
    <w:uiPriority w:val="99"/>
    <w:unhideWhenUsed/>
    <w:pPr>
      <w:spacing w:after="0" w:afterAutospacing="0"/>
    </w:pPr>
  </w:style>
  <w:style w:type="paragraph" w:styleId="1219" w:default="1">
    <w:name w:val="Normal"/>
    <w:uiPriority w:val="0"/>
    <w:qFormat/>
    <w:pPr>
      <w:jc w:val="both"/>
      <w:widowControl w:val="off"/>
    </w:pPr>
    <w:rPr>
      <w:rFonts w:ascii="Calibri" w:hAnsi="Calibri" w:eastAsia="宋体" w:cs="Times New Roman"/>
      <w:sz w:val="21"/>
      <w:lang w:val="en-US" w:eastAsia="zh-CN" w:bidi="ar-SA"/>
    </w:rPr>
  </w:style>
  <w:style w:type="paragraph" w:styleId="1220">
    <w:name w:val="Heading 1"/>
    <w:basedOn w:val="1219"/>
    <w:next w:val="1219"/>
    <w:uiPriority w:val="0"/>
    <w:qFormat/>
    <w:pPr>
      <w:jc w:val="center"/>
      <w:keepNext/>
      <w:spacing w:line="440" w:lineRule="exact"/>
      <w:outlineLvl w:val="0"/>
    </w:pPr>
    <w:rPr>
      <w:rFonts w:ascii="宋体"/>
      <w:sz w:val="28"/>
    </w:rPr>
  </w:style>
  <w:style w:type="paragraph" w:styleId="1221">
    <w:name w:val="Heading 2"/>
    <w:basedOn w:val="1219"/>
    <w:next w:val="1219"/>
    <w:uiPriority w:val="0"/>
    <w:qFormat/>
    <w:pPr>
      <w:keepLines/>
      <w:keepNext/>
      <w:spacing w:before="260" w:after="260" w:line="416" w:lineRule="auto"/>
      <w:outlineLvl w:val="1"/>
    </w:pPr>
    <w:rPr>
      <w:rFonts w:ascii="Arial" w:hAnsi="Arial" w:eastAsia="黑体"/>
      <w:b/>
      <w:bCs/>
      <w:sz w:val="32"/>
      <w:szCs w:val="32"/>
    </w:rPr>
  </w:style>
  <w:style w:type="paragraph" w:styleId="1222">
    <w:name w:val="Heading 3"/>
    <w:basedOn w:val="1219"/>
    <w:next w:val="1219"/>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23">
    <w:name w:val="Heading 4"/>
    <w:basedOn w:val="1219"/>
    <w:next w:val="1226"/>
    <w:uiPriority w:val="0"/>
    <w:qFormat/>
    <w:pPr>
      <w:keepLines/>
      <w:keepNext/>
      <w:spacing w:before="280" w:after="290" w:line="372" w:lineRule="auto"/>
      <w:outlineLvl w:val="3"/>
    </w:pPr>
    <w:rPr>
      <w:rFonts w:ascii="Arial" w:hAnsi="Arial" w:eastAsia="黑体" w:cs="Arial"/>
      <w:b/>
      <w:bCs/>
      <w:sz w:val="28"/>
      <w:szCs w:val="28"/>
    </w:rPr>
  </w:style>
  <w:style w:type="character" w:styleId="1224" w:default="1">
    <w:name w:val="Default Paragraph Font"/>
    <w:uiPriority w:val="1"/>
    <w:semiHidden/>
    <w:unhideWhenUsed/>
    <w:qFormat/>
  </w:style>
  <w:style w:type="table" w:styleId="1225" w:default="1">
    <w:name w:val="Normal Table"/>
    <w:uiPriority w:val="99"/>
    <w:semiHidden/>
    <w:unhideWhenUsed/>
    <w:qFormat/>
    <w:tblPr>
      <w:tblCellMar>
        <w:left w:w="108" w:type="dxa"/>
        <w:top w:w="0" w:type="dxa"/>
        <w:right w:w="108" w:type="dxa"/>
        <w:bottom w:w="0" w:type="dxa"/>
      </w:tblCellMar>
    </w:tblPr>
  </w:style>
  <w:style w:type="paragraph" w:styleId="1226">
    <w:name w:val="Normal Indent"/>
    <w:basedOn w:val="1219"/>
    <w:uiPriority w:val="0"/>
    <w:qFormat/>
    <w:pPr>
      <w:ind w:firstLine="420"/>
    </w:pPr>
    <w:rPr>
      <w:b/>
      <w:sz w:val="24"/>
    </w:rPr>
  </w:style>
  <w:style w:type="paragraph" w:styleId="1227">
    <w:name w:val="List 3"/>
    <w:basedOn w:val="1219"/>
    <w:uiPriority w:val="0"/>
    <w:qFormat/>
    <w:pPr>
      <w:contextualSpacing/>
      <w:ind w:left="100" w:hanging="200"/>
    </w:pPr>
  </w:style>
  <w:style w:type="paragraph" w:styleId="1228">
    <w:name w:val="toc 7"/>
    <w:basedOn w:val="1219"/>
    <w:next w:val="1219"/>
    <w:uiPriority w:val="0"/>
    <w:qFormat/>
    <w:pPr>
      <w:ind w:left="2520"/>
    </w:pPr>
  </w:style>
  <w:style w:type="paragraph" w:styleId="1229">
    <w:name w:val="annotation text"/>
    <w:basedOn w:val="1219"/>
    <w:link w:val="1266"/>
    <w:uiPriority w:val="0"/>
    <w:qFormat/>
    <w:pPr>
      <w:jc w:val="left"/>
    </w:pPr>
  </w:style>
  <w:style w:type="paragraph" w:styleId="1230">
    <w:name w:val="Body Text"/>
    <w:basedOn w:val="1219"/>
    <w:next w:val="1219"/>
    <w:link w:val="1270"/>
    <w:uiPriority w:val="0"/>
    <w:qFormat/>
    <w:rPr>
      <w:rFonts w:ascii="宋体"/>
      <w:sz w:val="28"/>
    </w:rPr>
  </w:style>
  <w:style w:type="paragraph" w:styleId="1231">
    <w:name w:val="Body Text Indent"/>
    <w:basedOn w:val="1219"/>
    <w:next w:val="1232"/>
    <w:uiPriority w:val="0"/>
    <w:qFormat/>
    <w:pPr>
      <w:ind w:firstLine="420"/>
      <w:spacing w:line="360" w:lineRule="auto"/>
    </w:pPr>
    <w:rPr>
      <w:rFonts w:ascii="宋体"/>
      <w:sz w:val="24"/>
    </w:rPr>
  </w:style>
  <w:style w:type="paragraph" w:styleId="1232">
    <w:name w:val="envelope return"/>
    <w:basedOn w:val="1219"/>
    <w:uiPriority w:val="99"/>
    <w:unhideWhenUsed/>
    <w:qFormat/>
    <w:rPr>
      <w:rFonts w:ascii="Arial" w:hAnsi="Arial"/>
    </w:rPr>
  </w:style>
  <w:style w:type="paragraph" w:styleId="1233">
    <w:name w:val="List 2"/>
    <w:basedOn w:val="1219"/>
    <w:uiPriority w:val="0"/>
    <w:qFormat/>
    <w:pPr>
      <w:ind w:left="100" w:hanging="200"/>
    </w:pPr>
  </w:style>
  <w:style w:type="paragraph" w:styleId="1234">
    <w:name w:val="Block Text"/>
    <w:basedOn w:val="1219"/>
    <w:next w:val="1219"/>
    <w:uiPriority w:val="0"/>
    <w:qFormat/>
    <w:pPr>
      <w:ind w:left="-216" w:right="2" w:hanging="2"/>
      <w:jc w:val="center"/>
    </w:pPr>
    <w:rPr>
      <w:rFonts w:ascii="楷体_GB2312" w:hAnsi="Times New Roman" w:eastAsia="楷体_GB2312"/>
      <w:sz w:val="24"/>
    </w:rPr>
  </w:style>
  <w:style w:type="paragraph" w:styleId="1235">
    <w:name w:val="toc 5"/>
    <w:basedOn w:val="1219"/>
    <w:next w:val="1219"/>
    <w:uiPriority w:val="0"/>
    <w:qFormat/>
    <w:pPr>
      <w:ind w:left="1680"/>
    </w:pPr>
  </w:style>
  <w:style w:type="paragraph" w:styleId="1236">
    <w:name w:val="toc 3"/>
    <w:basedOn w:val="1219"/>
    <w:next w:val="1219"/>
    <w:uiPriority w:val="0"/>
    <w:qFormat/>
    <w:pPr>
      <w:ind w:left="840"/>
    </w:pPr>
  </w:style>
  <w:style w:type="paragraph" w:styleId="1237">
    <w:name w:val="Plain Text"/>
    <w:basedOn w:val="1219"/>
    <w:link w:val="1269"/>
    <w:uiPriority w:val="0"/>
    <w:qFormat/>
    <w:rPr>
      <w:rFonts w:ascii="宋体" w:hAnsi="Courier New"/>
    </w:rPr>
  </w:style>
  <w:style w:type="paragraph" w:styleId="1238">
    <w:name w:val="toc 8"/>
    <w:basedOn w:val="1219"/>
    <w:next w:val="1219"/>
    <w:uiPriority w:val="0"/>
    <w:qFormat/>
    <w:pPr>
      <w:ind w:left="2940"/>
    </w:pPr>
  </w:style>
  <w:style w:type="paragraph" w:styleId="1239">
    <w:name w:val="Date"/>
    <w:basedOn w:val="1219"/>
    <w:next w:val="1219"/>
    <w:uiPriority w:val="0"/>
    <w:qFormat/>
    <w:rPr>
      <w:rFonts w:ascii="宋体"/>
    </w:rPr>
  </w:style>
  <w:style w:type="paragraph" w:styleId="1240">
    <w:name w:val="Body Text Indent 2"/>
    <w:basedOn w:val="1219"/>
    <w:uiPriority w:val="0"/>
    <w:qFormat/>
    <w:pPr>
      <w:ind w:firstLine="525"/>
      <w:spacing w:line="420" w:lineRule="exact"/>
    </w:pPr>
    <w:rPr>
      <w:rFonts w:ascii="宋体"/>
    </w:rPr>
  </w:style>
  <w:style w:type="paragraph" w:styleId="1241">
    <w:name w:val="Balloon Text"/>
    <w:basedOn w:val="1219"/>
    <w:uiPriority w:val="0"/>
    <w:semiHidden/>
    <w:qFormat/>
    <w:rPr>
      <w:sz w:val="18"/>
      <w:szCs w:val="18"/>
    </w:rPr>
  </w:style>
  <w:style w:type="paragraph" w:styleId="1242">
    <w:name w:val="Footer"/>
    <w:basedOn w:val="1219"/>
    <w:link w:val="1273"/>
    <w:uiPriority w:val="99"/>
    <w:qFormat/>
    <w:pPr>
      <w:jc w:val="left"/>
      <w:tabs>
        <w:tab w:val="center" w:pos="4153" w:leader="none"/>
        <w:tab w:val="right" w:pos="8306" w:leader="none"/>
      </w:tabs>
    </w:pPr>
    <w:rPr>
      <w:sz w:val="18"/>
    </w:rPr>
  </w:style>
  <w:style w:type="paragraph" w:styleId="1243">
    <w:name w:val="Header"/>
    <w:basedOn w:val="1219"/>
    <w:uiPriority w:val="0"/>
    <w:qFormat/>
    <w:pPr>
      <w:jc w:val="center"/>
      <w:tabs>
        <w:tab w:val="center" w:pos="4153" w:leader="none"/>
        <w:tab w:val="right" w:pos="8306" w:leader="none"/>
      </w:tabs>
      <w:pBdr>
        <w:bottom w:val="single" w:color="auto" w:sz="6" w:space="1"/>
      </w:pBdr>
    </w:pPr>
    <w:rPr>
      <w:sz w:val="18"/>
    </w:rPr>
  </w:style>
  <w:style w:type="paragraph" w:styleId="1244">
    <w:name w:val="toc 1"/>
    <w:basedOn w:val="1219"/>
    <w:next w:val="1219"/>
    <w:uiPriority w:val="0"/>
    <w:qFormat/>
  </w:style>
  <w:style w:type="paragraph" w:styleId="1245">
    <w:name w:val="toc 4"/>
    <w:basedOn w:val="1219"/>
    <w:next w:val="1219"/>
    <w:uiPriority w:val="0"/>
    <w:qFormat/>
    <w:pPr>
      <w:ind w:left="1260"/>
    </w:pPr>
  </w:style>
  <w:style w:type="paragraph" w:styleId="1246">
    <w:name w:val="toc 6"/>
    <w:basedOn w:val="1219"/>
    <w:next w:val="1219"/>
    <w:uiPriority w:val="0"/>
    <w:qFormat/>
    <w:pPr>
      <w:ind w:left="2100"/>
    </w:pPr>
  </w:style>
  <w:style w:type="paragraph" w:styleId="1247">
    <w:name w:val="Body Text Indent 3"/>
    <w:basedOn w:val="1219"/>
    <w:uiPriority w:val="0"/>
    <w:qFormat/>
    <w:pPr>
      <w:ind w:firstLine="841"/>
    </w:pPr>
    <w:rPr>
      <w:rFonts w:eastAsia="华文新魏"/>
      <w:b/>
      <w:bCs/>
      <w:sz w:val="84"/>
    </w:rPr>
  </w:style>
  <w:style w:type="paragraph" w:styleId="1248">
    <w:name w:val="toc 2"/>
    <w:basedOn w:val="1219"/>
    <w:next w:val="1219"/>
    <w:uiPriority w:val="0"/>
    <w:qFormat/>
    <w:pPr>
      <w:ind w:left="420"/>
    </w:pPr>
  </w:style>
  <w:style w:type="paragraph" w:styleId="1249">
    <w:name w:val="toc 9"/>
    <w:basedOn w:val="1219"/>
    <w:next w:val="1219"/>
    <w:uiPriority w:val="0"/>
    <w:qFormat/>
    <w:pPr>
      <w:ind w:left="3360"/>
    </w:pPr>
  </w:style>
  <w:style w:type="paragraph" w:styleId="1250">
    <w:name w:val="Body Text 2"/>
    <w:basedOn w:val="1219"/>
    <w:uiPriority w:val="99"/>
    <w:unhideWhenUsed/>
    <w:qFormat/>
    <w:pPr>
      <w:spacing w:line="480" w:lineRule="auto"/>
    </w:pPr>
  </w:style>
  <w:style w:type="paragraph" w:styleId="1251">
    <w:name w:val="HTML Preformatted"/>
    <w:basedOn w:val="12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252">
    <w:name w:val="Normal (Web)"/>
    <w:basedOn w:val="121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53">
    <w:name w:val="Title"/>
    <w:basedOn w:val="1219"/>
    <w:link w:val="1274"/>
    <w:uiPriority w:val="10"/>
    <w:qFormat/>
    <w:pPr>
      <w:jc w:val="center"/>
    </w:pPr>
    <w:rPr>
      <w:sz w:val="30"/>
      <w:szCs w:val="24"/>
    </w:rPr>
  </w:style>
  <w:style w:type="paragraph" w:styleId="1254">
    <w:name w:val="annotation subject"/>
    <w:basedOn w:val="1229"/>
    <w:next w:val="1229"/>
    <w:link w:val="1265"/>
    <w:uiPriority w:val="0"/>
    <w:qFormat/>
    <w:rPr>
      <w:b/>
      <w:bCs/>
    </w:rPr>
  </w:style>
  <w:style w:type="paragraph" w:styleId="1255">
    <w:name w:val="Body Text First Indent"/>
    <w:basedOn w:val="1230"/>
    <w:uiPriority w:val="0"/>
    <w:qFormat/>
    <w:pPr>
      <w:ind w:firstLine="420"/>
      <w:spacing w:after="120"/>
    </w:pPr>
    <w:rPr>
      <w:rFonts w:ascii="Times New Roman"/>
      <w:sz w:val="21"/>
      <w:szCs w:val="24"/>
    </w:rPr>
  </w:style>
  <w:style w:type="paragraph" w:styleId="1256">
    <w:name w:val="Body Text First Indent 2"/>
    <w:basedOn w:val="1231"/>
    <w:uiPriority w:val="0"/>
    <w:qFormat/>
    <w:pPr>
      <w:ind w:firstLine="200"/>
    </w:pPr>
    <w:rPr>
      <w:rFonts w:hAnsi="宋体" w:eastAsia="楷体_GB2312"/>
      <w:szCs w:val="32"/>
    </w:rPr>
  </w:style>
  <w:style w:type="table" w:styleId="1257">
    <w:name w:val="Table Grid"/>
    <w:basedOn w:val="12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name w:val="Strong"/>
    <w:uiPriority w:val="22"/>
    <w:qFormat/>
    <w:rPr>
      <w:b/>
      <w:bCs/>
    </w:rPr>
  </w:style>
  <w:style w:type="character" w:styleId="1259">
    <w:name w:val="page number"/>
    <w:basedOn w:val="1224"/>
    <w:uiPriority w:val="0"/>
    <w:qFormat/>
  </w:style>
  <w:style w:type="character" w:styleId="1260">
    <w:name w:val="FollowedHyperlink"/>
    <w:uiPriority w:val="0"/>
    <w:qFormat/>
    <w:rPr>
      <w:color w:val="800080"/>
      <w:u w:val="single"/>
    </w:rPr>
  </w:style>
  <w:style w:type="character" w:styleId="1261">
    <w:name w:val="Hyperlink"/>
    <w:uiPriority w:val="0"/>
    <w:qFormat/>
    <w:rPr>
      <w:color w:val="0000ff"/>
      <w:u w:val="single"/>
    </w:rPr>
  </w:style>
  <w:style w:type="character" w:styleId="1262">
    <w:name w:val="annotation reference"/>
    <w:uiPriority w:val="0"/>
    <w:qFormat/>
    <w:rPr>
      <w:sz w:val="21"/>
      <w:szCs w:val="21"/>
    </w:rPr>
  </w:style>
  <w:style w:type="paragraph" w:styleId="1263" w:customStyle="1">
    <w:name w:val="首行缩进"/>
    <w:basedOn w:val="1219"/>
    <w:uiPriority w:val="0"/>
    <w:qFormat/>
    <w:pPr>
      <w:ind w:firstLine="480"/>
    </w:pPr>
    <w:rPr>
      <w:lang w:val="zh-CN"/>
    </w:rPr>
  </w:style>
  <w:style w:type="paragraph" w:styleId="1264" w:customStyle="1">
    <w:name w:val="列出段落1"/>
    <w:basedOn w:val="1219"/>
    <w:uiPriority w:val="34"/>
    <w:qFormat/>
    <w:pPr>
      <w:ind w:firstLine="420"/>
    </w:pPr>
    <w:rPr>
      <w:szCs w:val="22"/>
    </w:rPr>
  </w:style>
  <w:style w:type="character" w:styleId="1265" w:customStyle="1">
    <w:name w:val="批注主题 字符"/>
    <w:link w:val="1254"/>
    <w:uiPriority w:val="0"/>
    <w:qFormat/>
    <w:rPr>
      <w:b/>
      <w:bCs/>
      <w:sz w:val="21"/>
    </w:rPr>
  </w:style>
  <w:style w:type="character" w:styleId="1266" w:customStyle="1">
    <w:name w:val="批注文字 字符"/>
    <w:link w:val="1229"/>
    <w:uiPriority w:val="0"/>
    <w:qFormat/>
    <w:rPr>
      <w:sz w:val="21"/>
    </w:rPr>
  </w:style>
  <w:style w:type="character" w:styleId="1267" w:customStyle="1">
    <w:name w:val="style21"/>
    <w:uiPriority w:val="0"/>
    <w:qFormat/>
    <w:rPr>
      <w:sz w:val="18"/>
      <w:szCs w:val="18"/>
    </w:rPr>
  </w:style>
  <w:style w:type="character" w:styleId="1268" w:customStyle="1">
    <w:name w:val="font01"/>
    <w:uiPriority w:val="0"/>
    <w:qFormat/>
    <w:rPr>
      <w:rFonts w:hint="eastAsia" w:ascii="宋体" w:hAnsi="宋体" w:eastAsia="宋体" w:cs="宋体"/>
      <w:color w:val="000000"/>
      <w:sz w:val="22"/>
      <w:szCs w:val="22"/>
      <w:u w:val="none"/>
    </w:rPr>
  </w:style>
  <w:style w:type="character" w:styleId="1269" w:customStyle="1">
    <w:name w:val="纯文本 字符"/>
    <w:link w:val="1237"/>
    <w:uiPriority w:val="0"/>
    <w:qFormat/>
    <w:rPr>
      <w:rFonts w:ascii="宋体" w:hAnsi="Courier New" w:eastAsia="宋体"/>
      <w:sz w:val="21"/>
      <w:lang w:val="en-US" w:eastAsia="zh-CN" w:bidi="ar-SA"/>
    </w:rPr>
  </w:style>
  <w:style w:type="character" w:styleId="1270" w:customStyle="1">
    <w:name w:val="正文文本 字符"/>
    <w:link w:val="1230"/>
    <w:uiPriority w:val="0"/>
    <w:qFormat/>
    <w:rPr>
      <w:rFonts w:ascii="宋体" w:eastAsia="宋体"/>
      <w:sz w:val="28"/>
      <w:lang w:val="en-US" w:eastAsia="zh-CN" w:bidi="ar-SA"/>
    </w:rPr>
  </w:style>
  <w:style w:type="character" w:styleId="1271" w:customStyle="1">
    <w:name w:val="c lh15"/>
    <w:basedOn w:val="1224"/>
    <w:uiPriority w:val="0"/>
    <w:qFormat/>
  </w:style>
  <w:style w:type="character" w:styleId="1272" w:customStyle="1">
    <w:name w:val="font11"/>
    <w:uiPriority w:val="0"/>
    <w:qFormat/>
    <w:rPr>
      <w:rFonts w:hint="default" w:ascii="Arial" w:hAnsi="Arial" w:cs="Arial"/>
      <w:color w:val="000000"/>
      <w:sz w:val="22"/>
      <w:szCs w:val="22"/>
      <w:u w:val="none"/>
    </w:rPr>
  </w:style>
  <w:style w:type="character" w:styleId="1273" w:customStyle="1">
    <w:name w:val="页脚 字符"/>
    <w:link w:val="1242"/>
    <w:uiPriority w:val="99"/>
    <w:qFormat/>
    <w:rPr>
      <w:sz w:val="18"/>
    </w:rPr>
  </w:style>
  <w:style w:type="character" w:styleId="1274" w:customStyle="1">
    <w:name w:val="标题 字符"/>
    <w:basedOn w:val="1224"/>
    <w:link w:val="1253"/>
    <w:uiPriority w:val="10"/>
    <w:qFormat/>
    <w:rPr>
      <w:sz w:val="30"/>
      <w:szCs w:val="24"/>
    </w:rPr>
  </w:style>
  <w:style w:type="character" w:styleId="1275" w:customStyle="1">
    <w:name w:val="标准文本 Char"/>
    <w:link w:val="1276"/>
    <w:uiPriority w:val="0"/>
    <w:qFormat/>
    <w:rPr>
      <w:rFonts w:ascii="宋体" w:hAnsi="宋体" w:eastAsia="宋体" w:cs="宋体"/>
      <w:sz w:val="21"/>
      <w:szCs w:val="21"/>
      <w:lang w:val="en-US" w:eastAsia="zh-CN" w:bidi="ar-SA"/>
    </w:rPr>
  </w:style>
  <w:style w:type="paragraph" w:styleId="1276" w:customStyle="1">
    <w:name w:val="标准文本"/>
    <w:basedOn w:val="1219"/>
    <w:link w:val="1275"/>
    <w:uiPriority w:val="0"/>
    <w:qFormat/>
    <w:pPr>
      <w:ind w:firstLine="420"/>
      <w:spacing w:line="300" w:lineRule="auto"/>
    </w:pPr>
    <w:rPr>
      <w:rFonts w:ascii="宋体" w:hAnsi="宋体" w:cs="宋体"/>
      <w:szCs w:val="21"/>
    </w:rPr>
  </w:style>
  <w:style w:type="character" w:styleId="1277" w:customStyle="1">
    <w:name w:val="font21"/>
    <w:uiPriority w:val="0"/>
    <w:qFormat/>
    <w:rPr>
      <w:rFonts w:hint="default" w:ascii="Times New Roman" w:hAnsi="Times New Roman" w:cs="Times New Roman"/>
      <w:color w:val="000000"/>
      <w:sz w:val="20"/>
      <w:szCs w:val="20"/>
      <w:u w:val="none"/>
    </w:rPr>
  </w:style>
  <w:style w:type="paragraph" w:styleId="1278" w:customStyle="1">
    <w:name w:val="列出段落12"/>
    <w:basedOn w:val="1219"/>
    <w:uiPriority w:val="0"/>
    <w:qFormat/>
    <w:pPr>
      <w:ind w:firstLine="420"/>
    </w:pPr>
  </w:style>
  <w:style w:type="paragraph" w:styleId="1279" w:customStyle="1">
    <w:name w:val="列出段落2"/>
    <w:basedOn w:val="1219"/>
    <w:uiPriority w:val="99"/>
    <w:unhideWhenUsed/>
    <w:qFormat/>
    <w:pPr>
      <w:ind w:firstLine="420"/>
    </w:pPr>
    <w:rPr>
      <w:rFonts w:hint="eastAsia"/>
      <w:szCs w:val="22"/>
    </w:rPr>
  </w:style>
  <w:style w:type="paragraph" w:styleId="1280" w:customStyle="1">
    <w:name w:val="彩色列表 - 强调文字颜色 11"/>
    <w:basedOn w:val="1219"/>
    <w:uiPriority w:val="34"/>
    <w:qFormat/>
    <w:pPr>
      <w:ind w:firstLine="420"/>
    </w:pPr>
    <w:rPr>
      <w:szCs w:val="22"/>
    </w:rPr>
  </w:style>
  <w:style w:type="paragraph" w:styleId="1281" w:customStyle="1">
    <w:name w:val="Char Char Char Char Char Char Char"/>
    <w:basedOn w:val="1219"/>
    <w:uiPriority w:val="0"/>
    <w:qFormat/>
    <w:pPr>
      <w:ind w:left="432" w:hanging="432"/>
      <w:jc w:val="center"/>
      <w:tabs>
        <w:tab w:val="left" w:pos="432" w:leader="none"/>
      </w:tabs>
    </w:pPr>
    <w:rPr>
      <w:rFonts w:ascii="仿宋_GB2312" w:hAnsi="Tahoma" w:eastAsia="仿宋_GB2312"/>
      <w:sz w:val="24"/>
      <w:szCs w:val="24"/>
    </w:rPr>
  </w:style>
  <w:style w:type="paragraph" w:styleId="1282" w:customStyle="1">
    <w:name w:val="样式 首行缩进:  2 字符"/>
    <w:basedOn w:val="1219"/>
    <w:uiPriority w:val="0"/>
    <w:qFormat/>
    <w:pPr>
      <w:ind w:firstLine="200"/>
      <w:spacing w:line="400" w:lineRule="exact"/>
    </w:pPr>
    <w:rPr>
      <w:rFonts w:cs="宋体"/>
      <w:sz w:val="24"/>
      <w:szCs w:val="24"/>
    </w:rPr>
  </w:style>
  <w:style w:type="paragraph" w:styleId="1283" w:customStyle="1">
    <w:name w:val="Char Char Char Char Char Char Char1"/>
    <w:basedOn w:val="1219"/>
    <w:uiPriority w:val="0"/>
    <w:semiHidden/>
    <w:qFormat/>
    <w:rPr>
      <w:rFonts w:ascii="Tahoma" w:hAnsi="Tahoma" w:cs="仿宋_GB2312"/>
      <w:sz w:val="24"/>
      <w:szCs w:val="28"/>
    </w:rPr>
  </w:style>
  <w:style w:type="paragraph" w:styleId="1284" w:customStyle="1">
    <w:name w:val="无间隔1"/>
    <w:basedOn w:val="1219"/>
    <w:uiPriority w:val="1"/>
    <w:qFormat/>
    <w:rPr>
      <w:rFonts w:ascii="Times New Roman" w:hAnsi="Times New Roman"/>
      <w:sz w:val="24"/>
      <w:szCs w:val="22"/>
    </w:rPr>
  </w:style>
  <w:style w:type="paragraph" w:styleId="1285" w:customStyle="1">
    <w:name w:val="简单回函地址"/>
    <w:basedOn w:val="1219"/>
    <w:uiPriority w:val="0"/>
    <w:qFormat/>
    <w:rPr>
      <w:szCs w:val="24"/>
    </w:rPr>
  </w:style>
  <w:style w:type="paragraph" w:styleId="1286" w:customStyle="1">
    <w:name w:val="_Style 2"/>
    <w:basedOn w:val="1219"/>
    <w:uiPriority w:val="34"/>
    <w:qFormat/>
    <w:pPr>
      <w:ind w:firstLine="420"/>
    </w:pPr>
    <w:rPr>
      <w:szCs w:val="24"/>
    </w:rPr>
  </w:style>
  <w:style w:type="paragraph" w:styleId="1287" w:customStyle="1">
    <w:name w:val="Char Char Char"/>
    <w:basedOn w:val="1219"/>
    <w:uiPriority w:val="0"/>
    <w:qFormat/>
    <w:pPr>
      <w:jc w:val="center"/>
      <w:spacing w:line="400" w:lineRule="exact"/>
      <w:widowControl/>
    </w:pPr>
    <w:rPr>
      <w:szCs w:val="24"/>
    </w:rPr>
  </w:style>
  <w:style w:type="paragraph" w:styleId="1288" w:customStyle="1">
    <w:name w:val="列出段落11"/>
    <w:basedOn w:val="1219"/>
    <w:uiPriority w:val="34"/>
    <w:qFormat/>
    <w:pPr>
      <w:ind w:firstLine="420"/>
    </w:pPr>
  </w:style>
  <w:style w:type="paragraph" w:styleId="1289"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290" w:customStyle="1">
    <w:name w:val="正文1"/>
    <w:uiPriority w:val="99"/>
    <w:qFormat/>
    <w:pPr>
      <w:jc w:val="both"/>
      <w:widowControl w:val="off"/>
    </w:pPr>
    <w:rPr>
      <w:rFonts w:ascii="???" w:hAnsi="???" w:eastAsia="宋体" w:cs="???"/>
      <w:color w:val="000000"/>
      <w:lang w:val="en-US" w:eastAsia="zh-CN" w:bidi="ar-SA"/>
    </w:rPr>
  </w:style>
  <w:style w:type="paragraph" w:styleId="1291" w:customStyle="1">
    <w:name w:val="p0"/>
    <w:basedOn w:val="1219"/>
    <w:uiPriority w:val="0"/>
    <w:qFormat/>
    <w:pPr>
      <w:spacing w:before="100" w:beforeAutospacing="1" w:after="100" w:afterAutospacing="1"/>
    </w:pPr>
    <w:rPr>
      <w:sz w:val="24"/>
      <w:szCs w:val="24"/>
    </w:rPr>
  </w:style>
  <w:style w:type="paragraph" w:styleId="1292" w:customStyle="1">
    <w:name w:val="列表段落1"/>
    <w:basedOn w:val="1219"/>
    <w:uiPriority w:val="34"/>
    <w:qFormat/>
    <w:pPr>
      <w:ind w:firstLine="420"/>
    </w:pPr>
    <w:rPr>
      <w:szCs w:val="22"/>
    </w:rPr>
  </w:style>
  <w:style w:type="paragraph" w:styleId="1293" w:customStyle="1">
    <w:name w:val="Revision"/>
    <w:hidden/>
    <w:uiPriority w:val="99"/>
    <w:semiHidden/>
    <w:qFormat/>
    <w:rPr>
      <w:rFonts w:ascii="Calibri" w:hAnsi="Calibri" w:eastAsia="宋体" w:cs="Times New Roman"/>
      <w:sz w:val="21"/>
      <w:lang w:val="en-US" w:eastAsia="zh-CN" w:bidi="ar-SA"/>
    </w:rPr>
  </w:style>
  <w:style w:type="character" w:styleId="1294" w:customStyle="1">
    <w:name w:val="apple-style-span"/>
    <w:uiPriority w:val="0"/>
    <w:qFormat/>
  </w:style>
  <w:style w:type="paragraph" w:styleId="1295">
    <w:name w:val="List Paragraph"/>
    <w:basedOn w:val="1219"/>
    <w:uiPriority w:val="34"/>
    <w:qFormat/>
    <w:pPr>
      <w:ind w:firstLine="420"/>
      <w:widowControl/>
    </w:pPr>
    <w:rPr>
      <w:color w:val="000000"/>
    </w:rPr>
  </w:style>
  <w:style w:type="numbering" w:styleId="1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高雅婧</cp:lastModifiedBy>
  <cp:revision>10</cp:revision>
  <dcterms:created xsi:type="dcterms:W3CDTF">2024-08-05T00:42:00Z</dcterms:created>
  <dcterms:modified xsi:type="dcterms:W3CDTF">2025-08-07T03:48:41Z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3FA1AD324BBD413598AC74E43B340582_13</vt:lpwstr>
  </property>
  <property fmtid="{D5CDD505-2E9C-101B-9397-08002B2CF9AE}" pid="4" name="KSOTemplateDocerSaveRecord">
    <vt:lpwstr>eyJoZGlkIjoiMjI5NzdhN2QyNmY3NzI2ZDlmOTViNTdjYjI5NGRmZjIiLCJ1c2VySWQiOiIyNjQ4MDUzODcifQ==</vt:lpwstr>
  </property>
</Properties>
</file>