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jc w:val="right"/>
        <w:rPr>
          <w:highlight w:val="none"/>
        </w:rPr>
      </w:pPr>
      <w:r>
        <w:rPr>
          <w:rFonts w:hint="eastAsia" w:ascii="仿宋_GB2312" w:eastAsia="仿宋_GB2312"/>
          <w:b/>
          <w:sz w:val="44"/>
          <w:szCs w:val="44"/>
          <w:highlight w:val="none"/>
        </w:rPr>
        <mc:AlternateContent>
          <mc:Choice Requires="wpg">
            <w:drawing>
              <wp:inline xmlns:wp="http://schemas.openxmlformats.org/drawingml/2006/wordprocessingDrawing" distT="0" distB="0" distL="0" distR="0">
                <wp:extent cx="2478405" cy="63055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2478418" cy="6311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5.1pt;height:49.6pt;mso-wrap-distance-left:0.0pt;mso-wrap-distance-top:0.0pt;mso-wrap-distance-right:0.0pt;mso-wrap-distance-bottom:0.0pt;" stroked="f">
                <v:path textboxrect="0,0,0,0"/>
                <v:imagedata r:id="rId15" o:title=""/>
              </v:shape>
            </w:pict>
          </mc:Fallback>
        </mc:AlternateContent>
      </w:r>
      <w:r/>
    </w:p>
    <w:p>
      <w:pPr>
        <w:rPr>
          <w:highlight w:val="none"/>
        </w:rPr>
      </w:pPr>
      <w:r>
        <w:rPr>
          <w:highlight w:val="none"/>
        </w:rPr>
      </w:r>
      <w:r/>
    </w:p>
    <w:p>
      <w:pPr>
        <w:ind w:firstLine="320"/>
        <w:jc w:val="right"/>
        <w:rPr>
          <w:highlight w:val="none"/>
        </w:rPr>
      </w:pPr>
      <w:r>
        <w:rPr>
          <w:rFonts w:hint="eastAsia" w:ascii="仿宋" w:hAnsi="仿宋" w:eastAsia="仿宋" w:cs="仿宋"/>
          <w:sz w:val="32"/>
          <w:highlight w:val="none"/>
        </w:rPr>
        <w:t xml:space="preserve">           </w:t>
      </w:r>
      <w:r/>
    </w:p>
    <w:p>
      <w:pPr>
        <w:jc w:val="center"/>
        <w:rPr>
          <w:rFonts w:hint="eastAsia" w:ascii="宋体" w:hAnsi="宋体"/>
          <w:b/>
          <w:spacing w:val="76"/>
          <w:sz w:val="96"/>
          <w:szCs w:val="22"/>
          <w:highlight w:val="none"/>
        </w:rPr>
      </w:pPr>
      <w:r>
        <w:rPr>
          <w:rFonts w:hint="eastAsia" w:ascii="宋体" w:hAnsi="宋体" w:cs="宋体"/>
          <w:spacing w:val="76"/>
          <w:sz w:val="144"/>
          <w:highlight w:val="none"/>
        </w:rPr>
        <w:t xml:space="preserve">招标文件</w:t>
      </w:r>
      <w:r/>
    </w:p>
    <w:p>
      <w:pPr>
        <w:pStyle w:val="922"/>
        <w:rPr>
          <w:rFonts w:hint="eastAsia" w:ascii="仿宋" w:hAnsi="仿宋" w:eastAsia="仿宋" w:cs="仿宋"/>
          <w:spacing w:val="76"/>
          <w:sz w:val="156"/>
          <w:highlight w:val="none"/>
        </w:rPr>
      </w:pPr>
      <w:r>
        <w:rPr>
          <w:rFonts w:hint="eastAsia" w:ascii="仿宋" w:hAnsi="仿宋" w:eastAsia="仿宋" w:cs="仿宋"/>
          <w:spacing w:val="76"/>
          <w:sz w:val="156"/>
          <w:highlight w:val="none"/>
        </w:rPr>
      </w:r>
      <w:r/>
    </w:p>
    <w:p>
      <w:pPr>
        <w:rPr>
          <w:highlight w:val="none"/>
        </w:rPr>
      </w:pPr>
      <w:r>
        <w:rPr>
          <w:highlight w:val="none"/>
        </w:rPr>
      </w:r>
      <w:r/>
    </w:p>
    <w:p>
      <w:pPr>
        <w:rPr>
          <w:highlight w:val="none"/>
        </w:rPr>
      </w:pPr>
      <w:r>
        <w:rPr>
          <w:highlight w:val="none"/>
        </w:rPr>
      </w:r>
      <w:r/>
    </w:p>
    <w:p>
      <w:pPr>
        <w:jc w:val="center"/>
        <w:spacing w:line="5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             项目名称：基于实验室场景的数字孪生建筑运维技术研发服务</w:t>
      </w:r>
      <w:r/>
    </w:p>
    <w:p>
      <w:pPr>
        <w:jc w:val="center"/>
        <w:spacing w:line="5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     项目编号：JSZC-320300-JSZR-G2024-0118</w:t>
      </w:r>
      <w:r/>
    </w:p>
    <w:p>
      <w:pPr>
        <w:ind w:firstLine="2108"/>
        <w:spacing w:line="5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招 标 人：徐州工程学院</w:t>
      </w:r>
      <w:r/>
    </w:p>
    <w:p>
      <w:pPr>
        <w:pStyle w:val="865"/>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right="147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1205"/>
        <w:spacing w:line="5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采购代理机构：江苏中瑞建设项目管理有限公司</w:t>
      </w:r>
      <w:r/>
    </w:p>
    <w:p>
      <w:pPr>
        <w:pStyle w:val="856"/>
        <w:ind w:firstLine="0"/>
        <w:jc w:val="center"/>
        <w:spacing w:line="500" w:lineRule="exact"/>
        <w:rPr>
          <w:rFonts w:hint="eastAsia" w:ascii="宋体" w:hAnsi="宋体" w:cs="宋体"/>
          <w:b/>
          <w:sz w:val="44"/>
          <w:highlight w:val="none"/>
        </w:rPr>
      </w:pPr>
      <w:r>
        <w:rPr>
          <w:rFonts w:hint="eastAsia" w:ascii="宋体" w:hAnsi="宋体" w:cs="宋体"/>
          <w:b/>
          <w:bCs/>
          <w:sz w:val="30"/>
          <w:szCs w:val="30"/>
          <w:highlight w:val="none"/>
        </w:rPr>
        <w:t xml:space="preserve">二〇二四年十月</w:t>
      </w:r>
      <w:r/>
    </w:p>
    <w:p>
      <w:pPr>
        <w:pStyle w:val="856"/>
        <w:ind w:firstLine="0"/>
        <w:jc w:val="center"/>
        <w:rPr>
          <w:rFonts w:hint="eastAsia" w:ascii="宋体" w:hAnsi="宋体" w:cs="宋体"/>
          <w:b/>
          <w:sz w:val="44"/>
          <w:highlight w:val="none"/>
        </w:rPr>
        <w:sectPr>
          <w:headerReference w:type="default" r:id="rId9"/>
          <w:footerReference w:type="even" r:id="rId12"/>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cs="宋体"/>
          <w:b/>
          <w:sz w:val="44"/>
          <w:highlight w:val="none"/>
        </w:rPr>
      </w:r>
      <w:r/>
    </w:p>
    <w:p>
      <w:pPr>
        <w:pStyle w:val="856"/>
        <w:ind w:firstLine="0"/>
        <w:jc w:val="center"/>
        <w:rPr>
          <w:rFonts w:hint="eastAsia" w:ascii="宋体" w:hAnsi="宋体" w:cs="宋体"/>
          <w:sz w:val="44"/>
          <w:highlight w:val="none"/>
        </w:rPr>
      </w:pPr>
      <w:r>
        <w:rPr>
          <w:rFonts w:hint="eastAsia" w:ascii="宋体" w:hAnsi="宋体" w:cs="宋体"/>
          <w:sz w:val="44"/>
          <w:highlight w:val="none"/>
        </w:rPr>
        <w:t xml:space="preserve">总目录</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第一章 投标邀请</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第二章 投标人须知</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第三章 投标资料表</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第四章 评标标准</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第六章 采购需求</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jc w:val="left"/>
        <w:widowControl/>
        <w:rPr>
          <w:rFonts w:hint="eastAsia" w:ascii="宋体" w:hAnsi="宋体" w:cs="宋体"/>
          <w:sz w:val="28"/>
          <w:szCs w:val="28"/>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sz w:val="28"/>
          <w:szCs w:val="28"/>
          <w:highlight w:val="none"/>
        </w:rPr>
      </w:r>
      <w:r/>
    </w:p>
    <w:p>
      <w:pPr>
        <w:jc w:val="center"/>
        <w:rPr>
          <w:rFonts w:hint="eastAsia" w:ascii="宋体" w:hAnsi="宋体" w:cs="宋体"/>
          <w:sz w:val="24"/>
          <w:highlight w:val="none"/>
        </w:rPr>
      </w:pPr>
      <w:r>
        <w:rPr>
          <w:rFonts w:hint="eastAsia" w:ascii="宋体" w:hAnsi="宋体" w:cs="宋体"/>
          <w:sz w:val="30"/>
          <w:szCs w:val="30"/>
          <w:highlight w:val="none"/>
        </w:rPr>
        <w:t xml:space="preserve">第一章  投标邀请</w:t>
      </w:r>
      <w:r/>
    </w:p>
    <w:p>
      <w:pPr>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基于实验室场景的数字孪生建筑运维技术研发服务</w:t>
      </w:r>
      <w:r>
        <w:rPr>
          <w:rFonts w:hint="eastAsia" w:ascii="宋体" w:hAnsi="宋体" w:cs="宋体"/>
          <w:sz w:val="24"/>
          <w:highlight w:val="none"/>
        </w:rPr>
        <w:t xml:space="preserve">进行公开招标采购，现欢迎符合相关条件的供应商投标。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一、项目名称和项目编号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项目名称：基于实验室场景的数字孪生建筑运维技术研发服务</w:t>
      </w:r>
      <w:r/>
    </w:p>
    <w:p>
      <w:pPr>
        <w:ind w:firstLine="480"/>
        <w:spacing w:line="360" w:lineRule="auto"/>
        <w:rPr>
          <w:rFonts w:cs="宋体"/>
          <w:sz w:val="24"/>
          <w:highlight w:val="none"/>
        </w:rPr>
      </w:pPr>
      <w:r>
        <w:rPr>
          <w:rFonts w:hint="eastAsia" w:ascii="宋体" w:hAnsi="宋体" w:cs="宋体"/>
          <w:sz w:val="24"/>
          <w:highlight w:val="none"/>
        </w:rPr>
        <w:t xml:space="preserve">项目编号：JSZC-320300-JSZR-G2024-0118</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二、投标人的资格要求：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见本项目公开招标公告。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三、获取招标文件</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1.时间：2024年</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26</w:t>
      </w:r>
      <w:r>
        <w:rPr>
          <w:rFonts w:hint="eastAsia" w:ascii="宋体" w:hAnsi="宋体" w:cs="宋体"/>
          <w:sz w:val="24"/>
          <w:highlight w:val="none"/>
        </w:rPr>
        <w:t xml:space="preserve">日至2024年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日，每天上午09:00至12:00，下午2:00至5:00（法定节假日除外），2024年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日后仍可以下载招标文件，2024年</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日后下载的招标文件，视为非有效方式且不作为供应商权益受到损害的证明材料和依据。</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spacing w:line="360" w:lineRule="auto"/>
        <w:rPr>
          <w:rFonts w:hint="eastAsia"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（3）“CA数字证书”的获取：</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3.“苏采云”系统使用谷歌浏览器参与不见面开标。</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4.售价：免费。</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四、投标有关信息</w:t>
      </w:r>
      <w:r/>
    </w:p>
    <w:p>
      <w:pPr>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2024年</w:t>
      </w:r>
      <w:r>
        <w:rPr>
          <w:rFonts w:hint="eastAsia" w:cs="宋体"/>
          <w:sz w:val="24"/>
          <w:highlight w:val="none"/>
          <w:lang w:val="en-US" w:eastAsia="zh-CN"/>
        </w:rPr>
        <w:t xml:space="preserve">11</w:t>
      </w:r>
      <w:r>
        <w:rPr>
          <w:rFonts w:hint="eastAsia" w:cs="宋体"/>
          <w:sz w:val="24"/>
          <w:highlight w:val="none"/>
        </w:rPr>
        <w:t xml:space="preserve">月</w:t>
      </w:r>
      <w:r>
        <w:rPr>
          <w:rFonts w:hint="eastAsia" w:cs="宋体"/>
          <w:sz w:val="24"/>
          <w:highlight w:val="none"/>
          <w:lang w:val="en-US" w:eastAsia="zh-CN"/>
        </w:rPr>
        <w:t xml:space="preserve">15</w:t>
      </w:r>
      <w:r>
        <w:rPr>
          <w:rFonts w:hint="eastAsia" w:cs="宋体"/>
          <w:sz w:val="24"/>
          <w:highlight w:val="none"/>
        </w:rPr>
        <w:t xml:space="preserve">日北京时间9:30</w:t>
      </w:r>
      <w:r/>
    </w:p>
    <w:p>
      <w:pPr>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2024年</w:t>
      </w:r>
      <w:r>
        <w:rPr>
          <w:rFonts w:hint="eastAsia" w:cs="宋体"/>
          <w:sz w:val="24"/>
          <w:highlight w:val="none"/>
          <w:lang w:val="en-US" w:eastAsia="zh-CN"/>
        </w:rPr>
        <w:t xml:space="preserve">11</w:t>
      </w:r>
      <w:r>
        <w:rPr>
          <w:rFonts w:hint="eastAsia" w:cs="宋体"/>
          <w:sz w:val="24"/>
          <w:highlight w:val="none"/>
        </w:rPr>
        <w:t xml:space="preserve">月</w:t>
      </w:r>
      <w:r>
        <w:rPr>
          <w:rFonts w:hint="eastAsia" w:cs="宋体"/>
          <w:sz w:val="24"/>
          <w:highlight w:val="none"/>
          <w:lang w:val="en-US" w:eastAsia="zh-CN"/>
        </w:rPr>
        <w:t xml:space="preserve">15</w:t>
      </w:r>
      <w:r>
        <w:rPr>
          <w:rFonts w:hint="eastAsia" w:cs="宋体"/>
          <w:sz w:val="24"/>
          <w:highlight w:val="none"/>
        </w:rPr>
        <w:t xml:space="preserve">日北京时间9:30</w:t>
      </w:r>
      <w:r/>
    </w:p>
    <w:p>
      <w:pPr>
        <w:ind w:firstLine="480"/>
        <w:jc w:val="left"/>
        <w:spacing w:line="360" w:lineRule="auto"/>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.开标地点：“苏采云”系统（网址：</w:t>
      </w:r>
      <w:r>
        <w:rPr>
          <w:rFonts w:hint="eastAsia"/>
          <w:sz w:val="24"/>
          <w:highlight w:val="none"/>
        </w:rPr>
        <w:t xml:space="preserve"> http</w:t>
      </w:r>
      <w:r>
        <w:rPr>
          <w:rFonts w:hint="eastAsia" w:ascii="宋体" w:hAnsi="宋体" w:cs="宋体"/>
          <w:sz w:val="24"/>
          <w:highlight w:val="none"/>
        </w:rPr>
        <w:t xml:space="preserve">://</w:t>
      </w:r>
      <w:r>
        <w:rPr>
          <w:rFonts w:hint="eastAsia"/>
          <w:sz w:val="24"/>
          <w:highlight w:val="none"/>
        </w:rPr>
        <w:t xml:space="preserve">jszfcg</w:t>
      </w:r>
      <w:r>
        <w:rPr>
          <w:rFonts w:hint="eastAsia" w:ascii="宋体" w:hAnsi="宋体" w:cs="宋体"/>
          <w:sz w:val="24"/>
          <w:highlight w:val="none"/>
        </w:rPr>
        <w:t xml:space="preserve">.</w:t>
      </w:r>
      <w:r>
        <w:rPr>
          <w:rFonts w:hint="eastAsia"/>
          <w:sz w:val="24"/>
          <w:highlight w:val="none"/>
        </w:rPr>
        <w:t xml:space="preserve">jsczt</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/）“开标大厅”或进入徐州政府采购网（网址：</w:t>
      </w:r>
      <w:r>
        <w:rPr>
          <w:rFonts w:hint="eastAsia"/>
          <w:sz w:val="24"/>
          <w:highlight w:val="none"/>
        </w:rPr>
        <w:t xml:space="preserve">http</w:t>
      </w:r>
      <w:r>
        <w:rPr>
          <w:rFonts w:hint="eastAsia" w:ascii="宋体" w:hAnsi="宋体" w:cs="宋体"/>
          <w:sz w:val="24"/>
          <w:highlight w:val="none"/>
        </w:rPr>
        <w:t xml:space="preserve">://</w:t>
      </w:r>
      <w:r>
        <w:rPr>
          <w:rFonts w:hint="eastAsia"/>
          <w:sz w:val="24"/>
          <w:highlight w:val="none"/>
        </w:rPr>
        <w:t xml:space="preserve">czj</w:t>
      </w:r>
      <w:r>
        <w:rPr>
          <w:rFonts w:hint="eastAsia" w:ascii="宋体" w:hAnsi="宋体" w:cs="宋体"/>
          <w:sz w:val="24"/>
          <w:highlight w:val="none"/>
        </w:rPr>
        <w:t xml:space="preserve">.</w:t>
      </w:r>
      <w:r>
        <w:rPr>
          <w:rFonts w:hint="eastAsia"/>
          <w:sz w:val="24"/>
          <w:highlight w:val="none"/>
        </w:rPr>
        <w:t xml:space="preserve">xz</w:t>
      </w:r>
      <w:r>
        <w:rPr>
          <w:rFonts w:hint="eastAsia" w:ascii="宋体" w:hAnsi="宋体" w:cs="宋体"/>
          <w:sz w:val="24"/>
          <w:highlight w:val="none"/>
        </w:rPr>
        <w:t xml:space="preserve">.</w:t>
      </w:r>
      <w:r>
        <w:rPr>
          <w:rFonts w:hint="eastAsia"/>
          <w:sz w:val="24"/>
          <w:highlight w:val="none"/>
        </w:rPr>
        <w:t xml:space="preserve">gov</w:t>
      </w:r>
      <w:r>
        <w:rPr>
          <w:rFonts w:hint="eastAsia" w:ascii="宋体" w:hAnsi="宋体" w:cs="宋体"/>
          <w:sz w:val="24"/>
          <w:highlight w:val="none"/>
        </w:rPr>
        <w:t xml:space="preserve">.</w:t>
      </w:r>
      <w:r>
        <w:rPr>
          <w:rFonts w:hint="eastAsia"/>
          <w:sz w:val="24"/>
          <w:highlight w:val="none"/>
        </w:rPr>
        <w:t xml:space="preserve">cn</w:t>
      </w:r>
      <w:r>
        <w:rPr>
          <w:rFonts w:hint="eastAsia" w:ascii="宋体" w:hAnsi="宋体" w:cs="宋体"/>
          <w:sz w:val="24"/>
          <w:highlight w:val="none"/>
        </w:rPr>
        <w:t xml:space="preserve">/</w:t>
      </w:r>
      <w:r>
        <w:rPr>
          <w:rFonts w:hint="eastAsia"/>
          <w:sz w:val="24"/>
          <w:highlight w:val="none"/>
        </w:rPr>
        <w:t xml:space="preserve">Home</w:t>
      </w:r>
      <w:r>
        <w:rPr>
          <w:rFonts w:hint="eastAsia" w:ascii="宋体" w:hAnsi="宋体" w:cs="宋体"/>
          <w:sz w:val="24"/>
          <w:highlight w:val="none"/>
        </w:rPr>
        <w:t xml:space="preserve">/</w:t>
      </w:r>
      <w:r>
        <w:rPr>
          <w:rFonts w:hint="eastAsia"/>
          <w:sz w:val="24"/>
          <w:highlight w:val="none"/>
        </w:rPr>
        <w:t xml:space="preserve">HomeIndex</w:t>
      </w:r>
      <w:r>
        <w:rPr>
          <w:rFonts w:hint="eastAsia" w:ascii="宋体" w:hAnsi="宋体" w:cs="宋体"/>
          <w:sz w:val="24"/>
          <w:highlight w:val="none"/>
        </w:rPr>
        <w:t xml:space="preserve">）-业务工作-用户登录，点击“苏采云”进入系统“开标大厅”。</w:t>
      </w:r>
      <w:r/>
    </w:p>
    <w:p>
      <w:pPr>
        <w:spacing w:line="360" w:lineRule="auto"/>
        <w:rPr>
          <w:rFonts w:hint="eastAsia" w:ascii="宋体" w:hAnsi="宋体" w:cs="宋体"/>
          <w:sz w:val="24"/>
          <w:highlight w:val="none"/>
        </w:rPr>
      </w:pPr>
      <w:r>
        <w:rPr>
          <w:rFonts w:hint="eastAsia" w:ascii="宋体" w:hAnsi="宋体" w:cs="宋体"/>
          <w:sz w:val="24"/>
          <w:highlight w:val="none"/>
        </w:rPr>
        <w:t xml:space="preserve">五、采购人</w:t>
      </w:r>
      <w:r/>
    </w:p>
    <w:p>
      <w:pPr>
        <w:ind w:firstLine="480"/>
        <w:spacing w:line="360" w:lineRule="auto"/>
        <w:rPr>
          <w:rFonts w:hint="eastAsia" w:ascii="宋体" w:hAnsi="宋体"/>
          <w:sz w:val="24"/>
          <w:highlight w:val="none"/>
        </w:rPr>
      </w:pPr>
      <w:r>
        <w:rPr>
          <w:rFonts w:hint="eastAsia"/>
          <w:sz w:val="24"/>
          <w:highlight w:val="none"/>
        </w:rPr>
        <w:t xml:space="preserve">1.</w:t>
      </w:r>
      <w:r>
        <w:rPr>
          <w:rFonts w:hint="eastAsia" w:ascii="宋体" w:hAnsi="宋体"/>
          <w:sz w:val="24"/>
          <w:highlight w:val="none"/>
        </w:rPr>
        <w:t xml:space="preserve">名称：徐州工程学院</w:t>
      </w:r>
      <w:r/>
    </w:p>
    <w:p>
      <w:pPr>
        <w:ind w:firstLine="480"/>
        <w:spacing w:line="360" w:lineRule="auto"/>
        <w:rPr>
          <w:rFonts w:hint="eastAsia" w:ascii="宋体" w:hAnsi="宋体"/>
          <w:sz w:val="24"/>
          <w:highlight w:val="none"/>
        </w:rPr>
      </w:pPr>
      <w:r>
        <w:rPr>
          <w:rFonts w:hint="eastAsia"/>
          <w:sz w:val="24"/>
          <w:highlight w:val="none"/>
        </w:rPr>
        <w:t xml:space="preserve">2</w:t>
      </w:r>
      <w:r>
        <w:rPr>
          <w:rFonts w:hint="eastAsia" w:ascii="宋体" w:hAnsi="宋体"/>
          <w:sz w:val="24"/>
          <w:highlight w:val="none"/>
        </w:rPr>
        <w:t xml:space="preserve">.地址：江苏省徐州市云龙区丽水路2号</w:t>
      </w:r>
      <w:r/>
    </w:p>
    <w:p>
      <w:pPr>
        <w:ind w:firstLine="480"/>
        <w:spacing w:line="360" w:lineRule="auto"/>
        <w:rPr>
          <w:sz w:val="24"/>
          <w:highlight w:val="none"/>
        </w:rPr>
      </w:pPr>
      <w:r>
        <w:rPr>
          <w:rFonts w:hint="eastAsia"/>
          <w:sz w:val="24"/>
          <w:highlight w:val="none"/>
        </w:rPr>
        <w:t xml:space="preserve">3</w:t>
      </w:r>
      <w:r>
        <w:rPr>
          <w:rFonts w:hint="eastAsia" w:ascii="宋体" w:hAnsi="宋体"/>
          <w:sz w:val="24"/>
          <w:highlight w:val="none"/>
        </w:rPr>
        <w:t xml:space="preserve">.联系方法：</w:t>
      </w:r>
      <w:r>
        <w:rPr>
          <w:rFonts w:hint="eastAsia" w:ascii="宋体" w:hAnsi="宋体" w:cs="宋体"/>
          <w:sz w:val="24"/>
          <w:highlight w:val="none"/>
        </w:rPr>
        <w:t xml:space="preserve">0516-83200231</w:t>
      </w:r>
      <w:r>
        <w:rPr>
          <w:rFonts w:hint="eastAsia" w:ascii="宋体" w:hAnsi="宋体"/>
          <w:sz w:val="24"/>
          <w:highlight w:val="none"/>
        </w:rPr>
        <w:t xml:space="preserve">    </w:t>
      </w:r>
      <w:r/>
    </w:p>
    <w:p>
      <w:pPr>
        <w:ind w:firstLine="480"/>
        <w:spacing w:line="360" w:lineRule="auto"/>
        <w:rPr>
          <w:sz w:val="24"/>
          <w:highlight w:val="none"/>
        </w:rPr>
      </w:pPr>
      <w:r>
        <w:rPr>
          <w:rFonts w:hint="eastAsia"/>
          <w:sz w:val="24"/>
          <w:highlight w:val="none"/>
        </w:rPr>
        <w:t xml:space="preserve">4</w:t>
      </w:r>
      <w:r>
        <w:rPr>
          <w:rFonts w:hint="eastAsia" w:ascii="宋体" w:hAnsi="宋体"/>
          <w:sz w:val="24"/>
          <w:highlight w:val="none"/>
        </w:rPr>
        <w:t xml:space="preserve">.采购项目联系人：李冉   电话：</w:t>
      </w:r>
      <w:r>
        <w:rPr>
          <w:rFonts w:hint="eastAsia" w:ascii="宋体" w:hAnsi="宋体" w:cs="宋体"/>
          <w:sz w:val="24"/>
          <w:highlight w:val="none"/>
        </w:rPr>
        <w:t xml:space="preserve">0516-83200231</w:t>
      </w:r>
      <w:r>
        <w:rPr>
          <w:rFonts w:hint="eastAsia" w:ascii="宋体" w:hAnsi="宋体"/>
          <w:sz w:val="24"/>
          <w:highlight w:val="non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六、采购代理机构</w:t>
      </w:r>
      <w:r/>
    </w:p>
    <w:p>
      <w:pPr>
        <w:ind w:firstLine="480"/>
        <w:spacing w:line="360" w:lineRule="auto"/>
        <w:rPr>
          <w:rFonts w:hint="eastAsia" w:ascii="宋体" w:hAnsi="宋体"/>
          <w:sz w:val="24"/>
          <w:highlight w:val="none"/>
        </w:rPr>
      </w:pPr>
      <w:r>
        <w:rPr>
          <w:rFonts w:hint="eastAsia"/>
          <w:sz w:val="24"/>
          <w:highlight w:val="none"/>
        </w:rPr>
        <w:t xml:space="preserve">1</w:t>
      </w:r>
      <w:r>
        <w:rPr>
          <w:rFonts w:hint="eastAsia" w:ascii="宋体" w:hAnsi="宋体"/>
          <w:sz w:val="24"/>
          <w:highlight w:val="none"/>
        </w:rPr>
        <w:t xml:space="preserve">.名称：江苏中瑞建设项目管理有限公司</w:t>
      </w:r>
      <w:r/>
    </w:p>
    <w:p>
      <w:pPr>
        <w:ind w:firstLine="480"/>
        <w:spacing w:line="360" w:lineRule="auto"/>
        <w:rPr>
          <w:rFonts w:hint="eastAsia" w:ascii="宋体" w:hAnsi="宋体"/>
          <w:sz w:val="24"/>
          <w:highlight w:val="none"/>
        </w:rPr>
      </w:pPr>
      <w:r>
        <w:rPr>
          <w:rFonts w:hint="eastAsia"/>
          <w:sz w:val="24"/>
          <w:highlight w:val="none"/>
        </w:rPr>
        <w:t xml:space="preserve">2</w:t>
      </w:r>
      <w:r>
        <w:rPr>
          <w:rFonts w:hint="eastAsia" w:ascii="宋体" w:hAnsi="宋体"/>
          <w:sz w:val="24"/>
          <w:highlight w:val="none"/>
        </w:rPr>
        <w:t xml:space="preserve">.地址：徐州市云龙区郭庄路世茂广场SOHO3号楼17楼</w:t>
      </w:r>
      <w:r/>
    </w:p>
    <w:p>
      <w:pPr>
        <w:ind w:firstLine="480"/>
        <w:spacing w:line="360" w:lineRule="auto"/>
        <w:rPr>
          <w:rFonts w:hint="eastAsia" w:ascii="宋体" w:hAnsi="宋体"/>
          <w:sz w:val="24"/>
          <w:highlight w:val="none"/>
        </w:rPr>
      </w:pPr>
      <w:r>
        <w:rPr>
          <w:rFonts w:hint="eastAsia"/>
          <w:sz w:val="24"/>
          <w:highlight w:val="none"/>
        </w:rPr>
        <w:t xml:space="preserve">3</w:t>
      </w:r>
      <w:r>
        <w:rPr>
          <w:rFonts w:hint="eastAsia" w:ascii="宋体" w:hAnsi="宋体"/>
          <w:sz w:val="24"/>
          <w:highlight w:val="none"/>
        </w:rPr>
        <w:t xml:space="preserve">.联系方法：</w:t>
      </w:r>
      <w:r>
        <w:rPr>
          <w:rFonts w:hint="eastAsia"/>
          <w:sz w:val="24"/>
          <w:highlight w:val="none"/>
        </w:rPr>
        <w:t xml:space="preserve">0516</w:t>
      </w:r>
      <w:r>
        <w:rPr>
          <w:rFonts w:hint="eastAsia" w:ascii="宋体" w:hAnsi="宋体"/>
          <w:sz w:val="24"/>
          <w:highlight w:val="none"/>
        </w:rPr>
        <w:t xml:space="preserve">-</w:t>
      </w:r>
      <w:r>
        <w:rPr>
          <w:rFonts w:hint="eastAsia"/>
          <w:sz w:val="24"/>
          <w:highlight w:val="none"/>
        </w:rPr>
        <w:t xml:space="preserve">83906677</w:t>
      </w:r>
      <w:r>
        <w:rPr>
          <w:rFonts w:hint="eastAsia" w:ascii="宋体" w:hAnsi="宋体"/>
          <w:sz w:val="24"/>
          <w:highlight w:val="none"/>
        </w:rPr>
        <w:t xml:space="preserve">      邮编：</w:t>
      </w:r>
      <w:r>
        <w:rPr>
          <w:rFonts w:hint="eastAsia"/>
          <w:sz w:val="24"/>
          <w:highlight w:val="none"/>
        </w:rPr>
        <w:t xml:space="preserve">221000</w:t>
      </w:r>
      <w:r/>
    </w:p>
    <w:p>
      <w:pPr>
        <w:ind w:firstLine="480"/>
        <w:spacing w:line="360" w:lineRule="auto"/>
        <w:rPr>
          <w:rFonts w:hint="eastAsia" w:ascii="宋体" w:hAnsi="宋体"/>
          <w:sz w:val="24"/>
          <w:highlight w:val="none"/>
        </w:rPr>
      </w:pPr>
      <w:r>
        <w:rPr>
          <w:rFonts w:hint="eastAsia"/>
          <w:sz w:val="24"/>
          <w:highlight w:val="none"/>
        </w:rPr>
        <w:t xml:space="preserve">4</w:t>
      </w:r>
      <w:r>
        <w:rPr>
          <w:rFonts w:hint="eastAsia" w:ascii="宋体" w:hAnsi="宋体"/>
          <w:sz w:val="24"/>
          <w:highlight w:val="none"/>
        </w:rPr>
        <w:t xml:space="preserve">.采购项目联系人：赵长城   电话：</w:t>
      </w:r>
      <w:r>
        <w:rPr>
          <w:rFonts w:hint="eastAsia"/>
          <w:sz w:val="24"/>
          <w:highlight w:val="none"/>
        </w:rPr>
        <w:t xml:space="preserve">0516-83906677</w:t>
      </w:r>
      <w:r/>
    </w:p>
    <w:p>
      <w:pPr>
        <w:spacing w:line="400" w:lineRule="exact"/>
        <w:rPr>
          <w:rFonts w:hint="eastAsia" w:ascii="宋体" w:hAnsi="宋体" w:cs="宋体"/>
          <w:sz w:val="24"/>
          <w:highlight w:val="none"/>
        </w:rPr>
      </w:pPr>
      <w:r>
        <w:rPr>
          <w:rFonts w:hint="eastAsia" w:ascii="宋体" w:hAnsi="宋体" w:cs="宋体"/>
          <w:sz w:val="24"/>
          <w:highlight w:val="none"/>
        </w:rPr>
      </w:r>
      <w:r/>
    </w:p>
    <w:p>
      <w:pPr>
        <w:jc w:val="right"/>
        <w:spacing w:line="400" w:lineRule="exact"/>
        <w:rPr>
          <w:rFonts w:hint="eastAsia" w:ascii="宋体" w:hAnsi="宋体" w:cs="宋体"/>
          <w:highlight w:val="none"/>
        </w:rPr>
      </w:pPr>
      <w:r>
        <w:rPr>
          <w:rFonts w:hint="eastAsia" w:cs="宋体"/>
          <w:sz w:val="24"/>
          <w:highlight w:val="none"/>
        </w:rPr>
        <w:t xml:space="preserve">2024</w:t>
      </w:r>
      <w:r>
        <w:rPr>
          <w:rFonts w:hint="eastAsia" w:ascii="宋体" w:hAnsi="宋体" w:cs="宋体"/>
          <w:sz w:val="24"/>
          <w:highlight w:val="none"/>
        </w:rPr>
        <w:t xml:space="preserve">年10月 </w:t>
      </w:r>
      <w:r/>
    </w:p>
    <w:p>
      <w:pPr>
        <w:jc w:val="center"/>
        <w:spacing w:line="400" w:lineRule="exact"/>
        <w:rPr>
          <w:rFonts w:hint="eastAsia"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目录</w:t>
      </w:r>
      <w:r/>
    </w:p>
    <w:p>
      <w:pPr>
        <w:ind w:left="420"/>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一、总则</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二、招标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三、投标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四、开标、评标</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五、中标和合同</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六、询问和质疑</w:t>
      </w:r>
      <w:r/>
    </w:p>
    <w:p>
      <w:pPr>
        <w:jc w:val="center"/>
        <w:rPr>
          <w:rFonts w:hint="eastAsia"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p>
    <w:p>
      <w:pPr>
        <w:ind w:firstLine="480"/>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p>
    <w:p>
      <w:pPr>
        <w:ind w:firstLine="480"/>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p>
    <w:p>
      <w:pPr>
        <w:ind w:firstLine="480"/>
        <w:jc w:val="left"/>
        <w:widowControl/>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p>
    <w:p>
      <w:pPr>
        <w:ind w:firstLine="480"/>
        <w:rPr>
          <w:rFonts w:hint="eastAsia"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二、招标</w:t>
      </w:r>
      <w:r/>
    </w:p>
    <w:p>
      <w:pPr>
        <w:ind w:firstLine="480"/>
        <w:rPr>
          <w:rFonts w:hint="eastAsia"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p>
    <w:p>
      <w:pPr>
        <w:ind w:firstLine="480"/>
        <w:rPr>
          <w:rFonts w:hint="eastAsia"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招标文件包括以下内容：</w:t>
      </w:r>
      <w:r/>
    </w:p>
    <w:p>
      <w:pPr>
        <w:ind w:firstLine="480"/>
        <w:rPr>
          <w:rFonts w:hint="eastAsia" w:ascii="宋体" w:hAnsi="宋体" w:cs="宋体"/>
          <w:sz w:val="24"/>
          <w:highlight w:val="none"/>
        </w:rPr>
      </w:pPr>
      <w:r>
        <w:rPr>
          <w:rFonts w:hint="eastAsia" w:ascii="宋体" w:hAnsi="宋体" w:cs="宋体"/>
          <w:sz w:val="24"/>
          <w:highlight w:val="none"/>
        </w:rPr>
        <w:t xml:space="preserve">第一章 投标邀请</w:t>
      </w:r>
      <w:r/>
    </w:p>
    <w:p>
      <w:pPr>
        <w:ind w:firstLine="480"/>
        <w:rPr>
          <w:rFonts w:hint="eastAsia" w:ascii="宋体" w:hAnsi="宋体" w:cs="宋体"/>
          <w:sz w:val="24"/>
          <w:highlight w:val="none"/>
        </w:rPr>
      </w:pPr>
      <w:r>
        <w:rPr>
          <w:rFonts w:hint="eastAsia" w:ascii="宋体" w:hAnsi="宋体" w:cs="宋体"/>
          <w:sz w:val="24"/>
          <w:highlight w:val="none"/>
        </w:rPr>
        <w:t xml:space="preserve">第二章 投标人须知</w:t>
      </w:r>
      <w:r/>
    </w:p>
    <w:p>
      <w:pPr>
        <w:ind w:firstLine="480"/>
        <w:rPr>
          <w:rFonts w:hint="eastAsia" w:ascii="宋体" w:hAnsi="宋体" w:cs="宋体"/>
          <w:sz w:val="24"/>
          <w:highlight w:val="none"/>
        </w:rPr>
      </w:pPr>
      <w:r>
        <w:rPr>
          <w:rFonts w:hint="eastAsia" w:ascii="宋体" w:hAnsi="宋体" w:cs="宋体"/>
          <w:sz w:val="24"/>
          <w:highlight w:val="none"/>
        </w:rPr>
        <w:t xml:space="preserve">第三章 投标资料表</w:t>
      </w:r>
      <w:r/>
    </w:p>
    <w:p>
      <w:pPr>
        <w:ind w:firstLine="480"/>
        <w:rPr>
          <w:rFonts w:hint="eastAsia" w:ascii="宋体" w:hAnsi="宋体" w:cs="宋体"/>
          <w:sz w:val="24"/>
          <w:highlight w:val="none"/>
        </w:rPr>
      </w:pPr>
      <w:r>
        <w:rPr>
          <w:rFonts w:hint="eastAsia" w:ascii="宋体" w:hAnsi="宋体" w:cs="宋体"/>
          <w:sz w:val="24"/>
          <w:highlight w:val="none"/>
        </w:rPr>
        <w:t xml:space="preserve">第四章 评标标准</w:t>
      </w:r>
      <w:r/>
    </w:p>
    <w:p>
      <w:pPr>
        <w:ind w:firstLine="480"/>
        <w:rPr>
          <w:rFonts w:hint="eastAsia" w:ascii="宋体" w:hAnsi="宋体" w:cs="宋体"/>
          <w:sz w:val="24"/>
          <w:highlight w:val="none"/>
        </w:rPr>
      </w:pPr>
      <w:r>
        <w:rPr>
          <w:rFonts w:hint="eastAsia" w:ascii="宋体" w:hAnsi="宋体" w:cs="宋体"/>
          <w:sz w:val="24"/>
          <w:highlight w:val="none"/>
        </w:rPr>
        <w:t xml:space="preserve">第五章 拟签订的合同文本</w:t>
      </w:r>
      <w:r/>
    </w:p>
    <w:p>
      <w:pPr>
        <w:ind w:firstLine="480"/>
        <w:rPr>
          <w:rFonts w:hint="eastAsia" w:ascii="宋体" w:hAnsi="宋体" w:cs="宋体"/>
          <w:sz w:val="24"/>
          <w:highlight w:val="none"/>
        </w:rPr>
      </w:pPr>
      <w:r>
        <w:rPr>
          <w:rFonts w:hint="eastAsia" w:ascii="宋体" w:hAnsi="宋体" w:cs="宋体"/>
          <w:sz w:val="24"/>
          <w:highlight w:val="none"/>
        </w:rPr>
        <w:t xml:space="preserve">第六章 采购需求</w:t>
      </w:r>
      <w:r/>
    </w:p>
    <w:p>
      <w:pPr>
        <w:ind w:firstLine="480"/>
        <w:rPr>
          <w:rFonts w:hint="eastAsia" w:ascii="宋体" w:hAnsi="宋体" w:cs="宋体"/>
          <w:sz w:val="24"/>
          <w:highlight w:val="none"/>
        </w:rPr>
      </w:pPr>
      <w:r>
        <w:rPr>
          <w:rFonts w:hint="eastAsia" w:ascii="宋体" w:hAnsi="宋体" w:cs="宋体"/>
          <w:sz w:val="24"/>
          <w:highlight w:val="none"/>
        </w:rPr>
        <w:t xml:space="preserve">第七章 投标文件相关格式</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p>
    <w:p>
      <w:pPr>
        <w:ind w:firstLine="480"/>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p>
    <w:p>
      <w:pPr>
        <w:ind w:firstLine="480"/>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p>
    <w:p>
      <w:pPr>
        <w:ind w:firstLine="480"/>
        <w:jc w:val="left"/>
        <w:widowControl/>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p>
    <w:p>
      <w:pPr>
        <w:ind w:firstLine="480"/>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 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p>
    <w:p>
      <w:pPr>
        <w:ind w:firstLine="480"/>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p>
    <w:p>
      <w:pPr>
        <w:ind w:firstLine="480"/>
        <w:jc w:val="left"/>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p>
    <w:p>
      <w:pPr>
        <w:ind w:firstLine="480"/>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p>
    <w:p>
      <w:pPr>
        <w:ind w:firstLine="480"/>
        <w:jc w:val="left"/>
        <w:widowControl/>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p>
    <w:p>
      <w:pPr>
        <w:ind w:firstLine="360"/>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三、投标</w:t>
      </w:r>
      <w:r/>
    </w:p>
    <w:p>
      <w:pPr>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18</w:t>
      </w:r>
      <w:r>
        <w:rPr>
          <w:rFonts w:hint="eastAsia" w:ascii="宋体" w:hAnsi="宋体" w:cs="宋体"/>
          <w:sz w:val="24"/>
          <w:highlight w:val="none"/>
        </w:rPr>
        <w:t xml:space="preserve">. 投标人</w:t>
      </w:r>
      <w:r/>
    </w:p>
    <w:p>
      <w:pPr>
        <w:ind w:firstLine="480"/>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p>
    <w:p>
      <w:pPr>
        <w:ind w:firstLine="465"/>
        <w:jc w:val="left"/>
        <w:widowControl/>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p>
    <w:p>
      <w:pPr>
        <w:ind w:firstLine="480"/>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p>
    <w:p>
      <w:pPr>
        <w:ind w:firstLine="24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p>
    <w:p>
      <w:pPr>
        <w:ind w:firstLine="480"/>
        <w:jc w:val="left"/>
        <w:widowControl/>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p>
    <w:p>
      <w:pPr>
        <w:ind w:firstLine="240"/>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p>
    <w:p>
      <w:pPr>
        <w:pStyle w:val="865"/>
        <w:ind w:left="0" w:firstLine="480"/>
        <w:rPr>
          <w:rFonts w:hint="eastAsia"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p>
    <w:p>
      <w:pPr>
        <w:pStyle w:val="865"/>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p>
    <w:p>
      <w:pPr>
        <w:pStyle w:val="865"/>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p>
    <w:p>
      <w:pPr>
        <w:pStyle w:val="865"/>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p>
    <w:p>
      <w:pPr>
        <w:pStyle w:val="865"/>
        <w:ind w:left="0" w:firstLine="480"/>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p>
    <w:p>
      <w:pPr>
        <w:ind w:firstLine="24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p>
    <w:p>
      <w:pPr>
        <w:ind w:firstLine="24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p>
    <w:p>
      <w:pPr>
        <w:ind w:firstLine="480"/>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p>
    <w:p>
      <w:pPr>
        <w:ind w:firstLine="480"/>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p>
    <w:p>
      <w:pPr>
        <w:ind w:firstLine="482"/>
        <w:rPr>
          <w:rFonts w:hint="eastAsia"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p>
    <w:p>
      <w:pPr>
        <w:ind w:firstLine="482"/>
        <w:rPr>
          <w:rFonts w:hint="eastAsia"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投标人在投标截止时间前，可以对所提交的投标文件进行补充、修改或者撤回。</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360"/>
        <w:jc w:val="left"/>
        <w:widowControl/>
        <w:rPr>
          <w:rFonts w:hint="eastAsia"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20</w:t>
      </w:r>
      <w:r>
        <w:rPr>
          <w:rFonts w:hint="eastAsia" w:ascii="宋体" w:hAnsi="宋体" w:cs="宋体"/>
          <w:sz w:val="24"/>
          <w:highlight w:val="none"/>
        </w:rPr>
        <w:t xml:space="preserve">. 投标报价要求</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p>
    <w:p>
      <w:pPr>
        <w:ind w:firstLine="480"/>
        <w:jc w:val="left"/>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w:t>
      </w:r>
      <w:r>
        <w:rPr>
          <w:rFonts w:hint="eastAsia" w:ascii="宋体" w:hAnsi="宋体" w:cs="宋体"/>
          <w:bCs/>
          <w:sz w:val="24"/>
          <w:highlight w:val="none"/>
        </w:rPr>
        <w:t xml:space="preserve">采购人不支付报价以外的任何费用。</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p>
    <w:p>
      <w:pPr>
        <w:ind w:firstLine="480"/>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投标人只能提交一个投标报价，提交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个以上投标报价的投标文件在符合性审查时按照投标无效处理。</w:t>
      </w:r>
      <w:r/>
    </w:p>
    <w:p>
      <w:pPr>
        <w:ind w:firstLine="480"/>
        <w:rPr>
          <w:rFonts w:hint="eastAsia"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p>
    <w:p>
      <w:pPr>
        <w:ind w:firstLine="480"/>
        <w:rPr>
          <w:rFonts w:hint="eastAsia" w:ascii="宋体" w:hAnsi="宋体" w:cs="宋体"/>
          <w:bCs/>
          <w:sz w:val="24"/>
          <w:highlight w:val="none"/>
        </w:rPr>
      </w:pPr>
      <w:r>
        <w:rPr>
          <w:rFonts w:hint="eastAsia" w:ascii="宋体" w:hAnsi="宋体" w:cs="宋体"/>
          <w:bCs/>
          <w:sz w:val="24"/>
          <w:highlight w:val="none"/>
        </w:rPr>
      </w:r>
      <w:r/>
    </w:p>
    <w:p>
      <w:pPr>
        <w:ind w:firstLine="482"/>
        <w:rPr>
          <w:rFonts w:hint="eastAsia"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.投标人不需缴纳投标保证金。</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p>
    <w:p>
      <w:pPr>
        <w:ind w:firstLine="480"/>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本项目不允许分包。</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非单一产品采购项目，采购人应当根据采购项目技术构成、产品价格比重等合理确定核心产品，并在招标文件中载明。多家投标人提供的核心产品品牌相同的，按前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p>
    <w:p>
      <w:pPr>
        <w:jc w:val="left"/>
        <w:widowControl/>
        <w:rPr>
          <w:rFonts w:hint="eastAsia" w:ascii="宋体" w:hAnsi="宋体" w:cs="宋体"/>
          <w:sz w:val="24"/>
          <w:highlight w:val="none"/>
        </w:rPr>
      </w:pPr>
      <w:r>
        <w:rPr>
          <w:rFonts w:hint="eastAsia" w:ascii="宋体" w:hAnsi="宋体" w:cs="宋体"/>
          <w:sz w:val="24"/>
          <w:highlight w:val="none"/>
        </w:rPr>
        <w:t xml:space="preserve">　（一）不同投标人的投标文件由同一单位或者个人编制；</w:t>
      </w:r>
      <w:r/>
    </w:p>
    <w:p>
      <w:pPr>
        <w:jc w:val="left"/>
        <w:widowControl/>
        <w:rPr>
          <w:rFonts w:hint="eastAsia" w:ascii="宋体" w:hAnsi="宋体" w:cs="宋体"/>
          <w:sz w:val="24"/>
          <w:highlight w:val="none"/>
        </w:rPr>
      </w:pPr>
      <w:r>
        <w:rPr>
          <w:rFonts w:hint="eastAsia" w:ascii="宋体" w:hAnsi="宋体" w:cs="宋体"/>
          <w:sz w:val="24"/>
          <w:highlight w:val="none"/>
        </w:rPr>
        <w:t xml:space="preserve">　（二）不同投标人委托同一单位或者个人办理投标事宜；</w:t>
      </w:r>
      <w:r/>
    </w:p>
    <w:p>
      <w:pPr>
        <w:jc w:val="left"/>
        <w:widowControl/>
        <w:rPr>
          <w:rFonts w:hint="eastAsia"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p>
    <w:p>
      <w:pPr>
        <w:jc w:val="left"/>
        <w:widowControl/>
        <w:rPr>
          <w:rFonts w:hint="eastAsia"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p>
    <w:p>
      <w:pPr>
        <w:jc w:val="left"/>
        <w:widowControl/>
        <w:rPr>
          <w:rFonts w:hint="eastAsia" w:ascii="宋体" w:hAnsi="宋体" w:cs="宋体"/>
          <w:sz w:val="24"/>
          <w:highlight w:val="none"/>
        </w:rPr>
      </w:pPr>
      <w:r>
        <w:rPr>
          <w:rFonts w:hint="eastAsia" w:ascii="宋体" w:hAnsi="宋体" w:cs="宋体"/>
          <w:sz w:val="24"/>
          <w:highlight w:val="none"/>
        </w:rPr>
        <w:t xml:space="preserve">　（五）不同投标人的投标文件相互混装。</w:t>
      </w:r>
      <w:r/>
    </w:p>
    <w:p>
      <w:pPr>
        <w:jc w:val="left"/>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四、开标、评标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p>
    <w:p>
      <w:pPr>
        <w:ind w:firstLine="480"/>
        <w:jc w:val="left"/>
        <w:widowControl/>
        <w:rPr>
          <w:rFonts w:hint="eastAsia"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widowControl/>
        <w:rPr>
          <w:rFonts w:hint="eastAsia"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p>
    <w:p>
      <w:pPr>
        <w:ind w:firstLine="480"/>
        <w:jc w:val="left"/>
        <w:widowControl/>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widowControl/>
        <w:rPr>
          <w:rFonts w:hint="eastAsia" w:ascii="宋体" w:hAnsi="宋体" w:cs="宋体"/>
          <w:sz w:val="24"/>
          <w:highlight w:val="none"/>
        </w:rPr>
      </w:pPr>
      <w:r>
        <w:rPr>
          <w:rFonts w:hint="eastAsia" w:ascii="宋体" w:hAnsi="宋体" w:cs="宋体"/>
          <w:sz w:val="24"/>
          <w:highlight w:val="none"/>
        </w:rPr>
        <w:t xml:space="preserve">　　投标人未参加开标的，视同认可开标结果。</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p>
    <w:p>
      <w:pPr>
        <w:ind w:firstLine="480"/>
        <w:jc w:val="left"/>
        <w:widowControl/>
        <w:rPr>
          <w:rFonts w:hint="eastAsia"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p>
    <w:p>
      <w:pPr>
        <w:ind w:firstLine="480"/>
        <w:jc w:val="left"/>
        <w:widowControl/>
        <w:rPr>
          <w:rFonts w:hint="eastAsia"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p>
    <w:p>
      <w:pPr>
        <w:ind w:firstLine="480"/>
        <w:jc w:val="left"/>
        <w:widowControl/>
        <w:rPr>
          <w:rFonts w:hint="eastAsia"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p>
    <w:p>
      <w:pPr>
        <w:ind w:firstLine="480"/>
        <w:jc w:val="left"/>
        <w:widowControl/>
        <w:rPr>
          <w:rFonts w:hint="eastAsia"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widowControl/>
        <w:rPr>
          <w:rFonts w:hint="eastAsia" w:ascii="宋体" w:hAnsi="宋体"/>
          <w:sz w:val="24"/>
          <w:highlight w:val="none"/>
        </w:rPr>
      </w:pPr>
      <w:r>
        <w:rPr>
          <w:rFonts w:hint="eastAsia" w:ascii="宋体" w:hAnsi="宋体"/>
          <w:sz w:val="24"/>
          <w:highlight w:val="none"/>
        </w:rPr>
        <w:t xml:space="preserve">（二）宣布评标纪律；</w:t>
      </w:r>
      <w:r/>
    </w:p>
    <w:p>
      <w:pPr>
        <w:ind w:firstLine="480"/>
        <w:jc w:val="left"/>
        <w:widowControl/>
        <w:rPr>
          <w:rFonts w:hint="eastAsia" w:ascii="宋体" w:hAnsi="宋体"/>
          <w:sz w:val="24"/>
          <w:highlight w:val="none"/>
        </w:rPr>
      </w:pPr>
      <w:r>
        <w:rPr>
          <w:rFonts w:hint="eastAsia" w:ascii="宋体" w:hAnsi="宋体"/>
          <w:sz w:val="24"/>
          <w:highlight w:val="none"/>
        </w:rPr>
        <w:t xml:space="preserve">（三）公布投标人名单，告知评审专家应当回避的情形；</w:t>
      </w:r>
      <w:r/>
    </w:p>
    <w:p>
      <w:pPr>
        <w:ind w:firstLine="480"/>
        <w:jc w:val="left"/>
        <w:widowControl/>
        <w:rPr>
          <w:rFonts w:hint="eastAsia" w:ascii="宋体" w:hAnsi="宋体"/>
          <w:sz w:val="24"/>
          <w:highlight w:val="none"/>
        </w:rPr>
      </w:pPr>
      <w:r>
        <w:rPr>
          <w:rFonts w:hint="eastAsia" w:ascii="宋体" w:hAnsi="宋体"/>
          <w:sz w:val="24"/>
          <w:highlight w:val="none"/>
        </w:rPr>
        <w:t xml:space="preserve">（四）组织评标委员会推选评标组长，采购人代表不得担任组长；</w:t>
      </w:r>
      <w:r/>
    </w:p>
    <w:p>
      <w:pPr>
        <w:ind w:firstLine="480"/>
        <w:jc w:val="left"/>
        <w:widowControl/>
        <w:rPr>
          <w:rFonts w:hint="eastAsia" w:ascii="宋体" w:hAnsi="宋体"/>
          <w:sz w:val="24"/>
          <w:highlight w:val="none"/>
        </w:rPr>
      </w:pPr>
      <w:r>
        <w:rPr>
          <w:rFonts w:hint="eastAsia" w:ascii="宋体" w:hAnsi="宋体"/>
          <w:sz w:val="24"/>
          <w:highlight w:val="none"/>
        </w:rPr>
        <w:t xml:space="preserve">（五）在评标期间采取必要的通讯管理措施，保证评标活动不受外界干扰；</w:t>
      </w:r>
      <w:r/>
    </w:p>
    <w:p>
      <w:pPr>
        <w:ind w:firstLine="480"/>
        <w:jc w:val="left"/>
        <w:widowControl/>
        <w:rPr>
          <w:rFonts w:hint="eastAsia" w:ascii="宋体" w:hAnsi="宋体"/>
          <w:sz w:val="24"/>
          <w:highlight w:val="none"/>
        </w:rPr>
      </w:pPr>
      <w:r>
        <w:rPr>
          <w:rFonts w:hint="eastAsia" w:ascii="宋体" w:hAnsi="宋体"/>
          <w:sz w:val="24"/>
          <w:highlight w:val="none"/>
        </w:rPr>
        <w:t xml:space="preserve">（六）根据评标委员会的要求介绍政府采购相关政策法规、招标文件；</w:t>
      </w:r>
      <w:r/>
    </w:p>
    <w:p>
      <w:pPr>
        <w:ind w:firstLine="480"/>
        <w:jc w:val="left"/>
        <w:widowControl/>
        <w:rPr>
          <w:rFonts w:hint="eastAsia"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widowControl/>
        <w:rPr>
          <w:rFonts w:hint="eastAsia" w:ascii="宋体" w:hAnsi="宋体"/>
          <w:sz w:val="24"/>
          <w:highlight w:val="none"/>
        </w:rPr>
      </w:pPr>
      <w:r>
        <w:rPr>
          <w:rFonts w:hint="eastAsia" w:ascii="宋体" w:hAnsi="宋体"/>
          <w:sz w:val="24"/>
          <w:highlight w:val="none"/>
        </w:rPr>
        <w:t xml:space="preserve">（八）核对评标结果，有《</w:t>
      </w:r>
      <w:r>
        <w:rPr>
          <w:rFonts w:hint="eastAsia"/>
          <w:highlight w:val="none"/>
        </w:rPr>
        <w:fldChar w:fldCharType="begin"/>
      </w:r>
      <w:r>
        <w:rPr>
          <w:highlight w:val="none"/>
        </w:rPr>
        <w:instrText xml:space="preserve"> HYPERLINK "http://www.caigou2003.com/" \t "_blank" </w:instrText>
      </w:r>
      <w:r>
        <w:rPr>
          <w:rFonts w:hint="eastAsia"/>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widowControl/>
        <w:rPr>
          <w:rFonts w:hint="eastAsia"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p>
    <w:p>
      <w:pPr>
        <w:ind w:firstLine="360"/>
        <w:jc w:val="left"/>
        <w:widowControl/>
        <w:rPr>
          <w:rFonts w:hint="eastAsia" w:ascii="宋体" w:hAnsi="宋体"/>
          <w:sz w:val="24"/>
          <w:highlight w:val="none"/>
        </w:rPr>
      </w:pPr>
      <w:r>
        <w:rPr>
          <w:rFonts w:hint="eastAsia" w:ascii="宋体" w:hAnsi="宋体"/>
          <w:sz w:val="24"/>
          <w:highlight w:val="none"/>
        </w:rPr>
        <w:t xml:space="preserve">（十）处理与评标有关的其他事项。</w:t>
      </w:r>
      <w:r/>
    </w:p>
    <w:p>
      <w:pPr>
        <w:ind w:firstLine="360"/>
        <w:jc w:val="left"/>
        <w:widowControl/>
        <w:rPr>
          <w:rFonts w:hint="eastAsia"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widowControl/>
        <w:rPr>
          <w:rFonts w:hint="eastAsia" w:ascii="宋体" w:hAnsi="宋体"/>
          <w:sz w:val="24"/>
          <w:highlight w:val="none"/>
        </w:rPr>
      </w:pPr>
      <w:r>
        <w:rPr>
          <w:rFonts w:hint="eastAsia" w:ascii="宋体" w:hAnsi="宋体"/>
          <w:sz w:val="24"/>
          <w:highlight w:val="none"/>
        </w:rPr>
        <w:t xml:space="preserve"> </w:t>
      </w: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p>
    <w:p>
      <w:pPr>
        <w:ind w:firstLine="360"/>
        <w:jc w:val="left"/>
        <w:widowControl/>
        <w:rPr>
          <w:rFonts w:hint="eastAsia" w:ascii="宋体" w:hAnsi="宋体"/>
          <w:sz w:val="24"/>
          <w:highlight w:val="none"/>
        </w:rPr>
      </w:pPr>
      <w:r>
        <w:rPr>
          <w:rFonts w:hint="eastAsia" w:ascii="宋体" w:hAnsi="宋体"/>
          <w:sz w:val="24"/>
          <w:highlight w:val="none"/>
        </w:rPr>
        <w:t xml:space="preserve">（一）审查、评价投标文件是否符合招标文件的商务、技术等实质性要求；</w:t>
      </w:r>
      <w:r/>
    </w:p>
    <w:p>
      <w:pPr>
        <w:ind w:firstLine="360"/>
        <w:jc w:val="left"/>
        <w:widowControl/>
        <w:rPr>
          <w:rFonts w:hint="eastAsia" w:ascii="宋体" w:hAnsi="宋体"/>
          <w:sz w:val="24"/>
          <w:highlight w:val="none"/>
        </w:rPr>
      </w:pPr>
      <w:r>
        <w:rPr>
          <w:rFonts w:hint="eastAsia" w:ascii="宋体" w:hAnsi="宋体"/>
          <w:sz w:val="24"/>
          <w:highlight w:val="none"/>
        </w:rPr>
        <w:t xml:space="preserve">（二）要求投标人对投标文件有关事项作出澄清或者说明；</w:t>
      </w:r>
      <w:r/>
    </w:p>
    <w:p>
      <w:pPr>
        <w:ind w:firstLine="360"/>
        <w:jc w:val="left"/>
        <w:widowControl/>
        <w:rPr>
          <w:rFonts w:hint="eastAsia" w:ascii="宋体" w:hAnsi="宋体"/>
          <w:sz w:val="24"/>
          <w:highlight w:val="none"/>
        </w:rPr>
      </w:pPr>
      <w:r>
        <w:rPr>
          <w:rFonts w:hint="eastAsia" w:ascii="宋体" w:hAnsi="宋体"/>
          <w:sz w:val="24"/>
          <w:highlight w:val="none"/>
        </w:rPr>
        <w:t xml:space="preserve">（三）对投标文件进行比较和评价；</w:t>
      </w:r>
      <w:r/>
    </w:p>
    <w:p>
      <w:pPr>
        <w:ind w:firstLine="360"/>
        <w:jc w:val="left"/>
        <w:widowControl/>
        <w:rPr>
          <w:rFonts w:hint="eastAsia" w:ascii="宋体" w:hAnsi="宋体"/>
          <w:sz w:val="24"/>
          <w:highlight w:val="none"/>
        </w:rPr>
      </w:pPr>
      <w:r>
        <w:rPr>
          <w:rFonts w:hint="eastAsia" w:ascii="宋体" w:hAnsi="宋体"/>
          <w:sz w:val="24"/>
          <w:highlight w:val="none"/>
        </w:rPr>
        <w:t xml:space="preserve">（四）确定中标候选人名单，以及根据采购人委托直接确定中标人；</w:t>
      </w:r>
      <w:r/>
    </w:p>
    <w:p>
      <w:pPr>
        <w:ind w:firstLine="360"/>
        <w:jc w:val="left"/>
        <w:widowControl/>
        <w:rPr>
          <w:rFonts w:hint="eastAsia" w:ascii="宋体" w:hAnsi="宋体"/>
          <w:sz w:val="24"/>
          <w:highlight w:val="none"/>
        </w:rPr>
      </w:pPr>
      <w:r>
        <w:rPr>
          <w:rFonts w:hint="eastAsia" w:ascii="宋体" w:hAnsi="宋体"/>
          <w:sz w:val="24"/>
          <w:highlight w:val="none"/>
        </w:rPr>
        <w:t xml:space="preserve">（五）向采购人、采购代理机构或者有关部门报告评标中发现的违法行为。</w:t>
      </w:r>
      <w:r/>
    </w:p>
    <w:p>
      <w:pPr>
        <w:ind w:firstLine="480"/>
        <w:jc w:val="left"/>
        <w:widowControl/>
        <w:rPr>
          <w:rFonts w:hint="eastAsia" w:ascii="宋体" w:hAnsi="宋体"/>
          <w:sz w:val="24"/>
          <w:highlight w:val="none"/>
        </w:rPr>
      </w:pPr>
      <w:r>
        <w:rPr>
          <w:rFonts w:hint="eastAsia" w:ascii="宋体" w:hAnsi="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p>
    <w:p>
      <w:pPr>
        <w:ind w:firstLine="480"/>
        <w:jc w:val="left"/>
        <w:widowControl/>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p>
    <w:p>
      <w:pPr>
        <w:ind w:firstLine="480"/>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p>
    <w:p>
      <w:pPr>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p>
    <w:p>
      <w:pPr>
        <w:jc w:val="left"/>
        <w:widowControl/>
        <w:rPr>
          <w:rFonts w:hint="eastAsia"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p>
    <w:p>
      <w:pPr>
        <w:jc w:val="left"/>
        <w:widowControl/>
        <w:rPr>
          <w:rFonts w:hint="eastAsia" w:ascii="宋体" w:hAnsi="宋体" w:cs="宋体"/>
          <w:sz w:val="24"/>
          <w:highlight w:val="none"/>
        </w:rPr>
      </w:pPr>
      <w:r>
        <w:rPr>
          <w:rFonts w:hint="eastAsia" w:ascii="宋体" w:hAnsi="宋体" w:cs="宋体"/>
          <w:sz w:val="24"/>
          <w:highlight w:val="none"/>
        </w:rPr>
        <w:t xml:space="preserve">　　（二）大写金额和小写金额不一致的，以大写金额为准；</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p>
    <w:p>
      <w:pPr>
        <w:jc w:val="left"/>
        <w:widowControl/>
        <w:rPr>
          <w:rFonts w:hint="eastAsia"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p>
    <w:p>
      <w:pPr>
        <w:jc w:val="left"/>
        <w:widowControl/>
        <w:rPr>
          <w:rFonts w:hint="eastAsia" w:ascii="宋体" w:hAnsi="宋体" w:cs="宋体"/>
          <w:sz w:val="24"/>
          <w:highlight w:val="none"/>
        </w:rPr>
      </w:pPr>
      <w:r>
        <w:rPr>
          <w:rFonts w:hint="eastAsia" w:ascii="宋体" w:hAnsi="宋体" w:cs="宋体"/>
          <w:sz w:val="24"/>
          <w:highlight w:val="none"/>
        </w:rPr>
        <w:t xml:space="preserve">　　同时出现两种以上不一致的，按照前款规定的顺序修正。修正后的报价按照第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条第二款的规定经投标人确认后产生约束力，投标人不确认的，其投标无效。</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highlight w:val="none"/>
        </w:rPr>
      </w:pPr>
      <w:r>
        <w:rPr>
          <w:highlight w:val="none"/>
        </w:rPr>
      </w:r>
      <w:r/>
    </w:p>
    <w:p>
      <w:pPr>
        <w:ind w:firstLine="480"/>
        <w:rPr>
          <w:rFonts w:hint="eastAsia"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p>
    <w:p>
      <w:pPr>
        <w:ind w:firstLine="480"/>
        <w:rPr>
          <w:rFonts w:hint="eastAsia" w:ascii="宋体" w:hAnsi="宋体" w:cs="宋体"/>
          <w:sz w:val="24"/>
          <w:highlight w:val="none"/>
        </w:rPr>
      </w:pPr>
      <w:r>
        <w:rPr>
          <w:rFonts w:hint="eastAsia" w:ascii="宋体" w:hAnsi="宋体" w:cs="宋体"/>
          <w:sz w:val="24"/>
          <w:highlight w:val="none"/>
        </w:rPr>
        <w:t xml:space="preserve">（一）投标文件未按招标文件要求签署、盖章的；</w:t>
      </w:r>
      <w:r/>
    </w:p>
    <w:p>
      <w:pPr>
        <w:ind w:firstLine="480"/>
        <w:rPr>
          <w:rFonts w:hint="eastAsia" w:ascii="宋体" w:hAnsi="宋体" w:cs="宋体"/>
          <w:sz w:val="24"/>
          <w:highlight w:val="none"/>
        </w:rPr>
      </w:pPr>
      <w:r>
        <w:rPr>
          <w:rFonts w:hint="eastAsia" w:ascii="宋体" w:hAnsi="宋体" w:cs="宋体"/>
          <w:sz w:val="24"/>
          <w:highlight w:val="none"/>
        </w:rPr>
        <w:t xml:space="preserve">（二）不具备招标文件中规定的资格要求的；</w:t>
      </w:r>
      <w:r/>
    </w:p>
    <w:p>
      <w:pPr>
        <w:ind w:firstLine="480"/>
        <w:rPr>
          <w:rFonts w:hint="eastAsia"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p>
    <w:p>
      <w:pPr>
        <w:ind w:firstLine="480"/>
        <w:rPr>
          <w:rFonts w:hint="eastAsia" w:ascii="宋体" w:hAnsi="宋体" w:cs="宋体"/>
          <w:sz w:val="24"/>
          <w:highlight w:val="none"/>
        </w:rPr>
      </w:pPr>
      <w:r>
        <w:rPr>
          <w:rFonts w:hint="eastAsia" w:ascii="宋体" w:hAnsi="宋体" w:cs="宋体"/>
          <w:sz w:val="24"/>
          <w:highlight w:val="none"/>
        </w:rPr>
        <w:t xml:space="preserve">（四）投标文件含有采购人不能接受的附加条件的；</w:t>
      </w:r>
      <w:r/>
    </w:p>
    <w:p>
      <w:pPr>
        <w:ind w:firstLine="480"/>
        <w:rPr>
          <w:rFonts w:hint="eastAsia" w:ascii="宋体" w:hAnsi="宋体" w:cs="宋体"/>
          <w:sz w:val="24"/>
          <w:highlight w:val="none"/>
        </w:rPr>
      </w:pPr>
      <w:r>
        <w:rPr>
          <w:rFonts w:hint="eastAsia" w:ascii="宋体" w:hAnsi="宋体" w:cs="宋体"/>
          <w:sz w:val="24"/>
          <w:highlight w:val="none"/>
        </w:rPr>
        <w:t xml:space="preserve">（五）投标人未在规定时间内解密电子投标文件的；</w:t>
      </w:r>
      <w:r/>
    </w:p>
    <w:p>
      <w:pPr>
        <w:ind w:firstLine="480"/>
        <w:rPr>
          <w:rFonts w:hint="eastAsia" w:ascii="宋体" w:hAnsi="宋体" w:cs="宋体"/>
          <w:sz w:val="24"/>
          <w:highlight w:val="none"/>
        </w:rPr>
      </w:pPr>
      <w:r>
        <w:rPr>
          <w:rFonts w:hint="eastAsia" w:ascii="宋体" w:hAnsi="宋体" w:cs="宋体"/>
          <w:sz w:val="24"/>
          <w:highlight w:val="none"/>
        </w:rPr>
        <w:t xml:space="preserve">（六）投标文件未按招标文件规定的内容和要求填写的；没有在投标系统指定位置上传对应文件、材料的；</w:t>
      </w:r>
      <w:r/>
    </w:p>
    <w:p>
      <w:pPr>
        <w:ind w:firstLine="480"/>
        <w:rPr>
          <w:rFonts w:hint="eastAsia" w:ascii="宋体" w:hAnsi="宋体" w:cs="宋体"/>
          <w:sz w:val="24"/>
          <w:highlight w:val="none"/>
        </w:rPr>
      </w:pPr>
      <w:r>
        <w:rPr>
          <w:rFonts w:hint="eastAsia" w:ascii="宋体" w:hAnsi="宋体" w:cs="宋体"/>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（八）法律法规和招标文件规定的其他无效情形。</w:t>
      </w:r>
      <w:r/>
    </w:p>
    <w:p>
      <w:pPr>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rPr>
          <w:highlight w:val="none"/>
        </w:rPr>
      </w:pPr>
      <w:r>
        <w:rPr>
          <w:highlight w:val="none"/>
        </w:rPr>
      </w:r>
      <w:r/>
    </w:p>
    <w:p>
      <w:pPr>
        <w:ind w:firstLine="480"/>
        <w:jc w:val="left"/>
        <w:widowControl/>
        <w:rPr>
          <w:rFonts w:hint="eastAsia"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.废标条款。</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出现下列情形之一的，应予废标：</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（二）出现影响采购公正的违法、违规行为的；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（三）投标人的报价均超过了采购预算，采购人不能支付的；</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（四）因重大变故，采购任务取消的。</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五、中标和合同</w:t>
      </w:r>
      <w:r/>
    </w:p>
    <w:p>
      <w:pPr>
        <w:ind w:firstLine="480"/>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p>
    <w:p>
      <w:pPr>
        <w:ind w:firstLine="480"/>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p>
    <w:p>
      <w:pPr>
        <w:ind w:firstLine="465"/>
        <w:jc w:val="left"/>
        <w:widowControl/>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rPr>
          <w:rFonts w:hint="eastAsia"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.签订政府采购合同</w:t>
      </w:r>
      <w:r/>
    </w:p>
    <w:p>
      <w:pPr>
        <w:ind w:firstLine="480"/>
        <w:jc w:val="left"/>
        <w:widowControl/>
        <w:rPr>
          <w:rFonts w:hint="eastAsia"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sz w:val="24"/>
          <w:highlight w:val="none"/>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p>
    <w:p>
      <w:pPr>
        <w:rPr>
          <w:highlight w:val="none"/>
        </w:rPr>
      </w:pPr>
      <w:r>
        <w:rPr>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p>
    <w:p>
      <w:pPr>
        <w:rPr>
          <w:rFonts w:hint="eastAsia"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p>
    <w:p>
      <w:pPr>
        <w:ind w:firstLine="480"/>
        <w:rPr>
          <w:rFonts w:hint="eastAsia" w:ascii="宋体" w:hAnsi="宋体" w:cs="宋体"/>
          <w:sz w:val="24"/>
          <w:highlight w:val="none"/>
        </w:rPr>
      </w:pPr>
      <w:r>
        <w:rPr>
          <w:rFonts w:hint="eastAsia" w:ascii="宋体" w:hAnsi="宋体" w:cs="宋体"/>
          <w:sz w:val="24"/>
          <w:highlight w:val="none"/>
        </w:rPr>
      </w:r>
      <w:r/>
    </w:p>
    <w:p>
      <w:pPr>
        <w:ind w:left="420"/>
        <w:jc w:val="cente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六、询问和质疑</w:t>
      </w:r>
      <w:r/>
    </w:p>
    <w:p>
      <w:pPr>
        <w:rPr>
          <w:rFonts w:hint="eastAsia" w:ascii="宋体" w:hAnsi="宋体" w:cs="宋体"/>
          <w:sz w:val="24"/>
          <w:highlight w:val="none"/>
        </w:rPr>
      </w:pPr>
      <w:r>
        <w:rPr>
          <w:rFonts w:hint="eastAsia" w:ascii="宋体" w:hAnsi="宋体" w:cs="宋体"/>
          <w:sz w:val="30"/>
          <w:szCs w:val="30"/>
          <w:highlight w:val="none"/>
        </w:rPr>
        <w:t xml:space="preserve">  </w:t>
      </w:r>
      <w:r>
        <w:rPr>
          <w:rFonts w:hint="eastAsia" w:ascii="宋体" w:hAnsi="宋体" w:cs="宋体"/>
          <w:sz w:val="24"/>
          <w:highlight w:val="none"/>
        </w:rPr>
        <w:t xml:space="preserve">  </w:t>
      </w:r>
      <w:r>
        <w:rPr>
          <w:rFonts w:hint="eastAsia" w:cs="宋体"/>
          <w:sz w:val="24"/>
          <w:highlight w:val="none"/>
        </w:rPr>
        <w:t xml:space="preserve">43</w:t>
      </w:r>
      <w:r>
        <w:rPr>
          <w:rFonts w:hint="eastAsia" w:ascii="宋体" w:hAnsi="宋体" w:cs="宋体"/>
          <w:sz w:val="24"/>
          <w:highlight w:val="none"/>
        </w:rPr>
        <w:t xml:space="preserve">. 询问和质疑</w:t>
      </w:r>
      <w:r/>
    </w:p>
    <w:p>
      <w:pPr>
        <w:ind w:firstLine="480"/>
        <w:rPr>
          <w:rFonts w:hint="eastAsia" w:ascii="宋体" w:hAnsi="宋体" w:cs="宋体"/>
          <w:sz w:val="24"/>
          <w:highlight w:val="none"/>
        </w:rPr>
      </w:pPr>
      <w:r>
        <w:rPr>
          <w:rFonts w:hint="eastAsia" w:ascii="宋体" w:hAnsi="宋体" w:cs="宋体"/>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78"/>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787"/>
        <w:rPr>
          <w:rFonts w:hint="eastAsia" w:ascii="宋体" w:hAnsi="宋体" w:cs="宋体"/>
          <w:sz w:val="30"/>
          <w:szCs w:val="30"/>
          <w:highlight w:val="none"/>
        </w:rPr>
      </w:pPr>
      <w:r>
        <w:rPr>
          <w:rFonts w:hint="eastAsia" w:ascii="宋体" w:hAnsi="宋体" w:cs="宋体"/>
          <w:sz w:val="30"/>
          <w:szCs w:val="30"/>
          <w:highlight w:val="none"/>
        </w:rPr>
      </w:r>
      <w:r/>
    </w:p>
    <w:p>
      <w:pPr>
        <w:pStyle w:val="787"/>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第三章  投标资料表</w:t>
      </w:r>
      <w:r/>
    </w:p>
    <w:p>
      <w:pPr>
        <w:pStyle w:val="870"/>
        <w:ind w:firstLine="480"/>
        <w:rPr>
          <w:rFonts w:hint="eastAsia"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p>
    <w:p>
      <w:pPr>
        <w:rPr>
          <w:highlight w:val="none"/>
        </w:rPr>
      </w:pPr>
      <w:r>
        <w:rPr>
          <w:highlight w:val="none"/>
        </w:rPr>
      </w:r>
      <w:r/>
    </w:p>
    <w:tbl>
      <w:tblPr>
        <w:tblStyle w:val="783"/>
        <w:tblW w:w="8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542"/>
      </w:tblGrid>
      <w:tr>
        <w:trPr>
          <w:jc w:val="center"/>
        </w:trPr>
        <w:tc>
          <w:tcPr>
            <w:tcW w:w="1368"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条款项号</w:t>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内容</w:t>
            </w:r>
            <w:r/>
          </w:p>
        </w:tc>
      </w:tr>
      <w:tr>
        <w:trPr>
          <w:jc w:val="center"/>
        </w:trPr>
        <w:tc>
          <w:tcPr>
            <w:tcW w:w="1368"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一、总则</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本项目采购人：徐州工程学院</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采购人确定的采购项目属性：服务 </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本项目采购代理机构：江苏中瑞建设项目管理有限公司</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二、招标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采购项目预算金额：</w:t>
            </w:r>
            <w:r>
              <w:rPr>
                <w:rFonts w:hint="eastAsia" w:ascii="宋体" w:hAnsi="宋体"/>
                <w:sz w:val="24"/>
                <w:highlight w:val="none"/>
              </w:rPr>
              <w:t xml:space="preserve">90万元</w:t>
            </w:r>
            <w:r>
              <w:rPr>
                <w:rFonts w:hint="eastAsia" w:ascii="宋体" w:hAnsi="宋体" w:cs="宋体"/>
                <w:sz w:val="24"/>
                <w:highlight w:val="none"/>
              </w:rPr>
              <w:t xml:space="preserve">。</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本项目对样品的要求：无。</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投标有效期：</w:t>
            </w:r>
            <w:r>
              <w:rPr>
                <w:rFonts w:hint="eastAsia" w:cs="宋体"/>
                <w:sz w:val="24"/>
                <w:highlight w:val="none"/>
              </w:rPr>
              <w:t xml:space="preserve">90</w:t>
            </w:r>
            <w:r>
              <w:rPr>
                <w:rFonts w:hint="eastAsia" w:ascii="宋体" w:hAnsi="宋体" w:cs="宋体"/>
                <w:sz w:val="24"/>
                <w:highlight w:val="none"/>
              </w:rPr>
              <w:t xml:space="preserve">天。</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招标文件售价：免费。</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sz w:val="24"/>
                <w:highlight w:val="none"/>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现场考察：不组织现场考察。</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p>
        </w:tc>
        <w:tc>
          <w:tcPr>
            <w:tcW w:w="7542" w:type="dxa"/>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开标前答疑会：不召开开标前答疑会。</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p>
          <w:p>
            <w:pPr>
              <w:jc w:val="center"/>
              <w:rPr>
                <w:rFonts w:hint="eastAsia"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jc w:val="left"/>
              <w:widowControl/>
              <w:rPr>
                <w:rFonts w:hint="eastAsia"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p>
        </w:tc>
      </w:tr>
      <w:tr>
        <w:trPr>
          <w:jc w:val="center"/>
          <w:trHeight w:val="283"/>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p>
        </w:tc>
        <w:tc>
          <w:tcPr>
            <w:tcW w:w="7542" w:type="dxa"/>
            <w:textDirection w:val="lrTb"/>
            <w:noWrap w:val="false"/>
          </w:tcPr>
          <w:p>
            <w:pPr>
              <w:jc w:val="left"/>
              <w:rPr>
                <w:rFonts w:hint="eastAsia"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p>
          <w:p>
            <w:pPr>
              <w:jc w:val="left"/>
              <w:rPr>
                <w:rFonts w:hint="eastAsia"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p>
          <w:p>
            <w:pPr>
              <w:jc w:val="left"/>
              <w:rPr>
                <w:rFonts w:hint="eastAsia" w:ascii="宋体" w:hAnsi="宋体" w:cs="宋体"/>
                <w:sz w:val="24"/>
                <w:highlight w:val="none"/>
              </w:rPr>
            </w:pPr>
            <w:r>
              <w:rPr>
                <w:rFonts w:hint="eastAsia" w:ascii="宋体" w:hAnsi="宋体" w:cs="宋体"/>
                <w:sz w:val="24"/>
                <w:highlight w:val="none"/>
              </w:rPr>
              <w:t xml:space="preserve">二、查询渠道：</w:t>
            </w:r>
            <w:r/>
          </w:p>
          <w:p>
            <w:pPr>
              <w:jc w:val="left"/>
              <w:rPr>
                <w:rFonts w:hint="eastAsia" w:ascii="宋体" w:hAnsi="宋体"/>
                <w:sz w:val="24"/>
                <w:highlight w:val="none"/>
              </w:rPr>
            </w:pPr>
            <w:r>
              <w:rPr>
                <w:rFonts w:hint="eastAsia" w:ascii="宋体" w:hAnsi="宋体"/>
                <w:sz w:val="24"/>
                <w:highlight w:val="none"/>
              </w:rPr>
              <w:t xml:space="preserve">1.“信用中国”网（www.creditchina.gov.cn）；</w:t>
            </w:r>
            <w:r/>
          </w:p>
          <w:p>
            <w:pPr>
              <w:jc w:val="left"/>
              <w:rPr>
                <w:rFonts w:hint="eastAsia" w:ascii="宋体" w:hAnsi="宋体"/>
                <w:sz w:val="24"/>
                <w:highlight w:val="none"/>
              </w:rPr>
            </w:pPr>
            <w:r>
              <w:rPr>
                <w:rFonts w:hint="eastAsia" w:ascii="宋体" w:hAnsi="宋体"/>
                <w:sz w:val="24"/>
                <w:highlight w:val="none"/>
              </w:rPr>
              <w:t xml:space="preserve">2.“中国政府采购”网（www.ccgp.gov.cn）；</w:t>
            </w:r>
            <w:r/>
          </w:p>
          <w:p>
            <w:pPr>
              <w:jc w:val="left"/>
              <w:rPr>
                <w:rFonts w:hint="eastAsia" w:ascii="宋体" w:hAnsi="宋体"/>
                <w:sz w:val="24"/>
                <w:highlight w:val="none"/>
              </w:rPr>
            </w:pPr>
            <w:r>
              <w:rPr>
                <w:rFonts w:hint="eastAsia" w:ascii="宋体" w:hAnsi="宋体"/>
                <w:sz w:val="24"/>
                <w:highlight w:val="none"/>
              </w:rPr>
              <w:t xml:space="preserve">3.“信用江苏”网（http://credit.jiangsu.gov.cn）；</w:t>
            </w:r>
            <w:r/>
          </w:p>
          <w:p>
            <w:pPr>
              <w:jc w:val="left"/>
              <w:rPr>
                <w:rFonts w:hint="eastAsia" w:ascii="宋体" w:hAnsi="宋体"/>
                <w:sz w:val="24"/>
                <w:highlight w:val="none"/>
              </w:rPr>
            </w:pPr>
            <w:r>
              <w:rPr>
                <w:rFonts w:hint="eastAsia" w:ascii="宋体" w:hAnsi="宋体"/>
                <w:sz w:val="24"/>
                <w:highlight w:val="none"/>
              </w:rPr>
              <w:t xml:space="preserve">4.“信用中国（江苏徐州）”网（www.xuzhoucredit.gov.cn）；</w:t>
            </w:r>
            <w:r/>
          </w:p>
          <w:p>
            <w:pPr>
              <w:jc w:val="left"/>
              <w:rPr>
                <w:rFonts w:hint="eastAsia" w:ascii="宋体" w:hAnsi="宋体" w:cs="宋体"/>
                <w:bCs/>
                <w:sz w:val="24"/>
                <w:highlight w:val="none"/>
              </w:rPr>
            </w:pPr>
            <w:r>
              <w:rPr>
                <w:rFonts w:hint="eastAsia" w:ascii="宋体" w:hAnsi="宋体" w:cs="宋体"/>
                <w:bCs/>
                <w:sz w:val="24"/>
                <w:highlight w:val="none"/>
              </w:rPr>
              <w:t xml:space="preserve">三、截止时点（查询环节）：资格审查结束前。</w:t>
            </w:r>
            <w:r/>
          </w:p>
          <w:p>
            <w:pPr>
              <w:jc w:val="left"/>
              <w:rPr>
                <w:rFonts w:hint="eastAsia" w:ascii="宋体" w:hAnsi="宋体" w:cs="宋体"/>
                <w:bCs/>
                <w:sz w:val="24"/>
                <w:highlight w:val="none"/>
              </w:rPr>
            </w:pPr>
            <w:r>
              <w:rPr>
                <w:rFonts w:hint="eastAsia" w:ascii="宋体" w:hAnsi="宋体" w:cs="宋体"/>
                <w:bCs/>
                <w:sz w:val="24"/>
                <w:highlight w:val="none"/>
              </w:rPr>
              <w:t xml:space="preserve">四、信用信息查询记录和证据留存的具体方式：</w:t>
            </w:r>
            <w:r/>
          </w:p>
          <w:p>
            <w:pPr>
              <w:jc w:val="left"/>
              <w:rPr>
                <w:rFonts w:hint="eastAsia" w:ascii="宋体" w:hAnsi="宋体" w:cs="宋体"/>
                <w:bCs/>
                <w:sz w:val="24"/>
                <w:highlight w:val="none"/>
              </w:rPr>
            </w:pPr>
            <w:r>
              <w:rPr>
                <w:rFonts w:hint="eastAsia" w:ascii="宋体" w:hAnsi="宋体" w:cs="宋体"/>
                <w:sz w:val="24"/>
                <w:highlight w:val="none"/>
              </w:rPr>
              <w:t xml:space="preserve">网页截屏打印，与其他采购文件一并保存。</w:t>
            </w:r>
            <w:r/>
          </w:p>
          <w:p>
            <w:pPr>
              <w:jc w:val="left"/>
              <w:rPr>
                <w:rFonts w:hint="eastAsia" w:ascii="宋体" w:hAnsi="宋体" w:cs="宋体"/>
                <w:bCs/>
                <w:sz w:val="24"/>
                <w:highlight w:val="none"/>
              </w:rPr>
            </w:pPr>
            <w:r>
              <w:rPr>
                <w:rFonts w:hint="eastAsia" w:ascii="宋体" w:hAnsi="宋体" w:cs="宋体"/>
                <w:bCs/>
                <w:sz w:val="24"/>
                <w:highlight w:val="none"/>
              </w:rPr>
              <w:t xml:space="preserve">五、信用信息的使用规则：</w:t>
            </w:r>
            <w:r/>
          </w:p>
          <w:p>
            <w:pPr>
              <w:jc w:val="left"/>
              <w:rPr>
                <w:rFonts w:hint="eastAsia"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bCs/>
                <w:sz w:val="24"/>
                <w:highlight w:val="none"/>
              </w:rPr>
              <w:t xml:space="preserve">三、投标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p>
        </w:tc>
        <w:tc>
          <w:tcPr>
            <w:tcW w:w="7542" w:type="dxa"/>
            <w:textDirection w:val="lrTb"/>
            <w:noWrap w:val="false"/>
          </w:tcPr>
          <w:p>
            <w:pPr>
              <w:rPr>
                <w:rFonts w:hint="eastAsia" w:ascii="宋体" w:hAnsi="宋体" w:cs="宋体"/>
                <w:bCs/>
                <w:sz w:val="24"/>
                <w:highlight w:val="none"/>
              </w:rPr>
            </w:pPr>
            <w:r>
              <w:rPr>
                <w:rFonts w:hint="eastAsia" w:ascii="宋体" w:hAnsi="宋体" w:cs="宋体"/>
                <w:bCs/>
                <w:sz w:val="24"/>
                <w:highlight w:val="none"/>
              </w:rPr>
              <w:t xml:space="preserve">投标人的资格要求：</w:t>
            </w:r>
            <w:r/>
          </w:p>
          <w:p>
            <w:pPr>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ascii="宋体" w:hAnsi="宋体" w:cs="宋体"/>
                <w:bCs/>
                <w:sz w:val="24"/>
                <w:highlight w:val="none"/>
              </w:rPr>
              <w:t xml:space="preserve">符合</w:t>
            </w:r>
            <w:r>
              <w:rPr>
                <w:rFonts w:hint="eastAsia" w:ascii="宋体" w:hAnsi="宋体" w:cs="宋体"/>
                <w:sz w:val="24"/>
                <w:highlight w:val="none"/>
              </w:rPr>
              <w:t xml:space="preserve">《中华人民共和国政府采购法》第二十二条规定；</w:t>
            </w:r>
            <w:r/>
          </w:p>
          <w:p>
            <w:pPr>
              <w:rPr>
                <w:rFonts w:hint="eastAsia" w:ascii="宋体" w:hAnsi="宋体" w:cs="宋体"/>
                <w:bCs/>
                <w:sz w:val="24"/>
                <w:highlight w:val="none"/>
              </w:rPr>
            </w:pPr>
            <w:r>
              <w:rPr>
                <w:rFonts w:hint="eastAsia" w:cs="宋体"/>
                <w:sz w:val="24"/>
                <w:highlight w:val="none"/>
              </w:rPr>
              <w:t xml:space="preserve">2</w:t>
            </w:r>
            <w:r>
              <w:rPr>
                <w:rFonts w:hint="eastAsia" w:ascii="宋体" w:hAnsi="宋体" w:cs="宋体"/>
                <w:sz w:val="24"/>
                <w:highlight w:val="none"/>
              </w:rPr>
              <w:t xml:space="preserve">.落实政府采购政策需满足的资格要求：本项目为专门面向中小企业采购的项目，供应商应为中小微企业、监狱企业、残疾人福利性单位。</w:t>
            </w:r>
            <w:r/>
          </w:p>
          <w:p>
            <w:pPr>
              <w:jc w:val="left"/>
              <w:rPr>
                <w:rFonts w:hint="eastAsia"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.本项目的特定资格要求：无。</w:t>
            </w:r>
            <w:r/>
          </w:p>
          <w:p>
            <w:pPr>
              <w:jc w:val="left"/>
              <w:rPr>
                <w:rFonts w:hint="eastAsia" w:ascii="宋体" w:hAnsi="宋体" w:cs="宋体"/>
                <w:bCs/>
                <w:sz w:val="24"/>
                <w:highlight w:val="none"/>
              </w:rPr>
            </w:pPr>
            <w:r>
              <w:rPr>
                <w:rFonts w:hint="eastAsia" w:ascii="宋体" w:hAnsi="宋体" w:cs="宋体"/>
                <w:bCs/>
                <w:sz w:val="24"/>
                <w:highlight w:val="none"/>
              </w:rPr>
              <w:t xml:space="preserve">说明：</w:t>
            </w:r>
            <w:r/>
          </w:p>
          <w:p>
            <w:pPr>
              <w:jc w:val="left"/>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.本项目不接受联合体参与投标。</w:t>
            </w:r>
            <w:r/>
          </w:p>
          <w:p>
            <w:pPr>
              <w:jc w:val="left"/>
              <w:rPr>
                <w:rFonts w:hint="eastAsia"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.单位负责人为同一人或者存在直接控股、管理关系的不同供应商，不得参加同一合同项下的政府采购活动。</w:t>
            </w:r>
            <w:r/>
          </w:p>
          <w:p>
            <w:pPr>
              <w:jc w:val="left"/>
              <w:rPr>
                <w:highlight w:val="none"/>
              </w:rPr>
            </w:pPr>
            <w:r>
              <w:rPr>
                <w:rFonts w:hint="eastAsia" w:cs="宋体"/>
                <w:bCs/>
                <w:sz w:val="24"/>
                <w:highlight w:val="none"/>
              </w:rPr>
              <w:t xml:space="preserve">3</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jc w:val="left"/>
              <w:rPr>
                <w:rFonts w:hint="eastAsia"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cs="宋体"/>
                <w:bCs/>
                <w:sz w:val="24"/>
                <w:highlight w:val="none"/>
              </w:rPr>
              <w:fldChar w:fldCharType="begin"/>
            </w:r>
            <w:r>
              <w:rPr>
                <w:rFonts w:hint="eastAsia" w:ascii="宋体" w:hAnsi="宋体" w:cs="宋体"/>
                <w:bCs/>
                <w:sz w:val="24"/>
                <w:highlight w:val="none"/>
              </w:rPr>
              <w:instrText xml:space="preserve">HYPERLINK "http://jszfcg.jsczt.cn/"</w:instrText>
            </w:r>
            <w:r>
              <w:rPr>
                <w:rFonts w:hint="eastAsia" w:ascii="宋体" w:hAnsi="宋体" w:cs="宋体"/>
                <w:bCs/>
                <w:sz w:val="24"/>
                <w:highlight w:val="none"/>
              </w:rPr>
              <w:fldChar w:fldCharType="separate"/>
            </w:r>
            <w:r>
              <w:rPr>
                <w:rFonts w:hint="eastAsia" w:cs="宋体"/>
                <w:bCs/>
                <w:sz w:val="24"/>
                <w:highlight w:val="none"/>
              </w:rPr>
              <w:t xml:space="preserve">http</w:t>
            </w:r>
            <w:r>
              <w:rPr>
                <w:rFonts w:hint="eastAsia" w:ascii="宋体" w:hAnsi="宋体" w:cs="宋体"/>
                <w:bCs/>
                <w:sz w:val="24"/>
                <w:highlight w:val="none"/>
              </w:rPr>
              <w:t xml:space="preserve">://</w:t>
            </w:r>
            <w:r>
              <w:rPr>
                <w:rFonts w:hint="eastAsia" w:cs="宋体"/>
                <w:bCs/>
                <w:sz w:val="24"/>
                <w:highlight w:val="none"/>
              </w:rPr>
              <w:t xml:space="preserve">jszfcg</w:t>
            </w:r>
            <w:r>
              <w:rPr>
                <w:rFonts w:hint="eastAsia" w:ascii="宋体" w:hAnsi="宋体" w:cs="宋体"/>
                <w:bCs/>
                <w:sz w:val="24"/>
                <w:highlight w:val="none"/>
              </w:rPr>
              <w:t xml:space="preserve">.</w:t>
            </w:r>
            <w:r>
              <w:rPr>
                <w:rFonts w:hint="eastAsia" w:cs="宋体"/>
                <w:bCs/>
                <w:sz w:val="24"/>
                <w:highlight w:val="none"/>
              </w:rPr>
              <w:t xml:space="preserve">jsc</w:t>
            </w:r>
            <w:bookmarkStart w:id="0" w:name="_Hlt91509263"/>
            <w:r/>
            <w:bookmarkStart w:id="1" w:name="_Hlt91509264"/>
            <w:r>
              <w:rPr>
                <w:rFonts w:hint="eastAsia" w:cs="宋体"/>
                <w:bCs/>
                <w:sz w:val="24"/>
                <w:highlight w:val="none"/>
              </w:rPr>
              <w:t xml:space="preserve">z</w:t>
            </w:r>
            <w:bookmarkEnd w:id="0"/>
            <w:r/>
            <w:bookmarkEnd w:id="1"/>
            <w:r>
              <w:rPr>
                <w:rFonts w:hint="eastAsia" w:cs="宋体"/>
                <w:bCs/>
                <w:sz w:val="24"/>
                <w:highlight w:val="none"/>
              </w:rPr>
              <w:t xml:space="preserve">t</w:t>
            </w:r>
            <w:r>
              <w:rPr>
                <w:rFonts w:hint="eastAsia" w:ascii="宋体" w:hAnsi="宋体" w:cs="宋体"/>
                <w:bCs/>
                <w:sz w:val="24"/>
                <w:highlight w:val="none"/>
              </w:rPr>
              <w:t xml:space="preserve">.</w:t>
            </w:r>
            <w:r>
              <w:rPr>
                <w:rFonts w:hint="eastAsia" w:cs="宋体"/>
                <w:bCs/>
                <w:sz w:val="24"/>
                <w:highlight w:val="none"/>
              </w:rPr>
              <w:t xml:space="preserve">cn</w:t>
            </w:r>
            <w:r>
              <w:rPr>
                <w:rFonts w:hint="eastAsia" w:ascii="宋体" w:hAnsi="宋体" w:cs="宋体"/>
                <w:bCs/>
                <w:sz w:val="24"/>
                <w:highlight w:val="none"/>
              </w:rPr>
              <w:t xml:space="preserve">/</w:t>
            </w:r>
            <w:r>
              <w:rPr>
                <w:rFonts w:hint="eastAsia" w:ascii="宋体" w:hAnsi="宋体" w:cs="宋体"/>
                <w:bCs/>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rPr>
                <w:rFonts w:hint="eastAsia"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特别说明：政府采购客户端工具需要导出加密的投标文件（后缀名为zip）。投标文件不得超过150M！（以系统为准）</w:t>
            </w:r>
            <w:r/>
          </w:p>
        </w:tc>
      </w:tr>
      <w:tr>
        <w:trPr>
          <w:jc w:val="center"/>
          <w:trHeight w:val="90"/>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rPr>
                <w:rFonts w:hint="eastAsia"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p>
          <w:p>
            <w:pPr>
              <w:rPr>
                <w:rFonts w:hint="eastAsia" w:ascii="宋体" w:hAnsi="宋体" w:cs="宋体"/>
                <w:bCs/>
                <w:sz w:val="24"/>
                <w:highlight w:val="none"/>
              </w:rPr>
            </w:pPr>
            <w:r>
              <w:rPr>
                <w:rFonts w:hint="eastAsia" w:ascii="宋体" w:hAnsi="宋体" w:cs="宋体"/>
                <w:bCs/>
                <w:sz w:val="24"/>
                <w:highlight w:val="none"/>
              </w:rPr>
              <w:t xml:space="preserve">一、《投标函》（加盖电子签章，格式见招标文件第七章《投标文件相关格式》。 </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二、《法定代表人授权书》（加盖电子签章，格式见招标文件第七章《投标文件相关格式》。如为法定代表人本人参加投标活动，则提供《法定代表人身份证明书》。</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三、价格部分</w:t>
            </w:r>
            <w:r/>
          </w:p>
          <w:p>
            <w:pPr>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、《分项价格表》（加盖电子签章，格式见招标文件第七章《投标文件相关格式》。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jc w:val="left"/>
              <w:rPr>
                <w:rFonts w:hint="eastAsia" w:ascii="宋体" w:hAnsi="宋体" w:cs="宋体"/>
                <w:bCs/>
                <w:sz w:val="24"/>
                <w:highlight w:val="none"/>
              </w:rPr>
            </w:pPr>
            <w:r>
              <w:rPr>
                <w:rFonts w:hint="eastAsia" w:ascii="宋体" w:hAnsi="宋体" w:cs="宋体"/>
                <w:bCs/>
                <w:sz w:val="24"/>
                <w:highlight w:val="none"/>
              </w:rPr>
              <w:t xml:space="preserve">四、投标人应当提交的资格、资信证明文件（</w:t>
            </w:r>
            <w:r>
              <w:rPr>
                <w:rFonts w:hint="eastAsia" w:ascii="宋体" w:hAnsi="宋体" w:cs="宋体"/>
                <w:b/>
                <w:sz w:val="24"/>
                <w:highlight w:val="none"/>
              </w:rPr>
              <w:t xml:space="preserve">必须提供，否则投标无效</w:t>
            </w:r>
            <w:r>
              <w:rPr>
                <w:rFonts w:hint="eastAsia" w:ascii="宋体" w:hAnsi="宋体" w:cs="宋体"/>
                <w:bCs/>
                <w:sz w:val="24"/>
                <w:highlight w:val="none"/>
              </w:rPr>
              <w:t xml:space="preserve">）：</w:t>
            </w:r>
            <w:r/>
          </w:p>
          <w:p>
            <w:pPr>
              <w:rPr>
                <w:sz w:val="24"/>
                <w:szCs w:val="32"/>
                <w:highlight w:val="none"/>
              </w:rPr>
            </w:pPr>
            <w:r>
              <w:rPr>
                <w:sz w:val="24"/>
                <w:szCs w:val="32"/>
                <w:highlight w:val="none"/>
              </w:rPr>
              <w:t xml:space="preserve">1.</w:t>
            </w:r>
            <w:r>
              <w:rPr>
                <w:rFonts w:hint="eastAsia"/>
                <w:sz w:val="24"/>
                <w:szCs w:val="32"/>
                <w:highlight w:val="none"/>
              </w:rPr>
              <w:t xml:space="preserve">具有独立承担民事责任的能力：提供合法有效的法人的营业执照；</w:t>
            </w:r>
            <w:r/>
          </w:p>
          <w:p>
            <w:pPr>
              <w:rPr>
                <w:sz w:val="24"/>
                <w:szCs w:val="32"/>
                <w:highlight w:val="none"/>
              </w:rPr>
            </w:pPr>
            <w:r>
              <w:rPr>
                <w:sz w:val="24"/>
                <w:szCs w:val="32"/>
                <w:highlight w:val="none"/>
              </w:rPr>
              <w:t xml:space="preserve">2.</w:t>
            </w:r>
            <w:r>
              <w:rPr>
                <w:rFonts w:hint="eastAsia"/>
                <w:sz w:val="24"/>
                <w:szCs w:val="32"/>
                <w:highlight w:val="none"/>
              </w:rPr>
              <w:t xml:space="preserve">具有良好的商业信誉和健全的财务会计制度：</w:t>
            </w:r>
            <w:r>
              <w:rPr>
                <w:sz w:val="24"/>
                <w:szCs w:val="32"/>
                <w:highlight w:val="none"/>
              </w:rPr>
              <w:t xml:space="preserve">即提供投标人的本项目开标时间前6个月内任何时间的资产负债表、利润表扫描件各一份；或提供合法有效的经第三方机构审计的2022年度或2023年度财务审计报告扫描件（应包括审计报告正文、资产负债表、现金流量表、利润表）；</w:t>
            </w:r>
            <w:r/>
          </w:p>
          <w:p>
            <w:pPr>
              <w:rPr>
                <w:sz w:val="24"/>
                <w:szCs w:val="32"/>
                <w:highlight w:val="none"/>
              </w:rPr>
            </w:pPr>
            <w:r>
              <w:rPr>
                <w:sz w:val="24"/>
                <w:szCs w:val="32"/>
                <w:highlight w:val="none"/>
              </w:rPr>
              <w:t xml:space="preserve">3.</w:t>
            </w:r>
            <w:r>
              <w:rPr>
                <w:rFonts w:hint="eastAsia"/>
                <w:sz w:val="24"/>
                <w:szCs w:val="32"/>
                <w:highlight w:val="none"/>
              </w:rPr>
              <w:t xml:space="preserve">有依法缴纳税收和社会保障资金的良好记录：</w:t>
            </w:r>
            <w:r/>
          </w:p>
          <w:p>
            <w:pPr>
              <w:rPr>
                <w:sz w:val="24"/>
                <w:szCs w:val="32"/>
                <w:highlight w:val="none"/>
              </w:rPr>
            </w:pPr>
            <w:r>
              <w:rPr>
                <w:rFonts w:hint="eastAsia"/>
                <w:sz w:val="24"/>
                <w:szCs w:val="32"/>
                <w:highlight w:val="none"/>
              </w:rPr>
              <w:t xml:space="preserve">即提供</w:t>
            </w:r>
            <w:r>
              <w:rPr>
                <w:sz w:val="24"/>
                <w:szCs w:val="32"/>
                <w:highlight w:val="none"/>
              </w:rPr>
              <w:t xml:space="preserve">投标人的本项目开标时间前6个月内任何1个月的依法缴纳税收扫描件和社会保障资金扫描件的相关材料（依法免税或不需要缴纳社会保障资金的供应商</w:t>
            </w:r>
            <w:r>
              <w:rPr>
                <w:rFonts w:hint="eastAsia"/>
                <w:sz w:val="24"/>
                <w:szCs w:val="32"/>
                <w:highlight w:val="none"/>
              </w:rPr>
              <w:t xml:space="preserve">，</w:t>
            </w:r>
            <w:r>
              <w:rPr>
                <w:sz w:val="24"/>
                <w:szCs w:val="32"/>
                <w:highlight w:val="none"/>
              </w:rPr>
              <w:t xml:space="preserve">提供相应文件扫描件证明其依法免税或不需要缴纳社会保障资金</w:t>
            </w:r>
            <w:r>
              <w:rPr>
                <w:rFonts w:hint="eastAsia"/>
                <w:sz w:val="24"/>
                <w:szCs w:val="32"/>
                <w:highlight w:val="none"/>
              </w:rPr>
              <w:t xml:space="preserve">）</w:t>
            </w:r>
            <w:r>
              <w:rPr>
                <w:sz w:val="24"/>
                <w:szCs w:val="32"/>
                <w:highlight w:val="none"/>
              </w:rPr>
              <w:t xml:space="preserve">；</w:t>
            </w:r>
            <w:r/>
          </w:p>
          <w:p>
            <w:pPr>
              <w:rPr>
                <w:sz w:val="24"/>
                <w:szCs w:val="32"/>
                <w:highlight w:val="none"/>
              </w:rPr>
            </w:pPr>
            <w:r>
              <w:rPr>
                <w:sz w:val="24"/>
                <w:szCs w:val="32"/>
                <w:highlight w:val="none"/>
              </w:rPr>
              <w:t xml:space="preserve">4.</w:t>
            </w:r>
            <w:r>
              <w:rPr>
                <w:rFonts w:hint="eastAsia"/>
                <w:sz w:val="24"/>
                <w:szCs w:val="32"/>
                <w:highlight w:val="none"/>
              </w:rPr>
              <w:t xml:space="preserve">具有履行合同所必需的设备和专业技术能力：即提供：</w:t>
            </w:r>
            <w:r>
              <w:rPr>
                <w:sz w:val="24"/>
                <w:szCs w:val="32"/>
                <w:highlight w:val="none"/>
              </w:rPr>
              <w:t xml:space="preserve">《具备履行合同所必需的设备和专业技术能力的书面声明》（加盖电子签章，格式见招标文件第七章《投标文件相关格式》）；</w:t>
            </w:r>
            <w:r/>
          </w:p>
          <w:p>
            <w:pPr>
              <w:rPr>
                <w:sz w:val="24"/>
                <w:szCs w:val="32"/>
                <w:highlight w:val="none"/>
              </w:rPr>
            </w:pPr>
            <w:r>
              <w:rPr>
                <w:sz w:val="24"/>
                <w:szCs w:val="32"/>
                <w:highlight w:val="none"/>
              </w:rPr>
              <w:t xml:space="preserve">5.</w:t>
            </w:r>
            <w:r>
              <w:rPr>
                <w:rFonts w:hint="eastAsia"/>
                <w:sz w:val="24"/>
                <w:szCs w:val="32"/>
                <w:highlight w:val="none"/>
              </w:rPr>
              <w:t xml:space="preserve">参加政府采购活动前三年内，在经营活动中没有重大违法记录：即提供</w:t>
            </w:r>
            <w:r>
              <w:rPr>
                <w:sz w:val="24"/>
                <w:szCs w:val="32"/>
                <w:highlight w:val="none"/>
              </w:rPr>
              <w:t xml:space="preserve">投标人参加政府采购活动前3年内在经营活动中没有重大违法记录的书面声明，加盖电子签章，格式见本文件第七章《投标文件相关格式》；</w:t>
            </w:r>
            <w:r/>
          </w:p>
          <w:p>
            <w:pPr>
              <w:jc w:val="left"/>
              <w:rPr>
                <w:sz w:val="24"/>
                <w:szCs w:val="32"/>
                <w:highlight w:val="none"/>
              </w:rPr>
            </w:pPr>
            <w:r>
              <w:rPr>
                <w:sz w:val="24"/>
                <w:szCs w:val="32"/>
                <w:highlight w:val="none"/>
              </w:rPr>
              <w:t xml:space="preserve">6.本项目属于专门面向中小微企业采购的项目：</w:t>
            </w:r>
            <w:r>
              <w:rPr>
                <w:rFonts w:hint="eastAsia"/>
                <w:sz w:val="24"/>
                <w:szCs w:val="32"/>
                <w:highlight w:val="none"/>
              </w:rPr>
              <w:t xml:space="preserve">投标人应为中小企业（含中型、小型、微型企业，下同），</w:t>
            </w:r>
            <w:r>
              <w:rPr>
                <w:sz w:val="24"/>
                <w:szCs w:val="32"/>
                <w:highlight w:val="none"/>
              </w:rPr>
              <w:t xml:space="preserve">提供《中小企业声明函》（加盖公章，格式见招标文件第七章《投标文件相关格式》）。《中小企业声明函》查询渠道用微信搜索“中小企业规模类型自测小程序”</w:t>
            </w:r>
            <w:r>
              <w:rPr>
                <w:rFonts w:hint="eastAsia"/>
                <w:sz w:val="24"/>
                <w:szCs w:val="32"/>
                <w:highlight w:val="none"/>
              </w:rPr>
              <w:t xml:space="preserve">。</w:t>
            </w:r>
            <w:r/>
          </w:p>
          <w:p>
            <w:pPr>
              <w:jc w:val="left"/>
              <w:rPr>
                <w:rFonts w:hint="eastAsia" w:ascii="宋体" w:hAnsi="宋体" w:cs="宋体"/>
                <w:bCs/>
                <w:sz w:val="24"/>
                <w:highlight w:val="none"/>
              </w:rPr>
            </w:pPr>
            <w:r>
              <w:rPr>
                <w:rFonts w:hint="eastAsia" w:ascii="宋体" w:hAnsi="宋体" w:cs="宋体"/>
                <w:bCs/>
                <w:sz w:val="24"/>
                <w:highlight w:val="none"/>
              </w:rPr>
              <w:t xml:space="preserve">注：中小企业（含中型、小型、微型企业，下同），应当同时符合以下条件：</w:t>
            </w:r>
            <w:r/>
          </w:p>
          <w:p>
            <w:pPr>
              <w:jc w:val="left"/>
              <w:rPr>
                <w:rFonts w:hint="eastAsia" w:ascii="宋体" w:hAnsi="宋体" w:cs="宋体"/>
                <w:bCs/>
                <w:sz w:val="24"/>
                <w:highlight w:val="none"/>
              </w:rPr>
            </w:pPr>
            <w:r>
              <w:rPr>
                <w:rFonts w:hint="eastAsia" w:ascii="宋体" w:hAnsi="宋体" w:cs="宋体"/>
                <w:bCs/>
                <w:sz w:val="24"/>
                <w:highlight w:val="none"/>
              </w:rPr>
              <w:t xml:space="preserve">　 ① 符合中小企业划分标准；</w:t>
            </w:r>
            <w:r/>
          </w:p>
          <w:p>
            <w:pPr>
              <w:jc w:val="left"/>
              <w:rPr>
                <w:rFonts w:hint="eastAsia"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rPr>
                <w:rFonts w:hint="eastAsia" w:ascii="宋体" w:hAnsi="宋体" w:cs="宋体"/>
                <w:bCs/>
                <w:sz w:val="24"/>
                <w:highlight w:val="none"/>
              </w:rPr>
            </w:pPr>
            <w:r>
              <w:rPr>
                <w:rFonts w:hint="eastAsia" w:ascii="宋体" w:hAnsi="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p>
          <w:p>
            <w:pPr>
              <w:ind w:firstLine="480"/>
              <w:rPr>
                <w:rFonts w:hint="eastAsia" w:ascii="宋体" w:hAnsi="宋体" w:cs="宋体"/>
                <w:bCs/>
                <w:sz w:val="24"/>
                <w:highlight w:val="none"/>
              </w:rPr>
            </w:pPr>
            <w:r>
              <w:rPr>
                <w:rFonts w:hint="eastAsia" w:ascii="宋体" w:hAnsi="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rPr>
                <w:rFonts w:hint="eastAsia"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p>
          <w:p>
            <w:pPr>
              <w:rPr>
                <w:rFonts w:hint="eastAsia" w:ascii="宋体" w:hAnsi="宋体" w:cs="宋体"/>
                <w:bCs/>
                <w:sz w:val="24"/>
                <w:highlight w:val="none"/>
              </w:rPr>
            </w:pPr>
            <w:r>
              <w:rPr>
                <w:rFonts w:hint="eastAsia" w:ascii="宋体" w:hAnsi="宋体" w:cs="宋体"/>
                <w:bCs/>
                <w:sz w:val="24"/>
                <w:highlight w:val="none"/>
              </w:rPr>
              <w:t xml:space="preserve">　　（一）安置的残疾人占本单位在职职工人数的比例不低于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p>
          <w:p>
            <w:pPr>
              <w:rPr>
                <w:rFonts w:hint="eastAsia" w:ascii="宋体" w:hAnsi="宋体" w:cs="宋体"/>
                <w:bCs/>
                <w:sz w:val="24"/>
                <w:highlight w:val="none"/>
              </w:rPr>
            </w:pPr>
            <w:r>
              <w:rPr>
                <w:rFonts w:hint="eastAsia" w:ascii="宋体" w:hAnsi="宋体" w:cs="宋体"/>
                <w:bCs/>
                <w:sz w:val="24"/>
                <w:highlight w:val="none"/>
              </w:rPr>
              <w:t xml:space="preserve">　　（二）依法与安置的每位残疾人签订了一年以上（含一年）的劳动合同或服务协议；</w:t>
            </w:r>
            <w:r/>
          </w:p>
          <w:p>
            <w:pPr>
              <w:rPr>
                <w:rFonts w:hint="eastAsia" w:ascii="宋体" w:hAnsi="宋体" w:cs="宋体"/>
                <w:bCs/>
                <w:sz w:val="24"/>
                <w:highlight w:val="none"/>
              </w:rPr>
            </w:pPr>
            <w:r>
              <w:rPr>
                <w:rFonts w:hint="eastAsia" w:ascii="宋体" w:hAnsi="宋体" w:cs="宋体"/>
                <w:bCs/>
                <w:sz w:val="24"/>
                <w:highlight w:val="none"/>
              </w:rPr>
              <w:t xml:space="preserve">　　（三）为安置的每位残疾人按月足额缴纳了基本养老保险、基本医疗保险、失业保险、工伤保险和生育保险等社会保险费；</w:t>
            </w:r>
            <w:r/>
          </w:p>
          <w:p>
            <w:pPr>
              <w:rPr>
                <w:rFonts w:hint="eastAsia" w:ascii="宋体" w:hAnsi="宋体" w:cs="宋体"/>
                <w:bCs/>
                <w:sz w:val="24"/>
                <w:highlight w:val="none"/>
              </w:rPr>
            </w:pPr>
            <w:r>
              <w:rPr>
                <w:rFonts w:hint="eastAsia" w:ascii="宋体" w:hAnsi="宋体" w:cs="宋体"/>
                <w:bCs/>
                <w:sz w:val="24"/>
                <w:highlight w:val="none"/>
              </w:rPr>
              <w:t xml:space="preserve">　　（四）通过银行等金融机构向安置的每位残疾人，按月支付了不低于单位所在区县适用的经省级人民政府批准的月最低工资标准的工资；</w:t>
            </w:r>
            <w:r/>
          </w:p>
          <w:p>
            <w:pPr>
              <w:rPr>
                <w:rFonts w:hint="eastAsia" w:ascii="宋体" w:hAnsi="宋体" w:cs="宋体"/>
                <w:bCs/>
                <w:sz w:val="24"/>
                <w:highlight w:val="none"/>
              </w:rPr>
            </w:pPr>
            <w:r>
              <w:rPr>
                <w:rFonts w:hint="eastAsia" w:ascii="宋体" w:hAnsi="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rPr>
                <w:rFonts w:hint="eastAsia"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810"/>
              <w:rPr>
                <w:highlight w:val="none"/>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p>
          <w:p>
            <w:pPr>
              <w:rPr>
                <w:rFonts w:hint="eastAsia" w:ascii="宋体" w:hAnsi="宋体" w:cs="宋体"/>
                <w:bCs/>
                <w:sz w:val="24"/>
                <w:highlight w:val="none"/>
              </w:rPr>
            </w:pPr>
            <w:r>
              <w:rPr>
                <w:rFonts w:hint="eastAsia" w:ascii="宋体" w:hAnsi="宋体" w:cs="宋体"/>
                <w:bCs/>
                <w:sz w:val="24"/>
                <w:highlight w:val="none"/>
              </w:rPr>
              <w:t xml:space="preserve">五、技术部分</w:t>
            </w:r>
            <w:r/>
          </w:p>
          <w:p>
            <w:pPr>
              <w:rPr>
                <w:rFonts w:cs="宋体"/>
                <w:bCs/>
                <w:sz w:val="24"/>
                <w:highlight w:val="none"/>
              </w:rPr>
            </w:pPr>
            <w:r>
              <w:rPr>
                <w:rFonts w:hint="eastAsia" w:cs="宋体"/>
                <w:bCs/>
                <w:sz w:val="24"/>
                <w:highlight w:val="none"/>
              </w:rPr>
              <w:t xml:space="preserve">1、《项目实施方案》。（要求见招标文件第六章《采购需求》及第四章《评标标准》）。</w:t>
            </w:r>
            <w:r/>
          </w:p>
          <w:p>
            <w:pPr>
              <w:rPr>
                <w:rFonts w:cs="宋体"/>
                <w:bCs/>
                <w:sz w:val="24"/>
                <w:highlight w:val="none"/>
              </w:rPr>
            </w:pPr>
            <w:r>
              <w:rPr>
                <w:rFonts w:hint="eastAsia" w:cs="宋体"/>
                <w:bCs/>
                <w:sz w:val="24"/>
                <w:highlight w:val="none"/>
              </w:rPr>
              <w:t xml:space="preserve">2、《</w:t>
            </w:r>
            <w:r>
              <w:rPr>
                <w:rFonts w:hint="eastAsia" w:ascii="宋体" w:hAnsi="宋体"/>
                <w:sz w:val="24"/>
                <w:highlight w:val="none"/>
              </w:rPr>
              <w:t xml:space="preserve">售后服务方案</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rPr>
              <w:t xml:space="preserve">3、《</w:t>
            </w:r>
            <w:r>
              <w:rPr>
                <w:rFonts w:hint="eastAsia" w:ascii="宋体" w:hAnsi="宋体"/>
                <w:sz w:val="24"/>
                <w:highlight w:val="none"/>
              </w:rPr>
              <w:t xml:space="preserve">应急解决方案</w:t>
            </w:r>
            <w:r>
              <w:rPr>
                <w:rFonts w:hint="eastAsia" w:cs="宋体"/>
                <w:bCs/>
                <w:sz w:val="24"/>
                <w:highlight w:val="none"/>
              </w:rPr>
              <w:t xml:space="preserve">》。（要求见招标文件第六章《采购需求》及第四章《评标标准》）。</w:t>
            </w:r>
            <w:r/>
          </w:p>
          <w:p>
            <w:pPr>
              <w:rPr>
                <w:rFonts w:cs="宋体"/>
                <w:bCs/>
                <w:sz w:val="24"/>
                <w:highlight w:val="none"/>
              </w:rPr>
            </w:pPr>
            <w:r>
              <w:rPr>
                <w:rFonts w:hint="eastAsia" w:cs="宋体"/>
                <w:bCs/>
                <w:sz w:val="24"/>
                <w:highlight w:val="none"/>
              </w:rPr>
              <w:t xml:space="preserve">4、《其他部分》（要求见招标文件第六章《采购需求》及第四章《评标标准》）。</w:t>
            </w:r>
            <w:r/>
          </w:p>
          <w:p>
            <w:pPr>
              <w:rPr>
                <w:rFonts w:cs="宋体"/>
                <w:bCs/>
                <w:sz w:val="24"/>
                <w:highlight w:val="none"/>
              </w:rPr>
            </w:pPr>
            <w:r>
              <w:rPr>
                <w:rFonts w:hint="eastAsia" w:cs="宋体"/>
                <w:bCs/>
                <w:sz w:val="24"/>
                <w:highlight w:val="none"/>
              </w:rPr>
              <w:t xml:space="preserve">5、评分细则中评分得分需提供的相关证明文件扫描件；</w:t>
            </w:r>
            <w:r/>
          </w:p>
          <w:p>
            <w:pPr>
              <w:rPr>
                <w:rFonts w:hint="eastAsia" w:ascii="宋体" w:hAnsi="宋体" w:cs="宋体"/>
                <w:bCs/>
                <w:sz w:val="24"/>
                <w:highlight w:val="none"/>
              </w:rPr>
            </w:pPr>
            <w:r>
              <w:rPr>
                <w:rFonts w:hint="eastAsia" w:ascii="宋体" w:hAnsi="宋体" w:cs="宋体"/>
                <w:bCs/>
                <w:sz w:val="24"/>
                <w:highlight w:val="none"/>
              </w:rPr>
              <w:t xml:space="preserve">六、</w:t>
            </w:r>
            <w:r>
              <w:rPr>
                <w:rFonts w:hint="eastAsia" w:ascii="宋体" w:hAnsi="宋体" w:cs="宋体"/>
                <w:b/>
                <w:sz w:val="24"/>
                <w:highlight w:val="none"/>
              </w:rPr>
              <w:t xml:space="preserve">《偏离表》</w:t>
            </w:r>
            <w:r>
              <w:rPr>
                <w:rFonts w:hint="eastAsia" w:ascii="宋体" w:hAnsi="宋体" w:cs="宋体"/>
                <w:bCs/>
                <w:sz w:val="24"/>
                <w:highlight w:val="none"/>
              </w:rPr>
              <w:t xml:space="preserve">（加盖电子签章，格式见招标文件第七章《投标文件相关格式》。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p>
          <w:p>
            <w:pPr>
              <w:rPr>
                <w:rFonts w:hint="eastAsia" w:ascii="宋体" w:hAnsi="宋体" w:cs="宋体"/>
                <w:bCs/>
                <w:sz w:val="24"/>
                <w:highlight w:val="none"/>
              </w:rPr>
            </w:pPr>
            <w:r>
              <w:rPr>
                <w:rFonts w:hint="eastAsia" w:ascii="宋体" w:hAnsi="宋体" w:cs="宋体"/>
                <w:bCs/>
                <w:sz w:val="24"/>
                <w:highlight w:val="none"/>
              </w:rPr>
              <w:t xml:space="preserve">七、商务部分</w:t>
            </w:r>
            <w:r/>
          </w:p>
          <w:p>
            <w:pPr>
              <w:rPr>
                <w:rFonts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、《投标人业绩》。</w:t>
            </w:r>
            <w:r>
              <w:rPr>
                <w:rFonts w:hint="eastAsia" w:cs="宋体"/>
                <w:bCs/>
                <w:sz w:val="24"/>
                <w:highlight w:val="none"/>
              </w:rPr>
              <w:t xml:space="preserve">（要求见招标文件第六章《采购需求》及第四章《评标标准》）。</w:t>
            </w:r>
            <w:r/>
          </w:p>
          <w:p>
            <w:pPr>
              <w:pStyle w:val="878"/>
              <w:rPr>
                <w:highlight w:val="none"/>
              </w:rPr>
            </w:pPr>
            <w:r>
              <w:rPr>
                <w:rFonts w:hint="eastAsia" w:ascii="宋体" w:hAnsi="宋体" w:cs="宋体"/>
                <w:bCs/>
                <w:sz w:val="24"/>
                <w:highlight w:val="none"/>
              </w:rPr>
              <w:t xml:space="preserve">2、《</w:t>
            </w:r>
            <w:r>
              <w:rPr>
                <w:rFonts w:ascii="宋体" w:hAnsi="宋体" w:cs="宋体"/>
                <w:sz w:val="24"/>
                <w:highlight w:val="none"/>
              </w:rPr>
              <w:t xml:space="preserve">投标人履约能力及管理水平</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p>
          <w:p>
            <w:pPr>
              <w:pStyle w:val="878"/>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sz w:val="24"/>
                <w:highlight w:val="none"/>
              </w:rPr>
              <w:t xml:space="preserve">产品质保</w:t>
            </w:r>
            <w:r>
              <w:rPr>
                <w:rFonts w:hint="eastAsia" w:ascii="宋体" w:hAnsi="宋体" w:cs="宋体"/>
                <w:bCs/>
                <w:sz w:val="24"/>
                <w:highlight w:val="none"/>
              </w:rPr>
              <w:t xml:space="preserve">》</w:t>
            </w:r>
            <w:r>
              <w:rPr>
                <w:rFonts w:hint="eastAsia" w:cs="宋体"/>
                <w:bCs/>
                <w:sz w:val="24"/>
                <w:highlight w:val="none"/>
              </w:rPr>
              <w:t xml:space="preserve">（要求见招标文件第六章《采购需求》及第四章《评标标准》）。</w:t>
            </w:r>
            <w:r/>
          </w:p>
          <w:p>
            <w:pPr>
              <w:rPr>
                <w:rFonts w:hint="eastAsia" w:ascii="宋体" w:hAnsi="宋体" w:cs="宋体"/>
                <w:bCs/>
                <w:sz w:val="24"/>
                <w:highlight w:val="none"/>
              </w:rPr>
            </w:pPr>
            <w:r>
              <w:rPr>
                <w:rFonts w:hint="eastAsia" w:ascii="宋体" w:hAnsi="宋体" w:cs="宋体"/>
                <w:bCs/>
                <w:sz w:val="24"/>
                <w:highlight w:val="none"/>
              </w:rPr>
              <w:t xml:space="preserve">4、采购清单中要求的其他证明文件及材料扫描件，投标人应提供的其他证明文件及材料扫描件。</w:t>
            </w:r>
            <w:r/>
          </w:p>
          <w:p>
            <w:pPr>
              <w:rPr>
                <w:rFonts w:hint="eastAsia" w:ascii="宋体" w:hAnsi="宋体" w:cs="宋体"/>
                <w:bCs/>
                <w:sz w:val="24"/>
                <w:highlight w:val="none"/>
              </w:rPr>
            </w:pPr>
            <w:r>
              <w:rPr>
                <w:rFonts w:hint="eastAsia" w:ascii="宋体" w:hAnsi="宋体" w:cs="宋体"/>
                <w:bCs/>
                <w:sz w:val="24"/>
                <w:highlight w:val="none"/>
              </w:rPr>
              <w:t xml:space="preserve">注：</w:t>
            </w:r>
            <w:r/>
          </w:p>
          <w:p>
            <w:pPr>
              <w:rPr>
                <w:rFonts w:hint="eastAsia"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p>
          <w:p>
            <w:pPr>
              <w:rPr>
                <w:rFonts w:hint="eastAsia"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cs="宋体"/>
                <w:bCs/>
                <w:sz w:val="24"/>
                <w:highlight w:val="none"/>
              </w:rPr>
            </w:pPr>
            <w:r>
              <w:rPr>
                <w:rFonts w:hint="eastAsia" w:ascii="宋体" w:hAnsi="宋体" w:cs="宋体"/>
                <w:bCs/>
                <w:sz w:val="24"/>
                <w:highlight w:val="none"/>
              </w:rPr>
              <w:t xml:space="preserve">八、其他</w:t>
            </w:r>
            <w:r/>
          </w:p>
          <w:p>
            <w:pPr>
              <w:rPr>
                <w:highlight w:val="none"/>
              </w:rPr>
            </w:pPr>
            <w:r>
              <w:rPr>
                <w:rFonts w:ascii="宋体" w:hAnsi="宋体"/>
                <w:sz w:val="24"/>
                <w:highlight w:val="none"/>
              </w:rPr>
              <w:t xml:space="preserve">投标人认为需提供</w:t>
            </w:r>
            <w:r>
              <w:rPr>
                <w:rFonts w:hint="eastAsia" w:ascii="宋体" w:hAnsi="宋体"/>
                <w:sz w:val="24"/>
                <w:highlight w:val="none"/>
              </w:rPr>
              <w:t xml:space="preserve">的其他</w:t>
            </w:r>
            <w:r>
              <w:rPr>
                <w:rFonts w:ascii="宋体" w:hAnsi="宋体"/>
                <w:sz w:val="24"/>
                <w:highlight w:val="none"/>
              </w:rPr>
              <w:t xml:space="preserve">证明文件</w:t>
            </w:r>
            <w:r>
              <w:rPr>
                <w:rFonts w:hint="eastAsia" w:ascii="宋体" w:hAnsi="宋体"/>
                <w:sz w:val="24"/>
                <w:highlight w:val="none"/>
              </w:rPr>
              <w:t xml:space="preserve">扫描</w:t>
            </w:r>
            <w:r>
              <w:rPr>
                <w:rFonts w:ascii="宋体" w:hAnsi="宋体"/>
                <w:sz w:val="24"/>
                <w:highlight w:val="none"/>
              </w:rPr>
              <w:t xml:space="preserve">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投标文件的密封、签署、盖章要求：</w:t>
            </w:r>
            <w:r/>
          </w:p>
          <w:p>
            <w:pPr>
              <w:jc w:val="left"/>
              <w:widowControl/>
              <w:rPr>
                <w:rFonts w:hint="eastAsia"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p>
          <w:p>
            <w:pPr>
              <w:jc w:val="left"/>
              <w:widowControl/>
              <w:rPr>
                <w:rFonts w:hint="eastAsia"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p>
          <w:p>
            <w:pPr>
              <w:jc w:val="left"/>
              <w:widowControl/>
              <w:rPr>
                <w:rFonts w:hint="eastAsia"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p>
        </w:tc>
      </w:tr>
      <w:tr>
        <w:trPr>
          <w:jc w:val="center"/>
          <w:trHeight w:val="274"/>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p>
        </w:tc>
        <w:tc>
          <w:tcPr>
            <w:tcW w:w="7542" w:type="dxa"/>
            <w:textDirection w:val="lrTb"/>
            <w:noWrap w:val="false"/>
          </w:tcPr>
          <w:p>
            <w:pPr>
              <w:jc w:val="left"/>
              <w:widowControl/>
              <w:rPr>
                <w:rFonts w:hint="eastAsia"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b/>
                <w:sz w:val="24"/>
                <w:highlight w:val="none"/>
              </w:rPr>
              <w:t xml:space="preserve">本项目不接受超过</w:t>
            </w:r>
            <w:r>
              <w:rPr>
                <w:rFonts w:hint="eastAsia" w:ascii="宋体" w:hAnsi="宋体" w:cs="宋体"/>
                <w:b/>
                <w:sz w:val="24"/>
                <w:highlight w:val="none"/>
                <w:u w:val="single"/>
              </w:rPr>
              <w:t xml:space="preserve">90</w:t>
            </w:r>
            <w:r>
              <w:rPr>
                <w:rFonts w:hint="eastAsia" w:ascii="宋体" w:hAnsi="宋体" w:cs="宋体"/>
                <w:b/>
                <w:sz w:val="24"/>
                <w:highlight w:val="none"/>
              </w:rPr>
              <w:t xml:space="preserve">万元人民币（采购项目预算金额）的投标报价。</w:t>
            </w:r>
            <w:r>
              <w:rPr>
                <w:rFonts w:hint="eastAsia" w:ascii="宋体" w:hAnsi="宋体" w:cs="宋体"/>
                <w:sz w:val="24"/>
                <w:highlight w:val="none"/>
              </w:rPr>
              <w:t xml:space="preserve">投标人应当根据采购项目的要求进行报价，“报价”如无特别说明，均指含税价格，包含增值税税款及其他所有税费，发票为增</w:t>
            </w:r>
            <w:r>
              <w:rPr>
                <w:rFonts w:hint="eastAsia" w:ascii="宋体" w:hAnsi="宋体" w:cs="宋体"/>
                <w:sz w:val="24"/>
                <w:highlight w:val="none"/>
              </w:rPr>
              <w:t xml:space="preserve">值税专用发票或增值税普通发票（所包含的仪器设备类为增值税专用发票，物资耗材、工程和服务类为增值税普通发票）。投标人报价应包括全部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jc w:val="left"/>
              <w:widowControl/>
              <w:rPr>
                <w:rFonts w:hint="eastAsia" w:ascii="宋体" w:hAnsi="宋体" w:cs="宋体"/>
                <w:sz w:val="24"/>
                <w:highlight w:val="none"/>
              </w:rPr>
            </w:pPr>
            <w:r>
              <w:rPr>
                <w:rFonts w:hint="eastAsia" w:ascii="宋体" w:hAnsi="宋体" w:cs="宋体"/>
                <w:sz w:val="24"/>
                <w:highlight w:val="none"/>
              </w:rPr>
              <w:t xml:space="preserve">特别提醒：1、该项目要求投标人按采购清单报价（整体投标，不接受某一类产品单独投标或未包含完所有产品的投标）；投标报价为采购清单总价。</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21</w:t>
            </w:r>
            <w:r/>
          </w:p>
        </w:tc>
        <w:tc>
          <w:tcPr>
            <w:tcW w:w="7542" w:type="dxa"/>
            <w:textDirection w:val="lrTb"/>
            <w:noWrap w:val="false"/>
          </w:tcPr>
          <w:p>
            <w:pPr>
              <w:rPr>
                <w:rFonts w:hint="eastAsia" w:ascii="宋体" w:hAnsi="宋体" w:cs="宋体"/>
                <w:sz w:val="24"/>
                <w:highlight w:val="none"/>
              </w:rPr>
            </w:pPr>
            <w:r>
              <w:rPr>
                <w:rFonts w:hint="eastAsia" w:ascii="宋体" w:hAnsi="宋体" w:cs="宋体"/>
                <w:b/>
                <w:bCs/>
                <w:sz w:val="24"/>
                <w:highlight w:val="none"/>
              </w:rPr>
              <w:t xml:space="preserve">投标人不需缴纳投标保证金。</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b/>
                <w:bCs/>
                <w:sz w:val="24"/>
                <w:highlight w:val="none"/>
              </w:rPr>
              <w:t xml:space="preserve">投标截止时间：2024年</w:t>
            </w:r>
            <w:r>
              <w:rPr>
                <w:rFonts w:hint="eastAsia" w:ascii="宋体" w:hAnsi="宋体" w:cs="宋体"/>
                <w:b/>
                <w:bCs/>
                <w:sz w:val="24"/>
                <w:highlight w:val="none"/>
                <w:lang w:val="en-US" w:eastAsia="zh-CN"/>
              </w:rPr>
              <w:t xml:space="preserve">11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日北京时间9:30</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投标文件的提交与接收：</w:t>
            </w:r>
            <w:r/>
          </w:p>
          <w:p>
            <w:pPr>
              <w:jc w:val="left"/>
              <w:widowControl/>
              <w:rPr>
                <w:rFonts w:hint="eastAsia"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：提交投标文件截止时间（2024年</w:t>
            </w:r>
            <w:r>
              <w:rPr>
                <w:rFonts w:hint="eastAsia" w:ascii="宋体" w:hAnsi="宋体" w:cs="宋体"/>
                <w:b/>
                <w:bCs/>
                <w:sz w:val="24"/>
                <w:highlight w:val="none"/>
                <w:lang w:val="en-US" w:eastAsia="zh-CN"/>
              </w:rPr>
              <w:t xml:space="preserve">11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日</w:t>
            </w:r>
            <w:r>
              <w:rPr>
                <w:rFonts w:hint="eastAsia" w:cs="宋体"/>
                <w:b/>
                <w:bCs/>
                <w:sz w:val="24"/>
                <w:highlight w:val="none"/>
              </w:rPr>
              <w:t xml:space="preserve">北京时间9:30</w:t>
            </w:r>
            <w:r>
              <w:rPr>
                <w:rFonts w:hint="eastAsia" w:ascii="宋体" w:hAnsi="宋体" w:cs="宋体"/>
                <w:b/>
                <w:bCs/>
                <w:sz w:val="24"/>
                <w:highlight w:val="none"/>
              </w:rPr>
              <w:t xml:space="preserve">）前。</w:t>
            </w:r>
            <w:r/>
          </w:p>
          <w:p>
            <w:pPr>
              <w:numPr>
                <w:ilvl w:val="0"/>
                <w:numId w:val="2"/>
              </w:numPr>
              <w:jc w:val="left"/>
              <w:widowControl/>
              <w:rPr>
                <w:rFonts w:hint="eastAsia" w:ascii="宋体" w:hAnsi="宋体" w:cs="宋体"/>
                <w:b/>
                <w:bCs/>
                <w:sz w:val="24"/>
                <w:highlight w:val="none"/>
              </w:rPr>
            </w:pPr>
            <w:r>
              <w:rPr>
                <w:rFonts w:hint="eastAsia" w:ascii="宋体" w:hAnsi="宋体" w:cs="宋体"/>
                <w:sz w:val="24"/>
                <w:highlight w:val="none"/>
              </w:rPr>
              <w:t xml:space="preserve">投标文件提交与接收地点：</w:t>
            </w:r>
            <w:r>
              <w:rPr>
                <w:rFonts w:hint="eastAsia" w:ascii="宋体" w:hAnsi="宋体" w:cs="宋体"/>
                <w:b/>
                <w:bCs/>
                <w:sz w:val="24"/>
                <w:highlight w:val="none"/>
              </w:rPr>
              <w:t xml:space="preserve">投标人应当通过“苏采云”系统提交数据电文形式的投标文件（即电子投标），“苏采云”系统自动接收，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p>
          <w:p>
            <w:pPr>
              <w:numPr>
                <w:ilvl w:val="0"/>
                <w:numId w:val="2"/>
              </w:numPr>
              <w:jc w:val="left"/>
              <w:widowControl/>
              <w:rPr>
                <w:rFonts w:hint="eastAsia" w:ascii="宋体" w:hAnsi="宋体" w:cs="宋体"/>
                <w:sz w:val="24"/>
                <w:highlight w:val="none"/>
              </w:rPr>
            </w:pPr>
            <w:r>
              <w:rPr>
                <w:rFonts w:hint="eastAsia" w:ascii="宋体" w:hAnsi="宋体" w:cs="宋体"/>
                <w:b/>
                <w:bCs/>
                <w:sz w:val="24"/>
                <w:highlight w:val="none"/>
              </w:rPr>
              <w:t xml:space="preserve">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p>
        </w:tc>
      </w:tr>
      <w:tr>
        <w:trPr>
          <w:jc w:val="center"/>
        </w:trPr>
        <w:tc>
          <w:tcPr>
            <w:tcW w:w="1368"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四、开标、评标</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jc w:val="left"/>
              <w:widowControl/>
              <w:rPr>
                <w:rFonts w:hint="eastAsia" w:ascii="宋体" w:hAnsi="宋体" w:cs="宋体"/>
                <w:b/>
                <w:bCs/>
                <w:sz w:val="24"/>
                <w:highlight w:val="none"/>
              </w:rPr>
            </w:pPr>
            <w:r>
              <w:rPr>
                <w:rFonts w:hint="eastAsia" w:ascii="宋体" w:hAnsi="宋体" w:cs="宋体"/>
                <w:b/>
                <w:bCs/>
                <w:sz w:val="24"/>
                <w:highlight w:val="none"/>
              </w:rPr>
              <w:t xml:space="preserve">开标时间及地点：</w:t>
            </w:r>
            <w:r/>
          </w:p>
          <w:p>
            <w:pPr>
              <w:pStyle w:val="923"/>
              <w:jc w:val="left"/>
              <w:widowControl/>
              <w:rPr>
                <w:rFonts w:hint="eastAsia"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rPr>
              <w:t xml:space="preserve">.开标时间：2024年</w:t>
            </w:r>
            <w:r>
              <w:rPr>
                <w:rFonts w:hint="eastAsia" w:ascii="宋体" w:hAnsi="宋体" w:cs="宋体"/>
                <w:b/>
                <w:bCs/>
                <w:sz w:val="24"/>
                <w:highlight w:val="none"/>
                <w:lang w:val="en-US" w:eastAsia="zh-CN"/>
              </w:rPr>
              <w:t xml:space="preserve">11</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日北京时间9:30</w:t>
            </w:r>
            <w:r/>
          </w:p>
          <w:p>
            <w:pPr>
              <w:jc w:val="left"/>
              <w:widowControl/>
              <w:rPr>
                <w:rFonts w:hint="eastAsia"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w:t>
            </w:r>
            <w:r>
              <w:rPr>
                <w:rFonts w:hint="eastAsia" w:ascii="宋体" w:hAnsi="宋体"/>
                <w:b/>
                <w:bCs/>
                <w:sz w:val="24"/>
                <w:highlight w:val="none"/>
              </w:rPr>
              <w:t xml:space="preserve">开标地点：“苏采云”系统（网址： </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jszfcg</w:t>
            </w:r>
            <w:r>
              <w:rPr>
                <w:rFonts w:hint="eastAsia" w:ascii="宋体" w:hAnsi="宋体"/>
                <w:b/>
                <w:bCs/>
                <w:sz w:val="24"/>
                <w:highlight w:val="none"/>
              </w:rPr>
              <w:t xml:space="preserve">.</w:t>
            </w:r>
            <w:r>
              <w:rPr>
                <w:rFonts w:hint="eastAsia"/>
                <w:b/>
                <w:bCs/>
                <w:sz w:val="24"/>
                <w:highlight w:val="none"/>
              </w:rPr>
              <w:t xml:space="preserve">jsczt</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/）“开标大厅”或进入徐州政府采购网（网址：</w:t>
            </w:r>
            <w:r>
              <w:rPr>
                <w:rFonts w:hint="eastAsia"/>
                <w:b/>
                <w:bCs/>
                <w:sz w:val="24"/>
                <w:highlight w:val="none"/>
              </w:rPr>
              <w:t xml:space="preserve">http</w:t>
            </w:r>
            <w:r>
              <w:rPr>
                <w:rFonts w:hint="eastAsia" w:ascii="宋体" w:hAnsi="宋体"/>
                <w:b/>
                <w:bCs/>
                <w:sz w:val="24"/>
                <w:highlight w:val="none"/>
              </w:rPr>
              <w:t xml:space="preserve">://</w:t>
            </w:r>
            <w:r>
              <w:rPr>
                <w:rFonts w:hint="eastAsia"/>
                <w:b/>
                <w:bCs/>
                <w:sz w:val="24"/>
                <w:highlight w:val="none"/>
              </w:rPr>
              <w:t xml:space="preserve">czj</w:t>
            </w:r>
            <w:r>
              <w:rPr>
                <w:rFonts w:hint="eastAsia" w:ascii="宋体" w:hAnsi="宋体"/>
                <w:b/>
                <w:bCs/>
                <w:sz w:val="24"/>
                <w:highlight w:val="none"/>
              </w:rPr>
              <w:t xml:space="preserve">.</w:t>
            </w:r>
            <w:r>
              <w:rPr>
                <w:rFonts w:hint="eastAsia"/>
                <w:b/>
                <w:bCs/>
                <w:sz w:val="24"/>
                <w:highlight w:val="none"/>
              </w:rPr>
              <w:t xml:space="preserve">xz</w:t>
            </w:r>
            <w:r>
              <w:rPr>
                <w:rFonts w:hint="eastAsia" w:ascii="宋体" w:hAnsi="宋体"/>
                <w:b/>
                <w:bCs/>
                <w:sz w:val="24"/>
                <w:highlight w:val="none"/>
              </w:rPr>
              <w:t xml:space="preserve">.</w:t>
            </w:r>
            <w:r>
              <w:rPr>
                <w:rFonts w:hint="eastAsia"/>
                <w:b/>
                <w:bCs/>
                <w:sz w:val="24"/>
                <w:highlight w:val="none"/>
              </w:rPr>
              <w:t xml:space="preserve">gov</w:t>
            </w:r>
            <w:r>
              <w:rPr>
                <w:rFonts w:hint="eastAsia" w:ascii="宋体" w:hAnsi="宋体"/>
                <w:b/>
                <w:bCs/>
                <w:sz w:val="24"/>
                <w:highlight w:val="none"/>
              </w:rPr>
              <w:t xml:space="preserve">.</w:t>
            </w:r>
            <w:r>
              <w:rPr>
                <w:rFonts w:hint="eastAsia"/>
                <w:b/>
                <w:bCs/>
                <w:sz w:val="24"/>
                <w:highlight w:val="none"/>
              </w:rPr>
              <w:t xml:space="preserve">cn</w:t>
            </w:r>
            <w:r>
              <w:rPr>
                <w:rFonts w:hint="eastAsia" w:ascii="宋体" w:hAnsi="宋体"/>
                <w:b/>
                <w:bCs/>
                <w:sz w:val="24"/>
                <w:highlight w:val="none"/>
              </w:rPr>
              <w:t xml:space="preserve">/</w:t>
            </w:r>
            <w:r>
              <w:rPr>
                <w:rFonts w:hint="eastAsia"/>
                <w:b/>
                <w:bCs/>
                <w:sz w:val="24"/>
                <w:highlight w:val="none"/>
              </w:rPr>
              <w:t xml:space="preserve">Home</w:t>
            </w:r>
            <w:r>
              <w:rPr>
                <w:rFonts w:hint="eastAsia" w:ascii="宋体" w:hAnsi="宋体"/>
                <w:b/>
                <w:bCs/>
                <w:sz w:val="24"/>
                <w:highlight w:val="none"/>
              </w:rPr>
              <w:t xml:space="preserve">/</w:t>
            </w:r>
            <w:r>
              <w:rPr>
                <w:rFonts w:hint="eastAsia"/>
                <w:b/>
                <w:bCs/>
                <w:sz w:val="24"/>
                <w:highlight w:val="none"/>
              </w:rPr>
              <w:t xml:space="preserve">HomeIndex</w:t>
            </w:r>
            <w:r>
              <w:rPr>
                <w:rFonts w:hint="eastAsia" w:ascii="宋体" w:hAnsi="宋体"/>
                <w:b/>
                <w:bCs/>
                <w:sz w:val="24"/>
                <w:highlight w:val="none"/>
              </w:rPr>
              <w:t xml:space="preserve">）--业务工作--用户登录，点击“苏采云”进入系统“开标大厅”。</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hint="eastAsia"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p>
        </w:tc>
        <w:tc>
          <w:tcPr>
            <w:tcW w:w="7542"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本项目的评标方法：综合评分法。</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五、中标和合同</w:t>
            </w:r>
            <w:r/>
          </w:p>
        </w:tc>
      </w:tr>
      <w:tr>
        <w:trPr>
          <w:jc w:val="center"/>
          <w:trHeight w:val="1509"/>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p>
        </w:tc>
        <w:tc>
          <w:tcPr>
            <w:tcW w:w="7542" w:type="dxa"/>
            <w:textDirection w:val="lrTb"/>
            <w:noWrap w:val="false"/>
          </w:tcPr>
          <w:p>
            <w:pPr>
              <w:jc w:val="left"/>
              <w:spacing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中标候选人并列的，招标文件规定的确定中标人方式：采用综合评分法的，评标结果按评审后得分由高到低顺序排列。得分相同的，按投标报价由低到高顺序排列。得分且投标报价相同的，按实施</w:t>
            </w:r>
            <w:r>
              <w:rPr>
                <w:rFonts w:ascii="宋体" w:hAnsi="宋体" w:cs="宋体"/>
                <w:sz w:val="24"/>
                <w:highlight w:val="none"/>
              </w:rPr>
              <w:t xml:space="preserve">方案</w:t>
            </w:r>
            <w:r>
              <w:rPr>
                <w:rFonts w:hint="eastAsia" w:ascii="宋体" w:hAnsi="宋体" w:cs="宋体"/>
                <w:sz w:val="24"/>
                <w:highlight w:val="none"/>
              </w:rPr>
              <w:t xml:space="preserve">优劣顺序排列。中标候选人应当不超过</w:t>
            </w:r>
            <w:r>
              <w:rPr>
                <w:rFonts w:hint="eastAsia" w:cs="宋体"/>
                <w:sz w:val="24"/>
                <w:highlight w:val="none"/>
              </w:rPr>
              <w:t xml:space="preserve">3</w:t>
            </w:r>
            <w:r>
              <w:rPr>
                <w:rFonts w:hint="eastAsia" w:ascii="宋体" w:hAnsi="宋体" w:cs="宋体"/>
                <w:sz w:val="24"/>
                <w:highlight w:val="none"/>
              </w:rPr>
              <w:t xml:space="preserve">个，并标明排序。</w:t>
            </w:r>
            <w:r/>
          </w:p>
        </w:tc>
      </w:tr>
      <w:tr>
        <w:trPr>
          <w:jc w:val="center"/>
          <w:trHeight w:val="1708"/>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p>
        </w:tc>
        <w:tc>
          <w:tcPr>
            <w:tcW w:w="7542" w:type="dxa"/>
            <w:textDirection w:val="lrTb"/>
            <w:noWrap w:val="false"/>
          </w:tcPr>
          <w:p>
            <w:pPr>
              <w:jc w:val="left"/>
              <w:spacing w:line="439"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7542" w:type="dxa"/>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六、询问和质疑</w:t>
            </w:r>
            <w:r/>
          </w:p>
        </w:tc>
      </w:tr>
      <w:tr>
        <w:trPr>
          <w:jc w:val="center"/>
        </w:trPr>
        <w:tc>
          <w:tcPr>
            <w:tcW w:w="1368"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p>
        </w:tc>
        <w:tc>
          <w:tcPr>
            <w:tcW w:w="7542" w:type="dxa"/>
            <w:textDirection w:val="lrTb"/>
            <w:noWrap w:val="false"/>
          </w:tcPr>
          <w:p>
            <w:pPr>
              <w:jc w:val="left"/>
              <w:rPr>
                <w:rFonts w:hint="eastAsia"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p>
          <w:p>
            <w:pPr>
              <w:jc w:val="left"/>
              <w:rPr>
                <w:rFonts w:hint="eastAsia" w:ascii="宋体" w:hAnsi="宋体" w:cs="宋体"/>
                <w:sz w:val="24"/>
                <w:highlight w:val="none"/>
              </w:rPr>
            </w:pPr>
            <w:r>
              <w:rPr>
                <w:rFonts w:hint="eastAsia" w:ascii="宋体" w:hAnsi="宋体" w:cs="宋体"/>
                <w:sz w:val="24"/>
                <w:highlight w:val="none"/>
              </w:rPr>
              <w:t xml:space="preserve">质疑接收人：赵长城   联系电话：</w:t>
            </w:r>
            <w:r>
              <w:rPr>
                <w:rFonts w:hint="eastAsia" w:cs="宋体"/>
                <w:sz w:val="24"/>
                <w:highlight w:val="none"/>
              </w:rPr>
              <w:t xml:space="preserve">0516-83906677</w:t>
            </w:r>
            <w:r/>
          </w:p>
          <w:p>
            <w:pPr>
              <w:jc w:val="left"/>
              <w:rPr>
                <w:rFonts w:hint="eastAsia" w:ascii="宋体" w:hAnsi="宋体" w:cs="宋体"/>
                <w:sz w:val="24"/>
                <w:highlight w:val="none"/>
              </w:rPr>
            </w:pPr>
            <w:r>
              <w:rPr>
                <w:rFonts w:hint="eastAsia" w:ascii="宋体" w:hAnsi="宋体" w:cs="宋体"/>
                <w:sz w:val="24"/>
                <w:highlight w:val="none"/>
              </w:rPr>
              <w:t xml:space="preserve">地址：徐州市云龙区郭庄路世茂广场SOHO3号楼17楼</w:t>
            </w:r>
            <w:r/>
          </w:p>
        </w:tc>
      </w:tr>
      <w:tr>
        <w:trPr>
          <w:jc w:val="center"/>
        </w:trPr>
        <w:tc>
          <w:tcPr>
            <w:tcW w:w="1368" w:type="dxa"/>
            <w:textDirection w:val="lrTb"/>
            <w:noWrap w:val="false"/>
          </w:tcPr>
          <w:p>
            <w:pPr>
              <w:jc w:val="center"/>
              <w:rPr>
                <w:rFonts w:hint="eastAsia" w:ascii="宋体" w:hAnsi="宋体" w:cs="宋体"/>
                <w:sz w:val="24"/>
                <w:highlight w:val="none"/>
              </w:rPr>
            </w:pPr>
            <w:r>
              <w:rPr>
                <w:rFonts w:hint="eastAsia" w:ascii="宋体" w:hAnsi="宋体" w:cs="宋体"/>
                <w:b/>
                <w:bCs/>
                <w:sz w:val="24"/>
                <w:highlight w:val="none"/>
              </w:rPr>
              <w:t xml:space="preserve">附加说明</w:t>
            </w:r>
            <w:r/>
          </w:p>
        </w:tc>
        <w:tc>
          <w:tcPr>
            <w:tcW w:w="7542" w:type="dxa"/>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p>
        </w:tc>
      </w:tr>
    </w:tbl>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sz w:val="30"/>
          <w:szCs w:val="30"/>
          <w:highlight w:val="none"/>
        </w:rPr>
      </w:pPr>
      <w:r>
        <w:rPr>
          <w:rFonts w:hint="eastAsia" w:ascii="宋体" w:hAnsi="宋体"/>
          <w:sz w:val="24"/>
          <w:highlight w:val="none"/>
        </w:rPr>
        <w:t xml:space="preserve">附件</w:t>
      </w:r>
      <w:r/>
    </w:p>
    <w:p>
      <w:pPr>
        <w:ind w:firstLine="480"/>
        <w:spacing w:line="520" w:lineRule="exact"/>
        <w:widowControl/>
        <w:rPr>
          <w:rFonts w:hint="eastAsia" w:ascii="宋体" w:hAnsi="宋体" w:cs="宋体"/>
          <w:b/>
          <w:sz w:val="24"/>
          <w:highlight w:val="none"/>
        </w:rPr>
      </w:pPr>
      <w:r>
        <w:rPr>
          <w:rFonts w:hint="eastAsia" w:ascii="宋体" w:hAnsi="宋体"/>
          <w:sz w:val="24"/>
          <w:highlight w:val="none"/>
        </w:rPr>
        <w:t xml:space="preserve">本章附件：</w:t>
      </w:r>
      <w:r>
        <w:rPr>
          <w:rFonts w:hint="eastAsia" w:ascii="宋体" w:hAnsi="宋体" w:cs="宋体"/>
          <w:b/>
          <w:sz w:val="24"/>
          <w:highlight w:val="none"/>
        </w:rPr>
        <w:t xml:space="preserve">招标代理服务收费标准</w:t>
      </w:r>
      <w:r/>
    </w:p>
    <w:tbl>
      <w:tblPr>
        <w:tblStyle w:val="804"/>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735"/>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货物</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服务</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工程</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收费上限</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1.50%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最低5千元</w:t>
            </w:r>
            <w:r/>
          </w:p>
          <w:p>
            <w:pPr>
              <w:ind w:firstLine="280"/>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最高15万元</w:t>
            </w:r>
            <w:r/>
          </w:p>
          <w:p>
            <w:pP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1.10%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0.80%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0.70%</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0.80%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0.45%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0.55%</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0.25%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0.35%</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0.25%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0.10%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0.20%</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0.05%</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0.035%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0.035%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0.035%</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0.008%</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0.008%</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0.008%</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0.006%</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0.006%</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0.006%</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0.004%</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0.004%</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0.004%</w:t>
            </w:r>
            <w:r/>
          </w:p>
        </w:tc>
        <w:tc>
          <w:tcPr>
            <w:tcW w:w="2136" w:type="dxa"/>
            <w:vMerge w:val="continue"/>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r>
            <w:r/>
          </w:p>
        </w:tc>
      </w:tr>
    </w:tbl>
    <w:p>
      <w:pPr>
        <w:spacing w:line="400" w:lineRule="exact"/>
        <w:rPr>
          <w:rFonts w:hint="eastAsia" w:ascii="宋体" w:hAnsi="宋体"/>
          <w:sz w:val="24"/>
          <w:highlight w:val="none"/>
        </w:rPr>
      </w:pPr>
      <w:r>
        <w:rPr>
          <w:rFonts w:hint="eastAsia" w:ascii="宋体" w:hAnsi="宋体"/>
          <w:sz w:val="24"/>
          <w:highlight w:val="none"/>
        </w:rPr>
        <w:t xml:space="preserve">备注：非政府采购项目收费标准，由采购人与代理机构自行商议。</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1.按上表计算的收费为代理服务全过程的收费金额。各社会代理机构不另外收取采购文件制作售卖费用。</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2.代理服务费按差额定率累进法计算。</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3.代理服务费基准金额（按差额定率累进法计算的）=中标金额（按差额定率累进法计算的）*费率（%）。</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4.代理服务费应收取金额=代理服务费基准金额（按差额定率累进法计算的）的合计数。</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5.计算出的代理服务费应收取金额如低于5千元，按5千元收取；如高于15万元，按15万元收取。</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6.定点类等无金额或事先不能计算出价格总额，采购预算为1元的项目，中标（成交）金额按100万元计算。</w:t>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7.多标段项目按总项目收费，最高不超过15万元。</w:t>
      </w:r>
      <w:r/>
    </w:p>
    <w:p>
      <w:pPr>
        <w:spacing w:line="400" w:lineRule="exact"/>
        <w:rPr>
          <w:rFonts w:hint="eastAsia" w:ascii="宋体" w:hAnsi="宋体"/>
          <w:sz w:val="24"/>
          <w:highlight w:val="none"/>
        </w:rPr>
      </w:pPr>
      <w:r>
        <w:rPr>
          <w:rFonts w:hint="eastAsia" w:ascii="宋体" w:hAnsi="宋体"/>
          <w:sz w:val="24"/>
          <w:highlight w:val="none"/>
        </w:rPr>
        <w:t xml:space="preserve">8.以上价格为协会指导价，双方也可以协商定。本办法自2021年5月1日起执行。</w:t>
      </w:r>
      <w:r/>
    </w:p>
    <w:p>
      <w:pPr>
        <w:spacing w:line="360" w:lineRule="exact"/>
        <w:rPr>
          <w:rFonts w:hint="eastAsia" w:ascii="宋体" w:hAnsi="宋体" w:cs="仿宋_GB2312"/>
          <w:sz w:val="24"/>
          <w:highlight w:val="none"/>
        </w:rPr>
      </w:pPr>
      <w:r>
        <w:rPr>
          <w:rFonts w:hint="eastAsia" w:ascii="宋体" w:hAnsi="宋体"/>
          <w:sz w:val="24"/>
          <w:highlight w:val="none"/>
        </w:rPr>
        <w:t xml:space="preserve">9.</w:t>
      </w:r>
      <w:r>
        <w:rPr>
          <w:rFonts w:hint="eastAsia" w:ascii="宋体" w:hAnsi="宋体" w:cs="仿宋_GB2312"/>
          <w:sz w:val="24"/>
          <w:highlight w:val="none"/>
        </w:rPr>
        <w:t xml:space="preserve">代理服务费按现行规定标准的80%收取。</w:t>
      </w:r>
      <w:r/>
    </w:p>
    <w:p>
      <w:pPr>
        <w:rPr>
          <w:highlight w:val="none"/>
        </w:rPr>
      </w:pPr>
      <w:r>
        <w:rPr>
          <w:highlight w:val="none"/>
        </w:rPr>
      </w:r>
      <w:r/>
    </w:p>
    <w:p>
      <w:pPr>
        <w:pStyle w:val="787"/>
        <w:rPr>
          <w:highlight w:val="none"/>
        </w:rPr>
      </w:pPr>
      <w:r>
        <w:rPr>
          <w:highlight w:val="none"/>
        </w:rPr>
      </w:r>
      <w:r/>
    </w:p>
    <w:p>
      <w:pPr>
        <w:pStyle w:val="787"/>
        <w:ind w:left="0" w:firstLine="0"/>
        <w:rPr>
          <w:highlight w:val="none"/>
        </w:rPr>
      </w:pPr>
      <w:r>
        <w:rPr>
          <w:highlight w:val="none"/>
        </w:rPr>
      </w:r>
      <w:r/>
    </w:p>
    <w:p>
      <w:pPr>
        <w:numPr>
          <w:ilvl w:val="0"/>
          <w:numId w:val="3"/>
        </w:numPr>
        <w:jc w:val="center"/>
        <w:widowControl/>
        <w:rPr>
          <w:rFonts w:hint="eastAsia" w:ascii="宋体" w:hAnsi="宋体" w:cs="宋体"/>
          <w:b/>
          <w:bCs/>
          <w:sz w:val="30"/>
          <w:szCs w:val="30"/>
          <w:highlight w:val="none"/>
        </w:rPr>
      </w:pPr>
      <w:r>
        <w:rPr>
          <w:rFonts w:hint="eastAsia" w:ascii="宋体" w:hAnsi="宋体" w:cs="宋体"/>
          <w:b/>
          <w:bCs/>
          <w:sz w:val="30"/>
          <w:szCs w:val="30"/>
          <w:highlight w:val="none"/>
        </w:rPr>
        <w:t xml:space="preserve">评标标准</w:t>
      </w:r>
      <w:r/>
    </w:p>
    <w:tbl>
      <w:tblPr>
        <w:tblStyle w:val="783"/>
        <w:tblpPr w:horzAnchor="page" w:tblpX="1531" w:vertAnchor="text" w:tblpY="380" w:leftFromText="180" w:topFromText="0" w:rightFromText="180" w:bottomFromText="0"/>
        <w:tblW w:w="90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675"/>
        <w:gridCol w:w="7650"/>
      </w:tblGrid>
      <w:tr>
        <w:trPr>
          <w:trHeight w:val="624"/>
        </w:trPr>
        <w:tc>
          <w:tcPr>
            <w:tcW w:w="725" w:type="dxa"/>
            <w:vAlign w:val="center"/>
            <w:vMerge w:val="restart"/>
            <w:textDirection w:val="lrTb"/>
            <w:noWrap w:val="false"/>
          </w:tcPr>
          <w:p>
            <w:pPr>
              <w:jc w:val="center"/>
              <w:rPr>
                <w:rFonts w:hint="eastAsia" w:ascii="宋体" w:hAnsi="宋体"/>
                <w:bCs/>
                <w:sz w:val="24"/>
                <w:szCs w:val="28"/>
                <w:highlight w:val="none"/>
              </w:rPr>
            </w:pPr>
            <w:r/>
            <w:bookmarkStart w:id="2" w:name="_Hlk179962168"/>
            <w:r>
              <w:rPr>
                <w:rFonts w:hint="eastAsia" w:ascii="宋体" w:hAnsi="宋体"/>
                <w:bCs/>
                <w:sz w:val="24"/>
                <w:szCs w:val="28"/>
                <w:highlight w:val="none"/>
              </w:rPr>
              <w:t xml:space="preserve">评审因素</w:t>
            </w:r>
            <w:r/>
          </w:p>
        </w:tc>
        <w:tc>
          <w:tcPr>
            <w:tcW w:w="675" w:type="dxa"/>
            <w:vAlign w:val="center"/>
            <w:vMerge w:val="restart"/>
            <w:textDirection w:val="lrTb"/>
            <w:noWrap w:val="false"/>
          </w:tcPr>
          <w:p>
            <w:pPr>
              <w:jc w:val="center"/>
              <w:rPr>
                <w:rFonts w:hint="eastAsia" w:ascii="宋体" w:hAnsi="宋体"/>
                <w:bCs/>
                <w:sz w:val="24"/>
                <w:szCs w:val="28"/>
                <w:highlight w:val="none"/>
              </w:rPr>
            </w:pPr>
            <w:r>
              <w:rPr>
                <w:rFonts w:hint="eastAsia" w:ascii="宋体" w:hAnsi="宋体"/>
                <w:bCs/>
                <w:sz w:val="24"/>
                <w:szCs w:val="28"/>
                <w:highlight w:val="none"/>
              </w:rPr>
              <w:t xml:space="preserve">权重</w:t>
            </w:r>
            <w:r/>
          </w:p>
        </w:tc>
        <w:tc>
          <w:tcPr>
            <w:tcW w:w="7650" w:type="dxa"/>
            <w:vAlign w:val="center"/>
            <w:vMerge w:val="restart"/>
            <w:textDirection w:val="lrTb"/>
            <w:noWrap w:val="false"/>
          </w:tcPr>
          <w:p>
            <w:pPr>
              <w:jc w:val="center"/>
              <w:rPr>
                <w:rFonts w:hint="eastAsia" w:ascii="宋体" w:hAnsi="宋体"/>
                <w:bCs/>
                <w:sz w:val="24"/>
                <w:szCs w:val="28"/>
                <w:highlight w:val="none"/>
              </w:rPr>
            </w:pPr>
            <w:r>
              <w:rPr>
                <w:rFonts w:hint="eastAsia" w:ascii="宋体" w:hAnsi="宋体"/>
                <w:bCs/>
                <w:sz w:val="24"/>
                <w:szCs w:val="28"/>
                <w:highlight w:val="none"/>
              </w:rPr>
              <w:t xml:space="preserve">评分依据</w:t>
            </w:r>
            <w:r/>
          </w:p>
        </w:tc>
      </w:tr>
      <w:tr>
        <w:trPr>
          <w:trHeight w:val="411"/>
        </w:trPr>
        <w:tc>
          <w:tcPr>
            <w:tcW w:w="725" w:type="dxa"/>
            <w:vAlign w:val="center"/>
            <w:textDirection w:val="lrTb"/>
            <w:noWrap w:val="false"/>
          </w:tcPr>
          <w:p>
            <w:pPr>
              <w:jc w:val="center"/>
              <w:rPr>
                <w:rFonts w:hint="eastAsia" w:ascii="宋体" w:hAnsi="宋体"/>
                <w:bCs/>
                <w:sz w:val="24"/>
                <w:szCs w:val="28"/>
                <w:highlight w:val="none"/>
              </w:rPr>
            </w:pPr>
            <w:r>
              <w:rPr>
                <w:rFonts w:hint="eastAsia" w:ascii="宋体" w:hAnsi="宋体"/>
                <w:bCs/>
                <w:sz w:val="24"/>
                <w:szCs w:val="28"/>
                <w:highlight w:val="none"/>
              </w:rPr>
              <w:t xml:space="preserve">价格因素</w:t>
            </w:r>
            <w:r/>
          </w:p>
        </w:tc>
        <w:tc>
          <w:tcPr>
            <w:tcW w:w="675" w:type="dxa"/>
            <w:vAlign w:val="center"/>
            <w:textDirection w:val="lrTb"/>
            <w:noWrap w:val="false"/>
          </w:tcPr>
          <w:p>
            <w:pPr>
              <w:jc w:val="center"/>
              <w:rPr>
                <w:rFonts w:hint="eastAsia" w:ascii="宋体" w:hAnsi="宋体"/>
                <w:bCs/>
                <w:sz w:val="24"/>
                <w:szCs w:val="28"/>
                <w:highlight w:val="none"/>
              </w:rPr>
            </w:pPr>
            <w:r>
              <w:rPr>
                <w:rFonts w:hint="eastAsia" w:ascii="宋体" w:hAnsi="宋体"/>
                <w:bCs/>
                <w:sz w:val="24"/>
                <w:szCs w:val="28"/>
                <w:highlight w:val="none"/>
              </w:rPr>
              <w:t xml:space="preserve">30</w:t>
            </w:r>
            <w:r>
              <w:rPr>
                <w:rFonts w:ascii="宋体" w:hAnsi="宋体"/>
                <w:bCs/>
                <w:sz w:val="24"/>
                <w:szCs w:val="28"/>
                <w:highlight w:val="none"/>
              </w:rPr>
              <w:t xml:space="preserve">%</w:t>
            </w:r>
            <w:r/>
          </w:p>
        </w:tc>
        <w:tc>
          <w:tcPr>
            <w:tcW w:w="7650" w:type="dxa"/>
            <w:vAlign w:val="center"/>
            <w:textDirection w:val="lrTb"/>
            <w:noWrap w:val="false"/>
          </w:tcPr>
          <w:p>
            <w:pPr>
              <w:jc w:val="left"/>
              <w:spacing w:line="320" w:lineRule="exact"/>
              <w:rPr>
                <w:rFonts w:hint="eastAsia" w:ascii="宋体" w:hAnsi="宋体"/>
                <w:bCs/>
                <w:sz w:val="24"/>
                <w:szCs w:val="28"/>
                <w:highlight w:val="none"/>
              </w:rPr>
            </w:pPr>
            <w:r>
              <w:rPr>
                <w:rFonts w:hint="eastAsia" w:ascii="宋体" w:hAnsi="宋体"/>
                <w:bCs/>
                <w:sz w:val="24"/>
                <w:szCs w:val="28"/>
                <w:highlight w:val="none"/>
              </w:rPr>
              <w:t xml:space="preserve">以</w:t>
            </w:r>
            <w:r>
              <w:rPr>
                <w:rFonts w:ascii="宋体" w:hAnsi="宋体"/>
                <w:bCs/>
                <w:sz w:val="24"/>
                <w:szCs w:val="28"/>
                <w:highlight w:val="none"/>
              </w:rPr>
              <w:t xml:space="preserve">最低有效投标报价为评</w:t>
            </w:r>
            <w:r>
              <w:rPr>
                <w:rFonts w:hint="eastAsia" w:ascii="宋体" w:hAnsi="宋体"/>
                <w:bCs/>
                <w:sz w:val="24"/>
                <w:szCs w:val="28"/>
                <w:highlight w:val="none"/>
              </w:rPr>
              <w:t xml:space="preserve">标</w:t>
            </w:r>
            <w:r>
              <w:rPr>
                <w:rFonts w:ascii="宋体" w:hAnsi="宋体"/>
                <w:bCs/>
                <w:sz w:val="24"/>
                <w:szCs w:val="28"/>
                <w:highlight w:val="none"/>
              </w:rPr>
              <w:t xml:space="preserve">基</w:t>
            </w:r>
            <w:r>
              <w:rPr>
                <w:rFonts w:hint="eastAsia" w:ascii="宋体" w:hAnsi="宋体"/>
                <w:bCs/>
                <w:sz w:val="24"/>
                <w:szCs w:val="28"/>
                <w:highlight w:val="none"/>
              </w:rPr>
              <w:t xml:space="preserve">准</w:t>
            </w:r>
            <w:r>
              <w:rPr>
                <w:rFonts w:ascii="宋体" w:hAnsi="宋体"/>
                <w:bCs/>
                <w:sz w:val="24"/>
                <w:szCs w:val="28"/>
                <w:highlight w:val="none"/>
              </w:rPr>
              <w:t xml:space="preserve">价，其价格分为满分</w:t>
            </w:r>
            <w:r>
              <w:rPr>
                <w:rFonts w:hint="eastAsia" w:ascii="宋体" w:hAnsi="宋体"/>
                <w:bCs/>
                <w:sz w:val="24"/>
                <w:szCs w:val="28"/>
                <w:highlight w:val="none"/>
              </w:rPr>
              <w:t xml:space="preserve">30分，其他报价得分＝（评标基准价/各有效投标报价）×30分</w:t>
            </w:r>
            <w:r>
              <w:rPr>
                <w:rFonts w:ascii="宋体" w:hAnsi="宋体"/>
                <w:bCs/>
                <w:sz w:val="24"/>
                <w:szCs w:val="28"/>
                <w:highlight w:val="none"/>
              </w:rPr>
              <w:t xml:space="preserve">(</w:t>
            </w:r>
            <w:r>
              <w:rPr>
                <w:rFonts w:hint="eastAsia" w:ascii="宋体" w:hAnsi="宋体"/>
                <w:bCs/>
                <w:sz w:val="24"/>
                <w:szCs w:val="28"/>
                <w:highlight w:val="none"/>
              </w:rPr>
              <w:t xml:space="preserve">保留</w:t>
            </w:r>
            <w:r>
              <w:rPr>
                <w:rFonts w:ascii="宋体" w:hAnsi="宋体"/>
                <w:bCs/>
                <w:sz w:val="24"/>
                <w:szCs w:val="28"/>
                <w:highlight w:val="none"/>
              </w:rPr>
              <w:t xml:space="preserve">两位小数</w:t>
            </w:r>
            <w:r>
              <w:rPr>
                <w:rFonts w:hint="eastAsia" w:ascii="宋体" w:hAnsi="宋体"/>
                <w:bCs/>
                <w:sz w:val="24"/>
                <w:szCs w:val="28"/>
                <w:highlight w:val="none"/>
              </w:rPr>
              <w:t xml:space="preserve">)。</w:t>
            </w:r>
            <w:r/>
          </w:p>
        </w:tc>
      </w:tr>
      <w:tr>
        <w:trPr>
          <w:trHeight w:val="1637"/>
        </w:trPr>
        <w:tc>
          <w:tcPr>
            <w:tcW w:w="725" w:type="dxa"/>
            <w:vAlign w:val="center"/>
            <w:textDirection w:val="lrTb"/>
            <w:noWrap w:val="false"/>
          </w:tcPr>
          <w:p>
            <w:pPr>
              <w:rPr>
                <w:rFonts w:hint="eastAsia" w:ascii="宋体" w:hAnsi="宋体"/>
                <w:bCs/>
                <w:sz w:val="24"/>
                <w:szCs w:val="28"/>
                <w:highlight w:val="none"/>
              </w:rPr>
            </w:pPr>
            <w:r>
              <w:rPr>
                <w:rFonts w:hint="eastAsia" w:ascii="宋体" w:hAnsi="宋体"/>
                <w:bCs/>
                <w:sz w:val="24"/>
                <w:szCs w:val="28"/>
                <w:highlight w:val="none"/>
              </w:rPr>
              <w:t xml:space="preserve">技术质量因素</w:t>
            </w:r>
            <w:r/>
          </w:p>
        </w:tc>
        <w:tc>
          <w:tcPr>
            <w:tcW w:w="675" w:type="dxa"/>
            <w:vAlign w:val="center"/>
            <w:textDirection w:val="lrTb"/>
            <w:noWrap w:val="false"/>
          </w:tcPr>
          <w:p>
            <w:pPr>
              <w:jc w:val="center"/>
              <w:rPr>
                <w:rFonts w:hint="eastAsia" w:ascii="宋体" w:hAnsi="宋体"/>
                <w:bCs/>
                <w:sz w:val="24"/>
                <w:szCs w:val="28"/>
                <w:highlight w:val="none"/>
              </w:rPr>
            </w:pPr>
            <w:r>
              <w:rPr>
                <w:rFonts w:hint="eastAsia" w:ascii="宋体" w:hAnsi="宋体"/>
                <w:bCs/>
                <w:sz w:val="24"/>
                <w:szCs w:val="28"/>
                <w:highlight w:val="none"/>
              </w:rPr>
              <w:t xml:space="preserve">55</w:t>
            </w:r>
            <w:r>
              <w:rPr>
                <w:rFonts w:ascii="宋体" w:hAnsi="宋体"/>
                <w:bCs/>
                <w:sz w:val="24"/>
                <w:szCs w:val="28"/>
                <w:highlight w:val="none"/>
              </w:rPr>
              <w:t xml:space="preserve">%</w:t>
            </w:r>
            <w:r/>
          </w:p>
        </w:tc>
        <w:tc>
          <w:tcPr>
            <w:tcW w:w="7650" w:type="dxa"/>
            <w:vAlign w:val="center"/>
            <w:textDirection w:val="lrTb"/>
            <w:noWrap w:val="false"/>
          </w:tcPr>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1、对采购标的需实现的功能或者目标的响应情况（</w:t>
            </w:r>
            <w:r>
              <w:rPr>
                <w:rFonts w:hint="eastAsia" w:ascii="宋体" w:hAnsi="宋体" w:cs="宋体"/>
                <w:b/>
                <w:sz w:val="24"/>
                <w:szCs w:val="28"/>
                <w:highlight w:val="none"/>
              </w:rPr>
              <w:t xml:space="preserve">22分</w:t>
            </w:r>
            <w:r>
              <w:rPr>
                <w:rFonts w:hint="eastAsia" w:ascii="宋体" w:hAnsi="宋体" w:cs="宋体"/>
                <w:bCs/>
                <w:sz w:val="24"/>
                <w:szCs w:val="28"/>
                <w:highlight w:val="none"/>
              </w:rPr>
              <w:t xml:space="preserve">）：</w:t>
            </w:r>
            <w:r/>
          </w:p>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投标人投标产品的技术参数完全响应招标文件技术及要求的，得22分；投标人投标产品的技术参数不满足招标文件技术参数及要求的，则在2</w:t>
            </w:r>
            <w:r>
              <w:rPr>
                <w:rFonts w:hint="eastAsia" w:ascii="宋体" w:hAnsi="宋体" w:cs="宋体"/>
                <w:bCs/>
                <w:sz w:val="24"/>
                <w:szCs w:val="28"/>
                <w:highlight w:val="none"/>
                <w:lang w:val="en-US" w:eastAsia="zh-CN"/>
              </w:rPr>
              <w:t xml:space="preserve">2</w:t>
            </w:r>
            <w:r>
              <w:rPr>
                <w:rFonts w:hint="eastAsia" w:ascii="宋体" w:hAnsi="宋体" w:cs="宋体"/>
                <w:bCs/>
                <w:sz w:val="24"/>
                <w:szCs w:val="28"/>
                <w:highlight w:val="none"/>
              </w:rPr>
              <w:t xml:space="preserve">分的基础上，按以下原则扣分，扣完为止。</w:t>
            </w:r>
            <w:r/>
          </w:p>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（1）投标产品的技术参数中每有一项不满足加“▲”参数的，扣2分。</w:t>
            </w:r>
            <w:r/>
          </w:p>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（2）投标产品的技术参数中每有一项不满足未加“▲”参数的，扣1分。</w:t>
            </w:r>
            <w:r/>
          </w:p>
          <w:p>
            <w:pPr>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（3）投标产品的技术参数中标注“</w:t>
            </w:r>
            <w:r>
              <w:rPr>
                <w:rFonts w:hint="eastAsia" w:ascii="宋体" w:hAnsi="宋体"/>
                <w:sz w:val="24"/>
                <w:highlight w:val="none"/>
              </w:rPr>
              <w:t xml:space="preserve">★</w:t>
            </w:r>
            <w:r>
              <w:rPr>
                <w:rFonts w:hint="eastAsia" w:ascii="宋体" w:hAnsi="宋体" w:cs="宋体"/>
                <w:bCs/>
                <w:sz w:val="24"/>
                <w:szCs w:val="28"/>
                <w:highlight w:val="none"/>
              </w:rPr>
              <w:t xml:space="preserve">”为实质性参数要求和条件，</w:t>
            </w:r>
            <w:r>
              <w:rPr>
                <w:rFonts w:hint="eastAsia" w:ascii="宋体" w:hAnsi="宋体"/>
                <w:sz w:val="24"/>
                <w:highlight w:val="none"/>
              </w:rPr>
              <w:t xml:space="preserve">不允许负偏离，否则投标无效</w:t>
            </w:r>
            <w:r>
              <w:rPr>
                <w:rFonts w:hint="eastAsia" w:ascii="宋体" w:hAnsi="宋体" w:cs="宋体"/>
                <w:bCs/>
                <w:sz w:val="24"/>
                <w:szCs w:val="28"/>
                <w:highlight w:val="none"/>
              </w:rPr>
              <w:t xml:space="preserve">。 </w:t>
            </w:r>
            <w:r/>
          </w:p>
          <w:p>
            <w:pPr>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2、项目负责人（</w:t>
            </w:r>
            <w:r>
              <w:rPr>
                <w:rFonts w:hint="eastAsia" w:ascii="宋体" w:hAnsi="宋体" w:cs="宋体"/>
                <w:b/>
                <w:sz w:val="24"/>
                <w:szCs w:val="28"/>
                <w:highlight w:val="none"/>
              </w:rPr>
              <w:t xml:space="preserve">5分</w:t>
            </w:r>
            <w:r>
              <w:rPr>
                <w:rFonts w:hint="eastAsia" w:ascii="宋体" w:hAnsi="宋体" w:cs="宋体"/>
                <w:bCs/>
                <w:sz w:val="24"/>
                <w:szCs w:val="28"/>
                <w:highlight w:val="none"/>
              </w:rPr>
              <w:t xml:space="preserve">）根据投标人拟为本项目配备的项目负责人的情况进行加分：</w:t>
            </w:r>
            <w:r/>
          </w:p>
          <w:p>
            <w:pPr>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（1）具有本科及以上学历的加2分，提供学历证书扫描件有效；</w:t>
            </w:r>
            <w:r/>
          </w:p>
          <w:p>
            <w:pPr>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（2）具有计算机软件，信息技术，土木工程领域的中级职称证书的加2分，具有高级职称证书的加3分，提供职称证书扫描件有效，以高级别计分，最多加3分。</w:t>
            </w:r>
            <w:r/>
          </w:p>
          <w:p>
            <w:pPr>
              <w:ind w:firstLine="240"/>
              <w:spacing w:line="320" w:lineRule="exact"/>
              <w:rPr>
                <w:rFonts w:hint="eastAsia" w:ascii="宋体" w:hAnsi="宋体"/>
                <w:bCs/>
                <w:sz w:val="24"/>
                <w:highlight w:val="none"/>
              </w:rPr>
            </w:pPr>
            <w:r>
              <w:rPr>
                <w:rFonts w:hint="eastAsia" w:ascii="宋体" w:hAnsi="宋体"/>
                <w:bCs/>
                <w:sz w:val="24"/>
                <w:highlight w:val="none"/>
              </w:rPr>
              <w:t xml:space="preserve">投标文件中还须提供投标人近6个月（不含开标当月）任意一个月为其缴纳社保证明材料有效。</w:t>
            </w:r>
            <w:r/>
          </w:p>
          <w:p>
            <w:pPr>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3、服务团队人员配置（</w:t>
            </w:r>
            <w:r>
              <w:rPr>
                <w:rFonts w:hint="eastAsia" w:ascii="宋体" w:hAnsi="宋体" w:cs="宋体"/>
                <w:b/>
                <w:sz w:val="24"/>
                <w:szCs w:val="28"/>
                <w:highlight w:val="none"/>
              </w:rPr>
              <w:t xml:space="preserve">8分</w:t>
            </w:r>
            <w:r>
              <w:rPr>
                <w:rFonts w:hint="eastAsia" w:ascii="宋体" w:hAnsi="宋体" w:cs="宋体"/>
                <w:bCs/>
                <w:sz w:val="24"/>
                <w:szCs w:val="28"/>
                <w:highlight w:val="none"/>
              </w:rPr>
              <w:t xml:space="preserve">）：</w:t>
            </w:r>
            <w:r/>
          </w:p>
          <w:p>
            <w:pPr>
              <w:ind w:firstLine="480"/>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根据投标人拟为本项目配备的项目实施人员（包含项目负责人）情况进行加分：具备人社部门备案的建筑信息模型职业技能等级证书：高级及以上证书的，</w:t>
            </w:r>
            <w:r>
              <w:rPr>
                <w:rFonts w:hint="eastAsia" w:ascii="宋体" w:hAnsi="宋体"/>
                <w:bCs/>
                <w:sz w:val="24"/>
                <w:highlight w:val="none"/>
              </w:rPr>
              <w:t xml:space="preserve">每人</w:t>
            </w:r>
            <w:r>
              <w:rPr>
                <w:rFonts w:hint="eastAsia" w:ascii="宋体" w:hAnsi="宋体" w:cs="宋体"/>
                <w:bCs/>
                <w:sz w:val="24"/>
                <w:szCs w:val="28"/>
                <w:highlight w:val="none"/>
              </w:rPr>
              <w:t xml:space="preserve">得2分；中级及以下证书的，</w:t>
            </w:r>
            <w:r>
              <w:rPr>
                <w:rFonts w:hint="eastAsia" w:ascii="宋体" w:hAnsi="宋体"/>
                <w:bCs/>
                <w:sz w:val="24"/>
                <w:highlight w:val="none"/>
              </w:rPr>
              <w:t xml:space="preserve">每人</w:t>
            </w:r>
            <w:r>
              <w:rPr>
                <w:rFonts w:hint="eastAsia" w:ascii="宋体" w:hAnsi="宋体" w:cs="宋体"/>
                <w:bCs/>
                <w:sz w:val="24"/>
                <w:szCs w:val="28"/>
                <w:highlight w:val="none"/>
              </w:rPr>
              <w:t xml:space="preserve">得1分；同一人证书以较高级别计分，不兼得；本项</w:t>
            </w:r>
            <w:r>
              <w:rPr>
                <w:rFonts w:hint="eastAsia" w:ascii="宋体" w:hAnsi="宋体"/>
                <w:bCs/>
                <w:sz w:val="24"/>
                <w:highlight w:val="none"/>
              </w:rPr>
              <w:t xml:space="preserve">最高得</w:t>
            </w:r>
            <w:r>
              <w:rPr>
                <w:rFonts w:hint="eastAsia" w:ascii="宋体" w:hAnsi="宋体" w:cs="宋体"/>
                <w:bCs/>
                <w:sz w:val="24"/>
                <w:szCs w:val="28"/>
                <w:highlight w:val="none"/>
              </w:rPr>
              <w:t xml:space="preserve">8分。</w:t>
            </w:r>
            <w:r/>
          </w:p>
          <w:p>
            <w:pPr>
              <w:ind w:firstLine="480"/>
              <w:jc w:val="left"/>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投标文件中须提供证书原件扫描件及</w:t>
            </w:r>
            <w:r>
              <w:rPr>
                <w:rFonts w:hint="eastAsia" w:ascii="宋体" w:hAnsi="宋体"/>
                <w:bCs/>
                <w:sz w:val="24"/>
                <w:highlight w:val="none"/>
              </w:rPr>
              <w:t xml:space="preserve">投标人近6个月（不含开标当月）任意一个月为其缴纳社保证明材料有效</w:t>
            </w:r>
            <w:r>
              <w:rPr>
                <w:rFonts w:hint="eastAsia" w:ascii="宋体" w:hAnsi="宋体" w:cs="宋体"/>
                <w:bCs/>
                <w:sz w:val="24"/>
                <w:szCs w:val="28"/>
                <w:highlight w:val="none"/>
              </w:rPr>
              <w:t xml:space="preserve">。</w:t>
            </w:r>
            <w:r/>
          </w:p>
          <w:p>
            <w:pPr>
              <w:spacing w:line="320" w:lineRule="exact"/>
              <w:rPr>
                <w:rFonts w:hint="eastAsia" w:ascii="宋体" w:hAnsi="宋体"/>
                <w:bCs/>
                <w:sz w:val="24"/>
                <w:highlight w:val="none"/>
              </w:rPr>
            </w:pPr>
            <w:r>
              <w:rPr>
                <w:rFonts w:hint="eastAsia" w:ascii="宋体" w:hAnsi="宋体" w:cs="宋体"/>
                <w:bCs/>
                <w:sz w:val="24"/>
                <w:szCs w:val="28"/>
                <w:highlight w:val="none"/>
              </w:rPr>
              <w:t xml:space="preserve">4、项目</w:t>
            </w:r>
            <w:r>
              <w:rPr>
                <w:rFonts w:hint="eastAsia" w:ascii="宋体" w:hAnsi="宋体"/>
                <w:bCs/>
                <w:sz w:val="24"/>
                <w:highlight w:val="none"/>
              </w:rPr>
              <w:t xml:space="preserve">实施方案（</w:t>
            </w:r>
            <w:r>
              <w:rPr>
                <w:rFonts w:hint="eastAsia" w:ascii="宋体" w:hAnsi="宋体"/>
                <w:b/>
                <w:sz w:val="24"/>
                <w:highlight w:val="none"/>
              </w:rPr>
              <w:t xml:space="preserve">8分</w:t>
            </w:r>
            <w:r>
              <w:rPr>
                <w:rFonts w:hint="eastAsia" w:ascii="宋体" w:hAnsi="宋体"/>
                <w:bCs/>
                <w:sz w:val="24"/>
                <w:highlight w:val="none"/>
              </w:rPr>
              <w:t xml:space="preserve">）：</w:t>
            </w:r>
            <w:r/>
          </w:p>
          <w:p>
            <w:pPr>
              <w:ind w:firstLine="240"/>
              <w:spacing w:line="320" w:lineRule="exact"/>
              <w:rPr>
                <w:rFonts w:hint="eastAsia" w:ascii="宋体" w:hAnsi="宋体"/>
                <w:bCs/>
                <w:sz w:val="24"/>
                <w:highlight w:val="none"/>
              </w:rPr>
            </w:pPr>
            <w:r>
              <w:rPr>
                <w:rFonts w:hint="eastAsia" w:ascii="宋体" w:hAnsi="宋体"/>
                <w:bCs/>
                <w:sz w:val="24"/>
                <w:highlight w:val="none"/>
              </w:rPr>
              <w:t xml:space="preserve">对投标人提供的针对本项目的整体设想和组织方案进行评价，包括但不限于</w:t>
            </w:r>
            <w:r>
              <w:rPr>
                <w:rFonts w:hint="eastAsia"/>
                <w:bCs/>
                <w:sz w:val="24"/>
                <w:highlight w:val="none"/>
              </w:rPr>
              <w:t xml:space="preserve">方案内容包括但不限于：①项目整体技术架构、②运维保障、③研发周期及进度安排、④质量保证、⑤安全保证</w:t>
            </w:r>
            <w:r>
              <w:rPr>
                <w:rFonts w:hint="eastAsia" w:ascii="宋体" w:hAnsi="宋体"/>
                <w:bCs/>
                <w:sz w:val="24"/>
                <w:highlight w:val="none"/>
              </w:rPr>
              <w:t xml:space="preserve">。</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内容完整性（3分）内容完整得3分；内容有少量缺失得2分；内容严重缺失得1分。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合理性（2分）：完全合理切实可行得2分；部分合理可行得1分；不合理得0分。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可操作性（3分）：操作性强得3分；操作性较强得2分；操作性一般得1分；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不提供不得分。</w:t>
            </w:r>
            <w:r/>
          </w:p>
          <w:p>
            <w:pPr>
              <w:spacing w:line="320" w:lineRule="exact"/>
              <w:rPr>
                <w:rFonts w:hint="eastAsia" w:ascii="宋体" w:hAnsi="宋体"/>
                <w:bCs/>
                <w:sz w:val="24"/>
                <w:highlight w:val="none"/>
              </w:rPr>
            </w:pPr>
            <w:r>
              <w:rPr>
                <w:rFonts w:hint="eastAsia" w:ascii="宋体" w:hAnsi="宋体" w:cs="宋体"/>
                <w:bCs/>
                <w:sz w:val="24"/>
                <w:szCs w:val="28"/>
                <w:highlight w:val="none"/>
              </w:rPr>
              <w:t xml:space="preserve">5、</w:t>
            </w:r>
            <w:r>
              <w:rPr>
                <w:rFonts w:hint="eastAsia" w:ascii="宋体" w:hAnsi="宋体"/>
                <w:bCs/>
                <w:sz w:val="24"/>
                <w:highlight w:val="none"/>
              </w:rPr>
              <w:t xml:space="preserve">售后服务方案（</w:t>
            </w:r>
            <w:r>
              <w:rPr>
                <w:rFonts w:hint="eastAsia" w:ascii="宋体" w:hAnsi="宋体"/>
                <w:b/>
                <w:sz w:val="24"/>
                <w:highlight w:val="none"/>
              </w:rPr>
              <w:t xml:space="preserve">8分</w:t>
            </w:r>
            <w:r>
              <w:rPr>
                <w:rFonts w:hint="eastAsia" w:ascii="宋体" w:hAnsi="宋体"/>
                <w:bCs/>
                <w:sz w:val="24"/>
                <w:highlight w:val="none"/>
              </w:rPr>
              <w:t xml:space="preserve">）：</w:t>
            </w:r>
            <w:r/>
          </w:p>
          <w:p>
            <w:pPr>
              <w:ind w:firstLine="240"/>
              <w:spacing w:line="320" w:lineRule="exact"/>
              <w:rPr>
                <w:bCs/>
                <w:sz w:val="24"/>
                <w:highlight w:val="none"/>
              </w:rPr>
            </w:pPr>
            <w:r>
              <w:rPr>
                <w:rFonts w:hint="eastAsia"/>
                <w:bCs/>
                <w:sz w:val="24"/>
                <w:highlight w:val="none"/>
              </w:rPr>
              <w:t xml:space="preserve">根据投标人提供的售后服务方案进行综合评审，方案内容包括但不限于：①售后服务范围、②培训方案③应急方案、④故障处理措施、⑤服务期满后服务优惠政策等。</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内容完整性（3分）内容完整得3分；内容有少量缺失得2分；内容严重缺失得1分。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合理性（2分）：完全合理切实可行得2分；部分合理可行得1分；不合理得0分。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可操作性（3分）：操作性强得3分；操作性较强得2分；操作性一般得1分；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不提供不得分。</w:t>
            </w:r>
            <w:r/>
          </w:p>
          <w:p>
            <w:pPr>
              <w:spacing w:line="320" w:lineRule="exact"/>
              <w:rPr>
                <w:rFonts w:hint="eastAsia" w:ascii="宋体" w:hAnsi="宋体"/>
                <w:bCs/>
                <w:sz w:val="24"/>
                <w:highlight w:val="none"/>
              </w:rPr>
            </w:pPr>
            <w:r>
              <w:rPr>
                <w:rFonts w:hint="eastAsia" w:ascii="宋体" w:hAnsi="宋体" w:cs="宋体"/>
                <w:bCs/>
                <w:sz w:val="24"/>
                <w:szCs w:val="28"/>
                <w:highlight w:val="none"/>
              </w:rPr>
              <w:t xml:space="preserve">6、</w:t>
            </w:r>
            <w:r>
              <w:rPr>
                <w:rFonts w:hint="eastAsia" w:ascii="宋体" w:hAnsi="宋体"/>
                <w:bCs/>
                <w:sz w:val="24"/>
                <w:highlight w:val="none"/>
              </w:rPr>
              <w:t xml:space="preserve">应急解决方案（</w:t>
            </w:r>
            <w:r>
              <w:rPr>
                <w:rFonts w:hint="eastAsia" w:ascii="宋体" w:hAnsi="宋体"/>
                <w:b/>
                <w:sz w:val="24"/>
                <w:highlight w:val="none"/>
              </w:rPr>
              <w:t xml:space="preserve">4分</w:t>
            </w:r>
            <w:r>
              <w:rPr>
                <w:rFonts w:hint="eastAsia" w:ascii="宋体" w:hAnsi="宋体"/>
                <w:bCs/>
                <w:sz w:val="24"/>
                <w:highlight w:val="none"/>
              </w:rPr>
              <w:t xml:space="preserve">）：</w:t>
            </w:r>
            <w:r/>
          </w:p>
          <w:p>
            <w:pPr>
              <w:jc w:val="left"/>
              <w:spacing w:line="320" w:lineRule="exact"/>
              <w:rPr>
                <w:rFonts w:hint="eastAsia" w:ascii="宋体" w:hAnsi="宋体"/>
                <w:bCs/>
                <w:sz w:val="24"/>
                <w:szCs w:val="28"/>
                <w:highlight w:val="none"/>
              </w:rPr>
            </w:pPr>
            <w:r>
              <w:rPr>
                <w:rFonts w:hint="eastAsia" w:ascii="宋体" w:hAnsi="宋体"/>
                <w:bCs/>
                <w:sz w:val="24"/>
                <w:szCs w:val="28"/>
                <w:highlight w:val="none"/>
              </w:rPr>
              <w:t xml:space="preserve">对方案内容的合理性、可操作性进行评价：</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合理性（2分）：完全合理切实可行得2分；部分合理可行得1分；不合理得0分。</w:t>
            </w:r>
            <w:r/>
          </w:p>
          <w:p>
            <w:pPr>
              <w:rPr>
                <w:rFonts w:hint="eastAsia" w:ascii="宋体" w:hAnsi="宋体" w:cs="宋体"/>
                <w:bCs/>
                <w:sz w:val="24"/>
                <w:szCs w:val="28"/>
                <w:highlight w:val="none"/>
              </w:rPr>
            </w:pPr>
            <w:r>
              <w:rPr>
                <w:rFonts w:hint="eastAsia" w:ascii="宋体" w:hAnsi="宋体" w:cs="宋体"/>
                <w:bCs/>
                <w:sz w:val="24"/>
                <w:szCs w:val="28"/>
                <w:highlight w:val="none"/>
              </w:rPr>
              <w:t xml:space="preserve">可操作性（2分）：完全可操作得2分；部分可操作得1分；不具备操作性得0分。</w:t>
            </w:r>
            <w:r/>
          </w:p>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不提供不得分。</w:t>
            </w:r>
            <w:r/>
          </w:p>
        </w:tc>
      </w:tr>
      <w:tr>
        <w:trPr>
          <w:trHeight w:val="1124"/>
        </w:trPr>
        <w:tc>
          <w:tcPr>
            <w:tcW w:w="725" w:type="dxa"/>
            <w:vAlign w:val="center"/>
            <w:textDirection w:val="lrTb"/>
            <w:noWrap w:val="false"/>
          </w:tcPr>
          <w:p>
            <w:pPr>
              <w:rPr>
                <w:rFonts w:hint="eastAsia" w:ascii="宋体" w:hAnsi="宋体"/>
                <w:bCs/>
                <w:sz w:val="24"/>
                <w:szCs w:val="28"/>
                <w:highlight w:val="none"/>
              </w:rPr>
            </w:pPr>
            <w:r>
              <w:rPr>
                <w:rFonts w:hint="eastAsia" w:ascii="宋体" w:hAnsi="宋体"/>
                <w:bCs/>
                <w:sz w:val="24"/>
                <w:szCs w:val="28"/>
                <w:highlight w:val="none"/>
              </w:rPr>
              <w:t xml:space="preserve">商务因素</w:t>
            </w:r>
            <w:r/>
          </w:p>
        </w:tc>
        <w:tc>
          <w:tcPr>
            <w:tcW w:w="675" w:type="dxa"/>
            <w:vAlign w:val="center"/>
            <w:textDirection w:val="lrTb"/>
            <w:noWrap w:val="false"/>
          </w:tcPr>
          <w:p>
            <w:pPr>
              <w:jc w:val="center"/>
              <w:spacing w:line="360" w:lineRule="auto"/>
              <w:rPr>
                <w:rFonts w:hint="eastAsia" w:ascii="宋体" w:hAnsi="宋体"/>
                <w:bCs/>
                <w:sz w:val="24"/>
                <w:szCs w:val="28"/>
                <w:highlight w:val="none"/>
              </w:rPr>
            </w:pPr>
            <w:r>
              <w:rPr>
                <w:rFonts w:hint="eastAsia" w:ascii="宋体" w:hAnsi="宋体"/>
                <w:bCs/>
                <w:sz w:val="24"/>
                <w:szCs w:val="28"/>
                <w:highlight w:val="none"/>
              </w:rPr>
              <w:t xml:space="preserve">15%</w:t>
            </w:r>
            <w:r/>
          </w:p>
        </w:tc>
        <w:tc>
          <w:tcPr>
            <w:tcW w:w="7650" w:type="dxa"/>
            <w:vAlign w:val="center"/>
            <w:textDirection w:val="lrTb"/>
            <w:noWrap w:val="false"/>
          </w:tcPr>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7、免费质保期4分：根据投标人承诺的在该项目整体质保期（3年）的基础上，每延长1年得2分，最多得4分，延长不足1年不加分。</w:t>
            </w:r>
            <w:r/>
          </w:p>
          <w:p>
            <w:pPr>
              <w:spacing w:line="320" w:lineRule="exact"/>
              <w:rPr>
                <w:rFonts w:hint="eastAsia" w:ascii="宋体" w:hAnsi="宋体" w:cs="宋体"/>
                <w:bCs/>
                <w:sz w:val="24"/>
                <w:szCs w:val="28"/>
                <w:highlight w:val="none"/>
              </w:rPr>
            </w:pPr>
            <w:r>
              <w:rPr>
                <w:rFonts w:hint="eastAsia" w:ascii="宋体" w:hAnsi="宋体" w:cs="宋体"/>
                <w:bCs/>
                <w:sz w:val="24"/>
                <w:szCs w:val="28"/>
                <w:highlight w:val="none"/>
              </w:rPr>
              <w:t xml:space="preserve">8、业绩评价4分。提供投标人为乙方（卖方），合同签订日期在2021年1月1日以后类似项目相关业绩，每提供一个得2分，最高得4分。（提供合同原件复印件有效，且合同必须明确体现主要内容、签订日期等关键信息，合同关键信息不完整的不得分。）</w:t>
            </w:r>
            <w:r/>
          </w:p>
          <w:p>
            <w:pPr>
              <w:spacing w:line="320" w:lineRule="exact"/>
              <w:rPr>
                <w:bCs/>
                <w:sz w:val="24"/>
                <w:szCs w:val="28"/>
                <w:highlight w:val="none"/>
              </w:rPr>
            </w:pPr>
            <w:r>
              <w:rPr>
                <w:rFonts w:hint="eastAsia"/>
                <w:bCs/>
                <w:sz w:val="24"/>
                <w:szCs w:val="28"/>
                <w:highlight w:val="none"/>
              </w:rPr>
              <w:t xml:space="preserve">9</w:t>
            </w:r>
            <w:r>
              <w:rPr>
                <w:bCs/>
                <w:sz w:val="24"/>
                <w:szCs w:val="28"/>
                <w:highlight w:val="none"/>
              </w:rPr>
              <w:t xml:space="preserve">、</w:t>
            </w:r>
            <w:r>
              <w:rPr>
                <w:rFonts w:hint="eastAsia"/>
                <w:bCs/>
                <w:sz w:val="24"/>
                <w:szCs w:val="28"/>
                <w:highlight w:val="none"/>
              </w:rPr>
              <w:t xml:space="preserve">投标人履约能力及管理水平（7分）</w:t>
            </w:r>
            <w:r/>
          </w:p>
          <w:p>
            <w:pPr>
              <w:spacing w:line="320" w:lineRule="exact"/>
              <w:rPr>
                <w:rFonts w:hint="eastAsia" w:ascii="宋体" w:hAnsi="宋体"/>
                <w:bCs/>
                <w:sz w:val="24"/>
                <w:highlight w:val="none"/>
              </w:rPr>
            </w:pPr>
            <w:r>
              <w:rPr>
                <w:rFonts w:hint="eastAsia" w:ascii="宋体" w:hAnsi="宋体"/>
                <w:bCs/>
                <w:sz w:val="24"/>
                <w:highlight w:val="none"/>
              </w:rPr>
              <w:t xml:space="preserve">（1）根据投标人取得的有效期内的“质量管理体系认证”、“环境管理体系认证”、“职业健康与安全管理体系认证”证书进行评价，提供证书复印件及全国认证认可信息公共服务平台（http://cx.cnca.cn/CertECloud/index/index/page）查询证书有效截图有效。每项得1分，最高得3分。</w:t>
            </w:r>
            <w:r/>
          </w:p>
          <w:p>
            <w:pPr>
              <w:spacing w:line="320" w:lineRule="exact"/>
              <w:rPr>
                <w:rFonts w:hint="eastAsia" w:ascii="宋体" w:hAnsi="宋体"/>
                <w:bCs/>
                <w:sz w:val="24"/>
                <w:highlight w:val="none"/>
              </w:rPr>
            </w:pPr>
            <w:r>
              <w:rPr>
                <w:rFonts w:hint="eastAsia" w:ascii="宋体" w:hAnsi="宋体"/>
                <w:bCs/>
                <w:sz w:val="24"/>
                <w:highlight w:val="none"/>
              </w:rPr>
              <w:t xml:space="preserve">（2）投标人为最新版本（2021版）《建筑信息模型技术员国家职业技能标准》参与起草单位的加2分。提供政府官网公告截图并加盖公章有效。</w:t>
            </w:r>
            <w:r/>
          </w:p>
          <w:p>
            <w:pPr>
              <w:spacing w:line="320" w:lineRule="exact"/>
              <w:rPr>
                <w:rFonts w:hint="eastAsia" w:ascii="宋体" w:hAnsi="宋体"/>
                <w:bCs/>
                <w:sz w:val="24"/>
                <w:highlight w:val="none"/>
              </w:rPr>
            </w:pPr>
            <w:r>
              <w:rPr>
                <w:rFonts w:hint="eastAsia" w:ascii="宋体" w:hAnsi="宋体"/>
                <w:bCs/>
                <w:sz w:val="24"/>
                <w:highlight w:val="none"/>
              </w:rPr>
              <w:t xml:space="preserve">（3）投标人为认定并备案的“智能建造技术服务试点单位”得2分，</w:t>
            </w:r>
            <w:r/>
          </w:p>
          <w:p>
            <w:pPr>
              <w:spacing w:line="320" w:lineRule="exact"/>
              <w:rPr>
                <w:rFonts w:hint="eastAsia" w:ascii="宋体" w:hAnsi="宋体" w:cs="宋体"/>
                <w:bCs/>
                <w:sz w:val="24"/>
                <w:szCs w:val="28"/>
                <w:highlight w:val="none"/>
              </w:rPr>
            </w:pPr>
            <w:r>
              <w:rPr>
                <w:rFonts w:hint="eastAsia" w:ascii="宋体" w:hAnsi="宋体"/>
                <w:bCs/>
                <w:sz w:val="24"/>
                <w:highlight w:val="none"/>
              </w:rPr>
              <w:t xml:space="preserve">提供政府官网公告截图并加盖公章有效。</w:t>
            </w:r>
            <w:bookmarkEnd w:id="2"/>
            <w:r/>
            <w:r/>
          </w:p>
        </w:tc>
      </w:tr>
    </w:tbl>
    <w:p>
      <w:pPr>
        <w:rPr>
          <w:sz w:val="24"/>
          <w:highlight w:val="none"/>
        </w:rPr>
      </w:pPr>
      <w:r>
        <w:rPr>
          <w:sz w:val="24"/>
          <w:highlight w:val="none"/>
        </w:rPr>
      </w:r>
      <w:r/>
    </w:p>
    <w:p>
      <w:pPr>
        <w:rPr>
          <w:sz w:val="24"/>
          <w:highlight w:val="none"/>
        </w:rPr>
      </w:pPr>
      <w:r>
        <w:rPr>
          <w:sz w:val="24"/>
          <w:highlight w:val="none"/>
        </w:rPr>
      </w:r>
      <w:r/>
    </w:p>
    <w:p>
      <w:pPr>
        <w:pStyle w:val="811"/>
        <w:widowControl/>
        <w:rPr>
          <w:rFonts w:hint="eastAsia" w:ascii="宋体" w:hAnsi="宋体"/>
          <w:b/>
          <w:bCs/>
          <w:sz w:val="24"/>
          <w:highlight w:val="none"/>
        </w:rPr>
      </w:pPr>
      <w:r>
        <w:rPr>
          <w:rFonts w:ascii="宋体" w:hAnsi="宋体"/>
          <w:b/>
          <w:bCs/>
          <w:sz w:val="24"/>
          <w:highlight w:val="none"/>
        </w:rPr>
        <w:t xml:space="preserve">注：本项目采用综合评分法，评标结果精确到小数点后两位。</w:t>
      </w:r>
      <w:r/>
    </w:p>
    <w:p>
      <w:pPr>
        <w:jc w:val="center"/>
        <w:pageBreakBefore/>
        <w:rPr>
          <w:rFonts w:hint="eastAsia"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（以采购人与成交供应商最终签订版本为准）</w:t>
      </w:r>
      <w:r/>
    </w:p>
    <w:p>
      <w:pPr>
        <w:pStyle w:val="865"/>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p>
    <w:p>
      <w:pPr>
        <w:jc w:val="cente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p>
    <w:p>
      <w:pPr>
        <w:spacing w:before="210" w:after="12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p>
    <w:p>
      <w:pPr>
        <w:ind w:firstLine="562"/>
        <w:spacing w:line="360" w:lineRule="atLeast"/>
        <w:rPr>
          <w:rFonts w:hint="eastAsia"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p>
    <w:p>
      <w:pPr>
        <w:ind w:firstLine="562"/>
        <w:spacing w:line="360" w:lineRule="atLeast"/>
        <w:rPr>
          <w:rFonts w:hint="eastAsia"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p>
    <w:p>
      <w:pPr>
        <w:jc w:val="center"/>
        <w:rPr>
          <w:rFonts w:ascii="黑体" w:eastAsia="黑体"/>
          <w:b/>
          <w:sz w:val="72"/>
          <w:szCs w:val="72"/>
          <w:highlight w:val="none"/>
        </w:rPr>
      </w:pPr>
      <w:r>
        <w:rPr>
          <w:rFonts w:ascii="黑体" w:eastAsia="黑体"/>
          <w:b/>
          <w:sz w:val="72"/>
          <w:szCs w:val="72"/>
          <w:highlight w:val="none"/>
        </w:rPr>
      </w:r>
      <w:r/>
    </w:p>
    <w:p>
      <w:pPr>
        <w:jc w:val="center"/>
        <w:rPr>
          <w:rFonts w:ascii="黑体" w:eastAsia="黑体"/>
          <w:b/>
          <w:sz w:val="72"/>
          <w:szCs w:val="72"/>
          <w:highlight w:val="none"/>
        </w:rPr>
      </w:pPr>
      <w:r>
        <w:rPr>
          <w:rFonts w:ascii="黑体" w:eastAsia="黑体"/>
          <w:b/>
          <w:sz w:val="72"/>
          <w:szCs w:val="72"/>
          <w:highlight w:val="none"/>
        </w:rPr>
      </w:r>
      <w:r/>
    </w:p>
    <w:p>
      <w:pPr>
        <w:ind w:firstLine="480"/>
        <w:jc w:val="center"/>
        <w:spacing w:after="150"/>
        <w:shd w:val="clear" w:color="auto" w:fill="ffffff"/>
        <w:widowControl/>
        <w:rPr>
          <w:rFonts w:ascii="Source Sans Pro" w:hAnsi="Source Sans Pro" w:cs="宋体"/>
          <w:szCs w:val="21"/>
          <w:highlight w:val="none"/>
        </w:rPr>
      </w:pPr>
      <w:r>
        <w:rPr>
          <w:rFonts w:ascii="Source Sans Pro" w:hAnsi="Source Sans Pro" w:cs="宋体"/>
          <w:b/>
          <w:bCs/>
          <w:sz w:val="72"/>
          <w:szCs w:val="72"/>
          <w:highlight w:val="none"/>
        </w:rPr>
        <w:t xml:space="preserve">徐州工程学院</w:t>
      </w:r>
      <w:r/>
    </w:p>
    <w:p>
      <w:pPr>
        <w:ind w:firstLine="480"/>
        <w:jc w:val="center"/>
        <w:spacing w:after="150"/>
        <w:shd w:val="clear" w:color="auto" w:fill="ffffff"/>
        <w:widowControl/>
        <w:rPr>
          <w:rFonts w:ascii="Source Sans Pro" w:hAnsi="Source Sans Pro" w:cs="宋体"/>
          <w:szCs w:val="21"/>
          <w:highlight w:val="none"/>
        </w:rPr>
      </w:pPr>
      <w:r>
        <w:rPr>
          <w:rFonts w:ascii="Source Sans Pro" w:hAnsi="Source Sans Pro" w:cs="宋体"/>
          <w:b/>
          <w:bCs/>
          <w:sz w:val="72"/>
          <w:szCs w:val="72"/>
          <w:highlight w:val="none"/>
        </w:rPr>
        <w:t xml:space="preserve">合同</w:t>
      </w:r>
      <w:r/>
    </w:p>
    <w:p>
      <w:pPr>
        <w:ind w:firstLine="480"/>
        <w:jc w:val="center"/>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rPr>
        <w:t xml:space="preserve"> </w:t>
      </w:r>
      <w:r/>
    </w:p>
    <w:p>
      <w:pPr>
        <w:ind w:firstLine="480"/>
        <w:jc w:val="left"/>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合同名称：</w:t>
      </w:r>
      <w:r>
        <w:rPr>
          <w:rFonts w:ascii="Cambria" w:hAnsi="Cambria" w:cs="Cambria"/>
          <w:b/>
          <w:bCs/>
          <w:sz w:val="32"/>
          <w:szCs w:val="32"/>
          <w:highlight w:val="none"/>
          <w:u w:val="singl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合同种类：</w:t>
      </w:r>
      <w:r>
        <w:rPr>
          <w:rFonts w:ascii="Cambria" w:hAnsi="Cambria" w:cs="Cambria"/>
          <w:b/>
          <w:bCs/>
          <w:sz w:val="32"/>
          <w:szCs w:val="32"/>
          <w:highlight w:val="none"/>
          <w:u w:val="singl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合同性质：</w:t>
      </w:r>
      <w:r>
        <w:rPr>
          <w:rFonts w:ascii="Cambria" w:hAnsi="Cambria" w:cs="Cambria"/>
          <w:b/>
          <w:bCs/>
          <w:sz w:val="32"/>
          <w:szCs w:val="32"/>
          <w:highlight w:val="none"/>
          <w:u w:val="singl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合同编号：</w:t>
      </w:r>
      <w:r>
        <w:rPr>
          <w:rFonts w:ascii="Cambria" w:hAnsi="Cambria" w:cs="Cambria"/>
          <w:b/>
          <w:bCs/>
          <w:sz w:val="32"/>
          <w:szCs w:val="32"/>
          <w:highlight w:val="none"/>
          <w:u w:val="singl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采购模式：</w:t>
      </w:r>
      <w:r>
        <w:rPr>
          <w:rFonts w:ascii="Cambria" w:hAnsi="Cambria" w:cs="Cambria"/>
          <w:b/>
          <w:bCs/>
          <w:sz w:val="32"/>
          <w:szCs w:val="32"/>
          <w:highlight w:val="none"/>
          <w:u w:val="singl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采购方式：</w:t>
      </w:r>
      <w:r>
        <w:rPr>
          <w:rFonts w:ascii="Cambria" w:hAnsi="Cambria" w:cs="Cambria"/>
          <w:b/>
          <w:bCs/>
          <w:sz w:val="32"/>
          <w:szCs w:val="32"/>
          <w:highlight w:val="none"/>
          <w:u w:val="single"/>
        </w:rPr>
        <w:t xml:space="preserve">          </w:t>
      </w:r>
      <w:r/>
    </w:p>
    <w:p>
      <w:pPr>
        <w:ind w:left="2636" w:firstLine="480"/>
        <w:jc w:val="left"/>
        <w:spacing w:after="150"/>
        <w:shd w:val="clear" w:color="auto" w:fill="ffffff"/>
        <w:widowControl/>
        <w:rPr>
          <w:rFonts w:ascii="Source Sans Pro" w:hAnsi="Source Sans Pro" w:cs="宋体"/>
          <w:szCs w:val="21"/>
          <w:highlight w:val="none"/>
        </w:rPr>
      </w:pPr>
      <w:r>
        <w:rPr>
          <w:rFonts w:ascii="Source Sans Pro" w:hAnsi="Source Sans Pro" w:cs="宋体"/>
          <w:b/>
          <w:bCs/>
          <w:sz w:val="32"/>
          <w:szCs w:val="32"/>
          <w:highlight w:val="none"/>
        </w:rPr>
        <w:t xml:space="preserve">采购编号：</w:t>
      </w:r>
      <w:r>
        <w:rPr>
          <w:rFonts w:ascii="Cambria" w:hAnsi="Cambria" w:cs="Cambria"/>
          <w:b/>
          <w:bCs/>
          <w:sz w:val="32"/>
          <w:szCs w:val="32"/>
          <w:highlight w:val="none"/>
          <w:u w:val="single"/>
        </w:rPr>
        <w:t xml:space="preserve">          </w:t>
      </w:r>
      <w:r/>
    </w:p>
    <w:p>
      <w:pPr>
        <w:ind w:firstLine="480"/>
        <w:jc w:val="left"/>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rPr>
        <w:t xml:space="preserve">      </w:t>
      </w:r>
      <w:r/>
    </w:p>
    <w:p>
      <w:pPr>
        <w:ind w:firstLine="480"/>
        <w:jc w:val="center"/>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rPr>
        <w:t xml:space="preserve"> </w:t>
      </w:r>
      <w:r/>
    </w:p>
    <w:p>
      <w:pPr>
        <w:ind w:firstLine="480"/>
        <w:jc w:val="center"/>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rPr>
        <w:t xml:space="preserve"> </w:t>
      </w:r>
      <w:r/>
    </w:p>
    <w:p>
      <w:pPr>
        <w:ind w:firstLine="480"/>
        <w:jc w:val="center"/>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rPr>
        <w:t xml:space="preserve"> </w:t>
      </w:r>
      <w:r/>
    </w:p>
    <w:p>
      <w:pPr>
        <w:ind w:firstLine="480"/>
        <w:jc w:val="center"/>
        <w:spacing w:after="150"/>
        <w:shd w:val="clear" w:color="auto" w:fill="ffffff"/>
        <w:widowControl/>
        <w:rPr>
          <w:rFonts w:ascii="Source Sans Pro" w:hAnsi="Source Sans Pro" w:cs="宋体"/>
          <w:szCs w:val="21"/>
          <w:highlight w:val="none"/>
        </w:rPr>
      </w:pPr>
      <w:r>
        <w:rPr>
          <w:rFonts w:ascii="Cambria" w:hAnsi="Cambria" w:cs="Cambria"/>
          <w:b/>
          <w:bCs/>
          <w:sz w:val="32"/>
          <w:szCs w:val="32"/>
          <w:highlight w:val="none"/>
          <w:u w:val="single"/>
        </w:rPr>
        <w:t xml:space="preserve">          </w:t>
      </w:r>
      <w:r>
        <w:rPr>
          <w:rFonts w:ascii="Source Sans Pro" w:hAnsi="Source Sans Pro" w:cs="宋体"/>
          <w:b/>
          <w:bCs/>
          <w:sz w:val="32"/>
          <w:szCs w:val="32"/>
          <w:highlight w:val="none"/>
        </w:rPr>
        <w:t xml:space="preserve">年</w:t>
      </w:r>
      <w:r/>
    </w:p>
    <w:p>
      <w:pPr>
        <w:ind w:firstLine="480"/>
        <w:jc w:val="center"/>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ind w:firstLine="480"/>
        <w:jc w:val="center"/>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ind w:firstLine="480"/>
        <w:jc w:val="center"/>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ind w:firstLine="480"/>
        <w:jc w:val="center"/>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jc w:val="both"/>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ind w:firstLine="480"/>
        <w:jc w:val="center"/>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ind w:firstLine="480"/>
        <w:jc w:val="center"/>
        <w:spacing w:after="150"/>
        <w:shd w:val="clear" w:color="auto" w:fill="ffffff"/>
        <w:widowControl/>
        <w:rPr>
          <w:rFonts w:ascii="Source Sans Pro" w:hAnsi="Source Sans Pro" w:cs="宋体"/>
          <w:szCs w:val="21"/>
          <w:highlight w:val="none"/>
        </w:rPr>
      </w:pPr>
      <w:r>
        <w:rPr>
          <w:rFonts w:ascii="Source Sans Pro" w:hAnsi="Source Sans Pro" w:cs="宋体"/>
          <w:b/>
          <w:bCs/>
          <w:sz w:val="24"/>
          <w:highlight w:val="none"/>
        </w:rPr>
        <w:t xml:space="preserve">说</w:t>
      </w:r>
      <w:r>
        <w:rPr>
          <w:rFonts w:ascii="Cambria" w:hAnsi="Cambria" w:cs="Cambria"/>
          <w:b/>
          <w:bCs/>
          <w:sz w:val="24"/>
          <w:highlight w:val="none"/>
        </w:rPr>
        <w:t xml:space="preserve"> </w:t>
      </w:r>
      <w:r>
        <w:rPr>
          <w:rFonts w:ascii="Source Sans Pro" w:hAnsi="Source Sans Pro" w:cs="宋体"/>
          <w:b/>
          <w:bCs/>
          <w:sz w:val="24"/>
          <w:highlight w:val="none"/>
        </w:rPr>
        <w:t xml:space="preserve"> 明</w:t>
      </w:r>
      <w:r>
        <w:rPr>
          <w:rFonts w:ascii="font-size:16px;text-indent:2em;" w:hAnsi="font-size:16px;text-indent:2em;" w:cs="宋体"/>
          <w:szCs w:val="21"/>
          <w:highlight w:val="none"/>
        </w:rPr>
        <w:t xml:space="preserve"> </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为了服务学校合同的签约行为，维护合同当事人的合法权益，依据《中华人民共和国民法典》等相关法律法规，徐州工程学院合同管理办公室制定了《徐州工程学院合同（示范文本）》（简称《示范文本》）。为了便于合同当事人使用《示范文本》，现就有关问题说明如下：</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一、《示范文本》的组成</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《示范文本》由合同协议书、通用合同条款和专用合同条款三部分组成。</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（一）合同协议书</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《示范文本》合同协议书集中约定了合同当事人基本的合同权利义务。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（二）通用合同条款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《示范文本》通用合同条款是合同当事人根据相关法律法规的规定，就项目的实施及相关事项，对合同当事人的权利义务作出的原则性约定。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（三）专用合同条款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示范文本》专用合同条款是对通用合同条款原则性约定的细化、完善、补充、修改或另行约定的条款。合同当事人可以根据不同项目内容的特点及具体情况，通过双方的谈判、协商对相应的专用合同条款进行修改补充。在使用专用合同条款时，应注意以下事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1.专用合同条款的编号应与相应的通用合同条款的编号一致；</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2.合同当事人可以通过对专用合同条款的修改，满足具体项目的特殊要求，避免直接修改通用合同条款；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3.在专用合同条款中有横道线的地方，合同当事人可针对相应的通用合同条款进行细化、完善、补充、修改或另行约定；如无细化、完善、补充、修改或另行约定，则填写“无”。</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4.合同专用条款有专门约定的内容以专用条款为准，专用条款没有约定的内容以通用条款为准。专用和通用条款都没有约定的内容以现行国家法律法规规定的内容和国家规范标准为准。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二、《示范文本》的适用范围</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（一）合同当事人可结合项目的具体情况，选择适当的《示范文本》订立合同，并按照法律法规规定和具体协商的内容细化专用条款，藉此承担相应的法律责任及合同权利义务。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（二）本《示范文本》具体名称为《采购服务合同示范文本》。</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三）《采购服务合同示范文本》合同协议书共计8条，主要包括：项目概况（名称、地点、内容）、项目期限、项目质量标准、项目价款（总价、价格形式、付款条件、履约保证金）、项目代表（甲方代表及乙方代表）、项目签约时间、合同份数、合同必要附件等。</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四）《采购服务合同示范文本》通用合同条款共计18条，主要包括：项目承包范围条款、项目价款条款、项目质量标准条款、项目协作事项条款、项目期限条款、项目变更条款、项目验收条款、项目质保条款、项目付款条款、甲方权利义务条款、乙方权利义务条款、违约责任条款、合同解除条款（不可抗力）条款、争议解决条款、合同生效条款等。</w:t>
      </w:r>
      <w:r/>
    </w:p>
    <w:p>
      <w:pPr>
        <w:ind w:firstLine="480"/>
        <w:jc w:val="center"/>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第一部分 合同协议书</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甲方：徐州工程学院</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乙方：</w:t>
      </w:r>
      <w:r>
        <w:rPr>
          <w:rFonts w:hint="eastAsia" w:asciiTheme="minorEastAsia" w:hAnsiTheme="minorEastAsia" w:eastAsiaTheme="minorEastAsia" w:cstheme="minorEastAsia"/>
          <w:sz w:val="24"/>
          <w:highlight w:val="none"/>
          <w:u w:val="single"/>
        </w:rPr>
        <w:t xml:space="preserve">          </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根据《中华人民共和国民法典》及其他法律法规的规定，本着自愿、平等的原则，甲、乙双方经友好协商，为明确各方在项目实施过程中的权利、义务，特订立本合同，以资共同遵守。具体约定如下：</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1项目概况</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1.1项目名称：</w:t>
      </w:r>
      <w:r>
        <w:rPr>
          <w:rFonts w:hint="eastAsia" w:asciiTheme="minorEastAsia" w:hAnsiTheme="minorEastAsia" w:eastAsiaTheme="minorEastAsia" w:cstheme="minorEastAsia"/>
          <w:sz w:val="24"/>
          <w:highlight w:val="none"/>
        </w:rPr>
        <w:t xml:space="preserve">徐州工程学院基于实验室场景的数字孪生建筑运维技术研发服务采购项目。</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1.2项目地点：徐州工程学院</w:t>
      </w:r>
      <w:r>
        <w:rPr>
          <w:rFonts w:hint="eastAsia" w:asciiTheme="minorEastAsia" w:hAnsiTheme="minorEastAsia" w:eastAsiaTheme="minorEastAsia" w:cstheme="minorEastAsia"/>
          <w:sz w:val="24"/>
          <w:highlight w:val="none"/>
          <w:u w:val="single"/>
        </w:rPr>
        <w:t xml:space="preserve">中心</w:t>
      </w:r>
      <w:r>
        <w:rPr>
          <w:rFonts w:hint="eastAsia" w:asciiTheme="minorEastAsia" w:hAnsiTheme="minorEastAsia" w:eastAsiaTheme="minorEastAsia" w:cstheme="minorEastAsia"/>
          <w:sz w:val="24"/>
          <w:highlight w:val="none"/>
        </w:rPr>
        <w:t xml:space="preserve">校区</w:t>
      </w:r>
      <w:r>
        <w:rPr>
          <w:rFonts w:hint="eastAsia" w:asciiTheme="minorEastAsia" w:hAnsiTheme="minorEastAsia" w:eastAsiaTheme="minorEastAsia" w:cstheme="minorEastAsia"/>
          <w:sz w:val="24"/>
          <w:highlight w:val="none"/>
          <w:u w:val="single"/>
        </w:rPr>
        <w:t xml:space="preserve">土木工程学院</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1.3项目服务内容</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u w:val="single"/>
        </w:rPr>
        <w:t xml:space="preserve">针对智能建造产业技术创新中心实验室物理空间开展数字孪生建筑运维技术研发服务，包括：①依托BIM、物联网等技术，建立实验室物理空间的数字孪生模型，并研发构建建筑智慧运维体系底层平台架构；②结合数字孪生建筑智慧运维体系底层平台架构和实验室运维场景，完成对传感器、摄像头、水电监测、能源监测、环境监测、人员监测等物联设备的规划、布置及物联网络体系的</w:t>
      </w:r>
      <w:r>
        <w:rPr>
          <w:rFonts w:hint="eastAsia" w:asciiTheme="minorEastAsia" w:hAnsiTheme="minorEastAsia" w:eastAsiaTheme="minorEastAsia" w:cstheme="minorEastAsia"/>
          <w:sz w:val="24"/>
          <w:highlight w:val="none"/>
          <w:u w:val="single"/>
        </w:rPr>
        <w:t xml:space="preserve">搭建；③针对各类物联设备，构建对应的数据采集、存储、传输体系和数据分析策略；④针对实验室巡检、空间测量、环境保持、物料转移等应用场景，完成对应智能设备的布局规划和运行管理策略；⑤针对实验室的空间、设备、试件、耗材、人员的运行、维护和管理，完成基于数字孪生概念的流程优化和运维管理系统研发；⑥针对建筑物强震仪数据的采集、传输、存储和分析的需求，完成基于数字孪生概念的技术方案优化和系统构建；⑦针对实验室钢结构建筑结构响应的实时监测，完成基于数字孪生概念的技术方案优化和系统构建；⑧钢结构构件响应采集设备及监测系统。</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2项目期限</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乙方应于合同签订后</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天内完成服务工作，提交服务成果。  </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3项目质量标准</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3.1项目质量标准：</w:t>
      </w:r>
      <w:r>
        <w:rPr>
          <w:rFonts w:hint="eastAsia" w:asciiTheme="minorEastAsia" w:hAnsiTheme="minorEastAsia" w:eastAsiaTheme="minorEastAsia" w:cstheme="minorEastAsia"/>
          <w:sz w:val="24"/>
          <w:highlight w:val="none"/>
          <w:u w:val="single"/>
        </w:rPr>
        <w:t xml:space="preserve">验收合格</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3.2项目人员资质要求：</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3.3项目书面成果名称：</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4项目价款</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4.1合同总价：</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4.2价格形式：</w:t>
      </w:r>
      <w:r>
        <w:rPr>
          <w:rFonts w:hint="eastAsia" w:asciiTheme="minorEastAsia" w:hAnsiTheme="minorEastAsia" w:eastAsiaTheme="minorEastAsia" w:cstheme="minorEastAsia"/>
          <w:sz w:val="24"/>
          <w:highlight w:val="none"/>
          <w:u w:val="single"/>
        </w:rPr>
        <w:t xml:space="preserve">固定总价</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4.3付款进度：</w:t>
      </w:r>
      <w:r>
        <w:rPr>
          <w:rFonts w:hint="eastAsia" w:asciiTheme="minorEastAsia" w:hAnsiTheme="minorEastAsia" w:eastAsiaTheme="minorEastAsia" w:cstheme="minorEastAsia"/>
          <w:sz w:val="24"/>
          <w:highlight w:val="none"/>
          <w:u w:val="single"/>
        </w:rPr>
        <w:t xml:space="preserve">详见合同专用条款</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4.4履约保证金：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元。</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4.5取费标准：</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4.6税率：</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4.7发票类型：</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5合同代表</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5.1甲方指派</w:t>
      </w:r>
      <w:r>
        <w:rPr>
          <w:rFonts w:hint="eastAsia" w:asciiTheme="minorEastAsia" w:hAnsiTheme="minorEastAsia" w:eastAsiaTheme="minorEastAsia" w:cstheme="minorEastAsia"/>
          <w:sz w:val="24"/>
          <w:highlight w:val="none"/>
          <w:u w:val="single"/>
        </w:rPr>
        <w:t xml:space="preserve">谢伟</w:t>
      </w:r>
      <w:r>
        <w:rPr>
          <w:rFonts w:hint="eastAsia" w:asciiTheme="minorEastAsia" w:hAnsiTheme="minorEastAsia" w:eastAsiaTheme="minorEastAsia" w:cstheme="minorEastAsia"/>
          <w:sz w:val="24"/>
          <w:highlight w:val="none"/>
        </w:rPr>
        <w:t xml:space="preserve">同志为甲方代表，负责本合同的实施和协调。联系电话：</w:t>
      </w:r>
      <w:r>
        <w:rPr>
          <w:rFonts w:hint="eastAsia" w:asciiTheme="minorEastAsia" w:hAnsiTheme="minorEastAsia" w:eastAsiaTheme="minorEastAsia" w:cstheme="minorEastAsia"/>
          <w:sz w:val="24"/>
          <w:highlight w:val="none"/>
          <w:u w:val="single"/>
        </w:rPr>
        <w:t xml:space="preserve">13813295755</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5.2乙方指派</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同志为乙方代表，负责本合同的实施和协调。联系电话：</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5.3甲方联系邮箱：</w:t>
      </w:r>
      <w:r>
        <w:rPr>
          <w:rFonts w:hint="eastAsia" w:asciiTheme="minorEastAsia" w:hAnsiTheme="minorEastAsia" w:eastAsiaTheme="minorEastAsia" w:cstheme="minorEastAsia"/>
          <w:sz w:val="24"/>
          <w:highlight w:val="none"/>
          <w:u w:val="single"/>
        </w:rPr>
        <w:t xml:space="preserve">xiewei@xzit.edu.cn</w:t>
      </w:r>
      <w:r>
        <w:rPr>
          <w:rFonts w:hint="eastAsia" w:asciiTheme="minorEastAsia" w:hAnsiTheme="minorEastAsia" w:eastAsiaTheme="minorEastAsia" w:cstheme="minorEastAsia"/>
          <w:sz w:val="24"/>
          <w:highlight w:val="none"/>
        </w:rPr>
        <w:t xml:space="preserve">；乙方联系邮箱：</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5.4 甲方承办部门名称：</w:t>
      </w:r>
      <w:r>
        <w:rPr>
          <w:rFonts w:hint="eastAsia" w:asciiTheme="minorEastAsia" w:hAnsiTheme="minorEastAsia" w:eastAsiaTheme="minorEastAsia" w:cstheme="minorEastAsia"/>
          <w:sz w:val="24"/>
          <w:highlight w:val="none"/>
          <w:u w:val="single"/>
        </w:rPr>
        <w:t xml:space="preserve">土木工程学院</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6合同签约地点和时间</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6.1签约地点：徐州工程学院。</w:t>
      </w:r>
      <w:r/>
    </w:p>
    <w:p>
      <w:pPr>
        <w:ind w:firstLine="480"/>
        <w:jc w:val="left"/>
        <w:spacing w:line="300" w:lineRule="atLeast"/>
        <w:shd w:val="clear" w:color="auto" w:fill="ffffff"/>
        <w:widowControl/>
        <w:tabs>
          <w:tab w:val="left" w:pos="6237"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6.2签约时间：</w:t>
      </w:r>
      <w:r>
        <w:rPr>
          <w:rFonts w:hint="eastAsia" w:asciiTheme="minorEastAsia" w:hAnsiTheme="minorEastAsia" w:eastAsiaTheme="minorEastAsia" w:cstheme="minorEastAsia"/>
          <w:sz w:val="24"/>
          <w:highlight w:val="none"/>
          <w:u w:val="single"/>
        </w:rPr>
        <w:t xml:space="preserve">    年   月   日。</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7合同份数</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7.1本合同一式柒份， 具有同等法律效力。</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7.2甲方执伍份（承办部门、归口管理部门、采购部门（招标办）、财务处、合同管理办公室各一份），乙方执贰份。</w:t>
      </w:r>
      <w:r/>
    </w:p>
    <w:p>
      <w:pPr>
        <w:ind w:firstLine="480"/>
        <w:jc w:val="left"/>
        <w:spacing w:line="300" w:lineRule="atLeast"/>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8合同附件：详见合同专用条款附件。</w:t>
      </w:r>
      <w:r/>
    </w:p>
    <w:tbl>
      <w:tblPr>
        <w:tblStyle w:val="783"/>
        <w:tblW w:w="0" w:type="auto"/>
        <w:tblInd w:w="0" w:type="dxa"/>
        <w:tblLayout w:type="autofit"/>
        <w:tblCellMar>
          <w:left w:w="15" w:type="dxa"/>
          <w:top w:w="15" w:type="dxa"/>
          <w:right w:w="15" w:type="dxa"/>
          <w:bottom w:w="15" w:type="dxa"/>
        </w:tblCellMar>
        <w:tblLook w:val="04A0" w:firstRow="1" w:lastRow="0" w:firstColumn="1" w:lastColumn="0" w:noHBand="0" w:noVBand="1"/>
      </w:tblPr>
      <w:tblGrid>
        <w:gridCol w:w="5066"/>
        <w:gridCol w:w="4306"/>
      </w:tblGrid>
      <w:tr>
        <w:trPr>
          <w:tblHeader/>
        </w:trPr>
        <w:tc>
          <w:tcPr>
            <w:shd w:val="clear" w:color="auto" w:fill="auto"/>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0" w:type="auto"/>
            <w:textDirection w:val="lrTb"/>
            <w:noWrap w:val="false"/>
          </w:tcPr>
          <w:p>
            <w:pPr>
              <w:jc w:val="left"/>
              <w:spacing w:after="300"/>
              <w:widowControl/>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甲方：</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甲方（盖章）：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住所：</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法定代表人或委托代表人签字：</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开具增值税专用发票相关信息：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单位名称：</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单位地址： </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税务识别号：</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开户银行： </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银行账号： </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单位电话： </w:t>
            </w:r>
            <w:r>
              <w:rPr>
                <w:rFonts w:hint="eastAsia" w:asciiTheme="minorEastAsia" w:hAnsiTheme="minorEastAsia" w:eastAsiaTheme="minorEastAsia" w:cstheme="minorEastAsia"/>
                <w:b/>
                <w:bCs/>
                <w:sz w:val="24"/>
                <w:highlight w:val="none"/>
                <w:u w:val="single"/>
              </w:rPr>
              <w:t xml:space="preserve">          </w:t>
            </w:r>
            <w:r/>
          </w:p>
        </w:tc>
        <w:tc>
          <w:tcPr>
            <w:shd w:val="clear" w:color="auto" w:fill="auto"/>
            <w:tcBorders>
              <w:top w:val="single" w:color="333333" w:sz="6" w:space="0"/>
              <w:left w:val="single" w:color="333333" w:sz="6" w:space="0"/>
              <w:bottom w:val="single" w:color="333333" w:sz="6" w:space="0"/>
              <w:right w:val="single" w:color="333333" w:sz="6" w:space="0"/>
            </w:tcBorders>
            <w:tcMar>
              <w:left w:w="150" w:type="dxa"/>
              <w:top w:w="150" w:type="dxa"/>
              <w:right w:w="150" w:type="dxa"/>
              <w:bottom w:w="150" w:type="dxa"/>
            </w:tcMar>
            <w:tcW w:w="0" w:type="auto"/>
            <w:textDirection w:val="lrTb"/>
            <w:noWrap w:val="false"/>
          </w:tcPr>
          <w:p>
            <w:pPr>
              <w:jc w:val="left"/>
              <w:spacing w:after="300"/>
              <w:widowControl/>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乙方： </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乙方（盖章）：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住所：</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法定代表人姓名：</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法定代表人或委托代表人签字：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开户银行：</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账号：</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税务登记号： </w:t>
            </w:r>
            <w:r>
              <w:rPr>
                <w:rFonts w:hint="eastAsia" w:asciiTheme="minorEastAsia" w:hAnsiTheme="minorEastAsia" w:eastAsiaTheme="minorEastAsia" w:cstheme="minorEastAsia"/>
                <w:b/>
                <w:bCs/>
                <w:sz w:val="24"/>
                <w:highlight w:val="none"/>
                <w:u w:val="single"/>
              </w:rPr>
              <w:t xml:space="preserve">          </w:t>
            </w:r>
            <w:r>
              <w:rPr>
                <w:rFonts w:hint="eastAsia" w:asciiTheme="minorEastAsia" w:hAnsiTheme="minorEastAsia" w:eastAsiaTheme="minorEastAsia" w:cstheme="minorEastAsia"/>
                <w:b/>
                <w:bCs/>
                <w:sz w:val="24"/>
                <w:highlight w:val="none"/>
              </w:rPr>
              <w:t xml:space="preserve"> </w:t>
            </w:r>
            <w:r>
              <w:rPr>
                <w:rFonts w:hint="eastAsia" w:asciiTheme="minorEastAsia" w:hAnsiTheme="minorEastAsia" w:eastAsiaTheme="minorEastAsia" w:cstheme="minorEastAsia"/>
                <w:b/>
                <w:bCs/>
                <w:sz w:val="24"/>
                <w:highlight w:val="none"/>
              </w:rPr>
              <w:br/>
            </w:r>
            <w:r>
              <w:rPr>
                <w:rFonts w:hint="eastAsia" w:asciiTheme="minorEastAsia" w:hAnsiTheme="minorEastAsia" w:eastAsiaTheme="minorEastAsia" w:cstheme="minorEastAsia"/>
                <w:b/>
                <w:bCs/>
                <w:sz w:val="24"/>
                <w:highlight w:val="none"/>
              </w:rPr>
              <w:t xml:space="preserve">电话：</w:t>
            </w:r>
            <w:r>
              <w:rPr>
                <w:rFonts w:hint="eastAsia" w:asciiTheme="minorEastAsia" w:hAnsiTheme="minorEastAsia" w:eastAsiaTheme="minorEastAsia" w:cstheme="minorEastAsia"/>
                <w:b/>
                <w:bCs/>
                <w:sz w:val="24"/>
                <w:highlight w:val="none"/>
                <w:u w:val="single"/>
              </w:rPr>
              <w:t xml:space="preserve">          </w:t>
            </w:r>
            <w:r/>
          </w:p>
        </w:tc>
      </w:tr>
    </w:tbl>
    <w:p>
      <w:pPr>
        <w:ind w:firstLine="480"/>
        <w:jc w:val="center"/>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第二部分</w:t>
      </w:r>
      <w:r>
        <w:rPr>
          <w:rFonts w:ascii="Cambria" w:hAnsi="Cambria" w:cs="Cambria"/>
          <w:szCs w:val="21"/>
          <w:highlight w:val="none"/>
        </w:rPr>
        <w:t xml:space="preserve"> </w:t>
      </w:r>
      <w:r>
        <w:rPr>
          <w:rFonts w:ascii="line-height:1.5;" w:hAnsi="line-height:1.5;" w:cs="宋体"/>
          <w:b/>
          <w:bCs/>
          <w:sz w:val="24"/>
          <w:highlight w:val="none"/>
        </w:rPr>
        <w:t xml:space="preserve">合同通用条款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1项目承包范围条款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1.1承包方式：乙方负责提供完成全部服务工作所需的全部人员、材料、设备及其他一切必要条件。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1.2承包范围：乙方负责提供全部服务工作，提交服务成果。成果为书面文件的，应当按合同约定的时间及时向甲方提交相应书面文件。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2项目价款条款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2.1价款说明：合同价格为固定价格，包含乙方完成全部服务工作，交付具体服务成果所需的全部服务费用（如人工、材料、培训、行政取费、专家评审费等）及其他一切不可预见费用等。除甲乙双方另有约定外，甲方不再就乙方附加服务、额外服务、延期服务向乙方支付其他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2.1.1“正常服务”是指双方在本合同中约定的服务工作。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2.1.2“附加服务”是指在“正常服务”以外，经甲乙双方其他书面文件（如补充协议）确定的附加服务工作。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2.1.3“额外服务”是指不属于“正常服务”和“附加服务”，但符合下列条件时，乙方增加的额外工作量。</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（1）因甲方或第三方原因使乙方工作受到阻碍以致增加的额外工作量。</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（2）因非乙方原因造成的工作进度延误，乙方在双方另行确定的顺延期内进行的额外工作量。</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（3）因非乙方原因暂停或终止执行服务工作，由此而增加的恢复执行服务工作的额外工作量。</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2.2风险说明：乙方已充分考虑服务期间各类风险，任何因市场人工、材料、机械运输、税费的变动或政府及行业主管部门红头文件的颁发而起的乙方的实际支出的增加，均属于乙方自身经营风险，视为已事先充分估计并已经列入合同价款之中，价款不再调整。即，除本合同约定可以调整的内容外，合同价款不予调整。</w:t>
      </w:r>
      <w:r/>
    </w:p>
    <w:p>
      <w:pPr>
        <w:ind w:left="1"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2.3采用固定总价的合同，合同总价即为结算价，除双方书面确认变更外</w:t>
      </w:r>
      <w:r>
        <w:rPr>
          <w:rFonts w:hint="eastAsia" w:ascii="line-height:1.5;" w:hAnsi="line-height:1.5;" w:cs="宋体"/>
          <w:sz w:val="24"/>
          <w:highlight w:val="none"/>
        </w:rPr>
        <w:t xml:space="preserve">不作</w:t>
      </w:r>
      <w:r>
        <w:rPr>
          <w:rFonts w:ascii="line-height:1.5;" w:hAnsi="line-height:1.5;" w:cs="宋体"/>
          <w:sz w:val="24"/>
          <w:highlight w:val="none"/>
        </w:rPr>
        <w:t xml:space="preserve">调整。</w:t>
      </w:r>
      <w:r/>
    </w:p>
    <w:p>
      <w:pPr>
        <w:ind w:left="1"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2.4采用固定单价的合同，合同总价仅作为签订合同使用，不作为最终结算价格。最终按实结算。</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2.5乙方服务取费存在国家（省）规范性文件依据的，乙方应确保按照本项目取费依据的下限计算服务费用。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2.6乙方服务取费没有国家（省）规范性文件依据的，乙方应确保按照本项目所在地类似市场正常取费的下限计算服务费用。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2.7乙方要求甲方支付服务费用时，必须同时提交取费依据和计算方式。</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2.8因乙方因素导致不能继续履行协议的，乙方要退还甲方预付服务费， 并且要补偿甲方因此而导致的项目进展延期损失费用。因甲方因素不能继续履行协议的，乙方不退还预付服务费。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2.9由于乙方因素致使书面文件不能通过行政主管部门审查的，乙方必须进行修改，直至通过审查，由此增长的一切费用均由乙方自行承担。</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2.10在本合同约定服务内容范围内，因工作业务需要，甲方要求或乙方自行决定外出考察或外聘专家服务的，该费用由乙方全部承担。但该工作业务在本合同约定服务内容范围之外的，相关费用由甲方全部承担。</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3项目质量标准条款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3.1乙方应确保其服务工作符合国家规范标准和本合同约定的标准。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3.2乙方应确保其服务成果符合国家规范标准和本合同约定的标准。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3.3乙方应确保其服务成果符合甲方采购（招标）文件、答疑规定的要求（如通过相关申报审查手续等）以及乙方报价（投标）文件作出的承诺。</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3.4乙方应确保其提供的技术人员符合本合同约定标准（人员信息详见本合同附件）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3.5乙方应免费负责服务成果的后续修改、补充及完善。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3.6乙方应避免在其服务成果中加插间接或直接危害甲方权益的内容。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3.7乙方应确保甲方不受第三方关于侵犯其所有权、专利权的指控。</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3.8乙方应确保对由于自身原因而发生的任何不足或缺陷负责，并承担由此引起的一切后果。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3.9乙方应在合同签订后应立即与甲方进行技术会商，并根据甲方要求及现场情况确定具体服务方案。</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4项目协作事项条款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4.1甲方已安排乙方现场勘查履行合同所需要的基本场所，并提供现有工作条件和资料，乙方不得在合同履行过程中向甲方提出违反本合同所列明条件之外的其他额外要求。</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4.2甲方根据项目实际情况可以为乙方提供服务用房一间，但房间内相关设施设备由乙方自行配备、保管及维护。</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4.3如有需要，乙方可以根据委托项目具体性质和内容向甲方提出需要甲方提供的协作事项、条件或材料。</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4.4乙方要求甲方提供的协作事项、条件或材料必须在合同专用条款或《甲方协助事项清单》中明确说明。</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4.5甲方按照乙方的要求提供相应的事项、条件或材料后，乙方应当按照合同约定履行义务并按约提供相应的服务及成果。在履行期间，乙方不得再以甲方未能及时提供相应的协作和资料为由再向甲方提出任何不利的要求。</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4.6风险通知：在履行合同过程中，因出现无法克服的技术困难，致使乙方无法开展服务工作或服务工作失败或者部分失败的，并导致一方或双方损失的，双方按以下约定承担风险损失：</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4.6.1完全由乙方原因造成的困难，责任由乙方承担，乙方退还服务费。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4.6.2完全由甲方原因造成的困难，责任由甲方承担，乙方不退还服务费。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4.6.3由双方原因造成的困难，责任由双方按自己的过错承担相应责任。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4.6.4由不可抗力造成的困难，责任由乙方自行承担，但甲方可适当支付少部分服务费作为补偿。</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4.6.5甲乙任何一方发现前款规定的可能致使服务工作失败或者部分失败的情形时，应当30日内通知另一方并采取适当措施减少损失。没有及时通知并采取适当措施，致使损失扩大的，应就扩大的损失承担责任。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4.6.6所谓技术风险是指在现有技术水平和条件下具有足够的、难以克服的难度，且乙方主观上无过错所产生的、并经甲方认定的服务工作失败。</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5项目期限条款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5.1乙方应根据本合同约定的时间履行相应的服务内容、提交符合国家规范要求的服务成果和进行验收（考核），否则视为违约。</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5.2若乙方在本合同规定的期限之内未能完成相关服务，甲方有权终止合同，并要求乙方赔偿甲方因此而遭受的全部损失。</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5.3若因非乙方原因（如不可抗力、甲方原因、法律变更的原因等），</w:t>
      </w:r>
      <w:r>
        <w:rPr>
          <w:rFonts w:hint="eastAsia" w:ascii="line-height:1.5;" w:hAnsi="line-height:1.5;" w:cs="宋体"/>
          <w:sz w:val="24"/>
          <w:highlight w:val="none"/>
        </w:rPr>
        <w:t xml:space="preserve">导致</w:t>
      </w:r>
      <w:r>
        <w:rPr>
          <w:rFonts w:ascii="line-height:1.5;" w:hAnsi="line-height:1.5;" w:cs="宋体"/>
          <w:sz w:val="24"/>
          <w:highlight w:val="none"/>
        </w:rPr>
        <w:t xml:space="preserve">乙方工作受到阻碍、延误或重复以致增加了工作量或延长了约定的服务时间，则乙方应当将此情况与可能产生的影响及时书面通知甲方。由此增加的工作量视为额外服务，乙方完成服务工作的时间应当相应延长，但甲方不再额外支付费用。如乙方未能及时书面通知甲方的，工期不予顺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5.4甲乙双方可以就服务工作的具体开展阶段及其时间安排作出明确约定，并在合同专用条款中明确说明。</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5.5乙方必须确保其服务工作有助于推动项目顺利开展。确需乙方配合进行工作提前的，乙方在不违背标准规范的前提下必须无条件进行（如利用节假日或夜班加班加点进行）。</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6项目变更条款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6.1变更需经甲乙双方共同签字确认。如有需要，甲乙双方可签订补充协议明确具体权利义务。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6.2变更的费用按本合同约定价格标准计算。      </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6.3由甲方原因导致的变更，在甲方书面通知乙方时，乙方必须进行。由乙方提出的书面变更申请，必须得到甲方书面签证确认后，乙方才可以进行。</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6.4如甲方提出的变更是非主要变更，且变更范围在甲方采购需求（任务书范围）之内，乙方应免费为甲方修改变更内容。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6.5如乙方明知或应知甲方需求应当包含某项内容，或根据规范必不可少项目，但乙方故意不予告知并未能记录在任务书中的，乙方应当免费提供该项内容的服务工作。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6.6如甲方在双方签字确认任务书后又向乙方提交全新的、与原任务无关的内容，双方应根据本合同约定的标准对变更及费用进行协商，并签订补充协议进行书面确认。</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6.7如甲方变更主要服务工作，或因提交的资料作较大修改，以致造成乙方返工时，双方需另行协商签订补充协议、重新明确有关条款，并明确约定甲方按照乙方所耗工作量向乙方支付返工费。否则，甲方不予支付乙方返工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6.8如甲方要求乙方比合同规定时间提前交付书面文件时，乙方在不违背标准规范的前提下必须无条件进行。双方需另行协商签订补充协议、重新明确有关条款，并明确约定甲方按照乙方提前投入的工作量向乙方支付赶工费。否则，甲方不予支付乙方赶工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6.9在出现由于乙方审查甲方采购资料不全而导致采购内容不包含在乙方报价的情况下，乙方承诺相关风险由乙方自己承担，不会据此向甲方提出新的变更和结算要求。即乙方完全地、严格地、实质性地理解甲方采购文件、图纸、纪要及其他资料所显示的全部采购内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7项目验收（考核）条款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7.1本项目需要进行单次验收（考核）工作，藉此作为付款成立的条件。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7.2本项目所需的技术资料已经在采购时交付乙方。乙方应确保本项目满足甲方要求，单次验收（考核）一次通过。</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7.3乙方履行合同完毕后，应在15日内申请甲方进行单次验收（考核），并向甲方提供相关资料（含项目履行情况自评报告—验收（考核）申请书），详细叙述服务项目内容、进度、成果及其他问题，并对资料真实性负责。上述资料是甲方验收（考核）乙方履约情况的重要依据。</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7.4甲方在接到乙方验收（考核）申请后与乙方进行单次验收（考核）。由于乙方原因导致单次验收（考核）不合格的，乙方承担全部责任并按照违约责任条款向甲方支付延迟履行违约金。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7.5乙方应积极配合甲方在15日内完成单次验收（考核）工作。由于乙方原因导致单次验收（考核）工作无法正常进行的，乙方承担全部责任并按照违约责任条款向甲方支付延迟履行违约金。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7.6按本合同约定，根据乙方申请进行的单次验收（考核）的工作和结论不影响政府职能部门、行业专门机构和国家强制质检单位对本项目的验收（考核）工作，也不能免除乙方应尽的通过相关验收（考核）的义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7.7如本合同项下服务需要通过国家相关部门的官方验收（考核），乙方负责相关手续及费用。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7.8验收（考核）合格后不排除乙方对其服务潜在缺陷、隐蔽瑕疵的全面保证责任。如服务存在的潜在缺陷、隐蔽瑕疵（不论在验收时是否符合或达到乙方承诺的技术指标或质量标准）给甲方或第三人造成损害的，乙方应承担赔偿责任。如甲方已经承担相关赔偿责任，甲方对乙方有追诉权。</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7.9验收（考核）标准：按照采购文件规定的技术标准（详见本合同附件）。本合同关于项目验收有明确技术标准的按照合同约定处理。没有约定标准的按现行国家标准。没有国家标准的按行业标准。没有行业标准的按地方标准。没有以上标准的按乙方企业标准，但企业标准不得违反法律、行政法规的强制性规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特别提醒：如本合同约定标准低于现行国家标准的，以现行国家标准为依据。</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8项目质保条款（服务承诺条款）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8.1质量保证</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8.1.1乙方进场服务前应与甲方进行服务方案会商。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8.1.2乙方进场服务前应根据实际情况确定并提交实施服务方案，明确乙方提供服务的具体计划和内容。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8.1.3乙方进场服务时应当组成专业的技术团队，相关人员名单及资质不得低于本合同附件约定的标准。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8.1.4乙方进场服务时应当要求其相关工作及技术人员亮明身份，仪表端庄、服务热情、文明有礼，强化责任意识，严格操作规程，树立效率意识，提升业务素质。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8.1.5乙方对因其自身原因导致服务存在潜在缺陷或隐蔽瑕疵的，应免费予以整改。因上述原因造成甲方或第三人人身或财产损失的，乙方应承担赔偿责任。如甲方已经承担相关赔偿责任，甲方对乙方有追诉权。</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8.2其他承诺</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8.2.1异议承诺：甲方根据实际需要安排相应项目的要求，乙方承诺不得对甲方的要求提出异议。</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8.2.2人员承诺：乙方承诺立即安排具备相应资质的专人进场，根据合同约定开展工作。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8.2.3清单承诺：乙方承诺进场后及时向甲方提交履行合同所需协助事项及提供材料的清单。</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8.2.4时限承诺：乙方承诺严格按照甲方规定的时限要求履行合同。</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8.2.5廉洁承诺：乙方承诺严格按照相应的国家标准履行，不</w:t>
      </w:r>
      <w:r>
        <w:rPr>
          <w:rFonts w:hint="eastAsia" w:ascii="line-height:1.5;" w:hAnsi="line-height:1.5;" w:cs="宋体"/>
          <w:sz w:val="24"/>
          <w:highlight w:val="none"/>
        </w:rPr>
        <w:t xml:space="preserve">对其他</w:t>
      </w:r>
      <w:r>
        <w:rPr>
          <w:rFonts w:ascii="line-height:1.5;" w:hAnsi="line-height:1.5;" w:cs="宋体"/>
          <w:sz w:val="24"/>
          <w:highlight w:val="none"/>
        </w:rPr>
        <w:t xml:space="preserve">第三人进行吃拿卡要，不收受利益攸关方的好处。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8.2.6咨询承诺：乙方承诺指派专门的技术人员回答甲方有关项目的技术咨询。</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8.2.7培训承诺：乙方承诺提供免费的技术培训一次。甲方提出技术培训的具体时间和地点，时间不超过一天。甲方及甲方最终用户参与培训人数不限，培训场地及设施由甲方提供，乙方培训指导人员的食宿自理。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8.2.8回访承诺：乙方承诺在项目验收（考核）合格后至少回访一次并提供相应的技术指导。</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8.2.9保密承诺：乙方承诺在履行合同期间和履行完毕3年内，对在服务过程中知悉的商业秘密、技术秘密或委托方要求保密的事项保密。乙方未经甲方书面同意不得向第三方透露，否则应承担违约责任并赔偿由此给甲方造成的全部损失。本保密承诺具有独立性，不论合同是否变更、解除或终止，合同保密条款不受其限制而继续有效，各方均应继续承担约定的保密义务。除以上约定外，甲乙双方还可以在本合同专用条款中对需要进行保密的其他事项或特殊的保密措施予以进一步的明确约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8.2.10知识产权承诺：乙方承诺甲方不受第三方关于侵犯其所有权、专利权的指控。乙方同意，若项目交付成果导致任何第三方主张本协议下的项目交付成果侵犯其知识产权，乙方可以选择采取以下补救措施之一种或全部，以使甲方能合法地继续使用该交付物：（一）自行获得第三方的许可；或（二）修改或更换开发成果使其不侵犯第三方知识产权。乙方采取前述补救措施的费用应由乙方自行承担。</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8.3费用支付</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若因乙方未能按合同约定执行质保条款，甲方有权另请其他第三方进行，因此发生的费用由乙方承担。对甲方造成损失的，乙方应按实际发生的损失向甲方无条件赔偿。以上费用直接从乙方的履约保证金中扣除，如履约保证金不足，乙方仍有义务补足。</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9项目付款条款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9.1付款要求</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9.1.1甲方财务部门凭加盖徐州工程学院招投标办公室审核章的最终用户签字的验收报告支付合同款。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9.1.2甲方付款前有权要求乙方开具合法、等额的增值税专用发票，否则甲方有权拒绝付款并无需承担违约责任。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9.2履约保证金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9.2.1履约保证金缴纳：拟中标人应当在评审结果公示日起三日内向招标人</w:t>
      </w:r>
      <w:r>
        <w:rPr>
          <w:rFonts w:hint="eastAsia" w:ascii="line-height:1.5;" w:hAnsi="line-height:1.5;" w:cs="宋体"/>
          <w:sz w:val="24"/>
          <w:highlight w:val="none"/>
        </w:rPr>
        <w:t xml:space="preserve">缴纳</w:t>
      </w:r>
      <w:r>
        <w:rPr>
          <w:rFonts w:ascii="line-height:1.5;" w:hAnsi="line-height:1.5;" w:cs="宋体"/>
          <w:sz w:val="24"/>
          <w:highlight w:val="none"/>
        </w:rPr>
        <w:t xml:space="preserve">招标项目履约保证金。拟中标人应当按照招标人的要求及时、足额缴纳履约保证金。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9.2.2履约保证金退还：中标人缴纳的履约保证金，待合同标的履约完成、验收合格、合同期限结束（服务期结束）后30日内一次性无息退还（凭“履约保证金退付申请书”及“收款收据原件”到学校财务处办理退款手续）。如果中标人不履行合同约定的义务，未能完全履行合同规定的义务或其履行不符合合同的约定，招标人有权扣除履约保证金取得补偿。</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9.2.3如乙方未能按期足额缴纳履约保证金，甲方有权单方面解除合同并要求乙方承担违约责任。如乙方未能完全履行合同规定的义务，甲方有权扣除履约保证金取得补偿。</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9.2.4合同履约保证金具体数额由双方在合同专用条款中约定。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9.3监管账户</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9.3.1因不可抗力等非乙方原因导致乙方无法按照本合同约定条款完成相应义务并致使甲方无法向乙方支付合同款项的，甲方有权要求乙方在甲方指定银行开设资金监管账户，并协助甲方办理有关合同付款手续。</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9.3.2乙方应以乙方名义在甲方指定银行开设资金监管账户。</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9.3.3监管期限：甲方支付监管资金到账后，至乙方按照本合同约定履行相应义务的全部期限。</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9.3.4在监管期内，乙方未经甲方书面审批同意（专人签章），不得支取使用账户内任何资金，不得以转账、销账、销户等形式获取资金。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9.3.5在监管期内，乙方未经甲方书面审批同意（专人签章），不得以监管资金进行任何形式的担保，包括但不限于再融资、押贷款等操作。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9.3.6甲方支付监管资金后，不免除乙方按照本合同约定全面履行合同义务的责任。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9.3.7甲方支付监管资金后，有权对监管资金进行日常监管，包括但不限于查询等操作。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9.3.8在不可抗力消除后，如乙方未能按照本合同约定履行相应义务，甲方有权将监管账户内资金进行收回，相应的损失由乙方自行承担。</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9.3.9是否启用监管账户由甲方根据合同履行情况自行决定。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9.4乙方服务所需水、电、气、通信等设施的接驳及使用费用由乙方自行承担。</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10甲方权利义务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10.1甲方有义务以书面形式向乙方明确服务任务及技术要求。</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10.2甲方有义务按照《甲方协助事项清单》载明的内容，及时将相关资料转交乙方。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10.3甲方有义务协调其内部有关部门和人员，积极配合乙方完成服务工作。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10.4甲方有义务不得要求乙方违反国家有关规范和标准开展服务工作。</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10.5甲方有义务为派赴现场的乙方人员，提供必要的工作、生活及交通等方便条件。但相关费用由乙方自理。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10.6甲方有义务提供电力、用水及网络的接驳点（接驳及使用费用由乙方自行承担）。</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10.7甲方有义务提供保管现场（以甲方现有场地为限）。</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10.8甲方有义务按合同约定支付合同款。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10.9甲方有权要求乙方按照本合同约定标准进行服务。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10.10甲方有权对乙方工作提出合理修改意见。</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10.11甲方有权安排项目管理或监理团队负责本项目的质量、进度等方面管理，乙方应予以全面配合并以书面形式向甲方告知其工作程序和职权。</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10.12甲方有权要求乙方更换实施服务工作的具体人员，乙方必须无条件执行。</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11乙方权利义务</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11.1乙方应向甲方提供与项目服务有关的资质和人员资料（人员情况详见本合同附件）。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11.2乙方应坚持诚实信用原则安排足够的技术人员进行项目服务，并保证组成人员的稳定性。甲方有权要求乙方更换相关人员，乙方必须无条件遵守。</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11.3乙方应严格按照本合同约定的标准提供服务，不得擅自修改。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11.4乙方应严格按照本合同约定的期限提供服务。甲方有权根据现场情况要求乙方适当调整服务进度。</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11.5乙方应自行为其工作人员提供必要的工作、生活条件，并承担相关费用。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11.6乙方应自行解决开展服务</w:t>
      </w:r>
      <w:r>
        <w:rPr>
          <w:rFonts w:hint="eastAsia" w:ascii="line-height:1.5;" w:hAnsi="line-height:1.5;" w:cs="宋体"/>
          <w:sz w:val="24"/>
          <w:highlight w:val="none"/>
        </w:rPr>
        <w:t xml:space="preserve">工作所必需的</w:t>
      </w:r>
      <w:r>
        <w:rPr>
          <w:rFonts w:ascii="line-height:1.5;" w:hAnsi="line-height:1.5;" w:cs="宋体"/>
          <w:sz w:val="24"/>
          <w:highlight w:val="none"/>
        </w:rPr>
        <w:t xml:space="preserve">协调事项，并承担相关费用。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11.7乙方应负责整个项目实施过程中的资料汇总，如有需要，应当汇总后提交甲方。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11.8乙方应接受甲方（或甲方指定的第三方）的管理，并在任何时候都应接受甲方关于技术方面的咨询。</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11.9乙方应加强人员的安全教育，做好相应的安全保障，</w:t>
      </w:r>
      <w:r>
        <w:rPr>
          <w:rFonts w:hint="eastAsia" w:ascii="line-height:1.5;" w:hAnsi="line-height:1.5;" w:cs="宋体"/>
          <w:sz w:val="24"/>
          <w:highlight w:val="none"/>
        </w:rPr>
        <w:t xml:space="preserve">采取</w:t>
      </w:r>
      <w:r>
        <w:rPr>
          <w:rFonts w:ascii="line-height:1.5;" w:hAnsi="line-height:1.5;" w:cs="宋体"/>
          <w:sz w:val="24"/>
          <w:highlight w:val="none"/>
        </w:rPr>
        <w:t xml:space="preserve">必要的安全措施。项目实施过程中发生的一切安全事故责任，</w:t>
      </w:r>
      <w:r>
        <w:rPr>
          <w:rFonts w:hint="eastAsia" w:ascii="line-height:1.5;" w:hAnsi="line-height:1.5;" w:cs="宋体"/>
          <w:sz w:val="24"/>
          <w:highlight w:val="none"/>
        </w:rPr>
        <w:t xml:space="preserve">由</w:t>
      </w:r>
      <w:r>
        <w:rPr>
          <w:rFonts w:ascii="line-height:1.5;" w:hAnsi="line-height:1.5;" w:cs="宋体"/>
          <w:sz w:val="24"/>
          <w:highlight w:val="none"/>
        </w:rPr>
        <w:t xml:space="preserve">一方承担全部责任。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11.10乙方应对甲方原有设施设备等进行有效保护，如有损坏、污染，乙方负责维修，并承担相应损失赔偿。乙方对原有建筑物、设施设备可能构成安全隐患的服务方式，必须报请甲方同意后方可实施。</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11.11乙方应负责服务期间其现场的日常保洁与及时维护。</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11.12乙方应确保其对服务人员的劳动用工符合国家相关规定。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11.13乙方应遵守学校的各项规章制度，自觉保护甲方校内财产，提升节水节电意识，并对服务区内发现的物品损坏情况及时报告甲方，因乙方原因导致甲方财产无端浪费或损失的由乙方照价赔偿。</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11.14乙方有权要求甲方按照合同约定支付合同款。     </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12违约责任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12.1甲乙双方应严格执行合同条款，如有违约行为，应承担违约责任。任何一方承担违约责任后，并不免除其继续履行合同义务的责任。任何一方支付的违约金如果不能弥补因违约造成的损失，违约方还应向守约方承担损失赔偿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12.2合同签订生效后，如乙方单方面终止本合同的，应按合同总价30%向甲方支付违约金。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12.3乙方及其服务人员的资质必须符合国家规范标准和本合同约定的标准。否则，甲方有权单方解除合同并按照合同总价的30%要求乙方承担违约责任。    </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12.4乙方的服务时间必须符合本合同约定的期限，如工期延误，乙方应向甲方承担违约责任，违约金按合同工期每延误一天赔偿1000元计算。但是，违约金的支付不能解除乙方应完成服务工作的责任或合同规定的其他责任。乙方延迟履行超过30天的，甲方有权直接委托第三方完成部分剩余工作，相关费用由乙方全部承担。 </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12.5乙方的服务工作必须符合本合同约定的要求，未能达到则视为违约，甲方有权要求乙方整改。乙方承担因此造成的全部损失，同时应向甲方支付合同总价的10%作为违约金。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12.6乙方的服务成果必须符合国家标准和本合同约定的标准，确保验收合格。如乙方服务成果验收不合格，乙方应负责无偿给予整改使其达到验收合格。若乙方无力补充完善，需另委托其他单位时，须经甲方书面同意，且乙方应承担全部费用。乙方经整改两次（含）后验收仍然不合格的，甲方有权单方解除合同并按照合同总价的30%要求乙方承担违约责任。    </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12.7若发现乙方在服务现场遗留垃圾，甲方将通知乙方在指定时间内完成清理工作，否则甲方有权委托第三方处理垃圾，相关费用由乙方全部承担。甲方已经垫付相关费用的，有权从尚未支付的合同价款或履约保证金中扣除上述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12.8乙方不接受甲方（甲方指定的第三方）管理的，按不服从管理每次处罚1000元向甲方承担违约责任。因不服从管理造成甲方其他损失的，乙方还应承担相应损失的赔偿责任。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12.9人员到岗及履约要求：在合同履行过程中，乙方不得随意更换为本合同履行而必要的具有特殊资质的人员（如相关的技术人员）。如确需更换，乙方应事先获得甲方同意，做好相应的交接工作，并确保替换人员符合相应资质要求。如乙方擅自更换而未能及时通知甲方的，每次按人民币2000元扣罚，造成甲方其他损失的，乙方还应承担相应损失的赔偿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12.10本项目须由乙方自行完成，禁止擅自转让。若发现乙方擅自转让，甲方有权单方解除合同并按照合同总价的30%要求乙方承担违约责任，并视情况向有关行政主管部门报告。在上述情况下，乙方必须在15日内退场，并且不得提出任何对甲方不利的要求。对确需转让的特殊项目，乙方必须经甲方书面确认后方可转让，且乙方对所转让的项目负有同等、连带的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12.11关于索赔的特别规定：如乙方履约内容与国家标准、合同约定的要求不符，或未达到当地行政职能部门质量监督的检验结果，或证实是有缺陷的（包括潜在缺陷等），甲方有权向乙方提出索赔，乙方在收到甲方索赔通知后15天内应立即进行整改或弥补相应的缺陷并按照本合同约定的方式承担违约责任。如果乙方在收到通知后30天内没有进行整改或弥补缺陷，甲方可采取必要的补救措施，但风险和费用将由乙方承担，同时甲方对乙方行使</w:t>
      </w:r>
      <w:r>
        <w:rPr>
          <w:rFonts w:hint="eastAsia" w:ascii="line-height:1.5;" w:hAnsi="line-height:1.5;" w:cs="宋体"/>
          <w:sz w:val="24"/>
          <w:highlight w:val="none"/>
        </w:rPr>
        <w:t xml:space="preserve">的其他</w:t>
      </w:r>
      <w:r>
        <w:rPr>
          <w:rFonts w:ascii="line-height:1.5;" w:hAnsi="line-height:1.5;" w:cs="宋体"/>
          <w:sz w:val="24"/>
          <w:highlight w:val="none"/>
        </w:rPr>
        <w:t xml:space="preserve">权利不受影响。索赔方式除上述规定之外，甲方还有权选择以下一种或几种方式进行索赔：</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12.11.1解除合同。甲方选择单方面解除合同方式要求乙方承担违约责任的，乙方须赔偿甲方30%的合同款，并承担由此发生的一切损失和费用，包括甲方直接损失、利息、银行手续费、运费、保险费、仓储费、装卸费以及为解除合同所需</w:t>
      </w:r>
      <w:r>
        <w:rPr>
          <w:rFonts w:hint="eastAsia" w:ascii="line-height:1.5;" w:hAnsi="line-height:1.5;" w:cs="宋体"/>
          <w:sz w:val="24"/>
          <w:highlight w:val="none"/>
        </w:rPr>
        <w:t xml:space="preserve">的其他</w:t>
      </w:r>
      <w:r>
        <w:rPr>
          <w:rFonts w:ascii="line-height:1.5;" w:hAnsi="line-height:1.5;" w:cs="宋体"/>
          <w:sz w:val="24"/>
          <w:highlight w:val="none"/>
        </w:rPr>
        <w:t xml:space="preserve">必要费用。</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12.11.2整改或弥补缺陷。甲方选择整改或弥补缺陷方式要求乙方承担违约责任的，乙方须按照国家规范和合同约定进行整改或弥补缺陷，并赔偿甲方10%的合同款，且承担一切费用和风险并负担甲方所发生的一切直接费用。同时，乙方应按合同规定，相应免费延长合同服务期限。</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12</w:t>
      </w:r>
      <w:r>
        <w:rPr>
          <w:rFonts w:ascii="line-height:1.5;" w:hAnsi="line-height:1.5;" w:cs="宋体"/>
          <w:sz w:val="24"/>
          <w:highlight w:val="none"/>
        </w:rPr>
        <w:t xml:space="preserve">.11.3弥补损失。因乙方原因导致甲方产生损失的，乙方除免收受损失部分涉及的服务费外，并向甲方支付赔偿金，赔偿金为实际损失的100％。甲方有权从尚未支付的合同价款或履约保证金中扣除乙方应承担的违约金、赔偿金、甲方因急需整改或弥补缺陷而支付的各种费用、因索赔而发生的合理费用、因实现债权而发生的费用（包括但不限于保险费、评估费、登记费、保管费、提存费、鉴定费、诉讼费、仲裁费、财产保全费、差旅费、执行费、拍卖费、公证费、送达费、公告费、律师费等）。如上述金额不足以补偿索赔金额，甲方有权向乙方提出对不足部分的赔偿。</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13合同解除</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13.1协商解除</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13.1.1由于不可抗力因素致使合同无法履行时，双方应及时书面通知对方，并提交相关证明文件。合同已实现的义务必须兑现。对下续工作在可能的情况下，双方有责任继续履行。如对成立原合同的条件已发生较大变化，造成原合同部分或全部义务不能履行或不能按约定的条件履行时，双方应及时协商解除合同。</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13.1.2不可抗力因素包括但不限于自然灾害如水灾、火灾、旱灾、台风、地震，以及社会事件如战争（不论曾否宣战）、动乱、罢工、法律规定、政策调整、政府行为等。</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13.1.3如果出现不可抗力，双方在本合同中的义务在不可抗力影响范围及其持续期间内将中止履行。经另外一方确定的不可抗力影响时间，不计入本合同执行时间，本合同执行时间相应顺延。合同期限可根据中止的期限</w:t>
      </w:r>
      <w:r>
        <w:rPr>
          <w:rFonts w:hint="eastAsia" w:ascii="line-height:1.5;" w:hAnsi="line-height:1.5;" w:cs="宋体"/>
          <w:sz w:val="24"/>
          <w:highlight w:val="none"/>
        </w:rPr>
        <w:t xml:space="preserve">做</w:t>
      </w:r>
      <w:r>
        <w:rPr>
          <w:rFonts w:ascii="line-height:1.5;" w:hAnsi="line-height:1.5;" w:cs="宋体"/>
          <w:sz w:val="24"/>
          <w:highlight w:val="none"/>
        </w:rPr>
        <w:t xml:space="preserve">相应延长。任何一方均不会因此而承担违约责任。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13.1.4如果不可抗力影响超过60天，并且导致合同目的无法实现的，任何一方有权提出协商解除合同。双方经协商后签订合同解除协议处理后续事宜。任何一方均不会因此而承担违约责任。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13.1.5因非不可抗力因素，如规划调整、预算减少、需求取消等，甲方有权提前30日向乙方提出解除合同。双方经协商后签订合同解除协议处理后续事宜。甲方返还乙方履约保证金后不再承担其他任何责任。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13.1.6因非不可抗力因素，乙方提出解除合同的，乙方应当提前60日向甲方提出书面解除合同申请。经甲方同意解除合同后，双方签订合同解除协议处理后续事宜。但甲方不返还乙方履约保证金。</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13.2单方解除</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乙方出现下列情况，甲方有权单方解除合同，没收乙方履约保证金，并要求乙方按照本合同通用条款第12.2条之约定向甲方承担违约责任：</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13.2.1乙方冒用他人资质，或擅自将合同义务转让的；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13.2.2乙方延迟履行合同达30日的；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13.2.3乙方明确表示或者以自己的行为表明拒绝履行合同义务或执行甲方根据合同约定发出的指示的；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13.2.4乙方未按合同约定履行义务，经甲方催告后在30日内仍拒绝按约履行义务的；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13.2.5乙方项目验收（考核）不合格，经甲方催告后在30日内拒绝整改或经整改两次仍然不合格的；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13.2.6乙方在合同期间发生恶性安全事件，</w:t>
      </w:r>
      <w:r>
        <w:rPr>
          <w:rFonts w:hint="eastAsia" w:ascii="line-height:1.5;" w:hAnsi="line-height:1.5;" w:cs="宋体"/>
          <w:sz w:val="24"/>
          <w:highlight w:val="none"/>
        </w:rPr>
        <w:t xml:space="preserve">在社会上引起</w:t>
      </w:r>
      <w:r>
        <w:rPr>
          <w:rFonts w:ascii="line-height:1.5;" w:hAnsi="line-height:1.5;" w:cs="宋体"/>
          <w:sz w:val="24"/>
          <w:highlight w:val="none"/>
        </w:rPr>
        <w:t xml:space="preserve">不良反响的；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13.2.7乙方在合同期间因乙方原因造成甲方重大事故或损失（存在人员伤亡或造成损失达5000元）的。</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13.3退场约定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合同解除后15日内，乙方须无条件撤场。乙方撤场时必须保证甲方现场所有物品的完好无损，并向甲方移交经整理后的技术资料和文件。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14争议解决</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14.1本合同在履行过程中的争议，由双方当事人协商解决。</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14.2协商不成的，由甲方所在地人民法院管辖处理。</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15合同生效</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本合同自甲乙双方签字并盖章之日起生效。</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16组成文件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16.1下列文件及有关附件是本合同不可分割的组成部分，与本合同具有同等法律效力，这些文件包括但不限于：中标（成交）通知书、采购文件（招标文件、竞争性谈判文件、询价文件、答疑、图纸等）、报价文件（投标文件、其他报价文件等）、技术图纸等。</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16.2争议解释顺序：采购（招标）文件、合同、报价（投标）文件、双方商定的其他文件。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17通知条款</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17.1任何一方变更通讯接收人的地址、联系方式（电话、传真或邮箱等）必须书面通知对方。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17.2甲乙双方根据本合同发出的任何批准、证书、同意、决定、通知、索赔要求及其他涉法性文件应以中文撰写并以书面形式送达对方。</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17.3本条上述所有通讯以电子邮件形式发出的，则以该电子邮件进入对方指定的电子邮箱的时间为生效时间。但，本合同另有约定或接收方以书面形式向对方明确表示不予接受的除外。</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b/>
          <w:bCs/>
          <w:sz w:val="24"/>
          <w:highlight w:val="none"/>
        </w:rPr>
        <w:t xml:space="preserve">18其他约定</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18.1本合同未尽事宜由双方另行协商，并签署补充协议，补充协议与本合同具有同等法律效力。</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18.2知识产权归属：</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18.2.1鉴于乙方主要根据甲方提供的资料及资金进行项目服务，本合同项下产生的一切新成果的知识产权归甲方所有，乙方未经甲方同意不得擅自允许其它第三方阅读、使用及复制。</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18.2.2甲方有权利用乙方按照本合同约定提供的服务成果，进行</w:t>
      </w:r>
      <w:r>
        <w:rPr>
          <w:rFonts w:hint="eastAsia" w:ascii="line-height:1.5;" w:hAnsi="line-height:1.5;" w:cs="宋体"/>
          <w:sz w:val="24"/>
          <w:highlight w:val="none"/>
        </w:rPr>
        <w:t xml:space="preserve">后续</w:t>
      </w:r>
      <w:r>
        <w:rPr>
          <w:rFonts w:ascii="line-height:1.5;" w:hAnsi="line-height:1.5;" w:cs="宋体"/>
          <w:sz w:val="24"/>
          <w:highlight w:val="none"/>
        </w:rPr>
        <w:t xml:space="preserve">改进。由此产生的具有实质性或创造性技术进步特征的新的技术成果及其权利归属，由甲方享有。</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18.2.3乙方在未得到甲方书面授权，不得在完成本合同约定的服务工作后，利用该项目服务成果进行后续改进。如乙方擅自改进操作的由此产生的具有实质性或创造性技术进步特征的新的技术成果及其权利归属，仍归甲方享有。</w:t>
      </w:r>
      <w:r/>
    </w:p>
    <w:p>
      <w:pPr>
        <w:ind w:firstLine="480"/>
        <w:jc w:val="left"/>
        <w:spacing w:after="150"/>
        <w:shd w:val="clear" w:color="auto" w:fill="ffffff"/>
        <w:widowControl/>
        <w:rPr>
          <w:rFonts w:ascii="Source Sans Pro" w:hAnsi="Source Sans Pro" w:cs="宋体"/>
          <w:szCs w:val="21"/>
          <w:highlight w:val="none"/>
        </w:rPr>
      </w:pPr>
      <w:r>
        <w:rPr>
          <w:rFonts w:ascii="line-height:1.5;" w:hAnsi="line-height:1.5;" w:cs="宋体"/>
          <w:sz w:val="24"/>
          <w:highlight w:val="none"/>
        </w:rPr>
        <w:t xml:space="preserve">18.2.4乙方在得到甲方书面授权后，可以利用该项目服务成果进行后续改进。由此产生的具有实质性或创造性技术进步特征的新的技术成果及其权利归属，由双方共享。</w:t>
      </w:r>
      <w:r/>
    </w:p>
    <w:p>
      <w:pPr>
        <w:jc w:val="center"/>
        <w:spacing w:after="150" w:line="750" w:lineRule="atLeast"/>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第三部分 合同专用条款</w:t>
      </w:r>
      <w:r/>
    </w:p>
    <w:p>
      <w:pPr>
        <w:jc w:val="left"/>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1项目承包范围条款</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按照招标文件相关内容执行。</w:t>
      </w:r>
      <w:r/>
    </w:p>
    <w:p>
      <w:pPr>
        <w:jc w:val="left"/>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2项目价款条款</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按照招标文件相关内容执行。</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3</w:t>
      </w:r>
      <w:r>
        <w:rPr>
          <w:rFonts w:ascii="Source Sans Pro" w:hAnsi="Source Sans Pro" w:cs="宋体"/>
          <w:b/>
          <w:bCs/>
          <w:sz w:val="24"/>
          <w:highlight w:val="none"/>
        </w:rPr>
        <w:t xml:space="preserve">项目变更条款</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按照招标文件相关内容执行。</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4</w:t>
      </w:r>
      <w:r>
        <w:rPr>
          <w:rFonts w:ascii="Source Sans Pro" w:hAnsi="Source Sans Pro" w:cs="宋体"/>
          <w:b/>
          <w:bCs/>
          <w:sz w:val="24"/>
          <w:highlight w:val="none"/>
        </w:rPr>
        <w:t xml:space="preserve">项目考核（验收）条款</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4.1项目交付并完成正常运行</w:t>
      </w:r>
      <w:r>
        <w:rPr>
          <w:rFonts w:ascii="Source Sans Pro" w:hAnsi="Source Sans Pro" w:cs="宋体"/>
          <w:sz w:val="24"/>
          <w:highlight w:val="none"/>
        </w:rPr>
        <w:t xml:space="preserve">  </w:t>
      </w:r>
      <w:r>
        <w:rPr>
          <w:rFonts w:hint="eastAsia" w:ascii="Source Sans Pro" w:hAnsi="Source Sans Pro" w:cs="宋体"/>
          <w:sz w:val="24"/>
          <w:highlight w:val="none"/>
        </w:rPr>
        <w:t xml:space="preserve">5</w:t>
      </w:r>
      <w:r>
        <w:rPr>
          <w:rFonts w:ascii="Source Sans Pro" w:hAnsi="Source Sans Pro" w:cs="宋体"/>
          <w:sz w:val="24"/>
          <w:highlight w:val="none"/>
        </w:rPr>
        <w:t xml:space="preserve"> </w:t>
      </w:r>
      <w:r>
        <w:rPr>
          <w:rFonts w:hint="eastAsia" w:ascii="Source Sans Pro" w:hAnsi="Source Sans Pro" w:cs="宋体"/>
          <w:sz w:val="24"/>
          <w:highlight w:val="none"/>
        </w:rPr>
        <w:t xml:space="preserve">天后，由供货商提出验收申请，承办单位同意后，按照学校验收的权限，相关部门及人员形成验收小组，验收小组根据采购文件、投标文件、合同等约定的内容对项目进行综合运行验收。如验收达不到规定要求，采购人有权要求更换货物或拒绝付款，供应商若违约，采购人将依法追究相应法律责任。</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4.2履约验收方案：</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（1）验收目标：</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确保平台的功能和性能符合采购方的需求和期望。</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验证平台的稳定性、可靠性和安全性。</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确认供货单位提供的培训和技术支持是否到位，以便采购方能够充分利用平台的功能和资源。</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（2）验收内容：</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功能验收：验证平台的各项功能是否按照合同约定和采购方的需求进行研发和实现。</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性能验收：测试平台在正常工作负载下的性能表现，包括响应时间、并发处理能力等指标的测试和评估。</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培训验收：确认供货单位提供的培训是否满足采购方的需求。  </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（3）验收标准：</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平台的各项功能能够正常运行，并满足采购方的需求和期望。</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平台在正常工作负载下具备良好的性能表现，满足采购方的使用要求。</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供货单位提供的培训满足学校的需求，教师能够熟练使用平台的功能。</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供货单位提供的技术支持及时、有效，能够解决平台使用过程中的问题和困难。</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5</w:t>
      </w:r>
      <w:r>
        <w:rPr>
          <w:rFonts w:ascii="Source Sans Pro" w:hAnsi="Source Sans Pro" w:cs="宋体"/>
          <w:b/>
          <w:bCs/>
          <w:sz w:val="24"/>
          <w:highlight w:val="none"/>
        </w:rPr>
        <w:t xml:space="preserve">项目质保条款（服务承诺条款）</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（1）免费质保期</w:t>
      </w:r>
      <w:r>
        <w:rPr>
          <w:rFonts w:hint="eastAsia" w:ascii="Source Sans Pro" w:hAnsi="Source Sans Pro" w:cs="宋体"/>
          <w:sz w:val="24"/>
          <w:highlight w:val="none"/>
          <w:u w:val="single"/>
        </w:rPr>
        <w:t xml:space="preserve">          </w:t>
      </w:r>
      <w:r>
        <w:rPr>
          <w:rFonts w:hint="eastAsia" w:ascii="Source Sans Pro" w:hAnsi="Source Sans Pro" w:cs="宋体"/>
          <w:sz w:val="24"/>
          <w:highlight w:val="none"/>
        </w:rPr>
        <w:t xml:space="preserve">年。免费质保期从货物供货、安装、调试正常且经综合运行验收合格后开始计算。免费质保期以整个项目为单位进行响应。</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（2）质保期内，中标人应提供免费的售后服务，包括但不限于平台的维护、升级、故障排除等服务。</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（3）质保期届满后，中标人应继续提供售后服务，如平台维护、扩充、升级等方面的技术支持服务，招标人应支付相应的服务费用。按照学校经费支出管理办法执行。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（4）售后及服务标准要求： </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（1）售后服务总体要求</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投标人应提供全面、及时、有效的售后服务，确保数字孪生智慧运维平台在整个生命周期内稳定、高效运行。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售后服务应包括技术支持、培训、故障处理、软件升级等方面，满足项目的实际需求。</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投标人应建立完善的售后服务体系，明确售后服务流程和响应时间，确保招标人能够及时获得帮助。</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（2）售后服务阶段划分及要求</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1）第一阶段：完成约定功能并试运行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技术支持：</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在项目交付后，中标人应安排专业技术人员对平台进行现场部署和调试，确保平台能够正常运行。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提供 7×24 小时技术咨询服务等，及时解答招标人在试运行过程中遇到的问题。</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定期对平台进行巡检，检查平台运行状态，及时发现并解决潜在问题。</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培训服务：</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中标人为招标人提供平台操作培训，包括平台功能介绍、操作流程演示等，确保招标人能够熟练使用平台。</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提供培训文档和视频教程，方便招标人随时查阅学习。</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培训内容应涵盖平台的各个功能模块，以及常见问题的解决方法。</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故障处理：</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在试运行期间，对平台出现的故障进行及时排查和修复，确保平台正常运行。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建立故障报告制度，记录故障现象、原因和处理方法，为后续维护提供参考。</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对于重大故障，供应商应在规定时间内到达现场进行处理，并提供应急解决方案。</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数据备份与恢复：</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定期对平台数据进行备份，确保数据安全。</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提供数据恢复服务，在数据丢失或损坏时能够及时恢复数据。</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备份数据应存储在安全可靠的位置，并定期进行验证和更新</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2）第二阶段：试运行功能完善升级</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功能优化：</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中标人根据招标人反馈和实际需求，对平台功能进行优化和改进，提高平台的易用性和实用性。</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持续关注行业技术发展动态，及时引入新的技术和功能，提升平台的竞争力。</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对优化后的功能进行充分测试，确保平台稳定运行。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性能提升：</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对平台性能进行监测和分析，找出性能瓶颈并进行优化，提高平台的响应速度和稳定性。</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进行压力测试和负载测试，确保平台在高并发情况下能够正常运行。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优化数据库设计和查询语句，提高数据存储和检索效率。</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安全加固：</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定期对平台进行安全漏洞扫描和修复，确保平台安全。</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加强用户权限管理，防止未经授权的访问和操作。</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采用加密技术保护用户数据的传输和存储安全。</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培训更新：</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随着平台功能的优化和升级，及时为招标人提供更新后的培训服务，确保招标人能够掌握新的功能和操作方法。</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培训方式可以采用现场培训、在线培训或视频教程等形式。</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3）第三阶段：正式运行升级</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持续维护：</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中标人应提供长期的技术支持和维护服务，确保平台稳定运行。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定期对平台进行巡检和维护，及时发现并解决潜在问题。</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对平台进行定期升级，包括版本升级迭代、安全补丁更新等。</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功能扩展：</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中标人应根据招标人需求和业务发展，对平台进行功能扩展和升级，满足不断变化的业务需求。</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在进行功能扩展时，应充分考虑平台的兼容性和可扩展性，确保新功能能够与现有平台无缝集成。</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对扩展后的功能进行充分测试，确保平台稳定运行。</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数据分析与决策支持：</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对平台运行数据进行分析，为招标人提供决策支持和优化建议。</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建立数据分析模型，挖掘数据价值，提高业务效率和管理水平。</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定期向招标人提供数据分析报告，展示平台运行情况和业务发展趋势。</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服务评估与改进：</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中标人及时收集招标人反馈，了解招标人需求和意见，及时调整售后服务策略。</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建立服务质量考核机制，对售后服务人员的工作进行考核和评价。</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（3）其他要求</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中标人应提供售后服务承诺书，明确售后服务的内容、响应时间、费用等方面的承诺。</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中标人应建立售后服务团队，配备专业的技术人员和服务人员，确保售后服务的质量和效率。</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中标人应定期向招标人汇报售后服务工作进展情况，接受招标人的监督和评价。</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本招标文件中未明确的售后服务内容，中标人应根据项目实际需求和行业标准进行提供。</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6</w:t>
      </w:r>
      <w:r>
        <w:rPr>
          <w:rFonts w:ascii="Source Sans Pro" w:hAnsi="Source Sans Pro" w:cs="宋体"/>
          <w:b/>
          <w:bCs/>
          <w:sz w:val="24"/>
          <w:highlight w:val="none"/>
        </w:rPr>
        <w:t xml:space="preserve">项目付款条款</w:t>
      </w:r>
      <w:r/>
    </w:p>
    <w:p>
      <w:pPr>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6.1经双方协商一致，选择以下第     种付款方式</w:t>
      </w:r>
      <w:r/>
    </w:p>
    <w:p>
      <w:pPr>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付款条件一：提交预付款保函的：</w:t>
      </w:r>
      <w:r/>
    </w:p>
    <w:p>
      <w:pPr>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合同签订且乙方向甲方出具预付款保函后十日内，甲方应支付合同价款的百分之四十（40%）小写    ，大写：     ；验收合格后十日内，甲方应支付合同价款的百分之六十（60%）小写     ，大写：人民币        。</w:t>
      </w:r>
      <w:r/>
    </w:p>
    <w:p>
      <w:pPr>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付款条件二：不提交预付款保函的：</w:t>
      </w:r>
      <w:r/>
    </w:p>
    <w:p>
      <w:pPr>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合同签订后十日内，采购货物到达采购方指定地点后十日内预付合同款的30%；小写      ，大写：         人民币  ；验收合格后，甲方应支付合同价款的百分之七十（70%）小写       ，大写：人民币     。</w:t>
      </w:r>
      <w:r/>
    </w:p>
    <w:p>
      <w:pPr>
        <w:rPr>
          <w:rFonts w:ascii="Helvetica" w:hAnsi="Helvetica" w:eastAsia="Helvetica" w:cs="Helvetica"/>
          <w:sz w:val="24"/>
          <w:highlight w:val="none"/>
          <w:shd w:val="clear" w:color="auto" w:fill="ffffff"/>
        </w:rPr>
      </w:pPr>
      <w:r>
        <w:rPr>
          <w:rFonts w:hint="eastAsia" w:ascii="Helvetica" w:hAnsi="Helvetica" w:cs="Helvetica"/>
          <w:sz w:val="24"/>
          <w:highlight w:val="none"/>
          <w:shd w:val="clear" w:color="auto" w:fill="ffffff"/>
        </w:rPr>
        <w:t xml:space="preserve">6</w:t>
      </w:r>
      <w:r>
        <w:rPr>
          <w:rFonts w:hint="eastAsia" w:ascii="Helvetica" w:hAnsi="Helvetica" w:eastAsia="Helvetica" w:cs="Helvetica"/>
          <w:sz w:val="24"/>
          <w:highlight w:val="none"/>
          <w:shd w:val="clear" w:color="auto" w:fill="ffffff"/>
        </w:rPr>
        <w:t xml:space="preserve">.</w:t>
      </w:r>
      <w:r>
        <w:rPr>
          <w:rFonts w:hint="eastAsia" w:ascii="Helvetica" w:hAnsi="Helvetica" w:cs="Helvetica"/>
          <w:sz w:val="24"/>
          <w:highlight w:val="none"/>
          <w:shd w:val="clear" w:color="auto" w:fill="ffffff"/>
        </w:rPr>
        <w:t xml:space="preserve">2</w:t>
      </w:r>
      <w:r>
        <w:rPr>
          <w:rFonts w:hint="eastAsia" w:ascii="Helvetica" w:hAnsi="Helvetica" w:eastAsia="Helvetica" w:cs="Helvetica"/>
          <w:sz w:val="24"/>
          <w:highlight w:val="none"/>
          <w:shd w:val="clear" w:color="auto" w:fill="ffffff"/>
        </w:rPr>
        <w:t xml:space="preserve">乙方应当在评审结果公示日起三日内向甲方缴纳履约保证金_____ 元。</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7</w:t>
      </w:r>
      <w:r>
        <w:rPr>
          <w:rFonts w:ascii="Source Sans Pro" w:hAnsi="Source Sans Pro" w:cs="宋体"/>
          <w:b/>
          <w:bCs/>
          <w:sz w:val="24"/>
          <w:highlight w:val="none"/>
        </w:rPr>
        <w:t xml:space="preserve">违约责任</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7</w:t>
      </w:r>
      <w:r>
        <w:rPr>
          <w:rFonts w:ascii="Source Sans Pro" w:hAnsi="Source Sans Pro" w:cs="宋体"/>
          <w:sz w:val="24"/>
          <w:highlight w:val="none"/>
        </w:rPr>
        <w:t xml:space="preserve">.1乙方及其服务人员的资质必须符合相关国家规范标准和本合同约定的标准。否则，甲方有权单方解除合同并按照合同总价款的30%要求乙方承担违约责任。</w:t>
      </w:r>
      <w:r>
        <w:rPr>
          <w:rFonts w:ascii="Cambria" w:hAnsi="Cambria" w:cs="Cambria"/>
          <w:sz w:val="24"/>
          <w:highlight w:val="none"/>
        </w:rPr>
        <w:t xml:space="preserve">    </w:t>
      </w:r>
      <w:r/>
    </w:p>
    <w:p>
      <w:pPr>
        <w:jc w:val="left"/>
        <w:spacing w:after="150"/>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7</w:t>
      </w:r>
      <w:r>
        <w:rPr>
          <w:rFonts w:ascii="Source Sans Pro" w:hAnsi="Source Sans Pro" w:cs="宋体"/>
          <w:sz w:val="24"/>
          <w:highlight w:val="none"/>
        </w:rPr>
        <w:t xml:space="preserve">.2合同工期执行乙方自报工期，如工期延误，乙方应向甲方承担违约责任，违约金按合同工期每延误一天赔偿1000元计算。但是，违约金的支付不能解除乙方应完成服务工作的责任或合同规定的其他责任。当甲方认为有必要时（延迟履行超过15天），可以委托第三方完成部分剩余工作，由乙方承担全部责任。</w:t>
      </w:r>
      <w:r>
        <w:rPr>
          <w:rFonts w:ascii="Cambria" w:hAnsi="Cambria" w:cs="Cambria"/>
          <w:sz w:val="24"/>
          <w:highlight w:val="none"/>
        </w:rPr>
        <w:t xml:space="preserve"> </w:t>
      </w:r>
      <w:r/>
    </w:p>
    <w:p>
      <w:pPr>
        <w:jc w:val="left"/>
        <w:shd w:val="clear" w:color="auto" w:fill="ffffff"/>
        <w:widowControl/>
        <w:rPr>
          <w:rFonts w:ascii="Source Sans Pro" w:hAnsi="Source Sans Pro" w:cs="宋体"/>
          <w:sz w:val="24"/>
          <w:highlight w:val="none"/>
        </w:rPr>
      </w:pPr>
      <w:r>
        <w:rPr>
          <w:rFonts w:hint="eastAsia" w:ascii="Source Sans Pro" w:hAnsi="Source Sans Pro" w:cs="宋体"/>
          <w:sz w:val="24"/>
          <w:highlight w:val="none"/>
        </w:rPr>
        <w:t xml:space="preserve">7</w:t>
      </w:r>
      <w:r>
        <w:rPr>
          <w:rFonts w:ascii="Source Sans Pro" w:hAnsi="Source Sans Pro" w:cs="宋体"/>
          <w:sz w:val="24"/>
          <w:highlight w:val="none"/>
        </w:rPr>
        <w:t xml:space="preserve">.3由于乙方提供的服务成果验收不合格，乙方应负责无偿给予补充完善使其达到验收合格。若乙方无力补充完善，需另委托其他单位时，须经甲方书面同意，且乙方应承担全部服务费用。因乙方原因导致甲方产生损失的，乙方除免收受损失部分涉及的服务费外，并向甲方支付赔偿金，赔偿金为实际损失的100％。</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8</w:t>
      </w:r>
      <w:r>
        <w:rPr>
          <w:rFonts w:ascii="Source Sans Pro" w:hAnsi="Source Sans Pro" w:cs="宋体"/>
          <w:b/>
          <w:bCs/>
          <w:sz w:val="24"/>
          <w:highlight w:val="none"/>
        </w:rPr>
        <w:t xml:space="preserve">合同解除</w:t>
      </w:r>
      <w:r/>
    </w:p>
    <w:p>
      <w:pPr>
        <w:jc w:val="left"/>
        <w:shd w:val="clear" w:color="auto" w:fill="ffffff"/>
        <w:widowControl/>
        <w:rPr>
          <w:rFonts w:ascii="Source Sans Pro" w:hAnsi="Source Sans Pro" w:cs="宋体"/>
          <w:sz w:val="24"/>
          <w:highlight w:val="none"/>
        </w:rPr>
      </w:pPr>
      <w:r>
        <w:rPr>
          <w:rFonts w:ascii="Source Sans Pro" w:hAnsi="Source Sans Pro" w:cs="宋体"/>
          <w:sz w:val="24"/>
          <w:highlight w:val="none"/>
        </w:rPr>
        <w:t xml:space="preserve">执行通用条款</w:t>
      </w:r>
      <w:r/>
    </w:p>
    <w:p>
      <w:pPr>
        <w:jc w:val="left"/>
        <w:spacing w:after="150"/>
        <w:shd w:val="clear" w:color="auto" w:fill="ffffff"/>
        <w:widowControl/>
        <w:rPr>
          <w:rFonts w:ascii="Source Sans Pro" w:hAnsi="Source Sans Pro" w:cs="宋体"/>
          <w:b/>
          <w:bCs/>
          <w:sz w:val="24"/>
          <w:highlight w:val="none"/>
        </w:rPr>
      </w:pPr>
      <w:r>
        <w:rPr>
          <w:rFonts w:hint="eastAsia" w:ascii="Source Sans Pro" w:hAnsi="Source Sans Pro" w:cs="宋体"/>
          <w:b/>
          <w:bCs/>
          <w:sz w:val="24"/>
          <w:highlight w:val="none"/>
        </w:rPr>
        <w:t xml:space="preserve">9</w:t>
      </w:r>
      <w:r>
        <w:rPr>
          <w:rFonts w:ascii="Source Sans Pro" w:hAnsi="Source Sans Pro" w:cs="宋体"/>
          <w:b/>
          <w:bCs/>
          <w:sz w:val="24"/>
          <w:highlight w:val="none"/>
        </w:rPr>
        <w:t xml:space="preserve">争议解决</w:t>
      </w:r>
      <w:r/>
    </w:p>
    <w:p>
      <w:pPr>
        <w:jc w:val="left"/>
        <w:shd w:val="clear" w:color="auto" w:fill="ffffff"/>
        <w:widowControl/>
        <w:rPr>
          <w:rFonts w:ascii="Source Sans Pro" w:hAnsi="Source Sans Pro" w:cs="宋体"/>
          <w:sz w:val="24"/>
          <w:highlight w:val="none"/>
        </w:rPr>
      </w:pPr>
      <w:r>
        <w:rPr>
          <w:rFonts w:ascii="Source Sans Pro" w:hAnsi="Source Sans Pro" w:cs="宋体"/>
          <w:sz w:val="24"/>
          <w:highlight w:val="none"/>
        </w:rPr>
        <w:t xml:space="preserve">执行通用条款</w:t>
      </w:r>
      <w:r/>
    </w:p>
    <w:p>
      <w:pPr>
        <w:jc w:val="left"/>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1</w:t>
      </w:r>
      <w:r>
        <w:rPr>
          <w:rFonts w:hint="eastAsia" w:ascii="Source Sans Pro" w:hAnsi="Source Sans Pro" w:cs="宋体"/>
          <w:b/>
          <w:bCs/>
          <w:sz w:val="24"/>
          <w:highlight w:val="none"/>
        </w:rPr>
        <w:t xml:space="preserve">0</w:t>
      </w:r>
      <w:r>
        <w:rPr>
          <w:rFonts w:ascii="Source Sans Pro" w:hAnsi="Source Sans Pro" w:cs="宋体"/>
          <w:b/>
          <w:bCs/>
          <w:sz w:val="24"/>
          <w:highlight w:val="none"/>
        </w:rPr>
        <w:t xml:space="preserve">合同生效</w:t>
      </w:r>
      <w:r/>
    </w:p>
    <w:p>
      <w:pPr>
        <w:jc w:val="left"/>
        <w:shd w:val="clear" w:color="auto" w:fill="ffffff"/>
        <w:widowControl/>
        <w:rPr>
          <w:rFonts w:ascii="Source Sans Pro" w:hAnsi="Source Sans Pro" w:cs="宋体"/>
          <w:sz w:val="24"/>
          <w:highlight w:val="none"/>
        </w:rPr>
      </w:pPr>
      <w:r>
        <w:rPr>
          <w:rFonts w:ascii="Source Sans Pro" w:hAnsi="Source Sans Pro" w:cs="宋体"/>
          <w:sz w:val="24"/>
          <w:highlight w:val="none"/>
        </w:rPr>
        <w:t xml:space="preserve">执行通用条款</w:t>
      </w:r>
      <w:r/>
    </w:p>
    <w:p>
      <w:pPr>
        <w:jc w:val="left"/>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1</w:t>
      </w:r>
      <w:r>
        <w:rPr>
          <w:rFonts w:hint="eastAsia" w:ascii="Source Sans Pro" w:hAnsi="Source Sans Pro" w:cs="宋体"/>
          <w:b/>
          <w:bCs/>
          <w:sz w:val="24"/>
          <w:highlight w:val="none"/>
        </w:rPr>
        <w:t xml:space="preserve">1</w:t>
      </w:r>
      <w:r>
        <w:rPr>
          <w:rFonts w:ascii="Source Sans Pro" w:hAnsi="Source Sans Pro" w:cs="宋体"/>
          <w:b/>
          <w:bCs/>
          <w:sz w:val="24"/>
          <w:highlight w:val="none"/>
        </w:rPr>
        <w:t xml:space="preserve">组成文件</w:t>
      </w:r>
      <w:r/>
    </w:p>
    <w:p>
      <w:pPr>
        <w:jc w:val="left"/>
        <w:shd w:val="clear" w:color="auto" w:fill="ffffff"/>
        <w:widowControl/>
        <w:rPr>
          <w:rFonts w:ascii="Source Sans Pro" w:hAnsi="Source Sans Pro" w:cs="宋体"/>
          <w:sz w:val="24"/>
          <w:highlight w:val="none"/>
        </w:rPr>
      </w:pPr>
      <w:r>
        <w:rPr>
          <w:rFonts w:ascii="Source Sans Pro" w:hAnsi="Source Sans Pro" w:cs="宋体"/>
          <w:sz w:val="24"/>
          <w:highlight w:val="none"/>
        </w:rPr>
        <w:t xml:space="preserve">执行通用条款</w:t>
      </w:r>
      <w:r/>
    </w:p>
    <w:p>
      <w:pPr>
        <w:jc w:val="left"/>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1</w:t>
      </w:r>
      <w:r>
        <w:rPr>
          <w:rFonts w:hint="eastAsia" w:ascii="Source Sans Pro" w:hAnsi="Source Sans Pro" w:cs="宋体"/>
          <w:b/>
          <w:bCs/>
          <w:sz w:val="24"/>
          <w:highlight w:val="none"/>
        </w:rPr>
        <w:t xml:space="preserve">2</w:t>
      </w:r>
      <w:r>
        <w:rPr>
          <w:rFonts w:ascii="Source Sans Pro" w:hAnsi="Source Sans Pro" w:cs="宋体"/>
          <w:b/>
          <w:bCs/>
          <w:sz w:val="24"/>
          <w:highlight w:val="none"/>
        </w:rPr>
        <w:t xml:space="preserve">通知条款</w:t>
      </w:r>
      <w:r/>
    </w:p>
    <w:p>
      <w:pPr>
        <w:jc w:val="left"/>
        <w:shd w:val="clear" w:color="auto" w:fill="ffffff"/>
        <w:widowControl/>
        <w:rPr>
          <w:rFonts w:ascii="Source Sans Pro" w:hAnsi="Source Sans Pro" w:cs="宋体"/>
          <w:sz w:val="24"/>
          <w:highlight w:val="none"/>
        </w:rPr>
      </w:pPr>
      <w:r>
        <w:rPr>
          <w:rFonts w:ascii="Source Sans Pro" w:hAnsi="Source Sans Pro" w:cs="宋体"/>
          <w:sz w:val="24"/>
          <w:highlight w:val="none"/>
        </w:rPr>
        <w:t xml:space="preserve">执行通用条款</w:t>
      </w:r>
      <w:r/>
    </w:p>
    <w:p>
      <w:pPr>
        <w:jc w:val="left"/>
        <w:spacing w:after="150"/>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1</w:t>
      </w:r>
      <w:r>
        <w:rPr>
          <w:rFonts w:hint="eastAsia" w:ascii="Source Sans Pro" w:hAnsi="Source Sans Pro" w:cs="宋体"/>
          <w:b/>
          <w:bCs/>
          <w:sz w:val="24"/>
          <w:highlight w:val="none"/>
        </w:rPr>
        <w:t xml:space="preserve">3</w:t>
      </w:r>
      <w:r>
        <w:rPr>
          <w:rFonts w:ascii="Source Sans Pro" w:hAnsi="Source Sans Pro" w:cs="宋体"/>
          <w:b/>
          <w:bCs/>
          <w:sz w:val="24"/>
          <w:highlight w:val="none"/>
        </w:rPr>
        <w:t xml:space="preserve">其他约定</w:t>
      </w:r>
      <w:r/>
    </w:p>
    <w:p>
      <w:pPr>
        <w:jc w:val="left"/>
        <w:shd w:val="clear" w:color="auto" w:fill="ffffff"/>
        <w:widowControl/>
        <w:rPr>
          <w:rFonts w:ascii="Source Sans Pro" w:hAnsi="Source Sans Pro" w:cs="宋体"/>
          <w:sz w:val="24"/>
          <w:highlight w:val="none"/>
        </w:rPr>
      </w:pPr>
      <w:r>
        <w:rPr>
          <w:rFonts w:ascii="Source Sans Pro" w:hAnsi="Source Sans Pro" w:cs="宋体"/>
          <w:sz w:val="24"/>
          <w:highlight w:val="none"/>
        </w:rPr>
        <w:t xml:space="preserve">执行通用条款</w:t>
      </w:r>
      <w:r/>
    </w:p>
    <w:p>
      <w:pPr>
        <w:jc w:val="center"/>
        <w:spacing w:after="150" w:line="750" w:lineRule="atLeast"/>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jc w:val="center"/>
        <w:spacing w:after="150" w:line="750" w:lineRule="atLeast"/>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r>
      <w:r/>
    </w:p>
    <w:p>
      <w:pPr>
        <w:jc w:val="center"/>
        <w:spacing w:after="150" w:line="750" w:lineRule="atLeast"/>
        <w:shd w:val="clear" w:color="auto" w:fill="ffffff"/>
        <w:widowControl/>
        <w:rPr>
          <w:rFonts w:ascii="Source Sans Pro" w:hAnsi="Source Sans Pro" w:cs="宋体"/>
          <w:b/>
          <w:bCs/>
          <w:sz w:val="24"/>
          <w:highlight w:val="none"/>
        </w:rPr>
      </w:pPr>
      <w:r>
        <w:rPr>
          <w:rFonts w:ascii="Source Sans Pro" w:hAnsi="Source Sans Pro" w:cs="宋体"/>
          <w:b/>
          <w:bCs/>
          <w:sz w:val="24"/>
          <w:highlight w:val="none"/>
        </w:rPr>
        <w:t xml:space="preserve">第四部分 附件</w:t>
      </w:r>
      <w:r/>
    </w:p>
    <w:p>
      <w:pPr>
        <w:jc w:val="left"/>
        <w:spacing w:after="150"/>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附件1 乙方服务项目报价清单（含详细价格组成：人工单价、材料单价、数量、合价等）</w:t>
      </w:r>
      <w:r/>
    </w:p>
    <w:p>
      <w:pPr>
        <w:jc w:val="left"/>
        <w:spacing w:after="150"/>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附件2 乙方服务项目技术要求（含项目具体功能）</w:t>
      </w:r>
      <w:r/>
    </w:p>
    <w:p>
      <w:pPr>
        <w:jc w:val="left"/>
        <w:spacing w:after="150"/>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附件3 乙方服务项目人员清单（含负责人和主要技术人员）</w:t>
      </w:r>
      <w:r/>
    </w:p>
    <w:p>
      <w:pPr>
        <w:jc w:val="left"/>
        <w:spacing w:after="150"/>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附件4 乙方服务项目验收（考核）评分标准</w:t>
      </w:r>
      <w:r/>
    </w:p>
    <w:p>
      <w:pPr>
        <w:jc w:val="left"/>
        <w:spacing w:after="150"/>
        <w:shd w:val="clear" w:color="auto" w:fill="ffffff"/>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1．短期服务合同需要进行单次验收（考核）工作，籍此作为合同付款成立的条件。甲方承办人员应当在合同专用条款中填写验收合格的分数标准（不得低于60分）。</w:t>
      </w:r>
      <w:r/>
    </w:p>
    <w:p>
      <w:pPr>
        <w:jc w:val="left"/>
        <w:spacing w:after="150"/>
        <w:shd w:val="clear" w:color="auto" w:fill="ffffff"/>
        <w:widowControl/>
        <w:rPr>
          <w:rFonts w:hint="eastAsia" w:ascii="宋体" w:hAnsi="宋体"/>
          <w:bCs/>
          <w:sz w:val="28"/>
          <w:szCs w:val="28"/>
          <w:highlight w:val="none"/>
        </w:rPr>
      </w:pPr>
      <w:r>
        <w:rPr>
          <w:rFonts w:hint="eastAsia" w:asciiTheme="minorEastAsia" w:hAnsiTheme="minorEastAsia" w:eastAsiaTheme="minorEastAsia" w:cstheme="minorEastAsia"/>
          <w:b/>
          <w:bCs/>
          <w:sz w:val="24"/>
          <w:highlight w:val="none"/>
        </w:rPr>
        <w:t xml:space="preserve">2．验收（考核）评分细则。</w:t>
      </w:r>
      <w:r/>
    </w:p>
    <w:p>
      <w:pPr>
        <w:rPr>
          <w:rFonts w:ascii="Helvetica" w:hAnsi="Helvetica" w:eastAsia="Helvetica" w:cs="Helvetica"/>
          <w:sz w:val="24"/>
          <w:highlight w:val="none"/>
          <w:shd w:val="clear" w:color="auto" w:fill="ffffff"/>
        </w:rPr>
      </w:pPr>
      <w:r>
        <w:rPr>
          <w:rFonts w:ascii="Helvetica" w:hAnsi="Helvetica" w:eastAsia="Helvetica" w:cs="Helvetica"/>
          <w:sz w:val="24"/>
          <w:highlight w:val="none"/>
          <w:shd w:val="clear" w:color="auto" w:fill="ffffff"/>
        </w:rPr>
      </w:r>
      <w:r/>
    </w:p>
    <w:p>
      <w:pPr>
        <w:rPr>
          <w:highlight w:val="none"/>
        </w:rPr>
      </w:pPr>
      <w:r>
        <w:rPr>
          <w:highlight w:val="none"/>
        </w:rPr>
      </w:r>
      <w:r/>
    </w:p>
    <w:p>
      <w:pPr>
        <w:rPr>
          <w:highlight w:val="none"/>
        </w:rPr>
      </w:pPr>
      <w:r>
        <w:rPr>
          <w:highlight w:val="none"/>
        </w:rPr>
      </w:r>
      <w:r/>
    </w:p>
    <w:p>
      <w:pPr>
        <w:pStyle w:val="810"/>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before="120" w:after="120" w:line="400" w:lineRule="exact"/>
        <w:rPr>
          <w:b/>
          <w:sz w:val="32"/>
          <w:szCs w:val="32"/>
          <w:highlight w:val="none"/>
        </w:rPr>
      </w:pPr>
      <w:r>
        <w:rPr>
          <w:rFonts w:hint="eastAsia" w:ascii="宋体" w:hAnsi="宋体" w:cs="宋体"/>
          <w:b/>
          <w:sz w:val="32"/>
          <w:szCs w:val="32"/>
          <w:highlight w:val="none"/>
        </w:rPr>
        <w:t xml:space="preserve">第六章  采购需求</w:t>
      </w:r>
      <w:r/>
    </w:p>
    <w:p>
      <w:pPr>
        <w:spacing w:line="360" w:lineRule="auto"/>
        <w:rPr>
          <w:rFonts w:hint="eastAsia" w:ascii="宋体" w:hAnsi="宋体"/>
          <w:sz w:val="24"/>
          <w:highlight w:val="none"/>
        </w:rPr>
      </w:pPr>
      <w:r>
        <w:rPr>
          <w:rFonts w:hint="eastAsia" w:ascii="宋体" w:hAnsi="宋体"/>
          <w:b/>
          <w:bCs/>
          <w:sz w:val="24"/>
          <w:highlight w:val="none"/>
        </w:rPr>
        <w:t xml:space="preserve">一、本项目不接受超过90万元人民币（采购预算金额）的投标报价。</w:t>
      </w:r>
      <w:r>
        <w:rPr>
          <w:rFonts w:hint="eastAsia" w:ascii="宋体" w:hAnsi="宋体"/>
          <w:sz w:val="24"/>
          <w:highlight w:val="none"/>
        </w:rPr>
        <w:t xml:space="preserve">报价包括产品价、税金、运费、加工调试、安装、检验、保险等全部费用。采购人不再支付报价以外的任何费用。</w:t>
      </w:r>
      <w:r/>
    </w:p>
    <w:p>
      <w:pPr>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二、项目概况</w:t>
      </w:r>
      <w:r/>
    </w:p>
    <w:p>
      <w:pPr>
        <w:ind w:firstLine="480"/>
        <w:spacing w:line="400" w:lineRule="exact"/>
        <w:rPr>
          <w:rFonts w:hint="eastAsia" w:ascii="宋体" w:hAnsi="宋体"/>
          <w:sz w:val="24"/>
          <w:highlight w:val="none"/>
        </w:rPr>
      </w:pPr>
      <w:r>
        <w:rPr>
          <w:rFonts w:hint="eastAsia" w:ascii="宋体" w:hAnsi="宋体"/>
          <w:sz w:val="24"/>
          <w:highlight w:val="none"/>
        </w:rPr>
        <w:t xml:space="preserve">针对智能建造产业技术创新中心实验室物理空间开展数字孪生建筑运维技术研发服务，包括：①依托BIM、物联网等技术，建立实验室物理空间的数字孪生模型，并研发构建建筑智慧运维体系底层平台架构；②结合数字孪生建筑智慧运维体系底层平台架构和实验室运维场景，完成对传感器、摄像头、水电监测、能源监测、环境监测、人员监测等物联设备的规划、布置及物联网络体系的</w:t>
      </w:r>
      <w:r>
        <w:rPr>
          <w:rFonts w:hint="eastAsia" w:ascii="宋体" w:hAnsi="宋体"/>
          <w:sz w:val="24"/>
          <w:highlight w:val="none"/>
        </w:rPr>
        <w:t xml:space="preserve">搭建；③针对各类物联设备，构建对应的数据采集、存储、传输体系和数据分析策略；④针对实验室巡检、空间测量、环境保持、物料转移等应用场景，完成对应智能设备的布局规划和运行管理策略；⑤针对实验室的空间、设备、试件、耗材、人员的运行、维护和管理，完成基于数字孪生概念的流程优化和运维管理系统研发；⑥针对建筑物强震仪数据的采集、传输、存储和分析的需求，完成基于数字孪生概念的技术方案优化和系统构建；⑦针对实验室钢结构建筑结构响应的实时监测，完成基于数字孪生概念的技术方案优化和系统构建；⑧钢结构构件响应采集设备及监测系统。</w:t>
      </w:r>
      <w:r/>
    </w:p>
    <w:p>
      <w:pPr>
        <w:ind w:firstLine="480"/>
        <w:spacing w:line="400" w:lineRule="exact"/>
        <w:rPr>
          <w:rFonts w:hint="eastAsia" w:ascii="宋体" w:hAnsi="宋体"/>
          <w:sz w:val="24"/>
          <w:highlight w:val="none"/>
        </w:rPr>
      </w:pPr>
      <w:r>
        <w:rPr>
          <w:rFonts w:hint="eastAsia" w:ascii="宋体" w:hAnsi="宋体"/>
          <w:sz w:val="24"/>
          <w:highlight w:val="none"/>
        </w:rPr>
        <w:t xml:space="preserve">本项目采购预算控制价90万元，资金已到位。</w:t>
      </w:r>
      <w:r/>
    </w:p>
    <w:p>
      <w:p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三、投标报价要求</w:t>
      </w:r>
      <w:r/>
    </w:p>
    <w:p>
      <w:pPr>
        <w:ind w:firstLine="480"/>
        <w:spacing w:line="400" w:lineRule="exact"/>
        <w:rPr>
          <w:rFonts w:hint="eastAsia" w:ascii="宋体" w:hAnsi="宋体"/>
          <w:sz w:val="24"/>
          <w:highlight w:val="none"/>
        </w:rPr>
      </w:pPr>
      <w:r/>
      <w:bookmarkStart w:id="3" w:name="_Toc508103494"/>
      <w:r>
        <w:rPr>
          <w:rFonts w:ascii="宋体" w:hAnsi="宋体"/>
          <w:sz w:val="24"/>
          <w:highlight w:val="none"/>
        </w:rPr>
        <w:t xml:space="preserve">（</w:t>
      </w:r>
      <w:r>
        <w:rPr>
          <w:rFonts w:hint="eastAsia" w:ascii="宋体" w:hAnsi="宋体"/>
          <w:sz w:val="24"/>
          <w:highlight w:val="none"/>
        </w:rPr>
        <w:t xml:space="preserve">一）本项目采购的是非进口产品、工程或服务。投标人应当根据采购项目的要求进行报价，“报价”如无特别说明，均指含税价格，包含增值税税款及其他所有税费，发票为增值税专用发票</w:t>
      </w:r>
      <w:r>
        <w:rPr>
          <w:rFonts w:hint="eastAsia" w:ascii="宋体" w:hAnsi="宋体"/>
          <w:sz w:val="24"/>
          <w:highlight w:val="none"/>
        </w:rPr>
        <w:t xml:space="preserve">或增值税普通发票（所包含的仪器设备类为增值税专用发票，物资耗材、工程和服务类为增值税普通发票）。投标人报价应包括全部货物/工程/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480"/>
        <w:spacing w:line="400" w:lineRule="exact"/>
        <w:rPr>
          <w:rFonts w:hint="eastAsia" w:ascii="宋体" w:hAnsi="宋体"/>
          <w:sz w:val="24"/>
          <w:highlight w:val="none"/>
        </w:rPr>
      </w:pPr>
      <w:r>
        <w:rPr>
          <w:rFonts w:hint="eastAsia" w:ascii="宋体" w:hAnsi="宋体"/>
          <w:sz w:val="24"/>
          <w:highlight w:val="none"/>
        </w:rPr>
        <w:t xml:space="preserve">特别提醒：1、该项目要求投标人按采购清单报价（整体投标，不接受某一类产品单独投标或未包含完所有产品的投标）；投标报价为采购清单总价。</w:t>
      </w:r>
      <w:r/>
    </w:p>
    <w:p>
      <w:p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四、项目需求</w:t>
      </w:r>
      <w:bookmarkEnd w:id="3"/>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（一）采购标的内容</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1、采购标的功能、目标需求：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应用BIM、物联网等技术完成对智能建造产业技术创新中心实验室物理空间数字孪生底层平台的架构，并基于数字孪生体系，通过对实验室运行多维数据的采集和分析，对实验室开展空间管理、能源管理、环境管理、设备设施管理、安全管理、消防管理，实时展示实验室的环境状态、设备状态和运行状态，提高实验室的运维管理效率、保障安全、优化资源配置和提升科研能力，为相关学科和专业建设提供支持。</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2、采购标的分项清单：</w:t>
      </w:r>
      <w:r/>
    </w:p>
    <w:p>
      <w:pPr>
        <w:spacing w:line="400" w:lineRule="exact"/>
        <w:rPr>
          <w:rFonts w:hint="eastAsia" w:ascii="宋体" w:hAnsi="宋体"/>
          <w:bCs/>
          <w:sz w:val="28"/>
          <w:szCs w:val="28"/>
          <w:highlight w:val="none"/>
        </w:rPr>
      </w:pPr>
      <w:r>
        <w:rPr>
          <w:rFonts w:hint="eastAsia" w:ascii="宋体" w:hAnsi="宋体"/>
          <w:bCs/>
          <w:sz w:val="28"/>
          <w:szCs w:val="28"/>
          <w:highlight w:val="none"/>
        </w:rPr>
      </w:r>
      <w:r/>
    </w:p>
    <w:tbl>
      <w:tblPr>
        <w:tblStyle w:val="7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2424"/>
        <w:gridCol w:w="487"/>
        <w:gridCol w:w="4360"/>
        <w:gridCol w:w="717"/>
        <w:gridCol w:w="693"/>
      </w:tblGrid>
      <w:tr>
        <w:trPr>
          <w:jc w:val="center"/>
          <w:trHeight w:val="499"/>
        </w:trPr>
        <w:tc>
          <w:tcPr>
            <w:tcW w:w="327"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r>
            <w:r/>
          </w:p>
        </w:tc>
        <w:tc>
          <w:tcPr>
            <w:tcW w:w="1305"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品目名称</w:t>
            </w:r>
            <w:r/>
          </w:p>
        </w:tc>
        <w:tc>
          <w:tcPr>
            <w:gridSpan w:val="2"/>
            <w:tcW w:w="2609"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分项内容</w:t>
            </w:r>
            <w:r/>
          </w:p>
        </w:tc>
        <w:tc>
          <w:tcPr>
            <w:tcW w:w="386"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单位</w:t>
            </w:r>
            <w:r/>
          </w:p>
        </w:tc>
        <w:tc>
          <w:tcPr>
            <w:tcW w:w="373"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数量</w:t>
            </w:r>
            <w:r/>
          </w:p>
        </w:tc>
      </w:tr>
      <w:tr>
        <w:trPr>
          <w:jc w:val="center"/>
          <w:trHeight w:val="376"/>
        </w:trPr>
        <w:tc>
          <w:tcPr>
            <w:tcW w:w="327" w:type="pct"/>
            <w:vAlign w:val="center"/>
            <w:vMerge w:val="restart"/>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一</w:t>
            </w:r>
            <w:r/>
          </w:p>
        </w:tc>
        <w:tc>
          <w:tcPr>
            <w:tcW w:w="1305" w:type="pct"/>
            <w:vAlign w:val="center"/>
            <w:vMerge w:val="restart"/>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数字孪生运维平台构建</w:t>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三维建模</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2</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数字孪生三维可视化展示</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3</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数字孪生智慧实验室运维管理系统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4</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管理平台功能</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5</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实验室运行管理</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6</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实验室安全预警系统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7</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数据管理</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8</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移动APP（安卓）</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9</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功能兼容及拓展</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10</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扩展服务</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11</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建筑强震仪数据接入和分析</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项</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1</w:t>
            </w:r>
            <w:r/>
          </w:p>
        </w:tc>
      </w:tr>
      <w:tr>
        <w:trPr>
          <w:jc w:val="center"/>
          <w:trHeight w:val="376"/>
        </w:trPr>
        <w:tc>
          <w:tcPr>
            <w:tcW w:w="327" w:type="pct"/>
            <w:vAlign w:val="center"/>
            <w:vMerge w:val="restart"/>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二</w:t>
            </w:r>
            <w:r/>
          </w:p>
        </w:tc>
        <w:tc>
          <w:tcPr>
            <w:tcW w:w="1305" w:type="pct"/>
            <w:vAlign w:val="center"/>
            <w:vMerge w:val="restart"/>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数字孪生运维平台配套传感器及控制支持系统</w:t>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12</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智能水表</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个</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13</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大厅区实验设备智能物联网空开</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个</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20</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14</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空调智能插座</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个</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11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15</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空气质量变送器</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个</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10</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16</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智能门禁</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ascii="宋体" w:hAnsi="宋体"/>
                <w:bCs/>
                <w:sz w:val="24"/>
                <w:highlight w:val="none"/>
              </w:rPr>
              <w:t xml:space="preserve">13</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17</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卷帘门控制系统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ascii="宋体" w:hAnsi="宋体"/>
                <w:bCs/>
                <w:sz w:val="24"/>
                <w:highlight w:val="none"/>
              </w:rPr>
              <w:t xml:space="preserve">2</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18</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视频监控系统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5</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19</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人体存在感应器</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个</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32</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20</w:t>
            </w:r>
            <w:r/>
          </w:p>
        </w:tc>
        <w:tc>
          <w:tcPr>
            <w:tcW w:w="2347"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智能开关</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个</w:t>
            </w:r>
            <w:r/>
          </w:p>
        </w:tc>
        <w:tc>
          <w:tcPr>
            <w:tcW w:w="373"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bCs/>
                <w:sz w:val="24"/>
                <w:highlight w:val="none"/>
              </w:rPr>
              <w:t xml:space="preserve">32</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21</w:t>
            </w:r>
            <w:r/>
          </w:p>
        </w:tc>
        <w:tc>
          <w:tcPr>
            <w:tcW w:w="2347"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钢结构位移、应变监测传感器</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0</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22</w:t>
            </w:r>
            <w:r/>
          </w:p>
        </w:tc>
        <w:tc>
          <w:tcPr>
            <w:tcW w:w="2347"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全场景移动式环境监测处理系统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23</w:t>
            </w:r>
            <w:r/>
          </w:p>
        </w:tc>
        <w:tc>
          <w:tcPr>
            <w:tcW w:w="2347"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全场景移动式</w:t>
            </w:r>
            <w:r>
              <w:rPr>
                <w:rFonts w:hint="eastAsia" w:ascii="宋体" w:hAnsi="宋体" w:cs="仿宋"/>
                <w:bCs/>
                <w:sz w:val="24"/>
                <w:highlight w:val="none"/>
              </w:rPr>
              <w:t xml:space="preserve">物料转移</w:t>
            </w:r>
            <w:r>
              <w:rPr>
                <w:rFonts w:hint="eastAsia" w:ascii="宋体" w:hAnsi="宋体"/>
                <w:bCs/>
                <w:sz w:val="24"/>
                <w:highlight w:val="none"/>
              </w:rPr>
              <w:t xml:space="preserve">维持系统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w:t>
            </w:r>
            <w:r/>
          </w:p>
        </w:tc>
      </w:tr>
      <w:tr>
        <w:trPr>
          <w:jc w:val="center"/>
          <w:trHeight w:val="376"/>
        </w:trPr>
        <w:tc>
          <w:tcPr>
            <w:tcW w:w="327"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1305" w:type="pct"/>
            <w:vAlign w:val="center"/>
            <w:vMerge w:val="continue"/>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r>
            <w:r/>
          </w:p>
        </w:tc>
        <w:tc>
          <w:tcPr>
            <w:tcW w:w="262"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24</w:t>
            </w:r>
            <w:r/>
          </w:p>
        </w:tc>
        <w:tc>
          <w:tcPr>
            <w:tcW w:w="2347"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物联网控制及网络系统</w:t>
            </w:r>
            <w:r/>
          </w:p>
        </w:tc>
        <w:tc>
          <w:tcPr>
            <w:tcW w:w="386" w:type="pct"/>
            <w:vAlign w:val="center"/>
            <w:textDirection w:val="lrTb"/>
            <w:noWrap w:val="false"/>
          </w:tcPr>
          <w:p>
            <w:pPr>
              <w:jc w:val="center"/>
              <w:tabs>
                <w:tab w:val="left" w:pos="1177" w:leader="none"/>
                <w:tab w:val="left" w:pos="1498" w:leader="none"/>
              </w:tabs>
              <w:rPr>
                <w:rFonts w:hint="eastAsia" w:ascii="宋体" w:hAnsi="宋体" w:cs="宋体"/>
                <w:bCs/>
                <w:sz w:val="24"/>
                <w:highlight w:val="none"/>
              </w:rPr>
            </w:pPr>
            <w:r>
              <w:rPr>
                <w:rFonts w:hint="eastAsia" w:ascii="宋体" w:hAnsi="宋体" w:cs="宋体"/>
                <w:bCs/>
                <w:sz w:val="24"/>
                <w:highlight w:val="none"/>
              </w:rPr>
              <w:t xml:space="preserve">套</w:t>
            </w:r>
            <w:r/>
          </w:p>
        </w:tc>
        <w:tc>
          <w:tcPr>
            <w:tcW w:w="373" w:type="pct"/>
            <w:vAlign w:val="center"/>
            <w:textDirection w:val="lrTb"/>
            <w:noWrap w:val="false"/>
          </w:tcPr>
          <w:p>
            <w:pPr>
              <w:jc w:val="center"/>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w:t>
            </w:r>
            <w:r/>
          </w:p>
        </w:tc>
      </w:tr>
    </w:tbl>
    <w:p>
      <w:pPr>
        <w:ind w:firstLine="560"/>
        <w:spacing w:line="400" w:lineRule="exact"/>
        <w:rPr>
          <w:rFonts w:hint="eastAsia" w:ascii="宋体" w:hAnsi="宋体"/>
          <w:bCs/>
          <w:sz w:val="28"/>
          <w:szCs w:val="28"/>
          <w:highlight w:val="none"/>
        </w:rPr>
      </w:pPr>
      <w:r>
        <w:rPr>
          <w:rFonts w:hint="eastAsia" w:ascii="宋体" w:hAnsi="宋体"/>
          <w:bCs/>
          <w:sz w:val="28"/>
          <w:szCs w:val="28"/>
          <w:highlight w:val="none"/>
        </w:rPr>
      </w:r>
      <w:r/>
    </w:p>
    <w:p>
      <w:pPr>
        <w:ind w:firstLine="560"/>
        <w:spacing w:line="400" w:lineRule="exact"/>
        <w:rPr>
          <w:rFonts w:hint="eastAsia" w:ascii="宋体" w:hAnsi="宋体"/>
          <w:bCs/>
          <w:sz w:val="28"/>
          <w:szCs w:val="28"/>
          <w:highlight w:val="none"/>
        </w:rPr>
      </w:pPr>
      <w:r>
        <w:rPr>
          <w:rFonts w:hint="eastAsia" w:ascii="宋体" w:hAnsi="宋体"/>
          <w:bCs/>
          <w:sz w:val="28"/>
          <w:szCs w:val="28"/>
          <w:highlight w:val="none"/>
        </w:rPr>
        <w:t xml:space="preserve">（二）技术（质量）需求：</w:t>
      </w:r>
      <w:r/>
    </w:p>
    <w:p>
      <w:pPr>
        <w:ind w:firstLine="560"/>
        <w:spacing w:line="400" w:lineRule="exact"/>
        <w:rPr>
          <w:rFonts w:hint="eastAsia" w:ascii="宋体" w:hAnsi="宋体"/>
          <w:bCs/>
          <w:sz w:val="28"/>
          <w:szCs w:val="28"/>
          <w:highlight w:val="none"/>
        </w:rPr>
      </w:pPr>
      <w:r>
        <w:rPr>
          <w:rFonts w:hint="eastAsia" w:ascii="宋体" w:hAnsi="宋体"/>
          <w:bCs/>
          <w:sz w:val="28"/>
          <w:szCs w:val="28"/>
          <w:highlight w:val="none"/>
        </w:rPr>
        <w:t xml:space="preserve">一、技术要求</w:t>
      </w:r>
      <w:r/>
    </w:p>
    <w:tbl>
      <w:tblPr>
        <w:tblStyle w:val="78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853"/>
        <w:gridCol w:w="7737"/>
      </w:tblGrid>
      <w:tr>
        <w:trPr>
          <w:trHeight w:val="440"/>
        </w:trPr>
        <w:tc>
          <w:tcPr>
            <w:shd w:val="clear" w:color="auto" w:fill="auto"/>
            <w:tcW w:w="498" w:type="dxa"/>
            <w:vAlign w:val="center"/>
            <w:textDirection w:val="lrTb"/>
            <w:noWrap w:val="false"/>
          </w:tcPr>
          <w:p>
            <w:pPr>
              <w:jc w:val="center"/>
              <w:rPr>
                <w:rFonts w:hint="eastAsia" w:ascii="宋体" w:hAnsi="宋体"/>
                <w:bCs/>
                <w:sz w:val="28"/>
                <w:szCs w:val="28"/>
                <w:highlight w:val="none"/>
              </w:rPr>
            </w:pPr>
            <w:r>
              <w:rPr>
                <w:rFonts w:hint="eastAsia" w:ascii="宋体" w:hAnsi="宋体"/>
                <w:bCs/>
                <w:sz w:val="28"/>
                <w:szCs w:val="28"/>
                <w:highlight w:val="none"/>
              </w:rPr>
              <w:t xml:space="preserve">序号</w:t>
            </w:r>
            <w:r/>
          </w:p>
        </w:tc>
        <w:tc>
          <w:tcPr>
            <w:shd w:val="clear" w:color="auto" w:fill="auto"/>
            <w:tcW w:w="853" w:type="dxa"/>
            <w:vAlign w:val="center"/>
            <w:textDirection w:val="lrTb"/>
            <w:noWrap w:val="false"/>
          </w:tcPr>
          <w:p>
            <w:pPr>
              <w:jc w:val="center"/>
              <w:rPr>
                <w:rFonts w:hint="eastAsia" w:ascii="宋体" w:hAnsi="宋体"/>
                <w:bCs/>
                <w:sz w:val="28"/>
                <w:szCs w:val="28"/>
                <w:highlight w:val="none"/>
              </w:rPr>
            </w:pPr>
            <w:r>
              <w:rPr>
                <w:rFonts w:hint="eastAsia" w:ascii="宋体" w:hAnsi="宋体"/>
                <w:bCs/>
                <w:sz w:val="28"/>
                <w:szCs w:val="28"/>
                <w:highlight w:val="none"/>
              </w:rPr>
              <w:t xml:space="preserve">项目</w:t>
            </w:r>
            <w:r/>
          </w:p>
        </w:tc>
        <w:tc>
          <w:tcPr>
            <w:shd w:val="clear" w:color="auto" w:fill="auto"/>
            <w:tcW w:w="7737" w:type="dxa"/>
            <w:vAlign w:val="center"/>
            <w:textDirection w:val="lrTb"/>
            <w:noWrap w:val="false"/>
          </w:tcPr>
          <w:p>
            <w:pPr>
              <w:jc w:val="center"/>
              <w:rPr>
                <w:rFonts w:hint="eastAsia" w:ascii="宋体" w:hAnsi="宋体"/>
                <w:bCs/>
                <w:sz w:val="28"/>
                <w:szCs w:val="28"/>
                <w:highlight w:val="none"/>
              </w:rPr>
            </w:pPr>
            <w:r>
              <w:rPr>
                <w:rFonts w:hint="eastAsia" w:ascii="宋体" w:hAnsi="宋体"/>
                <w:bCs/>
                <w:sz w:val="28"/>
                <w:szCs w:val="28"/>
                <w:highlight w:val="none"/>
              </w:rPr>
              <w:t xml:space="preserve">技术参数及功能指标</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1</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三维建模</w:t>
            </w:r>
            <w:r/>
          </w:p>
        </w:tc>
        <w:tc>
          <w:tcPr>
            <w:shd w:val="clear" w:color="auto" w:fill="auto"/>
            <w:tcW w:w="7737" w:type="dxa"/>
            <w:vAlign w:val="center"/>
            <w:textDirection w:val="lrTb"/>
            <w:noWrap w:val="false"/>
          </w:tcPr>
          <w:p>
            <w:pPr>
              <w:pStyle w:val="834"/>
              <w:numPr>
                <w:ilvl w:val="0"/>
                <w:numId w:val="4"/>
              </w:numPr>
              <w:ind w:left="0" w:firstLine="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针对实验室厂房区进行精细化三维建模，主要建模内容厂房整体，内部空间，厂房内设备、管线及厂房周边50米内道路和配套设施，制作室内结构轮廓样貌展示。其中室内空间结构及设施进行1:1精细建模。</w:t>
            </w:r>
            <w:r/>
          </w:p>
          <w:p>
            <w:pPr>
              <w:pStyle w:val="834"/>
              <w:numPr>
                <w:ilvl w:val="0"/>
                <w:numId w:val="4"/>
              </w:numPr>
              <w:ind w:left="0" w:firstLine="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对实验室功能关联楼宇（结构实验室、敬本楼）进行三维建模，建模包括整体建筑模型、空间布置。</w:t>
            </w:r>
            <w:r/>
          </w:p>
          <w:p>
            <w:pPr>
              <w:pStyle w:val="834"/>
              <w:numPr>
                <w:ilvl w:val="0"/>
                <w:numId w:val="4"/>
              </w:numPr>
              <w:ind w:left="0" w:firstLine="0"/>
              <w:rPr>
                <w:rFonts w:hint="eastAsia" w:ascii="宋体" w:hAnsi="宋体"/>
                <w:bCs/>
                <w:sz w:val="24"/>
                <w:highlight w:val="none"/>
              </w:rPr>
            </w:pPr>
            <w:r>
              <w:rPr>
                <w:rFonts w:hint="eastAsia" w:ascii="宋体" w:hAnsi="宋体"/>
                <w:sz w:val="24"/>
                <w:highlight w:val="none"/>
              </w:rPr>
              <w:t xml:space="preserve">★</w:t>
            </w:r>
            <w:r>
              <w:rPr>
                <w:rFonts w:hint="eastAsia" w:ascii="宋体" w:hAnsi="宋体"/>
                <w:bCs/>
                <w:sz w:val="24"/>
                <w:highlight w:val="none"/>
              </w:rPr>
              <w:t xml:space="preserve">对整个校区进行三维建模，建模范围包括地形、楼宇、路网、场馆等校园配套基础设施等；建模要求楼宇、路网、水系、绿化、场馆等校园配套基础设施形状及地理信息等进行低精度模型。校园三维模型信息清晰可见，真实还原校园整体模型。</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2</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数字孪生三维可视化展示</w:t>
            </w:r>
            <w:r/>
          </w:p>
        </w:tc>
        <w:tc>
          <w:tcPr>
            <w:shd w:val="clear" w:color="auto" w:fill="auto"/>
            <w:tcW w:w="7737" w:type="dxa"/>
            <w:vAlign w:val="center"/>
            <w:textDirection w:val="lrTb"/>
            <w:noWrap w:val="false"/>
          </w:tcPr>
          <w:p>
            <w:pPr>
              <w:pStyle w:val="834"/>
              <w:numPr>
                <w:ilvl w:val="0"/>
                <w:numId w:val="5"/>
              </w:numPr>
              <w:ind w:left="0" w:firstLine="0"/>
              <w:rPr>
                <w:rFonts w:hint="eastAsia" w:ascii="宋体" w:hAnsi="宋体" w:cs="宋体"/>
                <w:bCs/>
                <w:sz w:val="24"/>
                <w:highlight w:val="none"/>
                <w:u w:val="single"/>
              </w:rPr>
            </w:pPr>
            <w:r>
              <w:rPr>
                <w:rFonts w:hint="eastAsia" w:ascii="宋体" w:hAnsi="宋体"/>
                <w:bCs/>
                <w:sz w:val="24"/>
                <w:highlight w:val="none"/>
              </w:rPr>
              <w:t xml:space="preserve"> </w:t>
            </w:r>
            <w:r>
              <w:rPr>
                <w:rFonts w:hint="eastAsia" w:ascii="宋体" w:hAnsi="宋体" w:cs="宋体"/>
                <w:bCs/>
                <w:sz w:val="24"/>
                <w:highlight w:val="none"/>
              </w:rPr>
              <w:t xml:space="preserve">展示内容包括学院简介、实验室厂房介绍、资产管理、设备管理、维保管理、能源管理、环境管理、安防管理、实验室运行管理、数据管理、信息总览等。</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系统功能及数据面板联动：支持场景模型与功能按钮联动，实现场景中可查询，可浏览。</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 三维模型交互：支持设备模型功能交互、动画展示、联动数据面板等。</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全景浏览：可通过鸟瞰的方式对三维场景全景浏览，同时支持漫游方式全景浏览；场景中采用全局光照（global illumination）技术，模拟出现实中的光照效果。</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 分层浏览：针对实验室厂房，对可控制的模型以楼层为单位抽屉式分层，按楼层展示楼层中必要的信息（如楼层分布、资产、设备、监控、能源情况、环境参数等）。</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巡视漫游：针对实验室厂房主楼，通过路径动画实现在三维场景中漫游。</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建筑透明：可整体查看全部设备信息，全息显示楼层，并实现主区域外的建筑半透明。</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 设备定位：针对实验室厂房，将现实厂房内设备和三维场景紧密关联、实时查看到设备的定位和设备属性、负责人等信息。</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构件管理：针对实验室厂房，能对构件进行管理查看。</w:t>
            </w:r>
            <w:r/>
          </w:p>
          <w:p>
            <w:pPr>
              <w:pStyle w:val="834"/>
              <w:numPr>
                <w:ilvl w:val="0"/>
                <w:numId w:val="5"/>
              </w:numPr>
              <w:ind w:left="0" w:firstLine="0"/>
              <w:rPr>
                <w:rFonts w:hint="eastAsia" w:ascii="宋体" w:hAnsi="宋体"/>
                <w:bCs/>
                <w:sz w:val="24"/>
                <w:highlight w:val="none"/>
              </w:rPr>
            </w:pPr>
            <w:r>
              <w:rPr>
                <w:rFonts w:hint="eastAsia" w:ascii="宋体" w:hAnsi="宋体"/>
                <w:bCs/>
                <w:sz w:val="24"/>
                <w:highlight w:val="none"/>
              </w:rPr>
              <w:t xml:space="preserve">数据管理：实验室厂房总体数据可视化管理，须实现模块化管理展示。</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3</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ascii="Wingdings 3" w:hAnsi="Wingdings 3" w:eastAsia="Wingdings 3" w:cs="Wingdings 3"/>
                <w:bCs/>
                <w:sz w:val="28"/>
                <w:szCs w:val="28"/>
                <w:highlight w:val="none"/>
              </w:rPr>
              <w:t xml:space="preserve"></w:t>
            </w:r>
            <w:r>
              <w:rPr>
                <w:rFonts w:hint="eastAsia" w:ascii="宋体" w:hAnsi="宋体"/>
                <w:bCs/>
                <w:sz w:val="24"/>
                <w:highlight w:val="none"/>
              </w:rPr>
              <w:t xml:space="preserve">数字孪生智慧实验室运维管理平台 </w:t>
            </w:r>
            <w:r/>
          </w:p>
        </w:tc>
        <w:tc>
          <w:tcPr>
            <w:shd w:val="clear" w:color="auto" w:fill="auto"/>
            <w:tcW w:w="7737" w:type="dxa"/>
            <w:vAlign w:val="center"/>
            <w:textDirection w:val="lrTb"/>
            <w:noWrap w:val="false"/>
          </w:tcPr>
          <w:p>
            <w:pPr>
              <w:pStyle w:val="834"/>
              <w:numPr>
                <w:ilvl w:val="0"/>
                <w:numId w:val="6"/>
              </w:numPr>
              <w:ind w:left="0" w:firstLine="0"/>
              <w:rPr>
                <w:rFonts w:hint="eastAsia" w:ascii="宋体" w:hAnsi="宋体"/>
                <w:bCs/>
                <w:sz w:val="24"/>
                <w:highlight w:val="none"/>
              </w:rPr>
            </w:pPr>
            <w:r>
              <w:rPr>
                <w:rFonts w:hint="eastAsia" w:ascii="宋体" w:hAnsi="宋体"/>
                <w:bCs/>
                <w:sz w:val="24"/>
                <w:highlight w:val="none"/>
              </w:rPr>
              <w:t xml:space="preserve">平台功能：通过数据监测、数据统计、数据分析、资源供应的智能集成系统，实现运维精确化、移动互联网化、可视化管理，用先进的技术手段和标准化的管理确保项目业务应用系统稳定运行。</w:t>
            </w:r>
            <w:r/>
          </w:p>
          <w:p>
            <w:pPr>
              <w:pStyle w:val="834"/>
              <w:numPr>
                <w:ilvl w:val="0"/>
                <w:numId w:val="6"/>
              </w:numPr>
              <w:ind w:left="0" w:firstLine="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平台架构：平台架构满足</w:t>
            </w:r>
            <w:r>
              <w:rPr>
                <w:rFonts w:hint="eastAsia" w:ascii="宋体" w:hAnsi="宋体" w:cs="宋体"/>
                <w:bCs/>
                <w:sz w:val="24"/>
                <w:highlight w:val="none"/>
              </w:rPr>
              <w:t xml:space="preserve">C/S </w:t>
            </w:r>
            <w:r>
              <w:rPr>
                <w:rFonts w:hint="eastAsia" w:ascii="宋体" w:hAnsi="宋体"/>
                <w:bCs/>
                <w:sz w:val="24"/>
                <w:highlight w:val="none"/>
              </w:rPr>
              <w:t xml:space="preserve">架构，支持设备级快速定位；平台支持集中式账户管理、授权管理、为不同级别的人员赋予不同管理权限。</w:t>
            </w:r>
            <w:r/>
          </w:p>
          <w:p>
            <w:pPr>
              <w:pStyle w:val="834"/>
              <w:numPr>
                <w:ilvl w:val="0"/>
                <w:numId w:val="6"/>
              </w:numPr>
              <w:ind w:left="0" w:firstLine="0"/>
              <w:rPr>
                <w:rFonts w:hint="eastAsia" w:ascii="宋体" w:hAnsi="宋体"/>
                <w:bCs/>
                <w:sz w:val="24"/>
                <w:highlight w:val="none"/>
              </w:rPr>
            </w:pPr>
            <w:r>
              <w:rPr>
                <w:rFonts w:hint="eastAsia" w:ascii="宋体" w:hAnsi="宋体"/>
                <w:bCs/>
                <w:sz w:val="24"/>
                <w:highlight w:val="none"/>
              </w:rPr>
              <w:t xml:space="preserve">通讯接口：平台采用先进、高效的通讯接口技术，通过对子系统和各类设备的运行数据及运行状态进行实时监测、采集、整理、分析、存储，实现对各子系统的集中监控管理，完成各系统的信息交换及联动控制。</w:t>
            </w:r>
            <w:r/>
          </w:p>
          <w:p>
            <w:pPr>
              <w:pStyle w:val="834"/>
              <w:numPr>
                <w:ilvl w:val="0"/>
                <w:numId w:val="6"/>
              </w:numPr>
              <w:ind w:left="0" w:firstLine="0"/>
              <w:rPr>
                <w:rFonts w:hint="eastAsia" w:ascii="宋体" w:hAnsi="宋体"/>
                <w:bCs/>
                <w:sz w:val="24"/>
                <w:highlight w:val="none"/>
              </w:rPr>
            </w:pPr>
            <w:r>
              <w:rPr>
                <w:rFonts w:hint="eastAsia" w:ascii="宋体" w:hAnsi="宋体"/>
                <w:bCs/>
                <w:sz w:val="24"/>
                <w:highlight w:val="none"/>
              </w:rPr>
              <w:t xml:space="preserve">▲ 实时监控和管理：通过监控系统对实验室厂房内设施设备和教学活动进行监控管理，管理员可以远程查看师生实验实训场景。</w:t>
            </w:r>
            <w:r/>
          </w:p>
          <w:p>
            <w:pPr>
              <w:pStyle w:val="834"/>
              <w:numPr>
                <w:ilvl w:val="0"/>
                <w:numId w:val="6"/>
              </w:numPr>
              <w:ind w:left="0" w:firstLine="0"/>
              <w:rPr>
                <w:rFonts w:hint="eastAsia" w:ascii="宋体" w:hAnsi="宋体"/>
                <w:bCs/>
                <w:sz w:val="24"/>
                <w:highlight w:val="none"/>
                <w:u w:val="single"/>
              </w:rPr>
            </w:pPr>
            <w:r>
              <w:rPr>
                <w:rFonts w:hint="eastAsia" w:ascii="宋体" w:hAnsi="宋体"/>
                <w:bCs/>
                <w:sz w:val="24"/>
                <w:highlight w:val="none"/>
              </w:rPr>
              <w:t xml:space="preserve">▲</w:t>
            </w:r>
            <w:r>
              <w:rPr>
                <w:rFonts w:hint="eastAsia" w:ascii="宋体" w:hAnsi="宋体" w:cs="宋体"/>
                <w:bCs/>
                <w:sz w:val="24"/>
                <w:highlight w:val="none"/>
              </w:rPr>
              <w:t xml:space="preserve">跨系统联动功能：集成系统应具备实验室内各子系统之间的相互操作、快速响应与联动控制。通过联动设置，可使系统在某些突发事件发生时自动、快捷、准确地完成一系列相关事件的处理。</w:t>
            </w:r>
            <w:r/>
          </w:p>
          <w:p>
            <w:pPr>
              <w:pStyle w:val="834"/>
              <w:numPr>
                <w:ilvl w:val="0"/>
                <w:numId w:val="6"/>
              </w:numPr>
              <w:ind w:left="0" w:firstLine="0"/>
              <w:rPr>
                <w:rFonts w:hint="eastAsia" w:ascii="宋体" w:hAnsi="宋体" w:cs="宋体"/>
                <w:bCs/>
                <w:sz w:val="24"/>
                <w:highlight w:val="none"/>
                <w:u w:val="single"/>
              </w:rPr>
            </w:pPr>
            <w:r>
              <w:rPr>
                <w:rFonts w:hint="eastAsia" w:ascii="宋体" w:hAnsi="宋体"/>
                <w:sz w:val="24"/>
                <w:highlight w:val="none"/>
              </w:rPr>
              <w:t xml:space="preserve">★</w:t>
            </w:r>
            <w:r>
              <w:rPr>
                <w:rFonts w:hint="eastAsia" w:ascii="宋体" w:hAnsi="宋体" w:cs="宋体"/>
                <w:bCs/>
                <w:sz w:val="24"/>
                <w:highlight w:val="none"/>
              </w:rPr>
              <w:t xml:space="preserve">平台稳定高效易扩展：采用负载均衡技术及分布式架构，为高负载及高并发应用提供有力保障。采用数据缓存技术和消息中间技术，减轻数据库负载，提升并发能力，提升高频数据的读取及写入效率。基于 Spring 框架构建系统，可以使用 JDBC、Spring Data、MyBatis、Hibernate 等框架进行数据访问，使用 Redis 存储缓存数据，采用Apollo配置中心对配置进行统一管理。</w:t>
            </w:r>
            <w:r/>
          </w:p>
          <w:p>
            <w:pPr>
              <w:pStyle w:val="834"/>
              <w:numPr>
                <w:ilvl w:val="0"/>
                <w:numId w:val="6"/>
              </w:numPr>
              <w:ind w:left="0" w:firstLine="0"/>
              <w:rPr>
                <w:rFonts w:hint="eastAsia" w:ascii="宋体" w:hAnsi="宋体"/>
                <w:bCs/>
                <w:sz w:val="24"/>
                <w:highlight w:val="none"/>
              </w:rPr>
            </w:pPr>
            <w:r>
              <w:rPr>
                <w:rFonts w:hint="eastAsia" w:ascii="宋体" w:hAnsi="宋体" w:cs="宋体"/>
                <w:bCs/>
                <w:sz w:val="24"/>
                <w:highlight w:val="none"/>
              </w:rPr>
              <w:t xml:space="preserve">平台要求采用原生代码编写，场景丰富、体验流畅、延展性卓越；采用模块化系统设计，降低系统复杂度，简化系统设计、调试及维护过程。</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4</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管理平台功能</w:t>
            </w:r>
            <w:r/>
          </w:p>
        </w:tc>
        <w:tc>
          <w:tcPr>
            <w:shd w:val="clear" w:color="auto" w:fill="auto"/>
            <w:tcW w:w="7737" w:type="dxa"/>
            <w:vAlign w:val="center"/>
            <w:textDirection w:val="lrTb"/>
            <w:noWrap w:val="false"/>
          </w:tcPr>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学院介绍：包括学院简介、土木工程学院介绍、实验室介绍等信息。</w:t>
            </w:r>
            <w:r/>
          </w:p>
          <w:p>
            <w:pPr>
              <w:pStyle w:val="834"/>
              <w:numPr>
                <w:ilvl w:val="0"/>
                <w:numId w:val="7"/>
              </w:numPr>
              <w:ind w:left="0" w:firstLine="0"/>
              <w:rPr>
                <w:rFonts w:hint="eastAsia" w:ascii="宋体" w:hAnsi="宋体" w:cs="宋体"/>
                <w:bCs/>
                <w:sz w:val="24"/>
                <w:highlight w:val="none"/>
                <w:u w:val="single"/>
              </w:rPr>
            </w:pPr>
            <w:r>
              <w:rPr>
                <w:rFonts w:hint="eastAsia" w:ascii="宋体" w:hAnsi="宋体" w:cs="宋体"/>
                <w:bCs/>
                <w:sz w:val="24"/>
                <w:highlight w:val="none"/>
              </w:rPr>
              <w:t xml:space="preserve">用户管理：支持注册与登录，老师和学生可以通过注册账号并登录平台使用相应权限功能。用户权限管理：管理员可以设置不同用户的权限（权限设置分为一级、二级、三级，一级为超级管理员拥有最高权限，二级为一般管理员，三级为普通人员），包括查看权限、编辑权限、删除权限等，以确保平台安全与稳定。用户信息管理：用户可以在平台上查看个人信息，并进行修改或更新。</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能源管理：实验室厂房内的空调、照明、设备的用电控制、统计和分析，包括能耗排名、数据浏览、数据对比、能耗诊断预警等。用水用电趋势、能耗告警统计。能源管理功能包括监测和控制实验室不同场景的能源消耗，以实现节能和减少成本的目标。平台支持</w:t>
            </w:r>
            <w:r>
              <w:rPr>
                <w:rFonts w:hint="eastAsia" w:ascii="宋体" w:hAnsi="宋体" w:cs="宋体"/>
                <w:bCs/>
                <w:sz w:val="24"/>
                <w:highlight w:val="none"/>
              </w:rPr>
              <w:t xml:space="preserve">实时监测各实验室能源消耗情况 。支持对历史能源数据进行统计分析，找出能源消耗的规律和趋势，从而制定更有效的节能措施。智能控制系统支持对实验室内特殊设备进行能源实时管控，如自动调节灯光开关、空调温度等（是否支持物联网接入，能否提供二开文档），以达到节能的目的。系统支持生成能源使用的报表，包括每月、每季度、每年的能源消耗情况，方便管理者查看和评估。系统支持对能源的智能控制，包括设定定时开关机及远程开关机。设置能源消耗的预警机制，当能源使用超出设定范围时及时提醒管理者进行调整。平台支持能源数据统计和分析管理功能。</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环境管理：在特定区域加装温度、湿度、噪音、粉尘等传感设备，对实验环境进行实时监控管理。实现监测数据实时传输系统平台。支持通过移动APP实时查监控数据。</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资产管理：统计实验室厂房建筑资产，如办公、教学等固定资产进行信息化管理。资产清单、资产申请、资产变更、资产出售、采购审批流程。</w:t>
            </w:r>
            <w:r/>
          </w:p>
          <w:p>
            <w:pPr>
              <w:pStyle w:val="834"/>
              <w:numPr>
                <w:ilvl w:val="0"/>
                <w:numId w:val="7"/>
              </w:numPr>
              <w:ind w:left="0" w:firstLine="0"/>
              <w:rPr>
                <w:rFonts w:hint="eastAsia" w:ascii="宋体" w:hAnsi="宋体" w:cs="宋体"/>
                <w:bCs/>
                <w:sz w:val="24"/>
                <w:highlight w:val="none"/>
              </w:rPr>
            </w:pPr>
            <w:r>
              <w:rPr>
                <w:rFonts w:hint="eastAsia" w:ascii="宋体" w:hAnsi="宋体"/>
                <w:bCs/>
                <w:sz w:val="24"/>
                <w:highlight w:val="none"/>
              </w:rPr>
              <w:t xml:space="preserve">▲</w:t>
            </w:r>
            <w:r>
              <w:rPr>
                <w:rFonts w:hint="eastAsia" w:ascii="宋体" w:hAnsi="宋体"/>
                <w:bCs/>
                <w:szCs w:val="21"/>
                <w:highlight w:val="none"/>
              </w:rPr>
              <w:t xml:space="preserve"> </w:t>
            </w:r>
            <w:r>
              <w:rPr>
                <w:rFonts w:hint="eastAsia" w:ascii="宋体" w:hAnsi="宋体" w:cs="宋体"/>
                <w:bCs/>
                <w:sz w:val="24"/>
                <w:highlight w:val="none"/>
              </w:rPr>
              <w:t xml:space="preserve">设备管理：主要为各类实验实训设备，包括网络配套硬件设施、空调、照明、摄像头、闸机、桥式吊车、巡检机器人、扫地机器人等基本信息（厂商信息、资产管理员、型号、功率、管理人员等）（是否支持物联网接入，能否提供二开文档）。设备信息、所在位置、使用状态信息建立电子档案；支持对实验室中的特种设备进行数字化管理和智能监管，确保设备的正常运行和有效利用。支持对设备进行借用和归还管理，可记录设备的借用情况，避免设备被挪用或遗失。</w:t>
            </w:r>
            <w:r/>
          </w:p>
          <w:p>
            <w:pPr>
              <w:pStyle w:val="834"/>
              <w:numPr>
                <w:ilvl w:val="0"/>
                <w:numId w:val="7"/>
              </w:numPr>
              <w:ind w:left="0" w:firstLine="0"/>
              <w:rPr>
                <w:rFonts w:hint="eastAsia" w:ascii="宋体" w:hAnsi="宋体" w:cs="宋体"/>
                <w:bCs/>
                <w:sz w:val="24"/>
                <w:highlight w:val="none"/>
              </w:rPr>
            </w:pPr>
            <w:r>
              <w:rPr>
                <w:rFonts w:hint="eastAsia" w:ascii="宋体" w:hAnsi="宋体"/>
                <w:sz w:val="24"/>
                <w:highlight w:val="none"/>
              </w:rPr>
              <w:t xml:space="preserve">★</w:t>
            </w:r>
            <w:r>
              <w:rPr>
                <w:rFonts w:hint="eastAsia" w:ascii="宋体" w:hAnsi="宋体" w:cs="宋体"/>
                <w:bCs/>
                <w:sz w:val="24"/>
                <w:highlight w:val="none"/>
              </w:rPr>
              <w:t xml:space="preserve">实验仪器设备管理：支持对实验室内的各类仪器设备进行详细的信息录入和管理，包括设备名称、型号、生产厂家、购买时间、保修期等信息。支持对仪器设备使用预约管理，学生和教师可以提前预约设备使用时间和使用人及用途，管理人员可进行在线审批，避免资源浪费和使用冲突。学生和教师可以通过平台及时反馈设备故障情况，管理员可以快速响应并安排维修工作，保证设备的正常使用。通过平台可以对实验仪器设备的使用情况进行统计和分析，包括设备的使用频次、使用时长、借用情况等数据，为实验室的资源配置和管理提供参考依据。</w:t>
            </w:r>
            <w:r/>
          </w:p>
          <w:p>
            <w:pPr>
              <w:pStyle w:val="834"/>
              <w:numPr>
                <w:ilvl w:val="0"/>
                <w:numId w:val="7"/>
              </w:numPr>
              <w:ind w:left="0" w:firstLine="0"/>
              <w:rPr>
                <w:rFonts w:hint="eastAsia" w:ascii="宋体" w:hAnsi="宋体" w:cs="宋体"/>
                <w:bCs/>
                <w:sz w:val="24"/>
                <w:highlight w:val="none"/>
              </w:rPr>
            </w:pPr>
            <w:r>
              <w:rPr>
                <w:rFonts w:hint="eastAsia" w:ascii="宋体" w:hAnsi="宋体"/>
                <w:bCs/>
                <w:sz w:val="24"/>
                <w:highlight w:val="none"/>
              </w:rPr>
              <w:t xml:space="preserve">▲ </w:t>
            </w:r>
            <w:r>
              <w:rPr>
                <w:rFonts w:hint="eastAsia" w:ascii="宋体" w:hAnsi="宋体" w:cs="宋体"/>
                <w:bCs/>
                <w:sz w:val="24"/>
                <w:highlight w:val="none"/>
              </w:rPr>
              <w:t xml:space="preserve">实验室管理：支持对实验室使用预约管理、教学资源管理功能。学生和教师可以通过平台进行实验室的预约和审批，避免资源浪费和使用冲突；平台支持数据统计分析功能，帮助学院领导和管理人员了解实验室的使用情况和利用率及实训情况，为实训教学的改进提供数据支持，提高实训教学的管理效率和教学质量。</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教学管理：教学情况综合展示、学院教师人员情况、学院学生人数情况、学院实验室使用情况、教学计划安排等信息进行可视化展示。</w:t>
            </w:r>
            <w:r/>
          </w:p>
          <w:p>
            <w:pPr>
              <w:pStyle w:val="834"/>
              <w:numPr>
                <w:ilvl w:val="0"/>
                <w:numId w:val="7"/>
              </w:numPr>
              <w:ind w:left="0" w:firstLine="0"/>
              <w:rPr>
                <w:rFonts w:hint="eastAsia" w:ascii="宋体" w:hAnsi="宋体" w:cs="宋体"/>
                <w:bCs/>
                <w:sz w:val="24"/>
                <w:highlight w:val="none"/>
              </w:rPr>
            </w:pPr>
            <w:r>
              <w:rPr>
                <w:rFonts w:hint="eastAsia" w:ascii="宋体" w:hAnsi="宋体"/>
                <w:bCs/>
                <w:sz w:val="24"/>
                <w:highlight w:val="none"/>
              </w:rPr>
              <w:t xml:space="preserve">▲ </w:t>
            </w:r>
            <w:r>
              <w:rPr>
                <w:rFonts w:hint="eastAsia" w:ascii="宋体" w:hAnsi="宋体" w:cs="宋体"/>
                <w:bCs/>
                <w:sz w:val="24"/>
                <w:highlight w:val="none"/>
              </w:rPr>
              <w:t xml:space="preserve">监控管理：监控管理平台可以接入实验室摄像设备，并对实验室环境及动态进行实时视频监控，确保实验室内的安全和秩序。支持通过移动端APP查看实时监控视频查看功能。管理员可以查看实验室的实时视频监控画面，了解实验室内的实时情况，包括学生的学习状态、设备的运行情况。</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门禁管理：支持管理员根据实验室的需要设置不同的门禁规则，包括开放时间、开放权限、开放人员等。报警功能：系统支持监控实验室的门禁情况，一旦发生异常情况，如未授权人员闯入等，系统会自动报警提醒管理员。管理员通过移动终端APP掌握实验室的门禁情况，随时了解实时状态。支持管理员查看和管理用户的门禁记录，包括开启门禁的时间、地点等信息，方便对门禁使用情况进行监控和分析。</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访客管理：提供访客登记功能，包括访客信息录入、身份验证等；支持访客权限控制，包括访客通行权限的审批和管理；记录访客出入记录，包括时间、地点等信息，并提供查询和导出功能。</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智能空调：通过智能控制模块实现对实验室空调设备智能控制，支持通过移动终端APP对空调的远程智能开、关机控制。</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智能灯光：通过智能控制模块实现对实验室内特定区域灯具进行自动开关和智能控制。</w:t>
            </w:r>
            <w:r/>
          </w:p>
          <w:p>
            <w:pPr>
              <w:pStyle w:val="834"/>
              <w:numPr>
                <w:ilvl w:val="0"/>
                <w:numId w:val="7"/>
              </w:numPr>
              <w:ind w:left="0" w:firstLine="0"/>
              <w:rPr>
                <w:rFonts w:hint="eastAsia" w:ascii="宋体" w:hAnsi="宋体" w:cs="宋体"/>
                <w:bCs/>
                <w:sz w:val="24"/>
                <w:highlight w:val="none"/>
              </w:rPr>
            </w:pPr>
            <w:r>
              <w:rPr>
                <w:rFonts w:hint="eastAsia" w:ascii="宋体" w:hAnsi="宋体"/>
                <w:sz w:val="24"/>
                <w:highlight w:val="none"/>
              </w:rPr>
              <w:t xml:space="preserve">★</w:t>
            </w:r>
            <w:r>
              <w:rPr>
                <w:rFonts w:hint="eastAsia" w:ascii="宋体" w:hAnsi="宋体" w:cs="宋体"/>
                <w:bCs/>
                <w:sz w:val="24"/>
                <w:highlight w:val="none"/>
              </w:rPr>
              <w:t xml:space="preserve">告警和故障处理：实现对特殊设备的状态和性能指标，实时监测并生成告警信息。管理员可以通过平台接收告警信息，并进行相应的故障处理，包括故障定位、故障排查和故障修复等。</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远程操作和控制：平台支持远程操作和控制功能，管理员可以通过平台对各个系统的设备进行远程操作和控制，包括门禁系统的远程开关门控制、闸机系统的远程通行控制，智能开关控制系统的远程控制，远程内容发布等。</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安防管理：支持通过监控摄像设备，实时监控和查看实验室的情况，及时发现异常情况并及时有效处置。支持设置门禁管理，只允许授权人员进入实验室，确保未经授权的人员无法进入。支持设置报警系统，当有异常情况发生时，可以即时发出警报，并通知管理人员。支持定期进行安全巡查，检查实验室的设备和设施是否正常，及时发现异常并及时有效处置。</w:t>
            </w:r>
            <w:r/>
          </w:p>
          <w:p>
            <w:pPr>
              <w:pStyle w:val="834"/>
              <w:numPr>
                <w:ilvl w:val="0"/>
                <w:numId w:val="7"/>
              </w:numPr>
              <w:ind w:left="0" w:firstLine="0"/>
              <w:rPr>
                <w:rFonts w:hint="eastAsia" w:ascii="宋体" w:hAnsi="宋体" w:cs="宋体"/>
                <w:bCs/>
                <w:sz w:val="24"/>
                <w:highlight w:val="none"/>
              </w:rPr>
            </w:pPr>
            <w:r>
              <w:rPr>
                <w:rFonts w:hint="eastAsia" w:ascii="宋体" w:hAnsi="宋体"/>
                <w:bCs/>
                <w:sz w:val="24"/>
                <w:highlight w:val="none"/>
              </w:rPr>
              <w:t xml:space="preserve">▲ </w:t>
            </w:r>
            <w:r>
              <w:rPr>
                <w:rFonts w:hint="eastAsia" w:ascii="宋体" w:hAnsi="宋体" w:cs="宋体"/>
                <w:bCs/>
                <w:sz w:val="24"/>
                <w:highlight w:val="none"/>
              </w:rPr>
              <w:t xml:space="preserve">维保管理：实验室厂房的固定资产，设备仪器，教学用品等资产的维修和保养服务管理（维修和保养工单的全流程跟踪管理）。</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安全培训：支持在线安全教育培训，定期开展安全培训，提高师生的安全意识，培训学生如何正确操作设备，消防安全培训，实验室安全管理培训。</w:t>
            </w:r>
            <w:r/>
          </w:p>
          <w:p>
            <w:pPr>
              <w:pStyle w:val="834"/>
              <w:numPr>
                <w:ilvl w:val="0"/>
                <w:numId w:val="7"/>
              </w:numPr>
              <w:ind w:left="0" w:firstLine="0"/>
              <w:rPr>
                <w:rFonts w:hint="eastAsia" w:ascii="宋体" w:hAnsi="宋体" w:cs="宋体"/>
                <w:bCs/>
                <w:sz w:val="24"/>
                <w:highlight w:val="none"/>
              </w:rPr>
            </w:pPr>
            <w:r>
              <w:rPr>
                <w:rFonts w:hint="eastAsia" w:ascii="宋体" w:hAnsi="宋体" w:cs="宋体"/>
                <w:bCs/>
                <w:sz w:val="24"/>
                <w:highlight w:val="none"/>
              </w:rPr>
              <w:t xml:space="preserve">数据分析和报表生成：对各个系统的数据进行采集和分析，并生成相应的报表。管理员可以通过平台查看各个系统的运行数据、性能指标和统计信息，以便进行系统优化和决策支持。</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5</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实验室运行管理</w:t>
            </w:r>
            <w:r/>
          </w:p>
        </w:tc>
        <w:tc>
          <w:tcPr>
            <w:shd w:val="clear" w:color="auto" w:fill="auto"/>
            <w:tcW w:w="7737" w:type="dxa"/>
            <w:vAlign w:val="center"/>
            <w:textDirection w:val="lrTb"/>
            <w:noWrap w:val="false"/>
          </w:tcPr>
          <w:p>
            <w:pPr>
              <w:pStyle w:val="834"/>
              <w:numPr>
                <w:ilvl w:val="0"/>
                <w:numId w:val="8"/>
              </w:numPr>
              <w:ind w:left="0" w:firstLine="0"/>
              <w:rPr>
                <w:rFonts w:hint="eastAsia" w:ascii="宋体" w:hAnsi="宋体"/>
                <w:bCs/>
                <w:sz w:val="24"/>
                <w:highlight w:val="none"/>
              </w:rPr>
            </w:pPr>
            <w:r>
              <w:rPr>
                <w:rFonts w:hint="eastAsia" w:ascii="宋体" w:hAnsi="宋体"/>
                <w:bCs/>
                <w:sz w:val="24"/>
                <w:highlight w:val="none"/>
              </w:rPr>
              <w:t xml:space="preserve">综合展示：</w:t>
            </w:r>
            <w:r/>
          </w:p>
          <w:p>
            <w:pPr>
              <w:pStyle w:val="834"/>
              <w:numPr>
                <w:ilvl w:val="0"/>
                <w:numId w:val="9"/>
              </w:numPr>
              <w:ind w:left="0" w:firstLine="0"/>
              <w:rPr>
                <w:rFonts w:hint="eastAsia" w:ascii="宋体" w:hAnsi="宋体"/>
                <w:bCs/>
                <w:sz w:val="24"/>
                <w:highlight w:val="none"/>
              </w:rPr>
            </w:pPr>
            <w:r>
              <w:rPr>
                <w:rFonts w:hint="eastAsia" w:ascii="宋体" w:hAnsi="宋体"/>
                <w:bCs/>
                <w:sz w:val="24"/>
                <w:highlight w:val="none"/>
              </w:rPr>
              <w:t xml:space="preserve">基础信息：实验室信息、主要分区，对应责任人及主要设备情况，仪器设备（设备分布具体位置，参数与数量、设备实现的主要功能、涉及的主要实验项目、操作的资质要求与主要风险告知、操作过程有无特殊要求、设备使用前需要关注的一些隐患现象及问题、当前的状态）、实验人员联系方式（负责人、相关监管部门联系人、相关风险处置联系人）</w:t>
            </w:r>
            <w:r/>
          </w:p>
          <w:p>
            <w:pPr>
              <w:pStyle w:val="834"/>
              <w:numPr>
                <w:ilvl w:val="0"/>
                <w:numId w:val="9"/>
              </w:numPr>
              <w:ind w:left="0" w:firstLine="0"/>
              <w:rPr>
                <w:rFonts w:hint="eastAsia" w:ascii="宋体" w:hAnsi="宋体"/>
                <w:bCs/>
                <w:sz w:val="24"/>
                <w:highlight w:val="none"/>
              </w:rPr>
            </w:pPr>
            <w:r>
              <w:rPr>
                <w:rFonts w:hint="eastAsia" w:ascii="宋体" w:hAnsi="宋体"/>
                <w:bCs/>
                <w:sz w:val="24"/>
                <w:highlight w:val="none"/>
              </w:rPr>
              <w:t xml:space="preserve">实验室使用数据统计：结合实验室预约开放管理系统，统计实验室利用率（时间、使用目的、具体使用人等）</w:t>
            </w:r>
            <w:r/>
          </w:p>
          <w:p>
            <w:pPr>
              <w:pStyle w:val="834"/>
              <w:numPr>
                <w:ilvl w:val="0"/>
                <w:numId w:val="8"/>
              </w:numPr>
              <w:ind w:left="0" w:firstLine="0"/>
              <w:rPr>
                <w:rFonts w:hint="eastAsia" w:ascii="宋体" w:hAnsi="宋体"/>
                <w:bCs/>
                <w:sz w:val="24"/>
                <w:highlight w:val="none"/>
              </w:rPr>
            </w:pPr>
            <w:r>
              <w:rPr>
                <w:rFonts w:hint="eastAsia" w:ascii="宋体" w:hAnsi="宋体"/>
                <w:bCs/>
                <w:sz w:val="24"/>
                <w:highlight w:val="none"/>
              </w:rPr>
              <w:t xml:space="preserve">安全准入：实验室安全准入，实现在线安全学习，与开放预约联动。</w:t>
            </w:r>
            <w:r/>
          </w:p>
          <w:p>
            <w:pPr>
              <w:pStyle w:val="834"/>
              <w:numPr>
                <w:ilvl w:val="0"/>
                <w:numId w:val="8"/>
              </w:numPr>
              <w:ind w:left="0" w:firstLine="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预约管理：与空间管理和设备设施管理联动，涉及实验室功能区、空间、设备的预约流程（申请-审批-监控-反馈），移动端可操作。</w:t>
            </w:r>
            <w:r/>
          </w:p>
          <w:p>
            <w:pPr>
              <w:pStyle w:val="834"/>
              <w:numPr>
                <w:ilvl w:val="0"/>
                <w:numId w:val="8"/>
              </w:numPr>
              <w:ind w:left="0" w:firstLine="0"/>
              <w:rPr>
                <w:rFonts w:hint="eastAsia" w:ascii="宋体" w:hAnsi="宋体"/>
                <w:bCs/>
                <w:sz w:val="24"/>
                <w:highlight w:val="none"/>
              </w:rPr>
            </w:pPr>
            <w:r>
              <w:rPr>
                <w:rFonts w:hint="eastAsia" w:ascii="宋体" w:hAnsi="宋体"/>
                <w:sz w:val="24"/>
                <w:highlight w:val="none"/>
              </w:rPr>
              <w:t xml:space="preserve">★</w:t>
            </w:r>
            <w:r>
              <w:rPr>
                <w:rFonts w:hint="eastAsia" w:ascii="宋体" w:hAnsi="宋体"/>
                <w:bCs/>
                <w:sz w:val="24"/>
                <w:highlight w:val="none"/>
              </w:rPr>
              <w:t xml:space="preserve">过程监控：实际使用情况的监控和反馈功能，使用人使用前后通过扫描实验室或设备的二维码进行记录或说明，①登记实验室或设备的使用起始时间点，用于统计实际的使用时间并界定安全责任的时间边界；②记录上传使用过程中出现的异常情况等，以实现线上预约审批和线下使用反馈的闭环），移动端可操作。</w:t>
            </w:r>
            <w:r/>
          </w:p>
          <w:p>
            <w:pPr>
              <w:pStyle w:val="834"/>
              <w:numPr>
                <w:ilvl w:val="0"/>
                <w:numId w:val="8"/>
              </w:numPr>
              <w:ind w:left="0" w:firstLine="0"/>
              <w:rPr>
                <w:rFonts w:hint="eastAsia" w:ascii="宋体" w:hAnsi="宋体"/>
                <w:bCs/>
                <w:sz w:val="24"/>
                <w:highlight w:val="none"/>
              </w:rPr>
            </w:pPr>
            <w:r>
              <w:rPr>
                <w:rFonts w:hint="eastAsia" w:ascii="宋体" w:hAnsi="宋体"/>
                <w:bCs/>
                <w:sz w:val="24"/>
                <w:highlight w:val="none"/>
              </w:rPr>
              <w:t xml:space="preserve">▲ 危化品过程管理：危化品的入库、使用申领、归还损耗、库存监测、废弃物管理等全流程的实时过程管控，形成记录报表，设置预警策略，实现消耗异常或库存不足预警。</w:t>
            </w:r>
            <w:r/>
          </w:p>
          <w:p>
            <w:pPr>
              <w:pStyle w:val="834"/>
              <w:numPr>
                <w:ilvl w:val="0"/>
                <w:numId w:val="8"/>
              </w:numPr>
              <w:ind w:left="0" w:firstLine="0"/>
              <w:rPr>
                <w:rFonts w:hint="eastAsia" w:ascii="宋体" w:hAnsi="宋体"/>
                <w:bCs/>
                <w:sz w:val="24"/>
                <w:highlight w:val="none"/>
              </w:rPr>
            </w:pPr>
            <w:r>
              <w:rPr>
                <w:rFonts w:hint="eastAsia" w:ascii="宋体" w:hAnsi="宋体"/>
                <w:bCs/>
                <w:sz w:val="24"/>
                <w:highlight w:val="none"/>
              </w:rPr>
              <w:t xml:space="preserve">低值易耗品管理：申购计划、采购验收、领用申请、库存管理、查询统计、设置预警策略，实现消耗异常或库存不足预警。</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6</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cs="宋体"/>
                <w:bCs/>
                <w:sz w:val="24"/>
                <w:highlight w:val="none"/>
              </w:rPr>
              <w:t xml:space="preserve">实验室安全预警系统</w:t>
            </w:r>
            <w:r/>
          </w:p>
        </w:tc>
        <w:tc>
          <w:tcPr>
            <w:shd w:val="clear" w:color="auto" w:fill="auto"/>
            <w:tcW w:w="7737" w:type="dxa"/>
            <w:vAlign w:val="center"/>
            <w:textDirection w:val="lrTb"/>
            <w:noWrap w:val="false"/>
          </w:tcPr>
          <w:p>
            <w:pPr>
              <w:pStyle w:val="834"/>
              <w:numPr>
                <w:ilvl w:val="0"/>
                <w:numId w:val="10"/>
              </w:numPr>
              <w:ind w:left="0" w:firstLine="0"/>
              <w:rPr>
                <w:rFonts w:hint="eastAsia" w:ascii="宋体" w:hAnsi="宋体"/>
                <w:bCs/>
                <w:sz w:val="24"/>
                <w:highlight w:val="none"/>
              </w:rPr>
            </w:pPr>
            <w:r>
              <w:rPr>
                <w:rFonts w:hint="eastAsia" w:ascii="宋体" w:hAnsi="宋体"/>
                <w:bCs/>
                <w:sz w:val="24"/>
                <w:highlight w:val="none"/>
              </w:rPr>
              <w:t xml:space="preserve">该系统是一种用于监测实验室内的安全状况并在发生异常情况时发出警报的设备，这种系统通常由传感器、监控器和报警装置组成。</w:t>
            </w:r>
            <w:r/>
          </w:p>
          <w:p>
            <w:pPr>
              <w:pStyle w:val="834"/>
              <w:numPr>
                <w:ilvl w:val="0"/>
                <w:numId w:val="10"/>
              </w:numPr>
              <w:ind w:left="0" w:firstLine="0"/>
              <w:rPr>
                <w:rFonts w:hint="eastAsia" w:ascii="宋体" w:hAnsi="宋体"/>
                <w:bCs/>
                <w:sz w:val="24"/>
                <w:highlight w:val="none"/>
              </w:rPr>
            </w:pPr>
            <w:r>
              <w:rPr>
                <w:rFonts w:hint="eastAsia" w:ascii="宋体" w:hAnsi="宋体"/>
                <w:bCs/>
                <w:sz w:val="24"/>
                <w:highlight w:val="none"/>
              </w:rPr>
              <w:t xml:space="preserve">该系统采用物联网技术，通过软硬件结合实现对实验室安全因素的在线监测、智能控制、安全预警。</w:t>
            </w:r>
            <w:r/>
          </w:p>
          <w:p>
            <w:pPr>
              <w:pStyle w:val="834"/>
              <w:numPr>
                <w:ilvl w:val="0"/>
                <w:numId w:val="10"/>
              </w:numPr>
              <w:ind w:left="0" w:firstLine="0"/>
              <w:rPr>
                <w:rFonts w:hint="eastAsia" w:ascii="宋体" w:hAnsi="宋体"/>
                <w:bCs/>
                <w:sz w:val="24"/>
                <w:highlight w:val="none"/>
              </w:rPr>
            </w:pPr>
            <w:r>
              <w:rPr>
                <w:rFonts w:hint="eastAsia" w:ascii="宋体" w:hAnsi="宋体"/>
                <w:bCs/>
                <w:sz w:val="24"/>
                <w:highlight w:val="none"/>
              </w:rPr>
              <w:t xml:space="preserve"> 管理人员通过移动客户端实时查看实验室安全运行状态，如系统监测到实验室某项环境指标超出安全范围，系统推送相关报警信息到责任人，通知相关人员及时处理。</w:t>
            </w:r>
            <w:r/>
          </w:p>
          <w:p>
            <w:pPr>
              <w:pStyle w:val="834"/>
              <w:numPr>
                <w:ilvl w:val="0"/>
                <w:numId w:val="10"/>
              </w:numPr>
              <w:ind w:left="0" w:firstLine="0"/>
              <w:rPr>
                <w:rFonts w:hint="eastAsia" w:ascii="宋体" w:hAnsi="宋体"/>
                <w:bCs/>
                <w:sz w:val="24"/>
                <w:highlight w:val="none"/>
              </w:rPr>
            </w:pPr>
            <w:r>
              <w:rPr>
                <w:rFonts w:hint="eastAsia" w:ascii="宋体" w:hAnsi="宋体"/>
                <w:bCs/>
                <w:sz w:val="24"/>
                <w:highlight w:val="none"/>
              </w:rPr>
              <w:t xml:space="preserve">管理人员可通过系统查看实时的报警数据，和实验室实时视频监控画面，发现异常可第一时间做出应急处理，避免事态扩大，造成重大损失，实验室环境安全预警子系统为实验室安全运行保驾护航。</w:t>
            </w:r>
            <w:r/>
          </w:p>
          <w:p>
            <w:pPr>
              <w:pStyle w:val="834"/>
              <w:numPr>
                <w:ilvl w:val="0"/>
                <w:numId w:val="10"/>
              </w:numPr>
              <w:ind w:left="0" w:firstLine="0"/>
              <w:rPr>
                <w:rFonts w:hint="eastAsia" w:ascii="宋体" w:hAnsi="宋体"/>
                <w:bCs/>
                <w:sz w:val="24"/>
                <w:highlight w:val="none"/>
              </w:rPr>
            </w:pPr>
            <w:r>
              <w:rPr>
                <w:rFonts w:hint="eastAsia" w:ascii="宋体" w:hAnsi="宋体"/>
                <w:bCs/>
                <w:sz w:val="24"/>
                <w:highlight w:val="none"/>
              </w:rPr>
              <w:t xml:space="preserve">实验室环境安全预警子系统需具备安消一体化智能监测管理，实现安防、消防智能联动控制。</w:t>
            </w:r>
            <w:r/>
          </w:p>
          <w:p>
            <w:pPr>
              <w:pStyle w:val="834"/>
              <w:numPr>
                <w:ilvl w:val="0"/>
                <w:numId w:val="10"/>
              </w:numPr>
              <w:ind w:left="0" w:firstLine="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本实验室有众多贵重精密教学、实训、科研仪器设备，为保障仪器设备的安全存放和使用，须借助于机器视觉进行智慧消防管理，运用人工智能算法借助普通摄像头实时识别起火点，主动预警，并在5秒钟内将火情信息推送管理员，预判在先，预警时间须优于烟感报警时间。</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7</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数据管理</w:t>
            </w:r>
            <w:r/>
          </w:p>
        </w:tc>
        <w:tc>
          <w:tcPr>
            <w:shd w:val="clear" w:color="auto" w:fill="auto"/>
            <w:tcW w:w="7737" w:type="dxa"/>
            <w:vAlign w:val="center"/>
            <w:textDirection w:val="lrTb"/>
            <w:noWrap w:val="false"/>
          </w:tcPr>
          <w:p>
            <w:pPr>
              <w:pStyle w:val="834"/>
              <w:numPr>
                <w:ilvl w:val="0"/>
                <w:numId w:val="11"/>
              </w:numPr>
              <w:ind w:left="0" w:firstLine="0"/>
              <w:rPr>
                <w:rFonts w:hint="eastAsia" w:ascii="宋体" w:hAnsi="宋体"/>
                <w:bCs/>
                <w:sz w:val="24"/>
                <w:highlight w:val="none"/>
              </w:rPr>
            </w:pPr>
            <w:r>
              <w:rPr>
                <w:rFonts w:hint="eastAsia" w:ascii="宋体" w:hAnsi="宋体"/>
                <w:bCs/>
                <w:sz w:val="24"/>
                <w:highlight w:val="none"/>
              </w:rPr>
              <w:t xml:space="preserve">数据采集：设备数据采集：从各类设备（如服务器、网络设备、传感器等）中收集信息。</w:t>
            </w:r>
            <w:r/>
          </w:p>
          <w:p>
            <w:pPr>
              <w:pStyle w:val="834"/>
              <w:numPr>
                <w:ilvl w:val="0"/>
                <w:numId w:val="11"/>
              </w:numPr>
              <w:ind w:left="0" w:firstLine="0"/>
              <w:rPr>
                <w:rFonts w:hint="eastAsia" w:ascii="宋体" w:hAnsi="宋体"/>
                <w:bCs/>
                <w:sz w:val="24"/>
                <w:highlight w:val="none"/>
              </w:rPr>
            </w:pPr>
            <w:r>
              <w:rPr>
                <w:rFonts w:hint="eastAsia" w:ascii="宋体" w:hAnsi="宋体"/>
                <w:sz w:val="24"/>
                <w:highlight w:val="none"/>
              </w:rPr>
              <w:t xml:space="preserve">★</w:t>
            </w:r>
            <w:r>
              <w:rPr>
                <w:rFonts w:hint="eastAsia" w:ascii="宋体" w:hAnsi="宋体"/>
                <w:bCs/>
                <w:sz w:val="24"/>
                <w:highlight w:val="none"/>
              </w:rPr>
              <w:t xml:space="preserve">日志数据采集：集中收集系统日志、应用程序日志和安全日志等。</w:t>
            </w:r>
            <w:r/>
          </w:p>
          <w:p>
            <w:pPr>
              <w:pStyle w:val="834"/>
              <w:numPr>
                <w:ilvl w:val="0"/>
                <w:numId w:val="11"/>
              </w:numPr>
              <w:ind w:left="0" w:firstLine="0"/>
              <w:rPr>
                <w:rFonts w:hint="eastAsia" w:ascii="宋体" w:hAnsi="宋体"/>
                <w:bCs/>
                <w:sz w:val="24"/>
                <w:highlight w:val="none"/>
              </w:rPr>
            </w:pPr>
            <w:r>
              <w:rPr>
                <w:rFonts w:hint="eastAsia" w:ascii="宋体" w:hAnsi="宋体"/>
                <w:bCs/>
                <w:sz w:val="24"/>
                <w:highlight w:val="none"/>
              </w:rPr>
              <w:t xml:space="preserve">数据存储</w:t>
            </w:r>
            <w:r/>
          </w:p>
          <w:p>
            <w:pPr>
              <w:pStyle w:val="834"/>
              <w:numPr>
                <w:ilvl w:val="0"/>
                <w:numId w:val="12"/>
              </w:numPr>
              <w:ind w:left="0" w:firstLine="0"/>
              <w:rPr>
                <w:rFonts w:hint="eastAsia" w:ascii="宋体" w:hAnsi="宋体"/>
                <w:bCs/>
                <w:sz w:val="24"/>
                <w:highlight w:val="none"/>
              </w:rPr>
            </w:pPr>
            <w:r>
              <w:rPr>
                <w:rFonts w:hint="eastAsia" w:ascii="宋体" w:hAnsi="宋体"/>
                <w:bCs/>
                <w:sz w:val="24"/>
                <w:highlight w:val="none"/>
              </w:rPr>
              <w:t xml:space="preserve">分布式存储：采用分布式文件系统或分布式数据库来存储海量的运维数据。使用 Hadoop Distributed File System（HDFS）存储大规模的设备性能数据和日志数据，确保数据的高可用性和可扩展性。</w:t>
            </w:r>
            <w:r/>
          </w:p>
          <w:p>
            <w:pPr>
              <w:pStyle w:val="834"/>
              <w:numPr>
                <w:ilvl w:val="0"/>
                <w:numId w:val="12"/>
              </w:numPr>
              <w:ind w:left="0" w:firstLine="0"/>
              <w:rPr>
                <w:rFonts w:hint="eastAsia" w:ascii="宋体" w:hAnsi="宋体"/>
                <w:bCs/>
                <w:sz w:val="24"/>
                <w:highlight w:val="none"/>
              </w:rPr>
            </w:pPr>
            <w:r>
              <w:rPr>
                <w:rFonts w:hint="eastAsia" w:ascii="宋体" w:hAnsi="宋体"/>
                <w:bCs/>
                <w:sz w:val="24"/>
                <w:highlight w:val="none"/>
              </w:rPr>
              <w:t xml:space="preserve">关系型与非关系型数据库结合：根据数据特点分别存储。将结构化的数据（如设备基本信息、用户信息等）存储在关系型数据库（如 MySQL）中；对于非结构化或半结构化的数据（如日志数据、JSON 格式的配置数据等）存储在非关系型数据库（如 Redis）中。</w:t>
            </w:r>
            <w:r/>
          </w:p>
          <w:p>
            <w:pPr>
              <w:pStyle w:val="834"/>
              <w:numPr>
                <w:ilvl w:val="0"/>
                <w:numId w:val="11"/>
              </w:numPr>
              <w:ind w:left="0" w:firstLine="0"/>
              <w:rPr>
                <w:rFonts w:hint="eastAsia" w:ascii="宋体" w:hAnsi="宋体"/>
                <w:bCs/>
                <w:sz w:val="24"/>
                <w:highlight w:val="none"/>
              </w:rPr>
            </w:pPr>
            <w:r>
              <w:rPr>
                <w:rFonts w:hint="eastAsia" w:ascii="宋体" w:hAnsi="宋体"/>
                <w:bCs/>
                <w:sz w:val="24"/>
                <w:highlight w:val="none"/>
              </w:rPr>
              <w:t xml:space="preserve">数据分析与挖掘</w:t>
            </w:r>
            <w:r/>
          </w:p>
          <w:p>
            <w:pPr>
              <w:pStyle w:val="834"/>
              <w:numPr>
                <w:ilvl w:val="0"/>
                <w:numId w:val="13"/>
              </w:numPr>
              <w:ind w:left="0" w:firstLine="0"/>
              <w:rPr>
                <w:rFonts w:hint="eastAsia" w:ascii="宋体" w:hAnsi="宋体"/>
                <w:bCs/>
                <w:sz w:val="24"/>
                <w:highlight w:val="none"/>
              </w:rPr>
            </w:pPr>
            <w:r>
              <w:rPr>
                <w:rFonts w:hint="eastAsia" w:ascii="宋体" w:hAnsi="宋体"/>
                <w:bCs/>
                <w:sz w:val="24"/>
                <w:highlight w:val="none"/>
              </w:rPr>
              <w:t xml:space="preserve">实时分析：</w:t>
            </w:r>
            <w:r/>
          </w:p>
          <w:p>
            <w:pPr>
              <w:pStyle w:val="834"/>
              <w:ind w:left="0"/>
              <w:rPr>
                <w:rFonts w:hint="eastAsia" w:ascii="宋体" w:hAnsi="宋体"/>
                <w:bCs/>
                <w:sz w:val="24"/>
                <w:highlight w:val="none"/>
              </w:rPr>
            </w:pPr>
            <w:r>
              <w:rPr>
                <w:rFonts w:hint="eastAsia" w:ascii="宋体" w:hAnsi="宋体"/>
                <w:bCs/>
                <w:sz w:val="24"/>
                <w:highlight w:val="none"/>
              </w:rPr>
              <w:t xml:space="preserve">实时监控与告警：对采集到的数据进行实时分析，及时发现异常情况并发出告警。</w:t>
            </w:r>
            <w:r/>
          </w:p>
          <w:p>
            <w:pPr>
              <w:pStyle w:val="834"/>
              <w:ind w:left="0"/>
              <w:rPr>
                <w:rFonts w:hint="eastAsia" w:ascii="宋体" w:hAnsi="宋体"/>
                <w:bCs/>
                <w:sz w:val="24"/>
                <w:highlight w:val="none"/>
              </w:rPr>
            </w:pPr>
            <w:r>
              <w:rPr>
                <w:rFonts w:hint="eastAsia" w:ascii="宋体" w:hAnsi="宋体"/>
                <w:bCs/>
                <w:sz w:val="24"/>
                <w:highlight w:val="none"/>
              </w:rPr>
              <w:t xml:space="preserve">流量分析：实时分析网络流量数据，识别流量异常和潜在的网络攻击。</w:t>
            </w:r>
            <w:r/>
          </w:p>
          <w:p>
            <w:pPr>
              <w:pStyle w:val="834"/>
              <w:numPr>
                <w:ilvl w:val="0"/>
                <w:numId w:val="13"/>
              </w:numPr>
              <w:ind w:left="0" w:firstLine="0"/>
              <w:rPr>
                <w:rFonts w:hint="eastAsia" w:ascii="宋体" w:hAnsi="宋体"/>
                <w:bCs/>
                <w:sz w:val="24"/>
                <w:highlight w:val="none"/>
              </w:rPr>
            </w:pPr>
            <w:r>
              <w:rPr>
                <w:rFonts w:hint="eastAsia" w:ascii="宋体" w:hAnsi="宋体"/>
                <w:bCs/>
                <w:sz w:val="24"/>
                <w:highlight w:val="none"/>
              </w:rPr>
              <w:t xml:space="preserve">历史数据分析：</w:t>
            </w:r>
            <w:r/>
          </w:p>
          <w:p>
            <w:pPr>
              <w:pStyle w:val="834"/>
              <w:ind w:left="0"/>
              <w:rPr>
                <w:rFonts w:hint="eastAsia" w:ascii="宋体" w:hAnsi="宋体"/>
                <w:bCs/>
                <w:sz w:val="24"/>
                <w:highlight w:val="none"/>
              </w:rPr>
            </w:pPr>
            <w:r>
              <w:rPr>
                <w:rFonts w:hint="eastAsia" w:ascii="宋体" w:hAnsi="宋体"/>
                <w:bCs/>
                <w:sz w:val="24"/>
                <w:highlight w:val="none"/>
              </w:rPr>
              <w:t xml:space="preserve">趋势分析：通过分析历史数据，了解实验室各业务场景数据的变化趋势。</w:t>
            </w:r>
            <w:r/>
          </w:p>
          <w:p>
            <w:pPr>
              <w:pStyle w:val="834"/>
              <w:ind w:left="0"/>
              <w:rPr>
                <w:rFonts w:hint="eastAsia" w:ascii="宋体" w:hAnsi="宋体"/>
                <w:bCs/>
                <w:sz w:val="24"/>
                <w:highlight w:val="none"/>
              </w:rPr>
            </w:pPr>
            <w:r>
              <w:rPr>
                <w:rFonts w:hint="eastAsia" w:ascii="宋体" w:hAnsi="宋体"/>
                <w:bCs/>
                <w:sz w:val="24"/>
                <w:highlight w:val="none"/>
              </w:rPr>
              <w:t xml:space="preserve">关联分析：挖掘不同数据之间的关联关系。</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8</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移动APP（安卓）</w:t>
            </w:r>
            <w:r/>
          </w:p>
        </w:tc>
        <w:tc>
          <w:tcPr>
            <w:shd w:val="clear" w:color="auto" w:fill="auto"/>
            <w:tcW w:w="7737" w:type="dxa"/>
            <w:vAlign w:val="center"/>
            <w:textDirection w:val="lrTb"/>
            <w:noWrap w:val="false"/>
          </w:tcPr>
          <w:p>
            <w:pPr>
              <w:pStyle w:val="834"/>
              <w:numPr>
                <w:ilvl w:val="0"/>
                <w:numId w:val="14"/>
              </w:numPr>
              <w:ind w:left="0" w:firstLine="0"/>
              <w:rPr>
                <w:rFonts w:hint="eastAsia" w:ascii="宋体" w:hAnsi="宋体"/>
                <w:bCs/>
                <w:sz w:val="24"/>
                <w:highlight w:val="none"/>
              </w:rPr>
            </w:pPr>
            <w:r>
              <w:rPr>
                <w:rFonts w:hint="eastAsia" w:ascii="宋体" w:hAnsi="宋体"/>
                <w:bCs/>
                <w:sz w:val="24"/>
                <w:highlight w:val="none"/>
              </w:rPr>
              <w:t xml:space="preserve">实时监控：</w:t>
            </w:r>
            <w:r/>
          </w:p>
          <w:p>
            <w:pPr>
              <w:pStyle w:val="834"/>
              <w:numPr>
                <w:ilvl w:val="0"/>
                <w:numId w:val="15"/>
              </w:numPr>
              <w:ind w:left="0" w:firstLine="0"/>
              <w:rPr>
                <w:rFonts w:hint="eastAsia" w:ascii="宋体" w:hAnsi="宋体"/>
                <w:bCs/>
                <w:sz w:val="24"/>
                <w:highlight w:val="none"/>
              </w:rPr>
            </w:pPr>
            <w:r>
              <w:rPr>
                <w:rFonts w:hint="eastAsia" w:ascii="宋体" w:hAnsi="宋体"/>
                <w:bCs/>
                <w:sz w:val="24"/>
                <w:highlight w:val="none"/>
              </w:rPr>
              <w:t xml:space="preserve">显示各个系统的实时状态信息，包括设备在线状态、连接状态等；</w:t>
            </w:r>
            <w:r/>
          </w:p>
          <w:p>
            <w:pPr>
              <w:pStyle w:val="834"/>
              <w:numPr>
                <w:ilvl w:val="0"/>
                <w:numId w:val="15"/>
              </w:numPr>
              <w:ind w:left="0" w:firstLine="0"/>
              <w:rPr>
                <w:rFonts w:hint="eastAsia" w:ascii="宋体" w:hAnsi="宋体"/>
                <w:bCs/>
                <w:sz w:val="24"/>
                <w:highlight w:val="none"/>
              </w:rPr>
            </w:pPr>
            <w:r>
              <w:rPr>
                <w:rFonts w:hint="eastAsia" w:ascii="宋体" w:hAnsi="宋体"/>
                <w:bCs/>
                <w:sz w:val="24"/>
                <w:highlight w:val="none"/>
              </w:rPr>
              <w:t xml:space="preserve">提供实时告警信息，包括设备故障、异常事件等，以便用户及时采取相应措施；</w:t>
            </w:r>
            <w:r/>
          </w:p>
          <w:p>
            <w:pPr>
              <w:pStyle w:val="834"/>
              <w:numPr>
                <w:ilvl w:val="0"/>
                <w:numId w:val="15"/>
              </w:numPr>
              <w:ind w:left="0" w:firstLine="0"/>
              <w:rPr>
                <w:rFonts w:hint="eastAsia" w:ascii="宋体" w:hAnsi="宋体"/>
                <w:bCs/>
                <w:sz w:val="24"/>
                <w:highlight w:val="none"/>
              </w:rPr>
            </w:pPr>
            <w:r>
              <w:rPr>
                <w:rFonts w:hint="eastAsia" w:ascii="宋体" w:hAnsi="宋体"/>
                <w:bCs/>
                <w:sz w:val="24"/>
                <w:highlight w:val="none"/>
              </w:rPr>
              <w:t xml:space="preserve">支持实时刷新数据，确保用户能够及时获取最新的系统状态。</w:t>
            </w:r>
            <w:r/>
          </w:p>
          <w:p>
            <w:pPr>
              <w:pStyle w:val="834"/>
              <w:numPr>
                <w:ilvl w:val="0"/>
                <w:numId w:val="14"/>
              </w:numPr>
              <w:ind w:left="0" w:firstLine="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远程控制：</w:t>
            </w:r>
            <w:r>
              <w:rPr>
                <w:rFonts w:hint="eastAsia" w:ascii="宋体" w:hAnsi="宋体" w:cs="等线"/>
                <w:bCs/>
                <w:sz w:val="24"/>
                <w:highlight w:val="none"/>
                <w:lang w:bidi="ar"/>
              </w:rPr>
              <w:t xml:space="preserve">允许用户远程查看和控制视频监控画面，包括云台控制、镜头调节等。支持远程控制门禁、道闸、灯控等设备。</w:t>
            </w:r>
            <w:r/>
          </w:p>
          <w:p>
            <w:pPr>
              <w:pStyle w:val="834"/>
              <w:numPr>
                <w:ilvl w:val="0"/>
                <w:numId w:val="14"/>
              </w:numPr>
              <w:ind w:left="0" w:firstLine="0"/>
              <w:rPr>
                <w:rFonts w:hint="eastAsia" w:ascii="宋体" w:hAnsi="宋体"/>
                <w:bCs/>
                <w:sz w:val="24"/>
                <w:highlight w:val="none"/>
              </w:rPr>
            </w:pPr>
            <w:r>
              <w:rPr>
                <w:rFonts w:hint="eastAsia" w:ascii="宋体" w:hAnsi="宋体" w:cs="等线"/>
                <w:bCs/>
                <w:sz w:val="24"/>
                <w:highlight w:val="none"/>
                <w:lang w:bidi="ar"/>
              </w:rPr>
              <w:t xml:space="preserve">报警通知：实现实时报警通知功能，包括声音、震动和消息通知等方式，以便用户及时响应报警事件；用户可自定义报警通知方式和接收频率。</w:t>
            </w:r>
            <w:r/>
          </w:p>
          <w:p>
            <w:pPr>
              <w:pStyle w:val="834"/>
              <w:numPr>
                <w:ilvl w:val="0"/>
                <w:numId w:val="14"/>
              </w:numPr>
              <w:ind w:left="0" w:firstLine="0"/>
              <w:rPr>
                <w:rFonts w:hint="eastAsia" w:ascii="宋体" w:hAnsi="宋体"/>
                <w:bCs/>
                <w:sz w:val="24"/>
                <w:highlight w:val="none"/>
              </w:rPr>
            </w:pPr>
            <w:r>
              <w:rPr>
                <w:rFonts w:hint="eastAsia" w:ascii="宋体" w:hAnsi="宋体" w:cs="等线"/>
                <w:bCs/>
                <w:sz w:val="24"/>
                <w:highlight w:val="none"/>
                <w:lang w:bidi="ar"/>
              </w:rPr>
              <w:t xml:space="preserve">数据统计与分析查看：</w:t>
            </w:r>
            <w:r/>
          </w:p>
          <w:p>
            <w:pPr>
              <w:pStyle w:val="834"/>
              <w:numPr>
                <w:ilvl w:val="0"/>
                <w:numId w:val="16"/>
              </w:numPr>
              <w:ind w:left="0" w:firstLine="0"/>
              <w:rPr>
                <w:rFonts w:hint="eastAsia" w:ascii="宋体" w:hAnsi="宋体"/>
                <w:bCs/>
                <w:sz w:val="24"/>
                <w:highlight w:val="none"/>
              </w:rPr>
            </w:pPr>
            <w:r>
              <w:rPr>
                <w:rFonts w:hint="eastAsia" w:ascii="宋体" w:hAnsi="宋体"/>
                <w:bCs/>
                <w:sz w:val="24"/>
                <w:highlight w:val="none"/>
              </w:rPr>
              <w:t xml:space="preserve">提供各个系统运行数据的统计和分析，例如能源消耗统计、设备故障率分析等；</w:t>
            </w:r>
            <w:r/>
          </w:p>
          <w:p>
            <w:pPr>
              <w:pStyle w:val="834"/>
              <w:numPr>
                <w:ilvl w:val="0"/>
                <w:numId w:val="16"/>
              </w:numPr>
              <w:ind w:left="0" w:firstLine="0"/>
              <w:rPr>
                <w:rFonts w:hint="eastAsia" w:ascii="宋体" w:hAnsi="宋体"/>
                <w:bCs/>
                <w:sz w:val="24"/>
                <w:highlight w:val="none"/>
              </w:rPr>
            </w:pPr>
            <w:r>
              <w:rPr>
                <w:rFonts w:hint="eastAsia" w:ascii="宋体" w:hAnsi="宋体"/>
                <w:bCs/>
                <w:sz w:val="24"/>
                <w:highlight w:val="none"/>
              </w:rPr>
              <w:t xml:space="preserve">显示数据趋势图表，帮助用户了解系统性能和趋势变化；</w:t>
            </w:r>
            <w:r/>
          </w:p>
          <w:p>
            <w:pPr>
              <w:pStyle w:val="834"/>
              <w:numPr>
                <w:ilvl w:val="0"/>
                <w:numId w:val="14"/>
              </w:numPr>
              <w:ind w:left="0" w:firstLine="0"/>
              <w:rPr>
                <w:rFonts w:hint="eastAsia" w:ascii="宋体" w:hAnsi="宋体" w:cs="等线"/>
                <w:bCs/>
                <w:sz w:val="24"/>
                <w:highlight w:val="none"/>
                <w:lang w:bidi="ar"/>
              </w:rPr>
            </w:pPr>
            <w:r>
              <w:rPr>
                <w:rFonts w:hint="eastAsia" w:ascii="宋体" w:hAnsi="宋体" w:cs="等线"/>
                <w:bCs/>
                <w:sz w:val="24"/>
                <w:highlight w:val="none"/>
                <w:lang w:bidi="ar"/>
              </w:rPr>
              <w:t xml:space="preserve">访客管理：</w:t>
            </w:r>
            <w:r/>
          </w:p>
          <w:p>
            <w:pPr>
              <w:pStyle w:val="834"/>
              <w:numPr>
                <w:ilvl w:val="0"/>
                <w:numId w:val="17"/>
              </w:numPr>
              <w:ind w:left="0" w:firstLine="0"/>
              <w:rPr>
                <w:rFonts w:hint="eastAsia" w:ascii="宋体" w:hAnsi="宋体"/>
                <w:bCs/>
                <w:sz w:val="24"/>
                <w:highlight w:val="none"/>
              </w:rPr>
            </w:pPr>
            <w:r>
              <w:rPr>
                <w:rFonts w:hint="eastAsia" w:ascii="宋体" w:hAnsi="宋体"/>
                <w:bCs/>
                <w:sz w:val="24"/>
                <w:highlight w:val="none"/>
              </w:rPr>
              <w:t xml:space="preserve">访客在线提交访问申请；</w:t>
            </w:r>
            <w:r/>
          </w:p>
          <w:p>
            <w:pPr>
              <w:pStyle w:val="834"/>
              <w:numPr>
                <w:ilvl w:val="0"/>
                <w:numId w:val="17"/>
              </w:numPr>
              <w:ind w:left="0" w:firstLine="0"/>
              <w:rPr>
                <w:rFonts w:hint="eastAsia" w:ascii="宋体" w:hAnsi="宋体"/>
                <w:bCs/>
                <w:sz w:val="24"/>
                <w:highlight w:val="none"/>
              </w:rPr>
            </w:pPr>
            <w:r>
              <w:rPr>
                <w:rFonts w:hint="eastAsia" w:ascii="宋体" w:hAnsi="宋体"/>
                <w:bCs/>
                <w:sz w:val="24"/>
                <w:highlight w:val="none"/>
              </w:rPr>
              <w:t xml:space="preserve">管理员在线进行审批。</w:t>
            </w:r>
            <w:r/>
          </w:p>
          <w:p>
            <w:pPr>
              <w:pStyle w:val="834"/>
              <w:numPr>
                <w:ilvl w:val="0"/>
                <w:numId w:val="14"/>
              </w:numPr>
              <w:ind w:left="0" w:firstLine="0"/>
              <w:rPr>
                <w:rFonts w:hint="eastAsia" w:ascii="宋体" w:hAnsi="宋体" w:cs="等线"/>
                <w:bCs/>
                <w:sz w:val="24"/>
                <w:highlight w:val="none"/>
                <w:lang w:bidi="ar"/>
              </w:rPr>
            </w:pPr>
            <w:r>
              <w:rPr>
                <w:rFonts w:hint="eastAsia" w:ascii="宋体" w:hAnsi="宋体"/>
                <w:bCs/>
                <w:sz w:val="24"/>
                <w:highlight w:val="none"/>
              </w:rPr>
              <w:t xml:space="preserve">▲ </w:t>
            </w:r>
            <w:r>
              <w:rPr>
                <w:rFonts w:hint="eastAsia" w:ascii="宋体" w:hAnsi="宋体" w:cs="等线"/>
                <w:bCs/>
                <w:sz w:val="24"/>
                <w:highlight w:val="none"/>
                <w:lang w:bidi="ar"/>
              </w:rPr>
              <w:t xml:space="preserve">数据同步：与可视化三维管理平台进行数据同步，确保用户在移动终端上的操作和数据与平台保持一致。</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9</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功能兼容及拓展</w:t>
            </w:r>
            <w:r/>
          </w:p>
        </w:tc>
        <w:tc>
          <w:tcPr>
            <w:shd w:val="clear" w:color="auto" w:fill="auto"/>
            <w:tcW w:w="7737" w:type="dxa"/>
            <w:vAlign w:val="center"/>
            <w:textDirection w:val="lrTb"/>
            <w:noWrap w:val="false"/>
          </w:tcPr>
          <w:p>
            <w:pPr>
              <w:pStyle w:val="834"/>
              <w:ind w:left="0"/>
              <w:rPr>
                <w:rFonts w:hint="eastAsia" w:ascii="宋体" w:hAnsi="宋体" w:cs="等线"/>
                <w:bCs/>
                <w:sz w:val="24"/>
                <w:highlight w:val="none"/>
                <w:lang w:bidi="ar"/>
              </w:rPr>
            </w:pPr>
            <w:r>
              <w:rPr>
                <w:rFonts w:hint="eastAsia" w:ascii="宋体" w:hAnsi="宋体" w:cs="等线"/>
                <w:bCs/>
                <w:sz w:val="24"/>
                <w:highlight w:val="none"/>
                <w:lang w:bidi="ar"/>
              </w:rPr>
              <w:t xml:space="preserve">管理平台支持数据接入与跨平台拓展。</w:t>
            </w:r>
            <w:r/>
          </w:p>
          <w:p>
            <w:pPr>
              <w:pStyle w:val="834"/>
              <w:numPr>
                <w:ilvl w:val="0"/>
                <w:numId w:val="18"/>
              </w:numPr>
              <w:ind w:left="0" w:firstLine="0"/>
              <w:rPr>
                <w:rFonts w:hint="eastAsia" w:ascii="宋体" w:hAnsi="宋体" w:cs="等线"/>
                <w:bCs/>
                <w:sz w:val="24"/>
                <w:highlight w:val="none"/>
                <w:u w:val="single"/>
                <w:lang w:bidi="ar"/>
              </w:rPr>
            </w:pPr>
            <w:r>
              <w:rPr>
                <w:rFonts w:hint="eastAsia" w:ascii="宋体" w:hAnsi="宋体"/>
                <w:sz w:val="24"/>
                <w:highlight w:val="none"/>
              </w:rPr>
              <w:t xml:space="preserve">★</w:t>
            </w:r>
            <w:r>
              <w:rPr>
                <w:rFonts w:hint="eastAsia" w:ascii="宋体" w:hAnsi="宋体" w:cs="等线"/>
                <w:bCs/>
                <w:sz w:val="24"/>
                <w:highlight w:val="none"/>
                <w:lang w:bidi="ar"/>
              </w:rPr>
              <w:t xml:space="preserve">平台分层级架构须支持纵向向上对接和向下延伸：向上预留与学院、学校相应平台系统的对接，向下：面向分实验室、区域、设备等更细化的管理控制功能；</w:t>
            </w:r>
            <w:r/>
          </w:p>
          <w:p>
            <w:pPr>
              <w:pStyle w:val="834"/>
              <w:numPr>
                <w:ilvl w:val="0"/>
                <w:numId w:val="18"/>
              </w:numPr>
              <w:ind w:left="0" w:firstLine="0"/>
              <w:rPr>
                <w:rFonts w:hint="eastAsia" w:ascii="宋体" w:hAnsi="宋体" w:cs="等线"/>
                <w:bCs/>
                <w:sz w:val="24"/>
                <w:highlight w:val="none"/>
                <w:u w:val="single"/>
                <w:lang w:bidi="ar"/>
              </w:rPr>
            </w:pPr>
            <w:r>
              <w:rPr>
                <w:rFonts w:hint="eastAsia" w:ascii="宋体" w:hAnsi="宋体"/>
                <w:sz w:val="24"/>
                <w:highlight w:val="none"/>
              </w:rPr>
              <w:t xml:space="preserve">★</w:t>
            </w:r>
            <w:r>
              <w:rPr>
                <w:rFonts w:hint="eastAsia" w:ascii="宋体" w:hAnsi="宋体" w:cs="等线"/>
                <w:bCs/>
                <w:sz w:val="24"/>
                <w:highlight w:val="none"/>
                <w:lang w:bidi="ar"/>
              </w:rPr>
              <w:t xml:space="preserve">PC端Web应用必须与学校统一身份认证和信息门户对接，完成单点登录，系统除经信息化中心批准的特殊账号外均必须通过统一身份认证进入系统，并实现基本操作；移动端应用除独立APP外，必须与徐州工程学院企业微信号对接，完成基于企业微信的单点登录并实现基本操作；</w:t>
            </w:r>
            <w:r/>
          </w:p>
          <w:p>
            <w:pPr>
              <w:pStyle w:val="834"/>
              <w:numPr>
                <w:ilvl w:val="0"/>
                <w:numId w:val="18"/>
              </w:numPr>
              <w:ind w:left="0" w:firstLine="0"/>
              <w:rPr>
                <w:rFonts w:hint="eastAsia" w:ascii="宋体" w:hAnsi="宋体" w:cs="等线"/>
                <w:bCs/>
                <w:sz w:val="24"/>
                <w:highlight w:val="none"/>
                <w:lang w:bidi="ar"/>
              </w:rPr>
            </w:pPr>
            <w:r>
              <w:rPr>
                <w:rFonts w:hint="eastAsia" w:ascii="宋体" w:hAnsi="宋体"/>
                <w:bCs/>
                <w:sz w:val="24"/>
                <w:highlight w:val="none"/>
              </w:rPr>
              <w:t xml:space="preserve">▲ </w:t>
            </w:r>
            <w:r>
              <w:rPr>
                <w:rFonts w:hint="eastAsia" w:ascii="宋体" w:hAnsi="宋体" w:cs="等线"/>
                <w:bCs/>
                <w:sz w:val="24"/>
                <w:highlight w:val="none"/>
                <w:lang w:bidi="ar"/>
              </w:rPr>
              <w:t xml:space="preserve">子系统功能模块化架构须支持后续功能模块的横向拓展。</w:t>
            </w:r>
            <w:r/>
          </w:p>
          <w:p>
            <w:pPr>
              <w:pStyle w:val="834"/>
              <w:numPr>
                <w:ilvl w:val="0"/>
                <w:numId w:val="18"/>
              </w:numPr>
              <w:ind w:left="0" w:firstLine="0"/>
              <w:rPr>
                <w:rFonts w:hint="eastAsia" w:ascii="宋体" w:hAnsi="宋体" w:cs="等线"/>
                <w:bCs/>
                <w:sz w:val="24"/>
                <w:highlight w:val="none"/>
                <w:lang w:bidi="ar"/>
              </w:rPr>
            </w:pPr>
            <w:r>
              <w:rPr>
                <w:rFonts w:hint="eastAsia" w:ascii="宋体" w:hAnsi="宋体"/>
                <w:sz w:val="24"/>
                <w:highlight w:val="none"/>
              </w:rPr>
              <w:t xml:space="preserve">★</w:t>
            </w:r>
            <w:r>
              <w:rPr>
                <w:rFonts w:hint="eastAsia" w:ascii="宋体" w:hAnsi="宋体" w:cs="等线"/>
                <w:bCs/>
                <w:sz w:val="24"/>
                <w:highlight w:val="none"/>
                <w:lang w:bidi="ar"/>
              </w:rPr>
              <w:t xml:space="preserve">管理平台具有良好兼容性，须明确各子系统之间的关系，包括但不限于：上下层级关系、流程逻辑关系、平行关系等，因此建议针对项目名称里涉及的各子系统进一步梳理相互之间的关系，须支持各子系统数据和信息之间的传递、共享和协同。</w:t>
            </w:r>
            <w:r/>
          </w:p>
          <w:p>
            <w:pPr>
              <w:pStyle w:val="834"/>
              <w:numPr>
                <w:ilvl w:val="0"/>
                <w:numId w:val="18"/>
              </w:numPr>
              <w:ind w:left="0" w:firstLine="0"/>
              <w:rPr>
                <w:rFonts w:hint="eastAsia" w:ascii="宋体" w:hAnsi="宋体" w:cs="等线"/>
                <w:bCs/>
                <w:sz w:val="24"/>
                <w:highlight w:val="none"/>
                <w:lang w:bidi="ar"/>
              </w:rPr>
            </w:pPr>
            <w:r>
              <w:rPr>
                <w:rFonts w:hint="eastAsia" w:ascii="宋体" w:hAnsi="宋体"/>
                <w:sz w:val="24"/>
                <w:highlight w:val="none"/>
              </w:rPr>
              <w:t xml:space="preserve">★</w:t>
            </w:r>
            <w:r>
              <w:rPr>
                <w:rFonts w:hint="eastAsia" w:ascii="宋体" w:hAnsi="宋体" w:cs="等线"/>
                <w:bCs/>
                <w:sz w:val="24"/>
                <w:highlight w:val="none"/>
                <w:lang w:bidi="ar"/>
              </w:rPr>
              <w:t xml:space="preserve">支持面向学院其他专业类系统（钢结构监测、强震仪系统）的接入研发。</w:t>
            </w:r>
            <w:r/>
          </w:p>
          <w:p>
            <w:pPr>
              <w:pStyle w:val="834"/>
              <w:numPr>
                <w:ilvl w:val="0"/>
                <w:numId w:val="18"/>
              </w:numPr>
              <w:ind w:left="0" w:firstLine="0"/>
              <w:rPr>
                <w:rFonts w:hint="eastAsia" w:ascii="宋体" w:hAnsi="宋体" w:cs="等线"/>
                <w:bCs/>
                <w:sz w:val="24"/>
                <w:highlight w:val="none"/>
                <w:lang w:bidi="ar"/>
              </w:rPr>
            </w:pPr>
            <w:r>
              <w:rPr>
                <w:rFonts w:hint="eastAsia" w:ascii="宋体" w:hAnsi="宋体" w:cs="等线"/>
                <w:bCs/>
                <w:sz w:val="24"/>
                <w:highlight w:val="none"/>
                <w:lang w:bidi="ar"/>
              </w:rPr>
              <w:t xml:space="preserve">行业标准协议：支持业界主流的物联网终端设备接入协议，包括但不限于：COAP、MQTT、JT808、 HTTP、LWM2M、Modbus 等行业协议，支持 UDP/TCP 传输协议，支持 SNMP（简单网络管理协议）、SSH（安全外壳协议）、HTTP/HTTPS 等常见的行业标准协议（数据库），支持通过扩展协议插件支 持私有或非标协议设备和应用的接入，支持上传、加载、卸载协议插件。</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10</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扩展服务</w:t>
            </w:r>
            <w:r/>
          </w:p>
        </w:tc>
        <w:tc>
          <w:tcPr>
            <w:shd w:val="clear" w:color="auto" w:fill="auto"/>
            <w:tcW w:w="7737" w:type="dxa"/>
            <w:vAlign w:val="center"/>
            <w:textDirection w:val="lrTb"/>
            <w:noWrap w:val="false"/>
          </w:tcPr>
          <w:p>
            <w:pPr>
              <w:pStyle w:val="834"/>
              <w:ind w:left="0"/>
              <w:rPr>
                <w:rFonts w:hint="eastAsia" w:ascii="宋体" w:hAnsi="宋体"/>
                <w:bCs/>
                <w:sz w:val="24"/>
                <w:highlight w:val="none"/>
                <w:u w:val="single"/>
              </w:rPr>
            </w:pPr>
            <w:r>
              <w:rPr>
                <w:rFonts w:hint="eastAsia" w:ascii="宋体" w:hAnsi="宋体"/>
                <w:sz w:val="24"/>
                <w:highlight w:val="none"/>
              </w:rPr>
              <w:t xml:space="preserve">★</w:t>
            </w:r>
            <w:r>
              <w:rPr>
                <w:rFonts w:hint="eastAsia" w:ascii="宋体" w:hAnsi="宋体"/>
                <w:bCs/>
                <w:sz w:val="24"/>
                <w:highlight w:val="none"/>
              </w:rPr>
              <w:t xml:space="preserve">依托数字孪生运维平台和智慧管理模式为智能建造专业和课程建设服务：围绕平台架构、功能拓展、软硬件设置、整体架构展示，支持预留实体或虚拟仿真可操作、可拓展实训内容，平台可接入教学管理系统，可满足专业和课程建设服务及教学资源开发需求。</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p>
        </w:tc>
        <w:tc>
          <w:tcPr>
            <w:shd w:val="clear" w:color="auto" w:fill="auto"/>
            <w:tcW w:w="853"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建筑强震仪数据接入和分析</w:t>
            </w:r>
            <w:r/>
          </w:p>
        </w:tc>
        <w:tc>
          <w:tcPr>
            <w:shd w:val="clear" w:color="auto" w:fill="auto"/>
            <w:tcW w:w="7737" w:type="dxa"/>
            <w:vAlign w:val="center"/>
            <w:textDirection w:val="lrTb"/>
            <w:noWrap w:val="false"/>
          </w:tcPr>
          <w:p>
            <w:pPr>
              <w:pStyle w:val="834"/>
              <w:ind w:left="0"/>
              <w:rPr>
                <w:rFonts w:hint="eastAsia" w:ascii="宋体" w:hAnsi="宋体"/>
                <w:bCs/>
                <w:sz w:val="24"/>
                <w:highlight w:val="none"/>
              </w:rPr>
            </w:pPr>
            <w:r>
              <w:rPr>
                <w:rFonts w:hint="eastAsia" w:ascii="宋体" w:hAnsi="宋体"/>
                <w:sz w:val="24"/>
                <w:highlight w:val="none"/>
              </w:rPr>
              <w:t xml:space="preserve">★</w:t>
            </w:r>
            <w:r>
              <w:rPr>
                <w:rFonts w:hint="eastAsia" w:ascii="宋体" w:hAnsi="宋体" w:cs="等线"/>
                <w:bCs/>
                <w:sz w:val="24"/>
                <w:highlight w:val="none"/>
                <w:lang w:bidi="ar"/>
              </w:rPr>
              <w:t xml:space="preserve">结合江苏省地震局强震仪数据采集和传输特征，完成数据接入和分析系统的构建。</w:t>
            </w:r>
            <w:r/>
          </w:p>
        </w:tc>
      </w:tr>
      <w:tr>
        <w:trPr>
          <w:trHeight w:val="440"/>
        </w:trPr>
        <w:tc>
          <w:tcPr>
            <w:shd w:val="clear" w:color="auto" w:fill="auto"/>
            <w:tcW w:w="498" w:type="dxa"/>
            <w:vAlign w:val="center"/>
            <w:textDirection w:val="lrTb"/>
            <w:noWrap w:val="false"/>
          </w:tcPr>
          <w:p>
            <w:pPr>
              <w:jc w:val="center"/>
              <w:rPr>
                <w:rFonts w:hint="eastAsia" w:ascii="宋体" w:hAnsi="宋体"/>
                <w:bCs/>
                <w:sz w:val="24"/>
                <w:highlight w:val="none"/>
              </w:rPr>
            </w:pPr>
            <w:r>
              <w:rPr>
                <w:rFonts w:hint="eastAsia" w:ascii="宋体" w:hAnsi="宋体" w:cs="宋体"/>
                <w:bCs/>
                <w:szCs w:val="21"/>
                <w:highlight w:val="none"/>
              </w:rPr>
              <w:t xml:space="preserve">12</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智能水表</w:t>
            </w:r>
            <w:r/>
          </w:p>
        </w:tc>
        <w:tc>
          <w:tcPr>
            <w:shd w:val="clear" w:color="auto" w:fill="auto"/>
            <w:tcW w:w="7737" w:type="dxa"/>
            <w:vAlign w:val="center"/>
            <w:textDirection w:val="lrTb"/>
            <w:noWrap w:val="false"/>
          </w:tcPr>
          <w:p>
            <w:pPr>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1.工作环境：温度-40°C~+60℃湿度≤95%RH</w:t>
            </w:r>
            <w:r/>
          </w:p>
          <w:p>
            <w:pPr>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2.工作电压：6V-14V</w:t>
            </w:r>
            <w:r/>
          </w:p>
          <w:p>
            <w:pPr>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3.采集方式：采用对射式广电直读传感技术</w:t>
            </w:r>
            <w:r/>
          </w:p>
          <w:p>
            <w:pPr>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4.接口类型：485型</w:t>
            </w:r>
            <w:r/>
          </w:p>
          <w:p>
            <w:pPr>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5.接线方式：800-1000m</w:t>
            </w:r>
            <w:r/>
          </w:p>
          <w:p>
            <w:pPr>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6.波特率：1200/2400/4800/9600</w:t>
            </w:r>
            <w:r/>
          </w:p>
          <w:p>
            <w:pPr>
              <w:pStyle w:val="834"/>
              <w:ind w:left="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pacing w:val="4"/>
                <w:sz w:val="24"/>
                <w:highlight w:val="none"/>
              </w:rPr>
              <w:t xml:space="preserve">7.信号采集器能够采集智能水表信号，工作电压：12-36V、接口类型：485型、通讯方式：4g/wifi/以太网</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13</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大厅区实验设备智能物联网空开</w:t>
            </w:r>
            <w:r/>
          </w:p>
        </w:tc>
        <w:tc>
          <w:tcPr>
            <w:shd w:val="clear" w:color="auto" w:fill="auto"/>
            <w:tcW w:w="7737" w:type="dxa"/>
            <w:vAlign w:val="center"/>
            <w:textDirection w:val="lrTb"/>
            <w:noWrap w:val="false"/>
          </w:tcPr>
          <w:p>
            <w:pPr>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1.支持用电压、电流、用电量计量</w:t>
            </w:r>
            <w:r/>
          </w:p>
          <w:p>
            <w:pPr>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2.具备过流、过载、过温、过压等用电保护功能</w:t>
            </w:r>
            <w:r/>
          </w:p>
          <w:p>
            <w:pPr>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3.支持远程控制通断，额定频率：50Hz/60Hz</w:t>
            </w:r>
            <w:r/>
          </w:p>
          <w:p>
            <w:pPr>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4.支持对接485、WIFI、LORA、4G等协议</w:t>
            </w:r>
            <w:r/>
          </w:p>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5.额定电压AC400V，漏电动作时间≤1s</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14</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空调智能插座</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1.支持用电压、电流、用电量计量</w:t>
            </w:r>
            <w:r/>
          </w:p>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2.支持WIFI</w:t>
            </w:r>
            <w:r/>
          </w:p>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3.支持红外远程遥控</w:t>
            </w:r>
            <w:r/>
          </w:p>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4.额定电流16A</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15</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空气质量变送器</w:t>
            </w:r>
            <w:r/>
          </w:p>
        </w:tc>
        <w:tc>
          <w:tcPr>
            <w:shd w:val="clear" w:color="auto" w:fill="auto"/>
            <w:tcW w:w="7737" w:type="dxa"/>
            <w:vAlign w:val="center"/>
            <w:textDirection w:val="lrTb"/>
            <w:noWrap w:val="false"/>
          </w:tcPr>
          <w:p>
            <w:pPr>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1.直流供电：DC 10-30V</w:t>
            </w:r>
            <w:r/>
          </w:p>
          <w:p>
            <w:pPr>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2.检测参数：温度、湿度、噪音、粉尘</w:t>
            </w:r>
            <w:r/>
          </w:p>
          <w:p>
            <w:pPr>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3.工作环境：温度-10℃-55℃；湿度0~95%RH 无冷凝，TSP要素：温度-10℃-55℃；湿度0~70%RH</w:t>
            </w:r>
            <w:r/>
          </w:p>
          <w:p>
            <w:pPr>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4.信号输出：RS485</w:t>
            </w:r>
            <w:r/>
          </w:p>
          <w:p>
            <w:pPr>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5.接口类型：485型</w:t>
            </w:r>
            <w:r/>
          </w:p>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6.通讯方式：4g/wifi/以太网</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16</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智能门禁</w:t>
            </w:r>
            <w:r/>
          </w:p>
        </w:tc>
        <w:tc>
          <w:tcPr>
            <w:shd w:val="clear" w:color="auto" w:fill="auto"/>
            <w:tcW w:w="7737" w:type="dxa"/>
            <w:vAlign w:val="center"/>
            <w:textDirection w:val="lrTb"/>
            <w:noWrap w:val="false"/>
          </w:tcPr>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支持7英寸LCD触摸显示屏，屏幕比例16:9，屏幕分辨率1024*600，可显示软件界面及操作提示，设备实时检测最大人脸，具有人脸框提示设计，方便用户校准；</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支持采用200万宽动态摄像头，最大视场角120°，面部识别距离＞2m，适应1.2m-2.0m身高范围，支持手机照片、视频防假，支持远程视频预览，支持识别二维码；</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支持星光级图像传感器，无需白光补光灯，在暗光或无光环境下人脸识别效果不受影响；</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设备采用深度学习算法，支持5000人脸库，人脸比对时间≤0.2s/人，人脸验证准确率≥99%，识别速度快，准确率高；</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设备支持多种认证方式：刷卡、人脸、刷卡+人脸等认证方式</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设备支持普通卡/残疾人卡/黑名单/巡更卡/来宾卡/胁迫卡/超级卡/解除卡等多种卡片类型。</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设备支持多重卡开门功能、首卡开门功能、超级卡和超级密码开门、中心远程开门、多重卡认证+远程授权（N+1）开门功能、在线升级功能、单门反潜回功能；</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设备支持门禁时段管控（计划模板），按需授权开门；</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设备支持防拆报警、门被外力开起报警、胁迫卡和胁迫码报警、黑名单报警；</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设备可存储用户数据(可通过本地注册、TCP/IP传输或用U盘将用户数据导入到设备中），支持在断网模式下单机运行；</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设备可进行本地管理，支持本地注册人脸、查询、设置、管理设备参数等；可通过U盘导入用户数据、人脸及门禁参数，也可通过U盘导出联动抓拍照片（需通过客户端配置事件联动保存抓拍图片）；</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设备支持数据网络上传功能，可将设备比对结果及联动抓拍照片实时上传给平台；</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设备支持断网续传功能，设备离线状态下产生事件在与平台连接后会重新上传；</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设备支持通过RS485外接1个读卡器（不支持指纹读卡器）或外接门禁主机，还可通过RS485接入门控安全模块，防止主机被恶意破坏的情况下，门锁不被打开；</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设备支持通过韦根接口外接门禁主机或韦根读卡器；</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设备支持远程视频预览功能，可以通过RTSP协议输出视频码流，编码格式H.264；</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设备可输出认证结果固定语音提示；</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设备支持看门狗守护机制，防拆设计，保障设备运行稳定性。</w:t>
            </w:r>
            <w:r/>
          </w:p>
          <w:p>
            <w:pPr>
              <w:numPr>
                <w:ilvl w:val="0"/>
                <w:numId w:val="19"/>
              </w:numPr>
              <w:ind w:left="0" w:firstLine="0"/>
              <w:jc w:val="left"/>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设备支持与动环系统对接，实现统一管理。含磁力锁、开门按钮、电源等配件包1套</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17</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卷帘门控制系统</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可通过手机端实现远程控制卷帘门开合</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18</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视频监控系统</w:t>
            </w:r>
            <w:r/>
          </w:p>
        </w:tc>
        <w:tc>
          <w:tcPr>
            <w:shd w:val="clear" w:color="auto" w:fill="auto"/>
            <w:tcW w:w="7737" w:type="dxa"/>
            <w:vAlign w:val="center"/>
            <w:textDirection w:val="lrTb"/>
            <w:noWrap w:val="false"/>
          </w:tcPr>
          <w:p>
            <w:pPr>
              <w:numPr>
                <w:ilvl w:val="0"/>
                <w:numId w:val="20"/>
              </w:num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监控摄像机均需要采用400万高清像素，星光级以上的摄像机，</w:t>
            </w:r>
            <w:r/>
          </w:p>
          <w:p>
            <w:pPr>
              <w:numPr>
                <w:ilvl w:val="0"/>
                <w:numId w:val="20"/>
              </w:num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存储容量：满足存储天数（90天）</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19</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人体存在感应器</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1、人体存在感应器工作电压：220V、通讯距离：空旷地区无障碍80m、感应距离：6m、光感范围：0-10000lux、雷达频率：24GHz-24.25GHz、通讯协议：支持WiFi、BLE</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20</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智能开关</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智能开关电压：110-220v，50-60HZ、规格：86mm×86mm、支持BLE</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21</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钢构件位移、应变监测传感器</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pacing w:val="4"/>
                <w:sz w:val="24"/>
                <w:highlight w:val="none"/>
              </w:rPr>
              <w:t xml:space="preserve">钢构件位移、应变适时监测传感器，无线传输数据，能够精确测定钢结构件发生变形、震动，角度倾斜状况。</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22</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全场景移动式环境监测处理系统</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z w:val="24"/>
                <w:highlight w:val="none"/>
              </w:rPr>
              <w:t xml:space="preserve">通过自动化和智能化的方式完成全场景移动式环境监测、环境变量优化处理任务，通过三维参数化建模、高精度传感器（激光+视觉+超声+触边）、机器视觉、路径规划等技术，全自动构图，根据预设的程序和指令在指定工作区域中自主工作，满足复杂场地和特殊工作环境需求。</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23</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全场景移动式物料转移维持系统</w:t>
            </w:r>
            <w:r/>
          </w:p>
        </w:tc>
        <w:tc>
          <w:tcPr>
            <w:shd w:val="clear" w:color="auto" w:fill="auto"/>
            <w:tcW w:w="7737" w:type="dxa"/>
            <w:vAlign w:val="center"/>
            <w:textDirection w:val="lrTb"/>
            <w:noWrap w:val="false"/>
          </w:tcPr>
          <w:p>
            <w:pPr>
              <w:jc w:val="left"/>
              <w:tabs>
                <w:tab w:val="left" w:pos="1060" w:leader="none"/>
              </w:tabs>
              <w:rPr>
                <w:rFonts w:hint="eastAsia" w:asciiTheme="minorEastAsia" w:hAnsiTheme="minorEastAsia" w:eastAsiaTheme="minorEastAsia" w:cstheme="minorEastAsia"/>
                <w:bCs/>
                <w:spacing w:val="4"/>
                <w:sz w:val="24"/>
                <w:highlight w:val="none"/>
              </w:rPr>
            </w:pPr>
            <w:r>
              <w:rPr>
                <w:rFonts w:hint="eastAsia" w:asciiTheme="minorEastAsia" w:hAnsiTheme="minorEastAsia" w:eastAsiaTheme="minorEastAsia" w:cstheme="minorEastAsia"/>
                <w:bCs/>
                <w:sz w:val="24"/>
                <w:highlight w:val="none"/>
              </w:rPr>
              <w:t xml:space="preserve">通过自动化和智能化的方式完成力学维持任务，通过高精度激光传感器、视觉识别、路径规划等技术，具有改善力学维持管理的能力，能够根据预设的程序和指令在工作场所中自主工作，满足柔性的场地要求和特殊工作环境需求。</w:t>
            </w:r>
            <w:r/>
          </w:p>
        </w:tc>
      </w:tr>
      <w:tr>
        <w:trPr>
          <w:trHeight w:val="440"/>
        </w:trPr>
        <w:tc>
          <w:tcPr>
            <w:shd w:val="clear" w:color="auto" w:fill="auto"/>
            <w:tcW w:w="498"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24</w:t>
            </w:r>
            <w:r/>
          </w:p>
        </w:tc>
        <w:tc>
          <w:tcPr>
            <w:shd w:val="clear" w:color="auto" w:fill="auto"/>
            <w:tcW w:w="853" w:type="dxa"/>
            <w:vAlign w:val="center"/>
            <w:textDirection w:val="lrTb"/>
            <w:noWrap w:val="false"/>
          </w:tcPr>
          <w:p>
            <w:pPr>
              <w:jc w:val="center"/>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物联网控制及网络系统</w:t>
            </w:r>
            <w:r/>
          </w:p>
        </w:tc>
        <w:tc>
          <w:tcPr>
            <w:shd w:val="clear" w:color="auto" w:fill="auto"/>
            <w:tcW w:w="7737" w:type="dxa"/>
            <w:vAlign w:val="center"/>
            <w:textDirection w:val="lrTb"/>
            <w:noWrap w:val="false"/>
          </w:tcPr>
          <w:p>
            <w:pPr>
              <w:pStyle w:val="774"/>
              <w:spacing w:before="0" w:after="0"/>
              <w:rPr>
                <w:rFonts w:hint="eastAsia" w:asciiTheme="minorEastAsia" w:hAnsiTheme="minorEastAsia" w:eastAsiaTheme="minorEastAsia" w:cstheme="minorEastAsia"/>
                <w:spacing w:val="4"/>
                <w:sz w:val="24"/>
                <w:highlight w:val="none"/>
              </w:rPr>
            </w:pPr>
            <w:r>
              <w:rPr>
                <w:rFonts w:hint="eastAsia" w:asciiTheme="minorEastAsia" w:hAnsiTheme="minorEastAsia" w:eastAsiaTheme="minorEastAsia" w:cstheme="minorEastAsia"/>
                <w:spacing w:val="4"/>
                <w:sz w:val="24"/>
                <w:highlight w:val="none"/>
              </w:rPr>
              <w:t xml:space="preserve">满足本项目数字孪生平台网络系统运行的配套物联网络设备要求</w:t>
            </w:r>
            <w:r/>
          </w:p>
          <w:p>
            <w:pPr>
              <w:pStyle w:val="774"/>
              <w:spacing w:before="0" w:after="0"/>
              <w:rPr>
                <w:rFonts w:hint="eastAsia" w:asciiTheme="minorEastAsia" w:hAnsiTheme="minorEastAsia" w:eastAsiaTheme="minorEastAsia" w:cstheme="minorEastAsia"/>
                <w:spacing w:val="4"/>
                <w:sz w:val="24"/>
                <w:highlight w:val="none"/>
              </w:rPr>
            </w:pPr>
            <w:r>
              <w:rPr>
                <w:rFonts w:hint="eastAsia" w:asciiTheme="minorEastAsia" w:hAnsiTheme="minorEastAsia" w:eastAsiaTheme="minorEastAsia" w:cstheme="minorEastAsia"/>
                <w:spacing w:val="4"/>
                <w:sz w:val="24"/>
                <w:highlight w:val="none"/>
              </w:rPr>
              <w:t xml:space="preserve">1.网络控制器：确保能与物联网设备连接，支持对新接入的设备进行自动识别和配置，支持实时监测设备的连接状态，确保设备始终保持在线。支持网络安全防护功能，防止未经授权的访问和攻击。实现设备连接、数据传输、网络管理和远程控制等多种功能。</w:t>
            </w:r>
            <w:r/>
          </w:p>
          <w:p>
            <w:pPr>
              <w:pStyle w:val="774"/>
              <w:spacing w:before="0" w:after="0"/>
              <w:rPr>
                <w:rFonts w:hint="eastAsia" w:asciiTheme="minorEastAsia" w:hAnsiTheme="minorEastAsia" w:eastAsiaTheme="minorEastAsia" w:cstheme="minorEastAsia"/>
                <w:spacing w:val="4"/>
                <w:sz w:val="24"/>
                <w:highlight w:val="none"/>
              </w:rPr>
            </w:pPr>
            <w:r>
              <w:rPr>
                <w:rFonts w:hint="eastAsia" w:asciiTheme="minorEastAsia" w:hAnsiTheme="minorEastAsia" w:eastAsiaTheme="minorEastAsia" w:cstheme="minorEastAsia"/>
                <w:spacing w:val="4"/>
                <w:sz w:val="24"/>
                <w:highlight w:val="none"/>
              </w:rPr>
              <w:t xml:space="preserve">2.定</w:t>
            </w:r>
            <w:r>
              <w:rPr>
                <w:rFonts w:hint="eastAsia" w:asciiTheme="minorEastAsia" w:hAnsiTheme="minorEastAsia" w:eastAsiaTheme="minorEastAsia" w:cstheme="minorEastAsia"/>
                <w:spacing w:val="4"/>
                <w:sz w:val="24"/>
                <w:highlight w:val="none"/>
              </w:rPr>
              <w:t xml:space="preserve">向AP：具备足够的发射功率和接收灵敏度，以满足不同距离和环境下的连接需求。支持高速无线传输，满足物联网设备对数据传输速度的要求，能够同时处理多个设备的连接，保证整体网络的吞吐量。支持常用的无线频段，如 2.4GHz 和 5GHz，以适应不同的应用场景和设备需求。能够将信号集中在特定方向或区域，减少干扰和信号泄漏。支持 WPA/WPA2 等加密协议，确保无线通信的安全性，具备访问控制功能，限制未经授权的设备接入网络。支持不同的无线通信标准和协议，以适应不同类型的设备，具备高可靠性和稳定性，能够长时间连续运行。</w:t>
            </w:r>
            <w:r/>
          </w:p>
          <w:p>
            <w:pPr>
              <w:pStyle w:val="774"/>
              <w:spacing w:before="0" w:after="0"/>
              <w:rPr>
                <w:rFonts w:hint="eastAsia" w:asciiTheme="minorEastAsia" w:hAnsiTheme="minorEastAsia" w:eastAsiaTheme="minorEastAsia" w:cstheme="minorEastAsia"/>
                <w:spacing w:val="4"/>
                <w:sz w:val="24"/>
                <w:highlight w:val="none"/>
              </w:rPr>
            </w:pPr>
            <w:r>
              <w:rPr>
                <w:rFonts w:hint="eastAsia" w:asciiTheme="minorEastAsia" w:hAnsiTheme="minorEastAsia" w:eastAsiaTheme="minorEastAsia" w:cstheme="minorEastAsia"/>
                <w:spacing w:val="4"/>
                <w:sz w:val="24"/>
                <w:highlight w:val="none"/>
              </w:rPr>
              <w:t xml:space="preserve">3.吸顶式AP：支持高速无线传输，满足日益增长的物联网设备和用户对数据传输速度的需求，支持常见的无线频段如 2.4GHz 和 5GHz，以提供更多的信道选择和更好的抗干扰能力。具备自动恢复和故障检测功能，能够在出现问题时快速恢复网络连接。具备访问控制功能，限制特定设备或用户的接入。支持与各种物联网设备、智能手机、平板电脑等无线终端兼容，确保无缝连接和通信。</w:t>
            </w:r>
            <w:r/>
          </w:p>
          <w:p>
            <w:pPr>
              <w:jc w:val="left"/>
              <w:tabs>
                <w:tab w:val="left" w:pos="1060" w:leader="none"/>
              </w:tabs>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pacing w:val="4"/>
                <w:sz w:val="24"/>
                <w:highlight w:val="none"/>
              </w:rPr>
              <w:t xml:space="preserve">4.交换机：支持高速数据传输（千兆以太网或更高的传输速率），以满足物联网设备对实时性和大数据量传输的要求。交换机应具有低延迟的特性，以确保数据能够及时传输。支持各种类型的物联网设备，包括传感器、智能终端等。交换机应具备一定的安全性能，包括访问控制、数据加密、入侵检测等功能，以保护网络安全。</w:t>
            </w:r>
            <w:r>
              <w:rPr>
                <w:rFonts w:hint="eastAsia" w:asciiTheme="minorEastAsia" w:hAnsiTheme="minorEastAsia" w:eastAsiaTheme="minorEastAsia" w:cstheme="minorEastAsia"/>
                <w:bCs/>
                <w:sz w:val="24"/>
                <w:highlight w:val="none"/>
              </w:rPr>
              <w:t xml:space="preserve"> </w:t>
            </w:r>
            <w:r/>
          </w:p>
        </w:tc>
      </w:tr>
    </w:tbl>
    <w:p>
      <w:pPr>
        <w:ind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注：“重要指标（带</w:t>
      </w:r>
      <w:r>
        <w:rPr>
          <w:rFonts w:hint="eastAsia" w:ascii="宋体" w:hAnsi="宋体"/>
          <w:sz w:val="22"/>
          <w:szCs w:val="22"/>
          <w:highlight w:val="none"/>
        </w:rPr>
        <w:t xml:space="preserve">★</w:t>
      </w:r>
      <w:r>
        <w:rPr>
          <w:rFonts w:hint="eastAsia" w:ascii="宋体" w:hAnsi="宋体"/>
          <w:bCs/>
          <w:sz w:val="24"/>
          <w:highlight w:val="none"/>
        </w:rPr>
        <w:t xml:space="preserve">）”不允许“负偏离”，否则投标无效； </w:t>
      </w:r>
      <w:r/>
    </w:p>
    <w:p>
      <w:pPr>
        <w:spacing w:line="400" w:lineRule="exact"/>
        <w:rPr>
          <w:rFonts w:hint="eastAsia" w:ascii="宋体" w:hAnsi="宋体"/>
          <w:bCs/>
          <w:sz w:val="24"/>
          <w:highlight w:val="none"/>
        </w:rPr>
      </w:pPr>
      <w:r>
        <w:rPr>
          <w:rFonts w:hint="eastAsia" w:ascii="宋体" w:hAnsi="宋体"/>
          <w:bCs/>
          <w:sz w:val="24"/>
          <w:highlight w:val="none"/>
        </w:rPr>
        <w:t xml:space="preserve">二、服务要求</w:t>
      </w:r>
      <w:r/>
    </w:p>
    <w:p>
      <w:pPr>
        <w:ind w:firstLine="440"/>
        <w:spacing w:line="400" w:lineRule="exact"/>
        <w:rPr>
          <w:rFonts w:hint="eastAsia" w:ascii="宋体" w:hAnsi="宋体"/>
          <w:bCs/>
          <w:sz w:val="24"/>
          <w:highlight w:val="none"/>
        </w:rPr>
      </w:pPr>
      <w:r>
        <w:rPr>
          <w:rFonts w:hint="eastAsia" w:ascii="宋体" w:hAnsi="宋体"/>
          <w:sz w:val="22"/>
          <w:szCs w:val="22"/>
          <w:highlight w:val="none"/>
        </w:rPr>
        <w:t xml:space="preserve">★</w:t>
      </w:r>
      <w:r>
        <w:rPr>
          <w:rFonts w:hint="eastAsia" w:ascii="宋体" w:hAnsi="宋体"/>
          <w:bCs/>
          <w:sz w:val="24"/>
          <w:highlight w:val="none"/>
        </w:rPr>
        <w:t xml:space="preserve">本部分内容不允许负偏离，否则投标无效。</w:t>
      </w:r>
      <w:r/>
    </w:p>
    <w:p>
      <w:pPr>
        <w:spacing w:line="400" w:lineRule="exact"/>
        <w:rPr>
          <w:rFonts w:hint="eastAsia" w:ascii="宋体" w:hAnsi="宋体"/>
          <w:bCs/>
          <w:sz w:val="24"/>
          <w:highlight w:val="none"/>
        </w:rPr>
      </w:pPr>
      <w:r>
        <w:rPr>
          <w:rFonts w:hint="eastAsia" w:ascii="宋体" w:hAnsi="宋体"/>
          <w:bCs/>
          <w:sz w:val="24"/>
          <w:highlight w:val="none"/>
        </w:rPr>
        <w:t xml:space="preserve">1、具体要求</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（1）需求分析</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投标人应与招标人密切合作，深入了解工程研究项目需求和业务流程，进行全面的需求分析。需求分析应包括但不限于功能需求、性能需求、安全需求、数据需求等方面，并形成详细的需求方案说明。</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方案说明应经过招标人的确认，作为项目研发的依据。在项目研发过程中，如需求发生变更，投标人应及时与招标人沟通，并按照变更管理流程进行处理。</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（2）设计与开发</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投标人应根据方案说明进行数字孪生智慧管理体系的研究规划和设计开发。设计应包括总体架构设计、功能模块设计、数据库设计、界面设计等方面，确保数字孪生体系的功能完善、性能稳定、用户体验良好。</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研发应采用先进的技术和工具，遵循技术方案的规范和标准，保证平台的质量和可维护性。研发过程中应进行严格的测试，包括单元测试、集成测试、平台测试等，确保平台的质量和稳定性。</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（3）测试与验收</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投标人应制定详细的测试计划和测试用例，对数字孪生智慧运维平台进行全面的测试。测试应包括功能测试、性能测试、安全测试、兼容性测试、扩展性测试等方面，确保平台符合招标人的要求。</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平台研发完成后，投标人应向招标人提交验收申请，并提供平台的测试报告、用户手册等相关资料。招标人将组织专家对平台进行验收，验收标准包括平台的功能、性能、安全、兼容性、扩展性等方面。</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（4）培训服务</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投标人应提供数字孪生智慧运维平台的使用培训，包括操作培训和维护培训。培训应根据招标人的需求和实际情况进行定制，确保招标人相关人员能够熟练掌握平台的使用和维护方法。</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培训方式可以采用现场培训、在线培训等多种形式，培训时间和地点应根据招标人的要求进行安排。</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（6）知识产权</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数字孪生智慧运维平台的知识产权归招标人所有。投标人应保证平台不侵犯任何第三方的知识产权，并在项目研发过程中采取必要的措施保护招标人的知识产权。</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投标人须承诺所交付的项目成果知识产权以甲方为第一单位。投标人不得擅自使用或转让给第三方。（投标人应积极配合采购方申请本项目相关软著一项，并以采购方为第一单位。）</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投标人须承诺并在质保期内根据招标人的要求进行技术支持和维护。</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（7）保密要求</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投标人应与招标人签订保密协议，对项目涉及的技术资料、业务数据等严格保密。未经招标人书面同意，投标人不得向任何第三方泄露项目相关信息。</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在项目研发过程中，投标人应采取必要的安全措施，确保项目信息的安全。如因投标人原因导致项目信息泄露，投标人应承担相应的法律责任。</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2、研发周期要求</w:t>
      </w:r>
      <w:r/>
    </w:p>
    <w:p>
      <w:pPr>
        <w:ind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投标人应根据项目需求，明确提出工程研发服务的研发周期，包括从项目启动到交付验收的总时长。这个时间应具有合理性，既不能过长影响项目进度，也不能过短而难以保证质量。</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投标人需将研发周期细分为不同的阶段，并明确各阶段的时间节点。常见的阶段包括需求分析、设计、开发、测试、部署等。</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说明在出现不可抗力或其他特殊情况时，研发周期的调整机制。例如，若因客户需求变更导致研发周期延长，应如何协商调整时间计划。</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3、进度安排要求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提供详细的项目进度计划表，以表格或甘特图的形式呈现。进度计划应涵盖项目的各个阶段、任务、负责人、开始时间、结束时间和进度百分比等信息。确定项目的关键里程碑，如需求确认、设计评审、代码审查、测试通过、项目验收等。每个里程碑都应具有明确的完成标准和时间节点。阐述如何对项目进度进行监控和管理，包括采用的工具和方法。同时，说明定期向客户提交进度报告的频率和内容要求。</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4、服务团队要求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须在投标文件中提供项目团队人员配置表，明确服务团队的组织结构和人员组成，应包括项目负责人（1人）、研发人员、测试人员、运维人员、技术支持人员等，列明学历、专业背景、工作经验、相关证书等。</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项目期间不得随意更换核心团队成员，如有特殊情况需要更换，需提前征得采购人同意，并确保新成员具备同等或更高的专业能力。</w:t>
      </w:r>
      <w:r/>
    </w:p>
    <w:p>
      <w:pPr>
        <w:pStyle w:val="834"/>
        <w:ind w:left="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5、工作纪律要求：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投标人应积极配合采购方的项目管理工作，严格遵守采购方制定的各项管理制度和纪律要求。及时响应采购方提出的问题和需求、严格保守项目涉及的商业秘密和敏感信息等。</w:t>
      </w:r>
      <w:r/>
    </w:p>
    <w:p>
      <w:pPr>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（三）商务（服务）要求：</w:t>
      </w:r>
      <w:r/>
    </w:p>
    <w:p>
      <w:pPr>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1、项目实施的地点：</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项目实施地点为采购人指定的场所，投标人应根据项目需求安排项目团队成员在现场进行研发、调试和培训等工作。</w:t>
      </w:r>
      <w:r/>
    </w:p>
    <w:p>
      <w:pPr>
        <w:pStyle w:val="834"/>
        <w:ind w:left="0"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交付地点：徐州工程学院智能建造产业技术创新中心</w:t>
      </w:r>
      <w:r/>
    </w:p>
    <w:p>
      <w:pPr>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2、项目实施的时间要求：合同期限一年，自合同签订之日起算，包含：平台研发、部署测试、验收交付、试运行阶段和正式运行等重要时间节点。软件著作权要在合同期限内申请完成并下发证书。</w:t>
      </w:r>
      <w:r/>
    </w:p>
    <w:p>
      <w:pPr>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3、本项目免费质保要求：</w:t>
      </w:r>
      <w:r/>
    </w:p>
    <w:p>
      <w:pPr>
        <w:ind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（1）免费质保期不低于</w:t>
      </w:r>
      <w:r>
        <w:rPr>
          <w:rFonts w:ascii="宋体" w:hAnsi="宋体"/>
          <w:bCs/>
          <w:sz w:val="24"/>
          <w:highlight w:val="none"/>
          <w:u w:val="single"/>
        </w:rPr>
        <w:t xml:space="preserve"> </w:t>
      </w:r>
      <w:r>
        <w:rPr>
          <w:rFonts w:hint="eastAsia" w:ascii="宋体" w:hAnsi="宋体"/>
          <w:bCs/>
          <w:sz w:val="24"/>
          <w:highlight w:val="none"/>
          <w:u w:val="single"/>
        </w:rPr>
        <w:t xml:space="preserve">3</w:t>
      </w:r>
      <w:r>
        <w:rPr>
          <w:rFonts w:ascii="宋体" w:hAnsi="宋体"/>
          <w:bCs/>
          <w:sz w:val="24"/>
          <w:highlight w:val="none"/>
          <w:u w:val="single"/>
        </w:rPr>
        <w:t xml:space="preserve"> </w:t>
      </w:r>
      <w:r>
        <w:rPr>
          <w:rFonts w:hint="eastAsia" w:ascii="宋体" w:hAnsi="宋体"/>
          <w:bCs/>
          <w:sz w:val="24"/>
          <w:highlight w:val="none"/>
        </w:rPr>
        <w:t xml:space="preserve">年。免费质保期从货物供货、安装、调试正常且经综合运行验收合格后开始计算。免费质保期以整个项目为单位进行响应。</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（2）质保期内，中标人应提供免费的售后服务，包括但不限于平台的维护、升级、故障排除等服务。</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（3）质保期届满后，中标人应继续提供售后服务，如平台维护、扩充、升级等方面的技术支持服务，招标人应支付相应的服务费用。按照学校经费支出管理办法执行。</w:t>
      </w:r>
      <w:r/>
    </w:p>
    <w:p>
      <w:pPr>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4</w:t>
      </w:r>
      <w:bookmarkStart w:id="4" w:name="_Hlk180155865"/>
      <w:r>
        <w:rPr>
          <w:rFonts w:hint="eastAsia" w:ascii="宋体" w:hAnsi="宋体"/>
          <w:bCs/>
          <w:sz w:val="24"/>
          <w:highlight w:val="none"/>
        </w:rPr>
        <w:t xml:space="preserve">、售后及服务标准要求： </w:t>
      </w:r>
      <w:r/>
    </w:p>
    <w:p>
      <w:pPr>
        <w:spacing w:line="400" w:lineRule="exact"/>
        <w:tabs>
          <w:tab w:val="left" w:pos="1177" w:leader="none"/>
          <w:tab w:val="left" w:pos="1498" w:leader="none"/>
        </w:tabs>
        <w:rPr>
          <w:rFonts w:hint="eastAsia" w:ascii="宋体" w:hAnsi="宋体"/>
          <w:bCs/>
          <w:sz w:val="24"/>
          <w:highlight w:val="none"/>
        </w:rPr>
      </w:pPr>
      <w:r/>
      <w:bookmarkStart w:id="5" w:name="_Hlk179557993"/>
      <w:r>
        <w:rPr>
          <w:rFonts w:hint="eastAsia" w:ascii="宋体" w:hAnsi="宋体"/>
          <w:bCs/>
          <w:sz w:val="24"/>
          <w:highlight w:val="none"/>
        </w:rPr>
        <w:t xml:space="preserve">（1）售后服务总体要求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投标人应提供全面、及时、有效的售后服务，确保数字孪生智慧运维平台在整个生命周期内稳定、高效运行。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售后服务应包括技术支持、培训、故障处理、软件升级等方面，满足项目的实际需求。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投标人应建立完善的售后服务体系，明确售后服务流程和响应时间，确保招标人能够及时获得帮助。</w:t>
      </w:r>
      <w:bookmarkEnd w:id="5"/>
      <w:r/>
      <w:r/>
    </w:p>
    <w:p>
      <w:pPr>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（2）售后服务阶段划分及要求</w:t>
      </w:r>
      <w:r/>
    </w:p>
    <w:p>
      <w:pPr>
        <w:ind w:firstLine="48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1）第一阶段：完成约定功能并试运行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技术支持：</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在项目交付后，中标人应安排专业技术人员对平台进行现场部署和调试，确保平台能够正常运行。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提供 7×24 小时技术咨询服务等，及时解答招标人在试运行过程中遇到的问题。</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定期对平台进行巡检，检查平台运行状态，及时发现并解决潜在问题。</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培训服务：</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中标人为招标人提供平台操作培训，包括平台功能介绍、操作流程演示等，确保招标人能够熟练使用平台。</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提供培训文档和视频教程，方便招标人随时查阅学习。</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培训内容应涵盖平台的各个功能模块，以及常见问题的解决方法。</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故障处理：</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在试运行期间，对平台出现的故障进行及时排查和修复，确保平台正常运行。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建立故障报告制度，记录故障现象、原因和处理方法，为后续维护提供参考。</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对于重大故障，供应商应在规定时间内到达现场进行处理，并提供应急解决方案。</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数据备份与恢复：</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定期对平台数据进行备份，确保数据安全。</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提供数据恢复服务，在数据丢失或损坏时能够及时恢复数据。</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备份数据应存储在安全可靠的位置，并定期进行验证和更新</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2）第二阶段：试运行功能完善升级</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功能优化：</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中标人根据招标人反馈和实际需求，对平台功能进行优化和改进，提高平台的易用性和实用性。</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持续关注行业技术发展动态，及时引入新的技术和功能，提升平台的竞争力。</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对优化后的功能进行充分测试，确保平台稳定运行。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性能提升：</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对平台性能进行监测和分析，找出性能瓶颈并进行优化，提高平台的响应速度和稳定性。</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进行压力测试和负载测试，确保平台在高并发情况下能够正常运行。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优化数据库设计和查询语句，提高数据存储和检索效率。</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安全加固：</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定期对平台进行安全漏洞扫描和修复，确保平台安全。</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加强用户权限管理，防止未经授权的访问和操作。</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采用加密技术保护用户数据的传输和存储安全。</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培训更新：</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随着平台功能的优化和升级，及时为招标人提供更新后的培训服务，确保招标人能够掌握新的功能和操作方法。</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培训方式可以采用现场培训、在线培训或视频教程等形式。</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w:t>
      </w:r>
      <w:r>
        <w:rPr>
          <w:rFonts w:ascii="宋体" w:hAnsi="宋体"/>
          <w:bCs/>
          <w:sz w:val="24"/>
          <w:highlight w:val="none"/>
        </w:rPr>
        <w:t xml:space="preserve">第三阶段：正式运行升级</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持续维护：</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中标人应提供长期的技术支持和维护服务，确保平台稳定运行。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定期对平台进行巡检和维护，及时发现并解决潜在问题。</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对平台进行定期升级，包括版本升级迭代、安全补丁更新等。</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功能扩展：</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中标人应根据招标人需求和业务发展，对平台进行功能扩展和升级，满足不断变化的业务需求。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在进行功能扩展时，应充分考虑平台的兼容性和可扩展性，确保新功能能够与现有平台无缝集成。</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对扩展后的功能进行充分测试，确保平台稳定运行。</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数据分析与决策支持：</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对平台运行数据进行分析，为招标人提供决策支持和优化建议。</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建立数据分析模型，挖掘数据价值，提高业务效率和管理水平。</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定期向招标人提供数据分析报告，展示平台运行情况和业务发展趋势。</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服务评估与改进：</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中标人及时收集招标人反馈，了解招标人需求和意见，及时调整售后服务策略。</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建立服务质量考核机制，对售后服务人员的工作进行考核和评价。</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（3）其他要求</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中标人应提供售后服务承诺书，明确售后服务的内容、响应时间、费用等方面的承诺。</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中标人应建立售后服务团队，配备专业的技术人员和服务人员，确保售后服务的质量和效率。</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中标人应定期向招标人汇报售后服务工作进展情况，接受招标人的监督和评价。</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本招标文件中未明确的售后服务内容，中标人应根据项目实际需求和行业标准进行提供。</w:t>
      </w:r>
      <w:bookmarkEnd w:id="4"/>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5、验收方法及验收标准：项目交付并完成正常运行</w:t>
      </w:r>
      <w:r>
        <w:rPr>
          <w:rFonts w:ascii="宋体" w:hAnsi="宋体"/>
          <w:bCs/>
          <w:sz w:val="24"/>
          <w:highlight w:val="none"/>
          <w:u w:val="single"/>
        </w:rPr>
        <w:t xml:space="preserve">  </w:t>
      </w:r>
      <w:r>
        <w:rPr>
          <w:rFonts w:hint="eastAsia" w:ascii="宋体" w:hAnsi="宋体"/>
          <w:bCs/>
          <w:sz w:val="24"/>
          <w:highlight w:val="none"/>
          <w:u w:val="single"/>
        </w:rPr>
        <w:t xml:space="preserve">5</w:t>
      </w:r>
      <w:r>
        <w:rPr>
          <w:rFonts w:ascii="宋体" w:hAnsi="宋体"/>
          <w:bCs/>
          <w:sz w:val="24"/>
          <w:highlight w:val="none"/>
          <w:u w:val="single"/>
        </w:rPr>
        <w:t xml:space="preserve"> </w:t>
      </w:r>
      <w:r>
        <w:rPr>
          <w:rFonts w:hint="eastAsia" w:ascii="宋体" w:hAnsi="宋体"/>
          <w:bCs/>
          <w:sz w:val="24"/>
          <w:highlight w:val="none"/>
        </w:rPr>
        <w:t xml:space="preserve">天后，由供货商提出验收申请，承办单位同意后，按照学校验收的权限，相关部门及人员形成验收小组，验收小组根据采购文件、投标文件、合同等约定的内容对项目进行综合运行验收。如验收达不到规定要求，采购人有权要求更换货物或拒绝付款，供应商若违约，采购人将依法追究相应法律责任。</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履约验收方案：</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（1）验收目标：</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确保平台的功能和性能符合采购方的需求和期望。</w:t>
      </w:r>
      <w:r/>
    </w:p>
    <w:p>
      <w:pPr>
        <w:ind w:firstLine="470"/>
        <w:spacing w:line="400" w:lineRule="exact"/>
        <w:tabs>
          <w:tab w:val="left" w:pos="1177" w:leader="none"/>
          <w:tab w:val="left" w:pos="1498" w:leader="none"/>
        </w:tabs>
        <w:rPr>
          <w:rFonts w:hint="eastAsia" w:ascii="宋体" w:hAnsi="宋体"/>
          <w:bCs/>
          <w:sz w:val="24"/>
          <w:highlight w:val="none"/>
        </w:rPr>
      </w:pPr>
      <w:r/>
      <w:bookmarkStart w:id="6" w:name="OLE_LINK34"/>
      <w:r>
        <w:rPr>
          <w:rFonts w:hint="eastAsia" w:ascii="宋体" w:hAnsi="宋体"/>
          <w:bCs/>
          <w:sz w:val="24"/>
          <w:highlight w:val="none"/>
        </w:rPr>
        <w:t xml:space="preserve">验证平台的稳定性、可靠性和安全性。</w:t>
      </w:r>
      <w:bookmarkEnd w:id="6"/>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确认供货单位提供的培训和技术支持是否到位，以便采购方能够充分利用平台的功能和资源。</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（2）验收内容：</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功能验收：验证平台的各项功能是否按照合同约定和采购方的需求进行研发和实现。</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性能验收：测试平台在正常工作负载下的性能表现，包括响应时间、并发处理能力等指标的测试和评估。</w:t>
      </w:r>
      <w:r/>
    </w:p>
    <w:p>
      <w:pPr>
        <w:ind w:firstLine="470"/>
        <w:spacing w:line="400" w:lineRule="exact"/>
        <w:tabs>
          <w:tab w:val="left" w:pos="1177" w:leader="none"/>
          <w:tab w:val="left" w:pos="1498" w:leader="none"/>
        </w:tabs>
        <w:rPr>
          <w:rFonts w:hint="eastAsia" w:ascii="宋体" w:hAnsi="宋体"/>
          <w:bCs/>
          <w:sz w:val="24"/>
          <w:highlight w:val="none"/>
        </w:rPr>
      </w:pPr>
      <w:r/>
      <w:bookmarkStart w:id="7" w:name="OLE_LINK35"/>
      <w:r>
        <w:rPr>
          <w:rFonts w:hint="eastAsia" w:ascii="宋体" w:hAnsi="宋体"/>
          <w:bCs/>
          <w:sz w:val="24"/>
          <w:highlight w:val="none"/>
        </w:rPr>
        <w:t xml:space="preserve">培训验收：确认供货单位提供的培训是否满足采购方的需求</w:t>
      </w:r>
      <w:bookmarkEnd w:id="7"/>
      <w:r>
        <w:rPr>
          <w:rFonts w:hint="eastAsia" w:ascii="宋体" w:hAnsi="宋体"/>
          <w:bCs/>
          <w:sz w:val="24"/>
          <w:highlight w:val="none"/>
        </w:rPr>
        <w:t xml:space="preserve">。  </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（3）验收标准：</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平台的各项功能能够正常运行，并满足</w:t>
      </w:r>
      <w:bookmarkStart w:id="8" w:name="OLE_LINK3"/>
      <w:r>
        <w:rPr>
          <w:rFonts w:hint="eastAsia" w:ascii="宋体" w:hAnsi="宋体"/>
          <w:bCs/>
          <w:sz w:val="24"/>
          <w:highlight w:val="none"/>
        </w:rPr>
        <w:t xml:space="preserve">采购方</w:t>
      </w:r>
      <w:bookmarkEnd w:id="8"/>
      <w:r>
        <w:rPr>
          <w:rFonts w:hint="eastAsia" w:ascii="宋体" w:hAnsi="宋体"/>
          <w:bCs/>
          <w:sz w:val="24"/>
          <w:highlight w:val="none"/>
        </w:rPr>
        <w:t xml:space="preserve">的需求和期望。</w:t>
      </w:r>
      <w:r/>
    </w:p>
    <w:p>
      <w:pPr>
        <w:ind w:firstLine="470"/>
        <w:spacing w:line="400" w:lineRule="exact"/>
        <w:tabs>
          <w:tab w:val="left" w:pos="1177" w:leader="none"/>
          <w:tab w:val="left" w:pos="1498" w:leader="none"/>
        </w:tabs>
        <w:rPr>
          <w:rFonts w:hint="eastAsia" w:ascii="宋体" w:hAnsi="宋体"/>
          <w:bCs/>
          <w:sz w:val="24"/>
          <w:highlight w:val="none"/>
        </w:rPr>
      </w:pPr>
      <w:r>
        <w:rPr>
          <w:rFonts w:hint="eastAsia" w:ascii="宋体" w:hAnsi="宋体"/>
          <w:bCs/>
          <w:sz w:val="24"/>
          <w:highlight w:val="none"/>
        </w:rPr>
        <w:t xml:space="preserve">平台在正常工作负载下具备良好的性能表现，满足采购方的使用要求。</w:t>
      </w:r>
      <w:r/>
    </w:p>
    <w:p>
      <w:pPr>
        <w:ind w:firstLine="470"/>
        <w:spacing w:line="400" w:lineRule="exact"/>
        <w:tabs>
          <w:tab w:val="left" w:pos="1177" w:leader="none"/>
          <w:tab w:val="left" w:pos="1498" w:leader="none"/>
        </w:tabs>
        <w:rPr>
          <w:rFonts w:hint="eastAsia" w:ascii="宋体" w:hAnsi="宋体"/>
          <w:bCs/>
          <w:sz w:val="24"/>
          <w:highlight w:val="none"/>
        </w:rPr>
      </w:pPr>
      <w:r/>
      <w:bookmarkStart w:id="9" w:name="OLE_LINK40"/>
      <w:r>
        <w:rPr>
          <w:rFonts w:hint="eastAsia" w:ascii="宋体" w:hAnsi="宋体"/>
          <w:bCs/>
          <w:sz w:val="24"/>
          <w:highlight w:val="none"/>
        </w:rPr>
        <w:t xml:space="preserve">供货单位提供的培训满足学校的需求，教师能够熟练使用平台的功能。</w:t>
      </w:r>
      <w:r/>
    </w:p>
    <w:p>
      <w:pPr>
        <w:ind w:firstLine="470"/>
        <w:spacing w:line="400" w:lineRule="exact"/>
        <w:tabs>
          <w:tab w:val="left" w:pos="1177" w:leader="none"/>
          <w:tab w:val="left" w:pos="1498" w:leader="none"/>
        </w:tabs>
        <w:rPr>
          <w:rFonts w:hint="eastAsia" w:ascii="宋体" w:hAnsi="宋体"/>
          <w:bCs/>
          <w:sz w:val="24"/>
          <w:highlight w:val="none"/>
        </w:rPr>
      </w:pPr>
      <w:r/>
      <w:bookmarkStart w:id="10" w:name="OLE_LINK41"/>
      <w:r>
        <w:rPr>
          <w:rFonts w:hint="eastAsia" w:ascii="宋体" w:hAnsi="宋体"/>
          <w:bCs/>
          <w:sz w:val="24"/>
          <w:highlight w:val="none"/>
        </w:rPr>
        <w:t xml:space="preserve">供货单位提供的技术支持及时</w:t>
      </w:r>
      <w:bookmarkEnd w:id="9"/>
      <w:r>
        <w:rPr>
          <w:rFonts w:hint="eastAsia" w:ascii="宋体" w:hAnsi="宋体"/>
          <w:bCs/>
          <w:sz w:val="24"/>
          <w:highlight w:val="none"/>
        </w:rPr>
        <w:t xml:space="preserve">、有效，能够解决平台使用过程中的问题和困难。</w:t>
      </w:r>
      <w:bookmarkEnd w:id="10"/>
      <w:r/>
      <w:r/>
    </w:p>
    <w:p>
      <w:pPr>
        <w:spacing w:before="120" w:after="120" w:line="400" w:lineRule="exact"/>
        <w:rPr>
          <w:bCs/>
          <w:sz w:val="28"/>
          <w:szCs w:val="28"/>
          <w:highlight w:val="none"/>
        </w:rPr>
      </w:pPr>
      <w:r>
        <w:rPr>
          <w:rFonts w:hint="eastAsia"/>
          <w:bCs/>
          <w:sz w:val="28"/>
          <w:szCs w:val="28"/>
          <w:highlight w:val="none"/>
        </w:rPr>
        <w:t xml:space="preserve">六、现场踏勘及技术咨询</w:t>
      </w:r>
      <w:r/>
    </w:p>
    <w:p>
      <w:pPr>
        <w:ind w:firstLine="480"/>
        <w:spacing w:line="400" w:lineRule="exact"/>
        <w:rPr>
          <w:rFonts w:hint="eastAsia" w:ascii="宋体" w:hAnsi="宋体"/>
          <w:bCs/>
          <w:sz w:val="24"/>
          <w:highlight w:val="none"/>
        </w:rPr>
      </w:pPr>
      <w:r/>
      <w:bookmarkStart w:id="11" w:name="_Toc13543213"/>
      <w:r>
        <w:rPr>
          <w:rFonts w:hint="eastAsia" w:ascii="宋体" w:hAnsi="宋体"/>
          <w:bCs/>
          <w:sz w:val="24"/>
          <w:highlight w:val="none"/>
        </w:rPr>
        <w:t xml:space="preserve">为减少相关误差，如投标人需要进行现场踏勘的，请自行联系、组织实施。投标人对考察中获取的现场资料自行负责，无论是否踏勘过现场，均被认为已经对现场做过充分详实了解，并在响应文件中已充分考虑了现场和环境因素，责任和风险自行承担。踏勘现场所发生的费用由投标人自行承担，投标人自行负责在踏勘现场中所发生的人员伤亡和财产损失。</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技术咨询及现场踏勘联系人：谢老师，联系方式：</w:t>
      </w:r>
      <w:r>
        <w:rPr>
          <w:rFonts w:ascii="宋体" w:hAnsi="宋体"/>
          <w:bCs/>
          <w:sz w:val="24"/>
          <w:highlight w:val="none"/>
        </w:rPr>
        <w:t xml:space="preserve">13813295755</w:t>
      </w:r>
      <w:r>
        <w:rPr>
          <w:rFonts w:hint="eastAsia" w:ascii="宋体" w:hAnsi="宋体"/>
          <w:bCs/>
          <w:sz w:val="24"/>
          <w:highlight w:val="none"/>
        </w:rPr>
        <w:t xml:space="preserve">。</w:t>
      </w:r>
      <w:r/>
    </w:p>
    <w:p>
      <w:pPr>
        <w:spacing w:before="120" w:after="120" w:line="400" w:lineRule="exact"/>
        <w:rPr>
          <w:bCs/>
          <w:sz w:val="28"/>
          <w:szCs w:val="28"/>
          <w:highlight w:val="none"/>
        </w:rPr>
      </w:pPr>
      <w:r>
        <w:rPr>
          <w:rFonts w:hint="eastAsia"/>
          <w:bCs/>
          <w:sz w:val="28"/>
          <w:szCs w:val="28"/>
          <w:highlight w:val="none"/>
        </w:rPr>
        <w:t xml:space="preserve">七、履约</w:t>
      </w:r>
      <w:r>
        <w:rPr>
          <w:bCs/>
          <w:sz w:val="28"/>
          <w:szCs w:val="28"/>
          <w:highlight w:val="none"/>
        </w:rPr>
        <w:t xml:space="preserve">保证金</w:t>
      </w:r>
      <w:r>
        <w:rPr>
          <w:rFonts w:hint="eastAsia"/>
          <w:bCs/>
          <w:sz w:val="28"/>
          <w:szCs w:val="28"/>
          <w:highlight w:val="none"/>
        </w:rPr>
        <w:t xml:space="preserve">收取及退还</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（一）拟中标人应当在评审结果公示日起三日内</w:t>
      </w:r>
      <w:r>
        <w:rPr>
          <w:rFonts w:ascii="宋体" w:hAnsi="宋体"/>
          <w:bCs/>
          <w:sz w:val="24"/>
          <w:highlight w:val="none"/>
        </w:rPr>
        <w:t xml:space="preserve">向</w:t>
      </w:r>
      <w:r>
        <w:rPr>
          <w:rFonts w:hint="eastAsia" w:ascii="宋体" w:hAnsi="宋体"/>
          <w:bCs/>
          <w:sz w:val="24"/>
          <w:highlight w:val="none"/>
        </w:rPr>
        <w:t xml:space="preserve">招标人</w:t>
      </w:r>
      <w:r>
        <w:rPr>
          <w:rFonts w:ascii="宋体" w:hAnsi="宋体"/>
          <w:bCs/>
          <w:sz w:val="24"/>
          <w:highlight w:val="none"/>
        </w:rPr>
        <w:t xml:space="preserve">交纳</w:t>
      </w:r>
      <w:r>
        <w:rPr>
          <w:rFonts w:hint="eastAsia" w:ascii="宋体" w:hAnsi="宋体"/>
          <w:bCs/>
          <w:sz w:val="24"/>
          <w:highlight w:val="none"/>
        </w:rPr>
        <w:t xml:space="preserve">招标项目履约</w:t>
      </w:r>
      <w:r>
        <w:rPr>
          <w:rFonts w:ascii="宋体" w:hAnsi="宋体"/>
          <w:bCs/>
          <w:sz w:val="24"/>
          <w:highlight w:val="none"/>
        </w:rPr>
        <w:t xml:space="preserve">保证金，具体金额</w:t>
      </w:r>
      <w:r>
        <w:rPr>
          <w:rFonts w:hint="eastAsia" w:ascii="宋体" w:hAnsi="宋体"/>
          <w:bCs/>
          <w:sz w:val="24"/>
          <w:highlight w:val="none"/>
        </w:rPr>
        <w:t xml:space="preserve">为中标价的5%</w:t>
      </w:r>
      <w:r>
        <w:rPr>
          <w:rFonts w:ascii="宋体" w:hAnsi="宋体"/>
          <w:bCs/>
          <w:sz w:val="24"/>
          <w:highlight w:val="none"/>
        </w:rPr>
        <w:t xml:space="preserve">。</w:t>
      </w:r>
      <w:r>
        <w:rPr>
          <w:rFonts w:hint="eastAsia" w:ascii="宋体" w:hAnsi="宋体"/>
          <w:bCs/>
          <w:sz w:val="24"/>
          <w:highlight w:val="none"/>
        </w:rPr>
        <w:t xml:space="preserve">拟中标人应当按照采购方的要求及时、足额缴纳履约</w:t>
      </w:r>
      <w:r>
        <w:rPr>
          <w:rFonts w:ascii="宋体" w:hAnsi="宋体"/>
          <w:bCs/>
          <w:sz w:val="24"/>
          <w:highlight w:val="none"/>
        </w:rPr>
        <w:t xml:space="preserve">保证金。</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（二）不接受现金缴纳履约保证金，不得以分公司、办事处或其他机构的名义缴纳履约保证金。</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（三）评审结果公示三日内无异议，且已经交纳履约保证金，将向拟中标人发出中标通知书，不再发布中标公告。</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（四）</w:t>
      </w:r>
      <w:r>
        <w:rPr>
          <w:rFonts w:ascii="宋体" w:hAnsi="宋体"/>
          <w:bCs/>
          <w:sz w:val="24"/>
          <w:highlight w:val="none"/>
        </w:rPr>
        <w:t xml:space="preserve">如</w:t>
      </w:r>
      <w:r>
        <w:rPr>
          <w:rFonts w:hint="eastAsia" w:ascii="宋体" w:hAnsi="宋体"/>
          <w:bCs/>
          <w:sz w:val="24"/>
          <w:highlight w:val="none"/>
        </w:rPr>
        <w:t xml:space="preserve">果拟中标人没有在规定的时间内交纳履约保证金，或对采购项目的质疑（投诉）成立，或</w:t>
      </w:r>
      <w:r>
        <w:rPr>
          <w:rFonts w:ascii="宋体" w:hAnsi="宋体"/>
          <w:bCs/>
          <w:sz w:val="24"/>
          <w:highlight w:val="none"/>
        </w:rPr>
        <w:t xml:space="preserve">拒绝遵守</w:t>
      </w:r>
      <w:r>
        <w:rPr>
          <w:rFonts w:hint="eastAsia" w:ascii="宋体" w:hAnsi="宋体"/>
          <w:bCs/>
          <w:sz w:val="24"/>
          <w:highlight w:val="none"/>
        </w:rPr>
        <w:t xml:space="preserve">采购</w:t>
      </w:r>
      <w:r>
        <w:rPr>
          <w:rFonts w:ascii="宋体" w:hAnsi="宋体"/>
          <w:bCs/>
          <w:sz w:val="24"/>
          <w:highlight w:val="none"/>
        </w:rPr>
        <w:t xml:space="preserve">文件规定、响应承诺，或拒绝签订合同，或虽签署合同但不予履行</w:t>
      </w:r>
      <w:r>
        <w:rPr>
          <w:rFonts w:hint="eastAsia" w:ascii="宋体" w:hAnsi="宋体"/>
          <w:bCs/>
          <w:sz w:val="24"/>
          <w:highlight w:val="none"/>
        </w:rPr>
        <w:t xml:space="preserve">等</w:t>
      </w:r>
      <w:r>
        <w:rPr>
          <w:rFonts w:ascii="宋体" w:hAnsi="宋体"/>
          <w:bCs/>
          <w:sz w:val="24"/>
          <w:highlight w:val="none"/>
        </w:rPr>
        <w:t xml:space="preserve">，则</w:t>
      </w:r>
      <w:r>
        <w:rPr>
          <w:rFonts w:hint="eastAsia" w:ascii="宋体" w:hAnsi="宋体"/>
          <w:bCs/>
          <w:sz w:val="24"/>
          <w:highlight w:val="none"/>
        </w:rPr>
        <w:t xml:space="preserve">取消（拟）中标人资格，已经缴纳的履约</w:t>
      </w:r>
      <w:r>
        <w:rPr>
          <w:rFonts w:ascii="宋体" w:hAnsi="宋体"/>
          <w:bCs/>
          <w:sz w:val="24"/>
          <w:highlight w:val="none"/>
        </w:rPr>
        <w:t xml:space="preserve">保证金作为违约金不予退还。</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（五）</w:t>
      </w:r>
      <w:r>
        <w:rPr>
          <w:rFonts w:ascii="宋体" w:hAnsi="宋体"/>
          <w:bCs/>
          <w:sz w:val="24"/>
          <w:highlight w:val="none"/>
        </w:rPr>
        <w:t xml:space="preserve">因</w:t>
      </w:r>
      <w:r>
        <w:rPr>
          <w:rFonts w:hint="eastAsia" w:ascii="宋体" w:hAnsi="宋体"/>
          <w:bCs/>
          <w:sz w:val="24"/>
          <w:highlight w:val="none"/>
        </w:rPr>
        <w:t xml:space="preserve">（拟）中标人</w:t>
      </w:r>
      <w:r>
        <w:rPr>
          <w:rFonts w:ascii="宋体" w:hAnsi="宋体"/>
          <w:bCs/>
          <w:sz w:val="24"/>
          <w:highlight w:val="none"/>
        </w:rPr>
        <w:t xml:space="preserve">提供的</w:t>
      </w:r>
      <w:r>
        <w:rPr>
          <w:rFonts w:hint="eastAsia" w:ascii="宋体" w:hAnsi="宋体"/>
          <w:bCs/>
          <w:sz w:val="24"/>
          <w:highlight w:val="none"/>
        </w:rPr>
        <w:t xml:space="preserve">基本账户</w:t>
      </w:r>
      <w:r>
        <w:rPr>
          <w:rFonts w:ascii="宋体" w:hAnsi="宋体"/>
          <w:bCs/>
          <w:sz w:val="24"/>
          <w:highlight w:val="none"/>
        </w:rPr>
        <w:t xml:space="preserve">信息错误而导致废标、</w:t>
      </w:r>
      <w:r>
        <w:rPr>
          <w:rFonts w:hint="eastAsia" w:ascii="宋体" w:hAnsi="宋体"/>
          <w:bCs/>
          <w:sz w:val="24"/>
          <w:highlight w:val="none"/>
        </w:rPr>
        <w:t xml:space="preserve">履约</w:t>
      </w:r>
      <w:r>
        <w:rPr>
          <w:rFonts w:ascii="宋体" w:hAnsi="宋体"/>
          <w:bCs/>
          <w:sz w:val="24"/>
          <w:highlight w:val="none"/>
        </w:rPr>
        <w:t xml:space="preserve">保证金误退</w:t>
      </w:r>
      <w:r>
        <w:rPr>
          <w:rFonts w:hint="eastAsia" w:ascii="宋体" w:hAnsi="宋体"/>
          <w:bCs/>
          <w:sz w:val="24"/>
          <w:highlight w:val="none"/>
        </w:rPr>
        <w:t xml:space="preserve">等情况</w:t>
      </w:r>
      <w:r>
        <w:rPr>
          <w:rFonts w:ascii="宋体" w:hAnsi="宋体"/>
          <w:bCs/>
          <w:sz w:val="24"/>
          <w:highlight w:val="none"/>
        </w:rPr>
        <w:t xml:space="preserve">由</w:t>
      </w:r>
      <w:r>
        <w:rPr>
          <w:rFonts w:hint="eastAsia" w:ascii="宋体" w:hAnsi="宋体"/>
          <w:bCs/>
          <w:sz w:val="24"/>
          <w:highlight w:val="none"/>
        </w:rPr>
        <w:t xml:space="preserve">（拟）中标人</w:t>
      </w:r>
      <w:r>
        <w:rPr>
          <w:rFonts w:ascii="宋体" w:hAnsi="宋体"/>
          <w:bCs/>
          <w:sz w:val="24"/>
          <w:highlight w:val="none"/>
        </w:rPr>
        <w:t xml:space="preserve">承担。</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（六）中标人缴纳的履约保证金，待合同标的履约完成、验收合格，或合同期满，一次性无息退还（凭“履约保证金退付申请书”及“收款收据原件”到学校财务处办理退款手续）。</w:t>
      </w:r>
      <w:r>
        <w:rPr>
          <w:rFonts w:ascii="宋体" w:hAnsi="宋体"/>
          <w:bCs/>
          <w:sz w:val="24"/>
          <w:highlight w:val="none"/>
        </w:rPr>
        <w:t xml:space="preserve">如果中标人不履行合同约定的义务，未能完全履行合同规定的义务或其履行不符合合同的约定，采购方有权扣除</w:t>
      </w:r>
      <w:r>
        <w:rPr>
          <w:rFonts w:hint="eastAsia" w:ascii="宋体" w:hAnsi="宋体"/>
          <w:bCs/>
          <w:sz w:val="24"/>
          <w:highlight w:val="none"/>
        </w:rPr>
        <w:t xml:space="preserve">履约</w:t>
      </w:r>
      <w:r>
        <w:rPr>
          <w:rFonts w:ascii="宋体" w:hAnsi="宋体"/>
          <w:bCs/>
          <w:sz w:val="24"/>
          <w:highlight w:val="none"/>
        </w:rPr>
        <w:t xml:space="preserve">保证金取得补偿。</w:t>
      </w:r>
      <w:r/>
    </w:p>
    <w:p>
      <w:pPr>
        <w:spacing w:before="120" w:after="120" w:line="400" w:lineRule="exact"/>
        <w:rPr>
          <w:bCs/>
          <w:sz w:val="28"/>
          <w:szCs w:val="28"/>
          <w:highlight w:val="none"/>
        </w:rPr>
      </w:pPr>
      <w:r>
        <w:rPr>
          <w:rFonts w:hint="eastAsia"/>
          <w:bCs/>
          <w:sz w:val="28"/>
          <w:szCs w:val="28"/>
          <w:highlight w:val="none"/>
        </w:rPr>
        <w:t xml:space="preserve">八、“知识产权、专利权、软件著作权”要求</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（一）采购方在履行合同过程中提供给中标人使用保管的全部图纸、文件和其他含有数据和信息的资料，其知识产权属于采购方。</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二）中标人提供的合同项目涉及知识产权、专利权、软件著作权的，则中标人在合同签订前应当提供产品原生产厂家针对本项目的签字盖章的授权销售及质保承诺书原件，并保证采购方在使用过程中免受第三方提出的有关知识产权、专利权、软件著作权等侵权的主张、索赔或诉讼的伤害，否则采购方有权拒签合同并取消中标人资格。</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三）如果采购方收到任何第三方有关知识产权、专利权、软件著作权等的主张、索赔或诉讼，中标人在收到采购方通知后，应当以采购方名义并在采购方的协助下，自负费用处理与第三方的索赔或诉讼，并赔偿采购方因此发生的费用和遭受的损失。如果中标人拒绝处理前述索赔或诉讼或在收到采购方通知后 28 日内未作表示，采购方可以自己的名义进行这些索赔或诉讼，因此发生的费用和遭受的损失均应由中标人承担。</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四）中标产品（包括软件和硬件）在使用过程中，如遇采购方产品升级、功能扩展、业务互联互通、产品更替等现实需要，中标人必须确保提供相关产品的技术支持，以满足采购方正常、合理的教学、科研所需，中标人不得以知识产权为借口，影响采购方的合理诉求。</w:t>
      </w:r>
      <w:r/>
    </w:p>
    <w:p>
      <w:pPr>
        <w:spacing w:before="120" w:after="120" w:line="400" w:lineRule="exact"/>
        <w:rPr>
          <w:bCs/>
          <w:sz w:val="28"/>
          <w:szCs w:val="28"/>
          <w:highlight w:val="none"/>
        </w:rPr>
      </w:pPr>
      <w:r/>
      <w:bookmarkStart w:id="12" w:name="_Toc13543220"/>
      <w:r>
        <w:rPr>
          <w:rFonts w:hint="eastAsia"/>
          <w:bCs/>
          <w:sz w:val="28"/>
          <w:szCs w:val="28"/>
          <w:highlight w:val="none"/>
        </w:rPr>
        <w:t xml:space="preserve">九、</w:t>
      </w:r>
      <w:bookmarkEnd w:id="12"/>
      <w:r>
        <w:rPr>
          <w:rFonts w:hint="eastAsia"/>
          <w:bCs/>
          <w:sz w:val="28"/>
          <w:szCs w:val="28"/>
          <w:highlight w:val="none"/>
        </w:rPr>
        <w:t xml:space="preserve">合同签订要求</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签订合同书应以采购文件、响应文件及其承诺、评审结果、中标通知书等为依据。</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（一）投标人如对合同中的具体条款有异议，需在响应文件（偏离表）中写明相应修改意见。</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（二）投标人如对合同中的具体条款有异议，但是没有在响应文件（偏离表）中写明相应修改意见的，在中标后不得再以对合同具体条款有异议为由拒绝签订合同。</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（三）投标人如对合同中的具体条款没有异议，请在中标后根据招响应文件实质性条款补充、完善合同相应条款内容。</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（四）中标人应当</w:t>
      </w:r>
      <w:r>
        <w:rPr>
          <w:rFonts w:ascii="宋体" w:hAnsi="宋体"/>
          <w:bCs/>
          <w:sz w:val="24"/>
          <w:highlight w:val="none"/>
        </w:rPr>
        <w:t xml:space="preserve">自中标通知书发出之日起</w:t>
      </w:r>
      <w:r>
        <w:rPr>
          <w:rFonts w:hint="eastAsia" w:ascii="宋体" w:hAnsi="宋体"/>
          <w:bCs/>
          <w:sz w:val="24"/>
          <w:highlight w:val="none"/>
        </w:rPr>
        <w:t xml:space="preserve">15</w:t>
      </w:r>
      <w:r>
        <w:rPr>
          <w:rFonts w:ascii="宋体" w:hAnsi="宋体"/>
          <w:bCs/>
          <w:sz w:val="24"/>
          <w:highlight w:val="none"/>
        </w:rPr>
        <w:t xml:space="preserve">日内</w:t>
      </w:r>
      <w:r>
        <w:rPr>
          <w:rFonts w:hint="eastAsia" w:ascii="宋体" w:hAnsi="宋体"/>
          <w:bCs/>
          <w:sz w:val="24"/>
          <w:highlight w:val="none"/>
        </w:rPr>
        <w:t xml:space="preserve">按照采购文件确定的事项签订采购合同，最迟不得超过20日。如因中标人原因导致双方无法签订书面合同的，采购方有权取消中标人中标资格，并要求中标人</w:t>
      </w:r>
      <w:r>
        <w:rPr>
          <w:rFonts w:hint="eastAsia" w:ascii="宋体" w:hAnsi="宋体" w:cs="宋体"/>
          <w:bCs/>
          <w:sz w:val="24"/>
          <w:highlight w:val="none"/>
        </w:rPr>
        <w:t xml:space="preserve">依法承担法律责任</w:t>
      </w:r>
      <w:r>
        <w:rPr>
          <w:rFonts w:hint="eastAsia" w:ascii="宋体" w:hAnsi="宋体"/>
          <w:bCs/>
          <w:sz w:val="24"/>
          <w:highlight w:val="none"/>
        </w:rPr>
        <w:t xml:space="preserve">。</w:t>
      </w:r>
      <w:bookmarkEnd w:id="11"/>
      <w:r/>
      <w:r/>
    </w:p>
    <w:p>
      <w:pPr>
        <w:ind w:firstLine="480"/>
        <w:spacing w:line="400" w:lineRule="exact"/>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cs="宋体"/>
          <w:b/>
          <w:sz w:val="24"/>
          <w:highlight w:val="none"/>
        </w:rPr>
      </w:pPr>
      <w:r>
        <w:rPr>
          <w:rFonts w:hint="eastAsia" w:ascii="宋体" w:hAnsi="宋体" w:cs="宋体"/>
          <w:b/>
          <w:sz w:val="24"/>
          <w:highlight w:val="none"/>
        </w:rPr>
        <w:t xml:space="preserve">十、其他：详见拟签订的合同文本。</w:t>
      </w:r>
      <w:r/>
    </w:p>
    <w:p>
      <w:pPr>
        <w:jc w:val="left"/>
        <w:widowControl/>
        <w:rPr>
          <w:rFonts w:hint="eastAsia" w:ascii="宋体" w:hAnsi="宋体" w:cs="宋体"/>
          <w:b/>
          <w:bCs/>
          <w:sz w:val="24"/>
          <w:highlight w:val="none"/>
        </w:rPr>
      </w:pPr>
      <w:r>
        <w:rPr>
          <w:rFonts w:hint="eastAsia" w:ascii="宋体" w:hAnsi="宋体" w:cs="宋体"/>
          <w:b/>
          <w:bCs/>
          <w:sz w:val="24"/>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r>
      <w:r/>
    </w:p>
    <w:p>
      <w:pPr>
        <w:pStyle w:val="81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1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1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pStyle w:val="810"/>
        <w:rPr>
          <w:highlight w:val="none"/>
        </w:rPr>
      </w:pPr>
      <w:r>
        <w:rPr>
          <w:highlight w:val="none"/>
        </w:rPr>
      </w:r>
      <w:r/>
    </w:p>
    <w:p>
      <w:pPr>
        <w:jc w:val="center"/>
        <w:rPr>
          <w:rFonts w:hint="eastAsia"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jc w:val="center"/>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目录</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1.投标函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2.法定代表人授权书及法定代表人身份证明书</w:t>
      </w:r>
      <w:r/>
    </w:p>
    <w:p>
      <w:pPr>
        <w:spacing w:line="360" w:lineRule="auto"/>
        <w:rPr>
          <w:rFonts w:hint="eastAsia" w:ascii="宋体" w:hAnsi="宋体" w:cs="宋体"/>
          <w:sz w:val="24"/>
          <w:highlight w:val="none"/>
        </w:rPr>
      </w:pPr>
      <w:r>
        <w:rPr>
          <w:rFonts w:hint="eastAsia" w:ascii="宋体" w:hAnsi="宋体" w:cs="宋体"/>
          <w:sz w:val="24"/>
          <w:highlight w:val="none"/>
        </w:rPr>
        <w:t xml:space="preserve">3.开标一览表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4.分项价格表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5.具备履行合同所必需的设备和专业技术能力的书面声明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6.投标人参加政府采购活动前3年内在经营活动中没有重大违法记录的书面声明</w:t>
      </w:r>
      <w:r/>
    </w:p>
    <w:p>
      <w:pPr>
        <w:spacing w:line="360" w:lineRule="auto"/>
        <w:rPr>
          <w:rFonts w:hint="eastAsia" w:ascii="宋体" w:hAnsi="宋体" w:cs="宋体"/>
          <w:sz w:val="24"/>
          <w:highlight w:val="none"/>
        </w:rPr>
      </w:pPr>
      <w:r>
        <w:rPr>
          <w:rFonts w:hint="eastAsia" w:ascii="宋体" w:hAnsi="宋体" w:cs="宋体"/>
          <w:sz w:val="24"/>
          <w:highlight w:val="none"/>
        </w:rPr>
        <w:t xml:space="preserve">7.偏离表</w:t>
      </w:r>
      <w:r/>
    </w:p>
    <w:p>
      <w:pPr>
        <w:spacing w:line="360" w:lineRule="auto"/>
        <w:rPr>
          <w:rFonts w:hint="eastAsia" w:ascii="宋体" w:hAnsi="宋体" w:cs="宋体"/>
          <w:sz w:val="24"/>
          <w:highlight w:val="none"/>
        </w:rPr>
      </w:pPr>
      <w:r>
        <w:rPr>
          <w:rFonts w:hint="eastAsia" w:ascii="宋体" w:hAnsi="宋体" w:cs="宋体"/>
          <w:sz w:val="24"/>
          <w:highlight w:val="none"/>
        </w:rPr>
        <w:t xml:space="preserve">8.投标人相似业绩一览表</w:t>
      </w:r>
      <w:r/>
    </w:p>
    <w:p>
      <w:pPr>
        <w:spacing w:line="360" w:lineRule="auto"/>
        <w:rPr>
          <w:rFonts w:hint="eastAsia"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.中小企业声明函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10.残疾人福利性单位声明函</w:t>
      </w:r>
      <w:r/>
    </w:p>
    <w:p>
      <w:pPr>
        <w:spacing w:line="360" w:lineRule="auto"/>
        <w:rPr>
          <w:rFonts w:hint="eastAsia" w:ascii="宋体" w:hAnsi="宋体" w:cs="宋体"/>
          <w:sz w:val="24"/>
          <w:highlight w:val="none"/>
        </w:rPr>
      </w:pPr>
      <w:r>
        <w:rPr>
          <w:rFonts w:hint="eastAsia" w:ascii="宋体" w:hAnsi="宋体" w:cs="宋体"/>
          <w:sz w:val="24"/>
          <w:highlight w:val="none"/>
        </w:rPr>
        <w:t xml:space="preserve">11.预付款保函支付条款</w:t>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 </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p>
    <w:p>
      <w:pPr>
        <w:spacing w:line="400" w:lineRule="exact"/>
        <w:rPr>
          <w:rFonts w:hint="eastAsia" w:ascii="宋体" w:hAnsi="宋体" w:cs="宋体"/>
          <w:sz w:val="24"/>
          <w:highlight w:val="none"/>
        </w:rPr>
      </w:pPr>
      <w:r>
        <w:rPr>
          <w:rFonts w:hint="eastAsia" w:ascii="宋体" w:hAnsi="宋体" w:cs="宋体"/>
          <w:sz w:val="24"/>
          <w:highlight w:val="none"/>
        </w:rPr>
      </w:r>
      <w:r/>
    </w:p>
    <w:p>
      <w:pPr>
        <w:spacing w:line="400" w:lineRule="exact"/>
        <w:rPr>
          <w:rFonts w:hint="eastAsia"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江苏中瑞建设项目管理有限公司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项目[项目编号：JSZC-320300-JSZR-G2024-0118]招标文件， </w:t>
      </w:r>
      <w:r>
        <w:rPr>
          <w:rFonts w:hint="eastAsia" w:ascii="宋体" w:hAnsi="宋体" w:cs="宋体"/>
          <w:sz w:val="24"/>
          <w:highlight w:val="none"/>
          <w:u w:val="single"/>
        </w:rPr>
        <w:t xml:space="preserve"> </w:t>
      </w:r>
      <w:r>
        <w:rPr>
          <w:rFonts w:hint="eastAsia" w:ascii="宋体" w:hAnsi="宋体" w:cs="宋体"/>
          <w:szCs w:val="21"/>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据此函，投标人承诺并同意如下： </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 投标人唯一投标报价见《开标一览表》。</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 投标人将按招标文件的规定履行合同责任和义务。</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 投标有效期为90天。</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6.招标文件中关于“投标文件的密封要求”的规定由江苏中瑞建设项目管理有限公司解释，投标人完全理解招标文件中关于“投标文件的密封要求”的规定。</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7. 江苏中瑞建设项目管理有限公</w:t>
      </w:r>
      <w:bookmarkStart w:id="13" w:name="_GoBack"/>
      <w:r/>
      <w:bookmarkEnd w:id="13"/>
      <w:r>
        <w:rPr>
          <w:rFonts w:hint="eastAsia" w:ascii="宋体" w:hAnsi="宋体" w:cs="宋体"/>
          <w:sz w:val="24"/>
          <w:highlight w:val="none"/>
        </w:rPr>
        <w:t xml:space="preserve">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9. 与本投标有关的一切正式往来信函请寄：</w:t>
      </w:r>
      <w:r/>
    </w:p>
    <w:p>
      <w:pPr>
        <w:spacing w:line="400" w:lineRule="exact"/>
        <w:rPr>
          <w:rFonts w:hint="eastAsia" w:ascii="宋体" w:hAnsi="宋体" w:cs="宋体"/>
          <w:sz w:val="24"/>
          <w:highlight w:val="none"/>
        </w:rPr>
      </w:pPr>
      <w:r>
        <w:rPr>
          <w:rFonts w:hint="eastAsia" w:ascii="宋体" w:hAnsi="宋体" w:cs="宋体"/>
          <w:sz w:val="24"/>
          <w:highlight w:val="none"/>
        </w:rPr>
        <w:t xml:space="preserve">地址： </w:t>
      </w:r>
      <w:r/>
    </w:p>
    <w:p>
      <w:pPr>
        <w:spacing w:line="400" w:lineRule="exact"/>
        <w:rPr>
          <w:rFonts w:hint="eastAsia" w:ascii="宋体" w:hAnsi="宋体" w:cs="宋体"/>
          <w:sz w:val="24"/>
          <w:highlight w:val="none"/>
        </w:rPr>
      </w:pPr>
      <w:r>
        <w:rPr>
          <w:rFonts w:hint="eastAsia" w:ascii="宋体" w:hAnsi="宋体" w:cs="宋体"/>
          <w:sz w:val="24"/>
          <w:highlight w:val="none"/>
        </w:rPr>
        <w:t xml:space="preserve">电话： </w:t>
      </w:r>
      <w:r/>
    </w:p>
    <w:p>
      <w:pPr>
        <w:spacing w:line="400" w:lineRule="exact"/>
        <w:rPr>
          <w:rFonts w:hint="eastAsia" w:ascii="宋体" w:hAnsi="宋体" w:cs="宋体"/>
          <w:sz w:val="24"/>
          <w:highlight w:val="none"/>
        </w:rPr>
      </w:pPr>
      <w:r>
        <w:rPr>
          <w:rFonts w:hint="eastAsia" w:ascii="宋体" w:hAnsi="宋体" w:cs="宋体"/>
          <w:sz w:val="24"/>
          <w:highlight w:val="none"/>
        </w:rPr>
        <w:t xml:space="preserve">传真： </w:t>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40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ind w:firstLine="3120"/>
        <w:spacing w:line="400" w:lineRule="exact"/>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8"/>
          <w:szCs w:val="28"/>
          <w:highlight w:val="none"/>
        </w:rPr>
      </w:pPr>
      <w:r>
        <w:rPr>
          <w:rFonts w:hint="eastAsia" w:ascii="宋体" w:hAnsi="宋体" w:cs="宋体"/>
          <w:sz w:val="28"/>
          <w:szCs w:val="28"/>
          <w:highlight w:val="none"/>
        </w:rPr>
      </w:r>
      <w:r/>
    </w:p>
    <w:p>
      <w:pPr>
        <w:pStyle w:val="787"/>
        <w:rPr>
          <w:highlight w:val="none"/>
        </w:rPr>
      </w:pPr>
      <w:r>
        <w:rPr>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2．法定代表人授权书及法定代表人身份证明书</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p>
    <w:p>
      <w:pPr>
        <w:spacing w:line="360" w:lineRule="auto"/>
        <w:rPr>
          <w:rFonts w:hint="eastAsia" w:ascii="宋体" w:hAnsi="宋体"/>
          <w:bCs/>
          <w:sz w:val="24"/>
          <w:highlight w:val="none"/>
        </w:rPr>
      </w:pPr>
      <w:r>
        <w:rPr>
          <w:rFonts w:hint="eastAsia" w:ascii="宋体" w:hAnsi="宋体" w:cs="宋体"/>
          <w:bCs/>
          <w:sz w:val="24"/>
          <w:highlight w:val="none"/>
        </w:rPr>
        <w:t xml:space="preserve">委托人：</w:t>
      </w:r>
      <w:r/>
    </w:p>
    <w:p>
      <w:pPr>
        <w:spacing w:line="360" w:lineRule="auto"/>
        <w:rPr>
          <w:rFonts w:hint="eastAsia" w:ascii="宋体" w:hAnsi="宋体"/>
          <w:bCs/>
          <w:sz w:val="24"/>
          <w:highlight w:val="none"/>
        </w:rPr>
      </w:pPr>
      <w:r>
        <w:rPr>
          <w:rFonts w:hint="eastAsia" w:ascii="宋体" w:hAnsi="宋体" w:cs="宋体"/>
          <w:bCs/>
          <w:sz w:val="24"/>
          <w:highlight w:val="none"/>
        </w:rPr>
        <w:t xml:space="preserve">地  址：</w:t>
      </w:r>
      <w:r/>
    </w:p>
    <w:p>
      <w:pPr>
        <w:spacing w:line="360" w:lineRule="auto"/>
        <w:rPr>
          <w:rFonts w:hint="eastAsia" w:ascii="宋体" w:hAnsi="宋体"/>
          <w:bCs/>
          <w:sz w:val="24"/>
          <w:highlight w:val="none"/>
        </w:rPr>
      </w:pPr>
      <w:r>
        <w:rPr>
          <w:rFonts w:hint="eastAsia" w:ascii="宋体" w:hAnsi="宋体" w:cs="宋体"/>
          <w:bCs/>
          <w:sz w:val="24"/>
          <w:highlight w:val="none"/>
        </w:rPr>
        <w:t xml:space="preserve">法定代表人：               职务：</w:t>
      </w:r>
      <w:r/>
    </w:p>
    <w:p>
      <w:pPr>
        <w:spacing w:line="360" w:lineRule="auto"/>
        <w:rPr>
          <w:rFonts w:hint="eastAsia" w:ascii="宋体" w:hAnsi="宋体"/>
          <w:bCs/>
          <w:sz w:val="24"/>
          <w:highlight w:val="none"/>
        </w:rPr>
      </w:pPr>
      <w:r>
        <w:rPr>
          <w:rFonts w:hint="eastAsia" w:ascii="宋体" w:hAnsi="宋体" w:cs="宋体"/>
          <w:bCs/>
          <w:sz w:val="24"/>
          <w:highlight w:val="none"/>
        </w:rPr>
        <w:t xml:space="preserve">统一社会信用代码：</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cs="宋体"/>
          <w:bCs/>
          <w:sz w:val="24"/>
          <w:highlight w:val="none"/>
        </w:rPr>
        <w:t xml:space="preserve">受托人：                   性别：男（女）  </w:t>
      </w:r>
      <w:r/>
    </w:p>
    <w:p>
      <w:pPr>
        <w:spacing w:line="360" w:lineRule="auto"/>
        <w:rPr>
          <w:rFonts w:hint="eastAsia" w:ascii="宋体" w:hAnsi="宋体"/>
          <w:bCs/>
          <w:sz w:val="24"/>
          <w:highlight w:val="none"/>
        </w:rPr>
      </w:pPr>
      <w:r>
        <w:rPr>
          <w:rFonts w:hint="eastAsia" w:ascii="宋体" w:hAnsi="宋体" w:cs="宋体"/>
          <w:bCs/>
          <w:sz w:val="24"/>
          <w:highlight w:val="none"/>
        </w:rPr>
        <w:t xml:space="preserve">年龄：  岁                 民族：民   族</w:t>
      </w:r>
      <w:r/>
    </w:p>
    <w:p>
      <w:pPr>
        <w:spacing w:line="360" w:lineRule="auto"/>
        <w:rPr>
          <w:rFonts w:hint="eastAsia" w:ascii="宋体" w:hAnsi="宋体"/>
          <w:bCs/>
          <w:sz w:val="24"/>
          <w:highlight w:val="none"/>
        </w:rPr>
      </w:pPr>
      <w:r>
        <w:rPr>
          <w:rFonts w:hint="eastAsia" w:ascii="宋体" w:hAnsi="宋体" w:cs="宋体"/>
          <w:bCs/>
          <w:sz w:val="24"/>
          <w:highlight w:val="none"/>
        </w:rPr>
        <w:t xml:space="preserve">职务：</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身份证号：</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联系方式（手机号）：</w:t>
      </w:r>
      <w:r/>
    </w:p>
    <w:p>
      <w:pPr>
        <w:ind w:firstLine="480"/>
        <w:spacing w:line="360" w:lineRule="auto"/>
        <w:rPr>
          <w:rFonts w:hint="eastAsia"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rPr>
        <w:t xml:space="preserve">基于实验室场景的数字孪生建筑运维技术研发服务</w:t>
      </w:r>
      <w:r>
        <w:rPr>
          <w:rFonts w:hint="eastAsia" w:ascii="宋体" w:hAnsi="宋体" w:cs="宋体"/>
          <w:bCs/>
          <w:sz w:val="24"/>
          <w:highlight w:val="none"/>
        </w:rPr>
        <w:t xml:space="preserve">）项目（项目编号：JSZC-320300-JSZR-G2024-0118）的招、投标活动及签订合同。（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bCs/>
          <w:sz w:val="24"/>
          <w:highlight w:val="none"/>
        </w:rPr>
      </w:pPr>
      <w:r>
        <w:rPr>
          <w:rFonts w:hint="eastAsia" w:ascii="宋体" w:hAnsi="宋体" w:cs="宋体"/>
          <w:bCs/>
          <w:sz w:val="24"/>
          <w:highlight w:val="none"/>
        </w:rPr>
        <w:t xml:space="preserve">特此授权委托。</w:t>
      </w:r>
      <w:r/>
    </w:p>
    <w:p>
      <w:pPr>
        <w:ind w:firstLine="630"/>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p>
    <w:p>
      <w:pPr>
        <w:spacing w:line="360" w:lineRule="auto"/>
        <w:rPr>
          <w:rFonts w:hint="eastAsia"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p>
    <w:p>
      <w:pPr>
        <w:ind w:firstLine="720"/>
        <w:jc w:val="right"/>
        <w:spacing w:line="360" w:lineRule="auto"/>
        <w:rPr>
          <w:rFonts w:hint="eastAsia" w:ascii="宋体" w:hAnsi="宋体"/>
          <w:bCs/>
          <w:sz w:val="24"/>
          <w:highlight w:val="none"/>
        </w:rPr>
      </w:pPr>
      <w:r>
        <w:rPr>
          <w:rFonts w:hint="eastAsia" w:ascii="宋体" w:hAnsi="宋体" w:cs="宋体"/>
          <w:bCs/>
          <w:sz w:val="24"/>
          <w:highlight w:val="none"/>
        </w:rPr>
        <w:t xml:space="preserve">年   月   日 </w:t>
      </w:r>
      <w:r/>
    </w:p>
    <w:p>
      <w:pPr>
        <w:spacing w:line="360" w:lineRule="auto"/>
        <w:rPr>
          <w:rFonts w:hint="eastAsia" w:ascii="宋体" w:hAnsi="宋体"/>
          <w:bCs/>
          <w:sz w:val="24"/>
          <w:highlight w:val="none"/>
        </w:rPr>
      </w:pPr>
      <w:r>
        <w:rPr>
          <w:rFonts w:hint="eastAsia" w:ascii="宋体" w:hAnsi="宋体" w:cs="宋体"/>
          <w:bCs/>
          <w:sz w:val="24"/>
          <w:highlight w:val="none"/>
        </w:rPr>
        <w:t xml:space="preserve">（受托人身份证原件扫描件附后）</w:t>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cs="宋体"/>
          <w:sz w:val="28"/>
          <w:szCs w:val="28"/>
          <w:highlight w:val="none"/>
        </w:rPr>
      </w:pP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p>
    <w:p>
      <w:pPr>
        <w:jc w:val="center"/>
        <w:spacing w:line="360" w:lineRule="auto"/>
        <w:rPr>
          <w:rFonts w:hint="eastAsia" w:ascii="宋体" w:hAnsi="宋体" w:cs="宋体"/>
          <w:bCs/>
          <w:sz w:val="28"/>
          <w:szCs w:val="28"/>
          <w:highlight w:val="none"/>
        </w:rPr>
      </w:pPr>
      <w:r>
        <w:rPr>
          <w:rFonts w:hint="eastAsia" w:ascii="宋体" w:hAnsi="宋体" w:cs="宋体"/>
          <w:bCs/>
          <w:sz w:val="28"/>
          <w:szCs w:val="28"/>
          <w:highlight w:val="none"/>
        </w:rPr>
      </w:r>
      <w:r/>
    </w:p>
    <w:p>
      <w:pPr>
        <w:pStyle w:val="878"/>
        <w:rPr>
          <w:highlight w:val="none"/>
        </w:rPr>
      </w:pPr>
      <w:r>
        <w:rPr>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单位名称：</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地址：</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姓名：            性别：    </w:t>
      </w:r>
      <w:r/>
    </w:p>
    <w:p>
      <w:pPr>
        <w:spacing w:line="360" w:lineRule="auto"/>
        <w:rPr>
          <w:rFonts w:hint="eastAsia"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p>
    <w:p>
      <w:pPr>
        <w:ind w:firstLine="1024"/>
        <w:spacing w:line="360" w:lineRule="auto"/>
        <w:rPr>
          <w:rFonts w:hint="eastAsia" w:ascii="宋体" w:hAnsi="宋体" w:cs="宋体"/>
          <w:sz w:val="24"/>
          <w:highlight w:val="none"/>
        </w:rPr>
      </w:pPr>
      <w:r>
        <w:rPr>
          <w:rFonts w:hint="eastAsia" w:ascii="宋体" w:hAnsi="宋体" w:cs="宋体"/>
          <w:sz w:val="24"/>
          <w:highlight w:val="none"/>
        </w:rPr>
      </w:r>
      <w:r/>
    </w:p>
    <w:p>
      <w:pPr>
        <w:ind w:firstLine="1024"/>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系我司的法定代表人。为签署（项目编号：JSZC-320300-JSZR-G2024-0118，项目名称：</w:t>
      </w:r>
      <w:r>
        <w:rPr>
          <w:rFonts w:hint="eastAsia" w:ascii="宋体" w:hAnsi="宋体" w:cs="宋体"/>
          <w:sz w:val="24"/>
          <w:highlight w:val="none"/>
          <w:u w:val="single"/>
        </w:rPr>
        <w:t xml:space="preserve">基于实验室场景的数字孪生建筑运维技术研发服务</w:t>
      </w:r>
      <w:r>
        <w:rPr>
          <w:rFonts w:hint="eastAsia" w:ascii="宋体" w:hAnsi="宋体" w:cs="宋体"/>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特此证明。</w:t>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jc w:val="right"/>
        <w:spacing w:line="360" w:lineRule="auto"/>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r>
      <w:r/>
    </w:p>
    <w:p>
      <w:pPr>
        <w:pStyle w:val="889"/>
        <w:rPr>
          <w:rFonts w:hint="eastAsia" w:ascii="宋体" w:hAnsi="宋体" w:cs="宋体"/>
          <w:highlight w:val="none"/>
        </w:rPr>
      </w:pPr>
      <w:r>
        <w:rPr>
          <w:rFonts w:hint="eastAsia" w:ascii="宋体" w:hAnsi="宋体" w:cs="宋体"/>
          <w:highlight w:val="none"/>
        </w:rPr>
      </w:r>
      <w:r/>
    </w:p>
    <w:p>
      <w:pPr>
        <w:ind w:firstLine="3240"/>
        <w:spacing w:line="36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spacing w:line="360" w:lineRule="auto"/>
        <w:rPr>
          <w:rFonts w:hint="eastAsia"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（签字或电子签章）  </w:t>
      </w:r>
      <w:r/>
    </w:p>
    <w:p>
      <w:pPr>
        <w:ind w:firstLine="336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highlight w:val="none"/>
        </w:rPr>
      </w:pPr>
      <w:r>
        <w:rPr>
          <w:rFonts w:hint="eastAsia" w:ascii="宋体" w:hAnsi="宋体" w:cs="宋体"/>
          <w:highlight w:val="none"/>
        </w:rPr>
      </w:r>
      <w:r/>
    </w:p>
    <w:p>
      <w:pPr>
        <w:ind w:firstLine="480"/>
        <w:spacing w:line="500" w:lineRule="exact"/>
        <w:tabs>
          <w:tab w:val="left" w:pos="720" w:leader="none"/>
          <w:tab w:val="left" w:pos="900" w:leader="none"/>
        </w:tabs>
        <w:rPr>
          <w:rFonts w:hint="eastAsia" w:ascii="宋体" w:hAnsi="宋体" w:cs="宋体"/>
          <w:sz w:val="24"/>
          <w:highlight w:val="none"/>
        </w:rPr>
      </w:pPr>
      <w:r>
        <w:rPr>
          <w:rFonts w:hint="eastAsia" w:ascii="宋体" w:hAnsi="宋体" w:cs="宋体"/>
          <w:sz w:val="24"/>
          <w:highlight w:val="none"/>
        </w:rPr>
        <w:t xml:space="preserve">（法定代表人身份证原件扫描件附后）</w:t>
      </w:r>
      <w:r/>
    </w:p>
    <w:p>
      <w:pPr>
        <w:spacing w:line="360" w:lineRule="auto"/>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sz w:val="24"/>
          <w:highlight w:val="none"/>
        </w:rPr>
      </w:pPr>
      <w:r>
        <w:rPr>
          <w:rFonts w:hint="eastAsia" w:ascii="宋体" w:hAnsi="宋体"/>
          <w:sz w:val="24"/>
          <w:highlight w:val="none"/>
        </w:rPr>
      </w:r>
      <w:r/>
    </w:p>
    <w:p>
      <w:pPr>
        <w:pStyle w:val="865"/>
        <w:rPr>
          <w:rFonts w:hint="eastAsia" w:ascii="宋体" w:hAnsi="宋体"/>
          <w:sz w:val="24"/>
          <w:highlight w:val="none"/>
        </w:rPr>
      </w:pPr>
      <w:r>
        <w:rPr>
          <w:rFonts w:hint="eastAsia" w:ascii="宋体" w:hAnsi="宋体"/>
          <w:sz w:val="24"/>
          <w:highlight w:val="none"/>
        </w:rPr>
      </w:r>
      <w:r/>
    </w:p>
    <w:p>
      <w:pPr>
        <w:pStyle w:val="865"/>
        <w:rPr>
          <w:rFonts w:hint="eastAsia" w:ascii="宋体" w:hAnsi="宋体"/>
          <w:sz w:val="24"/>
          <w:highlight w:val="none"/>
        </w:rPr>
      </w:pPr>
      <w:r>
        <w:rPr>
          <w:rFonts w:hint="eastAsia" w:ascii="宋体" w:hAnsi="宋体"/>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jc w:val="center"/>
        <w:rPr>
          <w:rFonts w:hint="eastAsia" w:ascii="宋体" w:hAnsi="宋体" w:cs="宋体"/>
          <w:sz w:val="28"/>
          <w:szCs w:val="28"/>
          <w:highlight w:val="none"/>
        </w:rPr>
      </w:pPr>
      <w:r>
        <w:rPr>
          <w:rFonts w:hint="eastAsia" w:ascii="宋体" w:hAnsi="宋体" w:cs="宋体"/>
          <w:sz w:val="28"/>
          <w:szCs w:val="28"/>
          <w:highlight w:val="none"/>
        </w:rPr>
        <w:t xml:space="preserve">3.开标一览表</w:t>
      </w:r>
      <w:r/>
    </w:p>
    <w:p>
      <w:pPr>
        <w:pStyle w:val="878"/>
        <w:rPr>
          <w:highlight w:val="none"/>
        </w:rPr>
      </w:pPr>
      <w:r>
        <w:rPr>
          <w:highlight w:val="none"/>
        </w:rPr>
      </w:r>
      <w:r/>
    </w:p>
    <w:p>
      <w:pPr>
        <w:jc w:val="left"/>
        <w:spacing w:line="360" w:lineRule="auto"/>
        <w:rPr>
          <w:rFonts w:hint="eastAsia" w:ascii="宋体" w:hAnsi="宋体" w:cs="宋体"/>
          <w:sz w:val="24"/>
          <w:highlight w:val="none"/>
        </w:rPr>
      </w:pPr>
      <w:r>
        <w:rPr>
          <w:rFonts w:hint="eastAsia" w:ascii="宋体" w:hAnsi="宋体" w:cs="宋体"/>
          <w:sz w:val="24"/>
          <w:highlight w:val="none"/>
        </w:rPr>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项目编号：JSZC-320300-JSZR-G2024-0118</w:t>
      </w:r>
      <w:r>
        <w:rPr>
          <w:rFonts w:hint="eastAsia" w:ascii="宋体" w:hAnsi="宋体" w:cs="宋体"/>
          <w:sz w:val="24"/>
          <w:highlight w:val="none"/>
          <w:u w:val="single"/>
        </w:rPr>
        <w:t xml:space="preserve"> </w:t>
      </w:r>
      <w:r/>
    </w:p>
    <w:p>
      <w:pPr>
        <w:ind w:firstLine="6240"/>
        <w:rPr>
          <w:rFonts w:hint="eastAsia" w:ascii="宋体" w:hAnsi="宋体" w:cs="宋体"/>
          <w:sz w:val="24"/>
          <w:highlight w:val="none"/>
        </w:rPr>
      </w:pPr>
      <w:r>
        <w:rPr>
          <w:rFonts w:hint="eastAsia" w:ascii="宋体" w:hAnsi="宋体" w:cs="宋体"/>
          <w:sz w:val="24"/>
          <w:highlight w:val="none"/>
        </w:rPr>
        <w:t xml:space="preserve">货币单位：人民币元</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4．分项价格表</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项目编号：JSZC-320300-JSZR-G2024-0118</w:t>
      </w:r>
      <w:r>
        <w:rPr>
          <w:rFonts w:hint="eastAsia" w:ascii="宋体" w:hAnsi="宋体" w:cs="宋体"/>
          <w:sz w:val="24"/>
          <w:highlight w:val="none"/>
          <w:u w:val="single"/>
        </w:rPr>
        <w:t xml:space="preserve"> </w:t>
      </w:r>
      <w:r/>
    </w:p>
    <w:tbl>
      <w:tblPr>
        <w:tblStyle w:val="783"/>
        <w:tblpPr w:horzAnchor="page" w:tblpX="1023" w:vertAnchor="text" w:tblpY="303" w:leftFromText="180" w:topFromText="0" w:rightFromText="180" w:bottomFromText="0"/>
        <w:tblW w:w="101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hint="eastAsia" w:ascii="宋体" w:hAnsi="宋体"/>
                <w:sz w:val="24"/>
                <w:highlight w:val="none"/>
              </w:rPr>
            </w:pPr>
            <w:r>
              <w:rPr>
                <w:rFonts w:hint="eastAsia" w:ascii="宋体" w:hAnsi="宋体"/>
                <w:sz w:val="24"/>
                <w:highlight w:val="none"/>
              </w:rPr>
              <w:t xml:space="preserve">产品制造企业的划分（注明：大型、中型、小型、微型、监狱企业、</w:t>
            </w:r>
            <w:r>
              <w:rPr>
                <w:rFonts w:ascii="宋体" w:hAnsi="宋体"/>
                <w:sz w:val="24"/>
                <w:highlight w:val="none"/>
              </w:rPr>
              <w:t xml:space="preserve">残疾人福利性单位</w:t>
            </w:r>
            <w:r>
              <w:rPr>
                <w:rFonts w:hint="eastAsia" w:ascii="宋体" w:hAnsi="宋体"/>
                <w:sz w:val="24"/>
                <w:highlight w:val="none"/>
              </w:rPr>
              <w:t xml:space="preserve">）</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总价</w:t>
            </w:r>
            <w:r/>
          </w:p>
        </w:tc>
      </w:tr>
      <w:tr>
        <w:trPr>
          <w:trHeight w:val="300"/>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214"/>
        </w:trPr>
        <w:tc>
          <w:tcPr>
            <w:tcMar>
              <w:left w:w="15" w:type="dxa"/>
              <w:top w:w="15" w:type="dxa"/>
              <w:right w:w="15" w:type="dxa"/>
              <w:bottom w:w="0" w:type="dxa"/>
            </w:tcMar>
            <w:tcW w:w="77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800"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980" w:type="dxa"/>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rPr>
          <w:rFonts w:hint="eastAsia" w:ascii="宋体" w:hAnsi="宋体" w:cs="宋体"/>
          <w:sz w:val="24"/>
          <w:highlight w:val="none"/>
        </w:rPr>
      </w:pPr>
      <w:r>
        <w:rPr>
          <w:rFonts w:hint="eastAsia" w:ascii="宋体" w:hAnsi="宋体" w:cs="宋体"/>
          <w:sz w:val="24"/>
          <w:highlight w:val="none"/>
        </w:rPr>
        <w:t xml:space="preserve">                　                            货币单位：人民币元</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spacing w:line="360" w:lineRule="auto"/>
        <w:rPr>
          <w:rFonts w:hint="eastAsia" w:ascii="宋体" w:hAnsi="宋体" w:cs="宋体"/>
          <w:sz w:val="24"/>
          <w:highlight w:val="none"/>
        </w:rPr>
      </w:pPr>
      <w:r>
        <w:rPr>
          <w:rFonts w:hint="eastAsia" w:ascii="宋体" w:hAnsi="宋体" w:cs="宋体"/>
          <w:sz w:val="24"/>
          <w:highlight w:val="none"/>
        </w:rPr>
        <w:t xml:space="preserve">说明：</w:t>
      </w:r>
      <w:r/>
    </w:p>
    <w:p>
      <w:pPr>
        <w:pStyle w:val="923"/>
        <w:ind w:firstLine="480"/>
        <w:rPr>
          <w:rFonts w:hint="eastAsia"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本表中“产品制造企业的划分”以《政府采购促进中小企业发展管理办法》（财库〔2020〕46号）和《工业和信息化部、国家统计局、国家发展和改革委员会、财政部关于印发中小企业划型标准规定的通知》（工信部联企业〔2011〕300号）的规定为准。</w:t>
      </w:r>
      <w:r/>
    </w:p>
    <w:p>
      <w:pPr>
        <w:pStyle w:val="923"/>
        <w:ind w:firstLine="480"/>
        <w:rPr>
          <w:rFonts w:hint="eastAsia"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923"/>
        <w:ind w:firstLine="480"/>
        <w:rPr>
          <w:rFonts w:hint="eastAsia" w:ascii="宋体" w:hAnsi="宋体" w:cs="宋体"/>
          <w:sz w:val="24"/>
          <w:highlight w:val="none"/>
        </w:rPr>
      </w:pPr>
      <w:r>
        <w:rPr>
          <w:rFonts w:hint="eastAsia" w:ascii="宋体" w:hAnsi="宋体" w:cs="宋体"/>
          <w:sz w:val="24"/>
          <w:highlight w:val="none"/>
        </w:rPr>
        <w:t xml:space="preserve">3. 享受政府采购支持政策的残疾人福利性单位的条件以《三部门联合发布关于促进残疾人就业政府采购政策的通知》（财库〔2017〕141号）规定为准。  </w:t>
      </w:r>
      <w:r/>
    </w:p>
    <w:p>
      <w:pPr>
        <w:pStyle w:val="810"/>
        <w:rPr>
          <w:rFonts w:hint="eastAsia" w:ascii="宋体" w:hAnsi="宋体" w:cs="宋体"/>
          <w:sz w:val="24"/>
          <w:highlight w:val="none"/>
        </w:rPr>
      </w:pPr>
      <w:r>
        <w:rPr>
          <w:rFonts w:hint="eastAsia" w:ascii="宋体" w:hAnsi="宋体" w:cs="宋体"/>
          <w:sz w:val="24"/>
          <w:highlight w:val="none"/>
        </w:rPr>
        <w:t xml:space="preserve">   </w:t>
      </w:r>
      <w:r/>
    </w:p>
    <w:p>
      <w:pPr>
        <w:pStyle w:val="923"/>
        <w:rPr>
          <w:rFonts w:hint="eastAsia" w:ascii="宋体" w:hAnsi="宋体" w:cs="宋体"/>
          <w:sz w:val="24"/>
          <w:highlight w:val="none"/>
        </w:rPr>
      </w:pPr>
      <w:r>
        <w:rPr>
          <w:rFonts w:hint="eastAsia" w:ascii="宋体" w:hAnsi="宋体" w:cs="宋体"/>
          <w:sz w:val="24"/>
          <w:highlight w:val="none"/>
        </w:rPr>
        <w:t xml:space="preserve">注：1．如果不提供详细分项报价将视为没有实质性响应招标文件。</w:t>
      </w:r>
      <w:r/>
    </w:p>
    <w:p>
      <w:pPr>
        <w:ind w:firstLine="480"/>
        <w:rPr>
          <w:rFonts w:hint="eastAsia" w:ascii="宋体" w:hAnsi="宋体" w:cs="宋体"/>
          <w:sz w:val="24"/>
          <w:highlight w:val="none"/>
        </w:rPr>
      </w:pPr>
      <w:r>
        <w:rPr>
          <w:rFonts w:hint="eastAsia" w:ascii="宋体" w:hAnsi="宋体" w:cs="宋体"/>
          <w:sz w:val="24"/>
          <w:highlight w:val="none"/>
        </w:rPr>
        <w:t xml:space="preserve">2. 投标人对以上数据的真实性负责。</w:t>
      </w:r>
      <w:r/>
    </w:p>
    <w:p>
      <w:pPr>
        <w:ind w:firstLine="482"/>
        <w:spacing w:line="360" w:lineRule="auto"/>
        <w:rPr>
          <w:rFonts w:hint="eastAsia" w:ascii="宋体" w:hAnsi="宋体" w:cs="宋体"/>
          <w:b/>
          <w:iCs/>
          <w:sz w:val="24"/>
          <w:highlight w:val="none"/>
          <w:u w:val="single"/>
        </w:rPr>
      </w:pPr>
      <w:r>
        <w:rPr>
          <w:rFonts w:hint="eastAsia" w:ascii="宋体" w:hAnsi="宋体" w:cs="宋体"/>
          <w:b/>
          <w:iCs/>
          <w:sz w:val="24"/>
          <w:highlight w:val="none"/>
          <w:u w:val="single"/>
        </w:rPr>
        <w:t xml:space="preserve">江苏中瑞建设项目管理有限公司有权将以上内容进行公示。</w:t>
      </w:r>
      <w:r/>
    </w:p>
    <w:p>
      <w:pPr>
        <w:pStyle w:val="865"/>
        <w:ind w:left="0" w:firstLine="0"/>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pStyle w:val="878"/>
        <w:rPr>
          <w:highlight w:val="none"/>
        </w:rPr>
      </w:pPr>
      <w:r>
        <w:rPr>
          <w:highlight w:val="none"/>
        </w:rPr>
      </w:r>
      <w:r/>
    </w:p>
    <w:p>
      <w:pPr>
        <w:rPr>
          <w:highlight w:val="none"/>
        </w:rPr>
      </w:pPr>
      <w:r>
        <w:rPr>
          <w:highlight w:val="none"/>
        </w:rPr>
      </w:r>
      <w:r/>
    </w:p>
    <w:p>
      <w:pPr>
        <w:jc w:val="center"/>
        <w:rPr>
          <w:rFonts w:hint="eastAsia" w:ascii="宋体" w:hAnsi="宋体" w:eastAsia="仿宋" w:cs="宋体"/>
          <w:bCs/>
          <w:sz w:val="28"/>
          <w:szCs w:val="28"/>
          <w:highlight w:val="none"/>
        </w:rPr>
      </w:pPr>
      <w:r>
        <w:rPr>
          <w:rFonts w:hint="eastAsia" w:ascii="宋体" w:hAnsi="宋体" w:eastAsia="仿宋" w:cs="宋体"/>
          <w:bCs/>
          <w:sz w:val="28"/>
          <w:szCs w:val="28"/>
          <w:highlight w:val="none"/>
        </w:rPr>
      </w:r>
      <w:r/>
    </w:p>
    <w:p>
      <w:pPr>
        <w:jc w:val="center"/>
        <w:rPr>
          <w:rFonts w:hint="eastAsia" w:ascii="宋体" w:hAnsi="宋体" w:cs="宋体"/>
          <w:bCs/>
          <w:sz w:val="28"/>
          <w:szCs w:val="28"/>
          <w:highlight w:val="none"/>
        </w:rPr>
      </w:pPr>
      <w:r>
        <w:rPr>
          <w:rFonts w:ascii="宋体" w:hAnsi="宋体" w:eastAsia="仿宋" w:cs="宋体"/>
          <w:bCs/>
          <w:sz w:val="28"/>
          <w:szCs w:val="28"/>
          <w:highlight w:val="none"/>
        </w:rPr>
        <w:t xml:space="preserve">5</w:t>
      </w:r>
      <w:r>
        <w:rPr>
          <w:rFonts w:hint="eastAsia" w:ascii="宋体" w:hAnsi="宋体" w:cs="宋体"/>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jc w:val="left"/>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项目编号：JSZC-320300-JSZR-G2024-0118</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rPr>
        <w:t xml:space="preserve">基于实验室场景的数字孪生建筑运维技术研发服务</w:t>
      </w:r>
      <w:r>
        <w:rPr>
          <w:rFonts w:hint="eastAsia" w:ascii="宋体" w:hAnsi="宋体" w:cs="宋体"/>
          <w:sz w:val="24"/>
          <w:highlight w:val="none"/>
        </w:rPr>
        <w:t xml:space="preserve">，项目编号：JSZC-320300-JSZR-G2024-0118）所必需的设备和专业技术能力。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sz w:val="24"/>
          <w:highlight w:val="none"/>
        </w:rPr>
      </w:pPr>
      <w:r>
        <w:rPr>
          <w:rFonts w:hint="eastAsia" w:ascii="宋体" w:hAnsi="宋体"/>
          <w:sz w:val="24"/>
          <w:highlight w:val="none"/>
        </w:rPr>
      </w:r>
      <w:r/>
    </w:p>
    <w:p>
      <w:pPr>
        <w:pStyle w:val="865"/>
        <w:rPr>
          <w:rFonts w:hint="eastAsia" w:ascii="宋体" w:hAnsi="宋体"/>
          <w:sz w:val="24"/>
          <w:highlight w:val="none"/>
        </w:rPr>
      </w:pPr>
      <w:r>
        <w:rPr>
          <w:rFonts w:hint="eastAsia" w:ascii="宋体" w:hAnsi="宋体"/>
          <w:sz w:val="24"/>
          <w:highlight w:val="none"/>
        </w:rPr>
      </w:r>
      <w:r/>
    </w:p>
    <w:p>
      <w:pPr>
        <w:pStyle w:val="865"/>
        <w:rPr>
          <w:rFonts w:hint="eastAsia" w:ascii="宋体" w:hAnsi="宋体"/>
          <w:sz w:val="24"/>
          <w:highlight w:val="none"/>
        </w:rPr>
      </w:pPr>
      <w:r>
        <w:rPr>
          <w:rFonts w:hint="eastAsia" w:ascii="宋体" w:hAnsi="宋体"/>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rPr>
          <w:rFonts w:hint="eastAsia" w:ascii="宋体" w:hAnsi="宋体"/>
          <w:bCs/>
          <w:sz w:val="24"/>
          <w:highlight w:val="none"/>
        </w:rPr>
      </w:pPr>
      <w:r>
        <w:rPr>
          <w:rFonts w:hint="eastAsia" w:ascii="宋体" w:hAnsi="宋体"/>
          <w:bCs/>
          <w:sz w:val="24"/>
          <w:highlight w:val="none"/>
        </w:rPr>
      </w:r>
      <w:r/>
    </w:p>
    <w:p>
      <w:pPr>
        <w:pStyle w:val="865"/>
        <w:ind w:left="0" w:firstLine="0"/>
        <w:rPr>
          <w:highlight w:val="none"/>
        </w:rPr>
      </w:pPr>
      <w:r>
        <w:rPr>
          <w:highlight w:val="none"/>
        </w:rPr>
      </w:r>
      <w:r/>
    </w:p>
    <w:p>
      <w:pPr>
        <w:jc w:val="center"/>
        <w:spacing w:line="360" w:lineRule="auto"/>
        <w:rPr>
          <w:rFonts w:hint="eastAsia" w:ascii="宋体" w:hAnsi="宋体"/>
          <w:sz w:val="28"/>
          <w:szCs w:val="28"/>
          <w:highlight w:val="none"/>
        </w:rPr>
      </w:pPr>
      <w:r>
        <w:rPr>
          <w:rFonts w:hint="eastAsia" w:ascii="宋体" w:hAnsi="宋体" w:cs="宋体"/>
          <w:sz w:val="28"/>
          <w:szCs w:val="28"/>
          <w:highlight w:val="none"/>
        </w:rPr>
        <w:t xml:space="preserve">6.投标人参加政府采购活动前3年内在经营活动中没有重大违法记录的书面声明</w:t>
      </w:r>
      <w:r/>
    </w:p>
    <w:p>
      <w:pPr>
        <w:jc w:val="center"/>
        <w:spacing w:line="360" w:lineRule="auto"/>
        <w:rPr>
          <w:rFonts w:hint="eastAsia" w:ascii="宋体" w:hAnsi="宋体"/>
          <w:sz w:val="30"/>
          <w:szCs w:val="30"/>
          <w:highlight w:val="none"/>
        </w:rPr>
      </w:pPr>
      <w:r>
        <w:rPr>
          <w:rFonts w:hint="eastAsia" w:ascii="宋体" w:hAnsi="宋体"/>
          <w:sz w:val="30"/>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基于实验室场景的数字孪生建筑运维技术研发服务</w:t>
      </w:r>
      <w:r>
        <w:rPr>
          <w:rFonts w:hint="eastAsia" w:ascii="宋体" w:hAnsi="宋体" w:cs="宋体"/>
          <w:sz w:val="24"/>
          <w:highlight w:val="none"/>
        </w:rPr>
        <w:t xml:space="preserve">）项目（项目编号：JSZC-320300-JSZR-G2024-0118）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日期：   年  月  日</w:t>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jc w:val="center"/>
        <w:spacing w:line="360" w:lineRule="auto"/>
        <w:rPr>
          <w:rFonts w:hint="eastAsia" w:ascii="宋体" w:hAnsi="宋体" w:cs="宋体"/>
          <w:sz w:val="24"/>
          <w:highlight w:val="none"/>
        </w:rPr>
      </w:pPr>
      <w:r>
        <w:rPr>
          <w:rFonts w:hint="eastAsia" w:ascii="宋体" w:hAnsi="宋体" w:cs="宋体"/>
          <w:sz w:val="28"/>
          <w:szCs w:val="28"/>
          <w:highlight w:val="none"/>
        </w:rPr>
        <w:t xml:space="preserve">7．偏离表</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spacing w:line="360" w:lineRule="auto"/>
        <w:rPr>
          <w:rFonts w:hint="eastAsia" w:ascii="宋体" w:hAnsi="宋体" w:cs="宋体"/>
          <w:sz w:val="24"/>
          <w:highlight w:val="none"/>
          <w:u w:val="single"/>
        </w:rPr>
      </w:pPr>
      <w:r>
        <w:rPr>
          <w:rFonts w:hint="eastAsia" w:ascii="宋体" w:hAnsi="宋体" w:cs="宋体"/>
          <w:sz w:val="24"/>
          <w:highlight w:val="none"/>
        </w:rPr>
        <w:t xml:space="preserve">项目编号：JSZC-320300-JSZR-G2024-0118</w:t>
      </w:r>
      <w:r/>
    </w:p>
    <w:p>
      <w:pPr>
        <w:rPr>
          <w:rFonts w:hint="eastAsia" w:ascii="宋体" w:hAnsi="宋体" w:cs="宋体"/>
          <w:sz w:val="24"/>
          <w:highlight w:val="none"/>
          <w:u w:val="single"/>
        </w:rPr>
      </w:pPr>
      <w:r>
        <w:rPr>
          <w:rFonts w:hint="eastAsia" w:ascii="宋体" w:hAnsi="宋体" w:cs="宋体"/>
          <w:sz w:val="24"/>
          <w:highlight w:val="none"/>
          <w:u w:val="single"/>
        </w:rPr>
      </w:r>
      <w:r/>
    </w:p>
    <w:tbl>
      <w:tblPr>
        <w:tblStyle w:val="783"/>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（正/负/无）偏离</w:t>
            </w:r>
            <w:r/>
          </w:p>
        </w:tc>
        <w:tc>
          <w:tcPr>
            <w:tcW w:w="2340" w:type="dxa"/>
            <w:vAlign w:val="center"/>
            <w:textDirection w:val="lrTb"/>
            <w:noWrap w:val="false"/>
          </w:tcPr>
          <w:p>
            <w:pPr>
              <w:jc w:val="center"/>
              <w:rPr>
                <w:rFonts w:hint="eastAsia" w:ascii="宋体" w:hAnsi="宋体" w:cs="宋体"/>
                <w:caps/>
                <w:sz w:val="24"/>
                <w:highlight w:val="none"/>
              </w:rPr>
            </w:pPr>
            <w:r>
              <w:rPr>
                <w:rFonts w:hint="eastAsia" w:ascii="宋体" w:hAnsi="宋体" w:cs="宋体"/>
                <w:caps/>
                <w:sz w:val="24"/>
                <w:highlight w:val="none"/>
              </w:rPr>
              <w:t xml:space="preserve">说明</w:t>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r>
        <w:trPr>
          <w:jc w:val="center"/>
          <w:trHeight w:val="794"/>
        </w:trPr>
        <w:tc>
          <w:tcPr>
            <w:tcW w:w="828"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04"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476"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62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126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c>
          <w:tcPr>
            <w:tcW w:w="2340" w:type="dxa"/>
            <w:textDirection w:val="lrTb"/>
            <w:noWrap w:val="false"/>
          </w:tcPr>
          <w:p>
            <w:pPr>
              <w:rPr>
                <w:rFonts w:hint="eastAsia" w:ascii="宋体" w:hAnsi="宋体" w:cs="宋体"/>
                <w:sz w:val="24"/>
                <w:highlight w:val="none"/>
              </w:rPr>
            </w:pPr>
            <w:r>
              <w:rPr>
                <w:rFonts w:hint="eastAsia" w:ascii="宋体" w:hAnsi="宋体" w:cs="宋体"/>
                <w:sz w:val="24"/>
                <w:highlight w:val="none"/>
              </w:rPr>
            </w:r>
            <w:r/>
          </w:p>
        </w:tc>
      </w:tr>
    </w:tbl>
    <w:p>
      <w:pPr>
        <w:rPr>
          <w:rFonts w:hint="eastAsia" w:ascii="宋体" w:hAnsi="宋体" w:cs="宋体"/>
          <w:sz w:val="24"/>
          <w:highlight w:val="none"/>
          <w:u w:val="single"/>
        </w:rPr>
      </w:pPr>
      <w:r>
        <w:rPr>
          <w:rFonts w:hint="eastAsia" w:ascii="宋体" w:hAnsi="宋体" w:cs="宋体"/>
          <w:sz w:val="24"/>
          <w:highlight w:val="none"/>
          <w:u w:val="single"/>
        </w:rPr>
      </w:r>
      <w:r/>
    </w:p>
    <w:p>
      <w:pPr>
        <w:rPr>
          <w:rFonts w:hint="eastAsia"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hint="eastAsia" w:ascii="宋体" w:hAnsi="宋体" w:cs="宋体"/>
          <w:sz w:val="24"/>
          <w:highlight w:val="none"/>
          <w:u w:val="single"/>
        </w:rPr>
      </w:pPr>
      <w:r>
        <w:rPr>
          <w:rFonts w:hint="eastAsia" w:ascii="宋体" w:hAnsi="宋体" w:cs="宋体"/>
          <w:sz w:val="24"/>
          <w:highlight w:val="none"/>
          <w:u w:val="singl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865"/>
        <w:ind w:left="0" w:firstLine="0"/>
        <w:rPr>
          <w:highlight w:val="none"/>
        </w:rPr>
      </w:pPr>
      <w:r>
        <w:rPr>
          <w:highlight w:val="none"/>
        </w:rPr>
      </w:r>
      <w:r/>
    </w:p>
    <w:p>
      <w:pPr>
        <w:spacing w:line="0" w:lineRule="atLeast"/>
        <w:rPr>
          <w:bCs/>
          <w:sz w:val="28"/>
          <w:szCs w:val="28"/>
          <w:highlight w:val="none"/>
        </w:rPr>
      </w:pPr>
      <w:r>
        <w:rPr>
          <w:bCs/>
          <w:sz w:val="28"/>
          <w:szCs w:val="28"/>
          <w:highlight w:val="none"/>
        </w:rPr>
      </w:r>
      <w:r/>
    </w:p>
    <w:p>
      <w:pPr>
        <w:jc w:val="center"/>
        <w:spacing w:line="360" w:lineRule="auto"/>
        <w:rPr>
          <w:rFonts w:hint="eastAsia" w:ascii="宋体" w:hAnsi="宋体" w:cs="宋体"/>
          <w:bCs/>
          <w:sz w:val="28"/>
          <w:szCs w:val="28"/>
          <w:highlight w:val="none"/>
        </w:rPr>
      </w:pPr>
      <w:r>
        <w:rPr>
          <w:rFonts w:ascii="宋体" w:hAnsi="宋体" w:cs="宋体"/>
          <w:bCs/>
          <w:sz w:val="28"/>
          <w:szCs w:val="28"/>
          <w:highlight w:val="none"/>
        </w:rPr>
        <w:t xml:space="preserve">8</w:t>
      </w:r>
      <w:r>
        <w:rPr>
          <w:rFonts w:hint="eastAsia" w:ascii="宋体" w:hAnsi="宋体" w:cs="宋体"/>
          <w:bCs/>
          <w:sz w:val="28"/>
          <w:szCs w:val="28"/>
          <w:highlight w:val="none"/>
        </w:rPr>
        <w:t xml:space="preserve">.投标人相似业绩一览表</w:t>
      </w:r>
      <w:r/>
    </w:p>
    <w:p>
      <w:pPr>
        <w:spacing w:line="360" w:lineRule="auto"/>
        <w:widowControl/>
        <w:rPr>
          <w:rFonts w:hint="eastAsia" w:ascii="宋体" w:hAnsi="宋体" w:cs="宋体"/>
          <w:sz w:val="24"/>
          <w:highlight w:val="none"/>
        </w:rPr>
      </w:pPr>
      <w:r>
        <w:rPr>
          <w:rFonts w:hint="eastAsia" w:ascii="宋体" w:hAnsi="宋体" w:cs="宋体"/>
          <w:sz w:val="24"/>
          <w:highlight w:val="none"/>
        </w:rPr>
      </w:r>
      <w:r/>
    </w:p>
    <w:p>
      <w:pPr>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项目编号：JSZC-320300-JSZR-G2024-0118</w:t>
      </w:r>
      <w:r/>
    </w:p>
    <w:p>
      <w:pPr>
        <w:pStyle w:val="862"/>
        <w:rPr>
          <w:highlight w:val="none"/>
        </w:rPr>
      </w:pPr>
      <w:r>
        <w:rPr>
          <w:highlight w:val="none"/>
        </w:rPr>
      </w:r>
      <w:r/>
    </w:p>
    <w:tbl>
      <w:tblPr>
        <w:tblStyle w:val="783"/>
        <w:tblW w:w="10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1224"/>
      </w:tblGrid>
      <w:tr>
        <w:trPr>
          <w:jc w:val="center"/>
          <w:trHeight w:val="1012" w:hRule="exact"/>
        </w:trPr>
        <w:tc>
          <w:tcPr>
            <w:tcW w:w="661" w:type="dxa"/>
            <w:vAlign w:val="center"/>
            <w:textDirection w:val="lrTb"/>
            <w:noWrap w:val="false"/>
          </w:tcPr>
          <w:p>
            <w:pPr>
              <w:jc w:val="center"/>
              <w:rPr>
                <w:b/>
                <w:bCs/>
                <w:sz w:val="24"/>
                <w:highlight w:val="none"/>
              </w:rPr>
            </w:pPr>
            <w:r>
              <w:rPr>
                <w:rFonts w:hint="eastAsia"/>
                <w:b/>
                <w:bCs/>
                <w:sz w:val="24"/>
                <w:highlight w:val="none"/>
              </w:rPr>
              <w:t xml:space="preserve">序号</w:t>
            </w:r>
            <w:r/>
          </w:p>
        </w:tc>
        <w:tc>
          <w:tcPr>
            <w:tcW w:w="1849" w:type="dxa"/>
            <w:vAlign w:val="center"/>
            <w:textDirection w:val="lrTb"/>
            <w:noWrap w:val="false"/>
          </w:tcPr>
          <w:p>
            <w:pPr>
              <w:jc w:val="center"/>
              <w:rPr>
                <w:b/>
                <w:bCs/>
                <w:sz w:val="24"/>
                <w:highlight w:val="none"/>
              </w:rPr>
            </w:pPr>
            <w:r>
              <w:rPr>
                <w:rFonts w:hint="eastAsia"/>
                <w:b/>
                <w:bCs/>
                <w:sz w:val="24"/>
                <w:highlight w:val="none"/>
              </w:rPr>
              <w:t xml:space="preserve">合同签订时间</w:t>
            </w:r>
            <w:r/>
          </w:p>
        </w:tc>
        <w:tc>
          <w:tcPr>
            <w:tcW w:w="1800" w:type="dxa"/>
            <w:vAlign w:val="center"/>
            <w:textDirection w:val="lrTb"/>
            <w:noWrap w:val="false"/>
          </w:tcPr>
          <w:p>
            <w:pPr>
              <w:jc w:val="center"/>
              <w:rPr>
                <w:b/>
                <w:bCs/>
                <w:sz w:val="24"/>
                <w:highlight w:val="none"/>
              </w:rPr>
            </w:pPr>
            <w:r>
              <w:rPr>
                <w:rFonts w:hint="eastAsia"/>
                <w:b/>
                <w:bCs/>
                <w:sz w:val="24"/>
                <w:highlight w:val="none"/>
              </w:rPr>
              <w:t xml:space="preserve">合同主要标的</w:t>
            </w:r>
            <w:r/>
          </w:p>
        </w:tc>
        <w:tc>
          <w:tcPr>
            <w:tcW w:w="1200" w:type="dxa"/>
            <w:vAlign w:val="center"/>
            <w:textDirection w:val="lrTb"/>
            <w:noWrap w:val="false"/>
          </w:tcPr>
          <w:p>
            <w:pPr>
              <w:jc w:val="center"/>
              <w:rPr>
                <w:b/>
                <w:bCs/>
                <w:sz w:val="24"/>
                <w:highlight w:val="none"/>
              </w:rPr>
            </w:pPr>
            <w:r>
              <w:rPr>
                <w:rFonts w:hint="eastAsia"/>
                <w:b/>
                <w:bCs/>
                <w:sz w:val="24"/>
                <w:highlight w:val="none"/>
              </w:rPr>
              <w:t xml:space="preserve">合同金额（元）</w:t>
            </w:r>
            <w:r/>
          </w:p>
        </w:tc>
        <w:tc>
          <w:tcPr>
            <w:tcW w:w="2207" w:type="dxa"/>
            <w:vAlign w:val="center"/>
            <w:textDirection w:val="lrTb"/>
            <w:noWrap w:val="false"/>
          </w:tcPr>
          <w:p>
            <w:pPr>
              <w:jc w:val="center"/>
              <w:rPr>
                <w:b/>
                <w:bCs/>
                <w:sz w:val="24"/>
                <w:highlight w:val="none"/>
              </w:rPr>
            </w:pPr>
            <w:r>
              <w:rPr>
                <w:rFonts w:hint="eastAsia"/>
                <w:b/>
                <w:bCs/>
                <w:sz w:val="24"/>
                <w:highlight w:val="none"/>
              </w:rPr>
              <w:t xml:space="preserve">买方（甲方）名称</w:t>
            </w:r>
            <w:r/>
          </w:p>
        </w:tc>
        <w:tc>
          <w:tcPr>
            <w:tcW w:w="1752" w:type="dxa"/>
            <w:vAlign w:val="center"/>
            <w:textDirection w:val="lrTb"/>
            <w:noWrap w:val="false"/>
          </w:tcPr>
          <w:p>
            <w:pPr>
              <w:jc w:val="center"/>
              <w:rPr>
                <w:b/>
                <w:bCs/>
                <w:sz w:val="24"/>
                <w:highlight w:val="none"/>
              </w:rPr>
            </w:pPr>
            <w:r>
              <w:rPr>
                <w:rFonts w:hint="eastAsia"/>
                <w:b/>
                <w:bCs/>
                <w:sz w:val="24"/>
                <w:highlight w:val="none"/>
              </w:rPr>
              <w:t xml:space="preserve">甲方联系人及电话</w:t>
            </w:r>
            <w:r/>
          </w:p>
        </w:tc>
        <w:tc>
          <w:tcPr>
            <w:tcW w:w="1224" w:type="dxa"/>
            <w:vAlign w:val="center"/>
            <w:textDirection w:val="lrTb"/>
            <w:noWrap w:val="false"/>
          </w:tcPr>
          <w:p>
            <w:pPr>
              <w:jc w:val="center"/>
              <w:rPr>
                <w:b/>
                <w:bCs/>
                <w:sz w:val="24"/>
                <w:highlight w:val="none"/>
              </w:rPr>
            </w:pPr>
            <w:r>
              <w:rPr>
                <w:rFonts w:hint="eastAsia"/>
                <w:b/>
                <w:bCs/>
                <w:sz w:val="24"/>
                <w:highlight w:val="none"/>
              </w:rPr>
              <w:t xml:space="preserve">备注</w:t>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1</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2</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3</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hint="eastAsia" w:ascii="宋体" w:hAnsi="宋体" w:cs="宋体"/>
                <w:sz w:val="24"/>
                <w:highlight w:val="none"/>
              </w:rPr>
            </w:pPr>
            <w:r>
              <w:rPr>
                <w:rFonts w:hint="eastAsia" w:cs="宋体"/>
                <w:sz w:val="24"/>
                <w:highlight w:val="none"/>
              </w:rPr>
              <w:t xml:space="preserve">4</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r>
        <w:trPr>
          <w:jc w:val="center"/>
          <w:trHeight w:val="717" w:hRule="exact"/>
        </w:trPr>
        <w:tc>
          <w:tcPr>
            <w:tcW w:w="661" w:type="dxa"/>
            <w:vAlign w:val="center"/>
            <w:textDirection w:val="lrTb"/>
            <w:noWrap w:val="false"/>
          </w:tcPr>
          <w:p>
            <w:pPr>
              <w:jc w:val="center"/>
              <w:rPr>
                <w:rFonts w:cs="宋体"/>
                <w:sz w:val="24"/>
                <w:highlight w:val="none"/>
              </w:rPr>
            </w:pPr>
            <w:r>
              <w:rPr>
                <w:rFonts w:hint="eastAsia" w:cs="宋体"/>
                <w:sz w:val="24"/>
                <w:highlight w:val="none"/>
              </w:rPr>
              <w:t xml:space="preserve">...</w:t>
            </w:r>
            <w:r/>
          </w:p>
        </w:tc>
        <w:tc>
          <w:tcPr>
            <w:tcW w:w="1849"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8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00"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220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752"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W w:w="1224"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r>
    </w:tbl>
    <w:p>
      <w:pPr>
        <w:pStyle w:val="889"/>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注：1.此表仅提供了表格样式，各投标人可参照上述格式自制表格，但应至少包含上述表格内条目。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2.投标人应如实填写业绩信息，并附相关证明材料原件扫描件。</w:t>
      </w:r>
      <w:r/>
    </w:p>
    <w:p>
      <w:pPr>
        <w:pStyle w:val="890"/>
        <w:rPr>
          <w:rFonts w:hint="eastAsia" w:cs="宋体"/>
          <w:sz w:val="24"/>
          <w:szCs w:val="24"/>
          <w:highlight w:val="none"/>
        </w:rPr>
      </w:pPr>
      <w:r>
        <w:rPr>
          <w:rFonts w:hint="eastAsia" w:cs="宋体"/>
          <w:sz w:val="24"/>
          <w:szCs w:val="24"/>
          <w:highlight w:val="none"/>
        </w:rPr>
      </w:r>
      <w:r/>
    </w:p>
    <w:p>
      <w:pPr>
        <w:pStyle w:val="890"/>
        <w:rPr>
          <w:rFonts w:hint="eastAsia" w:cs="宋体"/>
          <w:sz w:val="24"/>
          <w:szCs w:val="24"/>
          <w:highlight w:val="none"/>
        </w:rPr>
      </w:pPr>
      <w:r>
        <w:rPr>
          <w:rFonts w:hint="eastAsia" w:cs="宋体"/>
          <w:sz w:val="24"/>
          <w:szCs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65"/>
        <w:ind w:left="0" w:firstLine="0"/>
        <w:rPr>
          <w:highlight w:val="none"/>
        </w:rPr>
      </w:pPr>
      <w:r>
        <w:rPr>
          <w:highlight w:val="none"/>
        </w:rPr>
      </w:r>
      <w:r/>
    </w:p>
    <w:p>
      <w:pPr>
        <w:pStyle w:val="865"/>
        <w:ind w:left="0" w:firstLine="0"/>
        <w:rPr>
          <w:highlight w:val="none"/>
        </w:rPr>
      </w:pPr>
      <w:r>
        <w:rPr>
          <w:highlight w:val="none"/>
        </w:rPr>
      </w:r>
      <w:r/>
    </w:p>
    <w:p>
      <w:pPr>
        <w:pStyle w:val="865"/>
        <w:ind w:left="0" w:firstLine="0"/>
        <w:rPr>
          <w:highlight w:val="none"/>
        </w:rPr>
      </w:pPr>
      <w:r>
        <w:rPr>
          <w:highlight w:val="none"/>
        </w:rPr>
      </w:r>
      <w:r/>
    </w:p>
    <w:p>
      <w:pPr>
        <w:pStyle w:val="865"/>
        <w:ind w:left="0" w:firstLine="0"/>
        <w:rPr>
          <w:highlight w:val="none"/>
        </w:rPr>
      </w:pPr>
      <w:r>
        <w:rPr>
          <w:highlight w:val="none"/>
        </w:rPr>
      </w:r>
      <w:r/>
    </w:p>
    <w:p>
      <w:pPr>
        <w:pStyle w:val="865"/>
        <w:ind w:left="0" w:firstLine="0"/>
        <w:rPr>
          <w:highlight w:val="none"/>
        </w:rPr>
      </w:pPr>
      <w:r>
        <w:rPr>
          <w:highlight w:val="none"/>
        </w:rPr>
      </w:r>
      <w:r/>
    </w:p>
    <w:p>
      <w:pPr>
        <w:pStyle w:val="865"/>
        <w:ind w:left="0" w:firstLine="0"/>
        <w:rPr>
          <w:highlight w:val="none"/>
        </w:rPr>
      </w:pPr>
      <w:r>
        <w:rPr>
          <w:highlight w:val="none"/>
        </w:rPr>
      </w:r>
      <w:r/>
    </w:p>
    <w:p>
      <w:pPr>
        <w:pStyle w:val="865"/>
        <w:ind w:left="0" w:firstLine="0"/>
        <w:rPr>
          <w:highlight w:val="none"/>
        </w:rPr>
      </w:pPr>
      <w:r>
        <w:rPr>
          <w:highlight w:val="none"/>
        </w:rPr>
      </w:r>
      <w:r/>
    </w:p>
    <w:p>
      <w:pPr>
        <w:pStyle w:val="865"/>
        <w:ind w:left="0" w:firstLine="0"/>
        <w:rPr>
          <w:highlight w:val="none"/>
        </w:rPr>
      </w:pPr>
      <w:r>
        <w:rPr>
          <w:highlight w:val="none"/>
        </w:rPr>
      </w:r>
      <w:r/>
    </w:p>
    <w:p>
      <w:pPr>
        <w:jc w:val="center"/>
        <w:spacing w:before="100" w:beforeAutospacing="1" w:after="100" w:afterAutospacing="1" w:line="360" w:lineRule="auto"/>
        <w:widowControl/>
        <w:rPr>
          <w:rFonts w:hint="eastAsia" w:ascii="宋体" w:hAnsi="宋体" w:cs="宋体"/>
          <w:sz w:val="28"/>
          <w:szCs w:val="28"/>
          <w:highlight w:val="none"/>
        </w:rPr>
      </w:pPr>
      <w:r>
        <w:rPr>
          <w:rFonts w:ascii="宋体" w:hAnsi="宋体" w:cs="宋体"/>
          <w:sz w:val="28"/>
          <w:szCs w:val="28"/>
          <w:highlight w:val="none"/>
        </w:rPr>
        <w:t xml:space="preserve">9</w:t>
      </w:r>
      <w:r>
        <w:rPr>
          <w:rFonts w:hint="eastAsia" w:ascii="宋体" w:hAnsi="宋体" w:cs="宋体"/>
          <w:sz w:val="28"/>
          <w:szCs w:val="28"/>
          <w:highlight w:val="none"/>
        </w:rPr>
        <w:t xml:space="preserve">.中小企业声明函</w:t>
      </w:r>
      <w:r/>
    </w:p>
    <w:p>
      <w:pPr>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JSZC-320300-JSZR-G2024-0118</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p>
    <w:p>
      <w:pPr>
        <w:numPr>
          <w:ilvl w:val="0"/>
          <w:numId w:val="21"/>
        </w:numPr>
        <w:ind w:firstLine="560"/>
        <w:jc w:val="left"/>
        <w:spacing w:line="480" w:lineRule="exact"/>
        <w:rPr>
          <w:rFonts w:hint="eastAsia" w:ascii="宋体" w:hAnsi="宋体" w:cs="宋体"/>
          <w:sz w:val="24"/>
          <w:highlight w:val="none"/>
        </w:rPr>
      </w:pP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 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numPr>
          <w:ilvl w:val="0"/>
          <w:numId w:val="21"/>
        </w:numPr>
        <w:ind w:firstLine="560"/>
        <w:jc w:val="left"/>
        <w:spacing w:line="480" w:lineRule="exact"/>
        <w:rPr>
          <w:rFonts w:hint="eastAsia" w:ascii="宋体" w:hAnsi="宋体" w:cs="宋体"/>
          <w:sz w:val="24"/>
          <w:highlight w:val="none"/>
        </w:rPr>
      </w:pP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 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560"/>
        <w:jc w:val="left"/>
        <w:spacing w:line="480" w:lineRule="exact"/>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560"/>
        <w:spacing w:line="480" w:lineRule="exact"/>
        <w:rPr>
          <w:rFonts w:hint="eastAsia" w:ascii="宋体" w:hAnsi="宋体" w:cs="宋体"/>
          <w:sz w:val="24"/>
          <w:highlight w:val="none"/>
        </w:rPr>
      </w:pPr>
      <w:r>
        <w:rPr>
          <w:rFonts w:hint="eastAsia" w:ascii="宋体" w:hAnsi="宋体" w:cs="宋体"/>
          <w:sz w:val="24"/>
          <w:highlight w:val="none"/>
        </w:rPr>
      </w:r>
      <w:r/>
    </w:p>
    <w:p>
      <w:pPr>
        <w:ind w:firstLine="560"/>
        <w:spacing w:line="480" w:lineRule="exact"/>
        <w:rPr>
          <w:rFonts w:hint="eastAsia" w:ascii="宋体" w:hAnsi="宋体" w:cs="宋体"/>
          <w:sz w:val="24"/>
          <w:highlight w:val="none"/>
        </w:rPr>
      </w:pPr>
      <w:r>
        <w:rPr>
          <w:rFonts w:hint="eastAsia" w:ascii="宋体" w:hAnsi="宋体" w:cs="宋体"/>
          <w:sz w:val="24"/>
          <w:highlight w:val="none"/>
        </w:rPr>
        <w:t xml:space="preserve">企业名称（电子签章）：</w:t>
      </w:r>
      <w:r/>
    </w:p>
    <w:p>
      <w:pPr>
        <w:ind w:firstLine="560"/>
        <w:spacing w:line="480" w:lineRule="exact"/>
        <w:rPr>
          <w:rFonts w:hint="eastAsia" w:ascii="宋体" w:hAnsi="宋体" w:cs="宋体"/>
          <w:sz w:val="24"/>
          <w:highlight w:val="none"/>
        </w:rPr>
      </w:pPr>
      <w:r>
        <w:rPr>
          <w:rFonts w:hint="eastAsia" w:ascii="宋体" w:hAnsi="宋体" w:cs="宋体"/>
          <w:sz w:val="24"/>
          <w:highlight w:val="none"/>
        </w:rPr>
        <w:t xml:space="preserve">              日期：</w:t>
      </w:r>
      <w:r/>
    </w:p>
    <w:p>
      <w:pPr>
        <w:ind w:firstLine="560"/>
        <w:spacing w:line="480" w:lineRule="exact"/>
        <w:rPr>
          <w:rFonts w:hint="eastAsia" w:ascii="宋体" w:hAnsi="宋体" w:cs="宋体"/>
          <w:sz w:val="24"/>
          <w:highlight w:val="none"/>
        </w:rPr>
      </w:pPr>
      <w:r>
        <w:rPr>
          <w:rFonts w:hint="eastAsia" w:ascii="宋体" w:hAnsi="宋体" w:cs="宋体"/>
          <w:sz w:val="24"/>
          <w:highlight w:val="none"/>
        </w:rPr>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备注：本采购项目所属行业为“工业”。</w:t>
      </w:r>
      <w:r/>
    </w:p>
    <w:p>
      <w:pPr>
        <w:ind w:firstLine="562"/>
        <w:spacing w:line="480" w:lineRule="exact"/>
        <w:rPr>
          <w:rFonts w:hint="eastAsia"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p>
    <w:p>
      <w:pPr>
        <w:pStyle w:val="862"/>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889"/>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635" b="8255"/>
                <wp:docPr id="2" name="图片 8"/>
                <wp:cNvGraphicFramePr/>
                <a:graphic xmlns:a="http://schemas.openxmlformats.org/drawingml/2006/main">
                  <a:graphicData uri="http://schemas.openxmlformats.org/drawingml/2006/picture">
                    <pic:pic xmlns:pic="http://schemas.openxmlformats.org/drawingml/2006/picture">
                      <pic:nvPicPr>
                        <pic:cNvPr id="2" name="图片 8"/>
                        <pic:cNvPicPr/>
                        <pic:nvPr/>
                      </pic:nvPicPr>
                      <pic:blipFill>
                        <a:blip r:embed="rId16"/>
                        <a:srcRect l="0" t="4030" r="0" b="0"/>
                        <a:stretch/>
                      </pic:blipFill>
                      <pic:spPr bwMode="auto">
                        <a:xfrm>
                          <a:off x="0" y="0"/>
                          <a:ext cx="36570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87.9pt;height:597.9pt;mso-wrap-distance-left:0.0pt;mso-wrap-distance-top:0.0pt;mso-wrap-distance-right:0.0pt;mso-wrap-distance-bottom:0.0pt;" stroked="f">
                <v:path textboxrect="0,0,0,0"/>
                <v:imagedata r:id="rId16" o:title=""/>
              </v:shape>
            </w:pict>
          </mc:Fallback>
        </mc:AlternateContent>
      </w:r>
      <w:r/>
    </w:p>
    <w:p>
      <w:pPr>
        <w:pStyle w:val="890"/>
        <w:rPr>
          <w:rFonts w:hint="eastAsia" w:cs="宋体"/>
          <w:highlight w:val="none"/>
        </w:rPr>
      </w:pPr>
      <w:r>
        <w:rPr>
          <w:rFonts w:hint="eastAsia"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810"/>
        <w:rPr>
          <w:highlight w:val="none"/>
        </w:rPr>
      </w:pPr>
      <w:r>
        <w:rPr>
          <w:highlight w:val="none"/>
        </w:rPr>
      </w:r>
      <w:r/>
    </w:p>
    <w:p>
      <w:pPr>
        <w:rPr>
          <w:highlight w:val="none"/>
        </w:rPr>
      </w:pPr>
      <w:r>
        <w:rPr>
          <w:highlight w:val="none"/>
        </w:rPr>
      </w:r>
      <w:r/>
    </w:p>
    <w:p>
      <w:pPr>
        <w:jc w:val="center"/>
        <w:spacing w:line="360" w:lineRule="auto"/>
        <w:rPr>
          <w:rFonts w:hint="eastAsia" w:ascii="宋体" w:hAnsi="宋体"/>
          <w:b/>
          <w:spacing w:val="6"/>
          <w:sz w:val="32"/>
          <w:szCs w:val="32"/>
          <w:highlight w:val="none"/>
        </w:rPr>
      </w:pPr>
      <w:r>
        <w:rPr>
          <w:rFonts w:hint="eastAsia" w:ascii="宋体" w:hAnsi="宋体" w:cs="宋体"/>
          <w:sz w:val="28"/>
          <w:szCs w:val="28"/>
          <w:highlight w:val="none"/>
        </w:rPr>
        <w:t xml:space="preserve">10.残疾人福利性单位声明函</w:t>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基于实验室场景的数字孪生建筑运维技术研发服务</w:t>
      </w:r>
      <w:r/>
    </w:p>
    <w:p>
      <w:pPr>
        <w:jc w:val="left"/>
        <w:spacing w:line="360" w:lineRule="auto"/>
        <w:widowControl/>
        <w:rPr>
          <w:rFonts w:hint="eastAsia" w:ascii="宋体" w:hAnsi="宋体" w:cs="宋体"/>
          <w:sz w:val="24"/>
          <w:highlight w:val="none"/>
          <w:u w:val="single"/>
        </w:rPr>
      </w:pPr>
      <w:r>
        <w:rPr>
          <w:rFonts w:hint="eastAsia" w:ascii="宋体" w:hAnsi="宋体" w:cs="宋体"/>
          <w:sz w:val="24"/>
          <w:highlight w:val="none"/>
        </w:rPr>
        <w:t xml:space="preserve">项目编号：JSZC-320300-JSZR-G2024-0118</w:t>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504"/>
        <w:jc w:val="left"/>
        <w:spacing w:line="360" w:lineRule="auto"/>
        <w:rPr>
          <w:rFonts w:hint="eastAsia"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504"/>
        <w:spacing w:line="360" w:lineRule="auto"/>
        <w:rPr>
          <w:rFonts w:hint="eastAsia" w:ascii="宋体" w:hAnsi="宋体"/>
          <w:spacing w:val="6"/>
          <w:sz w:val="24"/>
          <w:highlight w:val="none"/>
        </w:rPr>
      </w:pPr>
      <w:r>
        <w:rPr>
          <w:rFonts w:hint="eastAsia" w:ascii="宋体" w:hAnsi="宋体"/>
          <w:spacing w:val="6"/>
          <w:sz w:val="24"/>
          <w:highlight w:val="none"/>
        </w:rPr>
      </w:r>
      <w:r/>
    </w:p>
    <w:p>
      <w:pPr>
        <w:ind w:firstLine="3600"/>
        <w:spacing w:line="360" w:lineRule="auto"/>
        <w:rPr>
          <w:rFonts w:hint="eastAsia"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p>
    <w:p>
      <w:pPr>
        <w:ind w:firstLine="480"/>
        <w:spacing w:line="360" w:lineRule="auto"/>
        <w:rPr>
          <w:rFonts w:hint="eastAsia" w:ascii="宋体" w:hAnsi="宋体"/>
          <w:sz w:val="24"/>
          <w:highlight w:val="none"/>
        </w:rPr>
      </w:pPr>
      <w:r>
        <w:rPr>
          <w:rFonts w:hint="eastAsia" w:ascii="宋体" w:hAnsi="宋体" w:cs="宋体"/>
          <w:sz w:val="24"/>
          <w:highlight w:val="none"/>
        </w:rPr>
        <w:t xml:space="preserve">                         </w:t>
      </w:r>
      <w:r/>
    </w:p>
    <w:p>
      <w:pPr>
        <w:ind w:firstLine="360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480"/>
        <w:jc w:val="left"/>
        <w:widowControl/>
        <w:rPr>
          <w:rFonts w:hint="eastAsia" w:ascii="宋体" w:hAnsi="宋体" w:cs="宋体"/>
          <w:sz w:val="24"/>
          <w:highlight w:val="none"/>
        </w:rPr>
      </w:pPr>
      <w:r>
        <w:rPr>
          <w:rFonts w:hint="eastAsia" w:ascii="宋体" w:hAnsi="宋体" w:cs="宋体"/>
          <w:sz w:val="24"/>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ind w:firstLine="600"/>
        <w:jc w:val="left"/>
        <w:widowControl/>
        <w:rPr>
          <w:rFonts w:hint="eastAsia" w:ascii="宋体" w:hAnsi="宋体" w:cs="宋体"/>
          <w:sz w:val="30"/>
          <w:szCs w:val="30"/>
          <w:highlight w:val="none"/>
        </w:rPr>
      </w:pPr>
      <w:r>
        <w:rPr>
          <w:rFonts w:hint="eastAsia" w:ascii="宋体" w:hAnsi="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firstLine="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65"/>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934"/>
        <w:ind w:firstLine="0"/>
        <w:jc w:val="center"/>
        <w:rPr>
          <w:rFonts w:hAnsi="宋体" w:cs="宋体"/>
          <w:sz w:val="24"/>
          <w:szCs w:val="24"/>
          <w:highlight w:val="none"/>
        </w:rPr>
      </w:pPr>
      <w:r>
        <w:rPr>
          <w:rFonts w:hAnsi="宋体" w:cs="宋体"/>
          <w:sz w:val="28"/>
          <w:szCs w:val="28"/>
          <w:highlight w:val="none"/>
        </w:rPr>
        <w:t xml:space="preserve">11.预付款保函支付条款</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付款条件一：提交预付款保函的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（1）合同签订且乙方向甲方出具预付款保函后个</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付款条件二：不提交预付款保函的</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jc w:val="left"/>
        <w:spacing w:line="360" w:lineRule="auto"/>
        <w:rPr>
          <w:rFonts w:hint="eastAsia"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numPr>
          <w:ilvl w:val="0"/>
          <w:numId w:val="22"/>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付款条件二中，预付款比例设定应符合《关于做好政府采购支持企业发展有关事项的通知》（苏财购〔2020〕52号）要求。</w:t>
      </w:r>
      <w:r/>
    </w:p>
    <w:p>
      <w:pPr>
        <w:pStyle w:val="865"/>
        <w:ind w:left="0" w:firstLine="0"/>
        <w:rPr>
          <w:highlight w:val="none"/>
        </w:rPr>
      </w:pPr>
      <w:r>
        <w:rPr>
          <w:highlight w:val="none"/>
        </w:rPr>
      </w:r>
      <w:r/>
    </w:p>
    <w:p>
      <w:pPr>
        <w:pStyle w:val="865"/>
        <w:ind w:left="0" w:firstLine="0"/>
        <w:rPr>
          <w:highlight w:val="none"/>
        </w:rPr>
      </w:pPr>
      <w:r>
        <w:rPr>
          <w:highlight w:val="none"/>
        </w:rPr>
      </w:r>
      <w:r/>
    </w:p>
    <w:sectPr>
      <w:headerReference w:type="default" r:id="rId11"/>
      <w:footerReference w:type="default" r:id="rId14"/>
      <w:footnotePr/>
      <w:endnotePr/>
      <w:type w:val="nextPage"/>
      <w:pgSz w:w="11906" w:h="16838" w:orient="portrait"/>
      <w:pgMar w:top="1417" w:right="1417" w:bottom="141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font>
  <w:font w:name="Cambria">
    <w:panose1 w:val="02040503050406030204"/>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line-height:1.5;">
    <w:panose1 w:val="020B0503020202020204"/>
  </w:font>
  <w:font w:name="Calibri">
    <w:panose1 w:val="020F0502020204030204"/>
  </w:font>
  <w:font w:name="仿宋">
    <w:panose1 w:val="02010609060101010101"/>
  </w:font>
  <w:font w:name="等线">
    <w:panose1 w:val="02010600030101010101"/>
  </w:font>
  <w:font w:name="Arial">
    <w:panose1 w:val="020B0604020202020204"/>
  </w:font>
  <w:font w:name="Source Sans Pro">
    <w:panose1 w:val="020B0503020202020204"/>
  </w:font>
  <w:font w:name="Helvetica">
    <w:panose1 w:val="020B0604020202020204"/>
  </w:font>
  <w:font w:name="font-size:16px;text-indent:2em;">
    <w:panose1 w:val="020B0503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Pr>
      <w:framePr w:wrap="around" w:vAnchor="text" w:hAnchor="margin" w:xAlign="center" w:y="1"/>
    </w:pPr>
    <w:r>
      <w:fldChar w:fldCharType="begin"/>
    </w:r>
    <w:r>
      <w:rPr>
        <w:rStyle w:val="893"/>
      </w:rPr>
      <w:instrText xml:space="preserve">PAGE  </w:instrText>
    </w:r>
    <w:r>
      <w:fldChar w:fldCharType="end"/>
    </w:r>
    <w:r/>
  </w:p>
  <w:p>
    <w:pPr>
      <w:pStyle w:val="8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rPr>
        <w:rFonts w:ascii="隶书" w:eastAsia="隶书"/>
        <w:b/>
        <w:i/>
      </w:rPr>
    </w:pPr>
    <w:r>
      <w:rPr>
        <w:rFonts w:ascii="隶书" w:eastAsia="隶书"/>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fldChar w:fldCharType="begin"/>
    </w:r>
    <w:r>
      <w:instrText xml:space="preserve">PAGE \* MERGEFORMAT</w:instrText>
    </w:r>
    <w:r>
      <w:fldChar w:fldCharType="separate"/>
    </w:r>
    <w:r>
      <w:t xml:space="preserve">58</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4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72" w:hanging="372"/>
      </w:pPr>
      <w:rPr>
        <w:rFonts w:hint="default"/>
      </w:rPr>
    </w:lvl>
    <w:lvl w:ilvl="1">
      <w:start w:val="1"/>
      <w:numFmt w:val="decimal"/>
      <w:isLgl w:val="false"/>
      <w:suff w:val="tab"/>
      <w:lvlText w:val="（%2）"/>
      <w:lvlJc w:val="left"/>
      <w:pPr>
        <w:ind w:left="1160" w:hanging="720"/>
      </w:pPr>
      <w:rPr>
        <w:rFonts w:hint="default" w:ascii="等线" w:hAnsi="等线" w:eastAsia="等线" w:cs="等线"/>
        <w:color w:val="000000"/>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10">
    <w:multiLevelType w:val="hybridMultilevel"/>
    <w:lvl w:ilvl="0">
      <w:start w:val="1"/>
      <w:numFmt w:val="decimal"/>
      <w:isLgl w:val="false"/>
      <w:suff w:val="tab"/>
      <w:lvlText w:val="%1."/>
      <w:lvlJc w:val="left"/>
      <w:pPr>
        <w:ind w:left="396" w:hanging="396"/>
      </w:pPr>
      <w:rPr>
        <w:rFonts w:hint="default" w:ascii="宋体" w:hAnsi="宋体" w:eastAsia="宋体"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12">
    <w:multiLevelType w:val="hybridMultilevel"/>
    <w:lvl w:ilvl="0">
      <w:start w:val="1"/>
      <w:numFmt w:val="decimal"/>
      <w:isLgl w:val="false"/>
      <w:suff w:val="tab"/>
      <w:lvlText w:val="%1."/>
      <w:lvlJc w:val="left"/>
      <w:pPr>
        <w:ind w:left="396" w:hanging="396"/>
      </w:pPr>
      <w:rPr>
        <w:rFonts w:hint="default" w:ascii="宋体" w:hAnsi="宋体" w:eastAsia="宋体"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15">
    <w:multiLevelType w:val="hybridMultilevel"/>
    <w:lvl w:ilvl="0">
      <w:start w:val="1"/>
      <w:numFmt w:val="decimal"/>
      <w:isLgl w:val="false"/>
      <w:suff w:val="tab"/>
      <w:lvlText w:val="%1."/>
      <w:lvlJc w:val="left"/>
      <w:pPr>
        <w:ind w:left="396" w:hanging="396"/>
      </w:pPr>
      <w:rPr>
        <w:rFonts w:hint="default" w:ascii="宋体" w:hAnsi="宋体" w:eastAsia="宋体"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372" w:hanging="372"/>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19">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20">
    <w:multiLevelType w:val="hybridMultilevel"/>
    <w:lvl w:ilvl="0">
      <w:start w:val="1"/>
      <w:numFmt w:val="decimal"/>
      <w:isLgl w:val="false"/>
      <w:suff w:val="tab"/>
      <w:lvlText w:val="%1."/>
      <w:lvlJc w:val="left"/>
      <w:pPr>
        <w:ind w:left="396" w:hanging="396"/>
      </w:pPr>
      <w:rPr>
        <w:rFonts w:hint="default" w:ascii="宋体" w:hAnsi="宋体" w:eastAsia="宋体"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num w:numId="1">
    <w:abstractNumId w:val="2"/>
  </w:num>
  <w:num w:numId="2">
    <w:abstractNumId w:val="1"/>
  </w:num>
  <w:num w:numId="3">
    <w:abstractNumId w:val="17"/>
  </w:num>
  <w:num w:numId="4">
    <w:abstractNumId w:val="4"/>
  </w:num>
  <w:num w:numId="5">
    <w:abstractNumId w:val="13"/>
  </w:num>
  <w:num w:numId="6">
    <w:abstractNumId w:val="8"/>
  </w:num>
  <w:num w:numId="7">
    <w:abstractNumId w:val="16"/>
  </w:num>
  <w:num w:numId="8">
    <w:abstractNumId w:val="20"/>
  </w:num>
  <w:num w:numId="9">
    <w:abstractNumId w:val="11"/>
  </w:num>
  <w:num w:numId="10">
    <w:abstractNumId w:val="10"/>
  </w:num>
  <w:num w:numId="11">
    <w:abstractNumId w:val="12"/>
  </w:num>
  <w:num w:numId="12">
    <w:abstractNumId w:val="14"/>
  </w:num>
  <w:num w:numId="13">
    <w:abstractNumId w:val="21"/>
  </w:num>
  <w:num w:numId="14">
    <w:abstractNumId w:val="15"/>
  </w:num>
  <w:num w:numId="15">
    <w:abstractNumId w:val="19"/>
  </w:num>
  <w:num w:numId="16">
    <w:abstractNumId w:val="5"/>
  </w:num>
  <w:num w:numId="17">
    <w:abstractNumId w:val="18"/>
  </w:num>
  <w:num w:numId="18">
    <w:abstractNumId w:val="6"/>
  </w:num>
  <w:num w:numId="19">
    <w:abstractNumId w:val="9"/>
  </w:num>
  <w:num w:numId="20">
    <w:abstractNumId w:val="0"/>
  </w:num>
  <w:num w:numId="21">
    <w:abstractNumId w:val="3"/>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2">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1">
    <w:name w:val="TOC Heading"/>
    <w:uiPriority w:val="39"/>
    <w:unhideWhenUsed/>
  </w:style>
  <w:style w:type="paragraph" w:styleId="7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annotation text"/>
    <w:basedOn w:val="772"/>
    <w:uiPriority w:val="0"/>
    <w:qFormat/>
    <w:pPr>
      <w:jc w:val="left"/>
    </w:pPr>
  </w:style>
  <w:style w:type="paragraph" w:styleId="787">
    <w:name w:val="Block Text"/>
    <w:basedOn w:val="772"/>
    <w:uiPriority w:val="6"/>
    <w:qFormat/>
    <w:pPr>
      <w:ind w:left="256" w:right="6" w:firstLine="624"/>
    </w:pPr>
    <w:rPr>
      <w:rFonts w:eastAsia="仿宋"/>
      <w:sz w:val="28"/>
    </w:rPr>
  </w:style>
  <w:style w:type="paragraph" w:styleId="788">
    <w:name w:val="toc 5"/>
    <w:basedOn w:val="772"/>
    <w:next w:val="772"/>
    <w:uiPriority w:val="39"/>
    <w:unhideWhenUsed/>
    <w:qFormat/>
    <w:pPr>
      <w:ind w:left="1134"/>
      <w:spacing w:after="57"/>
    </w:pPr>
  </w:style>
  <w:style w:type="paragraph" w:styleId="789">
    <w:name w:val="toc 3"/>
    <w:basedOn w:val="772"/>
    <w:next w:val="772"/>
    <w:uiPriority w:val="39"/>
    <w:unhideWhenUsed/>
    <w:qFormat/>
    <w:pPr>
      <w:ind w:left="567"/>
      <w:spacing w:after="57"/>
    </w:pPr>
  </w:style>
  <w:style w:type="paragraph" w:styleId="790">
    <w:name w:val="toc 8"/>
    <w:basedOn w:val="772"/>
    <w:next w:val="772"/>
    <w:uiPriority w:val="39"/>
    <w:unhideWhenUsed/>
    <w:qFormat/>
    <w:pPr>
      <w:ind w:left="1984"/>
      <w:spacing w:after="57"/>
    </w:pPr>
  </w:style>
  <w:style w:type="paragraph" w:styleId="791">
    <w:name w:val="endnote text"/>
    <w:basedOn w:val="772"/>
    <w:uiPriority w:val="99"/>
    <w:semiHidden/>
    <w:unhideWhenUsed/>
    <w:qFormat/>
    <w:rPr>
      <w:sz w:val="20"/>
    </w:rPr>
  </w:style>
  <w:style w:type="paragraph" w:styleId="792">
    <w:name w:val="Footer"/>
    <w:basedOn w:val="772"/>
    <w:uiPriority w:val="99"/>
    <w:unhideWhenUsed/>
    <w:qFormat/>
    <w:pPr>
      <w:tabs>
        <w:tab w:val="center" w:pos="7143" w:leader="none"/>
        <w:tab w:val="right" w:pos="14287" w:leader="none"/>
      </w:tabs>
    </w:pPr>
  </w:style>
  <w:style w:type="paragraph" w:styleId="793">
    <w:name w:val="Header"/>
    <w:basedOn w:val="772"/>
    <w:uiPriority w:val="99"/>
    <w:unhideWhenUsed/>
    <w:qFormat/>
    <w:pPr>
      <w:tabs>
        <w:tab w:val="center" w:pos="7143" w:leader="none"/>
        <w:tab w:val="right" w:pos="14287" w:leader="none"/>
      </w:tabs>
    </w:pPr>
  </w:style>
  <w:style w:type="paragraph" w:styleId="794">
    <w:name w:val="toc 1"/>
    <w:basedOn w:val="772"/>
    <w:next w:val="772"/>
    <w:uiPriority w:val="39"/>
    <w:unhideWhenUsed/>
    <w:qFormat/>
    <w:pPr>
      <w:spacing w:after="57"/>
    </w:pPr>
  </w:style>
  <w:style w:type="paragraph" w:styleId="795">
    <w:name w:val="toc 4"/>
    <w:basedOn w:val="772"/>
    <w:next w:val="772"/>
    <w:uiPriority w:val="39"/>
    <w:unhideWhenUsed/>
    <w:qFormat/>
    <w:pPr>
      <w:ind w:left="850"/>
      <w:spacing w:after="57"/>
    </w:pPr>
  </w:style>
  <w:style w:type="paragraph" w:styleId="796">
    <w:name w:val="Subtitle"/>
    <w:basedOn w:val="772"/>
    <w:next w:val="772"/>
    <w:uiPriority w:val="11"/>
    <w:qFormat/>
    <w:pPr>
      <w:spacing w:before="200" w:after="200"/>
    </w:pPr>
    <w:rPr>
      <w:sz w:val="24"/>
    </w:rPr>
  </w:style>
  <w:style w:type="paragraph" w:styleId="797">
    <w:name w:val="footnote text"/>
    <w:basedOn w:val="772"/>
    <w:uiPriority w:val="99"/>
    <w:semiHidden/>
    <w:unhideWhenUsed/>
    <w:qFormat/>
    <w:pPr>
      <w:spacing w:after="40"/>
    </w:pPr>
    <w:rPr>
      <w:sz w:val="18"/>
    </w:rPr>
  </w:style>
  <w:style w:type="paragraph" w:styleId="798">
    <w:name w:val="toc 6"/>
    <w:basedOn w:val="772"/>
    <w:next w:val="772"/>
    <w:uiPriority w:val="39"/>
    <w:unhideWhenUsed/>
    <w:qFormat/>
    <w:pPr>
      <w:ind w:left="1417"/>
      <w:spacing w:after="57"/>
    </w:pPr>
  </w:style>
  <w:style w:type="paragraph" w:styleId="799">
    <w:name w:val="table of figures"/>
    <w:basedOn w:val="772"/>
    <w:next w:val="772"/>
    <w:uiPriority w:val="99"/>
    <w:unhideWhenUsed/>
    <w:qFormat/>
  </w:style>
  <w:style w:type="paragraph" w:styleId="800">
    <w:name w:val="toc 2"/>
    <w:basedOn w:val="772"/>
    <w:next w:val="772"/>
    <w:uiPriority w:val="39"/>
    <w:unhideWhenUsed/>
    <w:qFormat/>
    <w:pPr>
      <w:ind w:left="283"/>
      <w:spacing w:after="57"/>
    </w:pPr>
  </w:style>
  <w:style w:type="paragraph" w:styleId="801">
    <w:name w:val="toc 9"/>
    <w:basedOn w:val="772"/>
    <w:next w:val="772"/>
    <w:uiPriority w:val="39"/>
    <w:unhideWhenUsed/>
    <w:qFormat/>
    <w:pPr>
      <w:ind w:left="2268"/>
      <w:spacing w:after="57"/>
    </w:pPr>
  </w:style>
  <w:style w:type="paragraph" w:styleId="802">
    <w:name w:val="Normal (Web)"/>
    <w:basedOn w:val="772"/>
    <w:uiPriority w:val="99"/>
    <w:qFormat/>
    <w:pPr>
      <w:jc w:val="left"/>
      <w:spacing w:before="100" w:beforeAutospacing="1" w:after="100" w:afterAutospacing="1"/>
      <w:widowControl/>
    </w:pPr>
    <w:rPr>
      <w:rFonts w:ascii="宋体" w:hAnsi="宋体" w:cs="宋体"/>
      <w:sz w:val="24"/>
    </w:rPr>
  </w:style>
  <w:style w:type="paragraph" w:styleId="803">
    <w:name w:val="Title"/>
    <w:basedOn w:val="772"/>
    <w:next w:val="772"/>
    <w:uiPriority w:val="10"/>
    <w:qFormat/>
    <w:pPr>
      <w:contextualSpacing/>
      <w:spacing w:before="300" w:after="200"/>
    </w:pPr>
    <w:rPr>
      <w:sz w:val="48"/>
      <w:szCs w:val="48"/>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uiPriority w:val="0"/>
    <w:qFormat/>
    <w:rPr>
      <w:b/>
    </w:rPr>
  </w:style>
  <w:style w:type="character" w:styleId="806">
    <w:name w:val="endnote reference"/>
    <w:uiPriority w:val="99"/>
    <w:semiHidden/>
    <w:unhideWhenUsed/>
    <w:qFormat/>
    <w:rPr>
      <w:vertAlign w:val="superscript"/>
    </w:rPr>
  </w:style>
  <w:style w:type="character" w:styleId="807">
    <w:name w:val="Hyperlink"/>
    <w:basedOn w:val="782"/>
    <w:uiPriority w:val="99"/>
    <w:unhideWhenUsed/>
    <w:qFormat/>
    <w:rPr>
      <w:color w:val="0000ff" w:themeColor="hyperlink"/>
      <w:u w:val="single"/>
      <w14:textFill>
        <w14:solidFill>
          <w14:schemeClr w14:val="hlink"/>
        </w14:solidFill>
      </w14:textFill>
    </w:rPr>
  </w:style>
  <w:style w:type="character" w:styleId="808">
    <w:name w:val="annotation reference"/>
    <w:basedOn w:val="782"/>
    <w:uiPriority w:val="99"/>
    <w:semiHidden/>
    <w:unhideWhenUsed/>
    <w:qFormat/>
    <w:rPr>
      <w:sz w:val="21"/>
      <w:szCs w:val="21"/>
    </w:rPr>
  </w:style>
  <w:style w:type="character" w:styleId="809">
    <w:name w:val="footnote reference"/>
    <w:uiPriority w:val="99"/>
    <w:unhideWhenUsed/>
    <w:qFormat/>
    <w:rPr>
      <w:vertAlign w:val="superscript"/>
    </w:rPr>
  </w:style>
  <w:style w:type="paragraph" w:styleId="810" w:customStyle="1">
    <w:name w:val="目录 11"/>
    <w:basedOn w:val="811"/>
    <w:next w:val="772"/>
    <w:uiPriority w:val="0"/>
    <w:qFormat/>
    <w:pPr>
      <w:jc w:val="left"/>
      <w:spacing w:after="100" w:line="259" w:lineRule="auto"/>
      <w:widowControl/>
    </w:pPr>
    <w:rPr>
      <w:rFonts w:ascii="Calibri" w:hAnsi="Calibri"/>
      <w:sz w:val="22"/>
      <w:szCs w:val="22"/>
    </w:rPr>
  </w:style>
  <w:style w:type="paragraph" w:styleId="811" w:customStyle="1">
    <w:name w:val="正文12"/>
    <w:next w:val="812"/>
    <w:uiPriority w:val="0"/>
    <w:qFormat/>
    <w:pPr>
      <w:jc w:val="both"/>
      <w:widowControl w:val="off"/>
    </w:pPr>
    <w:rPr>
      <w:rFonts w:ascii="Times New Roman" w:hAnsi="Times New Roman" w:eastAsia="宋体" w:cs="Times New Roman"/>
      <w:sz w:val="21"/>
      <w:szCs w:val="24"/>
      <w:lang w:val="en-US" w:eastAsia="zh-CN" w:bidi="ar-SA"/>
    </w:rPr>
  </w:style>
  <w:style w:type="paragraph" w:styleId="812" w:customStyle="1">
    <w:name w:val="正文文本111"/>
    <w:basedOn w:val="772"/>
    <w:next w:val="811"/>
    <w:uiPriority w:val="0"/>
    <w:qFormat/>
    <w:rPr>
      <w:rFonts w:ascii="楷体_GB2312" w:hAnsi="Arial" w:eastAsia="楷体_GB2312"/>
      <w:sz w:val="28"/>
      <w:szCs w:val="28"/>
      <w:lang w:eastAsia="en-US"/>
    </w:rPr>
  </w:style>
  <w:style w:type="table" w:styleId="813" w:customStyle="1">
    <w:name w:val="无格式表格 1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普通表格1"/>
    <w:uiPriority w:val="99"/>
    <w:unhideWhenUsed/>
    <w:qFormat/>
    <w:tblPr>
      <w:tblCellMar>
        <w:left w:w="0" w:type="dxa"/>
        <w:top w:w="0" w:type="dxa"/>
        <w:right w:w="0" w:type="dxa"/>
        <w:bottom w:w="0" w:type="dxa"/>
      </w:tblCellMar>
    </w:tblPr>
  </w:style>
  <w:style w:type="table" w:styleId="815" w:customStyle="1">
    <w:name w:val="无格式表格 21"/>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网格表 3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网格表 5 深色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网格表 6 彩色1"/>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网格表 7 彩色1"/>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清单表 1 浅色1"/>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清单表 21"/>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清单表 3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4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清单表 5 深色1"/>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清单表 6 彩色1"/>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清单表 7 彩色1"/>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标题1"/>
    <w:uiPriority w:val="39"/>
    <w:unhideWhenUsed/>
    <w:qFormat/>
    <w:rPr>
      <w:rFonts w:ascii="Times New Roman" w:hAnsi="Times New Roman" w:eastAsia="宋体" w:cs="Times New Roman"/>
      <w:lang w:val="en-US" w:eastAsia="zh-CN" w:bidi="ar-SA"/>
    </w:rPr>
  </w:style>
  <w:style w:type="paragraph" w:styleId="834">
    <w:name w:val="List Paragraph"/>
    <w:basedOn w:val="772"/>
    <w:uiPriority w:val="34"/>
    <w:qFormat/>
    <w:pPr>
      <w:contextualSpacing/>
      <w:ind w:left="720"/>
    </w:pPr>
  </w:style>
  <w:style w:type="paragraph" w:styleId="835">
    <w:name w:val="No Spacing"/>
    <w:uiPriority w:val="1"/>
    <w:qFormat/>
    <w:rPr>
      <w:rFonts w:ascii="Times New Roman" w:hAnsi="Times New Roman" w:eastAsia="宋体" w:cs="Times New Roman"/>
      <w:lang w:val="en-US" w:eastAsia="zh-CN" w:bidi="ar-SA"/>
    </w:rPr>
  </w:style>
  <w:style w:type="paragraph" w:styleId="836">
    <w:name w:val="Quote"/>
    <w:basedOn w:val="772"/>
    <w:next w:val="772"/>
    <w:uiPriority w:val="29"/>
    <w:qFormat/>
    <w:pPr>
      <w:ind w:left="720" w:right="720"/>
    </w:pPr>
    <w:rPr>
      <w:i/>
    </w:rPr>
  </w:style>
  <w:style w:type="paragraph" w:styleId="837">
    <w:name w:val="Intense Quote"/>
    <w:basedOn w:val="772"/>
    <w:next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8" w:customStyle="1">
    <w:name w:val="标题 11"/>
    <w:basedOn w:val="772"/>
    <w:next w:val="772"/>
    <w:uiPriority w:val="0"/>
    <w:qFormat/>
    <w:pPr>
      <w:keepLines/>
      <w:keepNext/>
      <w:spacing w:before="340" w:after="330" w:line="578" w:lineRule="auto"/>
      <w:outlineLvl w:val="0"/>
    </w:pPr>
    <w:rPr>
      <w:b/>
      <w:bCs/>
      <w:sz w:val="44"/>
      <w:szCs w:val="44"/>
    </w:rPr>
  </w:style>
  <w:style w:type="paragraph" w:styleId="839" w:customStyle="1">
    <w:name w:val="标题 21"/>
    <w:basedOn w:val="772"/>
    <w:next w:val="772"/>
    <w:link w:val="848"/>
    <w:uiPriority w:val="9"/>
    <w:qFormat/>
    <w:pPr>
      <w:keepLines/>
      <w:keepNext/>
      <w:spacing w:before="360" w:after="200"/>
      <w:outlineLvl w:val="1"/>
    </w:pPr>
    <w:rPr>
      <w:rFonts w:ascii="Arial" w:hAnsi="Arial" w:eastAsia="Arial" w:cs="Arial"/>
      <w:sz w:val="34"/>
    </w:rPr>
  </w:style>
  <w:style w:type="paragraph" w:styleId="840" w:customStyle="1">
    <w:name w:val="标题 31"/>
    <w:basedOn w:val="772"/>
    <w:next w:val="772"/>
    <w:link w:val="849"/>
    <w:uiPriority w:val="9"/>
    <w:qFormat/>
    <w:pPr>
      <w:keepLines/>
      <w:keepNext/>
      <w:spacing w:before="320" w:after="200"/>
      <w:outlineLvl w:val="2"/>
    </w:pPr>
    <w:rPr>
      <w:rFonts w:ascii="Arial" w:hAnsi="Arial" w:eastAsia="Arial" w:cs="Arial"/>
      <w:sz w:val="30"/>
      <w:szCs w:val="30"/>
    </w:rPr>
  </w:style>
  <w:style w:type="paragraph" w:styleId="841" w:customStyle="1">
    <w:name w:val="标题 41"/>
    <w:basedOn w:val="772"/>
    <w:next w:val="77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42" w:customStyle="1">
    <w:name w:val="标题 51"/>
    <w:basedOn w:val="772"/>
    <w:next w:val="772"/>
    <w:link w:val="850"/>
    <w:uiPriority w:val="9"/>
    <w:qFormat/>
    <w:pPr>
      <w:keepLines/>
      <w:keepNext/>
      <w:spacing w:before="320" w:after="200"/>
      <w:outlineLvl w:val="4"/>
    </w:pPr>
    <w:rPr>
      <w:rFonts w:ascii="Arial" w:hAnsi="Arial" w:eastAsia="Arial" w:cs="Arial"/>
      <w:b/>
      <w:bCs/>
      <w:sz w:val="24"/>
    </w:rPr>
  </w:style>
  <w:style w:type="paragraph" w:styleId="843" w:customStyle="1">
    <w:name w:val="标题 61"/>
    <w:basedOn w:val="772"/>
    <w:next w:val="772"/>
    <w:link w:val="851"/>
    <w:uiPriority w:val="9"/>
    <w:qFormat/>
    <w:pPr>
      <w:keepLines/>
      <w:keepNext/>
      <w:spacing w:before="320" w:after="200"/>
      <w:outlineLvl w:val="5"/>
    </w:pPr>
    <w:rPr>
      <w:rFonts w:ascii="Arial" w:hAnsi="Arial" w:eastAsia="Arial" w:cs="Arial"/>
      <w:b/>
      <w:bCs/>
      <w:sz w:val="22"/>
      <w:szCs w:val="22"/>
    </w:rPr>
  </w:style>
  <w:style w:type="paragraph" w:styleId="844" w:customStyle="1">
    <w:name w:val="标题 71"/>
    <w:basedOn w:val="772"/>
    <w:next w:val="772"/>
    <w:link w:val="852"/>
    <w:uiPriority w:val="9"/>
    <w:qFormat/>
    <w:pPr>
      <w:keepLines/>
      <w:keepNext/>
      <w:spacing w:before="320" w:after="200"/>
      <w:outlineLvl w:val="6"/>
    </w:pPr>
    <w:rPr>
      <w:rFonts w:ascii="Arial" w:hAnsi="Arial" w:eastAsia="Arial" w:cs="Arial"/>
      <w:b/>
      <w:bCs/>
      <w:i/>
      <w:iCs/>
      <w:sz w:val="22"/>
      <w:szCs w:val="22"/>
    </w:rPr>
  </w:style>
  <w:style w:type="paragraph" w:styleId="845" w:customStyle="1">
    <w:name w:val="标题 81"/>
    <w:basedOn w:val="772"/>
    <w:next w:val="772"/>
    <w:link w:val="853"/>
    <w:uiPriority w:val="9"/>
    <w:qFormat/>
    <w:pPr>
      <w:keepLines/>
      <w:keepNext/>
      <w:spacing w:before="320" w:after="200"/>
      <w:outlineLvl w:val="7"/>
    </w:pPr>
    <w:rPr>
      <w:rFonts w:ascii="Arial" w:hAnsi="Arial" w:eastAsia="Arial" w:cs="Arial"/>
      <w:i/>
      <w:iCs/>
      <w:sz w:val="22"/>
      <w:szCs w:val="22"/>
    </w:rPr>
  </w:style>
  <w:style w:type="paragraph" w:styleId="846" w:customStyle="1">
    <w:name w:val="标题 91"/>
    <w:basedOn w:val="772"/>
    <w:next w:val="772"/>
    <w:link w:val="854"/>
    <w:uiPriority w:val="9"/>
    <w:qFormat/>
    <w:pPr>
      <w:keepLines/>
      <w:keepNext/>
      <w:spacing w:before="320" w:after="200"/>
      <w:outlineLvl w:val="8"/>
    </w:pPr>
    <w:rPr>
      <w:rFonts w:ascii="Arial" w:hAnsi="Arial" w:eastAsia="Arial" w:cs="Arial"/>
      <w:i/>
      <w:iCs/>
      <w:szCs w:val="21"/>
    </w:rPr>
  </w:style>
  <w:style w:type="character" w:styleId="847" w:customStyle="1">
    <w:name w:val="默认段落字体1"/>
    <w:uiPriority w:val="1"/>
    <w:unhideWhenUsed/>
    <w:qFormat/>
  </w:style>
  <w:style w:type="character" w:styleId="848" w:customStyle="1">
    <w:name w:val="标题 2 Char"/>
    <w:link w:val="839"/>
    <w:uiPriority w:val="9"/>
    <w:qFormat/>
    <w:rPr>
      <w:rFonts w:ascii="Arial" w:hAnsi="Arial" w:eastAsia="Arial" w:cs="Arial"/>
      <w:sz w:val="34"/>
    </w:rPr>
  </w:style>
  <w:style w:type="character" w:styleId="849" w:customStyle="1">
    <w:name w:val="标题 3 Char"/>
    <w:link w:val="840"/>
    <w:uiPriority w:val="9"/>
    <w:qFormat/>
    <w:rPr>
      <w:rFonts w:ascii="Arial" w:hAnsi="Arial" w:eastAsia="Arial" w:cs="Arial"/>
      <w:sz w:val="30"/>
      <w:szCs w:val="30"/>
    </w:rPr>
  </w:style>
  <w:style w:type="character" w:styleId="850" w:customStyle="1">
    <w:name w:val="标题 5 Char"/>
    <w:link w:val="842"/>
    <w:uiPriority w:val="9"/>
    <w:qFormat/>
    <w:rPr>
      <w:rFonts w:ascii="Arial" w:hAnsi="Arial" w:eastAsia="Arial" w:cs="Arial"/>
      <w:b/>
      <w:bCs/>
      <w:sz w:val="24"/>
      <w:szCs w:val="24"/>
    </w:rPr>
  </w:style>
  <w:style w:type="character" w:styleId="851" w:customStyle="1">
    <w:name w:val="标题 6 Char"/>
    <w:link w:val="843"/>
    <w:uiPriority w:val="9"/>
    <w:qFormat/>
    <w:rPr>
      <w:rFonts w:ascii="Arial" w:hAnsi="Arial" w:eastAsia="Arial" w:cs="Arial"/>
      <w:b/>
      <w:bCs/>
      <w:sz w:val="22"/>
      <w:szCs w:val="22"/>
    </w:rPr>
  </w:style>
  <w:style w:type="character" w:styleId="852" w:customStyle="1">
    <w:name w:val="标题 7 Char"/>
    <w:link w:val="844"/>
    <w:uiPriority w:val="9"/>
    <w:qFormat/>
    <w:rPr>
      <w:rFonts w:ascii="Arial" w:hAnsi="Arial" w:eastAsia="Arial" w:cs="Arial"/>
      <w:b/>
      <w:bCs/>
      <w:i/>
      <w:iCs/>
      <w:sz w:val="22"/>
      <w:szCs w:val="22"/>
    </w:rPr>
  </w:style>
  <w:style w:type="character" w:styleId="853" w:customStyle="1">
    <w:name w:val="标题 8 Char"/>
    <w:link w:val="845"/>
    <w:uiPriority w:val="9"/>
    <w:qFormat/>
    <w:rPr>
      <w:rFonts w:ascii="Arial" w:hAnsi="Arial" w:eastAsia="Arial" w:cs="Arial"/>
      <w:i/>
      <w:iCs/>
      <w:sz w:val="22"/>
      <w:szCs w:val="22"/>
    </w:rPr>
  </w:style>
  <w:style w:type="character" w:styleId="854" w:customStyle="1">
    <w:name w:val="标题 9 Char"/>
    <w:link w:val="846"/>
    <w:uiPriority w:val="9"/>
    <w:qFormat/>
    <w:rPr>
      <w:rFonts w:ascii="Arial" w:hAnsi="Arial" w:eastAsia="Arial" w:cs="Arial"/>
      <w:i/>
      <w:iCs/>
      <w:sz w:val="21"/>
      <w:szCs w:val="21"/>
    </w:rPr>
  </w:style>
  <w:style w:type="paragraph" w:styleId="855" w:customStyle="1">
    <w:name w:val="目录 71"/>
    <w:basedOn w:val="772"/>
    <w:next w:val="772"/>
    <w:uiPriority w:val="39"/>
    <w:unhideWhenUsed/>
    <w:qFormat/>
    <w:pPr>
      <w:ind w:left="1701"/>
      <w:spacing w:after="57"/>
    </w:pPr>
  </w:style>
  <w:style w:type="paragraph" w:styleId="856" w:customStyle="1">
    <w:name w:val="正文缩进1"/>
    <w:basedOn w:val="772"/>
    <w:uiPriority w:val="0"/>
    <w:qFormat/>
    <w:pPr>
      <w:ind w:firstLine="420"/>
    </w:pPr>
  </w:style>
  <w:style w:type="paragraph" w:styleId="857" w:customStyle="1">
    <w:name w:val="题注1"/>
    <w:basedOn w:val="772"/>
    <w:next w:val="772"/>
    <w:uiPriority w:val="35"/>
    <w:qFormat/>
    <w:pPr>
      <w:spacing w:line="276" w:lineRule="auto"/>
    </w:pPr>
    <w:rPr>
      <w:b/>
      <w:bCs/>
      <w:color w:val="4f81bd"/>
      <w:sz w:val="18"/>
      <w:szCs w:val="18"/>
    </w:rPr>
  </w:style>
  <w:style w:type="paragraph" w:styleId="858" w:customStyle="1">
    <w:name w:val="索引 51"/>
    <w:basedOn w:val="772"/>
    <w:next w:val="859"/>
    <w:uiPriority w:val="0"/>
    <w:qFormat/>
    <w:pPr>
      <w:ind w:left="798"/>
      <w:jc w:val="left"/>
    </w:pPr>
    <w:rPr>
      <w:rFonts w:ascii="Calibri" w:hAnsi="Calibri"/>
    </w:rPr>
  </w:style>
  <w:style w:type="paragraph" w:styleId="859" w:customStyle="1">
    <w:name w:val="正文1"/>
    <w:next w:val="860"/>
    <w:uiPriority w:val="0"/>
    <w:qFormat/>
    <w:rPr>
      <w:rFonts w:ascii="Times New Roman" w:hAnsi="Times New Roman" w:eastAsia="宋体" w:cs="Times New Roman"/>
      <w:lang w:val="en-US" w:eastAsia="zh-CN" w:bidi="ar-SA"/>
    </w:rPr>
  </w:style>
  <w:style w:type="paragraph" w:styleId="860" w:customStyle="1">
    <w:name w:val="脚注文本1"/>
    <w:basedOn w:val="859"/>
    <w:next w:val="858"/>
    <w:uiPriority w:val="0"/>
    <w:qFormat/>
    <w:rPr>
      <w:rFonts w:ascii="宋体" w:eastAsia="Times New Roman"/>
      <w:sz w:val="18"/>
      <w:szCs w:val="18"/>
    </w:rPr>
  </w:style>
  <w:style w:type="paragraph" w:styleId="861" w:customStyle="1">
    <w:name w:val="批注文字1"/>
    <w:basedOn w:val="772"/>
    <w:uiPriority w:val="0"/>
    <w:qFormat/>
    <w:pPr>
      <w:jc w:val="left"/>
    </w:pPr>
  </w:style>
  <w:style w:type="paragraph" w:styleId="862" w:customStyle="1">
    <w:name w:val="正文文本11"/>
    <w:basedOn w:val="772"/>
    <w:next w:val="772"/>
    <w:uiPriority w:val="0"/>
    <w:qFormat/>
    <w:pPr>
      <w:spacing w:after="120"/>
    </w:pPr>
  </w:style>
  <w:style w:type="paragraph" w:styleId="863" w:customStyle="1">
    <w:name w:val="正文文本缩进1"/>
    <w:basedOn w:val="772"/>
    <w:next w:val="864"/>
    <w:uiPriority w:val="99"/>
    <w:unhideWhenUsed/>
    <w:qFormat/>
    <w:pPr>
      <w:ind w:firstLine="425"/>
      <w:spacing w:line="360" w:lineRule="auto"/>
    </w:pPr>
  </w:style>
  <w:style w:type="paragraph" w:styleId="864" w:customStyle="1">
    <w:name w:val="寄信人地址1"/>
    <w:basedOn w:val="772"/>
    <w:uiPriority w:val="99"/>
    <w:unhideWhenUsed/>
    <w:qFormat/>
    <w:rPr>
      <w:rFonts w:ascii="Arial" w:hAnsi="Arial"/>
    </w:rPr>
  </w:style>
  <w:style w:type="paragraph" w:styleId="865" w:customStyle="1">
    <w:name w:val="文本块1"/>
    <w:basedOn w:val="772"/>
    <w:uiPriority w:val="6"/>
    <w:qFormat/>
    <w:pPr>
      <w:ind w:left="256" w:right="6" w:firstLine="624"/>
    </w:pPr>
    <w:rPr>
      <w:rFonts w:eastAsia="仿宋"/>
      <w:sz w:val="28"/>
      <w:szCs w:val="20"/>
    </w:rPr>
  </w:style>
  <w:style w:type="paragraph" w:styleId="866" w:customStyle="1">
    <w:name w:val="目录 51"/>
    <w:basedOn w:val="772"/>
    <w:next w:val="772"/>
    <w:uiPriority w:val="39"/>
    <w:unhideWhenUsed/>
    <w:qFormat/>
    <w:pPr>
      <w:ind w:left="1134"/>
      <w:spacing w:after="57"/>
    </w:pPr>
  </w:style>
  <w:style w:type="paragraph" w:styleId="867" w:customStyle="1">
    <w:name w:val="目录 31"/>
    <w:basedOn w:val="772"/>
    <w:next w:val="772"/>
    <w:uiPriority w:val="39"/>
    <w:unhideWhenUsed/>
    <w:qFormat/>
    <w:pPr>
      <w:ind w:left="567"/>
      <w:spacing w:after="57"/>
    </w:pPr>
  </w:style>
  <w:style w:type="paragraph" w:styleId="868" w:customStyle="1">
    <w:name w:val="纯文本1"/>
    <w:basedOn w:val="772"/>
    <w:uiPriority w:val="99"/>
    <w:unhideWhenUsed/>
    <w:qFormat/>
    <w:rPr>
      <w:rFonts w:ascii="宋体" w:hAnsi="Courier New"/>
      <w:sz w:val="20"/>
      <w:szCs w:val="20"/>
    </w:rPr>
  </w:style>
  <w:style w:type="paragraph" w:styleId="869" w:customStyle="1">
    <w:name w:val="目录 81"/>
    <w:basedOn w:val="772"/>
    <w:next w:val="772"/>
    <w:uiPriority w:val="39"/>
    <w:unhideWhenUsed/>
    <w:qFormat/>
    <w:pPr>
      <w:ind w:left="1984"/>
      <w:spacing w:after="57"/>
    </w:pPr>
  </w:style>
  <w:style w:type="paragraph" w:styleId="870" w:customStyle="1">
    <w:name w:val="日期1"/>
    <w:basedOn w:val="772"/>
    <w:next w:val="772"/>
    <w:uiPriority w:val="0"/>
    <w:qFormat/>
    <w:rPr>
      <w:rFonts w:eastAsia="仿宋_GB2312"/>
      <w:sz w:val="28"/>
      <w:szCs w:val="20"/>
    </w:rPr>
  </w:style>
  <w:style w:type="paragraph" w:styleId="871" w:customStyle="1">
    <w:name w:val="正文文本缩进 21"/>
    <w:basedOn w:val="772"/>
    <w:uiPriority w:val="0"/>
    <w:qFormat/>
    <w:pPr>
      <w:ind w:firstLine="475"/>
      <w:spacing w:line="10" w:lineRule="atLeast"/>
    </w:pPr>
    <w:rPr>
      <w:rFonts w:ascii="仿宋_GB2312" w:eastAsia="仿宋_GB2312"/>
      <w:sz w:val="24"/>
    </w:rPr>
  </w:style>
  <w:style w:type="paragraph" w:styleId="872" w:customStyle="1">
    <w:name w:val="尾注文本1"/>
    <w:basedOn w:val="772"/>
    <w:link w:val="873"/>
    <w:uiPriority w:val="99"/>
    <w:unhideWhenUsed/>
    <w:qFormat/>
    <w:rPr>
      <w:sz w:val="20"/>
    </w:rPr>
  </w:style>
  <w:style w:type="character" w:styleId="873" w:customStyle="1">
    <w:name w:val="尾注文本 Char"/>
    <w:link w:val="872"/>
    <w:uiPriority w:val="99"/>
    <w:qFormat/>
    <w:rPr>
      <w:sz w:val="20"/>
    </w:rPr>
  </w:style>
  <w:style w:type="paragraph" w:styleId="874" w:customStyle="1">
    <w:name w:val="批注框文本1"/>
    <w:basedOn w:val="772"/>
    <w:link w:val="875"/>
    <w:uiPriority w:val="99"/>
    <w:unhideWhenUsed/>
    <w:qFormat/>
    <w:rPr>
      <w:sz w:val="18"/>
      <w:szCs w:val="18"/>
    </w:rPr>
  </w:style>
  <w:style w:type="character" w:styleId="875" w:customStyle="1">
    <w:name w:val="批注框文本 Char"/>
    <w:link w:val="874"/>
    <w:uiPriority w:val="99"/>
    <w:semiHidden/>
    <w:qFormat/>
    <w:rPr>
      <w:rFonts w:ascii="Times New Roman" w:hAnsi="Times New Roman"/>
      <w:sz w:val="18"/>
      <w:szCs w:val="18"/>
    </w:rPr>
  </w:style>
  <w:style w:type="paragraph" w:styleId="876" w:customStyle="1">
    <w:name w:val="页脚1"/>
    <w:basedOn w:val="772"/>
    <w:uiPriority w:val="0"/>
    <w:qFormat/>
    <w:pPr>
      <w:jc w:val="left"/>
      <w:tabs>
        <w:tab w:val="center" w:pos="4153" w:leader="none"/>
        <w:tab w:val="right" w:pos="8306" w:leader="none"/>
      </w:tabs>
    </w:pPr>
    <w:rPr>
      <w:sz w:val="18"/>
      <w:szCs w:val="18"/>
    </w:rPr>
  </w:style>
  <w:style w:type="paragraph" w:styleId="877" w:customStyle="1">
    <w:name w:val="页眉1"/>
    <w:basedOn w:val="772"/>
    <w:uiPriority w:val="0"/>
    <w:qFormat/>
    <w:pPr>
      <w:jc w:val="center"/>
      <w:tabs>
        <w:tab w:val="center" w:pos="4153" w:leader="none"/>
        <w:tab w:val="right" w:pos="8306" w:leader="none"/>
      </w:tabs>
      <w:pBdr>
        <w:bottom w:val="single" w:color="000000" w:sz="6" w:space="1"/>
      </w:pBdr>
    </w:pPr>
    <w:rPr>
      <w:sz w:val="18"/>
      <w:szCs w:val="18"/>
    </w:rPr>
  </w:style>
  <w:style w:type="paragraph" w:styleId="878" w:customStyle="1">
    <w:name w:val="目录 111"/>
    <w:basedOn w:val="772"/>
    <w:next w:val="772"/>
    <w:uiPriority w:val="39"/>
    <w:unhideWhenUsed/>
    <w:qFormat/>
    <w:pPr>
      <w:spacing w:after="57"/>
    </w:pPr>
  </w:style>
  <w:style w:type="paragraph" w:styleId="879" w:customStyle="1">
    <w:name w:val="目录 41"/>
    <w:basedOn w:val="772"/>
    <w:next w:val="772"/>
    <w:uiPriority w:val="39"/>
    <w:unhideWhenUsed/>
    <w:qFormat/>
    <w:pPr>
      <w:ind w:left="850"/>
      <w:spacing w:after="57"/>
    </w:pPr>
  </w:style>
  <w:style w:type="paragraph" w:styleId="880" w:customStyle="1">
    <w:name w:val="副标题1"/>
    <w:basedOn w:val="772"/>
    <w:next w:val="772"/>
    <w:link w:val="881"/>
    <w:uiPriority w:val="11"/>
    <w:qFormat/>
    <w:pPr>
      <w:spacing w:before="200" w:after="200"/>
    </w:pPr>
    <w:rPr>
      <w:sz w:val="24"/>
    </w:rPr>
  </w:style>
  <w:style w:type="character" w:styleId="881" w:customStyle="1">
    <w:name w:val="副标题 Char"/>
    <w:link w:val="880"/>
    <w:uiPriority w:val="11"/>
    <w:qFormat/>
    <w:rPr>
      <w:sz w:val="24"/>
      <w:szCs w:val="24"/>
    </w:rPr>
  </w:style>
  <w:style w:type="paragraph" w:styleId="882" w:customStyle="1">
    <w:name w:val="目录 61"/>
    <w:basedOn w:val="772"/>
    <w:next w:val="772"/>
    <w:uiPriority w:val="39"/>
    <w:unhideWhenUsed/>
    <w:qFormat/>
    <w:pPr>
      <w:ind w:left="1417"/>
      <w:spacing w:after="57"/>
    </w:pPr>
  </w:style>
  <w:style w:type="paragraph" w:styleId="883" w:customStyle="1">
    <w:name w:val="图表目录1"/>
    <w:basedOn w:val="772"/>
    <w:next w:val="772"/>
    <w:uiPriority w:val="99"/>
    <w:unhideWhenUsed/>
    <w:qFormat/>
  </w:style>
  <w:style w:type="paragraph" w:styleId="884" w:customStyle="1">
    <w:name w:val="目录 21"/>
    <w:basedOn w:val="772"/>
    <w:next w:val="772"/>
    <w:uiPriority w:val="39"/>
    <w:unhideWhenUsed/>
    <w:qFormat/>
    <w:pPr>
      <w:ind w:left="283"/>
      <w:spacing w:after="57"/>
    </w:pPr>
  </w:style>
  <w:style w:type="paragraph" w:styleId="885" w:customStyle="1">
    <w:name w:val="目录 91"/>
    <w:basedOn w:val="772"/>
    <w:next w:val="772"/>
    <w:uiPriority w:val="39"/>
    <w:unhideWhenUsed/>
    <w:qFormat/>
    <w:pPr>
      <w:ind w:left="2268"/>
      <w:spacing w:after="57"/>
    </w:pPr>
  </w:style>
  <w:style w:type="paragraph" w:styleId="886" w:customStyle="1">
    <w:name w:val="普通(网站)11"/>
    <w:basedOn w:val="772"/>
    <w:uiPriority w:val="0"/>
    <w:qFormat/>
    <w:pPr>
      <w:jc w:val="left"/>
      <w:spacing w:before="100" w:beforeAutospacing="1" w:after="100" w:afterAutospacing="1"/>
      <w:widowControl/>
    </w:pPr>
    <w:rPr>
      <w:rFonts w:ascii="宋体" w:hAnsi="宋体" w:cs="宋体"/>
      <w:sz w:val="24"/>
    </w:rPr>
  </w:style>
  <w:style w:type="paragraph" w:styleId="887" w:customStyle="1">
    <w:name w:val="标题1"/>
    <w:basedOn w:val="772"/>
    <w:next w:val="772"/>
    <w:link w:val="888"/>
    <w:uiPriority w:val="10"/>
    <w:qFormat/>
    <w:pPr>
      <w:contextualSpacing/>
      <w:spacing w:before="300" w:after="200"/>
    </w:pPr>
    <w:rPr>
      <w:sz w:val="48"/>
      <w:szCs w:val="48"/>
    </w:rPr>
  </w:style>
  <w:style w:type="character" w:styleId="888" w:customStyle="1">
    <w:name w:val="标题 Char"/>
    <w:link w:val="887"/>
    <w:uiPriority w:val="10"/>
    <w:qFormat/>
    <w:rPr>
      <w:sz w:val="48"/>
      <w:szCs w:val="48"/>
    </w:rPr>
  </w:style>
  <w:style w:type="paragraph" w:styleId="889" w:customStyle="1">
    <w:name w:val="正文首行缩进1"/>
    <w:basedOn w:val="862"/>
    <w:uiPriority w:val="0"/>
    <w:qFormat/>
    <w:pPr>
      <w:ind w:firstLine="420"/>
    </w:pPr>
  </w:style>
  <w:style w:type="paragraph" w:styleId="890" w:customStyle="1">
    <w:name w:val="正文首行缩进 21"/>
    <w:basedOn w:val="863"/>
    <w:next w:val="772"/>
    <w:uiPriority w:val="0"/>
    <w:qFormat/>
    <w:pPr>
      <w:ind w:firstLine="420"/>
    </w:pPr>
    <w:rPr>
      <w:rFonts w:ascii="宋体" w:hAnsi="宋体"/>
      <w:sz w:val="20"/>
      <w:szCs w:val="20"/>
    </w:rPr>
  </w:style>
  <w:style w:type="table" w:styleId="891" w:customStyle="1">
    <w:name w:val="网格型1"/>
    <w:basedOn w:val="814"/>
    <w:uiPriority w:val="0"/>
    <w:qFormat/>
    <w:pPr>
      <w:jc w:val="both"/>
      <w:widowControl w:val="off"/>
    </w:pPr>
    <w:tblPr/>
  </w:style>
  <w:style w:type="character" w:styleId="892" w:customStyle="1">
    <w:name w:val="尾注引用1"/>
    <w:uiPriority w:val="99"/>
    <w:unhideWhenUsed/>
    <w:qFormat/>
    <w:rPr>
      <w:vertAlign w:val="superscript"/>
    </w:rPr>
  </w:style>
  <w:style w:type="character" w:styleId="893" w:customStyle="1">
    <w:name w:val="页码1"/>
    <w:uiPriority w:val="0"/>
    <w:qFormat/>
  </w:style>
  <w:style w:type="character" w:styleId="894" w:customStyle="1">
    <w:name w:val="已访问的超链接1"/>
    <w:uiPriority w:val="99"/>
    <w:unhideWhenUsed/>
    <w:qFormat/>
    <w:rPr>
      <w:color w:val="333333"/>
      <w:u w:val="none"/>
    </w:rPr>
  </w:style>
  <w:style w:type="character" w:styleId="895" w:customStyle="1">
    <w:name w:val="超链接1"/>
    <w:uiPriority w:val="0"/>
    <w:qFormat/>
    <w:rPr>
      <w:color w:val="0000ff"/>
      <w:u w:val="single"/>
    </w:rPr>
  </w:style>
  <w:style w:type="character" w:styleId="896" w:customStyle="1">
    <w:name w:val="批注引用1"/>
    <w:uiPriority w:val="0"/>
    <w:qFormat/>
    <w:rPr>
      <w:sz w:val="21"/>
      <w:szCs w:val="21"/>
    </w:rPr>
  </w:style>
  <w:style w:type="character" w:styleId="897" w:customStyle="1">
    <w:name w:val="脚注引用1"/>
    <w:uiPriority w:val="99"/>
    <w:unhideWhenUsed/>
    <w:qFormat/>
    <w:rPr>
      <w:vertAlign w:val="superscript"/>
    </w:rPr>
  </w:style>
  <w:style w:type="character" w:styleId="898" w:customStyle="1">
    <w:name w:val="Heading 1 Char"/>
    <w:uiPriority w:val="9"/>
    <w:qFormat/>
    <w:rPr>
      <w:rFonts w:ascii="Arial" w:hAnsi="Arial" w:eastAsia="Arial" w:cs="Arial"/>
      <w:sz w:val="40"/>
      <w:szCs w:val="40"/>
    </w:rPr>
  </w:style>
  <w:style w:type="character" w:styleId="899" w:customStyle="1">
    <w:name w:val="Endnote Text Char"/>
    <w:uiPriority w:val="99"/>
    <w:qFormat/>
    <w:rPr>
      <w:sz w:val="20"/>
    </w:rPr>
  </w:style>
  <w:style w:type="character" w:styleId="900" w:customStyle="1">
    <w:name w:val="Header Char"/>
    <w:uiPriority w:val="99"/>
    <w:qFormat/>
  </w:style>
  <w:style w:type="character" w:styleId="901" w:customStyle="1">
    <w:name w:val="Heading 6 Char"/>
    <w:uiPriority w:val="9"/>
    <w:qFormat/>
    <w:rPr>
      <w:rFonts w:ascii="Arial" w:hAnsi="Arial" w:eastAsia="Arial" w:cs="Arial"/>
      <w:b/>
      <w:bCs/>
      <w:sz w:val="22"/>
      <w:szCs w:val="22"/>
    </w:rPr>
  </w:style>
  <w:style w:type="character" w:styleId="902" w:customStyle="1">
    <w:name w:val="Heading 2 Char"/>
    <w:uiPriority w:val="9"/>
    <w:qFormat/>
    <w:rPr>
      <w:rFonts w:ascii="Arial" w:hAnsi="Arial" w:eastAsia="Arial" w:cs="Arial"/>
      <w:sz w:val="34"/>
    </w:rPr>
  </w:style>
  <w:style w:type="character" w:styleId="903" w:customStyle="1">
    <w:name w:val="Heading 4 Char"/>
    <w:uiPriority w:val="9"/>
    <w:qFormat/>
    <w:rPr>
      <w:rFonts w:ascii="Arial" w:hAnsi="Arial" w:eastAsia="Arial" w:cs="Arial"/>
      <w:b/>
      <w:bCs/>
      <w:sz w:val="26"/>
      <w:szCs w:val="26"/>
    </w:rPr>
  </w:style>
  <w:style w:type="character" w:styleId="904" w:customStyle="1">
    <w:name w:val="Subtitle Char"/>
    <w:uiPriority w:val="11"/>
    <w:qFormat/>
    <w:rPr>
      <w:sz w:val="24"/>
      <w:szCs w:val="24"/>
    </w:rPr>
  </w:style>
  <w:style w:type="character" w:styleId="905" w:customStyle="1">
    <w:name w:val="明显引用 Char"/>
    <w:link w:val="906"/>
    <w:uiPriority w:val="30"/>
    <w:qFormat/>
    <w:rPr>
      <w:i/>
    </w:rPr>
  </w:style>
  <w:style w:type="paragraph" w:styleId="906" w:customStyle="1">
    <w:name w:val="明显引用1"/>
    <w:basedOn w:val="772"/>
    <w:next w:val="772"/>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Heading 8 Char"/>
    <w:uiPriority w:val="9"/>
    <w:qFormat/>
    <w:rPr>
      <w:rFonts w:ascii="Arial" w:hAnsi="Arial" w:eastAsia="Arial" w:cs="Arial"/>
      <w:i/>
      <w:iCs/>
      <w:sz w:val="22"/>
      <w:szCs w:val="22"/>
    </w:rPr>
  </w:style>
  <w:style w:type="character" w:styleId="908" w:customStyle="1">
    <w:name w:val="引用 Char"/>
    <w:link w:val="909"/>
    <w:uiPriority w:val="29"/>
    <w:qFormat/>
    <w:rPr>
      <w:i/>
    </w:rPr>
  </w:style>
  <w:style w:type="paragraph" w:styleId="909" w:customStyle="1">
    <w:name w:val="引用1"/>
    <w:basedOn w:val="772"/>
    <w:next w:val="772"/>
    <w:link w:val="908"/>
    <w:uiPriority w:val="29"/>
    <w:qFormat/>
    <w:pPr>
      <w:ind w:left="720" w:right="720"/>
    </w:pPr>
    <w:rPr>
      <w:i/>
    </w:rPr>
  </w:style>
  <w:style w:type="character" w:styleId="910" w:customStyle="1">
    <w:name w:val="Footnote Text Char"/>
    <w:uiPriority w:val="99"/>
    <w:qFormat/>
    <w:rPr>
      <w:sz w:val="18"/>
    </w:rPr>
  </w:style>
  <w:style w:type="character" w:styleId="911" w:customStyle="1">
    <w:name w:val="Heading 5 Char"/>
    <w:uiPriority w:val="9"/>
    <w:qFormat/>
    <w:rPr>
      <w:rFonts w:ascii="Arial" w:hAnsi="Arial" w:eastAsia="Arial" w:cs="Arial"/>
      <w:b/>
      <w:bCs/>
      <w:sz w:val="24"/>
      <w:szCs w:val="24"/>
    </w:rPr>
  </w:style>
  <w:style w:type="character" w:styleId="912" w:customStyle="1">
    <w:name w:val="Intense Quote Char"/>
    <w:uiPriority w:val="30"/>
    <w:qFormat/>
    <w:rPr>
      <w:i/>
    </w:rPr>
  </w:style>
  <w:style w:type="character" w:styleId="913" w:customStyle="1">
    <w:name w:val="Heading 3 Char"/>
    <w:uiPriority w:val="9"/>
    <w:qFormat/>
    <w:rPr>
      <w:rFonts w:ascii="Arial" w:hAnsi="Arial" w:eastAsia="Arial" w:cs="Arial"/>
      <w:sz w:val="30"/>
      <w:szCs w:val="30"/>
    </w:rPr>
  </w:style>
  <w:style w:type="character" w:styleId="914" w:customStyle="1">
    <w:name w:val="Caption Char"/>
    <w:uiPriority w:val="99"/>
    <w:qFormat/>
  </w:style>
  <w:style w:type="character" w:styleId="915" w:customStyle="1">
    <w:name w:val="Footer Char"/>
    <w:uiPriority w:val="99"/>
    <w:qFormat/>
  </w:style>
  <w:style w:type="character" w:styleId="916" w:customStyle="1">
    <w:name w:val="Quote Char"/>
    <w:uiPriority w:val="29"/>
    <w:qFormat/>
    <w:rPr>
      <w:i/>
    </w:rPr>
  </w:style>
  <w:style w:type="character" w:styleId="917" w:customStyle="1">
    <w:name w:val="Title Char"/>
    <w:uiPriority w:val="10"/>
    <w:qFormat/>
    <w:rPr>
      <w:sz w:val="48"/>
      <w:szCs w:val="48"/>
    </w:rPr>
  </w:style>
  <w:style w:type="character" w:styleId="918" w:customStyle="1">
    <w:name w:val="Heading 9 Char"/>
    <w:uiPriority w:val="9"/>
    <w:qFormat/>
    <w:rPr>
      <w:rFonts w:ascii="Arial" w:hAnsi="Arial" w:eastAsia="Arial" w:cs="Arial"/>
      <w:i/>
      <w:iCs/>
      <w:sz w:val="21"/>
      <w:szCs w:val="21"/>
    </w:rPr>
  </w:style>
  <w:style w:type="character" w:styleId="919" w:customStyle="1">
    <w:name w:val="Heading 7 Char"/>
    <w:uiPriority w:val="9"/>
    <w:qFormat/>
    <w:rPr>
      <w:rFonts w:ascii="Arial" w:hAnsi="Arial" w:eastAsia="Arial" w:cs="Arial"/>
      <w:b/>
      <w:bCs/>
      <w:i/>
      <w:iCs/>
      <w:sz w:val="22"/>
      <w:szCs w:val="22"/>
    </w:rPr>
  </w:style>
  <w:style w:type="paragraph" w:styleId="920" w:customStyle="1">
    <w:name w:val="TOC 标题111"/>
    <w:uiPriority w:val="39"/>
    <w:unhideWhenUsed/>
    <w:qFormat/>
    <w:rPr>
      <w:rFonts w:ascii="Times New Roman" w:hAnsi="Times New Roman" w:eastAsia="宋体" w:cs="Times New Roman"/>
      <w:lang w:val="en-US" w:eastAsia="zh-CN" w:bidi="ar-SA"/>
    </w:rPr>
  </w:style>
  <w:style w:type="paragraph" w:styleId="921" w:customStyle="1">
    <w:name w:val="DAS正文"/>
    <w:basedOn w:val="772"/>
    <w:uiPriority w:val="0"/>
    <w:qFormat/>
    <w:pPr>
      <w:ind w:right="181" w:firstLine="480"/>
      <w:spacing w:line="360" w:lineRule="auto"/>
    </w:pPr>
    <w:rPr>
      <w:rFonts w:ascii="Verdana" w:hAnsi="Verdana"/>
      <w:sz w:val="24"/>
    </w:rPr>
  </w:style>
  <w:style w:type="paragraph" w:styleId="922" w:customStyle="1">
    <w:name w:val="UserStyle_0"/>
    <w:basedOn w:val="772"/>
    <w:next w:val="772"/>
    <w:uiPriority w:val="0"/>
    <w:qFormat/>
  </w:style>
  <w:style w:type="paragraph" w:styleId="923" w:customStyle="1">
    <w:name w:val="正文11"/>
    <w:next w:val="810"/>
    <w:uiPriority w:val="0"/>
    <w:qFormat/>
    <w:pPr>
      <w:jc w:val="both"/>
      <w:widowControl w:val="off"/>
    </w:pPr>
    <w:rPr>
      <w:rFonts w:ascii="Times New Roman" w:hAnsi="Times New Roman" w:eastAsia="宋体" w:cs="Times New Roman"/>
      <w:sz w:val="21"/>
      <w:szCs w:val="24"/>
      <w:lang w:val="en-US" w:eastAsia="zh-CN" w:bidi="ar-SA"/>
    </w:rPr>
  </w:style>
  <w:style w:type="paragraph" w:styleId="924" w:customStyle="1">
    <w:name w:val="列出段落"/>
    <w:basedOn w:val="772"/>
    <w:uiPriority w:val="34"/>
    <w:qFormat/>
    <w:pPr>
      <w:contextualSpacing/>
      <w:ind w:left="720"/>
    </w:pPr>
  </w:style>
  <w:style w:type="paragraph" w:styleId="925" w:customStyle="1">
    <w:name w:val="TOC 标题11"/>
    <w:uiPriority w:val="39"/>
    <w:unhideWhenUsed/>
    <w:qFormat/>
    <w:rPr>
      <w:rFonts w:ascii="Times New Roman" w:hAnsi="Times New Roman" w:eastAsia="宋体" w:cs="Times New Roman"/>
      <w:lang w:val="en-US" w:eastAsia="zh-CN" w:bidi="ar-SA"/>
    </w:rPr>
  </w:style>
  <w:style w:type="paragraph" w:styleId="926" w:customStyle="1">
    <w:name w:val="普通(网站)1"/>
    <w:basedOn w:val="923"/>
    <w:uiPriority w:val="0"/>
    <w:qFormat/>
    <w:pPr>
      <w:jc w:val="left"/>
      <w:spacing w:before="100" w:beforeAutospacing="1" w:after="100" w:afterAutospacing="1"/>
      <w:widowControl/>
    </w:pPr>
    <w:rPr>
      <w:rFonts w:ascii="宋体" w:hAnsi="宋体"/>
      <w:sz w:val="24"/>
    </w:rPr>
  </w:style>
  <w:style w:type="paragraph" w:styleId="927" w:customStyle="1">
    <w:name w:val="正文文本1"/>
    <w:basedOn w:val="811"/>
    <w:next w:val="811"/>
    <w:uiPriority w:val="0"/>
    <w:qFormat/>
    <w:pPr>
      <w:spacing w:after="120"/>
    </w:pPr>
  </w:style>
  <w:style w:type="paragraph" w:styleId="928" w:customStyle="1">
    <w:name w:val="无间隔1"/>
    <w:uiPriority w:val="0"/>
    <w:qFormat/>
    <w:rPr>
      <w:rFonts w:ascii="Times New Roman" w:hAnsi="Times New Roman" w:eastAsia="宋体" w:cs="Times New Roman"/>
      <w:sz w:val="22"/>
      <w:szCs w:val="22"/>
      <w:lang w:val="en-US" w:eastAsia="en-US" w:bidi="ar-SA"/>
    </w:rPr>
  </w:style>
  <w:style w:type="paragraph" w:styleId="929" w:customStyle="1">
    <w:name w:val="默认段落字体 Para Char Char Char Char Char Char Char"/>
    <w:basedOn w:val="772"/>
    <w:uiPriority w:val="0"/>
    <w:qFormat/>
    <w:rPr>
      <w:rFonts w:ascii="Tahoma" w:hAnsi="Tahoma"/>
      <w:sz w:val="24"/>
      <w:szCs w:val="20"/>
    </w:rPr>
  </w:style>
  <w:style w:type="paragraph" w:styleId="930" w:customStyle="1">
    <w:name w:val="普通正文"/>
    <w:basedOn w:val="772"/>
    <w:uiPriority w:val="0"/>
    <w:qFormat/>
    <w:pPr>
      <w:ind w:firstLine="480"/>
      <w:jc w:val="left"/>
      <w:spacing w:before="120" w:after="120" w:line="360" w:lineRule="auto"/>
    </w:pPr>
    <w:rPr>
      <w:rFonts w:ascii="Arial" w:hAnsi="Arial"/>
      <w:sz w:val="24"/>
    </w:rPr>
  </w:style>
  <w:style w:type="paragraph" w:styleId="931" w:customStyle="1">
    <w:name w:val="Char"/>
    <w:basedOn w:val="772"/>
    <w:uiPriority w:val="0"/>
    <w:qFormat/>
    <w:pPr>
      <w:tabs>
        <w:tab w:val="left" w:pos="360" w:leader="none"/>
      </w:tabs>
    </w:pPr>
    <w:rPr>
      <w:sz w:val="24"/>
    </w:rPr>
  </w:style>
  <w:style w:type="paragraph" w:styleId="932" w:customStyle="1">
    <w:name w:val="_HT_正文"/>
    <w:basedOn w:val="772"/>
    <w:uiPriority w:val="0"/>
    <w:qFormat/>
    <w:pPr>
      <w:ind w:firstLine="200"/>
      <w:spacing w:line="360" w:lineRule="auto"/>
    </w:pPr>
    <w:rPr>
      <w:sz w:val="24"/>
    </w:rPr>
  </w:style>
  <w:style w:type="paragraph" w:styleId="933" w:customStyle="1">
    <w:name w:val="p0"/>
    <w:basedOn w:val="772"/>
    <w:uiPriority w:val="0"/>
    <w:qFormat/>
    <w:pPr>
      <w:widowControl/>
    </w:pPr>
    <w:rPr>
      <w:szCs w:val="21"/>
    </w:rPr>
  </w:style>
  <w:style w:type="paragraph" w:styleId="934" w:customStyle="1">
    <w:name w:val="段"/>
    <w:basedOn w:val="772"/>
    <w:next w:val="772"/>
    <w:uiPriority w:val="0"/>
    <w:qFormat/>
    <w:pPr>
      <w:ind w:firstLine="200"/>
      <w:widowControl/>
    </w:pPr>
    <w:rPr>
      <w:rFonts w:hint="eastAsia" w:ascii="宋体"/>
      <w:sz w:val="20"/>
      <w:szCs w:val="20"/>
    </w:rPr>
  </w:style>
  <w:style w:type="paragraph" w:styleId="935" w:customStyle="1">
    <w:name w:val="无间隔2"/>
    <w:uiPriority w:val="1"/>
    <w:qFormat/>
    <w:rPr>
      <w:rFonts w:ascii="Times New Roman" w:hAnsi="Times New Roman" w:eastAsia="宋体" w:cs="Times New Roman"/>
      <w:lang w:val="en-US" w:eastAsia="zh-CN" w:bidi="ar-SA"/>
    </w:rPr>
  </w:style>
  <w:style w:type="paragraph" w:styleId="936" w:customStyle="1">
    <w:name w:val="正文49"/>
    <w:uiPriority w:val="0"/>
    <w:qFormat/>
    <w:pPr>
      <w:jc w:val="both"/>
      <w:widowControl w:val="off"/>
    </w:pPr>
    <w:rPr>
      <w:rFonts w:ascii="Times New Roman" w:hAnsi="Times New Roman" w:eastAsia="宋体" w:cs="Times New Roman"/>
      <w:sz w:val="21"/>
      <w:szCs w:val="22"/>
      <w:lang w:val="en-US" w:eastAsia="zh-CN" w:bidi="ar-SA"/>
    </w:rPr>
  </w:style>
  <w:style w:type="paragraph" w:styleId="937" w:customStyle="1">
    <w:name w:val="章标题"/>
    <w:next w:val="77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8" w:customStyle="1">
    <w:name w:val="一级条标题"/>
    <w:basedOn w:val="937"/>
    <w:next w:val="934"/>
    <w:uiPriority w:val="0"/>
    <w:qFormat/>
    <w:pPr>
      <w:ind w:left="907" w:hanging="907"/>
      <w:spacing w:before="0" w:after="0"/>
      <w:tabs>
        <w:tab w:val="left" w:pos="907" w:leader="none"/>
      </w:tabs>
      <w:outlineLvl w:val="2"/>
    </w:pPr>
    <w:rPr>
      <w:rFonts w:hAnsi="宋体"/>
      <w:sz w:val="20"/>
      <w:szCs w:val="20"/>
    </w:rPr>
  </w:style>
  <w:style w:type="paragraph" w:styleId="939" w:customStyle="1">
    <w:name w:val="投标文件正文"/>
    <w:basedOn w:val="772"/>
    <w:uiPriority w:val="0"/>
    <w:qFormat/>
    <w:pPr>
      <w:ind w:firstLine="200"/>
      <w:spacing w:before="40" w:after="40" w:line="400" w:lineRule="exact"/>
    </w:pPr>
    <w:rPr>
      <w:sz w:val="24"/>
    </w:rPr>
  </w:style>
  <w:style w:type="table" w:styleId="940" w:customStyle="1">
    <w:name w:val="List Table 5 Dark - Accent 6"/>
    <w:basedOn w:val="814"/>
    <w:uiPriority w:val="99"/>
    <w:qFormat/>
    <w:tblPr/>
  </w:style>
  <w:style w:type="table" w:styleId="941" w:customStyle="1">
    <w:name w:val="Grid Table 1 Light - Accent 3"/>
    <w:basedOn w:val="814"/>
    <w:uiPriority w:val="99"/>
    <w:qFormat/>
    <w:tblPr/>
  </w:style>
  <w:style w:type="table" w:styleId="942" w:customStyle="1">
    <w:name w:val="Grid Table 1 Light - Accent 2"/>
    <w:basedOn w:val="814"/>
    <w:uiPriority w:val="99"/>
    <w:qFormat/>
    <w:tblPr/>
  </w:style>
  <w:style w:type="table" w:styleId="943" w:customStyle="1">
    <w:name w:val="List Table 3 - Accent 3"/>
    <w:basedOn w:val="814"/>
    <w:uiPriority w:val="99"/>
    <w:qFormat/>
    <w:tblPr/>
  </w:style>
  <w:style w:type="table" w:styleId="944" w:customStyle="1">
    <w:name w:val="Grid Table 2 - Accent 1"/>
    <w:basedOn w:val="814"/>
    <w:uiPriority w:val="99"/>
    <w:qFormat/>
    <w:tblPr/>
  </w:style>
  <w:style w:type="table" w:styleId="945" w:customStyle="1">
    <w:name w:val="Bordered - Accent 4"/>
    <w:basedOn w:val="814"/>
    <w:uiPriority w:val="99"/>
    <w:qFormat/>
    <w:tblPr/>
  </w:style>
  <w:style w:type="table" w:styleId="946" w:customStyle="1">
    <w:name w:val="Grid Table 1 Light - Accent 5"/>
    <w:basedOn w:val="814"/>
    <w:uiPriority w:val="99"/>
    <w:qFormat/>
    <w:tblPr/>
  </w:style>
  <w:style w:type="table" w:styleId="947" w:customStyle="1">
    <w:name w:val="Grid Table 2 - Accent 5"/>
    <w:basedOn w:val="814"/>
    <w:uiPriority w:val="99"/>
    <w:qFormat/>
    <w:tblPr/>
  </w:style>
  <w:style w:type="table" w:styleId="948" w:customStyle="1">
    <w:name w:val="List Table 4 - Accent 2"/>
    <w:basedOn w:val="814"/>
    <w:uiPriority w:val="99"/>
    <w:qFormat/>
    <w:tblPr/>
  </w:style>
  <w:style w:type="table" w:styleId="949" w:customStyle="1">
    <w:name w:val="Grid Table 5 Dark - Accent 2"/>
    <w:basedOn w:val="814"/>
    <w:uiPriority w:val="99"/>
    <w:qFormat/>
    <w:tblPr/>
  </w:style>
  <w:style w:type="table" w:styleId="950" w:customStyle="1">
    <w:name w:val="List Table 2 - Accent 1"/>
    <w:basedOn w:val="814"/>
    <w:uiPriority w:val="99"/>
    <w:qFormat/>
    <w:tblPr/>
  </w:style>
  <w:style w:type="table" w:styleId="951" w:customStyle="1">
    <w:name w:val="List Table 6 Colorful - Accent 1"/>
    <w:basedOn w:val="814"/>
    <w:uiPriority w:val="99"/>
    <w:qFormat/>
    <w:tblPr/>
  </w:style>
  <w:style w:type="table" w:styleId="952" w:customStyle="1">
    <w:name w:val="Grid Table 1 Light - Accent 1"/>
    <w:basedOn w:val="814"/>
    <w:uiPriority w:val="99"/>
    <w:qFormat/>
    <w:tblPr/>
  </w:style>
  <w:style w:type="table" w:styleId="953" w:customStyle="1">
    <w:name w:val="Grid Table 3 - Accent 3"/>
    <w:basedOn w:val="814"/>
    <w:uiPriority w:val="99"/>
    <w:qFormat/>
    <w:tblPr/>
  </w:style>
  <w:style w:type="table" w:styleId="954" w:customStyle="1">
    <w:name w:val="Bordered &amp; Lined - Accent 4"/>
    <w:basedOn w:val="814"/>
    <w:uiPriority w:val="99"/>
    <w:qFormat/>
    <w:rPr>
      <w:color w:val="404040"/>
    </w:rPr>
    <w:tblPr/>
  </w:style>
  <w:style w:type="table" w:styleId="955" w:customStyle="1">
    <w:name w:val="List Table 2 - Accent 2"/>
    <w:basedOn w:val="814"/>
    <w:uiPriority w:val="99"/>
    <w:qFormat/>
    <w:tblPr/>
  </w:style>
  <w:style w:type="table" w:styleId="956" w:customStyle="1">
    <w:name w:val="Lined - Accent 5"/>
    <w:basedOn w:val="814"/>
    <w:uiPriority w:val="99"/>
    <w:qFormat/>
    <w:rPr>
      <w:color w:val="404040"/>
    </w:rPr>
    <w:tblPr/>
  </w:style>
  <w:style w:type="table" w:styleId="957" w:customStyle="1">
    <w:name w:val="Bordered - Accent 6"/>
    <w:basedOn w:val="814"/>
    <w:uiPriority w:val="99"/>
    <w:qFormat/>
    <w:tblPr/>
  </w:style>
  <w:style w:type="table" w:styleId="958" w:customStyle="1">
    <w:name w:val="Grid Table 5 Dark- Accent 1"/>
    <w:basedOn w:val="814"/>
    <w:uiPriority w:val="99"/>
    <w:qFormat/>
    <w:tblPr/>
  </w:style>
  <w:style w:type="table" w:styleId="959" w:customStyle="1">
    <w:name w:val="Grid Table 6 Colorful - Accent 6"/>
    <w:basedOn w:val="814"/>
    <w:uiPriority w:val="99"/>
    <w:qFormat/>
    <w:tblPr/>
  </w:style>
  <w:style w:type="table" w:styleId="960" w:customStyle="1">
    <w:name w:val="List Table 3 - Accent 5"/>
    <w:basedOn w:val="814"/>
    <w:uiPriority w:val="99"/>
    <w:qFormat/>
    <w:tblPr/>
  </w:style>
  <w:style w:type="table" w:styleId="961" w:customStyle="1">
    <w:name w:val="Grid Table 4 - Accent 6"/>
    <w:basedOn w:val="814"/>
    <w:uiPriority w:val="59"/>
    <w:qFormat/>
    <w:tblPr/>
  </w:style>
  <w:style w:type="table" w:styleId="962" w:customStyle="1">
    <w:name w:val="Bordered - Accent 3"/>
    <w:basedOn w:val="814"/>
    <w:uiPriority w:val="99"/>
    <w:qFormat/>
    <w:tblPr/>
  </w:style>
  <w:style w:type="table" w:styleId="963" w:customStyle="1">
    <w:name w:val="List Table 4 - Accent 3"/>
    <w:basedOn w:val="814"/>
    <w:uiPriority w:val="99"/>
    <w:qFormat/>
    <w:tblPr/>
  </w:style>
  <w:style w:type="table" w:styleId="964" w:customStyle="1">
    <w:name w:val="Grid Table 2 - Accent 6"/>
    <w:basedOn w:val="814"/>
    <w:uiPriority w:val="99"/>
    <w:qFormat/>
    <w:tblPr/>
  </w:style>
  <w:style w:type="table" w:styleId="965" w:customStyle="1">
    <w:name w:val="List Table 4 - Accent 4"/>
    <w:basedOn w:val="814"/>
    <w:uiPriority w:val="99"/>
    <w:qFormat/>
    <w:tblPr/>
  </w:style>
  <w:style w:type="table" w:styleId="966" w:customStyle="1">
    <w:name w:val="Lined - Accent 3"/>
    <w:basedOn w:val="814"/>
    <w:uiPriority w:val="99"/>
    <w:qFormat/>
    <w:rPr>
      <w:color w:val="404040"/>
    </w:rPr>
    <w:tblPr/>
  </w:style>
  <w:style w:type="table" w:styleId="967" w:customStyle="1">
    <w:name w:val="Grid Table 2 - Accent 2"/>
    <w:basedOn w:val="814"/>
    <w:uiPriority w:val="99"/>
    <w:qFormat/>
    <w:tblPr/>
  </w:style>
  <w:style w:type="table" w:styleId="968" w:customStyle="1">
    <w:name w:val="Grid Table 7 Colorful - Accent 3"/>
    <w:basedOn w:val="814"/>
    <w:uiPriority w:val="99"/>
    <w:qFormat/>
    <w:tblPr/>
  </w:style>
  <w:style w:type="table" w:styleId="969" w:customStyle="1">
    <w:name w:val="List Table 5 Dark - Accent 2"/>
    <w:basedOn w:val="814"/>
    <w:uiPriority w:val="99"/>
    <w:qFormat/>
    <w:tblPr/>
  </w:style>
  <w:style w:type="table" w:styleId="970" w:customStyle="1">
    <w:name w:val="List Table 1 Light - Accent 5"/>
    <w:basedOn w:val="814"/>
    <w:uiPriority w:val="99"/>
    <w:qFormat/>
    <w:tblPr/>
  </w:style>
  <w:style w:type="table" w:styleId="971" w:customStyle="1">
    <w:name w:val="List Table 1 Light - Accent 2"/>
    <w:basedOn w:val="814"/>
    <w:uiPriority w:val="99"/>
    <w:qFormat/>
    <w:tblPr/>
  </w:style>
  <w:style w:type="table" w:styleId="972" w:customStyle="1">
    <w:name w:val="Bordered &amp; Lined - Accent 2"/>
    <w:basedOn w:val="814"/>
    <w:uiPriority w:val="99"/>
    <w:qFormat/>
    <w:rPr>
      <w:color w:val="404040"/>
    </w:rPr>
    <w:tblPr/>
  </w:style>
  <w:style w:type="table" w:styleId="973" w:customStyle="1">
    <w:name w:val="List Table 1 Light - Accent 3"/>
    <w:basedOn w:val="814"/>
    <w:uiPriority w:val="99"/>
    <w:qFormat/>
    <w:tblPr/>
  </w:style>
  <w:style w:type="table" w:styleId="974" w:customStyle="1">
    <w:name w:val="Lined - Accent 2"/>
    <w:basedOn w:val="814"/>
    <w:uiPriority w:val="99"/>
    <w:qFormat/>
    <w:rPr>
      <w:color w:val="404040"/>
    </w:rPr>
    <w:tblPr/>
  </w:style>
  <w:style w:type="table" w:styleId="975" w:customStyle="1">
    <w:name w:val="List Table 6 Colorful - Accent 4"/>
    <w:basedOn w:val="814"/>
    <w:uiPriority w:val="99"/>
    <w:qFormat/>
    <w:tblPr/>
  </w:style>
  <w:style w:type="table" w:styleId="976" w:customStyle="1">
    <w:name w:val="Grid Table 6 Colorful - Accent 3"/>
    <w:basedOn w:val="814"/>
    <w:uiPriority w:val="99"/>
    <w:qFormat/>
    <w:tblPr/>
  </w:style>
  <w:style w:type="table" w:styleId="977" w:customStyle="1">
    <w:name w:val="List Table 5 Dark - Accent 5"/>
    <w:basedOn w:val="814"/>
    <w:uiPriority w:val="99"/>
    <w:qFormat/>
    <w:tblPr/>
  </w:style>
  <w:style w:type="table" w:styleId="978" w:customStyle="1">
    <w:name w:val="List Table 7 Colorful - Accent 3"/>
    <w:basedOn w:val="814"/>
    <w:uiPriority w:val="99"/>
    <w:qFormat/>
    <w:tblPr/>
  </w:style>
  <w:style w:type="table" w:styleId="979" w:customStyle="1">
    <w:name w:val="Grid Table 4 - Accent 2"/>
    <w:basedOn w:val="814"/>
    <w:uiPriority w:val="59"/>
    <w:qFormat/>
    <w:tblPr/>
  </w:style>
  <w:style w:type="table" w:styleId="980" w:customStyle="1">
    <w:name w:val="List Table 3 - Accent 2"/>
    <w:basedOn w:val="814"/>
    <w:uiPriority w:val="99"/>
    <w:qFormat/>
    <w:tblPr/>
  </w:style>
  <w:style w:type="table" w:styleId="981" w:customStyle="1">
    <w:name w:val="Bordered &amp; Lined - Accent 3"/>
    <w:basedOn w:val="814"/>
    <w:uiPriority w:val="99"/>
    <w:qFormat/>
    <w:rPr>
      <w:color w:val="404040"/>
    </w:rPr>
    <w:tblPr/>
  </w:style>
  <w:style w:type="table" w:styleId="982" w:customStyle="1">
    <w:name w:val="List Table 4 - Accent 6"/>
    <w:basedOn w:val="814"/>
    <w:uiPriority w:val="99"/>
    <w:qFormat/>
    <w:tblPr/>
  </w:style>
  <w:style w:type="table" w:styleId="983" w:customStyle="1">
    <w:name w:val="Grid Table 5 Dark - Accent 6"/>
    <w:basedOn w:val="814"/>
    <w:uiPriority w:val="99"/>
    <w:qFormat/>
    <w:tblPr/>
  </w:style>
  <w:style w:type="table" w:styleId="984" w:customStyle="1">
    <w:name w:val="Lined - Accent 6"/>
    <w:basedOn w:val="814"/>
    <w:uiPriority w:val="99"/>
    <w:qFormat/>
    <w:rPr>
      <w:color w:val="404040"/>
    </w:rPr>
    <w:tblPr/>
  </w:style>
  <w:style w:type="table" w:styleId="985" w:customStyle="1">
    <w:name w:val="List Table 6 Colorful - Accent 5"/>
    <w:basedOn w:val="814"/>
    <w:uiPriority w:val="99"/>
    <w:qFormat/>
    <w:tblPr/>
  </w:style>
  <w:style w:type="table" w:styleId="986" w:customStyle="1">
    <w:name w:val="List Table 7 Colorful - Accent 1"/>
    <w:basedOn w:val="814"/>
    <w:uiPriority w:val="99"/>
    <w:qFormat/>
    <w:tblPr/>
  </w:style>
  <w:style w:type="table" w:styleId="987" w:customStyle="1">
    <w:name w:val="Bordered &amp; Lined - Accent 1"/>
    <w:basedOn w:val="814"/>
    <w:uiPriority w:val="99"/>
    <w:qFormat/>
    <w:rPr>
      <w:color w:val="404040"/>
    </w:rPr>
    <w:tblPr/>
  </w:style>
  <w:style w:type="table" w:styleId="988" w:customStyle="1">
    <w:name w:val="List Table 1 Light - Accent 6"/>
    <w:basedOn w:val="814"/>
    <w:uiPriority w:val="99"/>
    <w:qFormat/>
    <w:tblPr/>
  </w:style>
  <w:style w:type="table" w:styleId="989" w:customStyle="1">
    <w:name w:val="Grid Table 6 Colorful - Accent 2"/>
    <w:basedOn w:val="814"/>
    <w:uiPriority w:val="99"/>
    <w:qFormat/>
    <w:tblPr/>
  </w:style>
  <w:style w:type="table" w:styleId="990" w:customStyle="1">
    <w:name w:val="Bordered"/>
    <w:basedOn w:val="814"/>
    <w:uiPriority w:val="99"/>
    <w:qFormat/>
    <w:tblPr/>
  </w:style>
  <w:style w:type="table" w:styleId="991" w:customStyle="1">
    <w:name w:val="Grid Table 1 Light - Accent 4"/>
    <w:basedOn w:val="814"/>
    <w:uiPriority w:val="99"/>
    <w:qFormat/>
    <w:tblPr/>
  </w:style>
  <w:style w:type="table" w:styleId="992" w:customStyle="1">
    <w:name w:val="List Table 3 - Accent 1"/>
    <w:basedOn w:val="814"/>
    <w:uiPriority w:val="99"/>
    <w:qFormat/>
    <w:tblPr/>
  </w:style>
  <w:style w:type="table" w:styleId="993" w:customStyle="1">
    <w:name w:val="Grid Table 3 - Accent 6"/>
    <w:basedOn w:val="814"/>
    <w:uiPriority w:val="99"/>
    <w:qFormat/>
    <w:tblPr/>
  </w:style>
  <w:style w:type="table" w:styleId="994" w:customStyle="1">
    <w:name w:val="Grid Table 3 - Accent 1"/>
    <w:basedOn w:val="814"/>
    <w:uiPriority w:val="99"/>
    <w:qFormat/>
    <w:tblPr/>
  </w:style>
  <w:style w:type="table" w:styleId="995" w:customStyle="1">
    <w:name w:val="List Table 4 - Accent 5"/>
    <w:basedOn w:val="814"/>
    <w:uiPriority w:val="99"/>
    <w:qFormat/>
    <w:tblPr/>
  </w:style>
  <w:style w:type="table" w:styleId="996" w:customStyle="1">
    <w:name w:val="Grid Table 7 Colorful - Accent 1"/>
    <w:basedOn w:val="814"/>
    <w:uiPriority w:val="99"/>
    <w:qFormat/>
    <w:tblPr/>
  </w:style>
  <w:style w:type="table" w:styleId="997" w:customStyle="1">
    <w:name w:val="List Table 2 - Accent 6"/>
    <w:basedOn w:val="814"/>
    <w:uiPriority w:val="99"/>
    <w:qFormat/>
    <w:tblPr/>
  </w:style>
  <w:style w:type="table" w:styleId="998" w:customStyle="1">
    <w:name w:val="List Table 6 Colorful - Accent 2"/>
    <w:basedOn w:val="814"/>
    <w:uiPriority w:val="99"/>
    <w:qFormat/>
    <w:tblPr/>
  </w:style>
  <w:style w:type="table" w:styleId="999" w:customStyle="1">
    <w:name w:val="Bordered &amp; Lined - Accent 6"/>
    <w:basedOn w:val="814"/>
    <w:uiPriority w:val="99"/>
    <w:qFormat/>
    <w:rPr>
      <w:color w:val="404040"/>
    </w:rPr>
    <w:tblPr/>
  </w:style>
  <w:style w:type="table" w:styleId="1000" w:customStyle="1">
    <w:name w:val="Bordered - Accent 5"/>
    <w:basedOn w:val="814"/>
    <w:uiPriority w:val="99"/>
    <w:qFormat/>
    <w:tblPr/>
  </w:style>
  <w:style w:type="table" w:styleId="1001" w:customStyle="1">
    <w:name w:val="List Table 2 - Accent 4"/>
    <w:basedOn w:val="814"/>
    <w:uiPriority w:val="99"/>
    <w:qFormat/>
    <w:tblPr/>
  </w:style>
  <w:style w:type="table" w:styleId="1002" w:customStyle="1">
    <w:name w:val="List Table 3 - Accent 6"/>
    <w:basedOn w:val="814"/>
    <w:uiPriority w:val="99"/>
    <w:qFormat/>
    <w:tblPr/>
  </w:style>
  <w:style w:type="table" w:styleId="1003" w:customStyle="1">
    <w:name w:val="List Table 2 - Accent 3"/>
    <w:basedOn w:val="814"/>
    <w:uiPriority w:val="99"/>
    <w:qFormat/>
    <w:tblPr/>
  </w:style>
  <w:style w:type="table" w:styleId="1004" w:customStyle="1">
    <w:name w:val="List Table 5 Dark - Accent 3"/>
    <w:basedOn w:val="814"/>
    <w:uiPriority w:val="99"/>
    <w:qFormat/>
    <w:tblPr/>
  </w:style>
  <w:style w:type="table" w:styleId="1005" w:customStyle="1">
    <w:name w:val="Grid Table 7 Colorful - Accent 2"/>
    <w:basedOn w:val="814"/>
    <w:uiPriority w:val="99"/>
    <w:qFormat/>
    <w:tblPr/>
  </w:style>
  <w:style w:type="table" w:styleId="1006" w:customStyle="1">
    <w:name w:val="Grid Table 3 - Accent 5"/>
    <w:basedOn w:val="814"/>
    <w:uiPriority w:val="99"/>
    <w:qFormat/>
    <w:tblPr/>
  </w:style>
  <w:style w:type="table" w:styleId="1007" w:customStyle="1">
    <w:name w:val="Grid Table 2 - Accent 3"/>
    <w:basedOn w:val="814"/>
    <w:uiPriority w:val="99"/>
    <w:qFormat/>
    <w:tblPr/>
  </w:style>
  <w:style w:type="table" w:styleId="1008" w:customStyle="1">
    <w:name w:val="List Table 2 - Accent 5"/>
    <w:basedOn w:val="814"/>
    <w:uiPriority w:val="99"/>
    <w:qFormat/>
    <w:tblPr/>
  </w:style>
  <w:style w:type="table" w:styleId="1009" w:customStyle="1">
    <w:name w:val="Bordered - Accent 1"/>
    <w:basedOn w:val="814"/>
    <w:uiPriority w:val="99"/>
    <w:qFormat/>
    <w:tblPr/>
  </w:style>
  <w:style w:type="table" w:styleId="1010" w:customStyle="1">
    <w:name w:val="List Table 1 Light - Accent 4"/>
    <w:basedOn w:val="814"/>
    <w:uiPriority w:val="99"/>
    <w:qFormat/>
    <w:tblPr/>
  </w:style>
  <w:style w:type="table" w:styleId="1011" w:customStyle="1">
    <w:name w:val="Grid Table 4 - Accent 5"/>
    <w:basedOn w:val="814"/>
    <w:uiPriority w:val="59"/>
    <w:qFormat/>
    <w:tblPr/>
  </w:style>
  <w:style w:type="table" w:styleId="1012" w:customStyle="1">
    <w:name w:val="Grid Table 5 Dark - Accent 3"/>
    <w:basedOn w:val="814"/>
    <w:uiPriority w:val="99"/>
    <w:qFormat/>
    <w:tblPr/>
  </w:style>
  <w:style w:type="table" w:styleId="1013" w:customStyle="1">
    <w:name w:val="Grid Table 3 - Accent 4"/>
    <w:basedOn w:val="814"/>
    <w:uiPriority w:val="99"/>
    <w:qFormat/>
    <w:tblPr/>
  </w:style>
  <w:style w:type="table" w:styleId="1014" w:customStyle="1">
    <w:name w:val="Grid Table 7 Colorful - Accent 4"/>
    <w:basedOn w:val="814"/>
    <w:uiPriority w:val="99"/>
    <w:qFormat/>
    <w:tblPr/>
  </w:style>
  <w:style w:type="table" w:styleId="1015" w:customStyle="1">
    <w:name w:val="Grid Table 1 Light - Accent 6"/>
    <w:basedOn w:val="814"/>
    <w:uiPriority w:val="99"/>
    <w:qFormat/>
    <w:tblPr/>
  </w:style>
  <w:style w:type="table" w:styleId="1016" w:customStyle="1">
    <w:name w:val="Bordered &amp; Lined - Accent"/>
    <w:basedOn w:val="814"/>
    <w:uiPriority w:val="99"/>
    <w:qFormat/>
    <w:rPr>
      <w:color w:val="404040"/>
    </w:rPr>
    <w:tblPr/>
  </w:style>
  <w:style w:type="table" w:styleId="1017" w:customStyle="1">
    <w:name w:val="List Table 7 Colorful - Accent 2"/>
    <w:basedOn w:val="814"/>
    <w:uiPriority w:val="99"/>
    <w:qFormat/>
    <w:tblPr/>
  </w:style>
  <w:style w:type="table" w:styleId="1018" w:customStyle="1">
    <w:name w:val="Grid Table 7 Colorful - Accent 5"/>
    <w:basedOn w:val="814"/>
    <w:uiPriority w:val="99"/>
    <w:qFormat/>
    <w:tblPr/>
  </w:style>
  <w:style w:type="table" w:styleId="1019" w:customStyle="1">
    <w:name w:val="Lined - Accent"/>
    <w:basedOn w:val="814"/>
    <w:uiPriority w:val="99"/>
    <w:qFormat/>
    <w:rPr>
      <w:color w:val="404040"/>
    </w:rPr>
    <w:tblPr/>
  </w:style>
  <w:style w:type="table" w:styleId="1020" w:customStyle="1">
    <w:name w:val="Grid Table 6 Colorful - Accent 5"/>
    <w:basedOn w:val="814"/>
    <w:uiPriority w:val="99"/>
    <w:qFormat/>
    <w:tblPr/>
  </w:style>
  <w:style w:type="table" w:styleId="1021" w:customStyle="1">
    <w:name w:val="List Table 7 Colorful - Accent 4"/>
    <w:basedOn w:val="814"/>
    <w:uiPriority w:val="99"/>
    <w:qFormat/>
    <w:tblPr/>
  </w:style>
  <w:style w:type="table" w:styleId="1022" w:customStyle="1">
    <w:name w:val="List Table 6 Colorful - Accent 3"/>
    <w:basedOn w:val="814"/>
    <w:uiPriority w:val="99"/>
    <w:qFormat/>
    <w:tblPr/>
  </w:style>
  <w:style w:type="table" w:styleId="1023" w:customStyle="1">
    <w:name w:val="List Table 7 Colorful - Accent 6"/>
    <w:basedOn w:val="814"/>
    <w:uiPriority w:val="99"/>
    <w:qFormat/>
    <w:tblPr/>
  </w:style>
  <w:style w:type="table" w:styleId="1024" w:customStyle="1">
    <w:name w:val="Grid Table 5 Dark - Accent 5"/>
    <w:basedOn w:val="814"/>
    <w:uiPriority w:val="99"/>
    <w:qFormat/>
    <w:tblPr/>
  </w:style>
  <w:style w:type="table" w:styleId="1025" w:customStyle="1">
    <w:name w:val="List Table 5 Dark - Accent 1"/>
    <w:basedOn w:val="814"/>
    <w:uiPriority w:val="99"/>
    <w:qFormat/>
    <w:tblPr/>
  </w:style>
  <w:style w:type="table" w:styleId="1026" w:customStyle="1">
    <w:name w:val="Bordered - Accent 2"/>
    <w:basedOn w:val="814"/>
    <w:uiPriority w:val="99"/>
    <w:qFormat/>
    <w:tblPr/>
  </w:style>
  <w:style w:type="table" w:styleId="1027" w:customStyle="1">
    <w:name w:val="List Table 1 Light - Accent 1"/>
    <w:basedOn w:val="814"/>
    <w:uiPriority w:val="99"/>
    <w:qFormat/>
    <w:tblPr/>
  </w:style>
  <w:style w:type="table" w:styleId="1028" w:customStyle="1">
    <w:name w:val="List Table 3 - Accent 4"/>
    <w:basedOn w:val="814"/>
    <w:uiPriority w:val="99"/>
    <w:qFormat/>
    <w:tblPr/>
  </w:style>
  <w:style w:type="table" w:styleId="1029" w:customStyle="1">
    <w:name w:val="Grid Table 6 Colorful - Accent 4"/>
    <w:basedOn w:val="814"/>
    <w:uiPriority w:val="99"/>
    <w:qFormat/>
    <w:tblPr/>
  </w:style>
  <w:style w:type="table" w:styleId="1030" w:customStyle="1">
    <w:name w:val="Grid Table 4 - Accent 4"/>
    <w:basedOn w:val="814"/>
    <w:uiPriority w:val="59"/>
    <w:qFormat/>
    <w:tblPr/>
  </w:style>
  <w:style w:type="table" w:styleId="1031" w:customStyle="1">
    <w:name w:val="List Table 4 - Accent 1"/>
    <w:basedOn w:val="814"/>
    <w:uiPriority w:val="99"/>
    <w:qFormat/>
    <w:tblPr/>
  </w:style>
  <w:style w:type="table" w:styleId="1032" w:customStyle="1">
    <w:name w:val="Grid Table 7 Colorful - Accent 6"/>
    <w:basedOn w:val="814"/>
    <w:uiPriority w:val="99"/>
    <w:qFormat/>
    <w:tblPr/>
  </w:style>
  <w:style w:type="table" w:styleId="1033" w:customStyle="1">
    <w:name w:val="Grid Table 2 - Accent 4"/>
    <w:basedOn w:val="814"/>
    <w:uiPriority w:val="99"/>
    <w:qFormat/>
    <w:tblPr/>
  </w:style>
  <w:style w:type="table" w:styleId="1034" w:customStyle="1">
    <w:name w:val="Table Grid Light"/>
    <w:basedOn w:val="814"/>
    <w:uiPriority w:val="59"/>
    <w:qFormat/>
    <w:tblPr/>
  </w:style>
  <w:style w:type="table" w:styleId="1035" w:customStyle="1">
    <w:name w:val="Grid Table 4 - Accent 1"/>
    <w:basedOn w:val="814"/>
    <w:uiPriority w:val="59"/>
    <w:qFormat/>
    <w:tblPr/>
  </w:style>
  <w:style w:type="table" w:styleId="1036" w:customStyle="1">
    <w:name w:val="Grid Table 6 Colorful - Accent 1"/>
    <w:basedOn w:val="814"/>
    <w:uiPriority w:val="99"/>
    <w:qFormat/>
    <w:tblPr/>
  </w:style>
  <w:style w:type="table" w:styleId="1037" w:customStyle="1">
    <w:name w:val="List Table 7 Colorful - Accent 5"/>
    <w:basedOn w:val="814"/>
    <w:uiPriority w:val="99"/>
    <w:qFormat/>
    <w:tblPr/>
  </w:style>
  <w:style w:type="table" w:styleId="1038" w:customStyle="1">
    <w:name w:val="List Table 5 Dark - Accent 4"/>
    <w:basedOn w:val="814"/>
    <w:uiPriority w:val="99"/>
    <w:qFormat/>
    <w:tblPr/>
  </w:style>
  <w:style w:type="table" w:styleId="1039" w:customStyle="1">
    <w:name w:val="Grid Table 4 - Accent 3"/>
    <w:basedOn w:val="814"/>
    <w:uiPriority w:val="59"/>
    <w:qFormat/>
    <w:tblPr/>
  </w:style>
  <w:style w:type="table" w:styleId="1040" w:customStyle="1">
    <w:name w:val="Lined - Accent 1"/>
    <w:basedOn w:val="814"/>
    <w:uiPriority w:val="99"/>
    <w:qFormat/>
    <w:rPr>
      <w:color w:val="404040"/>
    </w:rPr>
    <w:tblPr/>
  </w:style>
  <w:style w:type="table" w:styleId="1041" w:customStyle="1">
    <w:name w:val="Grid Table 3 - Accent 2"/>
    <w:basedOn w:val="814"/>
    <w:uiPriority w:val="99"/>
    <w:qFormat/>
    <w:tblPr/>
  </w:style>
  <w:style w:type="table" w:styleId="1042" w:customStyle="1">
    <w:name w:val="Lined - Accent 4"/>
    <w:basedOn w:val="814"/>
    <w:uiPriority w:val="99"/>
    <w:qFormat/>
    <w:rPr>
      <w:color w:val="404040"/>
    </w:rPr>
    <w:tblPr/>
  </w:style>
  <w:style w:type="table" w:styleId="1043" w:customStyle="1">
    <w:name w:val="Grid Table 5 Dark- Accent 4"/>
    <w:basedOn w:val="814"/>
    <w:uiPriority w:val="99"/>
    <w:qFormat/>
    <w:tblPr/>
  </w:style>
  <w:style w:type="table" w:styleId="1044" w:customStyle="1">
    <w:name w:val="Bordered &amp; Lined - Accent 5"/>
    <w:basedOn w:val="814"/>
    <w:uiPriority w:val="99"/>
    <w:qFormat/>
    <w:rPr>
      <w:color w:val="404040"/>
    </w:rPr>
    <w:tblPr/>
  </w:style>
  <w:style w:type="table" w:styleId="1045" w:customStyle="1">
    <w:name w:val="List Table 6 Colorful - Accent 6"/>
    <w:basedOn w:val="814"/>
    <w:uiPriority w:val="99"/>
    <w:qFormat/>
    <w:tbl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赵长城</cp:lastModifiedBy>
  <cp:revision>25</cp:revision>
  <dcterms:created xsi:type="dcterms:W3CDTF">2023-11-17T06:31:00Z</dcterms:created>
  <dcterms:modified xsi:type="dcterms:W3CDTF">2024-10-24T02:46:41Z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EC4D28BAF0164139A5F0F9E07DEADAF4_12</vt:lpwstr>
  </property>
</Properties>
</file>