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83F7AB">
      <w:pPr>
        <w:spacing w:line="420" w:lineRule="auto"/>
        <w:ind w:firstLine="720"/>
        <w:jc w:val="center"/>
        <w:rPr>
          <w:rFonts w:eastAsia="黑体"/>
          <w:sz w:val="36"/>
        </w:rPr>
      </w:pPr>
      <w:r>
        <w:rPr>
          <w:rFonts w:hint="eastAsia" w:eastAsia="黑体"/>
          <w:sz w:val="36"/>
        </w:rPr>
        <w:t xml:space="preserve"> </w:t>
      </w:r>
    </w:p>
    <w:p w14:paraId="2499E332">
      <w:pPr>
        <w:spacing w:line="420" w:lineRule="auto"/>
        <w:jc w:val="center"/>
        <w:rPr>
          <w:rFonts w:ascii="方正小标宋_GBK" w:hAnsi="方正小标宋_GBK" w:eastAsia="方正小标宋_GBK" w:cs="方正小标宋_GBK"/>
          <w:bCs/>
          <w:sz w:val="72"/>
          <w:szCs w:val="72"/>
        </w:rPr>
      </w:pPr>
      <w:r>
        <w:rPr>
          <w:rFonts w:hint="eastAsia" w:ascii="方正小标宋_GBK" w:hAnsi="方正小标宋_GBK" w:eastAsia="方正小标宋_GBK" w:cs="方正小标宋_GBK"/>
          <w:bCs/>
          <w:sz w:val="72"/>
          <w:szCs w:val="72"/>
        </w:rPr>
        <w:t>滨海县政府采购招标文件</w:t>
      </w:r>
    </w:p>
    <w:p w14:paraId="40303740">
      <w:pPr>
        <w:spacing w:line="420" w:lineRule="auto"/>
        <w:ind w:firstLine="643"/>
        <w:rPr>
          <w:rFonts w:eastAsia="黑体"/>
          <w:b/>
          <w:sz w:val="32"/>
        </w:rPr>
      </w:pPr>
    </w:p>
    <w:p w14:paraId="7307F324">
      <w:pPr>
        <w:spacing w:line="420" w:lineRule="auto"/>
        <w:rPr>
          <w:rFonts w:ascii="宋体"/>
          <w:b/>
          <w:sz w:val="36"/>
        </w:rPr>
      </w:pPr>
    </w:p>
    <w:p w14:paraId="6770FA5C">
      <w:pPr>
        <w:spacing w:line="420" w:lineRule="auto"/>
        <w:ind w:firstLine="1605" w:firstLineChars="444"/>
        <w:rPr>
          <w:rFonts w:hint="eastAsia" w:ascii="宋体" w:eastAsia="宋体"/>
          <w:b/>
          <w:bCs/>
          <w:sz w:val="36"/>
          <w:szCs w:val="36"/>
          <w:highlight w:val="none"/>
          <w:lang w:eastAsia="zh-CN"/>
        </w:rPr>
      </w:pPr>
      <w:r>
        <w:rPr>
          <w:rFonts w:hint="eastAsia" w:ascii="宋体"/>
          <w:b/>
          <w:sz w:val="36"/>
          <w:szCs w:val="36"/>
        </w:rPr>
        <w:t>项目编号：</w:t>
      </w:r>
      <w:r>
        <w:rPr>
          <w:rFonts w:hint="eastAsia" w:ascii="宋体"/>
          <w:b/>
          <w:sz w:val="36"/>
          <w:szCs w:val="36"/>
          <w:highlight w:val="none"/>
          <w:lang w:eastAsia="zh-CN"/>
        </w:rPr>
        <w:t>JSZC-320922-BHJD-G2024-0003</w:t>
      </w:r>
    </w:p>
    <w:p w14:paraId="665A0836">
      <w:pPr>
        <w:spacing w:line="420" w:lineRule="auto"/>
        <w:ind w:firstLine="723"/>
        <w:rPr>
          <w:rFonts w:ascii="宋体"/>
          <w:b/>
          <w:bCs/>
          <w:sz w:val="36"/>
          <w:szCs w:val="36"/>
        </w:rPr>
      </w:pPr>
    </w:p>
    <w:p w14:paraId="754266E3">
      <w:pPr>
        <w:spacing w:line="420" w:lineRule="auto"/>
        <w:ind w:firstLine="723"/>
        <w:rPr>
          <w:rFonts w:ascii="宋体"/>
          <w:b/>
          <w:bCs/>
          <w:sz w:val="36"/>
          <w:szCs w:val="36"/>
        </w:rPr>
      </w:pPr>
    </w:p>
    <w:p w14:paraId="32B48286">
      <w:pPr>
        <w:spacing w:line="420" w:lineRule="auto"/>
        <w:ind w:firstLine="1446" w:firstLineChars="400"/>
        <w:jc w:val="left"/>
        <w:rPr>
          <w:rFonts w:hint="eastAsia" w:ascii="宋体" w:eastAsia="宋体"/>
          <w:b/>
          <w:sz w:val="36"/>
          <w:szCs w:val="36"/>
          <w:lang w:eastAsia="zh-CN"/>
        </w:rPr>
      </w:pPr>
      <w:r>
        <w:rPr>
          <w:rFonts w:hint="eastAsia" w:ascii="宋体"/>
          <w:b/>
          <w:sz w:val="36"/>
          <w:szCs w:val="36"/>
        </w:rPr>
        <w:t>项</w:t>
      </w:r>
      <w:r>
        <w:rPr>
          <w:rFonts w:hint="eastAsia" w:ascii="宋体" w:hAnsi="宋体" w:cs="宋体"/>
          <w:b/>
          <w:sz w:val="36"/>
          <w:szCs w:val="36"/>
        </w:rPr>
        <w:t>目名称：</w:t>
      </w:r>
      <w:r>
        <w:rPr>
          <w:rFonts w:hint="eastAsia" w:ascii="宋体" w:hAnsi="宋体" w:cs="宋体"/>
          <w:b/>
          <w:sz w:val="36"/>
          <w:szCs w:val="36"/>
          <w:lang w:eastAsia="zh-CN"/>
        </w:rPr>
        <w:t>滨海县城镇污水管网COD浓度分析及河道排口溯源服务项目</w:t>
      </w:r>
    </w:p>
    <w:p w14:paraId="4A5A9B43">
      <w:pPr>
        <w:spacing w:line="420" w:lineRule="auto"/>
        <w:ind w:firstLine="643"/>
        <w:rPr>
          <w:rFonts w:ascii="宋体"/>
          <w:b/>
          <w:sz w:val="32"/>
        </w:rPr>
      </w:pPr>
      <w:r>
        <w:rPr>
          <w:rFonts w:hint="eastAsia" w:ascii="宋体"/>
          <w:b/>
          <w:sz w:val="32"/>
        </w:rPr>
        <w:t xml:space="preserve">       </w:t>
      </w:r>
    </w:p>
    <w:p w14:paraId="23A9BD82">
      <w:pPr>
        <w:spacing w:line="420" w:lineRule="auto"/>
        <w:ind w:firstLine="723"/>
        <w:rPr>
          <w:rFonts w:ascii="宋体"/>
          <w:b/>
          <w:sz w:val="36"/>
          <w:szCs w:val="36"/>
        </w:rPr>
      </w:pPr>
    </w:p>
    <w:p w14:paraId="5DE5BC45">
      <w:pPr>
        <w:spacing w:line="420" w:lineRule="auto"/>
        <w:ind w:firstLine="1446" w:firstLineChars="400"/>
        <w:rPr>
          <w:rFonts w:ascii="宋体"/>
          <w:b/>
          <w:sz w:val="36"/>
          <w:szCs w:val="36"/>
        </w:rPr>
      </w:pPr>
      <w:r>
        <w:rPr>
          <w:rFonts w:hint="eastAsia" w:ascii="宋体"/>
          <w:b/>
          <w:sz w:val="36"/>
          <w:szCs w:val="36"/>
        </w:rPr>
        <w:t>采购单位：</w:t>
      </w:r>
      <w:r>
        <w:rPr>
          <w:rFonts w:hint="eastAsia"/>
          <w:b/>
          <w:sz w:val="36"/>
          <w:szCs w:val="36"/>
        </w:rPr>
        <w:t>滨海县住房和城乡建设局</w:t>
      </w:r>
    </w:p>
    <w:p w14:paraId="083A6438">
      <w:pPr>
        <w:spacing w:line="420" w:lineRule="auto"/>
        <w:ind w:firstLine="643"/>
        <w:rPr>
          <w:rFonts w:ascii="宋体"/>
          <w:b/>
          <w:sz w:val="32"/>
        </w:rPr>
      </w:pPr>
    </w:p>
    <w:p w14:paraId="5489AA9A">
      <w:pPr>
        <w:spacing w:line="420" w:lineRule="auto"/>
        <w:ind w:firstLine="723"/>
        <w:jc w:val="center"/>
        <w:rPr>
          <w:rFonts w:ascii="宋体"/>
          <w:b/>
          <w:sz w:val="36"/>
          <w:szCs w:val="36"/>
          <w:highlight w:val="none"/>
        </w:rPr>
      </w:pPr>
      <w:r>
        <w:rPr>
          <w:rFonts w:hint="eastAsia" w:ascii="宋体"/>
          <w:b/>
          <w:sz w:val="36"/>
          <w:szCs w:val="36"/>
          <w:highlight w:val="none"/>
        </w:rPr>
        <w:t>2024年0</w:t>
      </w:r>
      <w:r>
        <w:rPr>
          <w:rFonts w:hint="eastAsia" w:ascii="宋体"/>
          <w:b/>
          <w:sz w:val="36"/>
          <w:szCs w:val="36"/>
          <w:highlight w:val="none"/>
          <w:lang w:val="en-US" w:eastAsia="zh-CN"/>
        </w:rPr>
        <w:t>8</w:t>
      </w:r>
      <w:r>
        <w:rPr>
          <w:rFonts w:hint="eastAsia" w:ascii="宋体"/>
          <w:b/>
          <w:sz w:val="36"/>
          <w:szCs w:val="36"/>
          <w:highlight w:val="none"/>
        </w:rPr>
        <w:t>月</w:t>
      </w:r>
    </w:p>
    <w:p w14:paraId="1DA28124">
      <w:pPr>
        <w:spacing w:line="420" w:lineRule="auto"/>
        <w:jc w:val="center"/>
        <w:outlineLvl w:val="0"/>
      </w:pPr>
      <w:r>
        <w:rPr/>
        <w:br w:type="page" w:clear="all"/>
      </w:r>
      <w:bookmarkStart w:id="0" w:name="_Toc120614210"/>
      <w:bookmarkStart w:id="1" w:name="_Toc20823272"/>
      <w:bookmarkStart w:id="2" w:name="_Toc513029200"/>
      <w:bookmarkStart w:id="3" w:name="_Toc523127445"/>
      <w:bookmarkStart w:id="4" w:name="_Toc479757206"/>
      <w:bookmarkStart w:id="5" w:name="_Toc16938516"/>
    </w:p>
    <w:p w14:paraId="1F4C9F97">
      <w:pPr>
        <w:spacing w:line="420" w:lineRule="auto"/>
        <w:ind w:firstLine="883"/>
        <w:jc w:val="center"/>
        <w:outlineLvl w:val="0"/>
        <w:rPr>
          <w:rFonts w:ascii="黑体" w:hAnsi="Arial" w:eastAsia="黑体"/>
          <w:b/>
          <w:sz w:val="44"/>
        </w:rPr>
      </w:pPr>
      <w:r>
        <w:rPr>
          <w:rFonts w:hint="eastAsia" w:ascii="黑体" w:hAnsi="Arial" w:eastAsia="黑体"/>
          <w:b/>
          <w:sz w:val="44"/>
        </w:rPr>
        <w:t>总  目  录</w:t>
      </w:r>
    </w:p>
    <w:p w14:paraId="3B6F781D">
      <w:pPr>
        <w:spacing w:line="420" w:lineRule="auto"/>
        <w:ind w:firstLine="562"/>
        <w:rPr>
          <w:rFonts w:ascii="仿宋_GB2312" w:hAnsi="Arial" w:eastAsia="仿宋_GB2312"/>
          <w:b/>
          <w:sz w:val="28"/>
        </w:rPr>
      </w:pPr>
    </w:p>
    <w:p w14:paraId="64D4BFDD">
      <w:pPr>
        <w:pStyle w:val="221"/>
        <w:ind w:left="1470" w:right="1470" w:firstLine="420"/>
        <w:rPr>
          <w:rFonts w:hint="default"/>
        </w:rPr>
      </w:pPr>
    </w:p>
    <w:p w14:paraId="14A3DA9E">
      <w:pPr>
        <w:numPr>
          <w:ilvl w:val="0"/>
          <w:numId w:val="4"/>
        </w:numPr>
        <w:spacing w:line="900" w:lineRule="auto"/>
        <w:ind w:firstLine="720"/>
        <w:outlineLvl w:val="0"/>
        <w:rPr>
          <w:rFonts w:ascii="黑体" w:hAnsi="Showcard Gothic" w:eastAsia="黑体"/>
          <w:sz w:val="32"/>
        </w:rPr>
      </w:pPr>
      <w:r>
        <w:rPr>
          <w:rFonts w:hint="eastAsia" w:ascii="黑体" w:hAnsi="宋体" w:eastAsia="黑体"/>
          <w:sz w:val="36"/>
        </w:rPr>
        <w:t>招标公告</w:t>
      </w:r>
    </w:p>
    <w:p w14:paraId="375A681B">
      <w:pPr>
        <w:numPr>
          <w:ilvl w:val="0"/>
          <w:numId w:val="4"/>
        </w:numPr>
        <w:spacing w:line="900" w:lineRule="auto"/>
        <w:ind w:firstLine="720"/>
        <w:outlineLvl w:val="0"/>
        <w:rPr>
          <w:rFonts w:ascii="黑体" w:hAnsi="Showcard Gothic" w:eastAsia="黑体"/>
          <w:sz w:val="36"/>
        </w:rPr>
      </w:pPr>
      <w:r>
        <w:rPr>
          <w:rFonts w:hint="eastAsia" w:ascii="黑体" w:hAnsi="宋体" w:eastAsia="黑体"/>
          <w:bCs/>
          <w:sz w:val="36"/>
          <w:szCs w:val="36"/>
        </w:rPr>
        <w:t>投标人须知</w:t>
      </w:r>
    </w:p>
    <w:p w14:paraId="0FA5B317">
      <w:pPr>
        <w:numPr>
          <w:ilvl w:val="0"/>
          <w:numId w:val="4"/>
        </w:numPr>
        <w:spacing w:line="900" w:lineRule="auto"/>
        <w:ind w:firstLine="720"/>
        <w:outlineLvl w:val="0"/>
        <w:rPr>
          <w:rFonts w:ascii="黑体" w:hAnsi="Showcard Gothic" w:eastAsia="黑体"/>
          <w:sz w:val="36"/>
        </w:rPr>
      </w:pPr>
      <w:r>
        <w:rPr>
          <w:rFonts w:hint="eastAsia" w:ascii="黑体" w:hAnsi="宋体" w:eastAsia="黑体"/>
          <w:sz w:val="36"/>
        </w:rPr>
        <w:t>合同条款及格式</w:t>
      </w:r>
    </w:p>
    <w:p w14:paraId="67B67C99">
      <w:pPr>
        <w:numPr>
          <w:ilvl w:val="0"/>
          <w:numId w:val="4"/>
        </w:numPr>
        <w:spacing w:line="900" w:lineRule="auto"/>
        <w:ind w:firstLine="720"/>
        <w:outlineLvl w:val="0"/>
        <w:rPr>
          <w:rFonts w:ascii="黑体" w:hAnsi="Showcard Gothic" w:eastAsia="黑体"/>
          <w:sz w:val="36"/>
        </w:rPr>
      </w:pPr>
      <w:r>
        <w:rPr>
          <w:rFonts w:hint="eastAsia" w:ascii="黑体" w:hAnsi="宋体" w:eastAsia="黑体"/>
          <w:sz w:val="36"/>
        </w:rPr>
        <w:t>项目需求</w:t>
      </w:r>
    </w:p>
    <w:p w14:paraId="21181A06">
      <w:pPr>
        <w:numPr>
          <w:ilvl w:val="0"/>
          <w:numId w:val="4"/>
        </w:numPr>
        <w:spacing w:line="900" w:lineRule="auto"/>
        <w:ind w:firstLine="720"/>
        <w:outlineLvl w:val="0"/>
        <w:rPr>
          <w:rFonts w:ascii="黑体" w:hAnsi="Showcard Gothic" w:eastAsia="黑体"/>
          <w:sz w:val="36"/>
        </w:rPr>
      </w:pPr>
      <w:r>
        <w:rPr>
          <w:rFonts w:hint="eastAsia" w:ascii="黑体" w:hAnsi="宋体" w:eastAsia="黑体"/>
          <w:bCs/>
          <w:sz w:val="36"/>
          <w:szCs w:val="36"/>
        </w:rPr>
        <w:t>评标方法与评标标准</w:t>
      </w:r>
    </w:p>
    <w:p w14:paraId="1FA6B36D">
      <w:pPr>
        <w:numPr>
          <w:ilvl w:val="0"/>
          <w:numId w:val="4"/>
        </w:numPr>
        <w:spacing w:line="900" w:lineRule="auto"/>
        <w:ind w:firstLine="720"/>
        <w:outlineLvl w:val="0"/>
        <w:rPr>
          <w:rFonts w:ascii="黑体" w:hAnsi="宋体" w:eastAsia="黑体"/>
          <w:sz w:val="36"/>
        </w:rPr>
      </w:pPr>
      <w:r>
        <w:rPr>
          <w:rFonts w:hint="eastAsia" w:ascii="黑体" w:hAnsi="宋体" w:eastAsia="黑体"/>
          <w:sz w:val="36"/>
        </w:rPr>
        <w:t>投标文件格式</w:t>
      </w:r>
    </w:p>
    <w:p w14:paraId="08AA3015">
      <w:pPr>
        <w:pStyle w:val="199"/>
        <w:spacing w:line="420" w:lineRule="auto"/>
        <w:jc w:val="both"/>
        <w:rPr>
          <w:rFonts w:ascii="宋体" w:hAnsi="宋体" w:eastAsia="宋体" w:cs="宋体"/>
          <w:sz w:val="24"/>
          <w:szCs w:val="24"/>
        </w:rPr>
      </w:pPr>
    </w:p>
    <w:p w14:paraId="6D11BE5B">
      <w:pPr>
        <w:pStyle w:val="199"/>
        <w:spacing w:line="360" w:lineRule="auto"/>
        <w:ind w:firstLine="880"/>
        <w:rPr>
          <w:rFonts w:ascii="黑体" w:eastAsia="黑体"/>
          <w:sz w:val="44"/>
          <w:szCs w:val="44"/>
        </w:rPr>
      </w:pPr>
      <w:r>
        <w:rPr>
          <w:rFonts w:hint="eastAsia" w:ascii="黑体" w:eastAsia="黑体"/>
          <w:sz w:val="44"/>
          <w:szCs w:val="44"/>
        </w:rPr>
        <w:t xml:space="preserve">第一章 </w:t>
      </w:r>
      <w:bookmarkEnd w:id="0"/>
      <w:bookmarkStart w:id="6" w:name="_Toc120614211"/>
      <w:r>
        <w:rPr>
          <w:rFonts w:hint="eastAsia" w:ascii="黑体" w:eastAsia="黑体"/>
          <w:sz w:val="44"/>
          <w:szCs w:val="44"/>
        </w:rPr>
        <w:t xml:space="preserve"> 招标公告</w:t>
      </w:r>
    </w:p>
    <w:p w14:paraId="1EE1CF5C">
      <w:pPr>
        <w:pBdr>
          <w:top w:val="single" w:color="000000" w:sz="4" w:space="1"/>
          <w:left w:val="single" w:color="000000" w:sz="4" w:space="4"/>
          <w:bottom w:val="single" w:color="000000" w:sz="4" w:space="1"/>
          <w:right w:val="single" w:color="000000" w:sz="4" w:space="4"/>
        </w:pBdr>
        <w:spacing w:line="520" w:lineRule="exact"/>
        <w:ind w:firstLine="480"/>
        <w:rPr>
          <w:sz w:val="24"/>
          <w:szCs w:val="24"/>
        </w:rPr>
      </w:pPr>
      <w:r>
        <w:rPr>
          <w:sz w:val="24"/>
          <w:szCs w:val="24"/>
        </w:rPr>
        <w:t>项目概况</w:t>
      </w:r>
    </w:p>
    <w:p w14:paraId="22A5CEEC">
      <w:pPr>
        <w:pBdr>
          <w:top w:val="single" w:color="000000" w:sz="4" w:space="1"/>
          <w:left w:val="single" w:color="000000" w:sz="4" w:space="4"/>
          <w:bottom w:val="single" w:color="000000" w:sz="4" w:space="1"/>
          <w:right w:val="single" w:color="000000" w:sz="4" w:space="4"/>
        </w:pBdr>
        <w:spacing w:line="520" w:lineRule="exact"/>
        <w:ind w:firstLine="480"/>
        <w:rPr>
          <w:sz w:val="24"/>
          <w:szCs w:val="24"/>
          <w:u w:val="single"/>
        </w:rPr>
      </w:pPr>
      <w:r>
        <w:rPr>
          <w:rFonts w:hint="eastAsia"/>
          <w:sz w:val="24"/>
          <w:szCs w:val="24"/>
          <w:u w:val="single"/>
          <w:lang w:eastAsia="zh-CN"/>
        </w:rPr>
        <w:t>滨海县城镇污水管网COD浓度分析及河道排口溯源服务项目</w:t>
      </w:r>
      <w:r>
        <w:rPr>
          <w:sz w:val="24"/>
          <w:szCs w:val="24"/>
        </w:rPr>
        <w:t>的潜在投标人应在</w:t>
      </w:r>
      <w:r>
        <w:rPr>
          <w:sz w:val="24"/>
          <w:szCs w:val="24"/>
          <w:u w:val="single"/>
        </w:rPr>
        <w:t>江苏政府采购网</w:t>
      </w:r>
      <w:r>
        <w:rPr>
          <w:rFonts w:hint="eastAsia" w:ascii="宋体" w:hAnsi="宋体" w:cs="宋体"/>
          <w:sz w:val="24"/>
          <w:szCs w:val="24"/>
          <w:u w:val="single"/>
        </w:rPr>
        <w:t>（http://www.ccgp-jiangsu.gov.cn/）</w:t>
      </w:r>
      <w:r>
        <w:rPr>
          <w:sz w:val="24"/>
          <w:szCs w:val="24"/>
          <w:u w:val="single"/>
        </w:rPr>
        <w:t>、盐城市政府采购网</w:t>
      </w:r>
      <w:r>
        <w:rPr>
          <w:rFonts w:hint="eastAsia" w:ascii="宋体" w:hAnsi="宋体" w:cs="宋体"/>
          <w:sz w:val="24"/>
          <w:szCs w:val="24"/>
          <w:u w:val="single"/>
        </w:rPr>
        <w:t>（http://czj.yancheng.gov.cn/col/col2383/index.html）</w:t>
      </w:r>
      <w:r>
        <w:rPr>
          <w:rFonts w:hint="eastAsia"/>
          <w:sz w:val="24"/>
          <w:szCs w:val="24"/>
        </w:rPr>
        <w:t>上按招标公告要求</w:t>
      </w:r>
      <w:r>
        <w:rPr>
          <w:sz w:val="24"/>
          <w:szCs w:val="24"/>
        </w:rPr>
        <w:t>获取</w:t>
      </w:r>
      <w:r>
        <w:rPr>
          <w:sz w:val="24"/>
          <w:szCs w:val="24"/>
          <w:highlight w:val="none"/>
        </w:rPr>
        <w:t>招标文件，</w:t>
      </w:r>
      <w:r>
        <w:rPr>
          <w:highlight w:val="none"/>
        </w:rPr>
        <w:fldChar w:fldCharType="begin"/>
      </w:r>
      <w:r>
        <w:rPr>
          <w:highlight w:val="none"/>
        </w:rPr>
        <w:instrText xml:space="preserve"> HYPERLINK "http://www.binhai.gov.cn/）获取招标文件，并于2023年12月" </w:instrText>
      </w:r>
      <w:r>
        <w:rPr>
          <w:highlight w:val="none"/>
        </w:rPr>
        <w:fldChar w:fldCharType="separate"/>
      </w:r>
      <w:r>
        <w:rPr>
          <w:rStyle w:val="251"/>
          <w:rFonts w:hint="eastAsia" w:ascii="宋体" w:hAnsi="宋体" w:cs="宋体"/>
          <w:b/>
          <w:bCs/>
          <w:color w:val="000000"/>
          <w:sz w:val="24"/>
          <w:szCs w:val="24"/>
          <w:highlight w:val="none"/>
          <w:u w:val="none"/>
        </w:rPr>
        <w:t>并于</w:t>
      </w:r>
      <w:r>
        <w:rPr>
          <w:rStyle w:val="251"/>
          <w:rFonts w:hint="eastAsia" w:ascii="宋体" w:hAnsi="宋体" w:cs="宋体"/>
          <w:b/>
          <w:bCs/>
          <w:color w:val="000000"/>
          <w:sz w:val="24"/>
          <w:szCs w:val="24"/>
          <w:highlight w:val="none"/>
        </w:rPr>
        <w:t>2024年</w:t>
      </w:r>
      <w:r>
        <w:rPr>
          <w:rStyle w:val="251"/>
          <w:rFonts w:hint="eastAsia" w:ascii="宋体" w:hAnsi="宋体" w:cs="宋体"/>
          <w:b/>
          <w:bCs/>
          <w:color w:val="000000"/>
          <w:sz w:val="24"/>
          <w:szCs w:val="24"/>
          <w:highlight w:val="none"/>
          <w:lang w:val="en-US" w:eastAsia="zh-CN"/>
        </w:rPr>
        <w:t>8</w:t>
      </w:r>
      <w:r>
        <w:rPr>
          <w:rStyle w:val="251"/>
          <w:rFonts w:hint="eastAsia" w:ascii="宋体" w:hAnsi="宋体" w:cs="宋体"/>
          <w:b/>
          <w:bCs/>
          <w:color w:val="000000"/>
          <w:sz w:val="24"/>
          <w:szCs w:val="24"/>
          <w:highlight w:val="none"/>
        </w:rPr>
        <w:t>月</w:t>
      </w:r>
      <w:r>
        <w:rPr>
          <w:rStyle w:val="251"/>
          <w:rFonts w:hint="eastAsia" w:ascii="宋体" w:hAnsi="宋体" w:cs="宋体"/>
          <w:b/>
          <w:bCs/>
          <w:color w:val="000000"/>
          <w:sz w:val="24"/>
          <w:szCs w:val="24"/>
          <w:highlight w:val="none"/>
        </w:rPr>
        <w:fldChar w:fldCharType="end"/>
      </w:r>
      <w:r>
        <w:rPr>
          <w:rStyle w:val="251"/>
          <w:rFonts w:hint="eastAsia" w:ascii="宋体" w:hAnsi="宋体" w:cs="宋体"/>
          <w:b/>
          <w:bCs/>
          <w:color w:val="000000"/>
          <w:sz w:val="24"/>
          <w:szCs w:val="24"/>
          <w:highlight w:val="none"/>
          <w:lang w:val="en-US" w:eastAsia="zh-CN"/>
        </w:rPr>
        <w:t>26</w:t>
      </w:r>
      <w:r>
        <w:rPr>
          <w:rFonts w:hint="eastAsia" w:ascii="宋体" w:hAnsi="宋体" w:cs="宋体"/>
          <w:b/>
          <w:bCs/>
          <w:sz w:val="24"/>
          <w:szCs w:val="24"/>
          <w:highlight w:val="none"/>
          <w:u w:val="single"/>
        </w:rPr>
        <w:t>日</w:t>
      </w:r>
      <w:r>
        <w:rPr>
          <w:rFonts w:hint="eastAsia" w:ascii="宋体" w:hAnsi="宋体" w:cs="宋体"/>
          <w:b/>
          <w:bCs/>
          <w:sz w:val="24"/>
          <w:szCs w:val="24"/>
          <w:highlight w:val="none"/>
          <w:u w:val="single"/>
          <w:lang w:val="en-US" w:eastAsia="zh-CN"/>
        </w:rPr>
        <w:t>15</w:t>
      </w:r>
      <w:r>
        <w:rPr>
          <w:rFonts w:hint="eastAsia" w:ascii="宋体" w:hAnsi="宋体" w:cs="宋体"/>
          <w:b/>
          <w:bCs/>
          <w:sz w:val="24"/>
          <w:szCs w:val="24"/>
          <w:highlight w:val="none"/>
          <w:u w:val="single"/>
        </w:rPr>
        <w:t>点00分00秒</w:t>
      </w:r>
      <w:r>
        <w:rPr>
          <w:bCs/>
          <w:sz w:val="24"/>
          <w:szCs w:val="24"/>
          <w:highlight w:val="none"/>
          <w:u w:val="single"/>
        </w:rPr>
        <w:t>（</w:t>
      </w:r>
      <w:r>
        <w:rPr>
          <w:bCs/>
          <w:sz w:val="24"/>
          <w:szCs w:val="24"/>
          <w:highlight w:val="none"/>
        </w:rPr>
        <w:t>北京时</w:t>
      </w:r>
      <w:r>
        <w:rPr>
          <w:bCs/>
          <w:sz w:val="24"/>
          <w:szCs w:val="24"/>
        </w:rPr>
        <w:t>间）前递交投标文件</w:t>
      </w:r>
      <w:r>
        <w:rPr>
          <w:sz w:val="24"/>
          <w:szCs w:val="24"/>
        </w:rPr>
        <w:t>。</w:t>
      </w:r>
    </w:p>
    <w:p w14:paraId="2F69F82E">
      <w:pPr>
        <w:pStyle w:val="199"/>
        <w:tabs>
          <w:tab w:val="left" w:pos="0"/>
          <w:tab w:val="left" w:pos="3165"/>
          <w:tab w:val="center" w:pos="4153"/>
        </w:tabs>
        <w:spacing w:line="520" w:lineRule="exact"/>
        <w:ind w:firstLine="480" w:firstLineChars="200"/>
        <w:jc w:val="left"/>
        <w:rPr>
          <w:rFonts w:ascii="Times New Roman" w:eastAsia="宋体"/>
          <w:sz w:val="24"/>
          <w:szCs w:val="24"/>
        </w:rPr>
      </w:pPr>
      <w:bookmarkStart w:id="7" w:name="_Toc35393790"/>
      <w:bookmarkStart w:id="8" w:name="_Toc28359079"/>
      <w:bookmarkStart w:id="9" w:name="_Toc35393621"/>
      <w:bookmarkStart w:id="10" w:name="_Toc28359002"/>
      <w:bookmarkStart w:id="11" w:name="_Hlk24379207"/>
      <w:r>
        <w:rPr>
          <w:rFonts w:ascii="Times New Roman" w:eastAsia="宋体"/>
          <w:sz w:val="24"/>
          <w:szCs w:val="24"/>
        </w:rPr>
        <w:t>一、项目基本情况</w:t>
      </w:r>
      <w:bookmarkEnd w:id="7"/>
      <w:bookmarkEnd w:id="8"/>
      <w:bookmarkEnd w:id="9"/>
      <w:bookmarkEnd w:id="10"/>
    </w:p>
    <w:p w14:paraId="331F64BE">
      <w:pPr>
        <w:spacing w:line="520" w:lineRule="exact"/>
        <w:ind w:firstLine="480"/>
        <w:rPr>
          <w:rFonts w:hint="eastAsia" w:ascii="宋体" w:hAnsi="宋体" w:eastAsia="宋体" w:cs="宋体"/>
          <w:sz w:val="24"/>
          <w:szCs w:val="24"/>
          <w:u w:val="single"/>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项目编号：</w:t>
      </w:r>
      <w:bookmarkStart w:id="191" w:name="_GoBack"/>
      <w:r>
        <w:rPr>
          <w:rFonts w:hint="eastAsia" w:ascii="宋体" w:hAnsi="宋体" w:cs="宋体"/>
          <w:sz w:val="24"/>
          <w:szCs w:val="24"/>
          <w:highlight w:val="none"/>
          <w:lang w:eastAsia="zh-CN"/>
        </w:rPr>
        <w:t>JSZC-320922-BHJD-G2024-0003</w:t>
      </w:r>
      <w:bookmarkEnd w:id="191"/>
    </w:p>
    <w:p w14:paraId="7B930A83">
      <w:pPr>
        <w:spacing w:line="52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2.项目名称：</w:t>
      </w:r>
      <w:bookmarkEnd w:id="11"/>
      <w:r>
        <w:rPr>
          <w:rFonts w:hint="eastAsia" w:ascii="宋体" w:hAnsi="宋体" w:eastAsia="宋体" w:cs="宋体"/>
          <w:sz w:val="24"/>
          <w:szCs w:val="24"/>
          <w:lang w:eastAsia="zh-CN"/>
        </w:rPr>
        <w:t>滨海县城镇污水管网COD浓度分析及河道排口溯源服务项目</w:t>
      </w:r>
    </w:p>
    <w:p w14:paraId="25616932">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3.预算金额：</w:t>
      </w:r>
      <w:r>
        <w:rPr>
          <w:rFonts w:hint="eastAsia" w:ascii="宋体" w:hAnsi="宋体" w:eastAsia="宋体" w:cs="宋体"/>
          <w:color w:val="000000"/>
          <w:sz w:val="24"/>
          <w:szCs w:val="24"/>
        </w:rPr>
        <w:t>人民币</w:t>
      </w:r>
      <w:r>
        <w:rPr>
          <w:rFonts w:hint="eastAsia" w:ascii="宋体" w:hAnsi="宋体" w:eastAsia="宋体" w:cs="宋体"/>
          <w:color w:val="000000"/>
          <w:sz w:val="24"/>
          <w:szCs w:val="24"/>
          <w:lang w:val="en-US" w:eastAsia="zh-CN"/>
        </w:rPr>
        <w:t>225</w:t>
      </w:r>
      <w:r>
        <w:rPr>
          <w:rFonts w:hint="eastAsia" w:ascii="宋体" w:hAnsi="宋体" w:eastAsia="宋体" w:cs="宋体"/>
          <w:color w:val="000000"/>
          <w:sz w:val="24"/>
          <w:szCs w:val="24"/>
        </w:rPr>
        <w:t>万元</w:t>
      </w:r>
    </w:p>
    <w:p w14:paraId="7612DDB4">
      <w:pPr>
        <w:spacing w:line="520" w:lineRule="exact"/>
        <w:ind w:firstLine="480"/>
        <w:rPr>
          <w:rFonts w:hint="eastAsia" w:ascii="宋体" w:hAnsi="宋体" w:eastAsia="宋体" w:cs="宋体"/>
          <w:sz w:val="24"/>
          <w:szCs w:val="24"/>
          <w:highlight w:val="none"/>
        </w:rPr>
      </w:pPr>
      <w:r>
        <w:rPr>
          <w:rFonts w:hint="eastAsia" w:ascii="宋体" w:hAnsi="宋体" w:eastAsia="宋体" w:cs="宋体"/>
          <w:sz w:val="24"/>
          <w:szCs w:val="24"/>
        </w:rPr>
        <w:t>4.最高限</w:t>
      </w:r>
      <w:r>
        <w:rPr>
          <w:rFonts w:hint="eastAsia" w:ascii="宋体" w:hAnsi="宋体" w:eastAsia="宋体" w:cs="宋体"/>
          <w:sz w:val="24"/>
          <w:szCs w:val="24"/>
          <w:highlight w:val="none"/>
        </w:rPr>
        <w:t>价：人民币</w:t>
      </w:r>
      <w:r>
        <w:rPr>
          <w:rFonts w:hint="eastAsia" w:ascii="宋体" w:hAnsi="宋体" w:eastAsia="宋体" w:cs="宋体"/>
          <w:color w:val="000000"/>
          <w:sz w:val="24"/>
          <w:szCs w:val="24"/>
          <w:highlight w:val="none"/>
          <w:lang w:val="en-US" w:eastAsia="zh-CN"/>
        </w:rPr>
        <w:t>225</w:t>
      </w:r>
      <w:r>
        <w:rPr>
          <w:rFonts w:hint="eastAsia" w:ascii="宋体" w:hAnsi="宋体" w:eastAsia="宋体" w:cs="宋体"/>
          <w:sz w:val="24"/>
          <w:szCs w:val="24"/>
          <w:highlight w:val="none"/>
        </w:rPr>
        <w:t>万元</w:t>
      </w:r>
    </w:p>
    <w:p w14:paraId="43130CA5">
      <w:pPr>
        <w:spacing w:line="440" w:lineRule="exact"/>
        <w:ind w:firstLine="48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5.采购需求：</w:t>
      </w:r>
      <w:r>
        <w:rPr>
          <w:rFonts w:hint="eastAsia" w:ascii="宋体" w:hAnsi="宋体" w:eastAsia="宋体" w:cs="宋体"/>
          <w:sz w:val="24"/>
          <w:szCs w:val="24"/>
          <w:highlight w:val="none"/>
          <w:lang w:eastAsia="zh-CN"/>
        </w:rPr>
        <w:t>滨海县城镇污水管网COD浓度分析及河道排口溯源服务项目，</w:t>
      </w:r>
      <w:r>
        <w:rPr>
          <w:rFonts w:hint="eastAsia" w:ascii="宋体" w:hAnsi="宋体" w:eastAsia="宋体" w:cs="宋体"/>
          <w:color w:val="000000"/>
          <w:sz w:val="24"/>
          <w:szCs w:val="24"/>
          <w:highlight w:val="none"/>
        </w:rPr>
        <w:t>具体内容详见第</w:t>
      </w: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rPr>
        <w:t>章项目需求。</w:t>
      </w:r>
    </w:p>
    <w:p w14:paraId="6A33A9FF">
      <w:pPr>
        <w:spacing w:line="520" w:lineRule="exact"/>
        <w:ind w:firstLine="480"/>
        <w:rPr>
          <w:rFonts w:hint="eastAsia" w:ascii="宋体" w:hAnsi="宋体" w:eastAsia="宋体" w:cs="宋体"/>
          <w:sz w:val="24"/>
          <w:szCs w:val="24"/>
          <w:highlight w:val="none"/>
        </w:rPr>
      </w:pPr>
      <w:bookmarkStart w:id="12" w:name="_Toc35393622"/>
      <w:bookmarkStart w:id="13" w:name="_Toc28359080"/>
      <w:bookmarkStart w:id="14" w:name="_Toc28359003"/>
      <w:bookmarkStart w:id="15" w:name="_Toc35393791"/>
      <w:r>
        <w:rPr>
          <w:rFonts w:hint="eastAsia" w:ascii="宋体" w:hAnsi="宋体" w:eastAsia="宋体" w:cs="宋体"/>
          <w:sz w:val="24"/>
          <w:szCs w:val="24"/>
          <w:highlight w:val="none"/>
        </w:rPr>
        <w:t>6.项目地点：采购人指定地点。</w:t>
      </w:r>
    </w:p>
    <w:p w14:paraId="03301C94">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7.服务标准：合格。</w:t>
      </w:r>
    </w:p>
    <w:p w14:paraId="42B38B89">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lang w:val="en-US" w:eastAsia="zh-CN"/>
        </w:rPr>
        <w:t>期限</w:t>
      </w:r>
      <w:r>
        <w:rPr>
          <w:rFonts w:hint="eastAsia" w:ascii="宋体" w:hAnsi="宋体" w:eastAsia="宋体" w:cs="宋体"/>
          <w:color w:val="auto"/>
          <w:sz w:val="24"/>
          <w:szCs w:val="24"/>
          <w:highlight w:val="none"/>
        </w:rPr>
        <w:t>：</w:t>
      </w:r>
      <w:r>
        <w:rPr>
          <w:rFonts w:hint="eastAsia" w:ascii="宋体" w:hAnsi="宋体" w:eastAsia="宋体" w:cs="宋体"/>
          <w:bCs/>
          <w:color w:val="auto"/>
          <w:sz w:val="24"/>
          <w:highlight w:val="none"/>
          <w:lang w:val="en-US" w:eastAsia="zh-CN"/>
        </w:rPr>
        <w:t>365</w:t>
      </w:r>
      <w:r>
        <w:rPr>
          <w:rFonts w:hint="eastAsia" w:ascii="宋体" w:hAnsi="宋体" w:eastAsia="宋体" w:cs="宋体"/>
          <w:bCs/>
          <w:color w:val="auto"/>
          <w:sz w:val="24"/>
          <w:highlight w:val="none"/>
        </w:rPr>
        <w:t>日历天</w:t>
      </w:r>
      <w:r>
        <w:rPr>
          <w:rFonts w:hint="eastAsia" w:ascii="宋体" w:hAnsi="宋体" w:eastAsia="宋体" w:cs="宋体"/>
          <w:color w:val="auto"/>
          <w:sz w:val="24"/>
          <w:szCs w:val="24"/>
          <w:highlight w:val="none"/>
        </w:rPr>
        <w:t>（</w:t>
      </w:r>
      <w:r>
        <w:rPr>
          <w:rFonts w:hint="eastAsia" w:ascii="宋体" w:hAnsi="宋体" w:eastAsia="宋体" w:cs="宋体"/>
          <w:bCs/>
          <w:color w:val="auto"/>
          <w:sz w:val="24"/>
          <w:highlight w:val="none"/>
        </w:rPr>
        <w:t>具体服从</w:t>
      </w:r>
      <w:r>
        <w:rPr>
          <w:rFonts w:hint="eastAsia" w:ascii="宋体" w:hAnsi="宋体" w:eastAsia="宋体" w:cs="宋体"/>
          <w:bCs/>
          <w:color w:val="auto"/>
          <w:sz w:val="24"/>
          <w:highlight w:val="none"/>
          <w:lang w:val="en-US" w:eastAsia="zh-CN"/>
        </w:rPr>
        <w:t>采购</w:t>
      </w:r>
      <w:r>
        <w:rPr>
          <w:rFonts w:hint="eastAsia" w:ascii="宋体" w:hAnsi="宋体" w:eastAsia="宋体" w:cs="宋体"/>
          <w:bCs/>
          <w:color w:val="auto"/>
          <w:sz w:val="24"/>
          <w:highlight w:val="none"/>
        </w:rPr>
        <w:t>人安排</w:t>
      </w:r>
      <w:r>
        <w:rPr>
          <w:rFonts w:hint="eastAsia" w:ascii="宋体" w:hAnsi="宋体" w:eastAsia="宋体" w:cs="宋体"/>
          <w:color w:val="auto"/>
          <w:sz w:val="24"/>
          <w:szCs w:val="24"/>
          <w:highlight w:val="none"/>
        </w:rPr>
        <w:t>）。</w:t>
      </w:r>
    </w:p>
    <w:p w14:paraId="2DF8C96C">
      <w:pPr>
        <w:spacing w:line="520" w:lineRule="exact"/>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本项目不接受联合体</w:t>
      </w:r>
      <w:r>
        <w:rPr>
          <w:rFonts w:hint="eastAsia" w:ascii="宋体" w:hAnsi="宋体" w:eastAsia="宋体" w:cs="宋体"/>
          <w:bCs/>
          <w:color w:val="auto"/>
          <w:sz w:val="24"/>
          <w:szCs w:val="24"/>
          <w:highlight w:val="none"/>
          <w:u w:val="none"/>
        </w:rPr>
        <w:t>投标</w:t>
      </w:r>
      <w:r>
        <w:rPr>
          <w:rFonts w:hint="eastAsia" w:ascii="宋体" w:hAnsi="宋体" w:eastAsia="宋体" w:cs="宋体"/>
          <w:color w:val="auto"/>
          <w:sz w:val="24"/>
          <w:szCs w:val="24"/>
          <w:highlight w:val="none"/>
          <w:lang w:eastAsia="zh-CN"/>
        </w:rPr>
        <w:t>。</w:t>
      </w:r>
    </w:p>
    <w:p w14:paraId="014B59F9">
      <w:pPr>
        <w:spacing w:line="520" w:lineRule="exact"/>
        <w:ind w:firstLine="480" w:firstLineChars="200"/>
        <w:rPr>
          <w:sz w:val="24"/>
          <w:szCs w:val="24"/>
        </w:rPr>
      </w:pPr>
      <w:r>
        <w:rPr>
          <w:sz w:val="24"/>
          <w:szCs w:val="24"/>
        </w:rPr>
        <w:t>二、申请人的资格要求：</w:t>
      </w:r>
      <w:bookmarkEnd w:id="12"/>
      <w:bookmarkEnd w:id="13"/>
      <w:bookmarkEnd w:id="14"/>
      <w:bookmarkEnd w:id="15"/>
    </w:p>
    <w:p w14:paraId="70281F86">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1.满足《中华人民共和国政府采购法》第二十二条规定，并提供下列材料；</w:t>
      </w:r>
    </w:p>
    <w:p w14:paraId="6A453C6B">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(1)法人或者其他组织的营业执照等证明文件，自然人的身份证明；</w:t>
      </w:r>
    </w:p>
    <w:p w14:paraId="50BE761F">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(2)上一年度的财务报表（成立不满一年不需提供）；</w:t>
      </w:r>
    </w:p>
    <w:p w14:paraId="0EDD9E4C">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(3)依法缴纳税收和社会保障资金的相关材料；</w:t>
      </w:r>
    </w:p>
    <w:p w14:paraId="6689D36E">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(4)具备履行合同所必需的设备和专业技术能力的书面声明；</w:t>
      </w:r>
    </w:p>
    <w:p w14:paraId="599E7B3C">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(5)参加政府采购活动前3年内在经营活动中没有重大违法记录的书面声明；</w:t>
      </w:r>
    </w:p>
    <w:p w14:paraId="35CB67BD">
      <w:pPr>
        <w:spacing w:line="520" w:lineRule="exact"/>
        <w:ind w:firstLine="480"/>
        <w:rPr>
          <w:rFonts w:hint="eastAsia" w:ascii="宋体" w:hAnsi="宋体" w:eastAsia="宋体" w:cs="宋体"/>
          <w:sz w:val="24"/>
          <w:szCs w:val="24"/>
        </w:rPr>
      </w:pPr>
      <w:bookmarkStart w:id="16" w:name="_Toc28359004"/>
      <w:bookmarkStart w:id="17" w:name="_Toc28359081"/>
      <w:r>
        <w:rPr>
          <w:rFonts w:hint="eastAsia" w:ascii="宋体" w:hAnsi="宋体" w:eastAsia="宋体" w:cs="宋体"/>
          <w:sz w:val="24"/>
          <w:szCs w:val="24"/>
        </w:rPr>
        <w:t>2.落实政府采购政策需满足的资格要求：</w:t>
      </w:r>
    </w:p>
    <w:p w14:paraId="635C3626">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本项目（是/否）属于专门面向中小企业采购的项目</w:t>
      </w:r>
      <w:r>
        <w:rPr>
          <w:rFonts w:hint="eastAsia" w:ascii="宋体" w:hAnsi="宋体" w:eastAsia="宋体" w:cs="宋体"/>
          <w:sz w:val="24"/>
          <w:szCs w:val="24"/>
          <w:u w:val="none"/>
        </w:rPr>
        <w:t>：</w:t>
      </w:r>
      <w:r>
        <w:rPr>
          <w:rFonts w:hint="eastAsia" w:ascii="宋体" w:hAnsi="宋体" w:eastAsia="宋体" w:cs="宋体"/>
          <w:sz w:val="24"/>
          <w:szCs w:val="24"/>
          <w:u w:val="single"/>
          <w:lang w:val="en-US" w:eastAsia="zh-CN"/>
        </w:rPr>
        <w:t>否</w:t>
      </w:r>
      <w:r>
        <w:rPr>
          <w:rFonts w:hint="eastAsia" w:ascii="宋体" w:hAnsi="宋体" w:eastAsia="宋体" w:cs="宋体"/>
          <w:sz w:val="24"/>
          <w:szCs w:val="24"/>
        </w:rPr>
        <w:t>。</w:t>
      </w:r>
    </w:p>
    <w:p w14:paraId="017D9EAB">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219F880">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（1）未被“信用中国”网站（www.creditchina.gov.cn）列入失信被执行人、重大税收违法失信主体、政府采购严重失信行为记录名单。</w:t>
      </w:r>
    </w:p>
    <w:p w14:paraId="5F5C21D8">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）单位负责人为同一人或者存在直接控股、管理关系的不同供应商，不得参加同一合同项下的政府采购活动。</w:t>
      </w:r>
    </w:p>
    <w:p w14:paraId="63513E52">
      <w:pPr>
        <w:spacing w:line="520" w:lineRule="exact"/>
        <w:ind w:firstLine="480"/>
        <w:rPr>
          <w:rFonts w:hint="eastAsia" w:ascii="宋体" w:hAnsi="宋体" w:eastAsia="宋体" w:cs="宋体"/>
          <w:strike w:val="0"/>
          <w:dstrike w:val="0"/>
          <w:color w:val="auto"/>
          <w:sz w:val="24"/>
          <w:szCs w:val="24"/>
        </w:rPr>
      </w:pPr>
      <w:r>
        <w:rPr>
          <w:rFonts w:hint="eastAsia" w:ascii="宋体" w:hAnsi="宋体" w:eastAsia="宋体" w:cs="宋体"/>
          <w:strike w:val="0"/>
          <w:dstrike w:val="0"/>
          <w:color w:val="auto"/>
          <w:sz w:val="24"/>
          <w:szCs w:val="24"/>
        </w:rPr>
        <w:t>（</w:t>
      </w:r>
      <w:r>
        <w:rPr>
          <w:rFonts w:hint="eastAsia" w:ascii="宋体" w:hAnsi="宋体" w:eastAsia="宋体" w:cs="宋体"/>
          <w:strike w:val="0"/>
          <w:dstrike w:val="0"/>
          <w:color w:val="auto"/>
          <w:sz w:val="24"/>
          <w:szCs w:val="24"/>
          <w:lang w:val="en-US" w:eastAsia="zh-CN"/>
        </w:rPr>
        <w:t>3</w:t>
      </w:r>
      <w:r>
        <w:rPr>
          <w:rFonts w:hint="eastAsia" w:ascii="宋体" w:hAnsi="宋体" w:eastAsia="宋体" w:cs="宋体"/>
          <w:strike w:val="0"/>
          <w:dstrike w:val="0"/>
          <w:color w:val="auto"/>
          <w:sz w:val="24"/>
          <w:szCs w:val="24"/>
        </w:rPr>
        <w:t>）本项目不接受联合体投标。</w:t>
      </w:r>
      <w:bookmarkStart w:id="18" w:name="_Toc35393623"/>
      <w:bookmarkStart w:id="19" w:name="_Toc35393792"/>
    </w:p>
    <w:p w14:paraId="74113005">
      <w:pPr>
        <w:spacing w:line="520" w:lineRule="exact"/>
        <w:ind w:firstLine="480" w:firstLineChars="200"/>
        <w:rPr>
          <w:sz w:val="24"/>
          <w:szCs w:val="24"/>
        </w:rPr>
      </w:pPr>
      <w:r>
        <w:rPr>
          <w:sz w:val="24"/>
          <w:szCs w:val="24"/>
        </w:rPr>
        <w:t>三、获取招标文件</w:t>
      </w:r>
      <w:bookmarkEnd w:id="16"/>
      <w:bookmarkEnd w:id="17"/>
      <w:bookmarkEnd w:id="18"/>
      <w:bookmarkEnd w:id="19"/>
      <w:bookmarkStart w:id="20" w:name="_Toc28359007"/>
      <w:bookmarkStart w:id="21" w:name="_Toc35393625"/>
      <w:bookmarkStart w:id="22" w:name="_Toc35393794"/>
      <w:bookmarkStart w:id="23" w:name="_Toc28359084"/>
    </w:p>
    <w:p w14:paraId="3AB6092D">
      <w:pPr>
        <w:spacing w:line="520" w:lineRule="exact"/>
        <w:ind w:firstLine="480"/>
        <w:rPr>
          <w:rFonts w:ascii="宋体" w:hAnsi="宋体" w:cs="宋体"/>
          <w:color w:val="auto"/>
          <w:sz w:val="24"/>
          <w:szCs w:val="24"/>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none"/>
        </w:rPr>
        <w:t>：</w:t>
      </w:r>
      <w:r>
        <w:rPr>
          <w:rFonts w:hint="eastAsia" w:ascii="宋体" w:hAnsi="宋体" w:cs="宋体"/>
          <w:b/>
          <w:bCs/>
          <w:color w:val="auto"/>
          <w:sz w:val="24"/>
          <w:szCs w:val="24"/>
          <w:highlight w:val="none"/>
          <w:u w:val="single"/>
        </w:rPr>
        <w:t>2024年</w:t>
      </w:r>
      <w:r>
        <w:rPr>
          <w:rFonts w:hint="eastAsia" w:ascii="宋体" w:hAnsi="宋体" w:cs="宋体"/>
          <w:b/>
          <w:bCs/>
          <w:color w:val="auto"/>
          <w:sz w:val="24"/>
          <w:szCs w:val="24"/>
          <w:highlight w:val="none"/>
          <w:u w:val="single"/>
          <w:lang w:val="en-US" w:eastAsia="zh-CN"/>
        </w:rPr>
        <w:t>8</w:t>
      </w:r>
      <w:r>
        <w:rPr>
          <w:rFonts w:hint="eastAsia" w:ascii="宋体" w:hAnsi="宋体" w:cs="宋体"/>
          <w:b/>
          <w:bCs/>
          <w:color w:val="auto"/>
          <w:sz w:val="24"/>
          <w:szCs w:val="24"/>
          <w:highlight w:val="none"/>
          <w:u w:val="single"/>
        </w:rPr>
        <w:t>月</w:t>
      </w:r>
      <w:r>
        <w:rPr>
          <w:rFonts w:hint="eastAsia" w:ascii="宋体" w:hAnsi="宋体" w:cs="宋体"/>
          <w:b/>
          <w:bCs/>
          <w:color w:val="auto"/>
          <w:sz w:val="24"/>
          <w:szCs w:val="24"/>
          <w:highlight w:val="none"/>
          <w:u w:val="single"/>
          <w:lang w:val="en-US" w:eastAsia="zh-CN"/>
        </w:rPr>
        <w:t>5</w:t>
      </w:r>
      <w:r>
        <w:rPr>
          <w:rFonts w:hint="eastAsia" w:ascii="宋体" w:hAnsi="宋体" w:cs="宋体"/>
          <w:b/>
          <w:bCs/>
          <w:color w:val="auto"/>
          <w:sz w:val="24"/>
          <w:szCs w:val="24"/>
          <w:highlight w:val="none"/>
          <w:u w:val="single"/>
        </w:rPr>
        <w:t>日至2024年</w:t>
      </w:r>
      <w:r>
        <w:rPr>
          <w:rFonts w:hint="eastAsia" w:ascii="宋体" w:hAnsi="宋体" w:cs="宋体"/>
          <w:b/>
          <w:bCs/>
          <w:color w:val="auto"/>
          <w:sz w:val="24"/>
          <w:szCs w:val="24"/>
          <w:highlight w:val="none"/>
          <w:u w:val="single"/>
          <w:lang w:val="en-US" w:eastAsia="zh-CN"/>
        </w:rPr>
        <w:t>8</w:t>
      </w:r>
      <w:r>
        <w:rPr>
          <w:rFonts w:hint="eastAsia" w:ascii="宋体" w:hAnsi="宋体" w:cs="宋体"/>
          <w:b/>
          <w:bCs/>
          <w:color w:val="auto"/>
          <w:sz w:val="24"/>
          <w:szCs w:val="24"/>
          <w:highlight w:val="none"/>
          <w:u w:val="single"/>
        </w:rPr>
        <w:t>月</w:t>
      </w:r>
      <w:r>
        <w:rPr>
          <w:rFonts w:hint="eastAsia" w:ascii="宋体" w:hAnsi="宋体" w:cs="宋体"/>
          <w:b/>
          <w:bCs/>
          <w:color w:val="auto"/>
          <w:sz w:val="24"/>
          <w:szCs w:val="24"/>
          <w:highlight w:val="none"/>
          <w:u w:val="single"/>
          <w:lang w:val="en-US" w:eastAsia="zh-CN"/>
        </w:rPr>
        <w:t>12</w:t>
      </w:r>
      <w:r>
        <w:rPr>
          <w:rFonts w:hint="eastAsia" w:ascii="宋体" w:hAnsi="宋体" w:cs="宋体"/>
          <w:b/>
          <w:bCs/>
          <w:color w:val="auto"/>
          <w:sz w:val="24"/>
          <w:szCs w:val="24"/>
          <w:highlight w:val="none"/>
          <w:u w:val="single"/>
        </w:rPr>
        <w:t>日</w:t>
      </w:r>
      <w:r>
        <w:rPr>
          <w:rFonts w:hint="eastAsia" w:ascii="宋体" w:hAnsi="宋体" w:cs="宋体"/>
          <w:color w:val="auto"/>
          <w:sz w:val="24"/>
          <w:szCs w:val="24"/>
          <w:highlight w:val="none"/>
        </w:rPr>
        <w:t>，每天上</w:t>
      </w:r>
      <w:r>
        <w:rPr>
          <w:rFonts w:hint="eastAsia" w:ascii="宋体" w:hAnsi="宋体" w:cs="宋体"/>
          <w:color w:val="auto"/>
          <w:sz w:val="24"/>
          <w:szCs w:val="24"/>
        </w:rPr>
        <w:t>午08:30至11:30，下午</w:t>
      </w:r>
      <w:r>
        <w:rPr>
          <w:rFonts w:hint="eastAsia" w:ascii="宋体" w:hAnsi="宋体" w:cs="宋体"/>
          <w:color w:val="auto"/>
          <w:sz w:val="24"/>
          <w:szCs w:val="24"/>
          <w:lang w:val="en-US" w:eastAsia="zh-CN"/>
        </w:rPr>
        <w:t>2</w:t>
      </w:r>
      <w:r>
        <w:rPr>
          <w:rFonts w:hint="eastAsia" w:ascii="宋体" w:hAnsi="宋体" w:cs="宋体"/>
          <w:color w:val="auto"/>
          <w:sz w:val="24"/>
          <w:szCs w:val="24"/>
        </w:rPr>
        <w:t>:30至</w:t>
      </w:r>
      <w:r>
        <w:rPr>
          <w:rFonts w:hint="eastAsia" w:ascii="宋体" w:hAnsi="宋体" w:cs="宋体"/>
          <w:color w:val="auto"/>
          <w:sz w:val="24"/>
          <w:szCs w:val="24"/>
          <w:lang w:val="en-US" w:eastAsia="zh-CN"/>
        </w:rPr>
        <w:t>5</w:t>
      </w:r>
      <w:r>
        <w:rPr>
          <w:rFonts w:hint="eastAsia" w:ascii="宋体" w:hAnsi="宋体" w:cs="宋体"/>
          <w:color w:val="auto"/>
          <w:sz w:val="24"/>
          <w:szCs w:val="24"/>
        </w:rPr>
        <w:t>:30（北京时间，法定节假日除外）。</w:t>
      </w:r>
    </w:p>
    <w:p w14:paraId="6B57A40B">
      <w:pPr>
        <w:spacing w:line="52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地点：本项目为电子邮箱获取，不接受现场购买、传真购买等其它方式。</w:t>
      </w:r>
    </w:p>
    <w:p w14:paraId="6DEB8FF4">
      <w:pPr>
        <w:spacing w:line="520" w:lineRule="exact"/>
        <w:ind w:firstLine="480"/>
        <w:rPr>
          <w:rFonts w:hint="eastAsia"/>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方式</w:t>
      </w:r>
      <w:r>
        <w:rPr>
          <w:color w:val="auto"/>
          <w:sz w:val="24"/>
          <w:szCs w:val="24"/>
        </w:rPr>
        <w:t>：供应商法定代表人</w:t>
      </w:r>
      <w:r>
        <w:rPr>
          <w:rFonts w:hint="eastAsia"/>
          <w:color w:val="auto"/>
          <w:sz w:val="24"/>
          <w:szCs w:val="24"/>
          <w:lang w:eastAsia="zh-CN"/>
        </w:rPr>
        <w:t>（</w:t>
      </w:r>
      <w:r>
        <w:rPr>
          <w:color w:val="auto"/>
          <w:sz w:val="24"/>
          <w:szCs w:val="24"/>
        </w:rPr>
        <w:t>或授权委托人</w:t>
      </w:r>
      <w:r>
        <w:rPr>
          <w:rFonts w:hint="eastAsia"/>
          <w:color w:val="auto"/>
          <w:sz w:val="24"/>
          <w:szCs w:val="24"/>
          <w:lang w:eastAsia="zh-CN"/>
        </w:rPr>
        <w:t>）</w:t>
      </w:r>
      <w:r>
        <w:rPr>
          <w:color w:val="auto"/>
          <w:sz w:val="24"/>
          <w:szCs w:val="24"/>
        </w:rPr>
        <w:t>凭【单位介绍信</w:t>
      </w:r>
      <w:r>
        <w:rPr>
          <w:rFonts w:hint="eastAsia"/>
          <w:color w:val="auto"/>
          <w:sz w:val="24"/>
          <w:szCs w:val="24"/>
          <w:lang w:eastAsia="zh-CN"/>
        </w:rPr>
        <w:t>（</w:t>
      </w:r>
      <w:r>
        <w:rPr>
          <w:color w:val="auto"/>
          <w:sz w:val="24"/>
          <w:szCs w:val="24"/>
        </w:rPr>
        <w:t>或授权委托书</w:t>
      </w:r>
      <w:r>
        <w:rPr>
          <w:rFonts w:hint="eastAsia"/>
          <w:color w:val="auto"/>
          <w:sz w:val="24"/>
          <w:szCs w:val="24"/>
          <w:lang w:eastAsia="zh-CN"/>
        </w:rPr>
        <w:t>）</w:t>
      </w:r>
      <w:r>
        <w:rPr>
          <w:rFonts w:hint="eastAsia"/>
          <w:b/>
          <w:bCs/>
          <w:color w:val="auto"/>
          <w:sz w:val="24"/>
          <w:szCs w:val="24"/>
          <w:lang w:val="en-US" w:eastAsia="zh-CN"/>
        </w:rPr>
        <w:t>[</w:t>
      </w:r>
      <w:r>
        <w:rPr>
          <w:color w:val="auto"/>
          <w:sz w:val="24"/>
          <w:szCs w:val="24"/>
        </w:rPr>
        <w:t xml:space="preserve">须加盖单位公章且注明项目名称 </w:t>
      </w:r>
      <w:r>
        <w:rPr>
          <w:color w:val="auto"/>
        </w:rPr>
        <w:fldChar w:fldCharType="begin"/>
      </w:r>
      <w:r>
        <w:rPr>
          <w:color w:val="auto"/>
        </w:rPr>
        <w:instrText xml:space="preserve"> HYPERLINK "mailto:、法定代表人或授权委托人姓名、手机号码、电子邮箱、收件地址】、营业执照、法定代表人（或授权委托人）身份证原件的电子扫描（或截图件,发送至代理公司电子邮箱251087110@qq.com中。" </w:instrText>
      </w:r>
      <w:r>
        <w:rPr>
          <w:color w:val="auto"/>
        </w:rPr>
        <w:fldChar w:fldCharType="separate"/>
      </w:r>
      <w:r>
        <w:rPr>
          <w:color w:val="auto"/>
          <w:sz w:val="24"/>
          <w:szCs w:val="24"/>
        </w:rPr>
        <w:t>、法定代表人或授权委托人姓名、手机号码、电子邮箱</w:t>
      </w:r>
      <w:r>
        <w:rPr>
          <w:rFonts w:hint="eastAsia"/>
          <w:b/>
          <w:bCs/>
          <w:color w:val="auto"/>
          <w:sz w:val="24"/>
          <w:szCs w:val="24"/>
          <w:lang w:val="en-US" w:eastAsia="zh-CN"/>
        </w:rPr>
        <w:t>]</w:t>
      </w:r>
      <w:r>
        <w:rPr>
          <w:color w:val="auto"/>
          <w:sz w:val="24"/>
          <w:szCs w:val="24"/>
        </w:rPr>
        <w:t>、营业执照、法定代表人（或授权委托人）身份证】的电子扫描或截图件</w:t>
      </w:r>
      <w:r>
        <w:rPr>
          <w:rFonts w:hint="eastAsia"/>
          <w:color w:val="auto"/>
          <w:sz w:val="24"/>
          <w:szCs w:val="24"/>
        </w:rPr>
        <w:t>，发送至代理公司电子邮箱</w:t>
      </w:r>
      <w:r>
        <w:rPr>
          <w:rFonts w:hint="eastAsia" w:ascii="宋体" w:hAnsi="宋体" w:cs="宋体"/>
          <w:color w:val="auto"/>
          <w:sz w:val="24"/>
          <w:szCs w:val="24"/>
        </w:rPr>
        <w:t>251087110@qq.com</w:t>
      </w:r>
      <w:r>
        <w:rPr>
          <w:rFonts w:hint="eastAsia"/>
          <w:color w:val="auto"/>
          <w:sz w:val="24"/>
          <w:szCs w:val="24"/>
        </w:rPr>
        <w:t>中，并</w:t>
      </w:r>
      <w:r>
        <w:rPr>
          <w:rFonts w:hint="eastAsia"/>
          <w:color w:val="auto"/>
          <w:sz w:val="24"/>
          <w:szCs w:val="24"/>
          <w:lang w:val="en-US" w:eastAsia="zh-CN"/>
        </w:rPr>
        <w:t>请即刻</w:t>
      </w:r>
      <w:r>
        <w:rPr>
          <w:rFonts w:hint="eastAsia"/>
          <w:color w:val="auto"/>
          <w:sz w:val="24"/>
          <w:szCs w:val="24"/>
        </w:rPr>
        <w:t>电话告知代理公司</w:t>
      </w:r>
      <w:r>
        <w:rPr>
          <w:rFonts w:hint="eastAsia"/>
          <w:color w:val="auto"/>
          <w:sz w:val="24"/>
          <w:szCs w:val="24"/>
          <w:lang w:val="en-US" w:eastAsia="zh-CN"/>
        </w:rPr>
        <w:t>任女士（</w:t>
      </w:r>
      <w:r>
        <w:rPr>
          <w:rFonts w:hint="eastAsia" w:ascii="宋体" w:hAnsi="宋体" w:eastAsia="宋体" w:cs="宋体"/>
          <w:color w:val="auto"/>
          <w:sz w:val="24"/>
          <w:szCs w:val="24"/>
          <w:lang w:val="en-US" w:eastAsia="zh-CN"/>
        </w:rPr>
        <w:t>电话：18052980753）</w:t>
      </w:r>
      <w:r>
        <w:rPr>
          <w:rFonts w:hint="eastAsia"/>
          <w:color w:val="auto"/>
          <w:sz w:val="24"/>
          <w:szCs w:val="24"/>
          <w:lang w:val="en-US" w:eastAsia="zh-CN"/>
        </w:rPr>
        <w:t>查收确认</w:t>
      </w:r>
      <w:r>
        <w:rPr>
          <w:rFonts w:hint="eastAsia"/>
          <w:color w:val="auto"/>
          <w:sz w:val="24"/>
          <w:szCs w:val="24"/>
        </w:rPr>
        <w:t>。</w:t>
      </w:r>
      <w:r>
        <w:rPr>
          <w:rFonts w:hint="eastAsia"/>
          <w:color w:val="auto"/>
          <w:sz w:val="24"/>
          <w:szCs w:val="24"/>
        </w:rPr>
        <w:fldChar w:fldCharType="end"/>
      </w:r>
      <w:r>
        <w:rPr>
          <w:color w:val="auto"/>
          <w:sz w:val="24"/>
          <w:szCs w:val="24"/>
        </w:rPr>
        <w:t>上述材料递交成功后</w:t>
      </w:r>
      <w:r>
        <w:rPr>
          <w:rFonts w:hint="eastAsia"/>
          <w:color w:val="auto"/>
          <w:sz w:val="24"/>
          <w:szCs w:val="24"/>
        </w:rPr>
        <w:t>，</w:t>
      </w:r>
      <w:r>
        <w:rPr>
          <w:color w:val="auto"/>
          <w:sz w:val="24"/>
          <w:szCs w:val="24"/>
        </w:rPr>
        <w:t>招标文件将以电子版形式向法定代表人（或授权委托人）的上述预留电子邮箱发出。获取招标文件时如有问题须及时与代理公司联系。因法定代表人（或授权委托人）未及时查看预留电子邮箱或预留电子邮箱错误或</w:t>
      </w:r>
      <w:r>
        <w:rPr>
          <w:rFonts w:hint="eastAsia"/>
          <w:color w:val="auto"/>
          <w:sz w:val="24"/>
          <w:szCs w:val="24"/>
          <w:lang w:val="en-US" w:eastAsia="zh-CN"/>
        </w:rPr>
        <w:t>信息缺失</w:t>
      </w:r>
      <w:r>
        <w:rPr>
          <w:color w:val="auto"/>
          <w:sz w:val="24"/>
          <w:szCs w:val="24"/>
        </w:rPr>
        <w:t>等供应商自身原因导致的后果由供应商自行承担</w:t>
      </w:r>
      <w:r>
        <w:rPr>
          <w:rFonts w:hint="eastAsia"/>
          <w:color w:val="auto"/>
          <w:sz w:val="24"/>
          <w:szCs w:val="24"/>
          <w:lang w:eastAsia="zh-CN"/>
        </w:rPr>
        <w:t>。</w:t>
      </w:r>
    </w:p>
    <w:p w14:paraId="1BD5CA2A">
      <w:pPr>
        <w:spacing w:line="520" w:lineRule="exact"/>
        <w:ind w:firstLine="480"/>
        <w:rPr>
          <w:color w:val="auto"/>
          <w:sz w:val="24"/>
          <w:szCs w:val="24"/>
        </w:rPr>
      </w:pPr>
      <w:r>
        <w:rPr>
          <w:color w:val="auto"/>
          <w:sz w:val="24"/>
          <w:szCs w:val="24"/>
        </w:rPr>
        <w:t>收到招标文件后放弃投标的单位，除不可抗力和投标截止时间前以书面方式说明情况并递交书面放弃函至招标人或采购代理机构经批准同意的情况外，将视情节对该单位处以不诚信投标在网上予以</w:t>
      </w:r>
      <w:r>
        <w:rPr>
          <w:rFonts w:hint="eastAsia" w:ascii="宋体" w:hAnsi="宋体" w:eastAsia="宋体" w:cs="宋体"/>
          <w:color w:val="auto"/>
          <w:sz w:val="24"/>
          <w:szCs w:val="24"/>
        </w:rPr>
        <w:t>公告1-2个月</w:t>
      </w:r>
      <w:r>
        <w:rPr>
          <w:color w:val="auto"/>
          <w:sz w:val="24"/>
          <w:szCs w:val="24"/>
        </w:rPr>
        <w:t>。公告期间，滨海县范围内其它项目的招标人可以依此不接受其投标。</w:t>
      </w:r>
    </w:p>
    <w:p w14:paraId="6641174E">
      <w:pPr>
        <w:spacing w:line="520" w:lineRule="exact"/>
        <w:ind w:firstLine="480"/>
        <w:rPr>
          <w:rFonts w:hint="eastAsia" w:eastAsia="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招标文件售价</w:t>
      </w:r>
      <w:r>
        <w:rPr>
          <w:color w:val="auto"/>
          <w:sz w:val="24"/>
          <w:szCs w:val="24"/>
        </w:rPr>
        <w:t>：0元</w:t>
      </w:r>
      <w:r>
        <w:rPr>
          <w:rFonts w:hint="eastAsia"/>
          <w:color w:val="auto"/>
          <w:sz w:val="24"/>
          <w:szCs w:val="24"/>
          <w:lang w:eastAsia="zh-CN"/>
        </w:rPr>
        <w:t>。</w:t>
      </w:r>
    </w:p>
    <w:p w14:paraId="0313E2BA">
      <w:pPr>
        <w:spacing w:line="520" w:lineRule="exact"/>
        <w:ind w:firstLine="480"/>
        <w:rPr>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其</w:t>
      </w:r>
      <w:r>
        <w:rPr>
          <w:color w:val="auto"/>
          <w:sz w:val="24"/>
          <w:szCs w:val="24"/>
        </w:rPr>
        <w:t>他有关事项：投标供应商通过非本文件规定渠道获取的与本项目采购相关的资料，采购人一律不予承认且不承担由此引发的一切责任。</w:t>
      </w:r>
    </w:p>
    <w:p w14:paraId="63B4E480">
      <w:pPr>
        <w:spacing w:line="520" w:lineRule="exact"/>
        <w:ind w:firstLine="480" w:firstLineChars="200"/>
        <w:rPr>
          <w:sz w:val="24"/>
          <w:szCs w:val="24"/>
        </w:rPr>
      </w:pPr>
      <w:r>
        <w:rPr>
          <w:rFonts w:hint="eastAsia"/>
          <w:sz w:val="24"/>
          <w:szCs w:val="24"/>
        </w:rPr>
        <w:t>四、</w:t>
      </w:r>
      <w:r>
        <w:rPr>
          <w:sz w:val="24"/>
          <w:szCs w:val="24"/>
        </w:rPr>
        <w:t>提交投标文件截止时间、开标时间和地点</w:t>
      </w:r>
    </w:p>
    <w:p w14:paraId="29A4A335">
      <w:pPr>
        <w:spacing w:line="520" w:lineRule="exact"/>
        <w:ind w:left="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提交投标文件截止时</w:t>
      </w:r>
      <w:r>
        <w:rPr>
          <w:rFonts w:hint="eastAsia" w:ascii="宋体" w:hAnsi="宋体" w:eastAsia="宋体" w:cs="宋体"/>
          <w:color w:val="auto"/>
          <w:sz w:val="24"/>
          <w:szCs w:val="24"/>
          <w:highlight w:val="none"/>
        </w:rPr>
        <w:t>间：</w:t>
      </w:r>
      <w:r>
        <w:rPr>
          <w:rFonts w:hint="eastAsia" w:ascii="宋体" w:hAnsi="宋体" w:eastAsia="宋体" w:cs="宋体"/>
          <w:b/>
          <w:bCs/>
          <w:color w:val="auto"/>
          <w:sz w:val="24"/>
          <w:szCs w:val="24"/>
          <w:highlight w:val="none"/>
          <w:u w:val="single"/>
        </w:rPr>
        <w:t>2024年</w:t>
      </w:r>
      <w:r>
        <w:rPr>
          <w:rFonts w:hint="eastAsia" w:ascii="宋体" w:hAnsi="宋体" w:cs="宋体"/>
          <w:b/>
          <w:bCs/>
          <w:color w:val="auto"/>
          <w:sz w:val="24"/>
          <w:szCs w:val="24"/>
          <w:highlight w:val="none"/>
          <w:u w:val="single"/>
          <w:lang w:val="en-US" w:eastAsia="zh-CN"/>
        </w:rPr>
        <w:t>8</w:t>
      </w:r>
      <w:r>
        <w:rPr>
          <w:rFonts w:hint="eastAsia" w:ascii="宋体" w:hAnsi="宋体" w:eastAsia="宋体" w:cs="宋体"/>
          <w:b/>
          <w:bCs/>
          <w:color w:val="auto"/>
          <w:sz w:val="24"/>
          <w:szCs w:val="24"/>
          <w:highlight w:val="none"/>
          <w:u w:val="single"/>
        </w:rPr>
        <w:t>月</w:t>
      </w:r>
      <w:r>
        <w:rPr>
          <w:rFonts w:hint="eastAsia" w:ascii="宋体" w:hAnsi="宋体" w:cs="宋体"/>
          <w:b/>
          <w:bCs/>
          <w:color w:val="auto"/>
          <w:sz w:val="24"/>
          <w:szCs w:val="24"/>
          <w:highlight w:val="none"/>
          <w:u w:val="single"/>
          <w:lang w:val="en-US" w:eastAsia="zh-CN"/>
        </w:rPr>
        <w:t>26</w:t>
      </w:r>
      <w:r>
        <w:rPr>
          <w:rFonts w:hint="eastAsia" w:ascii="宋体" w:hAnsi="宋体" w:eastAsia="宋体" w:cs="宋体"/>
          <w:b/>
          <w:bCs/>
          <w:color w:val="auto"/>
          <w:sz w:val="24"/>
          <w:szCs w:val="24"/>
          <w:highlight w:val="none"/>
          <w:u w:val="single"/>
        </w:rPr>
        <w:t>日</w:t>
      </w:r>
      <w:r>
        <w:rPr>
          <w:rFonts w:hint="eastAsia" w:ascii="宋体" w:hAnsi="宋体" w:eastAsia="宋体" w:cs="宋体"/>
          <w:b/>
          <w:bCs/>
          <w:color w:val="auto"/>
          <w:sz w:val="24"/>
          <w:szCs w:val="24"/>
          <w:highlight w:val="none"/>
          <w:u w:val="single"/>
          <w:lang w:val="en-US" w:eastAsia="zh-CN"/>
        </w:rPr>
        <w:t>15</w:t>
      </w:r>
      <w:r>
        <w:rPr>
          <w:rFonts w:hint="eastAsia" w:ascii="宋体" w:hAnsi="宋体" w:eastAsia="宋体" w:cs="宋体"/>
          <w:b/>
          <w:bCs/>
          <w:color w:val="auto"/>
          <w:sz w:val="24"/>
          <w:szCs w:val="24"/>
          <w:highlight w:val="none"/>
          <w:u w:val="single"/>
        </w:rPr>
        <w:t>点00分00秒</w:t>
      </w:r>
      <w:r>
        <w:rPr>
          <w:rFonts w:hint="eastAsia" w:ascii="宋体" w:hAnsi="宋体" w:eastAsia="宋体" w:cs="宋体"/>
          <w:color w:val="auto"/>
          <w:sz w:val="24"/>
          <w:szCs w:val="24"/>
          <w:highlight w:val="none"/>
        </w:rPr>
        <w:t>（北京时间）</w:t>
      </w:r>
      <w:r>
        <w:rPr>
          <w:rFonts w:hint="eastAsia" w:ascii="宋体" w:hAnsi="宋体" w:cs="宋体"/>
          <w:color w:val="auto"/>
          <w:sz w:val="24"/>
          <w:szCs w:val="24"/>
          <w:highlight w:val="none"/>
          <w:lang w:eastAsia="zh-CN"/>
        </w:rPr>
        <w:t>。</w:t>
      </w:r>
    </w:p>
    <w:p w14:paraId="6FC48301">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开标时间：</w:t>
      </w:r>
      <w:r>
        <w:rPr>
          <w:rFonts w:hint="eastAsia" w:ascii="宋体" w:hAnsi="宋体" w:eastAsia="宋体" w:cs="宋体"/>
          <w:b/>
          <w:bCs/>
          <w:color w:val="auto"/>
          <w:sz w:val="24"/>
          <w:szCs w:val="24"/>
          <w:highlight w:val="none"/>
          <w:u w:val="single"/>
        </w:rPr>
        <w:t>2024年</w:t>
      </w:r>
      <w:r>
        <w:rPr>
          <w:rFonts w:hint="eastAsia" w:ascii="宋体" w:hAnsi="宋体" w:cs="宋体"/>
          <w:b/>
          <w:bCs/>
          <w:color w:val="auto"/>
          <w:sz w:val="24"/>
          <w:szCs w:val="24"/>
          <w:highlight w:val="none"/>
          <w:u w:val="single"/>
          <w:lang w:val="en-US" w:eastAsia="zh-CN"/>
        </w:rPr>
        <w:t>8</w:t>
      </w:r>
      <w:r>
        <w:rPr>
          <w:rFonts w:hint="eastAsia" w:ascii="宋体" w:hAnsi="宋体" w:eastAsia="宋体" w:cs="宋体"/>
          <w:b/>
          <w:bCs/>
          <w:color w:val="auto"/>
          <w:sz w:val="24"/>
          <w:szCs w:val="24"/>
          <w:highlight w:val="none"/>
          <w:u w:val="single"/>
        </w:rPr>
        <w:t>月</w:t>
      </w:r>
      <w:r>
        <w:rPr>
          <w:rFonts w:hint="eastAsia" w:ascii="宋体" w:hAnsi="宋体" w:cs="宋体"/>
          <w:b/>
          <w:bCs/>
          <w:color w:val="auto"/>
          <w:sz w:val="24"/>
          <w:szCs w:val="24"/>
          <w:highlight w:val="none"/>
          <w:u w:val="single"/>
          <w:lang w:val="en-US" w:eastAsia="zh-CN"/>
        </w:rPr>
        <w:t>26</w:t>
      </w:r>
      <w:r>
        <w:rPr>
          <w:rFonts w:hint="eastAsia" w:ascii="宋体" w:hAnsi="宋体" w:eastAsia="宋体" w:cs="宋体"/>
          <w:b/>
          <w:bCs/>
          <w:color w:val="auto"/>
          <w:sz w:val="24"/>
          <w:szCs w:val="24"/>
          <w:highlight w:val="none"/>
          <w:u w:val="single"/>
        </w:rPr>
        <w:t>日</w:t>
      </w:r>
      <w:r>
        <w:rPr>
          <w:rFonts w:hint="eastAsia" w:ascii="宋体" w:hAnsi="宋体" w:eastAsia="宋体" w:cs="宋体"/>
          <w:b/>
          <w:bCs/>
          <w:color w:val="auto"/>
          <w:sz w:val="24"/>
          <w:szCs w:val="24"/>
          <w:highlight w:val="none"/>
          <w:u w:val="single"/>
          <w:lang w:val="en-US" w:eastAsia="zh-CN"/>
        </w:rPr>
        <w:t>15</w:t>
      </w:r>
      <w:r>
        <w:rPr>
          <w:rFonts w:hint="eastAsia" w:ascii="宋体" w:hAnsi="宋体" w:eastAsia="宋体" w:cs="宋体"/>
          <w:b/>
          <w:bCs/>
          <w:color w:val="auto"/>
          <w:sz w:val="24"/>
          <w:szCs w:val="24"/>
          <w:highlight w:val="none"/>
          <w:u w:val="single"/>
        </w:rPr>
        <w:t>点00分00秒</w:t>
      </w:r>
      <w:r>
        <w:rPr>
          <w:rFonts w:hint="eastAsia" w:ascii="宋体" w:hAnsi="宋体" w:eastAsia="宋体" w:cs="宋体"/>
          <w:color w:val="auto"/>
          <w:sz w:val="24"/>
          <w:szCs w:val="24"/>
          <w:highlight w:val="none"/>
        </w:rPr>
        <w:t>（北京时间）</w:t>
      </w:r>
      <w:r>
        <w:rPr>
          <w:rFonts w:hint="eastAsia" w:ascii="宋体" w:hAnsi="宋体" w:cs="宋体"/>
          <w:color w:val="auto"/>
          <w:sz w:val="24"/>
          <w:szCs w:val="24"/>
          <w:highlight w:val="none"/>
          <w:lang w:eastAsia="zh-CN"/>
        </w:rPr>
        <w:t>。</w:t>
      </w:r>
    </w:p>
    <w:p w14:paraId="24F849C7">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开标地点：滨海县住房和城乡建设局</w:t>
      </w:r>
      <w:r>
        <w:rPr>
          <w:rFonts w:hint="eastAsia" w:ascii="宋体" w:hAnsi="宋体" w:eastAsia="宋体" w:cs="宋体"/>
          <w:color w:val="auto"/>
          <w:sz w:val="24"/>
          <w:szCs w:val="24"/>
          <w:highlight w:val="none"/>
          <w:lang w:val="en-US" w:eastAsia="zh-CN"/>
        </w:rPr>
        <w:t>辅楼四楼</w:t>
      </w:r>
      <w:r>
        <w:rPr>
          <w:rFonts w:hint="eastAsia" w:ascii="宋体" w:hAnsi="宋体" w:eastAsia="宋体" w:cs="宋体"/>
          <w:color w:val="auto"/>
          <w:sz w:val="24"/>
          <w:szCs w:val="24"/>
          <w:highlight w:val="none"/>
        </w:rPr>
        <w:t>会议室</w:t>
      </w:r>
      <w:r>
        <w:rPr>
          <w:rFonts w:hint="eastAsia" w:ascii="宋体" w:hAnsi="宋体" w:eastAsia="宋体" w:cs="宋体"/>
          <w:color w:val="auto"/>
          <w:sz w:val="24"/>
          <w:szCs w:val="24"/>
          <w:highlight w:val="none"/>
          <w:lang w:eastAsia="zh-CN"/>
        </w:rPr>
        <w:t>。</w:t>
      </w:r>
    </w:p>
    <w:p w14:paraId="2219CF26">
      <w:pPr>
        <w:spacing w:line="520" w:lineRule="exact"/>
        <w:ind w:firstLine="480" w:firstLineChars="200"/>
        <w:rPr>
          <w:sz w:val="24"/>
          <w:szCs w:val="24"/>
        </w:rPr>
      </w:pPr>
      <w:r>
        <w:rPr>
          <w:rFonts w:hint="eastAsia"/>
          <w:sz w:val="24"/>
          <w:szCs w:val="24"/>
        </w:rPr>
        <w:t>五、</w:t>
      </w:r>
      <w:r>
        <w:rPr>
          <w:sz w:val="24"/>
          <w:szCs w:val="24"/>
        </w:rPr>
        <w:t>公告期限</w:t>
      </w:r>
      <w:bookmarkEnd w:id="20"/>
      <w:bookmarkEnd w:id="21"/>
      <w:bookmarkEnd w:id="22"/>
      <w:bookmarkEnd w:id="23"/>
    </w:p>
    <w:p w14:paraId="3A24CE24">
      <w:pPr>
        <w:spacing w:line="520" w:lineRule="exact"/>
        <w:ind w:left="480"/>
        <w:rPr>
          <w:sz w:val="24"/>
          <w:szCs w:val="24"/>
        </w:rPr>
      </w:pPr>
      <w:r>
        <w:rPr>
          <w:sz w:val="24"/>
          <w:szCs w:val="24"/>
        </w:rPr>
        <w:t>自本公告发布之日起5个工作日。</w:t>
      </w:r>
    </w:p>
    <w:p w14:paraId="712D1095">
      <w:pPr>
        <w:pStyle w:val="199"/>
        <w:tabs>
          <w:tab w:val="left" w:pos="0"/>
          <w:tab w:val="left" w:pos="3165"/>
          <w:tab w:val="center" w:pos="4153"/>
        </w:tabs>
        <w:spacing w:line="520" w:lineRule="exact"/>
        <w:ind w:firstLine="480" w:firstLineChars="200"/>
        <w:jc w:val="left"/>
        <w:rPr>
          <w:rFonts w:ascii="Times New Roman" w:eastAsia="宋体"/>
          <w:sz w:val="24"/>
          <w:szCs w:val="24"/>
        </w:rPr>
      </w:pPr>
      <w:bookmarkStart w:id="24" w:name="_Toc35393626"/>
      <w:bookmarkStart w:id="25" w:name="_Toc35393795"/>
      <w:r>
        <w:rPr>
          <w:rFonts w:ascii="Times New Roman" w:eastAsia="宋体"/>
          <w:sz w:val="24"/>
          <w:szCs w:val="24"/>
        </w:rPr>
        <w:t>六、其他补充事宜</w:t>
      </w:r>
      <w:bookmarkEnd w:id="24"/>
      <w:bookmarkEnd w:id="25"/>
    </w:p>
    <w:p w14:paraId="620E0178">
      <w:pPr>
        <w:widowControl/>
        <w:shd w:val="clear" w:color="auto" w:fill="FFFFFF"/>
        <w:spacing w:line="520" w:lineRule="exact"/>
        <w:ind w:firstLine="480"/>
        <w:jc w:val="left"/>
        <w:rPr>
          <w:rFonts w:hint="eastAsia" w:ascii="宋体" w:hAnsi="宋体" w:eastAsia="宋体" w:cs="宋体"/>
          <w:sz w:val="24"/>
          <w:szCs w:val="24"/>
        </w:rPr>
      </w:pPr>
      <w:r>
        <w:rPr>
          <w:rFonts w:hint="eastAsia" w:ascii="宋体" w:hAnsi="宋体" w:eastAsia="宋体" w:cs="宋体"/>
          <w:sz w:val="24"/>
          <w:szCs w:val="24"/>
        </w:rPr>
        <w:t>1.各投标人在投标截止时间前应当每天都上网查询，以便获取更新的澄清、修改、补充内容。凡涉及到该项目的补充说明和修改，均以江苏政府采购网上的更正或补充通知为准。</w:t>
      </w:r>
    </w:p>
    <w:p w14:paraId="72DCF229">
      <w:pPr>
        <w:widowControl/>
        <w:shd w:val="clear" w:color="auto" w:fill="FFFFFF"/>
        <w:spacing w:line="52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ascii="Times New Roman" w:eastAsia="宋体"/>
          <w:color w:val="auto"/>
          <w:sz w:val="24"/>
          <w:szCs w:val="24"/>
        </w:rPr>
        <w:t>投标人存在串通投标、以他人名义投标、弄虚作假等违法违规行为，或者无正当理由放弃投标、中标资格，造成项目招标失败的，不得参加该项目重新招标的投标</w:t>
      </w:r>
      <w:r>
        <w:rPr>
          <w:rFonts w:hint="eastAsia" w:ascii="宋体" w:hAnsi="宋体" w:eastAsia="宋体" w:cs="宋体"/>
          <w:color w:val="auto"/>
          <w:sz w:val="24"/>
          <w:szCs w:val="24"/>
        </w:rPr>
        <w:t>。</w:t>
      </w:r>
    </w:p>
    <w:p w14:paraId="0CEF322E">
      <w:pPr>
        <w:widowControl/>
        <w:shd w:val="clear" w:color="auto" w:fill="FFFFFF"/>
        <w:spacing w:line="52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3.本项目不收取投标保证金，不收取质量保证金。</w:t>
      </w:r>
    </w:p>
    <w:p w14:paraId="33217C81">
      <w:pPr>
        <w:widowControl/>
        <w:shd w:val="clear" w:color="auto" w:fill="FFFFFF"/>
        <w:spacing w:line="52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.本项目落实小微型企业扶持政府采购政策（详见招标文件）。</w:t>
      </w:r>
    </w:p>
    <w:p w14:paraId="17BB5FCB">
      <w:pPr>
        <w:widowControl/>
        <w:shd w:val="clear" w:color="auto" w:fill="FFFFFF"/>
        <w:spacing w:line="520" w:lineRule="exact"/>
        <w:ind w:firstLine="48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.付款方式：</w:t>
      </w:r>
      <w:r>
        <w:rPr>
          <w:rFonts w:hint="eastAsia" w:ascii="宋体" w:hAnsi="宋体" w:cs="宋体"/>
          <w:b/>
          <w:bCs/>
          <w:sz w:val="24"/>
          <w:szCs w:val="24"/>
          <w:highlight w:val="none"/>
          <w:u w:val="none"/>
          <w:lang w:bidi="ar"/>
        </w:rPr>
        <w:t>合同签定后7日内支付合同总价的</w:t>
      </w:r>
      <w:r>
        <w:rPr>
          <w:rFonts w:hint="eastAsia" w:ascii="宋体" w:hAnsi="宋体" w:cs="宋体"/>
          <w:b/>
          <w:bCs/>
          <w:sz w:val="24"/>
          <w:szCs w:val="24"/>
          <w:highlight w:val="none"/>
          <w:u w:val="none"/>
          <w:lang w:val="en-US" w:eastAsia="zh-CN" w:bidi="ar"/>
        </w:rPr>
        <w:t>3</w:t>
      </w:r>
      <w:r>
        <w:rPr>
          <w:rFonts w:hint="eastAsia" w:ascii="宋体" w:hAnsi="宋体" w:cs="宋体"/>
          <w:b/>
          <w:bCs/>
          <w:sz w:val="24"/>
          <w:szCs w:val="24"/>
          <w:highlight w:val="none"/>
          <w:u w:val="none"/>
          <w:lang w:bidi="ar"/>
        </w:rPr>
        <w:t>0%作为预付款（中标人须提供合同总价</w:t>
      </w:r>
      <w:r>
        <w:rPr>
          <w:rFonts w:hint="eastAsia" w:ascii="宋体" w:hAnsi="宋体" w:cs="宋体"/>
          <w:b/>
          <w:bCs/>
          <w:sz w:val="24"/>
          <w:szCs w:val="24"/>
          <w:highlight w:val="none"/>
          <w:u w:val="none"/>
          <w:lang w:val="en-US" w:eastAsia="zh-CN" w:bidi="ar"/>
        </w:rPr>
        <w:t>3</w:t>
      </w:r>
      <w:r>
        <w:rPr>
          <w:rFonts w:hint="eastAsia" w:ascii="宋体" w:hAnsi="宋体" w:cs="宋体"/>
          <w:b/>
          <w:bCs/>
          <w:sz w:val="24"/>
          <w:szCs w:val="24"/>
          <w:highlight w:val="none"/>
          <w:u w:val="none"/>
          <w:lang w:bidi="ar"/>
        </w:rPr>
        <w:t>0%的银行保函）</w:t>
      </w:r>
      <w:r>
        <w:rPr>
          <w:rFonts w:hint="eastAsia" w:ascii="宋体" w:hAnsi="宋体" w:cs="宋体"/>
          <w:b/>
          <w:bCs/>
          <w:sz w:val="24"/>
          <w:szCs w:val="24"/>
          <w:highlight w:val="none"/>
          <w:u w:val="none"/>
          <w:lang w:eastAsia="zh-CN" w:bidi="ar"/>
        </w:rPr>
        <w:t>；</w:t>
      </w:r>
      <w:r>
        <w:rPr>
          <w:rFonts w:hint="eastAsia" w:ascii="宋体" w:hAnsi="宋体" w:cs="宋体"/>
          <w:b/>
          <w:bCs/>
          <w:sz w:val="24"/>
          <w:szCs w:val="24"/>
          <w:highlight w:val="none"/>
          <w:u w:val="none"/>
        </w:rPr>
        <w:t>完成项目总量60%支付</w:t>
      </w:r>
      <w:r>
        <w:rPr>
          <w:rFonts w:hint="eastAsia" w:ascii="宋体" w:hAnsi="宋体" w:cs="宋体"/>
          <w:b/>
          <w:bCs/>
          <w:sz w:val="24"/>
          <w:szCs w:val="24"/>
          <w:highlight w:val="none"/>
          <w:u w:val="none"/>
          <w:lang w:eastAsia="zh-CN"/>
        </w:rPr>
        <w:t>至</w:t>
      </w:r>
      <w:r>
        <w:rPr>
          <w:rFonts w:hint="eastAsia" w:ascii="宋体" w:hAnsi="宋体" w:cs="宋体"/>
          <w:b/>
          <w:bCs/>
          <w:sz w:val="24"/>
          <w:szCs w:val="24"/>
          <w:highlight w:val="none"/>
          <w:u w:val="none"/>
        </w:rPr>
        <w:t>合同总价的50%</w:t>
      </w:r>
      <w:r>
        <w:rPr>
          <w:rFonts w:hint="eastAsia" w:ascii="宋体" w:hAnsi="宋体" w:cs="宋体"/>
          <w:b/>
          <w:bCs/>
          <w:sz w:val="24"/>
          <w:szCs w:val="24"/>
          <w:highlight w:val="none"/>
          <w:u w:val="none"/>
          <w:lang w:eastAsia="zh-CN"/>
        </w:rPr>
        <w:t>；</w:t>
      </w:r>
      <w:r>
        <w:rPr>
          <w:rFonts w:hint="eastAsia" w:ascii="宋体" w:hAnsi="宋体" w:cs="宋体"/>
          <w:b/>
          <w:bCs/>
          <w:sz w:val="24"/>
          <w:szCs w:val="24"/>
          <w:highlight w:val="none"/>
          <w:u w:val="none"/>
        </w:rPr>
        <w:t>完成项目总量的80%支付</w:t>
      </w:r>
      <w:r>
        <w:rPr>
          <w:rFonts w:hint="eastAsia" w:ascii="宋体" w:hAnsi="宋体" w:cs="宋体"/>
          <w:b/>
          <w:bCs/>
          <w:sz w:val="24"/>
          <w:szCs w:val="24"/>
          <w:highlight w:val="none"/>
          <w:u w:val="none"/>
          <w:lang w:eastAsia="zh-CN"/>
        </w:rPr>
        <w:t>至</w:t>
      </w:r>
      <w:r>
        <w:rPr>
          <w:rFonts w:hint="eastAsia" w:ascii="宋体" w:hAnsi="宋体" w:cs="宋体"/>
          <w:b/>
          <w:bCs/>
          <w:sz w:val="24"/>
          <w:szCs w:val="24"/>
          <w:highlight w:val="none"/>
          <w:u w:val="none"/>
        </w:rPr>
        <w:t>合同总价的70%</w:t>
      </w:r>
      <w:r>
        <w:rPr>
          <w:rFonts w:hint="eastAsia" w:ascii="宋体" w:hAnsi="宋体" w:cs="宋体"/>
          <w:b/>
          <w:bCs/>
          <w:sz w:val="24"/>
          <w:szCs w:val="24"/>
          <w:highlight w:val="none"/>
          <w:u w:val="none"/>
          <w:lang w:eastAsia="zh-CN"/>
        </w:rPr>
        <w:t>；合同期满一个月内付清尾款。</w:t>
      </w:r>
      <w:r>
        <w:rPr>
          <w:rFonts w:hint="eastAsia" w:ascii="宋体" w:hAnsi="宋体" w:cs="宋体"/>
          <w:b/>
          <w:bCs/>
          <w:sz w:val="24"/>
          <w:szCs w:val="24"/>
          <w:highlight w:val="none"/>
          <w:u w:val="none"/>
          <w:lang w:bidi="ar"/>
        </w:rPr>
        <w:t>（均无息，需开增值税专用发票</w:t>
      </w:r>
      <w:r>
        <w:rPr>
          <w:rFonts w:hint="eastAsia" w:ascii="宋体" w:hAnsi="宋体" w:cs="宋体"/>
          <w:b/>
          <w:bCs/>
          <w:sz w:val="24"/>
          <w:szCs w:val="24"/>
          <w:highlight w:val="none"/>
          <w:u w:val="none"/>
          <w:lang w:eastAsia="zh-CN" w:bidi="ar"/>
        </w:rPr>
        <w:t>。</w:t>
      </w:r>
      <w:r>
        <w:rPr>
          <w:rFonts w:hint="eastAsia" w:ascii="宋体" w:hAnsi="宋体" w:cs="宋体"/>
          <w:b/>
          <w:bCs/>
          <w:sz w:val="24"/>
          <w:szCs w:val="24"/>
          <w:highlight w:val="none"/>
          <w:u w:val="none"/>
          <w:lang w:bidi="ar"/>
        </w:rPr>
        <w:t>）</w:t>
      </w:r>
    </w:p>
    <w:p w14:paraId="6B118810">
      <w:pPr>
        <w:widowControl/>
        <w:shd w:val="clear" w:color="auto" w:fill="FFFFFF"/>
        <w:spacing w:line="520" w:lineRule="exact"/>
        <w:ind w:firstLine="480"/>
        <w:jc w:val="left"/>
        <w:rPr>
          <w:rFonts w:hint="eastAsia" w:ascii="宋体" w:hAnsi="宋体" w:cs="宋体"/>
          <w:b/>
          <w:bCs/>
          <w:sz w:val="24"/>
          <w:szCs w:val="24"/>
          <w:highlight w:val="none"/>
          <w:u w:val="none"/>
        </w:rPr>
      </w:pPr>
      <w:r>
        <w:rPr>
          <w:rFonts w:hint="eastAsia" w:ascii="宋体" w:hAnsi="宋体" w:cs="宋体"/>
          <w:b/>
          <w:bCs/>
          <w:sz w:val="24"/>
          <w:szCs w:val="24"/>
          <w:highlight w:val="none"/>
          <w:u w:val="none"/>
          <w:lang w:eastAsia="zh-CN"/>
        </w:rPr>
        <w:t>注：</w:t>
      </w:r>
      <w:r>
        <w:rPr>
          <w:rFonts w:hint="eastAsia" w:ascii="宋体" w:hAnsi="宋体" w:cs="宋体"/>
          <w:b/>
          <w:bCs/>
          <w:sz w:val="24"/>
          <w:szCs w:val="24"/>
          <w:highlight w:val="none"/>
          <w:u w:val="none"/>
        </w:rPr>
        <w:t>污水管网COD提升以及河道排口溯源项目预计排查管网公里数为150 公里</w:t>
      </w:r>
      <w:r>
        <w:rPr>
          <w:rFonts w:hint="eastAsia" w:ascii="宋体" w:hAnsi="宋体" w:cs="宋体"/>
          <w:b/>
          <w:bCs/>
          <w:sz w:val="24"/>
          <w:szCs w:val="24"/>
          <w:highlight w:val="none"/>
          <w:u w:val="none"/>
          <w:lang w:eastAsia="zh-CN"/>
        </w:rPr>
        <w:t>，</w:t>
      </w:r>
      <w:r>
        <w:rPr>
          <w:rFonts w:hint="eastAsia" w:ascii="宋体" w:hAnsi="宋体" w:cs="宋体"/>
          <w:b/>
          <w:bCs/>
          <w:sz w:val="24"/>
          <w:szCs w:val="24"/>
          <w:highlight w:val="none"/>
          <w:u w:val="none"/>
        </w:rPr>
        <w:t>阶段性付款按照执行单价×已经执行的公里数结算。</w:t>
      </w:r>
    </w:p>
    <w:p w14:paraId="3E92C892">
      <w:pPr>
        <w:pStyle w:val="199"/>
        <w:tabs>
          <w:tab w:val="left" w:pos="0"/>
          <w:tab w:val="left" w:pos="3165"/>
          <w:tab w:val="center" w:pos="4153"/>
        </w:tabs>
        <w:spacing w:line="520" w:lineRule="exact"/>
        <w:ind w:firstLine="720" w:firstLineChars="300"/>
        <w:jc w:val="left"/>
        <w:rPr>
          <w:rFonts w:ascii="Times New Roman" w:eastAsia="宋体"/>
          <w:sz w:val="24"/>
          <w:szCs w:val="24"/>
        </w:rPr>
      </w:pPr>
      <w:bookmarkStart w:id="26" w:name="_Toc28359085"/>
      <w:bookmarkStart w:id="27" w:name="_Toc35393627"/>
      <w:bookmarkStart w:id="28" w:name="_Toc35393796"/>
      <w:bookmarkStart w:id="29" w:name="_Toc28359008"/>
      <w:r>
        <w:rPr>
          <w:rFonts w:ascii="Times New Roman" w:eastAsia="宋体"/>
          <w:sz w:val="24"/>
          <w:szCs w:val="24"/>
        </w:rPr>
        <w:t>七、对本次招标提出询问，请按以下方式联系。</w:t>
      </w:r>
      <w:bookmarkEnd w:id="26"/>
      <w:bookmarkEnd w:id="27"/>
      <w:bookmarkEnd w:id="28"/>
      <w:bookmarkEnd w:id="29"/>
    </w:p>
    <w:p w14:paraId="0E5EA120">
      <w:pPr>
        <w:pStyle w:val="200"/>
        <w:spacing w:before="0" w:after="0" w:line="520" w:lineRule="exact"/>
        <w:ind w:firstLine="720" w:firstLineChars="300"/>
        <w:jc w:val="both"/>
        <w:rPr>
          <w:rFonts w:hint="eastAsia" w:ascii="宋体" w:hAnsi="宋体" w:eastAsia="宋体" w:cs="宋体"/>
          <w:b w:val="0"/>
          <w:sz w:val="24"/>
          <w:szCs w:val="24"/>
        </w:rPr>
      </w:pPr>
      <w:bookmarkStart w:id="30" w:name="_Toc35393806"/>
      <w:bookmarkStart w:id="31" w:name="_Toc28359096"/>
      <w:bookmarkStart w:id="32" w:name="_Toc28359019"/>
      <w:bookmarkStart w:id="33" w:name="_Toc35393637"/>
      <w:r>
        <w:rPr>
          <w:rFonts w:hint="eastAsia" w:ascii="宋体" w:hAnsi="宋体" w:eastAsia="宋体" w:cs="宋体"/>
          <w:b w:val="0"/>
          <w:sz w:val="24"/>
          <w:szCs w:val="24"/>
        </w:rPr>
        <w:t>1.采购人信息</w:t>
      </w:r>
      <w:bookmarkEnd w:id="30"/>
      <w:bookmarkEnd w:id="31"/>
      <w:bookmarkEnd w:id="32"/>
      <w:bookmarkEnd w:id="33"/>
    </w:p>
    <w:p w14:paraId="7BA8A2DB">
      <w:pPr>
        <w:spacing w:line="520" w:lineRule="exact"/>
        <w:ind w:firstLine="720" w:firstLineChars="300"/>
        <w:jc w:val="left"/>
        <w:rPr>
          <w:rFonts w:hint="eastAsia" w:ascii="宋体" w:hAnsi="宋体" w:eastAsia="宋体" w:cs="宋体"/>
          <w:sz w:val="24"/>
          <w:szCs w:val="24"/>
        </w:rPr>
      </w:pPr>
      <w:r>
        <w:rPr>
          <w:rFonts w:hint="eastAsia" w:ascii="宋体" w:hAnsi="宋体" w:eastAsia="宋体" w:cs="宋体"/>
          <w:sz w:val="24"/>
          <w:szCs w:val="24"/>
        </w:rPr>
        <w:t>名  称：滨海县住房和城乡建设局</w:t>
      </w:r>
    </w:p>
    <w:p w14:paraId="48E36F0A">
      <w:pPr>
        <w:spacing w:line="520" w:lineRule="exact"/>
        <w:ind w:firstLine="720" w:firstLineChars="300"/>
        <w:jc w:val="left"/>
        <w:rPr>
          <w:rFonts w:hint="eastAsia" w:ascii="宋体" w:hAnsi="宋体" w:eastAsia="宋体" w:cs="宋体"/>
          <w:sz w:val="24"/>
          <w:szCs w:val="24"/>
        </w:rPr>
      </w:pPr>
      <w:r>
        <w:rPr>
          <w:rFonts w:hint="eastAsia" w:ascii="宋体" w:hAnsi="宋体" w:eastAsia="宋体" w:cs="宋体"/>
          <w:sz w:val="24"/>
          <w:szCs w:val="24"/>
        </w:rPr>
        <w:t>地  址：滨海县东坎镇迎宾大道9号</w:t>
      </w:r>
    </w:p>
    <w:p w14:paraId="1C2CAE68">
      <w:pPr>
        <w:spacing w:line="52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rPr>
        <w:t>联系人：</w:t>
      </w:r>
      <w:r>
        <w:rPr>
          <w:rFonts w:hint="eastAsia" w:ascii="宋体" w:hAnsi="宋体" w:cs="宋体"/>
          <w:sz w:val="24"/>
          <w:szCs w:val="24"/>
          <w:lang w:val="en-US" w:eastAsia="zh-CN"/>
        </w:rPr>
        <w:t>顾女士</w:t>
      </w:r>
    </w:p>
    <w:p w14:paraId="1B1EF939">
      <w:pPr>
        <w:spacing w:line="520" w:lineRule="exact"/>
        <w:ind w:firstLine="720" w:firstLineChars="300"/>
        <w:jc w:val="left"/>
        <w:rPr>
          <w:rFonts w:hint="default" w:ascii="宋体" w:hAnsi="宋体" w:eastAsia="宋体" w:cs="宋体"/>
          <w:sz w:val="24"/>
          <w:szCs w:val="24"/>
          <w:lang w:val="en-US" w:eastAsia="zh-CN"/>
        </w:rPr>
      </w:pPr>
      <w:r>
        <w:rPr>
          <w:rFonts w:hint="eastAsia" w:ascii="宋体" w:hAnsi="宋体" w:eastAsia="宋体" w:cs="宋体"/>
          <w:sz w:val="24"/>
          <w:szCs w:val="24"/>
        </w:rPr>
        <w:t>联系手机号码：</w:t>
      </w:r>
      <w:r>
        <w:rPr>
          <w:rFonts w:hint="eastAsia" w:ascii="宋体" w:hAnsi="宋体" w:cs="宋体"/>
          <w:sz w:val="24"/>
          <w:szCs w:val="24"/>
          <w:lang w:val="en-US" w:eastAsia="zh-CN"/>
        </w:rPr>
        <w:t>15295348451</w:t>
      </w:r>
    </w:p>
    <w:p w14:paraId="4FEC8111">
      <w:pPr>
        <w:pStyle w:val="200"/>
        <w:spacing w:before="0" w:after="0" w:line="520" w:lineRule="exact"/>
        <w:ind w:firstLine="720" w:firstLineChars="300"/>
        <w:jc w:val="both"/>
        <w:rPr>
          <w:rFonts w:hint="eastAsia" w:ascii="宋体" w:hAnsi="宋体" w:eastAsia="宋体" w:cs="宋体"/>
          <w:b w:val="0"/>
          <w:sz w:val="24"/>
          <w:szCs w:val="24"/>
        </w:rPr>
      </w:pPr>
      <w:bookmarkStart w:id="34" w:name="_Toc35393638"/>
      <w:bookmarkStart w:id="35" w:name="_Toc28359020"/>
      <w:bookmarkStart w:id="36" w:name="_Toc35393807"/>
      <w:bookmarkStart w:id="37" w:name="_Toc28359097"/>
      <w:r>
        <w:rPr>
          <w:rFonts w:hint="eastAsia" w:ascii="宋体" w:hAnsi="宋体" w:eastAsia="宋体" w:cs="宋体"/>
          <w:b w:val="0"/>
          <w:sz w:val="24"/>
          <w:szCs w:val="24"/>
        </w:rPr>
        <w:t>2.采购代理机构信息</w:t>
      </w:r>
      <w:bookmarkEnd w:id="34"/>
      <w:bookmarkEnd w:id="35"/>
      <w:bookmarkEnd w:id="36"/>
      <w:bookmarkEnd w:id="37"/>
    </w:p>
    <w:p w14:paraId="5B27ABE6">
      <w:pPr>
        <w:spacing w:line="52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名  称：滨海金点子工程项目管理有限公司</w:t>
      </w:r>
    </w:p>
    <w:p w14:paraId="29718DA1">
      <w:pPr>
        <w:spacing w:line="52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地　址：滨海县东坎镇迎宾大道9号</w:t>
      </w:r>
    </w:p>
    <w:p w14:paraId="3555B187">
      <w:pPr>
        <w:spacing w:line="520" w:lineRule="exact"/>
        <w:ind w:firstLine="787" w:firstLineChars="328"/>
        <w:jc w:val="left"/>
        <w:rPr>
          <w:rFonts w:hint="eastAsia" w:ascii="宋体" w:hAnsi="宋体" w:eastAsia="宋体" w:cs="宋体"/>
          <w:sz w:val="24"/>
          <w:szCs w:val="24"/>
        </w:rPr>
      </w:pPr>
      <w:bookmarkStart w:id="38" w:name="_Toc35393808"/>
      <w:bookmarkStart w:id="39" w:name="_Toc28359021"/>
      <w:bookmarkStart w:id="40" w:name="_Toc28359098"/>
      <w:bookmarkStart w:id="41" w:name="_Toc35393639"/>
      <w:r>
        <w:rPr>
          <w:rFonts w:hint="eastAsia" w:ascii="宋体" w:hAnsi="宋体" w:eastAsia="宋体" w:cs="宋体"/>
          <w:sz w:val="24"/>
          <w:szCs w:val="24"/>
        </w:rPr>
        <w:t xml:space="preserve">联系人：任女士               </w:t>
      </w:r>
    </w:p>
    <w:p w14:paraId="3450DDEB">
      <w:pPr>
        <w:spacing w:line="520" w:lineRule="exact"/>
        <w:ind w:firstLine="787" w:firstLineChars="328"/>
        <w:jc w:val="left"/>
        <w:rPr>
          <w:rFonts w:hint="eastAsia" w:ascii="宋体" w:hAnsi="宋体" w:eastAsia="宋体" w:cs="宋体"/>
          <w:sz w:val="24"/>
          <w:szCs w:val="24"/>
        </w:rPr>
      </w:pPr>
      <w:r>
        <w:rPr>
          <w:rFonts w:hint="eastAsia" w:ascii="宋体" w:hAnsi="宋体" w:eastAsia="宋体" w:cs="宋体"/>
          <w:sz w:val="24"/>
          <w:szCs w:val="24"/>
        </w:rPr>
        <w:t>联系手机号码：18052980753</w:t>
      </w:r>
    </w:p>
    <w:p w14:paraId="3A114CF6">
      <w:pPr>
        <w:spacing w:line="520" w:lineRule="exact"/>
        <w:ind w:firstLine="787" w:firstLineChars="328"/>
        <w:jc w:val="left"/>
        <w:rPr>
          <w:rFonts w:hint="eastAsia" w:ascii="宋体" w:hAnsi="宋体" w:eastAsia="宋体" w:cs="宋体"/>
          <w:sz w:val="24"/>
          <w:szCs w:val="24"/>
        </w:rPr>
      </w:pPr>
      <w:r>
        <w:rPr>
          <w:rFonts w:hint="eastAsia" w:ascii="宋体" w:hAnsi="宋体" w:eastAsia="宋体" w:cs="宋体"/>
          <w:sz w:val="24"/>
          <w:szCs w:val="24"/>
        </w:rPr>
        <w:t>联系邮箱：251087110@qq.com</w:t>
      </w:r>
    </w:p>
    <w:p w14:paraId="3334BE7C">
      <w:pPr>
        <w:pStyle w:val="200"/>
        <w:spacing w:before="0" w:after="0" w:line="520" w:lineRule="exact"/>
        <w:ind w:firstLine="720" w:firstLineChars="300"/>
        <w:jc w:val="both"/>
        <w:rPr>
          <w:rFonts w:hint="eastAsia" w:ascii="宋体" w:hAnsi="宋体" w:eastAsia="宋体" w:cs="宋体"/>
          <w:b w:val="0"/>
          <w:sz w:val="24"/>
          <w:szCs w:val="24"/>
        </w:rPr>
      </w:pPr>
      <w:r>
        <w:rPr>
          <w:rFonts w:hint="eastAsia" w:ascii="宋体" w:hAnsi="宋体" w:eastAsia="宋体" w:cs="宋体"/>
          <w:b w:val="0"/>
          <w:sz w:val="24"/>
          <w:szCs w:val="24"/>
        </w:rPr>
        <w:t>3.项目联系方式</w:t>
      </w:r>
      <w:bookmarkEnd w:id="38"/>
      <w:bookmarkEnd w:id="39"/>
      <w:bookmarkEnd w:id="40"/>
      <w:bookmarkEnd w:id="41"/>
    </w:p>
    <w:p w14:paraId="7A04EE52">
      <w:pPr>
        <w:pStyle w:val="224"/>
        <w:spacing w:line="52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项目联系人：</w:t>
      </w:r>
      <w:r>
        <w:rPr>
          <w:rFonts w:hint="eastAsia" w:ascii="宋体" w:hAnsi="宋体" w:cs="宋体"/>
          <w:sz w:val="24"/>
          <w:szCs w:val="24"/>
          <w:lang w:val="en-US" w:eastAsia="zh-CN"/>
        </w:rPr>
        <w:t>顾女士</w:t>
      </w:r>
      <w:r>
        <w:rPr>
          <w:rFonts w:hint="eastAsia" w:ascii="宋体" w:hAnsi="宋体" w:eastAsia="宋体" w:cs="宋体"/>
          <w:sz w:val="24"/>
          <w:szCs w:val="24"/>
        </w:rPr>
        <w:t>、任女士</w:t>
      </w:r>
    </w:p>
    <w:p w14:paraId="3281DD0B">
      <w:pPr>
        <w:spacing w:line="52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手机号码：</w:t>
      </w:r>
      <w:r>
        <w:rPr>
          <w:rFonts w:hint="eastAsia" w:ascii="宋体" w:hAnsi="宋体" w:cs="宋体"/>
          <w:sz w:val="24"/>
          <w:szCs w:val="24"/>
          <w:lang w:val="en-US" w:eastAsia="zh-CN"/>
        </w:rPr>
        <w:t>15295348451</w:t>
      </w:r>
      <w:r>
        <w:rPr>
          <w:rFonts w:hint="eastAsia" w:ascii="宋体" w:hAnsi="宋体" w:eastAsia="宋体" w:cs="宋体"/>
          <w:sz w:val="24"/>
          <w:szCs w:val="24"/>
        </w:rPr>
        <w:t>、18052980753</w:t>
      </w:r>
    </w:p>
    <w:p w14:paraId="53384F62">
      <w:pPr>
        <w:spacing w:line="420" w:lineRule="auto"/>
        <w:ind w:firstLine="480"/>
        <w:rPr>
          <w:rFonts w:ascii="黑体"/>
        </w:rPr>
      </w:pPr>
    </w:p>
    <w:p w14:paraId="4A4FF486">
      <w:pPr>
        <w:pStyle w:val="200"/>
        <w:spacing w:line="420" w:lineRule="auto"/>
        <w:ind w:firstLine="883"/>
        <w:jc w:val="both"/>
        <w:rPr>
          <w:rFonts w:ascii="黑体" w:eastAsia="黑体"/>
        </w:rPr>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pPr>
      <w:r>
        <w:rPr>
          <w:rFonts w:hint="eastAsia" w:ascii="黑体" w:eastAsia="黑体"/>
        </w:rPr>
        <w:t xml:space="preserve">            </w:t>
      </w:r>
    </w:p>
    <w:p w14:paraId="1788D538">
      <w:pPr>
        <w:pStyle w:val="200"/>
        <w:spacing w:line="420" w:lineRule="auto"/>
        <w:ind w:firstLine="883"/>
        <w:rPr>
          <w:rFonts w:ascii="黑体" w:eastAsia="黑体"/>
          <w:b w:val="0"/>
          <w:bCs w:val="0"/>
        </w:rPr>
      </w:pPr>
      <w:r>
        <w:rPr>
          <w:rFonts w:hint="eastAsia" w:ascii="黑体" w:eastAsia="黑体"/>
        </w:rPr>
        <w:t xml:space="preserve">第二章  </w:t>
      </w:r>
      <w:bookmarkEnd w:id="1"/>
      <w:bookmarkEnd w:id="2"/>
      <w:bookmarkEnd w:id="3"/>
      <w:bookmarkEnd w:id="4"/>
      <w:bookmarkEnd w:id="5"/>
      <w:bookmarkEnd w:id="6"/>
      <w:bookmarkStart w:id="42" w:name="_Toc120614213"/>
      <w:bookmarkStart w:id="43" w:name="_Toc513029202"/>
      <w:bookmarkStart w:id="44" w:name="_Toc20823274"/>
      <w:bookmarkStart w:id="45" w:name="_Toc16938518"/>
      <w:r>
        <w:rPr>
          <w:rFonts w:hint="eastAsia" w:ascii="黑体" w:eastAsia="黑体"/>
        </w:rPr>
        <w:t>投标人须知</w:t>
      </w:r>
      <w:bookmarkEnd w:id="42"/>
      <w:bookmarkEnd w:id="43"/>
      <w:bookmarkEnd w:id="44"/>
      <w:bookmarkEnd w:id="45"/>
    </w:p>
    <w:p w14:paraId="2F2B76E8">
      <w:pPr>
        <w:pStyle w:val="201"/>
        <w:spacing w:before="0" w:after="0" w:line="520" w:lineRule="exact"/>
        <w:ind w:firstLine="643" w:firstLineChars="200"/>
        <w:rPr>
          <w:rFonts w:ascii="宋体" w:hAnsi="宋体" w:cs="宋体"/>
        </w:rPr>
      </w:pPr>
      <w:bookmarkStart w:id="46" w:name="_Toc513029203"/>
      <w:bookmarkStart w:id="47" w:name="_Toc120614214"/>
      <w:bookmarkStart w:id="48" w:name="_Toc16938519"/>
      <w:bookmarkStart w:id="49" w:name="_Toc20823275"/>
      <w:r>
        <w:rPr>
          <w:rFonts w:hint="eastAsia" w:ascii="宋体" w:hAnsi="宋体" w:cs="宋体"/>
        </w:rPr>
        <w:t>一、总则</w:t>
      </w:r>
      <w:bookmarkEnd w:id="46"/>
      <w:bookmarkEnd w:id="47"/>
      <w:bookmarkEnd w:id="48"/>
      <w:bookmarkEnd w:id="49"/>
    </w:p>
    <w:p w14:paraId="59D64F32">
      <w:pPr>
        <w:pStyle w:val="203"/>
        <w:spacing w:before="0" w:after="0" w:line="520" w:lineRule="exact"/>
        <w:ind w:firstLine="560" w:firstLineChars="200"/>
        <w:rPr>
          <w:rFonts w:ascii="宋体" w:hAnsi="宋体" w:eastAsia="宋体" w:cs="宋体"/>
          <w:b w:val="0"/>
          <w:bCs w:val="0"/>
        </w:rPr>
      </w:pPr>
      <w:bookmarkStart w:id="50" w:name="_Hlt16619475"/>
      <w:bookmarkEnd w:id="50"/>
      <w:bookmarkStart w:id="51" w:name="_Toc458694821"/>
      <w:bookmarkStart w:id="52" w:name="_Toc16938520"/>
      <w:bookmarkStart w:id="53" w:name="_Toc513029204"/>
      <w:bookmarkStart w:id="54" w:name="_Toc20823276"/>
      <w:r>
        <w:rPr>
          <w:rFonts w:hint="eastAsia" w:ascii="宋体" w:hAnsi="宋体" w:eastAsia="宋体" w:cs="宋体"/>
          <w:b w:val="0"/>
          <w:bCs w:val="0"/>
        </w:rPr>
        <w:t>1</w:t>
      </w:r>
      <w:bookmarkEnd w:id="51"/>
      <w:r>
        <w:rPr>
          <w:rFonts w:hint="eastAsia" w:ascii="宋体" w:hAnsi="宋体" w:eastAsia="宋体" w:cs="宋体"/>
          <w:b w:val="0"/>
          <w:bCs w:val="0"/>
        </w:rPr>
        <w:t>、招标方式</w:t>
      </w:r>
      <w:bookmarkEnd w:id="52"/>
      <w:bookmarkEnd w:id="53"/>
      <w:bookmarkEnd w:id="54"/>
    </w:p>
    <w:p w14:paraId="4F2904FE">
      <w:pPr>
        <w:spacing w:line="520" w:lineRule="exact"/>
        <w:ind w:firstLine="480" w:firstLineChars="200"/>
        <w:rPr>
          <w:rFonts w:ascii="宋体" w:hAnsi="宋体" w:cs="宋体"/>
          <w:sz w:val="24"/>
        </w:rPr>
      </w:pPr>
      <w:r>
        <w:rPr>
          <w:rFonts w:hint="eastAsia" w:ascii="宋体" w:hAnsi="宋体" w:cs="宋体"/>
          <w:sz w:val="24"/>
        </w:rPr>
        <w:t>1.1 本次招标采取公开招标方式，本招标文件仅适用于招标公告中所述项目。</w:t>
      </w:r>
    </w:p>
    <w:p w14:paraId="78BFD8E3">
      <w:pPr>
        <w:pStyle w:val="203"/>
        <w:spacing w:before="0" w:after="0" w:line="520" w:lineRule="exact"/>
        <w:ind w:firstLine="560" w:firstLineChars="200"/>
        <w:rPr>
          <w:rFonts w:ascii="宋体" w:hAnsi="宋体" w:eastAsia="宋体" w:cs="宋体"/>
          <w:b w:val="0"/>
          <w:bCs w:val="0"/>
        </w:rPr>
      </w:pPr>
      <w:bookmarkStart w:id="55" w:name="_Toc20823277"/>
      <w:bookmarkStart w:id="56" w:name="_Toc513029205"/>
      <w:bookmarkStart w:id="57" w:name="_Toc16938521"/>
      <w:r>
        <w:rPr>
          <w:rFonts w:hint="eastAsia" w:ascii="宋体" w:hAnsi="宋体" w:eastAsia="宋体" w:cs="宋体"/>
          <w:b w:val="0"/>
          <w:bCs w:val="0"/>
        </w:rPr>
        <w:t>2、合格的投标人</w:t>
      </w:r>
      <w:bookmarkEnd w:id="55"/>
      <w:bookmarkEnd w:id="56"/>
      <w:bookmarkEnd w:id="57"/>
    </w:p>
    <w:p w14:paraId="561550F9">
      <w:pPr>
        <w:spacing w:line="520" w:lineRule="exact"/>
        <w:ind w:firstLine="480" w:firstLineChars="200"/>
        <w:rPr>
          <w:rFonts w:ascii="宋体" w:hAnsi="宋体" w:cs="宋体"/>
          <w:sz w:val="24"/>
          <w:szCs w:val="24"/>
        </w:rPr>
      </w:pPr>
      <w:r>
        <w:rPr>
          <w:rFonts w:hint="eastAsia" w:ascii="宋体" w:hAnsi="宋体" w:cs="宋体"/>
          <w:sz w:val="24"/>
          <w:szCs w:val="24"/>
        </w:rPr>
        <w:t>2.1满足招标公告中供应商的资格要求的规定。</w:t>
      </w:r>
    </w:p>
    <w:p w14:paraId="623BB796">
      <w:pPr>
        <w:spacing w:line="520" w:lineRule="exact"/>
        <w:ind w:firstLine="480" w:firstLineChars="200"/>
        <w:rPr>
          <w:rFonts w:ascii="宋体" w:hAnsi="宋体" w:cs="宋体"/>
          <w:sz w:val="24"/>
          <w:szCs w:val="24"/>
        </w:rPr>
      </w:pPr>
      <w:r>
        <w:rPr>
          <w:rFonts w:hint="eastAsia" w:ascii="宋体" w:hAnsi="宋体" w:cs="宋体"/>
          <w:sz w:val="24"/>
          <w:szCs w:val="24"/>
        </w:rPr>
        <w:t>2.2 满足本文件实质性条款的规定。</w:t>
      </w:r>
    </w:p>
    <w:p w14:paraId="6D20AFD4">
      <w:pPr>
        <w:pStyle w:val="203"/>
        <w:spacing w:before="0" w:after="0" w:line="520" w:lineRule="exact"/>
        <w:ind w:firstLine="560" w:firstLineChars="200"/>
        <w:rPr>
          <w:rFonts w:ascii="宋体" w:hAnsi="宋体" w:eastAsia="宋体" w:cs="宋体"/>
          <w:b w:val="0"/>
          <w:bCs w:val="0"/>
        </w:rPr>
      </w:pPr>
      <w:bookmarkStart w:id="58" w:name="_Toc513029206"/>
      <w:bookmarkStart w:id="59" w:name="_Toc16938522"/>
      <w:bookmarkStart w:id="60" w:name="_Toc20823278"/>
      <w:r>
        <w:rPr>
          <w:rFonts w:hint="eastAsia" w:ascii="宋体" w:hAnsi="宋体" w:eastAsia="宋体" w:cs="宋体"/>
          <w:b w:val="0"/>
          <w:bCs w:val="0"/>
        </w:rPr>
        <w:t>3、适用法律</w:t>
      </w:r>
      <w:bookmarkEnd w:id="58"/>
      <w:bookmarkEnd w:id="59"/>
      <w:bookmarkEnd w:id="60"/>
    </w:p>
    <w:p w14:paraId="6CE89B51">
      <w:pPr>
        <w:spacing w:line="520" w:lineRule="exact"/>
        <w:ind w:firstLine="480" w:firstLineChars="200"/>
        <w:rPr>
          <w:rFonts w:ascii="宋体" w:hAnsi="宋体" w:cs="宋体"/>
          <w:sz w:val="24"/>
        </w:rPr>
      </w:pPr>
      <w:r>
        <w:rPr>
          <w:rFonts w:hint="eastAsia" w:ascii="宋体" w:hAnsi="宋体" w:cs="宋体"/>
          <w:sz w:val="24"/>
        </w:rPr>
        <w:t>3.1 本次招标及由此产生的合同受中华人民共和国有关的法律法规制约和保护。</w:t>
      </w:r>
    </w:p>
    <w:p w14:paraId="54B1BDCA">
      <w:pPr>
        <w:pStyle w:val="203"/>
        <w:spacing w:before="0" w:after="0" w:line="520" w:lineRule="exact"/>
        <w:ind w:firstLine="560" w:firstLineChars="200"/>
        <w:rPr>
          <w:rFonts w:ascii="宋体" w:hAnsi="宋体" w:eastAsia="宋体" w:cs="宋体"/>
          <w:b w:val="0"/>
          <w:bCs w:val="0"/>
        </w:rPr>
      </w:pPr>
      <w:bookmarkStart w:id="61" w:name="_Toc513029207"/>
      <w:bookmarkStart w:id="62" w:name="_Toc462564067"/>
      <w:bookmarkStart w:id="63" w:name="_Toc20823279"/>
      <w:bookmarkStart w:id="64" w:name="_Toc16938523"/>
      <w:r>
        <w:rPr>
          <w:rFonts w:hint="eastAsia" w:ascii="宋体" w:hAnsi="宋体" w:eastAsia="宋体" w:cs="宋体"/>
          <w:b w:val="0"/>
          <w:bCs w:val="0"/>
        </w:rPr>
        <w:t>4、投标费用</w:t>
      </w:r>
      <w:bookmarkEnd w:id="61"/>
      <w:bookmarkEnd w:id="62"/>
      <w:bookmarkEnd w:id="63"/>
      <w:bookmarkEnd w:id="64"/>
    </w:p>
    <w:p w14:paraId="57035CD6">
      <w:pPr>
        <w:spacing w:line="520" w:lineRule="exact"/>
        <w:ind w:firstLine="480" w:firstLineChars="200"/>
        <w:rPr>
          <w:rFonts w:ascii="宋体" w:hAnsi="宋体" w:cs="宋体"/>
          <w:sz w:val="24"/>
        </w:rPr>
      </w:pPr>
      <w:r>
        <w:rPr>
          <w:rFonts w:hint="eastAsia" w:ascii="宋体" w:hAnsi="宋体" w:cs="宋体"/>
          <w:bCs/>
          <w:sz w:val="24"/>
        </w:rPr>
        <w:t>4.1</w:t>
      </w:r>
      <w:r>
        <w:rPr>
          <w:rFonts w:hint="eastAsia" w:ascii="宋体" w:hAnsi="宋体" w:cs="宋体"/>
          <w:sz w:val="24"/>
        </w:rPr>
        <w:t xml:space="preserve"> 投标人应自行承担所有与参加投标有关的费用，无论投标过程中的做法和结果如何，采购人和采购代理机构在任何情况下均无义务和责任承担这些费用。</w:t>
      </w:r>
    </w:p>
    <w:p w14:paraId="02FE8CD9">
      <w:pPr>
        <w:spacing w:line="520" w:lineRule="exact"/>
        <w:ind w:firstLine="480" w:firstLineChars="200"/>
        <w:rPr>
          <w:rFonts w:ascii="宋体" w:hAnsi="宋体" w:cs="宋体"/>
          <w:sz w:val="24"/>
          <w:szCs w:val="24"/>
        </w:rPr>
      </w:pPr>
      <w:r>
        <w:rPr>
          <w:rFonts w:hint="eastAsia" w:ascii="宋体" w:hAnsi="宋体" w:cs="宋体"/>
          <w:sz w:val="24"/>
        </w:rPr>
        <w:t>4.2本次招标采购人和采购代理机构不收取标书工本费。</w:t>
      </w:r>
    </w:p>
    <w:p w14:paraId="24629069">
      <w:pPr>
        <w:pStyle w:val="203"/>
        <w:spacing w:before="0" w:after="0" w:line="520" w:lineRule="exact"/>
        <w:ind w:firstLine="600" w:firstLineChars="200"/>
        <w:rPr>
          <w:rFonts w:ascii="宋体" w:hAnsi="宋体" w:eastAsia="宋体" w:cs="宋体"/>
          <w:b w:val="0"/>
          <w:bCs w:val="0"/>
        </w:rPr>
      </w:pPr>
      <w:r>
        <w:rPr>
          <w:rFonts w:hint="eastAsia" w:ascii="宋体" w:hAnsi="宋体" w:eastAsia="宋体" w:cs="宋体"/>
          <w:b w:val="0"/>
          <w:bCs w:val="0"/>
          <w:sz w:val="30"/>
        </w:rPr>
        <w:t>5、</w:t>
      </w:r>
      <w:r>
        <w:rPr>
          <w:rFonts w:hint="eastAsia" w:ascii="宋体" w:hAnsi="宋体" w:eastAsia="宋体" w:cs="宋体"/>
          <w:b w:val="0"/>
          <w:bCs w:val="0"/>
        </w:rPr>
        <w:t>招标文件的约束力</w:t>
      </w:r>
    </w:p>
    <w:p w14:paraId="5C1706DE">
      <w:pPr>
        <w:spacing w:line="520" w:lineRule="exact"/>
        <w:ind w:firstLine="480" w:firstLineChars="200"/>
        <w:rPr>
          <w:rFonts w:ascii="宋体" w:hAnsi="宋体" w:cs="宋体"/>
          <w:sz w:val="24"/>
          <w:szCs w:val="24"/>
        </w:rPr>
      </w:pPr>
      <w:r>
        <w:rPr>
          <w:rFonts w:hint="eastAsia" w:ascii="宋体" w:hAnsi="宋体" w:cs="宋体"/>
          <w:bCs/>
          <w:sz w:val="24"/>
          <w:szCs w:val="24"/>
        </w:rPr>
        <w:t>5.1</w:t>
      </w:r>
      <w:r>
        <w:rPr>
          <w:rFonts w:hint="eastAsia" w:ascii="宋体" w:hAnsi="宋体" w:cs="宋体"/>
          <w:sz w:val="24"/>
          <w:szCs w:val="24"/>
        </w:rPr>
        <w:t xml:space="preserve"> 投标人一旦参加本项目采购活动，即被认为接受了本招标文件的规定和约束，并且视为自招标公告期限届满之日起知道或应当知道自身权益是否受到了损害。</w:t>
      </w:r>
    </w:p>
    <w:p w14:paraId="389D99F7">
      <w:pPr>
        <w:pStyle w:val="203"/>
        <w:spacing w:before="0" w:after="0" w:line="520" w:lineRule="exact"/>
        <w:ind w:firstLine="560" w:firstLineChars="200"/>
        <w:rPr>
          <w:rFonts w:ascii="宋体" w:hAnsi="宋体" w:eastAsia="宋体" w:cs="宋体"/>
          <w:b w:val="0"/>
          <w:bCs w:val="0"/>
        </w:rPr>
      </w:pPr>
      <w:r>
        <w:rPr>
          <w:rFonts w:hint="eastAsia" w:ascii="宋体" w:hAnsi="宋体" w:eastAsia="宋体" w:cs="宋体"/>
          <w:b w:val="0"/>
          <w:bCs w:val="0"/>
        </w:rPr>
        <w:t>6、招标文件的解释</w:t>
      </w:r>
    </w:p>
    <w:p w14:paraId="023FB9B6">
      <w:pPr>
        <w:spacing w:line="520" w:lineRule="exact"/>
        <w:ind w:firstLine="480" w:firstLineChars="200"/>
        <w:rPr>
          <w:rFonts w:ascii="宋体" w:hAnsi="宋体" w:cs="宋体"/>
          <w:bCs/>
          <w:sz w:val="24"/>
          <w:szCs w:val="24"/>
        </w:rPr>
      </w:pPr>
      <w:r>
        <w:rPr>
          <w:rFonts w:hint="eastAsia" w:ascii="宋体" w:hAnsi="宋体" w:cs="宋体"/>
          <w:bCs/>
          <w:sz w:val="24"/>
          <w:szCs w:val="24"/>
        </w:rPr>
        <w:t>6.1 本招标文件由</w:t>
      </w:r>
      <w:r>
        <w:rPr>
          <w:rFonts w:hint="eastAsia" w:ascii="宋体" w:hAnsi="宋体" w:cs="宋体"/>
          <w:bCs/>
          <w:sz w:val="24"/>
        </w:rPr>
        <w:t>采购人</w:t>
      </w:r>
      <w:r>
        <w:rPr>
          <w:rFonts w:hint="eastAsia" w:ascii="宋体" w:hAnsi="宋体" w:cs="宋体"/>
          <w:bCs/>
          <w:sz w:val="24"/>
          <w:szCs w:val="24"/>
        </w:rPr>
        <w:t>负责解释。</w:t>
      </w:r>
    </w:p>
    <w:p w14:paraId="15814523">
      <w:pPr>
        <w:pStyle w:val="201"/>
        <w:spacing w:before="0" w:after="0" w:line="520" w:lineRule="exact"/>
        <w:ind w:firstLine="643" w:firstLineChars="200"/>
        <w:rPr>
          <w:rFonts w:ascii="宋体" w:hAnsi="宋体" w:cs="宋体"/>
        </w:rPr>
      </w:pPr>
      <w:bookmarkStart w:id="65" w:name="_Toc20823281"/>
      <w:bookmarkStart w:id="66" w:name="_Toc120614215"/>
      <w:bookmarkStart w:id="67" w:name="_Toc513029209"/>
      <w:bookmarkStart w:id="68" w:name="_Toc16938525"/>
      <w:r>
        <w:rPr>
          <w:rFonts w:hint="eastAsia" w:ascii="宋体" w:hAnsi="宋体" w:cs="宋体"/>
        </w:rPr>
        <w:t>二、招标文件</w:t>
      </w:r>
      <w:bookmarkEnd w:id="65"/>
      <w:bookmarkEnd w:id="66"/>
      <w:bookmarkEnd w:id="67"/>
      <w:bookmarkEnd w:id="68"/>
    </w:p>
    <w:p w14:paraId="1F43FDF3">
      <w:pPr>
        <w:pStyle w:val="203"/>
        <w:spacing w:before="0" w:after="0" w:line="520" w:lineRule="exact"/>
        <w:ind w:firstLine="560" w:firstLineChars="200"/>
        <w:rPr>
          <w:rFonts w:ascii="宋体" w:hAnsi="宋体" w:eastAsia="宋体" w:cs="宋体"/>
          <w:b w:val="0"/>
          <w:bCs w:val="0"/>
        </w:rPr>
      </w:pPr>
      <w:bookmarkStart w:id="69" w:name="_Toc513029210"/>
      <w:bookmarkStart w:id="70" w:name="_Toc20823282"/>
      <w:bookmarkStart w:id="71" w:name="_Toc16938526"/>
      <w:r>
        <w:rPr>
          <w:rFonts w:hint="eastAsia" w:ascii="宋体" w:hAnsi="宋体" w:eastAsia="宋体" w:cs="宋体"/>
          <w:b w:val="0"/>
          <w:bCs w:val="0"/>
        </w:rPr>
        <w:t>7、招标文件构成</w:t>
      </w:r>
      <w:bookmarkEnd w:id="69"/>
      <w:bookmarkEnd w:id="70"/>
      <w:bookmarkEnd w:id="71"/>
    </w:p>
    <w:p w14:paraId="70063F6E">
      <w:pPr>
        <w:spacing w:line="520" w:lineRule="exact"/>
        <w:ind w:firstLine="480" w:firstLineChars="200"/>
        <w:rPr>
          <w:rFonts w:ascii="宋体" w:hAnsi="宋体" w:cs="宋体"/>
          <w:sz w:val="24"/>
        </w:rPr>
      </w:pPr>
      <w:r>
        <w:rPr>
          <w:rFonts w:hint="eastAsia" w:ascii="宋体" w:hAnsi="宋体" w:cs="宋体"/>
          <w:bCs/>
          <w:sz w:val="24"/>
        </w:rPr>
        <w:t>7.1</w:t>
      </w:r>
      <w:r>
        <w:rPr>
          <w:rFonts w:hint="eastAsia" w:ascii="宋体" w:hAnsi="宋体" w:cs="宋体"/>
          <w:sz w:val="24"/>
        </w:rPr>
        <w:t xml:space="preserve"> 招标文件有以下部分组成：</w:t>
      </w:r>
    </w:p>
    <w:p w14:paraId="7D573B58">
      <w:pPr>
        <w:spacing w:line="520" w:lineRule="exact"/>
        <w:ind w:firstLine="480" w:firstLineChars="200"/>
        <w:rPr>
          <w:rFonts w:ascii="宋体" w:hAnsi="宋体" w:cs="宋体"/>
          <w:sz w:val="24"/>
          <w:szCs w:val="24"/>
        </w:rPr>
      </w:pPr>
      <w:r>
        <w:rPr>
          <w:rFonts w:hint="eastAsia" w:ascii="宋体" w:hAnsi="宋体" w:cs="宋体"/>
          <w:sz w:val="24"/>
          <w:szCs w:val="24"/>
        </w:rPr>
        <w:t>（1）招标公告</w:t>
      </w:r>
    </w:p>
    <w:p w14:paraId="0E4635DA">
      <w:pPr>
        <w:spacing w:line="520" w:lineRule="exact"/>
        <w:ind w:firstLine="480" w:firstLineChars="200"/>
        <w:rPr>
          <w:rFonts w:ascii="宋体" w:hAnsi="宋体" w:cs="宋体"/>
          <w:sz w:val="24"/>
          <w:szCs w:val="24"/>
        </w:rPr>
      </w:pPr>
      <w:r>
        <w:rPr>
          <w:rFonts w:hint="eastAsia" w:ascii="宋体" w:hAnsi="宋体" w:cs="宋体"/>
          <w:sz w:val="24"/>
          <w:szCs w:val="24"/>
        </w:rPr>
        <w:t>（2）投标人须知</w:t>
      </w:r>
    </w:p>
    <w:p w14:paraId="6C16203F">
      <w:pPr>
        <w:spacing w:line="520" w:lineRule="exact"/>
        <w:ind w:firstLine="480" w:firstLineChars="200"/>
        <w:rPr>
          <w:rFonts w:ascii="宋体" w:hAnsi="宋体" w:cs="宋体"/>
          <w:sz w:val="24"/>
          <w:szCs w:val="24"/>
        </w:rPr>
      </w:pPr>
      <w:r>
        <w:rPr>
          <w:rFonts w:hint="eastAsia" w:ascii="宋体" w:hAnsi="宋体" w:cs="宋体"/>
          <w:sz w:val="24"/>
          <w:szCs w:val="24"/>
        </w:rPr>
        <w:t>（3）合同条款及格式</w:t>
      </w:r>
    </w:p>
    <w:p w14:paraId="7584D92A">
      <w:pPr>
        <w:spacing w:line="520" w:lineRule="exact"/>
        <w:ind w:firstLine="480" w:firstLineChars="200"/>
        <w:rPr>
          <w:rFonts w:ascii="宋体" w:hAnsi="宋体" w:cs="宋体"/>
          <w:sz w:val="24"/>
          <w:szCs w:val="24"/>
        </w:rPr>
      </w:pPr>
      <w:r>
        <w:rPr>
          <w:rFonts w:hint="eastAsia" w:ascii="宋体" w:hAnsi="宋体" w:cs="宋体"/>
          <w:sz w:val="24"/>
          <w:szCs w:val="24"/>
        </w:rPr>
        <w:t>（4）项目需求</w:t>
      </w:r>
    </w:p>
    <w:p w14:paraId="2DAF43E8">
      <w:pPr>
        <w:spacing w:line="520" w:lineRule="exact"/>
        <w:ind w:firstLine="480" w:firstLineChars="200"/>
        <w:rPr>
          <w:rFonts w:ascii="宋体" w:hAnsi="宋体" w:cs="宋体"/>
          <w:sz w:val="24"/>
          <w:szCs w:val="24"/>
        </w:rPr>
      </w:pPr>
      <w:r>
        <w:rPr>
          <w:rFonts w:hint="eastAsia" w:ascii="宋体" w:hAnsi="宋体" w:cs="宋体"/>
          <w:sz w:val="24"/>
          <w:szCs w:val="24"/>
        </w:rPr>
        <w:t>（5）评标方法与评标标准</w:t>
      </w:r>
    </w:p>
    <w:p w14:paraId="73F40C85">
      <w:pPr>
        <w:spacing w:line="520" w:lineRule="exact"/>
        <w:ind w:firstLine="480" w:firstLineChars="200"/>
        <w:rPr>
          <w:rFonts w:ascii="宋体" w:hAnsi="宋体" w:cs="宋体"/>
          <w:highlight w:val="green"/>
        </w:rPr>
      </w:pPr>
      <w:r>
        <w:rPr>
          <w:rFonts w:hint="eastAsia" w:ascii="宋体" w:hAnsi="宋体" w:cs="宋体"/>
          <w:sz w:val="24"/>
          <w:szCs w:val="24"/>
        </w:rPr>
        <w:t>（6）投标文件格式</w:t>
      </w:r>
    </w:p>
    <w:p w14:paraId="0F12AB2F">
      <w:pPr>
        <w:spacing w:line="520" w:lineRule="exact"/>
        <w:ind w:firstLine="480" w:firstLineChars="200"/>
        <w:rPr>
          <w:rFonts w:ascii="宋体" w:hAnsi="宋体" w:cs="宋体"/>
          <w:sz w:val="24"/>
        </w:rPr>
      </w:pPr>
      <w:r>
        <w:rPr>
          <w:rFonts w:hint="eastAsia" w:ascii="宋体" w:hAnsi="宋体" w:cs="宋体"/>
          <w:sz w:val="24"/>
        </w:rPr>
        <w:t>请仔细检查招标文件是否齐全，如有缺漏请立即与采购人或采购代理机构联系解决。</w:t>
      </w:r>
    </w:p>
    <w:p w14:paraId="3377922F">
      <w:pPr>
        <w:spacing w:line="520" w:lineRule="exact"/>
        <w:ind w:firstLine="480" w:firstLineChars="200"/>
        <w:rPr>
          <w:rFonts w:ascii="宋体" w:hAnsi="宋体" w:cs="宋体"/>
          <w:sz w:val="24"/>
        </w:rPr>
      </w:pPr>
      <w:r>
        <w:rPr>
          <w:rFonts w:hint="eastAsia" w:ascii="宋体" w:hAnsi="宋体" w:cs="宋体"/>
          <w:bCs/>
          <w:sz w:val="24"/>
        </w:rPr>
        <w:t>7.2</w:t>
      </w:r>
      <w:r>
        <w:rPr>
          <w:rFonts w:hint="eastAsia" w:ascii="宋体" w:hAnsi="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F97C64B">
      <w:pPr>
        <w:pStyle w:val="203"/>
        <w:spacing w:before="0" w:after="0" w:line="520" w:lineRule="exact"/>
        <w:ind w:firstLine="560" w:firstLineChars="200"/>
        <w:rPr>
          <w:rFonts w:ascii="宋体" w:hAnsi="宋体" w:eastAsia="宋体" w:cs="宋体"/>
          <w:b w:val="0"/>
          <w:bCs w:val="0"/>
        </w:rPr>
      </w:pPr>
      <w:bookmarkStart w:id="72" w:name="_Toc16938527"/>
      <w:bookmarkStart w:id="73" w:name="_Toc462564070"/>
      <w:bookmarkStart w:id="74" w:name="_Toc513029211"/>
      <w:bookmarkStart w:id="75" w:name="_Toc20823283"/>
      <w:r>
        <w:rPr>
          <w:rFonts w:hint="eastAsia" w:ascii="宋体" w:hAnsi="宋体" w:eastAsia="宋体" w:cs="宋体"/>
          <w:b w:val="0"/>
          <w:bCs w:val="0"/>
        </w:rPr>
        <w:t>8、招标文件的</w:t>
      </w:r>
      <w:bookmarkEnd w:id="72"/>
      <w:bookmarkEnd w:id="73"/>
      <w:bookmarkEnd w:id="74"/>
      <w:bookmarkEnd w:id="75"/>
      <w:r>
        <w:rPr>
          <w:rFonts w:hint="eastAsia" w:ascii="宋体" w:hAnsi="宋体" w:eastAsia="宋体" w:cs="宋体"/>
          <w:b w:val="0"/>
          <w:bCs w:val="0"/>
        </w:rPr>
        <w:t>询问</w:t>
      </w:r>
    </w:p>
    <w:p w14:paraId="48ADE696">
      <w:pPr>
        <w:spacing w:line="520" w:lineRule="exact"/>
        <w:ind w:firstLine="480" w:firstLineChars="200"/>
        <w:rPr>
          <w:rFonts w:ascii="宋体" w:hAnsi="宋体" w:cs="宋体"/>
          <w:sz w:val="24"/>
        </w:rPr>
      </w:pPr>
      <w:r>
        <w:rPr>
          <w:rFonts w:hint="eastAsia" w:ascii="宋体" w:hAnsi="宋体" w:cs="宋体"/>
          <w:bCs/>
          <w:sz w:val="24"/>
        </w:rPr>
        <w:t>8.1</w:t>
      </w:r>
      <w:r>
        <w:rPr>
          <w:rFonts w:hint="eastAsia" w:ascii="宋体" w:hAnsi="宋体" w:cs="宋体"/>
          <w:sz w:val="24"/>
        </w:rPr>
        <w:t xml:space="preserve"> 任何要求对招标文件进行询问的投标人，应在投标截止日期</w:t>
      </w:r>
      <w:r>
        <w:rPr>
          <w:rFonts w:hint="eastAsia" w:ascii="宋体" w:hAnsi="宋体" w:cs="宋体"/>
          <w:b/>
          <w:sz w:val="24"/>
          <w:szCs w:val="24"/>
        </w:rPr>
        <w:t>十日</w:t>
      </w:r>
      <w:r>
        <w:rPr>
          <w:rFonts w:hint="eastAsia" w:ascii="宋体" w:hAnsi="宋体" w:cs="宋体"/>
          <w:sz w:val="24"/>
          <w:szCs w:val="24"/>
        </w:rPr>
        <w:t>前</w:t>
      </w:r>
      <w:r>
        <w:rPr>
          <w:rFonts w:hint="eastAsia" w:ascii="宋体" w:hAnsi="宋体" w:cs="宋体"/>
          <w:sz w:val="24"/>
        </w:rPr>
        <w:t>按招标公告中的通讯地址，向采购人或采购代理机构提出。</w:t>
      </w:r>
    </w:p>
    <w:p w14:paraId="52FABB04">
      <w:pPr>
        <w:spacing w:line="520" w:lineRule="exact"/>
        <w:ind w:firstLine="480" w:firstLineChars="200"/>
        <w:rPr>
          <w:rFonts w:ascii="宋体" w:hAnsi="宋体" w:cs="宋体"/>
          <w:bCs/>
          <w:sz w:val="24"/>
        </w:rPr>
      </w:pPr>
      <w:r>
        <w:rPr>
          <w:rFonts w:hint="eastAsia" w:ascii="宋体" w:hAnsi="宋体" w:cs="宋体"/>
          <w:bCs/>
          <w:sz w:val="24"/>
        </w:rPr>
        <w:t>8.2针对苏采云系统有关的询问，投标人应联系系统开发公司，采购人和采购代理机构不负责答复。</w:t>
      </w:r>
    </w:p>
    <w:p w14:paraId="0C28F7F6">
      <w:pPr>
        <w:pStyle w:val="203"/>
        <w:spacing w:before="0" w:after="0" w:line="520" w:lineRule="exact"/>
        <w:ind w:firstLine="560" w:firstLineChars="200"/>
        <w:rPr>
          <w:rFonts w:ascii="宋体" w:hAnsi="宋体" w:eastAsia="宋体" w:cs="宋体"/>
          <w:b w:val="0"/>
          <w:bCs w:val="0"/>
        </w:rPr>
      </w:pPr>
      <w:bookmarkStart w:id="76" w:name="_Toc513029212"/>
      <w:bookmarkStart w:id="77" w:name="_Toc20823284"/>
      <w:bookmarkStart w:id="78" w:name="_Toc462564071"/>
      <w:bookmarkStart w:id="79" w:name="_Toc16938528"/>
      <w:r>
        <w:rPr>
          <w:rFonts w:hint="eastAsia" w:ascii="宋体" w:hAnsi="宋体" w:eastAsia="宋体" w:cs="宋体"/>
          <w:b w:val="0"/>
          <w:bCs w:val="0"/>
        </w:rPr>
        <w:t>9、招标文件的修改</w:t>
      </w:r>
      <w:bookmarkEnd w:id="76"/>
      <w:bookmarkEnd w:id="77"/>
      <w:bookmarkEnd w:id="78"/>
      <w:bookmarkEnd w:id="79"/>
    </w:p>
    <w:p w14:paraId="6221D15A">
      <w:pPr>
        <w:spacing w:line="520" w:lineRule="exact"/>
        <w:ind w:firstLine="480" w:firstLineChars="200"/>
        <w:rPr>
          <w:rFonts w:ascii="宋体" w:hAnsi="宋体" w:cs="宋体"/>
          <w:sz w:val="24"/>
        </w:rPr>
      </w:pPr>
      <w:r>
        <w:rPr>
          <w:rFonts w:hint="eastAsia" w:ascii="宋体" w:hAnsi="宋体" w:cs="宋体"/>
          <w:bCs/>
          <w:sz w:val="24"/>
        </w:rPr>
        <w:t>9.1</w:t>
      </w:r>
      <w:r>
        <w:rPr>
          <w:rFonts w:hint="eastAsia" w:ascii="宋体" w:hAnsi="宋体" w:cs="宋体"/>
          <w:sz w:val="24"/>
        </w:rPr>
        <w:t xml:space="preserve"> 在投标截止时间前，</w:t>
      </w:r>
      <w:r>
        <w:rPr>
          <w:rFonts w:hint="eastAsia" w:ascii="宋体" w:hAnsi="宋体" w:cs="宋体"/>
          <w:bCs/>
          <w:sz w:val="24"/>
        </w:rPr>
        <w:t>采购人和采购代理机构</w:t>
      </w:r>
      <w:r>
        <w:rPr>
          <w:rFonts w:hint="eastAsia" w:ascii="宋体" w:hAnsi="宋体" w:cs="宋体"/>
          <w:sz w:val="24"/>
        </w:rPr>
        <w:t>可以对招标文件进行修改。</w:t>
      </w:r>
    </w:p>
    <w:p w14:paraId="26A6654B">
      <w:pPr>
        <w:spacing w:line="520" w:lineRule="exact"/>
        <w:ind w:firstLine="480" w:firstLineChars="200"/>
        <w:rPr>
          <w:rFonts w:ascii="宋体" w:hAnsi="宋体" w:cs="宋体"/>
          <w:sz w:val="28"/>
        </w:rPr>
      </w:pPr>
      <w:r>
        <w:rPr>
          <w:rFonts w:hint="eastAsia" w:ascii="宋体" w:hAnsi="宋体" w:cs="宋体"/>
          <w:bCs/>
          <w:sz w:val="24"/>
        </w:rPr>
        <w:t>9.2</w:t>
      </w:r>
      <w:r>
        <w:rPr>
          <w:rFonts w:hint="eastAsia" w:ascii="宋体" w:hAnsi="宋体" w:cs="宋体"/>
          <w:sz w:val="24"/>
        </w:rPr>
        <w:t>采购人和</w:t>
      </w:r>
      <w:r>
        <w:rPr>
          <w:rFonts w:hint="eastAsia" w:ascii="宋体" w:hAnsi="宋体" w:cs="宋体"/>
          <w:bCs/>
          <w:sz w:val="24"/>
        </w:rPr>
        <w:t>采购代理机构</w:t>
      </w:r>
      <w:r>
        <w:rPr>
          <w:rFonts w:hint="eastAsia" w:ascii="宋体" w:hAnsi="宋体" w:cs="宋体"/>
          <w:sz w:val="24"/>
          <w:szCs w:val="24"/>
        </w:rPr>
        <w:t>有权依法</w:t>
      </w:r>
      <w:r>
        <w:rPr>
          <w:rFonts w:hint="eastAsia" w:ascii="宋体" w:hAnsi="宋体" w:cs="宋体"/>
          <w:sz w:val="24"/>
        </w:rPr>
        <w:t>推迟投标截止日期和开标日期。</w:t>
      </w:r>
    </w:p>
    <w:p w14:paraId="60566C52">
      <w:pPr>
        <w:spacing w:line="520" w:lineRule="exact"/>
        <w:ind w:firstLine="480" w:firstLineChars="200"/>
        <w:rPr>
          <w:rFonts w:ascii="宋体" w:hAnsi="宋体" w:cs="宋体"/>
          <w:sz w:val="24"/>
        </w:rPr>
      </w:pPr>
      <w:r>
        <w:rPr>
          <w:rFonts w:hint="eastAsia" w:ascii="宋体" w:hAnsi="宋体" w:cs="宋体"/>
          <w:bCs/>
          <w:sz w:val="24"/>
        </w:rPr>
        <w:t>9.3</w:t>
      </w:r>
      <w:r>
        <w:rPr>
          <w:rFonts w:hint="eastAsia" w:ascii="宋体" w:hAnsi="宋体" w:cs="宋体"/>
          <w:sz w:val="24"/>
        </w:rPr>
        <w:t>招标文件的修改将在</w:t>
      </w:r>
      <w:r>
        <w:rPr>
          <w:rFonts w:hint="eastAsia" w:ascii="宋体" w:hAnsi="宋体" w:cs="宋体"/>
          <w:bCs/>
          <w:sz w:val="24"/>
        </w:rPr>
        <w:t>江苏政府采购网、</w:t>
      </w:r>
      <w:r>
        <w:rPr>
          <w:rFonts w:hint="eastAsia" w:ascii="宋体" w:hAnsi="宋体" w:cs="宋体"/>
          <w:sz w:val="24"/>
        </w:rPr>
        <w:t>盐城市政府采购网公布，</w:t>
      </w:r>
      <w:r>
        <w:rPr>
          <w:rFonts w:hint="eastAsia" w:ascii="宋体" w:hAnsi="宋体" w:cs="宋体"/>
          <w:sz w:val="24"/>
          <w:szCs w:val="24"/>
        </w:rPr>
        <w:t>补充文件将作为招标文件的组成部分，</w:t>
      </w:r>
      <w:r>
        <w:rPr>
          <w:rFonts w:hint="eastAsia" w:ascii="宋体" w:hAnsi="宋体" w:cs="宋体"/>
          <w:sz w:val="24"/>
        </w:rPr>
        <w:t>并对投标人具有约束力。</w:t>
      </w:r>
    </w:p>
    <w:p w14:paraId="0B8ACD04">
      <w:pPr>
        <w:pStyle w:val="201"/>
        <w:spacing w:before="0" w:after="0" w:line="520" w:lineRule="exact"/>
        <w:ind w:firstLine="643" w:firstLineChars="200"/>
        <w:rPr>
          <w:rFonts w:ascii="宋体" w:hAnsi="宋体" w:cs="宋体"/>
        </w:rPr>
      </w:pPr>
      <w:bookmarkStart w:id="80" w:name="_Toc513029213"/>
      <w:bookmarkStart w:id="81" w:name="_Toc16938529"/>
      <w:bookmarkStart w:id="82" w:name="_Toc20823285"/>
      <w:bookmarkStart w:id="83" w:name="_Toc120614216"/>
      <w:bookmarkStart w:id="84" w:name="_Toc462564072"/>
      <w:r>
        <w:rPr>
          <w:rFonts w:hint="eastAsia" w:ascii="宋体" w:hAnsi="宋体" w:cs="宋体"/>
        </w:rPr>
        <w:t>三、投标文件的编制</w:t>
      </w:r>
      <w:bookmarkEnd w:id="80"/>
      <w:bookmarkEnd w:id="81"/>
      <w:bookmarkEnd w:id="82"/>
      <w:bookmarkEnd w:id="83"/>
      <w:bookmarkEnd w:id="84"/>
    </w:p>
    <w:p w14:paraId="7DDF1F22">
      <w:pPr>
        <w:pStyle w:val="203"/>
        <w:spacing w:before="0" w:after="0" w:line="520" w:lineRule="exact"/>
        <w:ind w:firstLine="560" w:firstLineChars="200"/>
        <w:rPr>
          <w:rFonts w:ascii="宋体" w:hAnsi="宋体" w:eastAsia="宋体" w:cs="宋体"/>
          <w:bCs w:val="0"/>
        </w:rPr>
      </w:pPr>
      <w:bookmarkStart w:id="85" w:name="_Toc20823286"/>
      <w:bookmarkStart w:id="86" w:name="_Toc16938530"/>
      <w:bookmarkStart w:id="87" w:name="_Toc513029214"/>
      <w:bookmarkStart w:id="88" w:name="_Toc462564073"/>
      <w:r>
        <w:rPr>
          <w:rFonts w:hint="eastAsia" w:ascii="宋体" w:hAnsi="宋体" w:eastAsia="宋体" w:cs="宋体"/>
          <w:b w:val="0"/>
          <w:bCs w:val="0"/>
        </w:rPr>
        <w:t>10、投标文件的语言及度量衡单位</w:t>
      </w:r>
      <w:bookmarkEnd w:id="85"/>
      <w:bookmarkEnd w:id="86"/>
      <w:bookmarkEnd w:id="87"/>
      <w:bookmarkEnd w:id="88"/>
    </w:p>
    <w:p w14:paraId="1B4B1B68">
      <w:pPr>
        <w:spacing w:line="520" w:lineRule="exact"/>
        <w:ind w:firstLine="480" w:firstLineChars="200"/>
        <w:rPr>
          <w:rFonts w:ascii="宋体" w:hAnsi="宋体" w:cs="宋体"/>
          <w:sz w:val="24"/>
        </w:rPr>
      </w:pPr>
      <w:r>
        <w:rPr>
          <w:rFonts w:hint="eastAsia" w:ascii="宋体" w:hAnsi="宋体" w:cs="宋体"/>
          <w:bCs/>
          <w:sz w:val="24"/>
        </w:rPr>
        <w:t>10.1</w:t>
      </w:r>
      <w:r>
        <w:rPr>
          <w:rFonts w:hint="eastAsia" w:ascii="宋体" w:hAnsi="宋体" w:cs="宋体"/>
          <w:sz w:val="24"/>
        </w:rPr>
        <w:t xml:space="preserve"> 投标人提交的投标文件以及投标人与采购人、</w:t>
      </w:r>
      <w:r>
        <w:rPr>
          <w:rFonts w:hint="eastAsia" w:ascii="宋体" w:hAnsi="宋体" w:cs="宋体"/>
          <w:bCs/>
          <w:sz w:val="24"/>
        </w:rPr>
        <w:t>采购代理机构</w:t>
      </w:r>
      <w:r>
        <w:rPr>
          <w:rFonts w:hint="eastAsia" w:ascii="宋体" w:hAnsi="宋体" w:cs="宋体"/>
          <w:sz w:val="24"/>
        </w:rPr>
        <w:t>就有关投标的所有来往通知、函件和文件均应使用</w:t>
      </w:r>
      <w:r>
        <w:rPr>
          <w:rFonts w:hint="eastAsia" w:ascii="宋体" w:hAnsi="宋体" w:cs="宋体"/>
          <w:b/>
          <w:bCs/>
          <w:sz w:val="24"/>
        </w:rPr>
        <w:t>简体中文</w:t>
      </w:r>
      <w:r>
        <w:rPr>
          <w:rFonts w:hint="eastAsia" w:ascii="宋体" w:hAnsi="宋体" w:cs="宋体"/>
          <w:sz w:val="24"/>
        </w:rPr>
        <w:t>。如投标文件中包含外文内容的，应主动提供简体中文译本。</w:t>
      </w:r>
    </w:p>
    <w:p w14:paraId="37CB6CDC">
      <w:pPr>
        <w:spacing w:line="520" w:lineRule="exact"/>
        <w:ind w:firstLine="480" w:firstLineChars="200"/>
        <w:rPr>
          <w:rFonts w:ascii="宋体" w:hAnsi="宋体" w:cs="宋体"/>
          <w:sz w:val="24"/>
        </w:rPr>
      </w:pPr>
      <w:r>
        <w:rPr>
          <w:rFonts w:hint="eastAsia" w:ascii="宋体" w:hAnsi="宋体" w:cs="宋体"/>
          <w:bCs/>
          <w:sz w:val="24"/>
        </w:rPr>
        <w:t>10.2</w:t>
      </w:r>
      <w:r>
        <w:rPr>
          <w:rFonts w:hint="eastAsia" w:ascii="宋体" w:hAnsi="宋体" w:cs="宋体"/>
          <w:sz w:val="24"/>
        </w:rPr>
        <w:t xml:space="preserve"> 除技术性能另有规定外，投标文件所使用的度量衡单位，均须采用国家法定计量单位。</w:t>
      </w:r>
    </w:p>
    <w:p w14:paraId="7A479629">
      <w:pPr>
        <w:pStyle w:val="203"/>
        <w:spacing w:before="0" w:after="0" w:line="520" w:lineRule="exact"/>
        <w:ind w:firstLine="560" w:firstLineChars="200"/>
        <w:rPr>
          <w:rFonts w:ascii="宋体" w:hAnsi="宋体" w:eastAsia="宋体" w:cs="宋体"/>
          <w:b w:val="0"/>
          <w:bCs w:val="0"/>
        </w:rPr>
      </w:pPr>
      <w:bookmarkStart w:id="89" w:name="_Toc16938531"/>
      <w:bookmarkStart w:id="90" w:name="_Toc513029215"/>
      <w:bookmarkStart w:id="91" w:name="_Toc462564074"/>
      <w:bookmarkStart w:id="92" w:name="_Toc20823287"/>
      <w:r>
        <w:rPr>
          <w:rFonts w:hint="eastAsia" w:ascii="宋体" w:hAnsi="宋体" w:eastAsia="宋体" w:cs="宋体"/>
          <w:b w:val="0"/>
          <w:bCs w:val="0"/>
        </w:rPr>
        <w:t>11、投标文件构成</w:t>
      </w:r>
      <w:bookmarkEnd w:id="89"/>
      <w:bookmarkEnd w:id="90"/>
      <w:bookmarkEnd w:id="91"/>
      <w:bookmarkEnd w:id="92"/>
    </w:p>
    <w:p w14:paraId="03C3ED0F">
      <w:pPr>
        <w:spacing w:line="520" w:lineRule="exact"/>
        <w:ind w:firstLine="480" w:firstLineChars="200"/>
        <w:rPr>
          <w:rFonts w:ascii="宋体" w:hAnsi="宋体" w:cs="宋体"/>
          <w:bCs/>
          <w:sz w:val="24"/>
        </w:rPr>
      </w:pPr>
      <w:bookmarkStart w:id="93" w:name="_Toc513029216"/>
      <w:bookmarkStart w:id="94" w:name="_Toc14577354"/>
      <w:bookmarkStart w:id="95" w:name="_Toc49090507"/>
      <w:bookmarkStart w:id="96" w:name="_Toc49090509"/>
      <w:bookmarkStart w:id="97" w:name="_Toc14577357"/>
      <w:bookmarkStart w:id="98" w:name="_Toc513029219"/>
      <w:r>
        <w:rPr>
          <w:rFonts w:hint="eastAsia" w:ascii="宋体" w:hAnsi="宋体" w:cs="宋体"/>
          <w:bCs/>
          <w:sz w:val="24"/>
        </w:rPr>
        <w:t>11.1法人授权书</w:t>
      </w:r>
      <w:r>
        <w:rPr>
          <w:rFonts w:hint="eastAsia" w:ascii="宋体" w:hAnsi="宋体" w:cs="宋体"/>
          <w:sz w:val="24"/>
          <w:szCs w:val="24"/>
        </w:rPr>
        <w:t>（格式附后）</w:t>
      </w:r>
    </w:p>
    <w:p w14:paraId="448116D6">
      <w:pPr>
        <w:spacing w:line="520" w:lineRule="exact"/>
        <w:ind w:firstLine="480" w:firstLineChars="200"/>
        <w:rPr>
          <w:rFonts w:ascii="宋体" w:hAnsi="宋体" w:cs="宋体"/>
          <w:bCs/>
          <w:sz w:val="24"/>
        </w:rPr>
      </w:pPr>
      <w:r>
        <w:rPr>
          <w:rFonts w:hint="eastAsia" w:ascii="宋体" w:hAnsi="宋体" w:cs="宋体"/>
          <w:bCs/>
          <w:sz w:val="24"/>
        </w:rPr>
        <w:t>11.2投标函</w:t>
      </w:r>
      <w:r>
        <w:rPr>
          <w:rFonts w:hint="eastAsia" w:ascii="宋体" w:hAnsi="宋体" w:cs="宋体"/>
          <w:sz w:val="24"/>
          <w:szCs w:val="24"/>
        </w:rPr>
        <w:t>（格式附后）</w:t>
      </w:r>
    </w:p>
    <w:p w14:paraId="2A8FBEF0">
      <w:pPr>
        <w:spacing w:line="520" w:lineRule="exact"/>
        <w:ind w:firstLine="480" w:firstLineChars="200"/>
        <w:rPr>
          <w:rFonts w:ascii="宋体" w:hAnsi="宋体" w:cs="宋体"/>
          <w:bCs/>
          <w:sz w:val="24"/>
        </w:rPr>
      </w:pPr>
      <w:r>
        <w:rPr>
          <w:rFonts w:hint="eastAsia" w:ascii="宋体" w:hAnsi="宋体" w:cs="宋体"/>
          <w:bCs/>
          <w:sz w:val="24"/>
        </w:rPr>
        <w:t>11.3开标一览表</w:t>
      </w:r>
      <w:r>
        <w:rPr>
          <w:rFonts w:hint="eastAsia" w:ascii="宋体" w:hAnsi="宋体" w:cs="宋体"/>
          <w:sz w:val="24"/>
          <w:szCs w:val="24"/>
        </w:rPr>
        <w:t>（格式附后）</w:t>
      </w:r>
    </w:p>
    <w:p w14:paraId="2D3CDA91">
      <w:pPr>
        <w:spacing w:line="520" w:lineRule="exact"/>
        <w:ind w:firstLine="480" w:firstLineChars="200"/>
        <w:rPr>
          <w:rFonts w:ascii="宋体" w:hAnsi="宋体" w:cs="宋体"/>
          <w:bCs/>
          <w:sz w:val="24"/>
        </w:rPr>
      </w:pPr>
      <w:r>
        <w:rPr>
          <w:rFonts w:hint="eastAsia" w:ascii="宋体" w:hAnsi="宋体" w:cs="宋体"/>
          <w:bCs/>
          <w:sz w:val="24"/>
        </w:rPr>
        <w:t>11.4资格证明文件</w:t>
      </w:r>
    </w:p>
    <w:p w14:paraId="112B3666">
      <w:pPr>
        <w:spacing w:line="520" w:lineRule="exact"/>
        <w:ind w:firstLine="480" w:firstLineChars="200"/>
        <w:rPr>
          <w:rFonts w:ascii="宋体" w:hAnsi="宋体" w:cs="宋体"/>
          <w:bCs/>
          <w:sz w:val="24"/>
        </w:rPr>
      </w:pPr>
      <w:r>
        <w:rPr>
          <w:rFonts w:hint="eastAsia" w:ascii="宋体" w:hAnsi="宋体" w:cs="宋体"/>
          <w:bCs/>
          <w:sz w:val="24"/>
        </w:rPr>
        <w:t>（1）法人或者其他组织的营业执照等证明文件，自然人的身份证明</w:t>
      </w:r>
    </w:p>
    <w:p w14:paraId="1E6F590D">
      <w:pPr>
        <w:spacing w:line="520" w:lineRule="exact"/>
        <w:ind w:firstLine="480" w:firstLineChars="200"/>
        <w:rPr>
          <w:rFonts w:ascii="宋体" w:hAnsi="宋体" w:cs="宋体"/>
          <w:bCs/>
          <w:sz w:val="24"/>
        </w:rPr>
      </w:pPr>
      <w:r>
        <w:rPr>
          <w:rFonts w:hint="eastAsia" w:ascii="宋体" w:hAnsi="宋体" w:cs="宋体"/>
          <w:bCs/>
          <w:sz w:val="24"/>
        </w:rPr>
        <w:t>（2）上一年度财务状况报表（成立不满一年不需提供）</w:t>
      </w:r>
    </w:p>
    <w:p w14:paraId="48923FE1">
      <w:pPr>
        <w:spacing w:line="520" w:lineRule="exact"/>
        <w:ind w:firstLine="480" w:firstLineChars="200"/>
        <w:rPr>
          <w:rFonts w:ascii="宋体" w:hAnsi="宋体" w:cs="宋体"/>
          <w:bCs/>
          <w:sz w:val="24"/>
        </w:rPr>
      </w:pPr>
      <w:r>
        <w:rPr>
          <w:rFonts w:hint="eastAsia" w:ascii="宋体" w:hAnsi="宋体" w:cs="宋体"/>
          <w:bCs/>
          <w:sz w:val="24"/>
        </w:rPr>
        <w:t>（3）依法缴纳税收和社会保障资金的相关材料</w:t>
      </w:r>
    </w:p>
    <w:p w14:paraId="4B3B1194">
      <w:pPr>
        <w:spacing w:line="520" w:lineRule="exact"/>
        <w:ind w:firstLine="480" w:firstLineChars="200"/>
        <w:rPr>
          <w:rFonts w:ascii="宋体" w:hAnsi="宋体" w:cs="宋体"/>
          <w:bCs/>
          <w:sz w:val="24"/>
        </w:rPr>
      </w:pPr>
      <w:r>
        <w:rPr>
          <w:rFonts w:hint="eastAsia" w:ascii="宋体" w:hAnsi="宋体" w:cs="宋体"/>
          <w:bCs/>
          <w:sz w:val="24"/>
        </w:rPr>
        <w:t>（4）具备履行合同所必需的设备和专业技术能力证明材料（格式附后）</w:t>
      </w:r>
    </w:p>
    <w:p w14:paraId="3B39991B">
      <w:pPr>
        <w:spacing w:line="520" w:lineRule="exact"/>
        <w:ind w:firstLine="480" w:firstLineChars="200"/>
        <w:rPr>
          <w:rFonts w:ascii="宋体" w:hAnsi="宋体" w:cs="宋体"/>
          <w:bCs/>
          <w:sz w:val="24"/>
        </w:rPr>
      </w:pPr>
      <w:r>
        <w:rPr>
          <w:rFonts w:hint="eastAsia" w:ascii="宋体" w:hAnsi="宋体" w:cs="宋体"/>
          <w:bCs/>
          <w:sz w:val="24"/>
        </w:rPr>
        <w:t>（5）参加政府采购活动前3年内在经营活动中没有重大违法记录的书面声明（格式附后）</w:t>
      </w:r>
    </w:p>
    <w:p w14:paraId="400D42AD">
      <w:pPr>
        <w:spacing w:line="520" w:lineRule="exact"/>
        <w:ind w:firstLine="480" w:firstLineChars="200"/>
        <w:rPr>
          <w:b w:val="0"/>
          <w:bCs/>
          <w:sz w:val="24"/>
          <w:szCs w:val="24"/>
        </w:rPr>
      </w:pPr>
      <w:r>
        <w:rPr>
          <w:rFonts w:hint="eastAsia" w:ascii="宋体" w:hAnsi="宋体" w:cs="宋体"/>
          <w:b w:val="0"/>
          <w:bCs w:val="0"/>
          <w:color w:val="auto"/>
          <w:sz w:val="24"/>
          <w:szCs w:val="24"/>
        </w:rPr>
        <w:t>（6）</w:t>
      </w:r>
      <w:r>
        <w:rPr>
          <w:rFonts w:hint="eastAsia" w:ascii="宋体" w:hAnsi="宋体" w:cs="宋体"/>
          <w:color w:val="auto"/>
          <w:sz w:val="24"/>
          <w:szCs w:val="24"/>
        </w:rPr>
        <w:t>提供</w:t>
      </w:r>
      <w:r>
        <w:rPr>
          <w:sz w:val="24"/>
          <w:szCs w:val="24"/>
        </w:rPr>
        <w:t>未被“信用中国”网站（www.creditchina.gov.cn）列入失信被执行人、重大税收违法失信主体、政府采购严重失信行为记录名单</w:t>
      </w:r>
      <w:r>
        <w:rPr>
          <w:rFonts w:hint="eastAsia"/>
          <w:b w:val="0"/>
          <w:bCs/>
          <w:color w:val="FF0000"/>
          <w:sz w:val="24"/>
          <w:szCs w:val="24"/>
        </w:rPr>
        <w:t>（提供信用中国网页截图或信用中国下载的信用报告）</w:t>
      </w:r>
      <w:r>
        <w:rPr>
          <w:rFonts w:hint="eastAsia"/>
          <w:b w:val="0"/>
          <w:bCs/>
          <w:sz w:val="24"/>
          <w:szCs w:val="24"/>
        </w:rPr>
        <w:t>。</w:t>
      </w:r>
    </w:p>
    <w:p w14:paraId="6CFB39D0">
      <w:pPr>
        <w:spacing w:line="520" w:lineRule="exact"/>
        <w:ind w:firstLine="480" w:firstLineChars="200"/>
        <w:rPr>
          <w:sz w:val="24"/>
          <w:szCs w:val="24"/>
        </w:rPr>
      </w:pPr>
      <w:r>
        <w:rPr>
          <w:rFonts w:hint="eastAsia"/>
          <w:sz w:val="24"/>
          <w:szCs w:val="24"/>
        </w:rPr>
        <w:t>（</w:t>
      </w:r>
      <w:r>
        <w:rPr>
          <w:rFonts w:hint="eastAsia"/>
          <w:sz w:val="24"/>
          <w:szCs w:val="24"/>
          <w:lang w:val="en-US" w:eastAsia="zh-CN"/>
        </w:rPr>
        <w:t>7</w:t>
      </w:r>
      <w:r>
        <w:rPr>
          <w:rFonts w:hint="eastAsia"/>
          <w:sz w:val="24"/>
          <w:szCs w:val="24"/>
        </w:rPr>
        <w:t>）投标人认为需要提供的其他资格要求材料。</w:t>
      </w:r>
    </w:p>
    <w:p w14:paraId="42C87AEC">
      <w:pPr>
        <w:spacing w:line="520" w:lineRule="exact"/>
        <w:ind w:firstLine="482" w:firstLineChars="200"/>
        <w:rPr>
          <w:rFonts w:ascii="宋体" w:hAnsi="宋体" w:cs="宋体"/>
          <w:b/>
          <w:bCs/>
          <w:color w:val="FF0000"/>
          <w:sz w:val="24"/>
          <w:szCs w:val="24"/>
        </w:rPr>
      </w:pPr>
      <w:r>
        <w:rPr>
          <w:rFonts w:hint="eastAsia" w:ascii="宋体" w:hAnsi="宋体" w:cs="宋体"/>
          <w:b/>
          <w:bCs/>
          <w:color w:val="FF0000"/>
          <w:sz w:val="24"/>
          <w:szCs w:val="24"/>
        </w:rPr>
        <w:t>特别提醒：上述提及的相关材料均须加盖投标人公章，否则视为未提供。</w:t>
      </w:r>
    </w:p>
    <w:p w14:paraId="49459E69">
      <w:pPr>
        <w:spacing w:line="52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11.5</w:t>
      </w:r>
      <w:r>
        <w:rPr>
          <w:rFonts w:hint="eastAsia" w:ascii="宋体" w:hAnsi="宋体" w:eastAsia="宋体" w:cs="宋体"/>
          <w:color w:val="auto"/>
          <w:sz w:val="24"/>
          <w:szCs w:val="24"/>
        </w:rPr>
        <w:t>中小企业声明函（如为非专门面向中小企业的项目，格式附后）</w:t>
      </w:r>
    </w:p>
    <w:p w14:paraId="31EE7D9A">
      <w:pPr>
        <w:spacing w:line="520" w:lineRule="exact"/>
        <w:ind w:firstLine="480" w:firstLineChars="200"/>
        <w:rPr>
          <w:rFonts w:ascii="宋体" w:hAnsi="宋体" w:cs="宋体"/>
          <w:bCs/>
          <w:sz w:val="24"/>
        </w:rPr>
      </w:pPr>
      <w:r>
        <w:rPr>
          <w:rFonts w:hint="eastAsia" w:ascii="宋体" w:hAnsi="宋体" w:cs="宋体"/>
          <w:bCs/>
          <w:sz w:val="24"/>
        </w:rPr>
        <w:t>11.</w:t>
      </w:r>
      <w:r>
        <w:rPr>
          <w:rFonts w:hint="eastAsia" w:ascii="宋体" w:hAnsi="宋体" w:cs="宋体"/>
          <w:bCs/>
          <w:sz w:val="24"/>
          <w:lang w:val="en-US" w:eastAsia="zh-CN"/>
        </w:rPr>
        <w:t>6</w:t>
      </w:r>
      <w:r>
        <w:rPr>
          <w:rFonts w:hint="eastAsia" w:ascii="宋体" w:hAnsi="宋体" w:cs="宋体"/>
          <w:bCs/>
          <w:sz w:val="24"/>
        </w:rPr>
        <w:t>投标分项报价表（格式附后）</w:t>
      </w:r>
    </w:p>
    <w:p w14:paraId="58625784">
      <w:pPr>
        <w:spacing w:line="520" w:lineRule="exact"/>
        <w:ind w:firstLine="480" w:firstLineChars="200"/>
        <w:rPr>
          <w:rFonts w:ascii="宋体" w:hAnsi="宋体" w:cs="宋体"/>
          <w:bCs/>
          <w:color w:val="auto"/>
          <w:sz w:val="24"/>
          <w:szCs w:val="24"/>
        </w:rPr>
      </w:pPr>
      <w:r>
        <w:rPr>
          <w:rFonts w:hint="eastAsia" w:ascii="宋体" w:hAnsi="宋体" w:cs="宋体"/>
          <w:bCs/>
          <w:color w:val="auto"/>
          <w:sz w:val="24"/>
          <w:szCs w:val="24"/>
        </w:rPr>
        <w:t>11.</w:t>
      </w:r>
      <w:r>
        <w:rPr>
          <w:rFonts w:hint="eastAsia" w:ascii="宋体" w:hAnsi="宋体" w:cs="宋体"/>
          <w:bCs/>
          <w:color w:val="auto"/>
          <w:sz w:val="24"/>
          <w:szCs w:val="24"/>
          <w:lang w:val="en-US" w:eastAsia="zh-CN"/>
        </w:rPr>
        <w:t>7</w:t>
      </w:r>
      <w:r>
        <w:rPr>
          <w:rFonts w:hint="eastAsia" w:ascii="宋体" w:hAnsi="宋体" w:cs="宋体"/>
          <w:bCs/>
          <w:color w:val="auto"/>
          <w:sz w:val="24"/>
          <w:szCs w:val="24"/>
        </w:rPr>
        <w:t>项目需求服务承诺（格式附后）</w:t>
      </w:r>
    </w:p>
    <w:p w14:paraId="2E42BDAC">
      <w:pPr>
        <w:spacing w:line="520" w:lineRule="exact"/>
        <w:ind w:firstLine="480" w:firstLineChars="200"/>
        <w:rPr>
          <w:rFonts w:ascii="宋体" w:hAnsi="宋体" w:cs="宋体"/>
          <w:bCs/>
          <w:color w:val="auto"/>
          <w:sz w:val="24"/>
          <w:szCs w:val="24"/>
        </w:rPr>
      </w:pPr>
      <w:r>
        <w:rPr>
          <w:rFonts w:hint="eastAsia" w:ascii="宋体" w:hAnsi="宋体" w:cs="宋体"/>
          <w:bCs/>
          <w:color w:val="auto"/>
          <w:sz w:val="24"/>
          <w:szCs w:val="24"/>
        </w:rPr>
        <w:t>11.</w:t>
      </w:r>
      <w:r>
        <w:rPr>
          <w:rFonts w:hint="eastAsia" w:ascii="宋体" w:hAnsi="宋体" w:cs="宋体"/>
          <w:bCs/>
          <w:color w:val="auto"/>
          <w:sz w:val="24"/>
          <w:szCs w:val="24"/>
          <w:lang w:val="en-US" w:eastAsia="zh-CN"/>
        </w:rPr>
        <w:t>8</w:t>
      </w:r>
      <w:r>
        <w:rPr>
          <w:rFonts w:hint="eastAsia" w:ascii="宋体" w:hAnsi="宋体" w:cs="宋体"/>
          <w:bCs/>
          <w:color w:val="auto"/>
          <w:sz w:val="24"/>
          <w:szCs w:val="24"/>
        </w:rPr>
        <w:t>项目配备人员一览表（格式附后）</w:t>
      </w:r>
    </w:p>
    <w:p w14:paraId="3B992839">
      <w:pPr>
        <w:spacing w:line="520" w:lineRule="exact"/>
        <w:ind w:firstLine="480" w:firstLineChars="200"/>
        <w:rPr>
          <w:rFonts w:hint="eastAsia" w:ascii="宋体" w:hAnsi="宋体" w:cs="宋体"/>
          <w:bCs/>
          <w:color w:val="auto"/>
          <w:sz w:val="24"/>
          <w:szCs w:val="24"/>
        </w:rPr>
      </w:pPr>
      <w:r>
        <w:rPr>
          <w:rFonts w:hint="eastAsia" w:ascii="宋体" w:hAnsi="宋体" w:cs="宋体"/>
          <w:bCs/>
          <w:color w:val="auto"/>
          <w:sz w:val="24"/>
          <w:szCs w:val="24"/>
        </w:rPr>
        <w:t>11.</w:t>
      </w:r>
      <w:r>
        <w:rPr>
          <w:rFonts w:hint="eastAsia" w:ascii="宋体" w:hAnsi="宋体" w:cs="宋体"/>
          <w:bCs/>
          <w:color w:val="auto"/>
          <w:sz w:val="24"/>
          <w:szCs w:val="24"/>
          <w:lang w:val="en-US" w:eastAsia="zh-CN"/>
        </w:rPr>
        <w:t>9</w:t>
      </w:r>
      <w:r>
        <w:rPr>
          <w:rFonts w:hint="eastAsia" w:ascii="宋体" w:hAnsi="宋体" w:cs="宋体"/>
          <w:bCs/>
          <w:color w:val="auto"/>
          <w:sz w:val="24"/>
          <w:szCs w:val="24"/>
        </w:rPr>
        <w:t>供应商业绩项目一览表（格式附后）</w:t>
      </w:r>
    </w:p>
    <w:p w14:paraId="1018D814">
      <w:pPr>
        <w:spacing w:line="520" w:lineRule="exact"/>
        <w:ind w:firstLine="480" w:firstLineChars="200"/>
        <w:rPr>
          <w:rFonts w:ascii="宋体" w:hAnsi="宋体" w:cs="宋体"/>
          <w:bCs/>
          <w:sz w:val="24"/>
        </w:rPr>
      </w:pPr>
      <w:r>
        <w:rPr>
          <w:rFonts w:hint="eastAsia" w:ascii="宋体" w:hAnsi="宋体" w:cs="宋体"/>
          <w:bCs/>
          <w:sz w:val="24"/>
        </w:rPr>
        <w:t>11.</w:t>
      </w:r>
      <w:r>
        <w:rPr>
          <w:rFonts w:hint="eastAsia" w:ascii="宋体" w:hAnsi="宋体" w:cs="宋体"/>
          <w:bCs/>
          <w:sz w:val="24"/>
          <w:lang w:val="en-US" w:eastAsia="zh-CN"/>
        </w:rPr>
        <w:t>10</w:t>
      </w:r>
      <w:r>
        <w:rPr>
          <w:rFonts w:hint="eastAsia" w:ascii="宋体" w:hAnsi="宋体" w:cs="宋体"/>
          <w:bCs/>
          <w:sz w:val="24"/>
        </w:rPr>
        <w:t>盐城市政府采购事前信用承诺书（格式附后）</w:t>
      </w:r>
    </w:p>
    <w:p w14:paraId="315A06AC">
      <w:pPr>
        <w:pStyle w:val="203"/>
        <w:spacing w:before="0" w:after="0" w:line="520" w:lineRule="exact"/>
        <w:ind w:firstLine="482" w:firstLineChars="200"/>
        <w:rPr>
          <w:rFonts w:ascii="宋体" w:hAnsi="宋体" w:eastAsia="宋体" w:cs="宋体"/>
          <w:b w:val="0"/>
          <w:sz w:val="24"/>
          <w:szCs w:val="21"/>
        </w:rPr>
      </w:pPr>
      <w:r>
        <w:rPr>
          <w:rFonts w:hint="eastAsia" w:ascii="宋体" w:hAnsi="宋体" w:eastAsia="宋体" w:cs="宋体"/>
          <w:b/>
          <w:bCs w:val="0"/>
          <w:color w:val="FF0000"/>
          <w:sz w:val="24"/>
          <w:szCs w:val="21"/>
          <w:highlight w:val="none"/>
        </w:rPr>
        <w:t>1</w:t>
      </w:r>
      <w:r>
        <w:rPr>
          <w:rFonts w:ascii="宋体" w:hAnsi="宋体" w:eastAsia="宋体" w:cs="宋体"/>
          <w:b/>
          <w:bCs w:val="0"/>
          <w:color w:val="FF0000"/>
          <w:sz w:val="24"/>
          <w:szCs w:val="21"/>
          <w:highlight w:val="none"/>
        </w:rPr>
        <w:t>1.1</w:t>
      </w:r>
      <w:r>
        <w:rPr>
          <w:rFonts w:hint="eastAsia" w:ascii="宋体" w:hAnsi="宋体" w:eastAsia="宋体" w:cs="宋体"/>
          <w:b/>
          <w:bCs w:val="0"/>
          <w:color w:val="FF0000"/>
          <w:sz w:val="24"/>
          <w:szCs w:val="21"/>
          <w:highlight w:val="none"/>
          <w:lang w:val="en-US" w:eastAsia="zh-CN"/>
        </w:rPr>
        <w:t>1</w:t>
      </w:r>
      <w:r>
        <w:rPr>
          <w:rFonts w:ascii="宋体" w:hAnsi="宋体" w:eastAsia="宋体" w:cs="宋体"/>
          <w:b/>
          <w:bCs w:val="0"/>
          <w:color w:val="FF0000"/>
          <w:sz w:val="24"/>
          <w:szCs w:val="21"/>
          <w:highlight w:val="none"/>
        </w:rPr>
        <w:t>综合评分法中要求提供的相关材料</w:t>
      </w:r>
      <w:r>
        <w:rPr>
          <w:rFonts w:hint="eastAsia" w:ascii="宋体" w:hAnsi="宋体" w:eastAsia="宋体" w:cs="宋体"/>
          <w:b/>
          <w:bCs w:val="0"/>
          <w:color w:val="FF0000"/>
          <w:sz w:val="24"/>
          <w:szCs w:val="21"/>
          <w:highlight w:val="none"/>
        </w:rPr>
        <w:t xml:space="preserve"> </w:t>
      </w:r>
      <w:r>
        <w:rPr>
          <w:rFonts w:ascii="宋体" w:hAnsi="宋体" w:eastAsia="宋体" w:cs="宋体"/>
          <w:b/>
          <w:bCs w:val="0"/>
          <w:color w:val="FF0000"/>
          <w:sz w:val="24"/>
          <w:szCs w:val="21"/>
          <w:highlight w:val="none"/>
        </w:rPr>
        <w:t xml:space="preserve"> </w:t>
      </w:r>
      <w:r>
        <w:rPr>
          <w:rFonts w:ascii="宋体" w:hAnsi="宋体" w:eastAsia="宋体" w:cs="宋体"/>
          <w:b w:val="0"/>
          <w:sz w:val="24"/>
          <w:szCs w:val="21"/>
        </w:rPr>
        <w:t xml:space="preserve"> </w:t>
      </w:r>
    </w:p>
    <w:p w14:paraId="491F6009">
      <w:pPr>
        <w:pStyle w:val="203"/>
        <w:spacing w:before="0" w:after="0" w:line="520" w:lineRule="exact"/>
        <w:ind w:firstLine="480" w:firstLineChars="200"/>
        <w:rPr>
          <w:rFonts w:hint="eastAsia" w:ascii="宋体" w:hAnsi="宋体" w:eastAsia="宋体" w:cs="宋体"/>
          <w:b w:val="0"/>
          <w:sz w:val="24"/>
          <w:szCs w:val="21"/>
        </w:rPr>
      </w:pPr>
      <w:r>
        <w:rPr>
          <w:rFonts w:hint="eastAsia" w:ascii="宋体" w:hAnsi="宋体" w:eastAsia="宋体" w:cs="宋体"/>
          <w:b w:val="0"/>
          <w:sz w:val="24"/>
          <w:szCs w:val="21"/>
        </w:rPr>
        <w:t>11.1</w:t>
      </w:r>
      <w:r>
        <w:rPr>
          <w:rFonts w:hint="eastAsia" w:ascii="宋体" w:hAnsi="宋体" w:eastAsia="宋体" w:cs="宋体"/>
          <w:b w:val="0"/>
          <w:sz w:val="24"/>
          <w:szCs w:val="21"/>
          <w:lang w:val="en-US" w:eastAsia="zh-CN"/>
        </w:rPr>
        <w:t>2</w:t>
      </w:r>
      <w:r>
        <w:rPr>
          <w:rFonts w:hint="eastAsia" w:ascii="宋体" w:hAnsi="宋体" w:eastAsia="宋体" w:cs="宋体"/>
          <w:b w:val="0"/>
          <w:sz w:val="24"/>
          <w:szCs w:val="21"/>
        </w:rPr>
        <w:t>投标人认为有必要提供的其他材料</w:t>
      </w:r>
    </w:p>
    <w:bookmarkEnd w:id="93"/>
    <w:bookmarkEnd w:id="94"/>
    <w:bookmarkEnd w:id="95"/>
    <w:bookmarkEnd w:id="96"/>
    <w:bookmarkEnd w:id="97"/>
    <w:bookmarkEnd w:id="98"/>
    <w:p w14:paraId="6A7CAF7F">
      <w:pPr>
        <w:pStyle w:val="203"/>
        <w:spacing w:before="0" w:after="0" w:line="520" w:lineRule="exact"/>
        <w:ind w:firstLine="560" w:firstLineChars="200"/>
        <w:rPr>
          <w:rFonts w:ascii="宋体" w:hAnsi="宋体" w:eastAsia="宋体" w:cs="宋体"/>
          <w:b w:val="0"/>
          <w:bCs w:val="0"/>
        </w:rPr>
      </w:pPr>
      <w:bookmarkStart w:id="99" w:name="_Toc14577355"/>
      <w:bookmarkStart w:id="100" w:name="_Toc49090508"/>
      <w:r>
        <w:rPr>
          <w:rFonts w:hint="eastAsia" w:ascii="宋体" w:hAnsi="宋体" w:eastAsia="宋体" w:cs="宋体"/>
          <w:b w:val="0"/>
          <w:bCs w:val="0"/>
        </w:rPr>
        <w:t>12、</w:t>
      </w:r>
      <w:bookmarkEnd w:id="99"/>
      <w:bookmarkEnd w:id="100"/>
      <w:r>
        <w:rPr>
          <w:rFonts w:hint="eastAsia" w:ascii="宋体" w:hAnsi="宋体" w:eastAsia="宋体" w:cs="宋体"/>
          <w:b w:val="0"/>
          <w:bCs w:val="0"/>
        </w:rPr>
        <w:t>投标报价要求</w:t>
      </w:r>
    </w:p>
    <w:p w14:paraId="6D2D2CFE">
      <w:pPr>
        <w:spacing w:line="520" w:lineRule="exact"/>
        <w:ind w:firstLine="480" w:firstLineChars="200"/>
        <w:rPr>
          <w:rFonts w:ascii="宋体" w:hAnsi="宋体" w:cs="宋体"/>
          <w:bCs/>
          <w:sz w:val="24"/>
        </w:rPr>
      </w:pPr>
      <w:r>
        <w:rPr>
          <w:rFonts w:hint="eastAsia" w:ascii="宋体" w:hAnsi="宋体" w:cs="宋体"/>
          <w:bCs/>
          <w:sz w:val="24"/>
        </w:rPr>
        <w:t>12.1 投标人应按照招标文件规定格式填报投标分项报价表，在表中标明本项目所提供的各类服务内容名称、数量、单价、总价。每项服务只允许有一个报价，任何有选择的报价将不予接受。</w:t>
      </w:r>
    </w:p>
    <w:p w14:paraId="17FBCDC5">
      <w:pPr>
        <w:spacing w:line="520" w:lineRule="exact"/>
        <w:ind w:firstLine="480" w:firstLineChars="200"/>
        <w:rPr>
          <w:rFonts w:ascii="宋体" w:hAnsi="宋体" w:cs="宋体"/>
          <w:sz w:val="24"/>
        </w:rPr>
      </w:pPr>
      <w:r>
        <w:rPr>
          <w:rFonts w:hint="eastAsia" w:ascii="宋体" w:hAnsi="宋体" w:cs="宋体"/>
          <w:bCs/>
          <w:sz w:val="24"/>
        </w:rPr>
        <w:t>12.2</w:t>
      </w:r>
      <w:r>
        <w:rPr>
          <w:rFonts w:hint="eastAsia" w:ascii="宋体" w:hAnsi="宋体" w:cs="宋体"/>
          <w:sz w:val="24"/>
        </w:rPr>
        <w:t xml:space="preserve"> 标的物</w:t>
      </w:r>
    </w:p>
    <w:p w14:paraId="46DF4180">
      <w:pPr>
        <w:spacing w:line="520" w:lineRule="exact"/>
        <w:ind w:firstLine="480" w:firstLineChars="200"/>
        <w:rPr>
          <w:rFonts w:ascii="宋体" w:hAnsi="宋体" w:cs="宋体"/>
          <w:bCs/>
          <w:sz w:val="24"/>
        </w:rPr>
      </w:pPr>
      <w:r>
        <w:rPr>
          <w:rFonts w:hint="eastAsia" w:ascii="宋体" w:hAnsi="宋体" w:cs="宋体"/>
          <w:bCs/>
          <w:sz w:val="24"/>
        </w:rPr>
        <w:t>采购人的需求。</w:t>
      </w:r>
    </w:p>
    <w:p w14:paraId="00511B55">
      <w:pPr>
        <w:spacing w:line="520" w:lineRule="exact"/>
        <w:ind w:firstLine="480" w:firstLineChars="200"/>
        <w:rPr>
          <w:rFonts w:ascii="宋体" w:hAnsi="宋体" w:cs="宋体"/>
          <w:bCs/>
          <w:sz w:val="24"/>
        </w:rPr>
      </w:pPr>
      <w:r>
        <w:rPr>
          <w:rFonts w:hint="eastAsia" w:ascii="宋体" w:hAnsi="宋体" w:cs="宋体"/>
          <w:sz w:val="24"/>
        </w:rPr>
        <w:t>12.3</w:t>
      </w:r>
      <w:r>
        <w:rPr>
          <w:rFonts w:hint="eastAsia" w:ascii="宋体" w:hAnsi="宋体" w:cs="宋体"/>
          <w:bCs/>
          <w:sz w:val="24"/>
        </w:rPr>
        <w:t>有关费用处理</w:t>
      </w:r>
    </w:p>
    <w:p w14:paraId="292C9502">
      <w:pPr>
        <w:spacing w:line="440" w:lineRule="exact"/>
        <w:ind w:firstLine="480" w:firstLineChars="200"/>
        <w:rPr>
          <w:rFonts w:ascii="宋体" w:hAnsi="宋体"/>
          <w:bCs/>
          <w:color w:val="auto"/>
          <w:sz w:val="24"/>
          <w:highlight w:val="none"/>
        </w:rPr>
      </w:pPr>
      <w:r>
        <w:rPr>
          <w:rFonts w:hint="eastAsia" w:ascii="宋体" w:hAnsi="宋体"/>
          <w:bCs/>
          <w:color w:val="auto"/>
          <w:sz w:val="24"/>
          <w:szCs w:val="20"/>
        </w:rPr>
        <w:t>12.3.</w:t>
      </w:r>
      <w:r>
        <w:rPr>
          <w:rFonts w:hint="eastAsia" w:ascii="宋体" w:hAnsi="宋体"/>
          <w:bCs/>
          <w:color w:val="auto"/>
          <w:sz w:val="24"/>
          <w:szCs w:val="20"/>
          <w:highlight w:val="none"/>
        </w:rPr>
        <w:t>1</w:t>
      </w:r>
      <w:r>
        <w:rPr>
          <w:rFonts w:hint="eastAsia" w:ascii="宋体" w:hAnsi="宋体"/>
          <w:color w:val="000000"/>
          <w:sz w:val="24"/>
          <w:szCs w:val="24"/>
          <w:highlight w:val="none"/>
          <w:lang w:val="en-US" w:eastAsia="zh-CN"/>
        </w:rPr>
        <w:t>本项目为</w:t>
      </w:r>
      <w:r>
        <w:rPr>
          <w:rFonts w:hint="eastAsia" w:ascii="宋体" w:hAnsi="宋体"/>
          <w:b/>
          <w:bCs/>
          <w:color w:val="000000"/>
          <w:sz w:val="24"/>
          <w:szCs w:val="24"/>
          <w:highlight w:val="none"/>
        </w:rPr>
        <w:t>全费用固定综合单价</w:t>
      </w:r>
      <w:r>
        <w:rPr>
          <w:rFonts w:hint="eastAsia" w:ascii="宋体" w:hAnsi="宋体"/>
          <w:color w:val="000000"/>
          <w:sz w:val="24"/>
          <w:szCs w:val="24"/>
          <w:highlight w:val="none"/>
        </w:rPr>
        <w:t>包含（但不限于）：投标人的报价时应综合考虑人员基本工资、加班费</w:t>
      </w:r>
      <w:r>
        <w:rPr>
          <w:rFonts w:hint="eastAsia" w:ascii="宋体" w:hAnsi="宋体"/>
          <w:bCs/>
          <w:sz w:val="24"/>
          <w:highlight w:val="none"/>
          <w:lang w:eastAsia="zh-CN"/>
        </w:rPr>
        <w:t>、</w:t>
      </w:r>
      <w:r>
        <w:rPr>
          <w:rFonts w:hint="eastAsia" w:ascii="宋体" w:hAnsi="宋体"/>
          <w:bCs/>
          <w:sz w:val="24"/>
          <w:highlight w:val="none"/>
          <w:lang w:val="en-US" w:eastAsia="zh-CN"/>
        </w:rPr>
        <w:t>社保、福利费、</w:t>
      </w:r>
      <w:r>
        <w:rPr>
          <w:rFonts w:hint="eastAsia" w:ascii="宋体" w:hAnsi="宋体" w:cs="宋体"/>
          <w:sz w:val="24"/>
          <w:szCs w:val="24"/>
          <w:highlight w:val="none"/>
        </w:rPr>
        <w:t>调查费、劳务费、咨询费、审查费、会务费、</w:t>
      </w:r>
      <w:r>
        <w:rPr>
          <w:rFonts w:hint="eastAsia" w:ascii="宋体" w:hAnsi="宋体"/>
          <w:bCs/>
          <w:sz w:val="24"/>
          <w:highlight w:val="none"/>
        </w:rPr>
        <w:t>节假日</w:t>
      </w:r>
      <w:r>
        <w:rPr>
          <w:rFonts w:hint="eastAsia" w:ascii="宋体" w:hAnsi="宋体"/>
          <w:bCs/>
          <w:sz w:val="24"/>
          <w:highlight w:val="none"/>
          <w:lang w:val="en-US" w:eastAsia="zh-CN"/>
        </w:rPr>
        <w:t>加班费</w:t>
      </w:r>
      <w:r>
        <w:rPr>
          <w:rFonts w:hint="eastAsia" w:ascii="宋体" w:hAnsi="宋体"/>
          <w:bCs/>
          <w:sz w:val="24"/>
          <w:highlight w:val="none"/>
        </w:rPr>
        <w:t>、住房公积</w:t>
      </w:r>
      <w:r>
        <w:rPr>
          <w:rFonts w:hint="eastAsia" w:ascii="宋体" w:hAnsi="宋体"/>
          <w:color w:val="000000"/>
          <w:sz w:val="24"/>
          <w:szCs w:val="24"/>
          <w:highlight w:val="none"/>
        </w:rPr>
        <w:t>金、高温费、体检费、工具费、工作服费用、职工带薪休假费用</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劳保用品费用、车辆维修费、耗材费、油费、投标人拟投入本项目的所有车辆机械设备的所有费用（</w:t>
      </w:r>
      <w:r>
        <w:rPr>
          <w:rFonts w:hint="eastAsia" w:ascii="宋体" w:hAnsi="宋体"/>
          <w:bCs/>
          <w:color w:val="000000"/>
          <w:sz w:val="24"/>
          <w:highlight w:val="none"/>
        </w:rPr>
        <w:t>包含折旧费、电动车电费、维修费等车辆运行所需费用</w:t>
      </w:r>
      <w:r>
        <w:rPr>
          <w:rFonts w:hint="eastAsia" w:ascii="宋体" w:hAnsi="宋体"/>
          <w:color w:val="000000"/>
          <w:sz w:val="24"/>
          <w:szCs w:val="24"/>
          <w:highlight w:val="none"/>
        </w:rPr>
        <w:t>）、管理费</w:t>
      </w:r>
      <w:r>
        <w:rPr>
          <w:rFonts w:hint="eastAsia" w:ascii="宋体" w:hAnsi="宋体" w:cs="宋体"/>
          <w:sz w:val="24"/>
          <w:szCs w:val="24"/>
          <w:highlight w:val="none"/>
        </w:rPr>
        <w:t>、利润</w:t>
      </w:r>
      <w:r>
        <w:rPr>
          <w:rFonts w:hint="eastAsia" w:ascii="宋体" w:hAnsi="宋体"/>
          <w:color w:val="000000"/>
          <w:sz w:val="24"/>
          <w:szCs w:val="24"/>
          <w:highlight w:val="none"/>
        </w:rPr>
        <w:t>、招标代理费、税金等政策性文件规定及合同包含的所有风险、责任等因素的费用，用工制度必须按国家《劳动合同法》、《江苏省劳动合同法实施条例》有关规定执行。公共责任险（亦称第三者险）由企业自行决定办理与否。各类风险和政策性调整等风险已包括在合同价中，最终结算时除合同约定调整外一律不予调整。如乙方在履约过程中产生额外的收益，归甲方所有。与服务项目有关的所有费用应包含在合同中，甲方不再另行支付任何费用</w:t>
      </w:r>
      <w:r>
        <w:rPr>
          <w:rFonts w:hint="eastAsia" w:ascii="宋体" w:hAnsi="宋体"/>
          <w:bCs/>
          <w:color w:val="auto"/>
          <w:sz w:val="24"/>
          <w:highlight w:val="none"/>
        </w:rPr>
        <w:t>。</w:t>
      </w:r>
    </w:p>
    <w:p w14:paraId="6484FACE">
      <w:pPr>
        <w:spacing w:line="440" w:lineRule="exact"/>
        <w:ind w:firstLine="480" w:firstLineChars="200"/>
        <w:rPr>
          <w:rFonts w:ascii="宋体" w:hAnsi="宋体"/>
          <w:bCs/>
          <w:color w:val="auto"/>
          <w:sz w:val="24"/>
        </w:rPr>
      </w:pPr>
      <w:r>
        <w:rPr>
          <w:rFonts w:hint="eastAsia" w:ascii="宋体" w:hAnsi="宋体"/>
          <w:bCs/>
          <w:color w:val="auto"/>
          <w:sz w:val="24"/>
        </w:rPr>
        <w:t>12.3.2投标人报价时应充分考虑所有可能影响到报价的价格因素，一旦招标结束最终确定中标人，</w:t>
      </w:r>
      <w:r>
        <w:rPr>
          <w:rFonts w:hint="eastAsia" w:ascii="宋体" w:hAnsi="宋体" w:cs="宋体"/>
          <w:color w:val="auto"/>
          <w:sz w:val="24"/>
        </w:rPr>
        <w:t>固定综合单价</w:t>
      </w:r>
      <w:r>
        <w:rPr>
          <w:rFonts w:hint="eastAsia" w:ascii="宋体" w:hAnsi="宋体"/>
          <w:bCs/>
          <w:color w:val="auto"/>
          <w:sz w:val="24"/>
        </w:rPr>
        <w:t>不予调整。如发生漏、缺、少项，都将被认为是中标人的报价让利行为，损失自负。</w:t>
      </w:r>
    </w:p>
    <w:p w14:paraId="2553000F">
      <w:pPr>
        <w:spacing w:line="440" w:lineRule="exact"/>
        <w:ind w:firstLine="480" w:firstLineChars="200"/>
        <w:rPr>
          <w:rFonts w:ascii="宋体" w:hAnsi="宋体"/>
          <w:bCs/>
          <w:color w:val="FF0000"/>
          <w:sz w:val="24"/>
        </w:rPr>
      </w:pPr>
      <w:r>
        <w:rPr>
          <w:rFonts w:hint="eastAsia" w:ascii="宋体" w:hAnsi="宋体"/>
          <w:bCs/>
          <w:color w:val="auto"/>
          <w:sz w:val="24"/>
        </w:rPr>
        <w:t>12.3.3</w:t>
      </w:r>
      <w:r>
        <w:rPr>
          <w:rFonts w:hint="eastAsia" w:ascii="宋体" w:hAnsi="宋体"/>
          <w:bCs/>
          <w:color w:val="auto"/>
          <w:sz w:val="24"/>
          <w:szCs w:val="24"/>
        </w:rPr>
        <w:t>本项目设定投标报价</w:t>
      </w:r>
      <w:r>
        <w:rPr>
          <w:rFonts w:hint="eastAsia" w:ascii="宋体" w:hAnsi="宋体"/>
          <w:bCs/>
          <w:color w:val="auto"/>
          <w:sz w:val="24"/>
          <w:szCs w:val="24"/>
          <w:highlight w:val="none"/>
        </w:rPr>
        <w:t>的最高限价</w:t>
      </w:r>
      <w:r>
        <w:rPr>
          <w:rFonts w:hint="eastAsia" w:ascii="宋体" w:hAnsi="宋体" w:cs="宋体"/>
          <w:b w:val="0"/>
          <w:bCs w:val="0"/>
          <w:color w:val="auto"/>
          <w:sz w:val="24"/>
          <w:szCs w:val="24"/>
          <w:highlight w:val="none"/>
          <w:u w:val="none"/>
        </w:rPr>
        <w:t>为</w:t>
      </w:r>
      <w:r>
        <w:rPr>
          <w:rFonts w:hint="eastAsia" w:ascii="宋体" w:hAnsi="宋体" w:cs="宋体"/>
          <w:b/>
          <w:bCs/>
          <w:color w:val="FF0000"/>
          <w:sz w:val="24"/>
          <w:szCs w:val="24"/>
          <w:highlight w:val="none"/>
          <w:u w:val="single"/>
        </w:rPr>
        <w:t>人民币</w:t>
      </w:r>
      <w:r>
        <w:rPr>
          <w:rFonts w:hint="eastAsia" w:ascii="宋体" w:hAnsi="宋体" w:cs="宋体"/>
          <w:b/>
          <w:bCs/>
          <w:color w:val="FF0000"/>
          <w:sz w:val="24"/>
          <w:szCs w:val="24"/>
          <w:highlight w:val="none"/>
          <w:u w:val="single"/>
          <w:lang w:val="en-US" w:eastAsia="zh-CN"/>
        </w:rPr>
        <w:t>225</w:t>
      </w:r>
      <w:r>
        <w:rPr>
          <w:rFonts w:hint="eastAsia" w:ascii="宋体" w:hAnsi="宋体" w:cs="宋体"/>
          <w:b/>
          <w:bCs/>
          <w:color w:val="FF0000"/>
          <w:sz w:val="24"/>
          <w:szCs w:val="24"/>
          <w:highlight w:val="none"/>
          <w:u w:val="single"/>
        </w:rPr>
        <w:t>万元</w:t>
      </w:r>
      <w:r>
        <w:rPr>
          <w:rFonts w:hint="eastAsia" w:ascii="宋体" w:hAnsi="宋体"/>
          <w:bCs/>
          <w:color w:val="FF0000"/>
          <w:sz w:val="24"/>
          <w:szCs w:val="24"/>
          <w:highlight w:val="none"/>
        </w:rPr>
        <w:t>，</w:t>
      </w:r>
      <w:r>
        <w:rPr>
          <w:rFonts w:hint="eastAsia" w:ascii="宋体" w:hAnsi="宋体"/>
          <w:bCs/>
          <w:color w:val="FF0000"/>
          <w:sz w:val="24"/>
          <w:szCs w:val="24"/>
        </w:rPr>
        <w:t>投标报价高于最高限价的，采购人将不予接受，视为无效标书</w:t>
      </w:r>
      <w:r>
        <w:rPr>
          <w:rFonts w:hint="eastAsia" w:ascii="宋体" w:hAnsi="宋体"/>
          <w:bCs/>
          <w:color w:val="FF0000"/>
          <w:sz w:val="24"/>
        </w:rPr>
        <w:t>。</w:t>
      </w:r>
    </w:p>
    <w:p w14:paraId="0729CC32">
      <w:pPr>
        <w:spacing w:line="440" w:lineRule="exact"/>
        <w:ind w:firstLine="480" w:firstLineChars="200"/>
        <w:rPr>
          <w:rFonts w:ascii="宋体" w:hAnsi="宋体"/>
          <w:bCs/>
          <w:color w:val="auto"/>
          <w:sz w:val="24"/>
        </w:rPr>
      </w:pPr>
      <w:r>
        <w:rPr>
          <w:rFonts w:hint="eastAsia" w:ascii="宋体" w:hAnsi="宋体"/>
          <w:bCs/>
          <w:color w:val="auto"/>
          <w:sz w:val="24"/>
        </w:rPr>
        <w:t>12.3.4投标报价方式：</w:t>
      </w:r>
      <w:r>
        <w:rPr>
          <w:rFonts w:hint="eastAsia" w:ascii="宋体" w:hAnsi="宋体"/>
          <w:bCs/>
          <w:color w:val="auto"/>
          <w:sz w:val="24"/>
          <w:szCs w:val="24"/>
        </w:rPr>
        <w:t>由投标人自行根据采购人提供的工作量、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预调整中标价、超出总限价视为让利优惠</w:t>
      </w:r>
      <w:r>
        <w:rPr>
          <w:rFonts w:hint="eastAsia" w:ascii="宋体" w:hAnsi="宋体"/>
          <w:bCs/>
          <w:color w:val="auto"/>
          <w:sz w:val="24"/>
        </w:rPr>
        <w:t>。</w:t>
      </w:r>
    </w:p>
    <w:p w14:paraId="57873DCB">
      <w:pPr>
        <w:spacing w:line="440" w:lineRule="exact"/>
        <w:ind w:firstLine="480" w:firstLineChars="200"/>
        <w:rPr>
          <w:rFonts w:ascii="宋体" w:hAnsi="宋体" w:cs="宋体"/>
          <w:color w:val="auto"/>
          <w:sz w:val="24"/>
        </w:rPr>
      </w:pPr>
      <w:r>
        <w:rPr>
          <w:rFonts w:hint="eastAsia" w:ascii="宋体" w:hAnsi="宋体"/>
          <w:bCs/>
          <w:color w:val="auto"/>
          <w:sz w:val="24"/>
        </w:rPr>
        <w:t>只允许有一个报价，任何有选择的报价将被拒绝。</w:t>
      </w:r>
    </w:p>
    <w:p w14:paraId="3ED595BD">
      <w:pPr>
        <w:spacing w:line="520" w:lineRule="exact"/>
        <w:ind w:left="239" w:leftChars="114" w:firstLine="240" w:firstLineChars="100"/>
        <w:rPr>
          <w:rFonts w:ascii="宋体" w:hAnsi="宋体" w:cs="宋体"/>
          <w:sz w:val="24"/>
          <w:highlight w:val="none"/>
        </w:rPr>
      </w:pPr>
      <w:r>
        <w:rPr>
          <w:rFonts w:hint="eastAsia" w:ascii="宋体" w:hAnsi="宋体" w:cs="宋体"/>
          <w:sz w:val="24"/>
        </w:rPr>
        <w:t>12.3.5招标人约定由中标人向采购代理机构一次性代为支付采购代理服</w:t>
      </w:r>
      <w:r>
        <w:rPr>
          <w:rFonts w:hint="eastAsia" w:ascii="宋体" w:hAnsi="宋体" w:cs="宋体"/>
          <w:sz w:val="24"/>
          <w:highlight w:val="none"/>
        </w:rPr>
        <w:t>务费：</w:t>
      </w:r>
      <w:r>
        <w:rPr>
          <w:rFonts w:hint="eastAsia" w:ascii="宋体" w:hAnsi="宋体" w:cs="宋体"/>
          <w:b/>
          <w:bCs/>
          <w:sz w:val="24"/>
          <w:highlight w:val="none"/>
          <w:u w:val="single"/>
        </w:rPr>
        <w:t>人民币</w:t>
      </w:r>
      <w:r>
        <w:rPr>
          <w:rFonts w:hint="eastAsia" w:ascii="宋体" w:hAnsi="宋体" w:cs="宋体"/>
          <w:b/>
          <w:bCs/>
          <w:sz w:val="24"/>
          <w:highlight w:val="none"/>
          <w:u w:val="single"/>
          <w:lang w:val="en-US" w:eastAsia="zh-CN"/>
        </w:rPr>
        <w:t>29000</w:t>
      </w:r>
      <w:r>
        <w:rPr>
          <w:rFonts w:hint="eastAsia" w:ascii="宋体" w:hAnsi="宋体" w:cs="宋体"/>
          <w:b/>
          <w:bCs/>
          <w:sz w:val="24"/>
          <w:highlight w:val="none"/>
          <w:u w:val="single"/>
        </w:rPr>
        <w:t>元）</w:t>
      </w:r>
      <w:r>
        <w:rPr>
          <w:rFonts w:hint="eastAsia" w:ascii="宋体" w:hAnsi="宋体" w:cs="宋体"/>
          <w:sz w:val="24"/>
          <w:highlight w:val="none"/>
        </w:rPr>
        <w:t>，投标人须将此费用纳入投标报价中，招标人不另行支付。</w:t>
      </w:r>
    </w:p>
    <w:p w14:paraId="3540F56D">
      <w:pPr>
        <w:spacing w:line="520" w:lineRule="exact"/>
        <w:ind w:firstLine="480" w:firstLineChars="200"/>
        <w:rPr>
          <w:rFonts w:ascii="宋体" w:hAnsi="宋体" w:cs="宋体"/>
          <w:bCs/>
          <w:sz w:val="24"/>
        </w:rPr>
      </w:pPr>
      <w:r>
        <w:rPr>
          <w:rFonts w:hint="eastAsia" w:ascii="宋体" w:hAnsi="宋体" w:cs="宋体"/>
          <w:sz w:val="24"/>
        </w:rPr>
        <w:t>12.4</w:t>
      </w:r>
      <w:r>
        <w:rPr>
          <w:rFonts w:hint="eastAsia" w:ascii="宋体" w:hAnsi="宋体" w:cs="宋体"/>
          <w:bCs/>
          <w:sz w:val="24"/>
        </w:rPr>
        <w:t>其它费用处理</w:t>
      </w:r>
    </w:p>
    <w:p w14:paraId="143DC34E">
      <w:pPr>
        <w:spacing w:line="520" w:lineRule="exact"/>
        <w:ind w:firstLine="480" w:firstLineChars="200"/>
        <w:rPr>
          <w:rFonts w:ascii="宋体" w:hAnsi="宋体" w:cs="宋体"/>
          <w:bCs/>
          <w:sz w:val="24"/>
        </w:rPr>
      </w:pPr>
      <w:r>
        <w:rPr>
          <w:rFonts w:hint="eastAsia" w:ascii="宋体" w:hAnsi="宋体" w:cs="宋体"/>
          <w:bCs/>
          <w:sz w:val="24"/>
        </w:rPr>
        <w:t>招标文件未列明，而投标人认为必需的费用也需列入报价。</w:t>
      </w:r>
    </w:p>
    <w:p w14:paraId="25B623F9">
      <w:pPr>
        <w:spacing w:line="520" w:lineRule="exact"/>
        <w:ind w:firstLine="480" w:firstLineChars="200"/>
        <w:rPr>
          <w:rFonts w:ascii="宋体" w:hAnsi="宋体" w:cs="宋体"/>
          <w:bCs/>
          <w:sz w:val="24"/>
        </w:rPr>
      </w:pPr>
      <w:r>
        <w:rPr>
          <w:rFonts w:hint="eastAsia" w:ascii="宋体" w:hAnsi="宋体" w:cs="宋体"/>
          <w:sz w:val="24"/>
        </w:rPr>
        <w:t>12.5</w:t>
      </w:r>
      <w:r>
        <w:rPr>
          <w:rFonts w:hint="eastAsia" w:ascii="宋体" w:hAnsi="宋体" w:cs="宋体"/>
          <w:bCs/>
          <w:sz w:val="24"/>
        </w:rPr>
        <w:t>投标货币</w:t>
      </w:r>
    </w:p>
    <w:p w14:paraId="79F42D96">
      <w:pPr>
        <w:spacing w:line="520" w:lineRule="exact"/>
        <w:ind w:firstLine="480" w:firstLineChars="200"/>
        <w:rPr>
          <w:rFonts w:ascii="宋体" w:hAnsi="宋体" w:cs="宋体"/>
          <w:sz w:val="24"/>
          <w:lang w:val="zh-CN"/>
        </w:rPr>
      </w:pPr>
      <w:r>
        <w:rPr>
          <w:rFonts w:hint="eastAsia" w:ascii="宋体" w:hAnsi="宋体" w:cs="宋体"/>
          <w:bCs/>
          <w:sz w:val="24"/>
        </w:rPr>
        <w:t>投标文件中的货物单价和总价无特殊规定的采用人民币报价，以元为单位标注。</w:t>
      </w:r>
      <w:r>
        <w:rPr>
          <w:rFonts w:hint="eastAsia" w:ascii="宋体" w:hAnsi="宋体" w:cs="宋体"/>
          <w:sz w:val="24"/>
        </w:rPr>
        <w:t>招标文件中另有规定的按规定执行。</w:t>
      </w:r>
      <w:bookmarkStart w:id="101" w:name="_Toc14577359"/>
      <w:bookmarkStart w:id="102" w:name="_Toc49090510"/>
    </w:p>
    <w:p w14:paraId="706904A3">
      <w:pPr>
        <w:pStyle w:val="203"/>
        <w:spacing w:before="0" w:after="0" w:line="520" w:lineRule="exact"/>
        <w:ind w:firstLine="560" w:firstLineChars="200"/>
        <w:rPr>
          <w:rFonts w:ascii="宋体" w:hAnsi="宋体" w:eastAsia="宋体" w:cs="宋体"/>
          <w:b w:val="0"/>
          <w:bCs w:val="0"/>
        </w:rPr>
      </w:pPr>
      <w:r>
        <w:rPr>
          <w:rFonts w:hint="eastAsia" w:ascii="宋体" w:hAnsi="宋体" w:eastAsia="宋体" w:cs="宋体"/>
          <w:b w:val="0"/>
          <w:bCs w:val="0"/>
        </w:rPr>
        <w:t>13、投标函和开标一览表</w:t>
      </w:r>
    </w:p>
    <w:p w14:paraId="4938BD5E">
      <w:pPr>
        <w:spacing w:line="520" w:lineRule="exact"/>
        <w:ind w:firstLine="480" w:firstLineChars="200"/>
        <w:rPr>
          <w:rFonts w:ascii="宋体" w:hAnsi="宋体" w:cs="宋体"/>
          <w:sz w:val="24"/>
        </w:rPr>
      </w:pPr>
      <w:r>
        <w:rPr>
          <w:rFonts w:hint="eastAsia" w:ascii="宋体" w:hAnsi="宋体" w:cs="宋体"/>
          <w:bCs/>
          <w:sz w:val="24"/>
        </w:rPr>
        <w:t>13.1</w:t>
      </w:r>
      <w:r>
        <w:rPr>
          <w:rFonts w:hint="eastAsia" w:ascii="宋体" w:hAnsi="宋体" w:cs="宋体"/>
          <w:sz w:val="24"/>
        </w:rPr>
        <w:t xml:space="preserve"> 投标人应按照招标文件中提供的格式完整、正确填写投标函、开标一览表。</w:t>
      </w:r>
    </w:p>
    <w:p w14:paraId="7B8F2D03">
      <w:pPr>
        <w:spacing w:line="520" w:lineRule="exact"/>
        <w:ind w:firstLine="480" w:firstLineChars="200"/>
        <w:rPr>
          <w:rFonts w:ascii="宋体" w:hAnsi="宋体" w:cs="宋体"/>
          <w:bCs/>
          <w:sz w:val="24"/>
        </w:rPr>
      </w:pPr>
      <w:r>
        <w:rPr>
          <w:rFonts w:hint="eastAsia" w:ascii="宋体" w:hAnsi="宋体" w:cs="宋体"/>
          <w:bCs/>
          <w:sz w:val="24"/>
        </w:rPr>
        <w:t>13.2开标一览表中的价格应与投标分项报价表中的价格一致，如不一致，不作为无效投标处理，但评标时按开标一览表中价格为准。</w:t>
      </w:r>
      <w:bookmarkEnd w:id="101"/>
      <w:bookmarkEnd w:id="102"/>
      <w:bookmarkStart w:id="103" w:name="_Hlt26954850"/>
      <w:bookmarkEnd w:id="103"/>
      <w:bookmarkStart w:id="104" w:name="_Hlt26954734"/>
      <w:bookmarkEnd w:id="104"/>
      <w:bookmarkStart w:id="105" w:name="_Hlt26670489"/>
      <w:bookmarkEnd w:id="105"/>
      <w:bookmarkStart w:id="106" w:name="_Toc49090511"/>
      <w:bookmarkStart w:id="107" w:name="_Toc14577360"/>
    </w:p>
    <w:p w14:paraId="6D74098D">
      <w:pPr>
        <w:spacing w:line="520" w:lineRule="exact"/>
        <w:ind w:firstLine="560" w:firstLineChars="200"/>
        <w:rPr>
          <w:rFonts w:ascii="宋体" w:hAnsi="宋体" w:cs="宋体"/>
          <w:sz w:val="28"/>
          <w:szCs w:val="28"/>
        </w:rPr>
      </w:pPr>
      <w:r>
        <w:rPr>
          <w:rFonts w:hint="eastAsia" w:ascii="宋体" w:hAnsi="宋体" w:cs="宋体"/>
          <w:sz w:val="28"/>
          <w:szCs w:val="28"/>
        </w:rPr>
        <w:t>14、投标有效期</w:t>
      </w:r>
      <w:bookmarkEnd w:id="106"/>
      <w:bookmarkEnd w:id="107"/>
    </w:p>
    <w:p w14:paraId="408316E2">
      <w:pPr>
        <w:spacing w:line="520" w:lineRule="exact"/>
        <w:ind w:firstLine="480" w:firstLineChars="200"/>
        <w:rPr>
          <w:rFonts w:ascii="宋体" w:hAnsi="宋体" w:cs="宋体"/>
          <w:bCs/>
          <w:sz w:val="24"/>
        </w:rPr>
      </w:pPr>
      <w:r>
        <w:rPr>
          <w:rFonts w:hint="eastAsia" w:ascii="宋体" w:hAnsi="宋体" w:cs="宋体"/>
          <w:sz w:val="24"/>
        </w:rPr>
        <w:t>14.1</w:t>
      </w:r>
      <w:r>
        <w:rPr>
          <w:rFonts w:hint="eastAsia" w:ascii="宋体" w:hAnsi="宋体" w:cs="宋体"/>
          <w:bCs/>
          <w:sz w:val="24"/>
        </w:rPr>
        <w:t xml:space="preserve"> 投标有效期为开标之日后</w:t>
      </w:r>
      <w:r>
        <w:rPr>
          <w:rFonts w:hint="eastAsia" w:ascii="宋体" w:hAnsi="宋体" w:cs="宋体"/>
          <w:b/>
          <w:sz w:val="24"/>
          <w:u w:val="single"/>
        </w:rPr>
        <w:t>九十（90）天</w:t>
      </w:r>
      <w:r>
        <w:rPr>
          <w:rFonts w:hint="eastAsia" w:ascii="宋体" w:hAnsi="宋体" w:cs="宋体"/>
          <w:bCs/>
          <w:sz w:val="24"/>
        </w:rPr>
        <w:t>。投标有效期比规定短的将被视为非响应性投标而予以拒绝。</w:t>
      </w:r>
    </w:p>
    <w:p w14:paraId="0F0B10F1">
      <w:pPr>
        <w:spacing w:line="520" w:lineRule="exact"/>
        <w:ind w:firstLine="480" w:firstLineChars="200"/>
        <w:rPr>
          <w:rFonts w:ascii="宋体" w:hAnsi="宋体" w:cs="宋体"/>
          <w:bCs/>
          <w:sz w:val="24"/>
        </w:rPr>
      </w:pPr>
      <w:r>
        <w:rPr>
          <w:rFonts w:hint="eastAsia" w:ascii="宋体" w:hAnsi="宋体" w:cs="宋体"/>
          <w:sz w:val="24"/>
        </w:rPr>
        <w:t>14.2</w:t>
      </w:r>
      <w:r>
        <w:rPr>
          <w:rFonts w:hint="eastAsia" w:ascii="宋体" w:hAnsi="宋体" w:cs="宋体"/>
          <w:bCs/>
          <w:sz w:val="24"/>
        </w:rPr>
        <w:t xml:space="preserve"> 在特殊情况下，采购人（或采购代理机构）于原投标有效期满之前，可向投标人提出延长投标有效期的要求。这种要求与答复均应采用书面形式。投标人可以拒绝采购人（或采购代理机构）的这一要求而放弃投标</w:t>
      </w:r>
      <w:r>
        <w:rPr>
          <w:rFonts w:hint="eastAsia" w:ascii="宋体" w:hAnsi="宋体" w:cs="宋体"/>
          <w:sz w:val="24"/>
          <w:szCs w:val="24"/>
        </w:rPr>
        <w:t>。</w:t>
      </w:r>
      <w:r>
        <w:rPr>
          <w:rFonts w:hint="eastAsia" w:ascii="宋体" w:hAnsi="宋体" w:cs="宋体"/>
          <w:bCs/>
          <w:sz w:val="24"/>
        </w:rPr>
        <w:t>同意延长投标有效期的投标人既不能要求也不允许修改其投标文件。</w:t>
      </w:r>
    </w:p>
    <w:p w14:paraId="3FEDF0AB">
      <w:pPr>
        <w:pStyle w:val="201"/>
        <w:spacing w:before="0" w:after="0" w:line="520" w:lineRule="exact"/>
        <w:ind w:firstLine="643" w:firstLineChars="200"/>
        <w:rPr>
          <w:rFonts w:ascii="宋体" w:hAnsi="宋体" w:cs="宋体"/>
        </w:rPr>
      </w:pPr>
      <w:bookmarkStart w:id="108" w:name="_Hlt26954739"/>
      <w:bookmarkEnd w:id="108"/>
      <w:bookmarkStart w:id="109" w:name="_Hlt26954852"/>
      <w:bookmarkEnd w:id="109"/>
      <w:bookmarkStart w:id="110" w:name="_Toc16938540"/>
      <w:bookmarkStart w:id="111" w:name="_Toc513029224"/>
      <w:bookmarkStart w:id="112" w:name="_Toc20823296"/>
      <w:bookmarkStart w:id="113" w:name="_Toc120614217"/>
      <w:r>
        <w:rPr>
          <w:rFonts w:hint="eastAsia" w:ascii="宋体" w:hAnsi="宋体" w:cs="宋体"/>
        </w:rPr>
        <w:t>四、投标文件的编制与递交</w:t>
      </w:r>
      <w:bookmarkEnd w:id="110"/>
      <w:bookmarkEnd w:id="111"/>
      <w:bookmarkEnd w:id="112"/>
      <w:bookmarkEnd w:id="113"/>
    </w:p>
    <w:p w14:paraId="0E31DAEB">
      <w:pPr>
        <w:pStyle w:val="203"/>
        <w:spacing w:before="0" w:after="0" w:line="520" w:lineRule="exact"/>
        <w:ind w:firstLine="560" w:firstLineChars="200"/>
        <w:rPr>
          <w:rFonts w:ascii="宋体" w:hAnsi="宋体" w:eastAsia="宋体" w:cs="宋体"/>
          <w:b w:val="0"/>
          <w:bCs w:val="0"/>
        </w:rPr>
      </w:pPr>
      <w:bookmarkStart w:id="114" w:name="_Toc16938541"/>
      <w:bookmarkStart w:id="115" w:name="_Toc20823297"/>
      <w:bookmarkStart w:id="116" w:name="_Toc513029225"/>
      <w:bookmarkStart w:id="117" w:name="_Toc462564084"/>
      <w:r>
        <w:rPr>
          <w:rFonts w:hint="eastAsia" w:ascii="宋体" w:hAnsi="宋体" w:eastAsia="宋体" w:cs="宋体"/>
          <w:b w:val="0"/>
          <w:bCs w:val="0"/>
        </w:rPr>
        <w:t>16、</w:t>
      </w:r>
      <w:bookmarkEnd w:id="114"/>
      <w:bookmarkEnd w:id="115"/>
      <w:bookmarkEnd w:id="116"/>
      <w:bookmarkEnd w:id="117"/>
      <w:r>
        <w:rPr>
          <w:rFonts w:hint="eastAsia" w:ascii="宋体" w:hAnsi="宋体" w:eastAsia="宋体" w:cs="宋体"/>
          <w:b w:val="0"/>
          <w:bCs w:val="0"/>
        </w:rPr>
        <w:t>投标文件的编制与递交</w:t>
      </w:r>
    </w:p>
    <w:p w14:paraId="6F72B9BD">
      <w:pPr>
        <w:spacing w:line="520" w:lineRule="exact"/>
        <w:ind w:firstLine="482" w:firstLineChars="200"/>
        <w:rPr>
          <w:rFonts w:ascii="宋体" w:hAnsi="宋体" w:cs="宋体"/>
          <w:b/>
          <w:bCs/>
          <w:color w:val="000000"/>
          <w:sz w:val="24"/>
        </w:rPr>
      </w:pPr>
      <w:bookmarkStart w:id="118" w:name="_Toc513029226"/>
      <w:bookmarkStart w:id="119" w:name="_Toc20823298"/>
      <w:bookmarkStart w:id="120" w:name="_Toc16938542"/>
      <w:r>
        <w:rPr>
          <w:rFonts w:hint="eastAsia" w:ascii="宋体" w:hAnsi="宋体" w:cs="宋体"/>
          <w:b/>
          <w:bCs/>
          <w:color w:val="000000"/>
          <w:sz w:val="24"/>
        </w:rPr>
        <w:t>16.1投标文件的编制要求</w:t>
      </w:r>
    </w:p>
    <w:p w14:paraId="71E15203">
      <w:pPr>
        <w:widowControl/>
        <w:spacing w:line="520" w:lineRule="exact"/>
        <w:ind w:firstLine="480" w:firstLineChars="200"/>
        <w:jc w:val="left"/>
        <w:rPr>
          <w:rFonts w:ascii="宋体" w:hAnsi="宋体" w:cs="宋体"/>
          <w:color w:val="000000"/>
          <w:sz w:val="24"/>
        </w:rPr>
      </w:pPr>
      <w:r>
        <w:rPr>
          <w:rFonts w:hint="eastAsia" w:ascii="宋体" w:hAnsi="宋体" w:cs="宋体"/>
          <w:color w:val="000000"/>
          <w:sz w:val="24"/>
        </w:rPr>
        <w:t>16.1.1投标人应仔细阅读招标文件的所有内容，按招标文件的要求提供投标文件，并保证所提供的全部资料的真实性，以使其投标对招标文件作出实质性响应，否则，其投标可能被拒绝。</w:t>
      </w:r>
    </w:p>
    <w:p w14:paraId="1354138D">
      <w:pPr>
        <w:widowControl/>
        <w:tabs>
          <w:tab w:val="left" w:pos="7665"/>
        </w:tabs>
        <w:spacing w:line="520" w:lineRule="exact"/>
        <w:ind w:firstLine="480" w:firstLineChars="200"/>
        <w:jc w:val="left"/>
        <w:rPr>
          <w:rFonts w:ascii="宋体" w:hAnsi="宋体" w:cs="宋体"/>
          <w:color w:val="000000"/>
          <w:sz w:val="24"/>
        </w:rPr>
      </w:pPr>
      <w:r>
        <w:rPr>
          <w:rFonts w:hint="eastAsia" w:ascii="宋体" w:hAnsi="宋体" w:cs="宋体"/>
          <w:color w:val="000000"/>
          <w:sz w:val="24"/>
        </w:rPr>
        <w:t>16.1.2无论投标过程中的做法和结果如何，投标人自行承担所有与参加投标有关的全部费用。</w:t>
      </w:r>
    </w:p>
    <w:p w14:paraId="50DC09CA">
      <w:pPr>
        <w:widowControl/>
        <w:spacing w:line="520" w:lineRule="exact"/>
        <w:ind w:firstLine="480" w:firstLineChars="200"/>
        <w:jc w:val="left"/>
        <w:rPr>
          <w:rFonts w:ascii="宋体" w:hAnsi="宋体" w:cs="宋体"/>
          <w:color w:val="000000"/>
          <w:sz w:val="24"/>
        </w:rPr>
      </w:pPr>
      <w:r>
        <w:rPr>
          <w:rFonts w:hint="eastAsia" w:ascii="宋体" w:hAnsi="宋体" w:cs="宋体"/>
          <w:color w:val="000000"/>
          <w:sz w:val="24"/>
        </w:rPr>
        <w:t xml:space="preserve">16.2投标语言及计量单位。 </w:t>
      </w:r>
    </w:p>
    <w:p w14:paraId="7823CA5D">
      <w:pPr>
        <w:widowControl/>
        <w:spacing w:line="520" w:lineRule="exact"/>
        <w:ind w:firstLine="480" w:firstLineChars="200"/>
        <w:jc w:val="left"/>
        <w:rPr>
          <w:rFonts w:ascii="宋体" w:hAnsi="宋体" w:cs="宋体"/>
          <w:color w:val="000000"/>
          <w:sz w:val="24"/>
        </w:rPr>
      </w:pPr>
      <w:r>
        <w:rPr>
          <w:rFonts w:hint="eastAsia" w:ascii="宋体" w:hAnsi="宋体" w:cs="宋体"/>
          <w:color w:val="000000"/>
          <w:sz w:val="24"/>
        </w:rPr>
        <w:t>16.2.1投标文件以及投标人与采购单位就有关投标事宜的所有来往函电均应使用简体中文书写。</w:t>
      </w:r>
    </w:p>
    <w:p w14:paraId="4AE5F639">
      <w:pPr>
        <w:widowControl/>
        <w:spacing w:line="520" w:lineRule="exact"/>
        <w:ind w:firstLine="480" w:firstLineChars="200"/>
        <w:jc w:val="left"/>
        <w:rPr>
          <w:rFonts w:ascii="宋体" w:hAnsi="宋体" w:cs="宋体"/>
          <w:color w:val="000000"/>
          <w:sz w:val="24"/>
        </w:rPr>
      </w:pPr>
      <w:r>
        <w:rPr>
          <w:rFonts w:hint="eastAsia" w:ascii="宋体" w:hAnsi="宋体" w:cs="宋体"/>
          <w:color w:val="000000"/>
          <w:sz w:val="24"/>
        </w:rPr>
        <w:t>16.2.2关于投标计量单位，招标文件已有明确规定的，使用招标文件规定的计量单位；招标文件没有规定的，应采用中华人民共和国法定计量单位。</w:t>
      </w:r>
    </w:p>
    <w:p w14:paraId="0F495762">
      <w:pPr>
        <w:widowControl/>
        <w:spacing w:line="520" w:lineRule="exact"/>
        <w:ind w:firstLine="480" w:firstLineChars="200"/>
        <w:jc w:val="left"/>
        <w:rPr>
          <w:rFonts w:ascii="宋体" w:hAnsi="宋体" w:cs="宋体"/>
          <w:color w:val="000000"/>
          <w:sz w:val="24"/>
        </w:rPr>
      </w:pPr>
      <w:r>
        <w:rPr>
          <w:rFonts w:hint="eastAsia" w:ascii="宋体" w:hAnsi="宋体" w:cs="宋体"/>
          <w:color w:val="000000"/>
          <w:sz w:val="24"/>
        </w:rPr>
        <w:t>16.2.3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p>
    <w:p w14:paraId="59638D99">
      <w:pPr>
        <w:widowControl/>
        <w:spacing w:line="520" w:lineRule="exact"/>
        <w:ind w:firstLine="480" w:firstLineChars="200"/>
        <w:jc w:val="left"/>
        <w:rPr>
          <w:rFonts w:ascii="宋体" w:hAnsi="宋体" w:cs="宋体"/>
          <w:color w:val="000000"/>
          <w:sz w:val="24"/>
        </w:rPr>
      </w:pPr>
      <w:r>
        <w:rPr>
          <w:rFonts w:hint="eastAsia" w:ascii="宋体" w:hAnsi="宋体" w:cs="宋体"/>
          <w:color w:val="000000"/>
          <w:sz w:val="24"/>
        </w:rPr>
        <w:t>16.2.4翻译的中文文件与外文文件如果出现差异和矛盾时，以中文为准。但不能故意错误翻译，否则，投标人的投标文件将作为无效投标处理。</w:t>
      </w:r>
    </w:p>
    <w:p w14:paraId="6E8D9A45">
      <w:pPr>
        <w:widowControl/>
        <w:spacing w:line="520" w:lineRule="exact"/>
        <w:ind w:firstLine="480" w:firstLineChars="200"/>
        <w:jc w:val="left"/>
        <w:rPr>
          <w:rFonts w:ascii="宋体" w:hAnsi="宋体" w:cs="宋体"/>
          <w:color w:val="000000"/>
          <w:sz w:val="24"/>
        </w:rPr>
      </w:pPr>
      <w:r>
        <w:rPr>
          <w:rFonts w:hint="eastAsia" w:ascii="宋体" w:hAnsi="宋体" w:cs="宋体"/>
          <w:color w:val="000000"/>
          <w:sz w:val="24"/>
        </w:rPr>
        <w:t>16.3投标文件其他要求</w:t>
      </w:r>
    </w:p>
    <w:p w14:paraId="21FF57DD">
      <w:pPr>
        <w:widowControl/>
        <w:spacing w:line="520" w:lineRule="exact"/>
        <w:ind w:firstLine="480" w:firstLineChars="200"/>
        <w:jc w:val="left"/>
        <w:rPr>
          <w:rFonts w:ascii="宋体" w:hAnsi="宋体" w:cs="宋体"/>
          <w:color w:val="000000"/>
          <w:sz w:val="24"/>
        </w:rPr>
      </w:pPr>
      <w:r>
        <w:rPr>
          <w:rFonts w:hint="eastAsia" w:ascii="宋体" w:hAnsi="宋体" w:cs="宋体"/>
          <w:color w:val="000000"/>
          <w:sz w:val="24"/>
        </w:rPr>
        <w:t>16.3.1投标人应当对招标文件提出的实质性要求和条件作出实质性响应，并在投标文件中逐条应答。</w:t>
      </w:r>
    </w:p>
    <w:p w14:paraId="527CE6B1">
      <w:pPr>
        <w:spacing w:line="520" w:lineRule="exact"/>
        <w:ind w:firstLine="480" w:firstLineChars="200"/>
        <w:rPr>
          <w:rFonts w:hint="eastAsia" w:ascii="宋体" w:hAnsi="宋体" w:cs="宋体"/>
          <w:color w:val="000000"/>
          <w:sz w:val="24"/>
        </w:rPr>
      </w:pPr>
      <w:r>
        <w:rPr>
          <w:rFonts w:hint="eastAsia" w:ascii="宋体" w:hAnsi="宋体" w:cs="宋体"/>
          <w:color w:val="000000"/>
          <w:sz w:val="24"/>
        </w:rPr>
        <w:t>16.3.2投标人在投标截止时间前可以对所递交的投标文件进行补充、修改或者撤回，并书面通知采购人或者采购代理机构。补充、修改的内容应当按照招标文件要求签署、盖章、密封后，作为投标文件的组成部分。</w:t>
      </w:r>
    </w:p>
    <w:p w14:paraId="268F77C1">
      <w:pPr>
        <w:spacing w:line="520" w:lineRule="exact"/>
        <w:ind w:firstLine="482" w:firstLineChars="200"/>
      </w:pPr>
      <w:r>
        <w:rPr>
          <w:rFonts w:hint="eastAsia" w:ascii="宋体" w:hAnsi="宋体" w:eastAsia="宋体" w:cs="宋体"/>
          <w:b/>
          <w:bCs/>
          <w:color w:val="auto"/>
          <w:sz w:val="24"/>
          <w:szCs w:val="21"/>
        </w:rPr>
        <w:t>16.3.3</w:t>
      </w:r>
      <w:r>
        <w:rPr>
          <w:rFonts w:hint="eastAsia" w:ascii="宋体" w:hAnsi="宋体" w:eastAsia="宋体" w:cs="宋体"/>
          <w:b/>
          <w:bCs/>
          <w:color w:val="auto"/>
          <w:sz w:val="24"/>
          <w:szCs w:val="21"/>
          <w:highlight w:val="none"/>
          <w:u w:val="none"/>
        </w:rPr>
        <w:t>投标文件须装订成册，正本</w:t>
      </w:r>
      <w:r>
        <w:rPr>
          <w:rFonts w:hint="eastAsia" w:ascii="宋体" w:hAnsi="宋体" w:eastAsia="宋体" w:cs="宋体"/>
          <w:b/>
          <w:bCs/>
          <w:color w:val="auto"/>
          <w:sz w:val="24"/>
          <w:szCs w:val="21"/>
          <w:highlight w:val="none"/>
          <w:u w:val="none"/>
          <w:lang w:val="en-US" w:eastAsia="zh-CN"/>
        </w:rPr>
        <w:t>1</w:t>
      </w:r>
      <w:r>
        <w:rPr>
          <w:rFonts w:hint="eastAsia" w:ascii="宋体" w:hAnsi="宋体" w:eastAsia="宋体" w:cs="宋体"/>
          <w:b/>
          <w:bCs/>
          <w:color w:val="auto"/>
          <w:sz w:val="24"/>
          <w:szCs w:val="21"/>
          <w:highlight w:val="none"/>
          <w:u w:val="none"/>
        </w:rPr>
        <w:t>份、副本</w:t>
      </w:r>
      <w:r>
        <w:rPr>
          <w:rFonts w:hint="eastAsia" w:ascii="宋体" w:hAnsi="宋体" w:eastAsia="宋体" w:cs="宋体"/>
          <w:b/>
          <w:bCs/>
          <w:color w:val="auto"/>
          <w:sz w:val="24"/>
          <w:szCs w:val="21"/>
          <w:highlight w:val="none"/>
          <w:u w:val="none"/>
          <w:lang w:val="en-US" w:eastAsia="zh-CN"/>
        </w:rPr>
        <w:t>4</w:t>
      </w:r>
      <w:r>
        <w:rPr>
          <w:rFonts w:hint="eastAsia" w:ascii="宋体" w:hAnsi="宋体" w:eastAsia="宋体" w:cs="宋体"/>
          <w:b/>
          <w:bCs/>
          <w:color w:val="auto"/>
          <w:sz w:val="24"/>
          <w:szCs w:val="21"/>
          <w:highlight w:val="none"/>
          <w:u w:val="none"/>
        </w:rPr>
        <w:t>份</w:t>
      </w:r>
      <w:r>
        <w:rPr>
          <w:rFonts w:hint="eastAsia" w:ascii="宋体" w:hAnsi="宋体" w:eastAsia="宋体" w:cs="宋体"/>
          <w:b/>
          <w:bCs/>
          <w:color w:val="auto"/>
          <w:sz w:val="24"/>
          <w:szCs w:val="21"/>
          <w:highlight w:val="none"/>
          <w:u w:val="none"/>
          <w:lang w:eastAsia="zh-CN"/>
        </w:rPr>
        <w:t>。</w:t>
      </w:r>
      <w:r>
        <w:rPr>
          <w:rFonts w:hint="eastAsia" w:ascii="宋体" w:hAnsi="宋体" w:eastAsia="宋体" w:cs="宋体"/>
          <w:b/>
          <w:bCs/>
          <w:color w:val="000000"/>
          <w:sz w:val="24"/>
          <w:szCs w:val="24"/>
          <w:highlight w:val="none"/>
          <w:u w:val="none"/>
        </w:rPr>
        <w:t>装入投标文件封袋</w:t>
      </w:r>
      <w:r>
        <w:rPr>
          <w:rFonts w:hint="eastAsia" w:ascii="宋体" w:hAnsi="宋体" w:eastAsia="宋体" w:cs="宋体"/>
          <w:b/>
          <w:bCs/>
          <w:color w:val="000000"/>
          <w:sz w:val="24"/>
          <w:szCs w:val="24"/>
          <w:highlight w:val="none"/>
          <w:u w:val="none"/>
          <w:lang w:val="en-US" w:eastAsia="zh-CN"/>
        </w:rPr>
        <w:t>并</w:t>
      </w:r>
      <w:r>
        <w:rPr>
          <w:rFonts w:hint="eastAsia" w:ascii="宋体" w:hAnsi="宋体" w:eastAsia="宋体" w:cs="宋体"/>
          <w:b/>
          <w:bCs/>
          <w:color w:val="000000"/>
          <w:sz w:val="24"/>
          <w:szCs w:val="24"/>
          <w:highlight w:val="none"/>
          <w:u w:val="none"/>
        </w:rPr>
        <w:t>密封</w:t>
      </w:r>
      <w:r>
        <w:rPr>
          <w:rFonts w:hint="eastAsia" w:ascii="宋体" w:hAnsi="宋体" w:eastAsia="宋体" w:cs="宋体"/>
          <w:b/>
          <w:bCs/>
          <w:color w:val="auto"/>
          <w:sz w:val="24"/>
          <w:highlight w:val="none"/>
          <w:u w:val="none"/>
        </w:rPr>
        <w:t>提交</w:t>
      </w:r>
      <w:r>
        <w:rPr>
          <w:rFonts w:hint="eastAsia" w:ascii="宋体" w:hAnsi="宋体" w:eastAsia="宋体" w:cs="宋体"/>
          <w:b/>
          <w:bCs/>
          <w:color w:val="auto"/>
          <w:sz w:val="24"/>
          <w:highlight w:val="none"/>
          <w:u w:val="none"/>
          <w:lang w:val="en-US" w:eastAsia="zh-CN"/>
        </w:rPr>
        <w:t>至</w:t>
      </w:r>
      <w:r>
        <w:rPr>
          <w:rFonts w:hint="eastAsia" w:ascii="宋体" w:hAnsi="宋体" w:eastAsia="宋体" w:cs="宋体"/>
          <w:b/>
          <w:bCs/>
          <w:color w:val="auto"/>
          <w:sz w:val="24"/>
          <w:highlight w:val="none"/>
          <w:u w:val="none"/>
        </w:rPr>
        <w:t>指定开标地点</w:t>
      </w:r>
      <w:r>
        <w:rPr>
          <w:rFonts w:hint="eastAsia" w:ascii="宋体" w:hAnsi="宋体" w:eastAsia="宋体" w:cs="宋体"/>
          <w:b/>
          <w:bCs/>
          <w:color w:val="auto"/>
          <w:sz w:val="24"/>
          <w:highlight w:val="none"/>
          <w:u w:val="none"/>
          <w:lang w:eastAsia="zh-CN"/>
        </w:rPr>
        <w:t>。</w:t>
      </w:r>
    </w:p>
    <w:p w14:paraId="0F892F21">
      <w:pPr>
        <w:pStyle w:val="203"/>
        <w:spacing w:before="0" w:after="0" w:line="520" w:lineRule="exact"/>
        <w:ind w:firstLine="560" w:firstLineChars="200"/>
        <w:rPr>
          <w:rFonts w:ascii="宋体" w:hAnsi="宋体" w:eastAsia="宋体" w:cs="宋体"/>
          <w:b w:val="0"/>
          <w:bCs w:val="0"/>
        </w:rPr>
      </w:pPr>
      <w:r>
        <w:rPr>
          <w:rFonts w:hint="eastAsia" w:ascii="宋体" w:hAnsi="宋体" w:eastAsia="宋体" w:cs="宋体"/>
          <w:b w:val="0"/>
          <w:bCs w:val="0"/>
        </w:rPr>
        <w:t>17、投标截止日期</w:t>
      </w:r>
      <w:bookmarkEnd w:id="118"/>
      <w:bookmarkEnd w:id="119"/>
      <w:bookmarkEnd w:id="120"/>
    </w:p>
    <w:p w14:paraId="5C761A0F">
      <w:pPr>
        <w:spacing w:line="520" w:lineRule="exact"/>
        <w:ind w:firstLine="480" w:firstLineChars="200"/>
        <w:rPr>
          <w:rFonts w:ascii="宋体" w:hAnsi="宋体" w:cs="宋体"/>
          <w:bCs/>
          <w:sz w:val="24"/>
        </w:rPr>
      </w:pPr>
      <w:r>
        <w:rPr>
          <w:rFonts w:hint="eastAsia" w:ascii="宋体" w:hAnsi="宋体" w:cs="宋体"/>
          <w:sz w:val="24"/>
        </w:rPr>
        <w:t>17.1</w:t>
      </w:r>
      <w:r>
        <w:rPr>
          <w:rFonts w:hint="eastAsia" w:ascii="宋体" w:hAnsi="宋体" w:cs="宋体"/>
          <w:bCs/>
          <w:sz w:val="24"/>
        </w:rPr>
        <w:t xml:space="preserve"> 采购人（或采购代理机构）有权通过修改招标文件酌情延长投标截止日期，在此情况下，投标人的所有权利和义务以及投标人受制的截止日期均应以延长后新的截止日期为准。</w:t>
      </w:r>
    </w:p>
    <w:p w14:paraId="6CE407A3">
      <w:pPr>
        <w:pStyle w:val="203"/>
        <w:spacing w:before="0" w:after="0" w:line="520" w:lineRule="exact"/>
        <w:ind w:firstLine="560" w:firstLineChars="200"/>
        <w:rPr>
          <w:rFonts w:ascii="宋体" w:hAnsi="宋体" w:eastAsia="宋体" w:cs="宋体"/>
          <w:b w:val="0"/>
          <w:bCs w:val="0"/>
        </w:rPr>
      </w:pPr>
      <w:bookmarkStart w:id="121" w:name="_Toc16938543"/>
      <w:bookmarkStart w:id="122" w:name="_Toc513029227"/>
      <w:bookmarkStart w:id="123" w:name="_Toc20823299"/>
      <w:r>
        <w:rPr>
          <w:rFonts w:hint="eastAsia" w:ascii="宋体" w:hAnsi="宋体" w:eastAsia="宋体" w:cs="宋体"/>
          <w:b w:val="0"/>
          <w:bCs w:val="0"/>
        </w:rPr>
        <w:t>18、迟交的投标文件</w:t>
      </w:r>
      <w:bookmarkEnd w:id="121"/>
      <w:bookmarkEnd w:id="122"/>
      <w:bookmarkEnd w:id="123"/>
    </w:p>
    <w:p w14:paraId="77979A24">
      <w:pPr>
        <w:spacing w:line="520" w:lineRule="exact"/>
        <w:ind w:firstLine="480" w:firstLineChars="200"/>
        <w:rPr>
          <w:rFonts w:ascii="宋体" w:hAnsi="宋体" w:cs="宋体"/>
          <w:bCs/>
          <w:sz w:val="24"/>
        </w:rPr>
      </w:pPr>
      <w:r>
        <w:rPr>
          <w:rFonts w:hint="eastAsia" w:ascii="宋体" w:hAnsi="宋体" w:cs="宋体"/>
          <w:sz w:val="24"/>
        </w:rPr>
        <w:t>18.1</w:t>
      </w:r>
      <w:r>
        <w:rPr>
          <w:rFonts w:hint="eastAsia" w:ascii="宋体" w:hAnsi="宋体" w:cs="宋体"/>
          <w:bCs/>
          <w:sz w:val="24"/>
        </w:rPr>
        <w:t>采购人（或采购代理机构）拒绝接收在其规定的投标截止时间后递交的任何投标文件。</w:t>
      </w:r>
    </w:p>
    <w:p w14:paraId="1B289269">
      <w:pPr>
        <w:pStyle w:val="203"/>
        <w:spacing w:before="0" w:after="0" w:line="520" w:lineRule="exact"/>
        <w:ind w:firstLine="560" w:firstLineChars="200"/>
        <w:rPr>
          <w:rFonts w:ascii="宋体" w:hAnsi="宋体" w:eastAsia="宋体" w:cs="宋体"/>
          <w:b w:val="0"/>
          <w:bCs w:val="0"/>
        </w:rPr>
      </w:pPr>
      <w:bookmarkStart w:id="124" w:name="_Toc20823300"/>
      <w:bookmarkStart w:id="125" w:name="_Toc16938544"/>
      <w:bookmarkStart w:id="126" w:name="_Toc513029228"/>
      <w:r>
        <w:rPr>
          <w:rFonts w:hint="eastAsia" w:ascii="宋体" w:hAnsi="宋体" w:eastAsia="宋体" w:cs="宋体"/>
          <w:b w:val="0"/>
          <w:bCs w:val="0"/>
        </w:rPr>
        <w:t>19、投标文件的修改和撤回</w:t>
      </w:r>
      <w:bookmarkEnd w:id="124"/>
      <w:bookmarkEnd w:id="125"/>
      <w:bookmarkEnd w:id="126"/>
    </w:p>
    <w:p w14:paraId="1815E499">
      <w:pPr>
        <w:widowControl/>
        <w:spacing w:line="520" w:lineRule="exact"/>
        <w:ind w:firstLine="480" w:firstLineChars="200"/>
        <w:jc w:val="left"/>
        <w:rPr>
          <w:rFonts w:ascii="宋体" w:hAnsi="宋体" w:cs="宋体"/>
          <w:color w:val="000000"/>
          <w:sz w:val="24"/>
        </w:rPr>
      </w:pPr>
      <w:bookmarkStart w:id="127" w:name="_Toc513029229"/>
      <w:bookmarkStart w:id="128" w:name="_Toc16938545"/>
      <w:bookmarkStart w:id="129" w:name="_Toc20823301"/>
      <w:bookmarkStart w:id="130" w:name="_Toc120614218"/>
      <w:r>
        <w:rPr>
          <w:rFonts w:hint="eastAsia" w:ascii="宋体" w:hAnsi="宋体" w:cs="宋体"/>
          <w:color w:val="000000"/>
          <w:sz w:val="24"/>
        </w:rPr>
        <w:t>19.1投标文件的撤回</w:t>
      </w:r>
    </w:p>
    <w:p w14:paraId="458AFCF0">
      <w:pPr>
        <w:widowControl/>
        <w:spacing w:line="520" w:lineRule="exact"/>
        <w:ind w:firstLine="480" w:firstLineChars="200"/>
        <w:jc w:val="left"/>
        <w:rPr>
          <w:rFonts w:ascii="宋体" w:hAnsi="宋体" w:cs="宋体"/>
          <w:color w:val="000000"/>
          <w:sz w:val="24"/>
        </w:rPr>
      </w:pPr>
      <w:r>
        <w:rPr>
          <w:rFonts w:hint="eastAsia" w:ascii="宋体" w:hAnsi="宋体" w:cs="宋体"/>
          <w:color w:val="000000"/>
          <w:sz w:val="24"/>
        </w:rPr>
        <w:t>19.1.1投标文件的撤回</w:t>
      </w:r>
    </w:p>
    <w:p w14:paraId="21106C39">
      <w:pPr>
        <w:widowControl/>
        <w:spacing w:line="520" w:lineRule="exact"/>
        <w:ind w:firstLine="480" w:firstLineChars="200"/>
        <w:jc w:val="left"/>
        <w:rPr>
          <w:rFonts w:ascii="宋体" w:hAnsi="宋体" w:cs="宋体"/>
          <w:color w:val="000000"/>
          <w:sz w:val="24"/>
        </w:rPr>
      </w:pPr>
      <w:r>
        <w:rPr>
          <w:rFonts w:hint="eastAsia" w:ascii="宋体" w:hAnsi="宋体" w:cs="宋体"/>
          <w:color w:val="000000"/>
          <w:sz w:val="24"/>
        </w:rPr>
        <w:t>投标人可在投标截止时间前，撤回其投标文件。</w:t>
      </w:r>
    </w:p>
    <w:p w14:paraId="5909E6D3">
      <w:pPr>
        <w:widowControl/>
        <w:spacing w:line="520" w:lineRule="exact"/>
        <w:ind w:firstLine="480" w:firstLineChars="200"/>
        <w:jc w:val="left"/>
        <w:rPr>
          <w:rFonts w:ascii="宋体" w:hAnsi="宋体" w:cs="宋体"/>
          <w:color w:val="000000"/>
          <w:sz w:val="24"/>
        </w:rPr>
      </w:pPr>
      <w:r>
        <w:rPr>
          <w:rFonts w:hint="eastAsia" w:ascii="宋体" w:hAnsi="宋体" w:cs="宋体"/>
          <w:color w:val="000000"/>
          <w:sz w:val="24"/>
        </w:rPr>
        <w:t>19.1.2投标人撤回投标文件，则认为其不再参与本项目投标活动。</w:t>
      </w:r>
    </w:p>
    <w:p w14:paraId="4971412E">
      <w:pPr>
        <w:widowControl/>
        <w:spacing w:line="520" w:lineRule="exact"/>
        <w:ind w:firstLine="480" w:firstLineChars="200"/>
        <w:jc w:val="left"/>
        <w:rPr>
          <w:rFonts w:ascii="宋体" w:hAnsi="宋体" w:cs="宋体"/>
          <w:color w:val="000000"/>
          <w:sz w:val="24"/>
        </w:rPr>
      </w:pPr>
      <w:r>
        <w:rPr>
          <w:rFonts w:hint="eastAsia" w:ascii="宋体" w:hAnsi="宋体" w:cs="宋体"/>
          <w:color w:val="000000"/>
          <w:sz w:val="24"/>
        </w:rPr>
        <w:t>19.2 投标文件的修改</w:t>
      </w:r>
    </w:p>
    <w:p w14:paraId="522C1E95">
      <w:pPr>
        <w:widowControl/>
        <w:spacing w:line="520" w:lineRule="exact"/>
        <w:ind w:firstLine="480" w:firstLineChars="200"/>
        <w:jc w:val="left"/>
        <w:rPr>
          <w:rFonts w:ascii="宋体" w:hAnsi="宋体" w:cs="宋体"/>
          <w:color w:val="000000"/>
          <w:sz w:val="24"/>
        </w:rPr>
      </w:pPr>
      <w:r>
        <w:rPr>
          <w:rFonts w:hint="eastAsia" w:ascii="宋体" w:hAnsi="宋体" w:cs="宋体"/>
          <w:color w:val="000000"/>
          <w:sz w:val="24"/>
        </w:rPr>
        <w:t>投标人可在投标截止时间前，对其投标文件进行修改。</w:t>
      </w:r>
    </w:p>
    <w:p w14:paraId="1D9437DC">
      <w:pPr>
        <w:widowControl/>
        <w:spacing w:line="520" w:lineRule="exact"/>
        <w:ind w:firstLine="480" w:firstLineChars="200"/>
        <w:jc w:val="left"/>
        <w:rPr>
          <w:rFonts w:ascii="宋体" w:hAnsi="宋体" w:cs="宋体"/>
          <w:color w:val="000000"/>
          <w:sz w:val="24"/>
        </w:rPr>
      </w:pPr>
      <w:r>
        <w:rPr>
          <w:rFonts w:hint="eastAsia" w:ascii="宋体" w:hAnsi="宋体" w:cs="宋体"/>
          <w:color w:val="000000"/>
          <w:sz w:val="24"/>
        </w:rPr>
        <w:t>19.3 在投标截止时间之后，投标人不得对其投标文件作任何修改。</w:t>
      </w:r>
    </w:p>
    <w:p w14:paraId="685B4B9E">
      <w:pPr>
        <w:widowControl/>
        <w:spacing w:line="520" w:lineRule="exact"/>
        <w:ind w:firstLine="480" w:firstLineChars="200"/>
        <w:jc w:val="left"/>
        <w:rPr>
          <w:rFonts w:ascii="宋体" w:hAnsi="宋体" w:cs="宋体"/>
          <w:color w:val="000000"/>
          <w:sz w:val="24"/>
        </w:rPr>
      </w:pPr>
      <w:r>
        <w:rPr>
          <w:rFonts w:hint="eastAsia" w:ascii="宋体" w:hAnsi="宋体" w:cs="宋体"/>
          <w:color w:val="000000"/>
          <w:sz w:val="24"/>
        </w:rPr>
        <w:t>19.4 在投标截止时间至招标文件中规定的投标有效期满之间的这段时间内，投标人不得撤回其投标。</w:t>
      </w:r>
    </w:p>
    <w:p w14:paraId="28B38348">
      <w:pPr>
        <w:pStyle w:val="201"/>
        <w:spacing w:before="0" w:after="0" w:line="520" w:lineRule="exact"/>
        <w:ind w:firstLine="643" w:firstLineChars="200"/>
        <w:rPr>
          <w:rFonts w:ascii="宋体" w:hAnsi="宋体" w:cs="宋体"/>
        </w:rPr>
      </w:pPr>
      <w:r>
        <w:rPr>
          <w:rFonts w:hint="eastAsia" w:ascii="宋体" w:hAnsi="宋体" w:cs="宋体"/>
        </w:rPr>
        <w:t>五、开标与评标</w:t>
      </w:r>
      <w:bookmarkEnd w:id="127"/>
      <w:bookmarkEnd w:id="128"/>
      <w:bookmarkEnd w:id="129"/>
      <w:bookmarkEnd w:id="130"/>
    </w:p>
    <w:p w14:paraId="5734B472">
      <w:pPr>
        <w:pStyle w:val="203"/>
        <w:spacing w:before="0" w:after="0" w:line="520" w:lineRule="exact"/>
        <w:ind w:firstLine="560" w:firstLineChars="200"/>
        <w:rPr>
          <w:rFonts w:ascii="宋体" w:hAnsi="宋体" w:eastAsia="宋体" w:cs="宋体"/>
          <w:b w:val="0"/>
          <w:bCs w:val="0"/>
        </w:rPr>
      </w:pPr>
      <w:bookmarkStart w:id="131" w:name="_Toc16938546"/>
      <w:bookmarkStart w:id="132" w:name="_Toc20823302"/>
      <w:bookmarkStart w:id="133" w:name="_Toc513029230"/>
      <w:r>
        <w:rPr>
          <w:rFonts w:hint="eastAsia" w:ascii="宋体" w:hAnsi="宋体" w:eastAsia="宋体" w:cs="宋体"/>
          <w:b w:val="0"/>
          <w:bCs w:val="0"/>
        </w:rPr>
        <w:t>20、开标</w:t>
      </w:r>
      <w:bookmarkEnd w:id="131"/>
      <w:bookmarkEnd w:id="132"/>
      <w:bookmarkEnd w:id="133"/>
    </w:p>
    <w:p w14:paraId="6DDCA624">
      <w:pPr>
        <w:widowControl/>
        <w:spacing w:line="520" w:lineRule="exact"/>
        <w:ind w:firstLine="472" w:firstLineChars="200"/>
        <w:jc w:val="left"/>
        <w:rPr>
          <w:rFonts w:ascii="宋体" w:hAnsi="宋体" w:cs="宋体"/>
          <w:color w:val="000000"/>
          <w:sz w:val="24"/>
          <w:lang w:val="zh-CN"/>
        </w:rPr>
      </w:pPr>
      <w:bookmarkStart w:id="134" w:name="_Toc16938547"/>
      <w:bookmarkStart w:id="135" w:name="_Toc513029231"/>
      <w:bookmarkStart w:id="136" w:name="_Toc20823303"/>
      <w:r>
        <w:rPr>
          <w:rFonts w:hint="eastAsia" w:ascii="宋体" w:hAnsi="宋体" w:cs="宋体"/>
          <w:color w:val="000000"/>
          <w:spacing w:val="-2"/>
          <w:sz w:val="24"/>
        </w:rPr>
        <w:t>20.1开标时，《开标一览表》</w:t>
      </w:r>
      <w:r>
        <w:rPr>
          <w:rFonts w:hint="eastAsia" w:ascii="宋体" w:hAnsi="宋体" w:cs="宋体"/>
          <w:color w:val="000000"/>
          <w:sz w:val="24"/>
          <w:lang w:val="zh-CN"/>
        </w:rPr>
        <w:t>（报价表）内容与投标文件中相应内容不一致的，以《开标一览表》（报价表）为准。</w:t>
      </w:r>
    </w:p>
    <w:p w14:paraId="2AB29BE8">
      <w:pPr>
        <w:widowControl/>
        <w:spacing w:line="520" w:lineRule="exact"/>
        <w:ind w:firstLine="480" w:firstLineChars="200"/>
        <w:jc w:val="left"/>
        <w:rPr>
          <w:rFonts w:ascii="宋体" w:hAnsi="宋体" w:cs="宋体"/>
          <w:color w:val="000000"/>
          <w:sz w:val="24"/>
          <w:lang w:val="zh-CN"/>
        </w:rPr>
      </w:pPr>
      <w:r>
        <w:rPr>
          <w:rFonts w:hint="eastAsia" w:ascii="宋体" w:hAnsi="宋体" w:cs="宋体"/>
          <w:color w:val="000000"/>
          <w:sz w:val="24"/>
        </w:rPr>
        <w:t>20</w:t>
      </w:r>
      <w:r>
        <w:rPr>
          <w:rFonts w:hint="eastAsia" w:ascii="宋体" w:hAnsi="宋体" w:cs="宋体"/>
          <w:color w:val="000000"/>
          <w:sz w:val="24"/>
          <w:lang w:val="zh-CN"/>
        </w:rPr>
        <w:t>.</w:t>
      </w:r>
      <w:r>
        <w:rPr>
          <w:rFonts w:hint="eastAsia" w:ascii="宋体" w:hAnsi="宋体" w:cs="宋体"/>
          <w:color w:val="000000"/>
          <w:sz w:val="24"/>
        </w:rPr>
        <w:t xml:space="preserve">2 </w:t>
      </w:r>
      <w:r>
        <w:rPr>
          <w:rFonts w:hint="eastAsia" w:ascii="宋体" w:hAnsi="宋体" w:cs="宋体"/>
          <w:color w:val="000000"/>
          <w:sz w:val="24"/>
          <w:lang w:val="zh-CN"/>
        </w:rPr>
        <w:t>投标文件、《开标一览表》（报价表）中报价的大写金额与小写金额不一致的，以大写金额为准。</w:t>
      </w:r>
    </w:p>
    <w:p w14:paraId="0AE07356">
      <w:pPr>
        <w:widowControl/>
        <w:spacing w:line="520" w:lineRule="exact"/>
        <w:ind w:firstLine="480" w:firstLineChars="200"/>
        <w:jc w:val="left"/>
        <w:rPr>
          <w:rFonts w:ascii="宋体" w:hAnsi="宋体" w:cs="宋体"/>
          <w:color w:val="000000"/>
          <w:sz w:val="24"/>
          <w:lang w:val="zh-CN"/>
        </w:rPr>
      </w:pPr>
      <w:r>
        <w:rPr>
          <w:rFonts w:hint="eastAsia" w:ascii="宋体" w:hAnsi="宋体" w:cs="宋体"/>
          <w:color w:val="000000"/>
          <w:sz w:val="24"/>
        </w:rPr>
        <w:t>20</w:t>
      </w:r>
      <w:r>
        <w:rPr>
          <w:rFonts w:hint="eastAsia" w:ascii="宋体" w:hAnsi="宋体" w:cs="宋体"/>
          <w:color w:val="000000"/>
          <w:sz w:val="24"/>
          <w:lang w:val="zh-CN"/>
        </w:rPr>
        <w:t>.</w:t>
      </w:r>
      <w:r>
        <w:rPr>
          <w:rFonts w:hint="eastAsia" w:ascii="宋体" w:hAnsi="宋体" w:cs="宋体"/>
          <w:color w:val="000000"/>
          <w:sz w:val="24"/>
        </w:rPr>
        <w:t xml:space="preserve">3 </w:t>
      </w:r>
      <w:r>
        <w:rPr>
          <w:rFonts w:hint="eastAsia" w:ascii="宋体" w:hAnsi="宋体" w:cs="宋体"/>
          <w:color w:val="000000"/>
          <w:sz w:val="24"/>
          <w:lang w:val="zh-CN"/>
        </w:rPr>
        <w:t>单价金额小数点或者百分比有明显错位的，以《开标一览表》（报价表）的总价为准，并修改单价；</w:t>
      </w:r>
    </w:p>
    <w:p w14:paraId="7997248E">
      <w:pPr>
        <w:widowControl/>
        <w:spacing w:line="520" w:lineRule="exact"/>
        <w:ind w:firstLine="480" w:firstLineChars="200"/>
        <w:jc w:val="left"/>
        <w:rPr>
          <w:rFonts w:ascii="宋体" w:hAnsi="宋体" w:cs="宋体"/>
          <w:color w:val="000000"/>
          <w:sz w:val="24"/>
          <w:lang w:val="zh-CN"/>
        </w:rPr>
      </w:pPr>
      <w:r>
        <w:rPr>
          <w:rFonts w:hint="eastAsia" w:ascii="宋体" w:hAnsi="宋体" w:cs="宋体"/>
          <w:color w:val="000000"/>
          <w:sz w:val="24"/>
        </w:rPr>
        <w:t>20</w:t>
      </w:r>
      <w:r>
        <w:rPr>
          <w:rFonts w:hint="eastAsia" w:ascii="宋体" w:hAnsi="宋体" w:cs="宋体"/>
          <w:color w:val="000000"/>
          <w:sz w:val="24"/>
          <w:lang w:val="zh-CN"/>
        </w:rPr>
        <w:t>.4</w:t>
      </w:r>
      <w:r>
        <w:rPr>
          <w:rFonts w:hint="eastAsia" w:ascii="宋体" w:hAnsi="宋体" w:cs="宋体"/>
          <w:color w:val="000000"/>
          <w:sz w:val="24"/>
        </w:rPr>
        <w:t xml:space="preserve"> </w:t>
      </w:r>
      <w:r>
        <w:rPr>
          <w:rFonts w:hint="eastAsia" w:ascii="宋体" w:hAnsi="宋体" w:cs="宋体"/>
          <w:color w:val="000000"/>
          <w:sz w:val="24"/>
          <w:lang w:val="zh-CN"/>
        </w:rPr>
        <w:t>总价金额与按单价汇总金额不一致的，以单价金额计算结果为准；</w:t>
      </w:r>
    </w:p>
    <w:p w14:paraId="27C9A444">
      <w:pPr>
        <w:widowControl/>
        <w:spacing w:line="520" w:lineRule="exact"/>
        <w:ind w:firstLine="480" w:firstLineChars="200"/>
        <w:jc w:val="left"/>
        <w:rPr>
          <w:rFonts w:ascii="宋体" w:hAnsi="宋体" w:cs="宋体"/>
          <w:color w:val="000000"/>
          <w:sz w:val="24"/>
          <w:lang w:val="zh-CN"/>
        </w:rPr>
      </w:pPr>
      <w:r>
        <w:rPr>
          <w:rFonts w:hint="eastAsia" w:ascii="宋体" w:hAnsi="宋体" w:cs="宋体"/>
          <w:color w:val="000000"/>
          <w:sz w:val="24"/>
        </w:rPr>
        <w:t>20</w:t>
      </w:r>
      <w:r>
        <w:rPr>
          <w:rFonts w:hint="eastAsia" w:ascii="宋体" w:hAnsi="宋体" w:cs="宋体"/>
          <w:color w:val="000000"/>
          <w:sz w:val="24"/>
          <w:lang w:val="zh-CN"/>
        </w:rPr>
        <w:t>.5修正后的报价由法定代表人</w:t>
      </w:r>
      <w:r>
        <w:rPr>
          <w:rFonts w:hint="eastAsia" w:ascii="宋体" w:hAnsi="宋体" w:cs="宋体"/>
          <w:color w:val="000000"/>
          <w:sz w:val="24"/>
        </w:rPr>
        <w:t>/单位负责人</w:t>
      </w:r>
      <w:r>
        <w:rPr>
          <w:rFonts w:hint="eastAsia" w:ascii="宋体" w:hAnsi="宋体" w:cs="宋体"/>
          <w:color w:val="000000"/>
          <w:sz w:val="24"/>
          <w:lang w:val="zh-CN"/>
        </w:rPr>
        <w:t>或其授权的代表签字确认后产生约束力，投标人不确认的，投标无效。</w:t>
      </w:r>
    </w:p>
    <w:p w14:paraId="2C0DCC7E">
      <w:pPr>
        <w:widowControl/>
        <w:spacing w:line="520" w:lineRule="exact"/>
        <w:ind w:firstLine="480" w:firstLineChars="200"/>
        <w:jc w:val="left"/>
        <w:rPr>
          <w:rFonts w:ascii="宋体" w:hAnsi="宋体" w:cs="宋体"/>
          <w:color w:val="000000"/>
          <w:sz w:val="24"/>
          <w:lang w:val="zh-CN"/>
        </w:rPr>
      </w:pPr>
      <w:r>
        <w:rPr>
          <w:rFonts w:hint="eastAsia" w:ascii="宋体" w:hAnsi="宋体" w:cs="宋体"/>
          <w:color w:val="000000"/>
          <w:sz w:val="24"/>
        </w:rPr>
        <w:t>20</w:t>
      </w:r>
      <w:r>
        <w:rPr>
          <w:rFonts w:hint="eastAsia" w:ascii="宋体" w:hAnsi="宋体" w:cs="宋体"/>
          <w:color w:val="000000"/>
          <w:sz w:val="24"/>
          <w:lang w:val="zh-CN"/>
        </w:rPr>
        <w:t>.6</w:t>
      </w:r>
      <w:r>
        <w:rPr>
          <w:rFonts w:hint="eastAsia" w:ascii="宋体" w:hAnsi="宋体" w:cs="宋体"/>
          <w:color w:val="000000"/>
          <w:sz w:val="24"/>
        </w:rPr>
        <w:t xml:space="preserve"> </w:t>
      </w:r>
      <w:r>
        <w:rPr>
          <w:rFonts w:hint="eastAsia" w:ascii="宋体" w:hAnsi="宋体" w:cs="宋体"/>
          <w:color w:val="000000"/>
          <w:sz w:val="24"/>
          <w:lang w:val="zh-CN"/>
        </w:rPr>
        <w:t>对不同文字文本投标文件的解释发生异议的，以中文文本为准。</w:t>
      </w:r>
    </w:p>
    <w:p w14:paraId="73782125">
      <w:pPr>
        <w:spacing w:line="520" w:lineRule="exact"/>
        <w:ind w:firstLine="480" w:firstLineChars="200"/>
        <w:rPr>
          <w:rFonts w:ascii="宋体" w:hAnsi="宋体" w:cs="宋体"/>
          <w:sz w:val="24"/>
        </w:rPr>
      </w:pPr>
      <w:r>
        <w:rPr>
          <w:rFonts w:hint="eastAsia" w:ascii="宋体" w:hAnsi="宋体" w:cs="宋体"/>
          <w:sz w:val="24"/>
        </w:rPr>
        <w:t xml:space="preserve">20.7 </w:t>
      </w:r>
      <w:r>
        <w:rPr>
          <w:rFonts w:hint="eastAsia" w:ascii="宋体" w:hAnsi="宋体" w:cs="宋体"/>
          <w:bCs/>
          <w:sz w:val="24"/>
        </w:rPr>
        <w:t>投标人未参加开标的，视同认可开标结果。</w:t>
      </w:r>
    </w:p>
    <w:p w14:paraId="0A2ACB3B">
      <w:pPr>
        <w:pStyle w:val="203"/>
        <w:spacing w:before="0" w:after="0" w:line="520" w:lineRule="exact"/>
        <w:ind w:firstLine="560" w:firstLineChars="200"/>
        <w:rPr>
          <w:rFonts w:ascii="宋体" w:hAnsi="宋体" w:eastAsia="宋体" w:cs="宋体"/>
          <w:b w:val="0"/>
          <w:bCs w:val="0"/>
        </w:rPr>
      </w:pPr>
      <w:r>
        <w:rPr>
          <w:rFonts w:hint="eastAsia" w:ascii="宋体" w:hAnsi="宋体" w:eastAsia="宋体" w:cs="宋体"/>
          <w:b w:val="0"/>
          <w:bCs w:val="0"/>
        </w:rPr>
        <w:t>21、资格审查</w:t>
      </w:r>
    </w:p>
    <w:p w14:paraId="2E5382CE">
      <w:pPr>
        <w:spacing w:line="520" w:lineRule="exact"/>
        <w:ind w:firstLine="480" w:firstLineChars="200"/>
        <w:rPr>
          <w:rFonts w:ascii="宋体" w:hAnsi="宋体" w:cs="宋体"/>
          <w:bCs/>
          <w:sz w:val="24"/>
        </w:rPr>
      </w:pPr>
      <w:r>
        <w:rPr>
          <w:rFonts w:hint="eastAsia" w:ascii="宋体" w:hAnsi="宋体" w:cs="宋体"/>
          <w:sz w:val="24"/>
          <w:szCs w:val="24"/>
        </w:rPr>
        <w:t>21.1</w:t>
      </w:r>
      <w:r>
        <w:rPr>
          <w:rFonts w:hint="eastAsia" w:ascii="宋体" w:hAnsi="宋体" w:cs="宋体"/>
          <w:bCs/>
          <w:sz w:val="24"/>
        </w:rPr>
        <w:t>依据法律法规和招标文件的约定，开标结束后，由采购人对投标文件中的资格证明文件进行审查。资格审查的结论，采购人以书面形式向评委会进行反馈。未通过资格审查的投标人，由采购人告知未通过资格审查的原因。</w:t>
      </w:r>
    </w:p>
    <w:p w14:paraId="5CDCD650">
      <w:pPr>
        <w:spacing w:line="520" w:lineRule="exact"/>
        <w:ind w:firstLine="480" w:firstLineChars="200"/>
        <w:rPr>
          <w:rFonts w:ascii="宋体" w:hAnsi="宋体" w:cs="宋体"/>
          <w:bCs/>
          <w:sz w:val="24"/>
        </w:rPr>
      </w:pPr>
      <w:r>
        <w:rPr>
          <w:rFonts w:hint="eastAsia" w:ascii="宋体" w:hAnsi="宋体" w:cs="宋体"/>
          <w:bCs/>
          <w:sz w:val="24"/>
        </w:rPr>
        <w:t>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p>
    <w:p w14:paraId="6805B873">
      <w:pPr>
        <w:spacing w:line="520" w:lineRule="exact"/>
        <w:ind w:firstLine="480" w:firstLineChars="200"/>
        <w:rPr>
          <w:rFonts w:ascii="宋体" w:hAnsi="宋体" w:cs="宋体"/>
          <w:bCs/>
          <w:sz w:val="24"/>
        </w:rPr>
      </w:pPr>
      <w:r>
        <w:rPr>
          <w:rFonts w:hint="eastAsia" w:ascii="宋体" w:hAnsi="宋体" w:cs="宋体"/>
          <w:bCs/>
          <w:sz w:val="24"/>
        </w:rPr>
        <w:t>接受联合体的项目，两个以上的自然人、法人或者其他组织组成一个联合体，以一个供应商的身份共同参加政府采购活动的,联合体成员存在不良信用记录的，视同联合体存在不良信用记录。</w:t>
      </w:r>
    </w:p>
    <w:p w14:paraId="728D36C5">
      <w:pPr>
        <w:widowControl/>
        <w:spacing w:line="520" w:lineRule="exact"/>
        <w:ind w:firstLine="480" w:firstLineChars="200"/>
        <w:jc w:val="left"/>
        <w:rPr>
          <w:rFonts w:ascii="宋体" w:hAnsi="宋体" w:cs="宋体"/>
          <w:sz w:val="24"/>
          <w:szCs w:val="24"/>
        </w:rPr>
      </w:pPr>
      <w:r>
        <w:rPr>
          <w:rFonts w:hint="eastAsia" w:ascii="宋体" w:hAnsi="宋体" w:cs="宋体"/>
          <w:sz w:val="24"/>
          <w:szCs w:val="24"/>
        </w:rPr>
        <w:t>合格投标人不足3家的，不得评标。</w:t>
      </w:r>
    </w:p>
    <w:p w14:paraId="05A92591">
      <w:pPr>
        <w:pStyle w:val="203"/>
        <w:spacing w:before="0" w:after="0" w:line="520" w:lineRule="exact"/>
        <w:ind w:firstLine="560" w:firstLineChars="200"/>
        <w:rPr>
          <w:rFonts w:ascii="宋体" w:hAnsi="宋体" w:eastAsia="宋体" w:cs="宋体"/>
          <w:b w:val="0"/>
          <w:bCs w:val="0"/>
        </w:rPr>
      </w:pPr>
      <w:r>
        <w:rPr>
          <w:rFonts w:hint="eastAsia" w:ascii="宋体" w:hAnsi="宋体" w:eastAsia="宋体" w:cs="宋体"/>
          <w:b w:val="0"/>
          <w:bCs w:val="0"/>
        </w:rPr>
        <w:t>22、评标委员会</w:t>
      </w:r>
    </w:p>
    <w:p w14:paraId="286602CB">
      <w:pPr>
        <w:spacing w:line="520" w:lineRule="exact"/>
        <w:ind w:firstLine="480" w:firstLineChars="200"/>
        <w:rPr>
          <w:rFonts w:ascii="宋体" w:hAnsi="宋体" w:cs="宋体"/>
          <w:b/>
          <w:sz w:val="24"/>
          <w:szCs w:val="24"/>
        </w:rPr>
      </w:pPr>
      <w:r>
        <w:rPr>
          <w:rFonts w:hint="eastAsia" w:ascii="宋体" w:hAnsi="宋体" w:cs="宋体"/>
          <w:sz w:val="24"/>
          <w:szCs w:val="24"/>
        </w:rPr>
        <w:t>22.1</w:t>
      </w:r>
      <w:r>
        <w:rPr>
          <w:rFonts w:hint="eastAsia" w:ascii="宋体" w:hAnsi="宋体" w:cs="宋体"/>
          <w:b/>
          <w:sz w:val="24"/>
          <w:szCs w:val="24"/>
        </w:rPr>
        <w:t xml:space="preserve"> </w:t>
      </w:r>
      <w:r>
        <w:rPr>
          <w:rFonts w:hint="eastAsia" w:ascii="宋体" w:hAnsi="宋体" w:cs="宋体"/>
          <w:sz w:val="24"/>
          <w:szCs w:val="24"/>
        </w:rPr>
        <w:t>资格审查通过后，</w:t>
      </w:r>
      <w:r>
        <w:rPr>
          <w:rFonts w:hint="eastAsia" w:ascii="宋体" w:hAnsi="宋体" w:cs="宋体"/>
          <w:bCs/>
          <w:sz w:val="24"/>
        </w:rPr>
        <w:t>采购人（或采购代理机构）</w:t>
      </w:r>
      <w:r>
        <w:rPr>
          <w:rFonts w:hint="eastAsia" w:ascii="宋体" w:hAnsi="宋体" w:cs="宋体"/>
          <w:sz w:val="24"/>
          <w:szCs w:val="24"/>
        </w:rPr>
        <w:t>将组织评标委员会（以下简称评委会）进行评标。</w:t>
      </w:r>
    </w:p>
    <w:p w14:paraId="2BBC71AF">
      <w:pPr>
        <w:spacing w:line="520" w:lineRule="exact"/>
        <w:ind w:firstLine="480" w:firstLineChars="200"/>
        <w:rPr>
          <w:rFonts w:ascii="宋体" w:hAnsi="宋体" w:cs="宋体"/>
          <w:sz w:val="24"/>
          <w:szCs w:val="24"/>
        </w:rPr>
      </w:pPr>
      <w:r>
        <w:rPr>
          <w:rFonts w:hint="eastAsia" w:ascii="宋体" w:hAnsi="宋体" w:cs="宋体"/>
          <w:sz w:val="24"/>
          <w:szCs w:val="24"/>
        </w:rPr>
        <w:t>22.2 评委会由采购人代表和有关技术、经济等方面的专家组成，且人员构成符合政府采购有关规定。</w:t>
      </w:r>
    </w:p>
    <w:p w14:paraId="0D137EA4">
      <w:pPr>
        <w:spacing w:line="520" w:lineRule="exact"/>
        <w:ind w:firstLine="480" w:firstLineChars="200"/>
        <w:rPr>
          <w:rFonts w:ascii="宋体" w:hAnsi="宋体" w:cs="宋体"/>
          <w:sz w:val="24"/>
          <w:szCs w:val="24"/>
        </w:rPr>
      </w:pPr>
      <w:r>
        <w:rPr>
          <w:rFonts w:hint="eastAsia" w:ascii="宋体" w:hAnsi="宋体" w:cs="宋体"/>
          <w:sz w:val="24"/>
          <w:szCs w:val="24"/>
        </w:rPr>
        <w:t>22.3评委会独立工作，负责评审所有投标文件并确定中标侯选人。</w:t>
      </w:r>
    </w:p>
    <w:p w14:paraId="080F1A06">
      <w:pPr>
        <w:pStyle w:val="203"/>
        <w:spacing w:before="0" w:after="0" w:line="520" w:lineRule="exact"/>
        <w:ind w:firstLine="560" w:firstLineChars="200"/>
        <w:rPr>
          <w:rFonts w:ascii="宋体" w:hAnsi="宋体" w:eastAsia="宋体" w:cs="宋体"/>
          <w:b w:val="0"/>
          <w:bCs w:val="0"/>
        </w:rPr>
      </w:pPr>
      <w:r>
        <w:rPr>
          <w:rFonts w:hint="eastAsia" w:ascii="宋体" w:hAnsi="宋体" w:eastAsia="宋体" w:cs="宋体"/>
          <w:b w:val="0"/>
          <w:bCs w:val="0"/>
        </w:rPr>
        <w:t>23、评标过程的保密与公正</w:t>
      </w:r>
    </w:p>
    <w:bookmarkEnd w:id="134"/>
    <w:bookmarkEnd w:id="135"/>
    <w:bookmarkEnd w:id="136"/>
    <w:p w14:paraId="17675022">
      <w:pPr>
        <w:spacing w:line="520" w:lineRule="exact"/>
        <w:ind w:firstLine="480" w:firstLineChars="200"/>
        <w:rPr>
          <w:rFonts w:ascii="宋体" w:hAnsi="宋体" w:cs="宋体"/>
          <w:bCs/>
          <w:sz w:val="24"/>
        </w:rPr>
      </w:pPr>
      <w:r>
        <w:rPr>
          <w:rFonts w:hint="eastAsia" w:ascii="宋体" w:hAnsi="宋体" w:cs="宋体"/>
          <w:sz w:val="24"/>
        </w:rPr>
        <w:t>23.1</w:t>
      </w:r>
      <w:r>
        <w:rPr>
          <w:rFonts w:hint="eastAsia" w:ascii="宋体" w:hAnsi="宋体" w:cs="宋体"/>
          <w:bCs/>
          <w:sz w:val="24"/>
        </w:rPr>
        <w:t>公开开标后，直至签订合同之日止，凡是与审查、澄清、评价和比较投标的有关资料以及授标建议等，采购人、评委、采购代理机构均不得向投标人或与评标无关的其他人员透露。</w:t>
      </w:r>
    </w:p>
    <w:p w14:paraId="1B5D5397">
      <w:pPr>
        <w:spacing w:line="520" w:lineRule="exact"/>
        <w:ind w:firstLine="480" w:firstLineChars="200"/>
        <w:rPr>
          <w:rFonts w:ascii="宋体" w:hAnsi="宋体" w:cs="宋体"/>
          <w:sz w:val="24"/>
          <w:szCs w:val="24"/>
        </w:rPr>
      </w:pPr>
      <w:r>
        <w:rPr>
          <w:rFonts w:hint="eastAsia" w:ascii="宋体" w:hAnsi="宋体" w:cs="宋体"/>
          <w:sz w:val="24"/>
        </w:rPr>
        <w:t>23.2</w:t>
      </w:r>
      <w:r>
        <w:rPr>
          <w:rFonts w:hint="eastAsia" w:ascii="宋体" w:hAnsi="宋体" w:cs="宋体"/>
          <w:sz w:val="24"/>
          <w:szCs w:val="24"/>
        </w:rPr>
        <w:t>在评标过程中，投标人不得以任何行为影响评标过程，否则其投标文件将被作为无效投标文件。</w:t>
      </w:r>
    </w:p>
    <w:p w14:paraId="5D7FD8B9">
      <w:pPr>
        <w:spacing w:line="520" w:lineRule="exact"/>
        <w:ind w:firstLine="480" w:firstLineChars="200"/>
        <w:rPr>
          <w:rFonts w:ascii="宋体" w:hAnsi="宋体" w:cs="宋体"/>
          <w:sz w:val="24"/>
          <w:szCs w:val="24"/>
        </w:rPr>
      </w:pPr>
      <w:r>
        <w:rPr>
          <w:rFonts w:hint="eastAsia" w:ascii="宋体" w:hAnsi="宋体" w:cs="宋体"/>
          <w:sz w:val="24"/>
        </w:rPr>
        <w:t>23.3</w:t>
      </w:r>
      <w:r>
        <w:rPr>
          <w:rFonts w:hint="eastAsia" w:ascii="宋体" w:hAnsi="宋体" w:cs="宋体"/>
          <w:sz w:val="24"/>
          <w:szCs w:val="24"/>
        </w:rPr>
        <w:t>在评标期间，</w:t>
      </w:r>
      <w:r>
        <w:rPr>
          <w:rFonts w:hint="eastAsia" w:ascii="宋体" w:hAnsi="宋体" w:cs="宋体"/>
          <w:bCs/>
          <w:sz w:val="24"/>
        </w:rPr>
        <w:t>采购人（或采购代理机构）</w:t>
      </w:r>
      <w:r>
        <w:rPr>
          <w:rFonts w:hint="eastAsia" w:ascii="宋体" w:hAnsi="宋体" w:cs="宋体"/>
          <w:sz w:val="24"/>
          <w:szCs w:val="24"/>
        </w:rPr>
        <w:t>将设专门人员与投标人联系。</w:t>
      </w:r>
    </w:p>
    <w:p w14:paraId="584A46EE">
      <w:pPr>
        <w:spacing w:line="520" w:lineRule="exact"/>
        <w:ind w:firstLine="480" w:firstLineChars="200"/>
        <w:rPr>
          <w:rFonts w:ascii="宋体" w:hAnsi="宋体" w:cs="宋体"/>
          <w:sz w:val="24"/>
          <w:szCs w:val="24"/>
        </w:rPr>
      </w:pPr>
      <w:r>
        <w:rPr>
          <w:rFonts w:hint="eastAsia" w:ascii="宋体" w:hAnsi="宋体" w:cs="宋体"/>
          <w:sz w:val="24"/>
          <w:szCs w:val="24"/>
        </w:rPr>
        <w:t xml:space="preserve">23.4 </w:t>
      </w:r>
      <w:r>
        <w:rPr>
          <w:rFonts w:hint="eastAsia" w:ascii="宋体" w:hAnsi="宋体" w:cs="宋体"/>
          <w:bCs/>
          <w:sz w:val="24"/>
        </w:rPr>
        <w:t>采购人、采购代理机构</w:t>
      </w:r>
      <w:r>
        <w:rPr>
          <w:rFonts w:hint="eastAsia" w:ascii="宋体" w:hAnsi="宋体" w:cs="宋体"/>
          <w:sz w:val="24"/>
          <w:szCs w:val="24"/>
        </w:rPr>
        <w:t>和评标委员会不向落标的投标人解释未中标原因，也不公布评标过程中的相关细节。</w:t>
      </w:r>
    </w:p>
    <w:p w14:paraId="03928A14">
      <w:pPr>
        <w:spacing w:line="520" w:lineRule="exact"/>
        <w:ind w:firstLine="480" w:firstLineChars="200"/>
        <w:rPr>
          <w:rFonts w:ascii="宋体" w:hAnsi="宋体" w:cs="宋体"/>
          <w:sz w:val="24"/>
          <w:szCs w:val="24"/>
        </w:rPr>
      </w:pPr>
      <w:r>
        <w:rPr>
          <w:rFonts w:hint="eastAsia" w:ascii="宋体" w:hAnsi="宋体" w:cs="宋体"/>
          <w:sz w:val="24"/>
          <w:szCs w:val="24"/>
        </w:rPr>
        <w:t>23.5 如本项目采用经评审的最低价法，未中标的投标人如需了解自己的评审得分及排序情况，可向采购人提出申请。</w:t>
      </w:r>
    </w:p>
    <w:p w14:paraId="0B13AE29">
      <w:pPr>
        <w:pStyle w:val="203"/>
        <w:spacing w:before="0" w:after="0" w:line="520" w:lineRule="exact"/>
        <w:ind w:firstLine="560" w:firstLineChars="200"/>
        <w:rPr>
          <w:rFonts w:ascii="宋体" w:hAnsi="宋体" w:eastAsia="宋体" w:cs="宋体"/>
          <w:b w:val="0"/>
          <w:bCs w:val="0"/>
        </w:rPr>
      </w:pPr>
      <w:bookmarkStart w:id="137" w:name="_Toc513029232"/>
      <w:bookmarkStart w:id="138" w:name="_Toc20823304"/>
      <w:bookmarkStart w:id="139" w:name="_Toc16938548"/>
      <w:r>
        <w:rPr>
          <w:rFonts w:hint="eastAsia" w:ascii="宋体" w:hAnsi="宋体" w:eastAsia="宋体" w:cs="宋体"/>
          <w:b w:val="0"/>
          <w:bCs w:val="0"/>
        </w:rPr>
        <w:t>24、投标的澄清</w:t>
      </w:r>
      <w:bookmarkEnd w:id="137"/>
      <w:bookmarkEnd w:id="138"/>
      <w:bookmarkEnd w:id="139"/>
    </w:p>
    <w:p w14:paraId="46A47CB5">
      <w:pPr>
        <w:spacing w:line="520" w:lineRule="exact"/>
        <w:ind w:firstLine="480" w:firstLineChars="200"/>
        <w:rPr>
          <w:rFonts w:ascii="宋体" w:hAnsi="宋体" w:cs="宋体"/>
          <w:sz w:val="24"/>
          <w:szCs w:val="24"/>
        </w:rPr>
      </w:pPr>
      <w:r>
        <w:rPr>
          <w:rFonts w:hint="eastAsia" w:ascii="宋体" w:hAnsi="宋体" w:cs="宋体"/>
          <w:sz w:val="24"/>
          <w:szCs w:val="24"/>
        </w:rPr>
        <w:t>24.1评标期间，为有助于对投标文件的审查、评价和比较，评委会有权以书面形式要求投标人对其投标文件进行澄清，但并非对每个投标人都作澄清要求。</w:t>
      </w:r>
    </w:p>
    <w:p w14:paraId="1284ACF8">
      <w:pPr>
        <w:spacing w:line="520" w:lineRule="exact"/>
        <w:ind w:firstLine="480" w:firstLineChars="200"/>
        <w:rPr>
          <w:rFonts w:ascii="宋体" w:hAnsi="宋体" w:cs="宋体"/>
          <w:sz w:val="24"/>
          <w:szCs w:val="24"/>
        </w:rPr>
      </w:pPr>
      <w:r>
        <w:rPr>
          <w:rFonts w:hint="eastAsia" w:ascii="宋体" w:hAnsi="宋体" w:cs="宋体"/>
          <w:sz w:val="24"/>
          <w:szCs w:val="24"/>
        </w:rPr>
        <w:t>24.2接到评委会澄清要求的投标人应派人按评委会通知的时间和地点做出书面澄清，书面澄清的内容须由投标人法人或授权代表签署，并作为投标文件的补充部分，但投标的价格和实质性的内容不得做任何更改。</w:t>
      </w:r>
    </w:p>
    <w:p w14:paraId="460FC805">
      <w:pPr>
        <w:spacing w:line="520" w:lineRule="exact"/>
        <w:ind w:firstLine="480" w:firstLineChars="200"/>
        <w:rPr>
          <w:rFonts w:ascii="宋体" w:hAnsi="宋体" w:cs="宋体"/>
          <w:sz w:val="24"/>
          <w:szCs w:val="24"/>
        </w:rPr>
      </w:pPr>
      <w:r>
        <w:rPr>
          <w:rFonts w:hint="eastAsia" w:ascii="宋体" w:hAnsi="宋体" w:cs="宋体"/>
          <w:sz w:val="24"/>
          <w:szCs w:val="24"/>
        </w:rPr>
        <w:t>24.3 接到评委会澄清要求的投标人如未按规定做出澄清，其风险由投标人自行承担。</w:t>
      </w:r>
    </w:p>
    <w:p w14:paraId="63D3A6C7">
      <w:pPr>
        <w:pStyle w:val="203"/>
        <w:spacing w:before="0" w:after="0" w:line="520" w:lineRule="exact"/>
        <w:ind w:firstLine="560" w:firstLineChars="200"/>
        <w:rPr>
          <w:rFonts w:ascii="宋体" w:hAnsi="宋体" w:eastAsia="宋体" w:cs="宋体"/>
          <w:b w:val="0"/>
          <w:bCs w:val="0"/>
        </w:rPr>
      </w:pPr>
      <w:bookmarkStart w:id="140" w:name="_Toc16938549"/>
      <w:bookmarkStart w:id="141" w:name="_Toc513029233"/>
      <w:bookmarkStart w:id="142" w:name="_Toc20823305"/>
      <w:r>
        <w:rPr>
          <w:rFonts w:hint="eastAsia" w:ascii="宋体" w:hAnsi="宋体" w:eastAsia="宋体" w:cs="宋体"/>
          <w:b w:val="0"/>
          <w:bCs w:val="0"/>
        </w:rPr>
        <w:t>25、对投标文件的评审</w:t>
      </w:r>
      <w:bookmarkEnd w:id="140"/>
      <w:bookmarkEnd w:id="141"/>
      <w:bookmarkEnd w:id="142"/>
    </w:p>
    <w:p w14:paraId="687D88BC">
      <w:pPr>
        <w:spacing w:line="520" w:lineRule="exact"/>
        <w:ind w:firstLine="480" w:firstLineChars="200"/>
        <w:rPr>
          <w:rFonts w:ascii="宋体" w:hAnsi="宋体" w:cs="宋体"/>
          <w:bCs/>
          <w:sz w:val="24"/>
        </w:rPr>
      </w:pPr>
      <w:r>
        <w:rPr>
          <w:rFonts w:hint="eastAsia" w:ascii="宋体" w:hAnsi="宋体" w:cs="宋体"/>
          <w:sz w:val="24"/>
        </w:rPr>
        <w:t>25.1</w:t>
      </w:r>
      <w:r>
        <w:rPr>
          <w:rFonts w:hint="eastAsia" w:ascii="宋体" w:hAnsi="宋体" w:cs="宋体"/>
          <w:bCs/>
          <w:sz w:val="24"/>
        </w:rPr>
        <w:t>符合性检查：依据招标文件的规定，从投标文件的有效性、完整性和对招标文件的响应程度进行审查，以确定是否对招标文件的实质性要求作出响应。</w:t>
      </w:r>
    </w:p>
    <w:p w14:paraId="51FC6AD0">
      <w:pPr>
        <w:spacing w:line="520" w:lineRule="exact"/>
        <w:ind w:firstLine="480" w:firstLineChars="200"/>
        <w:rPr>
          <w:rFonts w:ascii="宋体" w:hAnsi="宋体" w:cs="宋体"/>
          <w:sz w:val="24"/>
          <w:szCs w:val="24"/>
        </w:rPr>
      </w:pPr>
      <w:r>
        <w:rPr>
          <w:rFonts w:hint="eastAsia" w:ascii="宋体" w:hAnsi="宋体" w:cs="宋体"/>
          <w:sz w:val="24"/>
        </w:rPr>
        <w:t>25.2</w:t>
      </w:r>
      <w:r>
        <w:rPr>
          <w:rFonts w:hint="eastAsia" w:ascii="宋体" w:hAnsi="宋体" w:cs="宋体"/>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7F9723BA">
      <w:pPr>
        <w:spacing w:line="520" w:lineRule="exact"/>
        <w:ind w:firstLine="480" w:firstLineChars="200"/>
        <w:rPr>
          <w:rFonts w:ascii="宋体" w:hAnsi="宋体" w:cs="宋体"/>
          <w:bCs/>
          <w:sz w:val="24"/>
        </w:rPr>
      </w:pPr>
      <w:r>
        <w:rPr>
          <w:rFonts w:hint="eastAsia" w:ascii="宋体" w:hAnsi="宋体" w:cs="宋体"/>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cs="宋体"/>
          <w:bCs/>
          <w:sz w:val="24"/>
        </w:rPr>
        <w:t>评委决定投标文件的响应性只根据投标文件本身的内容，而不寻求外部的证据。</w:t>
      </w:r>
    </w:p>
    <w:p w14:paraId="6981173E">
      <w:pPr>
        <w:spacing w:line="520" w:lineRule="exact"/>
        <w:ind w:firstLine="480" w:firstLineChars="200"/>
        <w:rPr>
          <w:rFonts w:ascii="宋体" w:hAnsi="宋体" w:cs="宋体"/>
          <w:bCs/>
          <w:sz w:val="24"/>
        </w:rPr>
      </w:pPr>
      <w:r>
        <w:rPr>
          <w:rFonts w:hint="eastAsia" w:ascii="宋体" w:hAnsi="宋体" w:cs="宋体"/>
          <w:sz w:val="24"/>
        </w:rPr>
        <w:t>25.3</w:t>
      </w:r>
      <w:r>
        <w:rPr>
          <w:rFonts w:hint="eastAsia" w:ascii="宋体" w:hAnsi="宋体" w:cs="宋体"/>
          <w:bCs/>
          <w:sz w:val="24"/>
        </w:rPr>
        <w:t>如果投标文件实质上没有响应招标文件的要求，评委会将按无效投标处理，投标人不得通过修改或撤销不合要求的偏离或保留而使其投标成为实质性响应的投标。</w:t>
      </w:r>
    </w:p>
    <w:p w14:paraId="12F016E9">
      <w:pPr>
        <w:spacing w:line="520" w:lineRule="exact"/>
        <w:ind w:firstLine="480" w:firstLineChars="200"/>
        <w:rPr>
          <w:rFonts w:ascii="宋体" w:hAnsi="宋体" w:cs="宋体"/>
          <w:bCs/>
          <w:sz w:val="24"/>
        </w:rPr>
      </w:pPr>
      <w:r>
        <w:rPr>
          <w:rFonts w:hint="eastAsia" w:ascii="宋体" w:hAnsi="宋体" w:cs="宋体"/>
          <w:sz w:val="24"/>
        </w:rPr>
        <w:t>25.4</w:t>
      </w:r>
      <w:r>
        <w:rPr>
          <w:rFonts w:hint="eastAsia" w:ascii="宋体" w:hAnsi="宋体" w:cs="宋体"/>
          <w:bCs/>
          <w:sz w:val="24"/>
        </w:rPr>
        <w:t>评委会将对确定为实质性响应的投标进行进一步审核，看其是否有计算上或累加上的算术错误，修正错误的原则如下：</w:t>
      </w:r>
    </w:p>
    <w:p w14:paraId="20DF38A5">
      <w:pPr>
        <w:spacing w:line="520" w:lineRule="exact"/>
        <w:ind w:firstLine="480" w:firstLineChars="200"/>
        <w:rPr>
          <w:rFonts w:ascii="宋体" w:hAnsi="宋体" w:cs="宋体"/>
          <w:bCs/>
          <w:sz w:val="24"/>
        </w:rPr>
      </w:pPr>
      <w:r>
        <w:rPr>
          <w:rFonts w:hint="eastAsia" w:ascii="宋体" w:hAnsi="宋体" w:cs="宋体"/>
          <w:bCs/>
          <w:sz w:val="24"/>
        </w:rPr>
        <w:t>（1）投标文件中开标一览表内容与投标文件中相应内容不一致的，以开标一览表为准。</w:t>
      </w:r>
    </w:p>
    <w:p w14:paraId="3DB43B95">
      <w:pPr>
        <w:spacing w:line="520" w:lineRule="exact"/>
        <w:ind w:firstLine="480" w:firstLineChars="200"/>
        <w:rPr>
          <w:rFonts w:ascii="宋体" w:hAnsi="宋体" w:cs="宋体"/>
          <w:bCs/>
          <w:sz w:val="24"/>
        </w:rPr>
      </w:pPr>
      <w:r>
        <w:rPr>
          <w:rFonts w:hint="eastAsia" w:ascii="宋体" w:hAnsi="宋体" w:cs="宋体"/>
          <w:bCs/>
          <w:sz w:val="24"/>
        </w:rPr>
        <w:t>（2）大写金额和小写金额不一致的，以大写金额为准。</w:t>
      </w:r>
    </w:p>
    <w:p w14:paraId="225F0F64">
      <w:pPr>
        <w:spacing w:line="520" w:lineRule="exact"/>
        <w:ind w:firstLine="480" w:firstLineChars="200"/>
        <w:rPr>
          <w:rFonts w:ascii="宋体" w:hAnsi="宋体" w:cs="宋体"/>
          <w:bCs/>
          <w:sz w:val="24"/>
        </w:rPr>
      </w:pPr>
      <w:r>
        <w:rPr>
          <w:rFonts w:hint="eastAsia" w:ascii="宋体" w:hAnsi="宋体" w:cs="宋体"/>
          <w:bCs/>
          <w:sz w:val="24"/>
        </w:rPr>
        <w:t>（3）单价金额小数点或者百分比有明显错位的，以开标一览表的总价为准，并修改单价。</w:t>
      </w:r>
    </w:p>
    <w:p w14:paraId="1A95C42A">
      <w:pPr>
        <w:spacing w:line="520" w:lineRule="exact"/>
        <w:ind w:firstLine="480" w:firstLineChars="200"/>
        <w:rPr>
          <w:rFonts w:ascii="宋体" w:hAnsi="宋体" w:cs="宋体"/>
          <w:bCs/>
          <w:sz w:val="24"/>
        </w:rPr>
      </w:pPr>
      <w:r>
        <w:rPr>
          <w:rFonts w:hint="eastAsia" w:ascii="宋体" w:hAnsi="宋体" w:cs="宋体"/>
          <w:bCs/>
          <w:sz w:val="24"/>
        </w:rPr>
        <w:t>（4）总价金额与按单价汇总金额不一致的，以单价金额计算结果为准。</w:t>
      </w:r>
    </w:p>
    <w:p w14:paraId="7B0F0C4D">
      <w:pPr>
        <w:spacing w:line="520" w:lineRule="exact"/>
        <w:ind w:firstLine="480" w:firstLineChars="200"/>
        <w:rPr>
          <w:rFonts w:ascii="宋体" w:hAnsi="宋体" w:cs="宋体"/>
          <w:bCs/>
          <w:sz w:val="24"/>
          <w:highlight w:val="magenta"/>
        </w:rPr>
      </w:pPr>
      <w:r>
        <w:rPr>
          <w:rFonts w:hint="eastAsia" w:ascii="宋体" w:hAnsi="宋体" w:cs="宋体"/>
          <w:bCs/>
          <w:sz w:val="24"/>
        </w:rPr>
        <w:t>同时出现两种以上错误的，按照前款规定的顺序修正。</w:t>
      </w:r>
    </w:p>
    <w:p w14:paraId="57E3A94B">
      <w:pPr>
        <w:spacing w:line="520" w:lineRule="exact"/>
        <w:ind w:firstLine="480" w:firstLineChars="200"/>
        <w:rPr>
          <w:rFonts w:ascii="宋体" w:hAnsi="宋体" w:cs="宋体"/>
          <w:bCs/>
          <w:sz w:val="24"/>
        </w:rPr>
      </w:pPr>
      <w:r>
        <w:rPr>
          <w:rFonts w:hint="eastAsia" w:ascii="宋体" w:hAnsi="宋体" w:cs="宋体"/>
          <w:sz w:val="24"/>
        </w:rPr>
        <w:t>25.5</w:t>
      </w:r>
      <w:r>
        <w:rPr>
          <w:rFonts w:hint="eastAsia" w:ascii="宋体" w:hAnsi="宋体" w:cs="宋体"/>
          <w:bCs/>
          <w:sz w:val="24"/>
        </w:rPr>
        <w:t>评委会将按上述修正错误的方法调整投标文件中的投标报价，调整后的价格应对投标人具有约束力。如果投标人不接受修正后的价格，则其投标将被拒绝。</w:t>
      </w:r>
    </w:p>
    <w:p w14:paraId="41C15914">
      <w:pPr>
        <w:spacing w:line="520" w:lineRule="exact"/>
        <w:ind w:firstLine="480" w:firstLineChars="200"/>
        <w:rPr>
          <w:rFonts w:ascii="宋体" w:hAnsi="宋体" w:cs="宋体"/>
          <w:bCs/>
          <w:sz w:val="24"/>
        </w:rPr>
      </w:pPr>
      <w:r>
        <w:rPr>
          <w:rFonts w:hint="eastAsia" w:ascii="宋体" w:hAnsi="宋体" w:cs="宋体"/>
          <w:sz w:val="24"/>
        </w:rPr>
        <w:t>25.6</w:t>
      </w:r>
      <w:r>
        <w:rPr>
          <w:rFonts w:hint="eastAsia" w:ascii="宋体" w:hAnsi="宋体" w:cs="宋体"/>
          <w:bCs/>
          <w:sz w:val="24"/>
        </w:rPr>
        <w:t>评委会将允许修正投标文件中不构成重大偏离的、微小的、非正规的、不一致的或不规则的地方，但这些修改不能影响任何投标人相应的名次排列。</w:t>
      </w:r>
    </w:p>
    <w:p w14:paraId="67D2AF9E">
      <w:pPr>
        <w:spacing w:line="520" w:lineRule="exact"/>
        <w:ind w:firstLine="480" w:firstLineChars="200"/>
        <w:rPr>
          <w:rFonts w:ascii="宋体" w:hAnsi="宋体" w:cs="宋体"/>
          <w:sz w:val="24"/>
        </w:rPr>
      </w:pPr>
      <w:r>
        <w:rPr>
          <w:rFonts w:hint="eastAsia" w:ascii="宋体" w:hAnsi="宋体" w:cs="宋体"/>
          <w:sz w:val="24"/>
        </w:rPr>
        <w:t>25.7</w:t>
      </w:r>
      <w:r>
        <w:rPr>
          <w:rFonts w:hint="eastAsia" w:ascii="宋体" w:hAnsi="宋体" w:cs="宋体"/>
          <w:b/>
          <w:sz w:val="24"/>
        </w:rPr>
        <w:t>采用最低评标价法的采购项目，</w:t>
      </w:r>
      <w:r>
        <w:rPr>
          <w:rFonts w:hint="eastAsia" w:ascii="宋体" w:hAnsi="宋体" w:cs="宋体"/>
          <w:sz w:val="24"/>
        </w:rPr>
        <w:t>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58F24C9">
      <w:pPr>
        <w:spacing w:line="520" w:lineRule="exact"/>
        <w:ind w:firstLine="482" w:firstLineChars="200"/>
        <w:rPr>
          <w:rFonts w:ascii="宋体" w:hAnsi="宋体" w:cs="宋体"/>
          <w:sz w:val="24"/>
        </w:rPr>
      </w:pPr>
      <w:r>
        <w:rPr>
          <w:rFonts w:hint="eastAsia" w:ascii="宋体" w:hAnsi="宋体" w:cs="宋体"/>
          <w:b/>
          <w:sz w:val="24"/>
        </w:rPr>
        <w:t>使用综合评分法的采购项目，</w:t>
      </w:r>
      <w:r>
        <w:rPr>
          <w:rFonts w:hint="eastAsia" w:ascii="宋体" w:hAnsi="宋体" w:cs="宋体"/>
          <w:sz w:val="24"/>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1D2C407">
      <w:pPr>
        <w:spacing w:line="520" w:lineRule="exact"/>
        <w:ind w:firstLine="480" w:firstLineChars="200"/>
        <w:rPr>
          <w:rFonts w:ascii="宋体" w:hAnsi="宋体" w:cs="宋体"/>
          <w:strike/>
          <w:sz w:val="24"/>
          <w:highlight w:val="green"/>
        </w:rPr>
      </w:pPr>
      <w:r>
        <w:rPr>
          <w:rFonts w:hint="eastAsia" w:ascii="宋体" w:hAnsi="宋体" w:cs="宋体"/>
          <w:sz w:val="24"/>
        </w:rPr>
        <w:t xml:space="preserve">　 </w:t>
      </w:r>
      <w:r>
        <w:rPr>
          <w:rFonts w:hint="eastAsia" w:ascii="宋体" w:hAnsi="宋体" w:cs="宋体"/>
          <w:b/>
          <w:sz w:val="24"/>
        </w:rPr>
        <w:t>非单一产品采购项目，</w:t>
      </w:r>
      <w:r>
        <w:rPr>
          <w:rFonts w:hint="eastAsia" w:ascii="宋体" w:hAnsi="宋体" w:cs="宋体"/>
          <w:sz w:val="24"/>
        </w:rPr>
        <w:t>采购人应当根据采购项目技术构成、产品价格比重等合理确定</w:t>
      </w:r>
      <w:r>
        <w:rPr>
          <w:rFonts w:hint="eastAsia" w:ascii="宋体" w:hAnsi="宋体" w:cs="宋体"/>
          <w:bCs/>
          <w:sz w:val="24"/>
        </w:rPr>
        <w:t>核心产品，并在招标文件中载明</w:t>
      </w:r>
      <w:r>
        <w:rPr>
          <w:rFonts w:hint="eastAsia" w:ascii="宋体" w:hAnsi="宋体" w:cs="宋体"/>
          <w:sz w:val="24"/>
        </w:rPr>
        <w:t>。多家投标人提供的核心产品品牌相同的，按前两款规定处理。(87号令第31条)</w:t>
      </w:r>
    </w:p>
    <w:p w14:paraId="6C0D0BE9">
      <w:pPr>
        <w:pStyle w:val="203"/>
        <w:spacing w:before="0" w:after="0" w:line="520" w:lineRule="exact"/>
        <w:ind w:firstLine="560" w:firstLineChars="200"/>
        <w:rPr>
          <w:rFonts w:ascii="宋体" w:hAnsi="宋体" w:eastAsia="宋体" w:cs="宋体"/>
          <w:b w:val="0"/>
          <w:bCs w:val="0"/>
        </w:rPr>
      </w:pPr>
      <w:bookmarkStart w:id="143" w:name="_Toc513029234"/>
      <w:bookmarkStart w:id="144" w:name="_Toc16938550"/>
      <w:bookmarkStart w:id="145" w:name="_Toc20823306"/>
      <w:r>
        <w:rPr>
          <w:rFonts w:hint="eastAsia" w:ascii="宋体" w:hAnsi="宋体" w:eastAsia="宋体" w:cs="宋体"/>
          <w:b w:val="0"/>
          <w:bCs w:val="0"/>
        </w:rPr>
        <w:t>26、</w:t>
      </w:r>
      <w:bookmarkEnd w:id="143"/>
      <w:bookmarkEnd w:id="144"/>
      <w:bookmarkEnd w:id="145"/>
      <w:r>
        <w:rPr>
          <w:rFonts w:hint="eastAsia" w:ascii="宋体" w:hAnsi="宋体" w:eastAsia="宋体" w:cs="宋体"/>
          <w:b w:val="0"/>
          <w:bCs w:val="0"/>
        </w:rPr>
        <w:t>无效投标条款和废标条款</w:t>
      </w:r>
    </w:p>
    <w:p w14:paraId="22A2FF96">
      <w:pPr>
        <w:spacing w:line="520" w:lineRule="exact"/>
        <w:ind w:firstLine="480" w:firstLineChars="200"/>
        <w:rPr>
          <w:rFonts w:ascii="宋体" w:hAnsi="宋体" w:cs="宋体"/>
          <w:bCs/>
          <w:sz w:val="24"/>
        </w:rPr>
      </w:pPr>
      <w:bookmarkStart w:id="146" w:name="_Toc16938551"/>
      <w:bookmarkStart w:id="147" w:name="_Toc20823307"/>
      <w:bookmarkStart w:id="148" w:name="_Toc513029235"/>
      <w:r>
        <w:rPr>
          <w:rFonts w:hint="eastAsia" w:ascii="宋体" w:hAnsi="宋体" w:cs="宋体"/>
          <w:bCs/>
          <w:sz w:val="24"/>
        </w:rPr>
        <w:t>26.1无效投标条款</w:t>
      </w:r>
    </w:p>
    <w:p w14:paraId="7427CF86">
      <w:pPr>
        <w:spacing w:line="520" w:lineRule="exact"/>
        <w:ind w:firstLine="480" w:firstLineChars="200"/>
        <w:rPr>
          <w:rFonts w:ascii="宋体" w:hAnsi="宋体" w:cs="宋体"/>
          <w:bCs/>
          <w:sz w:val="24"/>
        </w:rPr>
      </w:pPr>
      <w:r>
        <w:rPr>
          <w:rFonts w:hint="eastAsia" w:ascii="宋体" w:hAnsi="宋体" w:cs="宋体"/>
          <w:bCs/>
          <w:sz w:val="24"/>
        </w:rPr>
        <w:t>26.1.1投标人未按照招标文件要求递交投标文件的；</w:t>
      </w:r>
    </w:p>
    <w:p w14:paraId="72FEC90B">
      <w:pPr>
        <w:spacing w:line="520" w:lineRule="exact"/>
        <w:ind w:firstLine="480" w:firstLineChars="200"/>
        <w:rPr>
          <w:rFonts w:ascii="宋体" w:hAnsi="宋体" w:cs="宋体"/>
          <w:bCs/>
          <w:sz w:val="24"/>
        </w:rPr>
      </w:pPr>
      <w:r>
        <w:rPr>
          <w:rFonts w:hint="eastAsia" w:ascii="宋体" w:hAnsi="宋体" w:cs="宋体"/>
          <w:bCs/>
          <w:sz w:val="24"/>
        </w:rPr>
        <w:t>26.1.2投标人在报价时采用选择性报价；</w:t>
      </w:r>
    </w:p>
    <w:p w14:paraId="38DC7096">
      <w:pPr>
        <w:spacing w:line="520" w:lineRule="exact"/>
        <w:ind w:firstLine="480" w:firstLineChars="200"/>
        <w:rPr>
          <w:rFonts w:ascii="宋体" w:hAnsi="宋体" w:cs="宋体"/>
          <w:bCs/>
          <w:sz w:val="24"/>
        </w:rPr>
      </w:pPr>
      <w:r>
        <w:rPr>
          <w:rFonts w:hint="eastAsia" w:ascii="宋体" w:hAnsi="宋体" w:cs="宋体"/>
          <w:bCs/>
          <w:sz w:val="24"/>
        </w:rPr>
        <w:t>26.1.3投标人不具备招标文件中规定资格要求的；</w:t>
      </w:r>
    </w:p>
    <w:p w14:paraId="7972DB56">
      <w:pPr>
        <w:spacing w:line="520" w:lineRule="exact"/>
        <w:ind w:firstLine="480" w:firstLineChars="200"/>
        <w:rPr>
          <w:rFonts w:ascii="宋体" w:hAnsi="宋体" w:cs="宋体"/>
          <w:bCs/>
          <w:sz w:val="24"/>
        </w:rPr>
      </w:pPr>
      <w:r>
        <w:rPr>
          <w:rFonts w:hint="eastAsia" w:ascii="宋体" w:hAnsi="宋体" w:cs="宋体"/>
          <w:bCs/>
          <w:sz w:val="24"/>
        </w:rPr>
        <w:t>26.1.4投标人的报价超过了采购预算或最高限价的；</w:t>
      </w:r>
    </w:p>
    <w:p w14:paraId="456254B5">
      <w:pPr>
        <w:spacing w:line="520" w:lineRule="exact"/>
        <w:ind w:firstLine="480" w:firstLineChars="200"/>
        <w:rPr>
          <w:rFonts w:ascii="宋体" w:hAnsi="宋体" w:cs="宋体"/>
          <w:bCs/>
          <w:i/>
          <w:sz w:val="24"/>
          <w:u w:val="single"/>
        </w:rPr>
      </w:pPr>
      <w:r>
        <w:rPr>
          <w:rFonts w:hint="eastAsia" w:ascii="宋体" w:hAnsi="宋体" w:cs="宋体"/>
          <w:bCs/>
          <w:sz w:val="24"/>
        </w:rPr>
        <w:t>26.1.5未通过符合性检查的；</w:t>
      </w:r>
    </w:p>
    <w:p w14:paraId="19DA473E">
      <w:pPr>
        <w:spacing w:line="520" w:lineRule="exact"/>
        <w:ind w:firstLine="480" w:firstLineChars="200"/>
        <w:rPr>
          <w:rFonts w:ascii="宋体" w:hAnsi="宋体" w:cs="宋体"/>
          <w:bCs/>
          <w:sz w:val="24"/>
        </w:rPr>
      </w:pPr>
      <w:r>
        <w:rPr>
          <w:rFonts w:hint="eastAsia" w:ascii="宋体" w:hAnsi="宋体" w:cs="宋体"/>
          <w:bCs/>
          <w:sz w:val="24"/>
        </w:rPr>
        <w:t>26.1.6不符合招标文件中规定的其他实质性要求和条件的；</w:t>
      </w:r>
    </w:p>
    <w:p w14:paraId="572D87EC">
      <w:pPr>
        <w:spacing w:line="520" w:lineRule="exact"/>
        <w:ind w:firstLine="480" w:firstLineChars="200"/>
        <w:rPr>
          <w:rFonts w:ascii="宋体" w:hAnsi="宋体" w:cs="宋体"/>
          <w:bCs/>
          <w:sz w:val="24"/>
        </w:rPr>
      </w:pPr>
      <w:r>
        <w:rPr>
          <w:rFonts w:hint="eastAsia" w:ascii="宋体" w:hAnsi="宋体" w:cs="宋体"/>
          <w:bCs/>
          <w:sz w:val="24"/>
        </w:rPr>
        <w:t>26.1.7投标人串通投标；</w:t>
      </w:r>
    </w:p>
    <w:p w14:paraId="29F6E6E4">
      <w:pPr>
        <w:spacing w:line="520" w:lineRule="exact"/>
        <w:ind w:firstLine="480" w:firstLineChars="200"/>
        <w:rPr>
          <w:rFonts w:ascii="宋体" w:hAnsi="宋体" w:cs="宋体"/>
          <w:bCs/>
          <w:sz w:val="24"/>
        </w:rPr>
      </w:pPr>
      <w:r>
        <w:rPr>
          <w:rFonts w:hint="eastAsia" w:ascii="宋体" w:hAnsi="宋体" w:cs="宋体"/>
          <w:bCs/>
          <w:sz w:val="24"/>
        </w:rPr>
        <w:t>26.1.8投标文件含有采购人不能接受的附加条件的。</w:t>
      </w:r>
    </w:p>
    <w:p w14:paraId="3D89F6F2">
      <w:pPr>
        <w:spacing w:line="520" w:lineRule="exact"/>
        <w:ind w:firstLine="480" w:firstLineChars="200"/>
        <w:rPr>
          <w:rFonts w:ascii="宋体" w:hAnsi="宋体" w:cs="宋体"/>
          <w:bCs/>
          <w:sz w:val="24"/>
        </w:rPr>
      </w:pPr>
      <w:r>
        <w:rPr>
          <w:rFonts w:hint="eastAsia" w:ascii="宋体" w:hAnsi="宋体" w:cs="宋体"/>
          <w:bCs/>
          <w:sz w:val="24"/>
        </w:rPr>
        <w:t>26.1.9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C9E8FC6">
      <w:pPr>
        <w:spacing w:line="520" w:lineRule="exact"/>
        <w:ind w:firstLine="480" w:firstLineChars="200"/>
        <w:rPr>
          <w:rFonts w:ascii="宋体" w:hAnsi="宋体" w:cs="宋体"/>
          <w:bCs/>
          <w:sz w:val="24"/>
        </w:rPr>
      </w:pPr>
      <w:r>
        <w:rPr>
          <w:rFonts w:hint="eastAsia" w:ascii="宋体" w:hAnsi="宋体" w:cs="宋体"/>
          <w:bCs/>
          <w:sz w:val="24"/>
        </w:rPr>
        <w:t>26.1.10投标文件未按招标文件要求签署、盖章的。</w:t>
      </w:r>
    </w:p>
    <w:p w14:paraId="1E18FAE2">
      <w:pPr>
        <w:spacing w:line="520" w:lineRule="exact"/>
        <w:ind w:firstLine="480" w:firstLineChars="200"/>
        <w:rPr>
          <w:rFonts w:ascii="宋体" w:hAnsi="宋体" w:cs="宋体"/>
          <w:bCs/>
          <w:sz w:val="24"/>
        </w:rPr>
      </w:pPr>
      <w:r>
        <w:rPr>
          <w:rFonts w:hint="eastAsia" w:ascii="宋体" w:hAnsi="宋体" w:cs="宋体"/>
          <w:bCs/>
          <w:sz w:val="24"/>
        </w:rPr>
        <w:t>26.1.11其他法律、法规及本招标文件规定的属无效投标的情形。</w:t>
      </w:r>
    </w:p>
    <w:p w14:paraId="3CF23D35">
      <w:pPr>
        <w:spacing w:line="520" w:lineRule="exact"/>
        <w:ind w:firstLine="480" w:firstLineChars="200"/>
        <w:rPr>
          <w:rFonts w:ascii="宋体" w:hAnsi="宋体" w:cs="宋体"/>
          <w:bCs/>
          <w:sz w:val="24"/>
        </w:rPr>
      </w:pPr>
      <w:r>
        <w:rPr>
          <w:rFonts w:hint="eastAsia" w:ascii="宋体" w:hAnsi="宋体" w:cs="宋体"/>
          <w:bCs/>
          <w:sz w:val="24"/>
        </w:rPr>
        <w:t xml:space="preserve">26.2废标条款：                                                                                                                                                                                                                                                                                                                                                                                                                                                                                                                                                                                                                                                                                                                                                                                                                                                                                                                                                                                                                                                                                                                                                                                                                                                                                                                                                                                                                                                                         </w:t>
      </w:r>
    </w:p>
    <w:p w14:paraId="7117D031">
      <w:pPr>
        <w:spacing w:line="520" w:lineRule="exact"/>
        <w:ind w:firstLine="480" w:firstLineChars="200"/>
        <w:rPr>
          <w:rFonts w:ascii="宋体" w:hAnsi="宋体" w:cs="宋体"/>
          <w:bCs/>
          <w:sz w:val="24"/>
        </w:rPr>
      </w:pPr>
      <w:r>
        <w:rPr>
          <w:rFonts w:hint="eastAsia" w:ascii="宋体" w:hAnsi="宋体" w:cs="宋体"/>
          <w:bCs/>
          <w:sz w:val="24"/>
        </w:rPr>
        <w:t>26.2.1符合专业条件的供应商或者对招标文件作实质响应的供应商不足三家的；26.2.2出现影响采购公正的违法、违规行为的；</w:t>
      </w:r>
    </w:p>
    <w:p w14:paraId="75D73C65">
      <w:pPr>
        <w:spacing w:line="520" w:lineRule="exact"/>
        <w:ind w:firstLine="480" w:firstLineChars="200"/>
        <w:rPr>
          <w:rFonts w:ascii="宋体" w:hAnsi="宋体" w:cs="宋体"/>
          <w:bCs/>
          <w:sz w:val="24"/>
        </w:rPr>
      </w:pPr>
      <w:r>
        <w:rPr>
          <w:rFonts w:hint="eastAsia" w:ascii="宋体" w:hAnsi="宋体" w:cs="宋体"/>
          <w:bCs/>
          <w:sz w:val="24"/>
        </w:rPr>
        <w:t>26.2.3因重大变故，采购任务取消的；</w:t>
      </w:r>
    </w:p>
    <w:p w14:paraId="6CAD52C9">
      <w:pPr>
        <w:spacing w:line="520" w:lineRule="exact"/>
        <w:ind w:firstLine="480" w:firstLineChars="200"/>
        <w:rPr>
          <w:rFonts w:ascii="宋体" w:hAnsi="宋体" w:cs="宋体"/>
          <w:bCs/>
          <w:sz w:val="24"/>
        </w:rPr>
      </w:pPr>
      <w:r>
        <w:rPr>
          <w:rFonts w:hint="eastAsia" w:ascii="宋体" w:hAnsi="宋体" w:cs="宋体"/>
          <w:bCs/>
          <w:sz w:val="24"/>
        </w:rPr>
        <w:t>26.2.4评标委员会认定招标文件存在歧义、重大缺陷导致评审工作无法进行。</w:t>
      </w:r>
    </w:p>
    <w:p w14:paraId="450CA46C">
      <w:pPr>
        <w:spacing w:line="520" w:lineRule="exact"/>
        <w:ind w:firstLine="480" w:firstLineChars="200"/>
        <w:rPr>
          <w:rFonts w:ascii="宋体" w:hAnsi="宋体" w:cs="宋体"/>
          <w:bCs/>
          <w:sz w:val="24"/>
        </w:rPr>
      </w:pPr>
      <w:r>
        <w:rPr>
          <w:rFonts w:hint="eastAsia" w:ascii="宋体" w:hAnsi="宋体" w:cs="宋体"/>
          <w:bCs/>
          <w:sz w:val="24"/>
        </w:rPr>
        <w:t>26.3 投标截止时间结束后参加投标的供应商不足三家的处理：</w:t>
      </w:r>
    </w:p>
    <w:p w14:paraId="2F12AC0E">
      <w:pPr>
        <w:spacing w:line="520" w:lineRule="exact"/>
        <w:ind w:firstLine="480" w:firstLineChars="200"/>
        <w:rPr>
          <w:rFonts w:ascii="宋体" w:hAnsi="宋体" w:cs="宋体"/>
          <w:bCs/>
          <w:sz w:val="24"/>
        </w:rPr>
      </w:pPr>
      <w:r>
        <w:rPr>
          <w:rFonts w:hint="eastAsia" w:ascii="宋体" w:hAnsi="宋体" w:cs="宋体"/>
          <w:bCs/>
          <w:sz w:val="24"/>
        </w:rPr>
        <w:t>26.3.1如出现投标截止时间结束后参加投标的供应商或者在评标期间对招标文件做出实质响应的供应商不足三家情况，按财政部第八十七号令第四十三条的规定执行。</w:t>
      </w:r>
    </w:p>
    <w:p w14:paraId="5413F790">
      <w:pPr>
        <w:pStyle w:val="201"/>
        <w:spacing w:before="0" w:after="0" w:line="520" w:lineRule="exact"/>
        <w:ind w:firstLine="643" w:firstLineChars="200"/>
        <w:rPr>
          <w:rFonts w:ascii="宋体" w:hAnsi="宋体" w:cs="宋体"/>
        </w:rPr>
      </w:pPr>
      <w:bookmarkStart w:id="149" w:name="_Toc120614219"/>
      <w:r>
        <w:rPr>
          <w:rFonts w:hint="eastAsia" w:ascii="宋体" w:hAnsi="宋体" w:cs="宋体"/>
        </w:rPr>
        <w:t>六、</w:t>
      </w:r>
      <w:bookmarkEnd w:id="146"/>
      <w:bookmarkEnd w:id="147"/>
      <w:bookmarkEnd w:id="148"/>
      <w:r>
        <w:rPr>
          <w:rFonts w:hint="eastAsia" w:ascii="宋体" w:hAnsi="宋体" w:cs="宋体"/>
        </w:rPr>
        <w:t>定标</w:t>
      </w:r>
      <w:bookmarkEnd w:id="149"/>
    </w:p>
    <w:p w14:paraId="42E72155">
      <w:pPr>
        <w:pStyle w:val="203"/>
        <w:spacing w:before="0" w:after="0" w:line="520" w:lineRule="exact"/>
        <w:ind w:firstLine="600" w:firstLineChars="200"/>
        <w:rPr>
          <w:rFonts w:ascii="宋体" w:hAnsi="宋体" w:eastAsia="宋体" w:cs="宋体"/>
          <w:b w:val="0"/>
          <w:sz w:val="30"/>
          <w:szCs w:val="30"/>
        </w:rPr>
      </w:pPr>
      <w:bookmarkStart w:id="150" w:name="_Toc513029238"/>
      <w:bookmarkStart w:id="151" w:name="_Toc16938554"/>
      <w:bookmarkStart w:id="152" w:name="_Toc20823310"/>
      <w:r>
        <w:rPr>
          <w:rFonts w:hint="eastAsia" w:ascii="宋体" w:hAnsi="宋体" w:eastAsia="宋体" w:cs="宋体"/>
          <w:b w:val="0"/>
          <w:sz w:val="30"/>
          <w:szCs w:val="30"/>
        </w:rPr>
        <w:t>27、</w:t>
      </w:r>
      <w:bookmarkEnd w:id="150"/>
      <w:r>
        <w:rPr>
          <w:rFonts w:hint="eastAsia" w:ascii="宋体" w:hAnsi="宋体" w:eastAsia="宋体" w:cs="宋体"/>
          <w:b w:val="0"/>
          <w:sz w:val="30"/>
          <w:szCs w:val="30"/>
        </w:rPr>
        <w:t>确定</w:t>
      </w:r>
      <w:bookmarkEnd w:id="151"/>
      <w:bookmarkEnd w:id="152"/>
      <w:r>
        <w:rPr>
          <w:rFonts w:hint="eastAsia" w:ascii="宋体" w:hAnsi="宋体" w:eastAsia="宋体" w:cs="宋体"/>
          <w:b w:val="0"/>
          <w:sz w:val="30"/>
          <w:szCs w:val="30"/>
        </w:rPr>
        <w:t>中标单位</w:t>
      </w:r>
    </w:p>
    <w:p w14:paraId="073C6FEE">
      <w:pPr>
        <w:spacing w:line="520" w:lineRule="exact"/>
        <w:ind w:firstLine="480" w:firstLineChars="200"/>
        <w:rPr>
          <w:rFonts w:ascii="宋体" w:hAnsi="宋体" w:cs="宋体"/>
          <w:bCs/>
          <w:sz w:val="24"/>
        </w:rPr>
      </w:pPr>
      <w:r>
        <w:rPr>
          <w:rFonts w:hint="eastAsia" w:ascii="宋体" w:hAnsi="宋体" w:cs="宋体"/>
          <w:bCs/>
          <w:sz w:val="24"/>
        </w:rPr>
        <w:t>27.1评委会根据本招标文件规定评标方法与评标标准向采购人推荐出中标候选人。</w:t>
      </w:r>
    </w:p>
    <w:p w14:paraId="4CB3F6B0">
      <w:pPr>
        <w:spacing w:line="520" w:lineRule="exact"/>
        <w:ind w:firstLine="480" w:firstLineChars="200"/>
        <w:rPr>
          <w:rFonts w:ascii="宋体" w:hAnsi="宋体" w:cs="宋体"/>
          <w:bCs/>
          <w:sz w:val="24"/>
        </w:rPr>
      </w:pPr>
      <w:r>
        <w:rPr>
          <w:rFonts w:hint="eastAsia" w:ascii="宋体" w:hAnsi="宋体" w:cs="宋体"/>
          <w:bCs/>
          <w:sz w:val="24"/>
        </w:rPr>
        <w:t>27.2 采购人应根据评委会推荐的中标候选人确定中标供应商。</w:t>
      </w:r>
    </w:p>
    <w:p w14:paraId="37ACE221">
      <w:pPr>
        <w:spacing w:line="520" w:lineRule="exact"/>
        <w:ind w:firstLine="480" w:firstLineChars="200"/>
        <w:rPr>
          <w:rFonts w:ascii="宋体" w:hAnsi="宋体" w:cs="宋体"/>
          <w:sz w:val="24"/>
          <w:szCs w:val="24"/>
        </w:rPr>
      </w:pPr>
      <w:r>
        <w:rPr>
          <w:rFonts w:hint="eastAsia" w:ascii="宋体" w:hAnsi="宋体" w:cs="宋体"/>
          <w:bCs/>
          <w:sz w:val="24"/>
          <w:szCs w:val="24"/>
        </w:rPr>
        <w:t>27.3</w:t>
      </w:r>
      <w:r>
        <w:rPr>
          <w:rFonts w:hint="eastAsia" w:ascii="宋体" w:hAnsi="宋体" w:cs="宋体"/>
          <w:sz w:val="24"/>
          <w:szCs w:val="24"/>
        </w:rPr>
        <w:t>采购人或采购代理机构将在“江苏政府采购网、盐城市政府采购网”发布中标公告，公告期限为1个工作日。</w:t>
      </w:r>
    </w:p>
    <w:p w14:paraId="348CAAAE">
      <w:pPr>
        <w:spacing w:line="520" w:lineRule="exact"/>
        <w:ind w:firstLine="480" w:firstLineChars="200"/>
        <w:rPr>
          <w:rFonts w:ascii="宋体" w:hAnsi="宋体" w:cs="宋体"/>
          <w:sz w:val="24"/>
          <w:szCs w:val="24"/>
        </w:rPr>
      </w:pPr>
      <w:r>
        <w:rPr>
          <w:rFonts w:hint="eastAsia" w:ascii="宋体" w:hAnsi="宋体" w:cs="宋体"/>
          <w:sz w:val="24"/>
          <w:szCs w:val="24"/>
        </w:rPr>
        <w:t>27.4若有充分证据证明，中标供应商出现下列情况之一的，一经查实，将被取消中标资格：</w:t>
      </w:r>
    </w:p>
    <w:p w14:paraId="7C62DABC">
      <w:pPr>
        <w:spacing w:line="520" w:lineRule="exact"/>
        <w:ind w:firstLine="480" w:firstLineChars="200"/>
        <w:rPr>
          <w:rFonts w:ascii="宋体" w:hAnsi="宋体" w:cs="宋体"/>
          <w:sz w:val="24"/>
          <w:szCs w:val="24"/>
        </w:rPr>
      </w:pPr>
      <w:r>
        <w:rPr>
          <w:rFonts w:hint="eastAsia" w:ascii="宋体" w:hAnsi="宋体" w:cs="宋体"/>
          <w:sz w:val="24"/>
          <w:szCs w:val="24"/>
        </w:rPr>
        <w:t>27.4.1提供虚假材料谋取中标的；</w:t>
      </w:r>
    </w:p>
    <w:p w14:paraId="7924BD2D">
      <w:pPr>
        <w:spacing w:line="520" w:lineRule="exact"/>
        <w:ind w:firstLine="480" w:firstLineChars="200"/>
        <w:rPr>
          <w:rFonts w:ascii="宋体" w:hAnsi="宋体" w:cs="宋体"/>
          <w:sz w:val="24"/>
          <w:szCs w:val="24"/>
        </w:rPr>
      </w:pPr>
      <w:r>
        <w:rPr>
          <w:rFonts w:hint="eastAsia" w:ascii="宋体" w:hAnsi="宋体" w:cs="宋体"/>
          <w:sz w:val="24"/>
          <w:szCs w:val="24"/>
        </w:rPr>
        <w:t>27.4.2向采购人、采购代理机构行贿或者提供其他不正当利益的；</w:t>
      </w:r>
    </w:p>
    <w:p w14:paraId="3BA1FFA5">
      <w:pPr>
        <w:spacing w:line="520" w:lineRule="exact"/>
        <w:ind w:firstLine="480" w:firstLineChars="200"/>
        <w:rPr>
          <w:rFonts w:ascii="宋体" w:hAnsi="宋体" w:cs="宋体"/>
          <w:sz w:val="24"/>
          <w:szCs w:val="24"/>
        </w:rPr>
      </w:pPr>
      <w:r>
        <w:rPr>
          <w:rFonts w:hint="eastAsia" w:ascii="宋体" w:hAnsi="宋体" w:cs="宋体"/>
          <w:sz w:val="24"/>
          <w:szCs w:val="24"/>
        </w:rPr>
        <w:t>27.4.3恶意竞争，投标总报价明显低于其自身合理成本且又无法提供证明的；</w:t>
      </w:r>
    </w:p>
    <w:p w14:paraId="570D8F37">
      <w:pPr>
        <w:spacing w:line="520" w:lineRule="exact"/>
        <w:ind w:firstLine="480" w:firstLineChars="200"/>
        <w:rPr>
          <w:rFonts w:ascii="宋体" w:hAnsi="宋体" w:cs="宋体"/>
          <w:sz w:val="24"/>
          <w:szCs w:val="24"/>
        </w:rPr>
      </w:pPr>
      <w:r>
        <w:rPr>
          <w:rFonts w:hint="eastAsia" w:ascii="宋体" w:hAnsi="宋体" w:cs="宋体"/>
          <w:sz w:val="24"/>
          <w:szCs w:val="24"/>
        </w:rPr>
        <w:t>27.4.4属于本文件规定的无效条件，但在评标过程中又未被评委会发现的；</w:t>
      </w:r>
    </w:p>
    <w:p w14:paraId="60FC4888">
      <w:pPr>
        <w:spacing w:line="520" w:lineRule="exact"/>
        <w:ind w:firstLine="480" w:firstLineChars="200"/>
        <w:rPr>
          <w:rFonts w:ascii="宋体" w:hAnsi="宋体" w:cs="宋体"/>
          <w:sz w:val="24"/>
          <w:szCs w:val="24"/>
        </w:rPr>
      </w:pPr>
      <w:r>
        <w:rPr>
          <w:rFonts w:hint="eastAsia" w:ascii="宋体" w:hAnsi="宋体" w:cs="宋体"/>
          <w:sz w:val="24"/>
          <w:szCs w:val="24"/>
        </w:rPr>
        <w:t>27.4.5与采购人或者其他供应商恶意串通的；</w:t>
      </w:r>
    </w:p>
    <w:p w14:paraId="2C8B7713">
      <w:pPr>
        <w:spacing w:line="520" w:lineRule="exact"/>
        <w:ind w:firstLine="480" w:firstLineChars="200"/>
        <w:rPr>
          <w:rFonts w:ascii="宋体" w:hAnsi="宋体" w:cs="宋体"/>
          <w:sz w:val="24"/>
          <w:szCs w:val="24"/>
        </w:rPr>
      </w:pPr>
      <w:r>
        <w:rPr>
          <w:rFonts w:hint="eastAsia" w:ascii="宋体" w:hAnsi="宋体" w:cs="宋体"/>
          <w:sz w:val="24"/>
          <w:szCs w:val="24"/>
        </w:rPr>
        <w:t>27.4.6采取不正当手段诋毁、排挤其他供应商的；</w:t>
      </w:r>
    </w:p>
    <w:p w14:paraId="2DF2FD48">
      <w:pPr>
        <w:spacing w:line="520" w:lineRule="exact"/>
        <w:ind w:firstLine="480" w:firstLineChars="200"/>
        <w:rPr>
          <w:rFonts w:ascii="宋体" w:hAnsi="宋体" w:cs="宋体"/>
          <w:sz w:val="24"/>
          <w:szCs w:val="24"/>
        </w:rPr>
      </w:pPr>
      <w:r>
        <w:rPr>
          <w:rFonts w:hint="eastAsia" w:ascii="宋体" w:hAnsi="宋体" w:cs="宋体"/>
          <w:sz w:val="24"/>
          <w:szCs w:val="24"/>
        </w:rPr>
        <w:t>27.4.7不符合法律、法规的规定的。</w:t>
      </w:r>
      <w:bookmarkStart w:id="153" w:name="_Toc200451960"/>
    </w:p>
    <w:p w14:paraId="011A4551">
      <w:pPr>
        <w:spacing w:line="520" w:lineRule="exact"/>
        <w:ind w:firstLine="480" w:firstLineChars="200"/>
        <w:rPr>
          <w:rFonts w:ascii="宋体" w:hAnsi="宋体" w:cs="宋体"/>
          <w:sz w:val="24"/>
          <w:szCs w:val="24"/>
        </w:rPr>
      </w:pPr>
      <w:r>
        <w:rPr>
          <w:rFonts w:hint="eastAsia" w:ascii="宋体" w:hAnsi="宋体" w:cs="宋体"/>
          <w:sz w:val="24"/>
          <w:szCs w:val="24"/>
        </w:rPr>
        <w:t>27.5.</w:t>
      </w:r>
      <w:r>
        <w:rPr>
          <w:rFonts w:hint="eastAsia" w:ascii="宋体" w:hAnsi="宋体" w:cs="宋体"/>
        </w:rPr>
        <w:t xml:space="preserve"> </w:t>
      </w:r>
      <w:r>
        <w:rPr>
          <w:rFonts w:hint="eastAsia" w:ascii="宋体" w:hAnsi="宋体" w:cs="宋体"/>
          <w:sz w:val="24"/>
          <w:szCs w:val="24"/>
        </w:rPr>
        <w:t>有下列情形之一的，视为投标人串通投标，投标无效：</w:t>
      </w:r>
    </w:p>
    <w:p w14:paraId="6E3E552C">
      <w:pPr>
        <w:spacing w:line="520" w:lineRule="exact"/>
        <w:ind w:firstLine="480" w:firstLineChars="200"/>
        <w:rPr>
          <w:rFonts w:ascii="宋体" w:hAnsi="宋体" w:cs="宋体"/>
          <w:sz w:val="24"/>
          <w:szCs w:val="24"/>
        </w:rPr>
      </w:pPr>
      <w:r>
        <w:rPr>
          <w:rFonts w:hint="eastAsia" w:ascii="宋体" w:hAnsi="宋体" w:cs="宋体"/>
          <w:sz w:val="24"/>
          <w:szCs w:val="24"/>
        </w:rPr>
        <w:t>27.5.1不同投标人的投标文件由同一单位或者个人编制。</w:t>
      </w:r>
    </w:p>
    <w:p w14:paraId="07B436A4">
      <w:pPr>
        <w:spacing w:line="520" w:lineRule="exact"/>
        <w:ind w:firstLine="480" w:firstLineChars="200"/>
        <w:rPr>
          <w:rFonts w:ascii="宋体" w:hAnsi="宋体" w:cs="宋体"/>
          <w:sz w:val="24"/>
          <w:szCs w:val="24"/>
        </w:rPr>
      </w:pPr>
      <w:r>
        <w:rPr>
          <w:rFonts w:hint="eastAsia" w:ascii="宋体" w:hAnsi="宋体" w:cs="宋体"/>
          <w:sz w:val="24"/>
          <w:szCs w:val="24"/>
        </w:rPr>
        <w:t>27.5.2不同投标人委托同一单位或者个人办理投标事宜。</w:t>
      </w:r>
    </w:p>
    <w:p w14:paraId="09BF544C">
      <w:pPr>
        <w:spacing w:line="520" w:lineRule="exact"/>
        <w:ind w:firstLine="480" w:firstLineChars="200"/>
        <w:rPr>
          <w:rFonts w:ascii="宋体" w:hAnsi="宋体" w:cs="宋体"/>
          <w:sz w:val="24"/>
          <w:szCs w:val="24"/>
        </w:rPr>
      </w:pPr>
      <w:r>
        <w:rPr>
          <w:rFonts w:hint="eastAsia" w:ascii="宋体" w:hAnsi="宋体" w:cs="宋体"/>
          <w:sz w:val="24"/>
          <w:szCs w:val="24"/>
        </w:rPr>
        <w:t>27.5.3 不同投标人的投标文件载明的项目管理成员或者联系人员为同一人。</w:t>
      </w:r>
    </w:p>
    <w:p w14:paraId="275336B8">
      <w:pPr>
        <w:spacing w:line="520" w:lineRule="exact"/>
        <w:ind w:firstLine="480" w:firstLineChars="200"/>
        <w:rPr>
          <w:rFonts w:ascii="宋体" w:hAnsi="宋体" w:cs="宋体"/>
          <w:sz w:val="24"/>
          <w:szCs w:val="24"/>
        </w:rPr>
      </w:pPr>
      <w:r>
        <w:rPr>
          <w:rFonts w:hint="eastAsia" w:ascii="宋体" w:hAnsi="宋体" w:cs="宋体"/>
          <w:sz w:val="24"/>
          <w:szCs w:val="24"/>
        </w:rPr>
        <w:t>27.5.4不同投标人的投标文件异常一致或者投标报价呈规律性差异。</w:t>
      </w:r>
    </w:p>
    <w:p w14:paraId="00B50522">
      <w:pPr>
        <w:spacing w:line="520" w:lineRule="exact"/>
        <w:ind w:firstLine="480" w:firstLineChars="200"/>
        <w:rPr>
          <w:rFonts w:ascii="宋体" w:hAnsi="宋体" w:cs="宋体"/>
          <w:sz w:val="24"/>
          <w:szCs w:val="24"/>
        </w:rPr>
      </w:pPr>
      <w:r>
        <w:rPr>
          <w:rFonts w:hint="eastAsia" w:ascii="宋体" w:hAnsi="宋体" w:cs="宋体"/>
          <w:sz w:val="24"/>
          <w:szCs w:val="24"/>
        </w:rPr>
        <w:t>27.5.5不同投标人的投标文件相互混装。</w:t>
      </w:r>
    </w:p>
    <w:p w14:paraId="52728C52">
      <w:pPr>
        <w:pStyle w:val="203"/>
        <w:tabs>
          <w:tab w:val="left" w:pos="4120"/>
        </w:tabs>
        <w:spacing w:before="0" w:after="0" w:line="520" w:lineRule="exact"/>
        <w:ind w:firstLine="600" w:firstLineChars="200"/>
        <w:rPr>
          <w:rFonts w:ascii="宋体" w:hAnsi="宋体" w:eastAsia="宋体" w:cs="宋体"/>
          <w:b w:val="0"/>
          <w:sz w:val="30"/>
          <w:szCs w:val="30"/>
        </w:rPr>
      </w:pPr>
      <w:r>
        <w:rPr>
          <w:rFonts w:hint="eastAsia" w:ascii="宋体" w:hAnsi="宋体" w:eastAsia="宋体" w:cs="宋体"/>
          <w:b w:val="0"/>
          <w:sz w:val="30"/>
          <w:szCs w:val="30"/>
        </w:rPr>
        <w:t>28、质疑处理</w:t>
      </w:r>
      <w:bookmarkEnd w:id="153"/>
      <w:r>
        <w:rPr>
          <w:rFonts w:hint="eastAsia" w:ascii="宋体" w:hAnsi="宋体" w:eastAsia="宋体" w:cs="宋体"/>
          <w:b w:val="0"/>
          <w:sz w:val="30"/>
          <w:szCs w:val="30"/>
        </w:rPr>
        <w:tab/>
      </w:r>
    </w:p>
    <w:p w14:paraId="799F7578">
      <w:pPr>
        <w:spacing w:line="520" w:lineRule="exact"/>
        <w:ind w:firstLine="480" w:firstLineChars="200"/>
        <w:rPr>
          <w:rFonts w:ascii="宋体" w:hAnsi="宋体" w:cs="宋体"/>
          <w:sz w:val="24"/>
          <w:szCs w:val="24"/>
        </w:rPr>
      </w:pPr>
      <w:r>
        <w:rPr>
          <w:rFonts w:hint="eastAsia" w:ascii="宋体" w:hAnsi="宋体" w:cs="宋体"/>
          <w:sz w:val="24"/>
          <w:szCs w:val="24"/>
        </w:rPr>
        <w:t>28.1参加投标供应商认为招标文件、采购过程和中标结果使自己的权益受到损害的，可以在知道或应知其权益受到损害之日起七个工作日内，以书面形式根据下述29.9条向采购人或采购代理机构提出质疑。上述应知其权益受到损害之日，是指：</w:t>
      </w:r>
    </w:p>
    <w:p w14:paraId="3C15B342">
      <w:pPr>
        <w:spacing w:line="520" w:lineRule="exact"/>
        <w:ind w:firstLine="480" w:firstLineChars="200"/>
        <w:rPr>
          <w:rFonts w:ascii="宋体" w:hAnsi="宋体" w:cs="宋体"/>
          <w:sz w:val="24"/>
          <w:szCs w:val="24"/>
        </w:rPr>
      </w:pPr>
      <w:r>
        <w:rPr>
          <w:rFonts w:hint="eastAsia" w:ascii="宋体" w:hAnsi="宋体" w:cs="宋体"/>
          <w:sz w:val="24"/>
          <w:szCs w:val="24"/>
        </w:rPr>
        <w:t>28.1.1对可以质疑的招标文件提出质疑的，为收到招标文件之日或者招标文件公告期限届满之日；</w:t>
      </w:r>
    </w:p>
    <w:p w14:paraId="2E397481">
      <w:pPr>
        <w:spacing w:line="520" w:lineRule="exact"/>
        <w:ind w:firstLine="480" w:firstLineChars="200"/>
        <w:rPr>
          <w:rFonts w:ascii="宋体" w:hAnsi="宋体" w:cs="宋体"/>
          <w:sz w:val="24"/>
          <w:szCs w:val="24"/>
        </w:rPr>
      </w:pPr>
      <w:r>
        <w:rPr>
          <w:rFonts w:hint="eastAsia" w:ascii="宋体" w:hAnsi="宋体" w:cs="宋体"/>
          <w:sz w:val="24"/>
          <w:szCs w:val="24"/>
        </w:rPr>
        <w:t>28.1.2对采购过程提出质疑的，为各采购程序环节结束之日；</w:t>
      </w:r>
    </w:p>
    <w:p w14:paraId="533BDE19">
      <w:pPr>
        <w:spacing w:line="520" w:lineRule="exact"/>
        <w:ind w:firstLine="480" w:firstLineChars="200"/>
        <w:rPr>
          <w:rFonts w:ascii="宋体" w:hAnsi="宋体" w:cs="宋体"/>
          <w:sz w:val="24"/>
          <w:szCs w:val="24"/>
        </w:rPr>
      </w:pPr>
      <w:r>
        <w:rPr>
          <w:rFonts w:hint="eastAsia" w:ascii="宋体" w:hAnsi="宋体" w:cs="宋体"/>
          <w:sz w:val="24"/>
          <w:szCs w:val="24"/>
        </w:rPr>
        <w:t>28.1.3对中标结果提出质疑的，为中标结果公告期限届满之日。</w:t>
      </w:r>
    </w:p>
    <w:p w14:paraId="6A2558EB">
      <w:pPr>
        <w:spacing w:line="520" w:lineRule="exact"/>
        <w:ind w:firstLine="480" w:firstLineChars="200"/>
        <w:rPr>
          <w:rFonts w:ascii="宋体" w:hAnsi="宋体" w:cs="宋体"/>
          <w:sz w:val="24"/>
          <w:szCs w:val="24"/>
        </w:rPr>
      </w:pPr>
      <w:r>
        <w:rPr>
          <w:rFonts w:hint="eastAsia" w:ascii="宋体" w:hAnsi="宋体" w:cs="宋体"/>
          <w:sz w:val="24"/>
          <w:szCs w:val="24"/>
        </w:rPr>
        <w:t>28.2质疑必须按《政府采购法》、《政府采购法实施条例》及《江苏省政府采购供应商监督管理暂行办法》的相关规定提交，未按上述要求提交的质疑函（含传真、电子邮件等）采购人和采购代理机构有权不予受理。</w:t>
      </w:r>
    </w:p>
    <w:p w14:paraId="57F2009A">
      <w:pPr>
        <w:spacing w:line="520" w:lineRule="exact"/>
        <w:ind w:firstLine="480" w:firstLineChars="200"/>
        <w:rPr>
          <w:rFonts w:ascii="宋体" w:hAnsi="宋体" w:cs="宋体"/>
          <w:sz w:val="24"/>
          <w:szCs w:val="24"/>
        </w:rPr>
      </w:pPr>
      <w:r>
        <w:rPr>
          <w:rFonts w:hint="eastAsia" w:ascii="宋体" w:hAnsi="宋体" w:cs="宋体"/>
          <w:sz w:val="24"/>
          <w:szCs w:val="24"/>
        </w:rPr>
        <w:t>28.3未参加投标活动的供应商或在投标活动中自身权益未受到损害的供应商所提出的质疑不予受理。</w:t>
      </w:r>
    </w:p>
    <w:p w14:paraId="3F833A66">
      <w:pPr>
        <w:spacing w:line="520" w:lineRule="exact"/>
        <w:ind w:firstLine="480" w:firstLineChars="200"/>
        <w:rPr>
          <w:rFonts w:ascii="宋体" w:hAnsi="宋体" w:cs="宋体"/>
          <w:sz w:val="24"/>
          <w:szCs w:val="24"/>
        </w:rPr>
      </w:pPr>
      <w:r>
        <w:rPr>
          <w:rFonts w:hint="eastAsia" w:ascii="宋体" w:hAnsi="宋体" w:cs="宋体"/>
          <w:sz w:val="24"/>
          <w:szCs w:val="24"/>
        </w:rPr>
        <w:t>28.4质疑函应当包括下列内容：</w:t>
      </w:r>
    </w:p>
    <w:p w14:paraId="16F9F7F6">
      <w:pPr>
        <w:spacing w:line="520" w:lineRule="exact"/>
        <w:ind w:firstLine="480" w:firstLineChars="200"/>
        <w:rPr>
          <w:rFonts w:ascii="宋体" w:hAnsi="宋体" w:cs="宋体"/>
          <w:sz w:val="24"/>
          <w:szCs w:val="24"/>
        </w:rPr>
      </w:pPr>
      <w:r>
        <w:rPr>
          <w:rFonts w:hint="eastAsia" w:ascii="宋体" w:hAnsi="宋体" w:cs="宋体"/>
          <w:sz w:val="24"/>
          <w:szCs w:val="24"/>
        </w:rPr>
        <w:t>28.4.1质疑投标人的名称、地址、邮编、联系人、联系电话；</w:t>
      </w:r>
    </w:p>
    <w:p w14:paraId="7D1E27D4">
      <w:pPr>
        <w:spacing w:line="520" w:lineRule="exact"/>
        <w:ind w:firstLine="480" w:firstLineChars="200"/>
        <w:rPr>
          <w:rFonts w:ascii="宋体" w:hAnsi="宋体" w:cs="宋体"/>
          <w:sz w:val="24"/>
          <w:szCs w:val="24"/>
        </w:rPr>
      </w:pPr>
      <w:r>
        <w:rPr>
          <w:rFonts w:hint="eastAsia" w:ascii="宋体" w:hAnsi="宋体" w:cs="宋体"/>
          <w:sz w:val="24"/>
          <w:szCs w:val="24"/>
        </w:rPr>
        <w:t>28.4.2具体的质疑事项及明确的请求；</w:t>
      </w:r>
    </w:p>
    <w:p w14:paraId="5ABC0665">
      <w:pPr>
        <w:spacing w:line="520" w:lineRule="exact"/>
        <w:ind w:firstLine="480" w:firstLineChars="200"/>
        <w:rPr>
          <w:rFonts w:ascii="宋体" w:hAnsi="宋体" w:cs="宋体"/>
          <w:sz w:val="24"/>
          <w:szCs w:val="24"/>
        </w:rPr>
      </w:pPr>
      <w:r>
        <w:rPr>
          <w:rFonts w:hint="eastAsia" w:ascii="宋体" w:hAnsi="宋体" w:cs="宋体"/>
          <w:sz w:val="24"/>
          <w:szCs w:val="24"/>
        </w:rPr>
        <w:t>28.4.3认为自己合法权益受到损害或可能受到损害的相关证据材料；</w:t>
      </w:r>
    </w:p>
    <w:p w14:paraId="6B9C42A5">
      <w:pPr>
        <w:spacing w:line="520" w:lineRule="exact"/>
        <w:ind w:firstLine="480" w:firstLineChars="200"/>
        <w:rPr>
          <w:rFonts w:ascii="宋体" w:hAnsi="宋体" w:cs="宋体"/>
          <w:sz w:val="24"/>
          <w:szCs w:val="24"/>
        </w:rPr>
      </w:pPr>
      <w:r>
        <w:rPr>
          <w:rFonts w:hint="eastAsia" w:ascii="宋体" w:hAnsi="宋体" w:cs="宋体"/>
          <w:sz w:val="24"/>
          <w:szCs w:val="24"/>
        </w:rPr>
        <w:t>28.4.4提起质疑的日期；</w:t>
      </w:r>
    </w:p>
    <w:p w14:paraId="685C7F65">
      <w:pPr>
        <w:spacing w:line="520" w:lineRule="exact"/>
        <w:ind w:firstLine="480" w:firstLineChars="200"/>
        <w:rPr>
          <w:rFonts w:ascii="宋体" w:hAnsi="宋体" w:cs="宋体"/>
          <w:sz w:val="24"/>
          <w:szCs w:val="24"/>
        </w:rPr>
      </w:pPr>
      <w:r>
        <w:rPr>
          <w:rFonts w:hint="eastAsia" w:ascii="宋体" w:hAnsi="宋体" w:cs="宋体"/>
          <w:sz w:val="24"/>
          <w:szCs w:val="24"/>
        </w:rPr>
        <w:t>28.4.5质疑函应当署名：质疑人为自然人的，应当由本人签字并附有效身份证</w:t>
      </w:r>
    </w:p>
    <w:p w14:paraId="155B87E8">
      <w:pPr>
        <w:spacing w:line="520" w:lineRule="exact"/>
        <w:ind w:firstLine="480" w:firstLineChars="200"/>
        <w:rPr>
          <w:rFonts w:ascii="宋体" w:hAnsi="宋体" w:cs="宋体"/>
          <w:sz w:val="24"/>
          <w:szCs w:val="24"/>
        </w:rPr>
      </w:pPr>
      <w:r>
        <w:rPr>
          <w:rFonts w:hint="eastAsia" w:ascii="宋体" w:hAnsi="宋体" w:cs="宋体"/>
          <w:sz w:val="24"/>
          <w:szCs w:val="24"/>
        </w:rPr>
        <w:t>明；质疑人为法人或其他组织的，应当由法定代表人签字并加盖单位公章。（质疑人为联合体的，则联合体各方法定代表人均须签字并加盖单位公章），未按要求签字和盖章的为无效质疑，采购人和采购代理机构将不予受理。质疑人委托代理质疑的，应当向采购人或采购代理机构提交授权委托书，并载明委托代理的具体权限和事项。</w:t>
      </w:r>
    </w:p>
    <w:p w14:paraId="24494F89">
      <w:pPr>
        <w:spacing w:line="520" w:lineRule="exact"/>
        <w:ind w:firstLine="480" w:firstLineChars="200"/>
        <w:rPr>
          <w:rFonts w:ascii="宋体" w:hAnsi="宋体" w:cs="宋体"/>
          <w:sz w:val="24"/>
          <w:szCs w:val="24"/>
        </w:rPr>
      </w:pPr>
      <w:r>
        <w:rPr>
          <w:rFonts w:hint="eastAsia" w:ascii="宋体" w:hAnsi="宋体" w:cs="宋体"/>
          <w:sz w:val="24"/>
          <w:szCs w:val="24"/>
        </w:rPr>
        <w:t>28.5采购人或采购代理机构收到质疑函后，将对质疑的形式和内容进行审查，如质疑函内容、格式不符合规定，采购人或采购代理机构将告知质疑人进行补正。</w:t>
      </w:r>
    </w:p>
    <w:p w14:paraId="08774FDE">
      <w:pPr>
        <w:spacing w:line="520" w:lineRule="exact"/>
        <w:ind w:firstLine="480" w:firstLineChars="200"/>
        <w:rPr>
          <w:rFonts w:ascii="宋体" w:hAnsi="宋体" w:cs="宋体"/>
          <w:sz w:val="24"/>
          <w:szCs w:val="24"/>
        </w:rPr>
      </w:pPr>
      <w:r>
        <w:rPr>
          <w:rFonts w:hint="eastAsia" w:ascii="宋体" w:hAnsi="宋体" w:cs="宋体"/>
          <w:sz w:val="24"/>
          <w:szCs w:val="24"/>
        </w:rPr>
        <w:t>28.6质疑人应当在法定质疑期限内进行补正并重新提交质疑函，拒不补正或者在法定期限内未重新提交质疑函的，为无效质疑，采购人和采购代理机构将不予受理。</w:t>
      </w:r>
    </w:p>
    <w:p w14:paraId="28C58F92">
      <w:pPr>
        <w:spacing w:line="520" w:lineRule="exact"/>
        <w:ind w:firstLine="480" w:firstLineChars="200"/>
        <w:rPr>
          <w:rFonts w:ascii="宋体" w:hAnsi="宋体" w:cs="宋体"/>
          <w:sz w:val="24"/>
          <w:szCs w:val="24"/>
        </w:rPr>
      </w:pPr>
      <w:r>
        <w:rPr>
          <w:rFonts w:hint="eastAsia" w:ascii="宋体" w:hAnsi="宋体" w:cs="宋体"/>
          <w:sz w:val="24"/>
          <w:szCs w:val="24"/>
        </w:rPr>
        <w:t>28.7对于内容、格式符合规定的质疑函，采购人或采购代理机构应当在收到投标供应商的书面质疑后七个工作日内作出答复，并以书面形式通知质疑供应商和其他有关供应商，但答复的内容不得涉及商业秘密。</w:t>
      </w:r>
    </w:p>
    <w:p w14:paraId="115ADE4C">
      <w:pPr>
        <w:spacing w:line="520" w:lineRule="exact"/>
        <w:ind w:firstLine="480" w:firstLineChars="200"/>
        <w:rPr>
          <w:rFonts w:ascii="宋体" w:hAnsi="宋体" w:cs="宋体"/>
          <w:sz w:val="24"/>
          <w:szCs w:val="24"/>
        </w:rPr>
      </w:pPr>
      <w:r>
        <w:rPr>
          <w:rFonts w:hint="eastAsia" w:ascii="宋体" w:hAnsi="宋体" w:cs="宋体"/>
          <w:sz w:val="24"/>
          <w:szCs w:val="24"/>
        </w:rPr>
        <w:t>28.8投标人提出书面质疑必须有理、有据，不得恶意质疑或提交虚假质疑。否则，一经查实，采购人或采购代理机构有权依据政府采购的有关规定，报请政府采购监管部门对该投标人进行相应的行政处罚，并扣减其诚信记录分。</w:t>
      </w:r>
    </w:p>
    <w:p w14:paraId="4784429C">
      <w:pPr>
        <w:spacing w:line="520" w:lineRule="exact"/>
        <w:ind w:firstLine="482" w:firstLineChars="200"/>
        <w:rPr>
          <w:rFonts w:ascii="宋体" w:hAnsi="宋体" w:cs="宋体"/>
          <w:b/>
          <w:sz w:val="24"/>
          <w:szCs w:val="24"/>
        </w:rPr>
      </w:pPr>
      <w:r>
        <w:rPr>
          <w:rFonts w:hint="eastAsia" w:ascii="宋体" w:hAnsi="宋体" w:cs="宋体"/>
          <w:b/>
          <w:sz w:val="24"/>
          <w:szCs w:val="24"/>
        </w:rPr>
        <w:t>28.9供应商（含潜在供应商）对采购方式、项目需求、供应商资格条件及审查结果、评标方法和评标标准、合同文本的询问、质疑等请向采购人</w:t>
      </w:r>
      <w:r>
        <w:rPr>
          <w:rFonts w:hint="eastAsia" w:ascii="宋体" w:hAnsi="宋体" w:cs="宋体"/>
          <w:b/>
          <w:bCs/>
          <w:sz w:val="24"/>
          <w:szCs w:val="24"/>
        </w:rPr>
        <w:t>或采购代理机构</w:t>
      </w:r>
      <w:r>
        <w:rPr>
          <w:rFonts w:hint="eastAsia" w:ascii="宋体" w:hAnsi="宋体" w:cs="宋体"/>
          <w:b/>
          <w:sz w:val="24"/>
          <w:szCs w:val="24"/>
        </w:rPr>
        <w:t>提出，由采购人</w:t>
      </w:r>
      <w:r>
        <w:rPr>
          <w:rFonts w:hint="eastAsia" w:ascii="宋体" w:hAnsi="宋体" w:cs="宋体"/>
          <w:b/>
          <w:bCs/>
          <w:sz w:val="24"/>
          <w:szCs w:val="24"/>
        </w:rPr>
        <w:t>或采购代理机构</w:t>
      </w:r>
      <w:r>
        <w:rPr>
          <w:rFonts w:hint="eastAsia" w:ascii="宋体" w:hAnsi="宋体" w:cs="宋体"/>
          <w:b/>
          <w:sz w:val="24"/>
          <w:szCs w:val="24"/>
        </w:rPr>
        <w:t>负责答复。</w:t>
      </w:r>
    </w:p>
    <w:p w14:paraId="78D0EF03">
      <w:pPr>
        <w:pStyle w:val="203"/>
        <w:spacing w:before="0" w:after="0" w:line="520" w:lineRule="exact"/>
        <w:ind w:firstLine="600" w:firstLineChars="200"/>
        <w:rPr>
          <w:rFonts w:ascii="宋体" w:hAnsi="宋体" w:eastAsia="宋体" w:cs="宋体"/>
          <w:b w:val="0"/>
          <w:sz w:val="30"/>
          <w:szCs w:val="30"/>
        </w:rPr>
      </w:pPr>
      <w:r>
        <w:rPr>
          <w:rFonts w:hint="eastAsia" w:ascii="宋体" w:hAnsi="宋体" w:eastAsia="宋体" w:cs="宋体"/>
          <w:b w:val="0"/>
          <w:sz w:val="30"/>
          <w:szCs w:val="30"/>
        </w:rPr>
        <w:t>29、中标通知书</w:t>
      </w:r>
    </w:p>
    <w:p w14:paraId="1F5D2758">
      <w:pPr>
        <w:spacing w:line="520" w:lineRule="exact"/>
        <w:ind w:firstLine="480" w:firstLineChars="200"/>
        <w:rPr>
          <w:rFonts w:ascii="宋体" w:hAnsi="宋体" w:cs="宋体"/>
          <w:sz w:val="24"/>
          <w:szCs w:val="24"/>
        </w:rPr>
      </w:pPr>
      <w:r>
        <w:rPr>
          <w:rFonts w:hint="eastAsia" w:ascii="宋体" w:hAnsi="宋体" w:cs="宋体"/>
          <w:sz w:val="24"/>
          <w:szCs w:val="24"/>
        </w:rPr>
        <w:t>29.l中标结果确定后，采购人或采购代理机构将向中标供应商发出中标通知书。</w:t>
      </w:r>
    </w:p>
    <w:p w14:paraId="77BB7A75">
      <w:pPr>
        <w:spacing w:line="520" w:lineRule="exact"/>
        <w:ind w:firstLine="480" w:firstLineChars="200"/>
        <w:rPr>
          <w:rFonts w:ascii="宋体" w:hAnsi="宋体" w:cs="宋体"/>
          <w:sz w:val="24"/>
          <w:szCs w:val="24"/>
        </w:rPr>
      </w:pPr>
      <w:r>
        <w:rPr>
          <w:rFonts w:hint="eastAsia" w:ascii="宋体" w:hAnsi="宋体" w:cs="宋体"/>
          <w:sz w:val="24"/>
          <w:szCs w:val="24"/>
        </w:rPr>
        <w:t>29.2中标通知书将是合同的一个组成部分。对采购人和中标供应商均具有法律效力。中标通知书发出后，采购人改变中标结果的，或者中标供应商放弃中标项目的，应当依法承担法律责任。</w:t>
      </w:r>
    </w:p>
    <w:p w14:paraId="11D4F0AD">
      <w:pPr>
        <w:spacing w:line="520" w:lineRule="exact"/>
        <w:ind w:firstLine="480" w:firstLineChars="200"/>
        <w:rPr>
          <w:rFonts w:ascii="宋体" w:hAnsi="宋体" w:cs="宋体"/>
          <w:sz w:val="24"/>
          <w:szCs w:val="24"/>
        </w:rPr>
      </w:pPr>
      <w:r>
        <w:rPr>
          <w:rFonts w:hint="eastAsia" w:ascii="宋体" w:hAnsi="宋体" w:cs="宋体"/>
          <w:sz w:val="24"/>
          <w:szCs w:val="24"/>
        </w:rPr>
        <w:t>29.3中标通知书发出之前，如遇质疑、投诉、政策调整等情形，导致重新评审改变评标结果、采购项目流标、重新招标等情形的，采购人和采购代理机构将停止发放中标通知书，且不承担由此给供应商造成的经济损失等任何后果。在正式发出中标通知书之前，供应商为完成项目付出的所有成本均由供应商自行承担。</w:t>
      </w:r>
    </w:p>
    <w:p w14:paraId="319C1ED2">
      <w:pPr>
        <w:pStyle w:val="201"/>
        <w:spacing w:before="0" w:after="0" w:line="520" w:lineRule="exact"/>
        <w:ind w:firstLine="643" w:firstLineChars="200"/>
        <w:rPr>
          <w:rFonts w:ascii="宋体" w:hAnsi="宋体" w:cs="宋体"/>
        </w:rPr>
      </w:pPr>
      <w:bookmarkStart w:id="154" w:name="_Toc120614220"/>
      <w:bookmarkStart w:id="155" w:name="_Toc513029236"/>
      <w:bookmarkStart w:id="156" w:name="_Toc20823308"/>
      <w:bookmarkStart w:id="157" w:name="_Toc16938552"/>
      <w:r>
        <w:rPr>
          <w:rFonts w:hint="eastAsia" w:ascii="宋体" w:hAnsi="宋体" w:cs="宋体"/>
        </w:rPr>
        <w:t>七、合同</w:t>
      </w:r>
      <w:bookmarkEnd w:id="154"/>
      <w:r>
        <w:rPr>
          <w:rFonts w:hint="eastAsia" w:ascii="宋体" w:hAnsi="宋体" w:cs="宋体"/>
        </w:rPr>
        <w:t>签订相关事项</w:t>
      </w:r>
    </w:p>
    <w:bookmarkEnd w:id="155"/>
    <w:bookmarkEnd w:id="156"/>
    <w:bookmarkEnd w:id="157"/>
    <w:p w14:paraId="379C5826">
      <w:pPr>
        <w:pStyle w:val="203"/>
        <w:spacing w:before="0" w:after="0" w:line="520" w:lineRule="exact"/>
        <w:ind w:firstLine="600" w:firstLineChars="200"/>
        <w:rPr>
          <w:rFonts w:ascii="宋体" w:hAnsi="宋体" w:eastAsia="宋体" w:cs="宋体"/>
          <w:b w:val="0"/>
          <w:sz w:val="30"/>
          <w:szCs w:val="30"/>
        </w:rPr>
      </w:pPr>
      <w:bookmarkStart w:id="158" w:name="_Toc513029237"/>
      <w:bookmarkStart w:id="159" w:name="_Toc16938553"/>
      <w:bookmarkStart w:id="160" w:name="_Toc20823309"/>
      <w:r>
        <w:rPr>
          <w:rFonts w:hint="eastAsia" w:ascii="宋体" w:hAnsi="宋体" w:eastAsia="宋体" w:cs="宋体"/>
          <w:b w:val="0"/>
          <w:sz w:val="30"/>
          <w:szCs w:val="30"/>
        </w:rPr>
        <w:t>30. 签订合同</w:t>
      </w:r>
    </w:p>
    <w:p w14:paraId="07957ECB">
      <w:pPr>
        <w:spacing w:line="520" w:lineRule="exact"/>
        <w:ind w:firstLine="480" w:firstLineChars="200"/>
        <w:rPr>
          <w:rFonts w:ascii="宋体" w:hAnsi="宋体" w:cs="宋体"/>
          <w:sz w:val="24"/>
          <w:szCs w:val="24"/>
        </w:rPr>
      </w:pPr>
      <w:r>
        <w:rPr>
          <w:rFonts w:hint="eastAsia" w:ascii="宋体" w:hAnsi="宋体" w:cs="宋体"/>
          <w:bCs/>
          <w:sz w:val="24"/>
          <w:szCs w:val="24"/>
        </w:rPr>
        <w:t>30</w:t>
      </w:r>
      <w:r>
        <w:rPr>
          <w:rFonts w:hint="eastAsia" w:ascii="宋体" w:hAnsi="宋体" w:cs="宋体"/>
          <w:sz w:val="24"/>
          <w:szCs w:val="24"/>
        </w:rPr>
        <w:t>.l中标供应商应按中标通知书规定的时间、地点,按照招标文件确定的事项与采购人签订政府采购合同，且不得迟于中标通知书发出之日起十五日内，由此给采购人造成损失的，中标供应商还应承担赔偿责任。</w:t>
      </w:r>
    </w:p>
    <w:p w14:paraId="1E07A196">
      <w:pPr>
        <w:spacing w:line="520" w:lineRule="exact"/>
        <w:ind w:firstLine="480" w:firstLineChars="200"/>
        <w:rPr>
          <w:rFonts w:ascii="宋体" w:hAnsi="宋体" w:cs="宋体"/>
          <w:sz w:val="24"/>
          <w:szCs w:val="24"/>
        </w:rPr>
      </w:pPr>
      <w:r>
        <w:rPr>
          <w:rFonts w:hint="eastAsia" w:ascii="宋体" w:hAnsi="宋体" w:cs="宋体"/>
          <w:sz w:val="24"/>
          <w:szCs w:val="24"/>
        </w:rPr>
        <w:t>30.2招标文件、中标供应商的投标文件及招标过程中有关澄清、承诺文件均应作为合同附件。</w:t>
      </w:r>
    </w:p>
    <w:p w14:paraId="5E5A743D">
      <w:pPr>
        <w:spacing w:line="520" w:lineRule="exact"/>
        <w:ind w:firstLine="480" w:firstLineChars="200"/>
        <w:rPr>
          <w:rFonts w:ascii="宋体" w:hAnsi="宋体" w:cs="宋体"/>
          <w:sz w:val="24"/>
          <w:szCs w:val="24"/>
        </w:rPr>
      </w:pPr>
      <w:r>
        <w:rPr>
          <w:rFonts w:hint="eastAsia" w:ascii="宋体" w:hAnsi="宋体" w:cs="宋体"/>
          <w:sz w:val="24"/>
          <w:szCs w:val="24"/>
        </w:rPr>
        <w:t>30.3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p>
    <w:p w14:paraId="5F76B1E0">
      <w:pPr>
        <w:spacing w:line="520" w:lineRule="exact"/>
        <w:ind w:firstLine="482" w:firstLineChars="200"/>
        <w:rPr>
          <w:rFonts w:hint="eastAsia" w:ascii="宋体" w:hAnsi="宋体" w:cs="宋体"/>
          <w:b/>
          <w:bCs/>
          <w:sz w:val="24"/>
          <w:szCs w:val="24"/>
        </w:rPr>
      </w:pPr>
      <w:r>
        <w:rPr>
          <w:rFonts w:hint="eastAsia" w:ascii="宋体" w:hAnsi="宋体" w:cs="宋体"/>
          <w:b/>
          <w:bCs/>
          <w:sz w:val="24"/>
          <w:szCs w:val="24"/>
        </w:rPr>
        <w:t>30.4中标或者成交后无正当理由拒不与采购人签订政府采购合同的，将被列入不良行为记录名单，在一至三年内禁止参加政府采购活动。</w:t>
      </w:r>
    </w:p>
    <w:p w14:paraId="267B35DF">
      <w:pPr>
        <w:spacing w:line="520" w:lineRule="exact"/>
        <w:ind w:firstLine="482" w:firstLineChars="200"/>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30.5签订合同前，中标人必须向采购人提交其投标文件中所有材料的原件，采购人核查无误后，签订合同。如中标人不能在采购人规定的时间内向采购人提供原件，将被采购人视为放弃中标资格。</w:t>
      </w:r>
    </w:p>
    <w:p w14:paraId="04A4B777">
      <w:pPr>
        <w:pStyle w:val="203"/>
        <w:spacing w:before="0" w:after="0" w:line="520" w:lineRule="exact"/>
        <w:ind w:firstLine="600" w:firstLineChars="200"/>
        <w:rPr>
          <w:rFonts w:ascii="宋体" w:hAnsi="宋体" w:eastAsia="宋体" w:cs="宋体"/>
          <w:b w:val="0"/>
          <w:sz w:val="30"/>
          <w:szCs w:val="30"/>
        </w:rPr>
      </w:pPr>
      <w:r>
        <w:rPr>
          <w:rFonts w:hint="eastAsia" w:ascii="宋体" w:hAnsi="宋体" w:eastAsia="宋体" w:cs="宋体"/>
          <w:b w:val="0"/>
          <w:sz w:val="30"/>
          <w:szCs w:val="30"/>
        </w:rPr>
        <w:t>31、货物和服务的追加、减少和添购。</w:t>
      </w:r>
    </w:p>
    <w:p w14:paraId="1FF3B2E6">
      <w:pPr>
        <w:spacing w:line="520" w:lineRule="exact"/>
        <w:ind w:firstLine="480" w:firstLineChars="200"/>
        <w:rPr>
          <w:rFonts w:ascii="宋体" w:hAnsi="宋体" w:cs="宋体"/>
          <w:sz w:val="24"/>
          <w:szCs w:val="24"/>
        </w:rPr>
      </w:pPr>
      <w:r>
        <w:rPr>
          <w:rFonts w:hint="eastAsia" w:ascii="宋体" w:hAnsi="宋体" w:cs="宋体"/>
          <w:sz w:val="24"/>
          <w:szCs w:val="24"/>
        </w:rPr>
        <w:t>31.1政府采购合同履行中，采购人需追加与合同标的相同的货物和服务的，在不改变合同其他条款的前提下，可以与中标供应商协商签订补充合同，但所有补充合同的采购金额不超过原合同金额10%。</w:t>
      </w:r>
    </w:p>
    <w:p w14:paraId="46011CBD">
      <w:pPr>
        <w:spacing w:line="520" w:lineRule="exact"/>
        <w:ind w:firstLine="480" w:firstLineChars="200"/>
        <w:rPr>
          <w:rFonts w:ascii="宋体" w:hAnsi="宋体" w:cs="宋体"/>
          <w:b/>
          <w:sz w:val="24"/>
          <w:szCs w:val="24"/>
        </w:rPr>
      </w:pPr>
      <w:r>
        <w:rPr>
          <w:rFonts w:hint="eastAsia" w:ascii="宋体" w:hAnsi="宋体" w:cs="宋体"/>
          <w:sz w:val="24"/>
          <w:szCs w:val="24"/>
        </w:rPr>
        <w:t>31.2采购结束后，采购人若由于各种客观原因，必须对采购项目所牵涉的货物和服务进行适当的减少时，在双方协商一致的前提下，可以按照招标采购时的价格水平做相应的调减，并据此签订补充合同。</w:t>
      </w:r>
    </w:p>
    <w:bookmarkEnd w:id="158"/>
    <w:bookmarkEnd w:id="159"/>
    <w:bookmarkEnd w:id="160"/>
    <w:p w14:paraId="382A42D9">
      <w:pPr>
        <w:tabs>
          <w:tab w:val="left" w:pos="900"/>
        </w:tabs>
        <w:spacing w:line="520" w:lineRule="exact"/>
        <w:ind w:firstLine="600" w:firstLineChars="200"/>
        <w:rPr>
          <w:rFonts w:ascii="宋体" w:hAnsi="宋体" w:cs="宋体"/>
          <w:bCs/>
          <w:sz w:val="30"/>
          <w:szCs w:val="30"/>
        </w:rPr>
      </w:pPr>
      <w:bookmarkStart w:id="161" w:name="_Toc120614221"/>
      <w:bookmarkStart w:id="162" w:name="_Toc479757207"/>
      <w:bookmarkStart w:id="163" w:name="_Toc513029242"/>
      <w:bookmarkStart w:id="164" w:name="_Toc20823314"/>
      <w:bookmarkStart w:id="165" w:name="_Toc16938558"/>
      <w:r>
        <w:rPr>
          <w:rFonts w:hint="eastAsia" w:ascii="宋体" w:hAnsi="宋体" w:cs="宋体"/>
          <w:bCs/>
          <w:sz w:val="30"/>
          <w:szCs w:val="30"/>
        </w:rPr>
        <w:t>32、履约保证金</w:t>
      </w:r>
    </w:p>
    <w:p w14:paraId="4BEFF338">
      <w:pPr>
        <w:tabs>
          <w:tab w:val="left" w:pos="900"/>
        </w:tabs>
        <w:spacing w:line="520" w:lineRule="exact"/>
        <w:ind w:firstLine="480" w:firstLineChars="200"/>
        <w:rPr>
          <w:rFonts w:ascii="宋体" w:hAnsi="宋体" w:cs="宋体"/>
          <w:sz w:val="24"/>
        </w:rPr>
      </w:pPr>
      <w:r>
        <w:rPr>
          <w:rFonts w:hint="eastAsia" w:ascii="宋体" w:hAnsi="宋体" w:cs="宋体"/>
          <w:sz w:val="24"/>
        </w:rPr>
        <w:t>32.1在签订合同前，中标供应商须向采购人交</w:t>
      </w:r>
      <w:r>
        <w:rPr>
          <w:rFonts w:hint="eastAsia" w:ascii="宋体" w:hAnsi="宋体" w:cs="宋体"/>
          <w:sz w:val="24"/>
          <w:highlight w:val="none"/>
        </w:rPr>
        <w:t>纳履约保证金（履约保证金的数额为合同金额的</w:t>
      </w:r>
      <w:r>
        <w:rPr>
          <w:rFonts w:hint="eastAsia" w:ascii="宋体" w:hAnsi="宋体" w:cs="宋体"/>
          <w:sz w:val="24"/>
          <w:highlight w:val="none"/>
          <w:u w:val="single"/>
          <w:lang w:val="en-US" w:eastAsia="zh-CN"/>
        </w:rPr>
        <w:t xml:space="preserve"> </w:t>
      </w:r>
      <w:r>
        <w:rPr>
          <w:rFonts w:hint="eastAsia" w:ascii="宋体" w:hAnsi="宋体" w:cs="宋体"/>
          <w:b/>
          <w:bCs/>
          <w:sz w:val="24"/>
          <w:highlight w:val="none"/>
          <w:u w:val="single"/>
          <w:lang w:val="en-US" w:eastAsia="zh-CN"/>
        </w:rPr>
        <w:t>5</w:t>
      </w:r>
      <w:r>
        <w:rPr>
          <w:rFonts w:hint="eastAsia" w:ascii="宋体" w:hAnsi="宋体" w:cs="宋体"/>
          <w:b/>
          <w:bCs/>
          <w:sz w:val="24"/>
          <w:highlight w:val="none"/>
          <w:u w:val="single"/>
        </w:rPr>
        <w:t>%</w:t>
      </w:r>
      <w:r>
        <w:rPr>
          <w:rFonts w:hint="eastAsia" w:ascii="宋体" w:hAnsi="宋体" w:cs="宋体"/>
          <w:b/>
          <w:bCs/>
          <w:sz w:val="24"/>
          <w:highlight w:val="none"/>
          <w:u w:val="single"/>
          <w:lang w:val="en-US" w:eastAsia="zh-CN"/>
        </w:rPr>
        <w:t xml:space="preserve"> </w:t>
      </w:r>
      <w:r>
        <w:rPr>
          <w:rFonts w:hint="eastAsia" w:ascii="宋体" w:hAnsi="宋体" w:cs="宋体"/>
          <w:sz w:val="24"/>
          <w:highlight w:val="none"/>
        </w:rPr>
        <w:t>，以支票、汇票、本票或者金融机构、担保</w:t>
      </w:r>
      <w:r>
        <w:rPr>
          <w:rFonts w:hint="eastAsia" w:ascii="宋体" w:hAnsi="宋体" w:cs="宋体"/>
          <w:sz w:val="24"/>
        </w:rPr>
        <w:t>机构出具的保函等非现金形式提交）。</w:t>
      </w:r>
    </w:p>
    <w:p w14:paraId="7EF7275F">
      <w:pPr>
        <w:tabs>
          <w:tab w:val="left" w:pos="900"/>
        </w:tabs>
        <w:spacing w:line="520" w:lineRule="exact"/>
        <w:ind w:firstLine="480" w:firstLineChars="200"/>
        <w:rPr>
          <w:rFonts w:ascii="宋体" w:hAnsi="宋体" w:cs="宋体"/>
          <w:sz w:val="24"/>
          <w:lang w:val="zh-CN"/>
        </w:rPr>
      </w:pPr>
      <w:r>
        <w:rPr>
          <w:rFonts w:hint="eastAsia" w:ascii="宋体" w:hAnsi="宋体" w:cs="宋体"/>
          <w:sz w:val="24"/>
        </w:rPr>
        <w:t>32.2中标供应商</w:t>
      </w:r>
      <w:r>
        <w:rPr>
          <w:rFonts w:hint="eastAsia" w:ascii="宋体" w:hAnsi="宋体" w:cs="宋体"/>
          <w:sz w:val="24"/>
          <w:lang w:val="zh-CN"/>
        </w:rPr>
        <w:t>若在签订采购合同</w:t>
      </w:r>
      <w:r>
        <w:rPr>
          <w:rFonts w:hint="eastAsia" w:ascii="宋体" w:hAnsi="宋体" w:cs="宋体"/>
          <w:sz w:val="24"/>
        </w:rPr>
        <w:t>前</w:t>
      </w:r>
      <w:r>
        <w:rPr>
          <w:rFonts w:hint="eastAsia" w:ascii="宋体" w:hAnsi="宋体" w:cs="宋体"/>
          <w:sz w:val="24"/>
          <w:lang w:val="zh-CN"/>
        </w:rPr>
        <w:t>向</w:t>
      </w:r>
      <w:r>
        <w:rPr>
          <w:rFonts w:hint="eastAsia" w:ascii="宋体" w:hAnsi="宋体" w:cs="宋体"/>
          <w:sz w:val="24"/>
        </w:rPr>
        <w:t>采购</w:t>
      </w:r>
      <w:r>
        <w:rPr>
          <w:rFonts w:hint="eastAsia" w:ascii="宋体" w:hAnsi="宋体" w:cs="宋体"/>
          <w:sz w:val="24"/>
          <w:lang w:val="zh-CN"/>
        </w:rPr>
        <w:t>人提交本单位有效期内的第三方信用报告，且信用评级在AA级及以上的，</w:t>
      </w:r>
      <w:r>
        <w:rPr>
          <w:rFonts w:hint="eastAsia" w:ascii="宋体" w:hAnsi="宋体" w:cs="宋体"/>
          <w:sz w:val="24"/>
        </w:rPr>
        <w:t>中标供应商</w:t>
      </w:r>
      <w:r>
        <w:rPr>
          <w:rFonts w:hint="eastAsia" w:ascii="宋体" w:hAnsi="宋体" w:cs="宋体"/>
          <w:sz w:val="24"/>
          <w:lang w:val="zh-CN"/>
        </w:rPr>
        <w:t>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p>
    <w:p w14:paraId="1D625EA2">
      <w:pPr>
        <w:tabs>
          <w:tab w:val="left" w:pos="900"/>
        </w:tabs>
        <w:spacing w:line="520" w:lineRule="exact"/>
        <w:ind w:firstLine="480" w:firstLineChars="200"/>
        <w:rPr>
          <w:rFonts w:ascii="宋体" w:hAnsi="宋体" w:cs="宋体"/>
          <w:sz w:val="24"/>
          <w:lang w:val="zh-CN"/>
        </w:rPr>
      </w:pPr>
      <w:r>
        <w:rPr>
          <w:rFonts w:hint="eastAsia" w:ascii="宋体" w:hAnsi="宋体" w:cs="宋体"/>
          <w:sz w:val="24"/>
        </w:rPr>
        <w:t>32.3</w:t>
      </w:r>
      <w:r>
        <w:rPr>
          <w:rFonts w:hint="eastAsia" w:ascii="宋体" w:hAnsi="宋体" w:cs="宋体"/>
          <w:sz w:val="24"/>
          <w:lang w:val="zh-CN"/>
        </w:rPr>
        <w:t>履约保证金用以约束</w:t>
      </w:r>
      <w:r>
        <w:rPr>
          <w:rFonts w:hint="eastAsia" w:ascii="宋体" w:hAnsi="宋体" w:cs="宋体"/>
          <w:sz w:val="24"/>
        </w:rPr>
        <w:t>中标</w:t>
      </w:r>
      <w:r>
        <w:rPr>
          <w:rFonts w:hint="eastAsia" w:ascii="宋体" w:hAnsi="宋体" w:cs="宋体"/>
          <w:sz w:val="24"/>
          <w:lang w:val="zh-CN"/>
        </w:rPr>
        <w:t>供应商在合同履行中的行为，弥补合同执行中由于</w:t>
      </w:r>
      <w:r>
        <w:rPr>
          <w:rFonts w:hint="eastAsia" w:ascii="宋体" w:hAnsi="宋体" w:cs="宋体"/>
          <w:sz w:val="24"/>
        </w:rPr>
        <w:t>中标供应商</w:t>
      </w:r>
      <w:r>
        <w:rPr>
          <w:rFonts w:hint="eastAsia" w:ascii="宋体" w:hAnsi="宋体" w:cs="宋体"/>
          <w:sz w:val="24"/>
          <w:lang w:val="zh-CN"/>
        </w:rPr>
        <w:t>自身行为可能给采购人带来的各种损失。</w:t>
      </w:r>
      <w:r>
        <w:rPr>
          <w:rFonts w:hint="eastAsia" w:ascii="宋体" w:hAnsi="宋体" w:cs="宋体"/>
          <w:sz w:val="24"/>
        </w:rPr>
        <w:t>中标</w:t>
      </w:r>
      <w:r>
        <w:rPr>
          <w:rFonts w:hint="eastAsia" w:ascii="宋体" w:hAnsi="宋体" w:cs="宋体"/>
          <w:sz w:val="24"/>
          <w:lang w:val="zh-CN"/>
        </w:rPr>
        <w:t>供应商</w:t>
      </w:r>
      <w:r>
        <w:rPr>
          <w:rFonts w:hint="eastAsia" w:ascii="宋体" w:hAnsi="宋体" w:cs="宋体"/>
          <w:sz w:val="24"/>
        </w:rPr>
        <w:t>履行合同</w:t>
      </w:r>
      <w:r>
        <w:rPr>
          <w:rFonts w:hint="eastAsia" w:ascii="宋体" w:hAnsi="宋体" w:cs="宋体"/>
          <w:sz w:val="24"/>
          <w:lang w:val="zh-CN"/>
        </w:rPr>
        <w:t>违约时，采购人按合同约定扣除全部或部分履约保证金。如违约给采购人造成的损失超过履约保证金的，还应当依法赔偿超过部分的损失。</w:t>
      </w:r>
    </w:p>
    <w:p w14:paraId="0EA35896">
      <w:pPr>
        <w:tabs>
          <w:tab w:val="left" w:pos="900"/>
        </w:tabs>
        <w:spacing w:line="520" w:lineRule="exact"/>
        <w:ind w:firstLine="480" w:firstLineChars="200"/>
        <w:rPr>
          <w:rFonts w:ascii="宋体" w:hAnsi="宋体" w:cs="宋体"/>
          <w:sz w:val="24"/>
        </w:rPr>
      </w:pPr>
      <w:r>
        <w:rPr>
          <w:rFonts w:hint="eastAsia" w:ascii="宋体" w:hAnsi="宋体" w:cs="宋体"/>
          <w:sz w:val="24"/>
        </w:rPr>
        <w:t>32.4履约保证金的退还：</w:t>
      </w:r>
    </w:p>
    <w:p w14:paraId="64C7140E">
      <w:pPr>
        <w:tabs>
          <w:tab w:val="left" w:pos="900"/>
        </w:tabs>
        <w:spacing w:line="520" w:lineRule="exact"/>
        <w:ind w:firstLine="480" w:firstLineChars="200"/>
        <w:rPr>
          <w:rFonts w:ascii="宋体" w:hAnsi="宋体" w:cs="宋体"/>
          <w:sz w:val="24"/>
          <w:lang w:val="zh-CN"/>
        </w:rPr>
      </w:pPr>
      <w:r>
        <w:rPr>
          <w:rFonts w:hint="eastAsia" w:ascii="宋体" w:hAnsi="宋体" w:cs="宋体"/>
          <w:sz w:val="24"/>
        </w:rPr>
        <w:t>32.4.1</w:t>
      </w:r>
      <w:r>
        <w:rPr>
          <w:rFonts w:hint="eastAsia" w:ascii="宋体" w:hAnsi="宋体" w:cs="宋体"/>
          <w:sz w:val="24"/>
          <w:lang w:val="zh-CN"/>
        </w:rPr>
        <w:t>方式：无息退还至投标人缴纳履约保证金的账户。</w:t>
      </w:r>
      <w:r>
        <w:rPr>
          <w:rFonts w:hint="eastAsia" w:ascii="宋体" w:hAnsi="宋体" w:cs="宋体"/>
          <w:sz w:val="24"/>
        </w:rPr>
        <w:t>如为</w:t>
      </w:r>
      <w:r>
        <w:rPr>
          <w:rFonts w:hint="eastAsia" w:ascii="宋体" w:hAnsi="宋体" w:cs="宋体"/>
          <w:sz w:val="24"/>
          <w:lang w:val="zh-CN"/>
        </w:rPr>
        <w:t>保函，在到期</w:t>
      </w:r>
      <w:r>
        <w:rPr>
          <w:rFonts w:hint="eastAsia" w:ascii="宋体" w:hAnsi="宋体" w:cs="宋体"/>
          <w:sz w:val="24"/>
        </w:rPr>
        <w:t>时</w:t>
      </w:r>
      <w:r>
        <w:rPr>
          <w:rFonts w:hint="eastAsia" w:ascii="宋体" w:hAnsi="宋体" w:cs="宋体"/>
          <w:sz w:val="24"/>
          <w:lang w:val="zh-CN"/>
        </w:rPr>
        <w:t>自行失效。</w:t>
      </w:r>
    </w:p>
    <w:p w14:paraId="3888C030">
      <w:pPr>
        <w:tabs>
          <w:tab w:val="left" w:pos="900"/>
        </w:tabs>
        <w:spacing w:line="520" w:lineRule="exact"/>
        <w:ind w:firstLine="480" w:firstLineChars="200"/>
        <w:rPr>
          <w:rFonts w:ascii="宋体" w:hAnsi="宋体" w:cs="宋体"/>
          <w:sz w:val="24"/>
        </w:rPr>
      </w:pPr>
      <w:r>
        <w:rPr>
          <w:rFonts w:hint="eastAsia" w:ascii="宋体" w:hAnsi="宋体" w:cs="宋体"/>
          <w:sz w:val="24"/>
        </w:rPr>
        <w:t>32.4.2</w:t>
      </w:r>
      <w:r>
        <w:rPr>
          <w:rFonts w:hint="eastAsia" w:ascii="宋体" w:hAnsi="宋体" w:cs="宋体"/>
          <w:sz w:val="24"/>
          <w:lang w:val="zh-CN"/>
        </w:rPr>
        <w:t>时间：验收合格且采购人收到发票后</w:t>
      </w:r>
      <w:r>
        <w:rPr>
          <w:rFonts w:hint="eastAsia" w:ascii="宋体" w:hAnsi="宋体" w:cs="宋体"/>
          <w:sz w:val="24"/>
        </w:rPr>
        <w:t>30日内。</w:t>
      </w:r>
    </w:p>
    <w:p w14:paraId="7F681764">
      <w:pPr>
        <w:tabs>
          <w:tab w:val="left" w:pos="900"/>
        </w:tabs>
        <w:spacing w:line="520" w:lineRule="exact"/>
        <w:ind w:firstLine="480" w:firstLineChars="200"/>
        <w:rPr>
          <w:rFonts w:ascii="宋体" w:hAnsi="宋体" w:cs="宋体"/>
          <w:sz w:val="24"/>
          <w:lang w:val="zh-CN"/>
        </w:rPr>
      </w:pPr>
      <w:r>
        <w:rPr>
          <w:rFonts w:hint="eastAsia" w:ascii="宋体" w:hAnsi="宋体" w:cs="宋体"/>
          <w:sz w:val="24"/>
        </w:rPr>
        <w:t>32.4.3</w:t>
      </w:r>
      <w:r>
        <w:rPr>
          <w:rFonts w:hint="eastAsia" w:ascii="宋体" w:hAnsi="宋体" w:cs="宋体"/>
          <w:sz w:val="24"/>
          <w:lang w:val="zh-CN"/>
        </w:rPr>
        <w:t>条件：按合同要求全部履约完成并经采购人验收合格，且采购人收到中标人出具的发票。</w:t>
      </w:r>
    </w:p>
    <w:p w14:paraId="0DA0A678">
      <w:pPr>
        <w:tabs>
          <w:tab w:val="left" w:pos="900"/>
        </w:tabs>
        <w:spacing w:line="520" w:lineRule="exact"/>
        <w:ind w:firstLine="480" w:firstLineChars="200"/>
        <w:rPr>
          <w:rFonts w:ascii="宋体" w:hAnsi="宋体" w:cs="宋体"/>
          <w:sz w:val="24"/>
          <w:lang w:val="zh-CN"/>
        </w:rPr>
      </w:pPr>
      <w:r>
        <w:rPr>
          <w:rFonts w:hint="eastAsia" w:ascii="宋体" w:hAnsi="宋体" w:cs="宋体"/>
          <w:sz w:val="24"/>
        </w:rPr>
        <w:t>32.4.4</w:t>
      </w:r>
      <w:r>
        <w:rPr>
          <w:rFonts w:hint="eastAsia" w:ascii="宋体" w:hAnsi="宋体" w:cs="宋体"/>
          <w:sz w:val="24"/>
          <w:lang w:val="zh-CN"/>
        </w:rPr>
        <w:t>不予退还情形：</w:t>
      </w:r>
    </w:p>
    <w:p w14:paraId="054EE2D0">
      <w:pPr>
        <w:tabs>
          <w:tab w:val="left" w:pos="900"/>
        </w:tabs>
        <w:spacing w:line="520" w:lineRule="exact"/>
        <w:ind w:firstLine="480" w:firstLineChars="200"/>
        <w:rPr>
          <w:rFonts w:ascii="宋体" w:hAnsi="宋体" w:cs="宋体"/>
          <w:sz w:val="24"/>
          <w:lang w:val="zh-CN"/>
        </w:rPr>
      </w:pPr>
      <w:r>
        <w:rPr>
          <w:rFonts w:hint="eastAsia" w:ascii="宋体" w:hAnsi="宋体" w:cs="宋体"/>
          <w:sz w:val="24"/>
          <w:lang w:val="zh-CN"/>
        </w:rPr>
        <w:t>除不可抗力情况外，投标人出现下列情形之一的，</w:t>
      </w:r>
      <w:r>
        <w:rPr>
          <w:rFonts w:hint="eastAsia" w:ascii="宋体" w:hAnsi="宋体" w:cs="宋体"/>
          <w:sz w:val="24"/>
        </w:rPr>
        <w:t>其履约保证金，招标人</w:t>
      </w:r>
      <w:r>
        <w:rPr>
          <w:rFonts w:hint="eastAsia" w:ascii="宋体" w:hAnsi="宋体" w:cs="宋体"/>
          <w:sz w:val="24"/>
          <w:lang w:val="zh-CN"/>
        </w:rPr>
        <w:t>将视情节</w:t>
      </w:r>
      <w:r>
        <w:rPr>
          <w:rFonts w:hint="eastAsia" w:ascii="宋体" w:hAnsi="宋体" w:cs="宋体"/>
          <w:sz w:val="24"/>
        </w:rPr>
        <w:t>决定不予退还或部分不予退还。</w:t>
      </w:r>
    </w:p>
    <w:p w14:paraId="79C393F2">
      <w:pPr>
        <w:tabs>
          <w:tab w:val="left" w:pos="900"/>
        </w:tabs>
        <w:spacing w:line="520" w:lineRule="exact"/>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1</w:t>
      </w:r>
      <w:r>
        <w:rPr>
          <w:rFonts w:hint="eastAsia" w:ascii="宋体" w:hAnsi="宋体" w:cs="宋体"/>
          <w:sz w:val="24"/>
          <w:lang w:val="zh-CN"/>
        </w:rPr>
        <w:t>）中标人无正当理由拒绝签订合同的，或者在签订合同时向</w:t>
      </w:r>
      <w:r>
        <w:rPr>
          <w:rFonts w:hint="eastAsia" w:ascii="宋体" w:hAnsi="宋体" w:cs="宋体"/>
          <w:sz w:val="24"/>
        </w:rPr>
        <w:t>采购</w:t>
      </w:r>
      <w:r>
        <w:rPr>
          <w:rFonts w:hint="eastAsia" w:ascii="宋体" w:hAnsi="宋体" w:cs="宋体"/>
          <w:sz w:val="24"/>
          <w:lang w:val="zh-CN"/>
        </w:rPr>
        <w:t>人提出附加条件或者更改合同实质性内容要求的；</w:t>
      </w:r>
    </w:p>
    <w:p w14:paraId="0311F855">
      <w:pPr>
        <w:tabs>
          <w:tab w:val="left" w:pos="900"/>
        </w:tabs>
        <w:spacing w:line="520" w:lineRule="exact"/>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）中标人不履行与</w:t>
      </w:r>
      <w:r>
        <w:rPr>
          <w:rFonts w:hint="eastAsia" w:ascii="宋体" w:hAnsi="宋体" w:cs="宋体"/>
          <w:sz w:val="24"/>
        </w:rPr>
        <w:t>采购</w:t>
      </w:r>
      <w:r>
        <w:rPr>
          <w:rFonts w:hint="eastAsia" w:ascii="宋体" w:hAnsi="宋体" w:cs="宋体"/>
          <w:sz w:val="24"/>
          <w:lang w:val="zh-CN"/>
        </w:rPr>
        <w:t>人订立的合同的；</w:t>
      </w:r>
    </w:p>
    <w:p w14:paraId="7A4CC512">
      <w:pPr>
        <w:tabs>
          <w:tab w:val="left" w:pos="900"/>
        </w:tabs>
        <w:spacing w:line="520" w:lineRule="exact"/>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）中标人所供货物</w:t>
      </w:r>
      <w:r>
        <w:rPr>
          <w:rFonts w:hint="eastAsia" w:ascii="宋体" w:hAnsi="宋体" w:cs="宋体"/>
          <w:sz w:val="24"/>
        </w:rPr>
        <w:t>或服务</w:t>
      </w:r>
      <w:r>
        <w:rPr>
          <w:rFonts w:hint="eastAsia" w:ascii="宋体" w:hAnsi="宋体" w:cs="宋体"/>
          <w:sz w:val="24"/>
          <w:lang w:val="zh-CN"/>
        </w:rPr>
        <w:t>不符合招标文件规定要求的；</w:t>
      </w:r>
    </w:p>
    <w:p w14:paraId="23D6D5D4">
      <w:pPr>
        <w:tabs>
          <w:tab w:val="left" w:pos="900"/>
        </w:tabs>
        <w:spacing w:line="520" w:lineRule="exact"/>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4</w:t>
      </w:r>
      <w:r>
        <w:rPr>
          <w:rFonts w:hint="eastAsia" w:ascii="宋体" w:hAnsi="宋体" w:cs="宋体"/>
          <w:sz w:val="24"/>
          <w:lang w:val="zh-CN"/>
        </w:rPr>
        <w:t>）</w:t>
      </w:r>
      <w:r>
        <w:rPr>
          <w:rFonts w:hint="eastAsia" w:ascii="宋体" w:hAnsi="宋体" w:cs="宋体"/>
          <w:sz w:val="24"/>
        </w:rPr>
        <w:t>中标人</w:t>
      </w:r>
      <w:r>
        <w:rPr>
          <w:rFonts w:hint="eastAsia" w:ascii="宋体" w:hAnsi="宋体" w:cs="宋体"/>
          <w:sz w:val="24"/>
          <w:lang w:val="zh-CN"/>
        </w:rPr>
        <w:t>采取欺骗、弄虚作假方式投标的或与其它投标人串通投标的；</w:t>
      </w:r>
    </w:p>
    <w:p w14:paraId="46A7C742">
      <w:pPr>
        <w:pStyle w:val="221"/>
        <w:spacing w:after="0" w:line="520" w:lineRule="exact"/>
        <w:ind w:left="0" w:firstLine="480" w:firstLineChars="200"/>
        <w:rPr>
          <w:rFonts w:hint="default" w:ascii="宋体" w:hAnsi="宋体" w:cs="宋体"/>
          <w:lang w:val="zh-CN"/>
        </w:rPr>
      </w:pPr>
      <w:r>
        <w:rPr>
          <w:rFonts w:ascii="宋体" w:hAnsi="宋体" w:cs="宋体"/>
          <w:sz w:val="24"/>
        </w:rPr>
        <w:t>（5）中标人将合同内容转包、违法分包的；</w:t>
      </w:r>
    </w:p>
    <w:p w14:paraId="4EE3A9D5">
      <w:pPr>
        <w:tabs>
          <w:tab w:val="left" w:pos="900"/>
        </w:tabs>
        <w:spacing w:line="520" w:lineRule="exact"/>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6</w:t>
      </w:r>
      <w:r>
        <w:rPr>
          <w:rFonts w:hint="eastAsia" w:ascii="宋体" w:hAnsi="宋体" w:cs="宋体"/>
          <w:sz w:val="24"/>
          <w:lang w:val="zh-CN"/>
        </w:rPr>
        <w:t>）</w:t>
      </w:r>
      <w:r>
        <w:rPr>
          <w:rFonts w:hint="eastAsia" w:ascii="宋体" w:hAnsi="宋体" w:cs="宋体"/>
          <w:sz w:val="24"/>
        </w:rPr>
        <w:t>中标</w:t>
      </w:r>
      <w:r>
        <w:rPr>
          <w:rFonts w:hint="eastAsia" w:ascii="宋体" w:hAnsi="宋体" w:cs="宋体"/>
          <w:sz w:val="24"/>
          <w:lang w:val="zh-CN"/>
        </w:rPr>
        <w:t>人故意捏造事实或伪造证明材料，进行虚假恶意投诉或反映的。</w:t>
      </w:r>
    </w:p>
    <w:p w14:paraId="36DFAE31">
      <w:pPr>
        <w:tabs>
          <w:tab w:val="left" w:pos="900"/>
        </w:tabs>
        <w:spacing w:line="520" w:lineRule="exact"/>
        <w:ind w:firstLine="480" w:firstLineChars="200"/>
        <w:rPr>
          <w:rFonts w:ascii="宋体" w:hAnsi="宋体" w:cs="宋体"/>
          <w:sz w:val="24"/>
        </w:rPr>
      </w:pPr>
      <w:r>
        <w:rPr>
          <w:rFonts w:hint="eastAsia" w:ascii="宋体" w:hAnsi="宋体" w:cs="宋体"/>
          <w:sz w:val="24"/>
        </w:rPr>
        <w:t>32.4.5</w:t>
      </w:r>
      <w:r>
        <w:rPr>
          <w:rFonts w:hint="eastAsia" w:ascii="宋体" w:hAnsi="宋体" w:cs="宋体"/>
          <w:sz w:val="24"/>
          <w:lang w:val="zh-CN"/>
        </w:rPr>
        <w:t>逾期退还的违约责任：</w:t>
      </w:r>
      <w:r>
        <w:rPr>
          <w:rFonts w:hint="eastAsia" w:ascii="宋体" w:hAnsi="宋体" w:cs="宋体"/>
          <w:sz w:val="24"/>
        </w:rPr>
        <w:t>采购人逾期无故未退还</w:t>
      </w:r>
      <w:r>
        <w:rPr>
          <w:rFonts w:hint="eastAsia" w:ascii="宋体" w:hAnsi="宋体" w:cs="宋体"/>
          <w:sz w:val="24"/>
          <w:lang w:val="zh-CN"/>
        </w:rPr>
        <w:t>履约保证金</w:t>
      </w:r>
      <w:r>
        <w:rPr>
          <w:rFonts w:hint="eastAsia" w:ascii="宋体" w:hAnsi="宋体" w:cs="宋体"/>
          <w:sz w:val="24"/>
        </w:rPr>
        <w:t>的，按中国人民银行同期贷款基准利率上浮20%后的利率支付超期资金占用费，但因供应商自身原因导致无法及时退还的除外。</w:t>
      </w:r>
    </w:p>
    <w:p w14:paraId="11F3E9E5">
      <w:pPr>
        <w:pStyle w:val="199"/>
        <w:spacing w:line="520" w:lineRule="exact"/>
        <w:ind w:firstLine="602" w:firstLineChars="200"/>
        <w:jc w:val="both"/>
        <w:rPr>
          <w:rFonts w:ascii="宋体" w:hAnsi="宋体" w:eastAsia="宋体" w:cs="宋体"/>
          <w:b/>
          <w:sz w:val="30"/>
          <w:szCs w:val="30"/>
        </w:rPr>
      </w:pPr>
      <w:r>
        <w:rPr>
          <w:rFonts w:hint="eastAsia" w:ascii="宋体" w:hAnsi="宋体" w:eastAsia="宋体" w:cs="宋体"/>
          <w:b/>
          <w:sz w:val="30"/>
          <w:szCs w:val="30"/>
        </w:rPr>
        <w:t>33、有关说明</w:t>
      </w:r>
    </w:p>
    <w:p w14:paraId="0788B3B1">
      <w:pPr>
        <w:tabs>
          <w:tab w:val="left" w:pos="900"/>
        </w:tabs>
        <w:spacing w:line="520" w:lineRule="exact"/>
        <w:ind w:firstLine="480" w:firstLineChars="200"/>
        <w:rPr>
          <w:rFonts w:ascii="宋体" w:hAnsi="宋体" w:cs="宋体"/>
          <w:sz w:val="24"/>
          <w:lang w:val="zh-CN"/>
        </w:rPr>
      </w:pPr>
      <w:r>
        <w:rPr>
          <w:rFonts w:hint="eastAsia" w:ascii="宋体" w:hAnsi="宋体" w:cs="宋体"/>
          <w:sz w:val="24"/>
        </w:rPr>
        <w:t>33.1</w:t>
      </w:r>
      <w:r>
        <w:rPr>
          <w:rFonts w:hint="eastAsia" w:ascii="宋体" w:hAnsi="宋体" w:cs="宋体"/>
          <w:sz w:val="24"/>
          <w:lang w:val="zh-CN"/>
        </w:rPr>
        <w:t>对</w:t>
      </w:r>
      <w:r>
        <w:rPr>
          <w:rFonts w:hint="eastAsia" w:ascii="宋体" w:hAnsi="宋体" w:cs="宋体"/>
          <w:sz w:val="24"/>
        </w:rPr>
        <w:t>采购</w:t>
      </w:r>
      <w:r>
        <w:rPr>
          <w:rFonts w:hint="eastAsia" w:ascii="宋体" w:hAnsi="宋体" w:cs="宋体"/>
          <w:sz w:val="24"/>
          <w:lang w:val="zh-CN"/>
        </w:rPr>
        <w:t>文件相关条款理解产生分歧时由招标人负责解释。</w:t>
      </w:r>
      <w:r>
        <w:rPr>
          <w:rFonts w:hint="eastAsia" w:ascii="宋体" w:hAnsi="宋体" w:cs="宋体"/>
          <w:sz w:val="24"/>
        </w:rPr>
        <w:t>采购文件</w:t>
      </w:r>
      <w:r>
        <w:rPr>
          <w:rFonts w:hint="eastAsia" w:ascii="宋体" w:hAnsi="宋体" w:cs="宋体"/>
          <w:sz w:val="24"/>
          <w:lang w:val="zh-CN"/>
        </w:rPr>
        <w:t>中未尽事宜遵照《中华人民共和国政府采购法》、《中华人民共和国政府采购法实施条例》等国家有关法律、法规及相关文件规定。</w:t>
      </w:r>
    </w:p>
    <w:p w14:paraId="278FF6CF">
      <w:pPr>
        <w:tabs>
          <w:tab w:val="left" w:pos="900"/>
        </w:tabs>
        <w:spacing w:line="520" w:lineRule="exact"/>
        <w:ind w:firstLine="480" w:firstLineChars="200"/>
        <w:rPr>
          <w:rFonts w:ascii="宋体" w:hAnsi="宋体" w:cs="宋体"/>
          <w:sz w:val="24"/>
          <w:lang w:val="zh-CN"/>
        </w:rPr>
      </w:pPr>
      <w:r>
        <w:rPr>
          <w:rFonts w:hint="eastAsia" w:ascii="宋体" w:hAnsi="宋体" w:cs="宋体"/>
          <w:sz w:val="24"/>
        </w:rPr>
        <w:t>33.2</w:t>
      </w:r>
      <w:r>
        <w:rPr>
          <w:rFonts w:hint="eastAsia" w:ascii="宋体" w:hAnsi="宋体" w:cs="宋体"/>
          <w:sz w:val="24"/>
          <w:lang w:val="zh-CN"/>
        </w:rPr>
        <w:t>在合同执行期间，</w:t>
      </w:r>
      <w:r>
        <w:rPr>
          <w:rFonts w:hint="eastAsia" w:ascii="宋体" w:hAnsi="宋体" w:cs="宋体"/>
          <w:sz w:val="24"/>
        </w:rPr>
        <w:t>非采购人原因引起的</w:t>
      </w:r>
      <w:r>
        <w:rPr>
          <w:rFonts w:hint="eastAsia" w:ascii="宋体" w:hAnsi="宋体" w:cs="宋体"/>
          <w:sz w:val="24"/>
          <w:lang w:val="zh-CN"/>
        </w:rPr>
        <w:t>安全责任由</w:t>
      </w:r>
      <w:r>
        <w:rPr>
          <w:rFonts w:hint="eastAsia" w:ascii="宋体" w:hAnsi="宋体" w:cs="宋体"/>
          <w:sz w:val="24"/>
        </w:rPr>
        <w:t>中标</w:t>
      </w:r>
      <w:r>
        <w:rPr>
          <w:rFonts w:hint="eastAsia" w:ascii="宋体" w:hAnsi="宋体" w:cs="宋体"/>
          <w:sz w:val="24"/>
          <w:lang w:val="zh-CN"/>
        </w:rPr>
        <w:t>人负责。</w:t>
      </w:r>
    </w:p>
    <w:p w14:paraId="5FCC6B27">
      <w:pPr>
        <w:tabs>
          <w:tab w:val="left" w:pos="900"/>
        </w:tabs>
        <w:spacing w:line="520" w:lineRule="exact"/>
        <w:ind w:firstLine="480" w:firstLineChars="200"/>
        <w:rPr>
          <w:rFonts w:ascii="宋体" w:hAnsi="宋体" w:cs="宋体"/>
          <w:sz w:val="24"/>
          <w:lang w:val="zh-CN"/>
        </w:rPr>
      </w:pPr>
      <w:r>
        <w:rPr>
          <w:rFonts w:hint="eastAsia" w:ascii="宋体" w:hAnsi="宋体" w:cs="宋体"/>
          <w:sz w:val="24"/>
        </w:rPr>
        <w:t>33.3</w:t>
      </w:r>
      <w:r>
        <w:rPr>
          <w:rFonts w:hint="eastAsia" w:ascii="宋体" w:hAnsi="宋体" w:cs="宋体"/>
          <w:sz w:val="24"/>
          <w:lang w:val="zh-CN"/>
        </w:rPr>
        <w:t>投标单位因不良行为被下列部门取消或限制在全国、江苏省、盐城市、滨海县投标资格，并在不良行为记录公告期限内的，将被取消投标资格或者中标资格：</w:t>
      </w:r>
    </w:p>
    <w:p w14:paraId="31033F4C">
      <w:pPr>
        <w:tabs>
          <w:tab w:val="left" w:pos="900"/>
        </w:tabs>
        <w:spacing w:line="520" w:lineRule="exact"/>
        <w:ind w:firstLine="480" w:firstLineChars="200"/>
        <w:rPr>
          <w:rFonts w:ascii="宋体" w:hAnsi="宋体" w:cs="宋体"/>
          <w:sz w:val="24"/>
          <w:lang w:val="zh-CN"/>
        </w:rPr>
      </w:pPr>
      <w:r>
        <w:rPr>
          <w:rFonts w:hint="eastAsia" w:ascii="宋体" w:hAnsi="宋体" w:cs="宋体"/>
          <w:sz w:val="24"/>
          <w:lang w:val="zh-CN"/>
        </w:rPr>
        <w:t>（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p>
    <w:p w14:paraId="1EB9C678">
      <w:pPr>
        <w:tabs>
          <w:tab w:val="left" w:pos="900"/>
        </w:tabs>
        <w:spacing w:line="520" w:lineRule="exact"/>
        <w:ind w:firstLine="480" w:firstLineChars="200"/>
        <w:rPr>
          <w:rFonts w:ascii="宋体" w:hAnsi="宋体" w:cs="宋体"/>
          <w:sz w:val="24"/>
          <w:lang w:val="zh-CN"/>
        </w:rPr>
      </w:pPr>
      <w:r>
        <w:rPr>
          <w:rFonts w:hint="eastAsia" w:ascii="宋体" w:hAnsi="宋体" w:cs="宋体"/>
          <w:sz w:val="24"/>
          <w:lang w:val="zh-CN"/>
        </w:rPr>
        <w:t>上述行政主管部门和招标采购监管机构以外的不良行为记录公告，一律不作为取消或限制投标资格和中标资格的依据。</w:t>
      </w:r>
    </w:p>
    <w:p w14:paraId="22E7175C">
      <w:pPr>
        <w:tabs>
          <w:tab w:val="left" w:pos="900"/>
        </w:tabs>
        <w:spacing w:line="520" w:lineRule="exact"/>
        <w:ind w:firstLine="480" w:firstLineChars="200"/>
        <w:rPr>
          <w:rFonts w:ascii="宋体" w:hAnsi="宋体" w:cs="宋体"/>
          <w:sz w:val="24"/>
          <w:lang w:val="zh-CN"/>
        </w:rPr>
      </w:pPr>
      <w:r>
        <w:rPr>
          <w:rFonts w:hint="eastAsia" w:ascii="宋体" w:hAnsi="宋体" w:cs="宋体"/>
          <w:sz w:val="24"/>
        </w:rPr>
        <w:t>33.4</w:t>
      </w:r>
      <w:r>
        <w:rPr>
          <w:rFonts w:hint="eastAsia" w:ascii="宋体" w:hAnsi="宋体" w:cs="宋体"/>
          <w:sz w:val="24"/>
          <w:lang w:val="zh-CN"/>
        </w:rPr>
        <w:t>符合现行法律、法规、规章及相关招标管理文件明确限制投标情形的，将被取消投标资格或者中标资格。</w:t>
      </w:r>
    </w:p>
    <w:p w14:paraId="2BD924B8">
      <w:pPr>
        <w:tabs>
          <w:tab w:val="left" w:pos="900"/>
        </w:tabs>
        <w:spacing w:line="520" w:lineRule="exact"/>
        <w:ind w:firstLine="480" w:firstLineChars="200"/>
        <w:rPr>
          <w:rFonts w:ascii="宋体" w:hAnsi="宋体" w:cs="宋体"/>
          <w:sz w:val="24"/>
          <w:lang w:val="zh-CN"/>
        </w:rPr>
      </w:pPr>
      <w:r>
        <w:rPr>
          <w:rFonts w:hint="eastAsia" w:ascii="宋体" w:hAnsi="宋体" w:cs="宋体"/>
          <w:sz w:val="24"/>
        </w:rPr>
        <w:t>33.5</w:t>
      </w:r>
      <w:r>
        <w:rPr>
          <w:rFonts w:hint="eastAsia" w:ascii="宋体" w:hAnsi="宋体" w:cs="宋体"/>
          <w:sz w:val="24"/>
          <w:lang w:val="zh-CN"/>
        </w:rPr>
        <w:t>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p>
    <w:p w14:paraId="6AB808A7">
      <w:pPr>
        <w:tabs>
          <w:tab w:val="left" w:pos="900"/>
        </w:tabs>
        <w:spacing w:line="520" w:lineRule="exact"/>
        <w:ind w:firstLine="480" w:firstLineChars="200"/>
        <w:rPr>
          <w:rFonts w:ascii="宋体" w:hAnsi="宋体" w:cs="宋体"/>
          <w:sz w:val="24"/>
          <w:lang w:val="zh-CN"/>
        </w:rPr>
      </w:pPr>
      <w:r>
        <w:rPr>
          <w:rFonts w:hint="eastAsia" w:ascii="宋体" w:hAnsi="宋体" w:cs="宋体"/>
          <w:sz w:val="24"/>
        </w:rPr>
        <w:t>33.6</w:t>
      </w:r>
      <w:r>
        <w:rPr>
          <w:rFonts w:hint="eastAsia" w:ascii="宋体" w:hAnsi="宋体" w:cs="宋体"/>
          <w:sz w:val="24"/>
          <w:lang w:val="zh-CN"/>
        </w:rPr>
        <w:t>投标人捏造事实、提供虚假材料或者以非法手段取得证明材料进行投诉的，一经查实，将记入不良行为记录名单档案，并视情节予以公示三个月至三年，公示期间，滨海县其他政府投资项目的招标人可以拒绝其参加投标。</w:t>
      </w:r>
    </w:p>
    <w:p w14:paraId="53D2C8DB">
      <w:pPr>
        <w:tabs>
          <w:tab w:val="left" w:pos="900"/>
        </w:tabs>
        <w:spacing w:line="520" w:lineRule="exact"/>
        <w:ind w:firstLine="480" w:firstLineChars="200"/>
        <w:rPr>
          <w:rFonts w:ascii="宋体" w:hAnsi="宋体" w:cs="宋体"/>
          <w:sz w:val="24"/>
          <w:lang w:val="zh-CN"/>
        </w:rPr>
      </w:pPr>
      <w:r>
        <w:rPr>
          <w:rFonts w:hint="eastAsia" w:ascii="宋体" w:hAnsi="宋体" w:cs="宋体"/>
          <w:sz w:val="24"/>
        </w:rPr>
        <w:t>33.7</w:t>
      </w:r>
      <w:r>
        <w:rPr>
          <w:rFonts w:hint="eastAsia" w:ascii="宋体" w:hAnsi="宋体" w:cs="宋体"/>
          <w:sz w:val="24"/>
          <w:lang w:val="zh-CN"/>
        </w:rPr>
        <w:t>因处理投诉发生的第三方检验、检测、鉴定等费用，由提出申请的投标人先行垫付。投诉处理决定明确双方责任后，按照“谁过错谁负担”的原则由承担责任的一方负担；双方都有责任的，由双方合理分担。</w:t>
      </w:r>
    </w:p>
    <w:p w14:paraId="5DCDA803">
      <w:pPr>
        <w:pStyle w:val="199"/>
        <w:keepNext w:val="0"/>
        <w:spacing w:line="420" w:lineRule="auto"/>
        <w:ind w:firstLine="602"/>
        <w:jc w:val="both"/>
        <w:rPr>
          <w:rFonts w:ascii="黑体" w:hAnsi="宋体" w:eastAsia="宋体"/>
          <w:b/>
          <w:strike/>
          <w:sz w:val="30"/>
          <w:szCs w:val="30"/>
        </w:rPr>
      </w:pPr>
    </w:p>
    <w:p w14:paraId="5E665AFF">
      <w:pPr>
        <w:pStyle w:val="199"/>
        <w:keepNext w:val="0"/>
        <w:spacing w:line="420" w:lineRule="auto"/>
        <w:ind w:firstLine="420"/>
        <w:jc w:val="both"/>
        <w:rPr>
          <w:rFonts w:ascii="Times New Roman" w:eastAsia="宋体"/>
          <w:sz w:val="21"/>
          <w:szCs w:val="21"/>
        </w:rPr>
      </w:pPr>
    </w:p>
    <w:p w14:paraId="77169A13">
      <w:pPr>
        <w:pStyle w:val="199"/>
        <w:keepNext w:val="0"/>
        <w:spacing w:line="420" w:lineRule="auto"/>
        <w:ind w:firstLine="880"/>
        <w:jc w:val="both"/>
        <w:rPr>
          <w:rFonts w:ascii="黑体" w:eastAsia="黑体"/>
          <w:bCs/>
          <w:sz w:val="44"/>
        </w:rPr>
      </w:pPr>
    </w:p>
    <w:p w14:paraId="65700B9A">
      <w:pPr>
        <w:pStyle w:val="199"/>
        <w:spacing w:line="420" w:lineRule="auto"/>
        <w:ind w:firstLine="880"/>
        <w:jc w:val="both"/>
        <w:rPr>
          <w:rFonts w:ascii="黑体" w:eastAsia="黑体"/>
          <w:bCs/>
          <w:sz w:val="44"/>
        </w:rPr>
        <w:sectPr>
          <w:pgSz w:w="11906" w:h="16838"/>
          <w:pgMar w:top="1418" w:right="1588" w:bottom="1418" w:left="1365" w:header="851" w:footer="907" w:gutter="0"/>
          <w:cols w:space="1701" w:num="1"/>
          <w:titlePg/>
          <w:docGrid w:linePitch="360" w:charSpace="0"/>
        </w:sectPr>
      </w:pPr>
    </w:p>
    <w:p w14:paraId="4AFD286F">
      <w:pPr>
        <w:pStyle w:val="199"/>
        <w:spacing w:line="420" w:lineRule="auto"/>
        <w:ind w:firstLine="880"/>
        <w:jc w:val="center"/>
        <w:rPr>
          <w:rFonts w:ascii="宋体" w:hAnsi="宋体"/>
          <w:sz w:val="24"/>
        </w:rPr>
      </w:pPr>
      <w:r>
        <w:rPr>
          <w:rFonts w:hint="eastAsia" w:ascii="黑体" w:eastAsia="黑体"/>
          <w:bCs/>
          <w:sz w:val="44"/>
        </w:rPr>
        <w:t>第三章  合同条款</w:t>
      </w:r>
      <w:bookmarkEnd w:id="161"/>
      <w:bookmarkEnd w:id="162"/>
      <w:bookmarkEnd w:id="163"/>
      <w:bookmarkEnd w:id="164"/>
      <w:bookmarkEnd w:id="165"/>
      <w:bookmarkStart w:id="166" w:name="_Hlt16619369"/>
      <w:bookmarkEnd w:id="166"/>
      <w:bookmarkStart w:id="167" w:name="_Toc20823346"/>
      <w:bookmarkStart w:id="168" w:name="_Toc120614244"/>
      <w:bookmarkStart w:id="169" w:name="_Toc16938590"/>
      <w:bookmarkStart w:id="170" w:name="_Hlt16619350"/>
      <w:bookmarkStart w:id="171" w:name="_Toc462564139"/>
      <w:bookmarkStart w:id="172" w:name="_Toc479757211"/>
    </w:p>
    <w:p w14:paraId="4EEBD3A8">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采购方（全称）：                  （简称甲方） </w:t>
      </w:r>
    </w:p>
    <w:p w14:paraId="60E07488">
      <w:pPr>
        <w:widowControl/>
        <w:spacing w:line="360" w:lineRule="auto"/>
        <w:ind w:firstLine="480"/>
        <w:jc w:val="left"/>
        <w:rPr>
          <w:rFonts w:hint="eastAsia" w:ascii="宋体" w:hAnsi="宋体" w:cs="宋体"/>
          <w:sz w:val="24"/>
          <w:szCs w:val="24"/>
        </w:rPr>
      </w:pPr>
      <w:r>
        <w:rPr>
          <w:rFonts w:hint="eastAsia" w:ascii="宋体" w:hAnsi="宋体" w:cs="宋体"/>
          <w:sz w:val="24"/>
          <w:szCs w:val="24"/>
        </w:rPr>
        <w:t>服务方（全称）：                   （简称乙方）</w:t>
      </w:r>
    </w:p>
    <w:p w14:paraId="7637396A">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依照《中华人民共和国政府采购法》、《中华人民共和国民法典》及其他有关法律、行政法规，遵循平等、自愿、公平和诚实信用的原则，双方就相关事项协商一致，达成如下合同条款： </w:t>
      </w:r>
    </w:p>
    <w:p w14:paraId="64A53F4F">
      <w:pPr>
        <w:widowControl/>
        <w:spacing w:line="360" w:lineRule="auto"/>
        <w:ind w:firstLine="480"/>
        <w:jc w:val="left"/>
        <w:rPr>
          <w:rFonts w:hint="eastAsia" w:ascii="宋体" w:hAnsi="宋体" w:cs="宋体"/>
          <w:sz w:val="24"/>
          <w:szCs w:val="24"/>
        </w:rPr>
      </w:pPr>
      <w:r>
        <w:rPr>
          <w:rFonts w:hint="eastAsia" w:ascii="宋体" w:hAnsi="宋体" w:cs="宋体"/>
          <w:sz w:val="24"/>
          <w:szCs w:val="24"/>
        </w:rPr>
        <w:t>一、乙方向甲方提供总价值为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元的标的服务。 </w:t>
      </w:r>
      <w:r>
        <w:rPr>
          <w:rFonts w:hint="eastAsia" w:ascii="宋体" w:hAnsi="宋体" w:cs="宋体"/>
          <w:sz w:val="24"/>
          <w:szCs w:val="24"/>
          <w:lang w:val="en-US" w:eastAsia="zh-CN"/>
        </w:rPr>
        <w:t>本项目为</w:t>
      </w:r>
      <w:r>
        <w:rPr>
          <w:rFonts w:hint="eastAsia" w:ascii="宋体" w:hAnsi="宋体"/>
          <w:b/>
          <w:bCs/>
          <w:color w:val="000000"/>
          <w:sz w:val="24"/>
          <w:szCs w:val="24"/>
        </w:rPr>
        <w:t>全费用固定综合单价</w:t>
      </w:r>
      <w:r>
        <w:rPr>
          <w:rFonts w:hint="eastAsia" w:ascii="宋体" w:hAnsi="宋体"/>
          <w:color w:val="000000"/>
          <w:sz w:val="24"/>
          <w:szCs w:val="24"/>
        </w:rPr>
        <w:t>包含（但不限于）：</w:t>
      </w:r>
      <w:r>
        <w:rPr>
          <w:rFonts w:hint="eastAsia" w:ascii="宋体" w:hAnsi="宋体"/>
          <w:color w:val="000000"/>
          <w:sz w:val="24"/>
          <w:szCs w:val="24"/>
          <w:lang w:val="en-US" w:eastAsia="zh-CN"/>
        </w:rPr>
        <w:t>乙方</w:t>
      </w:r>
      <w:r>
        <w:rPr>
          <w:rFonts w:hint="eastAsia" w:ascii="宋体" w:hAnsi="宋体"/>
          <w:color w:val="000000"/>
          <w:sz w:val="24"/>
          <w:szCs w:val="24"/>
        </w:rPr>
        <w:t>的</w:t>
      </w:r>
      <w:r>
        <w:rPr>
          <w:rFonts w:hint="eastAsia" w:ascii="宋体" w:hAnsi="宋体"/>
          <w:color w:val="000000"/>
          <w:sz w:val="24"/>
          <w:szCs w:val="24"/>
          <w:lang w:val="en-US" w:eastAsia="zh-CN"/>
        </w:rPr>
        <w:t>合同价</w:t>
      </w:r>
      <w:r>
        <w:rPr>
          <w:rFonts w:hint="eastAsia" w:ascii="宋体" w:hAnsi="宋体"/>
          <w:color w:val="000000"/>
          <w:sz w:val="24"/>
          <w:szCs w:val="24"/>
        </w:rPr>
        <w:t>应</w:t>
      </w:r>
      <w:r>
        <w:rPr>
          <w:rFonts w:hint="eastAsia" w:ascii="宋体" w:hAnsi="宋体"/>
          <w:color w:val="000000"/>
          <w:sz w:val="24"/>
          <w:szCs w:val="24"/>
          <w:lang w:val="en-US" w:eastAsia="zh-CN"/>
        </w:rPr>
        <w:t>包含</w:t>
      </w:r>
      <w:r>
        <w:rPr>
          <w:rFonts w:hint="eastAsia" w:ascii="宋体" w:hAnsi="宋体"/>
          <w:color w:val="000000"/>
          <w:sz w:val="24"/>
          <w:szCs w:val="24"/>
        </w:rPr>
        <w:t>人员基本工资、加班费</w:t>
      </w:r>
      <w:r>
        <w:rPr>
          <w:rFonts w:hint="eastAsia" w:ascii="宋体" w:hAnsi="宋体"/>
          <w:bCs/>
          <w:sz w:val="24"/>
          <w:lang w:eastAsia="zh-CN"/>
        </w:rPr>
        <w:t>、</w:t>
      </w:r>
      <w:r>
        <w:rPr>
          <w:rFonts w:hint="eastAsia" w:ascii="宋体" w:hAnsi="宋体"/>
          <w:bCs/>
          <w:sz w:val="24"/>
          <w:lang w:val="en-US" w:eastAsia="zh-CN"/>
        </w:rPr>
        <w:t>社保、福利费、</w:t>
      </w:r>
      <w:r>
        <w:rPr>
          <w:rFonts w:hint="eastAsia" w:ascii="宋体" w:hAnsi="宋体" w:cs="宋体"/>
          <w:sz w:val="24"/>
          <w:szCs w:val="24"/>
        </w:rPr>
        <w:t>调查费、劳务费、咨询费、审查费、会务费、</w:t>
      </w:r>
      <w:r>
        <w:rPr>
          <w:rFonts w:hint="eastAsia" w:ascii="宋体" w:hAnsi="宋体"/>
          <w:bCs/>
          <w:sz w:val="24"/>
        </w:rPr>
        <w:t>节假日</w:t>
      </w:r>
      <w:r>
        <w:rPr>
          <w:rFonts w:hint="eastAsia" w:ascii="宋体" w:hAnsi="宋体"/>
          <w:bCs/>
          <w:sz w:val="24"/>
          <w:lang w:val="en-US" w:eastAsia="zh-CN"/>
        </w:rPr>
        <w:t>加班费</w:t>
      </w:r>
      <w:r>
        <w:rPr>
          <w:rFonts w:hint="eastAsia" w:ascii="宋体" w:hAnsi="宋体"/>
          <w:bCs/>
          <w:sz w:val="24"/>
        </w:rPr>
        <w:t>、住房公积</w:t>
      </w:r>
      <w:r>
        <w:rPr>
          <w:rFonts w:hint="eastAsia" w:ascii="宋体" w:hAnsi="宋体"/>
          <w:color w:val="000000"/>
          <w:sz w:val="24"/>
          <w:szCs w:val="24"/>
        </w:rPr>
        <w:t>金、高温费、体检费、工具费、工作服费用、职工带薪休假费用</w:t>
      </w:r>
      <w:r>
        <w:rPr>
          <w:rFonts w:hint="eastAsia" w:ascii="宋体" w:hAnsi="宋体"/>
          <w:color w:val="000000"/>
          <w:sz w:val="24"/>
          <w:szCs w:val="24"/>
          <w:lang w:eastAsia="zh-CN"/>
        </w:rPr>
        <w:t>、</w:t>
      </w:r>
      <w:r>
        <w:rPr>
          <w:rFonts w:hint="eastAsia" w:ascii="宋体" w:hAnsi="宋体"/>
          <w:color w:val="000000"/>
          <w:sz w:val="24"/>
          <w:szCs w:val="24"/>
        </w:rPr>
        <w:t>劳保用品费用、车辆维修费、耗材费、油费、投标人拟投入本项目的所有车辆机械设备的所有费用（</w:t>
      </w:r>
      <w:r>
        <w:rPr>
          <w:rFonts w:hint="eastAsia" w:ascii="宋体" w:hAnsi="宋体"/>
          <w:bCs/>
          <w:color w:val="000000"/>
          <w:sz w:val="24"/>
        </w:rPr>
        <w:t>包含折旧费、电动车电费、维修费等车辆运行所需费用</w:t>
      </w:r>
      <w:r>
        <w:rPr>
          <w:rFonts w:hint="eastAsia" w:ascii="宋体" w:hAnsi="宋体"/>
          <w:color w:val="000000"/>
          <w:sz w:val="24"/>
          <w:szCs w:val="24"/>
        </w:rPr>
        <w:t>）、管理费</w:t>
      </w:r>
      <w:r>
        <w:rPr>
          <w:rFonts w:hint="eastAsia" w:ascii="宋体" w:hAnsi="宋体" w:cs="宋体"/>
          <w:sz w:val="24"/>
          <w:szCs w:val="24"/>
        </w:rPr>
        <w:t>、利润</w:t>
      </w:r>
      <w:r>
        <w:rPr>
          <w:rFonts w:hint="eastAsia" w:ascii="宋体" w:hAnsi="宋体"/>
          <w:color w:val="000000"/>
          <w:sz w:val="24"/>
          <w:szCs w:val="24"/>
        </w:rPr>
        <w:t>、招标代理费、税金等政策性文件规定及合同包含的所有风险、责任等因素的费用，用工制度必须按国家《劳动合同法》、《江苏省劳动合同法实施条例》有关规定执行。公共责任险（亦称第三者险）由企业自行决定办理与否。各类风险和政策性调整等风险已包括在合同价中，最终结算时除合同约定调整外一律不予调整。如乙方在履约过程中产生额外的收益，归甲方所有。与服务项目有关的所有费用应包含在合同中，甲方不再另行支付任何费用。</w:t>
      </w:r>
    </w:p>
    <w:p w14:paraId="7EC1E323">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服务内容详见采购需求。 </w:t>
      </w:r>
    </w:p>
    <w:p w14:paraId="19C51CE7">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二、服务时间地点 </w:t>
      </w:r>
    </w:p>
    <w:p w14:paraId="6B3EBB0F">
      <w:pPr>
        <w:widowControl/>
        <w:spacing w:line="360" w:lineRule="auto"/>
        <w:ind w:firstLine="480"/>
        <w:jc w:val="left"/>
        <w:rPr>
          <w:rFonts w:hint="eastAsia" w:ascii="宋体" w:hAnsi="宋体" w:cs="宋体"/>
          <w:sz w:val="24"/>
          <w:szCs w:val="24"/>
        </w:rPr>
      </w:pPr>
      <w:r>
        <w:rPr>
          <w:rFonts w:hint="eastAsia" w:ascii="宋体" w:hAnsi="宋体" w:cs="宋体"/>
          <w:sz w:val="24"/>
          <w:szCs w:val="24"/>
        </w:rPr>
        <w:t>1、服务期限</w:t>
      </w:r>
      <w:r>
        <w:rPr>
          <w:rFonts w:hint="eastAsia" w:ascii="宋体" w:hAnsi="宋体" w:cs="宋体"/>
          <w:sz w:val="24"/>
          <w:szCs w:val="24"/>
          <w:highlight w:val="none"/>
        </w:rPr>
        <w:t>：</w:t>
      </w:r>
      <w:r>
        <w:rPr>
          <w:rFonts w:hint="eastAsia" w:asciiTheme="minorEastAsia" w:hAnsiTheme="minorEastAsia" w:eastAsiaTheme="minorEastAsia" w:cstheme="minorEastAsia"/>
          <w:bCs/>
          <w:sz w:val="24"/>
          <w:highlight w:val="none"/>
          <w:lang w:val="en-US" w:eastAsia="zh-CN"/>
        </w:rPr>
        <w:t>365</w:t>
      </w:r>
      <w:r>
        <w:rPr>
          <w:rFonts w:hint="eastAsia" w:asciiTheme="minorEastAsia" w:hAnsiTheme="minorEastAsia" w:eastAsiaTheme="minorEastAsia" w:cstheme="minorEastAsia"/>
          <w:bCs/>
          <w:sz w:val="24"/>
          <w:highlight w:val="none"/>
        </w:rPr>
        <w:t>日历天</w:t>
      </w:r>
      <w:r>
        <w:rPr>
          <w:rFonts w:hint="eastAsia" w:ascii="宋体" w:hAnsi="宋体" w:cs="宋体"/>
          <w:color w:val="000000"/>
          <w:sz w:val="24"/>
          <w:szCs w:val="24"/>
          <w:highlight w:val="none"/>
        </w:rPr>
        <w:t>（</w:t>
      </w:r>
      <w:r>
        <w:rPr>
          <w:rFonts w:hint="eastAsia" w:asciiTheme="minorEastAsia" w:hAnsiTheme="minorEastAsia" w:eastAsiaTheme="minorEastAsia" w:cstheme="minorEastAsia"/>
          <w:bCs/>
          <w:sz w:val="24"/>
          <w:highlight w:val="none"/>
        </w:rPr>
        <w:t>具体服从</w:t>
      </w:r>
      <w:r>
        <w:rPr>
          <w:rFonts w:hint="eastAsia" w:asciiTheme="minorEastAsia" w:hAnsiTheme="minorEastAsia" w:eastAsiaTheme="minorEastAsia" w:cstheme="minorEastAsia"/>
          <w:bCs/>
          <w:sz w:val="24"/>
          <w:highlight w:val="none"/>
          <w:lang w:val="en-US" w:eastAsia="zh-CN"/>
        </w:rPr>
        <w:t>采购</w:t>
      </w:r>
      <w:r>
        <w:rPr>
          <w:rFonts w:hint="eastAsia" w:asciiTheme="minorEastAsia" w:hAnsiTheme="minorEastAsia" w:eastAsiaTheme="minorEastAsia" w:cstheme="minorEastAsia"/>
          <w:bCs/>
          <w:sz w:val="24"/>
          <w:highlight w:val="none"/>
        </w:rPr>
        <w:t>人安排</w:t>
      </w:r>
      <w:r>
        <w:rPr>
          <w:rFonts w:hint="eastAsia" w:ascii="宋体" w:hAnsi="宋体" w:cs="宋体"/>
          <w:color w:val="000000"/>
          <w:sz w:val="24"/>
          <w:szCs w:val="24"/>
          <w:highlight w:val="none"/>
        </w:rPr>
        <w:t>）</w:t>
      </w:r>
      <w:r>
        <w:rPr>
          <w:rFonts w:hint="eastAsia" w:asciiTheme="minorEastAsia" w:hAnsiTheme="minorEastAsia" w:eastAsiaTheme="minorEastAsia" w:cstheme="minorEastAsia"/>
          <w:bCs/>
          <w:sz w:val="24"/>
          <w:highlight w:val="none"/>
        </w:rPr>
        <w:t>。</w:t>
      </w:r>
    </w:p>
    <w:p w14:paraId="2E8B9B36">
      <w:pPr>
        <w:widowControl/>
        <w:spacing w:line="360" w:lineRule="auto"/>
        <w:ind w:firstLine="480"/>
        <w:jc w:val="left"/>
        <w:rPr>
          <w:rFonts w:hint="eastAsia" w:ascii="宋体" w:hAnsi="宋体" w:cs="宋体"/>
          <w:sz w:val="24"/>
          <w:szCs w:val="24"/>
        </w:rPr>
      </w:pPr>
      <w:r>
        <w:rPr>
          <w:rFonts w:hint="eastAsia" w:ascii="宋体" w:hAnsi="宋体" w:cs="宋体"/>
          <w:sz w:val="24"/>
          <w:szCs w:val="24"/>
        </w:rPr>
        <w:t>2、服务地点：</w:t>
      </w:r>
      <w:r>
        <w:rPr>
          <w:rFonts w:hint="eastAsia" w:ascii="宋体" w:hAnsi="宋体" w:cs="宋体"/>
          <w:sz w:val="24"/>
          <w:szCs w:val="24"/>
          <w:lang w:val="en-US" w:eastAsia="zh-CN"/>
        </w:rPr>
        <w:t>滨海县</w:t>
      </w:r>
      <w:r>
        <w:rPr>
          <w:rFonts w:hint="eastAsia" w:ascii="宋体" w:hAnsi="宋体" w:cs="宋体"/>
          <w:sz w:val="24"/>
          <w:szCs w:val="24"/>
        </w:rPr>
        <w:t xml:space="preserve">境内。 </w:t>
      </w:r>
    </w:p>
    <w:p w14:paraId="0A3F3C54">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三、质量技术标准 </w:t>
      </w:r>
    </w:p>
    <w:p w14:paraId="705E2D55">
      <w:pPr>
        <w:widowControl/>
        <w:spacing w:line="360" w:lineRule="auto"/>
        <w:ind w:firstLine="480"/>
        <w:jc w:val="left"/>
        <w:rPr>
          <w:rFonts w:hint="eastAsia" w:ascii="宋体" w:hAnsi="宋体" w:cs="宋体"/>
          <w:sz w:val="24"/>
          <w:szCs w:val="24"/>
        </w:rPr>
      </w:pPr>
      <w:r>
        <w:rPr>
          <w:rFonts w:hint="eastAsia" w:ascii="宋体" w:hAnsi="宋体" w:cs="宋体"/>
          <w:sz w:val="24"/>
          <w:szCs w:val="24"/>
        </w:rPr>
        <w:t>乙方提供的质量有国家标准的应符合国家标准</w:t>
      </w:r>
      <w:r>
        <w:rPr>
          <w:rFonts w:hint="eastAsia" w:ascii="宋体" w:hAnsi="宋体" w:cs="宋体"/>
          <w:sz w:val="24"/>
          <w:szCs w:val="24"/>
          <w:lang w:eastAsia="zh-CN"/>
        </w:rPr>
        <w:t>，</w:t>
      </w:r>
      <w:r>
        <w:rPr>
          <w:rFonts w:hint="eastAsia" w:ascii="宋体" w:hAnsi="宋体" w:cs="宋体"/>
          <w:sz w:val="24"/>
          <w:szCs w:val="24"/>
        </w:rPr>
        <w:t xml:space="preserve">并满足招标文件要求，实现投标文件承诺条款。 </w:t>
      </w:r>
    </w:p>
    <w:p w14:paraId="598D9B35">
      <w:pPr>
        <w:widowControl/>
        <w:numPr>
          <w:ilvl w:val="0"/>
          <w:numId w:val="5"/>
        </w:numPr>
        <w:spacing w:line="360" w:lineRule="auto"/>
        <w:ind w:firstLine="480"/>
        <w:jc w:val="left"/>
        <w:rPr>
          <w:rFonts w:hint="eastAsia" w:ascii="宋体" w:hAnsi="宋体" w:cs="宋体"/>
          <w:sz w:val="24"/>
          <w:szCs w:val="24"/>
        </w:rPr>
      </w:pPr>
      <w:r>
        <w:rPr>
          <w:rFonts w:hint="eastAsia" w:ascii="宋体" w:hAnsi="宋体" w:cs="宋体"/>
          <w:sz w:val="24"/>
          <w:szCs w:val="24"/>
        </w:rPr>
        <w:t>付款方式：</w:t>
      </w:r>
    </w:p>
    <w:p w14:paraId="0708FD43">
      <w:pPr>
        <w:widowControl/>
        <w:numPr>
          <w:ilvl w:val="0"/>
          <w:numId w:val="0"/>
        </w:numPr>
        <w:spacing w:line="360" w:lineRule="auto"/>
        <w:ind w:firstLine="482" w:firstLineChars="200"/>
        <w:jc w:val="left"/>
        <w:rPr>
          <w:rFonts w:hint="eastAsia" w:ascii="宋体" w:hAnsi="宋体" w:eastAsia="宋体" w:cs="宋体"/>
          <w:color w:val="auto"/>
          <w:sz w:val="24"/>
          <w:szCs w:val="24"/>
          <w:highlight w:val="none"/>
          <w:u w:val="none"/>
        </w:rPr>
      </w:pPr>
      <w:r>
        <w:rPr>
          <w:rFonts w:hint="eastAsia" w:ascii="宋体" w:hAnsi="宋体" w:cs="宋体"/>
          <w:b/>
          <w:bCs/>
          <w:sz w:val="24"/>
          <w:szCs w:val="24"/>
          <w:highlight w:val="none"/>
          <w:u w:val="none"/>
          <w:lang w:bidi="ar"/>
        </w:rPr>
        <w:t>合同签定后7日内支付合同总价的</w:t>
      </w:r>
      <w:r>
        <w:rPr>
          <w:rFonts w:hint="eastAsia" w:ascii="宋体" w:hAnsi="宋体" w:cs="宋体"/>
          <w:b/>
          <w:bCs/>
          <w:sz w:val="24"/>
          <w:szCs w:val="24"/>
          <w:highlight w:val="none"/>
          <w:u w:val="none"/>
          <w:lang w:val="en-US" w:eastAsia="zh-CN" w:bidi="ar"/>
        </w:rPr>
        <w:t>3</w:t>
      </w:r>
      <w:r>
        <w:rPr>
          <w:rFonts w:hint="eastAsia" w:ascii="宋体" w:hAnsi="宋体" w:cs="宋体"/>
          <w:b/>
          <w:bCs/>
          <w:sz w:val="24"/>
          <w:szCs w:val="24"/>
          <w:highlight w:val="none"/>
          <w:u w:val="none"/>
          <w:lang w:bidi="ar"/>
        </w:rPr>
        <w:t>0%作为预付款（中标人须提供合同总价</w:t>
      </w:r>
      <w:r>
        <w:rPr>
          <w:rFonts w:hint="eastAsia" w:ascii="宋体" w:hAnsi="宋体" w:cs="宋体"/>
          <w:b/>
          <w:bCs/>
          <w:sz w:val="24"/>
          <w:szCs w:val="24"/>
          <w:highlight w:val="none"/>
          <w:u w:val="none"/>
          <w:lang w:val="en-US" w:eastAsia="zh-CN" w:bidi="ar"/>
        </w:rPr>
        <w:t>3</w:t>
      </w:r>
      <w:r>
        <w:rPr>
          <w:rFonts w:hint="eastAsia" w:ascii="宋体" w:hAnsi="宋体" w:cs="宋体"/>
          <w:b/>
          <w:bCs/>
          <w:sz w:val="24"/>
          <w:szCs w:val="24"/>
          <w:highlight w:val="none"/>
          <w:u w:val="none"/>
          <w:lang w:bidi="ar"/>
        </w:rPr>
        <w:t>0%的银行保函）；</w:t>
      </w:r>
      <w:r>
        <w:rPr>
          <w:rFonts w:hint="eastAsia" w:ascii="宋体" w:hAnsi="宋体" w:cs="宋体"/>
          <w:b/>
          <w:bCs/>
          <w:sz w:val="24"/>
          <w:szCs w:val="24"/>
          <w:highlight w:val="none"/>
          <w:u w:val="none"/>
        </w:rPr>
        <w:t>完成项目总量60%支付</w:t>
      </w:r>
      <w:r>
        <w:rPr>
          <w:rFonts w:hint="eastAsia" w:ascii="宋体" w:hAnsi="宋体" w:cs="宋体"/>
          <w:b/>
          <w:bCs/>
          <w:sz w:val="24"/>
          <w:szCs w:val="24"/>
          <w:highlight w:val="none"/>
          <w:u w:val="none"/>
          <w:lang w:eastAsia="zh-CN"/>
        </w:rPr>
        <w:t>至</w:t>
      </w:r>
      <w:r>
        <w:rPr>
          <w:rFonts w:hint="eastAsia" w:ascii="宋体" w:hAnsi="宋体" w:cs="宋体"/>
          <w:b/>
          <w:bCs/>
          <w:sz w:val="24"/>
          <w:szCs w:val="24"/>
          <w:highlight w:val="none"/>
          <w:u w:val="none"/>
        </w:rPr>
        <w:t>合同总价的50%</w:t>
      </w:r>
      <w:r>
        <w:rPr>
          <w:rFonts w:hint="eastAsia" w:ascii="宋体" w:hAnsi="宋体" w:cs="宋体"/>
          <w:b/>
          <w:bCs/>
          <w:sz w:val="24"/>
          <w:szCs w:val="24"/>
          <w:highlight w:val="none"/>
          <w:u w:val="none"/>
          <w:lang w:eastAsia="zh-CN"/>
        </w:rPr>
        <w:t>；</w:t>
      </w:r>
      <w:r>
        <w:rPr>
          <w:rFonts w:hint="eastAsia" w:ascii="宋体" w:hAnsi="宋体" w:cs="宋体"/>
          <w:b/>
          <w:bCs/>
          <w:sz w:val="24"/>
          <w:szCs w:val="24"/>
          <w:highlight w:val="none"/>
          <w:u w:val="none"/>
        </w:rPr>
        <w:t>完成项目总量的80%支付</w:t>
      </w:r>
      <w:r>
        <w:rPr>
          <w:rFonts w:hint="eastAsia" w:ascii="宋体" w:hAnsi="宋体" w:cs="宋体"/>
          <w:b/>
          <w:bCs/>
          <w:sz w:val="24"/>
          <w:szCs w:val="24"/>
          <w:highlight w:val="none"/>
          <w:u w:val="none"/>
          <w:lang w:eastAsia="zh-CN"/>
        </w:rPr>
        <w:t>至</w:t>
      </w:r>
      <w:r>
        <w:rPr>
          <w:rFonts w:hint="eastAsia" w:ascii="宋体" w:hAnsi="宋体" w:cs="宋体"/>
          <w:b/>
          <w:bCs/>
          <w:sz w:val="24"/>
          <w:szCs w:val="24"/>
          <w:highlight w:val="none"/>
          <w:u w:val="none"/>
        </w:rPr>
        <w:t>合同总价的70%</w:t>
      </w:r>
      <w:r>
        <w:rPr>
          <w:rFonts w:hint="eastAsia" w:ascii="宋体" w:hAnsi="宋体" w:cs="宋体"/>
          <w:b/>
          <w:bCs/>
          <w:sz w:val="24"/>
          <w:szCs w:val="24"/>
          <w:highlight w:val="none"/>
          <w:u w:val="none"/>
          <w:lang w:eastAsia="zh-CN"/>
        </w:rPr>
        <w:t>；合同期满一个月内付清尾款。</w:t>
      </w:r>
      <w:r>
        <w:rPr>
          <w:rFonts w:hint="eastAsia" w:ascii="宋体" w:hAnsi="宋体" w:cs="宋体"/>
          <w:b/>
          <w:bCs/>
          <w:sz w:val="24"/>
          <w:szCs w:val="24"/>
          <w:highlight w:val="none"/>
          <w:u w:val="none"/>
          <w:lang w:bidi="ar"/>
        </w:rPr>
        <w:t>（均无息，需开增值税专用发票</w:t>
      </w:r>
      <w:r>
        <w:rPr>
          <w:rFonts w:hint="eastAsia" w:ascii="宋体" w:hAnsi="宋体" w:cs="宋体"/>
          <w:b/>
          <w:bCs/>
          <w:sz w:val="24"/>
          <w:szCs w:val="24"/>
          <w:highlight w:val="none"/>
          <w:u w:val="none"/>
          <w:lang w:eastAsia="zh-CN" w:bidi="ar"/>
        </w:rPr>
        <w:t>。</w:t>
      </w:r>
      <w:r>
        <w:rPr>
          <w:rFonts w:hint="eastAsia" w:ascii="宋体" w:hAnsi="宋体" w:cs="宋体"/>
          <w:b/>
          <w:bCs/>
          <w:sz w:val="24"/>
          <w:szCs w:val="24"/>
          <w:highlight w:val="none"/>
          <w:u w:val="none"/>
          <w:lang w:bidi="ar"/>
        </w:rPr>
        <w:t>）</w:t>
      </w:r>
    </w:p>
    <w:p w14:paraId="64CD42A8">
      <w:pPr>
        <w:widowControl/>
        <w:spacing w:line="360" w:lineRule="auto"/>
        <w:ind w:firstLine="480"/>
        <w:jc w:val="left"/>
        <w:rPr>
          <w:rFonts w:hint="eastAsia" w:ascii="宋体" w:hAnsi="宋体" w:cs="宋体"/>
          <w:b/>
          <w:bCs/>
          <w:sz w:val="24"/>
          <w:szCs w:val="24"/>
          <w:highlight w:val="none"/>
          <w:u w:val="none"/>
        </w:rPr>
      </w:pPr>
      <w:r>
        <w:rPr>
          <w:rFonts w:hint="eastAsia" w:ascii="宋体" w:hAnsi="宋体" w:cs="宋体"/>
          <w:b/>
          <w:bCs/>
          <w:sz w:val="24"/>
          <w:szCs w:val="24"/>
          <w:highlight w:val="none"/>
          <w:u w:val="none"/>
          <w:lang w:eastAsia="zh-CN"/>
        </w:rPr>
        <w:t>注：</w:t>
      </w:r>
      <w:r>
        <w:rPr>
          <w:rFonts w:hint="eastAsia" w:ascii="宋体" w:hAnsi="宋体" w:cs="宋体"/>
          <w:b/>
          <w:bCs/>
          <w:sz w:val="24"/>
          <w:szCs w:val="24"/>
          <w:highlight w:val="none"/>
          <w:u w:val="none"/>
        </w:rPr>
        <w:t>污水管网COD提升以及河道排口溯源项目预计排查管网公里数为150 公里</w:t>
      </w:r>
      <w:r>
        <w:rPr>
          <w:rFonts w:hint="eastAsia" w:ascii="宋体" w:hAnsi="宋体" w:cs="宋体"/>
          <w:b/>
          <w:bCs/>
          <w:sz w:val="24"/>
          <w:szCs w:val="24"/>
          <w:highlight w:val="none"/>
          <w:u w:val="none"/>
          <w:lang w:eastAsia="zh-CN"/>
        </w:rPr>
        <w:t>，</w:t>
      </w:r>
      <w:r>
        <w:rPr>
          <w:rFonts w:hint="eastAsia" w:ascii="宋体" w:hAnsi="宋体" w:cs="宋体"/>
          <w:b/>
          <w:bCs/>
          <w:sz w:val="24"/>
          <w:szCs w:val="24"/>
          <w:highlight w:val="none"/>
          <w:u w:val="none"/>
        </w:rPr>
        <w:t>阶段性付款按照执行单价×已经执行的公里数结算。</w:t>
      </w:r>
    </w:p>
    <w:p w14:paraId="5ECE1DD0">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五、履约保证金 </w:t>
      </w:r>
    </w:p>
    <w:p w14:paraId="778AB842">
      <w:pPr>
        <w:tabs>
          <w:tab w:val="left" w:pos="632"/>
          <w:tab w:val="left" w:pos="2828"/>
        </w:tabs>
        <w:spacing w:line="360" w:lineRule="auto"/>
        <w:ind w:firstLine="482"/>
        <w:rPr>
          <w:rFonts w:ascii="宋体" w:hAnsi="宋体" w:cs="宋体"/>
          <w:sz w:val="24"/>
          <w:szCs w:val="24"/>
          <w:highlight w:val="none"/>
        </w:rPr>
      </w:pPr>
      <w:r>
        <w:rPr>
          <w:rFonts w:hint="eastAsia" w:ascii="宋体" w:hAnsi="宋体" w:cs="宋体"/>
          <w:sz w:val="24"/>
          <w:szCs w:val="24"/>
          <w:highlight w:val="none"/>
        </w:rPr>
        <w:t>本项目履约保证金为合同价的</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w:t>
      </w:r>
      <w:r>
        <w:rPr>
          <w:rFonts w:hint="eastAsia" w:ascii="宋体" w:hAnsi="宋体" w:cs="宋体"/>
          <w:sz w:val="24"/>
          <w:szCs w:val="24"/>
          <w:highlight w:val="none"/>
        </w:rPr>
        <w:t>，</w:t>
      </w:r>
      <w:r>
        <w:rPr>
          <w:rFonts w:hint="eastAsia" w:ascii="宋体" w:hAnsi="宋体" w:cs="宋体"/>
          <w:b w:val="0"/>
          <w:bCs w:val="0"/>
          <w:sz w:val="24"/>
          <w:szCs w:val="24"/>
          <w:highlight w:val="none"/>
        </w:rPr>
        <w:t>即</w:t>
      </w:r>
      <w:r>
        <w:rPr>
          <w:rFonts w:hint="eastAsia" w:ascii="宋体" w:hAnsi="宋体" w:cs="宋体"/>
          <w:b w:val="0"/>
          <w:bCs w:val="0"/>
          <w:sz w:val="24"/>
          <w:szCs w:val="24"/>
          <w:highlight w:val="none"/>
          <w:u w:val="single"/>
        </w:rPr>
        <w:t>人民币    元整（¥:     元）</w:t>
      </w:r>
      <w:r>
        <w:rPr>
          <w:rFonts w:hint="eastAsia" w:ascii="宋体" w:hAnsi="宋体" w:cs="宋体"/>
          <w:b w:val="0"/>
          <w:bCs w:val="0"/>
          <w:sz w:val="24"/>
          <w:szCs w:val="24"/>
          <w:highlight w:val="none"/>
        </w:rPr>
        <w:t>，</w:t>
      </w:r>
      <w:r>
        <w:rPr>
          <w:rFonts w:hint="eastAsia" w:ascii="宋体" w:hAnsi="宋体" w:cs="宋体"/>
          <w:sz w:val="24"/>
          <w:szCs w:val="24"/>
          <w:highlight w:val="none"/>
        </w:rPr>
        <w:t>于合同履行后无息退还。</w:t>
      </w:r>
    </w:p>
    <w:p w14:paraId="79531DD0">
      <w:pPr>
        <w:widowControl/>
        <w:spacing w:line="360" w:lineRule="auto"/>
        <w:ind w:firstLine="480"/>
        <w:jc w:val="left"/>
        <w:rPr>
          <w:rFonts w:hint="eastAsia" w:ascii="宋体" w:hAnsi="宋体" w:cs="宋体"/>
          <w:sz w:val="24"/>
          <w:szCs w:val="24"/>
        </w:rPr>
      </w:pPr>
      <w:r>
        <w:rPr>
          <w:rFonts w:hint="eastAsia" w:ascii="宋体" w:hAnsi="宋体" w:cs="宋体"/>
          <w:sz w:val="24"/>
          <w:szCs w:val="24"/>
        </w:rPr>
        <w:t>六、违约条款</w:t>
      </w:r>
    </w:p>
    <w:p w14:paraId="270FCB57">
      <w:pPr>
        <w:widowControl/>
        <w:spacing w:line="360" w:lineRule="auto"/>
        <w:ind w:firstLine="480"/>
        <w:jc w:val="left"/>
        <w:rPr>
          <w:rFonts w:hint="eastAsia" w:ascii="宋体" w:hAnsi="宋体" w:cs="宋体"/>
          <w:sz w:val="24"/>
          <w:szCs w:val="24"/>
        </w:rPr>
      </w:pPr>
      <w:r>
        <w:rPr>
          <w:rFonts w:hint="eastAsia" w:ascii="宋体" w:hAnsi="宋体" w:cs="宋体"/>
          <w:sz w:val="24"/>
          <w:szCs w:val="24"/>
        </w:rPr>
        <w:t>1、乙方如不能完全按合同约定的时间、地点、方式等要求服务，应向甲方支付违约金，除甲方或不可抗力原因外，每延迟交付一天，乙方应向甲方支付合同总价款的 0.1% 违约金，违约金可直接进度款中扣除。</w:t>
      </w:r>
    </w:p>
    <w:p w14:paraId="4D20202C">
      <w:pPr>
        <w:widowControl/>
        <w:spacing w:line="360" w:lineRule="auto"/>
        <w:ind w:firstLine="480"/>
        <w:jc w:val="left"/>
        <w:rPr>
          <w:rFonts w:hint="eastAsia" w:ascii="宋体" w:hAnsi="宋体" w:cs="宋体"/>
          <w:sz w:val="24"/>
          <w:szCs w:val="24"/>
        </w:rPr>
      </w:pPr>
      <w:r>
        <w:rPr>
          <w:rFonts w:hint="eastAsia" w:ascii="宋体" w:hAnsi="宋体" w:cs="宋体"/>
          <w:sz w:val="24"/>
          <w:szCs w:val="24"/>
        </w:rPr>
        <w:t>2、乙方所供服务不符合规定的，由其负责继续服务，并承担由此引发的所有费用。</w:t>
      </w:r>
    </w:p>
    <w:p w14:paraId="763D0EEC">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3、除甲方或不可抗力原因外，乙方不履行合同规定的义务，使工期延误超过 5 日，甲方有权强制解除合同，并要求乙方等额赔偿由此造成的一切损失。 </w:t>
      </w:r>
    </w:p>
    <w:p w14:paraId="0144B6D4">
      <w:pPr>
        <w:widowControl/>
        <w:spacing w:line="360" w:lineRule="auto"/>
        <w:ind w:firstLine="480"/>
        <w:jc w:val="left"/>
        <w:rPr>
          <w:rFonts w:hint="eastAsia" w:ascii="宋体" w:hAnsi="宋体" w:cs="宋体"/>
          <w:sz w:val="24"/>
          <w:szCs w:val="24"/>
        </w:rPr>
      </w:pPr>
      <w:r>
        <w:rPr>
          <w:rFonts w:hint="eastAsia" w:ascii="宋体" w:hAnsi="宋体" w:cs="宋体"/>
          <w:sz w:val="24"/>
          <w:szCs w:val="24"/>
        </w:rPr>
        <w:t>4、本项目不得转让分包，如有发生，甲方有权要求乙方无条件退场，由此造成 的一切损失由乙方负责。</w:t>
      </w:r>
    </w:p>
    <w:p w14:paraId="2BABCCAA">
      <w:pPr>
        <w:widowControl/>
        <w:spacing w:line="360" w:lineRule="auto"/>
        <w:ind w:firstLine="480"/>
        <w:jc w:val="left"/>
        <w:rPr>
          <w:rFonts w:hint="eastAsia"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 xml:space="preserve">、在整个合同实施过程中，服务方应对现场人员的安全、现场秩序、工程保护、 环境保护等负全责，安全责任：如果发生安全事故，由服务方承担全部责任。 </w:t>
      </w:r>
    </w:p>
    <w:p w14:paraId="70052E84">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七、知识产权 </w:t>
      </w:r>
    </w:p>
    <w:p w14:paraId="40520296">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有关本项目的各项技术资料与数据，甲乙双方均有保密义务，未经对方同意，不得外泄给第三方。 </w:t>
      </w:r>
    </w:p>
    <w:p w14:paraId="643FF932">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八、合同生效及审核 </w:t>
      </w:r>
    </w:p>
    <w:p w14:paraId="435C14BF">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本合同经甲方、乙方签字盖章后生效，合同签订的内容不能超出招标文件和投标 文件的实质性内容。 </w:t>
      </w:r>
    </w:p>
    <w:p w14:paraId="62A9A7D7">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九、合同的组成部分 </w:t>
      </w:r>
    </w:p>
    <w:p w14:paraId="5B35B856">
      <w:pPr>
        <w:widowControl/>
        <w:spacing w:line="360" w:lineRule="auto"/>
        <w:ind w:firstLine="480"/>
        <w:jc w:val="left"/>
        <w:rPr>
          <w:rFonts w:hint="eastAsia" w:ascii="宋体" w:hAnsi="宋体" w:cs="宋体"/>
          <w:sz w:val="24"/>
          <w:szCs w:val="24"/>
        </w:rPr>
      </w:pPr>
      <w:r>
        <w:rPr>
          <w:rFonts w:hint="eastAsia" w:ascii="宋体" w:hAnsi="宋体" w:cs="宋体"/>
          <w:sz w:val="24"/>
          <w:szCs w:val="24"/>
        </w:rPr>
        <w:t>本合同条款、中标通知书、</w:t>
      </w:r>
      <w:r>
        <w:rPr>
          <w:rFonts w:hint="eastAsia" w:ascii="宋体" w:hAnsi="宋体" w:cs="宋体"/>
          <w:sz w:val="24"/>
          <w:szCs w:val="24"/>
          <w:lang w:val="en-US" w:eastAsia="zh-CN"/>
        </w:rPr>
        <w:t>采购</w:t>
      </w:r>
      <w:r>
        <w:rPr>
          <w:rFonts w:hint="eastAsia" w:ascii="宋体" w:hAnsi="宋体" w:cs="宋体"/>
          <w:sz w:val="24"/>
          <w:szCs w:val="24"/>
        </w:rPr>
        <w:t xml:space="preserve">文件、投标文件及投标人在开标时的书面承诺等构成合同的组成部分。 </w:t>
      </w:r>
    </w:p>
    <w:p w14:paraId="676246EF">
      <w:pPr>
        <w:widowControl/>
        <w:spacing w:line="360" w:lineRule="auto"/>
        <w:ind w:firstLine="480"/>
        <w:jc w:val="left"/>
        <w:rPr>
          <w:rFonts w:hint="eastAsia" w:ascii="宋体" w:hAnsi="宋体" w:cs="宋体"/>
          <w:sz w:val="24"/>
          <w:szCs w:val="24"/>
        </w:rPr>
      </w:pPr>
      <w:r>
        <w:rPr>
          <w:rFonts w:hint="eastAsia" w:ascii="宋体" w:hAnsi="宋体" w:cs="宋体"/>
          <w:sz w:val="24"/>
          <w:szCs w:val="24"/>
        </w:rPr>
        <w:t>十、本合同一式</w:t>
      </w:r>
      <w:r>
        <w:rPr>
          <w:rFonts w:hint="eastAsia" w:ascii="宋体" w:hAnsi="宋体" w:cs="宋体"/>
          <w:sz w:val="24"/>
          <w:szCs w:val="24"/>
          <w:lang w:val="en-US" w:eastAsia="zh-CN"/>
        </w:rPr>
        <w:t>拾</w:t>
      </w:r>
      <w:r>
        <w:rPr>
          <w:rFonts w:hint="eastAsia" w:ascii="宋体" w:hAnsi="宋体" w:cs="宋体"/>
          <w:sz w:val="24"/>
          <w:szCs w:val="24"/>
        </w:rPr>
        <w:t>份，以中文书写，甲方</w:t>
      </w:r>
      <w:r>
        <w:rPr>
          <w:rFonts w:hint="eastAsia" w:ascii="宋体" w:hAnsi="宋体" w:cs="宋体"/>
          <w:sz w:val="24"/>
          <w:szCs w:val="24"/>
          <w:lang w:val="en-US" w:eastAsia="zh-CN"/>
        </w:rPr>
        <w:t>五</w:t>
      </w:r>
      <w:r>
        <w:rPr>
          <w:rFonts w:hint="eastAsia" w:ascii="宋体" w:hAnsi="宋体" w:cs="宋体"/>
          <w:sz w:val="24"/>
          <w:szCs w:val="24"/>
        </w:rPr>
        <w:t>份、乙方执</w:t>
      </w:r>
      <w:r>
        <w:rPr>
          <w:rFonts w:hint="eastAsia" w:ascii="宋体" w:hAnsi="宋体" w:cs="宋体"/>
          <w:sz w:val="24"/>
          <w:szCs w:val="24"/>
          <w:lang w:val="en-US" w:eastAsia="zh-CN"/>
        </w:rPr>
        <w:t>五</w:t>
      </w:r>
      <w:r>
        <w:rPr>
          <w:rFonts w:hint="eastAsia" w:ascii="宋体" w:hAnsi="宋体" w:cs="宋体"/>
          <w:sz w:val="24"/>
          <w:szCs w:val="24"/>
        </w:rPr>
        <w:t>份。</w:t>
      </w:r>
    </w:p>
    <w:p w14:paraId="37268194">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十一、本合同一切未尽事宜，按合同法有关规定执行，无相关规定的，由甲乙双方协商解决。 </w:t>
      </w:r>
    </w:p>
    <w:p w14:paraId="669ED96A">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通用条款 </w:t>
      </w:r>
    </w:p>
    <w:p w14:paraId="0EEAFC08">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十二、词语涵义 </w:t>
      </w:r>
    </w:p>
    <w:p w14:paraId="7CF4D85F">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（一）合同：甲乙双方签署的、合同格式中载明的甲方与乙方所达成的协议，包括所有的附件、附录和构成合同的所有文件。 </w:t>
      </w:r>
    </w:p>
    <w:p w14:paraId="746D217A">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（二）合同价：根据合同规定，乙方在正确地完全履行合同义务后甲方应支付给乙方的价格。 </w:t>
      </w:r>
    </w:p>
    <w:p w14:paraId="30B4A6A9">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（三）货物：乙方根据合同规定须向甲方提供的一切产品、机械、仪表、备件、 工具、手册和其他技术资料及其他材料。 </w:t>
      </w:r>
    </w:p>
    <w:p w14:paraId="02CE9342">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（四）服务：根据合同规定乙方承担与供货有关的辅助服务，如运输、保险以及 其它的伴随服务，比如安装、调试、提供技术援助、培训和其他类似的乙方应承担的 义务。 </w:t>
      </w:r>
    </w:p>
    <w:p w14:paraId="4ED17151">
      <w:pPr>
        <w:widowControl/>
        <w:spacing w:line="360" w:lineRule="auto"/>
        <w:ind w:firstLine="480"/>
        <w:jc w:val="left"/>
        <w:rPr>
          <w:rFonts w:hint="eastAsia" w:ascii="宋体" w:hAnsi="宋体" w:cs="宋体"/>
          <w:sz w:val="24"/>
          <w:szCs w:val="24"/>
        </w:rPr>
      </w:pPr>
      <w:r>
        <w:rPr>
          <w:rFonts w:hint="eastAsia" w:ascii="宋体" w:hAnsi="宋体" w:cs="宋体"/>
          <w:sz w:val="24"/>
          <w:szCs w:val="24"/>
        </w:rPr>
        <w:t>（五）甲方：采购单位</w:t>
      </w:r>
      <w:r>
        <w:rPr>
          <w:rFonts w:hint="eastAsia" w:ascii="宋体" w:hAnsi="宋体" w:cs="宋体"/>
          <w:sz w:val="24"/>
          <w:szCs w:val="24"/>
          <w:lang w:eastAsia="zh-CN"/>
        </w:rPr>
        <w:t>：滨海县住房和城乡建设局</w:t>
      </w:r>
      <w:r>
        <w:rPr>
          <w:rFonts w:hint="eastAsia" w:ascii="宋体" w:hAnsi="宋体" w:cs="宋体"/>
          <w:sz w:val="24"/>
          <w:szCs w:val="24"/>
        </w:rPr>
        <w:t xml:space="preserve">。 </w:t>
      </w:r>
    </w:p>
    <w:p w14:paraId="09453CA2">
      <w:pPr>
        <w:widowControl/>
        <w:spacing w:line="360" w:lineRule="auto"/>
        <w:ind w:firstLine="480"/>
        <w:jc w:val="left"/>
        <w:rPr>
          <w:rFonts w:hint="eastAsia" w:ascii="宋体" w:hAnsi="宋体" w:cs="宋体"/>
          <w:sz w:val="24"/>
          <w:szCs w:val="24"/>
        </w:rPr>
      </w:pPr>
      <w:r>
        <w:rPr>
          <w:rFonts w:hint="eastAsia" w:ascii="宋体" w:hAnsi="宋体" w:cs="宋体"/>
          <w:sz w:val="24"/>
          <w:szCs w:val="24"/>
        </w:rPr>
        <w:t>（六）乙方：提供服务的公司，即</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 。 </w:t>
      </w:r>
    </w:p>
    <w:p w14:paraId="3D618CD2">
      <w:pPr>
        <w:widowControl/>
        <w:spacing w:line="360" w:lineRule="auto"/>
        <w:ind w:firstLine="480"/>
        <w:jc w:val="left"/>
        <w:rPr>
          <w:rFonts w:hint="eastAsia" w:ascii="宋体" w:hAnsi="宋体" w:cs="宋体"/>
          <w:sz w:val="24"/>
          <w:szCs w:val="24"/>
        </w:rPr>
      </w:pPr>
      <w:r>
        <w:rPr>
          <w:rFonts w:hint="eastAsia" w:ascii="宋体" w:hAnsi="宋体" w:cs="宋体"/>
          <w:sz w:val="24"/>
          <w:szCs w:val="24"/>
        </w:rPr>
        <w:t>（七）不可抗力：指不能预见、不能避免和不能克服的客观情况，如战争、动 乱、空中飞行物体坠落或其它非甲乙方责任造成的爆炸、火灾，以及协议条款约定等 级以上的风、雨、雪、地震等。</w:t>
      </w:r>
    </w:p>
    <w:p w14:paraId="1B3BC466">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 十三、本合同的变更必须由双方协商一致，并以书面形式确定。但有下列情形之 一的，一方可以向另一方提出变更合同权利与义务的请求，另一方应当在 5 日内予以答复；逾期未予答复的，视为同意： 1. 本项目工作内容变化； 2. 本项目经费变化；3. 提供资料的时间变化； 4. 完成工作时间变化。 </w:t>
      </w:r>
    </w:p>
    <w:p w14:paraId="67D1C980">
      <w:pPr>
        <w:widowControl/>
        <w:spacing w:line="360" w:lineRule="auto"/>
        <w:ind w:firstLine="480"/>
        <w:jc w:val="left"/>
        <w:rPr>
          <w:rFonts w:hint="eastAsia" w:ascii="宋体" w:hAnsi="宋体" w:cs="宋体"/>
          <w:sz w:val="24"/>
          <w:szCs w:val="24"/>
        </w:rPr>
      </w:pPr>
      <w:r>
        <w:rPr>
          <w:rFonts w:hint="eastAsia" w:ascii="宋体" w:hAnsi="宋体" w:cs="宋体"/>
          <w:sz w:val="24"/>
          <w:szCs w:val="24"/>
        </w:rPr>
        <w:t>十四、双方确定：</w:t>
      </w:r>
    </w:p>
    <w:p w14:paraId="075E94FD">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1.在本合同有效期内，甲方利用乙方提交的技术咨询工作成果所完成的新的技术 成果，归双方所有。 </w:t>
      </w:r>
    </w:p>
    <w:p w14:paraId="7B4FC707">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2.在本合同有效期内，乙方利用甲方提供的技术资料和工作条件所完成的新的技 术成果，归双方所有。 </w:t>
      </w:r>
    </w:p>
    <w:p w14:paraId="5ED8B037">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十五、付款 </w:t>
      </w:r>
    </w:p>
    <w:p w14:paraId="094CB92A">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（一）本合同以人民币付款。 </w:t>
      </w:r>
    </w:p>
    <w:p w14:paraId="56AA7DEA">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（二）乙方应按照与甲方签订的合同规定服务。服务期满后乙方向甲方提供下列单据，按合同规定审核后付款： 1、发票；2、中标通知书；3、合同。 </w:t>
      </w:r>
    </w:p>
    <w:p w14:paraId="18FDFFA8">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十六、误期赔偿 </w:t>
      </w:r>
    </w:p>
    <w:p w14:paraId="6423E615">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除合同规定外，如果乙方没有按照合同规定的时间提供服务，甲方将从货款中扣除误期赔偿费而不影响合同项目的其他补救方法，赔偿费按每天未提供服务费用的 0.1%计收，直至提供服务为止。但误期赔偿费的最高限为误期服务合同价的 5%。一旦 达到误期赔偿的最高限额，甲方可考虑终止合同。 </w:t>
      </w:r>
    </w:p>
    <w:p w14:paraId="3B558FB8">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十七、不可抗力 </w:t>
      </w:r>
    </w:p>
    <w:p w14:paraId="55CEB28F">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在不可抗力事件发生后，乙方应尽快以书面形式将不可抗力的情况和原因通知甲 方，同时应尽实际可能继续履行合同义务，以及寻求采取合理的方案履行不受不可抗 力影响的其他事项。如果不可抗力事件影响时间持续 120 天以上时，双方应通过友好 协商在合理的时间内达成进一步履行合同的协议。 </w:t>
      </w:r>
    </w:p>
    <w:p w14:paraId="25135988">
      <w:pPr>
        <w:widowControl/>
        <w:spacing w:line="360" w:lineRule="auto"/>
        <w:ind w:firstLine="480"/>
        <w:jc w:val="left"/>
        <w:rPr>
          <w:rFonts w:hint="eastAsia" w:ascii="宋体" w:hAnsi="宋体" w:cs="宋体"/>
          <w:sz w:val="24"/>
          <w:szCs w:val="24"/>
        </w:rPr>
      </w:pPr>
      <w:r>
        <w:rPr>
          <w:rFonts w:hint="eastAsia" w:ascii="宋体" w:hAnsi="宋体" w:cs="宋体"/>
          <w:sz w:val="24"/>
          <w:szCs w:val="24"/>
        </w:rPr>
        <w:t>十八、税费</w:t>
      </w:r>
    </w:p>
    <w:p w14:paraId="787E3DCA">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根据现行税法规定对甲方征收的与本合同有关的一切税费由甲方负担； 规定对乙方征收的与本合同有关的一切税费由乙方负担。 </w:t>
      </w:r>
    </w:p>
    <w:p w14:paraId="7376F322">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十九、合同争议 </w:t>
      </w:r>
    </w:p>
    <w:p w14:paraId="047D0499">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甲乙双方应通过友好协商，解决在执行本合同中所发生的或与本合同有关的一切 争议。如果协商仍得不到解决，任何一方均可按“中华人民共和国民法典”规定提交调解和仲裁。 </w:t>
      </w:r>
    </w:p>
    <w:p w14:paraId="284E0FEB">
      <w:pPr>
        <w:widowControl/>
        <w:spacing w:line="360" w:lineRule="auto"/>
        <w:ind w:firstLine="480"/>
        <w:jc w:val="left"/>
        <w:rPr>
          <w:rFonts w:hint="eastAsia" w:ascii="宋体" w:hAnsi="宋体" w:cs="宋体"/>
          <w:sz w:val="24"/>
          <w:szCs w:val="24"/>
        </w:rPr>
      </w:pPr>
      <w:r>
        <w:rPr>
          <w:rFonts w:hint="eastAsia" w:ascii="宋体" w:hAnsi="宋体" w:cs="宋体"/>
          <w:sz w:val="24"/>
          <w:szCs w:val="24"/>
        </w:rPr>
        <w:t xml:space="preserve">二十、适用法律 </w:t>
      </w:r>
    </w:p>
    <w:p w14:paraId="02E89A80">
      <w:pPr>
        <w:widowControl/>
        <w:spacing w:line="360" w:lineRule="auto"/>
        <w:ind w:firstLine="480"/>
        <w:jc w:val="left"/>
        <w:rPr>
          <w:rFonts w:hint="eastAsia" w:ascii="宋体" w:hAnsi="宋体" w:cs="宋体"/>
          <w:sz w:val="24"/>
          <w:szCs w:val="24"/>
        </w:rPr>
      </w:pPr>
      <w:r>
        <w:rPr>
          <w:rFonts w:hint="eastAsia" w:ascii="宋体" w:hAnsi="宋体" w:cs="宋体"/>
          <w:sz w:val="24"/>
          <w:szCs w:val="24"/>
        </w:rPr>
        <w:t>本合同应按照中华人民共和国的现行法律进行解释。</w:t>
      </w:r>
    </w:p>
    <w:p w14:paraId="39ECE6C1">
      <w:pPr>
        <w:tabs>
          <w:tab w:val="left" w:pos="900"/>
        </w:tabs>
        <w:spacing w:after="100" w:afterAutospacing="1" w:line="360" w:lineRule="auto"/>
        <w:ind w:firstLine="480"/>
        <w:rPr>
          <w:sz w:val="24"/>
          <w:szCs w:val="24"/>
        </w:rPr>
      </w:pPr>
    </w:p>
    <w:p w14:paraId="4D7E3FB3">
      <w:pPr>
        <w:keepNext w:val="0"/>
        <w:keepLines w:val="0"/>
        <w:pageBreakBefore w:val="0"/>
        <w:widowControl w:val="0"/>
        <w:tabs>
          <w:tab w:val="left" w:pos="900"/>
        </w:tabs>
        <w:spacing w:afterAutospacing="0" w:line="360" w:lineRule="auto"/>
        <w:ind w:firstLine="480"/>
        <w:rPr>
          <w:sz w:val="24"/>
          <w:szCs w:val="24"/>
        </w:rPr>
      </w:pPr>
      <w:r>
        <w:rPr>
          <w:sz w:val="24"/>
          <w:szCs w:val="24"/>
        </w:rPr>
        <w:t>甲方：</w:t>
      </w:r>
      <w:r>
        <w:rPr>
          <w:rFonts w:hint="eastAsia"/>
          <w:sz w:val="24"/>
          <w:szCs w:val="24"/>
          <w:u w:val="single"/>
          <w:lang w:val="en-US" w:eastAsia="zh-CN"/>
        </w:rPr>
        <w:t xml:space="preserve">                     </w:t>
      </w:r>
      <w:r>
        <w:rPr>
          <w:sz w:val="24"/>
          <w:szCs w:val="24"/>
          <w:u w:val="single"/>
        </w:rPr>
        <w:t>（</w:t>
      </w:r>
      <w:r>
        <w:rPr>
          <w:sz w:val="24"/>
          <w:szCs w:val="24"/>
        </w:rPr>
        <w:t>公章/合同专用章）</w:t>
      </w:r>
    </w:p>
    <w:p w14:paraId="3D6F0C5E">
      <w:pPr>
        <w:keepNext w:val="0"/>
        <w:keepLines w:val="0"/>
        <w:pageBreakBefore w:val="0"/>
        <w:widowControl w:val="0"/>
        <w:tabs>
          <w:tab w:val="left" w:pos="900"/>
        </w:tabs>
        <w:spacing w:afterAutospacing="0" w:line="360" w:lineRule="auto"/>
        <w:ind w:firstLine="480"/>
        <w:rPr>
          <w:sz w:val="24"/>
          <w:szCs w:val="24"/>
        </w:rPr>
      </w:pPr>
      <w:r>
        <w:rPr>
          <w:sz w:val="24"/>
          <w:szCs w:val="24"/>
        </w:rPr>
        <w:t>法定代表人/委托代理人（签名）：</w:t>
      </w:r>
      <w:r>
        <w:rPr>
          <w:sz w:val="24"/>
          <w:szCs w:val="24"/>
          <w:u w:val="single"/>
        </w:rPr>
        <w:t xml:space="preserve">         </w:t>
      </w:r>
      <w:r>
        <w:rPr>
          <w:sz w:val="24"/>
          <w:szCs w:val="24"/>
        </w:rPr>
        <w:t xml:space="preserve">            </w:t>
      </w:r>
    </w:p>
    <w:p w14:paraId="18AD503B">
      <w:pPr>
        <w:keepNext w:val="0"/>
        <w:keepLines w:val="0"/>
        <w:pageBreakBefore w:val="0"/>
        <w:widowControl w:val="0"/>
        <w:tabs>
          <w:tab w:val="left" w:pos="900"/>
        </w:tabs>
        <w:spacing w:afterAutospacing="0" w:line="360" w:lineRule="auto"/>
        <w:ind w:firstLine="480"/>
        <w:rPr>
          <w:sz w:val="24"/>
          <w:szCs w:val="24"/>
        </w:rPr>
      </w:pPr>
      <w:r>
        <w:rPr>
          <w:sz w:val="24"/>
          <w:szCs w:val="24"/>
        </w:rPr>
        <w:t>联系电话：</w:t>
      </w:r>
      <w:r>
        <w:rPr>
          <w:rFonts w:hint="eastAsia"/>
          <w:sz w:val="24"/>
          <w:szCs w:val="24"/>
          <w:u w:val="single"/>
        </w:rPr>
        <w:t xml:space="preserve">            </w:t>
      </w:r>
      <w:r>
        <w:rPr>
          <w:sz w:val="24"/>
          <w:szCs w:val="24"/>
          <w:u w:val="single"/>
        </w:rPr>
        <w:t xml:space="preserve">  </w:t>
      </w:r>
    </w:p>
    <w:p w14:paraId="04787144">
      <w:pPr>
        <w:keepNext w:val="0"/>
        <w:keepLines w:val="0"/>
        <w:pageBreakBefore w:val="0"/>
        <w:widowControl w:val="0"/>
        <w:tabs>
          <w:tab w:val="left" w:pos="900"/>
        </w:tabs>
        <w:spacing w:afterAutospacing="0" w:line="360" w:lineRule="auto"/>
        <w:ind w:firstLine="480"/>
        <w:rPr>
          <w:sz w:val="24"/>
          <w:szCs w:val="24"/>
        </w:rPr>
      </w:pPr>
      <w:r>
        <w:rPr>
          <w:sz w:val="24"/>
          <w:szCs w:val="24"/>
        </w:rPr>
        <w:t>地址：</w:t>
      </w:r>
      <w:r>
        <w:rPr>
          <w:rFonts w:hint="eastAsia"/>
          <w:sz w:val="24"/>
          <w:szCs w:val="24"/>
          <w:lang w:val="en-US" w:eastAsia="zh-CN"/>
        </w:rPr>
        <w:t xml:space="preserve"> </w:t>
      </w:r>
      <w:r>
        <w:rPr>
          <w:rFonts w:hint="eastAsia"/>
          <w:sz w:val="24"/>
          <w:szCs w:val="24"/>
          <w:u w:val="single"/>
          <w:lang w:val="en-US" w:eastAsia="zh-CN"/>
        </w:rPr>
        <w:t xml:space="preserve">              </w:t>
      </w:r>
      <w:r>
        <w:rPr>
          <w:sz w:val="24"/>
          <w:szCs w:val="24"/>
          <w:u w:val="single"/>
        </w:rPr>
        <w:t xml:space="preserve">    </w:t>
      </w:r>
      <w:r>
        <w:rPr>
          <w:sz w:val="24"/>
          <w:szCs w:val="24"/>
        </w:rPr>
        <w:t xml:space="preserve">    </w:t>
      </w:r>
    </w:p>
    <w:p w14:paraId="3490D716">
      <w:pPr>
        <w:keepNext w:val="0"/>
        <w:keepLines w:val="0"/>
        <w:pageBreakBefore w:val="0"/>
        <w:widowControl w:val="0"/>
        <w:tabs>
          <w:tab w:val="left" w:pos="900"/>
        </w:tabs>
        <w:spacing w:afterAutospacing="0" w:line="360" w:lineRule="auto"/>
        <w:ind w:firstLine="480"/>
        <w:rPr>
          <w:sz w:val="24"/>
          <w:szCs w:val="24"/>
        </w:rPr>
      </w:pP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 </w:t>
      </w:r>
    </w:p>
    <w:p w14:paraId="6955A8A4">
      <w:pPr>
        <w:keepNext w:val="0"/>
        <w:keepLines w:val="0"/>
        <w:pageBreakBefore w:val="0"/>
        <w:widowControl w:val="0"/>
        <w:tabs>
          <w:tab w:val="left" w:pos="900"/>
        </w:tabs>
        <w:spacing w:afterAutospacing="0" w:line="360" w:lineRule="auto"/>
        <w:ind w:firstLine="480"/>
        <w:rPr>
          <w:sz w:val="24"/>
          <w:szCs w:val="24"/>
        </w:rPr>
      </w:pPr>
      <w:r>
        <w:rPr>
          <w:sz w:val="24"/>
          <w:szCs w:val="24"/>
        </w:rPr>
        <w:t>乙方：</w:t>
      </w:r>
      <w:r>
        <w:rPr>
          <w:rFonts w:hint="eastAsia"/>
          <w:sz w:val="24"/>
          <w:szCs w:val="24"/>
          <w:u w:val="single"/>
        </w:rPr>
        <w:t xml:space="preserve">                     </w:t>
      </w:r>
      <w:r>
        <w:rPr>
          <w:sz w:val="24"/>
          <w:szCs w:val="24"/>
        </w:rPr>
        <w:t>（公章/合同专用章）</w:t>
      </w:r>
    </w:p>
    <w:p w14:paraId="04A327E5">
      <w:pPr>
        <w:keepNext w:val="0"/>
        <w:keepLines w:val="0"/>
        <w:pageBreakBefore w:val="0"/>
        <w:widowControl w:val="0"/>
        <w:tabs>
          <w:tab w:val="left" w:pos="900"/>
        </w:tabs>
        <w:spacing w:afterAutospacing="0" w:line="360" w:lineRule="auto"/>
        <w:ind w:firstLine="480"/>
        <w:rPr>
          <w:sz w:val="24"/>
          <w:szCs w:val="24"/>
        </w:rPr>
      </w:pPr>
      <w:r>
        <w:rPr>
          <w:sz w:val="24"/>
          <w:szCs w:val="24"/>
        </w:rPr>
        <w:t>法定代表人/委托代理人（签名）：</w:t>
      </w:r>
      <w:r>
        <w:rPr>
          <w:sz w:val="24"/>
          <w:szCs w:val="24"/>
          <w:u w:val="single"/>
        </w:rPr>
        <w:t xml:space="preserve">        </w:t>
      </w:r>
      <w:r>
        <w:rPr>
          <w:sz w:val="24"/>
          <w:szCs w:val="24"/>
        </w:rPr>
        <w:t xml:space="preserve">      </w:t>
      </w:r>
    </w:p>
    <w:p w14:paraId="147E8927">
      <w:pPr>
        <w:keepNext w:val="0"/>
        <w:keepLines w:val="0"/>
        <w:pageBreakBefore w:val="0"/>
        <w:widowControl w:val="0"/>
        <w:tabs>
          <w:tab w:val="left" w:pos="900"/>
        </w:tabs>
        <w:spacing w:afterAutospacing="0" w:line="360" w:lineRule="auto"/>
        <w:ind w:firstLine="480"/>
        <w:rPr>
          <w:sz w:val="24"/>
          <w:szCs w:val="24"/>
        </w:rPr>
      </w:pPr>
      <w:r>
        <w:rPr>
          <w:sz w:val="24"/>
          <w:szCs w:val="24"/>
        </w:rPr>
        <w:t>联系电话：</w:t>
      </w:r>
      <w:r>
        <w:rPr>
          <w:sz w:val="24"/>
          <w:szCs w:val="24"/>
          <w:u w:val="single"/>
        </w:rPr>
        <w:t xml:space="preserve">                       </w:t>
      </w:r>
    </w:p>
    <w:p w14:paraId="62B440AC">
      <w:pPr>
        <w:keepNext w:val="0"/>
        <w:keepLines w:val="0"/>
        <w:pageBreakBefore w:val="0"/>
        <w:widowControl w:val="0"/>
        <w:tabs>
          <w:tab w:val="left" w:pos="900"/>
        </w:tabs>
        <w:spacing w:afterAutospacing="0" w:line="360" w:lineRule="auto"/>
        <w:ind w:firstLine="480"/>
        <w:rPr>
          <w:sz w:val="24"/>
          <w:szCs w:val="24"/>
        </w:rPr>
      </w:pPr>
      <w:r>
        <w:rPr>
          <w:sz w:val="24"/>
          <w:szCs w:val="24"/>
        </w:rPr>
        <w:t xml:space="preserve">地址： </w:t>
      </w:r>
      <w:r>
        <w:rPr>
          <w:sz w:val="24"/>
          <w:szCs w:val="24"/>
          <w:u w:val="single"/>
        </w:rPr>
        <w:t xml:space="preserve">                           </w:t>
      </w:r>
    </w:p>
    <w:p w14:paraId="24E4DAC2">
      <w:pPr>
        <w:keepNext w:val="0"/>
        <w:keepLines w:val="0"/>
        <w:pageBreakBefore w:val="0"/>
        <w:widowControl w:val="0"/>
        <w:spacing w:afterAutospacing="0" w:line="360" w:lineRule="auto"/>
      </w:pPr>
      <w:r>
        <w:rPr>
          <w:sz w:val="24"/>
        </w:rPr>
        <w:t xml:space="preserve">                                               </w:t>
      </w:r>
      <w:r>
        <w:rPr>
          <w:rFonts w:hint="eastAsia"/>
          <w:sz w:val="24"/>
        </w:rPr>
        <w:t xml:space="preserve"> </w:t>
      </w:r>
      <w:r>
        <w:rPr>
          <w:rFonts w:hint="eastAsia"/>
          <w:sz w:val="24"/>
          <w:szCs w:val="24"/>
        </w:rPr>
        <w:t xml:space="preserve">日期：   </w:t>
      </w:r>
      <w:r>
        <w:rPr>
          <w:sz w:val="24"/>
        </w:rPr>
        <w:t xml:space="preserve">年  </w:t>
      </w:r>
      <w:r>
        <w:rPr>
          <w:rFonts w:hint="eastAsia"/>
          <w:sz w:val="24"/>
        </w:rPr>
        <w:t xml:space="preserve">  </w:t>
      </w:r>
      <w:r>
        <w:rPr>
          <w:sz w:val="24"/>
        </w:rPr>
        <w:t xml:space="preserve">月 </w:t>
      </w:r>
      <w:r>
        <w:rPr>
          <w:rFonts w:hint="eastAsia"/>
          <w:sz w:val="24"/>
        </w:rPr>
        <w:t xml:space="preserve"> </w:t>
      </w:r>
      <w:r>
        <w:rPr>
          <w:sz w:val="24"/>
        </w:rPr>
        <w:t xml:space="preserve"> 日</w:t>
      </w:r>
    </w:p>
    <w:p w14:paraId="08F5CDAF">
      <w:pPr>
        <w:pStyle w:val="23"/>
        <w:keepNext w:val="0"/>
        <w:keepLines w:val="0"/>
        <w:pageBreakBefore w:val="0"/>
        <w:widowControl w:val="0"/>
        <w:spacing w:afterAutospacing="0" w:line="360" w:lineRule="auto"/>
        <w:rPr>
          <w:rFonts w:hint="eastAsia"/>
        </w:rPr>
      </w:pPr>
      <w:r>
        <w:rPr>
          <w:rFonts w:ascii="黑体" w:eastAsia="黑体"/>
          <w:bCs/>
          <w:sz w:val="44"/>
        </w:rPr>
        <w:br w:type="page" w:clear="all"/>
      </w:r>
    </w:p>
    <w:p w14:paraId="2EA69577">
      <w:pPr>
        <w:pStyle w:val="23"/>
        <w:rPr>
          <w:rFonts w:hint="eastAsia"/>
        </w:rPr>
      </w:pPr>
    </w:p>
    <w:p w14:paraId="2608773E">
      <w:pPr>
        <w:spacing w:line="440" w:lineRule="exact"/>
        <w:jc w:val="center"/>
        <w:rPr>
          <w:rFonts w:ascii="宋体" w:hAnsi="宋体"/>
          <w:b/>
          <w:sz w:val="36"/>
          <w:szCs w:val="36"/>
        </w:rPr>
      </w:pPr>
      <w:r>
        <w:rPr>
          <w:rFonts w:hint="eastAsia" w:ascii="宋体" w:hAnsi="宋体"/>
          <w:b/>
          <w:sz w:val="36"/>
          <w:szCs w:val="36"/>
        </w:rPr>
        <w:t>廉政合同</w:t>
      </w:r>
    </w:p>
    <w:p w14:paraId="3EBAF960">
      <w:pPr>
        <w:spacing w:line="360" w:lineRule="auto"/>
        <w:ind w:firstLine="480"/>
        <w:rPr>
          <w:rFonts w:hint="eastAsia" w:ascii="宋体" w:hAnsi="宋体"/>
          <w:sz w:val="24"/>
        </w:rPr>
      </w:pPr>
    </w:p>
    <w:p w14:paraId="054402BF">
      <w:pPr>
        <w:spacing w:line="360" w:lineRule="auto"/>
        <w:ind w:firstLine="480"/>
        <w:rPr>
          <w:rFonts w:ascii="宋体" w:hAnsi="宋体"/>
          <w:sz w:val="24"/>
        </w:rPr>
      </w:pPr>
      <w:r>
        <w:rPr>
          <w:rFonts w:hint="eastAsia" w:ascii="宋体" w:hAnsi="宋体"/>
          <w:sz w:val="24"/>
        </w:rPr>
        <w:t xml:space="preserve">为切实加强工程建设领域党风廉政建设，有效预防违法违纪违规行为和腐败问题的发生，根据国家有关工程建设、廉政建设的规定，建设工程的发包人（以下简称“甲方”）与承包人（含承包人按法律法规规定和招标文件约定允许分包的各专业承包人）（以下简称“乙方”），订立如下合同。 </w:t>
      </w:r>
    </w:p>
    <w:p w14:paraId="56A36E5E">
      <w:pPr>
        <w:spacing w:line="360" w:lineRule="auto"/>
        <w:ind w:firstLine="480"/>
        <w:rPr>
          <w:rFonts w:ascii="宋体" w:hAnsi="宋体"/>
          <w:sz w:val="24"/>
        </w:rPr>
      </w:pPr>
      <w:r>
        <w:rPr>
          <w:rFonts w:hint="eastAsia" w:ascii="宋体" w:hAnsi="宋体"/>
          <w:sz w:val="24"/>
        </w:rPr>
        <w:t xml:space="preserve">  一、甲方的权利和义务 </w:t>
      </w:r>
    </w:p>
    <w:p w14:paraId="20DFB605">
      <w:pPr>
        <w:spacing w:line="360" w:lineRule="auto"/>
        <w:ind w:firstLine="480"/>
        <w:rPr>
          <w:rFonts w:ascii="宋体" w:hAnsi="宋体"/>
          <w:sz w:val="24"/>
        </w:rPr>
      </w:pPr>
      <w:r>
        <w:rPr>
          <w:rFonts w:hint="eastAsia" w:ascii="宋体" w:hAnsi="宋体"/>
          <w:sz w:val="24"/>
        </w:rPr>
        <w:t xml:space="preserve">（1）严格执行党的政策纪律、国家法律法规和各项规章制度，建立并落实廉政责任制。 </w:t>
      </w:r>
    </w:p>
    <w:p w14:paraId="206F0781">
      <w:pPr>
        <w:spacing w:line="360" w:lineRule="auto"/>
        <w:ind w:firstLine="480"/>
        <w:rPr>
          <w:rFonts w:ascii="宋体" w:hAnsi="宋体"/>
          <w:sz w:val="24"/>
        </w:rPr>
      </w:pPr>
      <w:r>
        <w:rPr>
          <w:rFonts w:hint="eastAsia" w:ascii="宋体" w:hAnsi="宋体"/>
          <w:sz w:val="24"/>
        </w:rPr>
        <w:t xml:space="preserve">（2） 建立健全廉政教育制度，设立廉政告示牌，公布举报电话， 监督并严肃查处违法违纪行为。  </w:t>
      </w:r>
    </w:p>
    <w:p w14:paraId="6CFC38BB">
      <w:pPr>
        <w:spacing w:line="360" w:lineRule="auto"/>
        <w:ind w:firstLine="480"/>
        <w:rPr>
          <w:rFonts w:ascii="宋体" w:hAnsi="宋体"/>
          <w:sz w:val="24"/>
        </w:rPr>
      </w:pPr>
      <w:r>
        <w:rPr>
          <w:rFonts w:hint="eastAsia" w:ascii="宋体" w:hAnsi="宋体"/>
          <w:sz w:val="24"/>
        </w:rPr>
        <w:t xml:space="preserve">（3）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在一至三年内进入盐城市场，涉嫌犯罪的，移送司法机关依法处理。 </w:t>
      </w:r>
    </w:p>
    <w:p w14:paraId="2B4EF3EE">
      <w:pPr>
        <w:spacing w:line="360" w:lineRule="auto"/>
        <w:ind w:firstLine="480"/>
        <w:rPr>
          <w:rFonts w:ascii="宋体" w:hAnsi="宋体"/>
          <w:sz w:val="24"/>
        </w:rPr>
      </w:pPr>
      <w:r>
        <w:rPr>
          <w:rFonts w:hint="eastAsia" w:ascii="宋体" w:hAnsi="宋体"/>
          <w:sz w:val="24"/>
        </w:rPr>
        <w:t xml:space="preserve">（4）甲方及其工作人员和受甲方委托从事本项目招标代理、监理、跟踪审计等单位的人员不得索要或接受乙方的礼金、礼品、有价证券及回扣、好处费、感谢费等；不得在乙方报销任何应由甲方或其相关工作人员应当个人支付的费用；不得参加乙方安排的宴请、健身、旅游及娱乐等活动；不得接受乙方提供的通讯工具、交通工具、高档办公用品以及通信充值卡、加油卡等；不得要求或者接受乙方为其汽车或住房装修，不得要求或者接受乙方为其婚丧嫁娶、配偶子女的工作安排以及出国出境、旅游等提供方便；不得利用职权、职务影响或工作便利从事与本项目有关的有偿中介、材料设备供应、工程分包、劳务等经济活动；不得违规为本人、亲友、身边工作人员和特定关系人承接或投资、入股重大工程项目相关的业务；不准违规进行变更签证或以虚假计量等手段虚报高报工程量；不准与相关工程单位发生借贷、租赁或合伙经营等个人经济关系。 </w:t>
      </w:r>
    </w:p>
    <w:p w14:paraId="1858D8AB">
      <w:pPr>
        <w:spacing w:line="360" w:lineRule="auto"/>
        <w:ind w:firstLine="480"/>
        <w:rPr>
          <w:rFonts w:ascii="宋体" w:hAnsi="宋体"/>
          <w:sz w:val="24"/>
        </w:rPr>
      </w:pPr>
      <w:r>
        <w:rPr>
          <w:rFonts w:hint="eastAsia" w:ascii="宋体" w:hAnsi="宋体"/>
          <w:sz w:val="24"/>
        </w:rPr>
        <w:t xml:space="preserve"> 二、乙方的权利和义务 </w:t>
      </w:r>
    </w:p>
    <w:p w14:paraId="2050A99C">
      <w:pPr>
        <w:spacing w:line="360" w:lineRule="auto"/>
        <w:ind w:firstLine="480"/>
        <w:rPr>
          <w:rFonts w:ascii="宋体" w:hAnsi="宋体"/>
          <w:sz w:val="24"/>
        </w:rPr>
      </w:pPr>
      <w:r>
        <w:rPr>
          <w:rFonts w:hint="eastAsia" w:ascii="宋体" w:hAnsi="宋体"/>
          <w:sz w:val="24"/>
        </w:rPr>
        <w:t xml:space="preserve">（1）有权依照国家法律、法规和规章制度，开展生产经营活动。 </w:t>
      </w:r>
    </w:p>
    <w:p w14:paraId="52D7E8BD">
      <w:pPr>
        <w:spacing w:line="360" w:lineRule="auto"/>
        <w:ind w:firstLine="480"/>
        <w:rPr>
          <w:rFonts w:ascii="宋体" w:hAnsi="宋体"/>
          <w:sz w:val="24"/>
        </w:rPr>
      </w:pPr>
      <w:r>
        <w:rPr>
          <w:rFonts w:hint="eastAsia" w:ascii="宋体" w:hAnsi="宋体"/>
          <w:sz w:val="24"/>
        </w:rPr>
        <w:t>（2）本项目建设过程中，如发现甲方及其工作人员和受甲方委托从事招标代理、监理、跟踪审计等单位的人员存在“吃拿卡要”等违法违纪违规行为，有权在第一时间向</w:t>
      </w:r>
      <w:r>
        <w:rPr>
          <w:rFonts w:hint="eastAsia" w:ascii="宋体" w:hAnsi="宋体"/>
          <w:sz w:val="24"/>
          <w:lang w:val="en-US" w:eastAsia="zh-CN"/>
        </w:rPr>
        <w:t>有关部门</w:t>
      </w:r>
      <w:r>
        <w:rPr>
          <w:rFonts w:hint="eastAsia" w:ascii="宋体" w:hAnsi="宋体"/>
          <w:sz w:val="24"/>
        </w:rPr>
        <w:t xml:space="preserve">口头或书面反映并要求告知处理结果。 </w:t>
      </w:r>
    </w:p>
    <w:p w14:paraId="42AE0E86">
      <w:pPr>
        <w:spacing w:line="360" w:lineRule="auto"/>
        <w:ind w:firstLine="480"/>
        <w:rPr>
          <w:rFonts w:ascii="宋体" w:hAnsi="宋体"/>
          <w:sz w:val="24"/>
        </w:rPr>
      </w:pPr>
      <w:r>
        <w:rPr>
          <w:rFonts w:hint="eastAsia" w:ascii="宋体" w:hAnsi="宋体"/>
          <w:sz w:val="24"/>
        </w:rPr>
        <w:t xml:space="preserve">（3）严格执行党的政策纪律、国家法律法规和各项规章制度，建立并落实廉政责任制，严格遵守职业道德。 </w:t>
      </w:r>
    </w:p>
    <w:p w14:paraId="33B15D76">
      <w:pPr>
        <w:spacing w:line="360" w:lineRule="auto"/>
        <w:ind w:firstLine="480"/>
        <w:rPr>
          <w:rFonts w:ascii="宋体" w:hAnsi="宋体"/>
          <w:sz w:val="24"/>
        </w:rPr>
      </w:pPr>
      <w:r>
        <w:rPr>
          <w:rFonts w:hint="eastAsia" w:ascii="宋体" w:hAnsi="宋体"/>
          <w:sz w:val="24"/>
        </w:rPr>
        <w:t xml:space="preserve">（4）建立健全廉政教育制度，定期开展廉政警示教育活动，教育引导自身工作人员遵守行为规范。 </w:t>
      </w:r>
    </w:p>
    <w:p w14:paraId="69FF2B31">
      <w:pPr>
        <w:spacing w:line="360" w:lineRule="auto"/>
        <w:ind w:firstLine="480"/>
        <w:rPr>
          <w:rFonts w:ascii="宋体" w:hAnsi="宋体"/>
          <w:sz w:val="24"/>
        </w:rPr>
      </w:pPr>
      <w:r>
        <w:rPr>
          <w:rFonts w:hint="eastAsia" w:ascii="宋体" w:hAnsi="宋体"/>
          <w:sz w:val="24"/>
        </w:rPr>
        <w:t xml:space="preserve">（5）不得以任何理由向甲方及其工作人员和受甲方委托从事招标代理、监理、跟踪审计等单位的人员行贿、馈赠礼金、礼品、有价证券及给予回扣、好处费、感谢费等；不得以任何名义为上述人员报销应由其单位或个人支付的任何费用；不得以任何理由安排上述人员参加宴请、健身、旅游及娱乐等活动；不得为上述人员购置或提供通讯工具、交通工具、高档办公用品以及通信充值卡、加油卡等；不得为上述人员提供汽车或住房等装修；不得为上述人员的婚丧嫁娶、配偶子女的工作安排以及出国出境、旅游等提供方便。乙方如违反以上要求，发生违纪违规违法等行为，须无条件接受甲方给予的处罚。 </w:t>
      </w:r>
    </w:p>
    <w:p w14:paraId="38013BB5">
      <w:pPr>
        <w:spacing w:line="360" w:lineRule="auto"/>
        <w:ind w:firstLine="480"/>
        <w:rPr>
          <w:rFonts w:ascii="宋体" w:hAnsi="宋体"/>
          <w:sz w:val="24"/>
        </w:rPr>
      </w:pPr>
      <w:r>
        <w:rPr>
          <w:rFonts w:hint="eastAsia" w:ascii="宋体" w:hAnsi="宋体"/>
          <w:sz w:val="24"/>
        </w:rPr>
        <w:t xml:space="preserve">  三、本合同有效期为甲乙双方签署之日起至该项目工程款全部拨付完成后止。 </w:t>
      </w:r>
    </w:p>
    <w:p w14:paraId="4CED5808">
      <w:pPr>
        <w:spacing w:line="360" w:lineRule="auto"/>
        <w:ind w:firstLine="480"/>
        <w:rPr>
          <w:rFonts w:ascii="宋体" w:hAnsi="宋体"/>
          <w:sz w:val="24"/>
        </w:rPr>
      </w:pPr>
      <w:r>
        <w:rPr>
          <w:rFonts w:hint="eastAsia" w:ascii="宋体" w:hAnsi="宋体"/>
          <w:sz w:val="24"/>
        </w:rPr>
        <w:t xml:space="preserve">  四、本合同作为工程合同的附件，与工程施工合同具有同等的法律效力。 </w:t>
      </w:r>
    </w:p>
    <w:p w14:paraId="5324D863">
      <w:pPr>
        <w:spacing w:line="360" w:lineRule="auto"/>
        <w:ind w:firstLine="480"/>
        <w:rPr>
          <w:rFonts w:ascii="宋体" w:hAnsi="宋体"/>
          <w:sz w:val="24"/>
        </w:rPr>
      </w:pPr>
      <w:r>
        <w:rPr>
          <w:rFonts w:hint="eastAsia" w:ascii="宋体" w:hAnsi="宋体"/>
          <w:sz w:val="24"/>
        </w:rPr>
        <w:t xml:space="preserve">  五、本合同作为主合同附件，正本和副本份数与本主合同的约定相同。由双方法定代表人或其授权的代理人签名与加盖公章后生效。 </w:t>
      </w:r>
    </w:p>
    <w:p w14:paraId="4591C385">
      <w:pPr>
        <w:spacing w:line="440" w:lineRule="exact"/>
        <w:ind w:firstLine="480"/>
        <w:rPr>
          <w:rFonts w:ascii="宋体" w:hAnsi="宋体"/>
          <w:sz w:val="24"/>
        </w:rPr>
      </w:pPr>
      <w:r>
        <w:rPr>
          <w:rFonts w:hint="eastAsia" w:ascii="宋体" w:hAnsi="宋体"/>
          <w:sz w:val="24"/>
        </w:rPr>
        <w:t>&lt;以下无正文&gt;</w:t>
      </w:r>
    </w:p>
    <w:p w14:paraId="23662085">
      <w:pPr>
        <w:spacing w:line="440" w:lineRule="exact"/>
        <w:ind w:firstLine="480"/>
        <w:rPr>
          <w:rFonts w:ascii="宋体" w:hAnsi="宋体"/>
          <w:sz w:val="24"/>
        </w:rPr>
      </w:pPr>
    </w:p>
    <w:p w14:paraId="3AC1A453">
      <w:pPr>
        <w:spacing w:line="360" w:lineRule="auto"/>
        <w:ind w:firstLine="480"/>
        <w:rPr>
          <w:rFonts w:ascii="宋体" w:hAnsi="宋体"/>
          <w:sz w:val="24"/>
        </w:rPr>
      </w:pPr>
      <w:r>
        <w:rPr>
          <w:rFonts w:hint="eastAsia" w:ascii="宋体" w:hAnsi="宋体"/>
          <w:sz w:val="24"/>
        </w:rPr>
        <w:t xml:space="preserve">甲方：（盖公章）                      乙方：（盖公章）   </w:t>
      </w:r>
    </w:p>
    <w:p w14:paraId="07901E94">
      <w:pPr>
        <w:spacing w:line="360" w:lineRule="auto"/>
        <w:ind w:firstLine="480"/>
        <w:rPr>
          <w:rFonts w:ascii="宋体" w:hAnsi="宋体"/>
          <w:sz w:val="24"/>
        </w:rPr>
      </w:pPr>
      <w:r>
        <w:rPr>
          <w:rFonts w:hint="eastAsia" w:ascii="宋体" w:hAnsi="宋体"/>
          <w:sz w:val="24"/>
        </w:rPr>
        <w:t>法定代表人：（签字）                  法定代表人：（签字）</w:t>
      </w:r>
    </w:p>
    <w:p w14:paraId="7F2A089A">
      <w:pPr>
        <w:spacing w:line="360" w:lineRule="auto"/>
        <w:ind w:firstLine="480"/>
        <w:rPr>
          <w:rFonts w:ascii="宋体" w:hAnsi="宋体"/>
          <w:sz w:val="24"/>
        </w:rPr>
      </w:pPr>
      <w:r>
        <w:rPr>
          <w:rFonts w:hint="eastAsia" w:ascii="宋体" w:hAnsi="宋体"/>
          <w:sz w:val="24"/>
        </w:rPr>
        <w:t>合同签订地址：                        合同签订地址：</w:t>
      </w:r>
    </w:p>
    <w:p w14:paraId="5FE73058">
      <w:pPr>
        <w:spacing w:line="360" w:lineRule="auto"/>
        <w:ind w:firstLine="480"/>
        <w:rPr>
          <w:rFonts w:ascii="宋体" w:hAnsi="宋体"/>
          <w:sz w:val="24"/>
        </w:rPr>
      </w:pPr>
      <w:r>
        <w:rPr>
          <w:rFonts w:hint="eastAsia" w:ascii="宋体" w:hAnsi="宋体"/>
          <w:sz w:val="24"/>
        </w:rPr>
        <w:t>签订时间：        年   月   日        签订时间：        年   月   日</w:t>
      </w:r>
    </w:p>
    <w:p w14:paraId="2A242379">
      <w:pPr>
        <w:pStyle w:val="291"/>
        <w:spacing w:line="420" w:lineRule="auto"/>
        <w:ind w:firstLine="480"/>
        <w:rPr>
          <w:rFonts w:hAnsi="宋体" w:cs="宋体"/>
          <w:sz w:val="24"/>
          <w:szCs w:val="24"/>
          <w:u w:val="none"/>
        </w:rPr>
      </w:pPr>
    </w:p>
    <w:p w14:paraId="0F7AC312">
      <w:pPr>
        <w:pStyle w:val="199"/>
        <w:spacing w:line="420" w:lineRule="auto"/>
        <w:ind w:firstLine="880"/>
        <w:jc w:val="both"/>
        <w:rPr>
          <w:rFonts w:ascii="黑体" w:eastAsia="黑体"/>
          <w:bCs/>
          <w:sz w:val="44"/>
        </w:rPr>
        <w:sectPr>
          <w:pgSz w:w="11906" w:h="16838"/>
          <w:pgMar w:top="1418" w:right="1588" w:bottom="1418" w:left="1365" w:header="851" w:footer="907" w:gutter="0"/>
          <w:cols w:space="1701" w:num="1"/>
          <w:titlePg/>
          <w:docGrid w:linePitch="360" w:charSpace="0"/>
        </w:sectPr>
      </w:pPr>
    </w:p>
    <w:bookmarkEnd w:id="167"/>
    <w:bookmarkEnd w:id="168"/>
    <w:bookmarkEnd w:id="169"/>
    <w:bookmarkEnd w:id="170"/>
    <w:p w14:paraId="7E2A2C8F">
      <w:pPr>
        <w:pStyle w:val="199"/>
        <w:spacing w:line="420" w:lineRule="auto"/>
        <w:ind w:firstLine="880"/>
        <w:jc w:val="center"/>
        <w:rPr>
          <w:rFonts w:ascii="黑体" w:eastAsia="黑体"/>
          <w:bCs/>
          <w:sz w:val="44"/>
        </w:rPr>
      </w:pPr>
      <w:bookmarkStart w:id="173" w:name="_Toc49090575"/>
      <w:bookmarkStart w:id="174" w:name="_Toc26554093"/>
      <w:bookmarkStart w:id="175" w:name="_Toc120614281"/>
      <w:r>
        <w:rPr>
          <w:rFonts w:hint="eastAsia" w:ascii="黑体" w:eastAsia="黑体"/>
          <w:bCs/>
          <w:sz w:val="44"/>
        </w:rPr>
        <w:t>第四章  项目需求</w:t>
      </w:r>
    </w:p>
    <w:p w14:paraId="69FE42A1">
      <w:pPr>
        <w:spacing w:before="240" w:after="60" w:line="360" w:lineRule="auto"/>
        <w:outlineLvl w:val="0"/>
        <w:rPr>
          <w:rFonts w:ascii="宋体" w:hAnsi="宋体" w:eastAsia="宋体" w:cstheme="majorBidi"/>
          <w:b/>
          <w:bCs/>
          <w:sz w:val="24"/>
          <w:szCs w:val="24"/>
          <w14:ligatures w14:val="none"/>
        </w:rPr>
      </w:pPr>
      <w:bookmarkStart w:id="176" w:name="_Toc157634306"/>
      <w:r>
        <w:rPr>
          <w:rFonts w:hint="eastAsia" w:ascii="宋体" w:hAnsi="宋体" w:eastAsia="宋体" w:cstheme="majorBidi"/>
          <w:b/>
          <w:bCs/>
          <w:sz w:val="24"/>
          <w:szCs w:val="24"/>
          <w14:ligatures w14:val="none"/>
        </w:rPr>
        <w:t>一、项目背景</w:t>
      </w:r>
      <w:bookmarkEnd w:id="176"/>
    </w:p>
    <w:p w14:paraId="089CB3E7">
      <w:pPr>
        <w:spacing w:line="360" w:lineRule="auto"/>
        <w:ind w:firstLine="480" w:firstLineChars="200"/>
        <w:rPr>
          <w:rFonts w:ascii="宋体" w:hAnsi="宋体" w:eastAsia="宋体" w:cs="Times New Roman"/>
          <w:sz w:val="24"/>
          <w:szCs w:val="24"/>
          <w14:ligatures w14:val="none"/>
        </w:rPr>
      </w:pPr>
      <w:r>
        <w:rPr>
          <w:rFonts w:hint="eastAsia" w:ascii="宋体" w:hAnsi="宋体" w:eastAsia="宋体" w:cs="Times New Roman"/>
          <w:sz w:val="24"/>
          <w:szCs w:val="24"/>
          <w14:ligatures w14:val="none"/>
        </w:rPr>
        <w:t>近年来，流域水质状况事关全流域人民切身利益，事关流域环境、经济与社会的发展大局。城市排水管网系统是城市基础设施中的一部分，关系到城市的生存和发展。改革开放以来，随着经济的发展、人口的增长和城市的规模化，城市原有的排水管网系统开始面临越来越严重的问题，逐渐暴露出管网老化、管网溢流污染严重、雨污管网混接错接导致外部清水大量混入污水管网、合流管网改造技术单一、监测技术相对落后等问题，导致纳管水体水质C</w:t>
      </w:r>
      <w:r>
        <w:rPr>
          <w:rFonts w:ascii="宋体" w:hAnsi="宋体" w:eastAsia="宋体" w:cs="Times New Roman"/>
          <w:sz w:val="24"/>
          <w:szCs w:val="24"/>
          <w14:ligatures w14:val="none"/>
        </w:rPr>
        <w:t>OD</w:t>
      </w:r>
      <w:r>
        <w:rPr>
          <w:rFonts w:hint="eastAsia" w:ascii="宋体" w:hAnsi="宋体" w:eastAsia="宋体" w:cs="Times New Roman"/>
          <w:sz w:val="24"/>
          <w:szCs w:val="24"/>
          <w14:ligatures w14:val="none"/>
        </w:rPr>
        <w:t>浓度指标下降严重，进而产生污水处理厂收纳的水量严重超标，而其中C</w:t>
      </w:r>
      <w:r>
        <w:rPr>
          <w:rFonts w:ascii="宋体" w:hAnsi="宋体" w:eastAsia="宋体" w:cs="Times New Roman"/>
          <w:sz w:val="24"/>
          <w:szCs w:val="24"/>
          <w14:ligatures w14:val="none"/>
        </w:rPr>
        <w:t>OD</w:t>
      </w:r>
      <w:r>
        <w:rPr>
          <w:rFonts w:hint="eastAsia" w:ascii="宋体" w:hAnsi="宋体" w:eastAsia="宋体" w:cs="Times New Roman"/>
          <w:sz w:val="24"/>
          <w:szCs w:val="24"/>
          <w14:ligatures w14:val="none"/>
        </w:rPr>
        <w:t>含量严重不足导致污水处理厂不能正常运行、污水纳管率无法进一步提高、污水排放进入城市水系使城市水系整体富营养化状况日趋严重、污水管网提质增效迟迟不能实现等种种问题，对城市生态环境及市民人居环境造成了不利影响。</w:t>
      </w:r>
    </w:p>
    <w:p w14:paraId="4374023A">
      <w:pPr>
        <w:spacing w:line="360" w:lineRule="auto"/>
        <w:ind w:firstLine="420"/>
        <w:rPr>
          <w:rFonts w:ascii="宋体" w:hAnsi="宋体" w:eastAsia="宋体" w:cs="Times New Roman"/>
          <w:sz w:val="24"/>
          <w:szCs w:val="24"/>
          <w14:ligatures w14:val="none"/>
        </w:rPr>
      </w:pPr>
      <w:r>
        <w:rPr>
          <w:rFonts w:hint="eastAsia" w:ascii="宋体" w:hAnsi="宋体" w:eastAsia="宋体" w:cs="Times New Roman"/>
          <w:sz w:val="24"/>
          <w:szCs w:val="24"/>
          <w14:ligatures w14:val="none"/>
        </w:rPr>
        <w:t>滨海县地下水丰富、河网密集，部分地区存在外来水通过“入流”和“入渗” 的多种渠道进入污水系统。“入流"主要来自河水倒灌，"入渗”主要来自通过管道和井室缺陷渗入的地下水，导致了污水系统的长期高水位、低C</w:t>
      </w:r>
      <w:r>
        <w:rPr>
          <w:rFonts w:ascii="宋体" w:hAnsi="宋体" w:eastAsia="宋体" w:cs="Times New Roman"/>
          <w:sz w:val="24"/>
          <w:szCs w:val="24"/>
          <w14:ligatures w14:val="none"/>
        </w:rPr>
        <w:t>OD</w:t>
      </w:r>
      <w:r>
        <w:rPr>
          <w:rFonts w:hint="eastAsia" w:ascii="宋体" w:hAnsi="宋体" w:eastAsia="宋体" w:cs="Times New Roman"/>
          <w:sz w:val="24"/>
          <w:szCs w:val="24"/>
          <w14:ligatures w14:val="none"/>
        </w:rPr>
        <w:t>运行，日常运维开展难度比较大，管网问题日益严重。开展管网深度排查即是要找出污水系统的外来非污水，包括河水、雨水、地下水等进入污水管网的点位和水量，査明污水系统中存在的混接错接问题（混接点或混接源所在），发现污水直接通过溢流、混流等进入自然环境的点位。查明上述问题之后再进行针对性的整改，从而实现管网C</w:t>
      </w:r>
      <w:r>
        <w:rPr>
          <w:rFonts w:ascii="宋体" w:hAnsi="宋体" w:eastAsia="宋体" w:cs="Times New Roman"/>
          <w:sz w:val="24"/>
          <w:szCs w:val="24"/>
          <w14:ligatures w14:val="none"/>
        </w:rPr>
        <w:t>OD</w:t>
      </w:r>
      <w:r>
        <w:rPr>
          <w:rFonts w:hint="eastAsia" w:ascii="宋体" w:hAnsi="宋体" w:eastAsia="宋体" w:cs="Times New Roman"/>
          <w:sz w:val="24"/>
          <w:szCs w:val="24"/>
          <w14:ligatures w14:val="none"/>
        </w:rPr>
        <w:t>浓度的提升。同样由于污水管网存在的上述问题会导致部分雨水入河排口变成了事实上的主要入河污染源。</w:t>
      </w:r>
      <w:r>
        <w:rPr>
          <w:rFonts w:ascii="宋体" w:hAnsi="宋体" w:eastAsia="宋体" w:cs="Times New Roman"/>
          <w:sz w:val="24"/>
          <w:szCs w:val="24"/>
          <w14:ligatures w14:val="none"/>
        </w:rPr>
        <w:t xml:space="preserve"> </w:t>
      </w:r>
    </w:p>
    <w:p w14:paraId="508D5004">
      <w:pPr>
        <w:spacing w:line="360" w:lineRule="auto"/>
        <w:ind w:firstLine="420"/>
        <w:rPr>
          <w:rFonts w:ascii="宋体" w:hAnsi="宋体" w:eastAsia="宋体" w:cs="Times New Roman"/>
          <w:sz w:val="24"/>
          <w:szCs w:val="24"/>
          <w14:ligatures w14:val="none"/>
        </w:rPr>
      </w:pPr>
      <w:r>
        <w:rPr>
          <w:rFonts w:hint="eastAsia" w:ascii="宋体" w:hAnsi="宋体" w:eastAsia="宋体" w:cs="Times New Roman"/>
          <w:sz w:val="24"/>
          <w:szCs w:val="24"/>
          <w14:ligatures w14:val="none"/>
        </w:rPr>
        <w:t>综上所述，只有对污水处理厂、污水管网、城市河道和排污源头进行整体化的“厂-网-河-源”一体化排查，并对上述这些问题提出有效的整改措施，帮助落实并验证整改措施的实效，才能整体解决目前水环境中存在的问题，真正有效实现管网水质、河道水质的长效提升管控。</w:t>
      </w:r>
    </w:p>
    <w:p w14:paraId="6B8D1D72">
      <w:pPr>
        <w:spacing w:after="120" w:line="360" w:lineRule="auto"/>
        <w:rPr>
          <w:rFonts w:ascii="宋体" w:hAnsi="宋体" w:eastAsia="宋体" w:cs="Times New Roman"/>
          <w:b/>
          <w:bCs/>
          <w:sz w:val="24"/>
          <w:szCs w:val="24"/>
          <w14:ligatures w14:val="none"/>
        </w:rPr>
      </w:pPr>
      <w:r>
        <w:rPr>
          <w:rFonts w:hint="eastAsia" w:ascii="宋体" w:hAnsi="宋体" w:eastAsia="宋体" w:cs="Times New Roman"/>
          <w:b/>
          <w:bCs/>
          <w:sz w:val="24"/>
          <w:szCs w:val="24"/>
          <w14:ligatures w14:val="none"/>
        </w:rPr>
        <w:t>二、国家以及省住建部门的最新要求</w:t>
      </w:r>
    </w:p>
    <w:p w14:paraId="03C31FA1">
      <w:pPr>
        <w:spacing w:line="360" w:lineRule="auto"/>
        <w:rPr>
          <w:rFonts w:ascii="宋体" w:hAnsi="宋体" w:eastAsia="宋体"/>
          <w:sz w:val="24"/>
          <w:szCs w:val="24"/>
          <w14:ligatures w14:val="none"/>
        </w:rPr>
      </w:pPr>
      <w:r>
        <w:rPr>
          <w:rFonts w:hint="eastAsia" w:ascii="宋体" w:hAnsi="宋体" w:eastAsia="宋体"/>
          <w:sz w:val="24"/>
          <w:szCs w:val="24"/>
          <w14:ligatures w14:val="none"/>
        </w:rPr>
        <w:t xml:space="preserve">  </w:t>
      </w:r>
      <w:r>
        <w:rPr>
          <w:rFonts w:hint="eastAsia" w:ascii="宋体" w:hAnsi="宋体" w:eastAsia="宋体"/>
          <w:sz w:val="24"/>
          <w:szCs w:val="24"/>
          <w:lang w:val="en-US" w:eastAsia="zh-CN"/>
          <w14:ligatures w14:val="none"/>
        </w:rPr>
        <w:t xml:space="preserve"> </w:t>
      </w:r>
      <w:r>
        <w:rPr>
          <w:rFonts w:hint="eastAsia" w:ascii="宋体" w:hAnsi="宋体" w:eastAsia="宋体"/>
          <w:sz w:val="24"/>
          <w:szCs w:val="24"/>
          <w14:ligatures w14:val="none"/>
        </w:rPr>
        <w:t>2.1、</w:t>
      </w:r>
      <w:r>
        <w:rPr>
          <w:rFonts w:hint="eastAsia" w:ascii="宋体" w:hAnsi="宋体" w:eastAsia="宋体"/>
          <w:b/>
          <w:bCs/>
          <w:sz w:val="24"/>
          <w:szCs w:val="24"/>
          <w14:ligatures w14:val="none"/>
        </w:rPr>
        <w:t xml:space="preserve"> 住房城乡建设部等5部门</w:t>
      </w:r>
      <w:r>
        <w:rPr>
          <w:rFonts w:hint="eastAsia" w:ascii="宋体" w:hAnsi="宋体" w:eastAsia="宋体"/>
          <w:sz w:val="24"/>
          <w:szCs w:val="24"/>
          <w14:ligatures w14:val="none"/>
        </w:rPr>
        <w:t>2024年03月08日联合发布《关于加强城市生活污水管网建设和运行维护的通知》文件要求如下：</w:t>
      </w:r>
    </w:p>
    <w:p w14:paraId="3ABC7306">
      <w:pPr>
        <w:spacing w:line="360" w:lineRule="auto"/>
        <w:ind w:firstLine="480" w:firstLineChars="200"/>
        <w:rPr>
          <w:rFonts w:ascii="宋体" w:hAnsi="宋体" w:eastAsia="宋体"/>
          <w:kern w:val="0"/>
          <w:sz w:val="24"/>
          <w:szCs w:val="24"/>
          <w14:ligatures w14:val="none"/>
        </w:rPr>
      </w:pPr>
      <w:r>
        <w:rPr>
          <w:rFonts w:hint="eastAsia" w:ascii="宋体" w:hAnsi="宋体" w:eastAsia="宋体"/>
          <w:sz w:val="24"/>
          <w:szCs w:val="24"/>
          <w14:ligatures w14:val="none"/>
        </w:rPr>
        <w:t>（1）开展污水收集系统问题排查。各地要按照每5—10年完成一轮城市生活污水管网排查滚动摸排的要求，持续推进管网现状评估和修复工作，建立管网长效管理与考核评估机制。污水处理厂进水污染物浓度偏低的地区，重点开展施工降水排入、城市水体倒灌、地下水入渗入流等进入城市生活污水管网问题排查。</w:t>
      </w:r>
    </w:p>
    <w:p w14:paraId="0F87BAE1">
      <w:pPr>
        <w:widowControl/>
        <w:shd w:val="clear" w:color="auto" w:fill="FFFFFF"/>
        <w:spacing w:after="225" w:line="360" w:lineRule="auto"/>
        <w:ind w:firstLine="480" w:firstLineChars="200"/>
        <w:jc w:val="left"/>
        <w:rPr>
          <w:rFonts w:ascii="宋体" w:hAnsi="宋体" w:eastAsia="宋体" w:cs="宋体"/>
          <w:kern w:val="0"/>
          <w:sz w:val="24"/>
          <w:szCs w:val="24"/>
          <w14:ligatures w14:val="none"/>
        </w:rPr>
      </w:pPr>
      <w:r>
        <w:rPr>
          <w:rFonts w:hint="eastAsia" w:ascii="宋体" w:hAnsi="宋体" w:eastAsia="宋体" w:cs="宋体"/>
          <w:kern w:val="0"/>
          <w:sz w:val="24"/>
          <w:szCs w:val="24"/>
          <w14:ligatures w14:val="none"/>
        </w:rPr>
        <w:t>（2）加快实施污水管网改造。各地要开展水体沿线雨水排口和合流制溢流口防倒灌改造，严防河湖水倒灌生活污水管网。加快破损检查井改造与修复，逐步淘汰砖砌污水检查井，新建污水检查井推广使用混凝土现浇或成品检查井。全面开展超使用年限、材质落后、问题突出排水设施的更新改造。因地制宜推进雨污分流改造。强化工业园区和工业企业内部雨污水错接混接和雨污分流改造。到2025年，城市污水处理厂进水生化需氧量（BOD）浓度高于100毫克/升的规模占比达到90%或较2022年提高5个百分点，污水收集效能明显提升。</w:t>
      </w:r>
    </w:p>
    <w:p w14:paraId="4B6247F1">
      <w:pPr>
        <w:spacing w:after="120" w:line="360" w:lineRule="auto"/>
        <w:ind w:firstLine="480" w:firstLineChars="200"/>
        <w:rPr>
          <w:rFonts w:ascii="宋体" w:hAnsi="宋体" w:eastAsia="宋体"/>
          <w:sz w:val="24"/>
          <w:szCs w:val="24"/>
          <w14:ligatures w14:val="none"/>
        </w:rPr>
      </w:pPr>
      <w:r>
        <w:rPr>
          <w:rFonts w:hint="eastAsia" w:ascii="宋体" w:hAnsi="宋体" w:eastAsia="宋体"/>
          <w:sz w:val="24"/>
          <w:szCs w:val="24"/>
          <w14:ligatures w14:val="none"/>
        </w:rPr>
        <w:t>2.2、</w:t>
      </w:r>
      <w:r>
        <w:rPr>
          <w:rFonts w:hint="eastAsia" w:ascii="宋体" w:hAnsi="宋体" w:eastAsia="宋体"/>
          <w:b/>
          <w:bCs/>
          <w:sz w:val="24"/>
          <w:szCs w:val="24"/>
          <w14:ligatures w14:val="none"/>
        </w:rPr>
        <w:t>江苏省住房和城乡建设厅、江苏省生态环境厅</w:t>
      </w:r>
      <w:r>
        <w:rPr>
          <w:rFonts w:hint="eastAsia" w:ascii="宋体" w:hAnsi="宋体" w:eastAsia="宋体"/>
          <w:sz w:val="24"/>
          <w:szCs w:val="24"/>
          <w14:ligatures w14:val="none"/>
        </w:rPr>
        <w:t>2024年4月25日联合印发了 《关于进一步加快提升城镇生活污水集中收集处理水平的工作方案》的通知。文件要求如下：</w:t>
      </w:r>
    </w:p>
    <w:p w14:paraId="1C6494FE">
      <w:pPr>
        <w:spacing w:line="360" w:lineRule="auto"/>
        <w:ind w:left="108" w:firstLine="480" w:firstLineChars="200"/>
        <w:rPr>
          <w:rFonts w:ascii="宋体" w:hAnsi="宋体" w:eastAsia="宋体"/>
          <w:sz w:val="24"/>
          <w:szCs w:val="24"/>
          <w14:ligatures w14:val="none"/>
        </w:rPr>
      </w:pPr>
      <w:r>
        <w:rPr>
          <w:rFonts w:hint="eastAsia" w:ascii="宋体" w:hAnsi="宋体" w:eastAsia="宋体"/>
          <w:sz w:val="24"/>
          <w:szCs w:val="24"/>
          <w14:ligatures w14:val="none"/>
        </w:rPr>
        <w:t>（1）提升城镇生活污水处理厂运行效能。对进水生化需氧量浓度低于100毫克/升或进水化学需氧量低于260毫克/升的城市生活污水处理厂实施年度清单管理，开展“一厂一策”系统化整治，着力提升污水处理厂的进水浓度。</w:t>
      </w:r>
    </w:p>
    <w:p w14:paraId="17B7FD75">
      <w:pPr>
        <w:spacing w:after="120" w:line="360" w:lineRule="auto"/>
        <w:ind w:left="108" w:firstLine="480" w:firstLineChars="200"/>
        <w:rPr>
          <w:rFonts w:ascii="宋体" w:hAnsi="宋体" w:eastAsia="宋体"/>
          <w:sz w:val="24"/>
          <w:szCs w:val="24"/>
          <w14:ligatures w14:val="none"/>
        </w:rPr>
      </w:pPr>
      <w:r>
        <w:rPr>
          <w:rFonts w:hint="eastAsia" w:ascii="宋体" w:hAnsi="宋体" w:eastAsia="宋体"/>
          <w:sz w:val="24"/>
          <w:szCs w:val="24"/>
          <w14:ligatures w14:val="none"/>
        </w:rPr>
        <w:t>（2）强化污水管网建设改造。开展污水管网整治提升攻坚行动，全面摸清城市污水管网底数。结合管网系统定量定性分析和“一厂一策”整治方案，聚焦重点区域、突出问题导向,按照“雨污同查”“内外同查”要求，开展雨污管网排查检测，查清管网问题短板，制定计划方案，有针对性地加快推进整治改造，着力推进解决外水入流入渗、高水位运行、污水漫溢和雨季溢流等管网系统难题。</w:t>
      </w:r>
    </w:p>
    <w:p w14:paraId="7C2FA75E">
      <w:pPr>
        <w:spacing w:line="360" w:lineRule="auto"/>
        <w:ind w:left="108" w:firstLine="480" w:firstLineChars="200"/>
        <w:rPr>
          <w:rFonts w:ascii="宋体" w:hAnsi="宋体" w:eastAsia="宋体"/>
          <w:sz w:val="24"/>
          <w:szCs w:val="24"/>
          <w14:ligatures w14:val="none"/>
        </w:rPr>
      </w:pPr>
      <w:r>
        <w:rPr>
          <w:rFonts w:hint="eastAsia" w:ascii="宋体" w:hAnsi="宋体" w:eastAsia="宋体"/>
          <w:sz w:val="24"/>
          <w:szCs w:val="24"/>
          <w14:ligatures w14:val="none"/>
        </w:rPr>
        <w:t>（3）狠抓排口整治和黑臭水体整治成效巩固提升。按照“有口皆查、应查尽查”要求，2024年8月底前完成县级以上城市建成区河湖各类排口排查，分类推进规范整治。综合运用卫星遥感、跟踪监测、明查暗访、专项行动、公开曝光等措施，强化城市黑臭水体监督管理和动态整治，发现问题及时通报整改，加大跟踪督查力度。2025年底前,县级以上城市建成区黑臭水体全面消除。积极推进城市建成区水体消劣提质,进一步改善提升城市水环境质量。</w:t>
      </w:r>
    </w:p>
    <w:p w14:paraId="1B19883D">
      <w:pPr>
        <w:spacing w:after="120"/>
        <w:ind w:firstLine="210" w:firstLineChars="100"/>
        <w:rPr>
          <w:rFonts w:eastAsia="宋体"/>
          <w14:ligatures w14:val="none"/>
        </w:rPr>
      </w:pPr>
    </w:p>
    <w:p w14:paraId="7E4D9201">
      <w:pPr>
        <w:spacing w:before="240" w:after="60" w:line="360" w:lineRule="auto"/>
        <w:jc w:val="left"/>
        <w:outlineLvl w:val="0"/>
        <w:rPr>
          <w:rFonts w:ascii="宋体" w:hAnsi="宋体" w:eastAsia="宋体" w:cstheme="majorBidi"/>
          <w:b/>
          <w:bCs/>
          <w:sz w:val="24"/>
          <w:szCs w:val="24"/>
          <w14:ligatures w14:val="none"/>
        </w:rPr>
      </w:pPr>
      <w:bookmarkStart w:id="177" w:name="_Toc5269"/>
      <w:bookmarkStart w:id="178" w:name="_Toc157634307"/>
      <w:bookmarkStart w:id="179" w:name="_Toc4194"/>
      <w:r>
        <w:rPr>
          <w:rFonts w:hint="eastAsia" w:ascii="宋体" w:hAnsi="宋体" w:eastAsia="宋体" w:cstheme="majorBidi"/>
          <w:b/>
          <w:bCs/>
          <w:sz w:val="24"/>
          <w:szCs w:val="24"/>
          <w14:ligatures w14:val="none"/>
        </w:rPr>
        <w:t>三</w:t>
      </w:r>
      <w:r>
        <w:rPr>
          <w:rFonts w:ascii="宋体" w:hAnsi="宋体" w:eastAsia="宋体" w:cstheme="majorBidi"/>
          <w:b/>
          <w:bCs/>
          <w:sz w:val="24"/>
          <w:szCs w:val="24"/>
          <w14:ligatures w14:val="none"/>
        </w:rPr>
        <w:tab/>
      </w:r>
      <w:r>
        <w:rPr>
          <w:rFonts w:hint="eastAsia" w:ascii="宋体" w:hAnsi="宋体" w:eastAsia="宋体" w:cstheme="majorBidi"/>
          <w:b/>
          <w:bCs/>
          <w:sz w:val="24"/>
          <w:szCs w:val="24"/>
          <w14:ligatures w14:val="none"/>
        </w:rPr>
        <w:t>、项目内容：</w:t>
      </w:r>
      <w:bookmarkEnd w:id="177"/>
      <w:bookmarkEnd w:id="178"/>
      <w:bookmarkEnd w:id="179"/>
    </w:p>
    <w:p w14:paraId="26B4D6A3">
      <w:pPr>
        <w:spacing w:line="360" w:lineRule="auto"/>
        <w:ind w:firstLine="480" w:firstLineChars="200"/>
        <w:rPr>
          <w:rFonts w:ascii="宋体" w:hAnsi="宋体" w:eastAsia="宋体" w:cs="宋体"/>
          <w:b/>
          <w:bCs/>
          <w:sz w:val="24"/>
          <w:szCs w:val="24"/>
          <w14:ligatures w14:val="none"/>
        </w:rPr>
      </w:pPr>
      <w:bookmarkStart w:id="180" w:name="_Toc23832"/>
      <w:bookmarkStart w:id="181" w:name="_Toc157634308"/>
      <w:r>
        <w:rPr>
          <w:rFonts w:hint="eastAsia" w:ascii="宋体" w:hAnsi="宋体" w:eastAsia="宋体"/>
          <w:sz w:val="24"/>
          <w:szCs w:val="24"/>
          <w14:ligatures w14:val="none"/>
        </w:rPr>
        <w:t>3.1</w:t>
      </w:r>
      <w:r>
        <w:rPr>
          <w:rFonts w:hint="eastAsia" w:ascii="宋体" w:hAnsi="宋体" w:eastAsia="宋体" w:cs="宋体"/>
          <w:b/>
          <w:bCs/>
          <w:sz w:val="24"/>
          <w:szCs w:val="24"/>
          <w14:ligatures w14:val="none"/>
        </w:rPr>
        <w:t>工作内容</w:t>
      </w:r>
      <w:bookmarkEnd w:id="180"/>
      <w:bookmarkEnd w:id="181"/>
    </w:p>
    <w:p w14:paraId="19224E69">
      <w:pPr>
        <w:spacing w:line="360" w:lineRule="auto"/>
        <w:ind w:firstLine="480" w:firstLineChars="200"/>
        <w:rPr>
          <w:rFonts w:ascii="宋体" w:hAnsi="宋体" w:eastAsia="宋体" w:cs="Times New Roman"/>
          <w:sz w:val="24"/>
          <w:szCs w:val="24"/>
          <w14:ligatures w14:val="none"/>
        </w:rPr>
      </w:pPr>
      <w:r>
        <w:rPr>
          <w:rFonts w:hint="eastAsia" w:ascii="宋体" w:hAnsi="宋体" w:eastAsia="宋体" w:cs="Times New Roman"/>
          <w:sz w:val="24"/>
          <w:szCs w:val="24"/>
          <w14:ligatures w14:val="none"/>
        </w:rPr>
        <w:t>为了避免传统的CCTV手段效率低、成本高、耗时多、只关注管网的物理状态而无法查明污水和外来水之间的确切关联性等弊端，针对整个滨海县150公里污水主管网和支管网，从水质和水量分析的角度，以水质指纹为核心技术，以C</w:t>
      </w:r>
      <w:r>
        <w:rPr>
          <w:rFonts w:ascii="宋体" w:hAnsi="宋体" w:eastAsia="宋体" w:cs="Times New Roman"/>
          <w:sz w:val="24"/>
          <w:szCs w:val="24"/>
          <w14:ligatures w14:val="none"/>
        </w:rPr>
        <w:t>OD</w:t>
      </w:r>
      <w:r>
        <w:rPr>
          <w:rFonts w:hint="eastAsia" w:ascii="宋体" w:hAnsi="宋体" w:eastAsia="宋体" w:cs="Times New Roman"/>
          <w:sz w:val="24"/>
          <w:szCs w:val="24"/>
          <w14:ligatures w14:val="none"/>
        </w:rPr>
        <w:t>含量变化为特征指标，进行管网污染源溯源排查，查明导致COD异常或者未达预期的原因，查清主要的外水侵入情况。具体工作如下：</w:t>
      </w:r>
    </w:p>
    <w:p w14:paraId="589CAF82">
      <w:pPr>
        <w:spacing w:line="360" w:lineRule="auto"/>
        <w:ind w:firstLine="240" w:firstLineChars="100"/>
        <w:rPr>
          <w:rFonts w:ascii="宋体" w:hAnsi="宋体" w:eastAsia="宋体" w:cs="Times New Roman"/>
          <w:sz w:val="24"/>
          <w:szCs w:val="24"/>
          <w14:ligatures w14:val="none"/>
        </w:rPr>
      </w:pPr>
      <w:r>
        <w:rPr>
          <w:rFonts w:hint="eastAsia" w:ascii="宋体" w:hAnsi="宋体" w:eastAsia="宋体" w:cs="Times New Roman"/>
          <w:sz w:val="24"/>
          <w:szCs w:val="24"/>
          <w14:ligatures w14:val="none"/>
        </w:rPr>
        <w:t>（1）滨海城市区域内对总长度为150公里的排水管网（包括污水管网以及雨水管网）进行外部水源渗入点位及水量、雨污混接、雨污错接、管网渗漏点位及渗漏水量、重要节点水质及水量监测统计等服务，查明导致调查区域内进水COD降低以及管网高水位运行的原因。</w:t>
      </w:r>
    </w:p>
    <w:p w14:paraId="02A3F239">
      <w:pPr>
        <w:spacing w:line="360" w:lineRule="auto"/>
        <w:ind w:firstLine="240" w:firstLineChars="100"/>
        <w:rPr>
          <w:rFonts w:ascii="宋体" w:hAnsi="宋体" w:eastAsia="宋体" w:cs="Times New Roman"/>
          <w:sz w:val="24"/>
          <w:szCs w:val="24"/>
          <w14:ligatures w14:val="none"/>
        </w:rPr>
      </w:pPr>
      <w:r>
        <w:rPr>
          <w:rFonts w:hint="eastAsia" w:ascii="宋体" w:hAnsi="宋体" w:eastAsia="宋体" w:cs="Times New Roman"/>
          <w:sz w:val="24"/>
          <w:szCs w:val="24"/>
          <w14:ligatures w14:val="none"/>
        </w:rPr>
        <w:t>（2）采用包括荧光示踪、声波路径分析、管网拓扑模型、三维荧光图谱、水质水量在线监测等一种或几种方法，高效率低成本的实现上述目的。</w:t>
      </w:r>
    </w:p>
    <w:p w14:paraId="0A2A5753">
      <w:pPr>
        <w:spacing w:line="360" w:lineRule="auto"/>
        <w:ind w:firstLine="240" w:firstLineChars="100"/>
        <w:rPr>
          <w:rFonts w:ascii="宋体" w:hAnsi="宋体" w:eastAsia="宋体" w:cs="Times New Roman"/>
          <w:sz w:val="24"/>
          <w:szCs w:val="24"/>
          <w14:ligatures w14:val="none"/>
        </w:rPr>
      </w:pPr>
      <w:r>
        <w:rPr>
          <w:rFonts w:hint="eastAsia" w:ascii="宋体" w:hAnsi="宋体" w:eastAsia="宋体" w:cs="Times New Roman"/>
          <w:sz w:val="24"/>
          <w:szCs w:val="24"/>
          <w14:ligatures w14:val="none"/>
        </w:rPr>
        <w:t>（3）项目交付时应包括上述要求相关的各类原始数据、对应的可视化分析图形及相关的调查监测报告。其中包含各个工作点位的工作记录、各个采集点的位置、时间，水质水量监测、三维荧光图谱等原始数据记录表，特征参数的水质沿程分布图以及水质水量异常原因分析等。最终成果包括问题点位位置、照片、经纬度、水质指标、外界污染出现的路径、问题源头照片或视频、问题成因和整改措施等信息。</w:t>
      </w:r>
    </w:p>
    <w:p w14:paraId="69C4ECC6">
      <w:pPr>
        <w:spacing w:line="360" w:lineRule="auto"/>
        <w:ind w:firstLine="240" w:firstLineChars="100"/>
        <w:rPr>
          <w:rFonts w:ascii="宋体" w:hAnsi="宋体" w:eastAsia="宋体" w:cs="Times New Roman"/>
          <w:sz w:val="24"/>
          <w:szCs w:val="24"/>
          <w14:ligatures w14:val="none"/>
        </w:rPr>
      </w:pPr>
      <w:r>
        <w:rPr>
          <w:rFonts w:hint="eastAsia" w:ascii="宋体" w:hAnsi="宋体" w:eastAsia="宋体" w:cs="Times New Roman"/>
          <w:sz w:val="24"/>
          <w:szCs w:val="24"/>
          <w14:ligatures w14:val="none"/>
        </w:rPr>
        <w:t>（4）针对本次排查服务的结果提供的解决方案建议清单。工程整改完成后再进行项目回头看。</w:t>
      </w:r>
    </w:p>
    <w:p w14:paraId="53D55FB1">
      <w:pPr>
        <w:spacing w:before="240" w:after="60" w:line="360" w:lineRule="auto"/>
        <w:jc w:val="left"/>
        <w:outlineLvl w:val="0"/>
        <w:rPr>
          <w:rFonts w:ascii="宋体" w:hAnsi="宋体" w:eastAsia="宋体" w:cstheme="majorBidi"/>
          <w:b/>
          <w:bCs/>
          <w:sz w:val="24"/>
          <w:szCs w:val="24"/>
          <w14:ligatures w14:val="none"/>
        </w:rPr>
      </w:pPr>
      <w:bookmarkStart w:id="182" w:name="_Toc157634310"/>
      <w:r>
        <w:rPr>
          <w:rFonts w:hint="eastAsia" w:ascii="宋体" w:hAnsi="宋体" w:eastAsia="宋体" w:cstheme="majorBidi"/>
          <w:b/>
          <w:bCs/>
          <w:sz w:val="24"/>
          <w:szCs w:val="24"/>
          <w14:ligatures w14:val="none"/>
        </w:rPr>
        <w:t>四、项目成果内容</w:t>
      </w:r>
      <w:bookmarkEnd w:id="182"/>
    </w:p>
    <w:p w14:paraId="20E2E54A">
      <w:pPr>
        <w:spacing w:line="360" w:lineRule="auto"/>
        <w:ind w:firstLine="480" w:firstLineChars="200"/>
        <w:rPr>
          <w:rFonts w:ascii="宋体" w:hAnsi="宋体" w:eastAsia="宋体"/>
          <w:sz w:val="24"/>
          <w:szCs w:val="24"/>
          <w14:ligatures w14:val="none"/>
        </w:rPr>
      </w:pPr>
      <w:bookmarkStart w:id="183" w:name="_Toc157634311"/>
      <w:r>
        <w:rPr>
          <w:rFonts w:hint="eastAsia" w:ascii="宋体" w:hAnsi="宋体" w:eastAsia="宋体"/>
          <w:sz w:val="24"/>
          <w:szCs w:val="24"/>
          <w14:ligatures w14:val="none"/>
        </w:rPr>
        <w:t>4.</w:t>
      </w:r>
      <w:r>
        <w:rPr>
          <w:rFonts w:ascii="宋体" w:hAnsi="宋体" w:eastAsia="宋体"/>
          <w:sz w:val="24"/>
          <w:szCs w:val="24"/>
          <w14:ligatures w14:val="none"/>
        </w:rPr>
        <w:t>1</w:t>
      </w:r>
      <w:r>
        <w:rPr>
          <w:rFonts w:hint="eastAsia" w:ascii="宋体" w:hAnsi="宋体" w:eastAsia="宋体"/>
          <w:sz w:val="24"/>
          <w:szCs w:val="24"/>
          <w14:ligatures w14:val="none"/>
        </w:rPr>
        <w:t>污水管网COD浓度溯源：</w:t>
      </w:r>
      <w:bookmarkEnd w:id="183"/>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701"/>
        <w:gridCol w:w="5891"/>
      </w:tblGrid>
      <w:tr w14:paraId="058E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035D5C73">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序号</w:t>
            </w:r>
          </w:p>
        </w:tc>
        <w:tc>
          <w:tcPr>
            <w:tcW w:w="1701" w:type="dxa"/>
          </w:tcPr>
          <w:p w14:paraId="0A69E9D4">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类别</w:t>
            </w:r>
          </w:p>
        </w:tc>
        <w:tc>
          <w:tcPr>
            <w:tcW w:w="5891" w:type="dxa"/>
          </w:tcPr>
          <w:p w14:paraId="6C7675FE">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工作内容</w:t>
            </w:r>
          </w:p>
        </w:tc>
      </w:tr>
      <w:tr w14:paraId="50B86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492C564C">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1</w:t>
            </w:r>
          </w:p>
        </w:tc>
        <w:tc>
          <w:tcPr>
            <w:tcW w:w="1701" w:type="dxa"/>
          </w:tcPr>
          <w:p w14:paraId="22504C47">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污水管网C</w:t>
            </w:r>
            <w:r>
              <w:rPr>
                <w:rFonts w:ascii="宋体" w:hAnsi="宋体" w:eastAsia="宋体"/>
                <w:sz w:val="24"/>
                <w:szCs w:val="24"/>
                <w14:ligatures w14:val="none"/>
              </w:rPr>
              <w:t>OD</w:t>
            </w:r>
            <w:r>
              <w:rPr>
                <w:rFonts w:hint="eastAsia" w:ascii="宋体" w:hAnsi="宋体" w:eastAsia="宋体"/>
                <w:sz w:val="24"/>
                <w:szCs w:val="24"/>
                <w14:ligatures w14:val="none"/>
              </w:rPr>
              <w:t>沿程分布图</w:t>
            </w:r>
          </w:p>
        </w:tc>
        <w:tc>
          <w:tcPr>
            <w:tcW w:w="5891" w:type="dxa"/>
          </w:tcPr>
          <w:p w14:paraId="50AF3F54">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对管网水质指标进行沿程分布分析，获得水质沿程分布图。分析污水管网雨前雨后COD浓度变化规律。</w:t>
            </w:r>
          </w:p>
        </w:tc>
      </w:tr>
      <w:tr w14:paraId="011B8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6D2DC8C9">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2</w:t>
            </w:r>
          </w:p>
        </w:tc>
        <w:tc>
          <w:tcPr>
            <w:tcW w:w="1701" w:type="dxa"/>
          </w:tcPr>
          <w:p w14:paraId="0F0CD067">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管网现状基础情况调查</w:t>
            </w:r>
          </w:p>
        </w:tc>
        <w:tc>
          <w:tcPr>
            <w:tcW w:w="5891" w:type="dxa"/>
          </w:tcPr>
          <w:p w14:paraId="3F5EE1C0">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查明污水管网污水流向、淤堵、破损、未联通等情况。</w:t>
            </w:r>
          </w:p>
        </w:tc>
      </w:tr>
      <w:tr w14:paraId="3E929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480C564F">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3</w:t>
            </w:r>
          </w:p>
        </w:tc>
        <w:tc>
          <w:tcPr>
            <w:tcW w:w="1701" w:type="dxa"/>
          </w:tcPr>
          <w:p w14:paraId="78AF1909">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管网现场综合排查工作</w:t>
            </w:r>
          </w:p>
        </w:tc>
        <w:tc>
          <w:tcPr>
            <w:tcW w:w="5891" w:type="dxa"/>
          </w:tcPr>
          <w:p w14:paraId="6E265FB5">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通过对水质指纹、水质理化指标的收集，结合水质水量液位等数据，运用数据模型，结合管道潜望镜QV、水下机器人以及内窥镜等进行现场排查工作，查明外部水源渗入点位及水量、雨污混接、雨污错接、管网渗漏点位及渗漏水量等重要信息。</w:t>
            </w:r>
          </w:p>
        </w:tc>
      </w:tr>
      <w:tr w14:paraId="253DB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0D0E4392">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4</w:t>
            </w:r>
          </w:p>
        </w:tc>
        <w:tc>
          <w:tcPr>
            <w:tcW w:w="1701" w:type="dxa"/>
          </w:tcPr>
          <w:p w14:paraId="141D92BC">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整改清单</w:t>
            </w:r>
          </w:p>
        </w:tc>
        <w:tc>
          <w:tcPr>
            <w:tcW w:w="5891" w:type="dxa"/>
          </w:tcPr>
          <w:p w14:paraId="5AD5D622">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问题清单一览表（包括点位名称、经纬度坐标、问题描述、主要原因、附现场照片及视频）；针对发现问题的整改措施建议</w:t>
            </w:r>
          </w:p>
        </w:tc>
      </w:tr>
      <w:tr w14:paraId="5085C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64A891E1">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5</w:t>
            </w:r>
          </w:p>
        </w:tc>
        <w:tc>
          <w:tcPr>
            <w:tcW w:w="1701" w:type="dxa"/>
          </w:tcPr>
          <w:p w14:paraId="317D6083">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问题清单复核</w:t>
            </w:r>
          </w:p>
        </w:tc>
        <w:tc>
          <w:tcPr>
            <w:tcW w:w="5891" w:type="dxa"/>
          </w:tcPr>
          <w:p w14:paraId="531A6962">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整改措施完成后，现场复核整改效果，确保达到“撇清水、引污水、防溢水”，从而有效提升管网和河道水质。</w:t>
            </w:r>
          </w:p>
        </w:tc>
      </w:tr>
    </w:tbl>
    <w:p w14:paraId="6C2010A5">
      <w:pPr>
        <w:spacing w:line="360" w:lineRule="auto"/>
        <w:ind w:firstLine="480" w:firstLineChars="200"/>
        <w:rPr>
          <w:rFonts w:ascii="宋体" w:hAnsi="宋体" w:eastAsia="宋体"/>
          <w:sz w:val="24"/>
          <w:szCs w:val="24"/>
          <w14:ligatures w14:val="none"/>
        </w:rPr>
      </w:pPr>
      <w:bookmarkStart w:id="184" w:name="_Toc157634312"/>
      <w:r>
        <w:rPr>
          <w:rFonts w:hint="eastAsia" w:ascii="宋体" w:hAnsi="宋体" w:eastAsia="宋体"/>
          <w:sz w:val="24"/>
          <w:szCs w:val="24"/>
          <w14:ligatures w14:val="none"/>
        </w:rPr>
        <w:t>4</w:t>
      </w:r>
      <w:r>
        <w:rPr>
          <w:rFonts w:ascii="宋体" w:hAnsi="宋体" w:eastAsia="宋体"/>
          <w:sz w:val="24"/>
          <w:szCs w:val="24"/>
          <w14:ligatures w14:val="none"/>
        </w:rPr>
        <w:t>.2</w:t>
      </w:r>
      <w:r>
        <w:rPr>
          <w:rFonts w:hint="eastAsia" w:ascii="宋体" w:hAnsi="宋体" w:eastAsia="宋体"/>
          <w:sz w:val="24"/>
          <w:szCs w:val="24"/>
          <w14:ligatures w14:val="none"/>
        </w:rPr>
        <w:t>城市河道污染溯源保障</w:t>
      </w:r>
      <w:bookmarkEnd w:id="184"/>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701"/>
        <w:gridCol w:w="5891"/>
      </w:tblGrid>
      <w:tr w14:paraId="112DE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43C09205">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序号</w:t>
            </w:r>
          </w:p>
        </w:tc>
        <w:tc>
          <w:tcPr>
            <w:tcW w:w="1701" w:type="dxa"/>
          </w:tcPr>
          <w:p w14:paraId="113B3067">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类别</w:t>
            </w:r>
          </w:p>
        </w:tc>
        <w:tc>
          <w:tcPr>
            <w:tcW w:w="5891" w:type="dxa"/>
          </w:tcPr>
          <w:p w14:paraId="1E744A2B">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工作内容</w:t>
            </w:r>
          </w:p>
        </w:tc>
      </w:tr>
      <w:tr w14:paraId="44E30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639EFE3C">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1</w:t>
            </w:r>
          </w:p>
        </w:tc>
        <w:tc>
          <w:tcPr>
            <w:tcW w:w="1701" w:type="dxa"/>
          </w:tcPr>
          <w:p w14:paraId="37208F75">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可视化报告</w:t>
            </w:r>
          </w:p>
        </w:tc>
        <w:tc>
          <w:tcPr>
            <w:tcW w:w="5891" w:type="dxa"/>
          </w:tcPr>
          <w:p w14:paraId="0784ACD1">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水质物理指标沿程分布图；主要岸上污染源及污染通量分布图。</w:t>
            </w:r>
          </w:p>
        </w:tc>
      </w:tr>
      <w:tr w14:paraId="1EADF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743901AC">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2</w:t>
            </w:r>
          </w:p>
        </w:tc>
        <w:tc>
          <w:tcPr>
            <w:tcW w:w="1701" w:type="dxa"/>
          </w:tcPr>
          <w:p w14:paraId="134CE07C">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建立水质指纹库</w:t>
            </w:r>
          </w:p>
        </w:tc>
        <w:tc>
          <w:tcPr>
            <w:tcW w:w="5891" w:type="dxa"/>
          </w:tcPr>
          <w:p w14:paraId="5E8C0894">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建模分析入河排污口水质属性，归类污染源管理归口单位（生活污水直排、工业废水直排、漏排、偷排等）。</w:t>
            </w:r>
          </w:p>
        </w:tc>
      </w:tr>
      <w:tr w14:paraId="47A9A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53CA5EB2">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3</w:t>
            </w:r>
          </w:p>
        </w:tc>
        <w:tc>
          <w:tcPr>
            <w:tcW w:w="1701" w:type="dxa"/>
          </w:tcPr>
          <w:p w14:paraId="4B944110">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排口溯源</w:t>
            </w:r>
          </w:p>
        </w:tc>
        <w:tc>
          <w:tcPr>
            <w:tcW w:w="5891" w:type="dxa"/>
          </w:tcPr>
          <w:p w14:paraId="289D722A">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排口污染源精准溯源通过图谱识别溯源确认至单一排水户。“一口一档”，提供后期数据库档案比对服务</w:t>
            </w:r>
          </w:p>
        </w:tc>
      </w:tr>
      <w:tr w14:paraId="49894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74B8280C">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4</w:t>
            </w:r>
          </w:p>
        </w:tc>
        <w:tc>
          <w:tcPr>
            <w:tcW w:w="1701" w:type="dxa"/>
          </w:tcPr>
          <w:p w14:paraId="59D8C18B">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提供基于污染溯源分析的治理建议</w:t>
            </w:r>
          </w:p>
        </w:tc>
        <w:tc>
          <w:tcPr>
            <w:tcW w:w="5891" w:type="dxa"/>
          </w:tcPr>
          <w:p w14:paraId="14B8A164">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确定入河排污口水质类型，细化到具体什么类型工业污水，什么类型的农业污水，什么类型的生活污水。提供针对排口主要污染源的“一点一策”治理建议清单，通过“截污控源、精准治污”等方法保证水质提升。</w:t>
            </w:r>
          </w:p>
        </w:tc>
      </w:tr>
      <w:tr w14:paraId="303B0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63A40176">
            <w:pPr>
              <w:spacing w:after="120" w:line="360" w:lineRule="auto"/>
              <w:rPr>
                <w:rFonts w:ascii="宋体" w:hAnsi="宋体" w:eastAsia="宋体"/>
                <w:sz w:val="24"/>
                <w:szCs w:val="24"/>
                <w14:ligatures w14:val="none"/>
              </w:rPr>
            </w:pPr>
            <w:r>
              <w:rPr>
                <w:rFonts w:ascii="宋体" w:hAnsi="宋体" w:eastAsia="宋体"/>
                <w:sz w:val="24"/>
                <w:szCs w:val="24"/>
                <w14:ligatures w14:val="none"/>
              </w:rPr>
              <w:t>5</w:t>
            </w:r>
          </w:p>
        </w:tc>
        <w:tc>
          <w:tcPr>
            <w:tcW w:w="1701" w:type="dxa"/>
          </w:tcPr>
          <w:p w14:paraId="51DD523A">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整改清单</w:t>
            </w:r>
          </w:p>
        </w:tc>
        <w:tc>
          <w:tcPr>
            <w:tcW w:w="5891" w:type="dxa"/>
          </w:tcPr>
          <w:p w14:paraId="1F119466">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问题清单一览表（包括点位名称、经纬度坐标、问题描述、主要原因、附现场照片及视频）；针对发现问题的整改措施建议</w:t>
            </w:r>
          </w:p>
        </w:tc>
      </w:tr>
      <w:tr w14:paraId="10A9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60655DB1">
            <w:pPr>
              <w:spacing w:after="120" w:line="360" w:lineRule="auto"/>
              <w:rPr>
                <w:rFonts w:ascii="宋体" w:hAnsi="宋体" w:eastAsia="宋体"/>
                <w:sz w:val="24"/>
                <w:szCs w:val="24"/>
                <w14:ligatures w14:val="none"/>
              </w:rPr>
            </w:pPr>
            <w:r>
              <w:rPr>
                <w:rFonts w:ascii="宋体" w:hAnsi="宋体" w:eastAsia="宋体"/>
                <w:sz w:val="24"/>
                <w:szCs w:val="24"/>
                <w14:ligatures w14:val="none"/>
              </w:rPr>
              <w:t>6</w:t>
            </w:r>
          </w:p>
        </w:tc>
        <w:tc>
          <w:tcPr>
            <w:tcW w:w="1701" w:type="dxa"/>
          </w:tcPr>
          <w:p w14:paraId="1705E459">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问题清单复核</w:t>
            </w:r>
          </w:p>
        </w:tc>
        <w:tc>
          <w:tcPr>
            <w:tcW w:w="5891" w:type="dxa"/>
          </w:tcPr>
          <w:p w14:paraId="6D106615">
            <w:pPr>
              <w:spacing w:after="120" w:line="360" w:lineRule="auto"/>
              <w:rPr>
                <w:rFonts w:ascii="宋体" w:hAnsi="宋体" w:eastAsia="宋体"/>
                <w:sz w:val="24"/>
                <w:szCs w:val="24"/>
                <w14:ligatures w14:val="none"/>
              </w:rPr>
            </w:pPr>
            <w:r>
              <w:rPr>
                <w:rFonts w:hint="eastAsia" w:ascii="宋体" w:hAnsi="宋体" w:eastAsia="宋体"/>
                <w:sz w:val="24"/>
                <w:szCs w:val="24"/>
                <w14:ligatures w14:val="none"/>
              </w:rPr>
              <w:t>整改措施完成后，现场复核整改问题，确保河道水质提升。</w:t>
            </w:r>
          </w:p>
        </w:tc>
      </w:tr>
    </w:tbl>
    <w:p w14:paraId="3FD619F8">
      <w:pPr>
        <w:sectPr>
          <w:pgSz w:w="11906" w:h="16838"/>
          <w:pgMar w:top="1418" w:right="1588" w:bottom="1418" w:left="1365" w:header="851" w:footer="907" w:gutter="0"/>
          <w:cols w:space="1701" w:num="1"/>
          <w:titlePg/>
          <w:docGrid w:linePitch="360" w:charSpace="0"/>
        </w:sectPr>
      </w:pPr>
    </w:p>
    <w:p w14:paraId="2F0327AF">
      <w:pPr>
        <w:pStyle w:val="199"/>
        <w:spacing w:line="420" w:lineRule="auto"/>
        <w:jc w:val="center"/>
        <w:rPr>
          <w:rFonts w:ascii="黑体" w:eastAsia="黑体"/>
          <w:bCs/>
          <w:sz w:val="44"/>
        </w:rPr>
      </w:pPr>
      <w:r>
        <w:rPr>
          <w:rFonts w:hint="eastAsia" w:ascii="黑体" w:eastAsia="黑体"/>
          <w:bCs/>
          <w:sz w:val="44"/>
        </w:rPr>
        <w:t xml:space="preserve">第五章  </w:t>
      </w:r>
      <w:r>
        <w:rPr>
          <w:rFonts w:hint="eastAsia" w:ascii="黑体" w:eastAsia="黑体"/>
          <w:b/>
          <w:bCs/>
          <w:sz w:val="44"/>
        </w:rPr>
        <w:t>定标原则与评标标准</w:t>
      </w:r>
    </w:p>
    <w:p w14:paraId="0233F01D">
      <w:pPr>
        <w:wordWrap w:val="0"/>
        <w:spacing w:line="520" w:lineRule="exact"/>
        <w:ind w:firstLine="480" w:firstLineChars="200"/>
        <w:rPr>
          <w:color w:val="000000"/>
          <w:sz w:val="24"/>
          <w:szCs w:val="24"/>
        </w:rPr>
      </w:pPr>
      <w:r>
        <w:rPr>
          <w:color w:val="000000"/>
          <w:sz w:val="24"/>
          <w:szCs w:val="24"/>
        </w:rPr>
        <w:t>一、定标原则</w:t>
      </w:r>
    </w:p>
    <w:p w14:paraId="2B571DCD">
      <w:pPr>
        <w:wordWrap w:val="0"/>
        <w:spacing w:line="520" w:lineRule="exact"/>
        <w:ind w:firstLine="480" w:firstLineChars="200"/>
        <w:rPr>
          <w:color w:val="000000"/>
          <w:sz w:val="24"/>
          <w:szCs w:val="24"/>
        </w:rPr>
      </w:pPr>
      <w:r>
        <w:rPr>
          <w:color w:val="000000"/>
          <w:sz w:val="24"/>
          <w:szCs w:val="24"/>
        </w:rPr>
        <w:t>本项目采用</w:t>
      </w:r>
      <w:r>
        <w:rPr>
          <w:color w:val="000000"/>
          <w:sz w:val="24"/>
          <w:szCs w:val="24"/>
          <w:u w:val="single"/>
        </w:rPr>
        <w:t xml:space="preserve"> 综合评分 </w:t>
      </w:r>
      <w:r>
        <w:rPr>
          <w:color w:val="000000"/>
          <w:sz w:val="24"/>
          <w:szCs w:val="24"/>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5E744155">
      <w:pPr>
        <w:wordWrap w:val="0"/>
        <w:spacing w:line="520" w:lineRule="exact"/>
        <w:ind w:firstLine="482" w:firstLineChars="200"/>
        <w:rPr>
          <w:b/>
          <w:sz w:val="24"/>
          <w:szCs w:val="24"/>
          <w:highlight w:val="yellow"/>
        </w:rPr>
      </w:pPr>
      <w:r>
        <w:rPr>
          <w:b/>
          <w:sz w:val="24"/>
          <w:szCs w:val="24"/>
        </w:rPr>
        <w:t>政府采购政策功能落实</w:t>
      </w:r>
    </w:p>
    <w:p w14:paraId="30573718">
      <w:pPr>
        <w:wordWrap w:val="0"/>
        <w:spacing w:line="520" w:lineRule="exact"/>
        <w:ind w:firstLine="480" w:firstLineChars="200"/>
        <w:rPr>
          <w:color w:val="000000"/>
          <w:sz w:val="24"/>
          <w:szCs w:val="24"/>
        </w:rPr>
      </w:pPr>
      <w:r>
        <w:rPr>
          <w:color w:val="000000"/>
          <w:sz w:val="24"/>
          <w:szCs w:val="24"/>
        </w:rPr>
        <w:t>1、小微型企业价格扣除</w:t>
      </w:r>
    </w:p>
    <w:p w14:paraId="45E1FAD2">
      <w:pPr>
        <w:wordWrap w:val="0"/>
        <w:spacing w:line="520" w:lineRule="exact"/>
        <w:ind w:firstLine="480" w:firstLineChars="200"/>
        <w:rPr>
          <w:color w:val="000000"/>
          <w:sz w:val="24"/>
          <w:szCs w:val="24"/>
        </w:rPr>
      </w:pPr>
      <w:r>
        <w:rPr>
          <w:color w:val="000000"/>
          <w:sz w:val="24"/>
          <w:szCs w:val="24"/>
        </w:rPr>
        <w:t>（1）本项目对小型和微型企业产品给予20%的扣除价格，用扣除后的价格参与评审。</w:t>
      </w:r>
    </w:p>
    <w:p w14:paraId="14B27B35">
      <w:pPr>
        <w:wordWrap w:val="0"/>
        <w:spacing w:line="520" w:lineRule="exact"/>
        <w:ind w:firstLine="480" w:firstLineChars="200"/>
        <w:rPr>
          <w:color w:val="000000"/>
          <w:sz w:val="24"/>
          <w:szCs w:val="24"/>
        </w:rPr>
      </w:pPr>
      <w:r>
        <w:rPr>
          <w:color w:val="000000"/>
          <w:sz w:val="24"/>
          <w:szCs w:val="24"/>
        </w:rPr>
        <w:t>（2）供应商需按照采购文件的要求提供相应的《企业声明函》。</w:t>
      </w:r>
    </w:p>
    <w:p w14:paraId="0AE9DE95">
      <w:pPr>
        <w:wordWrap w:val="0"/>
        <w:spacing w:line="520" w:lineRule="exact"/>
        <w:ind w:firstLine="480" w:firstLineChars="200"/>
        <w:rPr>
          <w:color w:val="000000"/>
          <w:sz w:val="24"/>
          <w:szCs w:val="24"/>
        </w:rPr>
      </w:pPr>
      <w:r>
        <w:rPr>
          <w:color w:val="000000"/>
          <w:sz w:val="24"/>
          <w:szCs w:val="24"/>
        </w:rPr>
        <w:t>（3）企业标准请参照《关于印发中小企业划型标准规定的通知》（工信部联企业[2011]300号）文件规定自行填写。</w:t>
      </w:r>
    </w:p>
    <w:p w14:paraId="2CB13143">
      <w:pPr>
        <w:wordWrap w:val="0"/>
        <w:spacing w:line="520" w:lineRule="exact"/>
        <w:ind w:firstLine="480" w:firstLineChars="200"/>
        <w:rPr>
          <w:color w:val="000000"/>
          <w:sz w:val="24"/>
          <w:szCs w:val="24"/>
        </w:rPr>
      </w:pPr>
      <w:r>
        <w:rPr>
          <w:color w:val="000000"/>
          <w:sz w:val="24"/>
          <w:szCs w:val="24"/>
        </w:rPr>
        <w:t>（4）在货物采购项目中，供应商提供的货物既有中小企业制造货物，也有大型企业制造货物的，不享受本办法规定的中小企业扶持政策。</w:t>
      </w:r>
    </w:p>
    <w:p w14:paraId="27B9D958">
      <w:pPr>
        <w:wordWrap w:val="0"/>
        <w:spacing w:line="520" w:lineRule="exact"/>
        <w:ind w:firstLine="480" w:firstLineChars="200"/>
        <w:rPr>
          <w:color w:val="000000"/>
          <w:sz w:val="24"/>
          <w:szCs w:val="24"/>
        </w:rPr>
      </w:pPr>
      <w:r>
        <w:rPr>
          <w:color w:val="000000"/>
          <w:sz w:val="24"/>
          <w:szCs w:val="24"/>
        </w:rPr>
        <w:t>2、残疾人福利单位价格扣除</w:t>
      </w:r>
    </w:p>
    <w:p w14:paraId="3FCF33CE">
      <w:pPr>
        <w:wordWrap w:val="0"/>
        <w:spacing w:line="520" w:lineRule="exact"/>
        <w:ind w:firstLine="480" w:firstLineChars="200"/>
        <w:rPr>
          <w:color w:val="000000"/>
          <w:sz w:val="24"/>
          <w:szCs w:val="24"/>
        </w:rPr>
      </w:pPr>
      <w:r>
        <w:rPr>
          <w:color w:val="000000"/>
          <w:sz w:val="24"/>
          <w:szCs w:val="24"/>
        </w:rPr>
        <w:t>（1）本项目对残疾人福利性单位视同小型、微型企业，给予20%的价格扣除，用扣除后的价格参与评审。</w:t>
      </w:r>
    </w:p>
    <w:p w14:paraId="4DDBEA1B">
      <w:pPr>
        <w:wordWrap w:val="0"/>
        <w:spacing w:line="520" w:lineRule="exact"/>
        <w:ind w:firstLine="480" w:firstLineChars="200"/>
        <w:rPr>
          <w:color w:val="000000"/>
          <w:sz w:val="24"/>
          <w:szCs w:val="24"/>
        </w:rPr>
      </w:pPr>
      <w:r>
        <w:rPr>
          <w:color w:val="000000"/>
          <w:sz w:val="24"/>
          <w:szCs w:val="24"/>
        </w:rPr>
        <w:t>（2）残疾人福利单位需提供《残疾人福利性单位声明函》。</w:t>
      </w:r>
    </w:p>
    <w:p w14:paraId="4B7CCBD4">
      <w:pPr>
        <w:wordWrap w:val="0"/>
        <w:spacing w:line="520" w:lineRule="exact"/>
        <w:ind w:firstLine="480" w:firstLineChars="200"/>
        <w:rPr>
          <w:color w:val="000000"/>
          <w:sz w:val="24"/>
          <w:szCs w:val="24"/>
        </w:rPr>
      </w:pPr>
      <w:r>
        <w:rPr>
          <w:color w:val="000000"/>
          <w:sz w:val="24"/>
          <w:szCs w:val="24"/>
        </w:rPr>
        <w:t>（3）残疾人福利单位标准请参照《关于促进残疾人就业政府采购政策的通知》（财库〔2017〕141号）。</w:t>
      </w:r>
    </w:p>
    <w:p w14:paraId="6C1DF978">
      <w:pPr>
        <w:wordWrap w:val="0"/>
        <w:spacing w:line="520" w:lineRule="exact"/>
        <w:ind w:firstLine="480" w:firstLineChars="200"/>
        <w:rPr>
          <w:color w:val="000000"/>
          <w:sz w:val="24"/>
          <w:szCs w:val="24"/>
        </w:rPr>
      </w:pPr>
      <w:r>
        <w:rPr>
          <w:color w:val="000000"/>
          <w:sz w:val="24"/>
          <w:szCs w:val="24"/>
        </w:rPr>
        <w:t>3、监狱和戒毒企业价格扣除</w:t>
      </w:r>
    </w:p>
    <w:p w14:paraId="4CF02B1F">
      <w:pPr>
        <w:wordWrap w:val="0"/>
        <w:spacing w:line="520" w:lineRule="exact"/>
        <w:ind w:firstLine="480" w:firstLineChars="200"/>
        <w:rPr>
          <w:color w:val="000000"/>
          <w:sz w:val="24"/>
          <w:szCs w:val="24"/>
        </w:rPr>
      </w:pPr>
      <w:r>
        <w:rPr>
          <w:color w:val="000000"/>
          <w:sz w:val="24"/>
          <w:szCs w:val="24"/>
        </w:rPr>
        <w:t>（1）本项目对监狱和戒毒企业（简称监狱企业）视同小型、微型企业，给予20%的价格扣除，用扣除后的价格参与评审。</w:t>
      </w:r>
    </w:p>
    <w:p w14:paraId="65D3DDD5">
      <w:pPr>
        <w:wordWrap w:val="0"/>
        <w:spacing w:line="520" w:lineRule="exact"/>
        <w:ind w:firstLine="480" w:firstLineChars="200"/>
        <w:rPr>
          <w:color w:val="000000"/>
          <w:sz w:val="24"/>
          <w:szCs w:val="24"/>
        </w:rPr>
      </w:pPr>
      <w:r>
        <w:rPr>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1241214B">
      <w:pPr>
        <w:wordWrap w:val="0"/>
        <w:spacing w:line="520" w:lineRule="exact"/>
        <w:ind w:firstLine="480" w:firstLineChars="200"/>
        <w:rPr>
          <w:color w:val="000000"/>
          <w:sz w:val="24"/>
          <w:szCs w:val="24"/>
        </w:rPr>
      </w:pPr>
      <w:r>
        <w:rPr>
          <w:color w:val="000000"/>
          <w:sz w:val="24"/>
          <w:szCs w:val="24"/>
        </w:rPr>
        <w:t>（3）监狱企业标准请参照《关于政府采购支持监狱企业发展有关问题的通知》（财库[2014]68号）。</w:t>
      </w:r>
    </w:p>
    <w:p w14:paraId="2E6D68AE">
      <w:pPr>
        <w:wordWrap w:val="0"/>
        <w:spacing w:line="520" w:lineRule="exact"/>
        <w:ind w:firstLine="480" w:firstLineChars="200"/>
        <w:rPr>
          <w:color w:val="000000"/>
          <w:sz w:val="24"/>
          <w:szCs w:val="24"/>
        </w:rPr>
      </w:pPr>
      <w:r>
        <w:rPr>
          <w:color w:val="000000"/>
          <w:sz w:val="24"/>
          <w:szCs w:val="24"/>
        </w:rPr>
        <w:t>4、残疾人福利单位、监狱企业属于小型、微型企业的，不重复享受政策。</w:t>
      </w:r>
    </w:p>
    <w:p w14:paraId="5DA94706">
      <w:pPr>
        <w:wordWrap w:val="0"/>
        <w:spacing w:line="520" w:lineRule="exact"/>
        <w:ind w:firstLine="480" w:firstLineChars="200"/>
        <w:rPr>
          <w:color w:val="000000"/>
          <w:sz w:val="24"/>
          <w:szCs w:val="24"/>
        </w:rPr>
      </w:pPr>
      <w:r>
        <w:rPr>
          <w:color w:val="000000"/>
          <w:sz w:val="24"/>
          <w:szCs w:val="24"/>
        </w:rPr>
        <w:t>二、评标标准</w:t>
      </w:r>
    </w:p>
    <w:p w14:paraId="7A57F297">
      <w:pPr>
        <w:wordWrap w:val="0"/>
        <w:spacing w:line="520" w:lineRule="exact"/>
        <w:ind w:firstLine="480" w:firstLineChars="200"/>
        <w:rPr>
          <w:color w:val="000000"/>
          <w:sz w:val="24"/>
          <w:szCs w:val="24"/>
        </w:rPr>
      </w:pPr>
      <w:r>
        <w:rPr>
          <w:color w:val="000000"/>
          <w:sz w:val="24"/>
          <w:szCs w:val="24"/>
        </w:rPr>
        <w:t>本项目采用“资格后审”的“综合评分法”确定中标候选人。对通过初步评审的投标文件，评标委员会将按下表评分办法和标准进行评分，总分值为100分。</w:t>
      </w:r>
    </w:p>
    <w:tbl>
      <w:tblPr>
        <w:tblStyle w:val="39"/>
        <w:tblW w:w="8876" w:type="dxa"/>
        <w:tblInd w:w="-8"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1148"/>
        <w:gridCol w:w="1350"/>
        <w:gridCol w:w="833"/>
        <w:gridCol w:w="5545"/>
      </w:tblGrid>
      <w:tr w14:paraId="2506714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7" w:hRule="atLeast"/>
        </w:trPr>
        <w:tc>
          <w:tcPr>
            <w:tcW w:w="2498" w:type="dxa"/>
            <w:gridSpan w:val="2"/>
            <w:tcBorders>
              <w:top w:val="outset" w:color="auto" w:sz="6" w:space="0"/>
              <w:left w:val="outset" w:color="auto" w:sz="6" w:space="0"/>
              <w:bottom w:val="outset" w:color="auto" w:sz="6" w:space="0"/>
              <w:right w:val="outset" w:color="auto" w:sz="6" w:space="0"/>
            </w:tcBorders>
            <w:vAlign w:val="center"/>
          </w:tcPr>
          <w:p w14:paraId="2A9472CF">
            <w:pPr>
              <w:jc w:val="center"/>
              <w:rPr>
                <w:rFonts w:ascii="宋体" w:hAnsi="宋体" w:eastAsia="宋体" w:cs="仿宋"/>
                <w14:ligatures w14:val="none"/>
              </w:rPr>
            </w:pPr>
            <w:r>
              <w:rPr>
                <w:rFonts w:hint="eastAsia" w:ascii="宋体" w:hAnsi="宋体" w:eastAsia="宋体" w:cs="仿宋"/>
                <w14:ligatures w14:val="none"/>
              </w:rPr>
              <w:t>评审因素</w:t>
            </w:r>
          </w:p>
        </w:tc>
        <w:tc>
          <w:tcPr>
            <w:tcW w:w="833" w:type="dxa"/>
            <w:tcBorders>
              <w:top w:val="outset" w:color="auto" w:sz="6" w:space="0"/>
              <w:left w:val="outset" w:color="auto" w:sz="6" w:space="0"/>
              <w:bottom w:val="outset" w:color="auto" w:sz="6" w:space="0"/>
              <w:right w:val="outset" w:color="auto" w:sz="6" w:space="0"/>
            </w:tcBorders>
            <w:vAlign w:val="center"/>
          </w:tcPr>
          <w:p w14:paraId="638AD73A">
            <w:pPr>
              <w:jc w:val="center"/>
              <w:rPr>
                <w:rFonts w:ascii="宋体" w:hAnsi="宋体" w:eastAsia="宋体" w:cs="仿宋"/>
                <w14:ligatures w14:val="none"/>
              </w:rPr>
            </w:pPr>
            <w:r>
              <w:rPr>
                <w:rFonts w:hint="eastAsia" w:ascii="宋体" w:hAnsi="宋体" w:eastAsia="宋体" w:cs="仿宋"/>
                <w14:ligatures w14:val="none"/>
              </w:rPr>
              <w:t>分数</w:t>
            </w:r>
          </w:p>
        </w:tc>
        <w:tc>
          <w:tcPr>
            <w:tcW w:w="5545" w:type="dxa"/>
            <w:tcBorders>
              <w:top w:val="outset" w:color="auto" w:sz="6" w:space="0"/>
              <w:left w:val="outset" w:color="auto" w:sz="6" w:space="0"/>
              <w:bottom w:val="outset" w:color="auto" w:sz="6" w:space="0"/>
              <w:right w:val="outset" w:color="auto" w:sz="6" w:space="0"/>
            </w:tcBorders>
            <w:vAlign w:val="center"/>
          </w:tcPr>
          <w:p w14:paraId="46FE793A">
            <w:pPr>
              <w:jc w:val="center"/>
              <w:rPr>
                <w:rFonts w:ascii="宋体" w:hAnsi="宋体" w:eastAsia="宋体" w:cs="仿宋"/>
                <w14:ligatures w14:val="none"/>
              </w:rPr>
            </w:pPr>
            <w:r>
              <w:rPr>
                <w:rFonts w:hint="eastAsia" w:ascii="宋体" w:hAnsi="宋体" w:eastAsia="宋体" w:cs="仿宋"/>
                <w14:ligatures w14:val="none"/>
              </w:rPr>
              <w:t>评审标准</w:t>
            </w:r>
          </w:p>
        </w:tc>
      </w:tr>
      <w:tr w14:paraId="6EFA0DC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148" w:type="dxa"/>
            <w:tcBorders>
              <w:top w:val="outset" w:color="auto" w:sz="6" w:space="0"/>
              <w:left w:val="outset" w:color="auto" w:sz="6" w:space="0"/>
              <w:bottom w:val="outset" w:color="auto" w:sz="6" w:space="0"/>
              <w:right w:val="outset" w:color="auto" w:sz="6" w:space="0"/>
            </w:tcBorders>
            <w:vAlign w:val="center"/>
          </w:tcPr>
          <w:p w14:paraId="68B4DAC6">
            <w:pPr>
              <w:jc w:val="center"/>
              <w:rPr>
                <w:rFonts w:ascii="宋体" w:hAnsi="宋体" w:eastAsia="宋体" w:cs="仿宋"/>
                <w14:ligatures w14:val="none"/>
              </w:rPr>
            </w:pPr>
            <w:r>
              <w:rPr>
                <w:rFonts w:hint="eastAsia" w:ascii="宋体" w:hAnsi="宋体" w:eastAsia="宋体" w:cs="仿宋"/>
                <w14:ligatures w14:val="none"/>
              </w:rPr>
              <w:t>报价分</w:t>
            </w:r>
          </w:p>
        </w:tc>
        <w:tc>
          <w:tcPr>
            <w:tcW w:w="1350" w:type="dxa"/>
            <w:tcBorders>
              <w:top w:val="outset" w:color="auto" w:sz="6" w:space="0"/>
              <w:left w:val="outset" w:color="auto" w:sz="6" w:space="0"/>
              <w:bottom w:val="outset" w:color="auto" w:sz="6" w:space="0"/>
              <w:right w:val="outset" w:color="auto" w:sz="6" w:space="0"/>
            </w:tcBorders>
            <w:vAlign w:val="center"/>
          </w:tcPr>
          <w:p w14:paraId="160428B1">
            <w:pPr>
              <w:jc w:val="center"/>
              <w:rPr>
                <w:rFonts w:ascii="宋体" w:hAnsi="宋体" w:eastAsia="宋体" w:cs="仿宋"/>
                <w14:ligatures w14:val="none"/>
              </w:rPr>
            </w:pPr>
            <w:r>
              <w:rPr>
                <w:rFonts w:hint="eastAsia" w:ascii="宋体" w:hAnsi="宋体" w:eastAsia="宋体" w:cs="仿宋"/>
                <w14:ligatures w14:val="none"/>
              </w:rPr>
              <w:t>投标报价</w:t>
            </w:r>
          </w:p>
        </w:tc>
        <w:tc>
          <w:tcPr>
            <w:tcW w:w="833" w:type="dxa"/>
            <w:tcBorders>
              <w:top w:val="outset" w:color="auto" w:sz="6" w:space="0"/>
              <w:left w:val="outset" w:color="auto" w:sz="6" w:space="0"/>
              <w:bottom w:val="outset" w:color="auto" w:sz="6" w:space="0"/>
              <w:right w:val="outset" w:color="auto" w:sz="6" w:space="0"/>
            </w:tcBorders>
            <w:vAlign w:val="center"/>
          </w:tcPr>
          <w:p w14:paraId="0A83205B">
            <w:pPr>
              <w:jc w:val="center"/>
              <w:rPr>
                <w:rFonts w:ascii="宋体" w:hAnsi="宋体" w:eastAsia="宋体" w:cs="仿宋"/>
                <w14:ligatures w14:val="none"/>
              </w:rPr>
            </w:pPr>
            <w:r>
              <w:rPr>
                <w:rFonts w:hint="eastAsia" w:ascii="宋体" w:hAnsi="宋体" w:eastAsia="宋体" w:cs="仿宋"/>
                <w14:ligatures w14:val="none"/>
              </w:rPr>
              <w:t>10</w:t>
            </w:r>
          </w:p>
        </w:tc>
        <w:tc>
          <w:tcPr>
            <w:tcW w:w="5545" w:type="dxa"/>
            <w:tcBorders>
              <w:top w:val="outset" w:color="auto" w:sz="6" w:space="0"/>
              <w:left w:val="outset" w:color="auto" w:sz="6" w:space="0"/>
              <w:bottom w:val="outset" w:color="auto" w:sz="6" w:space="0"/>
              <w:right w:val="outset" w:color="auto" w:sz="6" w:space="0"/>
            </w:tcBorders>
            <w:vAlign w:val="center"/>
          </w:tcPr>
          <w:p w14:paraId="4FF9A0D5">
            <w:pPr>
              <w:jc w:val="left"/>
              <w:rPr>
                <w:rFonts w:hint="eastAsia" w:ascii="宋体" w:hAnsi="宋体" w:eastAsia="宋体" w:cs="仿宋"/>
                <w:color w:val="auto"/>
                <w:lang w:eastAsia="zh-CN"/>
                <w14:ligatures w14:val="none"/>
              </w:rPr>
            </w:pPr>
            <w:r>
              <w:rPr>
                <w:rFonts w:hint="eastAsia" w:ascii="宋体" w:hAnsi="宋体" w:eastAsia="宋体" w:cs="仿宋"/>
                <w:color w:val="auto"/>
                <w:lang w:val="en-US" w:eastAsia="zh-CN"/>
                <w14:ligatures w14:val="none"/>
              </w:rPr>
              <w:t>1.</w:t>
            </w:r>
            <w:r>
              <w:rPr>
                <w:rFonts w:hint="default" w:ascii="宋体" w:hAnsi="宋体" w:eastAsia="宋体" w:cs="仿宋"/>
                <w:color w:val="auto"/>
                <w14:ligatures w14:val="none"/>
              </w:rPr>
              <w:t>评标总价是指通过资格审查、符合性检查且实质性响应招标文件要求，经修正、落实政府采购政策功能扣除后的总价。</w:t>
            </w:r>
          </w:p>
          <w:p w14:paraId="66E85BCC">
            <w:pPr>
              <w:jc w:val="left"/>
              <w:rPr>
                <w:rFonts w:hint="eastAsia" w:ascii="宋体" w:hAnsi="宋体" w:eastAsia="宋体" w:cs="仿宋"/>
                <w:color w:val="auto"/>
                <w:lang w:eastAsia="zh-CN"/>
                <w14:ligatures w14:val="none"/>
              </w:rPr>
            </w:pPr>
            <w:r>
              <w:rPr>
                <w:rFonts w:ascii="宋体" w:hAnsi="宋体" w:eastAsia="宋体" w:cs="仿宋"/>
                <w:color w:val="auto"/>
                <w14:ligatures w14:val="none"/>
              </w:rPr>
              <w:t>2.</w:t>
            </w:r>
            <w:r>
              <w:rPr>
                <w:rFonts w:hint="default" w:ascii="宋体" w:hAnsi="宋体" w:eastAsia="宋体" w:cs="仿宋"/>
                <w:color w:val="auto"/>
                <w14:ligatures w14:val="none"/>
              </w:rPr>
              <w:t>评标基准价</w:t>
            </w:r>
            <w:r>
              <w:rPr>
                <w:rFonts w:ascii="宋体" w:hAnsi="宋体" w:eastAsia="宋体" w:cs="仿宋"/>
                <w:color w:val="auto"/>
                <w14:ligatures w14:val="none"/>
              </w:rPr>
              <w:t>=</w:t>
            </w:r>
            <w:r>
              <w:rPr>
                <w:rFonts w:hint="default" w:ascii="宋体" w:hAnsi="宋体" w:eastAsia="宋体" w:cs="仿宋"/>
                <w:color w:val="auto"/>
                <w14:ligatures w14:val="none"/>
              </w:rPr>
              <w:t>评标总价中的最低总价。</w:t>
            </w:r>
          </w:p>
          <w:p w14:paraId="28CDE143">
            <w:pPr>
              <w:jc w:val="left"/>
              <w:rPr>
                <w:rFonts w:ascii="宋体" w:hAnsi="宋体" w:eastAsia="宋体" w:cs="仿宋"/>
                <w14:ligatures w14:val="none"/>
              </w:rPr>
            </w:pPr>
            <w:r>
              <w:rPr>
                <w:rFonts w:ascii="宋体" w:hAnsi="宋体" w:eastAsia="宋体" w:cs="仿宋"/>
                <w:color w:val="auto"/>
                <w14:ligatures w14:val="none"/>
              </w:rPr>
              <w:t>3.</w:t>
            </w:r>
            <w:r>
              <w:rPr>
                <w:rFonts w:hint="default" w:ascii="宋体" w:hAnsi="宋体" w:eastAsia="宋体" w:cs="仿宋"/>
                <w:color w:val="auto"/>
                <w14:ligatures w14:val="none"/>
              </w:rPr>
              <w:t>当投标人的评标总价等于评标基准价的得</w:t>
            </w:r>
            <w:r>
              <w:rPr>
                <w:rFonts w:ascii="宋体" w:hAnsi="宋体" w:eastAsia="宋体" w:cs="仿宋"/>
                <w:color w:val="auto"/>
                <w14:ligatures w14:val="none"/>
              </w:rPr>
              <w:t>10</w:t>
            </w:r>
            <w:r>
              <w:rPr>
                <w:rFonts w:hint="default" w:ascii="宋体" w:hAnsi="宋体" w:eastAsia="宋体" w:cs="仿宋"/>
                <w:color w:val="auto"/>
                <w14:ligatures w14:val="none"/>
              </w:rPr>
              <w:t>分，其他投标人的价格分按照下列公式计算：评标总价得分</w:t>
            </w:r>
            <w:r>
              <w:rPr>
                <w:rFonts w:ascii="宋体" w:hAnsi="宋体" w:eastAsia="宋体" w:cs="仿宋"/>
                <w:color w:val="auto"/>
                <w14:ligatures w14:val="none"/>
              </w:rPr>
              <w:t>=</w:t>
            </w:r>
            <w:r>
              <w:rPr>
                <w:rFonts w:hint="default" w:ascii="宋体" w:hAnsi="宋体" w:eastAsia="宋体" w:cs="仿宋"/>
                <w:color w:val="auto"/>
                <w14:ligatures w14:val="none"/>
              </w:rPr>
              <w:t>（评标基准价</w:t>
            </w:r>
            <w:r>
              <w:rPr>
                <w:rFonts w:ascii="宋体" w:hAnsi="宋体" w:eastAsia="宋体" w:cs="仿宋"/>
                <w:color w:val="auto"/>
                <w14:ligatures w14:val="none"/>
              </w:rPr>
              <w:t>/</w:t>
            </w:r>
            <w:r>
              <w:rPr>
                <w:rFonts w:hint="default" w:ascii="宋体" w:hAnsi="宋体" w:eastAsia="宋体" w:cs="仿宋"/>
                <w:color w:val="auto"/>
                <w14:ligatures w14:val="none"/>
              </w:rPr>
              <w:t>评标总价）</w:t>
            </w:r>
            <w:r>
              <w:rPr>
                <w:rFonts w:ascii="宋体" w:hAnsi="宋体" w:eastAsia="宋体" w:cs="仿宋"/>
                <w:color w:val="auto"/>
                <w14:ligatures w14:val="none"/>
              </w:rPr>
              <w:t>×10</w:t>
            </w:r>
            <w:r>
              <w:rPr>
                <w:rFonts w:hint="default" w:ascii="宋体" w:hAnsi="宋体" w:eastAsia="宋体" w:cs="仿宋"/>
                <w:color w:val="auto"/>
                <w14:ligatures w14:val="none"/>
              </w:rPr>
              <w:t>分（计算结果保留</w:t>
            </w:r>
            <w:r>
              <w:rPr>
                <w:rFonts w:ascii="宋体" w:hAnsi="宋体" w:eastAsia="宋体" w:cs="仿宋"/>
                <w:color w:val="auto"/>
                <w14:ligatures w14:val="none"/>
              </w:rPr>
              <w:t>2</w:t>
            </w:r>
            <w:r>
              <w:rPr>
                <w:rFonts w:hint="default" w:ascii="宋体" w:hAnsi="宋体" w:eastAsia="宋体" w:cs="仿宋"/>
                <w:color w:val="auto"/>
                <w14:ligatures w14:val="none"/>
              </w:rPr>
              <w:t>位小数，第三位四舍五入）。</w:t>
            </w:r>
          </w:p>
        </w:tc>
      </w:tr>
      <w:tr w14:paraId="6781E0B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1148" w:type="dxa"/>
            <w:vMerge w:val="restart"/>
            <w:tcBorders>
              <w:top w:val="outset" w:color="auto" w:sz="6" w:space="0"/>
              <w:left w:val="outset" w:color="auto" w:sz="6" w:space="0"/>
              <w:bottom w:val="outset" w:color="auto" w:sz="6" w:space="0"/>
              <w:right w:val="outset" w:color="auto" w:sz="6" w:space="0"/>
            </w:tcBorders>
            <w:vAlign w:val="center"/>
          </w:tcPr>
          <w:p w14:paraId="520D0188">
            <w:pPr>
              <w:jc w:val="center"/>
              <w:rPr>
                <w:rFonts w:ascii="宋体" w:hAnsi="宋体" w:eastAsia="宋体" w:cs="仿宋"/>
                <w14:ligatures w14:val="none"/>
              </w:rPr>
            </w:pPr>
            <w:r>
              <w:rPr>
                <w:rFonts w:hint="eastAsia" w:ascii="宋体" w:hAnsi="宋体" w:eastAsia="宋体" w:cs="仿宋"/>
                <w14:ligatures w14:val="none"/>
              </w:rPr>
              <w:t>企业经营业绩、信誉</w:t>
            </w:r>
          </w:p>
        </w:tc>
        <w:tc>
          <w:tcPr>
            <w:tcW w:w="1350" w:type="dxa"/>
            <w:tcBorders>
              <w:top w:val="outset" w:color="auto" w:sz="6" w:space="0"/>
              <w:left w:val="outset" w:color="auto" w:sz="6" w:space="0"/>
              <w:bottom w:val="outset" w:color="auto" w:sz="6" w:space="0"/>
              <w:right w:val="outset" w:color="auto" w:sz="6" w:space="0"/>
            </w:tcBorders>
            <w:vAlign w:val="center"/>
          </w:tcPr>
          <w:p w14:paraId="20D600DD">
            <w:pPr>
              <w:jc w:val="center"/>
              <w:rPr>
                <w:rFonts w:ascii="宋体" w:hAnsi="宋体" w:eastAsia="宋体" w:cs="仿宋"/>
                <w14:ligatures w14:val="none"/>
              </w:rPr>
            </w:pPr>
            <w:r>
              <w:rPr>
                <w:rFonts w:hint="eastAsia" w:ascii="宋体" w:hAnsi="宋体" w:eastAsia="宋体" w:cs="仿宋"/>
                <w14:ligatures w14:val="none"/>
              </w:rPr>
              <w:t>企业业绩</w:t>
            </w:r>
          </w:p>
        </w:tc>
        <w:tc>
          <w:tcPr>
            <w:tcW w:w="833" w:type="dxa"/>
            <w:tcBorders>
              <w:top w:val="outset" w:color="auto" w:sz="6" w:space="0"/>
              <w:left w:val="outset" w:color="auto" w:sz="6" w:space="0"/>
              <w:bottom w:val="outset" w:color="auto" w:sz="6" w:space="0"/>
              <w:right w:val="outset" w:color="auto" w:sz="6" w:space="0"/>
            </w:tcBorders>
            <w:vAlign w:val="center"/>
          </w:tcPr>
          <w:p w14:paraId="7726827D">
            <w:pPr>
              <w:jc w:val="center"/>
              <w:rPr>
                <w:rFonts w:ascii="宋体" w:hAnsi="宋体" w:eastAsia="宋体" w:cs="仿宋"/>
                <w14:ligatures w14:val="none"/>
              </w:rPr>
            </w:pPr>
            <w:r>
              <w:rPr>
                <w:rFonts w:hint="eastAsia" w:ascii="宋体" w:hAnsi="宋体" w:eastAsia="宋体" w:cs="仿宋"/>
                <w14:ligatures w14:val="none"/>
              </w:rPr>
              <w:t>4</w:t>
            </w:r>
          </w:p>
        </w:tc>
        <w:tc>
          <w:tcPr>
            <w:tcW w:w="5545" w:type="dxa"/>
            <w:tcBorders>
              <w:top w:val="outset" w:color="auto" w:sz="6" w:space="0"/>
              <w:left w:val="outset" w:color="auto" w:sz="6" w:space="0"/>
              <w:bottom w:val="outset" w:color="auto" w:sz="6" w:space="0"/>
              <w:right w:val="outset" w:color="auto" w:sz="6" w:space="0"/>
            </w:tcBorders>
            <w:vAlign w:val="center"/>
          </w:tcPr>
          <w:p w14:paraId="4DA6CC7E">
            <w:pPr>
              <w:jc w:val="left"/>
              <w:rPr>
                <w:rFonts w:ascii="宋体" w:hAnsi="宋体" w:eastAsia="宋体" w:cs="仿宋"/>
                <w14:ligatures w14:val="none"/>
              </w:rPr>
            </w:pPr>
            <w:r>
              <w:rPr>
                <w:rFonts w:hint="eastAsia" w:ascii="宋体" w:hAnsi="宋体" w:eastAsia="宋体" w:cs="仿宋"/>
                <w14:ligatures w14:val="none"/>
              </w:rPr>
              <w:t>根据供应商自2022年1月1日以来（以合同签订时间为准）完成的溯源排查类业绩评分，每个合同得1分，本项最高得4分。业绩证明材料包括：①中标（成交）通知书；②合同；二者缺一不可，业绩证明材料应能够清晰、明确反映供应商名称、工程内容等主要信息。</w:t>
            </w:r>
            <w:r>
              <w:rPr>
                <w:rFonts w:hint="eastAsia" w:ascii="宋体" w:hAnsi="宋体" w:eastAsia="宋体" w:cs="仿宋"/>
                <w:b/>
                <w:bCs/>
                <w:lang w:eastAsia="zh-CN"/>
                <w14:ligatures w14:val="none"/>
              </w:rPr>
              <w:t>（</w:t>
            </w:r>
            <w:r>
              <w:rPr>
                <w:rFonts w:hint="eastAsia" w:ascii="宋体" w:hAnsi="宋体" w:eastAsia="宋体" w:cs="仿宋"/>
                <w:b/>
                <w:bCs/>
                <w:color w:val="auto"/>
                <w:highlight w:val="none"/>
                <w:lang w:val="en-US" w:eastAsia="zh-CN"/>
                <w14:ligatures w14:val="none"/>
              </w:rPr>
              <w:t>投标时</w:t>
            </w:r>
            <w:r>
              <w:rPr>
                <w:rFonts w:hint="eastAsia" w:ascii="宋体" w:hAnsi="宋体" w:eastAsia="宋体" w:cs="仿宋"/>
                <w:b/>
                <w:bCs/>
                <w:color w:val="auto"/>
                <w:highlight w:val="none"/>
                <w14:ligatures w14:val="none"/>
              </w:rPr>
              <w:t>须</w:t>
            </w:r>
            <w:r>
              <w:rPr>
                <w:rFonts w:hint="eastAsia" w:ascii="宋体" w:hAnsi="宋体" w:eastAsia="宋体" w:cs="仿宋"/>
                <w:b/>
                <w:bCs/>
                <w:color w:val="auto"/>
                <w14:ligatures w14:val="none"/>
              </w:rPr>
              <w:t>提供业绩证明材料复印件</w:t>
            </w:r>
            <w:r>
              <w:rPr>
                <w:rFonts w:hint="eastAsia" w:ascii="宋体" w:hAnsi="宋体" w:eastAsia="宋体" w:cs="仿宋"/>
                <w:b/>
                <w:bCs/>
                <w:color w:val="auto"/>
                <w:lang w:val="zh-CN"/>
                <w14:ligatures w14:val="none"/>
              </w:rPr>
              <w:t>并加盖</w:t>
            </w:r>
            <w:r>
              <w:rPr>
                <w:rFonts w:hint="eastAsia" w:ascii="宋体" w:hAnsi="宋体" w:eastAsia="宋体" w:cs="仿宋"/>
                <w:b/>
                <w:bCs/>
                <w:color w:val="auto"/>
                <w14:ligatures w14:val="none"/>
              </w:rPr>
              <w:t>投标人</w:t>
            </w:r>
            <w:r>
              <w:rPr>
                <w:rFonts w:hint="eastAsia" w:ascii="宋体" w:hAnsi="宋体" w:eastAsia="宋体" w:cs="仿宋"/>
                <w:b/>
                <w:bCs/>
                <w:color w:val="auto"/>
                <w:lang w:val="zh-CN"/>
                <w14:ligatures w14:val="none"/>
              </w:rPr>
              <w:t>公章</w:t>
            </w:r>
            <w:r>
              <w:rPr>
                <w:rFonts w:hint="eastAsia" w:ascii="宋体" w:hAnsi="宋体" w:eastAsia="宋体" w:cs="仿宋"/>
                <w:b/>
                <w:bCs/>
                <w:color w:val="auto"/>
                <w14:ligatures w14:val="none"/>
              </w:rPr>
              <w:t>，未提供</w:t>
            </w:r>
            <w:r>
              <w:rPr>
                <w:rFonts w:hint="eastAsia" w:ascii="宋体" w:hAnsi="宋体" w:eastAsia="宋体" w:cs="仿宋"/>
                <w:b/>
                <w:bCs/>
                <w14:ligatures w14:val="none"/>
              </w:rPr>
              <w:t>、提供不全或提供不清晰的不得分。</w:t>
            </w:r>
            <w:r>
              <w:rPr>
                <w:rFonts w:hint="eastAsia" w:ascii="宋体" w:hAnsi="宋体" w:eastAsia="宋体" w:cs="仿宋"/>
                <w:b/>
                <w:bCs/>
                <w:lang w:eastAsia="zh-CN"/>
                <w14:ligatures w14:val="none"/>
              </w:rPr>
              <w:t>）</w:t>
            </w:r>
          </w:p>
        </w:tc>
      </w:tr>
      <w:tr w14:paraId="42BD25D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148" w:type="dxa"/>
            <w:vMerge w:val="continue"/>
            <w:tcBorders>
              <w:top w:val="outset" w:color="auto" w:sz="6" w:space="0"/>
              <w:left w:val="outset" w:color="auto" w:sz="6" w:space="0"/>
              <w:bottom w:val="single" w:color="auto" w:sz="4" w:space="0"/>
              <w:right w:val="outset" w:color="auto" w:sz="6" w:space="0"/>
            </w:tcBorders>
            <w:vAlign w:val="center"/>
          </w:tcPr>
          <w:p w14:paraId="7810A644">
            <w:pPr>
              <w:jc w:val="center"/>
              <w:rPr>
                <w:rFonts w:ascii="宋体" w:hAnsi="宋体" w:eastAsia="宋体" w:cs="仿宋"/>
                <w14:ligatures w14:val="none"/>
              </w:rPr>
            </w:pPr>
          </w:p>
        </w:tc>
        <w:tc>
          <w:tcPr>
            <w:tcW w:w="1350" w:type="dxa"/>
            <w:tcBorders>
              <w:top w:val="outset" w:color="auto" w:sz="6" w:space="0"/>
              <w:left w:val="outset" w:color="auto" w:sz="6" w:space="0"/>
              <w:bottom w:val="outset" w:color="auto" w:sz="6" w:space="0"/>
              <w:right w:val="outset" w:color="auto" w:sz="6" w:space="0"/>
            </w:tcBorders>
            <w:vAlign w:val="center"/>
          </w:tcPr>
          <w:p w14:paraId="3F1E8C4D">
            <w:pPr>
              <w:jc w:val="center"/>
              <w:rPr>
                <w:rFonts w:ascii="宋体" w:hAnsi="宋体" w:eastAsia="宋体" w:cs="仿宋"/>
                <w14:ligatures w14:val="none"/>
              </w:rPr>
            </w:pPr>
            <w:r>
              <w:rPr>
                <w:rFonts w:hint="eastAsia" w:ascii="宋体" w:hAnsi="宋体" w:eastAsia="宋体" w:cs="仿宋"/>
                <w14:ligatures w14:val="none"/>
              </w:rPr>
              <w:t>相关证书</w:t>
            </w:r>
          </w:p>
        </w:tc>
        <w:tc>
          <w:tcPr>
            <w:tcW w:w="833" w:type="dxa"/>
            <w:tcBorders>
              <w:top w:val="outset" w:color="auto" w:sz="6" w:space="0"/>
              <w:left w:val="outset" w:color="auto" w:sz="6" w:space="0"/>
              <w:bottom w:val="outset" w:color="auto" w:sz="6" w:space="0"/>
              <w:right w:val="outset" w:color="auto" w:sz="6" w:space="0"/>
            </w:tcBorders>
            <w:vAlign w:val="center"/>
          </w:tcPr>
          <w:p w14:paraId="3AF0D538">
            <w:pPr>
              <w:jc w:val="center"/>
              <w:rPr>
                <w:rFonts w:ascii="宋体" w:hAnsi="宋体" w:eastAsia="宋体" w:cs="仿宋"/>
                <w14:ligatures w14:val="none"/>
              </w:rPr>
            </w:pPr>
            <w:r>
              <w:rPr>
                <w:rFonts w:hint="eastAsia" w:ascii="宋体" w:hAnsi="宋体" w:eastAsia="宋体" w:cs="仿宋"/>
                <w14:ligatures w14:val="none"/>
              </w:rPr>
              <w:t>18</w:t>
            </w:r>
          </w:p>
        </w:tc>
        <w:tc>
          <w:tcPr>
            <w:tcW w:w="5545" w:type="dxa"/>
            <w:tcBorders>
              <w:top w:val="outset" w:color="auto" w:sz="6" w:space="0"/>
              <w:left w:val="outset" w:color="auto" w:sz="6" w:space="0"/>
              <w:bottom w:val="outset" w:color="auto" w:sz="6" w:space="0"/>
              <w:right w:val="outset" w:color="auto" w:sz="6" w:space="0"/>
            </w:tcBorders>
            <w:vAlign w:val="center"/>
          </w:tcPr>
          <w:p w14:paraId="707C1C24">
            <w:pPr>
              <w:jc w:val="left"/>
              <w:rPr>
                <w:rFonts w:hint="eastAsia" w:ascii="宋体" w:hAnsi="宋体" w:eastAsia="宋体" w:cs="仿宋"/>
                <w:b/>
                <w:bCs/>
                <w:color w:val="auto"/>
                <w:lang w:eastAsia="zh-CN"/>
                <w14:ligatures w14:val="none"/>
              </w:rPr>
            </w:pPr>
            <w:r>
              <w:rPr>
                <w:rFonts w:hint="eastAsia" w:ascii="宋体" w:hAnsi="宋体" w:eastAsia="宋体" w:cs="仿宋"/>
                <w14:ligatures w14:val="none"/>
              </w:rPr>
              <w:t>1.投标人有有效的质量管理体系认证证书、环境管理体系认证证书、职业健康安全管理体系认证证书，每有一个得1分，本项最高得3分。</w:t>
            </w:r>
            <w:r>
              <w:rPr>
                <w:rFonts w:hint="eastAsia" w:ascii="宋体" w:hAnsi="宋体" w:eastAsia="宋体" w:cs="仿宋"/>
                <w:b/>
                <w:bCs/>
                <w:color w:val="auto"/>
                <w14:ligatures w14:val="none"/>
              </w:rPr>
              <w:t>（</w:t>
            </w:r>
            <w:r>
              <w:rPr>
                <w:rFonts w:hint="eastAsia" w:ascii="宋体" w:hAnsi="宋体" w:eastAsia="宋体" w:cs="仿宋"/>
                <w:b/>
                <w:bCs/>
                <w:color w:val="auto"/>
                <w:lang w:val="en-US" w:eastAsia="zh-CN"/>
                <w14:ligatures w14:val="none"/>
              </w:rPr>
              <w:t>投标时须</w:t>
            </w:r>
            <w:r>
              <w:rPr>
                <w:rFonts w:hint="eastAsia" w:ascii="宋体" w:hAnsi="宋体" w:eastAsia="宋体" w:cs="仿宋"/>
                <w:b/>
                <w:bCs/>
                <w:color w:val="auto"/>
                <w14:ligatures w14:val="none"/>
              </w:rPr>
              <w:t>提供</w:t>
            </w:r>
            <w:r>
              <w:rPr>
                <w:rFonts w:hint="eastAsia" w:ascii="宋体" w:hAnsi="宋体" w:eastAsia="宋体" w:cs="仿宋"/>
                <w:b/>
                <w:bCs/>
                <w:color w:val="auto"/>
                <w:lang w:val="en-US" w:eastAsia="zh-CN"/>
                <w14:ligatures w14:val="none"/>
              </w:rPr>
              <w:t>相关</w:t>
            </w:r>
            <w:r>
              <w:rPr>
                <w:rFonts w:hint="eastAsia" w:ascii="宋体" w:hAnsi="宋体" w:eastAsia="宋体" w:cs="仿宋"/>
                <w:b/>
                <w:bCs/>
                <w:color w:val="auto"/>
                <w14:ligatures w14:val="none"/>
              </w:rPr>
              <w:t>证书复印件并加盖</w:t>
            </w:r>
            <w:r>
              <w:rPr>
                <w:rFonts w:hint="eastAsia" w:ascii="宋体" w:hAnsi="宋体" w:eastAsia="宋体" w:cs="仿宋"/>
                <w:b/>
                <w:bCs/>
                <w:color w:val="auto"/>
                <w:lang w:val="en-US" w:eastAsia="zh-CN"/>
                <w14:ligatures w14:val="none"/>
              </w:rPr>
              <w:t>投标人</w:t>
            </w:r>
            <w:r>
              <w:rPr>
                <w:rFonts w:hint="eastAsia" w:ascii="宋体" w:hAnsi="宋体" w:eastAsia="宋体" w:cs="仿宋"/>
                <w:b/>
                <w:bCs/>
                <w:color w:val="auto"/>
                <w14:ligatures w14:val="none"/>
              </w:rPr>
              <w:t>公章，未提供不得分。</w:t>
            </w:r>
            <w:r>
              <w:rPr>
                <w:rFonts w:hint="eastAsia" w:ascii="宋体" w:hAnsi="宋体" w:eastAsia="宋体" w:cs="仿宋"/>
                <w:b/>
                <w:bCs/>
                <w:color w:val="auto"/>
                <w:lang w:eastAsia="zh-CN"/>
                <w14:ligatures w14:val="none"/>
              </w:rPr>
              <w:t>）</w:t>
            </w:r>
          </w:p>
          <w:p w14:paraId="771B970B">
            <w:pPr>
              <w:numPr>
                <w:ilvl w:val="0"/>
                <w:numId w:val="6"/>
              </w:numPr>
              <w:jc w:val="left"/>
              <w:rPr>
                <w:rFonts w:ascii="宋体" w:hAnsi="宋体" w:eastAsia="宋体" w:cs="Times New Roman"/>
                <w:b/>
                <w:bCs/>
                <w:color w:val="auto"/>
                <w14:ligatures w14:val="none"/>
              </w:rPr>
            </w:pPr>
            <w:r>
              <w:rPr>
                <w:rFonts w:hint="eastAsia" w:ascii="宋体" w:hAnsi="宋体" w:eastAsia="宋体" w:cs="仿宋"/>
                <w14:ligatures w14:val="none"/>
              </w:rPr>
              <w:t>专利证书：供应商具有水质监测相关专利的，每个专利得1分，本项最高得5分。</w:t>
            </w:r>
            <w:r>
              <w:rPr>
                <w:rFonts w:hint="eastAsia" w:ascii="宋体" w:hAnsi="宋体" w:eastAsia="宋体" w:cs="仿宋"/>
                <w:b/>
                <w:bCs/>
                <w:color w:val="auto"/>
                <w14:ligatures w14:val="none"/>
              </w:rPr>
              <w:t>（</w:t>
            </w:r>
            <w:r>
              <w:rPr>
                <w:rFonts w:hint="eastAsia" w:ascii="宋体" w:hAnsi="宋体" w:eastAsia="宋体" w:cs="仿宋"/>
                <w:b/>
                <w:bCs/>
                <w:color w:val="auto"/>
                <w:lang w:val="en-US" w:eastAsia="zh-CN"/>
                <w14:ligatures w14:val="none"/>
              </w:rPr>
              <w:t>投标时须</w:t>
            </w:r>
            <w:r>
              <w:rPr>
                <w:rFonts w:hint="eastAsia" w:ascii="宋体" w:hAnsi="宋体" w:eastAsia="宋体" w:cs="仿宋"/>
                <w:b/>
                <w:bCs/>
                <w:color w:val="auto"/>
                <w14:ligatures w14:val="none"/>
              </w:rPr>
              <w:t>提供</w:t>
            </w:r>
            <w:r>
              <w:rPr>
                <w:rFonts w:hint="eastAsia" w:ascii="宋体" w:hAnsi="宋体" w:eastAsia="宋体" w:cs="仿宋"/>
                <w:b/>
                <w:bCs/>
                <w:color w:val="auto"/>
                <w:lang w:val="en-US" w:eastAsia="zh-CN"/>
                <w14:ligatures w14:val="none"/>
              </w:rPr>
              <w:t>相关</w:t>
            </w:r>
            <w:r>
              <w:rPr>
                <w:rFonts w:hint="eastAsia" w:ascii="宋体" w:hAnsi="宋体" w:eastAsia="宋体" w:cs="仿宋"/>
                <w:b/>
                <w:bCs/>
                <w:color w:val="auto"/>
                <w14:ligatures w14:val="none"/>
              </w:rPr>
              <w:t>证书复印件并加盖</w:t>
            </w:r>
            <w:r>
              <w:rPr>
                <w:rFonts w:hint="eastAsia" w:ascii="宋体" w:hAnsi="宋体" w:eastAsia="宋体" w:cs="仿宋"/>
                <w:b/>
                <w:bCs/>
                <w:color w:val="auto"/>
                <w:lang w:val="en-US" w:eastAsia="zh-CN"/>
                <w14:ligatures w14:val="none"/>
              </w:rPr>
              <w:t>投标人</w:t>
            </w:r>
            <w:r>
              <w:rPr>
                <w:rFonts w:hint="eastAsia" w:ascii="宋体" w:hAnsi="宋体" w:eastAsia="宋体" w:cs="仿宋"/>
                <w:b/>
                <w:bCs/>
                <w:color w:val="auto"/>
                <w14:ligatures w14:val="none"/>
              </w:rPr>
              <w:t>公章，未提供不得分。</w:t>
            </w:r>
            <w:r>
              <w:rPr>
                <w:rFonts w:hint="eastAsia" w:ascii="宋体" w:hAnsi="宋体" w:eastAsia="宋体" w:cs="仿宋"/>
                <w:b/>
                <w:bCs/>
                <w:color w:val="auto"/>
                <w:lang w:eastAsia="zh-CN"/>
                <w14:ligatures w14:val="none"/>
              </w:rPr>
              <w:t>）</w:t>
            </w:r>
          </w:p>
          <w:p w14:paraId="767A5F0A">
            <w:pPr>
              <w:spacing w:after="120"/>
              <w:rPr>
                <w:rFonts w:hint="eastAsia" w:ascii="宋体" w:hAnsi="宋体" w:eastAsia="宋体" w:cs="仿宋"/>
                <w:b/>
                <w:bCs/>
                <w:color w:val="auto"/>
                <w:lang w:eastAsia="zh-CN"/>
                <w14:ligatures w14:val="none"/>
              </w:rPr>
            </w:pPr>
            <w:r>
              <w:rPr>
                <w:rFonts w:hint="eastAsia" w:ascii="宋体" w:hAnsi="宋体" w:eastAsia="宋体" w:cs="仿宋"/>
                <w14:ligatures w14:val="none"/>
              </w:rPr>
              <w:t>3.软件著作权证书：供应商具有智慧水质监测管理平台相关软件著作权的，得2分；具有智慧水质监测移动端相关软件著作权的，得2分</w:t>
            </w:r>
            <w:r>
              <w:rPr>
                <w:rFonts w:hint="eastAsia" w:ascii="宋体" w:hAnsi="宋体" w:eastAsia="宋体" w:cs="仿宋"/>
                <w:lang w:eastAsia="zh-CN"/>
                <w14:ligatures w14:val="none"/>
              </w:rPr>
              <w:t>。</w:t>
            </w:r>
            <w:r>
              <w:rPr>
                <w:rFonts w:hint="eastAsia" w:ascii="宋体" w:hAnsi="宋体" w:eastAsia="宋体" w:cs="仿宋"/>
                <w14:ligatures w14:val="none"/>
              </w:rPr>
              <w:t>本项最高得</w:t>
            </w:r>
            <w:r>
              <w:rPr>
                <w:rFonts w:hint="eastAsia" w:ascii="宋体" w:hAnsi="宋体" w:eastAsia="宋体" w:cs="仿宋"/>
                <w:color w:val="auto"/>
                <w14:ligatures w14:val="none"/>
              </w:rPr>
              <w:t>4分。</w:t>
            </w:r>
            <w:r>
              <w:rPr>
                <w:rFonts w:hint="eastAsia" w:ascii="宋体" w:hAnsi="宋体" w:eastAsia="宋体" w:cs="仿宋"/>
                <w:b/>
                <w:bCs/>
                <w:color w:val="auto"/>
                <w:lang w:eastAsia="zh-CN"/>
                <w14:ligatures w14:val="none"/>
              </w:rPr>
              <w:t>（</w:t>
            </w:r>
            <w:r>
              <w:rPr>
                <w:rFonts w:hint="eastAsia" w:ascii="宋体" w:hAnsi="宋体" w:eastAsia="宋体" w:cs="仿宋"/>
                <w:b/>
                <w:bCs/>
                <w:color w:val="auto"/>
                <w:lang w:val="en-US" w:eastAsia="zh-CN"/>
                <w14:ligatures w14:val="none"/>
              </w:rPr>
              <w:t>投标时须</w:t>
            </w:r>
            <w:r>
              <w:rPr>
                <w:rFonts w:hint="eastAsia" w:ascii="宋体" w:hAnsi="宋体" w:eastAsia="宋体" w:cs="仿宋"/>
                <w:b/>
                <w:bCs/>
                <w:color w:val="auto"/>
                <w14:ligatures w14:val="none"/>
              </w:rPr>
              <w:t>提供中华人民共和国国家版权局颁发的证书复印件并加盖</w:t>
            </w:r>
            <w:r>
              <w:rPr>
                <w:rFonts w:hint="eastAsia" w:ascii="宋体" w:hAnsi="宋体" w:eastAsia="宋体" w:cs="仿宋"/>
                <w:b/>
                <w:bCs/>
                <w:color w:val="auto"/>
                <w:lang w:val="en-US" w:eastAsia="zh-CN"/>
                <w14:ligatures w14:val="none"/>
              </w:rPr>
              <w:t>投标人</w:t>
            </w:r>
            <w:r>
              <w:rPr>
                <w:rFonts w:hint="eastAsia" w:ascii="宋体" w:hAnsi="宋体" w:eastAsia="宋体" w:cs="仿宋"/>
                <w:b/>
                <w:bCs/>
                <w:color w:val="auto"/>
                <w14:ligatures w14:val="none"/>
              </w:rPr>
              <w:t>公章，未提供不得分。</w:t>
            </w:r>
            <w:r>
              <w:rPr>
                <w:rFonts w:hint="eastAsia" w:ascii="宋体" w:hAnsi="宋体" w:eastAsia="宋体" w:cs="仿宋"/>
                <w:b/>
                <w:bCs/>
                <w:color w:val="auto"/>
                <w:lang w:eastAsia="zh-CN"/>
                <w14:ligatures w14:val="none"/>
              </w:rPr>
              <w:t>）</w:t>
            </w:r>
          </w:p>
          <w:p w14:paraId="082DC971">
            <w:pPr>
              <w:spacing w:after="120"/>
              <w:rPr>
                <w:rFonts w:hint="eastAsia" w:ascii="宋体" w:hAnsi="宋体" w:eastAsia="宋体" w:cs="Times New Roman"/>
                <w:lang w:eastAsia="zh-CN"/>
                <w14:ligatures w14:val="none"/>
              </w:rPr>
            </w:pPr>
            <w:r>
              <w:rPr>
                <w:rFonts w:hint="eastAsia" w:ascii="宋体" w:hAnsi="宋体" w:eastAsia="宋体" w:cs="仿宋"/>
                <w:color w:val="auto"/>
                <w14:ligatures w14:val="none"/>
              </w:rPr>
              <w:t>4</w:t>
            </w:r>
            <w:r>
              <w:rPr>
                <w:rFonts w:hint="eastAsia" w:ascii="宋体" w:hAnsi="宋体" w:eastAsia="宋体" w:cs="仿宋"/>
                <w:color w:val="auto"/>
                <w:highlight w:val="none"/>
                <w14:ligatures w14:val="none"/>
              </w:rPr>
              <w:t>.荣誉信誉：</w:t>
            </w:r>
            <w:r>
              <w:rPr>
                <w:rFonts w:hint="eastAsia" w:ascii="宋体" w:hAnsi="宋体" w:cs="仿宋"/>
                <w:color w:val="auto"/>
                <w:highlight w:val="none"/>
                <w:lang w:eastAsia="zh-CN"/>
                <w14:ligatures w14:val="none"/>
              </w:rPr>
              <w:t>根据供应商获得的资质、荣誉等，具有省级及以上行业主管部门颁发的高新技术企业称号的，得</w:t>
            </w:r>
            <w:r>
              <w:rPr>
                <w:rFonts w:hint="eastAsia" w:ascii="宋体" w:hAnsi="宋体" w:cs="仿宋"/>
                <w:color w:val="auto"/>
                <w:highlight w:val="none"/>
                <w:lang w:val="en-US" w:eastAsia="zh-CN"/>
                <w14:ligatures w14:val="none"/>
              </w:rPr>
              <w:t>2分；</w:t>
            </w:r>
            <w:r>
              <w:rPr>
                <w:rFonts w:hint="eastAsia" w:ascii="宋体" w:hAnsi="宋体" w:eastAsia="宋体" w:cs="仿宋"/>
                <w:color w:val="auto"/>
                <w:highlight w:val="none"/>
                <w14:ligatures w14:val="none"/>
              </w:rPr>
              <w:t>入选由中华人民共和国科学技术部认证的全国科技型中小企业库的</w:t>
            </w:r>
            <w:r>
              <w:rPr>
                <w:rFonts w:hint="eastAsia" w:ascii="宋体" w:hAnsi="宋体" w:cs="仿宋"/>
                <w:color w:val="auto"/>
                <w:highlight w:val="none"/>
                <w:lang w:eastAsia="zh-CN"/>
                <w14:ligatures w14:val="none"/>
              </w:rPr>
              <w:t>，得</w:t>
            </w:r>
            <w:r>
              <w:rPr>
                <w:rFonts w:hint="eastAsia" w:ascii="宋体" w:hAnsi="宋体" w:cs="仿宋"/>
                <w:color w:val="auto"/>
                <w:highlight w:val="none"/>
                <w:lang w:val="en-US" w:eastAsia="zh-CN"/>
                <w14:ligatures w14:val="none"/>
              </w:rPr>
              <w:t>2分；参编由国家级产业协会颁布的类似“流域水环境综合治理污染源调查技术规程”团体标准的，得2分。本项最高得6分。</w:t>
            </w:r>
            <w:r>
              <w:rPr>
                <w:rFonts w:hint="eastAsia" w:ascii="宋体" w:hAnsi="宋体" w:eastAsia="宋体" w:cs="仿宋"/>
                <w:b/>
                <w:bCs/>
                <w:color w:val="auto"/>
                <w:highlight w:val="none"/>
                <w14:ligatures w14:val="none"/>
              </w:rPr>
              <w:t>（</w:t>
            </w:r>
            <w:r>
              <w:rPr>
                <w:rFonts w:hint="eastAsia" w:ascii="宋体" w:hAnsi="宋体" w:eastAsia="宋体" w:cs="仿宋"/>
                <w:b/>
                <w:bCs/>
                <w:color w:val="auto"/>
                <w:highlight w:val="none"/>
                <w:lang w:val="en-US" w:eastAsia="zh-CN"/>
                <w14:ligatures w14:val="none"/>
              </w:rPr>
              <w:t>投标时</w:t>
            </w:r>
            <w:r>
              <w:rPr>
                <w:rFonts w:hint="eastAsia" w:ascii="宋体" w:hAnsi="宋体" w:eastAsia="宋体" w:cs="仿宋"/>
                <w:b/>
                <w:bCs/>
                <w:color w:val="auto"/>
                <w:lang w:val="en-US" w:eastAsia="zh-CN"/>
                <w14:ligatures w14:val="none"/>
              </w:rPr>
              <w:t>须</w:t>
            </w:r>
            <w:r>
              <w:rPr>
                <w:rFonts w:hint="eastAsia" w:ascii="宋体" w:hAnsi="宋体" w:eastAsia="宋体" w:cs="仿宋"/>
                <w:b/>
                <w:bCs/>
                <w:color w:val="auto"/>
                <w14:ligatures w14:val="none"/>
              </w:rPr>
              <w:t>提供证书复印件并加盖</w:t>
            </w:r>
            <w:r>
              <w:rPr>
                <w:rFonts w:hint="eastAsia" w:ascii="宋体" w:hAnsi="宋体" w:eastAsia="宋体" w:cs="仿宋"/>
                <w:b/>
                <w:bCs/>
                <w:color w:val="auto"/>
                <w:lang w:val="en-US" w:eastAsia="zh-CN"/>
                <w14:ligatures w14:val="none"/>
              </w:rPr>
              <w:t>投标人</w:t>
            </w:r>
            <w:r>
              <w:rPr>
                <w:rFonts w:hint="eastAsia" w:ascii="宋体" w:hAnsi="宋体" w:eastAsia="宋体" w:cs="仿宋"/>
                <w:b/>
                <w:bCs/>
                <w:color w:val="auto"/>
                <w14:ligatures w14:val="none"/>
              </w:rPr>
              <w:t>公章，未提供不得分。</w:t>
            </w:r>
            <w:r>
              <w:rPr>
                <w:rFonts w:hint="eastAsia" w:ascii="宋体" w:hAnsi="宋体" w:eastAsia="宋体" w:cs="仿宋"/>
                <w:b/>
                <w:bCs/>
                <w:lang w:eastAsia="zh-CN"/>
                <w14:ligatures w14:val="none"/>
              </w:rPr>
              <w:t>）</w:t>
            </w:r>
          </w:p>
        </w:tc>
      </w:tr>
      <w:tr w14:paraId="55DF85A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052" w:hRule="atLeast"/>
        </w:trPr>
        <w:tc>
          <w:tcPr>
            <w:tcW w:w="1148" w:type="dxa"/>
            <w:vMerge w:val="restart"/>
            <w:tcBorders>
              <w:top w:val="single" w:color="auto" w:sz="4" w:space="0"/>
              <w:left w:val="single" w:color="auto" w:sz="4" w:space="0"/>
              <w:right w:val="single" w:color="auto" w:sz="4" w:space="0"/>
            </w:tcBorders>
            <w:vAlign w:val="center"/>
          </w:tcPr>
          <w:p w14:paraId="593E74FF">
            <w:pPr>
              <w:jc w:val="center"/>
              <w:rPr>
                <w:rFonts w:ascii="宋体" w:hAnsi="宋体" w:eastAsia="宋体" w:cs="仿宋"/>
                <w14:ligatures w14:val="none"/>
              </w:rPr>
            </w:pPr>
            <w:r>
              <w:rPr>
                <w:rFonts w:hint="eastAsia" w:ascii="宋体" w:hAnsi="宋体" w:eastAsia="宋体" w:cs="仿宋"/>
                <w14:ligatures w14:val="none"/>
              </w:rPr>
              <w:t>项目实施方案</w:t>
            </w:r>
          </w:p>
        </w:tc>
        <w:tc>
          <w:tcPr>
            <w:tcW w:w="1350" w:type="dxa"/>
            <w:tcBorders>
              <w:top w:val="outset" w:color="auto" w:sz="6" w:space="0"/>
              <w:left w:val="single" w:color="auto" w:sz="4" w:space="0"/>
              <w:bottom w:val="outset" w:color="auto" w:sz="6" w:space="0"/>
              <w:right w:val="outset" w:color="auto" w:sz="6" w:space="0"/>
            </w:tcBorders>
            <w:vAlign w:val="center"/>
          </w:tcPr>
          <w:p w14:paraId="5D8EE901">
            <w:pPr>
              <w:jc w:val="center"/>
              <w:rPr>
                <w:rFonts w:ascii="宋体" w:hAnsi="宋体" w:eastAsia="宋体" w:cs="仿宋"/>
                <w14:ligatures w14:val="none"/>
              </w:rPr>
            </w:pPr>
            <w:r>
              <w:rPr>
                <w:rFonts w:hint="eastAsia" w:ascii="宋体" w:hAnsi="宋体" w:eastAsia="宋体" w:cs="仿宋"/>
                <w14:ligatures w14:val="none"/>
              </w:rPr>
              <w:t>总体计划</w:t>
            </w:r>
          </w:p>
        </w:tc>
        <w:tc>
          <w:tcPr>
            <w:tcW w:w="833" w:type="dxa"/>
            <w:tcBorders>
              <w:top w:val="outset" w:color="auto" w:sz="6" w:space="0"/>
              <w:left w:val="outset" w:color="auto" w:sz="6" w:space="0"/>
              <w:bottom w:val="outset" w:color="auto" w:sz="6" w:space="0"/>
              <w:right w:val="outset" w:color="auto" w:sz="6" w:space="0"/>
            </w:tcBorders>
            <w:vAlign w:val="center"/>
          </w:tcPr>
          <w:p w14:paraId="24C8DE29">
            <w:pPr>
              <w:jc w:val="center"/>
              <w:rPr>
                <w:rFonts w:ascii="宋体" w:hAnsi="宋体" w:eastAsia="宋体" w:cs="仿宋"/>
                <w14:ligatures w14:val="none"/>
              </w:rPr>
            </w:pPr>
            <w:r>
              <w:rPr>
                <w:rFonts w:hint="eastAsia" w:ascii="宋体" w:hAnsi="宋体" w:eastAsia="宋体" w:cs="仿宋"/>
                <w14:ligatures w14:val="none"/>
              </w:rPr>
              <w:t>5</w:t>
            </w:r>
          </w:p>
        </w:tc>
        <w:tc>
          <w:tcPr>
            <w:tcW w:w="5545" w:type="dxa"/>
            <w:tcBorders>
              <w:top w:val="outset" w:color="auto" w:sz="6" w:space="0"/>
              <w:left w:val="outset" w:color="auto" w:sz="6" w:space="0"/>
              <w:bottom w:val="outset" w:color="auto" w:sz="6" w:space="0"/>
              <w:right w:val="outset" w:color="auto" w:sz="6" w:space="0"/>
            </w:tcBorders>
            <w:vAlign w:val="center"/>
          </w:tcPr>
          <w:p w14:paraId="6FB454D0">
            <w:pPr>
              <w:jc w:val="left"/>
              <w:rPr>
                <w:rFonts w:ascii="宋体" w:hAnsi="宋体" w:eastAsia="宋体" w:cs="仿宋"/>
                <w14:ligatures w14:val="none"/>
              </w:rPr>
            </w:pPr>
            <w:r>
              <w:rPr>
                <w:rFonts w:hint="eastAsia" w:ascii="宋体" w:hAnsi="宋体" w:cs="仿宋"/>
              </w:rPr>
              <w:t>根据供应商针对本项目的总体实施计划（包括进度安排符合采购文件要求的程度、人员及设备投入的时间、分工等合理程度等）酌情评分。由评标委员会在3-5分进行评比打分，未提供不得分。</w:t>
            </w:r>
          </w:p>
        </w:tc>
      </w:tr>
      <w:tr w14:paraId="45B1ACC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148" w:type="dxa"/>
            <w:vMerge w:val="continue"/>
            <w:tcBorders>
              <w:left w:val="single" w:color="auto" w:sz="4" w:space="0"/>
              <w:right w:val="single" w:color="auto" w:sz="4" w:space="0"/>
            </w:tcBorders>
            <w:vAlign w:val="center"/>
          </w:tcPr>
          <w:p w14:paraId="51221F81">
            <w:pPr>
              <w:jc w:val="center"/>
              <w:rPr>
                <w:rFonts w:ascii="宋体" w:hAnsi="宋体" w:eastAsia="宋体" w:cs="仿宋"/>
                <w14:ligatures w14:val="none"/>
              </w:rPr>
            </w:pPr>
          </w:p>
        </w:tc>
        <w:tc>
          <w:tcPr>
            <w:tcW w:w="1350" w:type="dxa"/>
            <w:tcBorders>
              <w:top w:val="outset" w:color="auto" w:sz="6" w:space="0"/>
              <w:left w:val="single" w:color="auto" w:sz="4" w:space="0"/>
              <w:bottom w:val="outset" w:color="auto" w:sz="6" w:space="0"/>
              <w:right w:val="outset" w:color="auto" w:sz="6" w:space="0"/>
            </w:tcBorders>
            <w:vAlign w:val="center"/>
          </w:tcPr>
          <w:p w14:paraId="4CB20ACC">
            <w:pPr>
              <w:jc w:val="center"/>
              <w:rPr>
                <w:rFonts w:ascii="宋体" w:hAnsi="宋体" w:eastAsia="宋体" w:cs="仿宋"/>
                <w14:ligatures w14:val="none"/>
              </w:rPr>
            </w:pPr>
            <w:r>
              <w:rPr>
                <w:rFonts w:hint="eastAsia" w:ascii="宋体" w:hAnsi="宋体" w:eastAsia="宋体" w:cs="仿宋"/>
                <w14:ligatures w14:val="none"/>
              </w:rPr>
              <w:t>现场执行</w:t>
            </w:r>
          </w:p>
        </w:tc>
        <w:tc>
          <w:tcPr>
            <w:tcW w:w="833" w:type="dxa"/>
            <w:tcBorders>
              <w:top w:val="outset" w:color="auto" w:sz="6" w:space="0"/>
              <w:left w:val="outset" w:color="auto" w:sz="6" w:space="0"/>
              <w:bottom w:val="outset" w:color="auto" w:sz="6" w:space="0"/>
              <w:right w:val="outset" w:color="auto" w:sz="6" w:space="0"/>
            </w:tcBorders>
            <w:vAlign w:val="center"/>
          </w:tcPr>
          <w:p w14:paraId="335EA565">
            <w:pPr>
              <w:jc w:val="center"/>
              <w:rPr>
                <w:rFonts w:ascii="宋体" w:hAnsi="宋体" w:eastAsia="宋体" w:cs="仿宋"/>
                <w14:ligatures w14:val="none"/>
              </w:rPr>
            </w:pPr>
            <w:r>
              <w:rPr>
                <w:rFonts w:hint="eastAsia" w:ascii="宋体" w:hAnsi="宋体" w:eastAsia="宋体" w:cs="仿宋"/>
                <w14:ligatures w14:val="none"/>
              </w:rPr>
              <w:t>5</w:t>
            </w:r>
          </w:p>
        </w:tc>
        <w:tc>
          <w:tcPr>
            <w:tcW w:w="5545" w:type="dxa"/>
            <w:tcBorders>
              <w:top w:val="outset" w:color="auto" w:sz="6" w:space="0"/>
              <w:left w:val="outset" w:color="auto" w:sz="6" w:space="0"/>
              <w:bottom w:val="outset" w:color="auto" w:sz="6" w:space="0"/>
              <w:right w:val="outset" w:color="auto" w:sz="6" w:space="0"/>
            </w:tcBorders>
            <w:vAlign w:val="center"/>
          </w:tcPr>
          <w:p w14:paraId="38FAE6BB">
            <w:pPr>
              <w:jc w:val="left"/>
              <w:rPr>
                <w:rFonts w:hint="eastAsia" w:ascii="宋体" w:hAnsi="宋体" w:eastAsia="宋体" w:cs="仿宋"/>
                <w:color w:val="auto"/>
                <w:lang w:eastAsia="zh-CN"/>
                <w14:ligatures w14:val="none"/>
              </w:rPr>
            </w:pPr>
            <w:r>
              <w:rPr>
                <w:rFonts w:hint="eastAsia" w:ascii="宋体" w:hAnsi="宋体" w:cs="仿宋"/>
                <w:color w:val="auto"/>
              </w:rPr>
              <w:t>根据供应商提供的现场执行方案进行打分方案合理有效、可实施性强的得</w:t>
            </w:r>
            <w:r>
              <w:rPr>
                <w:rFonts w:hint="eastAsia" w:ascii="宋体" w:hAnsi="宋体" w:cs="仿宋"/>
                <w:color w:val="auto"/>
                <w:lang w:val="en-US" w:eastAsia="zh-CN"/>
              </w:rPr>
              <w:t>3-5</w:t>
            </w:r>
            <w:r>
              <w:rPr>
                <w:rFonts w:hint="eastAsia" w:ascii="宋体" w:hAnsi="宋体" w:cs="仿宋"/>
                <w:color w:val="auto"/>
              </w:rPr>
              <w:t>（含）分，方案一般、具有一定可实施性的得</w:t>
            </w:r>
            <w:r>
              <w:rPr>
                <w:rFonts w:hint="eastAsia" w:ascii="宋体" w:hAnsi="宋体" w:cs="仿宋"/>
                <w:color w:val="auto"/>
                <w:u w:val="none"/>
                <w:lang w:val="en-US" w:eastAsia="zh-CN"/>
              </w:rPr>
              <w:t>2-3</w:t>
            </w:r>
            <w:r>
              <w:rPr>
                <w:rFonts w:hint="eastAsia" w:ascii="宋体" w:hAnsi="宋体" w:cs="仿宋"/>
                <w:color w:val="auto"/>
              </w:rPr>
              <w:t>（含）分，方案欠缺、可实施性不强的得</w:t>
            </w:r>
            <w:r>
              <w:rPr>
                <w:rFonts w:hint="eastAsia" w:ascii="宋体" w:hAnsi="宋体" w:cs="仿宋"/>
                <w:color w:val="auto"/>
                <w:lang w:val="en-US" w:eastAsia="zh-CN"/>
              </w:rPr>
              <w:t>0-2</w:t>
            </w:r>
            <w:r>
              <w:rPr>
                <w:rFonts w:hint="eastAsia" w:ascii="宋体" w:hAnsi="宋体" w:cs="仿宋"/>
                <w:color w:val="auto"/>
              </w:rPr>
              <w:t>（含）分，没有内容不得分。本项最高得5分。</w:t>
            </w:r>
          </w:p>
        </w:tc>
      </w:tr>
      <w:tr w14:paraId="7206FC8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272" w:hRule="atLeast"/>
        </w:trPr>
        <w:tc>
          <w:tcPr>
            <w:tcW w:w="1148" w:type="dxa"/>
            <w:vMerge w:val="continue"/>
            <w:tcBorders>
              <w:left w:val="single" w:color="auto" w:sz="4" w:space="0"/>
              <w:right w:val="single" w:color="auto" w:sz="4" w:space="0"/>
            </w:tcBorders>
            <w:vAlign w:val="center"/>
          </w:tcPr>
          <w:p w14:paraId="6A000408">
            <w:pPr>
              <w:jc w:val="center"/>
              <w:rPr>
                <w:rFonts w:ascii="宋体" w:hAnsi="宋体" w:eastAsia="宋体" w:cs="仿宋"/>
                <w14:ligatures w14:val="none"/>
              </w:rPr>
            </w:pPr>
          </w:p>
        </w:tc>
        <w:tc>
          <w:tcPr>
            <w:tcW w:w="1350" w:type="dxa"/>
            <w:tcBorders>
              <w:top w:val="outset" w:color="auto" w:sz="6" w:space="0"/>
              <w:left w:val="single" w:color="auto" w:sz="4" w:space="0"/>
              <w:bottom w:val="single" w:color="auto" w:sz="4" w:space="0"/>
              <w:right w:val="outset" w:color="auto" w:sz="6" w:space="0"/>
            </w:tcBorders>
            <w:vAlign w:val="center"/>
          </w:tcPr>
          <w:p w14:paraId="19E01DBF">
            <w:pPr>
              <w:jc w:val="center"/>
              <w:rPr>
                <w:rFonts w:ascii="宋体" w:hAnsi="宋体" w:eastAsia="宋体" w:cs="仿宋"/>
                <w14:ligatures w14:val="none"/>
              </w:rPr>
            </w:pPr>
            <w:r>
              <w:rPr>
                <w:rFonts w:hint="eastAsia" w:ascii="宋体" w:hAnsi="宋体" w:eastAsia="宋体" w:cs="仿宋"/>
                <w14:ligatures w14:val="none"/>
              </w:rPr>
              <w:t>河道污染溯源方案</w:t>
            </w:r>
          </w:p>
        </w:tc>
        <w:tc>
          <w:tcPr>
            <w:tcW w:w="833" w:type="dxa"/>
            <w:tcBorders>
              <w:top w:val="outset" w:color="auto" w:sz="6" w:space="0"/>
              <w:left w:val="outset" w:color="auto" w:sz="6" w:space="0"/>
              <w:bottom w:val="single" w:color="auto" w:sz="4" w:space="0"/>
              <w:right w:val="outset" w:color="auto" w:sz="6" w:space="0"/>
            </w:tcBorders>
            <w:vAlign w:val="center"/>
          </w:tcPr>
          <w:p w14:paraId="14AAD5E9">
            <w:pPr>
              <w:jc w:val="center"/>
              <w:rPr>
                <w:rFonts w:ascii="宋体" w:hAnsi="宋体" w:eastAsia="宋体" w:cs="仿宋"/>
                <w14:ligatures w14:val="none"/>
              </w:rPr>
            </w:pPr>
            <w:r>
              <w:rPr>
                <w:rFonts w:hint="eastAsia" w:ascii="宋体" w:hAnsi="宋体" w:eastAsia="宋体" w:cs="仿宋"/>
                <w14:ligatures w14:val="none"/>
              </w:rPr>
              <w:t>5</w:t>
            </w:r>
          </w:p>
        </w:tc>
        <w:tc>
          <w:tcPr>
            <w:tcW w:w="5545" w:type="dxa"/>
            <w:tcBorders>
              <w:top w:val="outset" w:color="auto" w:sz="6" w:space="0"/>
              <w:left w:val="outset" w:color="auto" w:sz="6" w:space="0"/>
              <w:bottom w:val="single" w:color="auto" w:sz="4" w:space="0"/>
              <w:right w:val="outset" w:color="auto" w:sz="6" w:space="0"/>
            </w:tcBorders>
            <w:vAlign w:val="center"/>
          </w:tcPr>
          <w:p w14:paraId="70F0015B">
            <w:pPr>
              <w:jc w:val="left"/>
              <w:rPr>
                <w:rFonts w:hint="eastAsia" w:ascii="宋体" w:hAnsi="宋体" w:eastAsia="宋体" w:cs="Times New Roman"/>
                <w:color w:val="auto"/>
                <w:lang w:eastAsia="zh-CN"/>
                <w14:ligatures w14:val="none"/>
              </w:rPr>
            </w:pPr>
            <w:r>
              <w:rPr>
                <w:rFonts w:hint="eastAsia" w:ascii="宋体" w:hAnsi="宋体" w:cs="仿宋"/>
                <w:color w:val="auto"/>
              </w:rPr>
              <w:t>根据投标人提的河道精准溯源方案进行打分。方案合理有效、可实施性强的得</w:t>
            </w:r>
            <w:r>
              <w:rPr>
                <w:rFonts w:hint="eastAsia" w:ascii="宋体" w:hAnsi="宋体" w:cs="仿宋"/>
                <w:color w:val="auto"/>
                <w:lang w:val="en-US" w:eastAsia="zh-CN"/>
              </w:rPr>
              <w:t>3-5</w:t>
            </w:r>
            <w:r>
              <w:rPr>
                <w:rFonts w:hint="eastAsia" w:ascii="宋体" w:hAnsi="宋体" w:cs="仿宋"/>
                <w:color w:val="auto"/>
              </w:rPr>
              <w:t>（含）分，方案一般、具有一定可实施性的得</w:t>
            </w:r>
            <w:r>
              <w:rPr>
                <w:rFonts w:hint="eastAsia" w:ascii="宋体" w:hAnsi="宋体" w:cs="仿宋"/>
                <w:color w:val="auto"/>
                <w:lang w:val="en-US" w:eastAsia="zh-CN"/>
              </w:rPr>
              <w:t>2-3</w:t>
            </w:r>
            <w:r>
              <w:rPr>
                <w:rFonts w:hint="eastAsia" w:ascii="宋体" w:hAnsi="宋体" w:cs="仿宋"/>
                <w:color w:val="auto"/>
              </w:rPr>
              <w:t>（含）分，方案欠缺、可实施性不强的得</w:t>
            </w:r>
            <w:r>
              <w:rPr>
                <w:rFonts w:hint="eastAsia" w:ascii="宋体" w:hAnsi="宋体" w:cs="仿宋"/>
                <w:color w:val="auto"/>
                <w:lang w:val="en-US" w:eastAsia="zh-CN"/>
              </w:rPr>
              <w:t>0-2</w:t>
            </w:r>
            <w:r>
              <w:rPr>
                <w:rFonts w:hint="eastAsia" w:ascii="宋体" w:hAnsi="宋体" w:cs="仿宋"/>
                <w:color w:val="auto"/>
              </w:rPr>
              <w:t>（含）分，没有内容不得分。本项最高得5分。</w:t>
            </w:r>
          </w:p>
        </w:tc>
      </w:tr>
      <w:tr w14:paraId="0DA9C87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384" w:hRule="atLeast"/>
        </w:trPr>
        <w:tc>
          <w:tcPr>
            <w:tcW w:w="1148" w:type="dxa"/>
            <w:vMerge w:val="continue"/>
            <w:tcBorders>
              <w:left w:val="single" w:color="auto" w:sz="4" w:space="0"/>
              <w:right w:val="single" w:color="auto" w:sz="4" w:space="0"/>
            </w:tcBorders>
            <w:vAlign w:val="center"/>
          </w:tcPr>
          <w:p w14:paraId="341444E2">
            <w:pPr>
              <w:jc w:val="center"/>
              <w:rPr>
                <w:rFonts w:ascii="宋体" w:hAnsi="宋体" w:eastAsia="宋体" w:cs="仿宋"/>
                <w14:ligatures w14:val="none"/>
              </w:rPr>
            </w:pPr>
          </w:p>
        </w:tc>
        <w:tc>
          <w:tcPr>
            <w:tcW w:w="1350" w:type="dxa"/>
            <w:tcBorders>
              <w:top w:val="single" w:color="auto" w:sz="4" w:space="0"/>
              <w:left w:val="single" w:color="auto" w:sz="4" w:space="0"/>
              <w:bottom w:val="single" w:color="auto" w:sz="4" w:space="0"/>
              <w:right w:val="outset" w:color="auto" w:sz="6" w:space="0"/>
            </w:tcBorders>
            <w:vAlign w:val="center"/>
          </w:tcPr>
          <w:p w14:paraId="27DBCB5A">
            <w:pPr>
              <w:jc w:val="center"/>
              <w:rPr>
                <w:rFonts w:ascii="宋体" w:hAnsi="宋体" w:eastAsia="宋体" w:cs="仿宋"/>
                <w14:ligatures w14:val="none"/>
              </w:rPr>
            </w:pPr>
            <w:r>
              <w:rPr>
                <w:rFonts w:hint="eastAsia" w:ascii="宋体" w:hAnsi="宋体" w:eastAsia="宋体" w:cs="仿宋"/>
                <w14:ligatures w14:val="none"/>
              </w:rPr>
              <w:t>管网COD异常溯源方案</w:t>
            </w:r>
          </w:p>
        </w:tc>
        <w:tc>
          <w:tcPr>
            <w:tcW w:w="833" w:type="dxa"/>
            <w:tcBorders>
              <w:top w:val="single" w:color="auto" w:sz="4" w:space="0"/>
              <w:left w:val="outset" w:color="auto" w:sz="6" w:space="0"/>
              <w:bottom w:val="single" w:color="auto" w:sz="4" w:space="0"/>
              <w:right w:val="outset" w:color="auto" w:sz="6" w:space="0"/>
            </w:tcBorders>
            <w:vAlign w:val="center"/>
          </w:tcPr>
          <w:p w14:paraId="20CE4C4A">
            <w:pPr>
              <w:jc w:val="center"/>
              <w:rPr>
                <w:rFonts w:ascii="宋体" w:hAnsi="宋体" w:eastAsia="宋体" w:cs="仿宋"/>
                <w14:ligatures w14:val="none"/>
              </w:rPr>
            </w:pPr>
            <w:r>
              <w:rPr>
                <w:rFonts w:hint="eastAsia" w:ascii="宋体" w:hAnsi="宋体" w:eastAsia="宋体" w:cs="仿宋"/>
                <w14:ligatures w14:val="none"/>
              </w:rPr>
              <w:t>5</w:t>
            </w:r>
          </w:p>
        </w:tc>
        <w:tc>
          <w:tcPr>
            <w:tcW w:w="5545" w:type="dxa"/>
            <w:tcBorders>
              <w:top w:val="single" w:color="auto" w:sz="4" w:space="0"/>
              <w:left w:val="outset" w:color="auto" w:sz="6" w:space="0"/>
              <w:bottom w:val="single" w:color="auto" w:sz="4" w:space="0"/>
              <w:right w:val="outset" w:color="auto" w:sz="6" w:space="0"/>
            </w:tcBorders>
            <w:vAlign w:val="center"/>
          </w:tcPr>
          <w:p w14:paraId="71954F6E">
            <w:pPr>
              <w:spacing w:after="120"/>
              <w:rPr>
                <w:rFonts w:hint="eastAsia" w:ascii="宋体" w:hAnsi="宋体" w:eastAsia="宋体" w:cs="Times New Roman"/>
                <w:color w:val="auto"/>
                <w:lang w:eastAsia="zh-CN"/>
                <w14:ligatures w14:val="none"/>
              </w:rPr>
            </w:pPr>
            <w:r>
              <w:rPr>
                <w:rFonts w:hint="eastAsia" w:ascii="宋体" w:hAnsi="宋体" w:cs="仿宋"/>
                <w:color w:val="auto"/>
              </w:rPr>
              <w:t>根据供应商提供的管网COD异常溯源方案进行打分。方案合理有效、可实施性强的得</w:t>
            </w:r>
            <w:r>
              <w:rPr>
                <w:rFonts w:hint="eastAsia" w:ascii="宋体" w:hAnsi="宋体" w:cs="仿宋"/>
                <w:color w:val="auto"/>
                <w:lang w:val="en-US" w:eastAsia="zh-CN"/>
              </w:rPr>
              <w:t>3-5</w:t>
            </w:r>
            <w:r>
              <w:rPr>
                <w:rFonts w:hint="eastAsia" w:ascii="宋体" w:hAnsi="宋体" w:cs="仿宋"/>
                <w:color w:val="auto"/>
              </w:rPr>
              <w:t>（含）分，方案一般、具有一定可实施性的得</w:t>
            </w:r>
            <w:r>
              <w:rPr>
                <w:rFonts w:hint="eastAsia" w:ascii="宋体" w:hAnsi="宋体" w:cs="仿宋"/>
                <w:color w:val="auto"/>
                <w:lang w:val="en-US" w:eastAsia="zh-CN"/>
              </w:rPr>
              <w:t>2-3</w:t>
            </w:r>
            <w:r>
              <w:rPr>
                <w:rFonts w:hint="eastAsia" w:ascii="宋体" w:hAnsi="宋体" w:cs="仿宋"/>
                <w:color w:val="auto"/>
              </w:rPr>
              <w:t>（含）分，方案欠缺、可实施性不强的得</w:t>
            </w:r>
            <w:r>
              <w:rPr>
                <w:rFonts w:hint="eastAsia" w:ascii="宋体" w:hAnsi="宋体" w:cs="仿宋"/>
                <w:color w:val="auto"/>
                <w:lang w:val="en-US" w:eastAsia="zh-CN"/>
              </w:rPr>
              <w:t>0-2</w:t>
            </w:r>
            <w:r>
              <w:rPr>
                <w:rFonts w:hint="eastAsia" w:ascii="宋体" w:hAnsi="宋体" w:cs="仿宋"/>
                <w:color w:val="auto"/>
              </w:rPr>
              <w:t>（含）分，没有内容不得分。本项最高得5分。</w:t>
            </w:r>
          </w:p>
        </w:tc>
      </w:tr>
      <w:tr w14:paraId="3A8F3BC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95" w:hRule="atLeast"/>
        </w:trPr>
        <w:tc>
          <w:tcPr>
            <w:tcW w:w="1148" w:type="dxa"/>
            <w:vMerge w:val="continue"/>
            <w:tcBorders>
              <w:left w:val="single" w:color="auto" w:sz="4" w:space="0"/>
              <w:right w:val="single" w:color="auto" w:sz="4" w:space="0"/>
            </w:tcBorders>
            <w:vAlign w:val="center"/>
          </w:tcPr>
          <w:p w14:paraId="3883FC45">
            <w:pPr>
              <w:jc w:val="center"/>
              <w:rPr>
                <w:rFonts w:ascii="宋体" w:hAnsi="宋体" w:eastAsia="宋体" w:cs="仿宋"/>
                <w14:ligatures w14:val="none"/>
              </w:rPr>
            </w:pPr>
          </w:p>
        </w:tc>
        <w:tc>
          <w:tcPr>
            <w:tcW w:w="1350" w:type="dxa"/>
            <w:tcBorders>
              <w:top w:val="single" w:color="auto" w:sz="4" w:space="0"/>
              <w:left w:val="single" w:color="auto" w:sz="4" w:space="0"/>
              <w:bottom w:val="outset" w:color="auto" w:sz="6" w:space="0"/>
              <w:right w:val="outset" w:color="auto" w:sz="6" w:space="0"/>
            </w:tcBorders>
            <w:vAlign w:val="center"/>
          </w:tcPr>
          <w:p w14:paraId="40399D7E">
            <w:pPr>
              <w:jc w:val="center"/>
              <w:rPr>
                <w:rFonts w:ascii="宋体" w:hAnsi="宋体" w:eastAsia="宋体" w:cs="仿宋"/>
                <w14:ligatures w14:val="none"/>
              </w:rPr>
            </w:pPr>
            <w:r>
              <w:rPr>
                <w:rFonts w:hint="eastAsia" w:ascii="宋体" w:hAnsi="宋体" w:eastAsia="宋体" w:cs="仿宋"/>
                <w14:ligatures w14:val="none"/>
              </w:rPr>
              <w:t>质量保证措施</w:t>
            </w:r>
          </w:p>
        </w:tc>
        <w:tc>
          <w:tcPr>
            <w:tcW w:w="833" w:type="dxa"/>
            <w:tcBorders>
              <w:top w:val="single" w:color="auto" w:sz="4" w:space="0"/>
              <w:left w:val="outset" w:color="auto" w:sz="6" w:space="0"/>
              <w:bottom w:val="outset" w:color="auto" w:sz="6" w:space="0"/>
              <w:right w:val="outset" w:color="auto" w:sz="6" w:space="0"/>
            </w:tcBorders>
            <w:vAlign w:val="center"/>
          </w:tcPr>
          <w:p w14:paraId="5EB963F2">
            <w:pPr>
              <w:jc w:val="center"/>
              <w:rPr>
                <w:rFonts w:ascii="宋体" w:hAnsi="宋体" w:eastAsia="宋体" w:cs="仿宋"/>
                <w14:ligatures w14:val="none"/>
              </w:rPr>
            </w:pPr>
            <w:r>
              <w:rPr>
                <w:rFonts w:hint="eastAsia" w:ascii="宋体" w:hAnsi="宋体" w:eastAsia="宋体" w:cs="仿宋"/>
                <w14:ligatures w14:val="none"/>
              </w:rPr>
              <w:t>5</w:t>
            </w:r>
          </w:p>
        </w:tc>
        <w:tc>
          <w:tcPr>
            <w:tcW w:w="5545" w:type="dxa"/>
            <w:tcBorders>
              <w:top w:val="single" w:color="auto" w:sz="4" w:space="0"/>
              <w:left w:val="outset" w:color="auto" w:sz="6" w:space="0"/>
              <w:bottom w:val="outset" w:color="auto" w:sz="6" w:space="0"/>
              <w:right w:val="outset" w:color="auto" w:sz="6" w:space="0"/>
            </w:tcBorders>
            <w:vAlign w:val="center"/>
          </w:tcPr>
          <w:p w14:paraId="0E5E3966">
            <w:pPr>
              <w:rPr>
                <w:rFonts w:hint="eastAsia" w:ascii="宋体" w:hAnsi="宋体" w:eastAsia="宋体" w:cs="Times New Roman"/>
                <w:color w:val="auto"/>
                <w:lang w:eastAsia="zh-CN"/>
                <w14:ligatures w14:val="none"/>
              </w:rPr>
            </w:pPr>
            <w:r>
              <w:rPr>
                <w:rFonts w:hint="eastAsia" w:ascii="宋体" w:hAnsi="宋体" w:cs="仿宋"/>
                <w:color w:val="auto"/>
              </w:rPr>
              <w:t>根据供应商提供的质量控制目标、保证措施完整性、科学性以及准确性进行打分。</w:t>
            </w:r>
            <w:r>
              <w:rPr>
                <w:rFonts w:ascii="宋体" w:hAnsi="宋体" w:cs="仿宋"/>
                <w:color w:val="auto"/>
              </w:rPr>
              <w:t>方案合理有效、可实施性强的得</w:t>
            </w:r>
            <w:r>
              <w:rPr>
                <w:rFonts w:hint="eastAsia" w:ascii="宋体" w:hAnsi="宋体" w:cs="仿宋"/>
                <w:color w:val="auto"/>
                <w:lang w:val="en-US" w:eastAsia="zh-CN"/>
              </w:rPr>
              <w:t>3-5</w:t>
            </w:r>
            <w:r>
              <w:rPr>
                <w:rFonts w:ascii="宋体" w:hAnsi="宋体" w:cs="仿宋"/>
                <w:color w:val="auto"/>
              </w:rPr>
              <w:t>（含）分，方案一般、具有一定可实施性的得</w:t>
            </w:r>
            <w:r>
              <w:rPr>
                <w:rFonts w:hint="eastAsia" w:ascii="宋体" w:hAnsi="宋体" w:cs="仿宋"/>
                <w:color w:val="auto"/>
                <w:lang w:val="en-US" w:eastAsia="zh-CN"/>
              </w:rPr>
              <w:t>2-3</w:t>
            </w:r>
            <w:r>
              <w:rPr>
                <w:rFonts w:ascii="宋体" w:hAnsi="宋体" w:cs="仿宋"/>
                <w:color w:val="auto"/>
              </w:rPr>
              <w:t>（含）分，方案欠缺、可实施性不强的得</w:t>
            </w:r>
            <w:r>
              <w:rPr>
                <w:rFonts w:hint="eastAsia" w:ascii="宋体" w:hAnsi="宋体" w:cs="仿宋"/>
                <w:color w:val="auto"/>
                <w:lang w:val="en-US" w:eastAsia="zh-CN"/>
              </w:rPr>
              <w:t>0-2</w:t>
            </w:r>
            <w:r>
              <w:rPr>
                <w:rFonts w:ascii="宋体" w:hAnsi="宋体" w:cs="仿宋"/>
                <w:color w:val="auto"/>
              </w:rPr>
              <w:t>（含）分，没有内容不得分。本项最高得5分</w:t>
            </w:r>
            <w:r>
              <w:rPr>
                <w:rFonts w:hint="eastAsia" w:ascii="宋体" w:hAnsi="宋体" w:cs="仿宋"/>
                <w:color w:val="auto"/>
              </w:rPr>
              <w:t>。</w:t>
            </w:r>
          </w:p>
        </w:tc>
      </w:tr>
      <w:tr w14:paraId="789E9FF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558" w:hRule="atLeast"/>
        </w:trPr>
        <w:tc>
          <w:tcPr>
            <w:tcW w:w="1148" w:type="dxa"/>
            <w:vMerge w:val="continue"/>
            <w:tcBorders>
              <w:left w:val="single" w:color="auto" w:sz="4" w:space="0"/>
              <w:right w:val="single" w:color="auto" w:sz="4" w:space="0"/>
            </w:tcBorders>
            <w:vAlign w:val="center"/>
          </w:tcPr>
          <w:p w14:paraId="5AFC9A43">
            <w:pPr>
              <w:jc w:val="center"/>
              <w:rPr>
                <w:rFonts w:ascii="宋体" w:hAnsi="宋体" w:eastAsia="宋体" w:cs="仿宋"/>
                <w14:ligatures w14:val="none"/>
              </w:rPr>
            </w:pPr>
          </w:p>
        </w:tc>
        <w:tc>
          <w:tcPr>
            <w:tcW w:w="1350" w:type="dxa"/>
            <w:tcBorders>
              <w:top w:val="outset" w:color="auto" w:sz="6" w:space="0"/>
              <w:left w:val="single" w:color="auto" w:sz="4" w:space="0"/>
              <w:bottom w:val="outset" w:color="auto" w:sz="6" w:space="0"/>
              <w:right w:val="outset" w:color="auto" w:sz="6" w:space="0"/>
            </w:tcBorders>
            <w:vAlign w:val="center"/>
          </w:tcPr>
          <w:p w14:paraId="0C411FD5">
            <w:pPr>
              <w:jc w:val="center"/>
              <w:rPr>
                <w:rFonts w:ascii="宋体" w:hAnsi="宋体" w:eastAsia="宋体" w:cs="仿宋"/>
                <w14:ligatures w14:val="none"/>
              </w:rPr>
            </w:pPr>
            <w:r>
              <w:rPr>
                <w:rFonts w:hint="eastAsia" w:ascii="宋体" w:hAnsi="宋体" w:eastAsia="宋体" w:cs="仿宋"/>
                <w14:ligatures w14:val="none"/>
              </w:rPr>
              <w:t>项目管理人员配备</w:t>
            </w:r>
          </w:p>
          <w:p w14:paraId="40A4EF82">
            <w:pPr>
              <w:jc w:val="center"/>
              <w:rPr>
                <w:rFonts w:ascii="宋体" w:hAnsi="宋体" w:eastAsia="宋体" w:cs="仿宋"/>
                <w14:ligatures w14:val="none"/>
              </w:rPr>
            </w:pPr>
          </w:p>
        </w:tc>
        <w:tc>
          <w:tcPr>
            <w:tcW w:w="833" w:type="dxa"/>
            <w:tcBorders>
              <w:top w:val="outset" w:color="auto" w:sz="6" w:space="0"/>
              <w:left w:val="outset" w:color="auto" w:sz="6" w:space="0"/>
              <w:bottom w:val="outset" w:color="auto" w:sz="6" w:space="0"/>
              <w:right w:val="outset" w:color="auto" w:sz="6" w:space="0"/>
            </w:tcBorders>
            <w:vAlign w:val="center"/>
          </w:tcPr>
          <w:p w14:paraId="4C4B0A24">
            <w:pPr>
              <w:jc w:val="center"/>
              <w:rPr>
                <w:rFonts w:ascii="宋体" w:hAnsi="宋体" w:eastAsia="宋体" w:cs="仿宋"/>
                <w14:ligatures w14:val="none"/>
              </w:rPr>
            </w:pPr>
            <w:r>
              <w:rPr>
                <w:rFonts w:hint="eastAsia" w:ascii="宋体" w:hAnsi="宋体" w:eastAsia="宋体" w:cs="仿宋"/>
                <w14:ligatures w14:val="none"/>
              </w:rPr>
              <w:t>7</w:t>
            </w:r>
          </w:p>
        </w:tc>
        <w:tc>
          <w:tcPr>
            <w:tcW w:w="5545" w:type="dxa"/>
            <w:tcBorders>
              <w:top w:val="outset" w:color="auto" w:sz="6" w:space="0"/>
              <w:left w:val="outset" w:color="auto" w:sz="6" w:space="0"/>
              <w:bottom w:val="outset" w:color="auto" w:sz="6" w:space="0"/>
              <w:right w:val="outset" w:color="auto" w:sz="6" w:space="0"/>
            </w:tcBorders>
            <w:vAlign w:val="center"/>
          </w:tcPr>
          <w:p w14:paraId="6E919DCB">
            <w:pPr>
              <w:jc w:val="left"/>
              <w:rPr>
                <w:rFonts w:ascii="宋体" w:hAnsi="宋体" w:eastAsia="宋体" w:cs="仿宋"/>
                <w14:ligatures w14:val="none"/>
              </w:rPr>
            </w:pPr>
            <w:r>
              <w:rPr>
                <w:rFonts w:hint="eastAsia" w:ascii="宋体" w:hAnsi="宋体" w:eastAsia="宋体" w:cs="仿宋"/>
                <w14:ligatures w14:val="none"/>
              </w:rPr>
              <w:t>1.项目负责人：</w:t>
            </w:r>
          </w:p>
          <w:p w14:paraId="583B9824">
            <w:pPr>
              <w:jc w:val="left"/>
              <w:rPr>
                <w:rFonts w:ascii="宋体" w:hAnsi="宋体" w:eastAsia="宋体" w:cs="仿宋"/>
                <w:color w:val="auto"/>
                <w14:ligatures w14:val="none"/>
              </w:rPr>
            </w:pPr>
            <w:r>
              <w:rPr>
                <w:rFonts w:hint="eastAsia" w:ascii="宋体" w:hAnsi="宋体" w:eastAsia="宋体" w:cs="仿宋"/>
                <w14:ligatures w14:val="none"/>
              </w:rPr>
              <w:t>项目负责人具有环保类正高级工程师职称的得3分；具有环保类高级工程师职称的，得2分</w:t>
            </w:r>
            <w:r>
              <w:rPr>
                <w:rFonts w:hint="eastAsia" w:ascii="宋体" w:hAnsi="宋体" w:cs="仿宋"/>
                <w:lang w:eastAsia="zh-CN"/>
                <w14:ligatures w14:val="none"/>
              </w:rPr>
              <w:t>。</w:t>
            </w:r>
            <w:r>
              <w:rPr>
                <w:rFonts w:ascii="宋体" w:hAnsi="宋体" w:eastAsia="宋体" w:cs="仿宋"/>
                <w14:ligatures w14:val="none"/>
              </w:rPr>
              <w:t>本项最高得</w:t>
            </w:r>
            <w:r>
              <w:rPr>
                <w:rFonts w:hint="eastAsia" w:ascii="宋体" w:hAnsi="宋体" w:eastAsia="宋体" w:cs="仿宋"/>
                <w14:ligatures w14:val="none"/>
              </w:rPr>
              <w:t>3</w:t>
            </w:r>
            <w:r>
              <w:rPr>
                <w:rFonts w:ascii="宋体" w:hAnsi="宋体" w:eastAsia="宋体" w:cs="仿宋"/>
                <w14:ligatures w14:val="none"/>
              </w:rPr>
              <w:t>分</w:t>
            </w:r>
            <w:r>
              <w:rPr>
                <w:rFonts w:hint="eastAsia" w:ascii="宋体" w:hAnsi="宋体" w:cs="仿宋"/>
                <w:lang w:eastAsia="zh-CN"/>
                <w14:ligatures w14:val="none"/>
              </w:rPr>
              <w:t>。</w:t>
            </w:r>
            <w:r>
              <w:rPr>
                <w:rFonts w:ascii="宋体" w:hAnsi="宋体" w:eastAsia="宋体" w:cs="仿宋"/>
                <w:b/>
                <w:bCs/>
                <w:color w:val="auto"/>
                <w14:ligatures w14:val="none"/>
              </w:rPr>
              <w:t>（</w:t>
            </w:r>
            <w:r>
              <w:rPr>
                <w:rFonts w:hint="eastAsia" w:ascii="宋体" w:hAnsi="宋体" w:cs="仿宋"/>
                <w:b/>
                <w:bCs/>
                <w:color w:val="auto"/>
                <w:sz w:val="21"/>
                <w:szCs w:val="21"/>
                <w:lang w:val="en-US" w:eastAsia="zh-CN"/>
                <w14:ligatures w14:val="none"/>
              </w:rPr>
              <w:t>投标时须提供相关证书</w:t>
            </w:r>
            <w:r>
              <w:rPr>
                <w:rFonts w:hint="eastAsia" w:ascii="宋体" w:hAnsi="宋体" w:cs="宋体"/>
                <w:b/>
                <w:bCs/>
                <w:color w:val="auto"/>
                <w:sz w:val="21"/>
                <w:szCs w:val="21"/>
                <w:highlight w:val="none"/>
              </w:rPr>
              <w:t>复印件并加盖投标人公章</w:t>
            </w:r>
            <w:r>
              <w:rPr>
                <w:rFonts w:hint="eastAsia" w:ascii="宋体" w:hAnsi="宋体" w:cs="宋体"/>
                <w:b/>
                <w:bCs/>
                <w:color w:val="auto"/>
                <w:sz w:val="21"/>
                <w:szCs w:val="21"/>
                <w:highlight w:val="none"/>
                <w:lang w:eastAsia="zh-CN"/>
              </w:rPr>
              <w:t>；项目负责人必须为</w:t>
            </w:r>
            <w:r>
              <w:rPr>
                <w:rFonts w:hint="eastAsia" w:ascii="宋体" w:hAnsi="宋体" w:cs="宋体"/>
                <w:b/>
                <w:bCs/>
                <w:color w:val="auto"/>
                <w:sz w:val="21"/>
                <w:szCs w:val="21"/>
                <w:highlight w:val="none"/>
                <w:lang w:val="en-US" w:eastAsia="zh-CN"/>
              </w:rPr>
              <w:t>投标</w:t>
            </w:r>
            <w:r>
              <w:rPr>
                <w:rFonts w:hint="eastAsia" w:ascii="宋体" w:hAnsi="宋体" w:cs="宋体"/>
                <w:b/>
                <w:bCs/>
                <w:color w:val="auto"/>
                <w:sz w:val="21"/>
                <w:szCs w:val="21"/>
                <w:highlight w:val="none"/>
                <w:lang w:eastAsia="zh-CN"/>
              </w:rPr>
              <w:t>单位人员，退休及返聘人员不予认可，</w:t>
            </w:r>
            <w:r>
              <w:rPr>
                <w:rFonts w:hint="eastAsia" w:ascii="宋体" w:hAnsi="宋体" w:cs="宋体"/>
                <w:b/>
                <w:bCs/>
                <w:color w:val="auto"/>
                <w:sz w:val="21"/>
                <w:szCs w:val="21"/>
                <w:highlight w:val="none"/>
                <w:lang w:val="en-US" w:eastAsia="zh-CN"/>
              </w:rPr>
              <w:t>且</w:t>
            </w:r>
            <w:r>
              <w:rPr>
                <w:rFonts w:hint="eastAsia" w:ascii="宋体" w:hAnsi="宋体" w:cs="宋体"/>
                <w:b/>
                <w:bCs/>
                <w:color w:val="auto"/>
                <w:sz w:val="21"/>
                <w:szCs w:val="21"/>
                <w:highlight w:val="none"/>
                <w:lang w:eastAsia="zh-CN"/>
              </w:rPr>
              <w:t>提供在开标前三个月中任一个月社保材料，证明以投标人当地养老保险管理部门出具的证明材料为准，或者以投标人注册地社会养老保险管理部门的官方网站查询或验证结果打印件为准。未提供不得分。）</w:t>
            </w:r>
          </w:p>
          <w:p w14:paraId="56E2B9A7">
            <w:pPr>
              <w:jc w:val="left"/>
              <w:rPr>
                <w:rFonts w:ascii="宋体" w:hAnsi="宋体" w:eastAsia="宋体" w:cs="Times New Roman"/>
                <w14:ligatures w14:val="none"/>
              </w:rPr>
            </w:pPr>
            <w:r>
              <w:rPr>
                <w:rFonts w:hint="eastAsia" w:ascii="宋体" w:hAnsi="宋体" w:eastAsia="宋体" w:cs="仿宋"/>
                <w14:ligatures w14:val="none"/>
              </w:rPr>
              <w:t>2.</w:t>
            </w:r>
            <w:r>
              <w:rPr>
                <w:rFonts w:hint="eastAsia" w:ascii="宋体" w:hAnsi="宋体" w:eastAsia="宋体" w:cs="仿宋"/>
                <w:highlight w:val="none"/>
                <w14:ligatures w14:val="none"/>
              </w:rPr>
              <w:t>项目组成员（项目负责人除外）：</w:t>
            </w:r>
            <w:r>
              <w:rPr>
                <w:rStyle w:val="42"/>
                <w:rFonts w:hint="eastAsia" w:ascii="宋体" w:hAnsi="宋体" w:eastAsia="宋体" w:cs="Arial"/>
                <w:b w:val="0"/>
                <w:bCs w:val="0"/>
                <w:color w:val="333333"/>
                <w:szCs w:val="21"/>
                <w:highlight w:val="none"/>
                <w:shd w:val="clear" w:color="auto" w:fill="FFFFFF"/>
              </w:rPr>
              <w:t>拟投入本项目的技术人员为</w:t>
            </w:r>
            <w:r>
              <w:rPr>
                <w:rStyle w:val="42"/>
                <w:rFonts w:hint="eastAsia" w:ascii="宋体" w:hAnsi="宋体" w:cs="Arial"/>
                <w:b w:val="0"/>
                <w:bCs w:val="0"/>
                <w:color w:val="333333"/>
                <w:szCs w:val="21"/>
                <w:highlight w:val="none"/>
                <w:shd w:val="clear" w:color="auto" w:fill="FFFFFF"/>
                <w:lang w:eastAsia="zh-CN"/>
              </w:rPr>
              <w:t>（</w:t>
            </w:r>
            <w:r>
              <w:rPr>
                <w:rStyle w:val="42"/>
                <w:rFonts w:hint="eastAsia" w:ascii="宋体" w:hAnsi="宋体" w:eastAsia="宋体" w:cs="Arial"/>
                <w:b w:val="0"/>
                <w:bCs w:val="0"/>
                <w:color w:val="333333"/>
                <w:szCs w:val="21"/>
                <w:highlight w:val="none"/>
                <w:shd w:val="clear" w:color="auto" w:fill="FFFFFF"/>
              </w:rPr>
              <w:t>环境工程、化学工程、生态学、资源与环境</w:t>
            </w:r>
            <w:r>
              <w:rPr>
                <w:rStyle w:val="42"/>
                <w:rFonts w:hint="eastAsia" w:ascii="宋体" w:hAnsi="宋体" w:cs="Arial"/>
                <w:b w:val="0"/>
                <w:bCs w:val="0"/>
                <w:color w:val="333333"/>
                <w:szCs w:val="21"/>
                <w:highlight w:val="none"/>
                <w:shd w:val="clear" w:color="auto" w:fill="FFFFFF"/>
                <w:lang w:eastAsia="zh-CN"/>
              </w:rPr>
              <w:t>）</w:t>
            </w:r>
            <w:r>
              <w:rPr>
                <w:rStyle w:val="42"/>
                <w:rFonts w:hint="eastAsia" w:ascii="宋体" w:hAnsi="宋体" w:eastAsia="宋体" w:cs="Arial"/>
                <w:b w:val="0"/>
                <w:bCs w:val="0"/>
                <w:color w:val="333333"/>
                <w:szCs w:val="21"/>
                <w:highlight w:val="none"/>
                <w:shd w:val="clear" w:color="auto" w:fill="FFFFFF"/>
              </w:rPr>
              <w:t>专业本科学历的，每提供一个专业类型得0.5分</w:t>
            </w:r>
            <w:r>
              <w:rPr>
                <w:rStyle w:val="42"/>
                <w:rFonts w:hint="eastAsia" w:ascii="宋体" w:hAnsi="宋体" w:eastAsia="宋体" w:cs="Arial"/>
                <w:b w:val="0"/>
                <w:bCs w:val="0"/>
                <w:color w:val="333333"/>
                <w:szCs w:val="21"/>
                <w:highlight w:val="none"/>
                <w:shd w:val="clear" w:color="auto" w:fill="FFFFFF"/>
                <w:lang w:eastAsia="zh-CN"/>
              </w:rPr>
              <w:t>；</w:t>
            </w:r>
            <w:r>
              <w:rPr>
                <w:rStyle w:val="42"/>
                <w:rFonts w:hint="eastAsia" w:ascii="宋体" w:hAnsi="宋体" w:eastAsia="宋体" w:cs="Arial"/>
                <w:b w:val="0"/>
                <w:bCs w:val="0"/>
                <w:color w:val="333333"/>
                <w:szCs w:val="21"/>
                <w:highlight w:val="none"/>
                <w:shd w:val="clear" w:color="auto" w:fill="FFFFFF"/>
              </w:rPr>
              <w:t>拟投入本项目的技术人员为</w:t>
            </w:r>
            <w:r>
              <w:rPr>
                <w:rStyle w:val="42"/>
                <w:rFonts w:hint="eastAsia" w:ascii="宋体" w:hAnsi="宋体" w:cs="Arial"/>
                <w:b w:val="0"/>
                <w:bCs w:val="0"/>
                <w:color w:val="333333"/>
                <w:szCs w:val="21"/>
                <w:highlight w:val="none"/>
                <w:shd w:val="clear" w:color="auto" w:fill="FFFFFF"/>
                <w:lang w:eastAsia="zh-CN"/>
              </w:rPr>
              <w:t>（</w:t>
            </w:r>
            <w:r>
              <w:rPr>
                <w:rStyle w:val="42"/>
                <w:rFonts w:hint="eastAsia" w:ascii="宋体" w:hAnsi="宋体" w:eastAsia="宋体" w:cs="Arial"/>
                <w:b w:val="0"/>
                <w:bCs w:val="0"/>
                <w:color w:val="333333"/>
                <w:szCs w:val="21"/>
                <w:highlight w:val="none"/>
                <w:shd w:val="clear" w:color="auto" w:fill="FFFFFF"/>
              </w:rPr>
              <w:t>环境工程、化学工程、生态学、资源与环境</w:t>
            </w:r>
            <w:r>
              <w:rPr>
                <w:rStyle w:val="42"/>
                <w:rFonts w:hint="eastAsia" w:ascii="宋体" w:hAnsi="宋体" w:cs="Arial"/>
                <w:b w:val="0"/>
                <w:bCs w:val="0"/>
                <w:color w:val="333333"/>
                <w:szCs w:val="21"/>
                <w:highlight w:val="none"/>
                <w:shd w:val="clear" w:color="auto" w:fill="FFFFFF"/>
                <w:lang w:eastAsia="zh-CN"/>
              </w:rPr>
              <w:t>）</w:t>
            </w:r>
            <w:r>
              <w:rPr>
                <w:rStyle w:val="42"/>
                <w:rFonts w:hint="eastAsia" w:ascii="宋体" w:hAnsi="宋体" w:eastAsia="宋体" w:cs="Arial"/>
                <w:b w:val="0"/>
                <w:bCs w:val="0"/>
                <w:color w:val="333333"/>
                <w:szCs w:val="21"/>
                <w:highlight w:val="none"/>
                <w:shd w:val="clear" w:color="auto" w:fill="FFFFFF"/>
              </w:rPr>
              <w:t>专业研究生学历的，每提供一个专业类型得1分</w:t>
            </w:r>
            <w:r>
              <w:rPr>
                <w:rFonts w:hint="eastAsia" w:ascii="宋体" w:hAnsi="宋体" w:eastAsia="宋体" w:cs="仿宋"/>
                <w:highlight w:val="none"/>
                <w14:ligatures w14:val="none"/>
              </w:rPr>
              <w:t>，本项最高得4分。</w:t>
            </w:r>
            <w:r>
              <w:rPr>
                <w:rFonts w:ascii="宋体" w:hAnsi="宋体" w:eastAsia="宋体" w:cs="仿宋"/>
                <w:b/>
                <w:bCs/>
                <w:color w:val="auto"/>
                <w14:ligatures w14:val="none"/>
              </w:rPr>
              <w:t>（</w:t>
            </w:r>
            <w:r>
              <w:rPr>
                <w:rFonts w:hint="eastAsia" w:ascii="宋体" w:hAnsi="宋体" w:cs="仿宋"/>
                <w:b/>
                <w:bCs/>
                <w:color w:val="auto"/>
                <w:sz w:val="21"/>
                <w:szCs w:val="21"/>
                <w:lang w:val="en-US" w:eastAsia="zh-CN"/>
                <w14:ligatures w14:val="none"/>
              </w:rPr>
              <w:t>投标时须提供相关证书</w:t>
            </w:r>
            <w:r>
              <w:rPr>
                <w:rFonts w:hint="eastAsia" w:ascii="宋体" w:hAnsi="宋体" w:cs="宋体"/>
                <w:b/>
                <w:bCs/>
                <w:color w:val="auto"/>
                <w:sz w:val="21"/>
                <w:szCs w:val="21"/>
                <w:highlight w:val="none"/>
              </w:rPr>
              <w:t>复印件并加盖投标人公章</w:t>
            </w:r>
            <w:r>
              <w:rPr>
                <w:rFonts w:hint="eastAsia" w:ascii="宋体" w:hAnsi="宋体" w:cs="宋体"/>
                <w:b/>
                <w:bCs/>
                <w:color w:val="auto"/>
                <w:sz w:val="21"/>
                <w:szCs w:val="21"/>
                <w:highlight w:val="none"/>
                <w:lang w:eastAsia="zh-CN"/>
              </w:rPr>
              <w:t>；项目组成员必须为</w:t>
            </w:r>
            <w:r>
              <w:rPr>
                <w:rFonts w:hint="eastAsia" w:ascii="宋体" w:hAnsi="宋体" w:cs="宋体"/>
                <w:b/>
                <w:bCs/>
                <w:color w:val="auto"/>
                <w:sz w:val="21"/>
                <w:szCs w:val="21"/>
                <w:highlight w:val="none"/>
                <w:lang w:val="en-US" w:eastAsia="zh-CN"/>
              </w:rPr>
              <w:t>投标</w:t>
            </w:r>
            <w:r>
              <w:rPr>
                <w:rFonts w:hint="eastAsia" w:ascii="宋体" w:hAnsi="宋体" w:cs="宋体"/>
                <w:b/>
                <w:bCs/>
                <w:color w:val="auto"/>
                <w:sz w:val="21"/>
                <w:szCs w:val="21"/>
                <w:highlight w:val="none"/>
                <w:lang w:eastAsia="zh-CN"/>
              </w:rPr>
              <w:t>单位人员，退休及返聘人员不予认可，</w:t>
            </w:r>
            <w:r>
              <w:rPr>
                <w:rFonts w:hint="eastAsia" w:ascii="宋体" w:hAnsi="宋体" w:cs="宋体"/>
                <w:b/>
                <w:bCs/>
                <w:color w:val="auto"/>
                <w:sz w:val="21"/>
                <w:szCs w:val="21"/>
                <w:highlight w:val="none"/>
                <w:lang w:val="en-US" w:eastAsia="zh-CN"/>
              </w:rPr>
              <w:t>且</w:t>
            </w:r>
            <w:r>
              <w:rPr>
                <w:rFonts w:hint="eastAsia" w:ascii="宋体" w:hAnsi="宋体" w:cs="宋体"/>
                <w:b/>
                <w:bCs/>
                <w:color w:val="auto"/>
                <w:sz w:val="21"/>
                <w:szCs w:val="21"/>
                <w:highlight w:val="none"/>
                <w:lang w:eastAsia="zh-CN"/>
              </w:rPr>
              <w:t>提供在开标前三个月中任一个月社保材料，证明以投标人当地养老保险管理部门出具的证明材料为准，或者以投标人注册地社会养老保险管理部门的官方网站查询或验证结果打印件为准。未提供不</w:t>
            </w:r>
            <w:r>
              <w:rPr>
                <w:rFonts w:hint="eastAsia" w:ascii="宋体" w:hAnsi="宋体" w:cs="宋体"/>
                <w:b/>
                <w:bCs/>
                <w:color w:val="auto"/>
                <w:sz w:val="21"/>
                <w:szCs w:val="21"/>
                <w:highlight w:val="none"/>
                <w:lang w:val="en-US" w:eastAsia="zh-CN"/>
              </w:rPr>
              <w:t>得</w:t>
            </w:r>
            <w:r>
              <w:rPr>
                <w:rFonts w:hint="eastAsia" w:ascii="宋体" w:hAnsi="宋体" w:cs="宋体"/>
                <w:b/>
                <w:bCs/>
                <w:color w:val="auto"/>
                <w:sz w:val="21"/>
                <w:szCs w:val="21"/>
                <w:highlight w:val="none"/>
                <w:lang w:eastAsia="zh-CN"/>
              </w:rPr>
              <w:t>分，</w:t>
            </w:r>
            <w:r>
              <w:rPr>
                <w:rFonts w:hint="eastAsia" w:ascii="宋体" w:hAnsi="宋体" w:cs="宋体"/>
                <w:b/>
                <w:bCs/>
                <w:color w:val="auto"/>
                <w:sz w:val="22"/>
                <w:szCs w:val="22"/>
                <w:highlight w:val="none"/>
                <w:lang w:eastAsia="zh-CN"/>
              </w:rPr>
              <w:t>以上人员不可重复</w:t>
            </w:r>
            <w:r>
              <w:rPr>
                <w:rFonts w:hint="eastAsia" w:ascii="宋体" w:hAnsi="宋体" w:cs="宋体"/>
                <w:b/>
                <w:bCs/>
                <w:color w:val="auto"/>
                <w:sz w:val="22"/>
                <w:szCs w:val="22"/>
                <w:highlight w:val="none"/>
                <w:lang w:val="en-US" w:eastAsia="zh-CN"/>
              </w:rPr>
              <w:t>得</w:t>
            </w:r>
            <w:r>
              <w:rPr>
                <w:rFonts w:hint="eastAsia" w:ascii="宋体" w:hAnsi="宋体" w:cs="宋体"/>
                <w:b/>
                <w:bCs/>
                <w:color w:val="auto"/>
                <w:sz w:val="22"/>
                <w:szCs w:val="22"/>
                <w:highlight w:val="none"/>
                <w:lang w:eastAsia="zh-CN"/>
              </w:rPr>
              <w:t>分。</w:t>
            </w:r>
            <w:r>
              <w:rPr>
                <w:rFonts w:hint="eastAsia" w:ascii="宋体" w:hAnsi="宋体" w:cs="宋体"/>
                <w:b/>
                <w:bCs/>
                <w:color w:val="auto"/>
                <w:sz w:val="21"/>
                <w:szCs w:val="21"/>
                <w:highlight w:val="none"/>
                <w:lang w:eastAsia="zh-CN"/>
              </w:rPr>
              <w:t>）</w:t>
            </w:r>
          </w:p>
        </w:tc>
      </w:tr>
      <w:tr w14:paraId="2B066D7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148" w:type="dxa"/>
            <w:vMerge w:val="restart"/>
            <w:tcBorders>
              <w:top w:val="single" w:color="auto" w:sz="4" w:space="0"/>
              <w:left w:val="single" w:color="auto" w:sz="4" w:space="0"/>
              <w:right w:val="single" w:color="auto" w:sz="4" w:space="0"/>
            </w:tcBorders>
            <w:vAlign w:val="center"/>
          </w:tcPr>
          <w:p w14:paraId="2702A23D">
            <w:pPr>
              <w:jc w:val="center"/>
              <w:rPr>
                <w:rFonts w:ascii="宋体" w:hAnsi="宋体" w:eastAsia="宋体" w:cs="仿宋"/>
                <w14:ligatures w14:val="none"/>
              </w:rPr>
            </w:pPr>
            <w:r>
              <w:rPr>
                <w:rFonts w:hint="eastAsia" w:ascii="宋体" w:hAnsi="宋体" w:eastAsia="宋体" w:cs="仿宋"/>
                <w14:ligatures w14:val="none"/>
              </w:rPr>
              <w:t>其他</w:t>
            </w:r>
          </w:p>
        </w:tc>
        <w:tc>
          <w:tcPr>
            <w:tcW w:w="1350" w:type="dxa"/>
            <w:tcBorders>
              <w:top w:val="outset" w:color="auto" w:sz="6" w:space="0"/>
              <w:left w:val="single" w:color="auto" w:sz="4" w:space="0"/>
              <w:bottom w:val="outset" w:color="auto" w:sz="6" w:space="0"/>
              <w:right w:val="outset" w:color="auto" w:sz="6" w:space="0"/>
            </w:tcBorders>
            <w:vAlign w:val="center"/>
          </w:tcPr>
          <w:p w14:paraId="3CF75ACA">
            <w:pPr>
              <w:jc w:val="center"/>
              <w:rPr>
                <w:rFonts w:ascii="宋体" w:hAnsi="宋体" w:eastAsia="宋体" w:cs="仿宋"/>
                <w14:ligatures w14:val="none"/>
              </w:rPr>
            </w:pPr>
            <w:r>
              <w:rPr>
                <w:rFonts w:hint="eastAsia" w:ascii="宋体" w:hAnsi="宋体" w:eastAsia="宋体" w:cs="仿宋"/>
                <w14:ligatures w14:val="none"/>
              </w:rPr>
              <w:t>项目的软硬件配备</w:t>
            </w:r>
          </w:p>
        </w:tc>
        <w:tc>
          <w:tcPr>
            <w:tcW w:w="833" w:type="dxa"/>
            <w:tcBorders>
              <w:top w:val="outset" w:color="auto" w:sz="6" w:space="0"/>
              <w:left w:val="outset" w:color="auto" w:sz="6" w:space="0"/>
              <w:bottom w:val="outset" w:color="auto" w:sz="6" w:space="0"/>
              <w:right w:val="outset" w:color="auto" w:sz="6" w:space="0"/>
            </w:tcBorders>
            <w:vAlign w:val="center"/>
          </w:tcPr>
          <w:p w14:paraId="04856283">
            <w:pPr>
              <w:jc w:val="center"/>
              <w:rPr>
                <w:rFonts w:ascii="宋体" w:hAnsi="宋体" w:eastAsia="宋体" w:cs="仿宋"/>
                <w14:ligatures w14:val="none"/>
              </w:rPr>
            </w:pPr>
            <w:r>
              <w:rPr>
                <w:rFonts w:hint="eastAsia" w:ascii="宋体" w:hAnsi="宋体" w:eastAsia="宋体" w:cs="仿宋"/>
                <w14:ligatures w14:val="none"/>
              </w:rPr>
              <w:t>12</w:t>
            </w:r>
          </w:p>
        </w:tc>
        <w:tc>
          <w:tcPr>
            <w:tcW w:w="5545" w:type="dxa"/>
            <w:tcBorders>
              <w:top w:val="outset" w:color="auto" w:sz="6" w:space="0"/>
              <w:left w:val="outset" w:color="auto" w:sz="6" w:space="0"/>
              <w:bottom w:val="outset" w:color="auto" w:sz="6" w:space="0"/>
              <w:right w:val="outset" w:color="auto" w:sz="6" w:space="0"/>
            </w:tcBorders>
            <w:vAlign w:val="center"/>
          </w:tcPr>
          <w:p w14:paraId="68D95FE6">
            <w:pPr>
              <w:numPr>
                <w:ilvl w:val="0"/>
                <w:numId w:val="0"/>
              </w:numPr>
              <w:rPr>
                <w:rFonts w:ascii="宋体" w:hAnsi="宋体" w:eastAsia="宋体" w:cs="仿宋"/>
                <w:b/>
                <w:bCs/>
                <w:color w:val="auto"/>
                <w14:ligatures w14:val="none"/>
              </w:rPr>
            </w:pPr>
            <w:r>
              <w:rPr>
                <w:rFonts w:hint="eastAsia" w:ascii="宋体" w:hAnsi="宋体" w:cs="仿宋"/>
                <w:lang w:val="en-US" w:eastAsia="zh-CN"/>
                <w14:ligatures w14:val="none"/>
              </w:rPr>
              <w:t>1.</w:t>
            </w:r>
            <w:r>
              <w:rPr>
                <w:rFonts w:hint="eastAsia" w:ascii="宋体" w:hAnsi="宋体" w:eastAsia="宋体" w:cs="仿宋"/>
                <w14:ligatures w14:val="none"/>
              </w:rPr>
              <w:t>投入本项目的排查配备：</w:t>
            </w:r>
            <w:r>
              <w:rPr>
                <w:rFonts w:hint="eastAsia" w:ascii="宋体" w:hAnsi="宋体" w:cs="仿宋"/>
                <w:lang w:val="en-US" w:eastAsia="zh-CN"/>
                <w14:ligatures w14:val="none"/>
              </w:rPr>
              <w:t>搭载</w:t>
            </w:r>
            <w:r>
              <w:rPr>
                <w:rFonts w:hint="eastAsia" w:ascii="宋体" w:hAnsi="宋体" w:eastAsia="宋体" w:cs="仿宋"/>
                <w14:ligatures w14:val="none"/>
              </w:rPr>
              <w:t>氨氮、总磷、总氮、高锰酸盐指数和多参数水质分析仪监测设备</w:t>
            </w:r>
            <w:r>
              <w:rPr>
                <w:rFonts w:hint="eastAsia" w:ascii="宋体" w:hAnsi="宋体" w:cs="仿宋"/>
                <w:lang w:eastAsia="zh-CN"/>
                <w14:ligatures w14:val="none"/>
              </w:rPr>
              <w:t>的</w:t>
            </w:r>
            <w:r>
              <w:rPr>
                <w:rFonts w:hint="eastAsia" w:ascii="宋体" w:hAnsi="宋体" w:eastAsia="宋体" w:cs="仿宋"/>
                <w14:ligatures w14:val="none"/>
              </w:rPr>
              <w:t>无人船、配置水质指纹图谱数据库的三维荧光水质分析仪、潜航机器人、管道潜望镜（QV）、DNA酶联法重金属检测仪和</w:t>
            </w:r>
            <w:r>
              <w:rPr>
                <w:rFonts w:hint="eastAsia" w:ascii="宋体" w:hAnsi="宋体" w:cs="仿宋"/>
                <w:lang w:val="en-US" w:eastAsia="zh-CN"/>
                <w14:ligatures w14:val="none"/>
              </w:rPr>
              <w:t>浮标式污染通量系统</w:t>
            </w:r>
            <w:r>
              <w:rPr>
                <w:rFonts w:hint="eastAsia" w:ascii="宋体" w:hAnsi="宋体" w:eastAsia="宋体" w:cs="仿宋"/>
                <w14:ligatures w14:val="none"/>
              </w:rPr>
              <w:t>每配备1类设备得1分，本项最高得6分。</w:t>
            </w:r>
            <w:r>
              <w:rPr>
                <w:rFonts w:hint="eastAsia" w:ascii="宋体" w:hAnsi="宋体" w:eastAsia="宋体" w:cs="仿宋"/>
                <w:b/>
                <w:bCs/>
                <w:color w:val="auto"/>
                <w14:ligatures w14:val="none"/>
              </w:rPr>
              <w:t>（</w:t>
            </w:r>
            <w:r>
              <w:rPr>
                <w:rFonts w:hint="eastAsia" w:ascii="宋体" w:hAnsi="宋体" w:cs="仿宋"/>
                <w:b/>
                <w:bCs/>
                <w:color w:val="auto"/>
                <w:lang w:val="en-US" w:eastAsia="zh-CN"/>
                <w14:ligatures w14:val="none"/>
              </w:rPr>
              <w:t>投标时须</w:t>
            </w:r>
            <w:r>
              <w:rPr>
                <w:rFonts w:hint="eastAsia" w:ascii="宋体" w:hAnsi="宋体" w:eastAsia="宋体" w:cs="仿宋"/>
                <w:b/>
                <w:bCs/>
                <w:color w:val="auto"/>
                <w14:ligatures w14:val="none"/>
              </w:rPr>
              <w:t>提供《项目实施的设备配备一览表》以及对应证明材料&lt;自有设备提供购置合同及对应发票，租赁的设备提供租赁合同及对应租金发票&gt;</w:t>
            </w:r>
            <w:r>
              <w:rPr>
                <w:rFonts w:hint="eastAsia" w:ascii="宋体" w:hAnsi="宋体" w:cs="仿宋"/>
                <w:b/>
                <w:bCs/>
                <w:color w:val="auto"/>
                <w:lang w:val="en-US" w:eastAsia="zh-CN"/>
                <w14:ligatures w14:val="none"/>
              </w:rPr>
              <w:t>复印件</w:t>
            </w:r>
            <w:r>
              <w:rPr>
                <w:rFonts w:hint="eastAsia" w:ascii="宋体" w:hAnsi="宋体" w:eastAsia="宋体" w:cs="仿宋"/>
                <w:b/>
                <w:bCs/>
                <w:color w:val="auto"/>
                <w14:ligatures w14:val="none"/>
              </w:rPr>
              <w:t>加盖</w:t>
            </w:r>
            <w:r>
              <w:rPr>
                <w:rFonts w:hint="eastAsia" w:ascii="宋体" w:hAnsi="宋体" w:cs="宋体"/>
                <w:b/>
                <w:bCs/>
                <w:color w:val="auto"/>
                <w:sz w:val="21"/>
                <w:szCs w:val="21"/>
                <w:highlight w:val="none"/>
              </w:rPr>
              <w:t>投标人</w:t>
            </w:r>
            <w:r>
              <w:rPr>
                <w:rFonts w:hint="eastAsia" w:ascii="宋体" w:hAnsi="宋体" w:eastAsia="宋体" w:cs="仿宋"/>
                <w:b/>
                <w:bCs/>
                <w:color w:val="auto"/>
                <w14:ligatures w14:val="none"/>
              </w:rPr>
              <w:t>公章</w:t>
            </w:r>
            <w:r>
              <w:rPr>
                <w:rFonts w:hint="eastAsia" w:ascii="宋体" w:hAnsi="宋体" w:cs="仿宋"/>
                <w:b/>
                <w:bCs/>
                <w:color w:val="auto"/>
                <w:lang w:eastAsia="zh-CN"/>
                <w14:ligatures w14:val="none"/>
              </w:rPr>
              <w:t>。</w:t>
            </w:r>
            <w:r>
              <w:rPr>
                <w:rFonts w:hint="eastAsia" w:ascii="宋体" w:hAnsi="宋体" w:cs="宋体"/>
                <w:b/>
                <w:bCs/>
                <w:color w:val="auto"/>
                <w:sz w:val="21"/>
                <w:szCs w:val="21"/>
                <w:highlight w:val="none"/>
                <w:lang w:eastAsia="zh-CN"/>
              </w:rPr>
              <w:t>未提供不</w:t>
            </w:r>
            <w:r>
              <w:rPr>
                <w:rFonts w:hint="eastAsia" w:ascii="宋体" w:hAnsi="宋体" w:cs="宋体"/>
                <w:b/>
                <w:bCs/>
                <w:color w:val="auto"/>
                <w:sz w:val="21"/>
                <w:szCs w:val="21"/>
                <w:highlight w:val="none"/>
                <w:lang w:val="en-US" w:eastAsia="zh-CN"/>
              </w:rPr>
              <w:t>得</w:t>
            </w:r>
            <w:r>
              <w:rPr>
                <w:rFonts w:hint="eastAsia" w:ascii="宋体" w:hAnsi="宋体" w:cs="宋体"/>
                <w:b/>
                <w:bCs/>
                <w:color w:val="auto"/>
                <w:sz w:val="21"/>
                <w:szCs w:val="21"/>
                <w:highlight w:val="none"/>
                <w:lang w:eastAsia="zh-CN"/>
              </w:rPr>
              <w:t>分。</w:t>
            </w:r>
            <w:r>
              <w:rPr>
                <w:rFonts w:hint="eastAsia" w:ascii="宋体" w:hAnsi="宋体" w:eastAsia="宋体" w:cs="仿宋"/>
                <w:b/>
                <w:bCs/>
                <w:color w:val="auto"/>
                <w14:ligatures w14:val="none"/>
              </w:rPr>
              <w:t>）</w:t>
            </w:r>
          </w:p>
          <w:p w14:paraId="5AD65E4F">
            <w:pPr>
              <w:numPr>
                <w:ilvl w:val="0"/>
                <w:numId w:val="0"/>
              </w:numPr>
              <w:rPr>
                <w:rFonts w:hint="eastAsia" w:ascii="宋体" w:hAnsi="宋体" w:eastAsia="宋体" w:cs="仿宋"/>
                <w:lang w:eastAsia="zh-CN"/>
                <w14:ligatures w14:val="none"/>
              </w:rPr>
            </w:pPr>
            <w:r>
              <w:rPr>
                <w:rFonts w:hint="eastAsia" w:ascii="宋体" w:hAnsi="宋体" w:eastAsia="宋体" w:cs="仿宋"/>
                <w14:ligatures w14:val="none"/>
              </w:rPr>
              <w:t>2.根据以上排查设备在本次项目方案中的应用情况（在项目方案中详细说明）酌情评分</w:t>
            </w:r>
            <w:r>
              <w:rPr>
                <w:rFonts w:hint="eastAsia" w:ascii="宋体" w:hAnsi="宋体" w:eastAsia="宋体" w:cs="仿宋"/>
                <w:lang w:eastAsia="zh-CN"/>
                <w14:ligatures w14:val="none"/>
              </w:rPr>
              <w:t>，由评标委员会在</w:t>
            </w:r>
            <w:r>
              <w:rPr>
                <w:rFonts w:hint="eastAsia" w:ascii="宋体" w:hAnsi="宋体" w:eastAsia="宋体" w:cs="仿宋"/>
                <w:lang w:val="en-US" w:eastAsia="zh-CN"/>
                <w14:ligatures w14:val="none"/>
              </w:rPr>
              <w:t>4-6分区间内进行评比打分，</w:t>
            </w:r>
            <w:r>
              <w:rPr>
                <w:rFonts w:hint="eastAsia" w:ascii="宋体" w:hAnsi="宋体" w:eastAsia="宋体" w:cs="仿宋"/>
                <w:lang w:eastAsia="zh-CN"/>
                <w14:ligatures w14:val="none"/>
              </w:rPr>
              <w:t>本项最高得</w:t>
            </w:r>
            <w:r>
              <w:rPr>
                <w:rFonts w:hint="eastAsia" w:ascii="宋体" w:hAnsi="宋体" w:eastAsia="宋体" w:cs="仿宋"/>
                <w:lang w:val="en-US" w:eastAsia="zh-CN"/>
                <w14:ligatures w14:val="none"/>
              </w:rPr>
              <w:t>6分</w:t>
            </w:r>
            <w:r>
              <w:rPr>
                <w:rFonts w:hint="eastAsia" w:ascii="宋体" w:hAnsi="宋体" w:eastAsia="宋体" w:cs="仿宋"/>
                <w:lang w:eastAsia="zh-CN"/>
                <w14:ligatures w14:val="none"/>
              </w:rPr>
              <w:t>，未提供不得分。</w:t>
            </w:r>
          </w:p>
          <w:p w14:paraId="113CB9B3">
            <w:pPr>
              <w:spacing w:after="120"/>
              <w:rPr>
                <w:rFonts w:ascii="宋体" w:hAnsi="宋体" w:eastAsia="宋体" w:cs="仿宋"/>
                <w14:ligatures w14:val="none"/>
              </w:rPr>
            </w:pPr>
            <w:r>
              <w:rPr>
                <w:rFonts w:hint="eastAsia" w:ascii="宋体" w:hAnsi="宋体" w:cs="仿宋"/>
                <w:b/>
                <w:bCs/>
                <w:color w:val="auto"/>
                <w:lang w:eastAsia="zh-CN"/>
                <w14:ligatures w14:val="none"/>
              </w:rPr>
              <w:t>（</w:t>
            </w:r>
            <w:r>
              <w:rPr>
                <w:rFonts w:hint="eastAsia" w:ascii="宋体" w:hAnsi="宋体" w:cs="仿宋"/>
                <w:b/>
                <w:bCs/>
                <w:color w:val="auto"/>
                <w:lang w:val="en-US" w:eastAsia="zh-CN"/>
                <w14:ligatures w14:val="none"/>
              </w:rPr>
              <w:t>投标时须提供</w:t>
            </w:r>
            <w:r>
              <w:rPr>
                <w:rFonts w:hint="eastAsia" w:ascii="宋体" w:hAnsi="宋体" w:eastAsia="宋体" w:cs="仿宋"/>
                <w:b/>
                <w:bCs/>
                <w:color w:val="auto"/>
                <w14:ligatures w14:val="none"/>
              </w:rPr>
              <w:t>&lt;具体技术参数附后&gt;以及对应证明材料&lt;自有设备提供购置合同及对应发票，租赁的设备提供租赁合同及对应租金发票&gt;</w:t>
            </w:r>
            <w:r>
              <w:rPr>
                <w:rFonts w:hint="eastAsia" w:ascii="宋体" w:hAnsi="宋体" w:cs="仿宋"/>
                <w:b/>
                <w:bCs/>
                <w:color w:val="auto"/>
                <w:lang w:val="en-US" w:eastAsia="zh-CN"/>
                <w14:ligatures w14:val="none"/>
              </w:rPr>
              <w:t>复印件</w:t>
            </w:r>
            <w:r>
              <w:rPr>
                <w:rFonts w:hint="eastAsia" w:ascii="宋体" w:hAnsi="宋体" w:eastAsia="宋体" w:cs="仿宋"/>
                <w:b/>
                <w:bCs/>
                <w:color w:val="auto"/>
                <w14:ligatures w14:val="none"/>
              </w:rPr>
              <w:t>加盖</w:t>
            </w:r>
            <w:r>
              <w:rPr>
                <w:rFonts w:hint="eastAsia" w:ascii="宋体" w:hAnsi="宋体" w:cs="仿宋"/>
                <w:b/>
                <w:bCs/>
                <w:color w:val="auto"/>
                <w:lang w:val="en-US" w:eastAsia="zh-CN"/>
                <w14:ligatures w14:val="none"/>
              </w:rPr>
              <w:t>投标人</w:t>
            </w:r>
            <w:r>
              <w:rPr>
                <w:rFonts w:hint="eastAsia" w:ascii="宋体" w:hAnsi="宋体" w:eastAsia="宋体" w:cs="仿宋"/>
                <w:b/>
                <w:bCs/>
                <w:color w:val="auto"/>
                <w14:ligatures w14:val="none"/>
              </w:rPr>
              <w:t>公章</w:t>
            </w:r>
            <w:r>
              <w:rPr>
                <w:rFonts w:hint="eastAsia" w:ascii="宋体" w:hAnsi="宋体" w:cs="仿宋"/>
                <w:b/>
                <w:bCs/>
                <w:color w:val="auto"/>
                <w:lang w:eastAsia="zh-CN"/>
                <w14:ligatures w14:val="none"/>
              </w:rPr>
              <w:t>。</w:t>
            </w:r>
            <w:r>
              <w:rPr>
                <w:rFonts w:hint="eastAsia" w:ascii="宋体" w:hAnsi="宋体" w:cs="宋体"/>
                <w:b/>
                <w:bCs/>
                <w:color w:val="auto"/>
                <w:sz w:val="21"/>
                <w:szCs w:val="21"/>
                <w:highlight w:val="none"/>
                <w:lang w:eastAsia="zh-CN"/>
              </w:rPr>
              <w:t>未提供不</w:t>
            </w:r>
            <w:r>
              <w:rPr>
                <w:rFonts w:hint="eastAsia" w:ascii="宋体" w:hAnsi="宋体" w:cs="宋体"/>
                <w:b/>
                <w:bCs/>
                <w:color w:val="auto"/>
                <w:sz w:val="21"/>
                <w:szCs w:val="21"/>
                <w:highlight w:val="none"/>
                <w:lang w:val="en-US" w:eastAsia="zh-CN"/>
              </w:rPr>
              <w:t>得</w:t>
            </w:r>
            <w:r>
              <w:rPr>
                <w:rFonts w:hint="eastAsia" w:ascii="宋体" w:hAnsi="宋体" w:cs="宋体"/>
                <w:b/>
                <w:bCs/>
                <w:color w:val="auto"/>
                <w:sz w:val="21"/>
                <w:szCs w:val="21"/>
                <w:highlight w:val="none"/>
                <w:lang w:eastAsia="zh-CN"/>
              </w:rPr>
              <w:t>分。</w:t>
            </w:r>
            <w:r>
              <w:rPr>
                <w:rFonts w:hint="eastAsia" w:ascii="宋体" w:hAnsi="宋体" w:cs="仿宋"/>
                <w:b/>
                <w:bCs/>
                <w:color w:val="auto"/>
                <w:lang w:eastAsia="zh-CN"/>
                <w14:ligatures w14:val="none"/>
              </w:rPr>
              <w:t>）</w:t>
            </w:r>
          </w:p>
        </w:tc>
      </w:tr>
      <w:tr w14:paraId="3363B3C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379" w:hRule="atLeast"/>
        </w:trPr>
        <w:tc>
          <w:tcPr>
            <w:tcW w:w="1148" w:type="dxa"/>
            <w:vMerge w:val="continue"/>
            <w:tcBorders>
              <w:left w:val="single" w:color="auto" w:sz="4" w:space="0"/>
              <w:right w:val="single" w:color="auto" w:sz="4" w:space="0"/>
            </w:tcBorders>
            <w:vAlign w:val="center"/>
          </w:tcPr>
          <w:p w14:paraId="3F2CA2FA">
            <w:pPr>
              <w:jc w:val="center"/>
              <w:rPr>
                <w:rFonts w:ascii="宋体" w:hAnsi="宋体" w:eastAsia="宋体" w:cs="仿宋"/>
                <w14:ligatures w14:val="none"/>
              </w:rPr>
            </w:pPr>
          </w:p>
        </w:tc>
        <w:tc>
          <w:tcPr>
            <w:tcW w:w="1350" w:type="dxa"/>
            <w:tcBorders>
              <w:top w:val="outset" w:color="auto" w:sz="6" w:space="0"/>
              <w:left w:val="single" w:color="auto" w:sz="4" w:space="0"/>
              <w:bottom w:val="outset" w:color="auto" w:sz="6" w:space="0"/>
              <w:right w:val="outset" w:color="auto" w:sz="6" w:space="0"/>
            </w:tcBorders>
            <w:vAlign w:val="center"/>
          </w:tcPr>
          <w:p w14:paraId="6F16A887">
            <w:pPr>
              <w:jc w:val="center"/>
              <w:rPr>
                <w:rFonts w:ascii="宋体" w:hAnsi="宋体" w:eastAsia="宋体" w:cs="仿宋"/>
                <w14:ligatures w14:val="none"/>
              </w:rPr>
            </w:pPr>
            <w:r>
              <w:rPr>
                <w:rFonts w:hint="eastAsia" w:ascii="宋体" w:hAnsi="宋体" w:eastAsia="宋体" w:cs="宋体"/>
                <w:sz w:val="24"/>
                <w:szCs w:val="24"/>
                <w14:ligatures w14:val="none"/>
              </w:rPr>
              <w:t>行业评价</w:t>
            </w:r>
          </w:p>
        </w:tc>
        <w:tc>
          <w:tcPr>
            <w:tcW w:w="833" w:type="dxa"/>
            <w:tcBorders>
              <w:top w:val="outset" w:color="auto" w:sz="6" w:space="0"/>
              <w:left w:val="outset" w:color="auto" w:sz="6" w:space="0"/>
              <w:bottom w:val="outset" w:color="auto" w:sz="6" w:space="0"/>
              <w:right w:val="outset" w:color="auto" w:sz="6" w:space="0"/>
            </w:tcBorders>
            <w:vAlign w:val="center"/>
          </w:tcPr>
          <w:p w14:paraId="34B401D9">
            <w:pPr>
              <w:jc w:val="center"/>
              <w:rPr>
                <w:rFonts w:ascii="宋体" w:hAnsi="宋体" w:eastAsia="宋体" w:cs="仿宋"/>
                <w14:ligatures w14:val="none"/>
              </w:rPr>
            </w:pPr>
            <w:r>
              <w:rPr>
                <w:rFonts w:hint="eastAsia" w:ascii="宋体" w:hAnsi="宋体" w:eastAsia="宋体" w:cs="仿宋"/>
                <w14:ligatures w14:val="none"/>
              </w:rPr>
              <w:t>7</w:t>
            </w:r>
          </w:p>
        </w:tc>
        <w:tc>
          <w:tcPr>
            <w:tcW w:w="5545" w:type="dxa"/>
            <w:tcBorders>
              <w:top w:val="outset" w:color="auto" w:sz="6" w:space="0"/>
              <w:left w:val="outset" w:color="auto" w:sz="6" w:space="0"/>
              <w:bottom w:val="outset" w:color="auto" w:sz="6" w:space="0"/>
              <w:right w:val="outset" w:color="auto" w:sz="6" w:space="0"/>
            </w:tcBorders>
            <w:vAlign w:val="center"/>
          </w:tcPr>
          <w:p w14:paraId="17BD6372">
            <w:pPr>
              <w:jc w:val="left"/>
              <w:rPr>
                <w:rFonts w:ascii="宋体" w:hAnsi="宋体" w:eastAsia="宋体" w:cs="仿宋"/>
                <w14:ligatures w14:val="none"/>
              </w:rPr>
            </w:pPr>
            <w:r>
              <w:rPr>
                <w:rFonts w:hint="eastAsia" w:ascii="宋体" w:hAnsi="宋体" w:eastAsia="宋体" w:cs="仿宋"/>
                <w:highlight w:val="none"/>
                <w14:ligatures w14:val="none"/>
              </w:rPr>
              <w:t>根据供应商提供的项目用户服务评价书（项目用户本身为省级专业环境机构） 且评价为满意的，每个得2分；根据供应商提供的项目用户服务评价书（项目用户本身为国家级专业环境机构） 且评价为满意的，每个得3分。本项目最高得7分，未提供不得分。</w:t>
            </w:r>
          </w:p>
        </w:tc>
      </w:tr>
      <w:tr w14:paraId="7AB6517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148" w:type="dxa"/>
            <w:vMerge w:val="continue"/>
            <w:tcBorders>
              <w:left w:val="single" w:color="auto" w:sz="4" w:space="0"/>
              <w:right w:val="single" w:color="auto" w:sz="4" w:space="0"/>
            </w:tcBorders>
            <w:vAlign w:val="center"/>
          </w:tcPr>
          <w:p w14:paraId="2B484CB1">
            <w:pPr>
              <w:jc w:val="center"/>
              <w:rPr>
                <w:rFonts w:ascii="宋体" w:hAnsi="宋体" w:eastAsia="宋体" w:cs="仿宋"/>
                <w14:ligatures w14:val="none"/>
              </w:rPr>
            </w:pPr>
          </w:p>
        </w:tc>
        <w:tc>
          <w:tcPr>
            <w:tcW w:w="1350" w:type="dxa"/>
            <w:tcBorders>
              <w:top w:val="outset" w:color="auto" w:sz="6" w:space="0"/>
              <w:left w:val="single" w:color="auto" w:sz="4" w:space="0"/>
              <w:bottom w:val="outset" w:color="auto" w:sz="6" w:space="0"/>
              <w:right w:val="outset" w:color="auto" w:sz="6" w:space="0"/>
            </w:tcBorders>
            <w:vAlign w:val="center"/>
          </w:tcPr>
          <w:p w14:paraId="79B8FDDB">
            <w:pPr>
              <w:jc w:val="center"/>
              <w:rPr>
                <w:rFonts w:ascii="宋体" w:hAnsi="宋体" w:eastAsia="宋体" w:cs="宋体"/>
                <w:sz w:val="24"/>
                <w:szCs w:val="24"/>
                <w14:ligatures w14:val="none"/>
              </w:rPr>
            </w:pPr>
            <w:r>
              <w:rPr>
                <w:rFonts w:hint="eastAsia" w:ascii="宋体" w:hAnsi="宋体" w:eastAsia="宋体" w:cs="宋体"/>
                <w:sz w:val="24"/>
                <w:szCs w:val="24"/>
                <w14:ligatures w14:val="none"/>
              </w:rPr>
              <w:t>服务承诺</w:t>
            </w:r>
          </w:p>
        </w:tc>
        <w:tc>
          <w:tcPr>
            <w:tcW w:w="833" w:type="dxa"/>
            <w:tcBorders>
              <w:top w:val="outset" w:color="auto" w:sz="6" w:space="0"/>
              <w:left w:val="outset" w:color="auto" w:sz="6" w:space="0"/>
              <w:bottom w:val="outset" w:color="auto" w:sz="6" w:space="0"/>
              <w:right w:val="outset" w:color="auto" w:sz="6" w:space="0"/>
            </w:tcBorders>
            <w:vAlign w:val="center"/>
          </w:tcPr>
          <w:p w14:paraId="3E151A1D">
            <w:pPr>
              <w:jc w:val="center"/>
              <w:rPr>
                <w:rFonts w:ascii="宋体" w:hAnsi="宋体" w:eastAsia="宋体" w:cs="仿宋"/>
                <w14:ligatures w14:val="none"/>
              </w:rPr>
            </w:pPr>
            <w:r>
              <w:rPr>
                <w:rFonts w:hint="eastAsia" w:ascii="宋体" w:hAnsi="宋体" w:eastAsia="宋体" w:cs="仿宋"/>
                <w14:ligatures w14:val="none"/>
              </w:rPr>
              <w:t>5</w:t>
            </w:r>
          </w:p>
        </w:tc>
        <w:tc>
          <w:tcPr>
            <w:tcW w:w="5545" w:type="dxa"/>
            <w:tcBorders>
              <w:top w:val="outset" w:color="auto" w:sz="6" w:space="0"/>
              <w:left w:val="outset" w:color="auto" w:sz="6" w:space="0"/>
              <w:bottom w:val="outset" w:color="auto" w:sz="6" w:space="0"/>
              <w:right w:val="outset" w:color="auto" w:sz="6" w:space="0"/>
            </w:tcBorders>
            <w:vAlign w:val="center"/>
          </w:tcPr>
          <w:p w14:paraId="42E1EA3E">
            <w:pPr>
              <w:jc w:val="left"/>
              <w:rPr>
                <w:rFonts w:hint="eastAsia" w:ascii="宋体" w:hAnsi="宋体" w:eastAsia="宋体" w:cs="仿宋"/>
                <w:lang w:eastAsia="zh-CN"/>
                <w14:ligatures w14:val="none"/>
              </w:rPr>
            </w:pPr>
            <w:r>
              <w:rPr>
                <w:rFonts w:hint="eastAsia" w:ascii="宋体" w:hAnsi="宋体" w:eastAsia="宋体" w:cs="仿宋"/>
                <w14:ligatures w14:val="none"/>
              </w:rPr>
              <w:t>根据供应商针对本项目提供的后续服务安排和保证措施等酌情评分。</w:t>
            </w:r>
            <w:r>
              <w:rPr>
                <w:rFonts w:hint="eastAsia" w:ascii="宋体" w:hAnsi="宋体" w:eastAsia="宋体" w:cs="仿宋"/>
                <w:color w:val="auto"/>
                <w:lang w:val="en-US" w:eastAsia="zh-CN"/>
                <w14:ligatures w14:val="none"/>
              </w:rPr>
              <w:t>由评标委员会在3-5分进行评比打分，未提供不得分。</w:t>
            </w:r>
          </w:p>
        </w:tc>
      </w:tr>
      <w:tr w14:paraId="1C00237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148" w:type="dxa"/>
            <w:vMerge w:val="continue"/>
            <w:tcBorders>
              <w:left w:val="single" w:color="auto" w:sz="4" w:space="0"/>
              <w:bottom w:val="single" w:color="auto" w:sz="4" w:space="0"/>
              <w:right w:val="single" w:color="auto" w:sz="4" w:space="0"/>
            </w:tcBorders>
            <w:vAlign w:val="center"/>
          </w:tcPr>
          <w:p w14:paraId="643ECB26">
            <w:pPr>
              <w:jc w:val="center"/>
              <w:rPr>
                <w:rFonts w:ascii="宋体" w:hAnsi="宋体" w:eastAsia="宋体" w:cs="仿宋"/>
                <w14:ligatures w14:val="none"/>
              </w:rPr>
            </w:pPr>
          </w:p>
        </w:tc>
        <w:tc>
          <w:tcPr>
            <w:tcW w:w="1350" w:type="dxa"/>
            <w:tcBorders>
              <w:top w:val="outset" w:color="auto" w:sz="6" w:space="0"/>
              <w:left w:val="single" w:color="auto" w:sz="4" w:space="0"/>
              <w:bottom w:val="outset" w:color="auto" w:sz="6" w:space="0"/>
              <w:right w:val="outset" w:color="auto" w:sz="6" w:space="0"/>
            </w:tcBorders>
            <w:vAlign w:val="center"/>
          </w:tcPr>
          <w:p w14:paraId="56178BE1">
            <w:pPr>
              <w:jc w:val="center"/>
              <w:rPr>
                <w:rFonts w:ascii="宋体" w:hAnsi="宋体" w:eastAsia="宋体" w:cs="宋体"/>
                <w:sz w:val="24"/>
                <w:szCs w:val="24"/>
                <w14:ligatures w14:val="none"/>
              </w:rPr>
            </w:pPr>
            <w:r>
              <w:rPr>
                <w:rFonts w:hint="eastAsia" w:ascii="宋体" w:hAnsi="宋体" w:eastAsia="宋体" w:cs="宋体"/>
                <w:sz w:val="24"/>
                <w:szCs w:val="24"/>
                <w14:ligatures w14:val="none"/>
              </w:rPr>
              <w:t>需求分析</w:t>
            </w:r>
          </w:p>
        </w:tc>
        <w:tc>
          <w:tcPr>
            <w:tcW w:w="833" w:type="dxa"/>
            <w:tcBorders>
              <w:top w:val="outset" w:color="auto" w:sz="6" w:space="0"/>
              <w:left w:val="outset" w:color="auto" w:sz="6" w:space="0"/>
              <w:bottom w:val="outset" w:color="auto" w:sz="6" w:space="0"/>
              <w:right w:val="outset" w:color="auto" w:sz="6" w:space="0"/>
            </w:tcBorders>
            <w:vAlign w:val="center"/>
          </w:tcPr>
          <w:p w14:paraId="14FCCC40">
            <w:pPr>
              <w:jc w:val="center"/>
              <w:rPr>
                <w:rFonts w:hint="default" w:ascii="宋体" w:hAnsi="宋体" w:eastAsia="宋体" w:cs="仿宋"/>
                <w:lang w:val="en-US" w:eastAsia="zh-CN"/>
                <w14:ligatures w14:val="none"/>
              </w:rPr>
            </w:pPr>
            <w:r>
              <w:rPr>
                <w:rFonts w:hint="eastAsia" w:ascii="宋体" w:hAnsi="宋体" w:cs="仿宋"/>
                <w:lang w:val="en-US" w:eastAsia="zh-CN"/>
                <w14:ligatures w14:val="none"/>
              </w:rPr>
              <w:t>12</w:t>
            </w:r>
          </w:p>
        </w:tc>
        <w:tc>
          <w:tcPr>
            <w:tcW w:w="5545" w:type="dxa"/>
            <w:tcBorders>
              <w:top w:val="outset" w:color="auto" w:sz="6" w:space="0"/>
              <w:left w:val="outset" w:color="auto" w:sz="6" w:space="0"/>
              <w:bottom w:val="outset" w:color="auto" w:sz="6" w:space="0"/>
              <w:right w:val="outset" w:color="auto" w:sz="6" w:space="0"/>
            </w:tcBorders>
            <w:vAlign w:val="center"/>
          </w:tcPr>
          <w:p w14:paraId="0BC74259">
            <w:pPr>
              <w:jc w:val="left"/>
              <w:rPr>
                <w:rFonts w:hint="eastAsia" w:ascii="宋体" w:hAnsi="宋体" w:eastAsia="宋体" w:cs="仿宋"/>
                <w:color w:val="auto"/>
                <w:highlight w:val="none"/>
                <w:lang w:eastAsia="zh-CN"/>
                <w14:ligatures w14:val="none"/>
              </w:rPr>
            </w:pPr>
            <w:r>
              <w:rPr>
                <w:rFonts w:hint="eastAsia" w:ascii="宋体" w:hAnsi="宋体" w:eastAsia="宋体" w:cs="仿宋"/>
                <w14:ligatures w14:val="none"/>
              </w:rPr>
              <w:t>1.项目的理解：根据供应商对本项目的理解（主要针对工作目的</w:t>
            </w:r>
            <w:r>
              <w:rPr>
                <w:rFonts w:hint="eastAsia" w:ascii="宋体" w:hAnsi="宋体" w:eastAsia="宋体" w:cs="仿宋"/>
                <w:highlight w:val="none"/>
                <w14:ligatures w14:val="none"/>
              </w:rPr>
              <w:t>、工作内容</w:t>
            </w:r>
            <w:r>
              <w:rPr>
                <w:rFonts w:hint="eastAsia" w:ascii="宋体" w:hAnsi="宋体" w:eastAsia="宋体" w:cs="仿宋"/>
                <w:color w:val="auto"/>
                <w:highlight w:val="none"/>
                <w14:ligatures w14:val="none"/>
              </w:rPr>
              <w:t>以及工作要求等）酌情评分。</w:t>
            </w:r>
            <w:r>
              <w:rPr>
                <w:rFonts w:hint="eastAsia" w:ascii="宋体" w:hAnsi="宋体" w:eastAsia="宋体" w:cs="仿宋"/>
                <w:color w:val="000000" w:themeColor="text1"/>
                <w:highlight w:val="none"/>
                <w:lang w:val="en-US" w:eastAsia="zh-CN"/>
                <w14:textFill>
                  <w14:solidFill>
                    <w14:schemeClr w14:val="tx1"/>
                  </w14:solidFill>
                </w14:textFill>
                <w14:ligatures w14:val="none"/>
              </w:rPr>
              <w:t>由评标委员会在</w:t>
            </w:r>
            <w:r>
              <w:rPr>
                <w:rFonts w:hint="eastAsia" w:ascii="宋体" w:hAnsi="宋体" w:cs="仿宋"/>
                <w:color w:val="000000" w:themeColor="text1"/>
                <w:highlight w:val="none"/>
                <w:lang w:val="en-US" w:eastAsia="zh-CN"/>
                <w14:textFill>
                  <w14:solidFill>
                    <w14:schemeClr w14:val="tx1"/>
                  </w14:solidFill>
                </w14:textFill>
                <w14:ligatures w14:val="none"/>
              </w:rPr>
              <w:t>4</w:t>
            </w:r>
            <w:r>
              <w:rPr>
                <w:rFonts w:hint="eastAsia" w:ascii="宋体" w:hAnsi="宋体" w:eastAsia="宋体" w:cs="仿宋"/>
                <w:color w:val="000000" w:themeColor="text1"/>
                <w:highlight w:val="none"/>
                <w:lang w:val="en-US" w:eastAsia="zh-CN"/>
                <w14:textFill>
                  <w14:solidFill>
                    <w14:schemeClr w14:val="tx1"/>
                  </w14:solidFill>
                </w14:textFill>
                <w14:ligatures w14:val="none"/>
              </w:rPr>
              <w:t>-</w:t>
            </w:r>
            <w:r>
              <w:rPr>
                <w:rFonts w:hint="eastAsia" w:ascii="宋体" w:hAnsi="宋体" w:cs="仿宋"/>
                <w:color w:val="000000" w:themeColor="text1"/>
                <w:highlight w:val="none"/>
                <w:lang w:val="en-US" w:eastAsia="zh-CN"/>
                <w14:textFill>
                  <w14:solidFill>
                    <w14:schemeClr w14:val="tx1"/>
                  </w14:solidFill>
                </w14:textFill>
                <w14:ligatures w14:val="none"/>
              </w:rPr>
              <w:t>6</w:t>
            </w:r>
            <w:r>
              <w:rPr>
                <w:rFonts w:hint="eastAsia" w:ascii="宋体" w:hAnsi="宋体" w:eastAsia="宋体" w:cs="仿宋"/>
                <w:color w:val="000000" w:themeColor="text1"/>
                <w:highlight w:val="none"/>
                <w:lang w:val="en-US" w:eastAsia="zh-CN"/>
                <w14:textFill>
                  <w14:solidFill>
                    <w14:schemeClr w14:val="tx1"/>
                  </w14:solidFill>
                </w14:textFill>
                <w14:ligatures w14:val="none"/>
              </w:rPr>
              <w:t>分进行评比打分</w:t>
            </w:r>
            <w:r>
              <w:rPr>
                <w:rFonts w:hint="eastAsia" w:ascii="宋体" w:hAnsi="宋体" w:eastAsia="宋体" w:cs="仿宋"/>
                <w:color w:val="auto"/>
                <w:highlight w:val="none"/>
                <w:lang w:val="en-US" w:eastAsia="zh-CN"/>
                <w14:ligatures w14:val="none"/>
              </w:rPr>
              <w:t>，未提供不得分。</w:t>
            </w:r>
          </w:p>
          <w:p w14:paraId="0E07A623">
            <w:pPr>
              <w:jc w:val="left"/>
              <w:rPr>
                <w:rFonts w:hint="eastAsia" w:ascii="宋体" w:hAnsi="宋体" w:eastAsia="宋体" w:cs="仿宋"/>
                <w:lang w:eastAsia="zh-CN"/>
                <w14:ligatures w14:val="none"/>
              </w:rPr>
            </w:pPr>
            <w:r>
              <w:rPr>
                <w:rFonts w:hint="eastAsia" w:ascii="宋体" w:hAnsi="宋体" w:eastAsia="宋体" w:cs="仿宋"/>
                <w:color w:val="auto"/>
                <w:highlight w:val="none"/>
                <w14:ligatures w14:val="none"/>
              </w:rPr>
              <w:t>2.重难点分析：根据供应商对本项目重点及难点问题的把握分析，以及提出的解决措施等酌情评分。</w:t>
            </w:r>
            <w:r>
              <w:rPr>
                <w:rFonts w:hint="eastAsia" w:ascii="宋体" w:hAnsi="宋体" w:eastAsia="宋体" w:cs="仿宋"/>
                <w:color w:val="auto"/>
                <w:highlight w:val="none"/>
                <w:lang w:val="en-US" w:eastAsia="zh-CN"/>
                <w14:ligatures w14:val="none"/>
              </w:rPr>
              <w:t>由评标委员会在</w:t>
            </w:r>
            <w:r>
              <w:rPr>
                <w:rFonts w:hint="eastAsia" w:ascii="宋体" w:hAnsi="宋体" w:cs="仿宋"/>
                <w:color w:val="auto"/>
                <w:highlight w:val="none"/>
                <w:lang w:val="en-US" w:eastAsia="zh-CN"/>
                <w14:ligatures w14:val="none"/>
              </w:rPr>
              <w:t>4</w:t>
            </w:r>
            <w:r>
              <w:rPr>
                <w:rFonts w:hint="eastAsia" w:ascii="宋体" w:hAnsi="宋体" w:eastAsia="宋体" w:cs="仿宋"/>
                <w:color w:val="auto"/>
                <w:highlight w:val="none"/>
                <w:lang w:val="en-US" w:eastAsia="zh-CN"/>
                <w14:ligatures w14:val="none"/>
              </w:rPr>
              <w:t>-</w:t>
            </w:r>
            <w:r>
              <w:rPr>
                <w:rFonts w:hint="eastAsia" w:ascii="宋体" w:hAnsi="宋体" w:cs="仿宋"/>
                <w:color w:val="auto"/>
                <w:highlight w:val="none"/>
                <w:lang w:val="en-US" w:eastAsia="zh-CN"/>
                <w14:ligatures w14:val="none"/>
              </w:rPr>
              <w:t>6</w:t>
            </w:r>
            <w:r>
              <w:rPr>
                <w:rFonts w:hint="eastAsia" w:ascii="宋体" w:hAnsi="宋体" w:eastAsia="宋体" w:cs="仿宋"/>
                <w:color w:val="auto"/>
                <w:highlight w:val="none"/>
                <w:lang w:val="en-US" w:eastAsia="zh-CN"/>
                <w14:ligatures w14:val="none"/>
              </w:rPr>
              <w:t>分进行评比打分，未提供不得分。</w:t>
            </w:r>
          </w:p>
        </w:tc>
      </w:tr>
    </w:tbl>
    <w:p w14:paraId="02DE44EF">
      <w:pPr>
        <w:wordWrap w:val="0"/>
        <w:spacing w:line="520" w:lineRule="exact"/>
        <w:rPr>
          <w:color w:val="000000"/>
          <w:sz w:val="24"/>
          <w:szCs w:val="24"/>
        </w:rPr>
      </w:pPr>
    </w:p>
    <w:p w14:paraId="5F1D1F36">
      <w:pPr>
        <w:widowControl/>
        <w:wordWrap w:val="0"/>
        <w:spacing w:line="360" w:lineRule="auto"/>
        <w:ind w:firstLine="480" w:firstLineChars="200"/>
        <w:jc w:val="left"/>
        <w:textAlignment w:val="center"/>
        <w:rPr>
          <w:rFonts w:hint="eastAsia" w:ascii="宋体" w:hAnsi="宋体" w:eastAsia="宋体" w:cs="宋体"/>
          <w:sz w:val="24"/>
          <w:szCs w:val="24"/>
          <w:lang w:eastAsia="zh-CN"/>
        </w:rPr>
      </w:pPr>
      <w:r>
        <w:rPr>
          <w:rFonts w:hint="eastAsia" w:hAnsi="宋体"/>
          <w:bCs/>
          <w:sz w:val="24"/>
          <w:szCs w:val="24"/>
        </w:rPr>
        <w:t>备注：</w:t>
      </w:r>
      <w:r>
        <w:rPr>
          <w:rFonts w:hint="eastAsia" w:ascii="宋体" w:hAnsi="宋体" w:cs="宋体"/>
          <w:sz w:val="24"/>
          <w:szCs w:val="24"/>
        </w:rPr>
        <w:t>①本项目涉及面较广、点位分散、现状复杂，投标人应当自行踏勘现场对现状进行了解，以确保制定出合理的投标方案，否则因不了解实际现状而造成的一切后果（包括但不限于投标报价存在的成本风险及要求的服务期风险）由投标人自行承担</w:t>
      </w:r>
      <w:r>
        <w:rPr>
          <w:rFonts w:hint="eastAsia" w:ascii="宋体" w:hAnsi="宋体" w:cs="宋体"/>
          <w:sz w:val="24"/>
          <w:szCs w:val="24"/>
          <w:lang w:eastAsia="zh-CN"/>
        </w:rPr>
        <w:t>。</w:t>
      </w:r>
    </w:p>
    <w:p w14:paraId="0C5B3A26">
      <w:pPr>
        <w:pStyle w:val="60"/>
        <w:widowControl/>
        <w:wordWrap w:val="0"/>
        <w:spacing w:line="360" w:lineRule="auto"/>
        <w:ind w:left="360"/>
        <w:jc w:val="left"/>
        <w:textAlignment w:val="center"/>
        <w:rPr>
          <w:rFonts w:hint="eastAsia" w:ascii="宋体" w:hAnsi="宋体" w:eastAsia="宋体" w:cs="宋体"/>
          <w:sz w:val="24"/>
          <w:szCs w:val="24"/>
          <w:lang w:eastAsia="zh-CN"/>
        </w:rPr>
      </w:pPr>
      <w:r>
        <w:rPr>
          <w:rFonts w:hint="eastAsia" w:ascii="宋体" w:hAnsi="宋体" w:cs="宋体"/>
          <w:sz w:val="24"/>
          <w:szCs w:val="24"/>
        </w:rPr>
        <w:t>②以上认证均应在有效期范围，且发证机关网站未公布为暂停状态方可有效</w:t>
      </w:r>
      <w:r>
        <w:rPr>
          <w:rFonts w:hint="eastAsia" w:ascii="宋体" w:hAnsi="宋体" w:cs="宋体"/>
          <w:sz w:val="24"/>
          <w:szCs w:val="24"/>
          <w:lang w:eastAsia="zh-CN"/>
        </w:rPr>
        <w:t>。</w:t>
      </w:r>
    </w:p>
    <w:p w14:paraId="126C73F4">
      <w:pPr>
        <w:spacing w:line="360" w:lineRule="auto"/>
        <w:ind w:firstLine="240" w:firstLineChars="100"/>
        <w:jc w:val="left"/>
        <w:rPr>
          <w:rFonts w:hint="eastAsia" w:ascii="宋体" w:hAnsi="宋体" w:eastAsia="宋体" w:cs="宋体"/>
          <w:b/>
          <w:color w:val="FF0000"/>
          <w:sz w:val="24"/>
          <w:szCs w:val="24"/>
          <w:highlight w:val="none"/>
          <w:lang w:eastAsia="zh-CN"/>
        </w:rPr>
      </w:pPr>
      <w:r>
        <w:rPr>
          <w:rFonts w:hint="eastAsia" w:ascii="宋体" w:hAnsi="宋体" w:cs="宋体"/>
          <w:sz w:val="24"/>
          <w:szCs w:val="24"/>
        </w:rPr>
        <w:t>③上述评分办法中主观分部分均以0.1分为一个计分点</w:t>
      </w:r>
      <w:r>
        <w:rPr>
          <w:rFonts w:hint="eastAsia" w:ascii="宋体" w:hAnsi="宋体" w:cs="宋体"/>
          <w:sz w:val="24"/>
          <w:szCs w:val="24"/>
          <w:lang w:eastAsia="zh-CN"/>
        </w:rPr>
        <w:t>。</w:t>
      </w:r>
      <w:r>
        <w:rPr>
          <w:rFonts w:hint="eastAsia" w:ascii="宋体" w:hAnsi="宋体" w:eastAsia="宋体" w:cs="宋体"/>
          <w:b w:val="0"/>
          <w:bCs w:val="0"/>
          <w:color w:val="000000"/>
          <w:sz w:val="24"/>
          <w:szCs w:val="24"/>
          <w:highlight w:val="none"/>
        </w:rPr>
        <w:t>投标人的总得分为所有评委评审该单位总得分的平均值</w:t>
      </w:r>
      <w:r>
        <w:rPr>
          <w:rFonts w:hint="eastAsia" w:ascii="宋体" w:hAnsi="宋体" w:eastAsia="宋体" w:cs="宋体"/>
          <w:b w:val="0"/>
          <w:bCs w:val="0"/>
          <w:color w:val="000000"/>
          <w:sz w:val="24"/>
          <w:szCs w:val="24"/>
          <w:highlight w:val="none"/>
          <w:lang w:eastAsia="zh-CN"/>
        </w:rPr>
        <w:t>。</w:t>
      </w:r>
    </w:p>
    <w:p w14:paraId="1F7F4BDF">
      <w:pPr>
        <w:pStyle w:val="38"/>
        <w:ind w:firstLine="480"/>
        <w:rPr>
          <w:color w:val="000000"/>
          <w:szCs w:val="24"/>
        </w:rPr>
      </w:pPr>
    </w:p>
    <w:p w14:paraId="5E6865E6">
      <w:pPr>
        <w:pStyle w:val="38"/>
        <w:ind w:firstLine="480"/>
        <w:rPr>
          <w:color w:val="000000"/>
          <w:szCs w:val="24"/>
        </w:rPr>
      </w:pPr>
    </w:p>
    <w:p w14:paraId="72F3DE06">
      <w:pPr>
        <w:pStyle w:val="38"/>
        <w:ind w:firstLine="480"/>
        <w:rPr>
          <w:color w:val="000000"/>
          <w:szCs w:val="24"/>
        </w:rPr>
      </w:pPr>
    </w:p>
    <w:p w14:paraId="1ADB61A6">
      <w:pPr>
        <w:pStyle w:val="38"/>
        <w:ind w:firstLine="480"/>
        <w:rPr>
          <w:color w:val="000000"/>
          <w:szCs w:val="24"/>
        </w:rPr>
      </w:pPr>
    </w:p>
    <w:p w14:paraId="58026EF2">
      <w:pPr>
        <w:pStyle w:val="38"/>
        <w:ind w:firstLine="480"/>
        <w:rPr>
          <w:color w:val="000000"/>
          <w:szCs w:val="24"/>
        </w:rPr>
      </w:pPr>
    </w:p>
    <w:p w14:paraId="2D49D6C9">
      <w:pPr>
        <w:pStyle w:val="38"/>
        <w:ind w:firstLine="480"/>
        <w:rPr>
          <w:color w:val="000000"/>
          <w:szCs w:val="24"/>
        </w:rPr>
      </w:pPr>
    </w:p>
    <w:p w14:paraId="1A7D7A8F">
      <w:pPr>
        <w:pStyle w:val="199"/>
        <w:spacing w:line="420" w:lineRule="auto"/>
        <w:jc w:val="both"/>
        <w:rPr>
          <w:rFonts w:ascii="黑体" w:eastAsia="黑体"/>
          <w:bCs/>
          <w:sz w:val="44"/>
        </w:rPr>
        <w:sectPr>
          <w:pgSz w:w="11906" w:h="16838"/>
          <w:pgMar w:top="1418" w:right="1588" w:bottom="1418" w:left="1365" w:header="851" w:footer="907" w:gutter="0"/>
          <w:cols w:space="1701" w:num="1"/>
          <w:titlePg/>
          <w:docGrid w:linePitch="360" w:charSpace="0"/>
        </w:sectPr>
      </w:pPr>
    </w:p>
    <w:p w14:paraId="6CC32FBA">
      <w:pPr>
        <w:pStyle w:val="199"/>
        <w:spacing w:line="420" w:lineRule="auto"/>
        <w:jc w:val="center"/>
        <w:rPr>
          <w:rFonts w:ascii="黑体" w:eastAsia="黑体"/>
          <w:sz w:val="44"/>
          <w:szCs w:val="44"/>
        </w:rPr>
      </w:pPr>
      <w:r>
        <w:rPr>
          <w:rFonts w:hint="eastAsia" w:ascii="黑体" w:eastAsia="黑体"/>
          <w:bCs/>
          <w:sz w:val="44"/>
        </w:rPr>
        <w:t>第六章   投标</w:t>
      </w:r>
      <w:bookmarkEnd w:id="173"/>
      <w:bookmarkEnd w:id="174"/>
      <w:bookmarkEnd w:id="175"/>
      <w:r>
        <w:rPr>
          <w:rFonts w:hint="eastAsia" w:ascii="黑体" w:eastAsia="黑体"/>
          <w:bCs/>
          <w:sz w:val="44"/>
        </w:rPr>
        <w:t>文件格式</w:t>
      </w:r>
    </w:p>
    <w:p w14:paraId="6D92E183">
      <w:pPr>
        <w:pStyle w:val="201"/>
        <w:spacing w:line="420" w:lineRule="auto"/>
        <w:ind w:firstLine="643"/>
        <w:jc w:val="center"/>
        <w:rPr>
          <w:rFonts w:ascii="宋体" w:hAnsi="宋体"/>
        </w:rPr>
      </w:pPr>
      <w:bookmarkStart w:id="185" w:name="_Hlt26955039"/>
      <w:bookmarkEnd w:id="185"/>
      <w:bookmarkStart w:id="186" w:name="_Hlt26671244"/>
      <w:bookmarkEnd w:id="186"/>
      <w:bookmarkStart w:id="187" w:name="_Toc26554094"/>
      <w:bookmarkStart w:id="188" w:name="_Toc120614282"/>
      <w:bookmarkStart w:id="189" w:name="_Toc49090576"/>
      <w:r>
        <w:rPr>
          <w:rFonts w:hint="eastAsia" w:ascii="宋体" w:hAnsi="宋体"/>
        </w:rPr>
        <w:t>法人授权书</w:t>
      </w:r>
    </w:p>
    <w:p w14:paraId="1A726FCA">
      <w:pPr>
        <w:pStyle w:val="285"/>
        <w:spacing w:line="420" w:lineRule="auto"/>
        <w:ind w:firstLine="480"/>
        <w:rPr>
          <w:sz w:val="24"/>
          <w:szCs w:val="24"/>
        </w:rPr>
      </w:pPr>
      <w:r>
        <w:rPr>
          <w:rFonts w:hint="eastAsia"/>
          <w:sz w:val="24"/>
          <w:szCs w:val="24"/>
        </w:rPr>
        <w:t>本授权书声明：____________（供应商名称）授权________________（被授权人的姓名）为我方就</w:t>
      </w:r>
      <w:r>
        <w:rPr>
          <w:rFonts w:hint="eastAsia"/>
          <w:sz w:val="24"/>
          <w:szCs w:val="24"/>
          <w:u w:val="single"/>
        </w:rPr>
        <w:t xml:space="preserve">                      </w:t>
      </w:r>
      <w:r>
        <w:rPr>
          <w:rFonts w:hint="eastAsia"/>
          <w:sz w:val="24"/>
          <w:szCs w:val="24"/>
        </w:rPr>
        <w:t>（项目编号）</w:t>
      </w:r>
      <w:r>
        <w:rPr>
          <w:rFonts w:hint="eastAsia"/>
          <w:sz w:val="24"/>
          <w:szCs w:val="24"/>
          <w:u w:val="single"/>
        </w:rPr>
        <w:t xml:space="preserve">            </w:t>
      </w:r>
      <w:r>
        <w:rPr>
          <w:rFonts w:hint="eastAsia"/>
          <w:sz w:val="24"/>
          <w:szCs w:val="24"/>
        </w:rPr>
        <w:t>（项目名称）采购活动的合法代理人，以本公司名义全权处理一切与该项目采购有关的事务。</w:t>
      </w:r>
    </w:p>
    <w:p w14:paraId="35490486">
      <w:pPr>
        <w:pStyle w:val="285"/>
        <w:spacing w:line="420" w:lineRule="auto"/>
        <w:ind w:firstLine="480"/>
        <w:rPr>
          <w:sz w:val="24"/>
          <w:szCs w:val="24"/>
        </w:rPr>
      </w:pPr>
      <w:r>
        <w:rPr>
          <w:rFonts w:hint="eastAsia"/>
          <w:sz w:val="24"/>
          <w:szCs w:val="24"/>
        </w:rPr>
        <w:t>本授权书于______年____月____日起生效，特此声明。</w:t>
      </w:r>
    </w:p>
    <w:p w14:paraId="186272EF">
      <w:pPr>
        <w:pStyle w:val="285"/>
        <w:spacing w:line="420" w:lineRule="auto"/>
        <w:ind w:firstLine="480"/>
        <w:rPr>
          <w:sz w:val="24"/>
          <w:szCs w:val="24"/>
        </w:rPr>
      </w:pPr>
      <w:r>
        <w:rPr>
          <w:rFonts w:hint="eastAsia"/>
          <w:sz w:val="24"/>
          <w:szCs w:val="24"/>
        </w:rPr>
        <w:t xml:space="preserve">          代理人（被授权人）：_______________________</w:t>
      </w:r>
    </w:p>
    <w:p w14:paraId="678951B3">
      <w:pPr>
        <w:pStyle w:val="285"/>
        <w:spacing w:line="420" w:lineRule="auto"/>
        <w:ind w:firstLine="480"/>
        <w:rPr>
          <w:sz w:val="24"/>
          <w:szCs w:val="24"/>
        </w:rPr>
      </w:pPr>
      <w:r>
        <w:rPr>
          <w:rFonts w:hint="eastAsia"/>
          <w:sz w:val="24"/>
          <w:szCs w:val="24"/>
        </w:rPr>
        <w:t xml:space="preserve">         </w:t>
      </w:r>
    </w:p>
    <w:p w14:paraId="7C69F977">
      <w:pPr>
        <w:pStyle w:val="285"/>
        <w:spacing w:line="420" w:lineRule="auto"/>
        <w:ind w:firstLine="480"/>
        <w:rPr>
          <w:sz w:val="24"/>
          <w:szCs w:val="24"/>
        </w:rPr>
      </w:pPr>
      <w:r>
        <w:rPr>
          <w:rFonts w:hint="eastAsia"/>
          <w:sz w:val="24"/>
          <w:szCs w:val="24"/>
        </w:rPr>
        <w:t xml:space="preserve">          单位名称：_____________________________________</w:t>
      </w:r>
    </w:p>
    <w:p w14:paraId="5C7688E6">
      <w:pPr>
        <w:pStyle w:val="285"/>
        <w:spacing w:line="420" w:lineRule="auto"/>
        <w:ind w:firstLine="480"/>
        <w:rPr>
          <w:sz w:val="24"/>
          <w:szCs w:val="24"/>
        </w:rPr>
      </w:pPr>
    </w:p>
    <w:p w14:paraId="36528AAC">
      <w:pPr>
        <w:pStyle w:val="285"/>
        <w:spacing w:line="420" w:lineRule="auto"/>
        <w:ind w:firstLine="480"/>
        <w:rPr>
          <w:sz w:val="24"/>
          <w:szCs w:val="24"/>
        </w:rPr>
      </w:pPr>
      <w:r>
        <w:rPr>
          <w:rFonts w:hint="eastAsia"/>
          <w:sz w:val="24"/>
          <w:szCs w:val="24"/>
        </w:rPr>
        <w:t xml:space="preserve">      授权单位盖章：_________________________________</w:t>
      </w:r>
    </w:p>
    <w:p w14:paraId="3DD45A92">
      <w:pPr>
        <w:pStyle w:val="285"/>
        <w:spacing w:line="420" w:lineRule="auto"/>
        <w:ind w:firstLine="480"/>
        <w:rPr>
          <w:sz w:val="24"/>
          <w:szCs w:val="24"/>
        </w:rPr>
      </w:pPr>
      <w:r>
        <w:rPr>
          <w:rFonts w:hint="eastAsia"/>
          <w:sz w:val="24"/>
          <w:szCs w:val="24"/>
        </w:rPr>
        <w:t xml:space="preserve">      单位名称：_____________________________________</w:t>
      </w:r>
    </w:p>
    <w:p w14:paraId="4595CA1B">
      <w:pPr>
        <w:pStyle w:val="285"/>
        <w:spacing w:line="420" w:lineRule="auto"/>
        <w:ind w:firstLine="480"/>
        <w:rPr>
          <w:sz w:val="24"/>
          <w:szCs w:val="24"/>
          <w:u w:val="single"/>
        </w:rPr>
      </w:pPr>
      <w:r>
        <w:rPr>
          <w:rFonts w:hint="eastAsia"/>
          <w:sz w:val="24"/>
          <w:szCs w:val="24"/>
        </w:rPr>
        <w:t xml:space="preserve">      地址：</w:t>
      </w:r>
      <w:r>
        <w:rPr>
          <w:rFonts w:hint="eastAsia"/>
          <w:sz w:val="24"/>
          <w:szCs w:val="24"/>
          <w:u w:val="single"/>
        </w:rPr>
        <w:t xml:space="preserve">                                         </w:t>
      </w:r>
    </w:p>
    <w:p w14:paraId="0A3B5117">
      <w:pPr>
        <w:pStyle w:val="285"/>
        <w:spacing w:line="420" w:lineRule="auto"/>
        <w:ind w:firstLine="480"/>
        <w:rPr>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t xml:space="preserve">                    </w:t>
      </w:r>
    </w:p>
    <w:p w14:paraId="3397268B">
      <w:pPr>
        <w:spacing w:before="50" w:after="50" w:line="420" w:lineRule="auto"/>
        <w:ind w:firstLine="640"/>
        <w:rPr>
          <w:rFonts w:ascii="黑体" w:eastAsia="黑体"/>
          <w:sz w:val="32"/>
          <w:szCs w:val="32"/>
        </w:rPr>
        <w:sectPr>
          <w:pgSz w:w="11906" w:h="16838"/>
          <w:pgMar w:top="1418" w:right="1588" w:bottom="1418" w:left="1365" w:header="851" w:footer="907" w:gutter="0"/>
          <w:cols w:space="1701" w:num="1"/>
          <w:titlePg/>
          <w:docGrid w:linePitch="360" w:charSpace="0"/>
        </w:sectPr>
      </w:pPr>
    </w:p>
    <w:p w14:paraId="7875D199">
      <w:pPr>
        <w:pStyle w:val="201"/>
        <w:spacing w:line="420" w:lineRule="auto"/>
        <w:ind w:firstLine="643"/>
        <w:jc w:val="center"/>
        <w:rPr>
          <w:rFonts w:hint="eastAsia" w:ascii="宋体" w:hAnsi="宋体" w:eastAsia="宋体" w:cs="Times New Roman"/>
        </w:rPr>
      </w:pPr>
      <w:r>
        <w:rPr>
          <w:rFonts w:hint="eastAsia" w:ascii="宋体" w:hAnsi="宋体" w:eastAsia="宋体" w:cs="Times New Roman"/>
        </w:rPr>
        <w:t>投标函</w:t>
      </w:r>
    </w:p>
    <w:p w14:paraId="51BE8286">
      <w:pPr>
        <w:pStyle w:val="260"/>
        <w:spacing w:before="0" w:after="0" w:line="420" w:lineRule="auto"/>
        <w:rPr>
          <w:rFonts w:ascii="宋体" w:hAnsi="宋体"/>
          <w:szCs w:val="21"/>
          <w:u w:val="single"/>
        </w:rPr>
      </w:pPr>
      <w:r>
        <w:rPr>
          <w:rFonts w:hint="eastAsia" w:ascii="宋体" w:hAnsi="宋体"/>
          <w:szCs w:val="21"/>
        </w:rPr>
        <w:t>致：</w:t>
      </w:r>
      <w:r>
        <w:rPr>
          <w:rFonts w:hint="eastAsia" w:ascii="宋体" w:hAnsi="宋体"/>
          <w:szCs w:val="21"/>
          <w:u w:val="single"/>
        </w:rPr>
        <w:t xml:space="preserve">  （采购人全称）          </w:t>
      </w:r>
    </w:p>
    <w:p w14:paraId="25DD053D">
      <w:pPr>
        <w:pStyle w:val="260"/>
        <w:spacing w:before="0" w:after="0" w:line="420" w:lineRule="auto"/>
        <w:rPr>
          <w:rFonts w:ascii="宋体" w:hAnsi="宋体"/>
          <w:szCs w:val="21"/>
        </w:rPr>
      </w:pPr>
      <w:r>
        <w:rPr>
          <w:rFonts w:hint="eastAsia" w:ascii="宋体" w:hAnsi="宋体"/>
          <w:szCs w:val="21"/>
        </w:rPr>
        <w:t>根据贵方的</w:t>
      </w:r>
      <w:r>
        <w:rPr>
          <w:rFonts w:hint="eastAsia" w:ascii="宋体" w:hAnsi="宋体"/>
          <w:b/>
          <w:sz w:val="36"/>
          <w:u w:val="single"/>
        </w:rPr>
        <w:t xml:space="preserve">       </w:t>
      </w:r>
      <w:r>
        <w:rPr>
          <w:rFonts w:hint="eastAsia" w:ascii="宋体" w:hAnsi="宋体"/>
          <w:szCs w:val="21"/>
          <w:u w:val="single"/>
        </w:rPr>
        <w:t>（项目名称）</w:t>
      </w:r>
      <w:r>
        <w:rPr>
          <w:rFonts w:hint="eastAsia" w:ascii="宋体" w:hAnsi="宋体"/>
          <w:b/>
          <w:sz w:val="36"/>
          <w:u w:val="single"/>
        </w:rPr>
        <w:t xml:space="preserve">      </w:t>
      </w:r>
      <w:r>
        <w:rPr>
          <w:rFonts w:hint="eastAsia" w:ascii="宋体" w:hAnsi="宋体"/>
          <w:szCs w:val="21"/>
        </w:rPr>
        <w:t>（项目编号：</w:t>
      </w:r>
      <w:r>
        <w:rPr>
          <w:rFonts w:hint="eastAsia" w:ascii="宋体" w:hAnsi="宋体"/>
          <w:szCs w:val="21"/>
          <w:u w:val="single"/>
        </w:rPr>
        <w:t xml:space="preserve">          </w:t>
      </w:r>
      <w:r>
        <w:rPr>
          <w:rFonts w:hint="eastAsia" w:ascii="宋体" w:hAnsi="宋体"/>
          <w:szCs w:val="21"/>
        </w:rPr>
        <w:t>）</w:t>
      </w:r>
      <w:r>
        <w:rPr>
          <w:rFonts w:hint="eastAsia" w:ascii="宋体" w:hAnsi="宋体"/>
          <w:strike/>
          <w:szCs w:val="21"/>
        </w:rPr>
        <w:t>号</w:t>
      </w:r>
      <w:r>
        <w:rPr>
          <w:rFonts w:hint="eastAsia" w:ascii="宋体" w:hAnsi="宋体"/>
          <w:szCs w:val="21"/>
        </w:rPr>
        <w:t>招标文件，正式授权下述签字人_________________(姓名)代表我方______________（投标人的名称），全权处理本次项目投标的有关事宜。</w:t>
      </w:r>
    </w:p>
    <w:p w14:paraId="134CF925">
      <w:pPr>
        <w:pStyle w:val="260"/>
        <w:spacing w:before="0" w:after="0" w:line="420" w:lineRule="auto"/>
        <w:rPr>
          <w:rFonts w:ascii="宋体" w:hAnsi="宋体"/>
          <w:szCs w:val="21"/>
        </w:rPr>
      </w:pPr>
      <w:r>
        <w:rPr>
          <w:rFonts w:hint="eastAsia" w:ascii="宋体" w:hAnsi="宋体"/>
          <w:szCs w:val="21"/>
        </w:rPr>
        <w:t>据此函，__________签字人兹宣布同意如下：</w:t>
      </w:r>
    </w:p>
    <w:p w14:paraId="67FF7475">
      <w:pPr>
        <w:pStyle w:val="260"/>
        <w:spacing w:before="0" w:after="0" w:line="420" w:lineRule="auto"/>
        <w:rPr>
          <w:rFonts w:ascii="宋体" w:hAnsi="宋体"/>
          <w:szCs w:val="21"/>
        </w:rPr>
      </w:pPr>
      <w:r>
        <w:rPr>
          <w:rFonts w:hint="eastAsia" w:ascii="宋体" w:hAnsi="宋体"/>
        </w:rPr>
        <w:t>1.我单位此次合同履行期限：服务期限</w:t>
      </w:r>
      <w:r>
        <w:rPr>
          <w:rFonts w:hint="eastAsia" w:ascii="宋体" w:hAnsi="宋体"/>
          <w:highlight w:val="none"/>
          <w:lang w:eastAsia="zh-CN"/>
        </w:rPr>
        <w:t>：</w:t>
      </w:r>
      <w:r>
        <w:rPr>
          <w:rFonts w:hint="eastAsia" w:ascii="宋体" w:hAnsi="宋体"/>
          <w:highlight w:val="none"/>
          <w:u w:val="single"/>
        </w:rPr>
        <w:t xml:space="preserve"> </w:t>
      </w:r>
      <w:r>
        <w:rPr>
          <w:rFonts w:hint="eastAsia" w:ascii="宋体" w:hAnsi="宋体"/>
          <w:highlight w:val="none"/>
          <w:u w:val="single"/>
          <w:lang w:val="en-US" w:eastAsia="zh-CN"/>
        </w:rPr>
        <w:t>365</w:t>
      </w:r>
      <w:r>
        <w:rPr>
          <w:rFonts w:hint="eastAsia" w:ascii="宋体" w:hAnsi="宋体"/>
          <w:highlight w:val="none"/>
          <w:u w:val="single"/>
        </w:rPr>
        <w:t>日历天（具体服从</w:t>
      </w:r>
      <w:r>
        <w:rPr>
          <w:rFonts w:hint="eastAsia" w:ascii="宋体" w:hAnsi="宋体"/>
          <w:highlight w:val="none"/>
          <w:u w:val="single"/>
          <w:lang w:val="en-US" w:eastAsia="zh-CN"/>
        </w:rPr>
        <w:t>采购</w:t>
      </w:r>
      <w:r>
        <w:rPr>
          <w:rFonts w:hint="eastAsia" w:ascii="宋体" w:hAnsi="宋体"/>
          <w:highlight w:val="none"/>
          <w:u w:val="single"/>
        </w:rPr>
        <w:t xml:space="preserve">人安排） </w:t>
      </w:r>
      <w:r>
        <w:rPr>
          <w:rFonts w:hint="eastAsia" w:ascii="宋体" w:hAnsi="宋体"/>
          <w:highlight w:val="none"/>
        </w:rPr>
        <w:t>；</w:t>
      </w:r>
      <w:r>
        <w:rPr>
          <w:rFonts w:hint="eastAsia" w:ascii="宋体" w:hAnsi="宋体"/>
        </w:rPr>
        <w:t>服务标准：</w:t>
      </w:r>
      <w:r>
        <w:rPr>
          <w:rFonts w:hint="eastAsia" w:ascii="Times New Roman" w:hAnsi="Times New Roman" w:eastAsia="宋体" w:cs="Times New Roman"/>
          <w:b/>
          <w:bCs/>
          <w:sz w:val="24"/>
          <w:szCs w:val="24"/>
          <w:highlight w:val="none"/>
          <w:u w:val="single"/>
          <w:lang w:val="en-US" w:eastAsia="zh-CN"/>
        </w:rPr>
        <w:t>合格</w:t>
      </w:r>
      <w:r>
        <w:rPr>
          <w:rFonts w:hint="eastAsia" w:ascii="宋体" w:hAnsi="宋体"/>
        </w:rPr>
        <w:t>。</w:t>
      </w:r>
    </w:p>
    <w:p w14:paraId="7D113311">
      <w:pPr>
        <w:pStyle w:val="260"/>
        <w:spacing w:before="0" w:after="0" w:line="420" w:lineRule="auto"/>
        <w:rPr>
          <w:rFonts w:ascii="宋体" w:hAnsi="宋体"/>
          <w:szCs w:val="21"/>
        </w:rPr>
      </w:pPr>
      <w:r>
        <w:rPr>
          <w:rFonts w:hint="eastAsia" w:ascii="宋体" w:hAnsi="宋体"/>
        </w:rPr>
        <w:t>2.</w:t>
      </w:r>
      <w:r>
        <w:rPr>
          <w:rFonts w:hint="eastAsia" w:ascii="宋体" w:hAnsi="宋体"/>
          <w:szCs w:val="21"/>
        </w:rPr>
        <w:t>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p>
    <w:p w14:paraId="6D9D8053">
      <w:pPr>
        <w:pStyle w:val="260"/>
        <w:spacing w:before="0" w:after="0" w:line="420" w:lineRule="auto"/>
        <w:rPr>
          <w:rFonts w:ascii="宋体" w:hAnsi="宋体"/>
          <w:szCs w:val="21"/>
        </w:rPr>
      </w:pPr>
      <w:r>
        <w:rPr>
          <w:rFonts w:hint="eastAsia" w:ascii="宋体" w:hAnsi="宋体"/>
          <w:szCs w:val="21"/>
        </w:rPr>
        <w:t>3.按招标文件规定的各项要求，向买方提供所需货物与服务。</w:t>
      </w:r>
    </w:p>
    <w:p w14:paraId="4D8532AE">
      <w:pPr>
        <w:pStyle w:val="260"/>
        <w:spacing w:before="0" w:after="0" w:line="420" w:lineRule="auto"/>
        <w:rPr>
          <w:rFonts w:ascii="宋体" w:hAnsi="宋体"/>
          <w:szCs w:val="21"/>
        </w:rPr>
      </w:pPr>
      <w:r>
        <w:rPr>
          <w:rFonts w:hint="eastAsia" w:ascii="宋体" w:hAnsi="宋体"/>
          <w:szCs w:val="21"/>
        </w:rPr>
        <w:t>4.我们完全理解贵方不一定将合同授予最低报价的投标人。</w:t>
      </w:r>
    </w:p>
    <w:p w14:paraId="15F9E3FA">
      <w:pPr>
        <w:pStyle w:val="260"/>
        <w:spacing w:before="0" w:after="0" w:line="420" w:lineRule="auto"/>
        <w:rPr>
          <w:rFonts w:ascii="宋体" w:hAnsi="宋体"/>
          <w:szCs w:val="21"/>
        </w:rPr>
      </w:pPr>
      <w:r>
        <w:rPr>
          <w:rFonts w:hint="eastAsia" w:ascii="宋体" w:hAnsi="宋体"/>
          <w:szCs w:val="21"/>
        </w:rPr>
        <w:t>5.我们已详细审核全部招标文件及其有效补充文件，我们知道必须放弃提出含糊不清或误解问题的权利。</w:t>
      </w:r>
    </w:p>
    <w:p w14:paraId="21871DF6">
      <w:pPr>
        <w:pStyle w:val="260"/>
        <w:spacing w:before="0" w:after="0" w:line="420" w:lineRule="auto"/>
        <w:rPr>
          <w:rFonts w:ascii="宋体" w:hAnsi="宋体"/>
          <w:szCs w:val="21"/>
        </w:rPr>
      </w:pPr>
      <w:r>
        <w:rPr>
          <w:rFonts w:hint="eastAsia" w:ascii="宋体" w:hAnsi="宋体"/>
          <w:szCs w:val="21"/>
        </w:rPr>
        <w:t>6.我们同意从规定的开标日期起遵循本投标文件，并在规定的投标有效期(</w:t>
      </w:r>
      <w:r>
        <w:rPr>
          <w:rFonts w:hint="eastAsia" w:ascii="宋体" w:hAnsi="宋体" w:cs="宋体"/>
        </w:rPr>
        <w:t>开标之日后九十天</w:t>
      </w:r>
      <w:r>
        <w:rPr>
          <w:rFonts w:hint="eastAsia" w:ascii="宋体" w:hAnsi="宋体"/>
          <w:szCs w:val="21"/>
        </w:rPr>
        <w:t>)期满之前均具有约束力。</w:t>
      </w:r>
    </w:p>
    <w:p w14:paraId="07C0678C">
      <w:pPr>
        <w:pStyle w:val="260"/>
        <w:spacing w:before="0" w:after="0" w:line="420" w:lineRule="auto"/>
        <w:rPr>
          <w:rFonts w:ascii="宋体" w:hAnsi="宋体"/>
          <w:szCs w:val="21"/>
        </w:rPr>
      </w:pPr>
      <w:r>
        <w:rPr>
          <w:rFonts w:hint="eastAsia" w:ascii="宋体" w:hAnsi="宋体"/>
          <w:szCs w:val="21"/>
        </w:rPr>
        <w:t>7.如果在开标后规定的投标有效期内撤回投标或中标后拒绝签订合同，则按照国家相关法律法规受到相应处罚。</w:t>
      </w:r>
    </w:p>
    <w:p w14:paraId="6047F2A8">
      <w:pPr>
        <w:pStyle w:val="260"/>
        <w:spacing w:before="0" w:after="0" w:line="420" w:lineRule="auto"/>
        <w:rPr>
          <w:rFonts w:ascii="宋体" w:hAnsi="宋体"/>
          <w:szCs w:val="21"/>
        </w:rPr>
      </w:pPr>
      <w:r>
        <w:rPr>
          <w:rFonts w:hint="eastAsia" w:ascii="宋体" w:hAnsi="宋体"/>
          <w:szCs w:val="21"/>
        </w:rPr>
        <w:t>8.同意向贵方提供贵方可能另外要求的与投标有关的任何证据或资料，并保证我方已提供和将要提供的文件是真实的、准确的。</w:t>
      </w:r>
    </w:p>
    <w:p w14:paraId="6236A9F3">
      <w:pPr>
        <w:pStyle w:val="260"/>
        <w:spacing w:before="0" w:after="0" w:line="420" w:lineRule="auto"/>
        <w:rPr>
          <w:rFonts w:ascii="宋体" w:hAnsi="宋体"/>
          <w:szCs w:val="21"/>
        </w:rPr>
      </w:pPr>
      <w:r>
        <w:rPr>
          <w:rFonts w:hint="eastAsia" w:ascii="宋体" w:hAnsi="宋体"/>
          <w:szCs w:val="21"/>
        </w:rPr>
        <w:t>9.一旦我方中标,我方将根据招标文件的规定，严格履行合同的责任和义务,并保证在招标文件规定的时间完成项目，交付买方验收、使用。</w:t>
      </w:r>
    </w:p>
    <w:p w14:paraId="3C341BE6">
      <w:pPr>
        <w:pStyle w:val="260"/>
        <w:spacing w:before="0" w:after="0" w:line="420" w:lineRule="auto"/>
        <w:ind w:left="425"/>
        <w:rPr>
          <w:rFonts w:ascii="宋体" w:hAnsi="宋体"/>
          <w:szCs w:val="21"/>
        </w:rPr>
      </w:pPr>
      <w:r>
        <w:rPr>
          <w:rFonts w:hint="eastAsia" w:ascii="宋体" w:hAnsi="宋体"/>
          <w:szCs w:val="21"/>
        </w:rPr>
        <w:t>10.与本投标有关的正式通讯地址为：</w:t>
      </w:r>
    </w:p>
    <w:p w14:paraId="5F75D007">
      <w:pPr>
        <w:pStyle w:val="260"/>
        <w:spacing w:before="0" w:after="0" w:line="420" w:lineRule="auto"/>
        <w:ind w:left="420"/>
        <w:rPr>
          <w:rFonts w:ascii="宋体" w:hAnsi="宋体"/>
          <w:szCs w:val="21"/>
        </w:rPr>
      </w:pPr>
      <w:r>
        <w:rPr>
          <w:rFonts w:hint="eastAsia" w:ascii="宋体" w:hAnsi="宋体"/>
          <w:szCs w:val="21"/>
        </w:rPr>
        <w:t>地          址：</w:t>
      </w:r>
    </w:p>
    <w:p w14:paraId="65FACB1F">
      <w:pPr>
        <w:pStyle w:val="260"/>
        <w:spacing w:before="0" w:after="0" w:line="420" w:lineRule="auto"/>
        <w:ind w:left="420"/>
        <w:rPr>
          <w:rFonts w:ascii="宋体" w:hAnsi="宋体"/>
          <w:szCs w:val="21"/>
        </w:rPr>
      </w:pPr>
      <w:r>
        <w:rPr>
          <w:rFonts w:hint="eastAsia" w:ascii="宋体" w:hAnsi="宋体"/>
          <w:szCs w:val="21"/>
        </w:rPr>
        <w:t>邮          编：</w:t>
      </w:r>
    </w:p>
    <w:p w14:paraId="67EA6EA2">
      <w:pPr>
        <w:pStyle w:val="260"/>
        <w:spacing w:before="0" w:after="0" w:line="420" w:lineRule="auto"/>
        <w:ind w:left="420"/>
        <w:rPr>
          <w:rFonts w:ascii="宋体" w:hAnsi="宋体"/>
          <w:szCs w:val="21"/>
        </w:rPr>
      </w:pPr>
      <w:r>
        <w:rPr>
          <w:rFonts w:hint="eastAsia" w:ascii="宋体" w:hAnsi="宋体"/>
          <w:szCs w:val="21"/>
        </w:rPr>
        <w:t>电          话：</w:t>
      </w:r>
    </w:p>
    <w:p w14:paraId="429D5BE2">
      <w:pPr>
        <w:pStyle w:val="260"/>
        <w:spacing w:before="0" w:after="0" w:line="420" w:lineRule="auto"/>
        <w:ind w:left="420"/>
        <w:rPr>
          <w:rFonts w:ascii="宋体" w:hAnsi="宋体"/>
          <w:szCs w:val="21"/>
        </w:rPr>
      </w:pPr>
      <w:r>
        <w:rPr>
          <w:rFonts w:hint="eastAsia" w:ascii="宋体" w:hAnsi="宋体"/>
          <w:szCs w:val="21"/>
        </w:rPr>
        <w:t>传          真：</w:t>
      </w:r>
    </w:p>
    <w:p w14:paraId="11AE2939">
      <w:pPr>
        <w:pStyle w:val="260"/>
        <w:spacing w:before="0" w:after="0" w:line="420" w:lineRule="auto"/>
        <w:ind w:left="420"/>
        <w:rPr>
          <w:rFonts w:ascii="宋体" w:hAnsi="宋体"/>
          <w:szCs w:val="21"/>
        </w:rPr>
      </w:pPr>
      <w:r>
        <w:rPr>
          <w:rFonts w:hint="eastAsia" w:ascii="宋体" w:hAnsi="宋体"/>
          <w:szCs w:val="21"/>
        </w:rPr>
        <w:t>投标人开户行：</w:t>
      </w:r>
    </w:p>
    <w:p w14:paraId="70F247AE">
      <w:pPr>
        <w:pStyle w:val="260"/>
        <w:spacing w:before="0" w:after="0" w:line="420" w:lineRule="auto"/>
        <w:ind w:left="420"/>
        <w:rPr>
          <w:rFonts w:ascii="宋体" w:hAnsi="宋体"/>
          <w:szCs w:val="21"/>
        </w:rPr>
      </w:pPr>
      <w:r>
        <w:rPr>
          <w:rFonts w:hint="eastAsia" w:ascii="宋体" w:hAnsi="宋体"/>
          <w:szCs w:val="21"/>
        </w:rPr>
        <w:t xml:space="preserve">账          户： </w:t>
      </w:r>
    </w:p>
    <w:p w14:paraId="718CCC56">
      <w:pPr>
        <w:pStyle w:val="260"/>
        <w:spacing w:before="0" w:after="0" w:line="420" w:lineRule="auto"/>
        <w:ind w:left="420"/>
        <w:rPr>
          <w:rFonts w:ascii="宋体" w:hAnsi="宋体"/>
          <w:szCs w:val="21"/>
        </w:rPr>
      </w:pPr>
      <w:r>
        <w:rPr>
          <w:rFonts w:hint="eastAsia" w:ascii="宋体" w:hAnsi="宋体"/>
          <w:szCs w:val="21"/>
        </w:rPr>
        <w:t>投标人授权代表姓名（签字）：</w:t>
      </w:r>
    </w:p>
    <w:p w14:paraId="535FBEBE">
      <w:pPr>
        <w:pStyle w:val="260"/>
        <w:spacing w:before="0" w:after="0" w:line="420" w:lineRule="auto"/>
        <w:ind w:left="420"/>
        <w:rPr>
          <w:rFonts w:ascii="宋体" w:hAnsi="宋体"/>
          <w:szCs w:val="21"/>
        </w:rPr>
      </w:pPr>
      <w:r>
        <w:rPr>
          <w:rFonts w:hint="eastAsia" w:ascii="宋体" w:hAnsi="宋体"/>
          <w:szCs w:val="21"/>
        </w:rPr>
        <w:t>投标人授权代表电话（手机号码）：</w:t>
      </w:r>
    </w:p>
    <w:p w14:paraId="00BD84DD">
      <w:pPr>
        <w:pStyle w:val="260"/>
        <w:spacing w:before="0" w:after="0" w:line="420" w:lineRule="auto"/>
        <w:ind w:left="420"/>
        <w:rPr>
          <w:rFonts w:ascii="宋体" w:hAnsi="宋体"/>
          <w:szCs w:val="21"/>
        </w:rPr>
      </w:pPr>
      <w:r>
        <w:rPr>
          <w:rFonts w:hint="eastAsia" w:ascii="宋体" w:hAnsi="宋体"/>
          <w:szCs w:val="21"/>
        </w:rPr>
        <w:t xml:space="preserve">投标人名称（公章）： </w:t>
      </w:r>
    </w:p>
    <w:p w14:paraId="2BB45488">
      <w:pPr>
        <w:pStyle w:val="260"/>
        <w:spacing w:before="0" w:after="0" w:line="420" w:lineRule="auto"/>
        <w:ind w:left="420"/>
        <w:rPr>
          <w:rFonts w:ascii="宋体" w:hAnsi="宋体"/>
          <w:szCs w:val="21"/>
        </w:rPr>
      </w:pPr>
      <w:r>
        <w:rPr>
          <w:rFonts w:hint="eastAsia" w:ascii="宋体" w:hAnsi="宋体"/>
          <w:szCs w:val="21"/>
        </w:rPr>
        <w:t>日           期：    年    月   日</w:t>
      </w:r>
    </w:p>
    <w:p w14:paraId="2B13F764">
      <w:pPr>
        <w:spacing w:line="420" w:lineRule="auto"/>
        <w:ind w:firstLine="880"/>
        <w:rPr>
          <w:rFonts w:ascii="黑体" w:eastAsia="黑体"/>
          <w:sz w:val="44"/>
        </w:rPr>
      </w:pPr>
      <w:r>
        <w:rPr>
          <w:rFonts w:hint="eastAsia" w:ascii="黑体" w:eastAsia="黑体"/>
          <w:sz w:val="44"/>
        </w:rPr>
        <w:t xml:space="preserve">    </w:t>
      </w:r>
    </w:p>
    <w:p w14:paraId="60EC7A6B">
      <w:pPr>
        <w:pStyle w:val="221"/>
        <w:spacing w:line="420" w:lineRule="auto"/>
        <w:ind w:left="1470" w:right="1470" w:firstLine="420"/>
        <w:rPr>
          <w:rFonts w:hint="default"/>
        </w:rPr>
      </w:pPr>
    </w:p>
    <w:p w14:paraId="1FCC4B7A">
      <w:pPr>
        <w:spacing w:before="50" w:after="145" w:line="420" w:lineRule="auto"/>
        <w:ind w:firstLine="643"/>
        <w:jc w:val="center"/>
        <w:rPr>
          <w:rFonts w:ascii="宋体" w:cs="宋体"/>
          <w:b/>
          <w:bCs/>
          <w:sz w:val="32"/>
          <w:szCs w:val="32"/>
        </w:rPr>
      </w:pPr>
    </w:p>
    <w:p w14:paraId="4990F421">
      <w:pPr>
        <w:spacing w:before="50" w:after="145" w:line="420" w:lineRule="auto"/>
        <w:ind w:firstLine="643"/>
        <w:jc w:val="center"/>
        <w:rPr>
          <w:rFonts w:ascii="宋体" w:cs="宋体"/>
          <w:b/>
          <w:bCs/>
          <w:sz w:val="32"/>
          <w:szCs w:val="32"/>
        </w:rPr>
      </w:pPr>
    </w:p>
    <w:p w14:paraId="7791B576">
      <w:pPr>
        <w:spacing w:before="50" w:after="145" w:line="420" w:lineRule="auto"/>
        <w:ind w:firstLine="643"/>
        <w:jc w:val="center"/>
        <w:rPr>
          <w:rFonts w:ascii="宋体" w:cs="宋体"/>
          <w:b/>
          <w:bCs/>
          <w:sz w:val="32"/>
          <w:szCs w:val="32"/>
        </w:rPr>
      </w:pPr>
    </w:p>
    <w:p w14:paraId="36680646">
      <w:pPr>
        <w:spacing w:before="50" w:after="145" w:line="420" w:lineRule="auto"/>
        <w:ind w:firstLine="643"/>
        <w:jc w:val="center"/>
        <w:rPr>
          <w:rFonts w:ascii="宋体" w:cs="宋体"/>
          <w:b/>
          <w:bCs/>
          <w:sz w:val="32"/>
          <w:szCs w:val="32"/>
        </w:rPr>
      </w:pPr>
    </w:p>
    <w:p w14:paraId="1C67E168">
      <w:pPr>
        <w:spacing w:before="50" w:after="145" w:line="420" w:lineRule="auto"/>
        <w:ind w:firstLine="643"/>
        <w:jc w:val="center"/>
        <w:rPr>
          <w:rFonts w:ascii="宋体" w:cs="宋体"/>
          <w:b/>
          <w:bCs/>
          <w:sz w:val="32"/>
          <w:szCs w:val="32"/>
        </w:rPr>
      </w:pPr>
    </w:p>
    <w:p w14:paraId="7469FF4F">
      <w:pPr>
        <w:spacing w:before="50" w:after="145" w:line="420" w:lineRule="auto"/>
        <w:ind w:firstLine="643"/>
        <w:jc w:val="center"/>
        <w:rPr>
          <w:rFonts w:ascii="宋体" w:cs="宋体"/>
          <w:b/>
          <w:bCs/>
          <w:sz w:val="32"/>
          <w:szCs w:val="32"/>
        </w:rPr>
      </w:pPr>
    </w:p>
    <w:p w14:paraId="7C8AF76A">
      <w:pPr>
        <w:spacing w:before="50" w:after="145" w:line="420" w:lineRule="auto"/>
        <w:jc w:val="both"/>
        <w:rPr>
          <w:rFonts w:ascii="宋体" w:cs="宋体"/>
          <w:b/>
          <w:bCs/>
          <w:sz w:val="32"/>
          <w:szCs w:val="32"/>
        </w:rPr>
      </w:pPr>
    </w:p>
    <w:p w14:paraId="0B261BD4">
      <w:pPr>
        <w:pStyle w:val="201"/>
        <w:spacing w:line="420" w:lineRule="auto"/>
        <w:ind w:firstLine="643"/>
        <w:jc w:val="center"/>
        <w:rPr>
          <w:rFonts w:hint="eastAsia" w:ascii="宋体" w:hAnsi="宋体" w:eastAsia="宋体" w:cs="Times New Roman"/>
        </w:rPr>
      </w:pPr>
      <w:r>
        <w:rPr>
          <w:rFonts w:hint="eastAsia" w:ascii="宋体" w:hAnsi="宋体" w:eastAsia="宋体" w:cs="Times New Roman"/>
        </w:rPr>
        <w:t>开标一览表</w:t>
      </w:r>
    </w:p>
    <w:p w14:paraId="3544392E">
      <w:pPr>
        <w:spacing w:line="420" w:lineRule="auto"/>
        <w:rPr>
          <w:rFonts w:ascii="宋体" w:hAnsi="宋体" w:cs="宋体"/>
          <w:sz w:val="24"/>
          <w:szCs w:val="24"/>
        </w:rPr>
      </w:pPr>
      <w:r>
        <w:rPr>
          <w:rFonts w:hint="eastAsia" w:ascii="宋体" w:hAnsi="宋体" w:cs="宋体"/>
          <w:sz w:val="24"/>
          <w:szCs w:val="24"/>
        </w:rPr>
        <w:t>投标人全称（加盖公章）：</w:t>
      </w:r>
    </w:p>
    <w:p w14:paraId="00DA1D80">
      <w:pPr>
        <w:pStyle w:val="200"/>
        <w:spacing w:before="0" w:after="0" w:line="420" w:lineRule="auto"/>
        <w:jc w:val="both"/>
        <w:rPr>
          <w:rFonts w:ascii="宋体" w:hAnsi="宋体" w:eastAsia="宋体" w:cs="宋体"/>
          <w:b w:val="0"/>
          <w:bCs w:val="0"/>
          <w:sz w:val="24"/>
          <w:szCs w:val="24"/>
        </w:rPr>
      </w:pPr>
      <w:r>
        <w:rPr>
          <w:rFonts w:hint="eastAsia" w:ascii="宋体" w:hAnsi="宋体" w:eastAsia="宋体" w:cs="宋体"/>
          <w:b w:val="0"/>
          <w:bCs w:val="0"/>
          <w:sz w:val="24"/>
          <w:szCs w:val="24"/>
        </w:rPr>
        <w:t>项目名称：</w:t>
      </w:r>
    </w:p>
    <w:p w14:paraId="4256ECC8">
      <w:pPr>
        <w:spacing w:line="420" w:lineRule="auto"/>
        <w:rPr>
          <w:rFonts w:ascii="宋体" w:hAnsi="宋体" w:cs="宋体"/>
          <w:sz w:val="24"/>
          <w:szCs w:val="24"/>
        </w:rPr>
      </w:pPr>
      <w:r>
        <w:rPr>
          <w:rFonts w:hint="eastAsia" w:ascii="宋体" w:hAnsi="宋体" w:cs="宋体"/>
          <w:sz w:val="24"/>
          <w:szCs w:val="24"/>
        </w:rPr>
        <w:t>项目编号：</w:t>
      </w:r>
    </w:p>
    <w:tbl>
      <w:tblPr>
        <w:tblStyle w:val="39"/>
        <w:tblW w:w="10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96"/>
        <w:gridCol w:w="7749"/>
      </w:tblGrid>
      <w:tr w14:paraId="467AC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9" w:hRule="atLeast"/>
          <w:jc w:val="center"/>
        </w:trPr>
        <w:tc>
          <w:tcPr>
            <w:tcW w:w="2396" w:type="dxa"/>
            <w:noWrap/>
            <w:vAlign w:val="center"/>
          </w:tcPr>
          <w:p w14:paraId="7380293C">
            <w:pPr>
              <w:spacing w:line="420" w:lineRule="auto"/>
              <w:jc w:val="center"/>
              <w:rPr>
                <w:rFonts w:ascii="宋体" w:cs="宋体"/>
                <w:sz w:val="24"/>
                <w:szCs w:val="24"/>
              </w:rPr>
            </w:pPr>
            <w:r>
              <w:rPr>
                <w:rFonts w:hint="eastAsia" w:ascii="宋体" w:cs="宋体"/>
                <w:sz w:val="24"/>
                <w:szCs w:val="24"/>
              </w:rPr>
              <w:t>项目名称</w:t>
            </w:r>
          </w:p>
        </w:tc>
        <w:tc>
          <w:tcPr>
            <w:tcW w:w="7749" w:type="dxa"/>
            <w:noWrap/>
            <w:vAlign w:val="center"/>
          </w:tcPr>
          <w:p w14:paraId="31314BEE">
            <w:pPr>
              <w:pStyle w:val="200"/>
              <w:spacing w:line="420" w:lineRule="auto"/>
              <w:rPr>
                <w:rFonts w:hint="eastAsia" w:ascii="宋体" w:eastAsia="宋体" w:cs="宋体"/>
                <w:b w:val="0"/>
                <w:bCs w:val="0"/>
                <w:sz w:val="24"/>
                <w:szCs w:val="24"/>
                <w:lang w:eastAsia="zh-CN"/>
              </w:rPr>
            </w:pPr>
            <w:r>
              <w:rPr>
                <w:rFonts w:hint="eastAsia" w:ascii="宋体" w:eastAsia="宋体" w:cs="宋体"/>
                <w:b w:val="0"/>
                <w:bCs w:val="0"/>
                <w:sz w:val="24"/>
                <w:szCs w:val="24"/>
                <w:lang w:eastAsia="zh-CN"/>
              </w:rPr>
              <w:t>滨海县城镇污水管网COD浓度分析及河道排口溯源服务项目</w:t>
            </w:r>
          </w:p>
        </w:tc>
      </w:tr>
      <w:tr w14:paraId="70C93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00" w:hRule="atLeast"/>
          <w:jc w:val="center"/>
        </w:trPr>
        <w:tc>
          <w:tcPr>
            <w:tcW w:w="2396" w:type="dxa"/>
            <w:noWrap/>
            <w:vAlign w:val="center"/>
          </w:tcPr>
          <w:p w14:paraId="72352182">
            <w:pPr>
              <w:spacing w:line="420" w:lineRule="auto"/>
              <w:rPr>
                <w:rFonts w:ascii="宋体" w:cs="宋体"/>
                <w:sz w:val="24"/>
                <w:szCs w:val="24"/>
              </w:rPr>
            </w:pPr>
            <w:r>
              <w:rPr>
                <w:rFonts w:hint="eastAsia" w:ascii="宋体" w:cs="宋体"/>
                <w:sz w:val="24"/>
                <w:szCs w:val="24"/>
              </w:rPr>
              <w:t>投标报价总价（元）</w:t>
            </w:r>
          </w:p>
        </w:tc>
        <w:tc>
          <w:tcPr>
            <w:tcW w:w="7749" w:type="dxa"/>
            <w:noWrap/>
            <w:vAlign w:val="center"/>
          </w:tcPr>
          <w:p w14:paraId="39D71B5C">
            <w:pPr>
              <w:spacing w:line="520" w:lineRule="exact"/>
              <w:ind w:firstLine="480" w:firstLineChars="200"/>
              <w:rPr>
                <w:rFonts w:hint="eastAsia" w:ascii="宋体" w:hAnsi="宋体" w:cs="宋体"/>
                <w:sz w:val="24"/>
                <w:szCs w:val="24"/>
                <w:highlight w:val="none"/>
              </w:rPr>
            </w:pPr>
          </w:p>
          <w:p w14:paraId="28821847">
            <w:pPr>
              <w:spacing w:line="52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总价人民币大写：</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；小写：</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3C32699A">
            <w:pPr>
              <w:pStyle w:val="38"/>
              <w:ind w:firstLine="482"/>
            </w:pPr>
          </w:p>
        </w:tc>
      </w:tr>
      <w:tr w14:paraId="79F85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0" w:hRule="atLeast"/>
          <w:jc w:val="center"/>
        </w:trPr>
        <w:tc>
          <w:tcPr>
            <w:tcW w:w="10145" w:type="dxa"/>
            <w:gridSpan w:val="2"/>
            <w:noWrap/>
            <w:vAlign w:val="center"/>
          </w:tcPr>
          <w:p w14:paraId="487875E7">
            <w:pPr>
              <w:pStyle w:val="38"/>
              <w:ind w:left="0" w:leftChars="0" w:firstLine="0" w:firstLineChars="0"/>
              <w:jc w:val="left"/>
              <w:rPr>
                <w:b w:val="0"/>
                <w:bCs w:val="0"/>
              </w:rPr>
            </w:pPr>
            <w:r>
              <w:rPr>
                <w:rFonts w:hint="eastAsia" w:ascii="宋体"/>
                <w:b w:val="0"/>
                <w:bCs w:val="0"/>
                <w:color w:val="000000"/>
                <w:sz w:val="24"/>
              </w:rPr>
              <w:t>是否提供《企业类型声明函》：</w:t>
            </w:r>
            <w:r>
              <w:rPr>
                <w:rFonts w:hint="eastAsia" w:ascii="宋体"/>
                <w:b w:val="0"/>
                <w:bCs w:val="0"/>
                <w:color w:val="000000"/>
                <w:sz w:val="24"/>
                <w:u w:val="single"/>
              </w:rPr>
              <w:t xml:space="preserve">  是/否   </w:t>
            </w:r>
            <w:r>
              <w:rPr>
                <w:rFonts w:hint="eastAsia" w:ascii="宋体"/>
                <w:b w:val="0"/>
                <w:bCs w:val="0"/>
                <w:color w:val="000000"/>
                <w:sz w:val="24"/>
              </w:rPr>
              <w:t xml:space="preserve">           见</w:t>
            </w:r>
            <w:r>
              <w:rPr>
                <w:rFonts w:hint="eastAsia" w:ascii="宋体"/>
                <w:b w:val="0"/>
                <w:bCs w:val="0"/>
                <w:color w:val="000000"/>
                <w:sz w:val="24"/>
                <w:u w:val="single"/>
              </w:rPr>
              <w:t>（          ）</w:t>
            </w:r>
            <w:r>
              <w:rPr>
                <w:rFonts w:hint="eastAsia" w:ascii="宋体"/>
                <w:b w:val="0"/>
                <w:bCs w:val="0"/>
                <w:color w:val="000000"/>
                <w:sz w:val="24"/>
              </w:rPr>
              <w:t>页</w:t>
            </w:r>
          </w:p>
        </w:tc>
      </w:tr>
    </w:tbl>
    <w:p w14:paraId="76901F98">
      <w:pPr>
        <w:spacing w:line="520" w:lineRule="exact"/>
        <w:rPr>
          <w:rFonts w:hint="eastAsia" w:ascii="宋体" w:hAnsi="宋体" w:eastAsia="宋体" w:cs="宋体"/>
          <w:color w:val="FF0000"/>
          <w:sz w:val="24"/>
          <w:szCs w:val="24"/>
          <w:highlight w:val="none"/>
          <w:lang w:val="en-US" w:eastAsia="zh-CN"/>
        </w:rPr>
      </w:pPr>
    </w:p>
    <w:p w14:paraId="1988E9FF">
      <w:pPr>
        <w:spacing w:line="420" w:lineRule="auto"/>
        <w:rPr>
          <w:rFonts w:ascii="宋体" w:cs="宋体"/>
          <w:sz w:val="24"/>
        </w:rPr>
      </w:pPr>
      <w:r>
        <w:rPr>
          <w:rFonts w:hint="eastAsia" w:ascii="宋体" w:cs="宋体"/>
          <w:sz w:val="24"/>
        </w:rPr>
        <w:t xml:space="preserve">             </w:t>
      </w:r>
    </w:p>
    <w:p w14:paraId="48B23936">
      <w:pPr>
        <w:spacing w:line="420" w:lineRule="auto"/>
        <w:jc w:val="right"/>
        <w:rPr>
          <w:rFonts w:ascii="宋体" w:cs="宋体"/>
          <w:sz w:val="24"/>
        </w:rPr>
      </w:pPr>
      <w:r>
        <w:rPr>
          <w:rFonts w:hint="eastAsia" w:ascii="宋体" w:cs="宋体"/>
          <w:sz w:val="24"/>
        </w:rPr>
        <w:t xml:space="preserve"> 日期：    年   月   日</w:t>
      </w:r>
    </w:p>
    <w:p w14:paraId="34E7CDD5">
      <w:pPr>
        <w:spacing w:line="420" w:lineRule="auto"/>
        <w:ind w:firstLine="480" w:firstLineChars="200"/>
        <w:rPr>
          <w:rFonts w:ascii="宋体" w:cs="宋体"/>
          <w:sz w:val="24"/>
        </w:rPr>
      </w:pPr>
      <w:r>
        <w:rPr>
          <w:rFonts w:hint="eastAsia" w:ascii="宋体" w:cs="宋体"/>
          <w:sz w:val="24"/>
        </w:rPr>
        <w:t>填写说明：</w:t>
      </w:r>
    </w:p>
    <w:p w14:paraId="602AE0D4">
      <w:pPr>
        <w:spacing w:line="420" w:lineRule="auto"/>
        <w:ind w:firstLine="480" w:firstLineChars="200"/>
        <w:rPr>
          <w:rFonts w:ascii="宋体" w:cs="宋体"/>
          <w:sz w:val="24"/>
        </w:rPr>
      </w:pPr>
      <w:r>
        <w:rPr>
          <w:rFonts w:hint="eastAsia" w:ascii="宋体" w:hAnsi="宋体" w:cs="宋体"/>
          <w:sz w:val="24"/>
          <w:szCs w:val="24"/>
        </w:rPr>
        <w:t>1、开标</w:t>
      </w:r>
      <w:r>
        <w:rPr>
          <w:rFonts w:hAnsi="宋体"/>
          <w:sz w:val="24"/>
          <w:szCs w:val="24"/>
        </w:rPr>
        <w:t>一览表不得填报选择性报价，不得高于最高限价，否则将作为无效投标；报价小数点后可保留两位小数，第三位不论大小一律不计</w:t>
      </w:r>
      <w:r>
        <w:rPr>
          <w:rFonts w:hint="eastAsia" w:ascii="宋体" w:cs="宋体"/>
          <w:sz w:val="24"/>
        </w:rPr>
        <w:t>。</w:t>
      </w:r>
    </w:p>
    <w:p w14:paraId="6C3A4424">
      <w:pPr>
        <w:spacing w:line="420" w:lineRule="auto"/>
        <w:ind w:firstLine="480" w:firstLineChars="200"/>
        <w:rPr>
          <w:rFonts w:ascii="宋体" w:cs="宋体"/>
          <w:sz w:val="24"/>
        </w:rPr>
      </w:pPr>
      <w:r>
        <w:rPr>
          <w:rFonts w:hint="eastAsia" w:ascii="宋体" w:cs="宋体"/>
          <w:sz w:val="24"/>
        </w:rPr>
        <w:t>2、请按表中规定格式完整、清晰、正确填写。</w:t>
      </w:r>
    </w:p>
    <w:p w14:paraId="400CF4CE">
      <w:pPr>
        <w:spacing w:line="420" w:lineRule="auto"/>
        <w:rPr>
          <w:rFonts w:ascii="宋体" w:hAnsi="宋体"/>
          <w:bCs/>
          <w:sz w:val="24"/>
        </w:rPr>
      </w:pPr>
    </w:p>
    <w:p w14:paraId="0049CD42">
      <w:pPr>
        <w:pStyle w:val="221"/>
        <w:spacing w:line="420" w:lineRule="auto"/>
        <w:ind w:left="1470" w:right="1470" w:firstLine="880"/>
        <w:rPr>
          <w:rFonts w:hint="default" w:ascii="黑体" w:eastAsia="黑体"/>
          <w:sz w:val="44"/>
        </w:rPr>
      </w:pPr>
    </w:p>
    <w:p w14:paraId="5037227B">
      <w:pPr>
        <w:spacing w:before="50" w:after="145" w:line="420" w:lineRule="auto"/>
        <w:ind w:firstLine="640"/>
        <w:rPr>
          <w:rFonts w:ascii="宋体" w:cs="宋体"/>
          <w:sz w:val="32"/>
          <w:szCs w:val="32"/>
        </w:rPr>
        <w:sectPr>
          <w:pgSz w:w="11906" w:h="16838"/>
          <w:pgMar w:top="1418" w:right="1588" w:bottom="1418" w:left="1365" w:header="851" w:footer="907" w:gutter="0"/>
          <w:cols w:space="1701" w:num="1"/>
          <w:titlePg/>
          <w:docGrid w:linePitch="360" w:charSpace="0"/>
        </w:sectPr>
      </w:pPr>
    </w:p>
    <w:p w14:paraId="56339CE7">
      <w:pPr>
        <w:pStyle w:val="201"/>
        <w:spacing w:line="420" w:lineRule="auto"/>
        <w:ind w:firstLine="643"/>
        <w:jc w:val="center"/>
        <w:rPr>
          <w:rFonts w:hint="eastAsia" w:ascii="宋体" w:hAnsi="宋体" w:eastAsia="宋体" w:cs="Times New Roman"/>
        </w:rPr>
      </w:pPr>
      <w:r>
        <w:rPr>
          <w:rFonts w:hint="eastAsia" w:ascii="宋体" w:hAnsi="宋体" w:eastAsia="宋体" w:cs="Times New Roman"/>
        </w:rPr>
        <w:t>具备履行合同所必需的设备和专业技术能力的书面声明</w:t>
      </w:r>
    </w:p>
    <w:p w14:paraId="67B5E85D">
      <w:pPr>
        <w:spacing w:line="420" w:lineRule="auto"/>
        <w:ind w:firstLine="480"/>
        <w:rPr>
          <w:rFonts w:ascii="宋体" w:hAnsi="宋体"/>
          <w:bCs/>
          <w:sz w:val="24"/>
        </w:rPr>
      </w:pPr>
      <w:r>
        <w:rPr>
          <w:rFonts w:hint="eastAsia" w:ascii="宋体" w:hAnsi="宋体"/>
          <w:bCs/>
          <w:sz w:val="24"/>
        </w:rPr>
        <w:t>我公司郑重声明：我公司具备履行本项采购合同所必需的设备和专业技术能力，为履行本项采购合同我公司具备如下主要设备和主要专业技术能力：</w:t>
      </w:r>
    </w:p>
    <w:p w14:paraId="0FEC8F76">
      <w:pPr>
        <w:spacing w:line="420" w:lineRule="auto"/>
        <w:ind w:firstLine="480"/>
        <w:rPr>
          <w:rFonts w:ascii="宋体" w:hAnsi="宋体"/>
          <w:bCs/>
          <w:sz w:val="24"/>
        </w:rPr>
      </w:pPr>
      <w:r>
        <w:rPr>
          <w:rFonts w:hint="eastAsia" w:ascii="宋体" w:hAnsi="宋体"/>
          <w:bCs/>
          <w:sz w:val="24"/>
        </w:rPr>
        <w:t>主要设备有：</w:t>
      </w:r>
      <w:r>
        <w:rPr>
          <w:rFonts w:hint="eastAsia" w:ascii="宋体" w:hAnsi="宋体"/>
          <w:bCs/>
          <w:sz w:val="24"/>
          <w:u w:val="single"/>
        </w:rPr>
        <w:t xml:space="preserve">           </w:t>
      </w:r>
      <w:r>
        <w:rPr>
          <w:rFonts w:hint="eastAsia" w:ascii="宋体" w:hAnsi="宋体"/>
          <w:bCs/>
          <w:sz w:val="24"/>
        </w:rPr>
        <w:t>。</w:t>
      </w:r>
    </w:p>
    <w:p w14:paraId="7D371104">
      <w:pPr>
        <w:spacing w:line="420" w:lineRule="auto"/>
        <w:ind w:firstLine="480"/>
        <w:rPr>
          <w:rFonts w:ascii="宋体" w:hAnsi="宋体"/>
          <w:bCs/>
          <w:sz w:val="24"/>
        </w:rPr>
      </w:pPr>
      <w:r>
        <w:rPr>
          <w:rFonts w:hint="eastAsia" w:ascii="宋体" w:hAnsi="宋体"/>
          <w:bCs/>
          <w:sz w:val="24"/>
        </w:rPr>
        <w:t>主要专业技术能力有：</w:t>
      </w:r>
      <w:r>
        <w:rPr>
          <w:rFonts w:hint="eastAsia" w:ascii="宋体" w:hAnsi="宋体"/>
          <w:bCs/>
          <w:sz w:val="24"/>
          <w:u w:val="single"/>
        </w:rPr>
        <w:t xml:space="preserve">             </w:t>
      </w:r>
      <w:r>
        <w:rPr>
          <w:rFonts w:hint="eastAsia" w:ascii="宋体" w:hAnsi="宋体"/>
          <w:bCs/>
          <w:sz w:val="24"/>
        </w:rPr>
        <w:t>。</w:t>
      </w:r>
    </w:p>
    <w:p w14:paraId="06C034A2">
      <w:pPr>
        <w:spacing w:line="420" w:lineRule="auto"/>
        <w:ind w:firstLine="480"/>
        <w:rPr>
          <w:rFonts w:ascii="宋体" w:hAnsi="宋体"/>
          <w:bCs/>
          <w:sz w:val="24"/>
        </w:rPr>
      </w:pPr>
    </w:p>
    <w:p w14:paraId="05E365AF">
      <w:pPr>
        <w:spacing w:line="420" w:lineRule="auto"/>
        <w:ind w:firstLine="480"/>
        <w:rPr>
          <w:rFonts w:ascii="宋体" w:hAnsi="宋体"/>
          <w:bCs/>
          <w:sz w:val="24"/>
        </w:rPr>
      </w:pPr>
    </w:p>
    <w:p w14:paraId="76E7DDF8">
      <w:pPr>
        <w:spacing w:line="420" w:lineRule="auto"/>
        <w:ind w:firstLine="480"/>
        <w:rPr>
          <w:rFonts w:ascii="宋体" w:hAnsi="宋体"/>
          <w:bCs/>
          <w:sz w:val="24"/>
        </w:rPr>
      </w:pPr>
    </w:p>
    <w:p w14:paraId="6A3D91FD">
      <w:pPr>
        <w:spacing w:line="420" w:lineRule="auto"/>
        <w:rPr>
          <w:rFonts w:ascii="宋体" w:hAnsi="宋体"/>
          <w:bCs/>
          <w:sz w:val="24"/>
        </w:rPr>
      </w:pPr>
      <w:r>
        <w:rPr>
          <w:rFonts w:hint="eastAsia" w:ascii="宋体" w:hAnsi="宋体"/>
          <w:bCs/>
          <w:sz w:val="24"/>
        </w:rPr>
        <w:t xml:space="preserve">                                      供应商名称（公章）：</w:t>
      </w:r>
    </w:p>
    <w:p w14:paraId="1F4FE4E0">
      <w:pPr>
        <w:spacing w:line="420" w:lineRule="auto"/>
        <w:rPr>
          <w:rFonts w:ascii="宋体" w:hAnsi="宋体"/>
          <w:bCs/>
          <w:sz w:val="24"/>
        </w:rPr>
      </w:pPr>
      <w:r>
        <w:rPr>
          <w:rFonts w:hint="eastAsia" w:ascii="宋体" w:hAnsi="宋体"/>
          <w:bCs/>
          <w:sz w:val="24"/>
        </w:rPr>
        <w:t xml:space="preserve">                                     </w:t>
      </w:r>
    </w:p>
    <w:p w14:paraId="4389B31B">
      <w:pPr>
        <w:spacing w:line="420" w:lineRule="auto"/>
        <w:rPr>
          <w:rFonts w:ascii="宋体" w:hAnsi="宋体"/>
          <w:bCs/>
          <w:sz w:val="24"/>
        </w:rPr>
      </w:pPr>
      <w:r>
        <w:rPr>
          <w:rFonts w:hint="eastAsia" w:ascii="宋体" w:hAnsi="宋体"/>
          <w:bCs/>
          <w:sz w:val="24"/>
        </w:rPr>
        <w:t xml:space="preserve">                                     日期：</w:t>
      </w:r>
      <w:r>
        <w:rPr>
          <w:rFonts w:hint="eastAsia" w:ascii="宋体" w:cs="宋体"/>
          <w:sz w:val="24"/>
        </w:rPr>
        <w:t xml:space="preserve">    年   月   日</w:t>
      </w:r>
    </w:p>
    <w:p w14:paraId="03AA1DE9">
      <w:pPr>
        <w:pStyle w:val="202"/>
        <w:spacing w:line="420" w:lineRule="auto"/>
        <w:ind w:firstLine="480"/>
      </w:pPr>
      <w:r>
        <w:rPr/>
        <w:br w:type="page" w:clear="all"/>
      </w:r>
    </w:p>
    <w:p w14:paraId="028121ED">
      <w:pPr>
        <w:pStyle w:val="201"/>
        <w:spacing w:line="420" w:lineRule="auto"/>
        <w:ind w:firstLine="482"/>
        <w:jc w:val="center"/>
        <w:rPr>
          <w:rFonts w:ascii="宋体" w:hAnsi="宋体"/>
          <w:sz w:val="24"/>
          <w:szCs w:val="24"/>
        </w:rPr>
      </w:pPr>
      <w:r>
        <w:rPr>
          <w:rFonts w:hint="eastAsia" w:ascii="宋体" w:hAnsi="宋体"/>
          <w:sz w:val="24"/>
          <w:szCs w:val="24"/>
        </w:rPr>
        <w:t>参加政府采购活动前 3 年内在经营活动中没有重大违法记录的书面声明</w:t>
      </w:r>
    </w:p>
    <w:p w14:paraId="4C835E9E">
      <w:pPr>
        <w:spacing w:line="420" w:lineRule="auto"/>
        <w:ind w:firstLine="482"/>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声  明</w:t>
      </w:r>
    </w:p>
    <w:p w14:paraId="15E8033F">
      <w:pPr>
        <w:spacing w:line="420" w:lineRule="auto"/>
        <w:ind w:firstLine="482"/>
        <w:rPr>
          <w:rFonts w:ascii="宋体" w:hAnsi="宋体"/>
          <w:bCs/>
          <w:sz w:val="24"/>
        </w:rPr>
      </w:pPr>
      <w:r>
        <w:rPr>
          <w:rFonts w:hint="eastAsia" w:ascii="宋体" w:hAnsi="宋体"/>
          <w:b/>
          <w:bCs/>
          <w:sz w:val="24"/>
        </w:rPr>
        <w:t xml:space="preserve">    </w:t>
      </w:r>
      <w:r>
        <w:rPr>
          <w:rFonts w:hint="eastAsia" w:ascii="宋体" w:hAnsi="宋体"/>
          <w:bCs/>
          <w:sz w:val="24"/>
        </w:rPr>
        <w:t>我公司郑重声明：参加本次政府采购活动前 3 年内，我公司在经营活动中没有因违法经营受到刑事处罚或者责令停产停业、吊销许可证或者执照、较大数额罚款等行政处罚。</w:t>
      </w:r>
    </w:p>
    <w:p w14:paraId="68396C2D">
      <w:pPr>
        <w:spacing w:line="420" w:lineRule="auto"/>
        <w:rPr>
          <w:rFonts w:ascii="宋体" w:hAnsi="宋体"/>
          <w:bCs/>
          <w:sz w:val="24"/>
        </w:rPr>
      </w:pPr>
      <w:r>
        <w:rPr>
          <w:rFonts w:hint="eastAsia" w:ascii="宋体" w:hAnsi="宋体"/>
          <w:bCs/>
          <w:sz w:val="24"/>
        </w:rPr>
        <w:t xml:space="preserve">                                      供应商名称（公章）：</w:t>
      </w:r>
    </w:p>
    <w:p w14:paraId="13B21E61">
      <w:pPr>
        <w:spacing w:line="420" w:lineRule="auto"/>
        <w:rPr>
          <w:rFonts w:ascii="宋体" w:hAnsi="宋体"/>
          <w:bCs/>
          <w:sz w:val="24"/>
        </w:rPr>
      </w:pPr>
      <w:r>
        <w:rPr>
          <w:rFonts w:hint="eastAsia" w:ascii="宋体" w:hAnsi="宋体"/>
          <w:bCs/>
          <w:sz w:val="24"/>
        </w:rPr>
        <w:t xml:space="preserve">                                    授权代表签字：</w:t>
      </w:r>
      <w:r>
        <w:rPr>
          <w:rFonts w:hint="eastAsia" w:ascii="宋体" w:hAnsi="宋体"/>
          <w:bCs/>
          <w:sz w:val="24"/>
          <w:u w:val="single"/>
        </w:rPr>
        <w:t xml:space="preserve">                  </w:t>
      </w:r>
      <w:r>
        <w:rPr>
          <w:rFonts w:hint="eastAsia" w:ascii="宋体" w:hAnsi="宋体"/>
          <w:bCs/>
          <w:sz w:val="24"/>
        </w:rPr>
        <w:t xml:space="preserve"> </w:t>
      </w:r>
    </w:p>
    <w:p w14:paraId="553CA869">
      <w:pPr>
        <w:spacing w:line="420" w:lineRule="auto"/>
        <w:rPr>
          <w:rFonts w:ascii="宋体" w:hAnsi="宋体"/>
          <w:bCs/>
          <w:sz w:val="24"/>
        </w:rPr>
      </w:pPr>
      <w:r>
        <w:rPr>
          <w:rFonts w:hint="eastAsia" w:ascii="宋体" w:hAnsi="宋体"/>
          <w:bCs/>
          <w:sz w:val="24"/>
        </w:rPr>
        <w:t xml:space="preserve">                                      日期：</w:t>
      </w:r>
      <w:r>
        <w:rPr>
          <w:rFonts w:hint="eastAsia" w:ascii="宋体" w:cs="宋体"/>
          <w:sz w:val="24"/>
        </w:rPr>
        <w:t xml:space="preserve">    年   月   日</w:t>
      </w:r>
    </w:p>
    <w:p w14:paraId="208F7E7F">
      <w:pPr>
        <w:spacing w:line="420" w:lineRule="auto"/>
        <w:rPr>
          <w:rFonts w:ascii="宋体" w:hAnsi="宋体"/>
          <w:bCs/>
          <w:sz w:val="24"/>
        </w:rPr>
      </w:pPr>
    </w:p>
    <w:p w14:paraId="3D3F25D3">
      <w:pPr>
        <w:spacing w:line="420" w:lineRule="auto"/>
        <w:rPr>
          <w:rFonts w:ascii="宋体" w:hAnsi="宋体"/>
          <w:bCs/>
          <w:sz w:val="24"/>
        </w:rPr>
      </w:pPr>
    </w:p>
    <w:p w14:paraId="3401AA3F">
      <w:pPr>
        <w:spacing w:line="420" w:lineRule="auto"/>
        <w:rPr>
          <w:rFonts w:ascii="宋体" w:hAnsi="宋体"/>
          <w:bCs/>
          <w:sz w:val="24"/>
        </w:rPr>
      </w:pPr>
    </w:p>
    <w:p w14:paraId="593F42D9">
      <w:pPr>
        <w:spacing w:line="420" w:lineRule="auto"/>
        <w:rPr>
          <w:rFonts w:ascii="宋体" w:hAnsi="宋体"/>
          <w:bCs/>
          <w:sz w:val="24"/>
        </w:rPr>
      </w:pPr>
    </w:p>
    <w:p w14:paraId="3D0D2BB9">
      <w:pPr>
        <w:spacing w:line="420" w:lineRule="auto"/>
        <w:rPr>
          <w:rFonts w:ascii="宋体" w:hAnsi="宋体"/>
          <w:bCs/>
          <w:sz w:val="24"/>
        </w:rPr>
      </w:pPr>
    </w:p>
    <w:p w14:paraId="325F63C7">
      <w:pPr>
        <w:pStyle w:val="38"/>
        <w:ind w:firstLine="480"/>
        <w:rPr>
          <w:rFonts w:ascii="宋体" w:hAnsi="宋体"/>
          <w:bCs/>
        </w:rPr>
      </w:pPr>
    </w:p>
    <w:p w14:paraId="2B02CAD6">
      <w:pPr>
        <w:pStyle w:val="38"/>
        <w:ind w:firstLine="480"/>
        <w:rPr>
          <w:rFonts w:ascii="宋体" w:hAnsi="宋体"/>
          <w:bCs/>
        </w:rPr>
      </w:pPr>
    </w:p>
    <w:p w14:paraId="234A4014">
      <w:pPr>
        <w:pStyle w:val="38"/>
        <w:ind w:firstLine="480"/>
        <w:rPr>
          <w:rFonts w:ascii="宋体" w:hAnsi="宋体"/>
          <w:bCs/>
        </w:rPr>
      </w:pPr>
    </w:p>
    <w:p w14:paraId="3B207AEE">
      <w:pPr>
        <w:pStyle w:val="38"/>
        <w:ind w:firstLine="480"/>
        <w:rPr>
          <w:rFonts w:ascii="宋体" w:hAnsi="宋体"/>
          <w:bCs/>
        </w:rPr>
      </w:pPr>
    </w:p>
    <w:p w14:paraId="055778D2">
      <w:pPr>
        <w:pStyle w:val="38"/>
        <w:ind w:firstLine="480"/>
        <w:rPr>
          <w:rFonts w:ascii="宋体" w:hAnsi="宋体"/>
          <w:bCs/>
        </w:rPr>
      </w:pPr>
    </w:p>
    <w:p w14:paraId="1BAA9FAE">
      <w:pPr>
        <w:pStyle w:val="38"/>
        <w:ind w:firstLine="480"/>
        <w:rPr>
          <w:rFonts w:ascii="宋体" w:hAnsi="宋体"/>
          <w:bCs/>
        </w:rPr>
      </w:pPr>
    </w:p>
    <w:p w14:paraId="73C7624B">
      <w:pPr>
        <w:pStyle w:val="38"/>
        <w:ind w:firstLine="480"/>
        <w:rPr>
          <w:rFonts w:ascii="宋体" w:hAnsi="宋体"/>
          <w:bCs/>
        </w:rPr>
      </w:pPr>
    </w:p>
    <w:p w14:paraId="39FC6468">
      <w:pPr>
        <w:pStyle w:val="38"/>
        <w:ind w:firstLine="480"/>
        <w:rPr>
          <w:rFonts w:ascii="宋体" w:hAnsi="宋体"/>
          <w:bCs/>
        </w:rPr>
      </w:pPr>
    </w:p>
    <w:p w14:paraId="7CB55C39">
      <w:pPr>
        <w:spacing w:line="420" w:lineRule="auto"/>
        <w:ind w:firstLine="482"/>
        <w:rPr>
          <w:rFonts w:ascii="宋体" w:hAnsi="宋体"/>
          <w:b/>
          <w:bCs/>
          <w:sz w:val="24"/>
          <w:szCs w:val="24"/>
        </w:rPr>
      </w:pPr>
    </w:p>
    <w:bookmarkEnd w:id="187"/>
    <w:bookmarkEnd w:id="188"/>
    <w:bookmarkEnd w:id="189"/>
    <w:p w14:paraId="1CD64A78">
      <w:pPr>
        <w:pStyle w:val="201"/>
        <w:spacing w:line="420" w:lineRule="auto"/>
        <w:ind w:firstLine="643"/>
        <w:jc w:val="center"/>
        <w:rPr>
          <w:rFonts w:hint="eastAsia" w:ascii="宋体" w:hAnsi="宋体" w:eastAsia="宋体" w:cs="Times New Roman"/>
        </w:rPr>
      </w:pPr>
      <w:bookmarkStart w:id="190" w:name="_Toc120614284"/>
      <w:r>
        <w:rPr>
          <w:rFonts w:hint="eastAsia" w:ascii="宋体" w:hAnsi="宋体" w:eastAsia="宋体" w:cs="Times New Roman"/>
        </w:rPr>
        <w:t>中小企业声明函（服务）</w:t>
      </w:r>
      <w:r>
        <w:rPr>
          <w:rFonts w:hint="eastAsia" w:ascii="宋体" w:hAnsi="宋体" w:eastAsia="宋体" w:cs="Times New Roman"/>
          <w:lang w:eastAsia="zh-CN"/>
        </w:rPr>
        <w:t>（</w:t>
      </w:r>
      <w:r>
        <w:rPr>
          <w:rFonts w:hint="eastAsia" w:ascii="宋体" w:hAnsi="宋体" w:eastAsia="宋体" w:cs="Times New Roman"/>
          <w:lang w:val="en-US" w:eastAsia="zh-CN"/>
        </w:rPr>
        <w:t>如有</w:t>
      </w:r>
      <w:r>
        <w:rPr>
          <w:rFonts w:hint="eastAsia" w:ascii="宋体" w:hAnsi="宋体" w:eastAsia="宋体" w:cs="Times New Roman"/>
          <w:lang w:eastAsia="zh-CN"/>
        </w:rPr>
        <w:t>）</w:t>
      </w:r>
    </w:p>
    <w:p w14:paraId="6887B932">
      <w:pPr>
        <w:widowControl/>
        <w:spacing w:line="420" w:lineRule="auto"/>
        <w:ind w:firstLine="480"/>
        <w:jc w:val="left"/>
        <w:rPr>
          <w:rFonts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06369AE2">
      <w:pPr>
        <w:widowControl/>
        <w:numPr>
          <w:ilvl w:val="0"/>
          <w:numId w:val="7"/>
        </w:numPr>
        <w:spacing w:line="420" w:lineRule="auto"/>
        <w:ind w:firstLine="480"/>
        <w:jc w:val="left"/>
        <w:rPr>
          <w:rFonts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，属于</w:t>
      </w:r>
      <w:r>
        <w:rPr>
          <w:rFonts w:hint="eastAsia" w:ascii="宋体" w:hAnsi="宋体" w:cs="宋体"/>
          <w:i/>
          <w:iCs/>
          <w:sz w:val="24"/>
          <w:szCs w:val="24"/>
          <w:u w:val="single"/>
        </w:rPr>
        <w:t>服务</w:t>
      </w:r>
      <w:r>
        <w:rPr>
          <w:rFonts w:hint="eastAsia" w:ascii="宋体" w:hAnsi="宋体" w:cs="宋体"/>
          <w:sz w:val="24"/>
          <w:szCs w:val="24"/>
        </w:rPr>
        <w:t>行业；承接（承接）企业为</w:t>
      </w:r>
      <w:r>
        <w:rPr>
          <w:rFonts w:hint="eastAsia" w:ascii="宋体" w:hAnsi="宋体" w:cs="宋体"/>
          <w:i/>
          <w:iCs/>
          <w:sz w:val="24"/>
          <w:szCs w:val="24"/>
          <w:u w:val="single"/>
        </w:rPr>
        <w:t>（企业名称）</w:t>
      </w:r>
      <w:r>
        <w:rPr>
          <w:rFonts w:hint="eastAsia" w:ascii="宋体" w:hAnsi="宋体" w:cs="宋体"/>
          <w:sz w:val="24"/>
          <w:szCs w:val="24"/>
        </w:rPr>
        <w:t>，从业人员</w:t>
      </w:r>
      <w:r>
        <w:rPr>
          <w:rFonts w:hint="eastAsia" w:ascii="宋体" w:hAnsi="宋体" w:cs="宋体"/>
          <w:i/>
          <w:iCs/>
          <w:sz w:val="24"/>
          <w:szCs w:val="24"/>
          <w:u w:val="single"/>
        </w:rPr>
        <w:t xml:space="preserve">        </w:t>
      </w:r>
      <w:r>
        <w:rPr>
          <w:rFonts w:hint="eastAsia" w:ascii="宋体" w:hAnsi="宋体" w:cs="宋体"/>
          <w:sz w:val="24"/>
          <w:szCs w:val="24"/>
        </w:rPr>
        <w:t>人，营业收入为</w:t>
      </w:r>
      <w:r>
        <w:rPr>
          <w:rFonts w:hint="eastAsia" w:ascii="宋体" w:hAnsi="宋体" w:cs="宋体"/>
          <w:i/>
          <w:iCs/>
          <w:sz w:val="24"/>
          <w:szCs w:val="24"/>
          <w:u w:val="single"/>
        </w:rPr>
        <w:t xml:space="preserve">        </w:t>
      </w:r>
      <w:r>
        <w:rPr>
          <w:rFonts w:hint="eastAsia" w:ascii="宋体" w:hAnsi="宋体" w:cs="宋体"/>
          <w:sz w:val="24"/>
          <w:szCs w:val="24"/>
        </w:rPr>
        <w:t>万元，资产总额为</w:t>
      </w:r>
      <w:r>
        <w:rPr>
          <w:rFonts w:hint="eastAsia" w:ascii="宋体" w:hAnsi="宋体" w:cs="宋体"/>
          <w:i/>
          <w:iCs/>
          <w:sz w:val="24"/>
          <w:szCs w:val="24"/>
          <w:u w:val="single"/>
        </w:rPr>
        <w:t xml:space="preserve">        </w:t>
      </w:r>
      <w:r>
        <w:rPr>
          <w:rFonts w:hint="eastAsia" w:ascii="宋体" w:hAnsi="宋体" w:cs="宋体"/>
          <w:sz w:val="24"/>
          <w:szCs w:val="24"/>
        </w:rPr>
        <w:t>万元，属于</w:t>
      </w:r>
      <w:r>
        <w:rPr>
          <w:rFonts w:hint="eastAsia" w:ascii="宋体" w:hAnsi="宋体" w:cs="宋体"/>
          <w:i/>
          <w:iCs/>
          <w:sz w:val="24"/>
          <w:szCs w:val="24"/>
          <w:u w:val="single"/>
        </w:rPr>
        <w:t>（中型企业、小型企业、微型企业）</w:t>
      </w:r>
      <w:r>
        <w:rPr>
          <w:rFonts w:hint="eastAsia" w:ascii="宋体" w:hAnsi="宋体" w:cs="宋体"/>
          <w:sz w:val="24"/>
          <w:szCs w:val="24"/>
        </w:rPr>
        <w:t>；</w:t>
      </w:r>
    </w:p>
    <w:p w14:paraId="1C78DB34">
      <w:pPr>
        <w:widowControl/>
        <w:numPr>
          <w:ilvl w:val="0"/>
          <w:numId w:val="7"/>
        </w:numPr>
        <w:spacing w:line="420" w:lineRule="auto"/>
        <w:ind w:firstLine="480"/>
        <w:jc w:val="left"/>
        <w:rPr>
          <w:rFonts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，属于</w:t>
      </w:r>
      <w:r>
        <w:rPr>
          <w:rFonts w:hint="eastAsia" w:ascii="宋体" w:hAnsi="宋体" w:cs="宋体"/>
          <w:i/>
          <w:iCs/>
          <w:sz w:val="24"/>
          <w:szCs w:val="24"/>
          <w:u w:val="single"/>
        </w:rPr>
        <w:t>（采购文件中明确的所属行业）</w:t>
      </w:r>
      <w:r>
        <w:rPr>
          <w:rFonts w:hint="eastAsia" w:ascii="宋体" w:hAnsi="宋体" w:cs="宋体"/>
          <w:sz w:val="24"/>
          <w:szCs w:val="24"/>
        </w:rPr>
        <w:t>行业；承接（承接）企业为</w:t>
      </w:r>
      <w:r>
        <w:rPr>
          <w:rFonts w:hint="eastAsia" w:ascii="宋体" w:hAnsi="宋体" w:cs="宋体"/>
          <w:i/>
          <w:iCs/>
          <w:sz w:val="24"/>
          <w:szCs w:val="24"/>
          <w:u w:val="single"/>
        </w:rPr>
        <w:t>（企业名称）</w:t>
      </w:r>
      <w:r>
        <w:rPr>
          <w:rFonts w:hint="eastAsia" w:ascii="宋体" w:hAnsi="宋体" w:cs="宋体"/>
          <w:sz w:val="24"/>
          <w:szCs w:val="24"/>
        </w:rPr>
        <w:t>，从业人员</w:t>
      </w:r>
      <w:r>
        <w:rPr>
          <w:rFonts w:hint="eastAsia" w:ascii="宋体" w:hAnsi="宋体" w:cs="宋体"/>
          <w:i/>
          <w:iCs/>
          <w:sz w:val="24"/>
          <w:szCs w:val="24"/>
          <w:u w:val="single"/>
        </w:rPr>
        <w:t xml:space="preserve">        </w:t>
      </w:r>
      <w:r>
        <w:rPr>
          <w:rFonts w:hint="eastAsia" w:ascii="宋体" w:hAnsi="宋体" w:cs="宋体"/>
          <w:sz w:val="24"/>
          <w:szCs w:val="24"/>
        </w:rPr>
        <w:t>人，营业收入为</w:t>
      </w:r>
      <w:r>
        <w:rPr>
          <w:rFonts w:hint="eastAsia" w:ascii="宋体" w:hAnsi="宋体" w:cs="宋体"/>
          <w:i/>
          <w:iCs/>
          <w:sz w:val="24"/>
          <w:szCs w:val="24"/>
          <w:u w:val="single"/>
        </w:rPr>
        <w:t xml:space="preserve">        </w:t>
      </w:r>
      <w:r>
        <w:rPr>
          <w:rFonts w:hint="eastAsia" w:ascii="宋体" w:hAnsi="宋体" w:cs="宋体"/>
          <w:sz w:val="24"/>
          <w:szCs w:val="24"/>
        </w:rPr>
        <w:t>万元，资产总额为</w:t>
      </w:r>
      <w:r>
        <w:rPr>
          <w:rFonts w:hint="eastAsia" w:ascii="宋体" w:hAnsi="宋体" w:cs="宋体"/>
          <w:i/>
          <w:iCs/>
          <w:sz w:val="24"/>
          <w:szCs w:val="24"/>
          <w:u w:val="single"/>
        </w:rPr>
        <w:t xml:space="preserve">        </w:t>
      </w:r>
      <w:r>
        <w:rPr>
          <w:rFonts w:hint="eastAsia" w:ascii="宋体" w:hAnsi="宋体" w:cs="宋体"/>
          <w:sz w:val="24"/>
          <w:szCs w:val="24"/>
        </w:rPr>
        <w:t>万元，属于</w:t>
      </w:r>
      <w:r>
        <w:rPr>
          <w:rFonts w:hint="eastAsia" w:ascii="宋体" w:hAnsi="宋体" w:cs="宋体"/>
          <w:i/>
          <w:iCs/>
          <w:sz w:val="24"/>
          <w:szCs w:val="24"/>
          <w:u w:val="single"/>
        </w:rPr>
        <w:t>（中型企业、小型企业、微型企业）</w:t>
      </w:r>
      <w:r>
        <w:rPr>
          <w:rFonts w:hint="eastAsia" w:ascii="宋体" w:hAnsi="宋体" w:cs="宋体"/>
          <w:sz w:val="24"/>
          <w:szCs w:val="24"/>
        </w:rPr>
        <w:t>；</w:t>
      </w:r>
    </w:p>
    <w:p w14:paraId="5A530A12">
      <w:pPr>
        <w:widowControl/>
        <w:spacing w:line="420" w:lineRule="auto"/>
        <w:ind w:firstLine="480"/>
        <w:jc w:val="left"/>
        <w:rPr>
          <w:rFonts w:ascii="宋体" w:hAnsi="宋体" w:cs="宋体"/>
          <w:sz w:val="24"/>
          <w:szCs w:val="24"/>
        </w:rPr>
      </w:pPr>
      <w:r>
        <w:rPr>
          <w:rFonts w:hint="eastAsia" w:ascii="宋体" w:hAnsi="宋体" w:cs="宋体"/>
          <w:sz w:val="24"/>
          <w:szCs w:val="24"/>
        </w:rPr>
        <w:t>……</w:t>
      </w:r>
    </w:p>
    <w:p w14:paraId="09BB91F8">
      <w:pPr>
        <w:widowControl/>
        <w:spacing w:line="420" w:lineRule="auto"/>
        <w:ind w:firstLine="480"/>
        <w:jc w:val="left"/>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1965E9AC">
      <w:pPr>
        <w:widowControl/>
        <w:spacing w:line="420" w:lineRule="auto"/>
        <w:ind w:firstLine="480"/>
        <w:jc w:val="left"/>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09D7B2C0">
      <w:pPr>
        <w:widowControl/>
        <w:spacing w:line="420" w:lineRule="auto"/>
        <w:ind w:firstLine="480"/>
        <w:jc w:val="center"/>
        <w:rPr>
          <w:rFonts w:ascii="宋体" w:hAnsi="宋体" w:cs="宋体"/>
          <w:sz w:val="24"/>
          <w:szCs w:val="24"/>
        </w:rPr>
      </w:pPr>
      <w:r>
        <w:rPr>
          <w:rFonts w:hint="eastAsia" w:ascii="宋体" w:hAnsi="宋体" w:cs="宋体"/>
          <w:sz w:val="24"/>
          <w:szCs w:val="24"/>
        </w:rPr>
        <w:t xml:space="preserve"> 企业名称（盖章）：</w:t>
      </w:r>
    </w:p>
    <w:p w14:paraId="606B3012">
      <w:pPr>
        <w:widowControl/>
        <w:spacing w:line="420" w:lineRule="auto"/>
        <w:ind w:firstLine="5520" w:firstLineChars="2300"/>
        <w:rPr>
          <w:rFonts w:ascii="宋体" w:hAnsi="宋体" w:cs="宋体"/>
          <w:sz w:val="24"/>
          <w:szCs w:val="24"/>
        </w:rPr>
      </w:pPr>
      <w:r>
        <w:rPr>
          <w:rFonts w:hint="eastAsia" w:ascii="宋体" w:hAnsi="宋体" w:cs="宋体"/>
          <w:sz w:val="24"/>
          <w:szCs w:val="24"/>
        </w:rPr>
        <w:t>日期：</w:t>
      </w:r>
      <w:r>
        <w:rPr>
          <w:rFonts w:hint="eastAsia" w:ascii="宋体" w:cs="宋体"/>
          <w:sz w:val="24"/>
        </w:rPr>
        <w:t xml:space="preserve">    年   月   日</w:t>
      </w:r>
    </w:p>
    <w:p w14:paraId="70C1A8B5">
      <w:pPr>
        <w:spacing w:line="420" w:lineRule="auto"/>
        <w:ind w:firstLine="482"/>
        <w:jc w:val="center"/>
        <w:rPr>
          <w:rFonts w:ascii="宋体" w:hAnsi="宋体"/>
          <w:b/>
          <w:bCs/>
        </w:rPr>
      </w:pPr>
      <w:r>
        <w:rPr>
          <w:rFonts w:hint="eastAsia" w:ascii="宋体" w:hAnsi="宋体"/>
          <w:b/>
          <w:bCs/>
        </w:rPr>
        <w:t>从业人员、营业收入、资产总额填报上一年度数据，无上一年度数据的新成立企业可不填报。</w:t>
      </w:r>
    </w:p>
    <w:p w14:paraId="311F960E">
      <w:pPr>
        <w:widowControl/>
        <w:spacing w:before="100" w:beforeAutospacing="1" w:after="100" w:afterAutospacing="1" w:line="420" w:lineRule="auto"/>
        <w:ind w:firstLine="480"/>
        <w:jc w:val="left"/>
        <w:rPr>
          <w:rFonts w:ascii="宋体" w:hAnsi="宋体" w:cs="宋体"/>
        </w:rPr>
      </w:pPr>
      <w:r>
        <w:rPr>
          <w:rFonts w:hint="eastAsia" w:ascii="宋体" w:hAnsi="宋体" w:cs="宋体"/>
        </w:rPr>
        <w:t xml:space="preserve">    </w:t>
      </w:r>
    </w:p>
    <w:p w14:paraId="730A2FA4">
      <w:pPr>
        <w:spacing w:line="420" w:lineRule="auto"/>
        <w:ind w:firstLine="482"/>
        <w:rPr>
          <w:b/>
        </w:rPr>
      </w:pPr>
    </w:p>
    <w:p w14:paraId="4C46699B">
      <w:pPr>
        <w:pStyle w:val="38"/>
        <w:ind w:firstLine="482"/>
        <w:rPr>
          <w:b/>
        </w:rPr>
      </w:pPr>
    </w:p>
    <w:p w14:paraId="0A1D6B29">
      <w:pPr>
        <w:pStyle w:val="38"/>
        <w:ind w:firstLine="482"/>
        <w:rPr>
          <w:b/>
        </w:rPr>
      </w:pPr>
    </w:p>
    <w:p w14:paraId="72EF7494">
      <w:pPr>
        <w:pStyle w:val="201"/>
        <w:spacing w:line="420" w:lineRule="auto"/>
        <w:jc w:val="center"/>
        <w:rPr>
          <w:rFonts w:hint="eastAsia" w:ascii="宋体" w:hAnsi="宋体" w:eastAsia="宋体" w:cs="Times New Roman"/>
        </w:rPr>
      </w:pPr>
      <w:r>
        <w:rPr>
          <w:rFonts w:hint="eastAsia" w:ascii="宋体" w:hAnsi="宋体" w:eastAsia="宋体" w:cs="Times New Roman"/>
        </w:rPr>
        <w:t>残疾人福利性单位声明函（如有）</w:t>
      </w:r>
    </w:p>
    <w:p w14:paraId="240E36A3">
      <w:pPr>
        <w:widowControl/>
        <w:spacing w:line="420" w:lineRule="auto"/>
        <w:ind w:firstLine="480"/>
        <w:jc w:val="left"/>
        <w:rPr>
          <w:rFonts w:ascii="宋体" w:hAnsi="宋体" w:cs="宋体"/>
          <w:sz w:val="24"/>
          <w:szCs w:val="24"/>
        </w:rPr>
      </w:pPr>
    </w:p>
    <w:p w14:paraId="4E1ECE90">
      <w:pPr>
        <w:widowControl/>
        <w:spacing w:line="420" w:lineRule="auto"/>
        <w:ind w:firstLine="480"/>
        <w:jc w:val="left"/>
        <w:rPr>
          <w:rFonts w:ascii="宋体" w:hAnsi="宋体" w:cs="宋体"/>
          <w:sz w:val="24"/>
          <w:szCs w:val="24"/>
        </w:rPr>
      </w:pPr>
      <w:r>
        <w:rPr>
          <w:rFonts w:hint="eastAsia" w:ascii="宋体" w:hAnsi="宋体" w:cs="宋体"/>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141号）的规定，本单位为符合条件的残疾人福利性单位，且本单位参加______单位的采购文件编号为_____的</w:t>
      </w:r>
      <w:r>
        <w:rPr>
          <w:rFonts w:hint="eastAsia" w:ascii="宋体" w:hAnsi="宋体" w:cs="宋体"/>
          <w:sz w:val="24"/>
          <w:szCs w:val="24"/>
          <w:u w:val="single"/>
        </w:rPr>
        <w:t xml:space="preserve">       </w:t>
      </w:r>
      <w:r>
        <w:rPr>
          <w:rFonts w:hint="eastAsia" w:ascii="宋体" w:hAnsi="宋体" w:cs="宋体"/>
          <w:sz w:val="24"/>
          <w:szCs w:val="24"/>
        </w:rPr>
        <w:t>项目采购活动提供本单位制造的货物，或者提供其他残疾人福利性单位制造的货物（不包括使用非残疾人福利性单位注册商标的货物）。</w:t>
      </w:r>
    </w:p>
    <w:p w14:paraId="729998EC">
      <w:pPr>
        <w:widowControl/>
        <w:spacing w:line="420" w:lineRule="auto"/>
        <w:ind w:firstLine="480"/>
        <w:jc w:val="left"/>
        <w:rPr>
          <w:rFonts w:ascii="宋体" w:hAnsi="宋体" w:cs="宋体"/>
          <w:sz w:val="24"/>
          <w:szCs w:val="24"/>
        </w:rPr>
      </w:pPr>
      <w:r>
        <w:rPr>
          <w:rFonts w:hint="eastAsia" w:ascii="宋体" w:hAnsi="宋体" w:cs="宋体"/>
          <w:sz w:val="24"/>
          <w:szCs w:val="24"/>
        </w:rPr>
        <w:t>本单位对上述声明的真实性负责。如有虚假，将依法承担相应责任。</w:t>
      </w:r>
    </w:p>
    <w:p w14:paraId="7EDF988D">
      <w:pPr>
        <w:widowControl/>
        <w:spacing w:line="420" w:lineRule="auto"/>
        <w:ind w:firstLine="480"/>
        <w:jc w:val="left"/>
        <w:rPr>
          <w:rFonts w:ascii="宋体" w:hAnsi="宋体" w:cs="宋体"/>
          <w:sz w:val="24"/>
          <w:szCs w:val="24"/>
        </w:rPr>
      </w:pPr>
      <w:r>
        <w:rPr>
          <w:rFonts w:ascii="宋体" w:hAnsi="宋体" w:cs="宋体"/>
          <w:sz w:val="24"/>
          <w:szCs w:val="24"/>
        </w:rPr>
        <w:t> </w:t>
      </w:r>
    </w:p>
    <w:p w14:paraId="7E4407A4">
      <w:pPr>
        <w:widowControl/>
        <w:spacing w:line="420" w:lineRule="auto"/>
        <w:ind w:firstLine="480"/>
        <w:jc w:val="left"/>
        <w:rPr>
          <w:rFonts w:ascii="宋体" w:hAnsi="宋体" w:cs="宋体"/>
          <w:sz w:val="24"/>
          <w:szCs w:val="24"/>
        </w:rPr>
      </w:pPr>
      <w:r>
        <w:rPr>
          <w:rFonts w:hint="eastAsia" w:ascii="宋体" w:hAnsi="宋体" w:cs="宋体"/>
          <w:sz w:val="24"/>
          <w:szCs w:val="24"/>
        </w:rPr>
        <w:t>（备注：1、供应商如不提供此声明函，价格将不做相应扣除。2、中标供应商为残疾人福利单位</w:t>
      </w:r>
      <w:r>
        <w:rPr>
          <w:rFonts w:hint="eastAsia" w:ascii="宋体" w:hAnsi="宋体" w:cs="宋体"/>
          <w:sz w:val="24"/>
          <w:szCs w:val="24"/>
          <w:highlight w:val="none"/>
        </w:rPr>
        <w:t>的，此声明函将随中标结果同时公告，</w:t>
      </w:r>
      <w:r>
        <w:rPr>
          <w:rFonts w:hint="eastAsia" w:ascii="宋体" w:hAnsi="宋体" w:cs="宋体"/>
          <w:sz w:val="24"/>
          <w:szCs w:val="24"/>
        </w:rPr>
        <w:t>接受社会监督）</w:t>
      </w:r>
    </w:p>
    <w:p w14:paraId="6F869D0B">
      <w:pPr>
        <w:widowControl/>
        <w:spacing w:line="420" w:lineRule="auto"/>
        <w:ind w:firstLine="480"/>
        <w:jc w:val="left"/>
        <w:rPr>
          <w:rFonts w:ascii="宋体" w:hAnsi="宋体" w:cs="宋体"/>
          <w:sz w:val="24"/>
          <w:szCs w:val="24"/>
        </w:rPr>
      </w:pPr>
      <w:r>
        <w:rPr>
          <w:rFonts w:ascii="宋体" w:hAnsi="宋体" w:cs="宋体"/>
          <w:sz w:val="24"/>
          <w:szCs w:val="24"/>
        </w:rPr>
        <w:t> </w:t>
      </w:r>
    </w:p>
    <w:p w14:paraId="5BCE4496">
      <w:pPr>
        <w:widowControl/>
        <w:spacing w:line="420" w:lineRule="auto"/>
        <w:ind w:firstLine="480"/>
        <w:jc w:val="left"/>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供应商全称（盖章）：</w:t>
      </w:r>
    </w:p>
    <w:p w14:paraId="0AD21348">
      <w:pPr>
        <w:widowControl/>
        <w:spacing w:line="420" w:lineRule="auto"/>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日  期： </w:t>
      </w:r>
      <w:r>
        <w:rPr>
          <w:rFonts w:ascii="宋体" w:hAnsi="宋体" w:cs="宋体"/>
          <w:sz w:val="24"/>
          <w:szCs w:val="24"/>
        </w:rPr>
        <w:t xml:space="preserve">    </w:t>
      </w:r>
      <w:r>
        <w:rPr>
          <w:rFonts w:hint="eastAsia" w:ascii="宋体" w:cs="宋体"/>
          <w:sz w:val="24"/>
        </w:rPr>
        <w:t>年   月   日</w:t>
      </w:r>
    </w:p>
    <w:p w14:paraId="7D40C711">
      <w:pPr>
        <w:widowControl/>
        <w:spacing w:line="420" w:lineRule="auto"/>
        <w:ind w:firstLine="480"/>
        <w:jc w:val="left"/>
        <w:rPr>
          <w:rFonts w:ascii="宋体" w:hAnsi="宋体" w:cs="宋体"/>
          <w:sz w:val="24"/>
          <w:szCs w:val="24"/>
        </w:rPr>
      </w:pPr>
    </w:p>
    <w:p w14:paraId="2495494E">
      <w:pPr>
        <w:pStyle w:val="38"/>
        <w:ind w:firstLine="482"/>
        <w:rPr>
          <w:b/>
        </w:rPr>
      </w:pPr>
    </w:p>
    <w:p w14:paraId="2AB708C1">
      <w:pPr>
        <w:pStyle w:val="38"/>
        <w:ind w:firstLine="482"/>
        <w:rPr>
          <w:b/>
        </w:rPr>
      </w:pPr>
    </w:p>
    <w:p w14:paraId="70FB277A">
      <w:pPr>
        <w:pStyle w:val="38"/>
        <w:ind w:firstLine="482"/>
        <w:rPr>
          <w:b/>
        </w:rPr>
      </w:pPr>
    </w:p>
    <w:p w14:paraId="22E37E16">
      <w:pPr>
        <w:pStyle w:val="38"/>
        <w:ind w:firstLine="482"/>
        <w:rPr>
          <w:b/>
        </w:rPr>
      </w:pPr>
    </w:p>
    <w:p w14:paraId="3BAA61A8">
      <w:pPr>
        <w:pStyle w:val="38"/>
        <w:ind w:firstLine="482"/>
        <w:rPr>
          <w:b/>
        </w:rPr>
      </w:pPr>
    </w:p>
    <w:p w14:paraId="6872AB64">
      <w:pPr>
        <w:pStyle w:val="38"/>
        <w:ind w:firstLine="482"/>
        <w:rPr>
          <w:b/>
        </w:rPr>
      </w:pPr>
    </w:p>
    <w:p w14:paraId="2A7E92DC">
      <w:pPr>
        <w:pStyle w:val="38"/>
        <w:ind w:firstLine="482"/>
        <w:rPr>
          <w:b/>
        </w:rPr>
      </w:pPr>
    </w:p>
    <w:p w14:paraId="17BA836F">
      <w:pPr>
        <w:pStyle w:val="38"/>
        <w:ind w:firstLine="482"/>
        <w:rPr>
          <w:b/>
        </w:rPr>
      </w:pPr>
    </w:p>
    <w:p w14:paraId="442C1FA1">
      <w:pPr>
        <w:pStyle w:val="38"/>
        <w:ind w:firstLine="482"/>
        <w:rPr>
          <w:b/>
        </w:rPr>
      </w:pPr>
    </w:p>
    <w:p w14:paraId="745250B7">
      <w:pPr>
        <w:pStyle w:val="38"/>
        <w:ind w:left="0" w:leftChars="0" w:firstLine="0" w:firstLineChars="0"/>
        <w:rPr>
          <w:b/>
        </w:rPr>
      </w:pPr>
    </w:p>
    <w:p w14:paraId="15117B01">
      <w:pPr>
        <w:pStyle w:val="201"/>
        <w:spacing w:line="420" w:lineRule="auto"/>
        <w:jc w:val="center"/>
        <w:rPr>
          <w:rFonts w:hint="eastAsia" w:ascii="宋体" w:hAnsi="宋体" w:eastAsia="宋体" w:cs="Times New Roman"/>
          <w:highlight w:val="none"/>
        </w:rPr>
      </w:pPr>
      <w:r>
        <w:rPr>
          <w:rFonts w:hint="eastAsia" w:ascii="宋体" w:hAnsi="宋体" w:eastAsia="宋体" w:cs="Times New Roman"/>
          <w:highlight w:val="none"/>
        </w:rPr>
        <w:t>投标分项报价表</w:t>
      </w:r>
    </w:p>
    <w:p w14:paraId="301DE78D">
      <w:pPr>
        <w:spacing w:line="420" w:lineRule="auto"/>
        <w:ind w:firstLine="480"/>
        <w:rPr>
          <w:rFonts w:ascii="宋体" w:hAnsi="宋体" w:cs="宋体"/>
          <w:sz w:val="24"/>
          <w:szCs w:val="24"/>
          <w:highlight w:val="none"/>
        </w:rPr>
      </w:pPr>
      <w:r>
        <w:rPr>
          <w:rFonts w:hint="eastAsia" w:ascii="宋体" w:hAnsi="宋体" w:cs="宋体"/>
          <w:sz w:val="24"/>
          <w:szCs w:val="24"/>
          <w:highlight w:val="none"/>
        </w:rPr>
        <w:t>投标人全称（加盖公章）：</w:t>
      </w:r>
    </w:p>
    <w:tbl>
      <w:tblPr>
        <w:tblStyle w:val="39"/>
        <w:tblW w:w="8517" w:type="dxa"/>
        <w:tblInd w:w="2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465"/>
        <w:gridCol w:w="1959"/>
        <w:gridCol w:w="1501"/>
        <w:gridCol w:w="1512"/>
      </w:tblGrid>
      <w:tr w14:paraId="4B5D0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080" w:type="dxa"/>
            <w:vAlign w:val="center"/>
          </w:tcPr>
          <w:p w14:paraId="3E716797">
            <w:pPr>
              <w:tabs>
                <w:tab w:val="left" w:pos="1418"/>
              </w:tabs>
              <w:spacing w:before="50" w:after="50" w:line="420" w:lineRule="auto"/>
              <w:jc w:val="center"/>
              <w:rPr>
                <w:rFonts w:ascii="宋体" w:hAnsi="宋体"/>
                <w:spacing w:val="20"/>
                <w:sz w:val="24"/>
                <w:highlight w:val="none"/>
              </w:rPr>
            </w:pPr>
            <w:r>
              <w:rPr>
                <w:rFonts w:hint="eastAsia" w:ascii="宋体" w:hAnsi="宋体"/>
                <w:sz w:val="24"/>
                <w:highlight w:val="none"/>
              </w:rPr>
              <w:t>序号</w:t>
            </w:r>
          </w:p>
        </w:tc>
        <w:tc>
          <w:tcPr>
            <w:tcW w:w="2465" w:type="dxa"/>
            <w:vAlign w:val="center"/>
          </w:tcPr>
          <w:p w14:paraId="0C68DB46">
            <w:pPr>
              <w:tabs>
                <w:tab w:val="left" w:pos="1418"/>
              </w:tabs>
              <w:spacing w:before="50" w:after="50" w:line="420" w:lineRule="auto"/>
              <w:jc w:val="center"/>
              <w:rPr>
                <w:rFonts w:ascii="宋体" w:hAnsi="宋体"/>
                <w:spacing w:val="20"/>
                <w:sz w:val="24"/>
                <w:highlight w:val="none"/>
              </w:rPr>
            </w:pPr>
            <w:r>
              <w:rPr>
                <w:rFonts w:hint="eastAsia" w:ascii="宋体" w:hAnsi="宋体"/>
                <w:sz w:val="24"/>
                <w:highlight w:val="none"/>
              </w:rPr>
              <w:t>各项费用组成</w:t>
            </w:r>
          </w:p>
        </w:tc>
        <w:tc>
          <w:tcPr>
            <w:tcW w:w="1959" w:type="dxa"/>
            <w:vAlign w:val="center"/>
          </w:tcPr>
          <w:p w14:paraId="7BDC45B7">
            <w:pPr>
              <w:tabs>
                <w:tab w:val="left" w:pos="1418"/>
              </w:tabs>
              <w:spacing w:before="50" w:after="50" w:line="420" w:lineRule="auto"/>
              <w:jc w:val="center"/>
              <w:rPr>
                <w:rFonts w:ascii="宋体" w:hAnsi="宋体"/>
                <w:spacing w:val="20"/>
                <w:sz w:val="24"/>
                <w:highlight w:val="none"/>
              </w:rPr>
            </w:pPr>
            <w:r>
              <w:rPr>
                <w:rFonts w:hint="eastAsia" w:ascii="宋体" w:hAnsi="宋体"/>
                <w:sz w:val="24"/>
                <w:highlight w:val="none"/>
              </w:rPr>
              <w:t>数量</w:t>
            </w:r>
            <w:r>
              <w:rPr>
                <w:rFonts w:hint="eastAsia" w:ascii="宋体" w:hAnsi="宋体"/>
                <w:sz w:val="24"/>
                <w:highlight w:val="none"/>
                <w:lang w:val="en-US" w:eastAsia="zh-CN"/>
              </w:rPr>
              <w:t>及</w:t>
            </w:r>
            <w:r>
              <w:rPr>
                <w:rFonts w:hint="eastAsia" w:ascii="宋体" w:hAnsi="宋体"/>
                <w:sz w:val="24"/>
                <w:highlight w:val="none"/>
              </w:rPr>
              <w:t>单位</w:t>
            </w:r>
          </w:p>
        </w:tc>
        <w:tc>
          <w:tcPr>
            <w:tcW w:w="1501" w:type="dxa"/>
            <w:vAlign w:val="center"/>
          </w:tcPr>
          <w:p w14:paraId="65A25051">
            <w:pPr>
              <w:tabs>
                <w:tab w:val="left" w:pos="1418"/>
              </w:tabs>
              <w:spacing w:before="50" w:after="50" w:line="420" w:lineRule="auto"/>
              <w:jc w:val="center"/>
              <w:rPr>
                <w:rFonts w:ascii="宋体" w:hAnsi="宋体"/>
                <w:spacing w:val="20"/>
                <w:sz w:val="24"/>
                <w:highlight w:val="none"/>
              </w:rPr>
            </w:pPr>
            <w:r>
              <w:rPr>
                <w:rFonts w:hint="eastAsia" w:ascii="宋体" w:hAnsi="宋体"/>
                <w:sz w:val="24"/>
                <w:highlight w:val="none"/>
              </w:rPr>
              <w:t>单价</w:t>
            </w:r>
          </w:p>
        </w:tc>
        <w:tc>
          <w:tcPr>
            <w:tcW w:w="1512" w:type="dxa"/>
            <w:vAlign w:val="center"/>
          </w:tcPr>
          <w:p w14:paraId="6336F99B">
            <w:pPr>
              <w:tabs>
                <w:tab w:val="left" w:pos="1418"/>
              </w:tabs>
              <w:spacing w:before="50" w:after="50" w:line="420" w:lineRule="auto"/>
              <w:jc w:val="center"/>
              <w:rPr>
                <w:rFonts w:hint="eastAsia" w:ascii="宋体" w:hAnsi="宋体" w:eastAsia="宋体"/>
                <w:spacing w:val="20"/>
                <w:sz w:val="24"/>
                <w:highlight w:val="none"/>
                <w:lang w:eastAsia="zh-CN"/>
              </w:rPr>
            </w:pPr>
            <w:r>
              <w:rPr>
                <w:rFonts w:hint="eastAsia" w:ascii="宋体" w:hAnsi="宋体"/>
                <w:sz w:val="24"/>
                <w:highlight w:val="none"/>
              </w:rPr>
              <w:t>金额</w:t>
            </w:r>
            <w:r>
              <w:rPr>
                <w:rFonts w:hint="eastAsia" w:ascii="宋体" w:hAnsi="宋体"/>
                <w:sz w:val="24"/>
                <w:highlight w:val="none"/>
                <w:lang w:eastAsia="zh-CN"/>
              </w:rPr>
              <w:t>（</w:t>
            </w:r>
            <w:r>
              <w:rPr>
                <w:rFonts w:hint="eastAsia" w:ascii="宋体" w:hAnsi="宋体"/>
                <w:sz w:val="24"/>
                <w:highlight w:val="none"/>
                <w:lang w:val="en-US" w:eastAsia="zh-CN"/>
              </w:rPr>
              <w:t>元</w:t>
            </w:r>
            <w:r>
              <w:rPr>
                <w:rFonts w:hint="eastAsia" w:ascii="宋体" w:hAnsi="宋体"/>
                <w:sz w:val="24"/>
                <w:highlight w:val="none"/>
                <w:lang w:eastAsia="zh-CN"/>
              </w:rPr>
              <w:t>）</w:t>
            </w:r>
          </w:p>
        </w:tc>
      </w:tr>
      <w:tr w14:paraId="15BC8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080" w:type="dxa"/>
            <w:vAlign w:val="center"/>
          </w:tcPr>
          <w:p w14:paraId="5331048C">
            <w:pPr>
              <w:tabs>
                <w:tab w:val="left" w:pos="1418"/>
              </w:tabs>
              <w:spacing w:before="50" w:after="50" w:line="420" w:lineRule="auto"/>
              <w:jc w:val="center"/>
              <w:rPr>
                <w:rFonts w:hint="default" w:ascii="宋体" w:hAnsi="宋体" w:eastAsia="宋体"/>
                <w:sz w:val="24"/>
                <w:highlight w:val="none"/>
                <w:lang w:val="en-US" w:eastAsia="zh-CN"/>
              </w:rPr>
            </w:pPr>
            <w:r>
              <w:rPr>
                <w:rFonts w:hint="eastAsia" w:ascii="宋体" w:hAnsi="宋体"/>
                <w:sz w:val="24"/>
                <w:highlight w:val="none"/>
                <w:lang w:val="en-US" w:eastAsia="zh-CN"/>
              </w:rPr>
              <w:t>1</w:t>
            </w:r>
          </w:p>
        </w:tc>
        <w:tc>
          <w:tcPr>
            <w:tcW w:w="2465" w:type="dxa"/>
            <w:vAlign w:val="center"/>
          </w:tcPr>
          <w:p w14:paraId="14CB506D">
            <w:pPr>
              <w:tabs>
                <w:tab w:val="left" w:pos="1418"/>
              </w:tabs>
              <w:spacing w:before="50" w:after="50" w:line="420" w:lineRule="auto"/>
              <w:jc w:val="center"/>
              <w:rPr>
                <w:rFonts w:hint="default" w:ascii="宋体" w:hAnsi="宋体" w:eastAsia="宋体"/>
                <w:sz w:val="24"/>
                <w:highlight w:val="none"/>
                <w:lang w:val="en-US" w:eastAsia="zh-CN"/>
              </w:rPr>
            </w:pPr>
            <w:r>
              <w:rPr>
                <w:rFonts w:hint="eastAsia" w:ascii="宋体" w:hAnsi="宋体"/>
                <w:sz w:val="24"/>
                <w:highlight w:val="none"/>
                <w:lang w:val="en-US" w:eastAsia="zh-CN"/>
              </w:rPr>
              <w:t>预计排查管网公里数</w:t>
            </w:r>
          </w:p>
        </w:tc>
        <w:tc>
          <w:tcPr>
            <w:tcW w:w="1959" w:type="dxa"/>
            <w:vAlign w:val="center"/>
          </w:tcPr>
          <w:p w14:paraId="481B0548">
            <w:pPr>
              <w:tabs>
                <w:tab w:val="left" w:pos="1418"/>
              </w:tabs>
              <w:spacing w:before="50" w:after="50" w:line="420" w:lineRule="auto"/>
              <w:jc w:val="center"/>
              <w:rPr>
                <w:rFonts w:hint="default" w:ascii="宋体" w:hAnsi="宋体" w:eastAsia="宋体"/>
                <w:b/>
                <w:bCs/>
                <w:sz w:val="24"/>
                <w:highlight w:val="none"/>
                <w:lang w:val="en-US" w:eastAsia="zh-CN"/>
              </w:rPr>
            </w:pPr>
            <w:r>
              <w:rPr>
                <w:rFonts w:hint="eastAsia" w:ascii="宋体" w:hAnsi="宋体"/>
                <w:sz w:val="24"/>
                <w:highlight w:val="none"/>
                <w:lang w:val="en-US" w:eastAsia="zh-CN"/>
              </w:rPr>
              <w:t>150公里</w:t>
            </w:r>
          </w:p>
        </w:tc>
        <w:tc>
          <w:tcPr>
            <w:tcW w:w="1501" w:type="dxa"/>
            <w:vAlign w:val="center"/>
          </w:tcPr>
          <w:p w14:paraId="325A3630">
            <w:pPr>
              <w:tabs>
                <w:tab w:val="left" w:pos="1418"/>
              </w:tabs>
              <w:spacing w:before="50" w:after="50" w:line="420" w:lineRule="auto"/>
              <w:jc w:val="center"/>
              <w:rPr>
                <w:rFonts w:ascii="宋体" w:hAnsi="宋体"/>
                <w:sz w:val="24"/>
                <w:highlight w:val="none"/>
              </w:rPr>
            </w:pPr>
          </w:p>
        </w:tc>
        <w:tc>
          <w:tcPr>
            <w:tcW w:w="1512" w:type="dxa"/>
            <w:vAlign w:val="center"/>
          </w:tcPr>
          <w:p w14:paraId="57CB4272">
            <w:pPr>
              <w:tabs>
                <w:tab w:val="left" w:pos="1418"/>
              </w:tabs>
              <w:spacing w:before="50" w:after="50" w:line="420" w:lineRule="auto"/>
              <w:jc w:val="center"/>
              <w:rPr>
                <w:rFonts w:ascii="宋体" w:hAnsi="宋体"/>
                <w:sz w:val="24"/>
                <w:highlight w:val="none"/>
              </w:rPr>
            </w:pPr>
          </w:p>
        </w:tc>
      </w:tr>
      <w:tr w14:paraId="23F6C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080" w:type="dxa"/>
            <w:vAlign w:val="center"/>
          </w:tcPr>
          <w:p w14:paraId="22385AD7">
            <w:pPr>
              <w:tabs>
                <w:tab w:val="left" w:pos="1418"/>
              </w:tabs>
              <w:spacing w:before="50" w:after="50" w:line="420" w:lineRule="auto"/>
              <w:jc w:val="center"/>
              <w:rPr>
                <w:rFonts w:hint="eastAsia" w:ascii="宋体" w:hAnsi="宋体" w:eastAsia="宋体"/>
                <w:sz w:val="24"/>
                <w:highlight w:val="none"/>
                <w:lang w:val="en-US" w:eastAsia="zh-CN"/>
              </w:rPr>
            </w:pPr>
          </w:p>
        </w:tc>
        <w:tc>
          <w:tcPr>
            <w:tcW w:w="2465" w:type="dxa"/>
            <w:vAlign w:val="center"/>
          </w:tcPr>
          <w:p w14:paraId="750F98AD">
            <w:pPr>
              <w:tabs>
                <w:tab w:val="left" w:pos="1418"/>
              </w:tabs>
              <w:spacing w:before="50" w:after="50" w:line="420" w:lineRule="auto"/>
              <w:jc w:val="center"/>
              <w:rPr>
                <w:rFonts w:ascii="宋体" w:hAnsi="宋体"/>
                <w:sz w:val="24"/>
                <w:highlight w:val="none"/>
              </w:rPr>
            </w:pPr>
          </w:p>
        </w:tc>
        <w:tc>
          <w:tcPr>
            <w:tcW w:w="1959" w:type="dxa"/>
            <w:vAlign w:val="center"/>
          </w:tcPr>
          <w:p w14:paraId="74BB41A4">
            <w:pPr>
              <w:tabs>
                <w:tab w:val="left" w:pos="1418"/>
              </w:tabs>
              <w:spacing w:before="50" w:after="50" w:line="420" w:lineRule="auto"/>
              <w:jc w:val="center"/>
              <w:rPr>
                <w:rFonts w:ascii="宋体" w:hAnsi="宋体"/>
                <w:sz w:val="24"/>
                <w:highlight w:val="none"/>
              </w:rPr>
            </w:pPr>
          </w:p>
        </w:tc>
        <w:tc>
          <w:tcPr>
            <w:tcW w:w="1501" w:type="dxa"/>
            <w:vAlign w:val="center"/>
          </w:tcPr>
          <w:p w14:paraId="5152BF98">
            <w:pPr>
              <w:tabs>
                <w:tab w:val="left" w:pos="1418"/>
              </w:tabs>
              <w:spacing w:before="50" w:after="50" w:line="420" w:lineRule="auto"/>
              <w:jc w:val="center"/>
              <w:rPr>
                <w:rFonts w:ascii="宋体" w:hAnsi="宋体"/>
                <w:sz w:val="24"/>
                <w:highlight w:val="none"/>
              </w:rPr>
            </w:pPr>
          </w:p>
        </w:tc>
        <w:tc>
          <w:tcPr>
            <w:tcW w:w="1512" w:type="dxa"/>
            <w:vAlign w:val="center"/>
          </w:tcPr>
          <w:p w14:paraId="1017BBD5">
            <w:pPr>
              <w:tabs>
                <w:tab w:val="left" w:pos="1418"/>
              </w:tabs>
              <w:spacing w:before="50" w:after="50" w:line="420" w:lineRule="auto"/>
              <w:jc w:val="center"/>
              <w:rPr>
                <w:rFonts w:ascii="宋体" w:hAnsi="宋体"/>
                <w:sz w:val="24"/>
                <w:highlight w:val="none"/>
              </w:rPr>
            </w:pPr>
          </w:p>
        </w:tc>
      </w:tr>
      <w:tr w14:paraId="7BE72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080" w:type="dxa"/>
            <w:vAlign w:val="center"/>
          </w:tcPr>
          <w:p w14:paraId="5C8BE706">
            <w:pPr>
              <w:tabs>
                <w:tab w:val="left" w:pos="1418"/>
              </w:tabs>
              <w:spacing w:before="50" w:after="50" w:line="420" w:lineRule="auto"/>
              <w:jc w:val="center"/>
              <w:rPr>
                <w:rFonts w:ascii="宋体" w:hAnsi="宋体"/>
                <w:sz w:val="24"/>
                <w:highlight w:val="none"/>
              </w:rPr>
            </w:pPr>
          </w:p>
        </w:tc>
        <w:tc>
          <w:tcPr>
            <w:tcW w:w="2465" w:type="dxa"/>
            <w:vAlign w:val="center"/>
          </w:tcPr>
          <w:p w14:paraId="6C631F36">
            <w:pPr>
              <w:tabs>
                <w:tab w:val="left" w:pos="1418"/>
              </w:tabs>
              <w:spacing w:before="50" w:after="50" w:line="420" w:lineRule="auto"/>
              <w:jc w:val="center"/>
              <w:rPr>
                <w:rFonts w:ascii="宋体" w:hAnsi="宋体"/>
                <w:sz w:val="24"/>
                <w:highlight w:val="none"/>
              </w:rPr>
            </w:pPr>
          </w:p>
        </w:tc>
        <w:tc>
          <w:tcPr>
            <w:tcW w:w="1959" w:type="dxa"/>
            <w:vAlign w:val="center"/>
          </w:tcPr>
          <w:p w14:paraId="62571D6F">
            <w:pPr>
              <w:tabs>
                <w:tab w:val="left" w:pos="1418"/>
              </w:tabs>
              <w:spacing w:before="50" w:after="50" w:line="420" w:lineRule="auto"/>
              <w:jc w:val="center"/>
              <w:rPr>
                <w:rFonts w:ascii="宋体" w:hAnsi="宋体"/>
                <w:sz w:val="24"/>
                <w:highlight w:val="none"/>
              </w:rPr>
            </w:pPr>
          </w:p>
        </w:tc>
        <w:tc>
          <w:tcPr>
            <w:tcW w:w="1501" w:type="dxa"/>
            <w:vAlign w:val="center"/>
          </w:tcPr>
          <w:p w14:paraId="430EA66C">
            <w:pPr>
              <w:tabs>
                <w:tab w:val="left" w:pos="1418"/>
              </w:tabs>
              <w:spacing w:before="50" w:after="50" w:line="420" w:lineRule="auto"/>
              <w:jc w:val="center"/>
              <w:rPr>
                <w:rFonts w:ascii="宋体" w:hAnsi="宋体"/>
                <w:sz w:val="24"/>
                <w:highlight w:val="none"/>
              </w:rPr>
            </w:pPr>
          </w:p>
        </w:tc>
        <w:tc>
          <w:tcPr>
            <w:tcW w:w="1512" w:type="dxa"/>
            <w:vAlign w:val="center"/>
          </w:tcPr>
          <w:p w14:paraId="28D82BEA">
            <w:pPr>
              <w:tabs>
                <w:tab w:val="left" w:pos="1418"/>
              </w:tabs>
              <w:spacing w:before="50" w:after="50" w:line="420" w:lineRule="auto"/>
              <w:jc w:val="center"/>
              <w:rPr>
                <w:rFonts w:ascii="宋体" w:hAnsi="宋体"/>
                <w:sz w:val="24"/>
                <w:highlight w:val="none"/>
              </w:rPr>
            </w:pPr>
          </w:p>
        </w:tc>
      </w:tr>
      <w:tr w14:paraId="7C388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080" w:type="dxa"/>
            <w:vAlign w:val="center"/>
          </w:tcPr>
          <w:p w14:paraId="1A18F849">
            <w:pPr>
              <w:tabs>
                <w:tab w:val="left" w:pos="1418"/>
              </w:tabs>
              <w:spacing w:before="50" w:after="50" w:line="420" w:lineRule="auto"/>
              <w:jc w:val="center"/>
              <w:rPr>
                <w:rFonts w:ascii="宋体" w:hAnsi="宋体"/>
                <w:sz w:val="24"/>
                <w:highlight w:val="none"/>
              </w:rPr>
            </w:pPr>
          </w:p>
        </w:tc>
        <w:tc>
          <w:tcPr>
            <w:tcW w:w="2465" w:type="dxa"/>
            <w:vAlign w:val="center"/>
          </w:tcPr>
          <w:p w14:paraId="058389A1">
            <w:pPr>
              <w:tabs>
                <w:tab w:val="left" w:pos="1418"/>
              </w:tabs>
              <w:spacing w:before="50" w:after="50" w:line="420" w:lineRule="auto"/>
              <w:jc w:val="center"/>
              <w:rPr>
                <w:rFonts w:ascii="宋体" w:hAnsi="宋体"/>
                <w:sz w:val="24"/>
                <w:highlight w:val="none"/>
              </w:rPr>
            </w:pPr>
          </w:p>
        </w:tc>
        <w:tc>
          <w:tcPr>
            <w:tcW w:w="1959" w:type="dxa"/>
            <w:vAlign w:val="center"/>
          </w:tcPr>
          <w:p w14:paraId="7FB3B401">
            <w:pPr>
              <w:tabs>
                <w:tab w:val="left" w:pos="1418"/>
              </w:tabs>
              <w:spacing w:before="50" w:after="50" w:line="420" w:lineRule="auto"/>
              <w:jc w:val="center"/>
              <w:rPr>
                <w:rFonts w:ascii="宋体" w:hAnsi="宋体"/>
                <w:sz w:val="24"/>
                <w:highlight w:val="none"/>
              </w:rPr>
            </w:pPr>
          </w:p>
        </w:tc>
        <w:tc>
          <w:tcPr>
            <w:tcW w:w="1501" w:type="dxa"/>
            <w:vAlign w:val="center"/>
          </w:tcPr>
          <w:p w14:paraId="235CC0F8">
            <w:pPr>
              <w:tabs>
                <w:tab w:val="left" w:pos="1418"/>
              </w:tabs>
              <w:spacing w:before="50" w:after="50" w:line="420" w:lineRule="auto"/>
              <w:jc w:val="center"/>
              <w:rPr>
                <w:rFonts w:ascii="宋体" w:hAnsi="宋体"/>
                <w:sz w:val="24"/>
                <w:highlight w:val="none"/>
              </w:rPr>
            </w:pPr>
          </w:p>
        </w:tc>
        <w:tc>
          <w:tcPr>
            <w:tcW w:w="1512" w:type="dxa"/>
            <w:vAlign w:val="center"/>
          </w:tcPr>
          <w:p w14:paraId="60A3C341">
            <w:pPr>
              <w:tabs>
                <w:tab w:val="left" w:pos="1418"/>
              </w:tabs>
              <w:spacing w:before="50" w:after="50" w:line="420" w:lineRule="auto"/>
              <w:jc w:val="center"/>
              <w:rPr>
                <w:rFonts w:ascii="宋体" w:hAnsi="宋体"/>
                <w:sz w:val="24"/>
                <w:highlight w:val="none"/>
              </w:rPr>
            </w:pPr>
          </w:p>
        </w:tc>
      </w:tr>
      <w:tr w14:paraId="69533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080" w:type="dxa"/>
            <w:vAlign w:val="center"/>
          </w:tcPr>
          <w:p w14:paraId="0EF60969">
            <w:pPr>
              <w:tabs>
                <w:tab w:val="left" w:pos="1418"/>
              </w:tabs>
              <w:spacing w:before="50" w:after="50" w:line="420" w:lineRule="auto"/>
              <w:jc w:val="center"/>
              <w:rPr>
                <w:rFonts w:ascii="宋体" w:hAnsi="宋体"/>
                <w:sz w:val="24"/>
                <w:highlight w:val="none"/>
              </w:rPr>
            </w:pPr>
          </w:p>
        </w:tc>
        <w:tc>
          <w:tcPr>
            <w:tcW w:w="2465" w:type="dxa"/>
            <w:vAlign w:val="center"/>
          </w:tcPr>
          <w:p w14:paraId="0772EA3F">
            <w:pPr>
              <w:tabs>
                <w:tab w:val="left" w:pos="1418"/>
              </w:tabs>
              <w:spacing w:before="50" w:after="50" w:line="420" w:lineRule="auto"/>
              <w:jc w:val="center"/>
              <w:rPr>
                <w:rFonts w:ascii="宋体" w:hAnsi="宋体"/>
                <w:sz w:val="24"/>
                <w:highlight w:val="none"/>
              </w:rPr>
            </w:pPr>
          </w:p>
        </w:tc>
        <w:tc>
          <w:tcPr>
            <w:tcW w:w="1959" w:type="dxa"/>
            <w:vAlign w:val="center"/>
          </w:tcPr>
          <w:p w14:paraId="08323E85">
            <w:pPr>
              <w:tabs>
                <w:tab w:val="left" w:pos="1418"/>
              </w:tabs>
              <w:spacing w:before="50" w:after="50" w:line="420" w:lineRule="auto"/>
              <w:jc w:val="center"/>
              <w:rPr>
                <w:rFonts w:ascii="宋体" w:hAnsi="宋体"/>
                <w:sz w:val="24"/>
                <w:highlight w:val="none"/>
              </w:rPr>
            </w:pPr>
          </w:p>
        </w:tc>
        <w:tc>
          <w:tcPr>
            <w:tcW w:w="1501" w:type="dxa"/>
            <w:vAlign w:val="center"/>
          </w:tcPr>
          <w:p w14:paraId="199A9A4D">
            <w:pPr>
              <w:tabs>
                <w:tab w:val="left" w:pos="1418"/>
              </w:tabs>
              <w:spacing w:before="50" w:after="50" w:line="420" w:lineRule="auto"/>
              <w:jc w:val="center"/>
              <w:rPr>
                <w:rFonts w:ascii="宋体" w:hAnsi="宋体"/>
                <w:sz w:val="24"/>
                <w:highlight w:val="none"/>
              </w:rPr>
            </w:pPr>
          </w:p>
        </w:tc>
        <w:tc>
          <w:tcPr>
            <w:tcW w:w="1512" w:type="dxa"/>
            <w:vAlign w:val="center"/>
          </w:tcPr>
          <w:p w14:paraId="12983A9F">
            <w:pPr>
              <w:tabs>
                <w:tab w:val="left" w:pos="1418"/>
              </w:tabs>
              <w:spacing w:before="50" w:after="50" w:line="420" w:lineRule="auto"/>
              <w:jc w:val="center"/>
              <w:rPr>
                <w:rFonts w:ascii="宋体" w:hAnsi="宋体"/>
                <w:sz w:val="24"/>
                <w:highlight w:val="none"/>
              </w:rPr>
            </w:pPr>
          </w:p>
        </w:tc>
      </w:tr>
      <w:tr w14:paraId="35305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080" w:type="dxa"/>
            <w:vAlign w:val="center"/>
          </w:tcPr>
          <w:p w14:paraId="17C72039">
            <w:pPr>
              <w:tabs>
                <w:tab w:val="left" w:pos="1418"/>
              </w:tabs>
              <w:spacing w:before="50" w:after="50" w:line="420" w:lineRule="auto"/>
              <w:jc w:val="center"/>
              <w:rPr>
                <w:rFonts w:ascii="宋体" w:hAnsi="宋体"/>
                <w:sz w:val="24"/>
                <w:highlight w:val="none"/>
              </w:rPr>
            </w:pPr>
          </w:p>
        </w:tc>
        <w:tc>
          <w:tcPr>
            <w:tcW w:w="2465" w:type="dxa"/>
            <w:vAlign w:val="center"/>
          </w:tcPr>
          <w:p w14:paraId="1AC7A62C">
            <w:pPr>
              <w:tabs>
                <w:tab w:val="left" w:pos="1418"/>
              </w:tabs>
              <w:spacing w:before="50" w:after="50" w:line="420" w:lineRule="auto"/>
              <w:jc w:val="center"/>
              <w:rPr>
                <w:rFonts w:ascii="宋体" w:hAnsi="宋体"/>
                <w:sz w:val="24"/>
                <w:highlight w:val="none"/>
              </w:rPr>
            </w:pPr>
          </w:p>
        </w:tc>
        <w:tc>
          <w:tcPr>
            <w:tcW w:w="1959" w:type="dxa"/>
            <w:vAlign w:val="center"/>
          </w:tcPr>
          <w:p w14:paraId="25EA0A46">
            <w:pPr>
              <w:tabs>
                <w:tab w:val="left" w:pos="1418"/>
              </w:tabs>
              <w:spacing w:before="50" w:after="50" w:line="420" w:lineRule="auto"/>
              <w:jc w:val="center"/>
              <w:rPr>
                <w:rFonts w:ascii="宋体" w:hAnsi="宋体"/>
                <w:sz w:val="24"/>
                <w:highlight w:val="none"/>
              </w:rPr>
            </w:pPr>
          </w:p>
        </w:tc>
        <w:tc>
          <w:tcPr>
            <w:tcW w:w="1501" w:type="dxa"/>
            <w:vAlign w:val="center"/>
          </w:tcPr>
          <w:p w14:paraId="124A21AD">
            <w:pPr>
              <w:tabs>
                <w:tab w:val="left" w:pos="1418"/>
              </w:tabs>
              <w:spacing w:before="50" w:after="50" w:line="420" w:lineRule="auto"/>
              <w:jc w:val="center"/>
              <w:rPr>
                <w:rFonts w:ascii="宋体" w:hAnsi="宋体"/>
                <w:sz w:val="24"/>
                <w:highlight w:val="none"/>
              </w:rPr>
            </w:pPr>
          </w:p>
        </w:tc>
        <w:tc>
          <w:tcPr>
            <w:tcW w:w="1512" w:type="dxa"/>
            <w:vAlign w:val="center"/>
          </w:tcPr>
          <w:p w14:paraId="63527C18">
            <w:pPr>
              <w:tabs>
                <w:tab w:val="left" w:pos="1418"/>
              </w:tabs>
              <w:spacing w:before="50" w:after="50" w:line="420" w:lineRule="auto"/>
              <w:jc w:val="center"/>
              <w:rPr>
                <w:rFonts w:ascii="宋体" w:hAnsi="宋体"/>
                <w:sz w:val="24"/>
                <w:highlight w:val="none"/>
              </w:rPr>
            </w:pPr>
          </w:p>
        </w:tc>
      </w:tr>
      <w:tr w14:paraId="68E3F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080" w:type="dxa"/>
            <w:vAlign w:val="center"/>
          </w:tcPr>
          <w:p w14:paraId="3170961F">
            <w:pPr>
              <w:tabs>
                <w:tab w:val="left" w:pos="1418"/>
              </w:tabs>
              <w:spacing w:before="50" w:after="50" w:line="420" w:lineRule="auto"/>
              <w:jc w:val="center"/>
              <w:rPr>
                <w:rFonts w:ascii="宋体" w:hAnsi="宋体"/>
                <w:sz w:val="24"/>
                <w:highlight w:val="none"/>
              </w:rPr>
            </w:pPr>
          </w:p>
        </w:tc>
        <w:tc>
          <w:tcPr>
            <w:tcW w:w="2465" w:type="dxa"/>
            <w:vAlign w:val="center"/>
          </w:tcPr>
          <w:p w14:paraId="5F43F74D">
            <w:pPr>
              <w:tabs>
                <w:tab w:val="left" w:pos="1418"/>
              </w:tabs>
              <w:spacing w:before="50" w:after="50" w:line="420" w:lineRule="auto"/>
              <w:jc w:val="center"/>
              <w:rPr>
                <w:rFonts w:ascii="宋体" w:hAnsi="宋体"/>
                <w:sz w:val="24"/>
                <w:highlight w:val="none"/>
              </w:rPr>
            </w:pPr>
          </w:p>
        </w:tc>
        <w:tc>
          <w:tcPr>
            <w:tcW w:w="1959" w:type="dxa"/>
            <w:vAlign w:val="center"/>
          </w:tcPr>
          <w:p w14:paraId="6DC05063">
            <w:pPr>
              <w:tabs>
                <w:tab w:val="left" w:pos="1418"/>
              </w:tabs>
              <w:spacing w:before="50" w:after="50" w:line="420" w:lineRule="auto"/>
              <w:jc w:val="center"/>
              <w:rPr>
                <w:rFonts w:ascii="宋体" w:hAnsi="宋体"/>
                <w:sz w:val="24"/>
                <w:highlight w:val="none"/>
              </w:rPr>
            </w:pPr>
          </w:p>
        </w:tc>
        <w:tc>
          <w:tcPr>
            <w:tcW w:w="1501" w:type="dxa"/>
            <w:vAlign w:val="center"/>
          </w:tcPr>
          <w:p w14:paraId="33561F72">
            <w:pPr>
              <w:tabs>
                <w:tab w:val="left" w:pos="1418"/>
              </w:tabs>
              <w:spacing w:before="50" w:after="50" w:line="420" w:lineRule="auto"/>
              <w:jc w:val="center"/>
              <w:rPr>
                <w:rFonts w:ascii="宋体" w:hAnsi="宋体"/>
                <w:sz w:val="24"/>
                <w:highlight w:val="none"/>
              </w:rPr>
            </w:pPr>
          </w:p>
        </w:tc>
        <w:tc>
          <w:tcPr>
            <w:tcW w:w="1512" w:type="dxa"/>
            <w:vAlign w:val="center"/>
          </w:tcPr>
          <w:p w14:paraId="092C7B77">
            <w:pPr>
              <w:tabs>
                <w:tab w:val="left" w:pos="1418"/>
              </w:tabs>
              <w:spacing w:before="50" w:after="50" w:line="420" w:lineRule="auto"/>
              <w:jc w:val="center"/>
              <w:rPr>
                <w:rFonts w:ascii="宋体" w:hAnsi="宋体"/>
                <w:sz w:val="24"/>
                <w:highlight w:val="none"/>
              </w:rPr>
            </w:pPr>
          </w:p>
        </w:tc>
      </w:tr>
      <w:tr w14:paraId="2B464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080" w:type="dxa"/>
            <w:vAlign w:val="center"/>
          </w:tcPr>
          <w:p w14:paraId="0D4BAF7B">
            <w:pPr>
              <w:tabs>
                <w:tab w:val="left" w:pos="1418"/>
              </w:tabs>
              <w:spacing w:before="50" w:after="50" w:line="420" w:lineRule="auto"/>
              <w:jc w:val="center"/>
              <w:rPr>
                <w:rFonts w:ascii="宋体" w:hAnsi="宋体"/>
                <w:sz w:val="24"/>
                <w:highlight w:val="none"/>
              </w:rPr>
            </w:pPr>
            <w:r>
              <w:rPr>
                <w:rFonts w:hint="eastAsia" w:ascii="宋体" w:hAnsi="宋体"/>
                <w:sz w:val="24"/>
                <w:highlight w:val="none"/>
              </w:rPr>
              <w:t>……</w:t>
            </w:r>
          </w:p>
        </w:tc>
        <w:tc>
          <w:tcPr>
            <w:tcW w:w="2465" w:type="dxa"/>
            <w:vAlign w:val="center"/>
          </w:tcPr>
          <w:p w14:paraId="71B55DBB">
            <w:pPr>
              <w:tabs>
                <w:tab w:val="left" w:pos="1418"/>
              </w:tabs>
              <w:spacing w:before="50" w:after="50" w:line="420" w:lineRule="auto"/>
              <w:jc w:val="center"/>
              <w:rPr>
                <w:rFonts w:ascii="宋体" w:hAnsi="宋体"/>
                <w:sz w:val="24"/>
                <w:highlight w:val="none"/>
              </w:rPr>
            </w:pPr>
            <w:r>
              <w:rPr>
                <w:rFonts w:hint="eastAsia" w:ascii="宋体" w:hAnsi="宋体"/>
                <w:sz w:val="24"/>
                <w:highlight w:val="none"/>
              </w:rPr>
              <w:t>……</w:t>
            </w:r>
          </w:p>
        </w:tc>
        <w:tc>
          <w:tcPr>
            <w:tcW w:w="1959" w:type="dxa"/>
            <w:vAlign w:val="center"/>
          </w:tcPr>
          <w:p w14:paraId="296B7135">
            <w:pPr>
              <w:tabs>
                <w:tab w:val="left" w:pos="1418"/>
              </w:tabs>
              <w:spacing w:before="50" w:after="50" w:line="420" w:lineRule="auto"/>
              <w:jc w:val="center"/>
              <w:rPr>
                <w:rFonts w:ascii="宋体" w:hAnsi="宋体"/>
                <w:sz w:val="24"/>
                <w:highlight w:val="none"/>
              </w:rPr>
            </w:pPr>
          </w:p>
        </w:tc>
        <w:tc>
          <w:tcPr>
            <w:tcW w:w="1501" w:type="dxa"/>
            <w:vAlign w:val="center"/>
          </w:tcPr>
          <w:p w14:paraId="0F97CC92">
            <w:pPr>
              <w:tabs>
                <w:tab w:val="left" w:pos="1418"/>
              </w:tabs>
              <w:spacing w:before="50" w:after="50" w:line="420" w:lineRule="auto"/>
              <w:jc w:val="center"/>
              <w:rPr>
                <w:rFonts w:ascii="宋体" w:hAnsi="宋体"/>
                <w:sz w:val="24"/>
                <w:highlight w:val="none"/>
              </w:rPr>
            </w:pPr>
          </w:p>
        </w:tc>
        <w:tc>
          <w:tcPr>
            <w:tcW w:w="1512" w:type="dxa"/>
            <w:vAlign w:val="center"/>
          </w:tcPr>
          <w:p w14:paraId="0F3AC1F8">
            <w:pPr>
              <w:tabs>
                <w:tab w:val="left" w:pos="1418"/>
              </w:tabs>
              <w:spacing w:before="50" w:after="50" w:line="420" w:lineRule="auto"/>
              <w:jc w:val="center"/>
              <w:rPr>
                <w:rFonts w:ascii="宋体" w:hAnsi="宋体"/>
                <w:sz w:val="24"/>
                <w:highlight w:val="none"/>
              </w:rPr>
            </w:pPr>
          </w:p>
        </w:tc>
      </w:tr>
      <w:tr w14:paraId="7761C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5504" w:type="dxa"/>
            <w:gridSpan w:val="3"/>
            <w:vAlign w:val="center"/>
          </w:tcPr>
          <w:p w14:paraId="36FC1274">
            <w:pPr>
              <w:tabs>
                <w:tab w:val="left" w:pos="1418"/>
              </w:tabs>
              <w:spacing w:before="50" w:after="50" w:line="420" w:lineRule="auto"/>
              <w:ind w:firstLine="560"/>
              <w:jc w:val="center"/>
              <w:rPr>
                <w:rFonts w:ascii="宋体" w:hAnsi="宋体"/>
                <w:spacing w:val="20"/>
                <w:sz w:val="24"/>
                <w:highlight w:val="none"/>
              </w:rPr>
            </w:pPr>
            <w:r>
              <w:rPr>
                <w:rFonts w:hint="eastAsia" w:ascii="宋体" w:hAnsi="宋体"/>
                <w:spacing w:val="20"/>
                <w:sz w:val="24"/>
                <w:highlight w:val="none"/>
              </w:rPr>
              <w:t>投标总报价</w:t>
            </w:r>
          </w:p>
        </w:tc>
        <w:tc>
          <w:tcPr>
            <w:tcW w:w="3013" w:type="dxa"/>
            <w:gridSpan w:val="2"/>
          </w:tcPr>
          <w:p w14:paraId="15E3812D">
            <w:pPr>
              <w:tabs>
                <w:tab w:val="left" w:pos="1418"/>
              </w:tabs>
              <w:spacing w:before="50" w:after="50" w:line="420" w:lineRule="auto"/>
              <w:ind w:firstLine="560"/>
              <w:jc w:val="center"/>
              <w:rPr>
                <w:rFonts w:ascii="宋体" w:hAnsi="宋体"/>
                <w:spacing w:val="20"/>
                <w:sz w:val="24"/>
                <w:highlight w:val="none"/>
              </w:rPr>
            </w:pPr>
          </w:p>
        </w:tc>
      </w:tr>
    </w:tbl>
    <w:p w14:paraId="60761890">
      <w:pPr>
        <w:spacing w:line="420" w:lineRule="auto"/>
        <w:ind w:firstLine="482" w:firstLineChars="200"/>
        <w:rPr>
          <w:rFonts w:hint="eastAsia" w:ascii="宋体" w:hAnsi="宋体" w:cs="宋体"/>
          <w:b/>
          <w:bCs/>
          <w:color w:val="FF0000"/>
          <w:sz w:val="24"/>
          <w:szCs w:val="24"/>
          <w:highlight w:val="none"/>
          <w:u w:val="none"/>
        </w:rPr>
      </w:pPr>
    </w:p>
    <w:p w14:paraId="678DE52F">
      <w:pPr>
        <w:spacing w:line="420" w:lineRule="auto"/>
        <w:ind w:firstLine="4142" w:firstLineChars="1726"/>
        <w:jc w:val="left"/>
        <w:rPr>
          <w:rFonts w:ascii="宋体" w:hAnsi="宋体"/>
          <w:bCs/>
          <w:color w:val="000000"/>
          <w:sz w:val="24"/>
        </w:rPr>
      </w:pPr>
      <w:r>
        <w:rPr>
          <w:rFonts w:hint="eastAsia" w:ascii="宋体" w:hAnsi="宋体"/>
          <w:bCs/>
          <w:color w:val="000000"/>
          <w:sz w:val="24"/>
        </w:rPr>
        <w:t>法定代表人或者授权代表（签字或盖章）：</w:t>
      </w:r>
    </w:p>
    <w:p w14:paraId="7713EBA1">
      <w:pPr>
        <w:spacing w:line="420" w:lineRule="auto"/>
        <w:jc w:val="center"/>
        <w:rPr>
          <w:rFonts w:ascii="宋体" w:hAnsi="宋体"/>
          <w:bCs/>
          <w:sz w:val="24"/>
        </w:rPr>
      </w:pPr>
      <w:r>
        <w:rPr>
          <w:rFonts w:hint="eastAsia" w:ascii="宋体" w:hAnsi="宋体"/>
          <w:bCs/>
          <w:sz w:val="24"/>
        </w:rPr>
        <w:t xml:space="preserve">                                 日期：</w:t>
      </w:r>
      <w:r>
        <w:rPr>
          <w:rFonts w:hint="eastAsia" w:ascii="宋体" w:cs="宋体"/>
          <w:sz w:val="24"/>
        </w:rPr>
        <w:t xml:space="preserve">    年   月   日</w:t>
      </w:r>
    </w:p>
    <w:p w14:paraId="4877345A">
      <w:pPr>
        <w:spacing w:line="420" w:lineRule="auto"/>
        <w:rPr>
          <w:rFonts w:ascii="宋体" w:hAnsi="宋体"/>
          <w:sz w:val="24"/>
        </w:rPr>
      </w:pPr>
      <w:r>
        <w:rPr>
          <w:rFonts w:hint="eastAsia" w:ascii="宋体" w:hAnsi="宋体"/>
          <w:sz w:val="24"/>
        </w:rPr>
        <w:t>1、此表可以根据需要自行增减行数。</w:t>
      </w:r>
    </w:p>
    <w:p w14:paraId="2ADF037C">
      <w:pPr>
        <w:spacing w:line="420" w:lineRule="auto"/>
        <w:rPr>
          <w:rFonts w:ascii="宋体" w:hAnsi="宋体"/>
          <w:b/>
          <w:bCs/>
          <w:sz w:val="32"/>
          <w:szCs w:val="32"/>
        </w:rPr>
        <w:sectPr>
          <w:pgSz w:w="11906" w:h="16838"/>
          <w:pgMar w:top="1418" w:right="1588" w:bottom="1418" w:left="1365" w:header="851" w:footer="907" w:gutter="0"/>
          <w:cols w:space="1701" w:num="1"/>
          <w:titlePg/>
          <w:docGrid w:linePitch="360" w:charSpace="0"/>
        </w:sectPr>
      </w:pPr>
      <w:r>
        <w:rPr>
          <w:rFonts w:hint="eastAsia" w:ascii="宋体" w:hAnsi="宋体"/>
          <w:sz w:val="24"/>
        </w:rPr>
        <w:t>2、项目如有分包，请各供应商按投报的分包分别列表。</w:t>
      </w:r>
    </w:p>
    <w:p w14:paraId="6AF7FEC8">
      <w:pPr>
        <w:pStyle w:val="201"/>
        <w:spacing w:line="420" w:lineRule="auto"/>
        <w:jc w:val="center"/>
        <w:rPr>
          <w:rFonts w:hint="eastAsia" w:ascii="宋体" w:hAnsi="宋体" w:eastAsia="宋体" w:cs="Times New Roman"/>
        </w:rPr>
      </w:pPr>
      <w:r>
        <w:rPr>
          <w:rFonts w:hint="eastAsia" w:ascii="宋体" w:hAnsi="宋体" w:eastAsia="宋体" w:cs="Times New Roman"/>
        </w:rPr>
        <w:t>项目需求服务承诺</w:t>
      </w:r>
    </w:p>
    <w:p w14:paraId="37833A52">
      <w:pPr>
        <w:pStyle w:val="38"/>
        <w:ind w:left="0" w:leftChars="0" w:firstLine="0" w:firstLineChars="0"/>
      </w:pPr>
    </w:p>
    <w:p w14:paraId="05ED0BDE">
      <w:pPr>
        <w:pStyle w:val="38"/>
        <w:ind w:left="0" w:leftChars="0" w:firstLine="480"/>
        <w:rPr>
          <w:szCs w:val="24"/>
        </w:rPr>
      </w:pPr>
      <w:r>
        <w:rPr>
          <w:rFonts w:hint="eastAsia"/>
          <w:szCs w:val="24"/>
          <w:u w:val="single"/>
        </w:rPr>
        <w:t>滨海县住房和城乡建设局</w:t>
      </w:r>
      <w:r>
        <w:rPr>
          <w:rFonts w:hint="eastAsia"/>
          <w:szCs w:val="24"/>
        </w:rPr>
        <w:t>：</w:t>
      </w:r>
    </w:p>
    <w:p w14:paraId="1ED63E79">
      <w:pPr>
        <w:pStyle w:val="38"/>
        <w:ind w:left="0" w:leftChars="0" w:firstLine="480"/>
        <w:rPr>
          <w:szCs w:val="24"/>
        </w:rPr>
      </w:pPr>
      <w:r>
        <w:rPr>
          <w:rFonts w:hint="eastAsia"/>
          <w:szCs w:val="24"/>
        </w:rPr>
        <w:t>我单位郑重承诺：将按招标文件第四章项目需求中规定的各项要求，向贵单位提供所需服务。一旦我方成交，我方将根据招标文件的规定，严格履行合同的责任和义务，并保证在招标文件规定的时间内完成项目，并交付成果。</w:t>
      </w:r>
    </w:p>
    <w:p w14:paraId="4CBE4C3F">
      <w:pPr>
        <w:pStyle w:val="315"/>
        <w:ind w:left="0" w:leftChars="0" w:firstLine="464"/>
        <w:rPr>
          <w:sz w:val="24"/>
          <w:szCs w:val="24"/>
        </w:rPr>
      </w:pPr>
    </w:p>
    <w:p w14:paraId="2D1BFD8E">
      <w:pPr>
        <w:spacing w:line="440" w:lineRule="exact"/>
        <w:ind w:firstLine="480"/>
        <w:rPr>
          <w:rFonts w:ascii="宋体" w:hAnsi="宋体"/>
          <w:color w:val="000000"/>
          <w:sz w:val="24"/>
          <w:szCs w:val="24"/>
        </w:rPr>
      </w:pPr>
    </w:p>
    <w:p w14:paraId="13957931">
      <w:pPr>
        <w:spacing w:line="560" w:lineRule="exact"/>
        <w:ind w:firstLine="480"/>
        <w:jc w:val="center"/>
        <w:rPr>
          <w:rFonts w:ascii="宋体" w:hAnsi="宋体"/>
          <w:bCs/>
          <w:color w:val="000000"/>
          <w:sz w:val="24"/>
          <w:szCs w:val="24"/>
        </w:rPr>
      </w:pPr>
      <w:r>
        <w:rPr>
          <w:rFonts w:hint="eastAsia" w:ascii="宋体" w:hAnsi="宋体"/>
          <w:bCs/>
          <w:color w:val="000000"/>
          <w:sz w:val="24"/>
          <w:szCs w:val="24"/>
        </w:rPr>
        <w:t xml:space="preserve">                             供应商（公章）：</w:t>
      </w:r>
    </w:p>
    <w:p w14:paraId="21817995">
      <w:pPr>
        <w:spacing w:line="560" w:lineRule="exact"/>
        <w:ind w:firstLine="480"/>
        <w:jc w:val="right"/>
        <w:rPr>
          <w:rFonts w:ascii="宋体" w:hAnsi="宋体"/>
          <w:bCs/>
          <w:color w:val="000000"/>
          <w:sz w:val="24"/>
          <w:szCs w:val="24"/>
        </w:rPr>
      </w:pPr>
      <w:r>
        <w:rPr>
          <w:rFonts w:hint="eastAsia" w:ascii="宋体" w:hAnsi="宋体"/>
          <w:bCs/>
          <w:color w:val="000000"/>
          <w:sz w:val="24"/>
          <w:szCs w:val="24"/>
        </w:rPr>
        <w:t xml:space="preserve">                  法定代表人或授权代表（签字或盖章）：</w:t>
      </w:r>
    </w:p>
    <w:p w14:paraId="2C580E08">
      <w:pPr>
        <w:spacing w:line="560" w:lineRule="exact"/>
        <w:ind w:firstLine="480"/>
        <w:jc w:val="right"/>
        <w:rPr>
          <w:rFonts w:ascii="宋体" w:hAnsi="宋体"/>
          <w:bCs/>
          <w:color w:val="000000"/>
          <w:sz w:val="24"/>
          <w:szCs w:val="24"/>
        </w:rPr>
      </w:pPr>
      <w:r>
        <w:rPr>
          <w:rFonts w:hint="eastAsia" w:ascii="宋体" w:hAnsi="宋体"/>
          <w:bCs/>
          <w:color w:val="000000"/>
          <w:sz w:val="24"/>
          <w:szCs w:val="24"/>
        </w:rPr>
        <w:t xml:space="preserve">                                 日期：</w:t>
      </w:r>
      <w:r>
        <w:rPr>
          <w:rFonts w:hint="eastAsia" w:ascii="宋体" w:cs="宋体"/>
          <w:sz w:val="24"/>
        </w:rPr>
        <w:t xml:space="preserve">    年   月   日</w:t>
      </w:r>
    </w:p>
    <w:p w14:paraId="60AB45DA">
      <w:pPr>
        <w:pStyle w:val="201"/>
        <w:spacing w:line="420" w:lineRule="auto"/>
        <w:ind w:firstLine="643"/>
        <w:jc w:val="center"/>
        <w:rPr>
          <w:rFonts w:ascii="宋体" w:hAnsi="宋体"/>
        </w:rPr>
      </w:pPr>
    </w:p>
    <w:p w14:paraId="5EFB8DC9">
      <w:pPr>
        <w:pStyle w:val="201"/>
        <w:spacing w:line="420" w:lineRule="auto"/>
        <w:ind w:firstLine="643"/>
        <w:jc w:val="center"/>
        <w:rPr>
          <w:rFonts w:ascii="宋体" w:hAnsi="宋体"/>
          <w:color w:val="000000"/>
        </w:rPr>
      </w:pPr>
    </w:p>
    <w:p w14:paraId="6FFC9DB9">
      <w:pPr>
        <w:pStyle w:val="202"/>
        <w:ind w:firstLine="643"/>
        <w:rPr>
          <w:rFonts w:ascii="宋体" w:hAnsi="宋体"/>
          <w:b/>
          <w:color w:val="000000"/>
          <w:sz w:val="32"/>
          <w:szCs w:val="32"/>
        </w:rPr>
      </w:pPr>
    </w:p>
    <w:p w14:paraId="09938C42">
      <w:pPr>
        <w:pStyle w:val="202"/>
        <w:ind w:firstLine="643"/>
        <w:rPr>
          <w:rFonts w:ascii="宋体" w:hAnsi="宋体"/>
          <w:b/>
          <w:color w:val="000000"/>
          <w:sz w:val="32"/>
          <w:szCs w:val="32"/>
        </w:rPr>
      </w:pPr>
    </w:p>
    <w:p w14:paraId="2A15F782">
      <w:pPr>
        <w:pStyle w:val="202"/>
        <w:ind w:firstLine="643"/>
        <w:rPr>
          <w:rFonts w:ascii="宋体" w:hAnsi="宋体"/>
          <w:b/>
          <w:color w:val="000000"/>
          <w:sz w:val="32"/>
          <w:szCs w:val="32"/>
        </w:rPr>
      </w:pPr>
    </w:p>
    <w:p w14:paraId="2DA38EDE">
      <w:pPr>
        <w:pStyle w:val="201"/>
        <w:spacing w:line="420" w:lineRule="auto"/>
        <w:ind w:firstLine="643"/>
        <w:jc w:val="center"/>
        <w:rPr>
          <w:rFonts w:ascii="宋体" w:hAnsi="宋体"/>
          <w:color w:val="000000"/>
        </w:rPr>
      </w:pPr>
    </w:p>
    <w:p w14:paraId="444C26BB">
      <w:pPr>
        <w:pStyle w:val="202"/>
        <w:ind w:firstLine="643"/>
        <w:rPr>
          <w:rFonts w:ascii="宋体" w:hAnsi="宋体"/>
          <w:b/>
          <w:color w:val="000000"/>
          <w:sz w:val="32"/>
          <w:szCs w:val="32"/>
        </w:rPr>
      </w:pPr>
    </w:p>
    <w:p w14:paraId="3440342C">
      <w:pPr>
        <w:pStyle w:val="202"/>
        <w:ind w:firstLine="643"/>
        <w:rPr>
          <w:rFonts w:ascii="宋体" w:hAnsi="宋体"/>
          <w:b/>
          <w:color w:val="000000"/>
          <w:sz w:val="32"/>
          <w:szCs w:val="32"/>
        </w:rPr>
      </w:pPr>
    </w:p>
    <w:p w14:paraId="6558E5D9">
      <w:pPr>
        <w:pStyle w:val="202"/>
        <w:ind w:firstLine="643"/>
        <w:rPr>
          <w:rFonts w:ascii="宋体" w:hAnsi="宋体"/>
          <w:b/>
          <w:color w:val="000000"/>
          <w:sz w:val="32"/>
          <w:szCs w:val="32"/>
        </w:rPr>
      </w:pPr>
    </w:p>
    <w:p w14:paraId="266CDF4B">
      <w:pPr>
        <w:pStyle w:val="202"/>
        <w:ind w:firstLine="643"/>
        <w:rPr>
          <w:rFonts w:ascii="宋体" w:hAnsi="宋体"/>
          <w:b/>
          <w:color w:val="000000"/>
          <w:sz w:val="32"/>
          <w:szCs w:val="32"/>
        </w:rPr>
      </w:pPr>
    </w:p>
    <w:p w14:paraId="7A1C2AC4">
      <w:pPr>
        <w:pStyle w:val="201"/>
        <w:spacing w:line="420" w:lineRule="auto"/>
        <w:jc w:val="center"/>
        <w:rPr>
          <w:rFonts w:hint="eastAsia" w:ascii="宋体" w:hAnsi="宋体" w:eastAsia="宋体" w:cs="Times New Roman"/>
        </w:rPr>
      </w:pPr>
      <w:r>
        <w:rPr>
          <w:rFonts w:hint="eastAsia" w:ascii="宋体" w:hAnsi="宋体" w:eastAsia="宋体" w:cs="Times New Roman"/>
        </w:rPr>
        <w:t>项目配备人员</w:t>
      </w:r>
      <w:r>
        <w:rPr>
          <w:rFonts w:hint="eastAsia" w:ascii="宋体" w:hAnsi="宋体" w:eastAsia="宋体" w:cs="Times New Roman"/>
          <w:lang w:val="zh-CN"/>
        </w:rPr>
        <w:t>一览表</w:t>
      </w:r>
    </w:p>
    <w:tbl>
      <w:tblPr>
        <w:tblStyle w:val="39"/>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1"/>
        <w:gridCol w:w="909"/>
        <w:gridCol w:w="696"/>
        <w:gridCol w:w="2184"/>
        <w:gridCol w:w="953"/>
        <w:gridCol w:w="720"/>
        <w:gridCol w:w="847"/>
        <w:gridCol w:w="1440"/>
        <w:gridCol w:w="720"/>
      </w:tblGrid>
      <w:tr w14:paraId="51D0B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11" w:hRule="atLeast"/>
        </w:trPr>
        <w:tc>
          <w:tcPr>
            <w:tcW w:w="711" w:type="dxa"/>
            <w:noWrap w:val="0"/>
            <w:vAlign w:val="center"/>
          </w:tcPr>
          <w:p w14:paraId="63859B06">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909" w:type="dxa"/>
            <w:noWrap w:val="0"/>
            <w:vAlign w:val="center"/>
          </w:tcPr>
          <w:p w14:paraId="129FE98C">
            <w:pPr>
              <w:jc w:val="center"/>
              <w:rPr>
                <w:rFonts w:hint="eastAsia" w:ascii="宋体" w:hAnsi="宋体" w:eastAsia="宋体" w:cs="宋体"/>
                <w:sz w:val="24"/>
                <w:szCs w:val="24"/>
              </w:rPr>
            </w:pPr>
            <w:r>
              <w:rPr>
                <w:rFonts w:hint="eastAsia" w:ascii="宋体" w:hAnsi="宋体" w:eastAsia="宋体" w:cs="宋体"/>
                <w:sz w:val="24"/>
                <w:szCs w:val="24"/>
              </w:rPr>
              <w:t>姓名</w:t>
            </w:r>
          </w:p>
        </w:tc>
        <w:tc>
          <w:tcPr>
            <w:tcW w:w="696" w:type="dxa"/>
            <w:noWrap w:val="0"/>
            <w:vAlign w:val="center"/>
          </w:tcPr>
          <w:p w14:paraId="63D7F959">
            <w:pPr>
              <w:jc w:val="center"/>
              <w:rPr>
                <w:rFonts w:hint="eastAsia" w:ascii="宋体" w:hAnsi="宋体" w:eastAsia="宋体" w:cs="宋体"/>
                <w:sz w:val="24"/>
                <w:szCs w:val="24"/>
              </w:rPr>
            </w:pPr>
            <w:r>
              <w:rPr>
                <w:rFonts w:hint="eastAsia" w:ascii="宋体" w:hAnsi="宋体" w:eastAsia="宋体" w:cs="宋体"/>
                <w:sz w:val="24"/>
                <w:szCs w:val="24"/>
              </w:rPr>
              <w:t>性别</w:t>
            </w:r>
          </w:p>
        </w:tc>
        <w:tc>
          <w:tcPr>
            <w:tcW w:w="2184" w:type="dxa"/>
            <w:noWrap w:val="0"/>
            <w:vAlign w:val="center"/>
          </w:tcPr>
          <w:p w14:paraId="27B705AA">
            <w:pPr>
              <w:jc w:val="center"/>
              <w:rPr>
                <w:rFonts w:hint="eastAsia" w:ascii="宋体" w:hAnsi="宋体" w:eastAsia="宋体" w:cs="宋体"/>
                <w:sz w:val="24"/>
                <w:szCs w:val="24"/>
              </w:rPr>
            </w:pPr>
            <w:r>
              <w:rPr>
                <w:rFonts w:hint="eastAsia" w:ascii="宋体" w:hAnsi="宋体" w:eastAsia="宋体" w:cs="宋体"/>
                <w:sz w:val="24"/>
                <w:szCs w:val="24"/>
              </w:rPr>
              <w:t>身份证号码</w:t>
            </w:r>
          </w:p>
        </w:tc>
        <w:tc>
          <w:tcPr>
            <w:tcW w:w="953" w:type="dxa"/>
            <w:noWrap w:val="0"/>
            <w:vAlign w:val="center"/>
          </w:tcPr>
          <w:p w14:paraId="3E385987">
            <w:pPr>
              <w:jc w:val="center"/>
              <w:rPr>
                <w:rFonts w:hint="eastAsia" w:ascii="宋体" w:hAnsi="宋体" w:eastAsia="宋体" w:cs="宋体"/>
                <w:sz w:val="24"/>
                <w:szCs w:val="24"/>
              </w:rPr>
            </w:pPr>
            <w:r>
              <w:rPr>
                <w:rFonts w:hint="eastAsia" w:ascii="宋体" w:hAnsi="宋体" w:eastAsia="宋体" w:cs="宋体"/>
                <w:sz w:val="24"/>
                <w:szCs w:val="24"/>
              </w:rPr>
              <w:t>职务</w:t>
            </w:r>
          </w:p>
        </w:tc>
        <w:tc>
          <w:tcPr>
            <w:tcW w:w="720" w:type="dxa"/>
            <w:noWrap w:val="0"/>
            <w:vAlign w:val="center"/>
          </w:tcPr>
          <w:p w14:paraId="45717662">
            <w:pPr>
              <w:jc w:val="center"/>
              <w:rPr>
                <w:rFonts w:hint="eastAsia" w:ascii="宋体" w:hAnsi="宋体" w:eastAsia="宋体" w:cs="宋体"/>
                <w:sz w:val="24"/>
                <w:szCs w:val="24"/>
              </w:rPr>
            </w:pPr>
            <w:r>
              <w:rPr>
                <w:rFonts w:hint="eastAsia" w:ascii="宋体" w:hAnsi="宋体" w:eastAsia="宋体" w:cs="宋体"/>
                <w:sz w:val="24"/>
                <w:szCs w:val="24"/>
              </w:rPr>
              <w:t>职称</w:t>
            </w:r>
          </w:p>
        </w:tc>
        <w:tc>
          <w:tcPr>
            <w:tcW w:w="847" w:type="dxa"/>
            <w:noWrap w:val="0"/>
            <w:vAlign w:val="center"/>
          </w:tcPr>
          <w:p w14:paraId="66C77174">
            <w:pPr>
              <w:jc w:val="center"/>
              <w:rPr>
                <w:rFonts w:hint="eastAsia" w:ascii="宋体" w:hAnsi="宋体" w:eastAsia="宋体" w:cs="宋体"/>
                <w:sz w:val="24"/>
                <w:szCs w:val="24"/>
              </w:rPr>
            </w:pPr>
            <w:r>
              <w:rPr>
                <w:rFonts w:hint="eastAsia" w:ascii="宋体" w:hAnsi="宋体" w:eastAsia="宋体" w:cs="宋体"/>
                <w:sz w:val="24"/>
                <w:szCs w:val="24"/>
              </w:rPr>
              <w:t>专业</w:t>
            </w:r>
          </w:p>
        </w:tc>
        <w:tc>
          <w:tcPr>
            <w:tcW w:w="1440" w:type="dxa"/>
            <w:noWrap w:val="0"/>
            <w:vAlign w:val="center"/>
          </w:tcPr>
          <w:p w14:paraId="5A118884">
            <w:pPr>
              <w:jc w:val="center"/>
              <w:rPr>
                <w:rFonts w:hint="eastAsia" w:ascii="宋体" w:hAnsi="宋体" w:eastAsia="宋体" w:cs="宋体"/>
                <w:sz w:val="24"/>
                <w:szCs w:val="24"/>
              </w:rPr>
            </w:pPr>
            <w:r>
              <w:rPr>
                <w:rFonts w:hint="eastAsia" w:ascii="宋体" w:hAnsi="宋体" w:eastAsia="宋体" w:cs="宋体"/>
                <w:sz w:val="24"/>
                <w:szCs w:val="24"/>
              </w:rPr>
              <w:t>证书编号</w:t>
            </w:r>
          </w:p>
        </w:tc>
        <w:tc>
          <w:tcPr>
            <w:tcW w:w="720" w:type="dxa"/>
            <w:noWrap w:val="0"/>
            <w:vAlign w:val="center"/>
          </w:tcPr>
          <w:p w14:paraId="49DF14B5">
            <w:pPr>
              <w:jc w:val="center"/>
              <w:rPr>
                <w:rFonts w:hint="eastAsia" w:ascii="宋体" w:hAnsi="宋体" w:eastAsia="宋体" w:cs="宋体"/>
                <w:sz w:val="24"/>
                <w:szCs w:val="24"/>
              </w:rPr>
            </w:pPr>
            <w:r>
              <w:rPr>
                <w:rFonts w:hint="eastAsia" w:ascii="宋体" w:hAnsi="宋体" w:eastAsia="宋体" w:cs="宋体"/>
                <w:sz w:val="24"/>
                <w:szCs w:val="24"/>
              </w:rPr>
              <w:t>备注</w:t>
            </w:r>
          </w:p>
        </w:tc>
      </w:tr>
      <w:tr w14:paraId="506C4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2" w:hRule="atLeast"/>
        </w:trPr>
        <w:tc>
          <w:tcPr>
            <w:tcW w:w="711" w:type="dxa"/>
            <w:noWrap w:val="0"/>
            <w:vAlign w:val="center"/>
          </w:tcPr>
          <w:p w14:paraId="7F01AE0C">
            <w:pPr>
              <w:jc w:val="center"/>
              <w:rPr>
                <w:rFonts w:hint="eastAsia" w:ascii="宋体" w:hAnsi="宋体" w:eastAsia="宋体" w:cs="宋体"/>
                <w:sz w:val="24"/>
                <w:szCs w:val="24"/>
              </w:rPr>
            </w:pPr>
          </w:p>
        </w:tc>
        <w:tc>
          <w:tcPr>
            <w:tcW w:w="909" w:type="dxa"/>
            <w:noWrap w:val="0"/>
            <w:vAlign w:val="center"/>
          </w:tcPr>
          <w:p w14:paraId="241C6FBC">
            <w:pPr>
              <w:jc w:val="center"/>
              <w:rPr>
                <w:rFonts w:hint="eastAsia" w:ascii="宋体" w:hAnsi="宋体" w:eastAsia="宋体" w:cs="宋体"/>
                <w:sz w:val="24"/>
                <w:szCs w:val="24"/>
              </w:rPr>
            </w:pPr>
          </w:p>
        </w:tc>
        <w:tc>
          <w:tcPr>
            <w:tcW w:w="696" w:type="dxa"/>
            <w:noWrap w:val="0"/>
            <w:vAlign w:val="center"/>
          </w:tcPr>
          <w:p w14:paraId="1B03E849">
            <w:pPr>
              <w:jc w:val="center"/>
              <w:rPr>
                <w:rFonts w:hint="eastAsia" w:ascii="宋体" w:hAnsi="宋体" w:eastAsia="宋体" w:cs="宋体"/>
                <w:sz w:val="24"/>
                <w:szCs w:val="24"/>
              </w:rPr>
            </w:pPr>
          </w:p>
        </w:tc>
        <w:tc>
          <w:tcPr>
            <w:tcW w:w="2184" w:type="dxa"/>
            <w:noWrap w:val="0"/>
            <w:vAlign w:val="center"/>
          </w:tcPr>
          <w:p w14:paraId="2E27AF78">
            <w:pPr>
              <w:jc w:val="center"/>
              <w:rPr>
                <w:rFonts w:hint="eastAsia" w:ascii="宋体" w:hAnsi="宋体" w:eastAsia="宋体" w:cs="宋体"/>
                <w:sz w:val="24"/>
                <w:szCs w:val="24"/>
              </w:rPr>
            </w:pPr>
          </w:p>
        </w:tc>
        <w:tc>
          <w:tcPr>
            <w:tcW w:w="953" w:type="dxa"/>
            <w:noWrap w:val="0"/>
            <w:vAlign w:val="center"/>
          </w:tcPr>
          <w:p w14:paraId="157804D4">
            <w:pPr>
              <w:jc w:val="center"/>
              <w:rPr>
                <w:rFonts w:hint="eastAsia" w:ascii="宋体" w:hAnsi="宋体" w:eastAsia="宋体" w:cs="宋体"/>
                <w:sz w:val="24"/>
                <w:szCs w:val="24"/>
              </w:rPr>
            </w:pPr>
          </w:p>
        </w:tc>
        <w:tc>
          <w:tcPr>
            <w:tcW w:w="720" w:type="dxa"/>
            <w:noWrap w:val="0"/>
            <w:vAlign w:val="center"/>
          </w:tcPr>
          <w:p w14:paraId="0DA345B9">
            <w:pPr>
              <w:jc w:val="center"/>
              <w:rPr>
                <w:rFonts w:hint="eastAsia" w:ascii="宋体" w:hAnsi="宋体" w:eastAsia="宋体" w:cs="宋体"/>
                <w:sz w:val="24"/>
                <w:szCs w:val="24"/>
              </w:rPr>
            </w:pPr>
          </w:p>
        </w:tc>
        <w:tc>
          <w:tcPr>
            <w:tcW w:w="847" w:type="dxa"/>
            <w:noWrap w:val="0"/>
            <w:vAlign w:val="center"/>
          </w:tcPr>
          <w:p w14:paraId="055382E3">
            <w:pPr>
              <w:jc w:val="center"/>
              <w:rPr>
                <w:rFonts w:hint="eastAsia" w:ascii="宋体" w:hAnsi="宋体" w:eastAsia="宋体" w:cs="宋体"/>
                <w:sz w:val="24"/>
                <w:szCs w:val="24"/>
              </w:rPr>
            </w:pPr>
          </w:p>
        </w:tc>
        <w:tc>
          <w:tcPr>
            <w:tcW w:w="1440" w:type="dxa"/>
            <w:noWrap w:val="0"/>
            <w:vAlign w:val="center"/>
          </w:tcPr>
          <w:p w14:paraId="419D10F0">
            <w:pPr>
              <w:jc w:val="center"/>
              <w:rPr>
                <w:rFonts w:hint="eastAsia" w:ascii="宋体" w:hAnsi="宋体" w:eastAsia="宋体" w:cs="宋体"/>
                <w:sz w:val="24"/>
                <w:szCs w:val="24"/>
              </w:rPr>
            </w:pPr>
          </w:p>
        </w:tc>
        <w:tc>
          <w:tcPr>
            <w:tcW w:w="720" w:type="dxa"/>
            <w:noWrap w:val="0"/>
            <w:vAlign w:val="center"/>
          </w:tcPr>
          <w:p w14:paraId="299F4D69">
            <w:pPr>
              <w:jc w:val="center"/>
              <w:rPr>
                <w:rFonts w:hint="eastAsia" w:ascii="宋体" w:hAnsi="宋体" w:eastAsia="宋体" w:cs="宋体"/>
                <w:sz w:val="24"/>
                <w:szCs w:val="24"/>
              </w:rPr>
            </w:pPr>
          </w:p>
        </w:tc>
      </w:tr>
      <w:tr w14:paraId="3723C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2" w:hRule="atLeast"/>
        </w:trPr>
        <w:tc>
          <w:tcPr>
            <w:tcW w:w="711" w:type="dxa"/>
            <w:noWrap w:val="0"/>
            <w:vAlign w:val="center"/>
          </w:tcPr>
          <w:p w14:paraId="553CDDB8">
            <w:pPr>
              <w:jc w:val="center"/>
              <w:rPr>
                <w:rFonts w:hint="eastAsia" w:ascii="宋体" w:hAnsi="宋体" w:eastAsia="宋体" w:cs="宋体"/>
                <w:sz w:val="24"/>
                <w:szCs w:val="24"/>
              </w:rPr>
            </w:pPr>
          </w:p>
        </w:tc>
        <w:tc>
          <w:tcPr>
            <w:tcW w:w="909" w:type="dxa"/>
            <w:noWrap w:val="0"/>
            <w:vAlign w:val="center"/>
          </w:tcPr>
          <w:p w14:paraId="378A1D1C">
            <w:pPr>
              <w:jc w:val="center"/>
              <w:rPr>
                <w:rFonts w:hint="eastAsia" w:ascii="宋体" w:hAnsi="宋体" w:eastAsia="宋体" w:cs="宋体"/>
                <w:sz w:val="24"/>
                <w:szCs w:val="24"/>
              </w:rPr>
            </w:pPr>
          </w:p>
        </w:tc>
        <w:tc>
          <w:tcPr>
            <w:tcW w:w="696" w:type="dxa"/>
            <w:noWrap w:val="0"/>
            <w:vAlign w:val="center"/>
          </w:tcPr>
          <w:p w14:paraId="035793F3">
            <w:pPr>
              <w:jc w:val="center"/>
              <w:rPr>
                <w:rFonts w:hint="eastAsia" w:ascii="宋体" w:hAnsi="宋体" w:eastAsia="宋体" w:cs="宋体"/>
                <w:sz w:val="24"/>
                <w:szCs w:val="24"/>
              </w:rPr>
            </w:pPr>
          </w:p>
        </w:tc>
        <w:tc>
          <w:tcPr>
            <w:tcW w:w="2184" w:type="dxa"/>
            <w:noWrap w:val="0"/>
            <w:vAlign w:val="center"/>
          </w:tcPr>
          <w:p w14:paraId="3442F773">
            <w:pPr>
              <w:jc w:val="center"/>
              <w:rPr>
                <w:rFonts w:hint="eastAsia" w:ascii="宋体" w:hAnsi="宋体" w:eastAsia="宋体" w:cs="宋体"/>
                <w:sz w:val="24"/>
                <w:szCs w:val="24"/>
              </w:rPr>
            </w:pPr>
          </w:p>
        </w:tc>
        <w:tc>
          <w:tcPr>
            <w:tcW w:w="953" w:type="dxa"/>
            <w:noWrap w:val="0"/>
            <w:vAlign w:val="center"/>
          </w:tcPr>
          <w:p w14:paraId="72EB3583">
            <w:pPr>
              <w:jc w:val="center"/>
              <w:rPr>
                <w:rFonts w:hint="eastAsia" w:ascii="宋体" w:hAnsi="宋体" w:eastAsia="宋体" w:cs="宋体"/>
                <w:sz w:val="24"/>
                <w:szCs w:val="24"/>
              </w:rPr>
            </w:pPr>
          </w:p>
        </w:tc>
        <w:tc>
          <w:tcPr>
            <w:tcW w:w="720" w:type="dxa"/>
            <w:noWrap w:val="0"/>
            <w:vAlign w:val="center"/>
          </w:tcPr>
          <w:p w14:paraId="1D7A1191">
            <w:pPr>
              <w:jc w:val="center"/>
              <w:rPr>
                <w:rFonts w:hint="eastAsia" w:ascii="宋体" w:hAnsi="宋体" w:eastAsia="宋体" w:cs="宋体"/>
                <w:sz w:val="24"/>
                <w:szCs w:val="24"/>
              </w:rPr>
            </w:pPr>
          </w:p>
        </w:tc>
        <w:tc>
          <w:tcPr>
            <w:tcW w:w="847" w:type="dxa"/>
            <w:noWrap w:val="0"/>
            <w:vAlign w:val="center"/>
          </w:tcPr>
          <w:p w14:paraId="03464B29">
            <w:pPr>
              <w:jc w:val="center"/>
              <w:rPr>
                <w:rFonts w:hint="eastAsia" w:ascii="宋体" w:hAnsi="宋体" w:eastAsia="宋体" w:cs="宋体"/>
                <w:sz w:val="24"/>
                <w:szCs w:val="24"/>
              </w:rPr>
            </w:pPr>
          </w:p>
        </w:tc>
        <w:tc>
          <w:tcPr>
            <w:tcW w:w="1440" w:type="dxa"/>
            <w:noWrap w:val="0"/>
            <w:vAlign w:val="center"/>
          </w:tcPr>
          <w:p w14:paraId="09FC727E">
            <w:pPr>
              <w:jc w:val="center"/>
              <w:rPr>
                <w:rFonts w:hint="eastAsia" w:ascii="宋体" w:hAnsi="宋体" w:eastAsia="宋体" w:cs="宋体"/>
                <w:sz w:val="24"/>
                <w:szCs w:val="24"/>
              </w:rPr>
            </w:pPr>
          </w:p>
        </w:tc>
        <w:tc>
          <w:tcPr>
            <w:tcW w:w="720" w:type="dxa"/>
            <w:noWrap w:val="0"/>
            <w:vAlign w:val="center"/>
          </w:tcPr>
          <w:p w14:paraId="7E60480C">
            <w:pPr>
              <w:jc w:val="center"/>
              <w:rPr>
                <w:rFonts w:hint="eastAsia" w:ascii="宋体" w:hAnsi="宋体" w:eastAsia="宋体" w:cs="宋体"/>
                <w:sz w:val="24"/>
                <w:szCs w:val="24"/>
              </w:rPr>
            </w:pPr>
          </w:p>
        </w:tc>
      </w:tr>
      <w:tr w14:paraId="2BD06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2" w:hRule="atLeast"/>
        </w:trPr>
        <w:tc>
          <w:tcPr>
            <w:tcW w:w="711" w:type="dxa"/>
            <w:noWrap w:val="0"/>
            <w:vAlign w:val="center"/>
          </w:tcPr>
          <w:p w14:paraId="790DF802">
            <w:pPr>
              <w:jc w:val="center"/>
              <w:rPr>
                <w:rFonts w:hint="eastAsia" w:ascii="宋体" w:hAnsi="宋体" w:eastAsia="宋体" w:cs="宋体"/>
                <w:sz w:val="24"/>
                <w:szCs w:val="24"/>
              </w:rPr>
            </w:pPr>
          </w:p>
        </w:tc>
        <w:tc>
          <w:tcPr>
            <w:tcW w:w="909" w:type="dxa"/>
            <w:noWrap w:val="0"/>
            <w:vAlign w:val="center"/>
          </w:tcPr>
          <w:p w14:paraId="44D2A529">
            <w:pPr>
              <w:jc w:val="center"/>
              <w:rPr>
                <w:rFonts w:hint="eastAsia" w:ascii="宋体" w:hAnsi="宋体" w:eastAsia="宋体" w:cs="宋体"/>
                <w:sz w:val="24"/>
                <w:szCs w:val="24"/>
              </w:rPr>
            </w:pPr>
          </w:p>
        </w:tc>
        <w:tc>
          <w:tcPr>
            <w:tcW w:w="696" w:type="dxa"/>
            <w:noWrap w:val="0"/>
            <w:vAlign w:val="center"/>
          </w:tcPr>
          <w:p w14:paraId="2796416E">
            <w:pPr>
              <w:jc w:val="center"/>
              <w:rPr>
                <w:rFonts w:hint="eastAsia" w:ascii="宋体" w:hAnsi="宋体" w:eastAsia="宋体" w:cs="宋体"/>
                <w:sz w:val="24"/>
                <w:szCs w:val="24"/>
              </w:rPr>
            </w:pPr>
          </w:p>
        </w:tc>
        <w:tc>
          <w:tcPr>
            <w:tcW w:w="2184" w:type="dxa"/>
            <w:noWrap w:val="0"/>
            <w:vAlign w:val="center"/>
          </w:tcPr>
          <w:p w14:paraId="43038557">
            <w:pPr>
              <w:jc w:val="center"/>
              <w:rPr>
                <w:rFonts w:hint="eastAsia" w:ascii="宋体" w:hAnsi="宋体" w:eastAsia="宋体" w:cs="宋体"/>
                <w:sz w:val="24"/>
                <w:szCs w:val="24"/>
              </w:rPr>
            </w:pPr>
          </w:p>
        </w:tc>
        <w:tc>
          <w:tcPr>
            <w:tcW w:w="953" w:type="dxa"/>
            <w:noWrap w:val="0"/>
            <w:vAlign w:val="center"/>
          </w:tcPr>
          <w:p w14:paraId="24CFCED0">
            <w:pPr>
              <w:jc w:val="center"/>
              <w:rPr>
                <w:rFonts w:hint="eastAsia" w:ascii="宋体" w:hAnsi="宋体" w:eastAsia="宋体" w:cs="宋体"/>
                <w:sz w:val="24"/>
                <w:szCs w:val="24"/>
              </w:rPr>
            </w:pPr>
          </w:p>
        </w:tc>
        <w:tc>
          <w:tcPr>
            <w:tcW w:w="720" w:type="dxa"/>
            <w:noWrap w:val="0"/>
            <w:vAlign w:val="center"/>
          </w:tcPr>
          <w:p w14:paraId="55FFB008">
            <w:pPr>
              <w:jc w:val="center"/>
              <w:rPr>
                <w:rFonts w:hint="eastAsia" w:ascii="宋体" w:hAnsi="宋体" w:eastAsia="宋体" w:cs="宋体"/>
                <w:sz w:val="24"/>
                <w:szCs w:val="24"/>
              </w:rPr>
            </w:pPr>
          </w:p>
        </w:tc>
        <w:tc>
          <w:tcPr>
            <w:tcW w:w="847" w:type="dxa"/>
            <w:noWrap w:val="0"/>
            <w:vAlign w:val="center"/>
          </w:tcPr>
          <w:p w14:paraId="27DD40EF">
            <w:pPr>
              <w:jc w:val="center"/>
              <w:rPr>
                <w:rFonts w:hint="eastAsia" w:ascii="宋体" w:hAnsi="宋体" w:eastAsia="宋体" w:cs="宋体"/>
                <w:sz w:val="24"/>
                <w:szCs w:val="24"/>
              </w:rPr>
            </w:pPr>
          </w:p>
        </w:tc>
        <w:tc>
          <w:tcPr>
            <w:tcW w:w="1440" w:type="dxa"/>
            <w:noWrap w:val="0"/>
            <w:vAlign w:val="center"/>
          </w:tcPr>
          <w:p w14:paraId="67A869E3">
            <w:pPr>
              <w:jc w:val="center"/>
              <w:rPr>
                <w:rFonts w:hint="eastAsia" w:ascii="宋体" w:hAnsi="宋体" w:eastAsia="宋体" w:cs="宋体"/>
                <w:sz w:val="24"/>
                <w:szCs w:val="24"/>
              </w:rPr>
            </w:pPr>
          </w:p>
        </w:tc>
        <w:tc>
          <w:tcPr>
            <w:tcW w:w="720" w:type="dxa"/>
            <w:noWrap w:val="0"/>
            <w:vAlign w:val="center"/>
          </w:tcPr>
          <w:p w14:paraId="11556C26">
            <w:pPr>
              <w:jc w:val="center"/>
              <w:rPr>
                <w:rFonts w:hint="eastAsia" w:ascii="宋体" w:hAnsi="宋体" w:eastAsia="宋体" w:cs="宋体"/>
                <w:sz w:val="24"/>
                <w:szCs w:val="24"/>
              </w:rPr>
            </w:pPr>
          </w:p>
        </w:tc>
      </w:tr>
      <w:tr w14:paraId="6C32F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2" w:hRule="atLeast"/>
        </w:trPr>
        <w:tc>
          <w:tcPr>
            <w:tcW w:w="711" w:type="dxa"/>
            <w:noWrap w:val="0"/>
            <w:vAlign w:val="center"/>
          </w:tcPr>
          <w:p w14:paraId="66108FC7">
            <w:pPr>
              <w:jc w:val="center"/>
              <w:rPr>
                <w:rFonts w:hint="eastAsia" w:ascii="宋体" w:hAnsi="宋体" w:eastAsia="宋体" w:cs="宋体"/>
                <w:sz w:val="24"/>
                <w:szCs w:val="24"/>
              </w:rPr>
            </w:pPr>
          </w:p>
        </w:tc>
        <w:tc>
          <w:tcPr>
            <w:tcW w:w="909" w:type="dxa"/>
            <w:noWrap w:val="0"/>
            <w:vAlign w:val="center"/>
          </w:tcPr>
          <w:p w14:paraId="0A09F701">
            <w:pPr>
              <w:jc w:val="center"/>
              <w:rPr>
                <w:rFonts w:hint="eastAsia" w:ascii="宋体" w:hAnsi="宋体" w:eastAsia="宋体" w:cs="宋体"/>
                <w:sz w:val="24"/>
                <w:szCs w:val="24"/>
              </w:rPr>
            </w:pPr>
          </w:p>
        </w:tc>
        <w:tc>
          <w:tcPr>
            <w:tcW w:w="696" w:type="dxa"/>
            <w:noWrap w:val="0"/>
            <w:vAlign w:val="center"/>
          </w:tcPr>
          <w:p w14:paraId="63FA2322">
            <w:pPr>
              <w:jc w:val="center"/>
              <w:rPr>
                <w:rFonts w:hint="eastAsia" w:ascii="宋体" w:hAnsi="宋体" w:eastAsia="宋体" w:cs="宋体"/>
                <w:sz w:val="24"/>
                <w:szCs w:val="24"/>
              </w:rPr>
            </w:pPr>
          </w:p>
        </w:tc>
        <w:tc>
          <w:tcPr>
            <w:tcW w:w="2184" w:type="dxa"/>
            <w:noWrap w:val="0"/>
            <w:vAlign w:val="center"/>
          </w:tcPr>
          <w:p w14:paraId="5E609664">
            <w:pPr>
              <w:jc w:val="center"/>
              <w:rPr>
                <w:rFonts w:hint="eastAsia" w:ascii="宋体" w:hAnsi="宋体" w:eastAsia="宋体" w:cs="宋体"/>
                <w:sz w:val="24"/>
                <w:szCs w:val="24"/>
              </w:rPr>
            </w:pPr>
          </w:p>
        </w:tc>
        <w:tc>
          <w:tcPr>
            <w:tcW w:w="953" w:type="dxa"/>
            <w:noWrap w:val="0"/>
            <w:vAlign w:val="center"/>
          </w:tcPr>
          <w:p w14:paraId="167BD1C7">
            <w:pPr>
              <w:jc w:val="center"/>
              <w:rPr>
                <w:rFonts w:hint="eastAsia" w:ascii="宋体" w:hAnsi="宋体" w:eastAsia="宋体" w:cs="宋体"/>
                <w:sz w:val="24"/>
                <w:szCs w:val="24"/>
              </w:rPr>
            </w:pPr>
          </w:p>
        </w:tc>
        <w:tc>
          <w:tcPr>
            <w:tcW w:w="720" w:type="dxa"/>
            <w:noWrap w:val="0"/>
            <w:vAlign w:val="center"/>
          </w:tcPr>
          <w:p w14:paraId="64275742">
            <w:pPr>
              <w:jc w:val="center"/>
              <w:rPr>
                <w:rFonts w:hint="eastAsia" w:ascii="宋体" w:hAnsi="宋体" w:eastAsia="宋体" w:cs="宋体"/>
                <w:sz w:val="24"/>
                <w:szCs w:val="24"/>
              </w:rPr>
            </w:pPr>
          </w:p>
        </w:tc>
        <w:tc>
          <w:tcPr>
            <w:tcW w:w="847" w:type="dxa"/>
            <w:noWrap w:val="0"/>
            <w:vAlign w:val="center"/>
          </w:tcPr>
          <w:p w14:paraId="0C99D7AF">
            <w:pPr>
              <w:jc w:val="center"/>
              <w:rPr>
                <w:rFonts w:hint="eastAsia" w:ascii="宋体" w:hAnsi="宋体" w:eastAsia="宋体" w:cs="宋体"/>
                <w:sz w:val="24"/>
                <w:szCs w:val="24"/>
              </w:rPr>
            </w:pPr>
          </w:p>
        </w:tc>
        <w:tc>
          <w:tcPr>
            <w:tcW w:w="1440" w:type="dxa"/>
            <w:noWrap w:val="0"/>
            <w:vAlign w:val="center"/>
          </w:tcPr>
          <w:p w14:paraId="1CEAE52A">
            <w:pPr>
              <w:jc w:val="center"/>
              <w:rPr>
                <w:rFonts w:hint="eastAsia" w:ascii="宋体" w:hAnsi="宋体" w:eastAsia="宋体" w:cs="宋体"/>
                <w:sz w:val="24"/>
                <w:szCs w:val="24"/>
              </w:rPr>
            </w:pPr>
          </w:p>
        </w:tc>
        <w:tc>
          <w:tcPr>
            <w:tcW w:w="720" w:type="dxa"/>
            <w:noWrap w:val="0"/>
            <w:vAlign w:val="center"/>
          </w:tcPr>
          <w:p w14:paraId="021B562D">
            <w:pPr>
              <w:jc w:val="center"/>
              <w:rPr>
                <w:rFonts w:hint="eastAsia" w:ascii="宋体" w:hAnsi="宋体" w:eastAsia="宋体" w:cs="宋体"/>
                <w:sz w:val="24"/>
                <w:szCs w:val="24"/>
              </w:rPr>
            </w:pPr>
          </w:p>
        </w:tc>
      </w:tr>
      <w:tr w14:paraId="34C36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2" w:hRule="atLeast"/>
        </w:trPr>
        <w:tc>
          <w:tcPr>
            <w:tcW w:w="711" w:type="dxa"/>
            <w:noWrap w:val="0"/>
            <w:vAlign w:val="center"/>
          </w:tcPr>
          <w:p w14:paraId="7BE50EC2">
            <w:pPr>
              <w:jc w:val="center"/>
              <w:rPr>
                <w:rFonts w:hint="eastAsia" w:ascii="宋体" w:hAnsi="宋体" w:eastAsia="宋体" w:cs="宋体"/>
                <w:sz w:val="24"/>
                <w:szCs w:val="24"/>
              </w:rPr>
            </w:pPr>
          </w:p>
        </w:tc>
        <w:tc>
          <w:tcPr>
            <w:tcW w:w="909" w:type="dxa"/>
            <w:noWrap w:val="0"/>
            <w:vAlign w:val="center"/>
          </w:tcPr>
          <w:p w14:paraId="3DFEC099">
            <w:pPr>
              <w:jc w:val="center"/>
              <w:rPr>
                <w:rFonts w:hint="eastAsia" w:ascii="宋体" w:hAnsi="宋体" w:eastAsia="宋体" w:cs="宋体"/>
                <w:sz w:val="24"/>
                <w:szCs w:val="24"/>
              </w:rPr>
            </w:pPr>
          </w:p>
        </w:tc>
        <w:tc>
          <w:tcPr>
            <w:tcW w:w="696" w:type="dxa"/>
            <w:noWrap w:val="0"/>
            <w:vAlign w:val="center"/>
          </w:tcPr>
          <w:p w14:paraId="3A51282D">
            <w:pPr>
              <w:jc w:val="center"/>
              <w:rPr>
                <w:rFonts w:hint="eastAsia" w:ascii="宋体" w:hAnsi="宋体" w:eastAsia="宋体" w:cs="宋体"/>
                <w:sz w:val="24"/>
                <w:szCs w:val="24"/>
              </w:rPr>
            </w:pPr>
          </w:p>
        </w:tc>
        <w:tc>
          <w:tcPr>
            <w:tcW w:w="2184" w:type="dxa"/>
            <w:noWrap w:val="0"/>
            <w:vAlign w:val="center"/>
          </w:tcPr>
          <w:p w14:paraId="7541E706">
            <w:pPr>
              <w:jc w:val="center"/>
              <w:rPr>
                <w:rFonts w:hint="eastAsia" w:ascii="宋体" w:hAnsi="宋体" w:eastAsia="宋体" w:cs="宋体"/>
                <w:sz w:val="24"/>
                <w:szCs w:val="24"/>
              </w:rPr>
            </w:pPr>
          </w:p>
        </w:tc>
        <w:tc>
          <w:tcPr>
            <w:tcW w:w="953" w:type="dxa"/>
            <w:noWrap w:val="0"/>
            <w:vAlign w:val="center"/>
          </w:tcPr>
          <w:p w14:paraId="3CDD5730">
            <w:pPr>
              <w:jc w:val="center"/>
              <w:rPr>
                <w:rFonts w:hint="eastAsia" w:ascii="宋体" w:hAnsi="宋体" w:eastAsia="宋体" w:cs="宋体"/>
                <w:sz w:val="24"/>
                <w:szCs w:val="24"/>
              </w:rPr>
            </w:pPr>
          </w:p>
        </w:tc>
        <w:tc>
          <w:tcPr>
            <w:tcW w:w="720" w:type="dxa"/>
            <w:noWrap w:val="0"/>
            <w:vAlign w:val="center"/>
          </w:tcPr>
          <w:p w14:paraId="1B166F02">
            <w:pPr>
              <w:jc w:val="center"/>
              <w:rPr>
                <w:rFonts w:hint="eastAsia" w:ascii="宋体" w:hAnsi="宋体" w:eastAsia="宋体" w:cs="宋体"/>
                <w:sz w:val="24"/>
                <w:szCs w:val="24"/>
              </w:rPr>
            </w:pPr>
          </w:p>
        </w:tc>
        <w:tc>
          <w:tcPr>
            <w:tcW w:w="847" w:type="dxa"/>
            <w:noWrap w:val="0"/>
            <w:vAlign w:val="center"/>
          </w:tcPr>
          <w:p w14:paraId="58AAAA5F">
            <w:pPr>
              <w:jc w:val="center"/>
              <w:rPr>
                <w:rFonts w:hint="eastAsia" w:ascii="宋体" w:hAnsi="宋体" w:eastAsia="宋体" w:cs="宋体"/>
                <w:sz w:val="24"/>
                <w:szCs w:val="24"/>
              </w:rPr>
            </w:pPr>
          </w:p>
        </w:tc>
        <w:tc>
          <w:tcPr>
            <w:tcW w:w="1440" w:type="dxa"/>
            <w:noWrap w:val="0"/>
            <w:vAlign w:val="center"/>
          </w:tcPr>
          <w:p w14:paraId="76CDBDD2">
            <w:pPr>
              <w:jc w:val="center"/>
              <w:rPr>
                <w:rFonts w:hint="eastAsia" w:ascii="宋体" w:hAnsi="宋体" w:eastAsia="宋体" w:cs="宋体"/>
                <w:sz w:val="24"/>
                <w:szCs w:val="24"/>
              </w:rPr>
            </w:pPr>
          </w:p>
        </w:tc>
        <w:tc>
          <w:tcPr>
            <w:tcW w:w="720" w:type="dxa"/>
            <w:noWrap w:val="0"/>
            <w:vAlign w:val="center"/>
          </w:tcPr>
          <w:p w14:paraId="0145E36A">
            <w:pPr>
              <w:jc w:val="center"/>
              <w:rPr>
                <w:rFonts w:hint="eastAsia" w:ascii="宋体" w:hAnsi="宋体" w:eastAsia="宋体" w:cs="宋体"/>
                <w:sz w:val="24"/>
                <w:szCs w:val="24"/>
              </w:rPr>
            </w:pPr>
          </w:p>
        </w:tc>
      </w:tr>
      <w:tr w14:paraId="1AEF7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2" w:hRule="atLeast"/>
        </w:trPr>
        <w:tc>
          <w:tcPr>
            <w:tcW w:w="711" w:type="dxa"/>
            <w:noWrap w:val="0"/>
            <w:vAlign w:val="center"/>
          </w:tcPr>
          <w:p w14:paraId="796B0B90">
            <w:pPr>
              <w:jc w:val="center"/>
              <w:rPr>
                <w:rFonts w:hint="eastAsia" w:ascii="宋体" w:hAnsi="宋体" w:eastAsia="宋体" w:cs="宋体"/>
                <w:sz w:val="24"/>
                <w:szCs w:val="24"/>
              </w:rPr>
            </w:pPr>
          </w:p>
        </w:tc>
        <w:tc>
          <w:tcPr>
            <w:tcW w:w="909" w:type="dxa"/>
            <w:noWrap w:val="0"/>
            <w:vAlign w:val="center"/>
          </w:tcPr>
          <w:p w14:paraId="3076EFB5">
            <w:pPr>
              <w:jc w:val="center"/>
              <w:rPr>
                <w:rFonts w:hint="eastAsia" w:ascii="宋体" w:hAnsi="宋体" w:eastAsia="宋体" w:cs="宋体"/>
                <w:sz w:val="24"/>
                <w:szCs w:val="24"/>
              </w:rPr>
            </w:pPr>
          </w:p>
        </w:tc>
        <w:tc>
          <w:tcPr>
            <w:tcW w:w="696" w:type="dxa"/>
            <w:noWrap w:val="0"/>
            <w:vAlign w:val="center"/>
          </w:tcPr>
          <w:p w14:paraId="3DD02627">
            <w:pPr>
              <w:jc w:val="center"/>
              <w:rPr>
                <w:rFonts w:hint="eastAsia" w:ascii="宋体" w:hAnsi="宋体" w:eastAsia="宋体" w:cs="宋体"/>
                <w:sz w:val="24"/>
                <w:szCs w:val="24"/>
              </w:rPr>
            </w:pPr>
          </w:p>
        </w:tc>
        <w:tc>
          <w:tcPr>
            <w:tcW w:w="2184" w:type="dxa"/>
            <w:noWrap w:val="0"/>
            <w:vAlign w:val="center"/>
          </w:tcPr>
          <w:p w14:paraId="4A661C85">
            <w:pPr>
              <w:jc w:val="center"/>
              <w:rPr>
                <w:rFonts w:hint="eastAsia" w:ascii="宋体" w:hAnsi="宋体" w:eastAsia="宋体" w:cs="宋体"/>
                <w:sz w:val="24"/>
                <w:szCs w:val="24"/>
              </w:rPr>
            </w:pPr>
          </w:p>
        </w:tc>
        <w:tc>
          <w:tcPr>
            <w:tcW w:w="953" w:type="dxa"/>
            <w:noWrap w:val="0"/>
            <w:vAlign w:val="center"/>
          </w:tcPr>
          <w:p w14:paraId="1B9A23FF">
            <w:pPr>
              <w:jc w:val="center"/>
              <w:rPr>
                <w:rFonts w:hint="eastAsia" w:ascii="宋体" w:hAnsi="宋体" w:eastAsia="宋体" w:cs="宋体"/>
                <w:sz w:val="24"/>
                <w:szCs w:val="24"/>
              </w:rPr>
            </w:pPr>
          </w:p>
        </w:tc>
        <w:tc>
          <w:tcPr>
            <w:tcW w:w="720" w:type="dxa"/>
            <w:noWrap w:val="0"/>
            <w:vAlign w:val="center"/>
          </w:tcPr>
          <w:p w14:paraId="5F81A942">
            <w:pPr>
              <w:jc w:val="center"/>
              <w:rPr>
                <w:rFonts w:hint="eastAsia" w:ascii="宋体" w:hAnsi="宋体" w:eastAsia="宋体" w:cs="宋体"/>
                <w:sz w:val="24"/>
                <w:szCs w:val="24"/>
              </w:rPr>
            </w:pPr>
          </w:p>
        </w:tc>
        <w:tc>
          <w:tcPr>
            <w:tcW w:w="847" w:type="dxa"/>
            <w:noWrap w:val="0"/>
            <w:vAlign w:val="center"/>
          </w:tcPr>
          <w:p w14:paraId="177BFB00">
            <w:pPr>
              <w:jc w:val="center"/>
              <w:rPr>
                <w:rFonts w:hint="eastAsia" w:ascii="宋体" w:hAnsi="宋体" w:eastAsia="宋体" w:cs="宋体"/>
                <w:sz w:val="24"/>
                <w:szCs w:val="24"/>
              </w:rPr>
            </w:pPr>
          </w:p>
        </w:tc>
        <w:tc>
          <w:tcPr>
            <w:tcW w:w="1440" w:type="dxa"/>
            <w:noWrap w:val="0"/>
            <w:vAlign w:val="center"/>
          </w:tcPr>
          <w:p w14:paraId="79C31493">
            <w:pPr>
              <w:jc w:val="center"/>
              <w:rPr>
                <w:rFonts w:hint="eastAsia" w:ascii="宋体" w:hAnsi="宋体" w:eastAsia="宋体" w:cs="宋体"/>
                <w:sz w:val="24"/>
                <w:szCs w:val="24"/>
              </w:rPr>
            </w:pPr>
          </w:p>
        </w:tc>
        <w:tc>
          <w:tcPr>
            <w:tcW w:w="720" w:type="dxa"/>
            <w:noWrap w:val="0"/>
            <w:vAlign w:val="center"/>
          </w:tcPr>
          <w:p w14:paraId="69A3E2A6">
            <w:pPr>
              <w:jc w:val="center"/>
              <w:rPr>
                <w:rFonts w:hint="eastAsia" w:ascii="宋体" w:hAnsi="宋体" w:eastAsia="宋体" w:cs="宋体"/>
                <w:sz w:val="24"/>
                <w:szCs w:val="24"/>
              </w:rPr>
            </w:pPr>
          </w:p>
        </w:tc>
      </w:tr>
      <w:tr w14:paraId="70C55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2" w:hRule="atLeast"/>
        </w:trPr>
        <w:tc>
          <w:tcPr>
            <w:tcW w:w="711" w:type="dxa"/>
            <w:noWrap w:val="0"/>
            <w:vAlign w:val="center"/>
          </w:tcPr>
          <w:p w14:paraId="2B651E3E">
            <w:pPr>
              <w:jc w:val="center"/>
              <w:rPr>
                <w:rFonts w:hint="eastAsia" w:ascii="宋体" w:hAnsi="宋体" w:eastAsia="宋体" w:cs="宋体"/>
                <w:sz w:val="24"/>
                <w:szCs w:val="24"/>
              </w:rPr>
            </w:pPr>
          </w:p>
        </w:tc>
        <w:tc>
          <w:tcPr>
            <w:tcW w:w="909" w:type="dxa"/>
            <w:noWrap w:val="0"/>
            <w:vAlign w:val="center"/>
          </w:tcPr>
          <w:p w14:paraId="1ADBC1B6">
            <w:pPr>
              <w:jc w:val="center"/>
              <w:rPr>
                <w:rFonts w:hint="eastAsia" w:ascii="宋体" w:hAnsi="宋体" w:eastAsia="宋体" w:cs="宋体"/>
                <w:sz w:val="24"/>
                <w:szCs w:val="24"/>
              </w:rPr>
            </w:pPr>
          </w:p>
        </w:tc>
        <w:tc>
          <w:tcPr>
            <w:tcW w:w="696" w:type="dxa"/>
            <w:noWrap w:val="0"/>
            <w:vAlign w:val="center"/>
          </w:tcPr>
          <w:p w14:paraId="4F60337D">
            <w:pPr>
              <w:jc w:val="center"/>
              <w:rPr>
                <w:rFonts w:hint="eastAsia" w:ascii="宋体" w:hAnsi="宋体" w:eastAsia="宋体" w:cs="宋体"/>
                <w:sz w:val="24"/>
                <w:szCs w:val="24"/>
              </w:rPr>
            </w:pPr>
          </w:p>
        </w:tc>
        <w:tc>
          <w:tcPr>
            <w:tcW w:w="2184" w:type="dxa"/>
            <w:noWrap w:val="0"/>
            <w:vAlign w:val="center"/>
          </w:tcPr>
          <w:p w14:paraId="599940BB">
            <w:pPr>
              <w:jc w:val="center"/>
              <w:rPr>
                <w:rFonts w:hint="eastAsia" w:ascii="宋体" w:hAnsi="宋体" w:eastAsia="宋体" w:cs="宋体"/>
                <w:sz w:val="24"/>
                <w:szCs w:val="24"/>
              </w:rPr>
            </w:pPr>
          </w:p>
        </w:tc>
        <w:tc>
          <w:tcPr>
            <w:tcW w:w="953" w:type="dxa"/>
            <w:noWrap w:val="0"/>
            <w:vAlign w:val="center"/>
          </w:tcPr>
          <w:p w14:paraId="65A21D77">
            <w:pPr>
              <w:jc w:val="center"/>
              <w:rPr>
                <w:rFonts w:hint="eastAsia" w:ascii="宋体" w:hAnsi="宋体" w:eastAsia="宋体" w:cs="宋体"/>
                <w:sz w:val="24"/>
                <w:szCs w:val="24"/>
              </w:rPr>
            </w:pPr>
          </w:p>
        </w:tc>
        <w:tc>
          <w:tcPr>
            <w:tcW w:w="720" w:type="dxa"/>
            <w:noWrap w:val="0"/>
            <w:vAlign w:val="center"/>
          </w:tcPr>
          <w:p w14:paraId="5AFD43C8">
            <w:pPr>
              <w:jc w:val="center"/>
              <w:rPr>
                <w:rFonts w:hint="eastAsia" w:ascii="宋体" w:hAnsi="宋体" w:eastAsia="宋体" w:cs="宋体"/>
                <w:sz w:val="24"/>
                <w:szCs w:val="24"/>
              </w:rPr>
            </w:pPr>
          </w:p>
        </w:tc>
        <w:tc>
          <w:tcPr>
            <w:tcW w:w="847" w:type="dxa"/>
            <w:noWrap w:val="0"/>
            <w:vAlign w:val="center"/>
          </w:tcPr>
          <w:p w14:paraId="5A387311">
            <w:pPr>
              <w:jc w:val="center"/>
              <w:rPr>
                <w:rFonts w:hint="eastAsia" w:ascii="宋体" w:hAnsi="宋体" w:eastAsia="宋体" w:cs="宋体"/>
                <w:sz w:val="24"/>
                <w:szCs w:val="24"/>
              </w:rPr>
            </w:pPr>
          </w:p>
        </w:tc>
        <w:tc>
          <w:tcPr>
            <w:tcW w:w="1440" w:type="dxa"/>
            <w:noWrap w:val="0"/>
            <w:vAlign w:val="center"/>
          </w:tcPr>
          <w:p w14:paraId="75797597">
            <w:pPr>
              <w:jc w:val="center"/>
              <w:rPr>
                <w:rFonts w:hint="eastAsia" w:ascii="宋体" w:hAnsi="宋体" w:eastAsia="宋体" w:cs="宋体"/>
                <w:sz w:val="24"/>
                <w:szCs w:val="24"/>
              </w:rPr>
            </w:pPr>
          </w:p>
        </w:tc>
        <w:tc>
          <w:tcPr>
            <w:tcW w:w="720" w:type="dxa"/>
            <w:noWrap w:val="0"/>
            <w:vAlign w:val="center"/>
          </w:tcPr>
          <w:p w14:paraId="57FFE99E">
            <w:pPr>
              <w:jc w:val="center"/>
              <w:rPr>
                <w:rFonts w:hint="eastAsia" w:ascii="宋体" w:hAnsi="宋体" w:eastAsia="宋体" w:cs="宋体"/>
                <w:sz w:val="24"/>
                <w:szCs w:val="24"/>
              </w:rPr>
            </w:pPr>
          </w:p>
        </w:tc>
      </w:tr>
      <w:tr w14:paraId="51767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2" w:hRule="atLeast"/>
        </w:trPr>
        <w:tc>
          <w:tcPr>
            <w:tcW w:w="711" w:type="dxa"/>
            <w:noWrap w:val="0"/>
            <w:vAlign w:val="center"/>
          </w:tcPr>
          <w:p w14:paraId="03BD63BD">
            <w:pPr>
              <w:jc w:val="center"/>
              <w:rPr>
                <w:rFonts w:hint="eastAsia" w:ascii="宋体" w:hAnsi="宋体" w:eastAsia="宋体" w:cs="宋体"/>
                <w:sz w:val="24"/>
                <w:szCs w:val="24"/>
              </w:rPr>
            </w:pPr>
          </w:p>
        </w:tc>
        <w:tc>
          <w:tcPr>
            <w:tcW w:w="909" w:type="dxa"/>
            <w:noWrap w:val="0"/>
            <w:vAlign w:val="center"/>
          </w:tcPr>
          <w:p w14:paraId="14EEFA19">
            <w:pPr>
              <w:jc w:val="center"/>
              <w:rPr>
                <w:rFonts w:hint="eastAsia" w:ascii="宋体" w:hAnsi="宋体" w:eastAsia="宋体" w:cs="宋体"/>
                <w:sz w:val="24"/>
                <w:szCs w:val="24"/>
              </w:rPr>
            </w:pPr>
          </w:p>
        </w:tc>
        <w:tc>
          <w:tcPr>
            <w:tcW w:w="696" w:type="dxa"/>
            <w:noWrap w:val="0"/>
            <w:vAlign w:val="center"/>
          </w:tcPr>
          <w:p w14:paraId="2D6A4DA5">
            <w:pPr>
              <w:jc w:val="center"/>
              <w:rPr>
                <w:rFonts w:hint="eastAsia" w:ascii="宋体" w:hAnsi="宋体" w:eastAsia="宋体" w:cs="宋体"/>
                <w:sz w:val="24"/>
                <w:szCs w:val="24"/>
              </w:rPr>
            </w:pPr>
          </w:p>
        </w:tc>
        <w:tc>
          <w:tcPr>
            <w:tcW w:w="2184" w:type="dxa"/>
            <w:noWrap w:val="0"/>
            <w:vAlign w:val="center"/>
          </w:tcPr>
          <w:p w14:paraId="27F3B683">
            <w:pPr>
              <w:jc w:val="center"/>
              <w:rPr>
                <w:rFonts w:hint="eastAsia" w:ascii="宋体" w:hAnsi="宋体" w:eastAsia="宋体" w:cs="宋体"/>
                <w:sz w:val="24"/>
                <w:szCs w:val="24"/>
              </w:rPr>
            </w:pPr>
          </w:p>
        </w:tc>
        <w:tc>
          <w:tcPr>
            <w:tcW w:w="953" w:type="dxa"/>
            <w:noWrap w:val="0"/>
            <w:vAlign w:val="center"/>
          </w:tcPr>
          <w:p w14:paraId="601E3981">
            <w:pPr>
              <w:jc w:val="center"/>
              <w:rPr>
                <w:rFonts w:hint="eastAsia" w:ascii="宋体" w:hAnsi="宋体" w:eastAsia="宋体" w:cs="宋体"/>
                <w:sz w:val="24"/>
                <w:szCs w:val="24"/>
              </w:rPr>
            </w:pPr>
          </w:p>
        </w:tc>
        <w:tc>
          <w:tcPr>
            <w:tcW w:w="720" w:type="dxa"/>
            <w:noWrap w:val="0"/>
            <w:vAlign w:val="center"/>
          </w:tcPr>
          <w:p w14:paraId="3E5AC9A5">
            <w:pPr>
              <w:jc w:val="center"/>
              <w:rPr>
                <w:rFonts w:hint="eastAsia" w:ascii="宋体" w:hAnsi="宋体" w:eastAsia="宋体" w:cs="宋体"/>
                <w:sz w:val="24"/>
                <w:szCs w:val="24"/>
              </w:rPr>
            </w:pPr>
          </w:p>
        </w:tc>
        <w:tc>
          <w:tcPr>
            <w:tcW w:w="847" w:type="dxa"/>
            <w:noWrap w:val="0"/>
            <w:vAlign w:val="center"/>
          </w:tcPr>
          <w:p w14:paraId="472A2258">
            <w:pPr>
              <w:jc w:val="center"/>
              <w:rPr>
                <w:rFonts w:hint="eastAsia" w:ascii="宋体" w:hAnsi="宋体" w:eastAsia="宋体" w:cs="宋体"/>
                <w:sz w:val="24"/>
                <w:szCs w:val="24"/>
              </w:rPr>
            </w:pPr>
          </w:p>
        </w:tc>
        <w:tc>
          <w:tcPr>
            <w:tcW w:w="1440" w:type="dxa"/>
            <w:noWrap w:val="0"/>
            <w:vAlign w:val="center"/>
          </w:tcPr>
          <w:p w14:paraId="38D51B02">
            <w:pPr>
              <w:jc w:val="center"/>
              <w:rPr>
                <w:rFonts w:hint="eastAsia" w:ascii="宋体" w:hAnsi="宋体" w:eastAsia="宋体" w:cs="宋体"/>
                <w:sz w:val="24"/>
                <w:szCs w:val="24"/>
              </w:rPr>
            </w:pPr>
          </w:p>
        </w:tc>
        <w:tc>
          <w:tcPr>
            <w:tcW w:w="720" w:type="dxa"/>
            <w:noWrap w:val="0"/>
            <w:vAlign w:val="center"/>
          </w:tcPr>
          <w:p w14:paraId="0E8D432A">
            <w:pPr>
              <w:jc w:val="center"/>
              <w:rPr>
                <w:rFonts w:hint="eastAsia" w:ascii="宋体" w:hAnsi="宋体" w:eastAsia="宋体" w:cs="宋体"/>
                <w:sz w:val="24"/>
                <w:szCs w:val="24"/>
              </w:rPr>
            </w:pPr>
          </w:p>
        </w:tc>
      </w:tr>
      <w:tr w14:paraId="7552A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2" w:hRule="atLeast"/>
        </w:trPr>
        <w:tc>
          <w:tcPr>
            <w:tcW w:w="711" w:type="dxa"/>
            <w:noWrap w:val="0"/>
            <w:vAlign w:val="center"/>
          </w:tcPr>
          <w:p w14:paraId="3A902F77">
            <w:pPr>
              <w:jc w:val="center"/>
              <w:rPr>
                <w:rFonts w:hint="eastAsia" w:ascii="宋体" w:hAnsi="宋体" w:eastAsia="宋体" w:cs="宋体"/>
                <w:sz w:val="24"/>
                <w:szCs w:val="24"/>
              </w:rPr>
            </w:pPr>
          </w:p>
        </w:tc>
        <w:tc>
          <w:tcPr>
            <w:tcW w:w="909" w:type="dxa"/>
            <w:noWrap w:val="0"/>
            <w:vAlign w:val="center"/>
          </w:tcPr>
          <w:p w14:paraId="6F8B47EE">
            <w:pPr>
              <w:jc w:val="center"/>
              <w:rPr>
                <w:rFonts w:hint="eastAsia" w:ascii="宋体" w:hAnsi="宋体" w:eastAsia="宋体" w:cs="宋体"/>
                <w:sz w:val="24"/>
                <w:szCs w:val="24"/>
              </w:rPr>
            </w:pPr>
          </w:p>
        </w:tc>
        <w:tc>
          <w:tcPr>
            <w:tcW w:w="696" w:type="dxa"/>
            <w:noWrap w:val="0"/>
            <w:vAlign w:val="center"/>
          </w:tcPr>
          <w:p w14:paraId="6DE37701">
            <w:pPr>
              <w:jc w:val="center"/>
              <w:rPr>
                <w:rFonts w:hint="eastAsia" w:ascii="宋体" w:hAnsi="宋体" w:eastAsia="宋体" w:cs="宋体"/>
                <w:sz w:val="24"/>
                <w:szCs w:val="24"/>
              </w:rPr>
            </w:pPr>
          </w:p>
        </w:tc>
        <w:tc>
          <w:tcPr>
            <w:tcW w:w="2184" w:type="dxa"/>
            <w:noWrap w:val="0"/>
            <w:vAlign w:val="center"/>
          </w:tcPr>
          <w:p w14:paraId="5A7687B6">
            <w:pPr>
              <w:jc w:val="center"/>
              <w:rPr>
                <w:rFonts w:hint="eastAsia" w:ascii="宋体" w:hAnsi="宋体" w:eastAsia="宋体" w:cs="宋体"/>
                <w:sz w:val="24"/>
                <w:szCs w:val="24"/>
              </w:rPr>
            </w:pPr>
          </w:p>
        </w:tc>
        <w:tc>
          <w:tcPr>
            <w:tcW w:w="953" w:type="dxa"/>
            <w:noWrap w:val="0"/>
            <w:vAlign w:val="center"/>
          </w:tcPr>
          <w:p w14:paraId="2E798446">
            <w:pPr>
              <w:jc w:val="center"/>
              <w:rPr>
                <w:rFonts w:hint="eastAsia" w:ascii="宋体" w:hAnsi="宋体" w:eastAsia="宋体" w:cs="宋体"/>
                <w:sz w:val="24"/>
                <w:szCs w:val="24"/>
              </w:rPr>
            </w:pPr>
          </w:p>
        </w:tc>
        <w:tc>
          <w:tcPr>
            <w:tcW w:w="720" w:type="dxa"/>
            <w:noWrap w:val="0"/>
            <w:vAlign w:val="center"/>
          </w:tcPr>
          <w:p w14:paraId="5E3DA1D9">
            <w:pPr>
              <w:jc w:val="center"/>
              <w:rPr>
                <w:rFonts w:hint="eastAsia" w:ascii="宋体" w:hAnsi="宋体" w:eastAsia="宋体" w:cs="宋体"/>
                <w:sz w:val="24"/>
                <w:szCs w:val="24"/>
              </w:rPr>
            </w:pPr>
          </w:p>
        </w:tc>
        <w:tc>
          <w:tcPr>
            <w:tcW w:w="847" w:type="dxa"/>
            <w:noWrap w:val="0"/>
            <w:vAlign w:val="center"/>
          </w:tcPr>
          <w:p w14:paraId="3C6436C4">
            <w:pPr>
              <w:jc w:val="center"/>
              <w:rPr>
                <w:rFonts w:hint="eastAsia" w:ascii="宋体" w:hAnsi="宋体" w:eastAsia="宋体" w:cs="宋体"/>
                <w:sz w:val="24"/>
                <w:szCs w:val="24"/>
              </w:rPr>
            </w:pPr>
          </w:p>
        </w:tc>
        <w:tc>
          <w:tcPr>
            <w:tcW w:w="1440" w:type="dxa"/>
            <w:noWrap w:val="0"/>
            <w:vAlign w:val="center"/>
          </w:tcPr>
          <w:p w14:paraId="47490471">
            <w:pPr>
              <w:jc w:val="center"/>
              <w:rPr>
                <w:rFonts w:hint="eastAsia" w:ascii="宋体" w:hAnsi="宋体" w:eastAsia="宋体" w:cs="宋体"/>
                <w:sz w:val="24"/>
                <w:szCs w:val="24"/>
              </w:rPr>
            </w:pPr>
          </w:p>
        </w:tc>
        <w:tc>
          <w:tcPr>
            <w:tcW w:w="720" w:type="dxa"/>
            <w:noWrap w:val="0"/>
            <w:vAlign w:val="center"/>
          </w:tcPr>
          <w:p w14:paraId="4CE1D5D5">
            <w:pPr>
              <w:jc w:val="center"/>
              <w:rPr>
                <w:rFonts w:hint="eastAsia" w:ascii="宋体" w:hAnsi="宋体" w:eastAsia="宋体" w:cs="宋体"/>
                <w:sz w:val="24"/>
                <w:szCs w:val="24"/>
              </w:rPr>
            </w:pPr>
          </w:p>
        </w:tc>
      </w:tr>
    </w:tbl>
    <w:p w14:paraId="0BCDFCAD">
      <w:pPr>
        <w:pStyle w:val="202"/>
        <w:ind w:firstLine="480"/>
        <w:rPr>
          <w:rFonts w:ascii="宋体" w:hAnsi="宋体"/>
        </w:rPr>
      </w:pPr>
    </w:p>
    <w:p w14:paraId="5E9874F7">
      <w:pPr>
        <w:pStyle w:val="202"/>
        <w:ind w:firstLine="480"/>
        <w:rPr>
          <w:rFonts w:ascii="宋体" w:hAnsi="宋体"/>
        </w:rPr>
      </w:pPr>
    </w:p>
    <w:p w14:paraId="250D304C">
      <w:pPr>
        <w:pStyle w:val="202"/>
        <w:ind w:firstLine="480"/>
        <w:rPr>
          <w:rFonts w:ascii="宋体" w:hAnsi="宋体"/>
        </w:rPr>
      </w:pPr>
    </w:p>
    <w:p w14:paraId="722F7810">
      <w:pPr>
        <w:spacing w:line="360" w:lineRule="auto"/>
        <w:ind w:firstLine="5280" w:firstLineChars="2200"/>
        <w:rPr>
          <w:color w:val="000000"/>
          <w:sz w:val="24"/>
          <w:szCs w:val="24"/>
        </w:rPr>
      </w:pPr>
      <w:r>
        <w:rPr>
          <w:rFonts w:hint="eastAsia" w:ascii="宋体" w:hAnsi="宋体" w:cs="宋体"/>
          <w:color w:val="000000"/>
          <w:sz w:val="24"/>
          <w:szCs w:val="24"/>
          <w:lang w:val="zh-CN"/>
        </w:rPr>
        <w:t>供应商（盖章）：</w:t>
      </w:r>
    </w:p>
    <w:p w14:paraId="14E1B934">
      <w:pPr>
        <w:spacing w:line="360" w:lineRule="auto"/>
        <w:jc w:val="right"/>
        <w:rPr>
          <w:rFonts w:ascii="宋体" w:hAnsi="宋体" w:cs="宋体"/>
          <w:color w:val="000000"/>
          <w:sz w:val="24"/>
          <w:szCs w:val="24"/>
          <w:lang w:val="zh-CN"/>
        </w:rPr>
      </w:pPr>
      <w:r>
        <w:rPr>
          <w:rFonts w:hint="eastAsia" w:ascii="宋体" w:hAnsi="宋体" w:cs="宋体"/>
          <w:color w:val="000000"/>
          <w:sz w:val="24"/>
          <w:szCs w:val="24"/>
          <w:lang w:val="zh-CN"/>
        </w:rPr>
        <w:t>法定代表人或授权代表：（签字或盖章）</w:t>
      </w:r>
    </w:p>
    <w:p w14:paraId="7096CC6A">
      <w:pPr>
        <w:ind w:firstLine="6000" w:firstLineChars="2500"/>
        <w:rPr>
          <w:rFonts w:ascii="宋体" w:hAnsi="宋体"/>
          <w:b/>
          <w:bCs/>
          <w:color w:val="000000"/>
          <w:sz w:val="24"/>
          <w:szCs w:val="24"/>
        </w:rPr>
      </w:pPr>
      <w:r>
        <w:rPr>
          <w:rFonts w:hint="eastAsia" w:ascii="宋体" w:hAnsi="宋体" w:cs="宋体"/>
          <w:color w:val="000000"/>
          <w:sz w:val="24"/>
          <w:szCs w:val="24"/>
          <w:lang w:val="zh-CN"/>
        </w:rPr>
        <w:t>日期：</w:t>
      </w:r>
      <w:r>
        <w:rPr>
          <w:rFonts w:hint="eastAsia" w:ascii="宋体" w:cs="宋体"/>
          <w:sz w:val="24"/>
        </w:rPr>
        <w:t xml:space="preserve">    年   月   日</w:t>
      </w:r>
    </w:p>
    <w:p w14:paraId="7FD96538">
      <w:pPr>
        <w:spacing w:line="480" w:lineRule="auto"/>
        <w:ind w:firstLine="643"/>
        <w:jc w:val="center"/>
        <w:outlineLvl w:val="1"/>
        <w:rPr>
          <w:rFonts w:ascii="宋体" w:hAnsi="宋体"/>
          <w:b/>
          <w:color w:val="000000"/>
          <w:sz w:val="32"/>
          <w:szCs w:val="32"/>
        </w:rPr>
      </w:pPr>
    </w:p>
    <w:p w14:paraId="28A36810">
      <w:pPr>
        <w:spacing w:line="480" w:lineRule="auto"/>
        <w:ind w:firstLine="643"/>
        <w:jc w:val="center"/>
        <w:outlineLvl w:val="1"/>
        <w:rPr>
          <w:rFonts w:ascii="宋体" w:hAnsi="宋体"/>
          <w:b/>
          <w:color w:val="000000"/>
          <w:sz w:val="32"/>
          <w:szCs w:val="32"/>
        </w:rPr>
      </w:pPr>
    </w:p>
    <w:p w14:paraId="0BA8F486">
      <w:pPr>
        <w:spacing w:line="480" w:lineRule="auto"/>
        <w:outlineLvl w:val="1"/>
        <w:rPr>
          <w:rFonts w:ascii="宋体" w:hAnsi="宋体"/>
          <w:b/>
          <w:color w:val="000000"/>
          <w:sz w:val="32"/>
          <w:szCs w:val="32"/>
        </w:rPr>
      </w:pPr>
    </w:p>
    <w:p w14:paraId="75998CAA">
      <w:pPr>
        <w:pStyle w:val="201"/>
        <w:spacing w:line="420" w:lineRule="auto"/>
        <w:jc w:val="center"/>
        <w:rPr>
          <w:rFonts w:hint="eastAsia" w:ascii="宋体" w:hAnsi="宋体" w:eastAsia="宋体" w:cs="Times New Roman"/>
        </w:rPr>
      </w:pPr>
      <w:r>
        <w:rPr>
          <w:rFonts w:hint="eastAsia" w:ascii="宋体" w:hAnsi="宋体" w:eastAsia="宋体" w:cs="Times New Roman"/>
        </w:rPr>
        <w:t>供应商业绩项目一览表</w:t>
      </w:r>
    </w:p>
    <w:tbl>
      <w:tblPr>
        <w:tblStyle w:val="3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210"/>
        <w:gridCol w:w="1680"/>
        <w:gridCol w:w="1241"/>
        <w:gridCol w:w="1878"/>
        <w:gridCol w:w="2036"/>
        <w:gridCol w:w="1764"/>
      </w:tblGrid>
      <w:tr w14:paraId="0C5B1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210" w:type="dxa"/>
            <w:tcBorders>
              <w:top w:val="single" w:color="auto" w:sz="6" w:space="0"/>
              <w:left w:val="single" w:color="auto" w:sz="6" w:space="0"/>
              <w:bottom w:val="single" w:color="auto" w:sz="6" w:space="0"/>
              <w:right w:val="single" w:color="auto" w:sz="6" w:space="0"/>
            </w:tcBorders>
            <w:vAlign w:val="center"/>
          </w:tcPr>
          <w:p w14:paraId="545B3BAB">
            <w:pPr>
              <w:pStyle w:val="35"/>
              <w:overflowPunct w:val="0"/>
              <w:spacing w:line="480" w:lineRule="auto"/>
              <w:jc w:val="center"/>
              <w:rPr>
                <w:rFonts w:ascii="宋体" w:hAnsi="宋体" w:cs="宋体"/>
                <w:bCs/>
                <w:szCs w:val="28"/>
              </w:rPr>
            </w:pPr>
            <w:r>
              <w:rPr>
                <w:rFonts w:hint="eastAsia" w:ascii="宋体" w:hAnsi="宋体" w:cs="宋体"/>
                <w:bCs/>
                <w:szCs w:val="28"/>
                <w:lang w:bidi="ar"/>
              </w:rPr>
              <w:t>序号</w:t>
            </w:r>
          </w:p>
        </w:tc>
        <w:tc>
          <w:tcPr>
            <w:tcW w:w="1680" w:type="dxa"/>
            <w:tcBorders>
              <w:top w:val="single" w:color="auto" w:sz="6" w:space="0"/>
              <w:left w:val="single" w:color="auto" w:sz="6" w:space="0"/>
              <w:bottom w:val="single" w:color="auto" w:sz="6" w:space="0"/>
              <w:right w:val="single" w:color="auto" w:sz="6" w:space="0"/>
            </w:tcBorders>
            <w:vAlign w:val="center"/>
          </w:tcPr>
          <w:p w14:paraId="1076D6C1">
            <w:pPr>
              <w:pStyle w:val="35"/>
              <w:overflowPunct w:val="0"/>
              <w:spacing w:line="480" w:lineRule="auto"/>
              <w:jc w:val="center"/>
              <w:rPr>
                <w:rFonts w:ascii="宋体" w:hAnsi="宋体" w:cs="宋体"/>
                <w:bCs/>
                <w:szCs w:val="28"/>
              </w:rPr>
            </w:pPr>
            <w:r>
              <w:rPr>
                <w:rFonts w:hint="eastAsia" w:ascii="宋体" w:hAnsi="宋体" w:cs="宋体"/>
                <w:bCs/>
                <w:szCs w:val="28"/>
                <w:lang w:bidi="ar"/>
              </w:rPr>
              <w:t>项目名称</w:t>
            </w:r>
          </w:p>
        </w:tc>
        <w:tc>
          <w:tcPr>
            <w:tcW w:w="1241" w:type="dxa"/>
            <w:tcBorders>
              <w:top w:val="single" w:color="auto" w:sz="6" w:space="0"/>
              <w:left w:val="single" w:color="auto" w:sz="6" w:space="0"/>
              <w:bottom w:val="single" w:color="auto" w:sz="6" w:space="0"/>
              <w:right w:val="single" w:color="auto" w:sz="6" w:space="0"/>
            </w:tcBorders>
            <w:vAlign w:val="center"/>
          </w:tcPr>
          <w:p w14:paraId="619BFD05">
            <w:pPr>
              <w:pStyle w:val="35"/>
              <w:overflowPunct w:val="0"/>
              <w:spacing w:line="480" w:lineRule="auto"/>
              <w:jc w:val="center"/>
              <w:rPr>
                <w:rFonts w:ascii="宋体" w:hAnsi="宋体" w:cs="宋体"/>
                <w:bCs/>
                <w:szCs w:val="28"/>
              </w:rPr>
            </w:pPr>
            <w:r>
              <w:rPr>
                <w:rFonts w:hint="eastAsia" w:ascii="宋体" w:hAnsi="宋体" w:cs="宋体"/>
                <w:bCs/>
                <w:szCs w:val="28"/>
                <w:lang w:bidi="ar"/>
              </w:rPr>
              <w:t>合同期</w:t>
            </w:r>
          </w:p>
        </w:tc>
        <w:tc>
          <w:tcPr>
            <w:tcW w:w="1878" w:type="dxa"/>
            <w:tcBorders>
              <w:top w:val="single" w:color="auto" w:sz="6" w:space="0"/>
              <w:left w:val="single" w:color="auto" w:sz="6" w:space="0"/>
              <w:bottom w:val="single" w:color="auto" w:sz="6" w:space="0"/>
              <w:right w:val="single" w:color="auto" w:sz="4" w:space="0"/>
            </w:tcBorders>
            <w:vAlign w:val="center"/>
          </w:tcPr>
          <w:p w14:paraId="55118929">
            <w:pPr>
              <w:pStyle w:val="35"/>
              <w:overflowPunct w:val="0"/>
              <w:spacing w:line="480" w:lineRule="auto"/>
              <w:jc w:val="center"/>
              <w:rPr>
                <w:rFonts w:ascii="宋体" w:hAnsi="宋体" w:cs="宋体"/>
                <w:bCs/>
                <w:szCs w:val="28"/>
              </w:rPr>
            </w:pPr>
            <w:r>
              <w:rPr>
                <w:rFonts w:hint="eastAsia" w:ascii="宋体" w:hAnsi="宋体" w:cs="宋体"/>
                <w:bCs/>
                <w:szCs w:val="28"/>
                <w:lang w:bidi="ar"/>
              </w:rPr>
              <w:t>范围</w:t>
            </w:r>
          </w:p>
        </w:tc>
        <w:tc>
          <w:tcPr>
            <w:tcW w:w="2036" w:type="dxa"/>
            <w:tcBorders>
              <w:top w:val="single" w:color="auto" w:sz="6" w:space="0"/>
              <w:left w:val="single" w:color="auto" w:sz="4" w:space="0"/>
              <w:bottom w:val="single" w:color="auto" w:sz="6" w:space="0"/>
              <w:right w:val="single" w:color="auto" w:sz="4" w:space="0"/>
            </w:tcBorders>
            <w:vAlign w:val="center"/>
          </w:tcPr>
          <w:p w14:paraId="7AB8DB0F">
            <w:pPr>
              <w:pStyle w:val="35"/>
              <w:overflowPunct w:val="0"/>
              <w:spacing w:line="480" w:lineRule="auto"/>
              <w:rPr>
                <w:rFonts w:ascii="宋体" w:hAnsi="宋体" w:cs="宋体"/>
                <w:bCs/>
                <w:szCs w:val="28"/>
              </w:rPr>
            </w:pPr>
            <w:r>
              <w:rPr>
                <w:rFonts w:hint="eastAsia" w:ascii="宋体" w:hAnsi="宋体" w:cs="宋体"/>
                <w:bCs/>
                <w:szCs w:val="28"/>
                <w:lang w:bidi="ar"/>
              </w:rPr>
              <w:t>合同金额（万元）</w:t>
            </w:r>
          </w:p>
        </w:tc>
        <w:tc>
          <w:tcPr>
            <w:tcW w:w="1764" w:type="dxa"/>
            <w:tcBorders>
              <w:top w:val="single" w:color="auto" w:sz="6" w:space="0"/>
              <w:left w:val="single" w:color="auto" w:sz="6" w:space="0"/>
              <w:bottom w:val="single" w:color="auto" w:sz="6" w:space="0"/>
              <w:right w:val="single" w:color="auto" w:sz="6" w:space="0"/>
            </w:tcBorders>
            <w:vAlign w:val="center"/>
          </w:tcPr>
          <w:p w14:paraId="7E7EE48C">
            <w:pPr>
              <w:pStyle w:val="35"/>
              <w:overflowPunct w:val="0"/>
              <w:spacing w:line="480" w:lineRule="auto"/>
              <w:ind w:firstLine="480" w:firstLineChars="200"/>
              <w:jc w:val="center"/>
              <w:rPr>
                <w:rFonts w:ascii="宋体" w:hAnsi="宋体" w:cs="宋体"/>
                <w:bCs/>
                <w:szCs w:val="28"/>
              </w:rPr>
            </w:pPr>
            <w:r>
              <w:rPr>
                <w:rFonts w:hint="eastAsia" w:ascii="宋体" w:hAnsi="宋体" w:cs="宋体"/>
                <w:bCs/>
                <w:szCs w:val="28"/>
                <w:lang w:bidi="ar"/>
              </w:rPr>
              <w:t>备注</w:t>
            </w:r>
          </w:p>
        </w:tc>
      </w:tr>
      <w:tr w14:paraId="48B78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314B3E66">
            <w:pPr>
              <w:pStyle w:val="35"/>
              <w:overflowPunct w:val="0"/>
              <w:spacing w:line="480" w:lineRule="auto"/>
              <w:ind w:firstLine="480" w:firstLineChars="200"/>
              <w:rPr>
                <w:rFonts w:ascii="宋体" w:hAnsi="宋体" w:cs="宋体"/>
                <w:bCs/>
                <w:szCs w:val="28"/>
              </w:rPr>
            </w:pPr>
          </w:p>
        </w:tc>
        <w:tc>
          <w:tcPr>
            <w:tcW w:w="1680" w:type="dxa"/>
            <w:tcBorders>
              <w:top w:val="single" w:color="auto" w:sz="6" w:space="0"/>
              <w:left w:val="single" w:color="auto" w:sz="6" w:space="0"/>
              <w:bottom w:val="single" w:color="auto" w:sz="6" w:space="0"/>
              <w:right w:val="single" w:color="auto" w:sz="6" w:space="0"/>
            </w:tcBorders>
            <w:vAlign w:val="center"/>
          </w:tcPr>
          <w:p w14:paraId="487C3C62">
            <w:pPr>
              <w:pStyle w:val="35"/>
              <w:overflowPunct w:val="0"/>
              <w:spacing w:line="480" w:lineRule="auto"/>
              <w:ind w:firstLine="480" w:firstLineChars="200"/>
              <w:jc w:val="center"/>
              <w:rPr>
                <w:rFonts w:ascii="宋体" w:hAnsi="宋体" w:cs="宋体"/>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377AFE01">
            <w:pPr>
              <w:pStyle w:val="35"/>
              <w:overflowPunct w:val="0"/>
              <w:spacing w:line="480" w:lineRule="auto"/>
              <w:ind w:firstLine="480" w:firstLineChars="200"/>
              <w:jc w:val="center"/>
              <w:rPr>
                <w:rFonts w:ascii="宋体" w:hAnsi="宋体" w:cs="宋体"/>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6D2E92A5">
            <w:pPr>
              <w:pStyle w:val="35"/>
              <w:overflowPunct w:val="0"/>
              <w:spacing w:line="480" w:lineRule="auto"/>
              <w:ind w:firstLine="480" w:firstLineChars="200"/>
              <w:jc w:val="center"/>
              <w:rPr>
                <w:rFonts w:ascii="宋体" w:hAnsi="宋体" w:cs="宋体"/>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37FC432C">
            <w:pPr>
              <w:pStyle w:val="35"/>
              <w:overflowPunct w:val="0"/>
              <w:spacing w:line="480" w:lineRule="auto"/>
              <w:ind w:firstLine="480" w:firstLineChars="200"/>
              <w:jc w:val="center"/>
              <w:rPr>
                <w:rFonts w:ascii="宋体" w:hAnsi="宋体" w:cs="宋体"/>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21F40A04">
            <w:pPr>
              <w:pStyle w:val="35"/>
              <w:overflowPunct w:val="0"/>
              <w:spacing w:line="480" w:lineRule="auto"/>
              <w:ind w:firstLine="480" w:firstLineChars="200"/>
              <w:jc w:val="center"/>
              <w:rPr>
                <w:rFonts w:ascii="宋体" w:hAnsi="宋体" w:cs="宋体"/>
                <w:bCs/>
                <w:szCs w:val="28"/>
              </w:rPr>
            </w:pPr>
          </w:p>
        </w:tc>
      </w:tr>
      <w:tr w14:paraId="1CC84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216B912D">
            <w:pPr>
              <w:pStyle w:val="35"/>
              <w:overflowPunct w:val="0"/>
              <w:ind w:firstLine="480" w:firstLineChars="200"/>
              <w:rPr>
                <w:rFonts w:ascii="宋体" w:hAnsi="宋体" w:cs="宋体"/>
                <w:bCs/>
                <w:szCs w:val="28"/>
              </w:rPr>
            </w:pPr>
          </w:p>
        </w:tc>
        <w:tc>
          <w:tcPr>
            <w:tcW w:w="1680" w:type="dxa"/>
            <w:tcBorders>
              <w:top w:val="single" w:color="auto" w:sz="6" w:space="0"/>
              <w:left w:val="single" w:color="auto" w:sz="6" w:space="0"/>
              <w:bottom w:val="single" w:color="auto" w:sz="6" w:space="0"/>
              <w:right w:val="single" w:color="auto" w:sz="6" w:space="0"/>
            </w:tcBorders>
            <w:vAlign w:val="center"/>
          </w:tcPr>
          <w:p w14:paraId="0B41E5A5">
            <w:pPr>
              <w:pStyle w:val="35"/>
              <w:overflowPunct w:val="0"/>
              <w:ind w:firstLine="480" w:firstLineChars="200"/>
              <w:jc w:val="center"/>
              <w:rPr>
                <w:rFonts w:ascii="宋体" w:hAnsi="宋体" w:cs="宋体"/>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72199BD9">
            <w:pPr>
              <w:pStyle w:val="35"/>
              <w:overflowPunct w:val="0"/>
              <w:ind w:firstLine="480" w:firstLineChars="200"/>
              <w:jc w:val="center"/>
              <w:rPr>
                <w:rFonts w:ascii="宋体" w:hAnsi="宋体" w:cs="宋体"/>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7AE314DD">
            <w:pPr>
              <w:pStyle w:val="35"/>
              <w:overflowPunct w:val="0"/>
              <w:ind w:firstLine="480" w:firstLineChars="200"/>
              <w:jc w:val="center"/>
              <w:rPr>
                <w:rFonts w:ascii="宋体" w:hAnsi="宋体" w:cs="宋体"/>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73F54CCD">
            <w:pPr>
              <w:pStyle w:val="35"/>
              <w:overflowPunct w:val="0"/>
              <w:ind w:firstLine="480" w:firstLineChars="200"/>
              <w:jc w:val="center"/>
              <w:rPr>
                <w:rFonts w:ascii="宋体" w:hAnsi="宋体" w:cs="宋体"/>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0E06F3E7">
            <w:pPr>
              <w:pStyle w:val="35"/>
              <w:overflowPunct w:val="0"/>
              <w:ind w:firstLine="480" w:firstLineChars="200"/>
              <w:jc w:val="center"/>
              <w:rPr>
                <w:rFonts w:ascii="宋体" w:hAnsi="宋体" w:cs="宋体"/>
                <w:bCs/>
                <w:szCs w:val="28"/>
              </w:rPr>
            </w:pPr>
          </w:p>
        </w:tc>
      </w:tr>
      <w:tr w14:paraId="1913A0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59B6896F">
            <w:pPr>
              <w:pStyle w:val="35"/>
              <w:overflowPunct w:val="0"/>
              <w:ind w:firstLine="480" w:firstLineChars="200"/>
              <w:rPr>
                <w:rFonts w:ascii="宋体" w:hAnsi="宋体" w:cs="宋体"/>
                <w:bCs/>
                <w:szCs w:val="28"/>
              </w:rPr>
            </w:pPr>
          </w:p>
        </w:tc>
        <w:tc>
          <w:tcPr>
            <w:tcW w:w="1680" w:type="dxa"/>
            <w:tcBorders>
              <w:top w:val="single" w:color="auto" w:sz="6" w:space="0"/>
              <w:left w:val="single" w:color="auto" w:sz="6" w:space="0"/>
              <w:bottom w:val="single" w:color="auto" w:sz="6" w:space="0"/>
              <w:right w:val="single" w:color="auto" w:sz="6" w:space="0"/>
            </w:tcBorders>
            <w:vAlign w:val="center"/>
          </w:tcPr>
          <w:p w14:paraId="004C53A0">
            <w:pPr>
              <w:pStyle w:val="35"/>
              <w:overflowPunct w:val="0"/>
              <w:ind w:firstLine="480" w:firstLineChars="200"/>
              <w:jc w:val="center"/>
              <w:rPr>
                <w:rFonts w:ascii="宋体" w:hAnsi="宋体" w:cs="宋体"/>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6EA1C834">
            <w:pPr>
              <w:pStyle w:val="35"/>
              <w:overflowPunct w:val="0"/>
              <w:ind w:firstLine="480" w:firstLineChars="200"/>
              <w:jc w:val="center"/>
              <w:rPr>
                <w:rFonts w:ascii="宋体" w:hAnsi="宋体" w:cs="宋体"/>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34A523D6">
            <w:pPr>
              <w:pStyle w:val="35"/>
              <w:overflowPunct w:val="0"/>
              <w:ind w:firstLine="480" w:firstLineChars="200"/>
              <w:jc w:val="center"/>
              <w:rPr>
                <w:rFonts w:ascii="宋体" w:hAnsi="宋体" w:cs="宋体"/>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21AB59C9">
            <w:pPr>
              <w:pStyle w:val="35"/>
              <w:overflowPunct w:val="0"/>
              <w:ind w:firstLine="480" w:firstLineChars="200"/>
              <w:jc w:val="center"/>
              <w:rPr>
                <w:rFonts w:ascii="宋体" w:hAnsi="宋体" w:cs="宋体"/>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41388C63">
            <w:pPr>
              <w:pStyle w:val="35"/>
              <w:overflowPunct w:val="0"/>
              <w:ind w:firstLine="480" w:firstLineChars="200"/>
              <w:jc w:val="center"/>
              <w:rPr>
                <w:rFonts w:ascii="宋体" w:hAnsi="宋体" w:cs="宋体"/>
                <w:bCs/>
                <w:szCs w:val="28"/>
              </w:rPr>
            </w:pPr>
          </w:p>
        </w:tc>
      </w:tr>
      <w:tr w14:paraId="49854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557FDAA1">
            <w:pPr>
              <w:pStyle w:val="35"/>
              <w:overflowPunct w:val="0"/>
              <w:ind w:firstLine="480" w:firstLineChars="200"/>
              <w:rPr>
                <w:rFonts w:ascii="宋体" w:hAnsi="宋体" w:cs="宋体"/>
                <w:bCs/>
                <w:szCs w:val="28"/>
              </w:rPr>
            </w:pPr>
          </w:p>
        </w:tc>
        <w:tc>
          <w:tcPr>
            <w:tcW w:w="1680" w:type="dxa"/>
            <w:tcBorders>
              <w:top w:val="single" w:color="auto" w:sz="6" w:space="0"/>
              <w:left w:val="single" w:color="auto" w:sz="6" w:space="0"/>
              <w:bottom w:val="single" w:color="auto" w:sz="6" w:space="0"/>
              <w:right w:val="single" w:color="auto" w:sz="6" w:space="0"/>
            </w:tcBorders>
            <w:vAlign w:val="center"/>
          </w:tcPr>
          <w:p w14:paraId="1F174D43">
            <w:pPr>
              <w:pStyle w:val="35"/>
              <w:overflowPunct w:val="0"/>
              <w:ind w:firstLine="480" w:firstLineChars="200"/>
              <w:jc w:val="center"/>
              <w:rPr>
                <w:rFonts w:ascii="宋体" w:hAnsi="宋体" w:cs="宋体"/>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45FB8ABB">
            <w:pPr>
              <w:pStyle w:val="35"/>
              <w:overflowPunct w:val="0"/>
              <w:ind w:firstLine="480" w:firstLineChars="200"/>
              <w:jc w:val="center"/>
              <w:rPr>
                <w:rFonts w:ascii="宋体" w:hAnsi="宋体" w:cs="宋体"/>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327ABDDB">
            <w:pPr>
              <w:pStyle w:val="35"/>
              <w:overflowPunct w:val="0"/>
              <w:ind w:firstLine="480" w:firstLineChars="200"/>
              <w:jc w:val="center"/>
              <w:rPr>
                <w:rFonts w:ascii="宋体" w:hAnsi="宋体" w:cs="宋体"/>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13D48DBE">
            <w:pPr>
              <w:pStyle w:val="35"/>
              <w:overflowPunct w:val="0"/>
              <w:ind w:firstLine="480" w:firstLineChars="200"/>
              <w:jc w:val="center"/>
              <w:rPr>
                <w:rFonts w:ascii="宋体" w:hAnsi="宋体" w:cs="宋体"/>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0A97F982">
            <w:pPr>
              <w:pStyle w:val="35"/>
              <w:overflowPunct w:val="0"/>
              <w:ind w:firstLine="480" w:firstLineChars="200"/>
              <w:jc w:val="center"/>
              <w:rPr>
                <w:rFonts w:ascii="宋体" w:hAnsi="宋体" w:cs="宋体"/>
                <w:bCs/>
                <w:szCs w:val="28"/>
              </w:rPr>
            </w:pPr>
          </w:p>
        </w:tc>
      </w:tr>
      <w:tr w14:paraId="1FFC4E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7E29D7AD">
            <w:pPr>
              <w:pStyle w:val="35"/>
              <w:overflowPunct w:val="0"/>
              <w:ind w:firstLine="480" w:firstLineChars="200"/>
              <w:rPr>
                <w:rFonts w:ascii="宋体" w:hAnsi="宋体" w:cs="宋体"/>
                <w:bCs/>
                <w:szCs w:val="28"/>
              </w:rPr>
            </w:pPr>
          </w:p>
        </w:tc>
        <w:tc>
          <w:tcPr>
            <w:tcW w:w="1680" w:type="dxa"/>
            <w:tcBorders>
              <w:top w:val="single" w:color="auto" w:sz="6" w:space="0"/>
              <w:left w:val="single" w:color="auto" w:sz="6" w:space="0"/>
              <w:bottom w:val="single" w:color="auto" w:sz="6" w:space="0"/>
              <w:right w:val="single" w:color="auto" w:sz="6" w:space="0"/>
            </w:tcBorders>
            <w:vAlign w:val="center"/>
          </w:tcPr>
          <w:p w14:paraId="412B73EC">
            <w:pPr>
              <w:pStyle w:val="35"/>
              <w:overflowPunct w:val="0"/>
              <w:ind w:firstLine="480" w:firstLineChars="200"/>
              <w:jc w:val="center"/>
              <w:rPr>
                <w:rFonts w:ascii="宋体" w:hAnsi="宋体" w:cs="宋体"/>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128FA79D">
            <w:pPr>
              <w:pStyle w:val="35"/>
              <w:overflowPunct w:val="0"/>
              <w:ind w:firstLine="480" w:firstLineChars="200"/>
              <w:jc w:val="center"/>
              <w:rPr>
                <w:rFonts w:ascii="宋体" w:hAnsi="宋体" w:cs="宋体"/>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635B4919">
            <w:pPr>
              <w:pStyle w:val="35"/>
              <w:overflowPunct w:val="0"/>
              <w:ind w:firstLine="480" w:firstLineChars="200"/>
              <w:jc w:val="center"/>
              <w:rPr>
                <w:rFonts w:ascii="宋体" w:hAnsi="宋体" w:cs="宋体"/>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73F305F8">
            <w:pPr>
              <w:pStyle w:val="35"/>
              <w:overflowPunct w:val="0"/>
              <w:ind w:firstLine="480" w:firstLineChars="200"/>
              <w:jc w:val="center"/>
              <w:rPr>
                <w:rFonts w:ascii="宋体" w:hAnsi="宋体" w:cs="宋体"/>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49ABC065">
            <w:pPr>
              <w:pStyle w:val="35"/>
              <w:overflowPunct w:val="0"/>
              <w:ind w:firstLine="480" w:firstLineChars="200"/>
              <w:jc w:val="center"/>
              <w:rPr>
                <w:rFonts w:ascii="宋体" w:hAnsi="宋体" w:cs="宋体"/>
                <w:bCs/>
                <w:szCs w:val="28"/>
              </w:rPr>
            </w:pPr>
          </w:p>
        </w:tc>
      </w:tr>
      <w:tr w14:paraId="36761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textDirection w:val="tbRlV"/>
            <w:vAlign w:val="center"/>
          </w:tcPr>
          <w:p w14:paraId="3D0604A4">
            <w:pPr>
              <w:pStyle w:val="35"/>
              <w:overflowPunct w:val="0"/>
              <w:ind w:firstLine="480" w:firstLineChars="200"/>
              <w:jc w:val="center"/>
              <w:rPr>
                <w:rFonts w:ascii="宋体" w:hAnsi="宋体" w:cs="宋体"/>
                <w:bCs/>
                <w:szCs w:val="28"/>
              </w:rPr>
            </w:pPr>
          </w:p>
        </w:tc>
        <w:tc>
          <w:tcPr>
            <w:tcW w:w="1680" w:type="dxa"/>
            <w:tcBorders>
              <w:top w:val="single" w:color="auto" w:sz="6" w:space="0"/>
              <w:left w:val="single" w:color="auto" w:sz="6" w:space="0"/>
              <w:bottom w:val="single" w:color="auto" w:sz="6" w:space="0"/>
              <w:right w:val="single" w:color="auto" w:sz="6" w:space="0"/>
            </w:tcBorders>
            <w:vAlign w:val="center"/>
          </w:tcPr>
          <w:p w14:paraId="2F9B9613">
            <w:pPr>
              <w:pStyle w:val="35"/>
              <w:overflowPunct w:val="0"/>
              <w:ind w:firstLine="480" w:firstLineChars="200"/>
              <w:jc w:val="center"/>
              <w:rPr>
                <w:rFonts w:ascii="宋体" w:hAnsi="宋体" w:cs="宋体"/>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3EB6B3E0">
            <w:pPr>
              <w:pStyle w:val="35"/>
              <w:overflowPunct w:val="0"/>
              <w:ind w:firstLine="480" w:firstLineChars="200"/>
              <w:jc w:val="center"/>
              <w:rPr>
                <w:rFonts w:ascii="宋体" w:hAnsi="宋体" w:cs="宋体"/>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3FA0B831">
            <w:pPr>
              <w:pStyle w:val="35"/>
              <w:overflowPunct w:val="0"/>
              <w:ind w:firstLine="480" w:firstLineChars="200"/>
              <w:jc w:val="center"/>
              <w:rPr>
                <w:rFonts w:ascii="宋体" w:hAnsi="宋体" w:cs="宋体"/>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14517328">
            <w:pPr>
              <w:pStyle w:val="35"/>
              <w:overflowPunct w:val="0"/>
              <w:ind w:firstLine="480" w:firstLineChars="200"/>
              <w:jc w:val="center"/>
              <w:rPr>
                <w:rFonts w:ascii="宋体" w:hAnsi="宋体" w:cs="宋体"/>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42078CF9">
            <w:pPr>
              <w:pStyle w:val="35"/>
              <w:overflowPunct w:val="0"/>
              <w:ind w:firstLine="480" w:firstLineChars="200"/>
              <w:jc w:val="center"/>
              <w:rPr>
                <w:rFonts w:ascii="宋体" w:hAnsi="宋体" w:cs="宋体"/>
                <w:bCs/>
                <w:szCs w:val="28"/>
              </w:rPr>
            </w:pPr>
          </w:p>
        </w:tc>
      </w:tr>
      <w:tr w14:paraId="23D87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2AB9A686">
            <w:pPr>
              <w:pStyle w:val="35"/>
              <w:overflowPunct w:val="0"/>
              <w:ind w:firstLine="480" w:firstLineChars="200"/>
              <w:jc w:val="center"/>
              <w:rPr>
                <w:rFonts w:ascii="宋体" w:hAnsi="宋体" w:cs="宋体"/>
                <w:bCs/>
                <w:szCs w:val="28"/>
              </w:rPr>
            </w:pPr>
          </w:p>
        </w:tc>
        <w:tc>
          <w:tcPr>
            <w:tcW w:w="1680" w:type="dxa"/>
            <w:tcBorders>
              <w:top w:val="single" w:color="auto" w:sz="6" w:space="0"/>
              <w:left w:val="single" w:color="auto" w:sz="6" w:space="0"/>
              <w:bottom w:val="single" w:color="auto" w:sz="6" w:space="0"/>
              <w:right w:val="single" w:color="auto" w:sz="6" w:space="0"/>
            </w:tcBorders>
            <w:vAlign w:val="center"/>
          </w:tcPr>
          <w:p w14:paraId="176AC476">
            <w:pPr>
              <w:pStyle w:val="35"/>
              <w:overflowPunct w:val="0"/>
              <w:ind w:firstLine="480" w:firstLineChars="200"/>
              <w:jc w:val="center"/>
              <w:rPr>
                <w:rFonts w:ascii="宋体" w:hAnsi="宋体" w:cs="宋体"/>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11C2F46A">
            <w:pPr>
              <w:pStyle w:val="35"/>
              <w:overflowPunct w:val="0"/>
              <w:ind w:firstLine="480" w:firstLineChars="200"/>
              <w:jc w:val="center"/>
              <w:rPr>
                <w:rFonts w:ascii="宋体" w:hAnsi="宋体" w:cs="宋体"/>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4C68161F">
            <w:pPr>
              <w:pStyle w:val="35"/>
              <w:overflowPunct w:val="0"/>
              <w:ind w:firstLine="480" w:firstLineChars="200"/>
              <w:jc w:val="center"/>
              <w:rPr>
                <w:rFonts w:ascii="宋体" w:hAnsi="宋体" w:cs="宋体"/>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7E282AC9">
            <w:pPr>
              <w:pStyle w:val="35"/>
              <w:overflowPunct w:val="0"/>
              <w:ind w:firstLine="480" w:firstLineChars="200"/>
              <w:jc w:val="center"/>
              <w:rPr>
                <w:rFonts w:ascii="宋体" w:hAnsi="宋体" w:cs="宋体"/>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023A4516">
            <w:pPr>
              <w:pStyle w:val="35"/>
              <w:overflowPunct w:val="0"/>
              <w:ind w:firstLine="480" w:firstLineChars="200"/>
              <w:jc w:val="center"/>
              <w:rPr>
                <w:rFonts w:ascii="宋体" w:hAnsi="宋体" w:cs="宋体"/>
                <w:bCs/>
                <w:szCs w:val="28"/>
              </w:rPr>
            </w:pPr>
          </w:p>
        </w:tc>
      </w:tr>
      <w:tr w14:paraId="3A89E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66472CE0">
            <w:pPr>
              <w:pStyle w:val="35"/>
              <w:overflowPunct w:val="0"/>
              <w:ind w:firstLine="480" w:firstLineChars="200"/>
              <w:jc w:val="center"/>
              <w:rPr>
                <w:rFonts w:ascii="宋体" w:hAnsi="宋体" w:cs="宋体"/>
                <w:bCs/>
                <w:szCs w:val="28"/>
              </w:rPr>
            </w:pPr>
          </w:p>
        </w:tc>
        <w:tc>
          <w:tcPr>
            <w:tcW w:w="1680" w:type="dxa"/>
            <w:tcBorders>
              <w:top w:val="single" w:color="auto" w:sz="6" w:space="0"/>
              <w:left w:val="single" w:color="auto" w:sz="6" w:space="0"/>
              <w:bottom w:val="single" w:color="auto" w:sz="6" w:space="0"/>
              <w:right w:val="single" w:color="auto" w:sz="6" w:space="0"/>
            </w:tcBorders>
            <w:vAlign w:val="center"/>
          </w:tcPr>
          <w:p w14:paraId="6C32721B">
            <w:pPr>
              <w:pStyle w:val="35"/>
              <w:overflowPunct w:val="0"/>
              <w:ind w:firstLine="480" w:firstLineChars="200"/>
              <w:jc w:val="center"/>
              <w:rPr>
                <w:rFonts w:ascii="宋体" w:hAnsi="宋体" w:cs="宋体"/>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0102D966">
            <w:pPr>
              <w:pStyle w:val="35"/>
              <w:overflowPunct w:val="0"/>
              <w:ind w:firstLine="480" w:firstLineChars="200"/>
              <w:jc w:val="center"/>
              <w:rPr>
                <w:rFonts w:ascii="宋体" w:hAnsi="宋体" w:cs="宋体"/>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419C325B">
            <w:pPr>
              <w:pStyle w:val="35"/>
              <w:overflowPunct w:val="0"/>
              <w:ind w:firstLine="480" w:firstLineChars="200"/>
              <w:jc w:val="center"/>
              <w:rPr>
                <w:rFonts w:ascii="宋体" w:hAnsi="宋体" w:cs="宋体"/>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1EE393B0">
            <w:pPr>
              <w:pStyle w:val="35"/>
              <w:overflowPunct w:val="0"/>
              <w:ind w:firstLine="480" w:firstLineChars="200"/>
              <w:jc w:val="center"/>
              <w:rPr>
                <w:rFonts w:ascii="宋体" w:hAnsi="宋体" w:cs="宋体"/>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3A796317">
            <w:pPr>
              <w:pStyle w:val="35"/>
              <w:overflowPunct w:val="0"/>
              <w:ind w:firstLine="480" w:firstLineChars="200"/>
              <w:jc w:val="center"/>
              <w:rPr>
                <w:rFonts w:ascii="宋体" w:hAnsi="宋体" w:cs="宋体"/>
                <w:bCs/>
                <w:szCs w:val="28"/>
              </w:rPr>
            </w:pPr>
          </w:p>
        </w:tc>
      </w:tr>
      <w:tr w14:paraId="299945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47B7833A">
            <w:pPr>
              <w:pStyle w:val="35"/>
              <w:overflowPunct w:val="0"/>
              <w:ind w:firstLine="480" w:firstLineChars="200"/>
              <w:jc w:val="center"/>
              <w:rPr>
                <w:rFonts w:ascii="宋体" w:hAnsi="宋体" w:cs="宋体"/>
                <w:bCs/>
                <w:szCs w:val="28"/>
              </w:rPr>
            </w:pPr>
          </w:p>
        </w:tc>
        <w:tc>
          <w:tcPr>
            <w:tcW w:w="1680" w:type="dxa"/>
            <w:tcBorders>
              <w:top w:val="single" w:color="auto" w:sz="6" w:space="0"/>
              <w:left w:val="single" w:color="auto" w:sz="6" w:space="0"/>
              <w:bottom w:val="single" w:color="auto" w:sz="6" w:space="0"/>
              <w:right w:val="single" w:color="auto" w:sz="6" w:space="0"/>
            </w:tcBorders>
            <w:vAlign w:val="center"/>
          </w:tcPr>
          <w:p w14:paraId="7E9266F9">
            <w:pPr>
              <w:pStyle w:val="35"/>
              <w:overflowPunct w:val="0"/>
              <w:ind w:firstLine="480" w:firstLineChars="200"/>
              <w:jc w:val="center"/>
              <w:rPr>
                <w:rFonts w:ascii="宋体" w:hAnsi="宋体" w:cs="宋体"/>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6B71A6B2">
            <w:pPr>
              <w:pStyle w:val="35"/>
              <w:overflowPunct w:val="0"/>
              <w:ind w:firstLine="480" w:firstLineChars="200"/>
              <w:jc w:val="center"/>
              <w:rPr>
                <w:rFonts w:ascii="宋体" w:hAnsi="宋体" w:cs="宋体"/>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12D1A62F">
            <w:pPr>
              <w:pStyle w:val="35"/>
              <w:overflowPunct w:val="0"/>
              <w:ind w:firstLine="480" w:firstLineChars="200"/>
              <w:jc w:val="center"/>
              <w:rPr>
                <w:rFonts w:ascii="宋体" w:hAnsi="宋体" w:cs="宋体"/>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26BAB3EB">
            <w:pPr>
              <w:pStyle w:val="35"/>
              <w:overflowPunct w:val="0"/>
              <w:ind w:firstLine="480" w:firstLineChars="200"/>
              <w:jc w:val="center"/>
              <w:rPr>
                <w:rFonts w:ascii="宋体" w:hAnsi="宋体" w:cs="宋体"/>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42B07BDD">
            <w:pPr>
              <w:pStyle w:val="35"/>
              <w:overflowPunct w:val="0"/>
              <w:ind w:firstLine="480" w:firstLineChars="200"/>
              <w:jc w:val="center"/>
              <w:rPr>
                <w:rFonts w:ascii="宋体" w:hAnsi="宋体" w:cs="宋体"/>
                <w:bCs/>
                <w:szCs w:val="28"/>
              </w:rPr>
            </w:pPr>
          </w:p>
        </w:tc>
      </w:tr>
      <w:tr w14:paraId="2DEBF9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3A72C0AB">
            <w:pPr>
              <w:pStyle w:val="35"/>
              <w:overflowPunct w:val="0"/>
              <w:ind w:firstLine="480" w:firstLineChars="200"/>
              <w:jc w:val="center"/>
              <w:rPr>
                <w:rFonts w:ascii="宋体" w:hAnsi="宋体" w:cs="宋体"/>
                <w:bCs/>
                <w:szCs w:val="28"/>
              </w:rPr>
            </w:pPr>
          </w:p>
        </w:tc>
        <w:tc>
          <w:tcPr>
            <w:tcW w:w="1680" w:type="dxa"/>
            <w:tcBorders>
              <w:top w:val="single" w:color="auto" w:sz="6" w:space="0"/>
              <w:left w:val="single" w:color="auto" w:sz="6" w:space="0"/>
              <w:bottom w:val="single" w:color="auto" w:sz="6" w:space="0"/>
              <w:right w:val="single" w:color="auto" w:sz="6" w:space="0"/>
            </w:tcBorders>
            <w:vAlign w:val="center"/>
          </w:tcPr>
          <w:p w14:paraId="4D438708">
            <w:pPr>
              <w:pStyle w:val="35"/>
              <w:overflowPunct w:val="0"/>
              <w:ind w:firstLine="480" w:firstLineChars="200"/>
              <w:jc w:val="center"/>
              <w:rPr>
                <w:rFonts w:ascii="宋体" w:hAnsi="宋体" w:cs="宋体"/>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3E9E26DB">
            <w:pPr>
              <w:pStyle w:val="35"/>
              <w:overflowPunct w:val="0"/>
              <w:ind w:firstLine="480" w:firstLineChars="200"/>
              <w:jc w:val="center"/>
              <w:rPr>
                <w:rFonts w:ascii="宋体" w:hAnsi="宋体" w:cs="宋体"/>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25882C6F">
            <w:pPr>
              <w:pStyle w:val="35"/>
              <w:overflowPunct w:val="0"/>
              <w:ind w:firstLine="480" w:firstLineChars="200"/>
              <w:jc w:val="center"/>
              <w:rPr>
                <w:rFonts w:ascii="宋体" w:hAnsi="宋体" w:cs="宋体"/>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7028AF43">
            <w:pPr>
              <w:pStyle w:val="35"/>
              <w:overflowPunct w:val="0"/>
              <w:ind w:firstLine="480" w:firstLineChars="200"/>
              <w:jc w:val="center"/>
              <w:rPr>
                <w:rFonts w:ascii="宋体" w:hAnsi="宋体" w:cs="宋体"/>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4309AC47">
            <w:pPr>
              <w:pStyle w:val="35"/>
              <w:overflowPunct w:val="0"/>
              <w:ind w:firstLine="480" w:firstLineChars="200"/>
              <w:jc w:val="center"/>
              <w:rPr>
                <w:rFonts w:ascii="宋体" w:hAnsi="宋体" w:cs="宋体"/>
                <w:bCs/>
                <w:szCs w:val="28"/>
              </w:rPr>
            </w:pPr>
          </w:p>
        </w:tc>
      </w:tr>
    </w:tbl>
    <w:p w14:paraId="1425818E">
      <w:pPr>
        <w:pStyle w:val="202"/>
        <w:ind w:firstLine="480"/>
        <w:rPr>
          <w:rFonts w:ascii="宋体" w:hAnsi="宋体"/>
        </w:rPr>
      </w:pPr>
    </w:p>
    <w:p w14:paraId="0A14BCF7">
      <w:pPr>
        <w:spacing w:line="360" w:lineRule="auto"/>
        <w:ind w:firstLine="5280" w:firstLineChars="2200"/>
        <w:rPr>
          <w:color w:val="000000"/>
          <w:sz w:val="24"/>
          <w:szCs w:val="24"/>
        </w:rPr>
      </w:pPr>
      <w:r>
        <w:rPr>
          <w:rFonts w:hint="eastAsia" w:ascii="宋体" w:hAnsi="宋体" w:cs="宋体"/>
          <w:color w:val="000000"/>
          <w:sz w:val="24"/>
          <w:szCs w:val="24"/>
          <w:lang w:val="zh-CN"/>
        </w:rPr>
        <w:t>供应商（盖章）：</w:t>
      </w:r>
    </w:p>
    <w:p w14:paraId="255869A4">
      <w:pPr>
        <w:spacing w:line="360" w:lineRule="auto"/>
        <w:jc w:val="right"/>
        <w:rPr>
          <w:rFonts w:ascii="宋体" w:hAnsi="宋体" w:cs="宋体"/>
          <w:color w:val="000000"/>
          <w:sz w:val="24"/>
          <w:szCs w:val="24"/>
          <w:lang w:val="zh-CN"/>
        </w:rPr>
      </w:pPr>
      <w:r>
        <w:rPr>
          <w:rFonts w:hint="eastAsia" w:ascii="宋体" w:hAnsi="宋体" w:cs="宋体"/>
          <w:color w:val="000000"/>
          <w:sz w:val="24"/>
          <w:szCs w:val="24"/>
          <w:lang w:val="zh-CN"/>
        </w:rPr>
        <w:t>法定代表人或授权代表：（签字或盖章）</w:t>
      </w:r>
    </w:p>
    <w:p w14:paraId="12F33C35">
      <w:pPr>
        <w:spacing w:line="540" w:lineRule="exact"/>
        <w:jc w:val="center"/>
        <w:rPr>
          <w:rFonts w:ascii="楷体_GB2312" w:hAnsi="宋体" w:eastAsia="楷体_GB2312"/>
          <w:b/>
          <w:color w:val="000000"/>
          <w:sz w:val="24"/>
        </w:rPr>
      </w:pPr>
      <w:r>
        <w:rPr>
          <w:rFonts w:hint="eastAsia" w:ascii="宋体" w:hAnsi="宋体" w:cs="宋体"/>
          <w:color w:val="000000"/>
          <w:sz w:val="24"/>
          <w:szCs w:val="24"/>
        </w:rPr>
        <w:t xml:space="preserve">                                                 </w:t>
      </w:r>
      <w:r>
        <w:rPr>
          <w:rFonts w:hint="eastAsia" w:ascii="宋体" w:hAnsi="宋体" w:cs="宋体"/>
          <w:color w:val="000000"/>
          <w:sz w:val="24"/>
          <w:szCs w:val="24"/>
          <w:lang w:val="zh-CN"/>
        </w:rPr>
        <w:t>日期：</w:t>
      </w:r>
      <w:r>
        <w:rPr>
          <w:rFonts w:hint="eastAsia" w:ascii="宋体" w:cs="宋体"/>
          <w:sz w:val="24"/>
        </w:rPr>
        <w:t xml:space="preserve">    年   月   日</w:t>
      </w:r>
    </w:p>
    <w:p w14:paraId="7FE8D398">
      <w:pPr>
        <w:pStyle w:val="202"/>
        <w:ind w:firstLine="480"/>
        <w:rPr>
          <w:rFonts w:ascii="宋体" w:hAnsi="宋体"/>
        </w:rPr>
      </w:pPr>
    </w:p>
    <w:p w14:paraId="6690982C">
      <w:pPr>
        <w:pStyle w:val="38"/>
        <w:ind w:firstLine="640"/>
        <w:rPr>
          <w:rFonts w:ascii="黑体" w:eastAsia="黑体"/>
          <w:sz w:val="32"/>
          <w:szCs w:val="32"/>
        </w:rPr>
      </w:pPr>
    </w:p>
    <w:p w14:paraId="1A6443AB">
      <w:pPr>
        <w:pStyle w:val="38"/>
        <w:ind w:firstLine="640"/>
        <w:rPr>
          <w:rFonts w:ascii="黑体" w:eastAsia="黑体"/>
          <w:sz w:val="32"/>
          <w:szCs w:val="32"/>
        </w:rPr>
      </w:pPr>
    </w:p>
    <w:p w14:paraId="421ABDB2">
      <w:pPr>
        <w:pStyle w:val="38"/>
        <w:ind w:firstLine="640"/>
        <w:rPr>
          <w:rFonts w:ascii="黑体" w:eastAsia="黑体"/>
          <w:sz w:val="32"/>
          <w:szCs w:val="32"/>
        </w:rPr>
      </w:pPr>
    </w:p>
    <w:p w14:paraId="3012C999">
      <w:pPr>
        <w:pStyle w:val="38"/>
        <w:ind w:firstLine="640"/>
        <w:rPr>
          <w:rFonts w:ascii="黑体" w:eastAsia="黑体"/>
          <w:sz w:val="32"/>
          <w:szCs w:val="32"/>
        </w:rPr>
      </w:pPr>
    </w:p>
    <w:p w14:paraId="1406A61B">
      <w:pPr>
        <w:pStyle w:val="38"/>
        <w:ind w:firstLine="640"/>
        <w:rPr>
          <w:rFonts w:ascii="黑体" w:eastAsia="黑体"/>
          <w:sz w:val="32"/>
          <w:szCs w:val="32"/>
        </w:rPr>
      </w:pPr>
    </w:p>
    <w:p w14:paraId="6A804F93">
      <w:pPr>
        <w:pStyle w:val="38"/>
        <w:ind w:firstLine="640"/>
        <w:rPr>
          <w:rFonts w:ascii="黑体" w:eastAsia="黑体"/>
          <w:sz w:val="32"/>
          <w:szCs w:val="32"/>
        </w:rPr>
      </w:pPr>
    </w:p>
    <w:p w14:paraId="1DB16C6B">
      <w:pPr>
        <w:pStyle w:val="38"/>
        <w:ind w:firstLine="640"/>
        <w:rPr>
          <w:rFonts w:ascii="黑体" w:eastAsia="黑体"/>
          <w:sz w:val="32"/>
          <w:szCs w:val="32"/>
        </w:rPr>
      </w:pPr>
    </w:p>
    <w:bookmarkEnd w:id="171"/>
    <w:bookmarkEnd w:id="172"/>
    <w:bookmarkEnd w:id="190"/>
    <w:p w14:paraId="300428F3">
      <w:pPr>
        <w:pStyle w:val="201"/>
        <w:spacing w:line="420" w:lineRule="auto"/>
        <w:jc w:val="center"/>
        <w:rPr>
          <w:rFonts w:hint="eastAsia" w:ascii="宋体" w:hAnsi="宋体" w:eastAsia="宋体" w:cs="Times New Roman"/>
        </w:rPr>
      </w:pPr>
      <w:r>
        <w:rPr>
          <w:rFonts w:hint="eastAsia" w:ascii="宋体" w:hAnsi="宋体" w:eastAsia="宋体" w:cs="Times New Roman"/>
        </w:rPr>
        <w:t>盐城市政府采购事前信用承诺书</w:t>
      </w:r>
    </w:p>
    <w:p w14:paraId="65E135F2">
      <w:pPr>
        <w:widowControl/>
        <w:spacing w:line="420" w:lineRule="auto"/>
        <w:ind w:firstLine="480"/>
        <w:jc w:val="left"/>
        <w:rPr>
          <w:rFonts w:ascii="宋体" w:hAnsi="宋体"/>
          <w:sz w:val="24"/>
          <w:szCs w:val="24"/>
        </w:rPr>
      </w:pPr>
      <w:r>
        <w:rPr>
          <w:rFonts w:hint="eastAsia" w:ascii="宋体" w:hAnsi="宋体"/>
          <w:sz w:val="24"/>
          <w:szCs w:val="24"/>
        </w:rPr>
        <w:t>为营造我市公开、公平、公正、诚实守信的政府采购交易环境，树立诚信守法的投标人形象，本人代表本单位作出以下承诺：</w:t>
      </w:r>
    </w:p>
    <w:p w14:paraId="0584B84D">
      <w:pPr>
        <w:widowControl/>
        <w:spacing w:line="420" w:lineRule="auto"/>
        <w:jc w:val="left"/>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8A9F370">
      <w:pPr>
        <w:widowControl/>
        <w:spacing w:line="420" w:lineRule="auto"/>
        <w:ind w:firstLine="480"/>
        <w:jc w:val="left"/>
        <w:rPr>
          <w:rFonts w:ascii="宋体" w:hAnsi="宋体"/>
          <w:sz w:val="24"/>
          <w:szCs w:val="24"/>
        </w:rPr>
      </w:pPr>
      <w:r>
        <w:rPr>
          <w:rFonts w:hint="eastAsia" w:ascii="宋体" w:hAnsi="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D30B029">
      <w:pPr>
        <w:widowControl/>
        <w:spacing w:line="420" w:lineRule="auto"/>
        <w:jc w:val="left"/>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p>
    <w:p w14:paraId="29E382EB">
      <w:pPr>
        <w:widowControl/>
        <w:spacing w:line="420" w:lineRule="auto"/>
        <w:jc w:val="left"/>
        <w:rPr>
          <w:rFonts w:ascii="宋体" w:hAnsi="宋体"/>
          <w:sz w:val="24"/>
          <w:szCs w:val="24"/>
        </w:rPr>
      </w:pPr>
      <w:r>
        <w:rPr>
          <w:rFonts w:hint="eastAsia" w:ascii="宋体" w:hAnsi="宋体"/>
          <w:sz w:val="24"/>
          <w:szCs w:val="24"/>
        </w:rPr>
        <w:t>   （四）严格遵守即时信息公示规定，及时维护和更新维护和更新盐城市政府采购网中与本单位相关的信息；</w:t>
      </w:r>
    </w:p>
    <w:p w14:paraId="06A573F2">
      <w:pPr>
        <w:widowControl/>
        <w:spacing w:line="420" w:lineRule="auto"/>
        <w:jc w:val="left"/>
        <w:rPr>
          <w:rFonts w:ascii="宋体" w:hAnsi="宋体"/>
          <w:sz w:val="24"/>
          <w:szCs w:val="24"/>
        </w:rPr>
      </w:pPr>
      <w:r>
        <w:rPr>
          <w:rFonts w:hint="eastAsia" w:ascii="宋体" w:hAnsi="宋体"/>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6BD7012">
      <w:pPr>
        <w:widowControl/>
        <w:spacing w:line="420" w:lineRule="auto"/>
        <w:jc w:val="left"/>
        <w:rPr>
          <w:rFonts w:ascii="宋体" w:hAnsi="宋体"/>
          <w:sz w:val="24"/>
          <w:szCs w:val="24"/>
        </w:rPr>
      </w:pPr>
      <w:r>
        <w:rPr>
          <w:rFonts w:hint="eastAsia" w:ascii="宋体" w:hAnsi="宋体"/>
          <w:sz w:val="24"/>
          <w:szCs w:val="24"/>
        </w:rPr>
        <w:t>   （六）自觉接受政府、行业组织、社会公众、新闻舆论的监督；</w:t>
      </w:r>
    </w:p>
    <w:p w14:paraId="654A0F74">
      <w:pPr>
        <w:widowControl/>
        <w:spacing w:line="420" w:lineRule="auto"/>
        <w:ind w:firstLine="480"/>
        <w:jc w:val="left"/>
        <w:rPr>
          <w:rFonts w:ascii="宋体" w:hAnsi="宋体"/>
          <w:sz w:val="24"/>
          <w:szCs w:val="24"/>
        </w:rPr>
      </w:pPr>
      <w:r>
        <w:rPr>
          <w:rFonts w:hint="eastAsia" w:ascii="宋体" w:hAnsi="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F055B1B">
      <w:pPr>
        <w:widowControl/>
        <w:spacing w:line="420" w:lineRule="auto"/>
        <w:jc w:val="left"/>
        <w:rPr>
          <w:rFonts w:ascii="宋体" w:hAnsi="宋体"/>
          <w:sz w:val="24"/>
          <w:szCs w:val="24"/>
        </w:rPr>
      </w:pPr>
      <w:r>
        <w:rPr>
          <w:rFonts w:hint="eastAsia" w:ascii="宋体" w:hAnsi="宋体"/>
          <w:sz w:val="24"/>
          <w:szCs w:val="24"/>
        </w:rPr>
        <w:t>   （八）本人已认真阅读了上述承诺，并向本单位员工作了宣传教育。</w:t>
      </w:r>
    </w:p>
    <w:p w14:paraId="64A0526F">
      <w:pPr>
        <w:widowControl/>
        <w:spacing w:line="420" w:lineRule="auto"/>
        <w:jc w:val="center"/>
        <w:rPr>
          <w:rFonts w:ascii="宋体" w:hAnsi="宋体"/>
          <w:sz w:val="24"/>
          <w:szCs w:val="24"/>
        </w:rPr>
      </w:pPr>
      <w:r>
        <w:rPr>
          <w:rFonts w:hint="eastAsia" w:ascii="宋体" w:hAnsi="宋体"/>
          <w:sz w:val="24"/>
          <w:szCs w:val="24"/>
        </w:rPr>
        <w:t xml:space="preserve">                 法定代表人签名：</w:t>
      </w:r>
    </w:p>
    <w:p w14:paraId="2BCC8BD3">
      <w:pPr>
        <w:widowControl/>
        <w:spacing w:line="420" w:lineRule="auto"/>
        <w:jc w:val="center"/>
        <w:rPr>
          <w:rFonts w:ascii="宋体" w:hAnsi="宋体"/>
          <w:sz w:val="24"/>
          <w:szCs w:val="24"/>
        </w:rPr>
      </w:pPr>
      <w:r>
        <w:rPr>
          <w:rFonts w:hint="eastAsia" w:ascii="宋体" w:hAnsi="宋体"/>
          <w:sz w:val="24"/>
          <w:szCs w:val="24"/>
        </w:rPr>
        <w:t xml:space="preserve">                   单位名称（盖章）：</w:t>
      </w:r>
    </w:p>
    <w:p w14:paraId="24DB92B0">
      <w:pPr>
        <w:widowControl/>
        <w:spacing w:line="420" w:lineRule="auto"/>
        <w:jc w:val="center"/>
      </w:pPr>
      <w:r>
        <w:rPr>
          <w:rFonts w:hint="eastAsia" w:ascii="宋体" w:hAnsi="宋体"/>
          <w:sz w:val="24"/>
          <w:szCs w:val="24"/>
        </w:rPr>
        <w:t xml:space="preserve">                             </w:t>
      </w:r>
      <w:r>
        <w:rPr>
          <w:rFonts w:hint="eastAsia" w:ascii="宋体" w:hAnsi="宋体"/>
          <w:bCs/>
          <w:sz w:val="24"/>
        </w:rPr>
        <w:t>日      期：</w:t>
      </w:r>
      <w:r>
        <w:rPr>
          <w:rFonts w:hint="eastAsia" w:ascii="宋体" w:cs="宋体"/>
          <w:sz w:val="24"/>
        </w:rPr>
        <w:t xml:space="preserve">    年   月   日</w:t>
      </w:r>
    </w:p>
    <w:sectPr>
      <w:footerReference r:id="rId6" w:type="default"/>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黑体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2000000000000000000"/>
    <w:charset w:val="86"/>
    <w:family w:val="script"/>
    <w:pitch w:val="default"/>
    <w:sig w:usb0="00000000" w:usb1="00000000" w:usb2="00082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Showcard Gothic">
    <w:altName w:val="Gabriola"/>
    <w:panose1 w:val="04020904020102020604"/>
    <w:charset w:val="00"/>
    <w:family w:val="decorative"/>
    <w:pitch w:val="default"/>
    <w:sig w:usb0="00000000" w:usb1="00000000" w:usb2="00000000" w:usb3="00000000" w:csb0="2000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abriola">
    <w:panose1 w:val="04040605051002020D02"/>
    <w:charset w:val="00"/>
    <w:family w:val="auto"/>
    <w:pitch w:val="default"/>
    <w:sig w:usb0="E00002EF" w:usb1="5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F1D85">
    <w:pPr>
      <w:pStyle w:val="230"/>
      <w:framePr w:wrap="around" w:vAnchor="text" w:hAnchor="margin" w:xAlign="center" w:y="1"/>
      <w:rPr>
        <w:rStyle w:val="249"/>
        <w:rFonts w:ascii="宋体" w:hAnsi="宋体"/>
      </w:rPr>
    </w:pPr>
    <w:r>
      <w:rPr>
        <w:rFonts w:ascii="宋体" w:hAnsi="宋体"/>
      </w:rPr>
      <w:fldChar w:fldCharType="begin"/>
    </w:r>
    <w:r>
      <w:rPr>
        <w:rStyle w:val="249"/>
        <w:rFonts w:ascii="宋体" w:hAnsi="宋体"/>
      </w:rPr>
      <w:instrText xml:space="preserve">PAGE  </w:instrText>
    </w:r>
    <w:r>
      <w:rPr>
        <w:rFonts w:ascii="宋体" w:hAnsi="宋体"/>
      </w:rPr>
      <w:fldChar w:fldCharType="separate"/>
    </w:r>
    <w:r>
      <w:rPr>
        <w:rStyle w:val="249"/>
        <w:rFonts w:ascii="宋体" w:hAnsi="宋体"/>
      </w:rPr>
      <w:t>49</w:t>
    </w:r>
    <w:r>
      <w:rPr>
        <w:rFonts w:ascii="宋体" w:hAnsi="宋体"/>
      </w:rPr>
      <w:fldChar w:fldCharType="end"/>
    </w:r>
  </w:p>
  <w:p w14:paraId="4B325D68">
    <w:pPr>
      <w:pStyle w:val="230"/>
      <w:jc w:val="center"/>
      <w:rPr>
        <w:b/>
        <w:i/>
      </w:rPr>
    </w:pPr>
    <w:r>
      <w:rPr>
        <w:b/>
        <w:i/>
        <w:sz w:val="20"/>
      </w:rPr>
      <w:t xml:space="preserve"> </w:t>
    </w:r>
  </w:p>
  <w:p w14:paraId="6864FBFB">
    <w:pP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D4673">
    <w:pPr>
      <w:pStyle w:val="230"/>
      <w:framePr w:wrap="around" w:vAnchor="text" w:hAnchor="margin" w:xAlign="center" w:y="1"/>
      <w:rPr>
        <w:rStyle w:val="249"/>
      </w:rPr>
    </w:pPr>
    <w:r>
      <w:fldChar w:fldCharType="begin"/>
    </w:r>
    <w:r>
      <w:rPr>
        <w:rStyle w:val="249"/>
      </w:rPr>
      <w:instrText xml:space="preserve">PAGE  </w:instrText>
    </w:r>
    <w:r>
      <w:fldChar w:fldCharType="separate"/>
    </w:r>
    <w:r>
      <w:rPr>
        <w:rStyle w:val="249"/>
      </w:rPr>
      <w:t>1</w:t>
    </w:r>
    <w:r>
      <w:fldChar w:fldCharType="end"/>
    </w:r>
  </w:p>
  <w:p w14:paraId="51752B93">
    <w:pPr>
      <w:pStyle w:val="230"/>
    </w:pPr>
  </w:p>
  <w:p w14:paraId="41ABC87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66F1D">
    <w:pPr>
      <w:spacing w:line="179" w:lineRule="auto"/>
      <w:ind w:left="297" w:firstLine="540"/>
      <w:rPr>
        <w:rFonts w:eastAsia="Times New Roman"/>
        <w:sz w:val="28"/>
        <w:szCs w:val="28"/>
      </w:rPr>
    </w:pPr>
    <w:r>
      <w:rPr>
        <w:rFonts w:eastAsia="Times New Roman"/>
        <w:spacing w:val="-5"/>
        <w:sz w:val="28"/>
        <w:szCs w:val="28"/>
      </w:rPr>
      <w:t>—</w:t>
    </w:r>
    <w:r>
      <w:rPr>
        <w:rFonts w:eastAsia="Times New Roman"/>
        <w:spacing w:val="30"/>
        <w:sz w:val="28"/>
        <w:szCs w:val="28"/>
      </w:rPr>
      <w:t xml:space="preserve"> </w:t>
    </w:r>
    <w:r>
      <w:rPr>
        <w:rFonts w:eastAsia="Times New Roman"/>
        <w:spacing w:val="-5"/>
        <w:sz w:val="28"/>
        <w:szCs w:val="28"/>
      </w:rPr>
      <w:t>10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25422">
    <w:pPr>
      <w:pStyle w:val="231"/>
      <w:pBdr>
        <w:bottom w:val="none" w:color="000000" w:sz="0" w:space="0"/>
      </w:pBdr>
    </w:pPr>
  </w:p>
  <w:p w14:paraId="43511B1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9A2CC23"/>
    <w:multiLevelType w:val="singleLevel"/>
    <w:tmpl w:val="99A2CC23"/>
    <w:lvl w:ilvl="0" w:tentative="0">
      <w:start w:val="4"/>
      <w:numFmt w:val="chineseCounting"/>
      <w:suff w:val="nothing"/>
      <w:lvlText w:val="%1、"/>
      <w:lvlJc w:val="left"/>
      <w:rPr>
        <w:rFonts w:hint="eastAsia"/>
      </w:rPr>
    </w:lvl>
  </w:abstractNum>
  <w:abstractNum w:abstractNumId="2">
    <w:nsid w:val="9A446F67"/>
    <w:multiLevelType w:val="singleLevel"/>
    <w:tmpl w:val="9A446F67"/>
    <w:lvl w:ilvl="0" w:tentative="0">
      <w:start w:val="2"/>
      <w:numFmt w:val="decimal"/>
      <w:lvlText w:val="%1."/>
      <w:lvlJc w:val="left"/>
      <w:pPr>
        <w:tabs>
          <w:tab w:val="left" w:pos="312"/>
        </w:tabs>
      </w:pPr>
    </w:lvl>
  </w:abstractNum>
  <w:abstractNum w:abstractNumId="3">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upperLetter"/>
      <w:pStyle w:val="26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5"/>
      <w:suff w:val="nothing"/>
      <w:lvlText w:val=""/>
      <w:lvlJc w:val="left"/>
      <w:pPr>
        <w:ind w:left="0" w:firstLine="0"/>
      </w:pPr>
      <w:rPr>
        <w:rFonts w:hint="eastAsia"/>
      </w:rPr>
    </w:lvl>
    <w:lvl w:ilvl="6" w:tentative="0">
      <w:start w:val="1"/>
      <w:numFmt w:val="decimal"/>
      <w:pStyle w:val="206"/>
      <w:suff w:val="nothing"/>
      <w:lvlText w:val=""/>
      <w:lvlJc w:val="left"/>
      <w:pPr>
        <w:ind w:left="0" w:firstLine="0"/>
      </w:pPr>
      <w:rPr>
        <w:rFonts w:hint="eastAsia"/>
      </w:rPr>
    </w:lvl>
    <w:lvl w:ilvl="7" w:tentative="0">
      <w:start w:val="1"/>
      <w:numFmt w:val="decimal"/>
      <w:pStyle w:val="207"/>
      <w:suff w:val="nothing"/>
      <w:lvlText w:val=""/>
      <w:lvlJc w:val="left"/>
      <w:pPr>
        <w:ind w:left="0" w:firstLine="0"/>
      </w:pPr>
      <w:rPr>
        <w:rFonts w:hint="eastAsia"/>
      </w:rPr>
    </w:lvl>
    <w:lvl w:ilvl="8" w:tentative="0">
      <w:start w:val="1"/>
      <w:numFmt w:val="decimal"/>
      <w:pStyle w:val="208"/>
      <w:suff w:val="nothing"/>
      <w:lvlText w:val=""/>
      <w:lvlJc w:val="left"/>
      <w:pPr>
        <w:ind w:left="0" w:firstLine="0"/>
      </w:pPr>
      <w:rPr>
        <w:rFonts w:hint="eastAsia"/>
      </w:rPr>
    </w:lvl>
  </w:abstractNum>
  <w:abstractNum w:abstractNumId="6">
    <w:nsid w:val="59ADCABA"/>
    <w:multiLevelType w:val="multilevel"/>
    <w:tmpl w:val="59ADCABA"/>
    <w:lvl w:ilvl="0" w:tentative="0">
      <w:start w:val="1"/>
      <w:numFmt w:val="decimal"/>
      <w:pStyle w:val="27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5"/>
  </w:num>
  <w:num w:numId="2">
    <w:abstractNumId w:val="4"/>
  </w:num>
  <w:num w:numId="3">
    <w:abstractNumId w:val="6"/>
  </w:num>
  <w:num w:numId="4">
    <w:abstractNumId w:val="3"/>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iYWZmZWNlYTZhMTk1NDI3NDdiNDMxYTM1ZjI0NjUifQ=="/>
  </w:docVars>
  <w:rsids>
    <w:rsidRoot w:val="00FE0857"/>
    <w:rsid w:val="00005DBD"/>
    <w:rsid w:val="0001765A"/>
    <w:rsid w:val="00041F62"/>
    <w:rsid w:val="00063C98"/>
    <w:rsid w:val="00075447"/>
    <w:rsid w:val="000C65D4"/>
    <w:rsid w:val="00102CFE"/>
    <w:rsid w:val="001414C4"/>
    <w:rsid w:val="00145054"/>
    <w:rsid w:val="00164482"/>
    <w:rsid w:val="001834E3"/>
    <w:rsid w:val="001B15BC"/>
    <w:rsid w:val="001C1FC6"/>
    <w:rsid w:val="001D79DE"/>
    <w:rsid w:val="001E4325"/>
    <w:rsid w:val="00237A6E"/>
    <w:rsid w:val="002D7E09"/>
    <w:rsid w:val="002E0BEF"/>
    <w:rsid w:val="002F47FF"/>
    <w:rsid w:val="002F5DC3"/>
    <w:rsid w:val="00300BB8"/>
    <w:rsid w:val="003110A7"/>
    <w:rsid w:val="00320DBD"/>
    <w:rsid w:val="0032769E"/>
    <w:rsid w:val="003638C0"/>
    <w:rsid w:val="003A5B9C"/>
    <w:rsid w:val="003B541C"/>
    <w:rsid w:val="00411D6E"/>
    <w:rsid w:val="00480881"/>
    <w:rsid w:val="00501EE6"/>
    <w:rsid w:val="00521B70"/>
    <w:rsid w:val="00575E28"/>
    <w:rsid w:val="00645991"/>
    <w:rsid w:val="00684743"/>
    <w:rsid w:val="00694B96"/>
    <w:rsid w:val="006C08A6"/>
    <w:rsid w:val="006D3508"/>
    <w:rsid w:val="006E4A82"/>
    <w:rsid w:val="00721CA2"/>
    <w:rsid w:val="007633EA"/>
    <w:rsid w:val="00764C2B"/>
    <w:rsid w:val="00785561"/>
    <w:rsid w:val="007A2F6F"/>
    <w:rsid w:val="007A735C"/>
    <w:rsid w:val="007F27CB"/>
    <w:rsid w:val="0080438C"/>
    <w:rsid w:val="008243F1"/>
    <w:rsid w:val="0083029D"/>
    <w:rsid w:val="00835D4E"/>
    <w:rsid w:val="00844934"/>
    <w:rsid w:val="00862E94"/>
    <w:rsid w:val="008B5614"/>
    <w:rsid w:val="008C0F30"/>
    <w:rsid w:val="008F2F0B"/>
    <w:rsid w:val="009800E7"/>
    <w:rsid w:val="009D38D6"/>
    <w:rsid w:val="009E469F"/>
    <w:rsid w:val="00AD4A28"/>
    <w:rsid w:val="00AE776F"/>
    <w:rsid w:val="00AF50A1"/>
    <w:rsid w:val="00AF6B96"/>
    <w:rsid w:val="00B15A01"/>
    <w:rsid w:val="00B27E1C"/>
    <w:rsid w:val="00B40B26"/>
    <w:rsid w:val="00BC15EC"/>
    <w:rsid w:val="00BD78C3"/>
    <w:rsid w:val="00C008EE"/>
    <w:rsid w:val="00C04849"/>
    <w:rsid w:val="00C11C49"/>
    <w:rsid w:val="00C245B5"/>
    <w:rsid w:val="00C36C83"/>
    <w:rsid w:val="00CC2C7B"/>
    <w:rsid w:val="00D3050C"/>
    <w:rsid w:val="00DA0FC6"/>
    <w:rsid w:val="00DA7136"/>
    <w:rsid w:val="00DA7FBB"/>
    <w:rsid w:val="00DC3D43"/>
    <w:rsid w:val="00DF7523"/>
    <w:rsid w:val="00E23771"/>
    <w:rsid w:val="00E64669"/>
    <w:rsid w:val="00EC6343"/>
    <w:rsid w:val="00EF7950"/>
    <w:rsid w:val="00F058A5"/>
    <w:rsid w:val="00F4021B"/>
    <w:rsid w:val="00F43B75"/>
    <w:rsid w:val="00FE0857"/>
    <w:rsid w:val="013730A5"/>
    <w:rsid w:val="01374E54"/>
    <w:rsid w:val="01415CD2"/>
    <w:rsid w:val="014337F8"/>
    <w:rsid w:val="01521C8D"/>
    <w:rsid w:val="01671BDD"/>
    <w:rsid w:val="01791910"/>
    <w:rsid w:val="0187402D"/>
    <w:rsid w:val="01B667B9"/>
    <w:rsid w:val="01BB3CD7"/>
    <w:rsid w:val="01BD24B2"/>
    <w:rsid w:val="01C74429"/>
    <w:rsid w:val="01DF087E"/>
    <w:rsid w:val="01E449DA"/>
    <w:rsid w:val="01E7687A"/>
    <w:rsid w:val="01E943A0"/>
    <w:rsid w:val="01EC0334"/>
    <w:rsid w:val="01F62F61"/>
    <w:rsid w:val="01FA7CCE"/>
    <w:rsid w:val="0204110C"/>
    <w:rsid w:val="0207000A"/>
    <w:rsid w:val="02205600"/>
    <w:rsid w:val="0236335D"/>
    <w:rsid w:val="023B0C37"/>
    <w:rsid w:val="02661E94"/>
    <w:rsid w:val="02732A09"/>
    <w:rsid w:val="0284231A"/>
    <w:rsid w:val="029307AF"/>
    <w:rsid w:val="02994018"/>
    <w:rsid w:val="02A12ECC"/>
    <w:rsid w:val="02C769C9"/>
    <w:rsid w:val="02D36DFE"/>
    <w:rsid w:val="02FF7BF3"/>
    <w:rsid w:val="03127926"/>
    <w:rsid w:val="033243BE"/>
    <w:rsid w:val="03330191"/>
    <w:rsid w:val="03345AEF"/>
    <w:rsid w:val="033B50CF"/>
    <w:rsid w:val="03404493"/>
    <w:rsid w:val="03561F09"/>
    <w:rsid w:val="03630182"/>
    <w:rsid w:val="03634626"/>
    <w:rsid w:val="036D47D9"/>
    <w:rsid w:val="036D522F"/>
    <w:rsid w:val="03771E7F"/>
    <w:rsid w:val="037B7842"/>
    <w:rsid w:val="038C76D9"/>
    <w:rsid w:val="039E63F9"/>
    <w:rsid w:val="03A52759"/>
    <w:rsid w:val="03AA4003"/>
    <w:rsid w:val="03B804CE"/>
    <w:rsid w:val="03B81543"/>
    <w:rsid w:val="03C70711"/>
    <w:rsid w:val="03D90444"/>
    <w:rsid w:val="03E272F9"/>
    <w:rsid w:val="040E4592"/>
    <w:rsid w:val="04253689"/>
    <w:rsid w:val="04293179"/>
    <w:rsid w:val="042A3990"/>
    <w:rsid w:val="043164D2"/>
    <w:rsid w:val="044007B7"/>
    <w:rsid w:val="04624AF6"/>
    <w:rsid w:val="046B5540"/>
    <w:rsid w:val="04874344"/>
    <w:rsid w:val="04912ACD"/>
    <w:rsid w:val="04A77482"/>
    <w:rsid w:val="04B073F7"/>
    <w:rsid w:val="04C9670A"/>
    <w:rsid w:val="04CB2C07"/>
    <w:rsid w:val="04DC01EC"/>
    <w:rsid w:val="04E83035"/>
    <w:rsid w:val="051060E7"/>
    <w:rsid w:val="05195543"/>
    <w:rsid w:val="051A0D14"/>
    <w:rsid w:val="051D01F9"/>
    <w:rsid w:val="05322502"/>
    <w:rsid w:val="0534627A"/>
    <w:rsid w:val="05512A90"/>
    <w:rsid w:val="05525078"/>
    <w:rsid w:val="05534EEF"/>
    <w:rsid w:val="05557F9E"/>
    <w:rsid w:val="05573D16"/>
    <w:rsid w:val="05704DD8"/>
    <w:rsid w:val="057B5C57"/>
    <w:rsid w:val="058014BF"/>
    <w:rsid w:val="05AD7DDA"/>
    <w:rsid w:val="05BC50F9"/>
    <w:rsid w:val="05C84C14"/>
    <w:rsid w:val="05CA44E8"/>
    <w:rsid w:val="05DB66F5"/>
    <w:rsid w:val="05E05ABA"/>
    <w:rsid w:val="05EF03F3"/>
    <w:rsid w:val="060502A2"/>
    <w:rsid w:val="0617479A"/>
    <w:rsid w:val="061B11E8"/>
    <w:rsid w:val="062006C8"/>
    <w:rsid w:val="062019AB"/>
    <w:rsid w:val="066B5CCB"/>
    <w:rsid w:val="0681060F"/>
    <w:rsid w:val="068209BF"/>
    <w:rsid w:val="069A035E"/>
    <w:rsid w:val="06A765D7"/>
    <w:rsid w:val="06D51397"/>
    <w:rsid w:val="06D575E9"/>
    <w:rsid w:val="06EC66E0"/>
    <w:rsid w:val="06FC4B75"/>
    <w:rsid w:val="070659F4"/>
    <w:rsid w:val="071579E5"/>
    <w:rsid w:val="071C0D73"/>
    <w:rsid w:val="071F2612"/>
    <w:rsid w:val="07222102"/>
    <w:rsid w:val="0728596A"/>
    <w:rsid w:val="073C6993"/>
    <w:rsid w:val="07524795"/>
    <w:rsid w:val="075A7AEE"/>
    <w:rsid w:val="077B0190"/>
    <w:rsid w:val="07A1571D"/>
    <w:rsid w:val="07B62F76"/>
    <w:rsid w:val="07C75183"/>
    <w:rsid w:val="07D23B28"/>
    <w:rsid w:val="07EF3F42"/>
    <w:rsid w:val="07F341CA"/>
    <w:rsid w:val="08002443"/>
    <w:rsid w:val="08202AE5"/>
    <w:rsid w:val="08275C22"/>
    <w:rsid w:val="082C3238"/>
    <w:rsid w:val="083B347B"/>
    <w:rsid w:val="083E4D1A"/>
    <w:rsid w:val="084C35F0"/>
    <w:rsid w:val="08587584"/>
    <w:rsid w:val="0865674A"/>
    <w:rsid w:val="0874698D"/>
    <w:rsid w:val="08BD0334"/>
    <w:rsid w:val="08C848A1"/>
    <w:rsid w:val="08C90A87"/>
    <w:rsid w:val="08D40427"/>
    <w:rsid w:val="08ED6E6B"/>
    <w:rsid w:val="08F6426D"/>
    <w:rsid w:val="08FF729B"/>
    <w:rsid w:val="09212671"/>
    <w:rsid w:val="092469AB"/>
    <w:rsid w:val="09280DA2"/>
    <w:rsid w:val="093161EC"/>
    <w:rsid w:val="09342499"/>
    <w:rsid w:val="095E1B17"/>
    <w:rsid w:val="096864F2"/>
    <w:rsid w:val="099E0166"/>
    <w:rsid w:val="09C92B54"/>
    <w:rsid w:val="09CF031F"/>
    <w:rsid w:val="09FB7366"/>
    <w:rsid w:val="0A0D3E47"/>
    <w:rsid w:val="0A12645E"/>
    <w:rsid w:val="0A2166A1"/>
    <w:rsid w:val="0A4E393A"/>
    <w:rsid w:val="0A5627EE"/>
    <w:rsid w:val="0A7B5821"/>
    <w:rsid w:val="0A83110A"/>
    <w:rsid w:val="0A8A3521"/>
    <w:rsid w:val="0A9D21CB"/>
    <w:rsid w:val="0AB66FEF"/>
    <w:rsid w:val="0AC91212"/>
    <w:rsid w:val="0AD14E2E"/>
    <w:rsid w:val="0ADD339A"/>
    <w:rsid w:val="0B021D78"/>
    <w:rsid w:val="0B100BEF"/>
    <w:rsid w:val="0B2746D4"/>
    <w:rsid w:val="0B386398"/>
    <w:rsid w:val="0B6B22C9"/>
    <w:rsid w:val="0B8213C1"/>
    <w:rsid w:val="0B93537C"/>
    <w:rsid w:val="0BAE21B6"/>
    <w:rsid w:val="0BCB720C"/>
    <w:rsid w:val="0BCD4D32"/>
    <w:rsid w:val="0BEB51B8"/>
    <w:rsid w:val="0BFE40A0"/>
    <w:rsid w:val="0C0369A6"/>
    <w:rsid w:val="0C0D512F"/>
    <w:rsid w:val="0C0F70F9"/>
    <w:rsid w:val="0C4548C9"/>
    <w:rsid w:val="0C5C7E64"/>
    <w:rsid w:val="0C63281E"/>
    <w:rsid w:val="0C664935"/>
    <w:rsid w:val="0C762CD4"/>
    <w:rsid w:val="0C7C4062"/>
    <w:rsid w:val="0C7D0506"/>
    <w:rsid w:val="0CAF268A"/>
    <w:rsid w:val="0CD40D33"/>
    <w:rsid w:val="0CE31E47"/>
    <w:rsid w:val="0CF30129"/>
    <w:rsid w:val="0CFA3EF2"/>
    <w:rsid w:val="0D2941EA"/>
    <w:rsid w:val="0D6E60A1"/>
    <w:rsid w:val="0D731909"/>
    <w:rsid w:val="0D8D4779"/>
    <w:rsid w:val="0DA33F9D"/>
    <w:rsid w:val="0DA6583B"/>
    <w:rsid w:val="0DC65026"/>
    <w:rsid w:val="0DCB3427"/>
    <w:rsid w:val="0DE545B5"/>
    <w:rsid w:val="0DEB5944"/>
    <w:rsid w:val="0E042561"/>
    <w:rsid w:val="0E211365"/>
    <w:rsid w:val="0E26072A"/>
    <w:rsid w:val="0E2645F3"/>
    <w:rsid w:val="0E281875"/>
    <w:rsid w:val="0E2C21E4"/>
    <w:rsid w:val="0E3A54CF"/>
    <w:rsid w:val="0E567261"/>
    <w:rsid w:val="0E5928AD"/>
    <w:rsid w:val="0E794CFD"/>
    <w:rsid w:val="0E8F2773"/>
    <w:rsid w:val="0E9E19FC"/>
    <w:rsid w:val="0EAF071F"/>
    <w:rsid w:val="0ED308B1"/>
    <w:rsid w:val="0EDE5EF5"/>
    <w:rsid w:val="0F032819"/>
    <w:rsid w:val="0F0D45F7"/>
    <w:rsid w:val="0F140720"/>
    <w:rsid w:val="0F144A26"/>
    <w:rsid w:val="0F2033CB"/>
    <w:rsid w:val="0F346E76"/>
    <w:rsid w:val="0F44355D"/>
    <w:rsid w:val="0F457653"/>
    <w:rsid w:val="0F531148"/>
    <w:rsid w:val="0F62655D"/>
    <w:rsid w:val="0F6A64B9"/>
    <w:rsid w:val="0F7F4595"/>
    <w:rsid w:val="0FAB538A"/>
    <w:rsid w:val="0FB32491"/>
    <w:rsid w:val="0FBA2FEA"/>
    <w:rsid w:val="0FD03043"/>
    <w:rsid w:val="0FD739CB"/>
    <w:rsid w:val="0FDA5C70"/>
    <w:rsid w:val="0FF00FEF"/>
    <w:rsid w:val="0FF07241"/>
    <w:rsid w:val="0FFC5BE6"/>
    <w:rsid w:val="10120F66"/>
    <w:rsid w:val="10234F21"/>
    <w:rsid w:val="102D5D9F"/>
    <w:rsid w:val="103233B6"/>
    <w:rsid w:val="10354C54"/>
    <w:rsid w:val="103C5FE2"/>
    <w:rsid w:val="103E7FAD"/>
    <w:rsid w:val="104A6951"/>
    <w:rsid w:val="104F3F68"/>
    <w:rsid w:val="105772C0"/>
    <w:rsid w:val="106D0892"/>
    <w:rsid w:val="106F52FD"/>
    <w:rsid w:val="10914580"/>
    <w:rsid w:val="1097590F"/>
    <w:rsid w:val="109E0A4B"/>
    <w:rsid w:val="10A047C3"/>
    <w:rsid w:val="10B244F7"/>
    <w:rsid w:val="10C5095D"/>
    <w:rsid w:val="10CC0EB2"/>
    <w:rsid w:val="10E93820"/>
    <w:rsid w:val="110805BA"/>
    <w:rsid w:val="11125107"/>
    <w:rsid w:val="114E2471"/>
    <w:rsid w:val="11513438"/>
    <w:rsid w:val="11641C95"/>
    <w:rsid w:val="11C24C0D"/>
    <w:rsid w:val="11CC3396"/>
    <w:rsid w:val="11D706B9"/>
    <w:rsid w:val="11DF756D"/>
    <w:rsid w:val="11E20E0C"/>
    <w:rsid w:val="11E44B84"/>
    <w:rsid w:val="11E64EC6"/>
    <w:rsid w:val="120668A8"/>
    <w:rsid w:val="121B2245"/>
    <w:rsid w:val="123F625E"/>
    <w:rsid w:val="12641821"/>
    <w:rsid w:val="127C4DBC"/>
    <w:rsid w:val="12843C71"/>
    <w:rsid w:val="129245E0"/>
    <w:rsid w:val="12A2467F"/>
    <w:rsid w:val="12CC5D44"/>
    <w:rsid w:val="12E84200"/>
    <w:rsid w:val="12F6691D"/>
    <w:rsid w:val="13225964"/>
    <w:rsid w:val="13255454"/>
    <w:rsid w:val="1338211D"/>
    <w:rsid w:val="133B4C77"/>
    <w:rsid w:val="13675A6C"/>
    <w:rsid w:val="136C6BDF"/>
    <w:rsid w:val="137361BF"/>
    <w:rsid w:val="13BD568C"/>
    <w:rsid w:val="13C92283"/>
    <w:rsid w:val="13DF3855"/>
    <w:rsid w:val="13EB3147"/>
    <w:rsid w:val="13F8007F"/>
    <w:rsid w:val="142676D5"/>
    <w:rsid w:val="1433570D"/>
    <w:rsid w:val="143516C6"/>
    <w:rsid w:val="144162BD"/>
    <w:rsid w:val="144933C4"/>
    <w:rsid w:val="145A2571"/>
    <w:rsid w:val="145A737F"/>
    <w:rsid w:val="146401FE"/>
    <w:rsid w:val="147C5547"/>
    <w:rsid w:val="147F23E3"/>
    <w:rsid w:val="14956609"/>
    <w:rsid w:val="149F4D92"/>
    <w:rsid w:val="14D07641"/>
    <w:rsid w:val="14E46C49"/>
    <w:rsid w:val="1505553D"/>
    <w:rsid w:val="1537146E"/>
    <w:rsid w:val="156F517A"/>
    <w:rsid w:val="157C3031"/>
    <w:rsid w:val="158346B4"/>
    <w:rsid w:val="15966195"/>
    <w:rsid w:val="159F14ED"/>
    <w:rsid w:val="15B13627"/>
    <w:rsid w:val="15C34AB0"/>
    <w:rsid w:val="15D522F4"/>
    <w:rsid w:val="15D62A35"/>
    <w:rsid w:val="15FA6724"/>
    <w:rsid w:val="16096967"/>
    <w:rsid w:val="160A2E87"/>
    <w:rsid w:val="16300397"/>
    <w:rsid w:val="16491459"/>
    <w:rsid w:val="164B047C"/>
    <w:rsid w:val="165C118C"/>
    <w:rsid w:val="1661039A"/>
    <w:rsid w:val="16832640"/>
    <w:rsid w:val="16A9014A"/>
    <w:rsid w:val="16BC1C2B"/>
    <w:rsid w:val="16BF796D"/>
    <w:rsid w:val="16C32FBA"/>
    <w:rsid w:val="171A491F"/>
    <w:rsid w:val="17345C65"/>
    <w:rsid w:val="173F012B"/>
    <w:rsid w:val="1752433D"/>
    <w:rsid w:val="176D1177"/>
    <w:rsid w:val="177B5642"/>
    <w:rsid w:val="177C760C"/>
    <w:rsid w:val="17800EAB"/>
    <w:rsid w:val="178F10EE"/>
    <w:rsid w:val="17984446"/>
    <w:rsid w:val="179B7A92"/>
    <w:rsid w:val="17A50911"/>
    <w:rsid w:val="17A54DB5"/>
    <w:rsid w:val="17AA4179"/>
    <w:rsid w:val="17BB0135"/>
    <w:rsid w:val="17BE7C25"/>
    <w:rsid w:val="17FC71C7"/>
    <w:rsid w:val="18025D64"/>
    <w:rsid w:val="18075128"/>
    <w:rsid w:val="18300B23"/>
    <w:rsid w:val="183818C1"/>
    <w:rsid w:val="183A54FD"/>
    <w:rsid w:val="18477C1A"/>
    <w:rsid w:val="18494F2A"/>
    <w:rsid w:val="18652FC2"/>
    <w:rsid w:val="188B3FAB"/>
    <w:rsid w:val="189746FE"/>
    <w:rsid w:val="18A84B5D"/>
    <w:rsid w:val="18B347C6"/>
    <w:rsid w:val="18B77C98"/>
    <w:rsid w:val="18C96881"/>
    <w:rsid w:val="18D25736"/>
    <w:rsid w:val="18E436BB"/>
    <w:rsid w:val="18E45469"/>
    <w:rsid w:val="18FB4F3C"/>
    <w:rsid w:val="18FE652B"/>
    <w:rsid w:val="19212219"/>
    <w:rsid w:val="19232435"/>
    <w:rsid w:val="19306900"/>
    <w:rsid w:val="195A572B"/>
    <w:rsid w:val="195C14A3"/>
    <w:rsid w:val="19622356"/>
    <w:rsid w:val="19681049"/>
    <w:rsid w:val="19743CA1"/>
    <w:rsid w:val="1990114D"/>
    <w:rsid w:val="19C05ED6"/>
    <w:rsid w:val="19DB4ABE"/>
    <w:rsid w:val="19EE2A43"/>
    <w:rsid w:val="1A057D8D"/>
    <w:rsid w:val="1A1B310D"/>
    <w:rsid w:val="1A3F504D"/>
    <w:rsid w:val="1A550078"/>
    <w:rsid w:val="1A79678C"/>
    <w:rsid w:val="1A8962C8"/>
    <w:rsid w:val="1A8D4554"/>
    <w:rsid w:val="1A942474"/>
    <w:rsid w:val="1AAE5D2F"/>
    <w:rsid w:val="1AB32372"/>
    <w:rsid w:val="1AD0039B"/>
    <w:rsid w:val="1ADD1728"/>
    <w:rsid w:val="1AF04599"/>
    <w:rsid w:val="1B1A25B8"/>
    <w:rsid w:val="1B4447A0"/>
    <w:rsid w:val="1B530684"/>
    <w:rsid w:val="1B682381"/>
    <w:rsid w:val="1B7A20B5"/>
    <w:rsid w:val="1B950C9D"/>
    <w:rsid w:val="1BA13368"/>
    <w:rsid w:val="1BAF6202"/>
    <w:rsid w:val="1BB47800"/>
    <w:rsid w:val="1BC341DC"/>
    <w:rsid w:val="1C0227D6"/>
    <w:rsid w:val="1C2C7853"/>
    <w:rsid w:val="1C424981"/>
    <w:rsid w:val="1C4E77C9"/>
    <w:rsid w:val="1C597F1C"/>
    <w:rsid w:val="1C72619A"/>
    <w:rsid w:val="1C774562"/>
    <w:rsid w:val="1C8B457A"/>
    <w:rsid w:val="1CEC2B3E"/>
    <w:rsid w:val="1CF564F9"/>
    <w:rsid w:val="1CFD2A80"/>
    <w:rsid w:val="1CFF0AC4"/>
    <w:rsid w:val="1CFF6D16"/>
    <w:rsid w:val="1D0A0AED"/>
    <w:rsid w:val="1D2645B2"/>
    <w:rsid w:val="1D2C32A0"/>
    <w:rsid w:val="1D3249F5"/>
    <w:rsid w:val="1D37200B"/>
    <w:rsid w:val="1D4666F2"/>
    <w:rsid w:val="1D631052"/>
    <w:rsid w:val="1D7D3EDE"/>
    <w:rsid w:val="1D7D7B19"/>
    <w:rsid w:val="1D8965DF"/>
    <w:rsid w:val="1DA90A2F"/>
    <w:rsid w:val="1DB01DBE"/>
    <w:rsid w:val="1DC22612"/>
    <w:rsid w:val="1DD45AAC"/>
    <w:rsid w:val="1DD85F79"/>
    <w:rsid w:val="1DFE43CD"/>
    <w:rsid w:val="1E967206"/>
    <w:rsid w:val="1E9E60BA"/>
    <w:rsid w:val="1EA57449"/>
    <w:rsid w:val="1EBD0C36"/>
    <w:rsid w:val="1EC21DA9"/>
    <w:rsid w:val="1EC92A66"/>
    <w:rsid w:val="1ECF49D4"/>
    <w:rsid w:val="1ED0096A"/>
    <w:rsid w:val="1ED1023E"/>
    <w:rsid w:val="1ED3457F"/>
    <w:rsid w:val="1EE61F3B"/>
    <w:rsid w:val="1EF04B68"/>
    <w:rsid w:val="1EF26B32"/>
    <w:rsid w:val="1EF67CA4"/>
    <w:rsid w:val="1F264A2D"/>
    <w:rsid w:val="1F2C748C"/>
    <w:rsid w:val="1F38650F"/>
    <w:rsid w:val="1F3D7D6D"/>
    <w:rsid w:val="1F5C3FAB"/>
    <w:rsid w:val="1F721A21"/>
    <w:rsid w:val="1F7A08D5"/>
    <w:rsid w:val="1F7A2683"/>
    <w:rsid w:val="1F824712"/>
    <w:rsid w:val="1F9E45C4"/>
    <w:rsid w:val="1FA871F0"/>
    <w:rsid w:val="1FB21E1D"/>
    <w:rsid w:val="1FD55B0C"/>
    <w:rsid w:val="1FF035A5"/>
    <w:rsid w:val="1FF21ED4"/>
    <w:rsid w:val="20126D60"/>
    <w:rsid w:val="20256A93"/>
    <w:rsid w:val="202A40A9"/>
    <w:rsid w:val="205056C0"/>
    <w:rsid w:val="206F41B2"/>
    <w:rsid w:val="208C266E"/>
    <w:rsid w:val="20A976C4"/>
    <w:rsid w:val="20B72EDA"/>
    <w:rsid w:val="20BA367F"/>
    <w:rsid w:val="20E11A31"/>
    <w:rsid w:val="20E71F9A"/>
    <w:rsid w:val="20E97AC1"/>
    <w:rsid w:val="2100305C"/>
    <w:rsid w:val="21004E0A"/>
    <w:rsid w:val="2127683B"/>
    <w:rsid w:val="212925B3"/>
    <w:rsid w:val="21577120"/>
    <w:rsid w:val="216D06F2"/>
    <w:rsid w:val="2181097D"/>
    <w:rsid w:val="218D48F0"/>
    <w:rsid w:val="218F6BFE"/>
    <w:rsid w:val="21921F06"/>
    <w:rsid w:val="219739C1"/>
    <w:rsid w:val="21A165ED"/>
    <w:rsid w:val="21B24356"/>
    <w:rsid w:val="21C67E02"/>
    <w:rsid w:val="21CE6CB6"/>
    <w:rsid w:val="21D41C8F"/>
    <w:rsid w:val="21F4496F"/>
    <w:rsid w:val="21F547A1"/>
    <w:rsid w:val="21F77FBB"/>
    <w:rsid w:val="21FE759C"/>
    <w:rsid w:val="220152DE"/>
    <w:rsid w:val="22032E04"/>
    <w:rsid w:val="22070E20"/>
    <w:rsid w:val="222B4109"/>
    <w:rsid w:val="224156DA"/>
    <w:rsid w:val="224D5242"/>
    <w:rsid w:val="226F0499"/>
    <w:rsid w:val="22745AB0"/>
    <w:rsid w:val="22791318"/>
    <w:rsid w:val="22837AA1"/>
    <w:rsid w:val="228E4DC3"/>
    <w:rsid w:val="2298009E"/>
    <w:rsid w:val="229D6DB5"/>
    <w:rsid w:val="229E75EE"/>
    <w:rsid w:val="22A719E1"/>
    <w:rsid w:val="22AC2486"/>
    <w:rsid w:val="22BC4355"/>
    <w:rsid w:val="22D14CB0"/>
    <w:rsid w:val="22E83DA8"/>
    <w:rsid w:val="22FA4207"/>
    <w:rsid w:val="230E1A60"/>
    <w:rsid w:val="23256B98"/>
    <w:rsid w:val="232828C6"/>
    <w:rsid w:val="232C1EE7"/>
    <w:rsid w:val="2338494B"/>
    <w:rsid w:val="23386ADD"/>
    <w:rsid w:val="233A686A"/>
    <w:rsid w:val="233F1C1A"/>
    <w:rsid w:val="234E4553"/>
    <w:rsid w:val="236553F8"/>
    <w:rsid w:val="23826870"/>
    <w:rsid w:val="238735C1"/>
    <w:rsid w:val="238E0DF3"/>
    <w:rsid w:val="23955CDE"/>
    <w:rsid w:val="23A777BF"/>
    <w:rsid w:val="23B87C1E"/>
    <w:rsid w:val="24066BDB"/>
    <w:rsid w:val="2432177F"/>
    <w:rsid w:val="24487BCC"/>
    <w:rsid w:val="24561911"/>
    <w:rsid w:val="24596D0B"/>
    <w:rsid w:val="24877D1C"/>
    <w:rsid w:val="24A51F50"/>
    <w:rsid w:val="24B55CEB"/>
    <w:rsid w:val="24C148B0"/>
    <w:rsid w:val="24D9609E"/>
    <w:rsid w:val="25382DC5"/>
    <w:rsid w:val="255319AC"/>
    <w:rsid w:val="256736AA"/>
    <w:rsid w:val="256A4F48"/>
    <w:rsid w:val="25755DC7"/>
    <w:rsid w:val="25942F9D"/>
    <w:rsid w:val="25D54AB7"/>
    <w:rsid w:val="25D725DE"/>
    <w:rsid w:val="25DC01E3"/>
    <w:rsid w:val="260521E0"/>
    <w:rsid w:val="26293C54"/>
    <w:rsid w:val="267C312E"/>
    <w:rsid w:val="26A36964"/>
    <w:rsid w:val="26A5448A"/>
    <w:rsid w:val="26B16CCA"/>
    <w:rsid w:val="26BA1DAE"/>
    <w:rsid w:val="27075144"/>
    <w:rsid w:val="27841458"/>
    <w:rsid w:val="278A3E0D"/>
    <w:rsid w:val="27992472"/>
    <w:rsid w:val="27AE3812"/>
    <w:rsid w:val="28035431"/>
    <w:rsid w:val="28132291"/>
    <w:rsid w:val="28212236"/>
    <w:rsid w:val="28220EEB"/>
    <w:rsid w:val="28292E99"/>
    <w:rsid w:val="28305FD5"/>
    <w:rsid w:val="2838132E"/>
    <w:rsid w:val="283C157B"/>
    <w:rsid w:val="283D06F2"/>
    <w:rsid w:val="283E4B96"/>
    <w:rsid w:val="286914E7"/>
    <w:rsid w:val="288051AE"/>
    <w:rsid w:val="28902F18"/>
    <w:rsid w:val="28A075FF"/>
    <w:rsid w:val="28A32C4B"/>
    <w:rsid w:val="28AD5878"/>
    <w:rsid w:val="28D9283E"/>
    <w:rsid w:val="28EA2628"/>
    <w:rsid w:val="28F14917"/>
    <w:rsid w:val="28F65912"/>
    <w:rsid w:val="291E783D"/>
    <w:rsid w:val="297B5976"/>
    <w:rsid w:val="29B903B6"/>
    <w:rsid w:val="29C54E43"/>
    <w:rsid w:val="29E8150A"/>
    <w:rsid w:val="29EF3C6E"/>
    <w:rsid w:val="29F1052B"/>
    <w:rsid w:val="2A706EC2"/>
    <w:rsid w:val="2A7523C5"/>
    <w:rsid w:val="2AC56DE6"/>
    <w:rsid w:val="2ACA1805"/>
    <w:rsid w:val="2AD96DF8"/>
    <w:rsid w:val="2AE87B13"/>
    <w:rsid w:val="2AED63FF"/>
    <w:rsid w:val="2B02634F"/>
    <w:rsid w:val="2B1240B8"/>
    <w:rsid w:val="2B2160A9"/>
    <w:rsid w:val="2B3C521A"/>
    <w:rsid w:val="2B4324C3"/>
    <w:rsid w:val="2B724B56"/>
    <w:rsid w:val="2B990335"/>
    <w:rsid w:val="2BA54F2C"/>
    <w:rsid w:val="2BA678EF"/>
    <w:rsid w:val="2BAD2EF8"/>
    <w:rsid w:val="2BC058C2"/>
    <w:rsid w:val="2BC76C50"/>
    <w:rsid w:val="2C002162"/>
    <w:rsid w:val="2C041C52"/>
    <w:rsid w:val="2C1E23A1"/>
    <w:rsid w:val="2C226EA6"/>
    <w:rsid w:val="2C275941"/>
    <w:rsid w:val="2C576226"/>
    <w:rsid w:val="2C5D1363"/>
    <w:rsid w:val="2C6E531E"/>
    <w:rsid w:val="2C866B0B"/>
    <w:rsid w:val="2C98683F"/>
    <w:rsid w:val="2C9D104A"/>
    <w:rsid w:val="2CAE5E0D"/>
    <w:rsid w:val="2CCD64E8"/>
    <w:rsid w:val="2CF55A3F"/>
    <w:rsid w:val="2CF73565"/>
    <w:rsid w:val="2D1305A6"/>
    <w:rsid w:val="2D16718C"/>
    <w:rsid w:val="2D345D53"/>
    <w:rsid w:val="2D465016"/>
    <w:rsid w:val="2D6F134E"/>
    <w:rsid w:val="2D727090"/>
    <w:rsid w:val="2D760F49"/>
    <w:rsid w:val="2D834DF9"/>
    <w:rsid w:val="2D8F19F0"/>
    <w:rsid w:val="2D9B0395"/>
    <w:rsid w:val="2D9D410D"/>
    <w:rsid w:val="2DA239F0"/>
    <w:rsid w:val="2DB17BB8"/>
    <w:rsid w:val="2DD85145"/>
    <w:rsid w:val="2DDB6645"/>
    <w:rsid w:val="2DFB4883"/>
    <w:rsid w:val="2DFD2DFD"/>
    <w:rsid w:val="2E00644A"/>
    <w:rsid w:val="2E04418C"/>
    <w:rsid w:val="2E0C4DEE"/>
    <w:rsid w:val="2E0F2B31"/>
    <w:rsid w:val="2E187C37"/>
    <w:rsid w:val="2E255EB0"/>
    <w:rsid w:val="2E4825BC"/>
    <w:rsid w:val="2E4D6B60"/>
    <w:rsid w:val="2E6F2713"/>
    <w:rsid w:val="2E76495E"/>
    <w:rsid w:val="2E7F1A64"/>
    <w:rsid w:val="2EA26249"/>
    <w:rsid w:val="2EBE493E"/>
    <w:rsid w:val="2ECB2EFB"/>
    <w:rsid w:val="2ED578D6"/>
    <w:rsid w:val="2EDF0755"/>
    <w:rsid w:val="2EE67D35"/>
    <w:rsid w:val="2EEB0EA8"/>
    <w:rsid w:val="2EF266DA"/>
    <w:rsid w:val="2F0327C6"/>
    <w:rsid w:val="2F1F3BD3"/>
    <w:rsid w:val="2F202C41"/>
    <w:rsid w:val="2F5C7FF7"/>
    <w:rsid w:val="2F5E167A"/>
    <w:rsid w:val="2F68177C"/>
    <w:rsid w:val="2F7215C9"/>
    <w:rsid w:val="2F9652B7"/>
    <w:rsid w:val="2FA06136"/>
    <w:rsid w:val="2FA676B0"/>
    <w:rsid w:val="2FBC2844"/>
    <w:rsid w:val="2FC02334"/>
    <w:rsid w:val="2FC242FE"/>
    <w:rsid w:val="2FDB23D0"/>
    <w:rsid w:val="2FF7387C"/>
    <w:rsid w:val="300761B5"/>
    <w:rsid w:val="301015BF"/>
    <w:rsid w:val="301B756B"/>
    <w:rsid w:val="301E50EA"/>
    <w:rsid w:val="303B7C0D"/>
    <w:rsid w:val="30403475"/>
    <w:rsid w:val="30416BB5"/>
    <w:rsid w:val="304940D8"/>
    <w:rsid w:val="30576DE8"/>
    <w:rsid w:val="305B3E0B"/>
    <w:rsid w:val="307408EE"/>
    <w:rsid w:val="30802544"/>
    <w:rsid w:val="30AE6631"/>
    <w:rsid w:val="30C220DC"/>
    <w:rsid w:val="30C9346B"/>
    <w:rsid w:val="30DC13F0"/>
    <w:rsid w:val="30E12562"/>
    <w:rsid w:val="31291D49"/>
    <w:rsid w:val="312C5FD1"/>
    <w:rsid w:val="313649A0"/>
    <w:rsid w:val="315947EF"/>
    <w:rsid w:val="31843EBE"/>
    <w:rsid w:val="3186135C"/>
    <w:rsid w:val="318A49A8"/>
    <w:rsid w:val="319D5E4B"/>
    <w:rsid w:val="31DF4330"/>
    <w:rsid w:val="320C0799"/>
    <w:rsid w:val="32132BEF"/>
    <w:rsid w:val="325D1824"/>
    <w:rsid w:val="326B38F0"/>
    <w:rsid w:val="326F3B9E"/>
    <w:rsid w:val="32747406"/>
    <w:rsid w:val="32A47CEB"/>
    <w:rsid w:val="32A7158A"/>
    <w:rsid w:val="32B06690"/>
    <w:rsid w:val="32BA306B"/>
    <w:rsid w:val="32BE2CA3"/>
    <w:rsid w:val="32E343BB"/>
    <w:rsid w:val="32F522F5"/>
    <w:rsid w:val="3301513E"/>
    <w:rsid w:val="330C763F"/>
    <w:rsid w:val="332A5738"/>
    <w:rsid w:val="332B3F69"/>
    <w:rsid w:val="334D5646"/>
    <w:rsid w:val="334F40FB"/>
    <w:rsid w:val="335D7E9A"/>
    <w:rsid w:val="3381627F"/>
    <w:rsid w:val="338D077F"/>
    <w:rsid w:val="33997124"/>
    <w:rsid w:val="339B5FEF"/>
    <w:rsid w:val="339C6C14"/>
    <w:rsid w:val="33BC1065"/>
    <w:rsid w:val="33CB74FA"/>
    <w:rsid w:val="33CD6DCE"/>
    <w:rsid w:val="33E52369"/>
    <w:rsid w:val="33ED42EB"/>
    <w:rsid w:val="33F7209D"/>
    <w:rsid w:val="33F97BC3"/>
    <w:rsid w:val="34050C5E"/>
    <w:rsid w:val="34232E92"/>
    <w:rsid w:val="342D1EDE"/>
    <w:rsid w:val="343E7CCC"/>
    <w:rsid w:val="346C4839"/>
    <w:rsid w:val="34806C8E"/>
    <w:rsid w:val="3491604D"/>
    <w:rsid w:val="34A67DE5"/>
    <w:rsid w:val="35074561"/>
    <w:rsid w:val="350D601C"/>
    <w:rsid w:val="3510362F"/>
    <w:rsid w:val="35167CCC"/>
    <w:rsid w:val="35200CB4"/>
    <w:rsid w:val="35281E0B"/>
    <w:rsid w:val="353115DE"/>
    <w:rsid w:val="3538795C"/>
    <w:rsid w:val="35472BB0"/>
    <w:rsid w:val="356279EA"/>
    <w:rsid w:val="356674DA"/>
    <w:rsid w:val="3599165E"/>
    <w:rsid w:val="35A8127C"/>
    <w:rsid w:val="35D703D8"/>
    <w:rsid w:val="35E548A3"/>
    <w:rsid w:val="35E93C67"/>
    <w:rsid w:val="35FE3BB6"/>
    <w:rsid w:val="36080591"/>
    <w:rsid w:val="360D5BA8"/>
    <w:rsid w:val="363346DB"/>
    <w:rsid w:val="365B4B65"/>
    <w:rsid w:val="36693472"/>
    <w:rsid w:val="36767BF1"/>
    <w:rsid w:val="36826596"/>
    <w:rsid w:val="36962041"/>
    <w:rsid w:val="36B35215"/>
    <w:rsid w:val="36B621E7"/>
    <w:rsid w:val="36B9188B"/>
    <w:rsid w:val="36C941C4"/>
    <w:rsid w:val="36E52680"/>
    <w:rsid w:val="36EE7787"/>
    <w:rsid w:val="36F16E7F"/>
    <w:rsid w:val="36FB00F6"/>
    <w:rsid w:val="37074CED"/>
    <w:rsid w:val="37076A9B"/>
    <w:rsid w:val="373553B6"/>
    <w:rsid w:val="37425D25"/>
    <w:rsid w:val="3745394C"/>
    <w:rsid w:val="374675C3"/>
    <w:rsid w:val="37517D16"/>
    <w:rsid w:val="37531CE0"/>
    <w:rsid w:val="37585548"/>
    <w:rsid w:val="376E5EBD"/>
    <w:rsid w:val="37A150FD"/>
    <w:rsid w:val="37B07132"/>
    <w:rsid w:val="37B26A07"/>
    <w:rsid w:val="37B3452D"/>
    <w:rsid w:val="37BA58BB"/>
    <w:rsid w:val="37C16C4A"/>
    <w:rsid w:val="37C2468B"/>
    <w:rsid w:val="37D44BCF"/>
    <w:rsid w:val="37DE5A4E"/>
    <w:rsid w:val="37E961A0"/>
    <w:rsid w:val="37F7266B"/>
    <w:rsid w:val="37FB65FF"/>
    <w:rsid w:val="380F20AB"/>
    <w:rsid w:val="38543F62"/>
    <w:rsid w:val="38583B8B"/>
    <w:rsid w:val="38795F46"/>
    <w:rsid w:val="388365F5"/>
    <w:rsid w:val="388F4F9A"/>
    <w:rsid w:val="3898272F"/>
    <w:rsid w:val="38A00F55"/>
    <w:rsid w:val="38A30A45"/>
    <w:rsid w:val="38AF2F46"/>
    <w:rsid w:val="38E56968"/>
    <w:rsid w:val="390A2872"/>
    <w:rsid w:val="391334D5"/>
    <w:rsid w:val="39227BBC"/>
    <w:rsid w:val="3930052B"/>
    <w:rsid w:val="394713D0"/>
    <w:rsid w:val="397321C6"/>
    <w:rsid w:val="3986014B"/>
    <w:rsid w:val="398C3287"/>
    <w:rsid w:val="39A95BE7"/>
    <w:rsid w:val="39DD11A6"/>
    <w:rsid w:val="39F01A68"/>
    <w:rsid w:val="39FF3A59"/>
    <w:rsid w:val="3A027197"/>
    <w:rsid w:val="3A080B60"/>
    <w:rsid w:val="3A1514CF"/>
    <w:rsid w:val="3A353F11"/>
    <w:rsid w:val="3A3556CD"/>
    <w:rsid w:val="3A40479E"/>
    <w:rsid w:val="3A4D0FF7"/>
    <w:rsid w:val="3A575643"/>
    <w:rsid w:val="3A5F274A"/>
    <w:rsid w:val="3A96260F"/>
    <w:rsid w:val="3AE01ADD"/>
    <w:rsid w:val="3AE0388B"/>
    <w:rsid w:val="3B0A441B"/>
    <w:rsid w:val="3B194FEF"/>
    <w:rsid w:val="3B375D87"/>
    <w:rsid w:val="3B3911ED"/>
    <w:rsid w:val="3B491430"/>
    <w:rsid w:val="3B4C2CCE"/>
    <w:rsid w:val="3B781D15"/>
    <w:rsid w:val="3B847696"/>
    <w:rsid w:val="3B9823B7"/>
    <w:rsid w:val="3BBD597A"/>
    <w:rsid w:val="3BEE647B"/>
    <w:rsid w:val="3BFC64A2"/>
    <w:rsid w:val="3C011D0B"/>
    <w:rsid w:val="3C2A54F7"/>
    <w:rsid w:val="3C5E0F0B"/>
    <w:rsid w:val="3C664263"/>
    <w:rsid w:val="3C7E335B"/>
    <w:rsid w:val="3C990195"/>
    <w:rsid w:val="3CA8487C"/>
    <w:rsid w:val="3CDE5C4B"/>
    <w:rsid w:val="3CF96E86"/>
    <w:rsid w:val="3CFB49AC"/>
    <w:rsid w:val="3D015D3A"/>
    <w:rsid w:val="3D23672F"/>
    <w:rsid w:val="3D3954D4"/>
    <w:rsid w:val="3D4A76E1"/>
    <w:rsid w:val="3D736C38"/>
    <w:rsid w:val="3D8E5820"/>
    <w:rsid w:val="3DB66B25"/>
    <w:rsid w:val="3DD123C0"/>
    <w:rsid w:val="3DDD0555"/>
    <w:rsid w:val="3DF71617"/>
    <w:rsid w:val="3DFE2D18"/>
    <w:rsid w:val="3E10092B"/>
    <w:rsid w:val="3E151A9D"/>
    <w:rsid w:val="3E263CAA"/>
    <w:rsid w:val="3E3208A1"/>
    <w:rsid w:val="3E320C4C"/>
    <w:rsid w:val="3E4273BC"/>
    <w:rsid w:val="3E4405D4"/>
    <w:rsid w:val="3E693B97"/>
    <w:rsid w:val="3E6E73FF"/>
    <w:rsid w:val="3E716AF3"/>
    <w:rsid w:val="3E991274"/>
    <w:rsid w:val="3E9B36AB"/>
    <w:rsid w:val="3EB47508"/>
    <w:rsid w:val="3EC05384"/>
    <w:rsid w:val="3ECF0E18"/>
    <w:rsid w:val="3EE01103"/>
    <w:rsid w:val="3EF21DDE"/>
    <w:rsid w:val="3F193EF1"/>
    <w:rsid w:val="3F1B30E3"/>
    <w:rsid w:val="3F1E2BD3"/>
    <w:rsid w:val="3F23468E"/>
    <w:rsid w:val="3F2F4DE1"/>
    <w:rsid w:val="3F56236D"/>
    <w:rsid w:val="3F760C61"/>
    <w:rsid w:val="3F780536"/>
    <w:rsid w:val="3F9A4950"/>
    <w:rsid w:val="3FA23805"/>
    <w:rsid w:val="3FD6525C"/>
    <w:rsid w:val="3FDD483D"/>
    <w:rsid w:val="400E0E9A"/>
    <w:rsid w:val="40202D3B"/>
    <w:rsid w:val="40316936"/>
    <w:rsid w:val="4045526C"/>
    <w:rsid w:val="40493C80"/>
    <w:rsid w:val="404C551E"/>
    <w:rsid w:val="406D3E12"/>
    <w:rsid w:val="4093139F"/>
    <w:rsid w:val="40A47108"/>
    <w:rsid w:val="40E1210B"/>
    <w:rsid w:val="40FA11AD"/>
    <w:rsid w:val="410269FE"/>
    <w:rsid w:val="412D70FE"/>
    <w:rsid w:val="414A7CB0"/>
    <w:rsid w:val="41523008"/>
    <w:rsid w:val="41635215"/>
    <w:rsid w:val="41654AEA"/>
    <w:rsid w:val="416D399E"/>
    <w:rsid w:val="4177481D"/>
    <w:rsid w:val="41780033"/>
    <w:rsid w:val="41807F57"/>
    <w:rsid w:val="419453CF"/>
    <w:rsid w:val="419D0727"/>
    <w:rsid w:val="41B55959"/>
    <w:rsid w:val="41BB0716"/>
    <w:rsid w:val="41D43A1D"/>
    <w:rsid w:val="41DA54D8"/>
    <w:rsid w:val="41EA4FEF"/>
    <w:rsid w:val="41EF0857"/>
    <w:rsid w:val="42002A64"/>
    <w:rsid w:val="42075BA1"/>
    <w:rsid w:val="42092139"/>
    <w:rsid w:val="420E5181"/>
    <w:rsid w:val="4216154E"/>
    <w:rsid w:val="4218145D"/>
    <w:rsid w:val="42472441"/>
    <w:rsid w:val="4265536A"/>
    <w:rsid w:val="427E2307"/>
    <w:rsid w:val="42897915"/>
    <w:rsid w:val="4290203A"/>
    <w:rsid w:val="42B37AD7"/>
    <w:rsid w:val="42BC1684"/>
    <w:rsid w:val="42F06635"/>
    <w:rsid w:val="42FE51F6"/>
    <w:rsid w:val="43170066"/>
    <w:rsid w:val="43302ED5"/>
    <w:rsid w:val="435C016E"/>
    <w:rsid w:val="435C1F1C"/>
    <w:rsid w:val="436F7EA2"/>
    <w:rsid w:val="43882D11"/>
    <w:rsid w:val="43A0005B"/>
    <w:rsid w:val="43D877F5"/>
    <w:rsid w:val="43DD4E0B"/>
    <w:rsid w:val="43EA7528"/>
    <w:rsid w:val="43F3462F"/>
    <w:rsid w:val="44112357"/>
    <w:rsid w:val="441822E7"/>
    <w:rsid w:val="442A5B77"/>
    <w:rsid w:val="44380293"/>
    <w:rsid w:val="443C4228"/>
    <w:rsid w:val="44477EAE"/>
    <w:rsid w:val="444A7FC7"/>
    <w:rsid w:val="445A46AE"/>
    <w:rsid w:val="445B0426"/>
    <w:rsid w:val="445B21D4"/>
    <w:rsid w:val="4484797D"/>
    <w:rsid w:val="4487121B"/>
    <w:rsid w:val="448D00F9"/>
    <w:rsid w:val="44913E48"/>
    <w:rsid w:val="44B75376"/>
    <w:rsid w:val="44D97CC8"/>
    <w:rsid w:val="44DC1567"/>
    <w:rsid w:val="44E37638"/>
    <w:rsid w:val="44F20D8A"/>
    <w:rsid w:val="44F538CA"/>
    <w:rsid w:val="45181E73"/>
    <w:rsid w:val="451C5E07"/>
    <w:rsid w:val="4537679D"/>
    <w:rsid w:val="45390767"/>
    <w:rsid w:val="454210B6"/>
    <w:rsid w:val="455410FD"/>
    <w:rsid w:val="455A248C"/>
    <w:rsid w:val="45791F9A"/>
    <w:rsid w:val="45912351"/>
    <w:rsid w:val="45A34199"/>
    <w:rsid w:val="45B47DEE"/>
    <w:rsid w:val="45B941B6"/>
    <w:rsid w:val="45FF375F"/>
    <w:rsid w:val="460361B6"/>
    <w:rsid w:val="4631143E"/>
    <w:rsid w:val="463F1DAD"/>
    <w:rsid w:val="464949DA"/>
    <w:rsid w:val="46671304"/>
    <w:rsid w:val="469C7200"/>
    <w:rsid w:val="46A240EA"/>
    <w:rsid w:val="46BD2CD2"/>
    <w:rsid w:val="46BF2EEE"/>
    <w:rsid w:val="46C422B2"/>
    <w:rsid w:val="46D87B0C"/>
    <w:rsid w:val="46DB13AA"/>
    <w:rsid w:val="46E70DF5"/>
    <w:rsid w:val="46F72688"/>
    <w:rsid w:val="46FD57C4"/>
    <w:rsid w:val="47046B53"/>
    <w:rsid w:val="47134FE8"/>
    <w:rsid w:val="47372A84"/>
    <w:rsid w:val="47431429"/>
    <w:rsid w:val="474433F3"/>
    <w:rsid w:val="47490A0A"/>
    <w:rsid w:val="475353E4"/>
    <w:rsid w:val="476E0195"/>
    <w:rsid w:val="476F0470"/>
    <w:rsid w:val="47766090"/>
    <w:rsid w:val="478A7058"/>
    <w:rsid w:val="478D6B48"/>
    <w:rsid w:val="478F0B12"/>
    <w:rsid w:val="478F28C0"/>
    <w:rsid w:val="47B24801"/>
    <w:rsid w:val="47B74269"/>
    <w:rsid w:val="47BC567F"/>
    <w:rsid w:val="47BE6D02"/>
    <w:rsid w:val="47C11CFF"/>
    <w:rsid w:val="47D66E97"/>
    <w:rsid w:val="47E02BFD"/>
    <w:rsid w:val="47F15D0E"/>
    <w:rsid w:val="47F210A1"/>
    <w:rsid w:val="480F2E5A"/>
    <w:rsid w:val="482676A4"/>
    <w:rsid w:val="484C255F"/>
    <w:rsid w:val="484D62D8"/>
    <w:rsid w:val="484F781F"/>
    <w:rsid w:val="487B2E45"/>
    <w:rsid w:val="48943F06"/>
    <w:rsid w:val="48990C9B"/>
    <w:rsid w:val="489C3FAB"/>
    <w:rsid w:val="48B4470D"/>
    <w:rsid w:val="48BA1BBF"/>
    <w:rsid w:val="48C26CC5"/>
    <w:rsid w:val="48D07BD4"/>
    <w:rsid w:val="48DA5DBD"/>
    <w:rsid w:val="48DE32C9"/>
    <w:rsid w:val="48E7672C"/>
    <w:rsid w:val="48EE3617"/>
    <w:rsid w:val="48EE7ABB"/>
    <w:rsid w:val="48F549A5"/>
    <w:rsid w:val="490D6193"/>
    <w:rsid w:val="49183065"/>
    <w:rsid w:val="49261002"/>
    <w:rsid w:val="4929464F"/>
    <w:rsid w:val="494E2307"/>
    <w:rsid w:val="494E243A"/>
    <w:rsid w:val="496833C9"/>
    <w:rsid w:val="49725FF6"/>
    <w:rsid w:val="4977185E"/>
    <w:rsid w:val="49836455"/>
    <w:rsid w:val="49935F6C"/>
    <w:rsid w:val="49A62143"/>
    <w:rsid w:val="49C8498D"/>
    <w:rsid w:val="49D46CB0"/>
    <w:rsid w:val="49F27137"/>
    <w:rsid w:val="49F4765B"/>
    <w:rsid w:val="4A080708"/>
    <w:rsid w:val="4A121587"/>
    <w:rsid w:val="4A192915"/>
    <w:rsid w:val="4A38723F"/>
    <w:rsid w:val="4A397038"/>
    <w:rsid w:val="4A421E6C"/>
    <w:rsid w:val="4A435BE4"/>
    <w:rsid w:val="4A61143D"/>
    <w:rsid w:val="4A9D3546"/>
    <w:rsid w:val="4AB368C6"/>
    <w:rsid w:val="4AB56AE2"/>
    <w:rsid w:val="4AC5484B"/>
    <w:rsid w:val="4AD8632C"/>
    <w:rsid w:val="4ADF3453"/>
    <w:rsid w:val="4AE50A49"/>
    <w:rsid w:val="4AEF3AB8"/>
    <w:rsid w:val="4AFA1158"/>
    <w:rsid w:val="4AFB026D"/>
    <w:rsid w:val="4B005883"/>
    <w:rsid w:val="4B3D7857"/>
    <w:rsid w:val="4B490FD8"/>
    <w:rsid w:val="4B550EF7"/>
    <w:rsid w:val="4B5C0884"/>
    <w:rsid w:val="4B670B02"/>
    <w:rsid w:val="4B7C7600"/>
    <w:rsid w:val="4B9D29BB"/>
    <w:rsid w:val="4BA40904"/>
    <w:rsid w:val="4BEE4070"/>
    <w:rsid w:val="4BF9005A"/>
    <w:rsid w:val="4BFA0524"/>
    <w:rsid w:val="4C2973D6"/>
    <w:rsid w:val="4C3D6D8F"/>
    <w:rsid w:val="4C4D68A6"/>
    <w:rsid w:val="4C771B75"/>
    <w:rsid w:val="4C800A6A"/>
    <w:rsid w:val="4C83051A"/>
    <w:rsid w:val="4CB41CD6"/>
    <w:rsid w:val="4CBB5F06"/>
    <w:rsid w:val="4CC27294"/>
    <w:rsid w:val="4CDB65A8"/>
    <w:rsid w:val="4CE9015D"/>
    <w:rsid w:val="4D306E97"/>
    <w:rsid w:val="4D371A30"/>
    <w:rsid w:val="4D52686A"/>
    <w:rsid w:val="4D5F4AE3"/>
    <w:rsid w:val="4D79196A"/>
    <w:rsid w:val="4D7F5185"/>
    <w:rsid w:val="4D8B1D7C"/>
    <w:rsid w:val="4DA846DC"/>
    <w:rsid w:val="4DA93FB0"/>
    <w:rsid w:val="4DAC1E8D"/>
    <w:rsid w:val="4DF25C03"/>
    <w:rsid w:val="4DF74D1B"/>
    <w:rsid w:val="4DF95A12"/>
    <w:rsid w:val="4DFC67D6"/>
    <w:rsid w:val="4DFD3B88"/>
    <w:rsid w:val="4E0833CC"/>
    <w:rsid w:val="4E137027"/>
    <w:rsid w:val="4E157897"/>
    <w:rsid w:val="4E3B72FE"/>
    <w:rsid w:val="4E487C6D"/>
    <w:rsid w:val="4E69016F"/>
    <w:rsid w:val="4E740A62"/>
    <w:rsid w:val="4E883AF0"/>
    <w:rsid w:val="4E9524DD"/>
    <w:rsid w:val="4EA74993"/>
    <w:rsid w:val="4EAA5DD9"/>
    <w:rsid w:val="4EBE14B4"/>
    <w:rsid w:val="4EC104A7"/>
    <w:rsid w:val="4EFD2805"/>
    <w:rsid w:val="4F0022F6"/>
    <w:rsid w:val="4F1D4C56"/>
    <w:rsid w:val="4F4641AC"/>
    <w:rsid w:val="4F530677"/>
    <w:rsid w:val="4F7E6690"/>
    <w:rsid w:val="4F820F5D"/>
    <w:rsid w:val="4F894099"/>
    <w:rsid w:val="4FA709C3"/>
    <w:rsid w:val="4FC652ED"/>
    <w:rsid w:val="4FD25A40"/>
    <w:rsid w:val="4FF534DD"/>
    <w:rsid w:val="4FF926E4"/>
    <w:rsid w:val="50096F88"/>
    <w:rsid w:val="50201E39"/>
    <w:rsid w:val="502907CC"/>
    <w:rsid w:val="50320027"/>
    <w:rsid w:val="50416722"/>
    <w:rsid w:val="50493828"/>
    <w:rsid w:val="50593A6B"/>
    <w:rsid w:val="50761340"/>
    <w:rsid w:val="50A031F1"/>
    <w:rsid w:val="50DE6667"/>
    <w:rsid w:val="50E84DEF"/>
    <w:rsid w:val="50F96FFC"/>
    <w:rsid w:val="510809F9"/>
    <w:rsid w:val="51094A4E"/>
    <w:rsid w:val="51181B78"/>
    <w:rsid w:val="511D2CEB"/>
    <w:rsid w:val="5124051D"/>
    <w:rsid w:val="512978E2"/>
    <w:rsid w:val="5139389D"/>
    <w:rsid w:val="514515FF"/>
    <w:rsid w:val="51513355"/>
    <w:rsid w:val="51600E2A"/>
    <w:rsid w:val="517B2107"/>
    <w:rsid w:val="519948ED"/>
    <w:rsid w:val="519D40CC"/>
    <w:rsid w:val="51C70EA9"/>
    <w:rsid w:val="51D535C6"/>
    <w:rsid w:val="51E101BC"/>
    <w:rsid w:val="51EE4687"/>
    <w:rsid w:val="52102850"/>
    <w:rsid w:val="52174C8B"/>
    <w:rsid w:val="521C7446"/>
    <w:rsid w:val="52306A4E"/>
    <w:rsid w:val="52500E9E"/>
    <w:rsid w:val="5253098E"/>
    <w:rsid w:val="526037D7"/>
    <w:rsid w:val="52683A31"/>
    <w:rsid w:val="52A03BD4"/>
    <w:rsid w:val="52AB5BD8"/>
    <w:rsid w:val="52D10231"/>
    <w:rsid w:val="52E8557B"/>
    <w:rsid w:val="52F67C97"/>
    <w:rsid w:val="535449BE"/>
    <w:rsid w:val="53620E89"/>
    <w:rsid w:val="536D4E93"/>
    <w:rsid w:val="53715570"/>
    <w:rsid w:val="53762B86"/>
    <w:rsid w:val="53847125"/>
    <w:rsid w:val="53986FA1"/>
    <w:rsid w:val="539C033F"/>
    <w:rsid w:val="53A27A04"/>
    <w:rsid w:val="53C33A31"/>
    <w:rsid w:val="53DF697E"/>
    <w:rsid w:val="53F02939"/>
    <w:rsid w:val="53F96373"/>
    <w:rsid w:val="541543B7"/>
    <w:rsid w:val="5426635A"/>
    <w:rsid w:val="542D593B"/>
    <w:rsid w:val="542D774E"/>
    <w:rsid w:val="54372316"/>
    <w:rsid w:val="544E765F"/>
    <w:rsid w:val="54596730"/>
    <w:rsid w:val="545A24A8"/>
    <w:rsid w:val="5465599A"/>
    <w:rsid w:val="548152F7"/>
    <w:rsid w:val="549239F0"/>
    <w:rsid w:val="54972DB4"/>
    <w:rsid w:val="549C4FDD"/>
    <w:rsid w:val="54AA0D3A"/>
    <w:rsid w:val="54CA459C"/>
    <w:rsid w:val="54D73AF9"/>
    <w:rsid w:val="54D9517B"/>
    <w:rsid w:val="54E57FC4"/>
    <w:rsid w:val="54E67C4A"/>
    <w:rsid w:val="55067F3A"/>
    <w:rsid w:val="550D4B37"/>
    <w:rsid w:val="551408A9"/>
    <w:rsid w:val="5522237F"/>
    <w:rsid w:val="552C2EC0"/>
    <w:rsid w:val="55357F6A"/>
    <w:rsid w:val="55376345"/>
    <w:rsid w:val="554B5050"/>
    <w:rsid w:val="555E1B24"/>
    <w:rsid w:val="55664E96"/>
    <w:rsid w:val="55697B41"/>
    <w:rsid w:val="5583158B"/>
    <w:rsid w:val="55A75279"/>
    <w:rsid w:val="55C0458D"/>
    <w:rsid w:val="55DB3175"/>
    <w:rsid w:val="55F10BEA"/>
    <w:rsid w:val="55FD133D"/>
    <w:rsid w:val="560C332E"/>
    <w:rsid w:val="562C39D0"/>
    <w:rsid w:val="563665FD"/>
    <w:rsid w:val="56417FB7"/>
    <w:rsid w:val="566413BC"/>
    <w:rsid w:val="566561D6"/>
    <w:rsid w:val="56881D0C"/>
    <w:rsid w:val="56892BD1"/>
    <w:rsid w:val="56905D0D"/>
    <w:rsid w:val="56B37C4E"/>
    <w:rsid w:val="56CD2024"/>
    <w:rsid w:val="56CD6F61"/>
    <w:rsid w:val="570B5233"/>
    <w:rsid w:val="570D1A54"/>
    <w:rsid w:val="57154464"/>
    <w:rsid w:val="57201787"/>
    <w:rsid w:val="572C012C"/>
    <w:rsid w:val="57811AFA"/>
    <w:rsid w:val="578515EA"/>
    <w:rsid w:val="57A06E77"/>
    <w:rsid w:val="57BD5228"/>
    <w:rsid w:val="57C87729"/>
    <w:rsid w:val="58254B7B"/>
    <w:rsid w:val="582C415B"/>
    <w:rsid w:val="585B059D"/>
    <w:rsid w:val="58704048"/>
    <w:rsid w:val="587F24DD"/>
    <w:rsid w:val="5886295F"/>
    <w:rsid w:val="58892BEE"/>
    <w:rsid w:val="58C06C50"/>
    <w:rsid w:val="58C223CA"/>
    <w:rsid w:val="58C46142"/>
    <w:rsid w:val="58D520FD"/>
    <w:rsid w:val="58EB7B73"/>
    <w:rsid w:val="591E3AA4"/>
    <w:rsid w:val="593B4828"/>
    <w:rsid w:val="59407EBE"/>
    <w:rsid w:val="594159E5"/>
    <w:rsid w:val="59436B91"/>
    <w:rsid w:val="595947D3"/>
    <w:rsid w:val="59637709"/>
    <w:rsid w:val="598214BD"/>
    <w:rsid w:val="59967ADE"/>
    <w:rsid w:val="59A815C0"/>
    <w:rsid w:val="59A85A64"/>
    <w:rsid w:val="59C52172"/>
    <w:rsid w:val="59C83A10"/>
    <w:rsid w:val="59DC2276"/>
    <w:rsid w:val="59E70FFF"/>
    <w:rsid w:val="59EE63BD"/>
    <w:rsid w:val="59FC458A"/>
    <w:rsid w:val="5A08675B"/>
    <w:rsid w:val="5A0A5DD6"/>
    <w:rsid w:val="5A3F1F24"/>
    <w:rsid w:val="5A4E03B9"/>
    <w:rsid w:val="5A5654C0"/>
    <w:rsid w:val="5A7B0A82"/>
    <w:rsid w:val="5A875679"/>
    <w:rsid w:val="5A8C0EE1"/>
    <w:rsid w:val="5A9B2ED2"/>
    <w:rsid w:val="5A9D2736"/>
    <w:rsid w:val="5AA93841"/>
    <w:rsid w:val="5AD22D98"/>
    <w:rsid w:val="5ADB2286"/>
    <w:rsid w:val="5AEE78EA"/>
    <w:rsid w:val="5B0373F5"/>
    <w:rsid w:val="5B1E422F"/>
    <w:rsid w:val="5B2A58B0"/>
    <w:rsid w:val="5B353327"/>
    <w:rsid w:val="5B3A26EB"/>
    <w:rsid w:val="5B3D3F8A"/>
    <w:rsid w:val="5B615ECA"/>
    <w:rsid w:val="5B670E45"/>
    <w:rsid w:val="5B7A6F8C"/>
    <w:rsid w:val="5BA529F7"/>
    <w:rsid w:val="5BA65FD3"/>
    <w:rsid w:val="5BB10BFF"/>
    <w:rsid w:val="5BC16969"/>
    <w:rsid w:val="5BC671A5"/>
    <w:rsid w:val="5BEF34D6"/>
    <w:rsid w:val="5BFC5BF3"/>
    <w:rsid w:val="5C035309"/>
    <w:rsid w:val="5C1A3DF3"/>
    <w:rsid w:val="5C25339C"/>
    <w:rsid w:val="5C45759A"/>
    <w:rsid w:val="5C6A7000"/>
    <w:rsid w:val="5C9B540C"/>
    <w:rsid w:val="5CB87D6C"/>
    <w:rsid w:val="5CBE078C"/>
    <w:rsid w:val="5CD01559"/>
    <w:rsid w:val="5CDC6150"/>
    <w:rsid w:val="5CFE3E21"/>
    <w:rsid w:val="5D107D9C"/>
    <w:rsid w:val="5D1F7DEB"/>
    <w:rsid w:val="5D277CC8"/>
    <w:rsid w:val="5D2E002E"/>
    <w:rsid w:val="5D3F223B"/>
    <w:rsid w:val="5D48258A"/>
    <w:rsid w:val="5D5977A1"/>
    <w:rsid w:val="5D730178"/>
    <w:rsid w:val="5D79574D"/>
    <w:rsid w:val="5D8F6D1E"/>
    <w:rsid w:val="5D997B9D"/>
    <w:rsid w:val="5DA30A1C"/>
    <w:rsid w:val="5DE4494F"/>
    <w:rsid w:val="5DF04B1D"/>
    <w:rsid w:val="5DF87281"/>
    <w:rsid w:val="5DFB3BF1"/>
    <w:rsid w:val="5E023994"/>
    <w:rsid w:val="5E0F7E5F"/>
    <w:rsid w:val="5E23736E"/>
    <w:rsid w:val="5E2F61C8"/>
    <w:rsid w:val="5E321FE3"/>
    <w:rsid w:val="5E463E3C"/>
    <w:rsid w:val="5E6E102A"/>
    <w:rsid w:val="5E6E2DD8"/>
    <w:rsid w:val="5ED15115"/>
    <w:rsid w:val="5EE5412D"/>
    <w:rsid w:val="5EF01A3F"/>
    <w:rsid w:val="5EF552A7"/>
    <w:rsid w:val="5EF808F3"/>
    <w:rsid w:val="5EFF1C82"/>
    <w:rsid w:val="5F0C439F"/>
    <w:rsid w:val="5F1514A5"/>
    <w:rsid w:val="5F1F40D2"/>
    <w:rsid w:val="5F230066"/>
    <w:rsid w:val="5F261904"/>
    <w:rsid w:val="5F2636B2"/>
    <w:rsid w:val="5F553F98"/>
    <w:rsid w:val="5F595D0E"/>
    <w:rsid w:val="5F5C0E82"/>
    <w:rsid w:val="5F5E109E"/>
    <w:rsid w:val="5F69359F"/>
    <w:rsid w:val="5F757EE5"/>
    <w:rsid w:val="5F8B79B9"/>
    <w:rsid w:val="5FB73766"/>
    <w:rsid w:val="5FC865E5"/>
    <w:rsid w:val="5FC95388"/>
    <w:rsid w:val="5FD21144"/>
    <w:rsid w:val="5FDF3861"/>
    <w:rsid w:val="5FE84E0C"/>
    <w:rsid w:val="5FEB1B60"/>
    <w:rsid w:val="5FEF39BE"/>
    <w:rsid w:val="60025ECE"/>
    <w:rsid w:val="601B2AEB"/>
    <w:rsid w:val="60237BF2"/>
    <w:rsid w:val="60342C87"/>
    <w:rsid w:val="60566219"/>
    <w:rsid w:val="60593614"/>
    <w:rsid w:val="60601B24"/>
    <w:rsid w:val="60636240"/>
    <w:rsid w:val="6065645C"/>
    <w:rsid w:val="606E3563"/>
    <w:rsid w:val="60883EF9"/>
    <w:rsid w:val="60940AF0"/>
    <w:rsid w:val="60A46F85"/>
    <w:rsid w:val="60AC7BE7"/>
    <w:rsid w:val="60B92304"/>
    <w:rsid w:val="60CE0B25"/>
    <w:rsid w:val="60CE4002"/>
    <w:rsid w:val="60E33E00"/>
    <w:rsid w:val="60E76E71"/>
    <w:rsid w:val="61063291"/>
    <w:rsid w:val="611834CF"/>
    <w:rsid w:val="61306A6A"/>
    <w:rsid w:val="615362B5"/>
    <w:rsid w:val="61565DA5"/>
    <w:rsid w:val="61860438"/>
    <w:rsid w:val="618747A1"/>
    <w:rsid w:val="61972646"/>
    <w:rsid w:val="619F774C"/>
    <w:rsid w:val="61A42074"/>
    <w:rsid w:val="61A86601"/>
    <w:rsid w:val="61E0223F"/>
    <w:rsid w:val="61E52D7B"/>
    <w:rsid w:val="61E83289"/>
    <w:rsid w:val="61F435C6"/>
    <w:rsid w:val="62143C96"/>
    <w:rsid w:val="622A06F2"/>
    <w:rsid w:val="622C6A9D"/>
    <w:rsid w:val="624C78D4"/>
    <w:rsid w:val="624F2F20"/>
    <w:rsid w:val="626544F2"/>
    <w:rsid w:val="62712E97"/>
    <w:rsid w:val="62832BCA"/>
    <w:rsid w:val="628A21AA"/>
    <w:rsid w:val="62922556"/>
    <w:rsid w:val="62994989"/>
    <w:rsid w:val="629E5C56"/>
    <w:rsid w:val="629E7A04"/>
    <w:rsid w:val="62AA45FB"/>
    <w:rsid w:val="62BE1E54"/>
    <w:rsid w:val="62FF66F4"/>
    <w:rsid w:val="630755A9"/>
    <w:rsid w:val="630D7A5B"/>
    <w:rsid w:val="63350368"/>
    <w:rsid w:val="63387548"/>
    <w:rsid w:val="63387E58"/>
    <w:rsid w:val="63630791"/>
    <w:rsid w:val="63716EC6"/>
    <w:rsid w:val="638214EC"/>
    <w:rsid w:val="639D3C37"/>
    <w:rsid w:val="639D7EB8"/>
    <w:rsid w:val="63AE3C76"/>
    <w:rsid w:val="63D05D79"/>
    <w:rsid w:val="63EB6C79"/>
    <w:rsid w:val="63F27284"/>
    <w:rsid w:val="63FF44D2"/>
    <w:rsid w:val="6401649C"/>
    <w:rsid w:val="64033FC2"/>
    <w:rsid w:val="64045537"/>
    <w:rsid w:val="64065861"/>
    <w:rsid w:val="64104931"/>
    <w:rsid w:val="64124205"/>
    <w:rsid w:val="64340620"/>
    <w:rsid w:val="64356146"/>
    <w:rsid w:val="644F5459"/>
    <w:rsid w:val="646C600B"/>
    <w:rsid w:val="648D1ADE"/>
    <w:rsid w:val="64A137DB"/>
    <w:rsid w:val="64A21A2D"/>
    <w:rsid w:val="64B96D77"/>
    <w:rsid w:val="64C42DBE"/>
    <w:rsid w:val="64CC6AAA"/>
    <w:rsid w:val="64CF0348"/>
    <w:rsid w:val="64E42046"/>
    <w:rsid w:val="64EE729B"/>
    <w:rsid w:val="64F64AF3"/>
    <w:rsid w:val="64FE29DC"/>
    <w:rsid w:val="653A7EB8"/>
    <w:rsid w:val="65476131"/>
    <w:rsid w:val="65853944"/>
    <w:rsid w:val="65856C59"/>
    <w:rsid w:val="65890087"/>
    <w:rsid w:val="65956E9C"/>
    <w:rsid w:val="659D0447"/>
    <w:rsid w:val="65A13A93"/>
    <w:rsid w:val="65C94D98"/>
    <w:rsid w:val="65D976D1"/>
    <w:rsid w:val="65DA6A2F"/>
    <w:rsid w:val="65E03DA8"/>
    <w:rsid w:val="65EB7404"/>
    <w:rsid w:val="660109D5"/>
    <w:rsid w:val="660D2ED6"/>
    <w:rsid w:val="66236B9E"/>
    <w:rsid w:val="662446C4"/>
    <w:rsid w:val="662D5327"/>
    <w:rsid w:val="66490E8D"/>
    <w:rsid w:val="66521231"/>
    <w:rsid w:val="6659611C"/>
    <w:rsid w:val="66607F9B"/>
    <w:rsid w:val="666176C6"/>
    <w:rsid w:val="66630D48"/>
    <w:rsid w:val="6663343E"/>
    <w:rsid w:val="66664CDC"/>
    <w:rsid w:val="666B0E4B"/>
    <w:rsid w:val="66700206"/>
    <w:rsid w:val="668A09CB"/>
    <w:rsid w:val="668D4017"/>
    <w:rsid w:val="66904B9E"/>
    <w:rsid w:val="669435F8"/>
    <w:rsid w:val="669D6BC7"/>
    <w:rsid w:val="66A12093"/>
    <w:rsid w:val="66B27D9D"/>
    <w:rsid w:val="66C0263F"/>
    <w:rsid w:val="66C37A39"/>
    <w:rsid w:val="66CA7019"/>
    <w:rsid w:val="66DC0AFB"/>
    <w:rsid w:val="670342D9"/>
    <w:rsid w:val="670702FB"/>
    <w:rsid w:val="6708580E"/>
    <w:rsid w:val="670C0300"/>
    <w:rsid w:val="671E7365"/>
    <w:rsid w:val="673646AF"/>
    <w:rsid w:val="674548F2"/>
    <w:rsid w:val="679D64DC"/>
    <w:rsid w:val="67B6134C"/>
    <w:rsid w:val="67BB1D00"/>
    <w:rsid w:val="67C73559"/>
    <w:rsid w:val="67E20393"/>
    <w:rsid w:val="67FD6A75"/>
    <w:rsid w:val="67FF5B5B"/>
    <w:rsid w:val="680D3662"/>
    <w:rsid w:val="682D7860"/>
    <w:rsid w:val="6853303E"/>
    <w:rsid w:val="68556DB7"/>
    <w:rsid w:val="685C5904"/>
    <w:rsid w:val="6861575B"/>
    <w:rsid w:val="687A681D"/>
    <w:rsid w:val="68A13DAA"/>
    <w:rsid w:val="68B23450"/>
    <w:rsid w:val="68C301C4"/>
    <w:rsid w:val="68EC14C9"/>
    <w:rsid w:val="68F91E38"/>
    <w:rsid w:val="68FC5484"/>
    <w:rsid w:val="69074555"/>
    <w:rsid w:val="69083E29"/>
    <w:rsid w:val="69170F17"/>
    <w:rsid w:val="692B1F1B"/>
    <w:rsid w:val="694F3806"/>
    <w:rsid w:val="69513A22"/>
    <w:rsid w:val="69562DE6"/>
    <w:rsid w:val="696061C4"/>
    <w:rsid w:val="69623539"/>
    <w:rsid w:val="696C0262"/>
    <w:rsid w:val="696C03D9"/>
    <w:rsid w:val="696F76B1"/>
    <w:rsid w:val="697779EF"/>
    <w:rsid w:val="699102C2"/>
    <w:rsid w:val="69AA3132"/>
    <w:rsid w:val="69B61AD7"/>
    <w:rsid w:val="69E94057"/>
    <w:rsid w:val="69ED2774"/>
    <w:rsid w:val="69FE33CB"/>
    <w:rsid w:val="69FF522C"/>
    <w:rsid w:val="69FF6E77"/>
    <w:rsid w:val="6A0B1E23"/>
    <w:rsid w:val="6A17753D"/>
    <w:rsid w:val="6A2B6021"/>
    <w:rsid w:val="6A350C4E"/>
    <w:rsid w:val="6A356EA0"/>
    <w:rsid w:val="6A4A44C2"/>
    <w:rsid w:val="6A6C2500"/>
    <w:rsid w:val="6A7C4ACE"/>
    <w:rsid w:val="6A8219B9"/>
    <w:rsid w:val="6A8352F8"/>
    <w:rsid w:val="6AE85CC0"/>
    <w:rsid w:val="6AF6662F"/>
    <w:rsid w:val="6B064398"/>
    <w:rsid w:val="6B0B1856"/>
    <w:rsid w:val="6B0F149F"/>
    <w:rsid w:val="6B166CD1"/>
    <w:rsid w:val="6B20545A"/>
    <w:rsid w:val="6B291D9C"/>
    <w:rsid w:val="6B3C7DBA"/>
    <w:rsid w:val="6B431148"/>
    <w:rsid w:val="6B451364"/>
    <w:rsid w:val="6B4D0219"/>
    <w:rsid w:val="6B607F4C"/>
    <w:rsid w:val="6B777044"/>
    <w:rsid w:val="6B8A6D77"/>
    <w:rsid w:val="6B914CBA"/>
    <w:rsid w:val="6BB67B6C"/>
    <w:rsid w:val="6BBB372E"/>
    <w:rsid w:val="6BCA6966"/>
    <w:rsid w:val="6BCE5BCE"/>
    <w:rsid w:val="6BD12BF8"/>
    <w:rsid w:val="6BD3071E"/>
    <w:rsid w:val="6BFD3BFC"/>
    <w:rsid w:val="6C044B60"/>
    <w:rsid w:val="6C0F0DFC"/>
    <w:rsid w:val="6C0F1FBF"/>
    <w:rsid w:val="6C333CB3"/>
    <w:rsid w:val="6C335661"/>
    <w:rsid w:val="6C3449D3"/>
    <w:rsid w:val="6C5C0714"/>
    <w:rsid w:val="6C6B0957"/>
    <w:rsid w:val="6C951E77"/>
    <w:rsid w:val="6C991968"/>
    <w:rsid w:val="6C9F4AA4"/>
    <w:rsid w:val="6C9F6852"/>
    <w:rsid w:val="6CEF1588"/>
    <w:rsid w:val="6D0B3EE8"/>
    <w:rsid w:val="6D194857"/>
    <w:rsid w:val="6D317EC4"/>
    <w:rsid w:val="6D6103FD"/>
    <w:rsid w:val="6D6261FE"/>
    <w:rsid w:val="6D855A48"/>
    <w:rsid w:val="6D875C64"/>
    <w:rsid w:val="6DA5433C"/>
    <w:rsid w:val="6DB14A8F"/>
    <w:rsid w:val="6DB36A59"/>
    <w:rsid w:val="6DEA7FA1"/>
    <w:rsid w:val="6DF17581"/>
    <w:rsid w:val="6DFF5CD6"/>
    <w:rsid w:val="6E2434B3"/>
    <w:rsid w:val="6E2B2A93"/>
    <w:rsid w:val="6E353143"/>
    <w:rsid w:val="6E3C6407"/>
    <w:rsid w:val="6E46167B"/>
    <w:rsid w:val="6E5A0C83"/>
    <w:rsid w:val="6E715CA9"/>
    <w:rsid w:val="6E891568"/>
    <w:rsid w:val="6EC86534"/>
    <w:rsid w:val="6ECB71C0"/>
    <w:rsid w:val="6ED36FCB"/>
    <w:rsid w:val="6EDF562C"/>
    <w:rsid w:val="6EE90259"/>
    <w:rsid w:val="6EEB3FD1"/>
    <w:rsid w:val="6EEB5D7F"/>
    <w:rsid w:val="6EFC61DE"/>
    <w:rsid w:val="6F0E7CBF"/>
    <w:rsid w:val="6F241291"/>
    <w:rsid w:val="6F59718C"/>
    <w:rsid w:val="6F6F3EC3"/>
    <w:rsid w:val="6F834209"/>
    <w:rsid w:val="6F933016"/>
    <w:rsid w:val="6FBF5D6F"/>
    <w:rsid w:val="6FCA008A"/>
    <w:rsid w:val="6FE23626"/>
    <w:rsid w:val="6FE5761E"/>
    <w:rsid w:val="6FEF189F"/>
    <w:rsid w:val="6FF46EB5"/>
    <w:rsid w:val="70035C38"/>
    <w:rsid w:val="70567B70"/>
    <w:rsid w:val="705838E8"/>
    <w:rsid w:val="707D334E"/>
    <w:rsid w:val="709A7CB6"/>
    <w:rsid w:val="709D754D"/>
    <w:rsid w:val="70A1703D"/>
    <w:rsid w:val="70A52790"/>
    <w:rsid w:val="70EB650A"/>
    <w:rsid w:val="70ED2282"/>
    <w:rsid w:val="712751D4"/>
    <w:rsid w:val="71467BE4"/>
    <w:rsid w:val="71535E5D"/>
    <w:rsid w:val="71542301"/>
    <w:rsid w:val="719426FE"/>
    <w:rsid w:val="71A768D5"/>
    <w:rsid w:val="71AB7A47"/>
    <w:rsid w:val="71AF12E6"/>
    <w:rsid w:val="71B92164"/>
    <w:rsid w:val="71CA4371"/>
    <w:rsid w:val="71CF3736"/>
    <w:rsid w:val="71D83721"/>
    <w:rsid w:val="71FE226D"/>
    <w:rsid w:val="7238752D"/>
    <w:rsid w:val="724335ED"/>
    <w:rsid w:val="72552B21"/>
    <w:rsid w:val="726B5B54"/>
    <w:rsid w:val="729464DE"/>
    <w:rsid w:val="72B34E05"/>
    <w:rsid w:val="72B648F6"/>
    <w:rsid w:val="72BD3ED6"/>
    <w:rsid w:val="72CA465D"/>
    <w:rsid w:val="72DF3E4C"/>
    <w:rsid w:val="72E256EB"/>
    <w:rsid w:val="72E43211"/>
    <w:rsid w:val="72FC67AC"/>
    <w:rsid w:val="730B4C41"/>
    <w:rsid w:val="730B69EF"/>
    <w:rsid w:val="731004AA"/>
    <w:rsid w:val="73133AF6"/>
    <w:rsid w:val="7315161C"/>
    <w:rsid w:val="7334581F"/>
    <w:rsid w:val="733C73E5"/>
    <w:rsid w:val="737D60E3"/>
    <w:rsid w:val="73B66785"/>
    <w:rsid w:val="73BE3A62"/>
    <w:rsid w:val="73C5498C"/>
    <w:rsid w:val="73CD3064"/>
    <w:rsid w:val="73CF2113"/>
    <w:rsid w:val="73DE5EB2"/>
    <w:rsid w:val="73EA4857"/>
    <w:rsid w:val="73EF4563"/>
    <w:rsid w:val="73FB2F08"/>
    <w:rsid w:val="73FE0302"/>
    <w:rsid w:val="7400407A"/>
    <w:rsid w:val="741C7DDF"/>
    <w:rsid w:val="74221BDF"/>
    <w:rsid w:val="7440091B"/>
    <w:rsid w:val="744877CF"/>
    <w:rsid w:val="745368A0"/>
    <w:rsid w:val="748C3B60"/>
    <w:rsid w:val="748D1686"/>
    <w:rsid w:val="749C7394"/>
    <w:rsid w:val="74A0760B"/>
    <w:rsid w:val="74C432FA"/>
    <w:rsid w:val="74D527BF"/>
    <w:rsid w:val="74D540E1"/>
    <w:rsid w:val="74D80B53"/>
    <w:rsid w:val="74DB78C9"/>
    <w:rsid w:val="74E50E19"/>
    <w:rsid w:val="74E53270"/>
    <w:rsid w:val="74F31E31"/>
    <w:rsid w:val="74FA4F6E"/>
    <w:rsid w:val="74FC0CE6"/>
    <w:rsid w:val="751029E3"/>
    <w:rsid w:val="751853F4"/>
    <w:rsid w:val="752163A9"/>
    <w:rsid w:val="752E46E0"/>
    <w:rsid w:val="7530098F"/>
    <w:rsid w:val="75491A51"/>
    <w:rsid w:val="75581C94"/>
    <w:rsid w:val="755E374E"/>
    <w:rsid w:val="756C6A12"/>
    <w:rsid w:val="75792336"/>
    <w:rsid w:val="758F4FC4"/>
    <w:rsid w:val="759A405B"/>
    <w:rsid w:val="759B6002"/>
    <w:rsid w:val="75AE2269"/>
    <w:rsid w:val="75CF01A8"/>
    <w:rsid w:val="76037E52"/>
    <w:rsid w:val="76236746"/>
    <w:rsid w:val="76275D3A"/>
    <w:rsid w:val="76402E54"/>
    <w:rsid w:val="76742E19"/>
    <w:rsid w:val="768A40CF"/>
    <w:rsid w:val="769D02A6"/>
    <w:rsid w:val="76AD7DBE"/>
    <w:rsid w:val="76AF3B36"/>
    <w:rsid w:val="76CF41D8"/>
    <w:rsid w:val="76DA32BA"/>
    <w:rsid w:val="77040325"/>
    <w:rsid w:val="77073972"/>
    <w:rsid w:val="771B741D"/>
    <w:rsid w:val="77201348"/>
    <w:rsid w:val="77223CB4"/>
    <w:rsid w:val="77275BD6"/>
    <w:rsid w:val="77302EC9"/>
    <w:rsid w:val="77420E4E"/>
    <w:rsid w:val="77545A4D"/>
    <w:rsid w:val="77560455"/>
    <w:rsid w:val="776963DA"/>
    <w:rsid w:val="776B0749"/>
    <w:rsid w:val="77721AB3"/>
    <w:rsid w:val="778154D2"/>
    <w:rsid w:val="778D20C9"/>
    <w:rsid w:val="778E7FDE"/>
    <w:rsid w:val="779A2A38"/>
    <w:rsid w:val="779C230C"/>
    <w:rsid w:val="77CA2C8E"/>
    <w:rsid w:val="77D3650D"/>
    <w:rsid w:val="77FC2DAB"/>
    <w:rsid w:val="780F5AA2"/>
    <w:rsid w:val="78160D21"/>
    <w:rsid w:val="78175E36"/>
    <w:rsid w:val="78236589"/>
    <w:rsid w:val="783F0EE9"/>
    <w:rsid w:val="786646C8"/>
    <w:rsid w:val="78686692"/>
    <w:rsid w:val="78746DE5"/>
    <w:rsid w:val="78880AE2"/>
    <w:rsid w:val="788B637D"/>
    <w:rsid w:val="78A168E8"/>
    <w:rsid w:val="78A838AF"/>
    <w:rsid w:val="78E201F2"/>
    <w:rsid w:val="79334EF2"/>
    <w:rsid w:val="793547C6"/>
    <w:rsid w:val="793B7903"/>
    <w:rsid w:val="795F5CE7"/>
    <w:rsid w:val="79751067"/>
    <w:rsid w:val="79764DDF"/>
    <w:rsid w:val="797D7409"/>
    <w:rsid w:val="799040F2"/>
    <w:rsid w:val="79BE0C60"/>
    <w:rsid w:val="79C71875"/>
    <w:rsid w:val="79CE4C1B"/>
    <w:rsid w:val="79E777D1"/>
    <w:rsid w:val="79E9578B"/>
    <w:rsid w:val="79FF5367"/>
    <w:rsid w:val="7A0B5527"/>
    <w:rsid w:val="7A2F5B40"/>
    <w:rsid w:val="7A340F22"/>
    <w:rsid w:val="7A4822D7"/>
    <w:rsid w:val="7A4D1FE3"/>
    <w:rsid w:val="7A74131E"/>
    <w:rsid w:val="7ABE6A3D"/>
    <w:rsid w:val="7AC04563"/>
    <w:rsid w:val="7AC42CC5"/>
    <w:rsid w:val="7AC83418"/>
    <w:rsid w:val="7AC878BC"/>
    <w:rsid w:val="7B072192"/>
    <w:rsid w:val="7B234AF2"/>
    <w:rsid w:val="7B38059E"/>
    <w:rsid w:val="7B417D67"/>
    <w:rsid w:val="7B4E7DC1"/>
    <w:rsid w:val="7B5573A2"/>
    <w:rsid w:val="7B5B68D6"/>
    <w:rsid w:val="7B5D4C62"/>
    <w:rsid w:val="7B6234C6"/>
    <w:rsid w:val="7B6F3E6E"/>
    <w:rsid w:val="7B7F6AF1"/>
    <w:rsid w:val="7B851309"/>
    <w:rsid w:val="7B9A1258"/>
    <w:rsid w:val="7BC1048B"/>
    <w:rsid w:val="7BC628E6"/>
    <w:rsid w:val="7BDA440B"/>
    <w:rsid w:val="7BF02C26"/>
    <w:rsid w:val="7BF2699E"/>
    <w:rsid w:val="7C0128CA"/>
    <w:rsid w:val="7C1508DF"/>
    <w:rsid w:val="7C255C7A"/>
    <w:rsid w:val="7C2E19A1"/>
    <w:rsid w:val="7C3074C7"/>
    <w:rsid w:val="7C3F3BAE"/>
    <w:rsid w:val="7C415704"/>
    <w:rsid w:val="7C581439"/>
    <w:rsid w:val="7C7575D0"/>
    <w:rsid w:val="7C7750F6"/>
    <w:rsid w:val="7C815F74"/>
    <w:rsid w:val="7C9453FC"/>
    <w:rsid w:val="7CA103C5"/>
    <w:rsid w:val="7CAE2CB7"/>
    <w:rsid w:val="7CB15FD7"/>
    <w:rsid w:val="7CB24380"/>
    <w:rsid w:val="7CB830BD"/>
    <w:rsid w:val="7CBE0F77"/>
    <w:rsid w:val="7CDB5685"/>
    <w:rsid w:val="7D081773"/>
    <w:rsid w:val="7D0C3A90"/>
    <w:rsid w:val="7D1D5C9D"/>
    <w:rsid w:val="7D311748"/>
    <w:rsid w:val="7D32101D"/>
    <w:rsid w:val="7D4C20DE"/>
    <w:rsid w:val="7D671240"/>
    <w:rsid w:val="7D6E02A7"/>
    <w:rsid w:val="7D8A0E59"/>
    <w:rsid w:val="7D9D0B8C"/>
    <w:rsid w:val="7DC056D3"/>
    <w:rsid w:val="7DC12ACC"/>
    <w:rsid w:val="7DC97BD3"/>
    <w:rsid w:val="7DD543A2"/>
    <w:rsid w:val="7DF509C8"/>
    <w:rsid w:val="7DFD5ACF"/>
    <w:rsid w:val="7E161957"/>
    <w:rsid w:val="7E207966"/>
    <w:rsid w:val="7E245A14"/>
    <w:rsid w:val="7E447259"/>
    <w:rsid w:val="7E576F8D"/>
    <w:rsid w:val="7E582D05"/>
    <w:rsid w:val="7E673701"/>
    <w:rsid w:val="7E8F2BCB"/>
    <w:rsid w:val="7E933D3D"/>
    <w:rsid w:val="7E956EBF"/>
    <w:rsid w:val="7E977CD1"/>
    <w:rsid w:val="7E9957F7"/>
    <w:rsid w:val="7EA777DF"/>
    <w:rsid w:val="7EBB576E"/>
    <w:rsid w:val="7EDC7492"/>
    <w:rsid w:val="7EE527EB"/>
    <w:rsid w:val="7EF173E1"/>
    <w:rsid w:val="7EFB200E"/>
    <w:rsid w:val="7EFB2583"/>
    <w:rsid w:val="7F08297D"/>
    <w:rsid w:val="7F2F7F0A"/>
    <w:rsid w:val="7F4158A4"/>
    <w:rsid w:val="7F4E65E2"/>
    <w:rsid w:val="7F4F235A"/>
    <w:rsid w:val="7F5931D8"/>
    <w:rsid w:val="7F7D0C75"/>
    <w:rsid w:val="7F823FAA"/>
    <w:rsid w:val="7F93632E"/>
    <w:rsid w:val="7FA42529"/>
    <w:rsid w:val="7FC56178"/>
    <w:rsid w:val="7FD5285F"/>
    <w:rsid w:val="7FE42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51"/>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2"/>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3"/>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4"/>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5"/>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6"/>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7"/>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8"/>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9"/>
    <w:autoRedefine/>
    <w:unhideWhenUsed/>
    <w:qFormat/>
    <w:uiPriority w:val="9"/>
    <w:pPr>
      <w:keepNext/>
      <w:keepLines/>
      <w:spacing w:before="320" w:after="200"/>
      <w:outlineLvl w:val="8"/>
    </w:pPr>
    <w:rPr>
      <w:rFonts w:ascii="Arial" w:hAnsi="Arial" w:eastAsia="Arial" w:cs="Arial"/>
      <w:i/>
      <w:iCs/>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Normal Indent"/>
    <w:basedOn w:val="1"/>
    <w:next w:val="1"/>
    <w:autoRedefine/>
    <w:unhideWhenUsed/>
    <w:qFormat/>
    <w:uiPriority w:val="99"/>
    <w:pPr>
      <w:ind w:firstLine="420"/>
    </w:pPr>
  </w:style>
  <w:style w:type="paragraph" w:styleId="13">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autoRedefine/>
    <w:semiHidden/>
    <w:unhideWhenUsed/>
    <w:qFormat/>
    <w:uiPriority w:val="99"/>
    <w:pPr>
      <w:jc w:val="left"/>
    </w:pPr>
  </w:style>
  <w:style w:type="paragraph" w:styleId="15">
    <w:name w:val="Body Text"/>
    <w:basedOn w:val="1"/>
    <w:next w:val="1"/>
    <w:autoRedefine/>
    <w:qFormat/>
    <w:uiPriority w:val="0"/>
    <w:pPr>
      <w:spacing w:after="120"/>
    </w:pPr>
  </w:style>
  <w:style w:type="paragraph" w:styleId="16">
    <w:name w:val="Body Text Indent"/>
    <w:basedOn w:val="1"/>
    <w:next w:val="17"/>
    <w:autoRedefine/>
    <w:qFormat/>
    <w:uiPriority w:val="99"/>
    <w:pPr>
      <w:adjustRightInd w:val="0"/>
      <w:snapToGrid w:val="0"/>
      <w:spacing w:line="460" w:lineRule="exact"/>
      <w:ind w:firstLine="560" w:firstLineChars="200"/>
    </w:pPr>
    <w:rPr>
      <w:rFonts w:ascii="仿宋_GB2312" w:hAnsi="Tahoma" w:eastAsia="仿宋_GB2312"/>
      <w:sz w:val="28"/>
    </w:rPr>
  </w:style>
  <w:style w:type="paragraph" w:styleId="17">
    <w:name w:val="envelope return"/>
    <w:basedOn w:val="1"/>
    <w:autoRedefine/>
    <w:qFormat/>
    <w:uiPriority w:val="0"/>
    <w:pPr>
      <w:snapToGrid w:val="0"/>
    </w:pPr>
    <w:rPr>
      <w:rFonts w:ascii="Arial" w:hAnsi="Arial"/>
    </w:rPr>
  </w:style>
  <w:style w:type="paragraph" w:styleId="18">
    <w:name w:val="Block Text"/>
    <w:basedOn w:val="1"/>
    <w:autoRedefine/>
    <w:unhideWhenUsed/>
    <w:qFormat/>
    <w:uiPriority w:val="0"/>
    <w:pPr>
      <w:spacing w:after="120"/>
      <w:ind w:left="1440" w:leftChars="700" w:right="700" w:rightChars="700"/>
    </w:pPr>
    <w:rPr>
      <w:rFonts w:hint="eastAsia"/>
      <w:szCs w:val="22"/>
    </w:rPr>
  </w:style>
  <w:style w:type="paragraph" w:styleId="19">
    <w:name w:val="toc 5"/>
    <w:basedOn w:val="1"/>
    <w:next w:val="1"/>
    <w:autoRedefine/>
    <w:unhideWhenUsed/>
    <w:qFormat/>
    <w:uiPriority w:val="39"/>
    <w:pPr>
      <w:spacing w:after="57"/>
      <w:ind w:left="1134"/>
    </w:pPr>
  </w:style>
  <w:style w:type="paragraph" w:styleId="20">
    <w:name w:val="toc 3"/>
    <w:basedOn w:val="1"/>
    <w:next w:val="1"/>
    <w:autoRedefine/>
    <w:unhideWhenUsed/>
    <w:qFormat/>
    <w:uiPriority w:val="39"/>
    <w:pPr>
      <w:spacing w:after="57"/>
      <w:ind w:left="567"/>
    </w:pPr>
  </w:style>
  <w:style w:type="paragraph" w:styleId="21">
    <w:name w:val="Plain Text"/>
    <w:basedOn w:val="1"/>
    <w:autoRedefine/>
    <w:qFormat/>
    <w:uiPriority w:val="0"/>
    <w:rPr>
      <w:rFonts w:ascii="宋体" w:hAnsi="Courier New"/>
      <w:szCs w:val="22"/>
    </w:rPr>
  </w:style>
  <w:style w:type="paragraph" w:styleId="22">
    <w:name w:val="toc 8"/>
    <w:basedOn w:val="1"/>
    <w:next w:val="1"/>
    <w:autoRedefine/>
    <w:unhideWhenUsed/>
    <w:qFormat/>
    <w:uiPriority w:val="39"/>
    <w:pPr>
      <w:spacing w:after="57"/>
      <w:ind w:left="1984"/>
    </w:pPr>
  </w:style>
  <w:style w:type="paragraph" w:styleId="23">
    <w:name w:val="Body Text Indent 2"/>
    <w:basedOn w:val="1"/>
    <w:qFormat/>
    <w:uiPriority w:val="0"/>
    <w:pPr>
      <w:spacing w:line="400" w:lineRule="exact"/>
      <w:ind w:left="-1" w:firstLine="480"/>
    </w:pPr>
    <w:rPr>
      <w:rFonts w:ascii="楷体_GB2312" w:eastAsia="楷体_GB2312"/>
      <w:sz w:val="24"/>
    </w:rPr>
  </w:style>
  <w:style w:type="paragraph" w:styleId="24">
    <w:name w:val="endnote text"/>
    <w:basedOn w:val="1"/>
    <w:link w:val="197"/>
    <w:autoRedefine/>
    <w:semiHidden/>
    <w:unhideWhenUsed/>
    <w:qFormat/>
    <w:uiPriority w:val="99"/>
    <w:rPr>
      <w:sz w:val="20"/>
    </w:rPr>
  </w:style>
  <w:style w:type="paragraph" w:styleId="25">
    <w:name w:val="footer"/>
    <w:basedOn w:val="1"/>
    <w:link w:val="70"/>
    <w:autoRedefine/>
    <w:unhideWhenUsed/>
    <w:qFormat/>
    <w:uiPriority w:val="99"/>
    <w:pPr>
      <w:tabs>
        <w:tab w:val="center" w:pos="7143"/>
        <w:tab w:val="right" w:pos="14287"/>
      </w:tabs>
    </w:pPr>
  </w:style>
  <w:style w:type="paragraph" w:styleId="26">
    <w:name w:val="header"/>
    <w:basedOn w:val="1"/>
    <w:link w:val="68"/>
    <w:autoRedefine/>
    <w:unhideWhenUsed/>
    <w:qFormat/>
    <w:uiPriority w:val="99"/>
    <w:pPr>
      <w:tabs>
        <w:tab w:val="center" w:pos="7143"/>
        <w:tab w:val="right" w:pos="14287"/>
      </w:tabs>
    </w:pPr>
  </w:style>
  <w:style w:type="paragraph" w:styleId="27">
    <w:name w:val="toc 1"/>
    <w:basedOn w:val="1"/>
    <w:next w:val="1"/>
    <w:autoRedefine/>
    <w:unhideWhenUsed/>
    <w:qFormat/>
    <w:uiPriority w:val="39"/>
    <w:pPr>
      <w:spacing w:after="57"/>
    </w:pPr>
  </w:style>
  <w:style w:type="paragraph" w:styleId="28">
    <w:name w:val="toc 4"/>
    <w:basedOn w:val="1"/>
    <w:next w:val="1"/>
    <w:autoRedefine/>
    <w:unhideWhenUsed/>
    <w:qFormat/>
    <w:uiPriority w:val="39"/>
    <w:pPr>
      <w:spacing w:after="57"/>
      <w:ind w:left="850"/>
    </w:pPr>
  </w:style>
  <w:style w:type="paragraph" w:styleId="29">
    <w:name w:val="Subtitle"/>
    <w:basedOn w:val="1"/>
    <w:next w:val="1"/>
    <w:link w:val="63"/>
    <w:autoRedefine/>
    <w:qFormat/>
    <w:uiPriority w:val="11"/>
    <w:pPr>
      <w:spacing w:before="200" w:after="200"/>
    </w:pPr>
    <w:rPr>
      <w:sz w:val="24"/>
      <w:szCs w:val="24"/>
    </w:rPr>
  </w:style>
  <w:style w:type="paragraph" w:styleId="30">
    <w:name w:val="footnote text"/>
    <w:basedOn w:val="1"/>
    <w:link w:val="196"/>
    <w:autoRedefine/>
    <w:semiHidden/>
    <w:unhideWhenUsed/>
    <w:qFormat/>
    <w:uiPriority w:val="99"/>
    <w:pPr>
      <w:spacing w:after="40"/>
    </w:pPr>
    <w:rPr>
      <w:sz w:val="18"/>
    </w:rPr>
  </w:style>
  <w:style w:type="paragraph" w:styleId="31">
    <w:name w:val="toc 6"/>
    <w:basedOn w:val="1"/>
    <w:next w:val="1"/>
    <w:autoRedefine/>
    <w:unhideWhenUsed/>
    <w:qFormat/>
    <w:uiPriority w:val="39"/>
    <w:pPr>
      <w:spacing w:after="57"/>
      <w:ind w:left="1417"/>
    </w:pPr>
  </w:style>
  <w:style w:type="paragraph" w:styleId="32">
    <w:name w:val="table of figures"/>
    <w:basedOn w:val="1"/>
    <w:next w:val="1"/>
    <w:autoRedefine/>
    <w:unhideWhenUsed/>
    <w:qFormat/>
    <w:uiPriority w:val="99"/>
  </w:style>
  <w:style w:type="paragraph" w:styleId="33">
    <w:name w:val="toc 2"/>
    <w:basedOn w:val="1"/>
    <w:next w:val="1"/>
    <w:autoRedefine/>
    <w:unhideWhenUsed/>
    <w:qFormat/>
    <w:uiPriority w:val="39"/>
    <w:pPr>
      <w:spacing w:after="57"/>
      <w:ind w:left="283"/>
    </w:pPr>
  </w:style>
  <w:style w:type="paragraph" w:styleId="34">
    <w:name w:val="toc 9"/>
    <w:basedOn w:val="1"/>
    <w:next w:val="1"/>
    <w:autoRedefine/>
    <w:unhideWhenUsed/>
    <w:qFormat/>
    <w:uiPriority w:val="39"/>
    <w:pPr>
      <w:spacing w:after="57"/>
      <w:ind w:left="2268"/>
    </w:pPr>
  </w:style>
  <w:style w:type="paragraph" w:styleId="35">
    <w:name w:val="Normal (Web)"/>
    <w:basedOn w:val="1"/>
    <w:autoRedefine/>
    <w:qFormat/>
    <w:uiPriority w:val="0"/>
    <w:pPr>
      <w:spacing w:beforeAutospacing="1" w:afterAutospacing="1"/>
      <w:jc w:val="left"/>
    </w:pPr>
    <w:rPr>
      <w:sz w:val="24"/>
    </w:rPr>
  </w:style>
  <w:style w:type="paragraph" w:styleId="36">
    <w:name w:val="Title"/>
    <w:basedOn w:val="1"/>
    <w:next w:val="1"/>
    <w:link w:val="62"/>
    <w:autoRedefine/>
    <w:qFormat/>
    <w:uiPriority w:val="10"/>
    <w:pPr>
      <w:spacing w:before="300" w:after="200"/>
      <w:contextualSpacing/>
    </w:pPr>
    <w:rPr>
      <w:sz w:val="48"/>
      <w:szCs w:val="48"/>
    </w:rPr>
  </w:style>
  <w:style w:type="paragraph" w:styleId="37">
    <w:name w:val="Body Text First Indent"/>
    <w:basedOn w:val="1"/>
    <w:autoRedefine/>
    <w:qFormat/>
    <w:uiPriority w:val="99"/>
    <w:pPr>
      <w:spacing w:line="360" w:lineRule="auto"/>
      <w:ind w:firstLine="200" w:firstLineChars="200"/>
    </w:pPr>
    <w:rPr>
      <w:rFonts w:ascii="仿宋_GB2312" w:eastAsia="仿宋_GB2312"/>
      <w:sz w:val="30"/>
      <w:szCs w:val="30"/>
    </w:rPr>
  </w:style>
  <w:style w:type="paragraph" w:styleId="38">
    <w:name w:val="Body Text First Indent 2"/>
    <w:basedOn w:val="16"/>
    <w:autoRedefine/>
    <w:unhideWhenUsed/>
    <w:qFormat/>
    <w:uiPriority w:val="0"/>
    <w:pPr>
      <w:adjustRightInd/>
      <w:snapToGrid/>
      <w:spacing w:after="120" w:line="360" w:lineRule="auto"/>
      <w:ind w:left="420" w:leftChars="200" w:firstLine="420"/>
    </w:pPr>
    <w:rPr>
      <w:rFonts w:ascii="Times New Roman" w:hAnsi="Times New Roman" w:eastAsia="宋体"/>
      <w:sz w:val="24"/>
      <w:szCs w:val="22"/>
    </w:rPr>
  </w:style>
  <w:style w:type="table" w:styleId="40">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bCs/>
    </w:rPr>
  </w:style>
  <w:style w:type="character" w:styleId="43">
    <w:name w:val="endnote reference"/>
    <w:autoRedefine/>
    <w:semiHidden/>
    <w:unhideWhenUsed/>
    <w:qFormat/>
    <w:uiPriority w:val="99"/>
    <w:rPr>
      <w:vertAlign w:val="superscript"/>
    </w:rPr>
  </w:style>
  <w:style w:type="character" w:styleId="44">
    <w:name w:val="Hyperlink"/>
    <w:autoRedefine/>
    <w:unhideWhenUsed/>
    <w:qFormat/>
    <w:uiPriority w:val="99"/>
    <w:rPr>
      <w:color w:val="0000FF" w:themeColor="hyperlink"/>
      <w:u w:val="single"/>
      <w14:textFill>
        <w14:solidFill>
          <w14:schemeClr w14:val="hlink"/>
        </w14:solidFill>
      </w14:textFill>
    </w:rPr>
  </w:style>
  <w:style w:type="character" w:styleId="45">
    <w:name w:val="footnote reference"/>
    <w:autoRedefine/>
    <w:unhideWhenUsed/>
    <w:qFormat/>
    <w:uiPriority w:val="99"/>
    <w:rPr>
      <w:vertAlign w:val="superscript"/>
    </w:rPr>
  </w:style>
  <w:style w:type="paragraph" w:customStyle="1" w:styleId="46">
    <w:name w:val="正文首行缩进 211"/>
    <w:basedOn w:val="47"/>
    <w:autoRedefine/>
    <w:qFormat/>
    <w:uiPriority w:val="99"/>
    <w:pPr>
      <w:spacing w:line="360" w:lineRule="auto"/>
      <w:ind w:firstLine="420"/>
    </w:pPr>
    <w:rPr>
      <w:rFonts w:ascii="宋体" w:hAnsi="宋体" w:eastAsia="宋体"/>
      <w:sz w:val="21"/>
      <w:szCs w:val="20"/>
    </w:rPr>
  </w:style>
  <w:style w:type="paragraph" w:customStyle="1" w:styleId="47">
    <w:name w:val="正文文本缩进1"/>
    <w:basedOn w:val="1"/>
    <w:autoRedefine/>
    <w:qFormat/>
    <w:uiPriority w:val="0"/>
    <w:pPr>
      <w:ind w:firstLine="645"/>
    </w:pPr>
    <w:rPr>
      <w:rFonts w:ascii="楷体_GB2312" w:eastAsia="楷体_GB2312"/>
      <w:sz w:val="32"/>
      <w:szCs w:val="32"/>
    </w:rPr>
  </w:style>
  <w:style w:type="paragraph" w:customStyle="1" w:styleId="48">
    <w:name w:val="Default"/>
    <w:autoRedefine/>
    <w:unhideWhenUsed/>
    <w:qFormat/>
    <w:uiPriority w:val="99"/>
    <w:pPr>
      <w:widowControl w:val="0"/>
    </w:pPr>
    <w:rPr>
      <w:rFonts w:hint="eastAsia" w:ascii="仿宋_GB2312" w:hAnsi="仿宋_GB2312" w:eastAsia="仿宋_GB2312" w:cs="Times New Roman"/>
      <w:color w:val="000000"/>
      <w:sz w:val="24"/>
      <w:lang w:val="en-US" w:eastAsia="zh-CN" w:bidi="ar-SA"/>
    </w:rPr>
  </w:style>
  <w:style w:type="paragraph" w:customStyle="1" w:styleId="49">
    <w:name w:val="正文首行缩进1"/>
    <w:basedOn w:val="50"/>
    <w:next w:val="1"/>
    <w:link w:val="244"/>
    <w:autoRedefine/>
    <w:qFormat/>
    <w:uiPriority w:val="0"/>
    <w:pPr>
      <w:spacing w:line="360" w:lineRule="auto"/>
      <w:ind w:firstLine="200"/>
    </w:pPr>
    <w:rPr>
      <w:rFonts w:ascii="仿宋_GB2312" w:eastAsia="仿宋_GB2312"/>
      <w:sz w:val="30"/>
      <w:szCs w:val="30"/>
    </w:rPr>
  </w:style>
  <w:style w:type="paragraph" w:customStyle="1" w:styleId="50">
    <w:name w:val="正文文本1"/>
    <w:basedOn w:val="1"/>
    <w:next w:val="1"/>
    <w:autoRedefine/>
    <w:qFormat/>
    <w:uiPriority w:val="0"/>
    <w:rPr>
      <w:rFonts w:ascii="楷体_GB2312" w:hAnsi="Arial" w:eastAsia="楷体_GB2312"/>
      <w:sz w:val="28"/>
      <w:szCs w:val="28"/>
    </w:rPr>
  </w:style>
  <w:style w:type="character" w:customStyle="1" w:styleId="51">
    <w:name w:val="标题 1 Char"/>
    <w:link w:val="2"/>
    <w:autoRedefine/>
    <w:qFormat/>
    <w:uiPriority w:val="9"/>
    <w:rPr>
      <w:rFonts w:ascii="Arial" w:hAnsi="Arial" w:eastAsia="Arial" w:cs="Arial"/>
      <w:sz w:val="40"/>
      <w:szCs w:val="40"/>
    </w:rPr>
  </w:style>
  <w:style w:type="character" w:customStyle="1" w:styleId="52">
    <w:name w:val="标题 2 Char"/>
    <w:link w:val="3"/>
    <w:autoRedefine/>
    <w:qFormat/>
    <w:uiPriority w:val="9"/>
    <w:rPr>
      <w:rFonts w:ascii="Arial" w:hAnsi="Arial" w:eastAsia="Arial" w:cs="Arial"/>
      <w:sz w:val="34"/>
    </w:rPr>
  </w:style>
  <w:style w:type="character" w:customStyle="1" w:styleId="53">
    <w:name w:val="标题 3 Char1"/>
    <w:link w:val="4"/>
    <w:autoRedefine/>
    <w:qFormat/>
    <w:uiPriority w:val="9"/>
    <w:rPr>
      <w:rFonts w:ascii="Arial" w:hAnsi="Arial" w:eastAsia="Arial" w:cs="Arial"/>
      <w:sz w:val="30"/>
      <w:szCs w:val="30"/>
    </w:rPr>
  </w:style>
  <w:style w:type="character" w:customStyle="1" w:styleId="54">
    <w:name w:val="标题 4 Char1"/>
    <w:link w:val="5"/>
    <w:autoRedefine/>
    <w:qFormat/>
    <w:uiPriority w:val="9"/>
    <w:rPr>
      <w:rFonts w:ascii="Arial" w:hAnsi="Arial" w:eastAsia="Arial" w:cs="Arial"/>
      <w:b/>
      <w:bCs/>
      <w:sz w:val="26"/>
      <w:szCs w:val="26"/>
    </w:rPr>
  </w:style>
  <w:style w:type="character" w:customStyle="1" w:styleId="55">
    <w:name w:val="标题 5 Char"/>
    <w:link w:val="6"/>
    <w:autoRedefine/>
    <w:qFormat/>
    <w:uiPriority w:val="9"/>
    <w:rPr>
      <w:rFonts w:ascii="Arial" w:hAnsi="Arial" w:eastAsia="Arial" w:cs="Arial"/>
      <w:b/>
      <w:bCs/>
      <w:sz w:val="24"/>
      <w:szCs w:val="24"/>
    </w:rPr>
  </w:style>
  <w:style w:type="character" w:customStyle="1" w:styleId="56">
    <w:name w:val="标题 6 Char"/>
    <w:link w:val="7"/>
    <w:autoRedefine/>
    <w:qFormat/>
    <w:uiPriority w:val="9"/>
    <w:rPr>
      <w:rFonts w:ascii="Arial" w:hAnsi="Arial" w:eastAsia="Arial" w:cs="Arial"/>
      <w:b/>
      <w:bCs/>
      <w:sz w:val="22"/>
      <w:szCs w:val="22"/>
    </w:rPr>
  </w:style>
  <w:style w:type="character" w:customStyle="1" w:styleId="57">
    <w:name w:val="标题 7 Char"/>
    <w:link w:val="8"/>
    <w:autoRedefine/>
    <w:qFormat/>
    <w:uiPriority w:val="9"/>
    <w:rPr>
      <w:rFonts w:ascii="Arial" w:hAnsi="Arial" w:eastAsia="Arial" w:cs="Arial"/>
      <w:b/>
      <w:bCs/>
      <w:i/>
      <w:iCs/>
      <w:sz w:val="22"/>
      <w:szCs w:val="22"/>
    </w:rPr>
  </w:style>
  <w:style w:type="character" w:customStyle="1" w:styleId="58">
    <w:name w:val="标题 8 Char"/>
    <w:link w:val="9"/>
    <w:autoRedefine/>
    <w:qFormat/>
    <w:uiPriority w:val="9"/>
    <w:rPr>
      <w:rFonts w:ascii="Arial" w:hAnsi="Arial" w:eastAsia="Arial" w:cs="Arial"/>
      <w:i/>
      <w:iCs/>
      <w:sz w:val="22"/>
      <w:szCs w:val="22"/>
    </w:rPr>
  </w:style>
  <w:style w:type="character" w:customStyle="1" w:styleId="59">
    <w:name w:val="标题 9 Char"/>
    <w:link w:val="10"/>
    <w:autoRedefine/>
    <w:qFormat/>
    <w:uiPriority w:val="9"/>
    <w:rPr>
      <w:rFonts w:ascii="Arial" w:hAnsi="Arial" w:eastAsia="Arial" w:cs="Arial"/>
      <w:i/>
      <w:iCs/>
      <w:sz w:val="21"/>
      <w:szCs w:val="21"/>
    </w:rPr>
  </w:style>
  <w:style w:type="paragraph" w:styleId="60">
    <w:name w:val="List Paragraph"/>
    <w:basedOn w:val="1"/>
    <w:autoRedefine/>
    <w:qFormat/>
    <w:uiPriority w:val="34"/>
    <w:pPr>
      <w:ind w:left="720"/>
      <w:contextualSpacing/>
    </w:pPr>
  </w:style>
  <w:style w:type="paragraph" w:styleId="61">
    <w:name w:val="No Spacing"/>
    <w:autoRedefine/>
    <w:qFormat/>
    <w:uiPriority w:val="1"/>
    <w:rPr>
      <w:rFonts w:ascii="Times New Roman" w:hAnsi="Times New Roman" w:eastAsia="宋体" w:cs="Times New Roman"/>
      <w:lang w:val="en-US" w:eastAsia="zh-CN" w:bidi="ar-SA"/>
    </w:rPr>
  </w:style>
  <w:style w:type="character" w:customStyle="1" w:styleId="62">
    <w:name w:val="标题 Char"/>
    <w:link w:val="36"/>
    <w:autoRedefine/>
    <w:qFormat/>
    <w:uiPriority w:val="10"/>
    <w:rPr>
      <w:sz w:val="48"/>
      <w:szCs w:val="48"/>
    </w:rPr>
  </w:style>
  <w:style w:type="character" w:customStyle="1" w:styleId="63">
    <w:name w:val="副标题 Char"/>
    <w:link w:val="29"/>
    <w:autoRedefine/>
    <w:qFormat/>
    <w:uiPriority w:val="11"/>
    <w:rPr>
      <w:sz w:val="24"/>
      <w:szCs w:val="24"/>
    </w:rPr>
  </w:style>
  <w:style w:type="paragraph" w:styleId="64">
    <w:name w:val="Quote"/>
    <w:basedOn w:val="1"/>
    <w:next w:val="1"/>
    <w:link w:val="65"/>
    <w:autoRedefine/>
    <w:qFormat/>
    <w:uiPriority w:val="29"/>
    <w:pPr>
      <w:ind w:left="720" w:right="720"/>
    </w:pPr>
    <w:rPr>
      <w:i/>
    </w:rPr>
  </w:style>
  <w:style w:type="character" w:customStyle="1" w:styleId="65">
    <w:name w:val="引用 Char"/>
    <w:link w:val="64"/>
    <w:autoRedefine/>
    <w:qFormat/>
    <w:uiPriority w:val="29"/>
    <w:rPr>
      <w:i/>
    </w:rPr>
  </w:style>
  <w:style w:type="paragraph" w:styleId="66">
    <w:name w:val="Intense Quote"/>
    <w:basedOn w:val="1"/>
    <w:next w:val="1"/>
    <w:link w:val="67"/>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7">
    <w:name w:val="明显引用 Char"/>
    <w:link w:val="66"/>
    <w:autoRedefine/>
    <w:qFormat/>
    <w:uiPriority w:val="30"/>
    <w:rPr>
      <w:i/>
    </w:rPr>
  </w:style>
  <w:style w:type="character" w:customStyle="1" w:styleId="68">
    <w:name w:val="页眉 Char"/>
    <w:link w:val="26"/>
    <w:autoRedefine/>
    <w:qFormat/>
    <w:uiPriority w:val="99"/>
  </w:style>
  <w:style w:type="character" w:customStyle="1" w:styleId="69">
    <w:name w:val="Footer Char"/>
    <w:autoRedefine/>
    <w:qFormat/>
    <w:uiPriority w:val="99"/>
  </w:style>
  <w:style w:type="character" w:customStyle="1" w:styleId="70">
    <w:name w:val="页脚 Char"/>
    <w:link w:val="25"/>
    <w:autoRedefine/>
    <w:qFormat/>
    <w:uiPriority w:val="99"/>
  </w:style>
  <w:style w:type="table" w:customStyle="1" w:styleId="71">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2">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9">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0">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1">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2">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3">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4">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0">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7">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8">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9">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0">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1">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2">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6">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9">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3">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6">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8">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9">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0">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1">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2">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3">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2">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3">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4">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5">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6">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7">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6">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7">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8">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9">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0">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1">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1">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2">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3">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4">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5">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6">
    <w:name w:val="脚注文本 Char"/>
    <w:link w:val="30"/>
    <w:autoRedefine/>
    <w:qFormat/>
    <w:uiPriority w:val="99"/>
    <w:rPr>
      <w:sz w:val="18"/>
    </w:rPr>
  </w:style>
  <w:style w:type="character" w:customStyle="1" w:styleId="197">
    <w:name w:val="尾注文本 Char"/>
    <w:link w:val="24"/>
    <w:autoRedefine/>
    <w:qFormat/>
    <w:uiPriority w:val="99"/>
    <w:rPr>
      <w:sz w:val="20"/>
    </w:rPr>
  </w:style>
  <w:style w:type="paragraph" w:customStyle="1" w:styleId="198">
    <w:name w:val="TOC 标题1"/>
    <w:autoRedefine/>
    <w:unhideWhenUsed/>
    <w:qFormat/>
    <w:uiPriority w:val="39"/>
    <w:rPr>
      <w:rFonts w:ascii="Times New Roman" w:hAnsi="Times New Roman" w:eastAsia="宋体" w:cs="Times New Roman"/>
      <w:lang w:val="en-US" w:eastAsia="zh-CN" w:bidi="ar-SA"/>
    </w:rPr>
  </w:style>
  <w:style w:type="paragraph" w:customStyle="1" w:styleId="199">
    <w:name w:val="标题 11"/>
    <w:basedOn w:val="1"/>
    <w:next w:val="1"/>
    <w:autoRedefine/>
    <w:qFormat/>
    <w:uiPriority w:val="0"/>
    <w:pPr>
      <w:keepNext/>
      <w:jc w:val="center"/>
      <w:outlineLvl w:val="0"/>
    </w:pPr>
    <w:rPr>
      <w:rFonts w:ascii="楷体_GB2312" w:eastAsia="楷体_GB2312"/>
      <w:sz w:val="28"/>
      <w:szCs w:val="28"/>
    </w:rPr>
  </w:style>
  <w:style w:type="paragraph" w:customStyle="1" w:styleId="200">
    <w:name w:val="标题 21"/>
    <w:basedOn w:val="1"/>
    <w:next w:val="1"/>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01">
    <w:name w:val="标题 31"/>
    <w:basedOn w:val="1"/>
    <w:next w:val="202"/>
    <w:link w:val="211"/>
    <w:autoRedefine/>
    <w:qFormat/>
    <w:uiPriority w:val="0"/>
    <w:pPr>
      <w:keepNext/>
      <w:keepLines/>
      <w:spacing w:before="260" w:after="260" w:line="416" w:lineRule="auto"/>
      <w:outlineLvl w:val="2"/>
    </w:pPr>
    <w:rPr>
      <w:b/>
      <w:bCs/>
      <w:sz w:val="32"/>
      <w:szCs w:val="32"/>
    </w:rPr>
  </w:style>
  <w:style w:type="paragraph" w:customStyle="1" w:styleId="202">
    <w:name w:val="正文缩进1"/>
    <w:basedOn w:val="1"/>
    <w:link w:val="212"/>
    <w:autoRedefine/>
    <w:qFormat/>
    <w:uiPriority w:val="0"/>
    <w:pPr>
      <w:ind w:firstLine="420"/>
    </w:pPr>
  </w:style>
  <w:style w:type="paragraph" w:customStyle="1" w:styleId="203">
    <w:name w:val="标题 41"/>
    <w:basedOn w:val="1"/>
    <w:next w:val="1"/>
    <w:link w:val="213"/>
    <w:autoRedefine/>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4">
    <w:name w:val="标题 51"/>
    <w:basedOn w:val="1"/>
    <w:next w:val="202"/>
    <w:autoRedefine/>
    <w:qFormat/>
    <w:uiPriority w:val="0"/>
    <w:pPr>
      <w:keepNext/>
      <w:outlineLvl w:val="4"/>
    </w:pPr>
    <w:rPr>
      <w:rFonts w:ascii="宋体"/>
      <w:color w:val="000000"/>
      <w:sz w:val="28"/>
      <w:szCs w:val="28"/>
    </w:rPr>
  </w:style>
  <w:style w:type="paragraph" w:customStyle="1" w:styleId="205">
    <w:name w:val="标题 61"/>
    <w:basedOn w:val="1"/>
    <w:next w:val="1"/>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6">
    <w:name w:val="标题 71"/>
    <w:basedOn w:val="1"/>
    <w:next w:val="1"/>
    <w:autoRedefine/>
    <w:qFormat/>
    <w:uiPriority w:val="0"/>
    <w:pPr>
      <w:keepNext/>
      <w:keepLines/>
      <w:numPr>
        <w:ilvl w:val="6"/>
        <w:numId w:val="1"/>
      </w:numPr>
      <w:spacing w:before="240" w:after="64" w:line="320" w:lineRule="auto"/>
      <w:outlineLvl w:val="6"/>
    </w:pPr>
    <w:rPr>
      <w:b/>
      <w:bCs/>
      <w:sz w:val="24"/>
      <w:szCs w:val="24"/>
    </w:rPr>
  </w:style>
  <w:style w:type="paragraph" w:customStyle="1" w:styleId="207">
    <w:name w:val="标题 81"/>
    <w:basedOn w:val="1"/>
    <w:next w:val="1"/>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8">
    <w:name w:val="标题 91"/>
    <w:basedOn w:val="1"/>
    <w:next w:val="1"/>
    <w:autoRedefine/>
    <w:qFormat/>
    <w:uiPriority w:val="0"/>
    <w:pPr>
      <w:keepNext/>
      <w:keepLines/>
      <w:numPr>
        <w:ilvl w:val="8"/>
        <w:numId w:val="1"/>
      </w:numPr>
      <w:spacing w:before="240" w:after="64" w:line="320" w:lineRule="auto"/>
      <w:outlineLvl w:val="8"/>
    </w:pPr>
    <w:rPr>
      <w:rFonts w:ascii="Arial" w:hAnsi="Arial" w:eastAsia="黑体"/>
    </w:rPr>
  </w:style>
  <w:style w:type="character" w:customStyle="1" w:styleId="209">
    <w:name w:val="默认段落字体1"/>
    <w:autoRedefine/>
    <w:semiHidden/>
    <w:qFormat/>
    <w:uiPriority w:val="0"/>
  </w:style>
  <w:style w:type="table" w:customStyle="1" w:styleId="210">
    <w:name w:val="普通表格1"/>
    <w:autoRedefine/>
    <w:semiHidden/>
    <w:qFormat/>
    <w:uiPriority w:val="0"/>
    <w:tblPr>
      <w:tblCellMar>
        <w:top w:w="0" w:type="dxa"/>
        <w:left w:w="0" w:type="dxa"/>
        <w:bottom w:w="0" w:type="dxa"/>
        <w:right w:w="0" w:type="dxa"/>
      </w:tblCellMar>
    </w:tblPr>
  </w:style>
  <w:style w:type="character" w:customStyle="1" w:styleId="211">
    <w:name w:val="标题 3 Char"/>
    <w:link w:val="201"/>
    <w:autoRedefine/>
    <w:qFormat/>
    <w:uiPriority w:val="0"/>
    <w:rPr>
      <w:rFonts w:eastAsia="宋体"/>
      <w:b/>
      <w:bCs/>
      <w:sz w:val="32"/>
      <w:szCs w:val="32"/>
      <w:lang w:val="en-US" w:eastAsia="zh-CN" w:bidi="ar-SA"/>
    </w:rPr>
  </w:style>
  <w:style w:type="character" w:customStyle="1" w:styleId="212">
    <w:name w:val="正文缩进 Char"/>
    <w:link w:val="202"/>
    <w:autoRedefine/>
    <w:qFormat/>
    <w:uiPriority w:val="0"/>
    <w:rPr>
      <w:sz w:val="21"/>
      <w:szCs w:val="21"/>
    </w:rPr>
  </w:style>
  <w:style w:type="character" w:customStyle="1" w:styleId="213">
    <w:name w:val="标题 4 Char"/>
    <w:link w:val="203"/>
    <w:autoRedefine/>
    <w:qFormat/>
    <w:uiPriority w:val="0"/>
    <w:rPr>
      <w:rFonts w:ascii="Arial" w:hAnsi="Arial" w:eastAsia="黑体" w:cs="Arial"/>
      <w:b/>
      <w:bCs/>
      <w:sz w:val="28"/>
      <w:szCs w:val="28"/>
    </w:rPr>
  </w:style>
  <w:style w:type="paragraph" w:customStyle="1" w:styleId="214">
    <w:name w:val="列表 31"/>
    <w:basedOn w:val="1"/>
    <w:autoRedefine/>
    <w:qFormat/>
    <w:uiPriority w:val="0"/>
    <w:pPr>
      <w:ind w:left="100" w:hanging="200"/>
    </w:pPr>
  </w:style>
  <w:style w:type="paragraph" w:customStyle="1" w:styleId="215">
    <w:name w:val="目录 71"/>
    <w:basedOn w:val="1"/>
    <w:next w:val="1"/>
    <w:autoRedefine/>
    <w:semiHidden/>
    <w:qFormat/>
    <w:uiPriority w:val="0"/>
    <w:pPr>
      <w:ind w:left="1260"/>
      <w:jc w:val="left"/>
    </w:pPr>
  </w:style>
  <w:style w:type="paragraph" w:customStyle="1" w:styleId="216">
    <w:name w:val="文档结构图1"/>
    <w:basedOn w:val="1"/>
    <w:link w:val="217"/>
    <w:autoRedefine/>
    <w:semiHidden/>
    <w:qFormat/>
    <w:uiPriority w:val="0"/>
    <w:pPr>
      <w:shd w:val="clear" w:color="auto" w:fill="000080"/>
    </w:pPr>
  </w:style>
  <w:style w:type="character" w:customStyle="1" w:styleId="217">
    <w:name w:val="文档结构图 Char"/>
    <w:link w:val="216"/>
    <w:autoRedefine/>
    <w:qFormat/>
    <w:uiPriority w:val="0"/>
    <w:rPr>
      <w:rFonts w:eastAsia="宋体"/>
      <w:sz w:val="21"/>
      <w:szCs w:val="21"/>
      <w:lang w:val="en-US" w:eastAsia="zh-CN" w:bidi="ar-SA"/>
    </w:rPr>
  </w:style>
  <w:style w:type="paragraph" w:customStyle="1" w:styleId="218">
    <w:name w:val="批注文字1"/>
    <w:basedOn w:val="1"/>
    <w:autoRedefine/>
    <w:qFormat/>
    <w:uiPriority w:val="99"/>
    <w:pPr>
      <w:jc w:val="left"/>
    </w:pPr>
  </w:style>
  <w:style w:type="paragraph" w:customStyle="1" w:styleId="219">
    <w:name w:val="正文文本 31"/>
    <w:basedOn w:val="1"/>
    <w:autoRedefine/>
    <w:qFormat/>
    <w:uiPriority w:val="0"/>
    <w:rPr>
      <w:rFonts w:ascii="仿宋_GB2312" w:hAnsi="Arial" w:eastAsia="仿宋_GB2312"/>
      <w:sz w:val="32"/>
      <w:szCs w:val="32"/>
    </w:rPr>
  </w:style>
  <w:style w:type="paragraph" w:customStyle="1" w:styleId="220">
    <w:name w:val="列表 21"/>
    <w:basedOn w:val="1"/>
    <w:autoRedefine/>
    <w:qFormat/>
    <w:uiPriority w:val="0"/>
    <w:pPr>
      <w:ind w:left="100" w:hanging="200"/>
    </w:pPr>
  </w:style>
  <w:style w:type="paragraph" w:customStyle="1" w:styleId="221">
    <w:name w:val="文本块1"/>
    <w:basedOn w:val="1"/>
    <w:autoRedefine/>
    <w:unhideWhenUsed/>
    <w:qFormat/>
    <w:uiPriority w:val="0"/>
    <w:pPr>
      <w:spacing w:after="120"/>
      <w:ind w:left="1440"/>
    </w:pPr>
    <w:rPr>
      <w:rFonts w:hint="eastAsia"/>
    </w:rPr>
  </w:style>
  <w:style w:type="paragraph" w:customStyle="1" w:styleId="222">
    <w:name w:val="目录 51"/>
    <w:basedOn w:val="1"/>
    <w:next w:val="1"/>
    <w:autoRedefine/>
    <w:semiHidden/>
    <w:qFormat/>
    <w:uiPriority w:val="0"/>
    <w:pPr>
      <w:ind w:left="840"/>
      <w:jc w:val="left"/>
    </w:pPr>
  </w:style>
  <w:style w:type="paragraph" w:customStyle="1" w:styleId="223">
    <w:name w:val="目录 31"/>
    <w:basedOn w:val="1"/>
    <w:next w:val="1"/>
    <w:autoRedefine/>
    <w:semiHidden/>
    <w:qFormat/>
    <w:uiPriority w:val="0"/>
    <w:pPr>
      <w:ind w:left="420"/>
      <w:jc w:val="left"/>
    </w:pPr>
    <w:rPr>
      <w:i/>
      <w:iCs/>
      <w:szCs w:val="24"/>
    </w:rPr>
  </w:style>
  <w:style w:type="paragraph" w:customStyle="1" w:styleId="224">
    <w:name w:val="纯文本11"/>
    <w:basedOn w:val="1"/>
    <w:link w:val="225"/>
    <w:autoRedefine/>
    <w:qFormat/>
    <w:uiPriority w:val="99"/>
    <w:rPr>
      <w:rFonts w:ascii="宋体" w:hAnsi="Courier New"/>
    </w:rPr>
  </w:style>
  <w:style w:type="character" w:customStyle="1" w:styleId="225">
    <w:name w:val="纯文本 Char"/>
    <w:link w:val="224"/>
    <w:autoRedefine/>
    <w:qFormat/>
    <w:uiPriority w:val="99"/>
    <w:rPr>
      <w:rFonts w:ascii="宋体" w:hAnsi="Courier New" w:cs="Courier New"/>
      <w:sz w:val="21"/>
      <w:szCs w:val="21"/>
    </w:rPr>
  </w:style>
  <w:style w:type="paragraph" w:customStyle="1" w:styleId="226">
    <w:name w:val="目录 81"/>
    <w:basedOn w:val="1"/>
    <w:next w:val="1"/>
    <w:autoRedefine/>
    <w:semiHidden/>
    <w:qFormat/>
    <w:uiPriority w:val="0"/>
    <w:pPr>
      <w:ind w:left="1470"/>
      <w:jc w:val="left"/>
    </w:pPr>
  </w:style>
  <w:style w:type="paragraph" w:customStyle="1" w:styleId="227">
    <w:name w:val="日期1"/>
    <w:basedOn w:val="1"/>
    <w:next w:val="1"/>
    <w:autoRedefine/>
    <w:qFormat/>
    <w:uiPriority w:val="0"/>
    <w:rPr>
      <w:sz w:val="24"/>
      <w:szCs w:val="24"/>
    </w:rPr>
  </w:style>
  <w:style w:type="paragraph" w:customStyle="1" w:styleId="228">
    <w:name w:val="正文文本缩进 21"/>
    <w:basedOn w:val="1"/>
    <w:autoRedefine/>
    <w:qFormat/>
    <w:uiPriority w:val="0"/>
    <w:pPr>
      <w:ind w:left="630" w:firstLine="645"/>
    </w:pPr>
    <w:rPr>
      <w:rFonts w:ascii="Arial" w:hAnsi="Arial" w:eastAsia="仿宋_GB2312" w:cs="Arial"/>
      <w:sz w:val="32"/>
      <w:szCs w:val="32"/>
    </w:rPr>
  </w:style>
  <w:style w:type="paragraph" w:customStyle="1" w:styleId="229">
    <w:name w:val="批注框文本1"/>
    <w:basedOn w:val="1"/>
    <w:autoRedefine/>
    <w:semiHidden/>
    <w:qFormat/>
    <w:uiPriority w:val="0"/>
    <w:rPr>
      <w:sz w:val="18"/>
      <w:szCs w:val="18"/>
    </w:rPr>
  </w:style>
  <w:style w:type="paragraph" w:customStyle="1" w:styleId="230">
    <w:name w:val="页脚1"/>
    <w:basedOn w:val="1"/>
    <w:autoRedefine/>
    <w:qFormat/>
    <w:uiPriority w:val="0"/>
    <w:pPr>
      <w:tabs>
        <w:tab w:val="center" w:pos="4153"/>
        <w:tab w:val="right" w:pos="8306"/>
      </w:tabs>
      <w:jc w:val="left"/>
    </w:pPr>
    <w:rPr>
      <w:sz w:val="18"/>
      <w:szCs w:val="18"/>
    </w:rPr>
  </w:style>
  <w:style w:type="paragraph" w:customStyle="1" w:styleId="231">
    <w:name w:val="页眉1"/>
    <w:basedOn w:val="1"/>
    <w:autoRedefine/>
    <w:qFormat/>
    <w:uiPriority w:val="0"/>
    <w:pPr>
      <w:pBdr>
        <w:bottom w:val="single" w:color="000000" w:sz="6" w:space="1"/>
      </w:pBdr>
      <w:tabs>
        <w:tab w:val="center" w:pos="4153"/>
        <w:tab w:val="right" w:pos="8306"/>
      </w:tabs>
      <w:jc w:val="center"/>
    </w:pPr>
    <w:rPr>
      <w:sz w:val="18"/>
      <w:szCs w:val="18"/>
    </w:rPr>
  </w:style>
  <w:style w:type="paragraph" w:customStyle="1" w:styleId="232">
    <w:name w:val="目录 11"/>
    <w:basedOn w:val="1"/>
    <w:next w:val="1"/>
    <w:autoRedefine/>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3">
    <w:name w:val="目录 41"/>
    <w:basedOn w:val="1"/>
    <w:next w:val="1"/>
    <w:autoRedefine/>
    <w:semiHidden/>
    <w:qFormat/>
    <w:uiPriority w:val="0"/>
    <w:pPr>
      <w:ind w:left="630"/>
      <w:jc w:val="left"/>
    </w:pPr>
  </w:style>
  <w:style w:type="paragraph" w:customStyle="1" w:styleId="234">
    <w:name w:val="列表1"/>
    <w:basedOn w:val="1"/>
    <w:autoRedefine/>
    <w:qFormat/>
    <w:uiPriority w:val="0"/>
    <w:pPr>
      <w:ind w:left="200" w:hanging="200"/>
    </w:pPr>
  </w:style>
  <w:style w:type="paragraph" w:customStyle="1" w:styleId="235">
    <w:name w:val="目录 61"/>
    <w:basedOn w:val="1"/>
    <w:next w:val="1"/>
    <w:autoRedefine/>
    <w:semiHidden/>
    <w:qFormat/>
    <w:uiPriority w:val="0"/>
    <w:pPr>
      <w:ind w:left="1050"/>
      <w:jc w:val="left"/>
    </w:pPr>
  </w:style>
  <w:style w:type="paragraph" w:customStyle="1" w:styleId="236">
    <w:name w:val="正文文本缩进 31"/>
    <w:basedOn w:val="1"/>
    <w:autoRedefine/>
    <w:qFormat/>
    <w:uiPriority w:val="0"/>
    <w:pPr>
      <w:ind w:left="645" w:firstLine="645"/>
    </w:pPr>
    <w:rPr>
      <w:rFonts w:ascii="Arial" w:hAnsi="Arial" w:eastAsia="仿宋_GB2312" w:cs="Arial"/>
      <w:color w:val="FFFF00"/>
      <w:sz w:val="32"/>
      <w:szCs w:val="32"/>
    </w:rPr>
  </w:style>
  <w:style w:type="paragraph" w:customStyle="1" w:styleId="237">
    <w:name w:val="图表目录1"/>
    <w:basedOn w:val="1"/>
    <w:next w:val="1"/>
    <w:autoRedefine/>
    <w:semiHidden/>
    <w:qFormat/>
    <w:uiPriority w:val="0"/>
    <w:pPr>
      <w:ind w:left="840" w:hanging="420"/>
    </w:pPr>
  </w:style>
  <w:style w:type="paragraph" w:customStyle="1" w:styleId="238">
    <w:name w:val="目录 21"/>
    <w:basedOn w:val="1"/>
    <w:next w:val="1"/>
    <w:autoRedefine/>
    <w:semiHidden/>
    <w:qFormat/>
    <w:uiPriority w:val="0"/>
    <w:pPr>
      <w:ind w:left="210"/>
      <w:jc w:val="left"/>
    </w:pPr>
    <w:rPr>
      <w:smallCaps/>
      <w:szCs w:val="24"/>
    </w:rPr>
  </w:style>
  <w:style w:type="paragraph" w:customStyle="1" w:styleId="239">
    <w:name w:val="目录 91"/>
    <w:basedOn w:val="1"/>
    <w:next w:val="1"/>
    <w:autoRedefine/>
    <w:semiHidden/>
    <w:qFormat/>
    <w:uiPriority w:val="0"/>
    <w:pPr>
      <w:ind w:left="1680"/>
      <w:jc w:val="left"/>
    </w:pPr>
  </w:style>
  <w:style w:type="paragraph" w:customStyle="1" w:styleId="240">
    <w:name w:val="正文文本 21"/>
    <w:basedOn w:val="1"/>
    <w:autoRedefine/>
    <w:qFormat/>
    <w:uiPriority w:val="0"/>
    <w:pPr>
      <w:widowControl/>
      <w:jc w:val="center"/>
    </w:pPr>
    <w:rPr>
      <w:rFonts w:ascii="楷体_GB2312" w:eastAsia="楷体_GB2312"/>
      <w:sz w:val="28"/>
      <w:szCs w:val="28"/>
    </w:rPr>
  </w:style>
  <w:style w:type="paragraph" w:customStyle="1" w:styleId="241">
    <w:name w:val="普通(网站)1"/>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242">
    <w:name w:val="索引 11"/>
    <w:basedOn w:val="1"/>
    <w:next w:val="1"/>
    <w:autoRedefine/>
    <w:semiHidden/>
    <w:qFormat/>
    <w:uiPriority w:val="0"/>
    <w:pPr>
      <w:spacing w:line="240" w:lineRule="atLeast"/>
    </w:pPr>
    <w:rPr>
      <w:b/>
      <w:bCs/>
    </w:rPr>
  </w:style>
  <w:style w:type="paragraph" w:customStyle="1" w:styleId="243">
    <w:name w:val="批注主题1"/>
    <w:basedOn w:val="218"/>
    <w:next w:val="218"/>
    <w:autoRedefine/>
    <w:semiHidden/>
    <w:qFormat/>
    <w:uiPriority w:val="0"/>
    <w:rPr>
      <w:b/>
      <w:bCs/>
    </w:rPr>
  </w:style>
  <w:style w:type="character" w:customStyle="1" w:styleId="244">
    <w:name w:val="正文首行缩进 Char"/>
    <w:link w:val="49"/>
    <w:autoRedefine/>
    <w:qFormat/>
    <w:uiPriority w:val="0"/>
    <w:rPr>
      <w:rFonts w:ascii="仿宋_GB2312" w:eastAsia="仿宋_GB2312"/>
      <w:sz w:val="30"/>
      <w:szCs w:val="30"/>
    </w:rPr>
  </w:style>
  <w:style w:type="paragraph" w:customStyle="1" w:styleId="245">
    <w:name w:val="正文首行缩进 21"/>
    <w:basedOn w:val="47"/>
    <w:link w:val="246"/>
    <w:autoRedefine/>
    <w:qFormat/>
    <w:uiPriority w:val="99"/>
    <w:pPr>
      <w:spacing w:line="360" w:lineRule="auto"/>
      <w:ind w:firstLine="420"/>
    </w:pPr>
    <w:rPr>
      <w:rFonts w:ascii="宋体" w:hAnsi="宋体" w:eastAsia="宋体"/>
      <w:sz w:val="21"/>
      <w:szCs w:val="20"/>
    </w:rPr>
  </w:style>
  <w:style w:type="character" w:customStyle="1" w:styleId="246">
    <w:name w:val="正文首行缩进 2 Char"/>
    <w:link w:val="245"/>
    <w:autoRedefine/>
    <w:qFormat/>
    <w:uiPriority w:val="99"/>
    <w:rPr>
      <w:rFonts w:ascii="宋体" w:hAnsi="宋体"/>
      <w:sz w:val="21"/>
    </w:rPr>
  </w:style>
  <w:style w:type="table" w:customStyle="1" w:styleId="247">
    <w:name w:val="网格型1"/>
    <w:basedOn w:val="210"/>
    <w:autoRedefine/>
    <w:qFormat/>
    <w:uiPriority w:val="0"/>
    <w:pPr>
      <w:widowControl w:val="0"/>
      <w:jc w:val="both"/>
    </w:pPr>
    <w:tblPr>
      <w:tblCellMar>
        <w:top w:w="0" w:type="dxa"/>
        <w:left w:w="0" w:type="dxa"/>
        <w:bottom w:w="0" w:type="dxa"/>
        <w:right w:w="0" w:type="dxa"/>
      </w:tblCellMar>
    </w:tblPr>
  </w:style>
  <w:style w:type="character" w:customStyle="1" w:styleId="248">
    <w:name w:val="要点1"/>
    <w:autoRedefine/>
    <w:qFormat/>
    <w:uiPriority w:val="0"/>
    <w:rPr>
      <w:b/>
      <w:bCs/>
    </w:rPr>
  </w:style>
  <w:style w:type="character" w:customStyle="1" w:styleId="249">
    <w:name w:val="页码1"/>
    <w:autoRedefine/>
    <w:qFormat/>
    <w:uiPriority w:val="0"/>
  </w:style>
  <w:style w:type="character" w:customStyle="1" w:styleId="250">
    <w:name w:val="已访问的超链接1"/>
    <w:autoRedefine/>
    <w:qFormat/>
    <w:uiPriority w:val="0"/>
    <w:rPr>
      <w:color w:val="800080"/>
      <w:u w:val="single"/>
    </w:rPr>
  </w:style>
  <w:style w:type="character" w:customStyle="1" w:styleId="251">
    <w:name w:val="超链接1"/>
    <w:autoRedefine/>
    <w:qFormat/>
    <w:uiPriority w:val="0"/>
    <w:rPr>
      <w:color w:val="0000FF"/>
      <w:u w:val="single"/>
    </w:rPr>
  </w:style>
  <w:style w:type="character" w:customStyle="1" w:styleId="252">
    <w:name w:val="批注引用1"/>
    <w:autoRedefine/>
    <w:semiHidden/>
    <w:qFormat/>
    <w:uiPriority w:val="0"/>
    <w:rPr>
      <w:sz w:val="21"/>
      <w:szCs w:val="21"/>
    </w:rPr>
  </w:style>
  <w:style w:type="character" w:customStyle="1" w:styleId="253">
    <w:name w:val="font5 Char"/>
    <w:autoRedefine/>
    <w:qFormat/>
    <w:uiPriority w:val="0"/>
    <w:rPr>
      <w:rFonts w:ascii="宋体" w:hAnsi="宋体" w:eastAsia="宋体"/>
      <w:sz w:val="28"/>
      <w:szCs w:val="28"/>
      <w:lang w:val="en-US" w:eastAsia="zh-CN" w:bidi="ar-SA"/>
    </w:rPr>
  </w:style>
  <w:style w:type="character" w:customStyle="1" w:styleId="254">
    <w:name w:val="apple-converted-space"/>
    <w:autoRedefine/>
    <w:qFormat/>
    <w:uiPriority w:val="99"/>
  </w:style>
  <w:style w:type="character" w:customStyle="1" w:styleId="255">
    <w:name w:val="列出段落 Char"/>
    <w:link w:val="256"/>
    <w:autoRedefine/>
    <w:qFormat/>
    <w:uiPriority w:val="0"/>
    <w:rPr>
      <w:rFonts w:ascii="Calibri" w:hAnsi="Calibri"/>
      <w:sz w:val="24"/>
      <w:szCs w:val="24"/>
      <w:lang w:eastAsia="en-US" w:bidi="en-US"/>
    </w:rPr>
  </w:style>
  <w:style w:type="paragraph" w:customStyle="1" w:styleId="256">
    <w:name w:val="列出段落1"/>
    <w:basedOn w:val="1"/>
    <w:link w:val="255"/>
    <w:autoRedefine/>
    <w:qFormat/>
    <w:uiPriority w:val="0"/>
    <w:pPr>
      <w:widowControl/>
      <w:ind w:left="720"/>
      <w:contextualSpacing/>
      <w:jc w:val="left"/>
    </w:pPr>
    <w:rPr>
      <w:rFonts w:ascii="Calibri" w:hAnsi="Calibri"/>
      <w:sz w:val="24"/>
      <w:szCs w:val="24"/>
      <w:lang w:eastAsia="en-US" w:bidi="en-US"/>
    </w:rPr>
  </w:style>
  <w:style w:type="character" w:customStyle="1" w:styleId="257">
    <w:name w:val="Char Char Char Char Char"/>
    <w:link w:val="258"/>
    <w:autoRedefine/>
    <w:qFormat/>
    <w:uiPriority w:val="0"/>
    <w:rPr>
      <w:rFonts w:ascii="Tahoma" w:hAnsi="Tahoma" w:eastAsia="宋体"/>
      <w:sz w:val="24"/>
      <w:szCs w:val="24"/>
      <w:lang w:val="en-US" w:eastAsia="zh-CN" w:bidi="ar-SA"/>
    </w:rPr>
  </w:style>
  <w:style w:type="paragraph" w:customStyle="1" w:styleId="258">
    <w:name w:val="Char Char Char Char"/>
    <w:basedOn w:val="216"/>
    <w:link w:val="257"/>
    <w:autoRedefine/>
    <w:qFormat/>
    <w:uiPriority w:val="0"/>
    <w:pPr>
      <w:spacing w:line="360" w:lineRule="auto"/>
    </w:pPr>
    <w:rPr>
      <w:rFonts w:ascii="Tahoma" w:hAnsi="Tahoma"/>
      <w:sz w:val="24"/>
      <w:szCs w:val="24"/>
    </w:rPr>
  </w:style>
  <w:style w:type="character" w:customStyle="1" w:styleId="259">
    <w:name w:val="普通正文 Char"/>
    <w:link w:val="260"/>
    <w:autoRedefine/>
    <w:qFormat/>
    <w:uiPriority w:val="0"/>
    <w:rPr>
      <w:rFonts w:ascii="Arial" w:hAnsi="Arial"/>
      <w:sz w:val="24"/>
      <w:szCs w:val="24"/>
    </w:rPr>
  </w:style>
  <w:style w:type="paragraph" w:customStyle="1" w:styleId="260">
    <w:name w:val="普通正文"/>
    <w:basedOn w:val="1"/>
    <w:link w:val="259"/>
    <w:autoRedefine/>
    <w:qFormat/>
    <w:uiPriority w:val="0"/>
    <w:pPr>
      <w:spacing w:before="120" w:after="120" w:line="360" w:lineRule="auto"/>
      <w:ind w:firstLine="480"/>
      <w:jc w:val="left"/>
    </w:pPr>
    <w:rPr>
      <w:rFonts w:ascii="Arial" w:hAnsi="Arial"/>
      <w:sz w:val="24"/>
      <w:szCs w:val="24"/>
    </w:rPr>
  </w:style>
  <w:style w:type="character" w:customStyle="1" w:styleId="261">
    <w:name w:val="二级目录 Char"/>
    <w:link w:val="262"/>
    <w:autoRedefine/>
    <w:qFormat/>
    <w:uiPriority w:val="0"/>
    <w:rPr>
      <w:b/>
      <w:sz w:val="30"/>
      <w:szCs w:val="28"/>
    </w:rPr>
  </w:style>
  <w:style w:type="paragraph" w:customStyle="1" w:styleId="262">
    <w:name w:val="二级目录"/>
    <w:next w:val="1"/>
    <w:link w:val="261"/>
    <w:autoRedefine/>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paragraph" w:customStyle="1" w:styleId="263">
    <w:name w:val="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264">
    <w:name w:val="Char Char Char Char Char Char Char Char1"/>
    <w:basedOn w:val="1"/>
    <w:autoRedefine/>
    <w:qFormat/>
    <w:uiPriority w:val="0"/>
    <w:pPr>
      <w:widowControl/>
      <w:spacing w:after="160" w:line="240" w:lineRule="exact"/>
      <w:jc w:val="left"/>
    </w:pPr>
    <w:rPr>
      <w:rFonts w:ascii="Verdana" w:hAnsi="Verdana"/>
      <w:sz w:val="20"/>
      <w:szCs w:val="20"/>
      <w:lang w:eastAsia="en-US"/>
    </w:rPr>
  </w:style>
  <w:style w:type="paragraph" w:customStyle="1" w:styleId="265">
    <w:name w:val="font6"/>
    <w:basedOn w:val="1"/>
    <w:autoRedefine/>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6">
    <w:name w:val="Body Text(ch)"/>
    <w:basedOn w:val="1"/>
    <w:next w:val="50"/>
    <w:autoRedefine/>
    <w:qFormat/>
    <w:uiPriority w:val="0"/>
    <w:pPr>
      <w:spacing w:after="120"/>
    </w:pPr>
    <w:rPr>
      <w:rFonts w:ascii="宋体" w:hAnsi="Arial"/>
      <w:bCs/>
      <w:iCs/>
      <w:szCs w:val="24"/>
    </w:rPr>
  </w:style>
  <w:style w:type="paragraph" w:customStyle="1" w:styleId="267">
    <w:name w:val="附录1"/>
    <w:autoRedefine/>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68">
    <w:name w:val="font7"/>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269">
    <w:name w:val="xl24"/>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0">
    <w:name w:val="标题3"/>
    <w:basedOn w:val="1"/>
    <w:next w:val="1"/>
    <w:autoRedefine/>
    <w:qFormat/>
    <w:uiPriority w:val="0"/>
    <w:pPr>
      <w:spacing w:line="590" w:lineRule="atLeast"/>
      <w:ind w:firstLine="624"/>
    </w:pPr>
    <w:rPr>
      <w:rFonts w:ascii="方正黑体_GBK" w:eastAsia="方正黑体_GBK"/>
      <w:sz w:val="32"/>
      <w:szCs w:val="32"/>
    </w:rPr>
  </w:style>
  <w:style w:type="paragraph" w:customStyle="1" w:styleId="271">
    <w:name w:val="普通 (Web)"/>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72">
    <w:name w:val="xl30"/>
    <w:basedOn w:val="1"/>
    <w:autoRedefine/>
    <w:qFormat/>
    <w:uiPriority w:val="0"/>
    <w:pPr>
      <w:widowControl/>
      <w:spacing w:before="100" w:beforeAutospacing="1" w:after="100" w:afterAutospacing="1"/>
      <w:jc w:val="center"/>
    </w:pPr>
    <w:rPr>
      <w:rFonts w:ascii="宋体" w:hAnsi="宋体"/>
      <w:b/>
      <w:bCs/>
      <w:sz w:val="36"/>
      <w:szCs w:val="36"/>
    </w:rPr>
  </w:style>
  <w:style w:type="paragraph" w:customStyle="1" w:styleId="273">
    <w:name w:val="Char Char Char Char Char Char Char Char Char Char"/>
    <w:basedOn w:val="1"/>
    <w:autoRedefine/>
    <w:qFormat/>
    <w:uiPriority w:val="0"/>
    <w:pPr>
      <w:spacing w:line="360" w:lineRule="auto"/>
    </w:pPr>
    <w:rPr>
      <w:sz w:val="24"/>
      <w:szCs w:val="20"/>
    </w:rPr>
  </w:style>
  <w:style w:type="paragraph" w:customStyle="1" w:styleId="274">
    <w:name w:val="font5"/>
    <w:basedOn w:val="1"/>
    <w:autoRedefine/>
    <w:qFormat/>
    <w:uiPriority w:val="0"/>
    <w:pPr>
      <w:widowControl/>
      <w:spacing w:before="100" w:beforeAutospacing="1" w:after="100" w:afterAutospacing="1"/>
      <w:jc w:val="left"/>
    </w:pPr>
    <w:rPr>
      <w:rFonts w:hint="eastAsia" w:ascii="宋体" w:hAnsi="宋体"/>
      <w:sz w:val="28"/>
      <w:szCs w:val="28"/>
    </w:rPr>
  </w:style>
  <w:style w:type="paragraph" w:customStyle="1" w:styleId="275">
    <w:name w:val="列出段落2"/>
    <w:basedOn w:val="1"/>
    <w:autoRedefine/>
    <w:qFormat/>
    <w:uiPriority w:val="99"/>
    <w:pPr>
      <w:widowControl/>
      <w:ind w:left="720"/>
      <w:contextualSpacing/>
      <w:jc w:val="left"/>
    </w:pPr>
    <w:rPr>
      <w:rFonts w:ascii="Calibri" w:hAnsi="Calibri"/>
      <w:sz w:val="24"/>
      <w:szCs w:val="24"/>
      <w:lang w:eastAsia="en-US" w:bidi="en-US"/>
    </w:rPr>
  </w:style>
  <w:style w:type="paragraph" w:customStyle="1" w:styleId="276">
    <w:name w:val="样式1"/>
    <w:basedOn w:val="1"/>
    <w:autoRedefine/>
    <w:qFormat/>
    <w:uiPriority w:val="0"/>
    <w:pPr>
      <w:numPr>
        <w:ilvl w:val="0"/>
        <w:numId w:val="3"/>
      </w:numPr>
    </w:pPr>
    <w:rPr>
      <w:rFonts w:ascii="宋体" w:hAnsi="宋体"/>
    </w:rPr>
  </w:style>
  <w:style w:type="paragraph" w:customStyle="1" w:styleId="277">
    <w:name w:val="Char Char Char Char1"/>
    <w:basedOn w:val="216"/>
    <w:autoRedefine/>
    <w:qFormat/>
    <w:uiPriority w:val="0"/>
    <w:pPr>
      <w:spacing w:line="360" w:lineRule="auto"/>
    </w:pPr>
    <w:rPr>
      <w:rFonts w:ascii="Tahoma" w:hAnsi="Tahoma"/>
      <w:sz w:val="24"/>
      <w:szCs w:val="24"/>
    </w:rPr>
  </w:style>
  <w:style w:type="paragraph" w:customStyle="1" w:styleId="278">
    <w:name w:val="table_lines"/>
    <w:basedOn w:val="1"/>
    <w:autoRedefine/>
    <w:qFormat/>
    <w:uiPriority w:val="0"/>
    <w:pPr>
      <w:widowControl/>
      <w:jc w:val="left"/>
    </w:pPr>
    <w:rPr>
      <w:sz w:val="20"/>
      <w:szCs w:val="20"/>
      <w:lang w:val="de-DE" w:eastAsia="de-DE"/>
    </w:rPr>
  </w:style>
  <w:style w:type="paragraph" w:customStyle="1" w:styleId="279">
    <w:name w:val="标题1"/>
    <w:basedOn w:val="1"/>
    <w:next w:val="1"/>
    <w:autoRedefine/>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0">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1">
    <w:name w:val="xl2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2">
    <w:name w:val="table_1stline"/>
    <w:basedOn w:val="1"/>
    <w:autoRedefine/>
    <w:qFormat/>
    <w:uiPriority w:val="0"/>
    <w:pPr>
      <w:widowControl/>
      <w:spacing w:before="120"/>
      <w:jc w:val="left"/>
    </w:pPr>
    <w:rPr>
      <w:bCs/>
      <w:sz w:val="20"/>
      <w:szCs w:val="20"/>
      <w:lang w:val="de-DE" w:eastAsia="de-DE"/>
    </w:rPr>
  </w:style>
  <w:style w:type="paragraph" w:customStyle="1" w:styleId="283">
    <w:name w:val="图标"/>
    <w:basedOn w:val="1"/>
    <w:next w:val="1"/>
    <w:autoRedefine/>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4">
    <w:name w:val="4"/>
    <w:basedOn w:val="1"/>
    <w:next w:val="236"/>
    <w:autoRedefine/>
    <w:qFormat/>
    <w:uiPriority w:val="99"/>
    <w:pPr>
      <w:spacing w:line="360" w:lineRule="auto"/>
      <w:ind w:firstLine="420"/>
    </w:pPr>
    <w:rPr>
      <w:color w:val="FF0000"/>
      <w:sz w:val="24"/>
      <w:szCs w:val="24"/>
    </w:rPr>
  </w:style>
  <w:style w:type="paragraph" w:customStyle="1" w:styleId="285">
    <w:name w:val="Char"/>
    <w:basedOn w:val="1"/>
    <w:autoRedefine/>
    <w:qFormat/>
    <w:uiPriority w:val="0"/>
    <w:pPr>
      <w:tabs>
        <w:tab w:val="left" w:pos="360"/>
      </w:tabs>
      <w:ind w:firstLine="200"/>
    </w:pPr>
    <w:rPr>
      <w:sz w:val="28"/>
      <w:szCs w:val="30"/>
    </w:rPr>
  </w:style>
  <w:style w:type="paragraph" w:customStyle="1" w:styleId="286">
    <w:name w:val="xl25"/>
    <w:basedOn w:val="1"/>
    <w:autoRedefine/>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7">
    <w:name w:val="Char1"/>
    <w:basedOn w:val="216"/>
    <w:autoRedefine/>
    <w:qFormat/>
    <w:uiPriority w:val="0"/>
    <w:rPr>
      <w:rFonts w:ascii="Tahoma" w:hAnsi="Tahoma"/>
      <w:sz w:val="24"/>
      <w:szCs w:val="24"/>
    </w:rPr>
  </w:style>
  <w:style w:type="paragraph" w:customStyle="1" w:styleId="288">
    <w:name w:val="xl29"/>
    <w:basedOn w:val="1"/>
    <w:autoRedefine/>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9">
    <w:name w:val="xl28"/>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0">
    <w:name w:val="_Style 3"/>
    <w:next w:val="236"/>
    <w:autoRedefine/>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291">
    <w:name w:val="BodyText1I21"/>
    <w:basedOn w:val="1"/>
    <w:autoRedefine/>
    <w:qFormat/>
    <w:uiPriority w:val="0"/>
    <w:pPr>
      <w:ind w:firstLine="420"/>
    </w:pPr>
    <w:rPr>
      <w:u w:val="single"/>
    </w:rPr>
  </w:style>
  <w:style w:type="paragraph" w:customStyle="1" w:styleId="292">
    <w:name w:val="正文_2_1"/>
    <w:autoRedefine/>
    <w:qFormat/>
    <w:uiPriority w:val="0"/>
    <w:pPr>
      <w:widowControl w:val="0"/>
      <w:jc w:val="both"/>
    </w:pPr>
    <w:rPr>
      <w:rFonts w:ascii="Calibri" w:hAnsi="Calibri" w:eastAsia="宋体" w:cs="Times New Roman"/>
      <w:sz w:val="21"/>
      <w:szCs w:val="22"/>
      <w:lang w:val="en-US" w:eastAsia="zh-CN" w:bidi="ar-SA"/>
    </w:rPr>
  </w:style>
  <w:style w:type="character" w:customStyle="1" w:styleId="293">
    <w:name w:val="Body text|1_"/>
    <w:link w:val="294"/>
    <w:autoRedefine/>
    <w:qFormat/>
    <w:uiPriority w:val="0"/>
    <w:rPr>
      <w:rFonts w:ascii="宋体" w:hAnsi="宋体" w:cs="宋体"/>
      <w:sz w:val="30"/>
      <w:szCs w:val="30"/>
      <w:lang w:val="zh-TW" w:eastAsia="zh-TW" w:bidi="zh-TW"/>
    </w:rPr>
  </w:style>
  <w:style w:type="paragraph" w:customStyle="1" w:styleId="294">
    <w:name w:val="Body text|1"/>
    <w:basedOn w:val="1"/>
    <w:link w:val="293"/>
    <w:autoRedefine/>
    <w:qFormat/>
    <w:uiPriority w:val="0"/>
    <w:pPr>
      <w:spacing w:line="401" w:lineRule="auto"/>
      <w:ind w:firstLine="400"/>
      <w:jc w:val="left"/>
    </w:pPr>
    <w:rPr>
      <w:rFonts w:ascii="宋体" w:hAnsi="宋体" w:cs="宋体"/>
      <w:sz w:val="30"/>
      <w:szCs w:val="30"/>
      <w:lang w:val="zh-TW" w:eastAsia="zh-TW" w:bidi="zh-TW"/>
    </w:rPr>
  </w:style>
  <w:style w:type="character" w:customStyle="1" w:styleId="295">
    <w:name w:val="Header or footer|1_"/>
    <w:link w:val="296"/>
    <w:autoRedefine/>
    <w:qFormat/>
    <w:uiPriority w:val="0"/>
    <w:rPr>
      <w:sz w:val="28"/>
      <w:szCs w:val="28"/>
      <w:lang w:val="zh-TW" w:eastAsia="zh-TW" w:bidi="zh-TW"/>
    </w:rPr>
  </w:style>
  <w:style w:type="paragraph" w:customStyle="1" w:styleId="296">
    <w:name w:val="Header or footer|1"/>
    <w:basedOn w:val="1"/>
    <w:link w:val="295"/>
    <w:autoRedefine/>
    <w:qFormat/>
    <w:uiPriority w:val="0"/>
    <w:pPr>
      <w:jc w:val="left"/>
    </w:pPr>
    <w:rPr>
      <w:sz w:val="28"/>
      <w:szCs w:val="28"/>
      <w:lang w:val="zh-TW" w:eastAsia="zh-TW" w:bidi="zh-TW"/>
    </w:rPr>
  </w:style>
  <w:style w:type="character" w:customStyle="1" w:styleId="297">
    <w:name w:val="Body text|8_"/>
    <w:link w:val="298"/>
    <w:autoRedefine/>
    <w:qFormat/>
    <w:uiPriority w:val="0"/>
    <w:rPr>
      <w:b/>
      <w:bCs/>
      <w:sz w:val="11"/>
      <w:szCs w:val="11"/>
      <w:lang w:val="zh-TW" w:eastAsia="zh-TW" w:bidi="zh-TW"/>
    </w:rPr>
  </w:style>
  <w:style w:type="paragraph" w:customStyle="1" w:styleId="298">
    <w:name w:val="Body text|8"/>
    <w:basedOn w:val="1"/>
    <w:link w:val="297"/>
    <w:autoRedefine/>
    <w:qFormat/>
    <w:uiPriority w:val="0"/>
    <w:pPr>
      <w:spacing w:after="140" w:line="204" w:lineRule="auto"/>
      <w:jc w:val="center"/>
    </w:pPr>
    <w:rPr>
      <w:b/>
      <w:bCs/>
      <w:sz w:val="11"/>
      <w:szCs w:val="11"/>
      <w:lang w:val="zh-TW" w:eastAsia="zh-TW" w:bidi="zh-TW"/>
    </w:rPr>
  </w:style>
  <w:style w:type="character" w:customStyle="1" w:styleId="299">
    <w:name w:val="Other|1_"/>
    <w:link w:val="300"/>
    <w:autoRedefine/>
    <w:qFormat/>
    <w:uiPriority w:val="0"/>
    <w:rPr>
      <w:rFonts w:ascii="宋体" w:hAnsi="宋体" w:cs="宋体"/>
      <w:sz w:val="30"/>
      <w:szCs w:val="30"/>
      <w:lang w:val="zh-TW" w:eastAsia="zh-TW" w:bidi="zh-TW"/>
    </w:rPr>
  </w:style>
  <w:style w:type="paragraph" w:customStyle="1" w:styleId="300">
    <w:name w:val="Other|1"/>
    <w:basedOn w:val="1"/>
    <w:link w:val="299"/>
    <w:autoRedefine/>
    <w:qFormat/>
    <w:uiPriority w:val="0"/>
    <w:pPr>
      <w:spacing w:line="401" w:lineRule="auto"/>
      <w:ind w:firstLine="400"/>
      <w:jc w:val="left"/>
    </w:pPr>
    <w:rPr>
      <w:rFonts w:ascii="宋体" w:hAnsi="宋体" w:cs="宋体"/>
      <w:sz w:val="30"/>
      <w:szCs w:val="30"/>
      <w:lang w:val="zh-TW" w:eastAsia="zh-TW" w:bidi="zh-TW"/>
    </w:rPr>
  </w:style>
  <w:style w:type="character" w:customStyle="1" w:styleId="301">
    <w:name w:val="Heading #1|1_"/>
    <w:link w:val="302"/>
    <w:autoRedefine/>
    <w:qFormat/>
    <w:uiPriority w:val="0"/>
    <w:rPr>
      <w:rFonts w:ascii="宋体" w:hAnsi="宋体" w:cs="宋体"/>
      <w:sz w:val="42"/>
      <w:szCs w:val="42"/>
      <w:lang w:val="zh-TW" w:eastAsia="zh-TW" w:bidi="zh-TW"/>
    </w:rPr>
  </w:style>
  <w:style w:type="paragraph" w:customStyle="1" w:styleId="302">
    <w:name w:val="Heading #1|1"/>
    <w:basedOn w:val="1"/>
    <w:link w:val="301"/>
    <w:autoRedefine/>
    <w:qFormat/>
    <w:uiPriority w:val="0"/>
    <w:pPr>
      <w:spacing w:after="480" w:line="619" w:lineRule="exact"/>
      <w:jc w:val="center"/>
      <w:outlineLvl w:val="0"/>
    </w:pPr>
    <w:rPr>
      <w:rFonts w:ascii="宋体" w:hAnsi="宋体" w:cs="宋体"/>
      <w:sz w:val="42"/>
      <w:szCs w:val="42"/>
      <w:lang w:val="zh-TW" w:eastAsia="zh-TW" w:bidi="zh-TW"/>
    </w:rPr>
  </w:style>
  <w:style w:type="paragraph" w:customStyle="1" w:styleId="303">
    <w:name w:val="纯文本1"/>
    <w:basedOn w:val="1"/>
    <w:next w:val="202"/>
    <w:autoRedefine/>
    <w:qFormat/>
    <w:uiPriority w:val="0"/>
    <w:rPr>
      <w:rFonts w:ascii="宋体" w:hAnsi="Courier New" w:cs="Courier New"/>
    </w:rPr>
  </w:style>
  <w:style w:type="character" w:customStyle="1" w:styleId="304">
    <w:name w:val="NormalCharacter"/>
    <w:autoRedefine/>
    <w:semiHidden/>
    <w:qFormat/>
    <w:uiPriority w:val="0"/>
    <w:rPr>
      <w:rFonts w:ascii="Times New Roman" w:hAnsi="Times New Roman" w:eastAsia="宋体" w:cs="Times New Roman"/>
    </w:rPr>
  </w:style>
  <w:style w:type="paragraph" w:customStyle="1" w:styleId="305">
    <w:name w:val="Body Text First Indent 21"/>
    <w:basedOn w:val="306"/>
    <w:autoRedefine/>
    <w:qFormat/>
    <w:uiPriority w:val="0"/>
    <w:pPr>
      <w:spacing w:after="120"/>
      <w:ind w:left="420" w:leftChars="200" w:firstLine="420" w:firstLineChars="200"/>
    </w:pPr>
    <w:rPr>
      <w:sz w:val="21"/>
    </w:rPr>
  </w:style>
  <w:style w:type="paragraph" w:customStyle="1" w:styleId="306">
    <w:name w:val="Body Text Indent1"/>
    <w:basedOn w:val="1"/>
    <w:next w:val="307"/>
    <w:autoRedefine/>
    <w:qFormat/>
    <w:uiPriority w:val="0"/>
    <w:pPr>
      <w:spacing w:line="360" w:lineRule="auto"/>
      <w:ind w:firstLine="570"/>
    </w:pPr>
    <w:rPr>
      <w:sz w:val="24"/>
      <w:lang w:val="zh-CN"/>
    </w:rPr>
  </w:style>
  <w:style w:type="paragraph" w:customStyle="1" w:styleId="307">
    <w:name w:val="寄信人地址1"/>
    <w:basedOn w:val="1"/>
    <w:autoRedefine/>
    <w:qFormat/>
    <w:uiPriority w:val="0"/>
    <w:pPr>
      <w:snapToGrid w:val="0"/>
    </w:pPr>
    <w:rPr>
      <w:rFonts w:ascii="Arial" w:hAnsi="Arial" w:cs="Arial"/>
    </w:rPr>
  </w:style>
  <w:style w:type="paragraph" w:customStyle="1" w:styleId="308">
    <w:name w:val="Table Text"/>
    <w:basedOn w:val="1"/>
    <w:autoRedefine/>
    <w:semiHidden/>
    <w:qFormat/>
    <w:uiPriority w:val="0"/>
    <w:rPr>
      <w:rFonts w:ascii="宋体" w:hAnsi="宋体" w:cs="宋体"/>
      <w:lang w:eastAsia="en-US"/>
    </w:rPr>
  </w:style>
  <w:style w:type="table" w:customStyle="1" w:styleId="309">
    <w:name w:val="Table Normal"/>
    <w:autoRedefine/>
    <w:semiHidden/>
    <w:unhideWhenUsed/>
    <w:qFormat/>
    <w:uiPriority w:val="0"/>
    <w:tblPr>
      <w:tblCellMar>
        <w:top w:w="0" w:type="dxa"/>
        <w:left w:w="0" w:type="dxa"/>
        <w:bottom w:w="0" w:type="dxa"/>
        <w:right w:w="0" w:type="dxa"/>
      </w:tblCellMar>
    </w:tblPr>
  </w:style>
  <w:style w:type="paragraph" w:customStyle="1" w:styleId="310">
    <w:name w:val="标题二、"/>
    <w:basedOn w:val="1"/>
    <w:autoRedefine/>
    <w:qFormat/>
    <w:uiPriority w:val="99"/>
    <w:pPr>
      <w:spacing w:line="360" w:lineRule="auto"/>
      <w:ind w:firstLine="200" w:firstLineChars="200"/>
      <w:outlineLvl w:val="2"/>
    </w:pPr>
    <w:rPr>
      <w:rFonts w:ascii="宋体" w:hAnsi="宋体"/>
      <w:b/>
    </w:rPr>
  </w:style>
  <w:style w:type="character" w:customStyle="1" w:styleId="311">
    <w:name w:val="font41"/>
    <w:basedOn w:val="41"/>
    <w:autoRedefine/>
    <w:qFormat/>
    <w:uiPriority w:val="0"/>
    <w:rPr>
      <w:rFonts w:hint="default" w:ascii="Times New Roman" w:hAnsi="Times New Roman" w:cs="Times New Roman"/>
      <w:color w:val="000000"/>
      <w:sz w:val="22"/>
      <w:szCs w:val="22"/>
      <w:u w:val="none"/>
    </w:rPr>
  </w:style>
  <w:style w:type="character" w:customStyle="1" w:styleId="312">
    <w:name w:val="font01"/>
    <w:basedOn w:val="41"/>
    <w:autoRedefine/>
    <w:qFormat/>
    <w:uiPriority w:val="0"/>
    <w:rPr>
      <w:rFonts w:hint="eastAsia" w:ascii="宋体" w:hAnsi="宋体" w:eastAsia="宋体" w:cs="宋体"/>
      <w:color w:val="000000"/>
      <w:sz w:val="22"/>
      <w:szCs w:val="22"/>
      <w:u w:val="none"/>
    </w:rPr>
  </w:style>
  <w:style w:type="character" w:customStyle="1" w:styleId="313">
    <w:name w:val="fc01294d3e-4153-482a-aea1-4b54892b7913-1"/>
    <w:basedOn w:val="41"/>
    <w:autoRedefine/>
    <w:qFormat/>
    <w:uiPriority w:val="0"/>
  </w:style>
  <w:style w:type="paragraph" w:customStyle="1" w:styleId="314">
    <w:name w:val="正文缩进11"/>
    <w:basedOn w:val="1"/>
    <w:autoRedefine/>
    <w:qFormat/>
    <w:uiPriority w:val="0"/>
    <w:pPr>
      <w:ind w:firstLine="420"/>
    </w:pPr>
    <w:rPr>
      <w:szCs w:val="20"/>
    </w:rPr>
  </w:style>
  <w:style w:type="paragraph" w:customStyle="1" w:styleId="315">
    <w:name w:val="BodyText1I2"/>
    <w:basedOn w:val="316"/>
    <w:autoRedefine/>
    <w:qFormat/>
    <w:uiPriority w:val="0"/>
    <w:pPr>
      <w:spacing w:line="200" w:lineRule="exact"/>
      <w:ind w:firstLine="420"/>
    </w:pPr>
    <w:rPr>
      <w:rFonts w:ascii="宋体" w:hAnsi="Courier New"/>
      <w:color w:val="000000"/>
      <w:spacing w:val="-4"/>
      <w:sz w:val="18"/>
      <w:szCs w:val="20"/>
    </w:rPr>
  </w:style>
  <w:style w:type="paragraph" w:customStyle="1" w:styleId="316">
    <w:name w:val="BodyTextIndent"/>
    <w:basedOn w:val="1"/>
    <w:next w:val="1"/>
    <w:autoRedefine/>
    <w:qFormat/>
    <w:uiPriority w:val="0"/>
    <w:pPr>
      <w:spacing w:after="120"/>
      <w:ind w:left="420" w:leftChars="200"/>
      <w:textAlignment w:val="baseline"/>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 </Company>
  <Pages>51</Pages>
  <Words>25953</Words>
  <Characters>27454</Characters>
  <Lines>227</Lines>
  <Paragraphs>63</Paragraphs>
  <TotalTime>10</TotalTime>
  <ScaleCrop>false</ScaleCrop>
  <LinksUpToDate>false</LinksUpToDate>
  <CharactersWithSpaces>30698</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2016-04-21T03:40:00Z</dcterms:created>
  <dc:creator>滨海县自然资源和</dc:creator>
  <cp:lastModifiedBy>倾吾之恋</cp:lastModifiedBy>
  <dcterms:modified xsi:type="dcterms:W3CDTF">2024-08-03T03:06:27Z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8C779CEE22AC4FE38F2E6E3F11C89138_13</vt:lpwstr>
  </property>
</Properties>
</file>